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7BA29" w14:textId="1D3F09CA" w:rsidR="000F4CE8" w:rsidRPr="00364B1B" w:rsidRDefault="00364B1B" w:rsidP="000F4CE8">
      <w:pPr>
        <w:widowControl w:val="0"/>
        <w:autoSpaceDE w:val="0"/>
        <w:autoSpaceDN w:val="0"/>
        <w:adjustRightInd w:val="0"/>
        <w:spacing w:line="240" w:lineRule="auto"/>
        <w:rPr>
          <w:rFonts w:eastAsia="Times New Roman" w:cs="Arial"/>
          <w:b/>
          <w:sz w:val="20"/>
          <w:szCs w:val="18"/>
          <w:lang w:val="es-ES" w:eastAsia="es-ES"/>
        </w:rPr>
      </w:pPr>
      <w:r>
        <w:rPr>
          <w:rFonts w:eastAsia="Times New Roman" w:cs="Arial"/>
          <w:b/>
          <w:sz w:val="20"/>
          <w:szCs w:val="18"/>
          <w:lang w:val="es-ES" w:eastAsia="es-ES"/>
        </w:rPr>
        <w:t>LLAMAMIENTO EN GARANTÍA / REGULACIÓN LEGAL / EFECTOS</w:t>
      </w:r>
    </w:p>
    <w:p w14:paraId="080DA76E" w14:textId="2AFF1A3E" w:rsidR="000F4CE8" w:rsidRPr="000F4CE8" w:rsidRDefault="00364B1B" w:rsidP="00364B1B">
      <w:pPr>
        <w:widowControl w:val="0"/>
        <w:autoSpaceDE w:val="0"/>
        <w:autoSpaceDN w:val="0"/>
        <w:adjustRightInd w:val="0"/>
        <w:spacing w:line="240" w:lineRule="auto"/>
        <w:rPr>
          <w:rFonts w:eastAsia="Times New Roman" w:cs="Arial"/>
          <w:sz w:val="20"/>
          <w:szCs w:val="18"/>
          <w:lang w:val="es-ES" w:eastAsia="es-ES"/>
        </w:rPr>
      </w:pPr>
      <w:r w:rsidRPr="00364B1B">
        <w:rPr>
          <w:rFonts w:eastAsia="Times New Roman" w:cs="Arial"/>
          <w:sz w:val="20"/>
          <w:szCs w:val="18"/>
          <w:lang w:val="es-ES" w:eastAsia="es-ES"/>
        </w:rPr>
        <w:t>La figura del llamamiento en garantía</w:t>
      </w:r>
      <w:r>
        <w:rPr>
          <w:rFonts w:eastAsia="Times New Roman" w:cs="Arial"/>
          <w:sz w:val="20"/>
          <w:szCs w:val="18"/>
          <w:lang w:val="es-ES" w:eastAsia="es-ES"/>
        </w:rPr>
        <w:t>…</w:t>
      </w:r>
      <w:r w:rsidRPr="00364B1B">
        <w:rPr>
          <w:rFonts w:eastAsia="Times New Roman" w:cs="Arial"/>
          <w:sz w:val="20"/>
          <w:szCs w:val="18"/>
          <w:lang w:val="es-ES" w:eastAsia="es-ES"/>
        </w:rPr>
        <w:t xml:space="preserve">, tal como se encuentra prevista en el artículo 64 de </w:t>
      </w:r>
      <w:proofErr w:type="spellStart"/>
      <w:r w:rsidRPr="00364B1B">
        <w:rPr>
          <w:rFonts w:eastAsia="Times New Roman" w:cs="Arial"/>
          <w:sz w:val="20"/>
          <w:szCs w:val="18"/>
          <w:lang w:val="es-ES" w:eastAsia="es-ES"/>
        </w:rPr>
        <w:t>CGP</w:t>
      </w:r>
      <w:proofErr w:type="spellEnd"/>
      <w:r>
        <w:rPr>
          <w:rFonts w:eastAsia="Times New Roman" w:cs="Arial"/>
          <w:sz w:val="20"/>
          <w:szCs w:val="18"/>
          <w:lang w:val="es-ES" w:eastAsia="es-ES"/>
        </w:rPr>
        <w:t>…</w:t>
      </w:r>
      <w:r w:rsidRPr="00364B1B">
        <w:rPr>
          <w:rFonts w:eastAsia="Times New Roman" w:cs="Arial"/>
          <w:sz w:val="20"/>
          <w:szCs w:val="18"/>
          <w:lang w:val="es-ES" w:eastAsia="es-ES"/>
        </w:rPr>
        <w:t>, permite que quien es una de las partes en el proceso pueda lograr la incorporación al debate de un tercero, para que este, en virtud de un vínculo legal o contractual, asuma, total o parcialmente, los efectos patrimoniales de la decisión que le resultare adversa, reembolsándole el valor de la condena, de acuerdo con lo convenido.</w:t>
      </w:r>
      <w:r>
        <w:rPr>
          <w:rFonts w:eastAsia="Times New Roman" w:cs="Arial"/>
          <w:sz w:val="20"/>
          <w:szCs w:val="18"/>
          <w:lang w:val="es-ES" w:eastAsia="es-ES"/>
        </w:rPr>
        <w:t xml:space="preserve"> </w:t>
      </w:r>
      <w:r w:rsidRPr="00364B1B">
        <w:rPr>
          <w:rFonts w:eastAsia="Times New Roman" w:cs="Arial"/>
          <w:sz w:val="20"/>
          <w:szCs w:val="18"/>
          <w:lang w:val="es-ES" w:eastAsia="es-ES"/>
        </w:rPr>
        <w:t xml:space="preserve">Al respecto de esta forma de intervención en el proceso, en la providencia </w:t>
      </w:r>
      <w:proofErr w:type="spellStart"/>
      <w:r w:rsidRPr="00364B1B">
        <w:rPr>
          <w:rFonts w:eastAsia="Times New Roman" w:cs="Arial"/>
          <w:sz w:val="20"/>
          <w:szCs w:val="18"/>
          <w:lang w:val="es-ES" w:eastAsia="es-ES"/>
        </w:rPr>
        <w:t>SL3748</w:t>
      </w:r>
      <w:proofErr w:type="spellEnd"/>
      <w:r w:rsidRPr="00364B1B">
        <w:rPr>
          <w:rFonts w:eastAsia="Times New Roman" w:cs="Arial"/>
          <w:sz w:val="20"/>
          <w:szCs w:val="18"/>
          <w:lang w:val="es-ES" w:eastAsia="es-ES"/>
        </w:rPr>
        <w:t xml:space="preserve"> de 2022, la Sala de Casación Laboral de la Corte Suprema de Justicia recordó</w:t>
      </w:r>
      <w:r>
        <w:rPr>
          <w:rFonts w:eastAsia="Times New Roman" w:cs="Arial"/>
          <w:sz w:val="20"/>
          <w:szCs w:val="18"/>
          <w:lang w:val="es-ES" w:eastAsia="es-ES"/>
        </w:rPr>
        <w:t>…</w:t>
      </w:r>
      <w:r w:rsidRPr="00364B1B">
        <w:rPr>
          <w:rFonts w:eastAsia="Times New Roman" w:cs="Arial"/>
          <w:sz w:val="20"/>
          <w:szCs w:val="18"/>
          <w:lang w:val="es-ES" w:eastAsia="es-ES"/>
        </w:rPr>
        <w:t xml:space="preserve"> que</w:t>
      </w:r>
      <w:r>
        <w:rPr>
          <w:rFonts w:eastAsia="Times New Roman" w:cs="Arial"/>
          <w:sz w:val="20"/>
          <w:szCs w:val="18"/>
          <w:lang w:val="es-ES" w:eastAsia="es-ES"/>
        </w:rPr>
        <w:t>…</w:t>
      </w:r>
      <w:r w:rsidRPr="00364B1B">
        <w:rPr>
          <w:rFonts w:eastAsia="Times New Roman" w:cs="Arial"/>
          <w:sz w:val="20"/>
          <w:szCs w:val="18"/>
          <w:lang w:val="es-ES" w:eastAsia="es-ES"/>
        </w:rPr>
        <w:t xml:space="preserve"> con el llamamiento en garantía se suscita una acumulación de causas litigiosas, siendo una principal (demandante-demandado) y otra colateral (demandado -llamamiento en garantía), sin que la relación material del llamamiento se expanda a ningún otro sujeto procesal ni siquiera a la parte actora o que pueda suplirse con una vinculación oficiosa por parte del juez</w:t>
      </w:r>
      <w:r>
        <w:rPr>
          <w:rFonts w:eastAsia="Times New Roman" w:cs="Arial"/>
          <w:sz w:val="20"/>
          <w:szCs w:val="18"/>
          <w:lang w:val="es-ES" w:eastAsia="es-ES"/>
        </w:rPr>
        <w:t>…</w:t>
      </w:r>
    </w:p>
    <w:p w14:paraId="0EDCEAED" w14:textId="77777777" w:rsidR="000F4CE8" w:rsidRPr="000F4CE8" w:rsidRDefault="000F4CE8" w:rsidP="000F4CE8">
      <w:pPr>
        <w:widowControl w:val="0"/>
        <w:autoSpaceDE w:val="0"/>
        <w:autoSpaceDN w:val="0"/>
        <w:adjustRightInd w:val="0"/>
        <w:spacing w:line="240" w:lineRule="auto"/>
        <w:rPr>
          <w:rFonts w:eastAsia="Times New Roman" w:cs="Arial"/>
          <w:sz w:val="20"/>
          <w:szCs w:val="18"/>
          <w:lang w:val="es-ES" w:eastAsia="es-ES"/>
        </w:rPr>
      </w:pPr>
    </w:p>
    <w:p w14:paraId="07073DB4" w14:textId="327C9FFB" w:rsidR="00364B1B" w:rsidRPr="00364B1B" w:rsidRDefault="00C13196" w:rsidP="00364B1B">
      <w:pPr>
        <w:widowControl w:val="0"/>
        <w:autoSpaceDE w:val="0"/>
        <w:autoSpaceDN w:val="0"/>
        <w:adjustRightInd w:val="0"/>
        <w:spacing w:line="240" w:lineRule="auto"/>
        <w:rPr>
          <w:rFonts w:eastAsia="Times New Roman" w:cs="Arial"/>
          <w:b/>
          <w:sz w:val="20"/>
          <w:szCs w:val="18"/>
          <w:lang w:val="es-ES" w:eastAsia="es-ES"/>
        </w:rPr>
      </w:pPr>
      <w:r>
        <w:rPr>
          <w:rFonts w:eastAsia="Times New Roman" w:cs="Arial"/>
          <w:b/>
          <w:sz w:val="20"/>
          <w:szCs w:val="18"/>
          <w:lang w:val="es-ES" w:eastAsia="es-ES"/>
        </w:rPr>
        <w:t xml:space="preserve">LLAMAMIENTO EN GARANTÍA / TRÁMITE / TÉRMINO PARA LA </w:t>
      </w:r>
      <w:r>
        <w:rPr>
          <w:rFonts w:eastAsia="Times New Roman" w:cs="Arial"/>
          <w:b/>
          <w:sz w:val="20"/>
          <w:szCs w:val="18"/>
          <w:lang w:val="es-ES" w:eastAsia="es-ES"/>
        </w:rPr>
        <w:t xml:space="preserve">NOTIFICACIÓN </w:t>
      </w:r>
      <w:r>
        <w:rPr>
          <w:rFonts w:eastAsia="Times New Roman" w:cs="Arial"/>
          <w:b/>
          <w:sz w:val="20"/>
          <w:szCs w:val="18"/>
          <w:lang w:val="es-ES" w:eastAsia="es-ES"/>
        </w:rPr>
        <w:t>/ INEFICACIA</w:t>
      </w:r>
    </w:p>
    <w:p w14:paraId="4C2D2FE8" w14:textId="67DE9183" w:rsidR="000F4CE8" w:rsidRPr="00C13196" w:rsidRDefault="00C13196" w:rsidP="00C13196">
      <w:pPr>
        <w:widowControl w:val="0"/>
        <w:autoSpaceDE w:val="0"/>
        <w:autoSpaceDN w:val="0"/>
        <w:adjustRightInd w:val="0"/>
        <w:spacing w:line="240" w:lineRule="auto"/>
        <w:rPr>
          <w:rFonts w:eastAsia="Times New Roman" w:cs="Arial"/>
          <w:sz w:val="20"/>
          <w:szCs w:val="18"/>
          <w:lang w:val="es-ES" w:eastAsia="es-ES"/>
        </w:rPr>
      </w:pPr>
      <w:r>
        <w:rPr>
          <w:rFonts w:eastAsia="Times New Roman" w:cs="Arial"/>
          <w:sz w:val="20"/>
          <w:szCs w:val="18"/>
          <w:lang w:val="es-ES" w:eastAsia="es-ES"/>
        </w:rPr>
        <w:t xml:space="preserve">… </w:t>
      </w:r>
      <w:r w:rsidRPr="00C13196">
        <w:rPr>
          <w:rFonts w:eastAsia="Times New Roman" w:cs="Arial"/>
          <w:sz w:val="20"/>
          <w:szCs w:val="18"/>
          <w:lang w:val="es-ES" w:eastAsia="es-ES"/>
        </w:rPr>
        <w:t xml:space="preserve">en cuanto al trámite del llamamiento en garantía, el artículo 66 del </w:t>
      </w:r>
      <w:proofErr w:type="spellStart"/>
      <w:r w:rsidRPr="00C13196">
        <w:rPr>
          <w:rFonts w:eastAsia="Times New Roman" w:cs="Arial"/>
          <w:sz w:val="20"/>
          <w:szCs w:val="18"/>
          <w:lang w:val="es-ES" w:eastAsia="es-ES"/>
        </w:rPr>
        <w:t>C.G.P</w:t>
      </w:r>
      <w:proofErr w:type="spellEnd"/>
      <w:r w:rsidRPr="00C13196">
        <w:rPr>
          <w:rFonts w:eastAsia="Times New Roman" w:cs="Arial"/>
          <w:sz w:val="20"/>
          <w:szCs w:val="18"/>
          <w:lang w:val="es-ES" w:eastAsia="es-ES"/>
        </w:rPr>
        <w:t>. dispone que: “Si el juez halla procedente el llamamiento, ordenará notificar personalmente al convocado y correrle traslado del escrito por el término de la demanda inicial. Si la notificación no se logra dentro de los seis (6) meses siguientes, el llamamiento será ineficaz”, norma que ha sido interpretada por la Corte Constitucional en l</w:t>
      </w:r>
      <w:r>
        <w:rPr>
          <w:rFonts w:eastAsia="Times New Roman" w:cs="Arial"/>
          <w:sz w:val="20"/>
          <w:szCs w:val="18"/>
          <w:lang w:val="es-ES" w:eastAsia="es-ES"/>
        </w:rPr>
        <w:t xml:space="preserve">a sentencia T-309 de 2022, así: </w:t>
      </w:r>
      <w:r w:rsidRPr="00C13196">
        <w:rPr>
          <w:rFonts w:eastAsia="Times New Roman" w:cs="Arial"/>
          <w:sz w:val="20"/>
          <w:szCs w:val="18"/>
          <w:lang w:val="es-ES" w:eastAsia="es-ES"/>
        </w:rPr>
        <w:t>“La norma destacada establece una consecuencia jurídica cuando la notificación personal del auto que admite el llamamiento en garantía no se realiza en la oportunidad allí prevista. Esta consecuencia se concreta en su ineficacia</w:t>
      </w:r>
      <w:r>
        <w:rPr>
          <w:rFonts w:eastAsia="Times New Roman" w:cs="Arial"/>
          <w:sz w:val="20"/>
          <w:szCs w:val="18"/>
          <w:lang w:val="es-ES" w:eastAsia="es-ES"/>
        </w:rPr>
        <w:t>…”</w:t>
      </w:r>
      <w:r w:rsidRPr="00C13196">
        <w:rPr>
          <w:rFonts w:eastAsia="Times New Roman" w:cs="Arial"/>
          <w:sz w:val="20"/>
          <w:szCs w:val="18"/>
          <w:lang w:val="es-ES" w:eastAsia="es-ES"/>
        </w:rPr>
        <w:t>.</w:t>
      </w:r>
    </w:p>
    <w:p w14:paraId="7C93BEC1" w14:textId="77777777" w:rsidR="000F4CE8" w:rsidRPr="000F4CE8" w:rsidRDefault="000F4CE8" w:rsidP="000F4CE8">
      <w:pPr>
        <w:widowControl w:val="0"/>
        <w:autoSpaceDE w:val="0"/>
        <w:autoSpaceDN w:val="0"/>
        <w:adjustRightInd w:val="0"/>
        <w:spacing w:line="240" w:lineRule="auto"/>
        <w:rPr>
          <w:rFonts w:eastAsia="Times New Roman" w:cs="Arial"/>
          <w:sz w:val="20"/>
          <w:szCs w:val="18"/>
          <w:lang w:val="es-ES" w:eastAsia="es-ES"/>
        </w:rPr>
      </w:pPr>
    </w:p>
    <w:p w14:paraId="62EF43C0" w14:textId="3099B434" w:rsidR="000F4CE8" w:rsidRDefault="000F4CE8" w:rsidP="000F4CE8">
      <w:pPr>
        <w:widowControl w:val="0"/>
        <w:autoSpaceDE w:val="0"/>
        <w:autoSpaceDN w:val="0"/>
        <w:adjustRightInd w:val="0"/>
        <w:spacing w:line="240" w:lineRule="auto"/>
        <w:rPr>
          <w:rFonts w:eastAsia="Times New Roman" w:cs="Arial"/>
          <w:sz w:val="20"/>
          <w:szCs w:val="18"/>
          <w:lang w:val="es-ES" w:eastAsia="es-ES"/>
        </w:rPr>
      </w:pPr>
    </w:p>
    <w:p w14:paraId="13A2F8B3" w14:textId="77777777" w:rsidR="00F25306" w:rsidRPr="000F4CE8" w:rsidRDefault="00F25306" w:rsidP="000F4CE8">
      <w:pPr>
        <w:widowControl w:val="0"/>
        <w:autoSpaceDE w:val="0"/>
        <w:autoSpaceDN w:val="0"/>
        <w:adjustRightInd w:val="0"/>
        <w:spacing w:line="240" w:lineRule="auto"/>
        <w:rPr>
          <w:rFonts w:eastAsia="Times New Roman" w:cs="Arial"/>
          <w:sz w:val="20"/>
          <w:szCs w:val="18"/>
          <w:lang w:val="es-ES" w:eastAsia="es-ES"/>
        </w:rPr>
      </w:pPr>
    </w:p>
    <w:p w14:paraId="632421CC" w14:textId="0F33CCE9" w:rsidR="000F4CE8" w:rsidRPr="000F4CE8" w:rsidRDefault="000F4CE8" w:rsidP="000F4CE8">
      <w:pPr>
        <w:widowControl w:val="0"/>
        <w:autoSpaceDE w:val="0"/>
        <w:autoSpaceDN w:val="0"/>
        <w:adjustRightInd w:val="0"/>
        <w:spacing w:line="240" w:lineRule="auto"/>
        <w:rPr>
          <w:rFonts w:eastAsia="Times New Roman" w:cs="Arial"/>
          <w:sz w:val="20"/>
          <w:szCs w:val="18"/>
          <w:lang w:val="es-ES" w:eastAsia="es-ES"/>
        </w:rPr>
      </w:pPr>
      <w:bookmarkStart w:id="0" w:name="_Hlk99113374"/>
      <w:r w:rsidRPr="000F4CE8">
        <w:rPr>
          <w:rFonts w:eastAsia="Times New Roman" w:cs="Arial"/>
          <w:sz w:val="20"/>
          <w:szCs w:val="18"/>
          <w:lang w:val="es-ES" w:eastAsia="es-ES"/>
        </w:rPr>
        <w:t>Radicado:</w:t>
      </w:r>
      <w:r>
        <w:rPr>
          <w:rFonts w:eastAsia="Times New Roman" w:cs="Arial"/>
          <w:sz w:val="20"/>
          <w:szCs w:val="18"/>
          <w:lang w:val="es-ES" w:eastAsia="es-ES"/>
        </w:rPr>
        <w:tab/>
      </w:r>
      <w:r w:rsidRPr="000F4CE8">
        <w:rPr>
          <w:rFonts w:eastAsia="Times New Roman" w:cs="Arial"/>
          <w:sz w:val="20"/>
          <w:szCs w:val="18"/>
          <w:lang w:val="es-ES" w:eastAsia="es-ES"/>
        </w:rPr>
        <w:tab/>
      </w:r>
      <w:bookmarkStart w:id="1" w:name="_GoBack"/>
      <w:r w:rsidRPr="000F4CE8">
        <w:rPr>
          <w:rFonts w:eastAsia="Times New Roman" w:cs="Arial"/>
          <w:sz w:val="20"/>
          <w:szCs w:val="18"/>
          <w:lang w:val="es-ES" w:eastAsia="es-ES"/>
        </w:rPr>
        <w:t>66001310500520210009401</w:t>
      </w:r>
    </w:p>
    <w:bookmarkEnd w:id="1"/>
    <w:p w14:paraId="7C318BDD" w14:textId="539417F1" w:rsidR="000F4CE8" w:rsidRPr="000F4CE8" w:rsidRDefault="000F4CE8" w:rsidP="000F4CE8">
      <w:pPr>
        <w:widowControl w:val="0"/>
        <w:autoSpaceDE w:val="0"/>
        <w:autoSpaceDN w:val="0"/>
        <w:adjustRightInd w:val="0"/>
        <w:spacing w:line="240" w:lineRule="auto"/>
        <w:rPr>
          <w:rFonts w:eastAsia="Times New Roman" w:cs="Arial"/>
          <w:sz w:val="20"/>
          <w:szCs w:val="18"/>
          <w:lang w:val="es-ES" w:eastAsia="es-ES"/>
        </w:rPr>
      </w:pPr>
      <w:r w:rsidRPr="000F4CE8">
        <w:rPr>
          <w:rFonts w:eastAsia="Times New Roman" w:cs="Arial"/>
          <w:sz w:val="20"/>
          <w:szCs w:val="18"/>
          <w:lang w:val="es-ES" w:eastAsia="es-ES"/>
        </w:rPr>
        <w:t>Proceso:</w:t>
      </w:r>
      <w:r>
        <w:rPr>
          <w:rFonts w:eastAsia="Times New Roman" w:cs="Arial"/>
          <w:sz w:val="20"/>
          <w:szCs w:val="18"/>
          <w:lang w:val="es-ES" w:eastAsia="es-ES"/>
        </w:rPr>
        <w:tab/>
      </w:r>
      <w:r w:rsidRPr="000F4CE8">
        <w:rPr>
          <w:rFonts w:eastAsia="Times New Roman" w:cs="Arial"/>
          <w:sz w:val="20"/>
          <w:szCs w:val="18"/>
          <w:lang w:val="es-ES" w:eastAsia="es-ES"/>
        </w:rPr>
        <w:tab/>
        <w:t>Ordinario Laboral</w:t>
      </w:r>
    </w:p>
    <w:p w14:paraId="13CF87B0" w14:textId="0F5539B9" w:rsidR="000F4CE8" w:rsidRPr="000F4CE8" w:rsidRDefault="000F4CE8" w:rsidP="000F4CE8">
      <w:pPr>
        <w:widowControl w:val="0"/>
        <w:autoSpaceDE w:val="0"/>
        <w:autoSpaceDN w:val="0"/>
        <w:adjustRightInd w:val="0"/>
        <w:spacing w:line="240" w:lineRule="auto"/>
        <w:rPr>
          <w:rFonts w:eastAsia="Times New Roman" w:cs="Arial"/>
          <w:sz w:val="20"/>
          <w:szCs w:val="18"/>
          <w:lang w:val="es-ES" w:eastAsia="es-ES"/>
        </w:rPr>
      </w:pPr>
      <w:r w:rsidRPr="000F4CE8">
        <w:rPr>
          <w:rFonts w:eastAsia="Times New Roman" w:cs="Arial"/>
          <w:sz w:val="20"/>
          <w:szCs w:val="18"/>
          <w:lang w:val="es-ES" w:eastAsia="es-ES"/>
        </w:rPr>
        <w:t>Demandante:</w:t>
      </w:r>
      <w:r>
        <w:rPr>
          <w:rFonts w:eastAsia="Times New Roman" w:cs="Arial"/>
          <w:sz w:val="20"/>
          <w:szCs w:val="18"/>
          <w:lang w:val="es-ES" w:eastAsia="es-ES"/>
        </w:rPr>
        <w:tab/>
      </w:r>
      <w:r>
        <w:rPr>
          <w:rFonts w:eastAsia="Times New Roman" w:cs="Arial"/>
          <w:sz w:val="20"/>
          <w:szCs w:val="18"/>
          <w:lang w:val="es-ES" w:eastAsia="es-ES"/>
        </w:rPr>
        <w:tab/>
      </w:r>
      <w:r w:rsidRPr="000F4CE8">
        <w:rPr>
          <w:rFonts w:eastAsia="Times New Roman" w:cs="Arial"/>
          <w:sz w:val="20"/>
          <w:szCs w:val="18"/>
          <w:lang w:val="es-ES" w:eastAsia="es-ES"/>
        </w:rPr>
        <w:t>Oscar Arango Quintero y otro</w:t>
      </w:r>
    </w:p>
    <w:p w14:paraId="1B951BB8" w14:textId="3B38C86F" w:rsidR="000F4CE8" w:rsidRPr="000F4CE8" w:rsidRDefault="000F4CE8" w:rsidP="000F4CE8">
      <w:pPr>
        <w:widowControl w:val="0"/>
        <w:autoSpaceDE w:val="0"/>
        <w:autoSpaceDN w:val="0"/>
        <w:adjustRightInd w:val="0"/>
        <w:spacing w:line="240" w:lineRule="auto"/>
        <w:rPr>
          <w:rFonts w:eastAsia="Times New Roman" w:cs="Arial"/>
          <w:sz w:val="20"/>
          <w:szCs w:val="18"/>
          <w:lang w:val="es-ES" w:eastAsia="es-ES"/>
        </w:rPr>
      </w:pPr>
      <w:r w:rsidRPr="000F4CE8">
        <w:rPr>
          <w:rFonts w:eastAsia="Times New Roman" w:cs="Arial"/>
          <w:sz w:val="20"/>
          <w:szCs w:val="18"/>
          <w:lang w:val="es-ES" w:eastAsia="es-ES"/>
        </w:rPr>
        <w:t>Demandado:</w:t>
      </w:r>
      <w:r>
        <w:rPr>
          <w:rFonts w:eastAsia="Times New Roman" w:cs="Arial"/>
          <w:sz w:val="20"/>
          <w:szCs w:val="18"/>
          <w:lang w:val="es-ES" w:eastAsia="es-ES"/>
        </w:rPr>
        <w:tab/>
      </w:r>
      <w:r w:rsidRPr="000F4CE8">
        <w:rPr>
          <w:rFonts w:eastAsia="Times New Roman" w:cs="Arial"/>
          <w:sz w:val="20"/>
          <w:szCs w:val="18"/>
          <w:lang w:val="es-ES" w:eastAsia="es-ES"/>
        </w:rPr>
        <w:tab/>
        <w:t>Porvenir S.A.</w:t>
      </w:r>
    </w:p>
    <w:p w14:paraId="20ACA752" w14:textId="6C6008A6" w:rsidR="000F4CE8" w:rsidRPr="000F4CE8" w:rsidRDefault="000F4CE8" w:rsidP="000F4CE8">
      <w:pPr>
        <w:widowControl w:val="0"/>
        <w:autoSpaceDE w:val="0"/>
        <w:autoSpaceDN w:val="0"/>
        <w:adjustRightInd w:val="0"/>
        <w:spacing w:line="240" w:lineRule="auto"/>
        <w:rPr>
          <w:rFonts w:eastAsia="Times New Roman" w:cs="Arial"/>
          <w:sz w:val="20"/>
          <w:szCs w:val="18"/>
          <w:lang w:val="es-ES" w:eastAsia="es-ES"/>
        </w:rPr>
      </w:pPr>
      <w:r w:rsidRPr="000F4CE8">
        <w:rPr>
          <w:rFonts w:eastAsia="Times New Roman" w:cs="Arial"/>
          <w:sz w:val="20"/>
          <w:szCs w:val="18"/>
          <w:lang w:val="es-ES" w:eastAsia="es-ES"/>
        </w:rPr>
        <w:t>Juzgado</w:t>
      </w:r>
      <w:r>
        <w:rPr>
          <w:rFonts w:eastAsia="Times New Roman" w:cs="Arial"/>
          <w:sz w:val="20"/>
          <w:szCs w:val="18"/>
          <w:lang w:val="es-ES" w:eastAsia="es-ES"/>
        </w:rPr>
        <w:t xml:space="preserve"> de origen</w:t>
      </w:r>
      <w:r w:rsidRPr="000F4CE8">
        <w:rPr>
          <w:rFonts w:eastAsia="Times New Roman" w:cs="Arial"/>
          <w:sz w:val="20"/>
          <w:szCs w:val="18"/>
          <w:lang w:val="es-ES" w:eastAsia="es-ES"/>
        </w:rPr>
        <w:t>:</w:t>
      </w:r>
      <w:r w:rsidRPr="000F4CE8">
        <w:rPr>
          <w:rFonts w:eastAsia="Times New Roman" w:cs="Arial"/>
          <w:sz w:val="20"/>
          <w:szCs w:val="18"/>
          <w:lang w:val="es-ES" w:eastAsia="es-ES"/>
        </w:rPr>
        <w:tab/>
        <w:t>Quinto Laboral del Circuito de Pereira</w:t>
      </w:r>
    </w:p>
    <w:bookmarkEnd w:id="0"/>
    <w:p w14:paraId="1A9BAD83" w14:textId="77777777" w:rsidR="000F4CE8" w:rsidRPr="000F4CE8" w:rsidRDefault="000F4CE8" w:rsidP="000F4CE8">
      <w:pPr>
        <w:widowControl w:val="0"/>
        <w:autoSpaceDE w:val="0"/>
        <w:autoSpaceDN w:val="0"/>
        <w:adjustRightInd w:val="0"/>
        <w:spacing w:line="240" w:lineRule="auto"/>
        <w:rPr>
          <w:rFonts w:eastAsia="Times New Roman" w:cs="Arial"/>
          <w:bCs/>
          <w:sz w:val="20"/>
          <w:szCs w:val="18"/>
          <w:lang w:val="es-ES" w:eastAsia="es-ES"/>
        </w:rPr>
      </w:pPr>
    </w:p>
    <w:p w14:paraId="615C4152" w14:textId="77777777" w:rsidR="000F4CE8" w:rsidRPr="000F4CE8" w:rsidRDefault="000F4CE8" w:rsidP="000F4CE8">
      <w:pPr>
        <w:widowControl w:val="0"/>
        <w:autoSpaceDE w:val="0"/>
        <w:autoSpaceDN w:val="0"/>
        <w:adjustRightInd w:val="0"/>
        <w:spacing w:line="240" w:lineRule="auto"/>
        <w:rPr>
          <w:rFonts w:eastAsia="Times New Roman" w:cs="Arial"/>
          <w:bCs/>
          <w:sz w:val="20"/>
          <w:szCs w:val="18"/>
          <w:lang w:val="es-ES" w:eastAsia="es-ES"/>
        </w:rPr>
      </w:pPr>
    </w:p>
    <w:p w14:paraId="2B42D29D" w14:textId="77777777" w:rsidR="000F4CE8" w:rsidRPr="000F4CE8" w:rsidRDefault="000F4CE8" w:rsidP="000F4CE8">
      <w:pPr>
        <w:widowControl w:val="0"/>
        <w:autoSpaceDE w:val="0"/>
        <w:autoSpaceDN w:val="0"/>
        <w:adjustRightInd w:val="0"/>
        <w:spacing w:line="240" w:lineRule="auto"/>
        <w:rPr>
          <w:rFonts w:eastAsia="Times New Roman" w:cs="Arial"/>
          <w:bCs/>
          <w:sz w:val="20"/>
          <w:szCs w:val="18"/>
          <w:lang w:val="es-ES" w:eastAsia="es-ES"/>
        </w:rPr>
      </w:pPr>
    </w:p>
    <w:p w14:paraId="3D96931F" w14:textId="77777777" w:rsidR="000F4CE8" w:rsidRPr="000F4CE8" w:rsidRDefault="000F4CE8" w:rsidP="000F4CE8">
      <w:pPr>
        <w:spacing w:line="276" w:lineRule="auto"/>
        <w:jc w:val="center"/>
        <w:rPr>
          <w:rFonts w:ascii="Tahoma" w:eastAsia="Calibri" w:hAnsi="Tahoma" w:cs="Tahoma"/>
          <w:b/>
          <w:bCs/>
        </w:rPr>
      </w:pPr>
      <w:r w:rsidRPr="000F4CE8">
        <w:rPr>
          <w:rFonts w:ascii="Tahoma" w:eastAsia="Calibri" w:hAnsi="Tahoma" w:cs="Tahoma"/>
          <w:b/>
          <w:bCs/>
        </w:rPr>
        <w:t>TRIBUNAL SUPERIOR DEL DISTRITO JUDICIAL DE PEREIRA</w:t>
      </w:r>
    </w:p>
    <w:p w14:paraId="5496EE0B" w14:textId="77777777" w:rsidR="000F4CE8" w:rsidRPr="000F4CE8" w:rsidRDefault="000F4CE8" w:rsidP="000F4CE8">
      <w:pPr>
        <w:spacing w:line="276" w:lineRule="auto"/>
        <w:jc w:val="center"/>
        <w:rPr>
          <w:rFonts w:ascii="Tahoma" w:eastAsia="Calibri" w:hAnsi="Tahoma" w:cs="Tahoma"/>
          <w:b/>
          <w:bCs/>
        </w:rPr>
      </w:pPr>
      <w:r w:rsidRPr="000F4CE8">
        <w:rPr>
          <w:rFonts w:ascii="Tahoma" w:eastAsia="Calibri" w:hAnsi="Tahoma" w:cs="Tahoma"/>
          <w:b/>
          <w:bCs/>
        </w:rPr>
        <w:t>SALA DE DECISIÓN LABORAL No. 1</w:t>
      </w:r>
    </w:p>
    <w:p w14:paraId="3D36F769" w14:textId="77777777" w:rsidR="000F4CE8" w:rsidRPr="000F4CE8" w:rsidRDefault="000F4CE8" w:rsidP="000F4CE8">
      <w:pPr>
        <w:spacing w:line="276" w:lineRule="auto"/>
        <w:jc w:val="left"/>
        <w:rPr>
          <w:rFonts w:ascii="Tahoma" w:eastAsia="Times New Roman" w:hAnsi="Tahoma" w:cs="Tahoma"/>
        </w:rPr>
      </w:pPr>
    </w:p>
    <w:p w14:paraId="00BE41B4" w14:textId="77777777" w:rsidR="000F4CE8" w:rsidRPr="000F4CE8" w:rsidRDefault="000F4CE8" w:rsidP="000F4CE8">
      <w:pPr>
        <w:spacing w:line="276" w:lineRule="auto"/>
        <w:jc w:val="center"/>
        <w:textAlignment w:val="baseline"/>
        <w:rPr>
          <w:rFonts w:ascii="Tahoma" w:eastAsia="Times New Roman" w:hAnsi="Tahoma" w:cs="Tahoma"/>
          <w:lang w:eastAsia="es-CO"/>
        </w:rPr>
      </w:pPr>
      <w:r w:rsidRPr="000F4CE8">
        <w:rPr>
          <w:rFonts w:ascii="Tahoma" w:eastAsia="Times New Roman" w:hAnsi="Tahoma" w:cs="Tahoma"/>
          <w:lang w:eastAsia="es-CO"/>
        </w:rPr>
        <w:t>Magistrada Ponente: </w:t>
      </w:r>
      <w:r w:rsidRPr="000F4CE8">
        <w:rPr>
          <w:rFonts w:ascii="Tahoma" w:eastAsia="Times New Roman" w:hAnsi="Tahoma" w:cs="Tahoma"/>
          <w:b/>
          <w:bCs/>
          <w:lang w:eastAsia="es-CO"/>
        </w:rPr>
        <w:t>Ana Lucía Caicedo Calderón</w:t>
      </w:r>
      <w:r w:rsidRPr="000F4CE8">
        <w:rPr>
          <w:rFonts w:ascii="Tahoma" w:eastAsia="Times New Roman" w:hAnsi="Tahoma" w:cs="Tahoma"/>
          <w:lang w:eastAsia="es-CO"/>
        </w:rPr>
        <w:t> </w:t>
      </w:r>
    </w:p>
    <w:p w14:paraId="1DEB3F9B" w14:textId="77777777" w:rsidR="000F4CE8" w:rsidRPr="000F4CE8" w:rsidRDefault="000F4CE8" w:rsidP="00E443C6">
      <w:pPr>
        <w:spacing w:line="276" w:lineRule="auto"/>
        <w:jc w:val="left"/>
        <w:rPr>
          <w:rFonts w:ascii="Tahoma" w:eastAsia="Times New Roman" w:hAnsi="Tahoma" w:cs="Tahoma"/>
          <w:lang w:eastAsia="es-CO"/>
        </w:rPr>
      </w:pPr>
    </w:p>
    <w:p w14:paraId="64F3CD0A" w14:textId="77777777" w:rsidR="000F4CE8" w:rsidRPr="000F4CE8" w:rsidRDefault="000F4CE8" w:rsidP="00E443C6">
      <w:pPr>
        <w:spacing w:line="276" w:lineRule="auto"/>
        <w:jc w:val="left"/>
        <w:rPr>
          <w:rFonts w:ascii="Tahoma" w:eastAsia="Times New Roman" w:hAnsi="Tahoma" w:cs="Tahoma"/>
          <w:lang w:eastAsia="es-CO"/>
        </w:rPr>
      </w:pPr>
    </w:p>
    <w:p w14:paraId="652877BA" w14:textId="01CE53BD" w:rsidR="009B563C" w:rsidRPr="00E443C6" w:rsidRDefault="46BBF515" w:rsidP="00E443C6">
      <w:pPr>
        <w:spacing w:line="276" w:lineRule="auto"/>
        <w:jc w:val="center"/>
        <w:rPr>
          <w:rFonts w:ascii="Tahoma" w:eastAsia="Tahoma" w:hAnsi="Tahoma" w:cs="Tahoma"/>
          <w:color w:val="000000" w:themeColor="text1"/>
        </w:rPr>
      </w:pPr>
      <w:r w:rsidRPr="00E443C6">
        <w:rPr>
          <w:rStyle w:val="normaltextrun"/>
          <w:rFonts w:ascii="Tahoma" w:eastAsia="Tahoma" w:hAnsi="Tahoma" w:cs="Tahoma"/>
          <w:color w:val="000000" w:themeColor="text1"/>
        </w:rPr>
        <w:t>Pereira, Risaralda, diecisiete (17) de noviembre de dos mil veintitrés (2023)  </w:t>
      </w:r>
    </w:p>
    <w:p w14:paraId="32C8E97B" w14:textId="56E78ED9" w:rsidR="009B563C" w:rsidRPr="00E443C6" w:rsidRDefault="46BBF515" w:rsidP="00E443C6">
      <w:pPr>
        <w:spacing w:line="276" w:lineRule="auto"/>
        <w:ind w:firstLine="705"/>
        <w:jc w:val="center"/>
        <w:rPr>
          <w:rFonts w:ascii="Tahoma" w:eastAsia="Tahoma" w:hAnsi="Tahoma" w:cs="Tahoma"/>
          <w:color w:val="000000" w:themeColor="text1"/>
        </w:rPr>
      </w:pPr>
      <w:r w:rsidRPr="00E443C6">
        <w:rPr>
          <w:rStyle w:val="normaltextrun"/>
          <w:rFonts w:ascii="Tahoma" w:eastAsia="Tahoma" w:hAnsi="Tahoma" w:cs="Tahoma"/>
          <w:color w:val="000000" w:themeColor="text1"/>
        </w:rPr>
        <w:t> Acta No. 185 del 16 de noviembre de 2023 </w:t>
      </w:r>
    </w:p>
    <w:p w14:paraId="02D3A1B8" w14:textId="1D8A0505" w:rsidR="009B563C" w:rsidRPr="00E443C6" w:rsidRDefault="009B563C" w:rsidP="00E443C6">
      <w:pPr>
        <w:pStyle w:val="Sinespaciado"/>
        <w:spacing w:line="276" w:lineRule="auto"/>
        <w:rPr>
          <w:rFonts w:ascii="Tahoma" w:hAnsi="Tahoma" w:cs="Tahoma"/>
        </w:rPr>
      </w:pPr>
      <w:bookmarkStart w:id="2" w:name="_Hlk128141593"/>
      <w:bookmarkEnd w:id="2"/>
    </w:p>
    <w:p w14:paraId="00AE7C43" w14:textId="046CBF4C" w:rsidR="26C51FCA" w:rsidRPr="00E443C6" w:rsidRDefault="00B652EB" w:rsidP="00E443C6">
      <w:pPr>
        <w:spacing w:line="276" w:lineRule="auto"/>
        <w:ind w:firstLine="708"/>
        <w:rPr>
          <w:rFonts w:ascii="Tahoma" w:hAnsi="Tahoma" w:cs="Tahoma"/>
          <w:lang w:val="es-ES"/>
        </w:rPr>
      </w:pPr>
      <w:r w:rsidRPr="00E443C6">
        <w:rPr>
          <w:rFonts w:ascii="Tahoma" w:hAnsi="Tahoma" w:cs="Tahoma"/>
        </w:rPr>
        <w:t>Teniendo en cuenta que el artículo 14 de Ley 2213 de 2022</w:t>
      </w:r>
      <w:r w:rsidR="009B563C" w:rsidRPr="00E443C6">
        <w:rPr>
          <w:rFonts w:ascii="Tahoma" w:hAnsi="Tahoma" w:cs="Tahoma"/>
          <w:lang w:val="es-ES"/>
        </w:rPr>
        <w:t xml:space="preserve">, estableció que en la especialidad laboral se proferirán por escrito las providencias de segunda instancia en las que se surta el grado jurisdiccional de consulta o se resuelva el recurso de apelación de autos o sentencias, </w:t>
      </w:r>
      <w:r w:rsidR="009B563C" w:rsidRPr="00E443C6">
        <w:rPr>
          <w:rFonts w:ascii="Tahoma" w:hAnsi="Tahoma" w:cs="Tahoma"/>
        </w:rPr>
        <w:t xml:space="preserve">la Sala de Decisión Laboral </w:t>
      </w:r>
      <w:r w:rsidR="008C1F75" w:rsidRPr="00E443C6">
        <w:rPr>
          <w:rFonts w:ascii="Tahoma" w:hAnsi="Tahoma" w:cs="Tahoma"/>
        </w:rPr>
        <w:t xml:space="preserve">No. 1 del Tribunal Superior de Pereira, </w:t>
      </w:r>
      <w:r w:rsidR="009B563C" w:rsidRPr="00E443C6">
        <w:rPr>
          <w:rFonts w:ascii="Tahoma" w:hAnsi="Tahoma" w:cs="Tahoma"/>
        </w:rPr>
        <w:t xml:space="preserve">integrada por las Magistradas ANA LUCÍA CAICEDO CALDERÓN como Ponente, OLGA LUCÍA HOYOS SEPÚLVEDA y el Magistrado </w:t>
      </w:r>
      <w:bookmarkStart w:id="3" w:name="_Hlk61987554"/>
      <w:r w:rsidR="009B563C" w:rsidRPr="00E443C6">
        <w:rPr>
          <w:rFonts w:ascii="Tahoma" w:hAnsi="Tahoma" w:cs="Tahoma"/>
        </w:rPr>
        <w:t xml:space="preserve">GERMÁN </w:t>
      </w:r>
      <w:r w:rsidR="001B27C6" w:rsidRPr="00E443C6">
        <w:rPr>
          <w:rFonts w:ascii="Tahoma" w:hAnsi="Tahoma" w:cs="Tahoma"/>
        </w:rPr>
        <w:t>DARÍO</w:t>
      </w:r>
      <w:r w:rsidR="009B563C" w:rsidRPr="00E443C6">
        <w:rPr>
          <w:rFonts w:ascii="Tahoma" w:hAnsi="Tahoma" w:cs="Tahoma"/>
        </w:rPr>
        <w:t xml:space="preserve"> </w:t>
      </w:r>
      <w:proofErr w:type="spellStart"/>
      <w:r w:rsidR="009B563C" w:rsidRPr="00E443C6">
        <w:rPr>
          <w:rFonts w:ascii="Tahoma" w:hAnsi="Tahoma" w:cs="Tahoma"/>
        </w:rPr>
        <w:t>GOEZ</w:t>
      </w:r>
      <w:proofErr w:type="spellEnd"/>
      <w:r w:rsidR="009B563C" w:rsidRPr="00E443C6">
        <w:rPr>
          <w:rFonts w:ascii="Tahoma" w:hAnsi="Tahoma" w:cs="Tahoma"/>
        </w:rPr>
        <w:t xml:space="preserve"> </w:t>
      </w:r>
      <w:proofErr w:type="spellStart"/>
      <w:r w:rsidR="009B563C" w:rsidRPr="00E443C6">
        <w:rPr>
          <w:rFonts w:ascii="Tahoma" w:hAnsi="Tahoma" w:cs="Tahoma"/>
        </w:rPr>
        <w:t>VINASCO</w:t>
      </w:r>
      <w:bookmarkEnd w:id="3"/>
      <w:proofErr w:type="spellEnd"/>
      <w:r w:rsidR="009B563C" w:rsidRPr="00E443C6">
        <w:rPr>
          <w:rFonts w:ascii="Tahoma" w:hAnsi="Tahoma" w:cs="Tahoma"/>
        </w:rPr>
        <w:t xml:space="preserve">, procede a proferir el siguiente auto escrito dentro del proceso </w:t>
      </w:r>
      <w:r w:rsidR="009B563C" w:rsidRPr="00E443C6">
        <w:rPr>
          <w:rFonts w:ascii="Tahoma" w:hAnsi="Tahoma" w:cs="Tahoma"/>
          <w:b/>
        </w:rPr>
        <w:t>ordinario laboral</w:t>
      </w:r>
      <w:r w:rsidR="009B563C" w:rsidRPr="00E443C6">
        <w:rPr>
          <w:rFonts w:ascii="Tahoma" w:hAnsi="Tahoma" w:cs="Tahoma"/>
        </w:rPr>
        <w:t xml:space="preserve"> instaurado por</w:t>
      </w:r>
      <w:r w:rsidR="009B563C" w:rsidRPr="00E443C6">
        <w:rPr>
          <w:rFonts w:ascii="Tahoma" w:hAnsi="Tahoma" w:cs="Tahoma"/>
          <w:lang w:val="es-ES"/>
        </w:rPr>
        <w:t xml:space="preserve"> </w:t>
      </w:r>
      <w:r w:rsidR="00161A7F" w:rsidRPr="00E443C6">
        <w:rPr>
          <w:rFonts w:ascii="Tahoma" w:hAnsi="Tahoma" w:cs="Tahoma"/>
          <w:b/>
          <w:bCs/>
        </w:rPr>
        <w:t xml:space="preserve">María Magnolia Marín de Arango </w:t>
      </w:r>
      <w:r w:rsidR="00161A7F" w:rsidRPr="00E443C6">
        <w:rPr>
          <w:rFonts w:ascii="Tahoma" w:hAnsi="Tahoma" w:cs="Tahoma"/>
        </w:rPr>
        <w:t xml:space="preserve">y </w:t>
      </w:r>
      <w:r w:rsidR="00161A7F" w:rsidRPr="00E443C6">
        <w:rPr>
          <w:rFonts w:ascii="Tahoma" w:hAnsi="Tahoma" w:cs="Tahoma"/>
          <w:b/>
          <w:bCs/>
        </w:rPr>
        <w:t>Oscar Arango Quintero</w:t>
      </w:r>
      <w:r w:rsidR="006364A5" w:rsidRPr="00E443C6">
        <w:rPr>
          <w:rFonts w:ascii="Tahoma" w:hAnsi="Tahoma" w:cs="Tahoma"/>
          <w:b/>
          <w:bCs/>
        </w:rPr>
        <w:t xml:space="preserve"> </w:t>
      </w:r>
      <w:r w:rsidR="009B563C" w:rsidRPr="00E443C6">
        <w:rPr>
          <w:rFonts w:ascii="Tahoma" w:hAnsi="Tahoma" w:cs="Tahoma"/>
          <w:lang w:val="es-ES"/>
        </w:rPr>
        <w:t xml:space="preserve">en contra </w:t>
      </w:r>
      <w:r w:rsidR="005450B6" w:rsidRPr="00E443C6">
        <w:rPr>
          <w:rFonts w:ascii="Tahoma" w:hAnsi="Tahoma" w:cs="Tahoma"/>
          <w:lang w:val="es-ES"/>
        </w:rPr>
        <w:t xml:space="preserve">de </w:t>
      </w:r>
      <w:r w:rsidR="006364A5" w:rsidRPr="00E443C6">
        <w:rPr>
          <w:rFonts w:ascii="Tahoma" w:hAnsi="Tahoma" w:cs="Tahoma"/>
          <w:lang w:val="es-ES"/>
        </w:rPr>
        <w:t>la</w:t>
      </w:r>
      <w:r w:rsidR="006364A5" w:rsidRPr="00E443C6">
        <w:rPr>
          <w:rFonts w:ascii="Tahoma" w:hAnsi="Tahoma" w:cs="Tahoma"/>
          <w:b/>
          <w:bCs/>
          <w:lang w:val="es-ES"/>
        </w:rPr>
        <w:t xml:space="preserve"> </w:t>
      </w:r>
      <w:r w:rsidR="00161A7F" w:rsidRPr="00E443C6">
        <w:rPr>
          <w:rFonts w:ascii="Tahoma" w:hAnsi="Tahoma" w:cs="Tahoma"/>
          <w:b/>
          <w:bCs/>
          <w:lang w:val="es-ES"/>
        </w:rPr>
        <w:t>Administradora de Fondos de Pensiones y Cesantías Porvenir S.A.</w:t>
      </w:r>
    </w:p>
    <w:p w14:paraId="2839A2C9" w14:textId="2ED37C4F" w:rsidR="1FB93FC8" w:rsidRPr="00E443C6" w:rsidRDefault="1FB93FC8" w:rsidP="00E443C6">
      <w:pPr>
        <w:pStyle w:val="Sinespaciado"/>
        <w:spacing w:line="276" w:lineRule="auto"/>
        <w:rPr>
          <w:rFonts w:ascii="Tahoma" w:hAnsi="Tahoma" w:cs="Tahoma"/>
          <w:lang w:val="es-ES"/>
        </w:rPr>
      </w:pPr>
    </w:p>
    <w:p w14:paraId="0E13DC22" w14:textId="71334CD1" w:rsidR="009B563C" w:rsidRPr="00E443C6" w:rsidRDefault="009B563C" w:rsidP="00E443C6">
      <w:pPr>
        <w:spacing w:line="276" w:lineRule="auto"/>
        <w:jc w:val="center"/>
        <w:rPr>
          <w:rFonts w:ascii="Tahoma" w:hAnsi="Tahoma" w:cs="Tahoma"/>
          <w:b/>
          <w:bCs/>
        </w:rPr>
      </w:pPr>
      <w:r w:rsidRPr="00E443C6">
        <w:rPr>
          <w:rFonts w:ascii="Tahoma" w:hAnsi="Tahoma" w:cs="Tahoma"/>
          <w:b/>
          <w:bCs/>
        </w:rPr>
        <w:t>PUNTO A TRATAR</w:t>
      </w:r>
    </w:p>
    <w:p w14:paraId="2AF0B67B" w14:textId="77777777" w:rsidR="009B563C" w:rsidRPr="00E443C6" w:rsidRDefault="009B563C" w:rsidP="00E443C6">
      <w:pPr>
        <w:pStyle w:val="Sinespaciado"/>
        <w:spacing w:line="276" w:lineRule="auto"/>
        <w:rPr>
          <w:rFonts w:ascii="Tahoma" w:hAnsi="Tahoma" w:cs="Tahoma"/>
        </w:rPr>
      </w:pPr>
    </w:p>
    <w:p w14:paraId="422C7052" w14:textId="73AEDAFF" w:rsidR="1FB93FC8" w:rsidRPr="00E443C6" w:rsidRDefault="009B563C" w:rsidP="00E443C6">
      <w:pPr>
        <w:spacing w:line="276" w:lineRule="auto"/>
        <w:ind w:firstLine="708"/>
        <w:rPr>
          <w:rStyle w:val="eop"/>
          <w:rFonts w:ascii="Tahoma" w:hAnsi="Tahoma" w:cs="Tahoma"/>
          <w:spacing w:val="-2"/>
        </w:rPr>
      </w:pPr>
      <w:r w:rsidRPr="00E443C6">
        <w:rPr>
          <w:rFonts w:ascii="Tahoma" w:hAnsi="Tahoma" w:cs="Tahoma"/>
        </w:rPr>
        <w:t xml:space="preserve">Por medio de esta providencia procede la Sala a resolver el recurso de apelación promovido por </w:t>
      </w:r>
      <w:r w:rsidR="00161A7F" w:rsidRPr="00E443C6">
        <w:rPr>
          <w:rFonts w:ascii="Tahoma" w:hAnsi="Tahoma" w:cs="Tahoma"/>
        </w:rPr>
        <w:t>la demandada</w:t>
      </w:r>
      <w:r w:rsidR="006364A5" w:rsidRPr="00E443C6">
        <w:rPr>
          <w:rFonts w:ascii="Tahoma" w:hAnsi="Tahoma" w:cs="Tahoma"/>
        </w:rPr>
        <w:t xml:space="preserve"> </w:t>
      </w:r>
      <w:r w:rsidRPr="00E443C6">
        <w:rPr>
          <w:rFonts w:ascii="Tahoma" w:hAnsi="Tahoma" w:cs="Tahoma"/>
        </w:rPr>
        <w:t xml:space="preserve">en contra del auto del </w:t>
      </w:r>
      <w:r w:rsidR="00161A7F" w:rsidRPr="00E443C6">
        <w:rPr>
          <w:rFonts w:ascii="Tahoma" w:hAnsi="Tahoma" w:cs="Tahoma"/>
          <w:b/>
          <w:bCs/>
        </w:rPr>
        <w:t xml:space="preserve">08 de junio de </w:t>
      </w:r>
      <w:r w:rsidR="00161A7F" w:rsidRPr="00E443C6">
        <w:rPr>
          <w:rFonts w:ascii="Tahoma" w:hAnsi="Tahoma" w:cs="Tahoma"/>
          <w:b/>
          <w:bCs/>
        </w:rPr>
        <w:lastRenderedPageBreak/>
        <w:t>2023</w:t>
      </w:r>
      <w:r w:rsidRPr="00E443C6">
        <w:rPr>
          <w:rFonts w:ascii="Tahoma" w:hAnsi="Tahoma" w:cs="Tahoma"/>
        </w:rPr>
        <w:t>, por medio del cual se</w:t>
      </w:r>
      <w:r w:rsidR="00782847" w:rsidRPr="00E443C6">
        <w:rPr>
          <w:rFonts w:ascii="Tahoma" w:hAnsi="Tahoma" w:cs="Tahoma"/>
        </w:rPr>
        <w:t xml:space="preserve"> declaró ineficaz el llamamiento en garantía presentado por Porvenir S.A. frente a Mapfre Colombia Vida Seguros S.A.</w:t>
      </w:r>
      <w:r w:rsidRPr="00E443C6">
        <w:rPr>
          <w:rFonts w:ascii="Tahoma" w:hAnsi="Tahoma" w:cs="Tahoma"/>
        </w:rPr>
        <w:t xml:space="preserve"> </w:t>
      </w:r>
      <w:r w:rsidR="002823F7" w:rsidRPr="00E443C6">
        <w:rPr>
          <w:rStyle w:val="normaltextrun"/>
          <w:rFonts w:ascii="Tahoma" w:hAnsi="Tahoma" w:cs="Tahoma"/>
          <w:spacing w:val="-2"/>
        </w:rPr>
        <w:t>Para ello se tiene en cuenta lo siguiente: </w:t>
      </w:r>
      <w:r w:rsidR="002823F7" w:rsidRPr="00E443C6">
        <w:rPr>
          <w:rStyle w:val="eop"/>
          <w:rFonts w:ascii="Tahoma" w:hAnsi="Tahoma" w:cs="Tahoma"/>
          <w:spacing w:val="-2"/>
        </w:rPr>
        <w:t> </w:t>
      </w:r>
    </w:p>
    <w:p w14:paraId="40FB4E4F" w14:textId="77777777" w:rsidR="002823F7" w:rsidRPr="00E443C6" w:rsidRDefault="002823F7" w:rsidP="00E443C6">
      <w:pPr>
        <w:pStyle w:val="Sinespaciado"/>
        <w:spacing w:line="276" w:lineRule="auto"/>
        <w:rPr>
          <w:rFonts w:ascii="Tahoma" w:hAnsi="Tahoma" w:cs="Tahoma"/>
        </w:rPr>
      </w:pPr>
    </w:p>
    <w:p w14:paraId="4E3EDF08" w14:textId="77777777" w:rsidR="00030263" w:rsidRPr="00E443C6" w:rsidRDefault="00030263" w:rsidP="00E443C6">
      <w:pPr>
        <w:pStyle w:val="Prrafodelista"/>
        <w:numPr>
          <w:ilvl w:val="0"/>
          <w:numId w:val="1"/>
        </w:numPr>
        <w:tabs>
          <w:tab w:val="left" w:pos="284"/>
        </w:tabs>
        <w:spacing w:line="276" w:lineRule="auto"/>
        <w:jc w:val="center"/>
        <w:rPr>
          <w:rFonts w:ascii="Tahoma" w:hAnsi="Tahoma" w:cs="Tahoma"/>
          <w:b/>
          <w:bCs/>
        </w:rPr>
      </w:pPr>
      <w:r w:rsidRPr="00E443C6">
        <w:rPr>
          <w:rFonts w:ascii="Tahoma" w:hAnsi="Tahoma" w:cs="Tahoma"/>
          <w:b/>
          <w:bCs/>
        </w:rPr>
        <w:t>Antecedentes Procesales</w:t>
      </w:r>
    </w:p>
    <w:p w14:paraId="0FFF0ABA" w14:textId="4380F66B" w:rsidR="00030263" w:rsidRPr="00E443C6" w:rsidRDefault="00030263" w:rsidP="00E443C6">
      <w:pPr>
        <w:pStyle w:val="Sinespaciado"/>
        <w:spacing w:line="276" w:lineRule="auto"/>
        <w:rPr>
          <w:rFonts w:ascii="Tahoma" w:hAnsi="Tahoma" w:cs="Tahoma"/>
        </w:rPr>
      </w:pPr>
    </w:p>
    <w:p w14:paraId="60B364BB" w14:textId="39751D0D" w:rsidR="005450B6" w:rsidRPr="00E443C6" w:rsidRDefault="005450B6" w:rsidP="00E443C6">
      <w:pPr>
        <w:spacing w:line="276" w:lineRule="auto"/>
        <w:ind w:firstLine="708"/>
        <w:rPr>
          <w:rFonts w:ascii="Tahoma" w:hAnsi="Tahoma" w:cs="Tahoma"/>
          <w:spacing w:val="-3"/>
          <w:kern w:val="2"/>
        </w:rPr>
      </w:pPr>
      <w:r w:rsidRPr="00E443C6">
        <w:rPr>
          <w:rFonts w:ascii="Tahoma" w:hAnsi="Tahoma" w:cs="Tahoma"/>
          <w:spacing w:val="-3"/>
          <w:kern w:val="2"/>
        </w:rPr>
        <w:t>En lo que interesa al recurso apelación, la acción se inició con la finalidad de que</w:t>
      </w:r>
      <w:r w:rsidR="00782847" w:rsidRPr="00E443C6">
        <w:rPr>
          <w:rFonts w:ascii="Tahoma" w:hAnsi="Tahoma" w:cs="Tahoma"/>
          <w:spacing w:val="-3"/>
          <w:kern w:val="2"/>
        </w:rPr>
        <w:t xml:space="preserve">, previa declaración del </w:t>
      </w:r>
      <w:r w:rsidR="746F4067" w:rsidRPr="00E443C6">
        <w:rPr>
          <w:rFonts w:ascii="Tahoma" w:hAnsi="Tahoma" w:cs="Tahoma"/>
          <w:spacing w:val="-3"/>
          <w:kern w:val="2"/>
        </w:rPr>
        <w:t>derecho</w:t>
      </w:r>
      <w:r w:rsidR="00782847" w:rsidRPr="00E443C6">
        <w:rPr>
          <w:rFonts w:ascii="Tahoma" w:hAnsi="Tahoma" w:cs="Tahoma"/>
          <w:spacing w:val="-3"/>
          <w:kern w:val="2"/>
        </w:rPr>
        <w:t xml:space="preserve"> se condene a Porvenir S.A. a reconocer y pagar la pensión de sobrevivientes a Oscar Arango Quintero y María Magnolia Marín de Arango, en calidad de padres de Ana María Arango Marín, a partir del 19 de agosto de 2013, en cuantía del 50% para cada uno. </w:t>
      </w:r>
    </w:p>
    <w:p w14:paraId="7C6DE2F7" w14:textId="1EA91ACA" w:rsidR="00A8370C" w:rsidRPr="00E443C6" w:rsidRDefault="00A8370C" w:rsidP="00E443C6">
      <w:pPr>
        <w:pStyle w:val="Sinespaciado"/>
        <w:spacing w:line="276" w:lineRule="auto"/>
        <w:rPr>
          <w:rFonts w:ascii="Tahoma" w:hAnsi="Tahoma" w:cs="Tahoma"/>
        </w:rPr>
      </w:pPr>
    </w:p>
    <w:p w14:paraId="5318D063" w14:textId="77FBCBC5" w:rsidR="00E73F37" w:rsidRPr="00E443C6" w:rsidRDefault="00A8370C" w:rsidP="00E443C6">
      <w:pPr>
        <w:spacing w:line="276" w:lineRule="auto"/>
        <w:ind w:firstLine="708"/>
        <w:rPr>
          <w:rFonts w:ascii="Tahoma" w:hAnsi="Tahoma" w:cs="Tahoma"/>
        </w:rPr>
      </w:pPr>
      <w:r w:rsidRPr="00E443C6">
        <w:rPr>
          <w:rFonts w:ascii="Tahoma" w:hAnsi="Tahoma" w:cs="Tahoma"/>
          <w:spacing w:val="-3"/>
          <w:kern w:val="2"/>
        </w:rPr>
        <w:t xml:space="preserve">La demanda se admitió mediante auto del </w:t>
      </w:r>
      <w:r w:rsidR="00226FCA" w:rsidRPr="00E443C6">
        <w:rPr>
          <w:rFonts w:ascii="Tahoma" w:hAnsi="Tahoma" w:cs="Tahoma"/>
          <w:spacing w:val="-3"/>
          <w:kern w:val="2"/>
        </w:rPr>
        <w:t xml:space="preserve">28 de julio de 2021, notificándose a la AFP demandada el 20 de septiembre de 2021, quien el 06 de octubre de 2021 dio contestación a la demanda y llamó en garantía a </w:t>
      </w:r>
      <w:r w:rsidR="00226FCA" w:rsidRPr="00E443C6">
        <w:rPr>
          <w:rFonts w:ascii="Tahoma" w:hAnsi="Tahoma" w:cs="Tahoma"/>
        </w:rPr>
        <w:t xml:space="preserve">Mapfre Colombia Vida Seguros S.A., en virtud de la póliza colectiva de seguro previsional de invalidez y sobrevivientes para el financiamiento y pago de las pensiones de invalidez y/o sobrevivencia de sus afiliados. </w:t>
      </w:r>
    </w:p>
    <w:p w14:paraId="11C54838" w14:textId="5870455D" w:rsidR="00226FCA" w:rsidRPr="00E443C6" w:rsidRDefault="00226FCA" w:rsidP="00E443C6">
      <w:pPr>
        <w:spacing w:line="276" w:lineRule="auto"/>
        <w:ind w:firstLine="708"/>
        <w:rPr>
          <w:rFonts w:ascii="Tahoma" w:hAnsi="Tahoma" w:cs="Tahoma"/>
          <w:spacing w:val="-3"/>
          <w:kern w:val="2"/>
        </w:rPr>
      </w:pPr>
    </w:p>
    <w:p w14:paraId="67FA70C6" w14:textId="6CA71402" w:rsidR="005A7630" w:rsidRPr="00E443C6" w:rsidRDefault="00226FCA" w:rsidP="00E443C6">
      <w:pPr>
        <w:spacing w:line="276" w:lineRule="auto"/>
        <w:ind w:firstLine="708"/>
        <w:rPr>
          <w:rFonts w:ascii="Tahoma" w:hAnsi="Tahoma" w:cs="Tahoma"/>
          <w:spacing w:val="-3"/>
          <w:kern w:val="2"/>
        </w:rPr>
      </w:pPr>
      <w:r w:rsidRPr="00E443C6">
        <w:rPr>
          <w:rFonts w:ascii="Tahoma" w:hAnsi="Tahoma" w:cs="Tahoma"/>
          <w:spacing w:val="-3"/>
          <w:kern w:val="2"/>
        </w:rPr>
        <w:t>Así, mediante proveído del 12 de mayo de 202</w:t>
      </w:r>
      <w:r w:rsidR="002832EC" w:rsidRPr="00E443C6">
        <w:rPr>
          <w:rFonts w:ascii="Tahoma" w:hAnsi="Tahoma" w:cs="Tahoma"/>
          <w:spacing w:val="-3"/>
          <w:kern w:val="2"/>
        </w:rPr>
        <w:t>2</w:t>
      </w:r>
      <w:r w:rsidRPr="00E443C6">
        <w:rPr>
          <w:rFonts w:ascii="Tahoma" w:hAnsi="Tahoma" w:cs="Tahoma"/>
          <w:spacing w:val="-3"/>
          <w:kern w:val="2"/>
        </w:rPr>
        <w:t xml:space="preserve">, fue admitida la contestación de la demanda y el llamamiento en garantía propuesto por Porvenir S.A., para lo cual se le requirió con el fin de que allegara el certificado de existencia y representación de la llamada en garantía </w:t>
      </w:r>
      <w:r w:rsidR="000B3F90" w:rsidRPr="00E443C6">
        <w:rPr>
          <w:rFonts w:ascii="Tahoma" w:hAnsi="Tahoma" w:cs="Tahoma"/>
          <w:spacing w:val="-3"/>
          <w:kern w:val="2"/>
        </w:rPr>
        <w:t xml:space="preserve">e indicara el canal digital </w:t>
      </w:r>
      <w:r w:rsidR="005264B7" w:rsidRPr="00E443C6">
        <w:rPr>
          <w:rFonts w:ascii="Tahoma" w:hAnsi="Tahoma" w:cs="Tahoma"/>
          <w:spacing w:val="-3"/>
          <w:kern w:val="2"/>
        </w:rPr>
        <w:t>o dirección electrónica para llevar a cabo la notificación, con la advertencia de que si no se lograba la comunicación dentro de los 06 meses siguientes a la ejecutoria de la providencia, el llamamiento sería ineficaz.</w:t>
      </w:r>
    </w:p>
    <w:p w14:paraId="02F90A50" w14:textId="270D4BB9" w:rsidR="007A742B" w:rsidRPr="00E443C6" w:rsidRDefault="007A742B" w:rsidP="00E443C6">
      <w:pPr>
        <w:spacing w:line="276" w:lineRule="auto"/>
        <w:ind w:firstLine="708"/>
        <w:rPr>
          <w:rFonts w:ascii="Tahoma" w:hAnsi="Tahoma" w:cs="Tahoma"/>
          <w:spacing w:val="-3"/>
          <w:kern w:val="2"/>
        </w:rPr>
      </w:pPr>
    </w:p>
    <w:p w14:paraId="2F137318" w14:textId="3780F843" w:rsidR="00733913" w:rsidRPr="00E443C6" w:rsidRDefault="007A742B" w:rsidP="00E443C6">
      <w:pPr>
        <w:spacing w:line="276" w:lineRule="auto"/>
        <w:ind w:firstLine="708"/>
        <w:rPr>
          <w:rFonts w:ascii="Tahoma" w:hAnsi="Tahoma" w:cs="Tahoma"/>
          <w:spacing w:val="-3"/>
          <w:kern w:val="2"/>
        </w:rPr>
      </w:pPr>
      <w:r w:rsidRPr="00E443C6">
        <w:rPr>
          <w:rFonts w:ascii="Tahoma" w:hAnsi="Tahoma" w:cs="Tahoma"/>
          <w:spacing w:val="-3"/>
          <w:kern w:val="2"/>
        </w:rPr>
        <w:t xml:space="preserve">De acuerdo con lo dispuesto, el 03 de </w:t>
      </w:r>
      <w:r w:rsidR="005264B7" w:rsidRPr="00E443C6">
        <w:rPr>
          <w:rFonts w:ascii="Tahoma" w:hAnsi="Tahoma" w:cs="Tahoma"/>
          <w:spacing w:val="-3"/>
          <w:kern w:val="2"/>
        </w:rPr>
        <w:t xml:space="preserve">junio de 2022, Porvenir S.A. allegó certificado emanado de la Superintendencia Financiera de Colombia respecto a la situación actual de </w:t>
      </w:r>
      <w:r w:rsidR="005264B7" w:rsidRPr="00E443C6">
        <w:rPr>
          <w:rFonts w:ascii="Tahoma" w:hAnsi="Tahoma" w:cs="Tahoma"/>
        </w:rPr>
        <w:t>Mapfre Colombia Vida Seguros S.A.</w:t>
      </w:r>
    </w:p>
    <w:p w14:paraId="4A78247B" w14:textId="77777777" w:rsidR="00733913" w:rsidRPr="00E443C6" w:rsidRDefault="00733913" w:rsidP="00E443C6">
      <w:pPr>
        <w:spacing w:line="276" w:lineRule="auto"/>
        <w:ind w:firstLine="708"/>
        <w:rPr>
          <w:rFonts w:ascii="Tahoma" w:hAnsi="Tahoma" w:cs="Tahoma"/>
          <w:lang w:val="es-ES"/>
        </w:rPr>
      </w:pPr>
    </w:p>
    <w:p w14:paraId="2CFD6E05" w14:textId="3A8DBB77" w:rsidR="00021F62" w:rsidRPr="00E443C6" w:rsidRDefault="006A29C8" w:rsidP="00E443C6">
      <w:pPr>
        <w:pStyle w:val="Prrafodelista"/>
        <w:numPr>
          <w:ilvl w:val="0"/>
          <w:numId w:val="1"/>
        </w:numPr>
        <w:tabs>
          <w:tab w:val="left" w:pos="284"/>
        </w:tabs>
        <w:spacing w:line="276" w:lineRule="auto"/>
        <w:ind w:left="0" w:firstLine="0"/>
        <w:jc w:val="center"/>
        <w:rPr>
          <w:rFonts w:ascii="Tahoma" w:hAnsi="Tahoma" w:cs="Tahoma"/>
          <w:b/>
          <w:spacing w:val="-3"/>
          <w:kern w:val="2"/>
        </w:rPr>
      </w:pPr>
      <w:bookmarkStart w:id="4" w:name="_Hlk64569015"/>
      <w:r w:rsidRPr="00E443C6">
        <w:rPr>
          <w:rFonts w:ascii="Tahoma" w:hAnsi="Tahoma" w:cs="Tahoma"/>
          <w:b/>
          <w:spacing w:val="-3"/>
          <w:kern w:val="2"/>
        </w:rPr>
        <w:t>Auto objeto de apelación</w:t>
      </w:r>
    </w:p>
    <w:p w14:paraId="6A5D84D1" w14:textId="756E12C4" w:rsidR="006A29C8" w:rsidRPr="00E443C6" w:rsidRDefault="006A29C8" w:rsidP="00E443C6">
      <w:pPr>
        <w:pStyle w:val="Prrafodelista"/>
        <w:spacing w:line="276" w:lineRule="auto"/>
        <w:ind w:left="0"/>
        <w:rPr>
          <w:rFonts w:ascii="Tahoma" w:hAnsi="Tahoma" w:cs="Tahoma"/>
          <w:b/>
          <w:spacing w:val="-3"/>
          <w:kern w:val="2"/>
        </w:rPr>
      </w:pPr>
    </w:p>
    <w:p w14:paraId="1AAA5995" w14:textId="1838BAB3" w:rsidR="00996CE2" w:rsidRPr="00E443C6" w:rsidRDefault="006A29C8" w:rsidP="00E443C6">
      <w:pPr>
        <w:spacing w:line="276" w:lineRule="auto"/>
        <w:ind w:firstLine="708"/>
        <w:rPr>
          <w:rFonts w:ascii="Tahoma" w:hAnsi="Tahoma" w:cs="Tahoma"/>
          <w:spacing w:val="-3"/>
          <w:kern w:val="2"/>
        </w:rPr>
      </w:pPr>
      <w:r w:rsidRPr="00E443C6">
        <w:rPr>
          <w:rFonts w:ascii="Tahoma" w:hAnsi="Tahoma" w:cs="Tahoma"/>
          <w:spacing w:val="-3"/>
          <w:kern w:val="2"/>
        </w:rPr>
        <w:t>La Jueza de conocimiento</w:t>
      </w:r>
      <w:r w:rsidR="0057513B" w:rsidRPr="00E443C6">
        <w:rPr>
          <w:rFonts w:ascii="Tahoma" w:hAnsi="Tahoma" w:cs="Tahoma"/>
          <w:spacing w:val="-3"/>
          <w:kern w:val="2"/>
        </w:rPr>
        <w:t xml:space="preserve">, </w:t>
      </w:r>
      <w:r w:rsidR="005264B7" w:rsidRPr="00E443C6">
        <w:rPr>
          <w:rFonts w:ascii="Tahoma" w:hAnsi="Tahoma" w:cs="Tahoma"/>
          <w:spacing w:val="-3"/>
          <w:kern w:val="2"/>
        </w:rPr>
        <w:t xml:space="preserve">mediante auto del 08 de junio de 2023, declaró ineficaz el llamamiento en garantía efectuado por Porvenir S.A. a </w:t>
      </w:r>
      <w:r w:rsidR="005264B7" w:rsidRPr="00E443C6">
        <w:rPr>
          <w:rFonts w:ascii="Tahoma" w:hAnsi="Tahoma" w:cs="Tahoma"/>
        </w:rPr>
        <w:t>Mapfre Colombia Vida Seguros S.A. por haber transcurrido más de 6 meses desde que se admitió, sin que se hubiese logrado la notificación.</w:t>
      </w:r>
    </w:p>
    <w:p w14:paraId="708D86F8" w14:textId="007FC5A5" w:rsidR="00904472" w:rsidRPr="00E443C6" w:rsidRDefault="00904472" w:rsidP="00E443C6">
      <w:pPr>
        <w:pStyle w:val="Sinespaciado"/>
        <w:spacing w:line="276" w:lineRule="auto"/>
        <w:rPr>
          <w:rFonts w:ascii="Tahoma" w:hAnsi="Tahoma" w:cs="Tahoma"/>
          <w:lang w:val="es-ES"/>
        </w:rPr>
      </w:pPr>
    </w:p>
    <w:p w14:paraId="4A2F5573" w14:textId="3C5933AA" w:rsidR="005264B7" w:rsidRPr="00E443C6" w:rsidRDefault="00904472" w:rsidP="00E443C6">
      <w:pPr>
        <w:spacing w:line="276" w:lineRule="auto"/>
        <w:ind w:firstLine="708"/>
        <w:rPr>
          <w:rFonts w:ascii="Tahoma" w:hAnsi="Tahoma" w:cs="Tahoma"/>
          <w:lang w:val="es-ES"/>
        </w:rPr>
      </w:pPr>
      <w:r w:rsidRPr="00E443C6">
        <w:rPr>
          <w:rFonts w:ascii="Tahoma" w:hAnsi="Tahoma" w:cs="Tahoma"/>
          <w:lang w:val="es-ES"/>
        </w:rPr>
        <w:t>Para llegar a tal determinación, la a-quo</w:t>
      </w:r>
      <w:r w:rsidR="005264B7" w:rsidRPr="00E443C6">
        <w:rPr>
          <w:rFonts w:ascii="Tahoma" w:hAnsi="Tahoma" w:cs="Tahoma"/>
          <w:lang w:val="es-ES"/>
        </w:rPr>
        <w:t xml:space="preserve"> consideró que </w:t>
      </w:r>
      <w:r w:rsidR="001F4DB0" w:rsidRPr="00E443C6">
        <w:rPr>
          <w:rFonts w:ascii="Tahoma" w:hAnsi="Tahoma" w:cs="Tahoma"/>
          <w:lang w:val="es-ES"/>
        </w:rPr>
        <w:t>p</w:t>
      </w:r>
      <w:r w:rsidR="005264B7" w:rsidRPr="00E443C6">
        <w:rPr>
          <w:rFonts w:ascii="Tahoma" w:hAnsi="Tahoma" w:cs="Tahoma"/>
          <w:lang w:val="es-ES"/>
        </w:rPr>
        <w:t xml:space="preserve">ese a que </w:t>
      </w:r>
      <w:r w:rsidR="001F4DB0" w:rsidRPr="00E443C6">
        <w:rPr>
          <w:rFonts w:ascii="Tahoma" w:hAnsi="Tahoma" w:cs="Tahoma"/>
          <w:lang w:val="es-ES"/>
        </w:rPr>
        <w:t xml:space="preserve">Porvenir </w:t>
      </w:r>
      <w:r w:rsidR="005264B7" w:rsidRPr="00E443C6">
        <w:rPr>
          <w:rFonts w:ascii="Tahoma" w:hAnsi="Tahoma" w:cs="Tahoma"/>
          <w:lang w:val="es-ES"/>
        </w:rPr>
        <w:t xml:space="preserve">S.A. allegó escrito el día 30 de junio aportando el Certificado de Existencia y Representación de </w:t>
      </w:r>
      <w:r w:rsidR="001F4DB0" w:rsidRPr="00E443C6">
        <w:rPr>
          <w:rFonts w:ascii="Tahoma" w:hAnsi="Tahoma" w:cs="Tahoma"/>
          <w:lang w:val="es-ES"/>
        </w:rPr>
        <w:t xml:space="preserve">Mapfre Colombia Vida Seguros </w:t>
      </w:r>
      <w:r w:rsidR="005264B7" w:rsidRPr="00E443C6">
        <w:rPr>
          <w:rFonts w:ascii="Tahoma" w:hAnsi="Tahoma" w:cs="Tahoma"/>
          <w:lang w:val="es-ES"/>
        </w:rPr>
        <w:t>S.A., aquel no contiene el correo electrónico de la entidad, ni tampoco</w:t>
      </w:r>
      <w:r w:rsidR="001F4DB0" w:rsidRPr="00E443C6">
        <w:rPr>
          <w:rFonts w:ascii="Tahoma" w:hAnsi="Tahoma" w:cs="Tahoma"/>
          <w:lang w:val="es-ES"/>
        </w:rPr>
        <w:t xml:space="preserve"> </w:t>
      </w:r>
      <w:r w:rsidR="005264B7" w:rsidRPr="00E443C6">
        <w:rPr>
          <w:rFonts w:ascii="Tahoma" w:hAnsi="Tahoma" w:cs="Tahoma"/>
          <w:lang w:val="es-ES"/>
        </w:rPr>
        <w:t xml:space="preserve">indicó la dirección electrónica para notificar a la llamada, </w:t>
      </w:r>
      <w:r w:rsidR="001F4DB0" w:rsidRPr="00E443C6">
        <w:rPr>
          <w:rFonts w:ascii="Tahoma" w:hAnsi="Tahoma" w:cs="Tahoma"/>
          <w:lang w:val="es-ES"/>
        </w:rPr>
        <w:t>por lo que no había sido</w:t>
      </w:r>
      <w:r w:rsidR="005264B7" w:rsidRPr="00E443C6">
        <w:rPr>
          <w:rFonts w:ascii="Tahoma" w:hAnsi="Tahoma" w:cs="Tahoma"/>
          <w:lang w:val="es-ES"/>
        </w:rPr>
        <w:t xml:space="preserve"> posible realizar la notificación correspondiente</w:t>
      </w:r>
      <w:r w:rsidR="001F4DB0" w:rsidRPr="00E443C6">
        <w:rPr>
          <w:rFonts w:ascii="Tahoma" w:hAnsi="Tahoma" w:cs="Tahoma"/>
          <w:lang w:val="es-ES"/>
        </w:rPr>
        <w:t xml:space="preserve">, por lo cual, de conformidad con el artículo 66 del </w:t>
      </w:r>
      <w:proofErr w:type="spellStart"/>
      <w:r w:rsidR="001F4DB0" w:rsidRPr="00E443C6">
        <w:rPr>
          <w:rFonts w:ascii="Tahoma" w:hAnsi="Tahoma" w:cs="Tahoma"/>
          <w:lang w:val="es-ES"/>
        </w:rPr>
        <w:t>C.G.P</w:t>
      </w:r>
      <w:proofErr w:type="spellEnd"/>
      <w:r w:rsidR="005264B7" w:rsidRPr="00E443C6">
        <w:rPr>
          <w:rFonts w:ascii="Tahoma" w:hAnsi="Tahoma" w:cs="Tahoma"/>
          <w:lang w:val="es-ES"/>
        </w:rPr>
        <w:t>.</w:t>
      </w:r>
      <w:r w:rsidR="001F4DB0" w:rsidRPr="00E443C6">
        <w:rPr>
          <w:rFonts w:ascii="Tahoma" w:hAnsi="Tahoma" w:cs="Tahoma"/>
          <w:lang w:val="es-ES"/>
        </w:rPr>
        <w:t>, el llamamiento se tornaba en ineficaz.</w:t>
      </w:r>
    </w:p>
    <w:p w14:paraId="29FDA977" w14:textId="3E468B45" w:rsidR="1FB93FC8" w:rsidRPr="00E443C6" w:rsidRDefault="1FB93FC8" w:rsidP="00E443C6">
      <w:pPr>
        <w:spacing w:line="276" w:lineRule="auto"/>
        <w:ind w:firstLine="708"/>
        <w:rPr>
          <w:rFonts w:ascii="Tahoma" w:hAnsi="Tahoma" w:cs="Tahoma"/>
          <w:lang w:val="es-ES"/>
        </w:rPr>
      </w:pPr>
    </w:p>
    <w:p w14:paraId="1F3B1589" w14:textId="2F5674A7" w:rsidR="003928D1" w:rsidRPr="00E443C6" w:rsidRDefault="003928D1" w:rsidP="00E443C6">
      <w:pPr>
        <w:pStyle w:val="Prrafodelista"/>
        <w:numPr>
          <w:ilvl w:val="0"/>
          <w:numId w:val="1"/>
        </w:numPr>
        <w:tabs>
          <w:tab w:val="left" w:pos="284"/>
        </w:tabs>
        <w:spacing w:line="276" w:lineRule="auto"/>
        <w:ind w:left="0" w:firstLine="0"/>
        <w:jc w:val="center"/>
        <w:rPr>
          <w:rFonts w:ascii="Tahoma" w:hAnsi="Tahoma" w:cs="Tahoma"/>
          <w:b/>
          <w:bCs/>
        </w:rPr>
      </w:pPr>
      <w:r w:rsidRPr="00E443C6">
        <w:rPr>
          <w:rFonts w:ascii="Tahoma" w:hAnsi="Tahoma" w:cs="Tahoma"/>
          <w:b/>
          <w:bCs/>
        </w:rPr>
        <w:lastRenderedPageBreak/>
        <w:t>Recurso de Apelación</w:t>
      </w:r>
    </w:p>
    <w:p w14:paraId="22C5F274" w14:textId="77777777" w:rsidR="003928D1" w:rsidRPr="00E443C6" w:rsidRDefault="003928D1" w:rsidP="00E443C6">
      <w:pPr>
        <w:pStyle w:val="Textoindependiente"/>
        <w:spacing w:line="276" w:lineRule="auto"/>
        <w:rPr>
          <w:rFonts w:ascii="Tahoma" w:hAnsi="Tahoma" w:cs="Tahoma"/>
          <w:lang w:val="es-ES_tradnl"/>
        </w:rPr>
      </w:pPr>
    </w:p>
    <w:p w14:paraId="4DB346DA" w14:textId="4BC3CD14" w:rsidR="005F5D18" w:rsidRPr="00E443C6" w:rsidRDefault="00FC33F1" w:rsidP="00E443C6">
      <w:pPr>
        <w:spacing w:line="276" w:lineRule="auto"/>
        <w:ind w:firstLine="709"/>
        <w:rPr>
          <w:rFonts w:ascii="Tahoma" w:hAnsi="Tahoma" w:cs="Tahoma"/>
          <w:spacing w:val="-3"/>
          <w:kern w:val="2"/>
        </w:rPr>
      </w:pPr>
      <w:r w:rsidRPr="00E443C6">
        <w:rPr>
          <w:rFonts w:ascii="Tahoma" w:hAnsi="Tahoma" w:cs="Tahoma"/>
          <w:spacing w:val="-3"/>
          <w:kern w:val="2"/>
          <w:lang w:val="es-ES_tradnl"/>
        </w:rPr>
        <w:t>La</w:t>
      </w:r>
      <w:r w:rsidR="00C93735" w:rsidRPr="00E443C6">
        <w:rPr>
          <w:rFonts w:ascii="Tahoma" w:hAnsi="Tahoma" w:cs="Tahoma"/>
          <w:spacing w:val="-3"/>
          <w:kern w:val="2"/>
          <w:lang w:val="es-ES_tradnl"/>
        </w:rPr>
        <w:t xml:space="preserve"> demandada </w:t>
      </w:r>
      <w:r w:rsidR="006A29C8" w:rsidRPr="00E443C6">
        <w:rPr>
          <w:rFonts w:ascii="Tahoma" w:hAnsi="Tahoma" w:cs="Tahoma"/>
          <w:spacing w:val="-3"/>
          <w:kern w:val="2"/>
          <w:lang w:val="es-ES_tradnl"/>
        </w:rPr>
        <w:t xml:space="preserve">atacó la decisión arguyendo que </w:t>
      </w:r>
      <w:r w:rsidR="00BC0B44" w:rsidRPr="00E443C6">
        <w:rPr>
          <w:rFonts w:ascii="Tahoma" w:hAnsi="Tahoma" w:cs="Tahoma"/>
          <w:spacing w:val="-3"/>
          <w:kern w:val="2"/>
          <w:lang w:val="es-ES_tradnl"/>
        </w:rPr>
        <w:t>el despacho dejó transcurrir</w:t>
      </w:r>
      <w:r w:rsidR="006A2321" w:rsidRPr="00E443C6">
        <w:rPr>
          <w:rFonts w:ascii="Tahoma" w:hAnsi="Tahoma" w:cs="Tahoma"/>
          <w:spacing w:val="-3"/>
          <w:kern w:val="2"/>
          <w:lang w:val="es-ES_tradnl"/>
        </w:rPr>
        <w:t xml:space="preserve"> </w:t>
      </w:r>
      <w:r w:rsidR="00BC0B44" w:rsidRPr="00E443C6">
        <w:rPr>
          <w:rFonts w:ascii="Tahoma" w:hAnsi="Tahoma" w:cs="Tahoma"/>
          <w:spacing w:val="-3"/>
          <w:kern w:val="2"/>
          <w:lang w:val="es-ES_tradnl"/>
        </w:rPr>
        <w:t xml:space="preserve">aproximadamente un año sin dar aviso </w:t>
      </w:r>
      <w:r w:rsidR="006A2321" w:rsidRPr="00E443C6">
        <w:rPr>
          <w:rFonts w:ascii="Tahoma" w:hAnsi="Tahoma" w:cs="Tahoma"/>
          <w:spacing w:val="-3"/>
          <w:kern w:val="2"/>
          <w:lang w:val="es-ES_tradnl"/>
        </w:rPr>
        <w:t>de la falta de respuesta al requerimiento</w:t>
      </w:r>
      <w:r w:rsidR="004435A0" w:rsidRPr="00E443C6">
        <w:rPr>
          <w:rFonts w:ascii="Tahoma" w:hAnsi="Tahoma" w:cs="Tahoma"/>
          <w:spacing w:val="-3"/>
          <w:kern w:val="2"/>
          <w:lang w:val="es-ES_tradnl"/>
        </w:rPr>
        <w:t xml:space="preserve"> y que </w:t>
      </w:r>
      <w:r w:rsidR="005F5D18" w:rsidRPr="00E443C6">
        <w:rPr>
          <w:rFonts w:ascii="Tahoma" w:hAnsi="Tahoma" w:cs="Tahoma"/>
          <w:spacing w:val="-3"/>
          <w:kern w:val="2"/>
        </w:rPr>
        <w:t>el término de los seis meses debe analizarse</w:t>
      </w:r>
      <w:r w:rsidR="005B24C7" w:rsidRPr="00E443C6">
        <w:rPr>
          <w:rFonts w:ascii="Tahoma" w:hAnsi="Tahoma" w:cs="Tahoma"/>
          <w:spacing w:val="-3"/>
          <w:kern w:val="2"/>
        </w:rPr>
        <w:t xml:space="preserve"> </w:t>
      </w:r>
      <w:r w:rsidR="005F5D18" w:rsidRPr="00E443C6">
        <w:rPr>
          <w:rFonts w:ascii="Tahoma" w:hAnsi="Tahoma" w:cs="Tahoma"/>
          <w:spacing w:val="-3"/>
          <w:kern w:val="2"/>
        </w:rPr>
        <w:t>de cara a “</w:t>
      </w:r>
      <w:r w:rsidR="005F5D18" w:rsidRPr="001B27C6">
        <w:rPr>
          <w:rFonts w:ascii="Tahoma" w:hAnsi="Tahoma" w:cs="Tahoma"/>
          <w:spacing w:val="-3"/>
          <w:kern w:val="2"/>
          <w:sz w:val="22"/>
        </w:rPr>
        <w:t>las reglas de flexibilización de la justicia propuestos por el</w:t>
      </w:r>
      <w:r w:rsidR="005B24C7" w:rsidRPr="001B27C6">
        <w:rPr>
          <w:rFonts w:ascii="Tahoma" w:hAnsi="Tahoma" w:cs="Tahoma"/>
          <w:spacing w:val="-3"/>
          <w:kern w:val="2"/>
          <w:sz w:val="22"/>
        </w:rPr>
        <w:t xml:space="preserve"> </w:t>
      </w:r>
      <w:r w:rsidR="005F5D18" w:rsidRPr="001B27C6">
        <w:rPr>
          <w:rFonts w:ascii="Tahoma" w:hAnsi="Tahoma" w:cs="Tahoma"/>
          <w:spacing w:val="-3"/>
          <w:kern w:val="2"/>
          <w:sz w:val="22"/>
        </w:rPr>
        <w:t>Decreto 806 de 2020</w:t>
      </w:r>
      <w:r w:rsidR="005F5D18" w:rsidRPr="00E443C6">
        <w:rPr>
          <w:rFonts w:ascii="Tahoma" w:hAnsi="Tahoma" w:cs="Tahoma"/>
          <w:spacing w:val="-3"/>
          <w:kern w:val="2"/>
        </w:rPr>
        <w:t>”</w:t>
      </w:r>
      <w:r w:rsidR="005B24C7" w:rsidRPr="00E443C6">
        <w:rPr>
          <w:rFonts w:ascii="Tahoma" w:hAnsi="Tahoma" w:cs="Tahoma"/>
          <w:spacing w:val="-3"/>
          <w:kern w:val="2"/>
        </w:rPr>
        <w:t xml:space="preserve">, por lo que, en aplicación de </w:t>
      </w:r>
      <w:r w:rsidR="005F5D18" w:rsidRPr="00E443C6">
        <w:rPr>
          <w:rFonts w:ascii="Tahoma" w:hAnsi="Tahoma" w:cs="Tahoma"/>
          <w:spacing w:val="-3"/>
          <w:kern w:val="2"/>
        </w:rPr>
        <w:t>la virtualidad</w:t>
      </w:r>
      <w:r w:rsidR="005B24C7" w:rsidRPr="00E443C6">
        <w:rPr>
          <w:rFonts w:ascii="Tahoma" w:hAnsi="Tahoma" w:cs="Tahoma"/>
          <w:spacing w:val="-3"/>
          <w:kern w:val="2"/>
        </w:rPr>
        <w:t xml:space="preserve">, como </w:t>
      </w:r>
      <w:r w:rsidR="005F5D18" w:rsidRPr="00E443C6">
        <w:rPr>
          <w:rFonts w:ascii="Tahoma" w:hAnsi="Tahoma" w:cs="Tahoma"/>
          <w:spacing w:val="-3"/>
          <w:kern w:val="2"/>
        </w:rPr>
        <w:t>es el juzgado el encargado de</w:t>
      </w:r>
      <w:r w:rsidR="005B24C7" w:rsidRPr="00E443C6">
        <w:rPr>
          <w:rFonts w:ascii="Tahoma" w:hAnsi="Tahoma" w:cs="Tahoma"/>
          <w:spacing w:val="-3"/>
          <w:kern w:val="2"/>
        </w:rPr>
        <w:t xml:space="preserve"> </w:t>
      </w:r>
      <w:r w:rsidR="005F5D18" w:rsidRPr="00E443C6">
        <w:rPr>
          <w:rFonts w:ascii="Tahoma" w:hAnsi="Tahoma" w:cs="Tahoma"/>
          <w:spacing w:val="-3"/>
          <w:kern w:val="2"/>
        </w:rPr>
        <w:t>practicar la notificación personal, no resultaría</w:t>
      </w:r>
      <w:r w:rsidR="005B24C7" w:rsidRPr="00E443C6">
        <w:rPr>
          <w:rFonts w:ascii="Tahoma" w:hAnsi="Tahoma" w:cs="Tahoma"/>
          <w:spacing w:val="-3"/>
          <w:kern w:val="2"/>
        </w:rPr>
        <w:t xml:space="preserve"> </w:t>
      </w:r>
      <w:r w:rsidR="005F5D18" w:rsidRPr="00E443C6">
        <w:rPr>
          <w:rFonts w:ascii="Tahoma" w:hAnsi="Tahoma" w:cs="Tahoma"/>
          <w:spacing w:val="-3"/>
          <w:kern w:val="2"/>
        </w:rPr>
        <w:t>razonable que por su omisión no sea posible contar con la suma</w:t>
      </w:r>
      <w:r w:rsidR="005B24C7" w:rsidRPr="00E443C6">
        <w:rPr>
          <w:rFonts w:ascii="Tahoma" w:hAnsi="Tahoma" w:cs="Tahoma"/>
          <w:spacing w:val="-3"/>
          <w:kern w:val="2"/>
        </w:rPr>
        <w:t xml:space="preserve"> </w:t>
      </w:r>
      <w:r w:rsidR="005F5D18" w:rsidRPr="00E443C6">
        <w:rPr>
          <w:rFonts w:ascii="Tahoma" w:hAnsi="Tahoma" w:cs="Tahoma"/>
          <w:spacing w:val="-3"/>
          <w:kern w:val="2"/>
        </w:rPr>
        <w:t xml:space="preserve">adicional para conformar el capital para financiar la prestación </w:t>
      </w:r>
      <w:r w:rsidR="005B24C7" w:rsidRPr="00E443C6">
        <w:rPr>
          <w:rFonts w:ascii="Tahoma" w:hAnsi="Tahoma" w:cs="Tahoma"/>
          <w:spacing w:val="-3"/>
          <w:kern w:val="2"/>
        </w:rPr>
        <w:t xml:space="preserve">deprecada, </w:t>
      </w:r>
      <w:r w:rsidR="005F5D18" w:rsidRPr="00E443C6">
        <w:rPr>
          <w:rFonts w:ascii="Tahoma" w:hAnsi="Tahoma" w:cs="Tahoma"/>
          <w:spacing w:val="-3"/>
          <w:kern w:val="2"/>
        </w:rPr>
        <w:t>en caso</w:t>
      </w:r>
      <w:r w:rsidR="005B24C7" w:rsidRPr="00E443C6">
        <w:rPr>
          <w:rFonts w:ascii="Tahoma" w:hAnsi="Tahoma" w:cs="Tahoma"/>
          <w:spacing w:val="-3"/>
          <w:kern w:val="2"/>
        </w:rPr>
        <w:t xml:space="preserve"> </w:t>
      </w:r>
      <w:r w:rsidRPr="00E443C6">
        <w:rPr>
          <w:rFonts w:ascii="Tahoma" w:hAnsi="Tahoma" w:cs="Tahoma"/>
          <w:spacing w:val="-3"/>
          <w:kern w:val="2"/>
        </w:rPr>
        <w:t xml:space="preserve">de </w:t>
      </w:r>
      <w:r w:rsidR="005F5D18" w:rsidRPr="00E443C6">
        <w:rPr>
          <w:rFonts w:ascii="Tahoma" w:hAnsi="Tahoma" w:cs="Tahoma"/>
          <w:spacing w:val="-3"/>
          <w:kern w:val="2"/>
        </w:rPr>
        <w:t>prosperar, lo cual afecta los medios de defensa con los que cuenta</w:t>
      </w:r>
      <w:r w:rsidR="005B24C7" w:rsidRPr="00E443C6">
        <w:rPr>
          <w:rFonts w:ascii="Tahoma" w:hAnsi="Tahoma" w:cs="Tahoma"/>
          <w:spacing w:val="-3"/>
          <w:kern w:val="2"/>
        </w:rPr>
        <w:t xml:space="preserve"> </w:t>
      </w:r>
      <w:r w:rsidR="005F5D18" w:rsidRPr="00E443C6">
        <w:rPr>
          <w:rFonts w:ascii="Tahoma" w:hAnsi="Tahoma" w:cs="Tahoma"/>
          <w:spacing w:val="-3"/>
          <w:kern w:val="2"/>
        </w:rPr>
        <w:t xml:space="preserve">la llamada en garantía y </w:t>
      </w:r>
      <w:r w:rsidR="005B24C7" w:rsidRPr="00E443C6">
        <w:rPr>
          <w:rFonts w:ascii="Tahoma" w:hAnsi="Tahoma" w:cs="Tahoma"/>
          <w:spacing w:val="-3"/>
          <w:kern w:val="2"/>
        </w:rPr>
        <w:t>la</w:t>
      </w:r>
      <w:r w:rsidR="005F5D18" w:rsidRPr="00E443C6">
        <w:rPr>
          <w:rFonts w:ascii="Tahoma" w:hAnsi="Tahoma" w:cs="Tahoma"/>
          <w:spacing w:val="-3"/>
          <w:kern w:val="2"/>
        </w:rPr>
        <w:t xml:space="preserve"> AFP</w:t>
      </w:r>
      <w:r w:rsidR="005B24C7" w:rsidRPr="00E443C6">
        <w:rPr>
          <w:rFonts w:ascii="Tahoma" w:hAnsi="Tahoma" w:cs="Tahoma"/>
          <w:spacing w:val="-3"/>
          <w:kern w:val="2"/>
        </w:rPr>
        <w:t>.</w:t>
      </w:r>
    </w:p>
    <w:p w14:paraId="63112A63" w14:textId="2493F614" w:rsidR="005B24C7" w:rsidRPr="00E443C6" w:rsidRDefault="005B24C7" w:rsidP="00E443C6">
      <w:pPr>
        <w:spacing w:line="276" w:lineRule="auto"/>
        <w:ind w:firstLine="709"/>
        <w:rPr>
          <w:rFonts w:ascii="Tahoma" w:hAnsi="Tahoma" w:cs="Tahoma"/>
          <w:spacing w:val="-3"/>
          <w:kern w:val="2"/>
        </w:rPr>
      </w:pPr>
    </w:p>
    <w:p w14:paraId="52A2F37E" w14:textId="2758D194" w:rsidR="005F5D18" w:rsidRPr="00E443C6" w:rsidRDefault="005B24C7" w:rsidP="00E443C6">
      <w:pPr>
        <w:spacing w:line="276" w:lineRule="auto"/>
        <w:ind w:firstLine="709"/>
        <w:rPr>
          <w:rFonts w:ascii="Tahoma" w:hAnsi="Tahoma" w:cs="Tahoma"/>
          <w:spacing w:val="-3"/>
          <w:kern w:val="2"/>
        </w:rPr>
      </w:pPr>
      <w:r w:rsidRPr="00E443C6">
        <w:rPr>
          <w:rFonts w:ascii="Tahoma" w:hAnsi="Tahoma" w:cs="Tahoma"/>
          <w:spacing w:val="-3"/>
          <w:kern w:val="2"/>
        </w:rPr>
        <w:t xml:space="preserve">De acuerdo con ello, solicitó que se revoque </w:t>
      </w:r>
      <w:r w:rsidR="005F5D18" w:rsidRPr="00E443C6">
        <w:rPr>
          <w:rFonts w:ascii="Tahoma" w:hAnsi="Tahoma" w:cs="Tahoma"/>
          <w:spacing w:val="-3"/>
          <w:kern w:val="2"/>
        </w:rPr>
        <w:t xml:space="preserve">el auto </w:t>
      </w:r>
      <w:r w:rsidRPr="00E443C6">
        <w:rPr>
          <w:rFonts w:ascii="Tahoma" w:hAnsi="Tahoma" w:cs="Tahoma"/>
          <w:spacing w:val="-3"/>
          <w:kern w:val="2"/>
        </w:rPr>
        <w:t xml:space="preserve">recurrido </w:t>
      </w:r>
      <w:r w:rsidR="005F5D18" w:rsidRPr="00E443C6">
        <w:rPr>
          <w:rFonts w:ascii="Tahoma" w:hAnsi="Tahoma" w:cs="Tahoma"/>
          <w:spacing w:val="-3"/>
          <w:kern w:val="2"/>
        </w:rPr>
        <w:t>y/o se ordene la vinculación de</w:t>
      </w:r>
      <w:r w:rsidR="00FC33F1" w:rsidRPr="00E443C6">
        <w:rPr>
          <w:rFonts w:ascii="Tahoma" w:hAnsi="Tahoma" w:cs="Tahoma"/>
          <w:spacing w:val="-3"/>
          <w:kern w:val="2"/>
        </w:rPr>
        <w:t xml:space="preserve"> la a</w:t>
      </w:r>
      <w:r w:rsidR="005F5D18" w:rsidRPr="00E443C6">
        <w:rPr>
          <w:rFonts w:ascii="Tahoma" w:hAnsi="Tahoma" w:cs="Tahoma"/>
          <w:spacing w:val="-3"/>
          <w:kern w:val="2"/>
        </w:rPr>
        <w:t xml:space="preserve">seguradora, para que en caso de ser necesario sea obligada a trasladar a la administradora la suma adicional que resulte de liquidar la pensión de </w:t>
      </w:r>
      <w:r w:rsidRPr="00E443C6">
        <w:rPr>
          <w:rFonts w:ascii="Tahoma" w:hAnsi="Tahoma" w:cs="Tahoma"/>
          <w:spacing w:val="-3"/>
          <w:kern w:val="2"/>
        </w:rPr>
        <w:t>sobrevivencia</w:t>
      </w:r>
      <w:r w:rsidR="005F5D18" w:rsidRPr="00E443C6">
        <w:rPr>
          <w:rFonts w:ascii="Tahoma" w:hAnsi="Tahoma" w:cs="Tahoma"/>
          <w:spacing w:val="-3"/>
          <w:kern w:val="2"/>
        </w:rPr>
        <w:t xml:space="preserve">, en caso de esta reconocerse. </w:t>
      </w:r>
    </w:p>
    <w:p w14:paraId="65A844C4" w14:textId="675B0769" w:rsidR="26C51FCA" w:rsidRPr="00E443C6" w:rsidRDefault="26C51FCA" w:rsidP="00E443C6">
      <w:pPr>
        <w:pStyle w:val="Sinespaciado"/>
        <w:spacing w:line="276" w:lineRule="auto"/>
        <w:rPr>
          <w:rFonts w:ascii="Tahoma" w:hAnsi="Tahoma" w:cs="Tahoma"/>
        </w:rPr>
      </w:pPr>
    </w:p>
    <w:p w14:paraId="52CE57D8" w14:textId="4936796A" w:rsidR="00FB2EA7" w:rsidRPr="00E443C6" w:rsidRDefault="00FB2EA7" w:rsidP="00E443C6">
      <w:pPr>
        <w:pStyle w:val="Prrafodelista"/>
        <w:numPr>
          <w:ilvl w:val="0"/>
          <w:numId w:val="1"/>
        </w:numPr>
        <w:tabs>
          <w:tab w:val="left" w:pos="284"/>
        </w:tabs>
        <w:spacing w:line="276" w:lineRule="auto"/>
        <w:jc w:val="center"/>
        <w:rPr>
          <w:rFonts w:ascii="Tahoma" w:hAnsi="Tahoma" w:cs="Tahoma"/>
          <w:b/>
          <w:bCs/>
        </w:rPr>
      </w:pPr>
      <w:r w:rsidRPr="00E443C6">
        <w:rPr>
          <w:rFonts w:ascii="Tahoma" w:hAnsi="Tahoma" w:cs="Tahoma"/>
          <w:b/>
          <w:bCs/>
        </w:rPr>
        <w:t>Alegatos</w:t>
      </w:r>
      <w:r w:rsidR="003001D0" w:rsidRPr="00E443C6">
        <w:rPr>
          <w:rFonts w:ascii="Tahoma" w:hAnsi="Tahoma" w:cs="Tahoma"/>
          <w:b/>
          <w:bCs/>
        </w:rPr>
        <w:t xml:space="preserve"> de conclusión</w:t>
      </w:r>
    </w:p>
    <w:p w14:paraId="01D9862E" w14:textId="77777777" w:rsidR="00FB2EA7" w:rsidRPr="00E443C6" w:rsidRDefault="00FB2EA7" w:rsidP="00E443C6">
      <w:pPr>
        <w:pStyle w:val="Sinespaciado"/>
        <w:spacing w:line="276" w:lineRule="auto"/>
        <w:rPr>
          <w:rFonts w:ascii="Tahoma" w:hAnsi="Tahoma" w:cs="Tahoma"/>
        </w:rPr>
      </w:pPr>
    </w:p>
    <w:p w14:paraId="751A87E3" w14:textId="77777777" w:rsidR="00B652EB" w:rsidRPr="00E443C6" w:rsidRDefault="00B652EB" w:rsidP="00E443C6">
      <w:pPr>
        <w:spacing w:line="276" w:lineRule="auto"/>
        <w:ind w:firstLine="708"/>
        <w:rPr>
          <w:rFonts w:ascii="Tahoma" w:eastAsia="Tahoma" w:hAnsi="Tahoma" w:cs="Tahoma"/>
        </w:rPr>
      </w:pPr>
      <w:r w:rsidRPr="00E443C6">
        <w:rPr>
          <w:rFonts w:ascii="Tahoma" w:eastAsia="Tahoma" w:hAnsi="Tahoma" w:cs="Tahoma"/>
        </w:rPr>
        <w:t xml:space="preserve">Como quedó sentado en la constancia secretarial que antecede, las partes guardaron silencio durante el término dispuesto para presentar alegatos de conclusión. </w:t>
      </w:r>
    </w:p>
    <w:p w14:paraId="582B2FD7" w14:textId="2A383DD5" w:rsidR="1FB93FC8" w:rsidRPr="00E443C6" w:rsidRDefault="1FB93FC8" w:rsidP="00E443C6">
      <w:pPr>
        <w:pStyle w:val="Sinespaciado"/>
        <w:spacing w:line="276" w:lineRule="auto"/>
        <w:rPr>
          <w:rFonts w:ascii="Tahoma" w:hAnsi="Tahoma" w:cs="Tahoma"/>
        </w:rPr>
      </w:pPr>
    </w:p>
    <w:p w14:paraId="019F1E92" w14:textId="77777777" w:rsidR="00B20045" w:rsidRPr="00E443C6" w:rsidRDefault="00B20045" w:rsidP="00E443C6">
      <w:pPr>
        <w:pStyle w:val="Prrafodelista"/>
        <w:numPr>
          <w:ilvl w:val="0"/>
          <w:numId w:val="1"/>
        </w:numPr>
        <w:tabs>
          <w:tab w:val="left" w:pos="284"/>
        </w:tabs>
        <w:spacing w:line="276" w:lineRule="auto"/>
        <w:jc w:val="center"/>
        <w:rPr>
          <w:rFonts w:ascii="Tahoma" w:hAnsi="Tahoma" w:cs="Tahoma"/>
          <w:b/>
          <w:bCs/>
        </w:rPr>
      </w:pPr>
      <w:r w:rsidRPr="00E443C6">
        <w:rPr>
          <w:rFonts w:ascii="Tahoma" w:hAnsi="Tahoma" w:cs="Tahoma"/>
          <w:b/>
          <w:bCs/>
        </w:rPr>
        <w:t>Problema jurídico por resolver</w:t>
      </w:r>
    </w:p>
    <w:p w14:paraId="50646E74" w14:textId="77777777" w:rsidR="00B20045" w:rsidRPr="00E443C6" w:rsidRDefault="00B20045" w:rsidP="00E443C6">
      <w:pPr>
        <w:pStyle w:val="Sinespaciado"/>
        <w:spacing w:line="276" w:lineRule="auto"/>
        <w:rPr>
          <w:rFonts w:ascii="Tahoma" w:hAnsi="Tahoma" w:cs="Tahoma"/>
          <w:lang w:val="es-419"/>
        </w:rPr>
      </w:pPr>
    </w:p>
    <w:p w14:paraId="17B981EF" w14:textId="02BC67FD" w:rsidR="26C51FCA" w:rsidRPr="00E443C6" w:rsidRDefault="26C51FCA" w:rsidP="00E443C6">
      <w:pPr>
        <w:pStyle w:val="Sinespaciado"/>
        <w:spacing w:line="276" w:lineRule="auto"/>
        <w:rPr>
          <w:rFonts w:ascii="Tahoma" w:hAnsi="Tahoma" w:cs="Tahoma"/>
          <w:lang w:val="es-419"/>
        </w:rPr>
      </w:pPr>
    </w:p>
    <w:p w14:paraId="51624FC2" w14:textId="2600DE89" w:rsidR="00610BD0" w:rsidRPr="00E443C6" w:rsidRDefault="00B20045" w:rsidP="00E443C6">
      <w:pPr>
        <w:spacing w:line="276" w:lineRule="auto"/>
        <w:ind w:firstLine="360"/>
        <w:rPr>
          <w:rFonts w:ascii="Tahoma" w:hAnsi="Tahoma" w:cs="Tahoma"/>
          <w:lang w:val="es-419"/>
        </w:rPr>
      </w:pPr>
      <w:r w:rsidRPr="00E443C6">
        <w:rPr>
          <w:rFonts w:ascii="Tahoma" w:hAnsi="Tahoma" w:cs="Tahoma"/>
          <w:lang w:val="es-419"/>
        </w:rPr>
        <w:t xml:space="preserve">De acuerdo con los argumentos expuestos en la decisión de primera instancia y los fundamentos de la apelación, le corresponde a la Sala </w:t>
      </w:r>
      <w:r w:rsidR="00EB6FCE" w:rsidRPr="00E443C6">
        <w:rPr>
          <w:rFonts w:ascii="Tahoma" w:hAnsi="Tahoma" w:cs="Tahoma"/>
          <w:lang w:val="es-419"/>
        </w:rPr>
        <w:t>determinar si</w:t>
      </w:r>
      <w:r w:rsidR="00ED79A4" w:rsidRPr="00E443C6">
        <w:rPr>
          <w:rFonts w:ascii="Tahoma" w:hAnsi="Tahoma" w:cs="Tahoma"/>
          <w:lang w:val="es-419"/>
        </w:rPr>
        <w:t xml:space="preserve"> </w:t>
      </w:r>
      <w:r w:rsidR="00797218" w:rsidRPr="00E443C6">
        <w:rPr>
          <w:rFonts w:ascii="Tahoma" w:hAnsi="Tahoma" w:cs="Tahoma"/>
          <w:lang w:val="es-419"/>
        </w:rPr>
        <w:t xml:space="preserve">el llamamiento en garantía a </w:t>
      </w:r>
      <w:r w:rsidR="00797218" w:rsidRPr="00E443C6">
        <w:rPr>
          <w:rFonts w:ascii="Tahoma" w:hAnsi="Tahoma" w:cs="Tahoma"/>
        </w:rPr>
        <w:t>Mapfre Colombia Vida Seguros S.A. se torna ineficaz.</w:t>
      </w:r>
    </w:p>
    <w:p w14:paraId="149BEAFD" w14:textId="4AA8E36E" w:rsidR="26C51FCA" w:rsidRPr="00E443C6" w:rsidRDefault="26C51FCA" w:rsidP="00E443C6">
      <w:pPr>
        <w:pStyle w:val="Sinespaciado"/>
        <w:spacing w:line="276" w:lineRule="auto"/>
        <w:rPr>
          <w:rFonts w:ascii="Tahoma" w:hAnsi="Tahoma" w:cs="Tahoma"/>
        </w:rPr>
      </w:pPr>
    </w:p>
    <w:p w14:paraId="0557C8AC" w14:textId="4C97F6B3" w:rsidR="006E0E08" w:rsidRPr="00E443C6" w:rsidRDefault="006E0E08" w:rsidP="00E443C6">
      <w:pPr>
        <w:pStyle w:val="Prrafodelista"/>
        <w:numPr>
          <w:ilvl w:val="0"/>
          <w:numId w:val="1"/>
        </w:numPr>
        <w:tabs>
          <w:tab w:val="left" w:pos="284"/>
        </w:tabs>
        <w:spacing w:line="276" w:lineRule="auto"/>
        <w:jc w:val="center"/>
        <w:rPr>
          <w:rFonts w:ascii="Tahoma" w:hAnsi="Tahoma" w:cs="Tahoma"/>
          <w:b/>
          <w:bCs/>
        </w:rPr>
      </w:pPr>
      <w:r w:rsidRPr="00E443C6">
        <w:rPr>
          <w:rFonts w:ascii="Tahoma" w:hAnsi="Tahoma" w:cs="Tahoma"/>
          <w:b/>
          <w:bCs/>
        </w:rPr>
        <w:t>Consideraciones</w:t>
      </w:r>
    </w:p>
    <w:p w14:paraId="4E1EEA21" w14:textId="4C29BEA3" w:rsidR="26C51FCA" w:rsidRPr="00E443C6" w:rsidRDefault="26C51FCA" w:rsidP="00E443C6">
      <w:pPr>
        <w:pStyle w:val="Sinespaciado"/>
        <w:spacing w:line="276" w:lineRule="auto"/>
        <w:rPr>
          <w:rFonts w:ascii="Tahoma" w:hAnsi="Tahoma" w:cs="Tahoma"/>
        </w:rPr>
      </w:pPr>
    </w:p>
    <w:p w14:paraId="67DE964C" w14:textId="69BC168E" w:rsidR="00AB3556" w:rsidRPr="00E443C6" w:rsidRDefault="00797218" w:rsidP="00E443C6">
      <w:pPr>
        <w:pStyle w:val="Prrafodelista"/>
        <w:numPr>
          <w:ilvl w:val="1"/>
          <w:numId w:val="1"/>
        </w:numPr>
        <w:spacing w:line="276" w:lineRule="auto"/>
        <w:ind w:left="567" w:firstLine="0"/>
        <w:rPr>
          <w:rFonts w:ascii="Tahoma" w:eastAsia="Tahoma" w:hAnsi="Tahoma" w:cs="Tahoma"/>
          <w:b/>
        </w:rPr>
      </w:pPr>
      <w:r w:rsidRPr="00E443C6">
        <w:rPr>
          <w:rFonts w:ascii="Tahoma" w:hAnsi="Tahoma" w:cs="Tahoma"/>
          <w:b/>
          <w:bCs/>
          <w:lang w:eastAsia="es-ES"/>
        </w:rPr>
        <w:t>Del llamamiento en garantía</w:t>
      </w:r>
    </w:p>
    <w:p w14:paraId="6138CFAD" w14:textId="77777777" w:rsidR="00AB3556" w:rsidRPr="00E443C6" w:rsidRDefault="00AB3556" w:rsidP="00E443C6">
      <w:pPr>
        <w:pStyle w:val="Sinespaciado"/>
        <w:spacing w:line="276" w:lineRule="auto"/>
        <w:rPr>
          <w:rFonts w:ascii="Tahoma" w:eastAsiaTheme="minorHAnsi" w:hAnsi="Tahoma" w:cs="Tahoma"/>
          <w:lang w:eastAsia="es-ES"/>
        </w:rPr>
      </w:pPr>
    </w:p>
    <w:p w14:paraId="6EA658C8" w14:textId="6C117EC6" w:rsidR="00270F47" w:rsidRPr="00E443C6" w:rsidRDefault="00270F47" w:rsidP="00E443C6">
      <w:pPr>
        <w:spacing w:line="276" w:lineRule="auto"/>
        <w:ind w:firstLine="360"/>
        <w:rPr>
          <w:rFonts w:ascii="Tahoma" w:hAnsi="Tahoma" w:cs="Tahoma"/>
        </w:rPr>
      </w:pPr>
      <w:r w:rsidRPr="00E443C6">
        <w:rPr>
          <w:rFonts w:ascii="Tahoma" w:hAnsi="Tahoma" w:cs="Tahoma"/>
        </w:rPr>
        <w:t xml:space="preserve">La figura del llamamiento en garantía, aplicable en el procedimiento laboral por remisión analógica permitida por el art. 145 del </w:t>
      </w:r>
      <w:proofErr w:type="spellStart"/>
      <w:r w:rsidRPr="00E443C6">
        <w:rPr>
          <w:rFonts w:ascii="Tahoma" w:hAnsi="Tahoma" w:cs="Tahoma"/>
        </w:rPr>
        <w:t>CPT</w:t>
      </w:r>
      <w:proofErr w:type="spellEnd"/>
      <w:r w:rsidRPr="00E443C6">
        <w:rPr>
          <w:rFonts w:ascii="Tahoma" w:hAnsi="Tahoma" w:cs="Tahoma"/>
        </w:rPr>
        <w:t xml:space="preserve"> y SS</w:t>
      </w:r>
      <w:r w:rsidR="00931BA1" w:rsidRPr="00E443C6">
        <w:rPr>
          <w:rFonts w:ascii="Tahoma" w:hAnsi="Tahoma" w:cs="Tahoma"/>
        </w:rPr>
        <w:t xml:space="preserve">, </w:t>
      </w:r>
      <w:r w:rsidRPr="00E443C6">
        <w:rPr>
          <w:rFonts w:ascii="Tahoma" w:hAnsi="Tahoma" w:cs="Tahoma"/>
        </w:rPr>
        <w:t xml:space="preserve">tal como se encuentra </w:t>
      </w:r>
      <w:r w:rsidR="00931BA1" w:rsidRPr="00E443C6">
        <w:rPr>
          <w:rFonts w:ascii="Tahoma" w:hAnsi="Tahoma" w:cs="Tahoma"/>
        </w:rPr>
        <w:t xml:space="preserve">prevista en el artículo 64 de </w:t>
      </w:r>
      <w:proofErr w:type="spellStart"/>
      <w:r w:rsidR="00931BA1" w:rsidRPr="00E443C6">
        <w:rPr>
          <w:rFonts w:ascii="Tahoma" w:hAnsi="Tahoma" w:cs="Tahoma"/>
        </w:rPr>
        <w:t>CGP</w:t>
      </w:r>
      <w:proofErr w:type="spellEnd"/>
      <w:r w:rsidR="00931BA1" w:rsidRPr="00E443C6">
        <w:rPr>
          <w:rFonts w:ascii="Tahoma" w:hAnsi="Tahoma" w:cs="Tahoma"/>
        </w:rPr>
        <w:t xml:space="preserve">, antes en el artículo 57 del </w:t>
      </w:r>
      <w:proofErr w:type="spellStart"/>
      <w:r w:rsidR="00931BA1" w:rsidRPr="00E443C6">
        <w:rPr>
          <w:rFonts w:ascii="Tahoma" w:hAnsi="Tahoma" w:cs="Tahoma"/>
        </w:rPr>
        <w:t>C</w:t>
      </w:r>
      <w:r w:rsidRPr="00E443C6">
        <w:rPr>
          <w:rFonts w:ascii="Tahoma" w:hAnsi="Tahoma" w:cs="Tahoma"/>
        </w:rPr>
        <w:t>.</w:t>
      </w:r>
      <w:r w:rsidR="00931BA1" w:rsidRPr="00E443C6">
        <w:rPr>
          <w:rFonts w:ascii="Tahoma" w:hAnsi="Tahoma" w:cs="Tahoma"/>
        </w:rPr>
        <w:t>P</w:t>
      </w:r>
      <w:r w:rsidRPr="00E443C6">
        <w:rPr>
          <w:rFonts w:ascii="Tahoma" w:hAnsi="Tahoma" w:cs="Tahoma"/>
        </w:rPr>
        <w:t>.</w:t>
      </w:r>
      <w:r w:rsidR="00931BA1" w:rsidRPr="00E443C6">
        <w:rPr>
          <w:rFonts w:ascii="Tahoma" w:hAnsi="Tahoma" w:cs="Tahoma"/>
        </w:rPr>
        <w:t>C</w:t>
      </w:r>
      <w:proofErr w:type="spellEnd"/>
      <w:r w:rsidR="00931BA1" w:rsidRPr="00E443C6">
        <w:rPr>
          <w:rFonts w:ascii="Tahoma" w:hAnsi="Tahoma" w:cs="Tahoma"/>
        </w:rPr>
        <w:t xml:space="preserve">, permite que quien es una de las partes en el proceso pueda lograr la incorporación al debate de un tercero, </w:t>
      </w:r>
      <w:r w:rsidRPr="00E443C6">
        <w:rPr>
          <w:rFonts w:ascii="Tahoma" w:hAnsi="Tahoma" w:cs="Tahoma"/>
        </w:rPr>
        <w:t>para que este</w:t>
      </w:r>
      <w:r w:rsidR="00931BA1" w:rsidRPr="00E443C6">
        <w:rPr>
          <w:rFonts w:ascii="Tahoma" w:hAnsi="Tahoma" w:cs="Tahoma"/>
        </w:rPr>
        <w:t xml:space="preserve">, en virtud de un vínculo legal o contractual, </w:t>
      </w:r>
      <w:r w:rsidRPr="00E443C6">
        <w:rPr>
          <w:rFonts w:ascii="Tahoma" w:hAnsi="Tahoma" w:cs="Tahoma"/>
        </w:rPr>
        <w:t>asuma, total o parcialmente, los efectos patrimoniales de la decisión que le resultare adversa, reembolsándole el valor de la condena, de acuerdo con lo convenido.</w:t>
      </w:r>
    </w:p>
    <w:p w14:paraId="7639628B" w14:textId="12866F00" w:rsidR="00A8398C" w:rsidRPr="00E443C6" w:rsidRDefault="00A8398C" w:rsidP="00E443C6">
      <w:pPr>
        <w:spacing w:line="276" w:lineRule="auto"/>
        <w:ind w:firstLine="360"/>
        <w:rPr>
          <w:rFonts w:ascii="Tahoma" w:hAnsi="Tahoma" w:cs="Tahoma"/>
        </w:rPr>
      </w:pPr>
    </w:p>
    <w:p w14:paraId="281C86B7" w14:textId="163BB455" w:rsidR="007E1D2E" w:rsidRPr="001D1E09" w:rsidRDefault="00A8398C" w:rsidP="00E443C6">
      <w:pPr>
        <w:spacing w:line="276" w:lineRule="auto"/>
        <w:ind w:firstLine="360"/>
        <w:rPr>
          <w:rFonts w:ascii="Tahoma" w:hAnsi="Tahoma" w:cs="Tahoma"/>
          <w:i/>
          <w:sz w:val="22"/>
        </w:rPr>
      </w:pPr>
      <w:r w:rsidRPr="00E443C6">
        <w:rPr>
          <w:rFonts w:ascii="Tahoma" w:hAnsi="Tahoma" w:cs="Tahoma"/>
        </w:rPr>
        <w:t xml:space="preserve">Al respecto de esta forma de intervención en el proceso, en la providencia </w:t>
      </w:r>
      <w:proofErr w:type="spellStart"/>
      <w:r w:rsidRPr="00E443C6">
        <w:rPr>
          <w:rFonts w:ascii="Tahoma" w:hAnsi="Tahoma" w:cs="Tahoma"/>
        </w:rPr>
        <w:t>SL3748</w:t>
      </w:r>
      <w:proofErr w:type="spellEnd"/>
      <w:r w:rsidRPr="00E443C6">
        <w:rPr>
          <w:rFonts w:ascii="Tahoma" w:hAnsi="Tahoma" w:cs="Tahoma"/>
        </w:rPr>
        <w:t xml:space="preserve"> de 2022, la Sala de Casación Laboral de la Corte Suprema de Justicia recordó, citando a su homóloga de la especialidad civil en providencia CSJ </w:t>
      </w:r>
      <w:proofErr w:type="spellStart"/>
      <w:r w:rsidRPr="00E443C6">
        <w:rPr>
          <w:rFonts w:ascii="Tahoma" w:hAnsi="Tahoma" w:cs="Tahoma"/>
        </w:rPr>
        <w:t>AC2900</w:t>
      </w:r>
      <w:proofErr w:type="spellEnd"/>
      <w:r w:rsidRPr="00E443C6">
        <w:rPr>
          <w:rFonts w:ascii="Tahoma" w:hAnsi="Tahoma" w:cs="Tahoma"/>
        </w:rPr>
        <w:t>-2017, que como con el llamamiento en garantía se suscita una acumulación de causas litigiosas, siendo una principal (demandante-demandado) y otra colateral (demandado -</w:t>
      </w:r>
      <w:r w:rsidRPr="00E443C6">
        <w:rPr>
          <w:rFonts w:ascii="Tahoma" w:hAnsi="Tahoma" w:cs="Tahoma"/>
        </w:rPr>
        <w:lastRenderedPageBreak/>
        <w:t xml:space="preserve">llamamiento en garantía), sin que la </w:t>
      </w:r>
      <w:r w:rsidR="007E1D2E" w:rsidRPr="00E443C6">
        <w:rPr>
          <w:rFonts w:ascii="Tahoma" w:hAnsi="Tahoma" w:cs="Tahoma"/>
        </w:rPr>
        <w:t xml:space="preserve">relación material del llamamiento </w:t>
      </w:r>
      <w:r w:rsidRPr="00E443C6">
        <w:rPr>
          <w:rFonts w:ascii="Tahoma" w:hAnsi="Tahoma" w:cs="Tahoma"/>
        </w:rPr>
        <w:t xml:space="preserve">se </w:t>
      </w:r>
      <w:r w:rsidR="007E1D2E" w:rsidRPr="00E443C6">
        <w:rPr>
          <w:rFonts w:ascii="Tahoma" w:hAnsi="Tahoma" w:cs="Tahoma"/>
        </w:rPr>
        <w:t>expand</w:t>
      </w:r>
      <w:r w:rsidRPr="00E443C6">
        <w:rPr>
          <w:rFonts w:ascii="Tahoma" w:hAnsi="Tahoma" w:cs="Tahoma"/>
        </w:rPr>
        <w:t>a</w:t>
      </w:r>
      <w:r w:rsidR="007E1D2E" w:rsidRPr="00E443C6">
        <w:rPr>
          <w:rFonts w:ascii="Tahoma" w:hAnsi="Tahoma" w:cs="Tahoma"/>
        </w:rPr>
        <w:t xml:space="preserve"> a ningún otro sujeto procesal ni siquiera a la parte actora</w:t>
      </w:r>
      <w:r w:rsidR="003F2272" w:rsidRPr="00E443C6">
        <w:rPr>
          <w:rFonts w:ascii="Tahoma" w:hAnsi="Tahoma" w:cs="Tahoma"/>
        </w:rPr>
        <w:t xml:space="preserve"> o que pueda suplirse con una vinculación oficiosa por parte del juez</w:t>
      </w:r>
      <w:r w:rsidR="007E1D2E" w:rsidRPr="00E443C6">
        <w:rPr>
          <w:rFonts w:ascii="Tahoma" w:hAnsi="Tahoma" w:cs="Tahoma"/>
        </w:rPr>
        <w:t>,</w:t>
      </w:r>
      <w:r w:rsidR="003F2272" w:rsidRPr="00E443C6">
        <w:rPr>
          <w:rFonts w:ascii="Tahoma" w:hAnsi="Tahoma" w:cs="Tahoma"/>
        </w:rPr>
        <w:t xml:space="preserve"> </w:t>
      </w:r>
      <w:r w:rsidRPr="00E443C6">
        <w:rPr>
          <w:rFonts w:ascii="Tahoma" w:hAnsi="Tahoma" w:cs="Tahoma"/>
        </w:rPr>
        <w:t>t</w:t>
      </w:r>
      <w:r w:rsidR="002F3219" w:rsidRPr="00E443C6">
        <w:rPr>
          <w:rFonts w:ascii="Tahoma" w:hAnsi="Tahoma" w:cs="Tahoma"/>
        </w:rPr>
        <w:t>anto así que en esa oportunidad indicó la Corte que: “</w:t>
      </w:r>
      <w:r w:rsidR="007E1D2E" w:rsidRPr="001D1E09">
        <w:rPr>
          <w:rFonts w:ascii="Tahoma" w:hAnsi="Tahoma" w:cs="Tahoma"/>
          <w:i/>
          <w:sz w:val="22"/>
          <w:lang w:val="es-MX"/>
        </w:rPr>
        <w:t xml:space="preserve">Entendida la finalidad procesal del llamamiento en garantía, le asiste razón al Tribunal en cuanto sostiene que este es </w:t>
      </w:r>
      <w:r w:rsidR="007E1D2E" w:rsidRPr="001D1E09">
        <w:rPr>
          <w:rFonts w:ascii="Tahoma" w:hAnsi="Tahoma" w:cs="Tahoma"/>
          <w:i/>
          <w:iCs/>
          <w:sz w:val="22"/>
        </w:rPr>
        <w:t xml:space="preserve">«un acto que depende exclusivamente de las partes y en ningún caso le corresponde al Juez» </w:t>
      </w:r>
      <w:r w:rsidR="007E1D2E" w:rsidRPr="001D1E09">
        <w:rPr>
          <w:rFonts w:ascii="Tahoma" w:hAnsi="Tahoma" w:cs="Tahoma"/>
          <w:i/>
          <w:sz w:val="22"/>
        </w:rPr>
        <w:t xml:space="preserve">no solo porque así se desprende del artículo 64 del </w:t>
      </w:r>
      <w:proofErr w:type="spellStart"/>
      <w:r w:rsidR="007E1D2E" w:rsidRPr="001D1E09">
        <w:rPr>
          <w:rFonts w:ascii="Tahoma" w:hAnsi="Tahoma" w:cs="Tahoma"/>
          <w:i/>
          <w:sz w:val="22"/>
        </w:rPr>
        <w:t>CGP</w:t>
      </w:r>
      <w:proofErr w:type="spellEnd"/>
      <w:r w:rsidR="007E1D2E" w:rsidRPr="001D1E09">
        <w:rPr>
          <w:rFonts w:ascii="Tahoma" w:hAnsi="Tahoma" w:cs="Tahoma"/>
          <w:i/>
          <w:sz w:val="22"/>
        </w:rPr>
        <w:t xml:space="preserve">, sino porque dentro de los deberes que el ordenamiento procesal impone al juez y que contempla en su artículo 42 </w:t>
      </w:r>
      <w:proofErr w:type="spellStart"/>
      <w:r w:rsidR="007E1D2E" w:rsidRPr="001D1E09">
        <w:rPr>
          <w:rFonts w:ascii="Tahoma" w:hAnsi="Tahoma" w:cs="Tahoma"/>
          <w:i/>
          <w:iCs/>
          <w:sz w:val="22"/>
        </w:rPr>
        <w:t>ibidem</w:t>
      </w:r>
      <w:proofErr w:type="spellEnd"/>
      <w:r w:rsidR="007E1D2E" w:rsidRPr="001D1E09">
        <w:rPr>
          <w:rFonts w:ascii="Tahoma" w:hAnsi="Tahoma" w:cs="Tahoma"/>
          <w:i/>
          <w:sz w:val="22"/>
        </w:rPr>
        <w:t xml:space="preserve">, establece en el numeral </w:t>
      </w:r>
      <w:r w:rsidR="007E1D2E" w:rsidRPr="001D1E09">
        <w:rPr>
          <w:rFonts w:ascii="Tahoma" w:hAnsi="Tahoma" w:cs="Tahoma"/>
          <w:i/>
          <w:iCs/>
          <w:sz w:val="22"/>
        </w:rPr>
        <w:t xml:space="preserve">«5. Adoptar las medidas autorizadas en este código para sanear los vicios de procedimiento o precaverlos, </w:t>
      </w:r>
      <w:r w:rsidR="007E1D2E" w:rsidRPr="001D1E09">
        <w:rPr>
          <w:rFonts w:ascii="Tahoma" w:hAnsi="Tahoma" w:cs="Tahoma"/>
          <w:i/>
          <w:iCs/>
          <w:sz w:val="22"/>
          <w:u w:val="single"/>
        </w:rPr>
        <w:t>integrar el litisconsorcio necesario</w:t>
      </w:r>
      <w:r w:rsidR="007E1D2E" w:rsidRPr="001D1E09">
        <w:rPr>
          <w:rFonts w:ascii="Tahoma" w:hAnsi="Tahoma" w:cs="Tahoma"/>
          <w:i/>
          <w:iCs/>
          <w:sz w:val="22"/>
        </w:rPr>
        <w:t xml:space="preserve"> e interpretar la demanda de manera que permita decidir el fondo del asunto. Esta interpretación debe respetar el derecho de contradicción y el principio de congruencia», </w:t>
      </w:r>
      <w:r w:rsidR="007E1D2E" w:rsidRPr="001D1E09">
        <w:rPr>
          <w:rFonts w:ascii="Tahoma" w:hAnsi="Tahoma" w:cs="Tahoma"/>
          <w:i/>
          <w:sz w:val="22"/>
        </w:rPr>
        <w:t xml:space="preserve">lo que reafirma que la facultad oficiosa del juez únicamente se le permite ejercerla tratándose de litisconsortes necesarios, tal como lo ratifica el artículo 61 del </w:t>
      </w:r>
      <w:proofErr w:type="spellStart"/>
      <w:r w:rsidR="007E1D2E" w:rsidRPr="001D1E09">
        <w:rPr>
          <w:rFonts w:ascii="Tahoma" w:hAnsi="Tahoma" w:cs="Tahoma"/>
          <w:i/>
          <w:sz w:val="22"/>
        </w:rPr>
        <w:t>CGP</w:t>
      </w:r>
      <w:proofErr w:type="spellEnd"/>
      <w:r w:rsidR="001D1E09" w:rsidRPr="001D1E09">
        <w:rPr>
          <w:rFonts w:ascii="Tahoma" w:hAnsi="Tahoma" w:cs="Tahoma"/>
          <w:i/>
          <w:sz w:val="22"/>
        </w:rPr>
        <w:t>”.</w:t>
      </w:r>
      <w:r w:rsidR="007E1D2E" w:rsidRPr="001D1E09">
        <w:rPr>
          <w:rFonts w:ascii="Tahoma" w:hAnsi="Tahoma" w:cs="Tahoma"/>
          <w:i/>
          <w:sz w:val="22"/>
        </w:rPr>
        <w:t xml:space="preserve"> (resaltado del texto).</w:t>
      </w:r>
    </w:p>
    <w:p w14:paraId="0DF6686B" w14:textId="411083F9" w:rsidR="003F2272" w:rsidRPr="00E443C6" w:rsidRDefault="003F2272" w:rsidP="00E443C6">
      <w:pPr>
        <w:spacing w:line="276" w:lineRule="auto"/>
        <w:ind w:firstLine="360"/>
        <w:rPr>
          <w:rFonts w:ascii="Tahoma" w:hAnsi="Tahoma" w:cs="Tahoma"/>
          <w:i/>
        </w:rPr>
      </w:pPr>
    </w:p>
    <w:p w14:paraId="3DB9996A" w14:textId="0B81E4D8" w:rsidR="00270F47" w:rsidRPr="00E443C6" w:rsidRDefault="003F2272" w:rsidP="00E443C6">
      <w:pPr>
        <w:spacing w:line="276" w:lineRule="auto"/>
        <w:ind w:firstLine="360"/>
        <w:rPr>
          <w:rFonts w:ascii="Tahoma" w:hAnsi="Tahoma" w:cs="Tahoma"/>
          <w:lang w:val="es-419"/>
        </w:rPr>
      </w:pPr>
      <w:r w:rsidRPr="00E443C6">
        <w:rPr>
          <w:rFonts w:ascii="Tahoma" w:hAnsi="Tahoma" w:cs="Tahoma"/>
          <w:lang w:val="es-419"/>
        </w:rPr>
        <w:t>Por otra parte, e</w:t>
      </w:r>
      <w:r w:rsidR="00270F47" w:rsidRPr="00E443C6">
        <w:rPr>
          <w:rFonts w:ascii="Tahoma" w:hAnsi="Tahoma" w:cs="Tahoma"/>
          <w:lang w:val="es-419"/>
        </w:rPr>
        <w:t xml:space="preserve">n cuanto al trámite del llamamiento en garantía, el artículo 66 del </w:t>
      </w:r>
      <w:proofErr w:type="spellStart"/>
      <w:r w:rsidR="00270F47" w:rsidRPr="00E443C6">
        <w:rPr>
          <w:rFonts w:ascii="Tahoma" w:hAnsi="Tahoma" w:cs="Tahoma"/>
          <w:lang w:val="es-419"/>
        </w:rPr>
        <w:t>C.G.P</w:t>
      </w:r>
      <w:proofErr w:type="spellEnd"/>
      <w:r w:rsidR="00270F47" w:rsidRPr="00E443C6">
        <w:rPr>
          <w:rFonts w:ascii="Tahoma" w:hAnsi="Tahoma" w:cs="Tahoma"/>
          <w:lang w:val="es-419"/>
        </w:rPr>
        <w:t xml:space="preserve">. dispone que: </w:t>
      </w:r>
      <w:r w:rsidR="00270F47" w:rsidRPr="00E443C6">
        <w:rPr>
          <w:rFonts w:ascii="Tahoma" w:hAnsi="Tahoma" w:cs="Tahoma"/>
          <w:i/>
          <w:lang w:val="es-419"/>
        </w:rPr>
        <w:t>“</w:t>
      </w:r>
      <w:r w:rsidR="00270F47" w:rsidRPr="001D1E09">
        <w:rPr>
          <w:rFonts w:ascii="Tahoma" w:hAnsi="Tahoma" w:cs="Tahoma"/>
          <w:i/>
          <w:sz w:val="22"/>
          <w:lang w:val="es-419"/>
        </w:rPr>
        <w:t>Si el juez halla procedente el llamamiento, ordenará notificar personalmente al convocado y correrle traslado del escrito por el término de la demanda inicial. Si la notificación no se logra dentro de los seis (6) meses siguientes, el llamamiento será ineficaz</w:t>
      </w:r>
      <w:r w:rsidRPr="00E443C6">
        <w:rPr>
          <w:rFonts w:ascii="Tahoma" w:hAnsi="Tahoma" w:cs="Tahoma"/>
          <w:i/>
          <w:lang w:val="es-419"/>
        </w:rPr>
        <w:t>”</w:t>
      </w:r>
      <w:r w:rsidR="002832EC" w:rsidRPr="00E443C6">
        <w:rPr>
          <w:rFonts w:ascii="Tahoma" w:hAnsi="Tahoma" w:cs="Tahoma"/>
          <w:lang w:val="es-419"/>
        </w:rPr>
        <w:t>, norma que ha sido interpretada por la Corte Constitucional en la sentencia T-309 de 2022, así:</w:t>
      </w:r>
    </w:p>
    <w:p w14:paraId="6173B220" w14:textId="77777777" w:rsidR="002832EC" w:rsidRPr="00E443C6" w:rsidRDefault="002832EC" w:rsidP="00E443C6">
      <w:pPr>
        <w:pStyle w:val="Sinespaciado"/>
        <w:spacing w:line="276" w:lineRule="auto"/>
        <w:rPr>
          <w:rFonts w:ascii="Tahoma" w:hAnsi="Tahoma" w:cs="Tahoma"/>
          <w:lang w:val="es-419"/>
        </w:rPr>
      </w:pPr>
    </w:p>
    <w:p w14:paraId="30C0AF11" w14:textId="27D58912" w:rsidR="008A7409" w:rsidRPr="001D1E09" w:rsidRDefault="002832EC" w:rsidP="001D1E09">
      <w:pPr>
        <w:spacing w:line="240" w:lineRule="auto"/>
        <w:ind w:left="426" w:right="420" w:firstLine="360"/>
        <w:rPr>
          <w:rFonts w:ascii="Tahoma" w:hAnsi="Tahoma" w:cs="Tahoma"/>
          <w:i/>
          <w:sz w:val="22"/>
        </w:rPr>
      </w:pPr>
      <w:r w:rsidRPr="001D1E09">
        <w:rPr>
          <w:rFonts w:ascii="Tahoma" w:hAnsi="Tahoma" w:cs="Tahoma"/>
          <w:i/>
          <w:sz w:val="22"/>
        </w:rPr>
        <w:t>“La</w:t>
      </w:r>
      <w:r w:rsidR="00797218" w:rsidRPr="001D1E09">
        <w:rPr>
          <w:rFonts w:ascii="Tahoma" w:hAnsi="Tahoma" w:cs="Tahoma"/>
          <w:i/>
          <w:sz w:val="22"/>
        </w:rPr>
        <w:t xml:space="preserve"> norma destacada establece una consecuencia jurídica cuando la notificación personal del auto que admite el llamamiento en garantía no se realiza en la oportunidad allí prevista. Esta consecuencia se concreta en su ineficacia. Tal disposición no condiciona la aplicación de la ineficacia del llamamiento a que su notificación esté a cargo de la parte interesada o de la autoridad judicial que tramita el proceso. Por lo tanto, al margen de si el operador judicial asumió la obligación de practicar la notificación personal o si esa carga se le impuso a la parte interesada, en uno u otro caso habrá lugar a tener por ineficaz el llamamiento en garantía si el mismo no se notifica dentro de los seis meses siguientes a la ejecutoria del auto que lo admitió. En otras palabras: el llamado no estará obligado a comparecer al proceso cuando la notificación personal que debía recibir es inoportuna</w:t>
      </w:r>
      <w:r w:rsidRPr="001D1E09">
        <w:rPr>
          <w:rFonts w:ascii="Tahoma" w:hAnsi="Tahoma" w:cs="Tahoma"/>
          <w:i/>
          <w:sz w:val="22"/>
        </w:rPr>
        <w:t>”</w:t>
      </w:r>
      <w:r w:rsidR="00797218" w:rsidRPr="001D1E09">
        <w:rPr>
          <w:rFonts w:ascii="Tahoma" w:hAnsi="Tahoma" w:cs="Tahoma"/>
          <w:i/>
          <w:sz w:val="22"/>
        </w:rPr>
        <w:t>.</w:t>
      </w:r>
    </w:p>
    <w:p w14:paraId="7247A093" w14:textId="1FE1198A" w:rsidR="00AB3556" w:rsidRPr="00E443C6" w:rsidRDefault="00AB3556" w:rsidP="00E443C6">
      <w:pPr>
        <w:pStyle w:val="Sinespaciado"/>
        <w:spacing w:line="276" w:lineRule="auto"/>
        <w:rPr>
          <w:rFonts w:ascii="Tahoma" w:eastAsiaTheme="minorHAnsi" w:hAnsi="Tahoma" w:cs="Tahoma"/>
        </w:rPr>
      </w:pPr>
    </w:p>
    <w:p w14:paraId="48156C70" w14:textId="62D0857E" w:rsidR="002832EC" w:rsidRPr="00E443C6" w:rsidRDefault="002832EC" w:rsidP="00E443C6">
      <w:pPr>
        <w:spacing w:line="276" w:lineRule="auto"/>
        <w:ind w:firstLine="360"/>
        <w:rPr>
          <w:rFonts w:ascii="Tahoma" w:hAnsi="Tahoma" w:cs="Tahoma"/>
          <w:lang w:val="es-419"/>
        </w:rPr>
      </w:pPr>
      <w:r w:rsidRPr="00E443C6">
        <w:rPr>
          <w:rFonts w:ascii="Tahoma" w:hAnsi="Tahoma" w:cs="Tahoma"/>
          <w:lang w:val="es-419"/>
        </w:rPr>
        <w:t>En este mismo sentido, la Sección Quinta del Consejo de Estado, en sede de tutela, el 24 de febrero de 2022 con radicación 2021-00392 advirtió que: “</w:t>
      </w:r>
      <w:r w:rsidR="008A7409" w:rsidRPr="001D1E09">
        <w:rPr>
          <w:rFonts w:ascii="Tahoma" w:hAnsi="Tahoma" w:cs="Tahoma"/>
          <w:i/>
          <w:sz w:val="22"/>
          <w:lang w:val="es-419"/>
        </w:rPr>
        <w:t xml:space="preserve">Por lo tanto, debe concluirse que al margen de que, si es el juzgado el encargado de la obligación de practicar la notificación personal, o, si esa carga se impuso a la parte interesada, en uno u otro caso habrá lugar a tener por ineficaz el llamamiento en garantía si el mismo no se notifica personalmente dentro de los seis meses siguientes a la ejecutoria del auto que lo admitió. Una interpretación en contrario conllevaría a afirmar que las autoridades judiciales no están obligadas al cumplimiento de los términos perentorios propios de las normas de orden público, mientras que tal exigencia se aplica de manera implacable a los sujetos procesales interesados en el llamamiento en garantía. Entonces, le asiste razón a la parte demandante cuando cuestiona la interpretación que sobre el punto adoptó el juzgado demandado, puesto que la norma en manera alguna da lugar a concluir que la ineficacia del llamamiento en garantía no aplica cuando es el despacho judicial el que debía adoptar los actos necesarios para notificarlo, o cuando este, contando con la oportunidad procesal para hacerlo, deje de ejecutar sus funciones, sin que tal omisión encuentre fundamento en un </w:t>
      </w:r>
      <w:r w:rsidR="008A7409" w:rsidRPr="001D1E09">
        <w:rPr>
          <w:rFonts w:ascii="Tahoma" w:hAnsi="Tahoma" w:cs="Tahoma"/>
          <w:i/>
          <w:sz w:val="22"/>
          <w:lang w:val="es-419"/>
        </w:rPr>
        <w:lastRenderedPageBreak/>
        <w:t xml:space="preserve">acuerdo o disposición legal que lo exima de cumplir los términos procesales, ya que los presupuestos para declarar la ineficacia están claramente descritos en el artículo 66 del </w:t>
      </w:r>
      <w:proofErr w:type="spellStart"/>
      <w:r w:rsidR="008A7409" w:rsidRPr="001D1E09">
        <w:rPr>
          <w:rFonts w:ascii="Tahoma" w:hAnsi="Tahoma" w:cs="Tahoma"/>
          <w:i/>
          <w:sz w:val="22"/>
          <w:lang w:val="es-419"/>
        </w:rPr>
        <w:t>CGP</w:t>
      </w:r>
      <w:proofErr w:type="spellEnd"/>
      <w:r w:rsidR="008A7409" w:rsidRPr="00E443C6">
        <w:rPr>
          <w:rFonts w:ascii="Tahoma" w:hAnsi="Tahoma" w:cs="Tahoma"/>
          <w:i/>
          <w:lang w:val="es-419"/>
        </w:rPr>
        <w:t>”. </w:t>
      </w:r>
    </w:p>
    <w:p w14:paraId="7E79C981" w14:textId="6987D25E" w:rsidR="26C51FCA" w:rsidRPr="00E443C6" w:rsidRDefault="26C51FCA" w:rsidP="00E443C6">
      <w:pPr>
        <w:pStyle w:val="Sinespaciado"/>
        <w:spacing w:line="276" w:lineRule="auto"/>
        <w:rPr>
          <w:rFonts w:ascii="Tahoma" w:hAnsi="Tahoma" w:cs="Tahoma"/>
        </w:rPr>
      </w:pPr>
    </w:p>
    <w:p w14:paraId="6B59D4F1" w14:textId="63CB8F5F" w:rsidR="00D57090" w:rsidRPr="00E443C6" w:rsidRDefault="00D57090" w:rsidP="00E443C6">
      <w:pPr>
        <w:pStyle w:val="Prrafodelista"/>
        <w:numPr>
          <w:ilvl w:val="1"/>
          <w:numId w:val="1"/>
        </w:numPr>
        <w:spacing w:line="276" w:lineRule="auto"/>
        <w:ind w:left="567" w:firstLine="0"/>
        <w:rPr>
          <w:rFonts w:ascii="Tahoma" w:hAnsi="Tahoma" w:cs="Tahoma"/>
          <w:b/>
          <w:bCs/>
          <w:spacing w:val="-3"/>
          <w:kern w:val="2"/>
          <w:lang w:val="es-419"/>
        </w:rPr>
      </w:pPr>
      <w:r w:rsidRPr="00E443C6">
        <w:rPr>
          <w:rFonts w:ascii="Tahoma" w:hAnsi="Tahoma" w:cs="Tahoma"/>
          <w:b/>
          <w:bCs/>
          <w:spacing w:val="-3"/>
          <w:kern w:val="2"/>
          <w:lang w:val="es-419"/>
        </w:rPr>
        <w:t xml:space="preserve">Caso concreto </w:t>
      </w:r>
    </w:p>
    <w:p w14:paraId="35DF7ECB" w14:textId="0959759A" w:rsidR="006E0E08" w:rsidRPr="00E443C6" w:rsidRDefault="006E0E08" w:rsidP="00E443C6">
      <w:pPr>
        <w:pStyle w:val="Sinespaciado"/>
        <w:spacing w:line="276" w:lineRule="auto"/>
        <w:rPr>
          <w:rFonts w:ascii="Tahoma" w:hAnsi="Tahoma" w:cs="Tahoma"/>
          <w:lang w:val="es-419"/>
        </w:rPr>
      </w:pPr>
    </w:p>
    <w:p w14:paraId="457F9CF3" w14:textId="787DCB28" w:rsidR="002717D5" w:rsidRPr="00E443C6" w:rsidRDefault="0016001E" w:rsidP="00E443C6">
      <w:pPr>
        <w:spacing w:line="276" w:lineRule="auto"/>
        <w:ind w:firstLine="567"/>
        <w:rPr>
          <w:rFonts w:ascii="Tahoma" w:hAnsi="Tahoma" w:cs="Tahoma"/>
        </w:rPr>
      </w:pPr>
      <w:r w:rsidRPr="00E443C6">
        <w:rPr>
          <w:rFonts w:ascii="Tahoma" w:hAnsi="Tahoma" w:cs="Tahoma"/>
          <w:spacing w:val="-3"/>
          <w:kern w:val="2"/>
          <w:lang w:val="es-419"/>
        </w:rPr>
        <w:t xml:space="preserve">A efectos de dar solución al </w:t>
      </w:r>
      <w:r w:rsidR="0099275D" w:rsidRPr="00E443C6">
        <w:rPr>
          <w:rFonts w:ascii="Tahoma" w:hAnsi="Tahoma" w:cs="Tahoma"/>
          <w:spacing w:val="-3"/>
          <w:kern w:val="2"/>
          <w:lang w:val="es-419"/>
        </w:rPr>
        <w:t>p</w:t>
      </w:r>
      <w:r w:rsidRPr="00E443C6">
        <w:rPr>
          <w:rFonts w:ascii="Tahoma" w:hAnsi="Tahoma" w:cs="Tahoma"/>
          <w:spacing w:val="-3"/>
          <w:kern w:val="2"/>
          <w:lang w:val="es-419"/>
        </w:rPr>
        <w:t>roblema jurídico planteado se dirá que</w:t>
      </w:r>
      <w:r w:rsidR="002832EC" w:rsidRPr="00E443C6">
        <w:rPr>
          <w:rFonts w:ascii="Tahoma" w:hAnsi="Tahoma" w:cs="Tahoma"/>
          <w:spacing w:val="-3"/>
          <w:kern w:val="2"/>
          <w:lang w:val="es-419"/>
        </w:rPr>
        <w:t xml:space="preserve"> se encuentra fuera de discusión que entre la admisión del llamamiento en garantía -12 de mayo de </w:t>
      </w:r>
      <w:r w:rsidR="00D36F80" w:rsidRPr="00E443C6">
        <w:rPr>
          <w:rFonts w:ascii="Tahoma" w:hAnsi="Tahoma" w:cs="Tahoma"/>
          <w:spacing w:val="-3"/>
          <w:kern w:val="2"/>
          <w:lang w:val="es-419"/>
        </w:rPr>
        <w:t xml:space="preserve">2022- y el auto recurrido -08 de junio de 2023- transcurrió más de los 06 meses establecidos en el art. 66 del </w:t>
      </w:r>
      <w:proofErr w:type="spellStart"/>
      <w:r w:rsidR="00D36F80" w:rsidRPr="00E443C6">
        <w:rPr>
          <w:rFonts w:ascii="Tahoma" w:hAnsi="Tahoma" w:cs="Tahoma"/>
          <w:spacing w:val="-3"/>
          <w:kern w:val="2"/>
          <w:lang w:val="es-419"/>
        </w:rPr>
        <w:t>CGP</w:t>
      </w:r>
      <w:proofErr w:type="spellEnd"/>
      <w:r w:rsidR="00D36F80" w:rsidRPr="00E443C6">
        <w:rPr>
          <w:rFonts w:ascii="Tahoma" w:hAnsi="Tahoma" w:cs="Tahoma"/>
          <w:spacing w:val="-3"/>
          <w:kern w:val="2"/>
          <w:lang w:val="es-419"/>
        </w:rPr>
        <w:t xml:space="preserve"> para que se llevara a cabo la notificación de la llamada en garantía </w:t>
      </w:r>
      <w:r w:rsidR="00D36F80" w:rsidRPr="00E443C6">
        <w:rPr>
          <w:rFonts w:ascii="Tahoma" w:hAnsi="Tahoma" w:cs="Tahoma"/>
        </w:rPr>
        <w:t>Mapfre Colombia Vida Seguros S.A., no obstante, alega Porvenir S.A. que dicho término no podía correr sin que el juzgado de primera instancia advirtiera de la omisión de la demandada de dar cuenta de la información requerida respecto a la dirección electrónica,</w:t>
      </w:r>
      <w:r w:rsidR="00EE3525" w:rsidRPr="00E443C6">
        <w:rPr>
          <w:rFonts w:ascii="Tahoma" w:hAnsi="Tahoma" w:cs="Tahoma"/>
        </w:rPr>
        <w:t xml:space="preserve"> puesto </w:t>
      </w:r>
      <w:r w:rsidR="00D36F80" w:rsidRPr="00E443C6">
        <w:rPr>
          <w:rFonts w:ascii="Tahoma" w:hAnsi="Tahoma" w:cs="Tahoma"/>
        </w:rPr>
        <w:t xml:space="preserve">que con las medidas </w:t>
      </w:r>
      <w:r w:rsidR="003C6D4C" w:rsidRPr="00E443C6">
        <w:rPr>
          <w:rFonts w:ascii="Tahoma" w:hAnsi="Tahoma" w:cs="Tahoma"/>
        </w:rPr>
        <w:t>adoptadas con ocasión del decreto 806 de 2020, hoy adoptado como legislación permanente por medio de la Ley 2213 de 2022, es el juzgado el que tiene la obligación de efectuar la notificación.</w:t>
      </w:r>
    </w:p>
    <w:p w14:paraId="7F281D5D" w14:textId="40FB862D" w:rsidR="003C6D4C" w:rsidRPr="00E443C6" w:rsidRDefault="003C6D4C" w:rsidP="00E443C6">
      <w:pPr>
        <w:spacing w:line="276" w:lineRule="auto"/>
        <w:ind w:firstLine="567"/>
        <w:rPr>
          <w:rFonts w:ascii="Tahoma" w:hAnsi="Tahoma" w:cs="Tahoma"/>
          <w:spacing w:val="-3"/>
          <w:kern w:val="2"/>
          <w:lang w:val="es-419"/>
        </w:rPr>
      </w:pPr>
    </w:p>
    <w:p w14:paraId="0C573CE6" w14:textId="2B972E0D" w:rsidR="003C6D4C" w:rsidRPr="00E443C6" w:rsidRDefault="003C6D4C" w:rsidP="00E443C6">
      <w:pPr>
        <w:spacing w:line="276" w:lineRule="auto"/>
        <w:ind w:firstLine="567"/>
        <w:rPr>
          <w:rFonts w:ascii="Tahoma" w:hAnsi="Tahoma" w:cs="Tahoma"/>
          <w:spacing w:val="-3"/>
          <w:kern w:val="2"/>
          <w:lang w:val="es-419"/>
        </w:rPr>
      </w:pPr>
      <w:r w:rsidRPr="00E443C6">
        <w:rPr>
          <w:rFonts w:ascii="Tahoma" w:hAnsi="Tahoma" w:cs="Tahoma"/>
          <w:spacing w:val="-3"/>
          <w:kern w:val="2"/>
          <w:lang w:val="es-419"/>
        </w:rPr>
        <w:t>Pues bien, de acuerdo a la interpretación dada por la Corte Constitucional y el Consejo de Estado en sede de tutela, para declarar ineficaz el llamamiento en garantía por transcurrir más de 06 meses sin lograrse la notificación, no se debe distinguir si el acto de notificación está a cargo del Despacho o de la parte, pues es un principio del derecho que “</w:t>
      </w:r>
      <w:r w:rsidRPr="001D1E09">
        <w:rPr>
          <w:rFonts w:ascii="Tahoma" w:hAnsi="Tahoma" w:cs="Tahoma"/>
          <w:i/>
          <w:sz w:val="22"/>
          <w:lang w:val="es-419"/>
        </w:rPr>
        <w:t>donde la ley no distingue no le es dado al interprete hacerlo</w:t>
      </w:r>
      <w:r w:rsidRPr="00E443C6">
        <w:rPr>
          <w:rFonts w:ascii="Tahoma" w:hAnsi="Tahoma" w:cs="Tahoma"/>
          <w:i/>
          <w:lang w:val="es-419"/>
        </w:rPr>
        <w:t>”</w:t>
      </w:r>
      <w:r w:rsidRPr="00E443C6">
        <w:rPr>
          <w:rFonts w:ascii="Tahoma" w:hAnsi="Tahoma" w:cs="Tahoma"/>
          <w:lang w:val="es-419"/>
        </w:rPr>
        <w:t xml:space="preserve">, </w:t>
      </w:r>
      <w:r w:rsidRPr="00E443C6">
        <w:rPr>
          <w:rFonts w:ascii="Tahoma" w:hAnsi="Tahoma" w:cs="Tahoma"/>
          <w:spacing w:val="-3"/>
          <w:kern w:val="2"/>
          <w:lang w:val="es-419"/>
        </w:rPr>
        <w:t xml:space="preserve">máximo en este caso en que la recurrente pretende trasladar su obligación al juzgado de conocimiento, cuando si bien es cierto que el despacho no efectuó la notificación por medio electrónico, fue porque Porvenir S.A., como parte interesada no proporcionó la documentación idónea que diera cuenta de la dirección de correo electrónico y tampoco informó un medio digital, bajo la gravedad de juramento, lo cual se le requirió desde que se admitió el llamamiento, sin que haya </w:t>
      </w:r>
      <w:r w:rsidR="00176DFB" w:rsidRPr="00E443C6">
        <w:rPr>
          <w:rFonts w:ascii="Tahoma" w:hAnsi="Tahoma" w:cs="Tahoma"/>
          <w:spacing w:val="-3"/>
          <w:kern w:val="2"/>
          <w:lang w:val="es-419"/>
        </w:rPr>
        <w:t>ninguna norma que le imponga a la jueza de conocimiento efectuar múltiples comunicaciones para informar a las partes de sus obligaciones, las cuales fueron conocidas oportunamente por medio de la notificación por estado, pues no de otra manera hubiese aportado un certificado</w:t>
      </w:r>
      <w:r w:rsidR="00EE3525" w:rsidRPr="00E443C6">
        <w:rPr>
          <w:rFonts w:ascii="Tahoma" w:hAnsi="Tahoma" w:cs="Tahoma"/>
          <w:spacing w:val="-3"/>
          <w:kern w:val="2"/>
          <w:lang w:val="es-419"/>
        </w:rPr>
        <w:t xml:space="preserve"> de existencia</w:t>
      </w:r>
      <w:r w:rsidR="00176DFB" w:rsidRPr="00E443C6">
        <w:rPr>
          <w:rFonts w:ascii="Tahoma" w:hAnsi="Tahoma" w:cs="Tahoma"/>
          <w:spacing w:val="-3"/>
          <w:kern w:val="2"/>
          <w:lang w:val="es-419"/>
        </w:rPr>
        <w:t xml:space="preserve"> de la aseguradora, pero sin percatarse que el mismo no contenía la información requerida por el juzgado.</w:t>
      </w:r>
    </w:p>
    <w:p w14:paraId="5314037A" w14:textId="41D63197" w:rsidR="00176DFB" w:rsidRPr="00E443C6" w:rsidRDefault="00176DFB" w:rsidP="00E443C6">
      <w:pPr>
        <w:spacing w:line="276" w:lineRule="auto"/>
        <w:ind w:firstLine="567"/>
        <w:rPr>
          <w:rFonts w:ascii="Tahoma" w:hAnsi="Tahoma" w:cs="Tahoma"/>
          <w:spacing w:val="-3"/>
          <w:kern w:val="2"/>
          <w:lang w:val="es-419"/>
        </w:rPr>
      </w:pPr>
    </w:p>
    <w:p w14:paraId="513958A1" w14:textId="7F1E817D" w:rsidR="00176DFB" w:rsidRPr="00E443C6" w:rsidRDefault="00176DFB" w:rsidP="00E443C6">
      <w:pPr>
        <w:spacing w:line="276" w:lineRule="auto"/>
        <w:ind w:firstLine="567"/>
        <w:rPr>
          <w:rStyle w:val="Textoennegrita"/>
          <w:rFonts w:ascii="Tahoma" w:eastAsia="Arial" w:hAnsi="Tahoma" w:cs="Tahoma"/>
        </w:rPr>
      </w:pPr>
      <w:r w:rsidRPr="00E443C6">
        <w:rPr>
          <w:rFonts w:ascii="Tahoma" w:hAnsi="Tahoma" w:cs="Tahoma"/>
          <w:spacing w:val="-3"/>
          <w:kern w:val="2"/>
          <w:lang w:val="es-419"/>
        </w:rPr>
        <w:t>Ahora, así como el recurrente cita el Decreto 806 de 2020 para fundamentar su apelación, es del caso recordar que esta norma, propiamente en el art. 8º establece que es el interesado quien proporciona las direcciones electrónicas donde deba surtirse la notificación, puesto que expresamente dispone que:</w:t>
      </w:r>
    </w:p>
    <w:p w14:paraId="4FED5658" w14:textId="77777777" w:rsidR="00176DFB" w:rsidRPr="00E443C6" w:rsidRDefault="00176DFB" w:rsidP="00E443C6">
      <w:pPr>
        <w:spacing w:line="276" w:lineRule="auto"/>
        <w:rPr>
          <w:rStyle w:val="Textoennegrita"/>
          <w:rFonts w:ascii="Tahoma" w:eastAsia="Arial" w:hAnsi="Tahoma" w:cs="Tahoma"/>
          <w:b w:val="0"/>
          <w:bCs w:val="0"/>
        </w:rPr>
      </w:pPr>
    </w:p>
    <w:p w14:paraId="5F163DD7" w14:textId="77777777" w:rsidR="00176DFB" w:rsidRPr="001D1E09" w:rsidRDefault="00176DFB" w:rsidP="001D1E09">
      <w:pPr>
        <w:spacing w:line="240" w:lineRule="auto"/>
        <w:ind w:left="426" w:right="420" w:firstLine="360"/>
        <w:rPr>
          <w:rFonts w:ascii="Tahoma" w:eastAsia="Tahoma" w:hAnsi="Tahoma" w:cs="Tahoma"/>
          <w:i/>
          <w:iCs/>
          <w:sz w:val="22"/>
          <w:lang w:val="es-419"/>
        </w:rPr>
      </w:pPr>
      <w:r w:rsidRPr="001D1E09">
        <w:rPr>
          <w:rFonts w:ascii="Tahoma" w:eastAsia="Tahoma" w:hAnsi="Tahoma" w:cs="Tahoma"/>
          <w:i/>
          <w:iCs/>
          <w:sz w:val="22"/>
          <w:lang w:val="es-419"/>
        </w:rPr>
        <w:t xml:space="preserve">“Las notificaciones que deban hacerse personalmente también podrán efectuarse con </w:t>
      </w:r>
      <w:proofErr w:type="spellStart"/>
      <w:r w:rsidRPr="001D1E09">
        <w:rPr>
          <w:rFonts w:ascii="Tahoma" w:eastAsia="Tahoma" w:hAnsi="Tahoma" w:cs="Tahoma"/>
          <w:i/>
          <w:iCs/>
          <w:sz w:val="22"/>
          <w:lang w:val="es-419"/>
        </w:rPr>
        <w:t>el</w:t>
      </w:r>
      <w:proofErr w:type="spellEnd"/>
      <w:r w:rsidRPr="001D1E09">
        <w:rPr>
          <w:rFonts w:ascii="Tahoma" w:eastAsia="Tahoma" w:hAnsi="Tahoma" w:cs="Tahoma"/>
          <w:i/>
          <w:iCs/>
          <w:sz w:val="22"/>
          <w:lang w:val="es-419"/>
        </w:rPr>
        <w:t xml:space="preserve"> envió de la providencia respectiva como mensaje de datos a la dirección electrónica o sitio </w:t>
      </w:r>
      <w:r w:rsidRPr="001D1E09">
        <w:rPr>
          <w:rFonts w:ascii="Tahoma" w:eastAsia="Tahoma" w:hAnsi="Tahoma" w:cs="Tahoma"/>
          <w:b/>
          <w:bCs/>
          <w:i/>
          <w:iCs/>
          <w:sz w:val="22"/>
          <w:u w:val="single"/>
          <w:lang w:val="es-419"/>
        </w:rPr>
        <w:t>que suministre el interesado en que se realice la notificación</w:t>
      </w:r>
      <w:r w:rsidRPr="001D1E09">
        <w:rPr>
          <w:rFonts w:ascii="Tahoma" w:eastAsia="Tahoma" w:hAnsi="Tahoma" w:cs="Tahoma"/>
          <w:i/>
          <w:iCs/>
          <w:sz w:val="22"/>
          <w:lang w:val="es-419"/>
        </w:rPr>
        <w:t xml:space="preserve">, sin necesidad del envío de previa citación o aviso físico o virtual (…). </w:t>
      </w:r>
    </w:p>
    <w:p w14:paraId="734F5312" w14:textId="77777777" w:rsidR="00176DFB" w:rsidRPr="001D1E09" w:rsidRDefault="00176DFB" w:rsidP="001D1E09">
      <w:pPr>
        <w:spacing w:line="240" w:lineRule="auto"/>
        <w:ind w:left="426" w:right="420" w:firstLine="360"/>
        <w:rPr>
          <w:rFonts w:ascii="Tahoma" w:eastAsia="Tahoma" w:hAnsi="Tahoma" w:cs="Tahoma"/>
          <w:i/>
          <w:iCs/>
          <w:sz w:val="22"/>
          <w:lang w:val="es-419"/>
        </w:rPr>
      </w:pPr>
    </w:p>
    <w:p w14:paraId="4532BDF1" w14:textId="6E44EE90" w:rsidR="00176DFB" w:rsidRPr="001D1E09" w:rsidRDefault="00176DFB" w:rsidP="001D1E09">
      <w:pPr>
        <w:spacing w:line="240" w:lineRule="auto"/>
        <w:ind w:left="426" w:right="420" w:firstLine="360"/>
        <w:rPr>
          <w:rFonts w:ascii="Tahoma" w:eastAsia="Tahoma" w:hAnsi="Tahoma" w:cs="Tahoma"/>
          <w:i/>
          <w:iCs/>
          <w:sz w:val="22"/>
          <w:lang w:val="es-419"/>
        </w:rPr>
      </w:pPr>
      <w:r w:rsidRPr="001D1E09">
        <w:rPr>
          <w:rFonts w:ascii="Tahoma" w:eastAsia="Tahoma" w:hAnsi="Tahoma" w:cs="Tahoma"/>
          <w:b/>
          <w:bCs/>
          <w:i/>
          <w:iCs/>
          <w:sz w:val="22"/>
          <w:u w:val="single"/>
          <w:lang w:val="es-419"/>
        </w:rPr>
        <w:t xml:space="preserve">El interesado afirmará bajo la gravedad de juramento, que se entenderá prestado con la petición, que la dirección electrónica o sitio </w:t>
      </w:r>
      <w:r w:rsidRPr="001D1E09">
        <w:rPr>
          <w:rFonts w:ascii="Tahoma" w:eastAsia="Tahoma" w:hAnsi="Tahoma" w:cs="Tahoma"/>
          <w:b/>
          <w:bCs/>
          <w:i/>
          <w:iCs/>
          <w:sz w:val="22"/>
          <w:u w:val="single"/>
          <w:lang w:val="es-419"/>
        </w:rPr>
        <w:lastRenderedPageBreak/>
        <w:t>suministrado corresponde al utilizado por la persona a notificar, informará la forma como la obtuvo y allegará las evidencias correspondientes</w:t>
      </w:r>
      <w:r w:rsidRPr="001D1E09">
        <w:rPr>
          <w:rFonts w:ascii="Tahoma" w:eastAsia="Tahoma" w:hAnsi="Tahoma" w:cs="Tahoma"/>
          <w:i/>
          <w:iCs/>
          <w:sz w:val="22"/>
          <w:lang w:val="es-419"/>
        </w:rPr>
        <w:t>, particularmente las comunicaciones remitidas a la persona por notificar (…)”</w:t>
      </w:r>
    </w:p>
    <w:p w14:paraId="663001E0" w14:textId="77777777" w:rsidR="00176DFB" w:rsidRPr="00E443C6" w:rsidRDefault="00176DFB" w:rsidP="00E443C6">
      <w:pPr>
        <w:spacing w:line="276" w:lineRule="auto"/>
        <w:ind w:firstLine="567"/>
        <w:rPr>
          <w:rFonts w:ascii="Tahoma" w:eastAsia="Tahoma" w:hAnsi="Tahoma" w:cs="Tahoma"/>
          <w:spacing w:val="-3"/>
          <w:kern w:val="2"/>
          <w:lang w:val="es-419"/>
        </w:rPr>
      </w:pPr>
    </w:p>
    <w:p w14:paraId="451833CA" w14:textId="7A8555AC" w:rsidR="00FC33F1" w:rsidRPr="00E443C6" w:rsidRDefault="00176DFB" w:rsidP="00E443C6">
      <w:pPr>
        <w:spacing w:line="276" w:lineRule="auto"/>
        <w:ind w:firstLine="567"/>
        <w:rPr>
          <w:rFonts w:ascii="Tahoma" w:hAnsi="Tahoma" w:cs="Tahoma"/>
          <w:spacing w:val="-3"/>
          <w:kern w:val="2"/>
        </w:rPr>
      </w:pPr>
      <w:r w:rsidRPr="00E443C6">
        <w:rPr>
          <w:rFonts w:ascii="Tahoma" w:hAnsi="Tahoma" w:cs="Tahoma"/>
          <w:spacing w:val="-3"/>
          <w:kern w:val="2"/>
        </w:rPr>
        <w:t>De acuerdo con ello, no es cierto que el Decreto 806 de 2020 trasladara toda la carga de la notificación a los funcionarios judiciales, sin intervención alguna de la parte, por lo cual, siendo la interesada Porvenir S.A. en que se materializ</w:t>
      </w:r>
      <w:r w:rsidR="673A53B1" w:rsidRPr="00E443C6">
        <w:rPr>
          <w:rFonts w:ascii="Tahoma" w:hAnsi="Tahoma" w:cs="Tahoma"/>
          <w:spacing w:val="-3"/>
          <w:kern w:val="2"/>
        </w:rPr>
        <w:t>ar</w:t>
      </w:r>
      <w:r w:rsidRPr="00E443C6">
        <w:rPr>
          <w:rFonts w:ascii="Tahoma" w:hAnsi="Tahoma" w:cs="Tahoma"/>
          <w:spacing w:val="-3"/>
          <w:kern w:val="2"/>
        </w:rPr>
        <w:t>a el llamamiento en garantía, es quien debió proporcionar la dirección electrónica, junto con las evidencias respectivas, tal como fuese requerido por el Despacho o, en su defecto afirmar que no contaba con dicha información para así, llevar a cabo la notificación de forma personal</w:t>
      </w:r>
      <w:r w:rsidR="006800F9" w:rsidRPr="00E443C6">
        <w:rPr>
          <w:rFonts w:ascii="Tahoma" w:hAnsi="Tahoma" w:cs="Tahoma"/>
          <w:spacing w:val="-3"/>
          <w:kern w:val="2"/>
        </w:rPr>
        <w:t xml:space="preserve"> y presencial en el domicilio de la aseguradora</w:t>
      </w:r>
      <w:r w:rsidRPr="00E443C6">
        <w:rPr>
          <w:rFonts w:ascii="Tahoma" w:hAnsi="Tahoma" w:cs="Tahoma"/>
          <w:spacing w:val="-3"/>
          <w:kern w:val="2"/>
        </w:rPr>
        <w:t xml:space="preserve">, </w:t>
      </w:r>
      <w:r w:rsidR="006800F9" w:rsidRPr="00E443C6">
        <w:rPr>
          <w:rFonts w:ascii="Tahoma" w:hAnsi="Tahoma" w:cs="Tahoma"/>
          <w:spacing w:val="-3"/>
          <w:kern w:val="2"/>
        </w:rPr>
        <w:t>última para lo cual era carga de la demandada enviar la respectiva citación, lo que tampoco hizo, pese a que desde el escrito del llamamiento en garantía, en el acápite de notificaciones indicó una dirección física, de donde se puede colegir que su intención era optar por la notificación siguiendo las reglas generales previstas en el artículo 291 del Código General del Proceso, ante la coexistencia de las dos formas de llevar a cabo la notificación personal.</w:t>
      </w:r>
    </w:p>
    <w:p w14:paraId="2DF1B539" w14:textId="2CC2265F" w:rsidR="006800F9" w:rsidRPr="00E443C6" w:rsidRDefault="006800F9" w:rsidP="00E443C6">
      <w:pPr>
        <w:spacing w:line="276" w:lineRule="auto"/>
        <w:ind w:firstLine="567"/>
        <w:rPr>
          <w:rFonts w:ascii="Tahoma" w:hAnsi="Tahoma" w:cs="Tahoma"/>
          <w:spacing w:val="-3"/>
          <w:kern w:val="2"/>
        </w:rPr>
      </w:pPr>
    </w:p>
    <w:p w14:paraId="7D9070C7" w14:textId="1A852B0B" w:rsidR="006800F9" w:rsidRPr="00E443C6" w:rsidRDefault="166A0F98" w:rsidP="00E443C6">
      <w:pPr>
        <w:spacing w:line="276" w:lineRule="auto"/>
        <w:ind w:firstLine="567"/>
        <w:rPr>
          <w:rFonts w:ascii="Tahoma" w:eastAsia="Tahoma" w:hAnsi="Tahoma" w:cs="Tahoma"/>
          <w:i/>
          <w:iCs/>
          <w:lang w:val="es-419"/>
        </w:rPr>
      </w:pPr>
      <w:r w:rsidRPr="00E443C6">
        <w:rPr>
          <w:rFonts w:ascii="Tahoma" w:hAnsi="Tahoma" w:cs="Tahoma"/>
          <w:spacing w:val="-3"/>
          <w:kern w:val="2"/>
        </w:rPr>
        <w:t xml:space="preserve">Un asunto similar </w:t>
      </w:r>
      <w:r w:rsidR="006800F9" w:rsidRPr="00E443C6">
        <w:rPr>
          <w:rFonts w:ascii="Tahoma" w:hAnsi="Tahoma" w:cs="Tahoma"/>
          <w:spacing w:val="-3"/>
          <w:kern w:val="2"/>
        </w:rPr>
        <w:t>fue considerado por esta Corporación en reciente providencia en que también se desató un recurso de apelación en contra del auto que declaró ineficaz el llamamiento en garantía, auto del 31 de mayo de 2023, radicación 2020-00185</w:t>
      </w:r>
      <w:r w:rsidR="074FFD81" w:rsidRPr="00E443C6">
        <w:rPr>
          <w:rFonts w:ascii="Tahoma" w:hAnsi="Tahoma" w:cs="Tahoma"/>
          <w:spacing w:val="-3"/>
          <w:kern w:val="2"/>
        </w:rPr>
        <w:t xml:space="preserve"> con ponencia del Magistrado Julio César Salazar Muñoz</w:t>
      </w:r>
      <w:r w:rsidR="28956E80" w:rsidRPr="00E443C6">
        <w:rPr>
          <w:rFonts w:ascii="Tahoma" w:hAnsi="Tahoma" w:cs="Tahoma"/>
          <w:spacing w:val="-3"/>
          <w:kern w:val="2"/>
        </w:rPr>
        <w:t>, en los siguientes términos</w:t>
      </w:r>
      <w:r w:rsidR="006800F9" w:rsidRPr="00E443C6">
        <w:rPr>
          <w:rFonts w:ascii="Tahoma" w:hAnsi="Tahoma" w:cs="Tahoma"/>
          <w:spacing w:val="-3"/>
          <w:kern w:val="2"/>
        </w:rPr>
        <w:t>:</w:t>
      </w:r>
      <w:r w:rsidR="006800F9" w:rsidRPr="00E443C6">
        <w:rPr>
          <w:rFonts w:ascii="Tahoma" w:eastAsia="Tahoma" w:hAnsi="Tahoma" w:cs="Tahoma"/>
          <w:spacing w:val="-3"/>
          <w:kern w:val="2"/>
        </w:rPr>
        <w:t xml:space="preserve"> </w:t>
      </w:r>
      <w:r w:rsidR="00EE3525" w:rsidRPr="00E443C6">
        <w:rPr>
          <w:rFonts w:ascii="Tahoma" w:eastAsia="Tahoma" w:hAnsi="Tahoma" w:cs="Tahoma"/>
          <w:spacing w:val="-3"/>
          <w:kern w:val="2"/>
        </w:rPr>
        <w:t>“</w:t>
      </w:r>
      <w:r w:rsidR="006800F9" w:rsidRPr="001D1E09">
        <w:rPr>
          <w:rFonts w:ascii="Tahoma" w:eastAsia="Tahoma" w:hAnsi="Tahoma" w:cs="Tahoma"/>
          <w:i/>
          <w:iCs/>
          <w:sz w:val="22"/>
          <w:lang w:val="es-419"/>
        </w:rPr>
        <w:t xml:space="preserve">De manera tal que, según las normas vigentes, es el interesado en el acto procesal de la notificación personal quien determina si acude a lo previsto en el artículo 8° de la referida disposición o, la realiza siguiendo las reglas generales previstas en el artículo 291 del Código General del proceso, sin que nada de ello riña con las medidas adoptadas en virtud a la emergencia sanitaria declarada por el Gobierno Nacional con ocasión a la pandemia generada por el </w:t>
      </w:r>
      <w:proofErr w:type="spellStart"/>
      <w:r w:rsidR="006800F9" w:rsidRPr="001D1E09">
        <w:rPr>
          <w:rFonts w:ascii="Tahoma" w:eastAsia="Tahoma" w:hAnsi="Tahoma" w:cs="Tahoma"/>
          <w:i/>
          <w:iCs/>
          <w:sz w:val="22"/>
          <w:lang w:val="es-419"/>
        </w:rPr>
        <w:t>Covid</w:t>
      </w:r>
      <w:proofErr w:type="spellEnd"/>
      <w:r w:rsidR="006800F9" w:rsidRPr="001D1E09">
        <w:rPr>
          <w:rFonts w:ascii="Tahoma" w:eastAsia="Tahoma" w:hAnsi="Tahoma" w:cs="Tahoma"/>
          <w:i/>
          <w:iCs/>
          <w:sz w:val="22"/>
          <w:lang w:val="es-419"/>
        </w:rPr>
        <w:t>-19, que privilegiaron los canales virtuales y el uso de las tecnologías de la información y las comunicaciones durante el aislamiento obligatorio</w:t>
      </w:r>
      <w:r w:rsidR="006800F9" w:rsidRPr="00E443C6">
        <w:rPr>
          <w:rFonts w:ascii="Tahoma" w:eastAsia="Tahoma" w:hAnsi="Tahoma" w:cs="Tahoma"/>
          <w:i/>
          <w:iCs/>
          <w:lang w:val="es-419"/>
        </w:rPr>
        <w:t>”.</w:t>
      </w:r>
    </w:p>
    <w:p w14:paraId="11DA44DC" w14:textId="77777777" w:rsidR="006800F9" w:rsidRPr="00E443C6" w:rsidRDefault="006800F9" w:rsidP="00E443C6">
      <w:pPr>
        <w:spacing w:line="276" w:lineRule="auto"/>
        <w:ind w:firstLine="567"/>
        <w:rPr>
          <w:rFonts w:ascii="Tahoma" w:eastAsia="Tahoma" w:hAnsi="Tahoma" w:cs="Tahoma"/>
          <w:spacing w:val="-3"/>
          <w:kern w:val="2"/>
        </w:rPr>
      </w:pPr>
    </w:p>
    <w:p w14:paraId="74A6A064" w14:textId="27C1703E" w:rsidR="00176DFB" w:rsidRPr="00E443C6" w:rsidRDefault="00EE3525" w:rsidP="00E443C6">
      <w:pPr>
        <w:spacing w:line="276" w:lineRule="auto"/>
        <w:ind w:firstLine="567"/>
        <w:rPr>
          <w:rFonts w:ascii="Tahoma" w:hAnsi="Tahoma" w:cs="Tahoma"/>
          <w:spacing w:val="-3"/>
          <w:kern w:val="2"/>
        </w:rPr>
      </w:pPr>
      <w:r w:rsidRPr="00E443C6">
        <w:rPr>
          <w:rFonts w:ascii="Tahoma" w:hAnsi="Tahoma" w:cs="Tahoma"/>
          <w:spacing w:val="-3"/>
          <w:kern w:val="2"/>
        </w:rPr>
        <w:t xml:space="preserve">De acuerdo con lo anterior, ante el evidente transcurso de más de 06 meses a partir de la admisión del llamamiento en garantía, sin que se hubiese logrado la notificación, acertó la jueza en declarar ineficaz el mismo y, por lo tanto, se confirmará la providencia recurrida, condenándose en costas a Porvenir S.A., por no haber salido avante su recurso. </w:t>
      </w:r>
    </w:p>
    <w:p w14:paraId="1329674D" w14:textId="77777777" w:rsidR="00176DFB" w:rsidRPr="00E443C6" w:rsidRDefault="00176DFB" w:rsidP="00E443C6">
      <w:pPr>
        <w:spacing w:line="276" w:lineRule="auto"/>
        <w:ind w:firstLine="567"/>
        <w:rPr>
          <w:rFonts w:ascii="Tahoma" w:hAnsi="Tahoma" w:cs="Tahoma"/>
          <w:spacing w:val="-3"/>
          <w:kern w:val="2"/>
        </w:rPr>
      </w:pPr>
    </w:p>
    <w:p w14:paraId="1144DF44" w14:textId="6FA82BAA" w:rsidR="00C046A7" w:rsidRPr="00E443C6" w:rsidRDefault="00EE3525" w:rsidP="00E443C6">
      <w:pPr>
        <w:spacing w:line="276" w:lineRule="auto"/>
        <w:ind w:firstLine="567"/>
        <w:rPr>
          <w:rFonts w:ascii="Tahoma" w:hAnsi="Tahoma" w:cs="Tahoma"/>
          <w:spacing w:val="-3"/>
          <w:kern w:val="2"/>
          <w:lang w:val="es-419"/>
        </w:rPr>
      </w:pPr>
      <w:r w:rsidRPr="00E443C6">
        <w:rPr>
          <w:rFonts w:ascii="Tahoma" w:hAnsi="Tahoma" w:cs="Tahoma"/>
          <w:spacing w:val="-3"/>
          <w:kern w:val="2"/>
          <w:lang w:val="es-419"/>
        </w:rPr>
        <w:t>Finalmente, no se atiende la solicitud de</w:t>
      </w:r>
      <w:r w:rsidR="00C046A7" w:rsidRPr="00E443C6">
        <w:rPr>
          <w:rFonts w:ascii="Tahoma" w:hAnsi="Tahoma" w:cs="Tahoma"/>
          <w:spacing w:val="-3"/>
          <w:kern w:val="2"/>
          <w:lang w:val="es-419"/>
        </w:rPr>
        <w:t> </w:t>
      </w:r>
      <w:r w:rsidR="0079453D" w:rsidRPr="00E443C6">
        <w:rPr>
          <w:rFonts w:ascii="Tahoma" w:hAnsi="Tahoma" w:cs="Tahoma"/>
          <w:spacing w:val="-3"/>
          <w:kern w:val="2"/>
          <w:lang w:val="es-419"/>
        </w:rPr>
        <w:t xml:space="preserve">Porvenir S.A. de ordenar la vinculación de </w:t>
      </w:r>
      <w:r w:rsidR="0079453D" w:rsidRPr="00E443C6">
        <w:rPr>
          <w:rFonts w:ascii="Tahoma" w:hAnsi="Tahoma" w:cs="Tahoma"/>
        </w:rPr>
        <w:t xml:space="preserve">Mapfre Colombia Vida Seguros S.A. por cuanto, a pesar de existir el seguro previsional y que por ello, eventualmente tendría que aportar la suma faltante para el reconocimiento de la pensión de sobrevivientes, ello no hace que sea obligatoria su comparecencia al proceso y, </w:t>
      </w:r>
      <w:r w:rsidR="6389F2EA" w:rsidRPr="00E443C6">
        <w:rPr>
          <w:rFonts w:ascii="Tahoma" w:hAnsi="Tahoma" w:cs="Tahoma"/>
        </w:rPr>
        <w:t xml:space="preserve">como </w:t>
      </w:r>
      <w:r w:rsidR="0079453D" w:rsidRPr="00E443C6">
        <w:rPr>
          <w:rFonts w:ascii="Tahoma" w:hAnsi="Tahoma" w:cs="Tahoma"/>
        </w:rPr>
        <w:t>no es un litisconsorcio necesario</w:t>
      </w:r>
      <w:r w:rsidR="04378052" w:rsidRPr="00E443C6">
        <w:rPr>
          <w:rFonts w:ascii="Tahoma" w:hAnsi="Tahoma" w:cs="Tahoma"/>
        </w:rPr>
        <w:t xml:space="preserve"> ello no obliga a</w:t>
      </w:r>
      <w:r w:rsidR="0079453D" w:rsidRPr="00E443C6">
        <w:rPr>
          <w:rFonts w:ascii="Tahoma" w:hAnsi="Tahoma" w:cs="Tahoma"/>
        </w:rPr>
        <w:t xml:space="preserve"> la administra</w:t>
      </w:r>
      <w:r w:rsidR="69B42375" w:rsidRPr="00E443C6">
        <w:rPr>
          <w:rFonts w:ascii="Tahoma" w:hAnsi="Tahoma" w:cs="Tahoma"/>
        </w:rPr>
        <w:t>c</w:t>
      </w:r>
      <w:r w:rsidR="0079453D" w:rsidRPr="00E443C6">
        <w:rPr>
          <w:rFonts w:ascii="Tahoma" w:hAnsi="Tahoma" w:cs="Tahoma"/>
        </w:rPr>
        <w:t xml:space="preserve">ión de justicia </w:t>
      </w:r>
      <w:r w:rsidR="5075A274" w:rsidRPr="00E443C6">
        <w:rPr>
          <w:rFonts w:ascii="Tahoma" w:hAnsi="Tahoma" w:cs="Tahoma"/>
        </w:rPr>
        <w:t xml:space="preserve">a </w:t>
      </w:r>
      <w:r w:rsidR="0079453D" w:rsidRPr="00E443C6">
        <w:rPr>
          <w:rFonts w:ascii="Tahoma" w:hAnsi="Tahoma" w:cs="Tahoma"/>
        </w:rPr>
        <w:t>convocar al proceso</w:t>
      </w:r>
      <w:r w:rsidR="01093896" w:rsidRPr="00E443C6">
        <w:rPr>
          <w:rFonts w:ascii="Tahoma" w:hAnsi="Tahoma" w:cs="Tahoma"/>
        </w:rPr>
        <w:t xml:space="preserve"> a Mapfre</w:t>
      </w:r>
      <w:r w:rsidR="0079453D" w:rsidRPr="00E443C6">
        <w:rPr>
          <w:rFonts w:ascii="Tahoma" w:hAnsi="Tahoma" w:cs="Tahoma"/>
        </w:rPr>
        <w:t>, en el entendido que el liti</w:t>
      </w:r>
      <w:r w:rsidR="05A77CE2" w:rsidRPr="00E443C6">
        <w:rPr>
          <w:rFonts w:ascii="Tahoma" w:hAnsi="Tahoma" w:cs="Tahoma"/>
        </w:rPr>
        <w:t>gi</w:t>
      </w:r>
      <w:r w:rsidR="0079453D" w:rsidRPr="00E443C6">
        <w:rPr>
          <w:rFonts w:ascii="Tahoma" w:hAnsi="Tahoma" w:cs="Tahoma"/>
        </w:rPr>
        <w:t xml:space="preserve">o planteado por los demandantes frente al reconocimiento de la gracia pensional puede ser resuelto </w:t>
      </w:r>
      <w:proofErr w:type="spellStart"/>
      <w:r w:rsidR="0079453D" w:rsidRPr="00E443C6">
        <w:rPr>
          <w:rFonts w:ascii="Tahoma" w:hAnsi="Tahoma" w:cs="Tahoma"/>
        </w:rPr>
        <w:t>aun</w:t>
      </w:r>
      <w:proofErr w:type="spellEnd"/>
      <w:r w:rsidR="0079453D" w:rsidRPr="00E443C6">
        <w:rPr>
          <w:rFonts w:ascii="Tahoma" w:hAnsi="Tahoma" w:cs="Tahoma"/>
        </w:rPr>
        <w:t xml:space="preserve"> sin presencia de la aseguradora, toda vez que la entidad que tiene a su cargo el reconocimiento de la prestación es la AFP, sin perjuicio de las acciones que pueda incoar esta para hacer efectivo el seguro por la suma adicional faltante. </w:t>
      </w:r>
    </w:p>
    <w:p w14:paraId="488DF71E" w14:textId="77777777" w:rsidR="00614887" w:rsidRPr="00E443C6" w:rsidRDefault="00614887" w:rsidP="00E443C6">
      <w:pPr>
        <w:spacing w:line="276" w:lineRule="auto"/>
        <w:ind w:firstLine="708"/>
        <w:rPr>
          <w:rFonts w:ascii="Tahoma" w:hAnsi="Tahoma" w:cs="Tahoma"/>
        </w:rPr>
      </w:pPr>
    </w:p>
    <w:p w14:paraId="7468EE4B" w14:textId="77777777" w:rsidR="006E0E08" w:rsidRPr="00E443C6" w:rsidRDefault="006E0E08" w:rsidP="00E443C6">
      <w:pPr>
        <w:spacing w:line="276" w:lineRule="auto"/>
        <w:ind w:firstLine="708"/>
        <w:rPr>
          <w:rFonts w:ascii="Tahoma" w:hAnsi="Tahoma" w:cs="Tahoma"/>
          <w:lang w:val="es-419"/>
        </w:rPr>
      </w:pPr>
      <w:r w:rsidRPr="00E443C6">
        <w:rPr>
          <w:rFonts w:ascii="Tahoma" w:hAnsi="Tahoma" w:cs="Tahoma"/>
          <w:lang w:val="es-419"/>
        </w:rPr>
        <w:t>En mérito de lo expuesto, el Tribunal Superior del Distrito Judicial de Pereira (Risaralda), Sala de Decisión Laboral Presidida por la Dra. Ana Lucía Caicedo Calderón,</w:t>
      </w:r>
    </w:p>
    <w:p w14:paraId="788AAF40" w14:textId="77777777" w:rsidR="006E0E08" w:rsidRPr="00E443C6" w:rsidRDefault="006E0E08" w:rsidP="00E443C6">
      <w:pPr>
        <w:spacing w:line="276" w:lineRule="auto"/>
        <w:ind w:firstLine="708"/>
        <w:rPr>
          <w:rFonts w:ascii="Tahoma" w:hAnsi="Tahoma" w:cs="Tahoma"/>
          <w:lang w:val="es-419"/>
        </w:rPr>
      </w:pPr>
    </w:p>
    <w:p w14:paraId="7B721BC3" w14:textId="77777777" w:rsidR="006E0E08" w:rsidRPr="00E443C6" w:rsidRDefault="006E0E08" w:rsidP="00C25039">
      <w:pPr>
        <w:spacing w:line="276" w:lineRule="auto"/>
        <w:jc w:val="center"/>
        <w:rPr>
          <w:rFonts w:ascii="Tahoma" w:hAnsi="Tahoma" w:cs="Tahoma"/>
          <w:b/>
          <w:bCs/>
          <w:lang w:val="es-419"/>
        </w:rPr>
      </w:pPr>
      <w:r w:rsidRPr="00E443C6">
        <w:rPr>
          <w:rFonts w:ascii="Tahoma" w:hAnsi="Tahoma" w:cs="Tahoma"/>
          <w:b/>
          <w:bCs/>
          <w:lang w:val="es-419"/>
        </w:rPr>
        <w:t>RESUELVE</w:t>
      </w:r>
    </w:p>
    <w:p w14:paraId="63A00F3C" w14:textId="77777777" w:rsidR="006E0E08" w:rsidRPr="00E443C6" w:rsidRDefault="006E0E08" w:rsidP="00E443C6">
      <w:pPr>
        <w:spacing w:line="276" w:lineRule="auto"/>
        <w:ind w:firstLine="708"/>
        <w:rPr>
          <w:rFonts w:ascii="Tahoma" w:hAnsi="Tahoma" w:cs="Tahoma"/>
          <w:lang w:val="es-419"/>
        </w:rPr>
      </w:pPr>
    </w:p>
    <w:p w14:paraId="369BF8A8" w14:textId="1A0B6062" w:rsidR="008C4FF2" w:rsidRPr="00E443C6" w:rsidRDefault="008C4FF2" w:rsidP="00E443C6">
      <w:pPr>
        <w:spacing w:line="276" w:lineRule="auto"/>
        <w:ind w:firstLine="567"/>
        <w:rPr>
          <w:rFonts w:ascii="Tahoma" w:hAnsi="Tahoma" w:cs="Tahoma"/>
        </w:rPr>
      </w:pPr>
      <w:r w:rsidRPr="00E443C6">
        <w:rPr>
          <w:rStyle w:val="normaltextrun"/>
          <w:rFonts w:ascii="Tahoma" w:hAnsi="Tahoma" w:cs="Tahoma"/>
          <w:b/>
          <w:bCs/>
          <w:lang w:val="es-419"/>
        </w:rPr>
        <w:t>PRIMERO</w:t>
      </w:r>
      <w:r w:rsidRPr="00E443C6">
        <w:rPr>
          <w:rStyle w:val="normaltextrun"/>
          <w:rFonts w:ascii="Tahoma" w:hAnsi="Tahoma" w:cs="Tahoma"/>
          <w:lang w:val="es-419"/>
        </w:rPr>
        <w:t xml:space="preserve">. </w:t>
      </w:r>
      <w:r w:rsidRPr="00E443C6">
        <w:rPr>
          <w:rStyle w:val="normaltextrun"/>
          <w:rFonts w:ascii="Tahoma" w:hAnsi="Tahoma" w:cs="Tahoma"/>
          <w:b/>
          <w:bCs/>
          <w:lang w:val="es-419"/>
        </w:rPr>
        <w:t>CONFIRMAR</w:t>
      </w:r>
      <w:r w:rsidRPr="00E443C6">
        <w:rPr>
          <w:rStyle w:val="normaltextrun"/>
          <w:rFonts w:ascii="Tahoma" w:hAnsi="Tahoma" w:cs="Tahoma"/>
          <w:lang w:val="es-419"/>
        </w:rPr>
        <w:t xml:space="preserve"> el auto </w:t>
      </w:r>
      <w:r w:rsidRPr="00E443C6">
        <w:rPr>
          <w:rStyle w:val="normaltextrun"/>
          <w:rFonts w:ascii="Tahoma" w:hAnsi="Tahoma" w:cs="Tahoma"/>
          <w:lang w:val="es-ES"/>
        </w:rPr>
        <w:t xml:space="preserve">proferido el </w:t>
      </w:r>
      <w:r w:rsidR="0079453D" w:rsidRPr="00E443C6">
        <w:rPr>
          <w:rFonts w:ascii="Tahoma" w:hAnsi="Tahoma" w:cs="Tahoma"/>
          <w:bCs/>
        </w:rPr>
        <w:t>08 de junio de 2023</w:t>
      </w:r>
      <w:r w:rsidRPr="00E443C6">
        <w:rPr>
          <w:rStyle w:val="normaltextrun"/>
          <w:rFonts w:ascii="Tahoma" w:hAnsi="Tahoma" w:cs="Tahoma"/>
          <w:lang w:val="es-ES"/>
        </w:rPr>
        <w:t xml:space="preserve"> por el Juzgado </w:t>
      </w:r>
      <w:r w:rsidR="0079453D" w:rsidRPr="00E443C6">
        <w:rPr>
          <w:rStyle w:val="normaltextrun"/>
          <w:rFonts w:ascii="Tahoma" w:hAnsi="Tahoma" w:cs="Tahoma"/>
          <w:lang w:val="es-ES"/>
        </w:rPr>
        <w:t>Quinto Laboral del Circuito de Pereira</w:t>
      </w:r>
      <w:r w:rsidRPr="00E443C6">
        <w:rPr>
          <w:rStyle w:val="normaltextrun"/>
          <w:rFonts w:ascii="Tahoma" w:hAnsi="Tahoma" w:cs="Tahoma"/>
          <w:lang w:val="es-ES"/>
        </w:rPr>
        <w:t xml:space="preserve">, </w:t>
      </w:r>
      <w:r w:rsidR="0079453D" w:rsidRPr="00E443C6">
        <w:rPr>
          <w:rFonts w:ascii="Tahoma" w:hAnsi="Tahoma" w:cs="Tahoma"/>
        </w:rPr>
        <w:t>por medio del cual se declaró ineficaz el llamamiento en garantía presentado por Porvenir S.A. frente a Mapfre Colombia Vida Seguros S.A.</w:t>
      </w:r>
    </w:p>
    <w:p w14:paraId="189F02DA" w14:textId="77777777" w:rsidR="008C4FF2" w:rsidRPr="00E443C6" w:rsidRDefault="008C4FF2" w:rsidP="00E443C6">
      <w:pPr>
        <w:pStyle w:val="paragraph"/>
        <w:spacing w:before="0" w:beforeAutospacing="0" w:after="0" w:afterAutospacing="0" w:line="276" w:lineRule="auto"/>
        <w:ind w:firstLine="705"/>
        <w:jc w:val="both"/>
        <w:textAlignment w:val="baseline"/>
        <w:rPr>
          <w:rFonts w:ascii="Tahoma" w:hAnsi="Tahoma" w:cs="Tahoma"/>
        </w:rPr>
      </w:pPr>
      <w:r w:rsidRPr="00E443C6">
        <w:rPr>
          <w:rStyle w:val="eop"/>
          <w:rFonts w:ascii="Tahoma" w:hAnsi="Tahoma" w:cs="Tahoma"/>
        </w:rPr>
        <w:t> </w:t>
      </w:r>
    </w:p>
    <w:p w14:paraId="273D130E" w14:textId="135D5776" w:rsidR="008C4FF2" w:rsidRPr="00E443C6" w:rsidRDefault="008C4FF2" w:rsidP="00E443C6">
      <w:pPr>
        <w:spacing w:line="276" w:lineRule="auto"/>
        <w:ind w:firstLine="567"/>
        <w:rPr>
          <w:rFonts w:ascii="Tahoma" w:hAnsi="Tahoma" w:cs="Tahoma"/>
        </w:rPr>
      </w:pPr>
      <w:r w:rsidRPr="00E443C6">
        <w:rPr>
          <w:rStyle w:val="normaltextrun"/>
          <w:rFonts w:ascii="Tahoma" w:hAnsi="Tahoma" w:cs="Tahoma"/>
          <w:b/>
          <w:bCs/>
          <w:lang w:val="es-419"/>
        </w:rPr>
        <w:t>SEGUNDO</w:t>
      </w:r>
      <w:r w:rsidRPr="00E443C6">
        <w:rPr>
          <w:rStyle w:val="normaltextrun"/>
          <w:rFonts w:ascii="Tahoma" w:hAnsi="Tahoma" w:cs="Tahoma"/>
          <w:lang w:val="es-ES"/>
        </w:rPr>
        <w:t xml:space="preserve">: </w:t>
      </w:r>
      <w:r w:rsidRPr="00E443C6">
        <w:rPr>
          <w:rStyle w:val="normaltextrun"/>
          <w:rFonts w:ascii="Tahoma" w:hAnsi="Tahoma" w:cs="Tahoma"/>
          <w:b/>
          <w:bCs/>
          <w:lang w:val="es-ES"/>
        </w:rPr>
        <w:t xml:space="preserve">COSTAS </w:t>
      </w:r>
      <w:r w:rsidRPr="00E443C6">
        <w:rPr>
          <w:rStyle w:val="normaltextrun"/>
          <w:rFonts w:ascii="Tahoma" w:hAnsi="Tahoma" w:cs="Tahoma"/>
          <w:lang w:val="es-ES"/>
        </w:rPr>
        <w:t xml:space="preserve">en esta instancia a cargo </w:t>
      </w:r>
      <w:r w:rsidR="0079453D" w:rsidRPr="00E443C6">
        <w:rPr>
          <w:rStyle w:val="normaltextrun"/>
          <w:rFonts w:ascii="Tahoma" w:hAnsi="Tahoma" w:cs="Tahoma"/>
          <w:lang w:val="es-ES"/>
        </w:rPr>
        <w:t>de Porvenir S.A.</w:t>
      </w:r>
      <w:r w:rsidRPr="00E443C6">
        <w:rPr>
          <w:rStyle w:val="normaltextrun"/>
          <w:rFonts w:ascii="Tahoma" w:hAnsi="Tahoma" w:cs="Tahoma"/>
          <w:lang w:val="es-ES"/>
        </w:rPr>
        <w:t xml:space="preserve"> y en favor de</w:t>
      </w:r>
      <w:r w:rsidR="0079453D" w:rsidRPr="00E443C6">
        <w:rPr>
          <w:rStyle w:val="normaltextrun"/>
          <w:rFonts w:ascii="Tahoma" w:hAnsi="Tahoma" w:cs="Tahoma"/>
          <w:lang w:val="es-ES"/>
        </w:rPr>
        <w:t xml:space="preserve"> la parte</w:t>
      </w:r>
      <w:r w:rsidRPr="00E443C6">
        <w:rPr>
          <w:rStyle w:val="normaltextrun"/>
          <w:rFonts w:ascii="Tahoma" w:hAnsi="Tahoma" w:cs="Tahoma"/>
          <w:lang w:val="es-ES"/>
        </w:rPr>
        <w:t xml:space="preserve"> demandante. Liquídense por la secretaría del juzgado de origen.</w:t>
      </w:r>
      <w:r w:rsidRPr="00E443C6">
        <w:rPr>
          <w:rStyle w:val="eop"/>
          <w:rFonts w:ascii="Tahoma" w:hAnsi="Tahoma" w:cs="Tahoma"/>
        </w:rPr>
        <w:t> </w:t>
      </w:r>
    </w:p>
    <w:p w14:paraId="55ABFED6" w14:textId="77777777" w:rsidR="00E443C6" w:rsidRPr="00E443C6" w:rsidRDefault="00E443C6" w:rsidP="00E443C6">
      <w:pPr>
        <w:spacing w:line="276" w:lineRule="auto"/>
        <w:rPr>
          <w:rFonts w:ascii="Tahoma" w:eastAsia="Calibri" w:hAnsi="Tahoma" w:cs="Tahoma"/>
        </w:rPr>
      </w:pPr>
      <w:bookmarkStart w:id="5" w:name="_Hlk126574973"/>
      <w:bookmarkEnd w:id="4"/>
    </w:p>
    <w:p w14:paraId="425C44EA" w14:textId="77777777" w:rsidR="00E443C6" w:rsidRPr="00E443C6" w:rsidRDefault="00E443C6" w:rsidP="00E443C6">
      <w:pPr>
        <w:spacing w:line="276" w:lineRule="auto"/>
        <w:jc w:val="center"/>
        <w:rPr>
          <w:rFonts w:ascii="Tahoma" w:eastAsia="Tahoma" w:hAnsi="Tahoma" w:cs="Tahoma"/>
          <w:b/>
          <w:bCs/>
        </w:rPr>
      </w:pPr>
      <w:r w:rsidRPr="00E443C6">
        <w:rPr>
          <w:rFonts w:ascii="Tahoma" w:eastAsia="Tahoma" w:hAnsi="Tahoma" w:cs="Tahoma"/>
          <w:b/>
          <w:bCs/>
        </w:rPr>
        <w:t>Notifíquese y cúmplase</w:t>
      </w:r>
    </w:p>
    <w:p w14:paraId="68CC916F" w14:textId="77777777" w:rsidR="00E443C6" w:rsidRPr="00E443C6" w:rsidRDefault="00E443C6" w:rsidP="00E443C6">
      <w:pPr>
        <w:spacing w:line="276" w:lineRule="auto"/>
        <w:rPr>
          <w:rFonts w:ascii="Tahoma" w:eastAsia="Calibri" w:hAnsi="Tahoma" w:cs="Tahoma"/>
        </w:rPr>
      </w:pPr>
      <w:r w:rsidRPr="00E443C6">
        <w:rPr>
          <w:rFonts w:ascii="Tahoma" w:eastAsia="Calibri" w:hAnsi="Tahoma" w:cs="Tahoma"/>
        </w:rPr>
        <w:t xml:space="preserve"> </w:t>
      </w:r>
    </w:p>
    <w:p w14:paraId="0AF433A8" w14:textId="77777777" w:rsidR="00E443C6" w:rsidRPr="00E443C6" w:rsidRDefault="00E443C6" w:rsidP="00E443C6">
      <w:pPr>
        <w:widowControl w:val="0"/>
        <w:autoSpaceDE w:val="0"/>
        <w:autoSpaceDN w:val="0"/>
        <w:adjustRightInd w:val="0"/>
        <w:spacing w:line="276" w:lineRule="auto"/>
        <w:rPr>
          <w:rFonts w:ascii="Tahoma" w:eastAsia="Times New Roman" w:hAnsi="Tahoma" w:cs="Tahoma"/>
          <w:lang w:val="es-ES" w:eastAsia="es-ES"/>
        </w:rPr>
      </w:pPr>
      <w:r w:rsidRPr="00E443C6">
        <w:rPr>
          <w:rFonts w:ascii="Tahoma" w:eastAsia="Times New Roman" w:hAnsi="Tahoma" w:cs="Tahoma"/>
          <w:lang w:val="es-ES" w:eastAsia="es-ES"/>
        </w:rPr>
        <w:tab/>
        <w:t>La Magistrada ponente,</w:t>
      </w:r>
    </w:p>
    <w:p w14:paraId="556E6FD3" w14:textId="77777777" w:rsidR="00E443C6" w:rsidRPr="00E443C6" w:rsidRDefault="00E443C6" w:rsidP="00E443C6">
      <w:pPr>
        <w:spacing w:line="276" w:lineRule="auto"/>
        <w:jc w:val="left"/>
        <w:rPr>
          <w:rFonts w:ascii="Tahoma" w:eastAsia="Times New Roman" w:hAnsi="Tahoma" w:cs="Tahoma"/>
          <w:lang w:val="es-ES" w:eastAsia="es-ES"/>
        </w:rPr>
      </w:pPr>
    </w:p>
    <w:p w14:paraId="08C4C98C" w14:textId="77777777" w:rsidR="00E443C6" w:rsidRPr="00E443C6" w:rsidRDefault="00E443C6" w:rsidP="00E443C6">
      <w:pPr>
        <w:spacing w:line="276" w:lineRule="auto"/>
        <w:jc w:val="left"/>
        <w:rPr>
          <w:rFonts w:ascii="Tahoma" w:eastAsia="Times New Roman" w:hAnsi="Tahoma" w:cs="Tahoma"/>
          <w:lang w:val="es-ES" w:eastAsia="es-ES"/>
        </w:rPr>
      </w:pPr>
    </w:p>
    <w:p w14:paraId="0074B5D0" w14:textId="77777777" w:rsidR="00E443C6" w:rsidRPr="00E443C6" w:rsidRDefault="00E443C6" w:rsidP="00E443C6">
      <w:pPr>
        <w:spacing w:line="276" w:lineRule="auto"/>
        <w:jc w:val="left"/>
        <w:rPr>
          <w:rFonts w:ascii="Tahoma" w:eastAsia="Times New Roman" w:hAnsi="Tahoma" w:cs="Tahoma"/>
          <w:lang w:val="es-ES" w:eastAsia="es-ES"/>
        </w:rPr>
      </w:pPr>
    </w:p>
    <w:p w14:paraId="186F97A6" w14:textId="77777777" w:rsidR="00E443C6" w:rsidRPr="00E443C6" w:rsidRDefault="00E443C6" w:rsidP="00E443C6">
      <w:pPr>
        <w:keepNext/>
        <w:spacing w:line="276" w:lineRule="auto"/>
        <w:jc w:val="center"/>
        <w:outlineLvl w:val="2"/>
        <w:rPr>
          <w:rFonts w:ascii="Tahoma" w:eastAsia="Times New Roman" w:hAnsi="Tahoma" w:cs="Tahoma"/>
          <w:b/>
          <w:bCs/>
          <w:lang w:val="es-ES" w:eastAsia="es-ES"/>
        </w:rPr>
      </w:pPr>
      <w:r w:rsidRPr="00E443C6">
        <w:rPr>
          <w:rFonts w:ascii="Tahoma" w:eastAsia="Times New Roman" w:hAnsi="Tahoma" w:cs="Tahoma"/>
          <w:b/>
          <w:bCs/>
          <w:lang w:val="es-ES" w:eastAsia="es-ES"/>
        </w:rPr>
        <w:t>ANA LUCÍA CAICEDO CALDERÓN</w:t>
      </w:r>
    </w:p>
    <w:p w14:paraId="0C197FCB" w14:textId="77777777" w:rsidR="00E443C6" w:rsidRPr="00E443C6" w:rsidRDefault="00E443C6" w:rsidP="00E443C6">
      <w:pPr>
        <w:spacing w:line="276" w:lineRule="auto"/>
        <w:jc w:val="left"/>
        <w:rPr>
          <w:rFonts w:ascii="Tahoma" w:eastAsia="Times New Roman" w:hAnsi="Tahoma" w:cs="Tahoma"/>
          <w:lang w:val="es-ES" w:eastAsia="es-ES"/>
        </w:rPr>
      </w:pPr>
    </w:p>
    <w:p w14:paraId="49484E79" w14:textId="77777777" w:rsidR="00E443C6" w:rsidRPr="00E443C6" w:rsidRDefault="00E443C6" w:rsidP="00E443C6">
      <w:pPr>
        <w:spacing w:line="276" w:lineRule="auto"/>
        <w:ind w:firstLine="708"/>
        <w:jc w:val="left"/>
        <w:rPr>
          <w:rFonts w:ascii="Tahoma" w:eastAsia="Times New Roman" w:hAnsi="Tahoma" w:cs="Tahoma"/>
          <w:lang w:val="es-ES" w:eastAsia="es-ES"/>
        </w:rPr>
      </w:pPr>
      <w:bookmarkStart w:id="6" w:name="_Hlk62478330"/>
      <w:r w:rsidRPr="00E443C6">
        <w:rPr>
          <w:rFonts w:ascii="Tahoma" w:eastAsia="Times New Roman" w:hAnsi="Tahoma" w:cs="Tahoma"/>
          <w:lang w:val="es-ES" w:eastAsia="es-ES"/>
        </w:rPr>
        <w:t>La Magistrada y el Magistrado,</w:t>
      </w:r>
    </w:p>
    <w:p w14:paraId="75F7513B" w14:textId="77777777" w:rsidR="00E443C6" w:rsidRPr="00E443C6" w:rsidRDefault="00E443C6" w:rsidP="00E443C6">
      <w:pPr>
        <w:spacing w:line="276" w:lineRule="auto"/>
        <w:jc w:val="left"/>
        <w:rPr>
          <w:rFonts w:ascii="Tahoma" w:eastAsia="Times New Roman" w:hAnsi="Tahoma" w:cs="Tahoma"/>
          <w:lang w:val="es-ES" w:eastAsia="es-ES"/>
        </w:rPr>
      </w:pPr>
    </w:p>
    <w:p w14:paraId="2BF441B7" w14:textId="77777777" w:rsidR="00E443C6" w:rsidRPr="00E443C6" w:rsidRDefault="00E443C6" w:rsidP="00E443C6">
      <w:pPr>
        <w:spacing w:line="276" w:lineRule="auto"/>
        <w:jc w:val="left"/>
        <w:rPr>
          <w:rFonts w:ascii="Tahoma" w:eastAsia="Times New Roman" w:hAnsi="Tahoma" w:cs="Tahoma"/>
          <w:lang w:val="es-ES" w:eastAsia="es-ES"/>
        </w:rPr>
      </w:pPr>
    </w:p>
    <w:p w14:paraId="5489D7EE" w14:textId="77777777" w:rsidR="00E443C6" w:rsidRPr="00E443C6" w:rsidRDefault="00E443C6" w:rsidP="00E443C6">
      <w:pPr>
        <w:spacing w:line="276" w:lineRule="auto"/>
        <w:jc w:val="left"/>
        <w:rPr>
          <w:rFonts w:ascii="Tahoma" w:eastAsia="Times New Roman" w:hAnsi="Tahoma" w:cs="Tahoma"/>
          <w:lang w:val="es-ES" w:eastAsia="es-ES"/>
        </w:rPr>
      </w:pPr>
    </w:p>
    <w:p w14:paraId="472DA61E" w14:textId="77777777" w:rsidR="00E443C6" w:rsidRPr="00E443C6" w:rsidRDefault="00E443C6" w:rsidP="00E443C6">
      <w:pPr>
        <w:spacing w:line="276" w:lineRule="auto"/>
        <w:rPr>
          <w:rFonts w:ascii="Tahoma" w:eastAsia="Calibri" w:hAnsi="Tahoma" w:cs="Tahoma"/>
          <w:lang w:val="es-ES"/>
        </w:rPr>
      </w:pPr>
      <w:r w:rsidRPr="00E443C6">
        <w:rPr>
          <w:rFonts w:ascii="Tahoma" w:eastAsia="Times New Roman" w:hAnsi="Tahoma" w:cs="Tahoma"/>
          <w:b/>
          <w:bCs/>
          <w:lang w:val="es-ES" w:eastAsia="es-ES"/>
        </w:rPr>
        <w:t>OLGA LUCÍA HOYOS SEPÚLVEDA</w:t>
      </w:r>
      <w:r w:rsidRPr="00E443C6">
        <w:rPr>
          <w:rFonts w:ascii="Tahoma" w:eastAsia="Times New Roman" w:hAnsi="Tahoma" w:cs="Tahoma"/>
          <w:b/>
          <w:bCs/>
          <w:lang w:val="es-ES" w:eastAsia="es-ES"/>
        </w:rPr>
        <w:tab/>
      </w:r>
      <w:r w:rsidRPr="00E443C6">
        <w:rPr>
          <w:rFonts w:ascii="Tahoma" w:eastAsia="Times New Roman" w:hAnsi="Tahoma" w:cs="Tahoma"/>
          <w:b/>
          <w:bCs/>
          <w:lang w:val="es-ES" w:eastAsia="es-ES"/>
        </w:rPr>
        <w:tab/>
        <w:t xml:space="preserve">GERMÁN DARÍO </w:t>
      </w:r>
      <w:proofErr w:type="spellStart"/>
      <w:r w:rsidRPr="00E443C6">
        <w:rPr>
          <w:rFonts w:ascii="Tahoma" w:eastAsia="Times New Roman" w:hAnsi="Tahoma" w:cs="Tahoma"/>
          <w:b/>
          <w:bCs/>
          <w:lang w:val="es-ES" w:eastAsia="es-ES"/>
        </w:rPr>
        <w:t>GÓEZ</w:t>
      </w:r>
      <w:proofErr w:type="spellEnd"/>
      <w:r w:rsidRPr="00E443C6">
        <w:rPr>
          <w:rFonts w:ascii="Tahoma" w:eastAsia="Times New Roman" w:hAnsi="Tahoma" w:cs="Tahoma"/>
          <w:b/>
          <w:bCs/>
          <w:lang w:val="es-ES" w:eastAsia="es-ES"/>
        </w:rPr>
        <w:t xml:space="preserve"> </w:t>
      </w:r>
      <w:proofErr w:type="spellStart"/>
      <w:r w:rsidRPr="00E443C6">
        <w:rPr>
          <w:rFonts w:ascii="Tahoma" w:eastAsia="Times New Roman" w:hAnsi="Tahoma" w:cs="Tahoma"/>
          <w:b/>
          <w:bCs/>
          <w:lang w:val="es-ES" w:eastAsia="es-ES"/>
        </w:rPr>
        <w:t>VINASCO</w:t>
      </w:r>
      <w:bookmarkEnd w:id="5"/>
      <w:bookmarkEnd w:id="6"/>
      <w:proofErr w:type="spellEnd"/>
    </w:p>
    <w:p w14:paraId="6680EB1E" w14:textId="07D38453" w:rsidR="0025175A" w:rsidRPr="00E443C6" w:rsidRDefault="00E443C6" w:rsidP="00E443C6">
      <w:pPr>
        <w:spacing w:line="276" w:lineRule="auto"/>
        <w:ind w:firstLine="708"/>
        <w:rPr>
          <w:rFonts w:ascii="Tahoma" w:hAnsi="Tahoma" w:cs="Tahoma"/>
          <w:lang w:val="es-ES"/>
        </w:rPr>
      </w:pP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r>
      <w:r>
        <w:rPr>
          <w:rFonts w:ascii="Tahoma" w:hAnsi="Tahoma" w:cs="Tahoma"/>
          <w:lang w:val="es-ES"/>
        </w:rPr>
        <w:tab/>
        <w:t>Ausencia justificada</w:t>
      </w:r>
    </w:p>
    <w:sectPr w:rsidR="0025175A" w:rsidRPr="00E443C6" w:rsidSect="00F25306">
      <w:headerReference w:type="default" r:id="rId11"/>
      <w:pgSz w:w="12242" w:h="18722" w:code="258"/>
      <w:pgMar w:top="1985" w:right="1418" w:bottom="1418" w:left="1985"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16BA00" w16cex:dateUtc="2023-08-30T16:52:08.278Z"/>
  <w16cex:commentExtensible w16cex:durableId="2C8D6593" w16cex:dateUtc="2023-08-30T18:28:42.571Z"/>
  <w16cex:commentExtensible w16cex:durableId="3EEAED2B" w16cex:dateUtc="2023-11-15T15:12:21.679Z"/>
</w16cex:commentsExtensible>
</file>

<file path=word/commentsIds.xml><?xml version="1.0" encoding="utf-8"?>
<w16cid:commentsIds xmlns:mc="http://schemas.openxmlformats.org/markup-compatibility/2006" xmlns:w16cid="http://schemas.microsoft.com/office/word/2016/wordml/cid" mc:Ignorable="w16cid">
  <w16cid:commentId w16cid:paraId="453AB3F9" w16cid:durableId="3EEAED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9D362" w14:textId="77777777" w:rsidR="00B12289" w:rsidRDefault="00B12289" w:rsidP="00D57090">
      <w:pPr>
        <w:spacing w:line="240" w:lineRule="auto"/>
      </w:pPr>
      <w:r>
        <w:separator/>
      </w:r>
    </w:p>
  </w:endnote>
  <w:endnote w:type="continuationSeparator" w:id="0">
    <w:p w14:paraId="0F32071E" w14:textId="77777777" w:rsidR="00B12289" w:rsidRDefault="00B12289" w:rsidP="00D57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6A639" w14:textId="77777777" w:rsidR="00B12289" w:rsidRDefault="00B12289" w:rsidP="00D57090">
      <w:pPr>
        <w:spacing w:line="240" w:lineRule="auto"/>
      </w:pPr>
      <w:r>
        <w:separator/>
      </w:r>
    </w:p>
  </w:footnote>
  <w:footnote w:type="continuationSeparator" w:id="0">
    <w:p w14:paraId="03410CB9" w14:textId="77777777" w:rsidR="00B12289" w:rsidRDefault="00B12289" w:rsidP="00D570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C5BA" w14:textId="12D65212" w:rsidR="00EC6C51" w:rsidRPr="001B27C6" w:rsidRDefault="00EC6C51" w:rsidP="001B27C6">
    <w:pPr>
      <w:pStyle w:val="Encabezado"/>
      <w:tabs>
        <w:tab w:val="clear" w:pos="4419"/>
        <w:tab w:val="clear" w:pos="8838"/>
      </w:tabs>
      <w:rPr>
        <w:rFonts w:ascii="Tahoma" w:hAnsi="Tahoma" w:cs="Tahoma"/>
        <w:sz w:val="18"/>
        <w:szCs w:val="18"/>
      </w:rPr>
    </w:pPr>
    <w:r w:rsidRPr="001B27C6">
      <w:rPr>
        <w:rFonts w:ascii="Tahoma" w:hAnsi="Tahoma" w:cs="Tahoma"/>
        <w:sz w:val="18"/>
        <w:szCs w:val="18"/>
      </w:rPr>
      <w:t>Radicado:</w:t>
    </w:r>
    <w:r w:rsidR="001B27C6">
      <w:rPr>
        <w:rFonts w:ascii="Tahoma" w:hAnsi="Tahoma" w:cs="Tahoma"/>
        <w:sz w:val="18"/>
        <w:szCs w:val="18"/>
      </w:rPr>
      <w:tab/>
    </w:r>
    <w:r w:rsidR="003F0CA8" w:rsidRPr="001B27C6">
      <w:rPr>
        <w:rFonts w:ascii="Tahoma" w:hAnsi="Tahoma" w:cs="Tahoma"/>
        <w:sz w:val="18"/>
        <w:szCs w:val="18"/>
      </w:rPr>
      <w:t>66001310500520210009401</w:t>
    </w:r>
  </w:p>
  <w:p w14:paraId="0FC3981D" w14:textId="462FA77F" w:rsidR="00EC6C51" w:rsidRPr="001B27C6" w:rsidRDefault="00EC6C51" w:rsidP="001B27C6">
    <w:pPr>
      <w:pStyle w:val="Encabezado"/>
      <w:tabs>
        <w:tab w:val="clear" w:pos="4419"/>
        <w:tab w:val="clear" w:pos="8838"/>
      </w:tabs>
      <w:rPr>
        <w:rFonts w:ascii="Tahoma" w:hAnsi="Tahoma" w:cs="Tahoma"/>
        <w:sz w:val="18"/>
        <w:szCs w:val="18"/>
      </w:rPr>
    </w:pPr>
    <w:r w:rsidRPr="001B27C6">
      <w:rPr>
        <w:rFonts w:ascii="Tahoma" w:hAnsi="Tahoma" w:cs="Tahoma"/>
        <w:sz w:val="18"/>
        <w:szCs w:val="18"/>
      </w:rPr>
      <w:t>Demandante:</w:t>
    </w:r>
    <w:r w:rsidR="001B27C6">
      <w:rPr>
        <w:rFonts w:ascii="Tahoma" w:hAnsi="Tahoma" w:cs="Tahoma"/>
        <w:sz w:val="18"/>
        <w:szCs w:val="18"/>
      </w:rPr>
      <w:tab/>
    </w:r>
    <w:r w:rsidR="003F0CA8" w:rsidRPr="001B27C6">
      <w:rPr>
        <w:rFonts w:ascii="Tahoma" w:hAnsi="Tahoma" w:cs="Tahoma"/>
        <w:sz w:val="18"/>
        <w:szCs w:val="18"/>
      </w:rPr>
      <w:t>Oscar Arango Quintero y otro</w:t>
    </w:r>
  </w:p>
  <w:p w14:paraId="5F8F2EB3" w14:textId="1401C313" w:rsidR="006364A5" w:rsidRPr="001B27C6" w:rsidRDefault="00EC6C51" w:rsidP="001B27C6">
    <w:pPr>
      <w:pStyle w:val="Encabezado"/>
      <w:tabs>
        <w:tab w:val="clear" w:pos="4419"/>
        <w:tab w:val="clear" w:pos="8838"/>
      </w:tabs>
      <w:rPr>
        <w:rFonts w:ascii="Times New Roman" w:hAnsi="Times New Roman" w:cs="Times New Roman"/>
        <w:sz w:val="18"/>
        <w:szCs w:val="18"/>
      </w:rPr>
    </w:pPr>
    <w:r w:rsidRPr="001B27C6">
      <w:rPr>
        <w:rFonts w:ascii="Tahoma" w:hAnsi="Tahoma" w:cs="Tahoma"/>
        <w:sz w:val="18"/>
        <w:szCs w:val="18"/>
      </w:rPr>
      <w:t>Demandado:</w:t>
    </w:r>
    <w:r w:rsidR="001B27C6">
      <w:rPr>
        <w:rFonts w:ascii="Tahoma" w:hAnsi="Tahoma" w:cs="Tahoma"/>
        <w:sz w:val="18"/>
        <w:szCs w:val="18"/>
      </w:rPr>
      <w:tab/>
    </w:r>
    <w:r w:rsidR="003F0CA8" w:rsidRPr="001B27C6">
      <w:rPr>
        <w:rFonts w:ascii="Tahoma" w:hAnsi="Tahoma" w:cs="Tahoma"/>
        <w:sz w:val="18"/>
        <w:szCs w:val="18"/>
      </w:rPr>
      <w:t>Porvenir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0AF"/>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3C6B1EA3"/>
    <w:multiLevelType w:val="hybridMultilevel"/>
    <w:tmpl w:val="9CAA907C"/>
    <w:lvl w:ilvl="0" w:tplc="63263A22">
      <w:numFmt w:val="bullet"/>
      <w:lvlText w:val="-"/>
      <w:lvlJc w:val="left"/>
      <w:pPr>
        <w:ind w:left="1068" w:hanging="360"/>
      </w:pPr>
      <w:rPr>
        <w:rFonts w:ascii="Arial Narrow" w:eastAsiaTheme="minorHAnsi" w:hAnsi="Arial Narrow"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3E796335"/>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43C355A2"/>
    <w:multiLevelType w:val="hybridMultilevel"/>
    <w:tmpl w:val="6B22651A"/>
    <w:lvl w:ilvl="0" w:tplc="50DC69F6">
      <w:start w:val="1"/>
      <w:numFmt w:val="decimal"/>
      <w:lvlText w:val="%1."/>
      <w:lvlJc w:val="left"/>
      <w:pPr>
        <w:ind w:left="1144" w:hanging="360"/>
      </w:pPr>
      <w:rPr>
        <w:rFonts w:hint="default"/>
        <w:b/>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4" w15:restartNumberingAfterBreak="0">
    <w:nsid w:val="47862183"/>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488E3E9D"/>
    <w:multiLevelType w:val="multilevel"/>
    <w:tmpl w:val="7C0EAA5A"/>
    <w:lvl w:ilvl="0">
      <w:start w:val="7"/>
      <w:numFmt w:val="decimal"/>
      <w:lvlText w:val="%1."/>
      <w:lvlJc w:val="left"/>
      <w:pPr>
        <w:ind w:left="450" w:hanging="450"/>
      </w:pPr>
      <w:rPr>
        <w:rFonts w:eastAsiaTheme="minorHAnsi" w:hint="default"/>
      </w:rPr>
    </w:lvl>
    <w:lvl w:ilvl="1">
      <w:start w:val="1"/>
      <w:numFmt w:val="decimal"/>
      <w:lvlText w:val="%1.%2."/>
      <w:lvlJc w:val="left"/>
      <w:pPr>
        <w:ind w:left="1080" w:hanging="720"/>
      </w:pPr>
      <w:rPr>
        <w:rFonts w:eastAsiaTheme="minorHAnsi" w:hint="default"/>
      </w:rPr>
    </w:lvl>
    <w:lvl w:ilvl="2">
      <w:start w:val="1"/>
      <w:numFmt w:val="decimal"/>
      <w:lvlText w:val="%1.%2.%3."/>
      <w:lvlJc w:val="left"/>
      <w:pPr>
        <w:ind w:left="1800" w:hanging="1080"/>
      </w:pPr>
      <w:rPr>
        <w:rFonts w:eastAsiaTheme="minorHAnsi" w:hint="default"/>
      </w:rPr>
    </w:lvl>
    <w:lvl w:ilvl="3">
      <w:start w:val="1"/>
      <w:numFmt w:val="decimal"/>
      <w:lvlText w:val="%1.%2.%3.%4."/>
      <w:lvlJc w:val="left"/>
      <w:pPr>
        <w:ind w:left="2520" w:hanging="1440"/>
      </w:pPr>
      <w:rPr>
        <w:rFonts w:eastAsiaTheme="minorHAnsi" w:hint="default"/>
      </w:rPr>
    </w:lvl>
    <w:lvl w:ilvl="4">
      <w:start w:val="1"/>
      <w:numFmt w:val="decimal"/>
      <w:lvlText w:val="%1.%2.%3.%4.%5."/>
      <w:lvlJc w:val="left"/>
      <w:pPr>
        <w:ind w:left="2880" w:hanging="1440"/>
      </w:pPr>
      <w:rPr>
        <w:rFonts w:eastAsiaTheme="minorHAnsi" w:hint="default"/>
      </w:rPr>
    </w:lvl>
    <w:lvl w:ilvl="5">
      <w:start w:val="1"/>
      <w:numFmt w:val="decimal"/>
      <w:lvlText w:val="%1.%2.%3.%4.%5.%6."/>
      <w:lvlJc w:val="left"/>
      <w:pPr>
        <w:ind w:left="3600" w:hanging="1800"/>
      </w:pPr>
      <w:rPr>
        <w:rFonts w:eastAsiaTheme="minorHAnsi" w:hint="default"/>
      </w:rPr>
    </w:lvl>
    <w:lvl w:ilvl="6">
      <w:start w:val="1"/>
      <w:numFmt w:val="decimal"/>
      <w:lvlText w:val="%1.%2.%3.%4.%5.%6.%7."/>
      <w:lvlJc w:val="left"/>
      <w:pPr>
        <w:ind w:left="4320" w:hanging="2160"/>
      </w:pPr>
      <w:rPr>
        <w:rFonts w:eastAsiaTheme="minorHAnsi" w:hint="default"/>
      </w:rPr>
    </w:lvl>
    <w:lvl w:ilvl="7">
      <w:start w:val="1"/>
      <w:numFmt w:val="decimal"/>
      <w:lvlText w:val="%1.%2.%3.%4.%5.%6.%7.%8."/>
      <w:lvlJc w:val="left"/>
      <w:pPr>
        <w:ind w:left="5040" w:hanging="2520"/>
      </w:pPr>
      <w:rPr>
        <w:rFonts w:eastAsiaTheme="minorHAnsi" w:hint="default"/>
      </w:rPr>
    </w:lvl>
    <w:lvl w:ilvl="8">
      <w:start w:val="1"/>
      <w:numFmt w:val="decimal"/>
      <w:lvlText w:val="%1.%2.%3.%4.%5.%6.%7.%8.%9."/>
      <w:lvlJc w:val="left"/>
      <w:pPr>
        <w:ind w:left="5400" w:hanging="2520"/>
      </w:pPr>
      <w:rPr>
        <w:rFonts w:eastAsiaTheme="minorHAnsi" w:hint="default"/>
      </w:rPr>
    </w:lvl>
  </w:abstractNum>
  <w:abstractNum w:abstractNumId="6" w15:restartNumberingAfterBreak="0">
    <w:nsid w:val="503C48B7"/>
    <w:multiLevelType w:val="hybridMultilevel"/>
    <w:tmpl w:val="06F66D28"/>
    <w:lvl w:ilvl="0" w:tplc="DA3E21E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15:restartNumberingAfterBreak="0">
    <w:nsid w:val="5FFD47F8"/>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7DAC77D5"/>
    <w:multiLevelType w:val="hybridMultilevel"/>
    <w:tmpl w:val="06F66D28"/>
    <w:lvl w:ilvl="0" w:tplc="DA3E21E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9" w15:restartNumberingAfterBreak="0">
    <w:nsid w:val="7F5837FC"/>
    <w:multiLevelType w:val="hybridMultilevel"/>
    <w:tmpl w:val="06F66D28"/>
    <w:lvl w:ilvl="0" w:tplc="DA3E21E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9"/>
  </w:num>
  <w:num w:numId="6">
    <w:abstractNumId w:val="8"/>
  </w:num>
  <w:num w:numId="7">
    <w:abstractNumId w:val="6"/>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3C"/>
    <w:rsid w:val="00005231"/>
    <w:rsid w:val="00021F62"/>
    <w:rsid w:val="000220A0"/>
    <w:rsid w:val="0002260E"/>
    <w:rsid w:val="00030263"/>
    <w:rsid w:val="00032D8E"/>
    <w:rsid w:val="00060723"/>
    <w:rsid w:val="00064B7C"/>
    <w:rsid w:val="000758EB"/>
    <w:rsid w:val="0008124F"/>
    <w:rsid w:val="000901E7"/>
    <w:rsid w:val="0009335F"/>
    <w:rsid w:val="000A1DB5"/>
    <w:rsid w:val="000B2296"/>
    <w:rsid w:val="000B3F90"/>
    <w:rsid w:val="000D69FD"/>
    <w:rsid w:val="000F1946"/>
    <w:rsid w:val="000F4CE8"/>
    <w:rsid w:val="00100C3A"/>
    <w:rsid w:val="00127B0B"/>
    <w:rsid w:val="001353A2"/>
    <w:rsid w:val="001363CA"/>
    <w:rsid w:val="0013745D"/>
    <w:rsid w:val="0016001E"/>
    <w:rsid w:val="00161A7F"/>
    <w:rsid w:val="00167E00"/>
    <w:rsid w:val="00176DFB"/>
    <w:rsid w:val="00185856"/>
    <w:rsid w:val="00194553"/>
    <w:rsid w:val="001A2F1C"/>
    <w:rsid w:val="001B27C6"/>
    <w:rsid w:val="001C20F3"/>
    <w:rsid w:val="001C56EB"/>
    <w:rsid w:val="001C6294"/>
    <w:rsid w:val="001C6ECE"/>
    <w:rsid w:val="001D1E09"/>
    <w:rsid w:val="001E307A"/>
    <w:rsid w:val="001E3EF3"/>
    <w:rsid w:val="001E66EB"/>
    <w:rsid w:val="001F2C19"/>
    <w:rsid w:val="001F4DB0"/>
    <w:rsid w:val="00225E76"/>
    <w:rsid w:val="00226FCA"/>
    <w:rsid w:val="002272C1"/>
    <w:rsid w:val="00231591"/>
    <w:rsid w:val="0025175A"/>
    <w:rsid w:val="002573DF"/>
    <w:rsid w:val="00267EDC"/>
    <w:rsid w:val="00270F47"/>
    <w:rsid w:val="002717D5"/>
    <w:rsid w:val="00275C49"/>
    <w:rsid w:val="002804ED"/>
    <w:rsid w:val="002823F7"/>
    <w:rsid w:val="002832EC"/>
    <w:rsid w:val="00283EF3"/>
    <w:rsid w:val="00290DBD"/>
    <w:rsid w:val="002A2F5E"/>
    <w:rsid w:val="002D6A1F"/>
    <w:rsid w:val="002E5089"/>
    <w:rsid w:val="002F3219"/>
    <w:rsid w:val="002F46AD"/>
    <w:rsid w:val="002F7B73"/>
    <w:rsid w:val="003001D0"/>
    <w:rsid w:val="00322E89"/>
    <w:rsid w:val="00326D2B"/>
    <w:rsid w:val="0033460A"/>
    <w:rsid w:val="0034363C"/>
    <w:rsid w:val="00357718"/>
    <w:rsid w:val="00361ED9"/>
    <w:rsid w:val="00363521"/>
    <w:rsid w:val="00364B1B"/>
    <w:rsid w:val="00364F60"/>
    <w:rsid w:val="003928D1"/>
    <w:rsid w:val="00392A86"/>
    <w:rsid w:val="00393999"/>
    <w:rsid w:val="0039638A"/>
    <w:rsid w:val="003B6C90"/>
    <w:rsid w:val="003C6D4C"/>
    <w:rsid w:val="003E1437"/>
    <w:rsid w:val="003E7EC3"/>
    <w:rsid w:val="003F0CA8"/>
    <w:rsid w:val="003F2272"/>
    <w:rsid w:val="004233DC"/>
    <w:rsid w:val="004242B1"/>
    <w:rsid w:val="0043474E"/>
    <w:rsid w:val="00434D77"/>
    <w:rsid w:val="00435DAE"/>
    <w:rsid w:val="004435A0"/>
    <w:rsid w:val="00450A8C"/>
    <w:rsid w:val="004816A8"/>
    <w:rsid w:val="0048283A"/>
    <w:rsid w:val="004870D8"/>
    <w:rsid w:val="00487447"/>
    <w:rsid w:val="00497574"/>
    <w:rsid w:val="004A548C"/>
    <w:rsid w:val="004B1115"/>
    <w:rsid w:val="004B27D7"/>
    <w:rsid w:val="004B625E"/>
    <w:rsid w:val="004B795A"/>
    <w:rsid w:val="004C0801"/>
    <w:rsid w:val="004F561E"/>
    <w:rsid w:val="005264B7"/>
    <w:rsid w:val="00540B2E"/>
    <w:rsid w:val="00544D42"/>
    <w:rsid w:val="005450B6"/>
    <w:rsid w:val="00545ED7"/>
    <w:rsid w:val="005573D2"/>
    <w:rsid w:val="005574D2"/>
    <w:rsid w:val="00571F0F"/>
    <w:rsid w:val="0057513B"/>
    <w:rsid w:val="0059260C"/>
    <w:rsid w:val="00592A65"/>
    <w:rsid w:val="005A5EB6"/>
    <w:rsid w:val="005A7630"/>
    <w:rsid w:val="005B0B5B"/>
    <w:rsid w:val="005B24C7"/>
    <w:rsid w:val="005B5103"/>
    <w:rsid w:val="005C510D"/>
    <w:rsid w:val="005D3DC7"/>
    <w:rsid w:val="005D452B"/>
    <w:rsid w:val="005F5D18"/>
    <w:rsid w:val="00610BD0"/>
    <w:rsid w:val="006113F3"/>
    <w:rsid w:val="00614887"/>
    <w:rsid w:val="00633218"/>
    <w:rsid w:val="006364A5"/>
    <w:rsid w:val="00660E8B"/>
    <w:rsid w:val="00662C01"/>
    <w:rsid w:val="006650FA"/>
    <w:rsid w:val="00667A5A"/>
    <w:rsid w:val="00671FA6"/>
    <w:rsid w:val="00674BDA"/>
    <w:rsid w:val="00676963"/>
    <w:rsid w:val="006800F9"/>
    <w:rsid w:val="00685853"/>
    <w:rsid w:val="00693C42"/>
    <w:rsid w:val="00696F4C"/>
    <w:rsid w:val="006A2321"/>
    <w:rsid w:val="006A29C8"/>
    <w:rsid w:val="006B1BB8"/>
    <w:rsid w:val="006B5A8B"/>
    <w:rsid w:val="006D5657"/>
    <w:rsid w:val="006E0E08"/>
    <w:rsid w:val="006F688B"/>
    <w:rsid w:val="00716963"/>
    <w:rsid w:val="007204B7"/>
    <w:rsid w:val="00726FC2"/>
    <w:rsid w:val="00733913"/>
    <w:rsid w:val="00734346"/>
    <w:rsid w:val="00771B74"/>
    <w:rsid w:val="00774859"/>
    <w:rsid w:val="00782847"/>
    <w:rsid w:val="00785E24"/>
    <w:rsid w:val="0079453D"/>
    <w:rsid w:val="00797218"/>
    <w:rsid w:val="007A742B"/>
    <w:rsid w:val="007C5217"/>
    <w:rsid w:val="007E1D2E"/>
    <w:rsid w:val="007E1D76"/>
    <w:rsid w:val="00806CDF"/>
    <w:rsid w:val="008239A8"/>
    <w:rsid w:val="00826894"/>
    <w:rsid w:val="008409DE"/>
    <w:rsid w:val="008548ED"/>
    <w:rsid w:val="00892B60"/>
    <w:rsid w:val="00892DD2"/>
    <w:rsid w:val="008A3C0F"/>
    <w:rsid w:val="008A6B77"/>
    <w:rsid w:val="008A7409"/>
    <w:rsid w:val="008C05E6"/>
    <w:rsid w:val="008C1F75"/>
    <w:rsid w:val="008C4FF2"/>
    <w:rsid w:val="008C74D5"/>
    <w:rsid w:val="008F60D1"/>
    <w:rsid w:val="00904472"/>
    <w:rsid w:val="00931BA1"/>
    <w:rsid w:val="009320D0"/>
    <w:rsid w:val="00947021"/>
    <w:rsid w:val="00971E4E"/>
    <w:rsid w:val="00972EE1"/>
    <w:rsid w:val="00983C71"/>
    <w:rsid w:val="0098558F"/>
    <w:rsid w:val="0099275D"/>
    <w:rsid w:val="00995218"/>
    <w:rsid w:val="009966B3"/>
    <w:rsid w:val="00996CE2"/>
    <w:rsid w:val="00997F32"/>
    <w:rsid w:val="009A0DAA"/>
    <w:rsid w:val="009B563C"/>
    <w:rsid w:val="009E10D1"/>
    <w:rsid w:val="009F3CF8"/>
    <w:rsid w:val="00A105D2"/>
    <w:rsid w:val="00A43DF5"/>
    <w:rsid w:val="00A44646"/>
    <w:rsid w:val="00A6703B"/>
    <w:rsid w:val="00A71DA2"/>
    <w:rsid w:val="00A778F0"/>
    <w:rsid w:val="00A825BC"/>
    <w:rsid w:val="00A8370C"/>
    <w:rsid w:val="00A8398C"/>
    <w:rsid w:val="00AB3556"/>
    <w:rsid w:val="00AC1122"/>
    <w:rsid w:val="00AD3423"/>
    <w:rsid w:val="00AD4458"/>
    <w:rsid w:val="00AD5BEB"/>
    <w:rsid w:val="00AE52C7"/>
    <w:rsid w:val="00AE79F6"/>
    <w:rsid w:val="00AF49AB"/>
    <w:rsid w:val="00B0384B"/>
    <w:rsid w:val="00B05066"/>
    <w:rsid w:val="00B06918"/>
    <w:rsid w:val="00B12289"/>
    <w:rsid w:val="00B20045"/>
    <w:rsid w:val="00B243C7"/>
    <w:rsid w:val="00B33A99"/>
    <w:rsid w:val="00B62872"/>
    <w:rsid w:val="00B652EB"/>
    <w:rsid w:val="00B67519"/>
    <w:rsid w:val="00B71025"/>
    <w:rsid w:val="00B83F2D"/>
    <w:rsid w:val="00B87498"/>
    <w:rsid w:val="00B920FE"/>
    <w:rsid w:val="00B97AFF"/>
    <w:rsid w:val="00BA1595"/>
    <w:rsid w:val="00BB1D9A"/>
    <w:rsid w:val="00BB6207"/>
    <w:rsid w:val="00BC0B44"/>
    <w:rsid w:val="00BC584F"/>
    <w:rsid w:val="00BD5767"/>
    <w:rsid w:val="00BE5ED0"/>
    <w:rsid w:val="00BE7012"/>
    <w:rsid w:val="00C046A7"/>
    <w:rsid w:val="00C13196"/>
    <w:rsid w:val="00C25039"/>
    <w:rsid w:val="00C3405A"/>
    <w:rsid w:val="00C35E71"/>
    <w:rsid w:val="00C419E0"/>
    <w:rsid w:val="00C41F23"/>
    <w:rsid w:val="00C83E31"/>
    <w:rsid w:val="00C9037D"/>
    <w:rsid w:val="00C93735"/>
    <w:rsid w:val="00CA0212"/>
    <w:rsid w:val="00CB41D8"/>
    <w:rsid w:val="00CC7ADE"/>
    <w:rsid w:val="00CD026B"/>
    <w:rsid w:val="00CE662B"/>
    <w:rsid w:val="00CF5883"/>
    <w:rsid w:val="00CF5C31"/>
    <w:rsid w:val="00D0373A"/>
    <w:rsid w:val="00D20D6A"/>
    <w:rsid w:val="00D36F80"/>
    <w:rsid w:val="00D4323F"/>
    <w:rsid w:val="00D57090"/>
    <w:rsid w:val="00D57E64"/>
    <w:rsid w:val="00D61C4A"/>
    <w:rsid w:val="00D63380"/>
    <w:rsid w:val="00D80320"/>
    <w:rsid w:val="00D838FE"/>
    <w:rsid w:val="00D8395D"/>
    <w:rsid w:val="00D84D9C"/>
    <w:rsid w:val="00D92976"/>
    <w:rsid w:val="00DA46E5"/>
    <w:rsid w:val="00DB5464"/>
    <w:rsid w:val="00DB5B35"/>
    <w:rsid w:val="00DD756A"/>
    <w:rsid w:val="00DF119B"/>
    <w:rsid w:val="00E0299B"/>
    <w:rsid w:val="00E06F43"/>
    <w:rsid w:val="00E1577C"/>
    <w:rsid w:val="00E17BF6"/>
    <w:rsid w:val="00E20A98"/>
    <w:rsid w:val="00E21C22"/>
    <w:rsid w:val="00E349FF"/>
    <w:rsid w:val="00E35E12"/>
    <w:rsid w:val="00E41F2D"/>
    <w:rsid w:val="00E4373B"/>
    <w:rsid w:val="00E443C6"/>
    <w:rsid w:val="00E44599"/>
    <w:rsid w:val="00E73F37"/>
    <w:rsid w:val="00E76925"/>
    <w:rsid w:val="00E85F6E"/>
    <w:rsid w:val="00E90D10"/>
    <w:rsid w:val="00E912FB"/>
    <w:rsid w:val="00E950D3"/>
    <w:rsid w:val="00EB6FCE"/>
    <w:rsid w:val="00EB7118"/>
    <w:rsid w:val="00EC6C51"/>
    <w:rsid w:val="00ED128A"/>
    <w:rsid w:val="00ED79A4"/>
    <w:rsid w:val="00EE3525"/>
    <w:rsid w:val="00EF79F7"/>
    <w:rsid w:val="00F138C6"/>
    <w:rsid w:val="00F16062"/>
    <w:rsid w:val="00F25306"/>
    <w:rsid w:val="00F3107D"/>
    <w:rsid w:val="00F66B61"/>
    <w:rsid w:val="00F75650"/>
    <w:rsid w:val="00F90459"/>
    <w:rsid w:val="00FA6F21"/>
    <w:rsid w:val="00FA7D78"/>
    <w:rsid w:val="00FB2EA7"/>
    <w:rsid w:val="00FC0D17"/>
    <w:rsid w:val="00FC33F1"/>
    <w:rsid w:val="00FD578C"/>
    <w:rsid w:val="00FF2078"/>
    <w:rsid w:val="01093896"/>
    <w:rsid w:val="0128B6B5"/>
    <w:rsid w:val="0199C0D1"/>
    <w:rsid w:val="02A1BD79"/>
    <w:rsid w:val="04378052"/>
    <w:rsid w:val="0467208B"/>
    <w:rsid w:val="05A77CE2"/>
    <w:rsid w:val="0714A800"/>
    <w:rsid w:val="074FFD81"/>
    <w:rsid w:val="08C3513A"/>
    <w:rsid w:val="0C873025"/>
    <w:rsid w:val="0D83E984"/>
    <w:rsid w:val="10713682"/>
    <w:rsid w:val="15B598AA"/>
    <w:rsid w:val="15DE7F98"/>
    <w:rsid w:val="166A0F98"/>
    <w:rsid w:val="186CB12B"/>
    <w:rsid w:val="1AC7EEAA"/>
    <w:rsid w:val="1E7EA723"/>
    <w:rsid w:val="1E8DD041"/>
    <w:rsid w:val="1FB93FC8"/>
    <w:rsid w:val="244C7F59"/>
    <w:rsid w:val="26C51FCA"/>
    <w:rsid w:val="274DE1CB"/>
    <w:rsid w:val="27DAC787"/>
    <w:rsid w:val="281B8A2A"/>
    <w:rsid w:val="28305C53"/>
    <w:rsid w:val="28956E80"/>
    <w:rsid w:val="28FEE16B"/>
    <w:rsid w:val="2969E07E"/>
    <w:rsid w:val="29CFEB70"/>
    <w:rsid w:val="2C6ADFA3"/>
    <w:rsid w:val="2CA4A789"/>
    <w:rsid w:val="2D078C32"/>
    <w:rsid w:val="2D1E0ADC"/>
    <w:rsid w:val="2EA35C93"/>
    <w:rsid w:val="2F6577CF"/>
    <w:rsid w:val="321BAD6C"/>
    <w:rsid w:val="32D2CE76"/>
    <w:rsid w:val="32E26070"/>
    <w:rsid w:val="33A204D0"/>
    <w:rsid w:val="340FD5C7"/>
    <w:rsid w:val="36936ADD"/>
    <w:rsid w:val="37F04E57"/>
    <w:rsid w:val="38460DB4"/>
    <w:rsid w:val="38740AB6"/>
    <w:rsid w:val="38ED94E0"/>
    <w:rsid w:val="39D56BDB"/>
    <w:rsid w:val="44CDCABE"/>
    <w:rsid w:val="45453995"/>
    <w:rsid w:val="469C6488"/>
    <w:rsid w:val="46BBF515"/>
    <w:rsid w:val="4812E5AC"/>
    <w:rsid w:val="483834E9"/>
    <w:rsid w:val="4A2F57A4"/>
    <w:rsid w:val="4B6FD5AB"/>
    <w:rsid w:val="4E6C289E"/>
    <w:rsid w:val="500407EB"/>
    <w:rsid w:val="5075A274"/>
    <w:rsid w:val="509B643B"/>
    <w:rsid w:val="51356BBF"/>
    <w:rsid w:val="536F9780"/>
    <w:rsid w:val="54C50F31"/>
    <w:rsid w:val="55F56978"/>
    <w:rsid w:val="55F5DC88"/>
    <w:rsid w:val="58F629E0"/>
    <w:rsid w:val="59F2169A"/>
    <w:rsid w:val="5C00D7E7"/>
    <w:rsid w:val="5E5C850E"/>
    <w:rsid w:val="618E8455"/>
    <w:rsid w:val="6389F2EA"/>
    <w:rsid w:val="646DC433"/>
    <w:rsid w:val="65158B78"/>
    <w:rsid w:val="65F2C6FC"/>
    <w:rsid w:val="670C741B"/>
    <w:rsid w:val="673A53B1"/>
    <w:rsid w:val="675754EC"/>
    <w:rsid w:val="69B42375"/>
    <w:rsid w:val="69EF1207"/>
    <w:rsid w:val="6C032647"/>
    <w:rsid w:val="6C3E695E"/>
    <w:rsid w:val="6EFB3441"/>
    <w:rsid w:val="6FB6461D"/>
    <w:rsid w:val="7152167E"/>
    <w:rsid w:val="722BAA74"/>
    <w:rsid w:val="733856ED"/>
    <w:rsid w:val="746F4067"/>
    <w:rsid w:val="75F921AE"/>
    <w:rsid w:val="774FFB09"/>
    <w:rsid w:val="78368206"/>
    <w:rsid w:val="78FFCE64"/>
    <w:rsid w:val="7CCF5E9E"/>
    <w:rsid w:val="7CEC1F49"/>
    <w:rsid w:val="7D86EE16"/>
    <w:rsid w:val="7FE5CC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224C"/>
  <w15:chartTrackingRefBased/>
  <w15:docId w15:val="{0AD7894E-3989-40D2-B59B-00BA73D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63C"/>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7E1D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563C"/>
    <w:pPr>
      <w:spacing w:before="100" w:beforeAutospacing="1" w:after="100" w:afterAutospacing="1" w:line="240" w:lineRule="auto"/>
      <w:jc w:val="left"/>
    </w:pPr>
    <w:rPr>
      <w:rFonts w:ascii="Times New Roman" w:eastAsia="Times New Roman" w:hAnsi="Times New Roman" w:cs="Times New Roman"/>
      <w:lang w:val="es-ES" w:eastAsia="es-ES"/>
    </w:rPr>
  </w:style>
  <w:style w:type="paragraph" w:customStyle="1" w:styleId="paragraph">
    <w:name w:val="paragraph"/>
    <w:basedOn w:val="Normal"/>
    <w:rsid w:val="009B563C"/>
    <w:pPr>
      <w:spacing w:before="100" w:beforeAutospacing="1" w:after="100" w:afterAutospacing="1" w:line="240" w:lineRule="auto"/>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9B563C"/>
  </w:style>
  <w:style w:type="character" w:customStyle="1" w:styleId="eop">
    <w:name w:val="eop"/>
    <w:basedOn w:val="Fuentedeprrafopredeter"/>
    <w:rsid w:val="009B563C"/>
  </w:style>
  <w:style w:type="paragraph" w:styleId="Prrafodelista">
    <w:name w:val="List Paragraph"/>
    <w:basedOn w:val="Normal"/>
    <w:uiPriority w:val="34"/>
    <w:qFormat/>
    <w:rsid w:val="00030263"/>
    <w:pPr>
      <w:ind w:left="720"/>
      <w:contextualSpacing/>
    </w:pPr>
  </w:style>
  <w:style w:type="character" w:customStyle="1" w:styleId="SinespaciadoCar">
    <w:name w:val="Sin espaciado Car"/>
    <w:link w:val="Sinespaciado"/>
    <w:uiPriority w:val="1"/>
    <w:locked/>
    <w:rsid w:val="006E0E08"/>
    <w:rPr>
      <w:rFonts w:ascii="Times New Roman" w:eastAsia="Times New Roman" w:hAnsi="Times New Roman" w:cs="Times New Roman"/>
    </w:rPr>
  </w:style>
  <w:style w:type="paragraph" w:styleId="Sinespaciado">
    <w:name w:val="No Spacing"/>
    <w:link w:val="SinespaciadoCar"/>
    <w:uiPriority w:val="1"/>
    <w:qFormat/>
    <w:rsid w:val="006E0E08"/>
    <w:pPr>
      <w:spacing w:line="240" w:lineRule="auto"/>
      <w:jc w:val="left"/>
    </w:pPr>
    <w:rPr>
      <w:rFonts w:ascii="Times New Roman" w:eastAsia="Times New Roman" w:hAnsi="Times New Roman" w:cs="Times New Roman"/>
    </w:rPr>
  </w:style>
  <w:style w:type="paragraph" w:styleId="Textonotapie">
    <w:name w:val="footnote text"/>
    <w:basedOn w:val="Normal"/>
    <w:link w:val="TextonotapieCar"/>
    <w:uiPriority w:val="99"/>
    <w:unhideWhenUsed/>
    <w:rsid w:val="00D57090"/>
    <w:pPr>
      <w:spacing w:line="240" w:lineRule="auto"/>
      <w:jc w:val="left"/>
    </w:pPr>
    <w:rPr>
      <w:rFonts w:asciiTheme="minorHAnsi" w:hAnsiTheme="minorHAnsi"/>
      <w:sz w:val="20"/>
      <w:szCs w:val="20"/>
      <w:lang w:val="es-ES"/>
    </w:rPr>
  </w:style>
  <w:style w:type="character" w:customStyle="1" w:styleId="TextonotapieCar">
    <w:name w:val="Texto nota pie Car"/>
    <w:basedOn w:val="Fuentedeprrafopredeter"/>
    <w:link w:val="Textonotapie"/>
    <w:uiPriority w:val="99"/>
    <w:rsid w:val="00D57090"/>
    <w:rPr>
      <w:rFonts w:asciiTheme="minorHAnsi" w:hAnsiTheme="minorHAnsi"/>
      <w:sz w:val="20"/>
      <w:szCs w:val="20"/>
      <w:lang w:val="es-ES"/>
    </w:rPr>
  </w:style>
  <w:style w:type="character" w:styleId="Refdenotaalpie">
    <w:name w:val="footnote reference"/>
    <w:basedOn w:val="Fuentedeprrafopredeter"/>
    <w:uiPriority w:val="99"/>
    <w:semiHidden/>
    <w:unhideWhenUsed/>
    <w:rsid w:val="00D57090"/>
    <w:rPr>
      <w:vertAlign w:val="superscript"/>
    </w:rPr>
  </w:style>
  <w:style w:type="table" w:styleId="Tablaconcuadrcula">
    <w:name w:val="Table Grid"/>
    <w:basedOn w:val="Tablanormal"/>
    <w:uiPriority w:val="39"/>
    <w:rsid w:val="00D57090"/>
    <w:pPr>
      <w:spacing w:line="240" w:lineRule="auto"/>
      <w:jc w:val="left"/>
    </w:pPr>
    <w:rPr>
      <w:rFonts w:asciiTheme="minorHAnsi" w:hAnsiTheme="minorHAns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DB5B35"/>
    <w:rPr>
      <w:rFonts w:ascii="Verdana" w:hAnsi="Verdana" w:hint="default"/>
      <w:b w:val="0"/>
      <w:bCs w:val="0"/>
      <w:i/>
      <w:iCs/>
      <w:color w:val="000000"/>
      <w:sz w:val="24"/>
      <w:szCs w:val="24"/>
    </w:rPr>
  </w:style>
  <w:style w:type="character" w:customStyle="1" w:styleId="fontstyle21">
    <w:name w:val="fontstyle21"/>
    <w:basedOn w:val="Fuentedeprrafopredeter"/>
    <w:rsid w:val="00E90D10"/>
    <w:rPr>
      <w:rFonts w:ascii="Verdana" w:hAnsi="Verdana" w:hint="default"/>
      <w:b/>
      <w:bCs/>
      <w:i/>
      <w:iCs/>
      <w:color w:val="000000"/>
      <w:sz w:val="24"/>
      <w:szCs w:val="24"/>
    </w:rPr>
  </w:style>
  <w:style w:type="paragraph" w:styleId="Textoindependiente">
    <w:name w:val="Body Text"/>
    <w:basedOn w:val="Normal"/>
    <w:link w:val="TextoindependienteCar"/>
    <w:uiPriority w:val="1"/>
    <w:qFormat/>
    <w:rsid w:val="00DD756A"/>
    <w:pPr>
      <w:autoSpaceDE w:val="0"/>
      <w:autoSpaceDN w:val="0"/>
      <w:adjustRightInd w:val="0"/>
      <w:spacing w:line="240" w:lineRule="auto"/>
      <w:jc w:val="left"/>
    </w:pPr>
    <w:rPr>
      <w:rFonts w:ascii="Verdana" w:hAnsi="Verdana" w:cs="Verdana"/>
      <w:i/>
      <w:iCs/>
    </w:rPr>
  </w:style>
  <w:style w:type="character" w:customStyle="1" w:styleId="TextoindependienteCar">
    <w:name w:val="Texto independiente Car"/>
    <w:basedOn w:val="Fuentedeprrafopredeter"/>
    <w:link w:val="Textoindependiente"/>
    <w:uiPriority w:val="1"/>
    <w:rsid w:val="00DD756A"/>
    <w:rPr>
      <w:rFonts w:ascii="Verdana" w:hAnsi="Verdana" w:cs="Verdana"/>
      <w:i/>
      <w:iCs/>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A2F1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2F1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A2F1C"/>
    <w:rPr>
      <w:b/>
      <w:bCs/>
    </w:rPr>
  </w:style>
  <w:style w:type="character" w:customStyle="1" w:styleId="AsuntodelcomentarioCar">
    <w:name w:val="Asunto del comentario Car"/>
    <w:basedOn w:val="TextocomentarioCar"/>
    <w:link w:val="Asuntodelcomentario"/>
    <w:uiPriority w:val="99"/>
    <w:semiHidden/>
    <w:rsid w:val="001A2F1C"/>
    <w:rPr>
      <w:b/>
      <w:bCs/>
      <w:sz w:val="20"/>
      <w:szCs w:val="20"/>
    </w:rPr>
  </w:style>
  <w:style w:type="paragraph" w:styleId="Encabezado">
    <w:name w:val="header"/>
    <w:basedOn w:val="Normal"/>
    <w:link w:val="EncabezadoCar"/>
    <w:uiPriority w:val="99"/>
    <w:unhideWhenUsed/>
    <w:rsid w:val="005450B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450B6"/>
  </w:style>
  <w:style w:type="paragraph" w:styleId="Piedepgina">
    <w:name w:val="footer"/>
    <w:basedOn w:val="Normal"/>
    <w:link w:val="PiedepginaCar"/>
    <w:uiPriority w:val="99"/>
    <w:unhideWhenUsed/>
    <w:rsid w:val="005450B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450B6"/>
  </w:style>
  <w:style w:type="character" w:styleId="Hipervnculo">
    <w:name w:val="Hyperlink"/>
    <w:basedOn w:val="Fuentedeprrafopredeter"/>
    <w:uiPriority w:val="99"/>
    <w:unhideWhenUsed/>
    <w:rsid w:val="00B243C7"/>
    <w:rPr>
      <w:color w:val="0563C1" w:themeColor="hyperlink"/>
      <w:u w:val="single"/>
    </w:rPr>
  </w:style>
  <w:style w:type="character" w:customStyle="1" w:styleId="UnresolvedMention">
    <w:name w:val="Unresolved Mention"/>
    <w:basedOn w:val="Fuentedeprrafopredeter"/>
    <w:uiPriority w:val="99"/>
    <w:semiHidden/>
    <w:unhideWhenUsed/>
    <w:rsid w:val="00B243C7"/>
    <w:rPr>
      <w:color w:val="605E5C"/>
      <w:shd w:val="clear" w:color="auto" w:fill="E1DFDD"/>
    </w:rPr>
  </w:style>
  <w:style w:type="character" w:customStyle="1" w:styleId="baj">
    <w:name w:val="b_aj"/>
    <w:basedOn w:val="Fuentedeprrafopredeter"/>
    <w:rsid w:val="0025175A"/>
  </w:style>
  <w:style w:type="paragraph" w:customStyle="1" w:styleId="centrado">
    <w:name w:val="centrado"/>
    <w:basedOn w:val="Normal"/>
    <w:rsid w:val="0025175A"/>
    <w:pPr>
      <w:spacing w:before="100" w:beforeAutospacing="1" w:after="100" w:afterAutospacing="1" w:line="240" w:lineRule="auto"/>
      <w:jc w:val="left"/>
    </w:pPr>
    <w:rPr>
      <w:rFonts w:ascii="Times New Roman" w:eastAsia="Times New Roman" w:hAnsi="Times New Roman" w:cs="Times New Roman"/>
      <w:lang w:eastAsia="es-CO"/>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customStyle="1" w:styleId="Default">
    <w:name w:val="Default"/>
    <w:rsid w:val="008A7409"/>
    <w:pPr>
      <w:autoSpaceDE w:val="0"/>
      <w:autoSpaceDN w:val="0"/>
      <w:adjustRightInd w:val="0"/>
      <w:spacing w:line="240" w:lineRule="auto"/>
      <w:jc w:val="left"/>
    </w:pPr>
    <w:rPr>
      <w:rFonts w:cs="Arial"/>
      <w:color w:val="000000"/>
    </w:rPr>
  </w:style>
  <w:style w:type="paragraph" w:customStyle="1" w:styleId="NormalCSJ">
    <w:name w:val="Normal CSJ"/>
    <w:basedOn w:val="Normal"/>
    <w:link w:val="NormalCSJCar"/>
    <w:qFormat/>
    <w:rsid w:val="007E1D2E"/>
    <w:pPr>
      <w:ind w:firstLine="709"/>
    </w:pPr>
    <w:rPr>
      <w:rFonts w:ascii="Bookman Old Style" w:eastAsia="Calibri" w:hAnsi="Bookman Old Style" w:cs="Times New Roman"/>
      <w:sz w:val="28"/>
      <w:szCs w:val="28"/>
      <w:lang w:val="es-ES" w:eastAsia="es-ES"/>
    </w:rPr>
  </w:style>
  <w:style w:type="paragraph" w:customStyle="1" w:styleId="CitaIntraCSJ">
    <w:name w:val="Cita Intra CSJ"/>
    <w:basedOn w:val="NormalCSJ"/>
    <w:link w:val="CitaIntraCSJCar"/>
    <w:qFormat/>
    <w:rsid w:val="007E1D2E"/>
    <w:rPr>
      <w:bCs/>
      <w:i/>
    </w:rPr>
  </w:style>
  <w:style w:type="character" w:customStyle="1" w:styleId="NormalCSJCar">
    <w:name w:val="Normal CSJ Car"/>
    <w:basedOn w:val="Fuentedeprrafopredeter"/>
    <w:link w:val="NormalCSJ"/>
    <w:rsid w:val="007E1D2E"/>
    <w:rPr>
      <w:rFonts w:ascii="Bookman Old Style" w:eastAsia="Calibri" w:hAnsi="Bookman Old Style" w:cs="Times New Roman"/>
      <w:sz w:val="28"/>
      <w:szCs w:val="28"/>
      <w:lang w:val="es-ES" w:eastAsia="es-ES"/>
    </w:rPr>
  </w:style>
  <w:style w:type="character" w:customStyle="1" w:styleId="CitaIntraCSJCar">
    <w:name w:val="Cita Intra CSJ Car"/>
    <w:basedOn w:val="NormalCSJCar"/>
    <w:link w:val="CitaIntraCSJ"/>
    <w:rsid w:val="007E1D2E"/>
    <w:rPr>
      <w:rFonts w:ascii="Bookman Old Style" w:eastAsia="Calibri" w:hAnsi="Bookman Old Style" w:cs="Times New Roman"/>
      <w:bCs/>
      <w:i/>
      <w:sz w:val="28"/>
      <w:szCs w:val="28"/>
      <w:lang w:val="es-ES" w:eastAsia="es-ES"/>
    </w:rPr>
  </w:style>
  <w:style w:type="paragraph" w:customStyle="1" w:styleId="CitaExtraCSJ">
    <w:name w:val="Cita Extra CSJ"/>
    <w:basedOn w:val="Textoindependiente"/>
    <w:link w:val="CitaExtraCSJCar"/>
    <w:qFormat/>
    <w:rsid w:val="007E1D2E"/>
    <w:pPr>
      <w:autoSpaceDE/>
      <w:autoSpaceDN/>
      <w:adjustRightInd/>
      <w:spacing w:line="360" w:lineRule="auto"/>
      <w:ind w:left="680"/>
      <w:jc w:val="both"/>
    </w:pPr>
    <w:rPr>
      <w:rFonts w:ascii="Bookman Old Style" w:eastAsia="Times New Roman" w:hAnsi="Bookman Old Style" w:cs="Times New Roman"/>
      <w:i w:val="0"/>
      <w:iCs w:val="0"/>
      <w:szCs w:val="28"/>
      <w:lang w:val="es-ES_tradnl" w:eastAsia="x-none"/>
    </w:rPr>
  </w:style>
  <w:style w:type="character" w:customStyle="1" w:styleId="CitaExtraCSJCar">
    <w:name w:val="Cita Extra CSJ Car"/>
    <w:basedOn w:val="Fuentedeprrafopredeter"/>
    <w:link w:val="CitaExtraCSJ"/>
    <w:rsid w:val="007E1D2E"/>
    <w:rPr>
      <w:rFonts w:ascii="Bookman Old Style" w:eastAsia="Times New Roman" w:hAnsi="Bookman Old Style" w:cs="Times New Roman"/>
      <w:szCs w:val="28"/>
      <w:lang w:val="es-ES_tradnl" w:eastAsia="x-none"/>
    </w:rPr>
  </w:style>
  <w:style w:type="paragraph" w:customStyle="1" w:styleId="SubtituloCSJ">
    <w:name w:val="Subtitulo CSJ"/>
    <w:basedOn w:val="Ttulo2"/>
    <w:next w:val="Normal"/>
    <w:link w:val="SubtituloCSJCar"/>
    <w:qFormat/>
    <w:rsid w:val="007E1D2E"/>
    <w:pPr>
      <w:spacing w:before="0"/>
      <w:ind w:firstLine="709"/>
    </w:pPr>
    <w:rPr>
      <w:rFonts w:ascii="Bookman Old Style" w:hAnsi="Bookman Old Style"/>
      <w:sz w:val="28"/>
      <w:u w:val="single"/>
      <w:lang w:val="es-MX" w:eastAsia="es-ES"/>
    </w:rPr>
  </w:style>
  <w:style w:type="character" w:customStyle="1" w:styleId="SubtituloCSJCar">
    <w:name w:val="Subtitulo CSJ Car"/>
    <w:basedOn w:val="Ttulo2Car"/>
    <w:link w:val="SubtituloCSJ"/>
    <w:rsid w:val="007E1D2E"/>
    <w:rPr>
      <w:rFonts w:ascii="Bookman Old Style" w:eastAsiaTheme="majorEastAsia" w:hAnsi="Bookman Old Style" w:cstheme="majorBidi"/>
      <w:color w:val="2F5496" w:themeColor="accent1" w:themeShade="BF"/>
      <w:sz w:val="28"/>
      <w:szCs w:val="26"/>
      <w:u w:val="single"/>
      <w:lang w:val="es-MX" w:eastAsia="es-ES"/>
    </w:rPr>
  </w:style>
  <w:style w:type="character" w:customStyle="1" w:styleId="Ttulo2Car">
    <w:name w:val="Título 2 Car"/>
    <w:basedOn w:val="Fuentedeprrafopredeter"/>
    <w:link w:val="Ttulo2"/>
    <w:uiPriority w:val="9"/>
    <w:semiHidden/>
    <w:rsid w:val="007E1D2E"/>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3C6D4C"/>
    <w:rPr>
      <w:i/>
      <w:iCs/>
    </w:rPr>
  </w:style>
  <w:style w:type="character" w:styleId="Textoennegrita">
    <w:name w:val="Strong"/>
    <w:basedOn w:val="Fuentedeprrafopredeter"/>
    <w:uiPriority w:val="22"/>
    <w:qFormat/>
    <w:rsid w:val="00176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1634">
      <w:bodyDiv w:val="1"/>
      <w:marLeft w:val="0"/>
      <w:marRight w:val="0"/>
      <w:marTop w:val="0"/>
      <w:marBottom w:val="0"/>
      <w:divBdr>
        <w:top w:val="none" w:sz="0" w:space="0" w:color="auto"/>
        <w:left w:val="none" w:sz="0" w:space="0" w:color="auto"/>
        <w:bottom w:val="none" w:sz="0" w:space="0" w:color="auto"/>
        <w:right w:val="none" w:sz="0" w:space="0" w:color="auto"/>
      </w:divBdr>
    </w:div>
    <w:div w:id="790173733">
      <w:bodyDiv w:val="1"/>
      <w:marLeft w:val="0"/>
      <w:marRight w:val="0"/>
      <w:marTop w:val="0"/>
      <w:marBottom w:val="0"/>
      <w:divBdr>
        <w:top w:val="none" w:sz="0" w:space="0" w:color="auto"/>
        <w:left w:val="none" w:sz="0" w:space="0" w:color="auto"/>
        <w:bottom w:val="none" w:sz="0" w:space="0" w:color="auto"/>
        <w:right w:val="none" w:sz="0" w:space="0" w:color="auto"/>
      </w:divBdr>
    </w:div>
    <w:div w:id="997925900">
      <w:bodyDiv w:val="1"/>
      <w:marLeft w:val="0"/>
      <w:marRight w:val="0"/>
      <w:marTop w:val="0"/>
      <w:marBottom w:val="0"/>
      <w:divBdr>
        <w:top w:val="none" w:sz="0" w:space="0" w:color="auto"/>
        <w:left w:val="none" w:sz="0" w:space="0" w:color="auto"/>
        <w:bottom w:val="none" w:sz="0" w:space="0" w:color="auto"/>
        <w:right w:val="none" w:sz="0" w:space="0" w:color="auto"/>
      </w:divBdr>
    </w:div>
    <w:div w:id="1008748669">
      <w:bodyDiv w:val="1"/>
      <w:marLeft w:val="0"/>
      <w:marRight w:val="0"/>
      <w:marTop w:val="0"/>
      <w:marBottom w:val="0"/>
      <w:divBdr>
        <w:top w:val="none" w:sz="0" w:space="0" w:color="auto"/>
        <w:left w:val="none" w:sz="0" w:space="0" w:color="auto"/>
        <w:bottom w:val="none" w:sz="0" w:space="0" w:color="auto"/>
        <w:right w:val="none" w:sz="0" w:space="0" w:color="auto"/>
      </w:divBdr>
      <w:divsChild>
        <w:div w:id="1305307122">
          <w:marLeft w:val="0"/>
          <w:marRight w:val="0"/>
          <w:marTop w:val="0"/>
          <w:marBottom w:val="0"/>
          <w:divBdr>
            <w:top w:val="none" w:sz="0" w:space="0" w:color="auto"/>
            <w:left w:val="none" w:sz="0" w:space="0" w:color="auto"/>
            <w:bottom w:val="none" w:sz="0" w:space="0" w:color="auto"/>
            <w:right w:val="none" w:sz="0" w:space="0" w:color="auto"/>
          </w:divBdr>
        </w:div>
        <w:div w:id="1320228245">
          <w:marLeft w:val="0"/>
          <w:marRight w:val="0"/>
          <w:marTop w:val="0"/>
          <w:marBottom w:val="0"/>
          <w:divBdr>
            <w:top w:val="none" w:sz="0" w:space="0" w:color="auto"/>
            <w:left w:val="none" w:sz="0" w:space="0" w:color="auto"/>
            <w:bottom w:val="none" w:sz="0" w:space="0" w:color="auto"/>
            <w:right w:val="none" w:sz="0" w:space="0" w:color="auto"/>
          </w:divBdr>
        </w:div>
        <w:div w:id="141771512">
          <w:marLeft w:val="0"/>
          <w:marRight w:val="0"/>
          <w:marTop w:val="0"/>
          <w:marBottom w:val="0"/>
          <w:divBdr>
            <w:top w:val="none" w:sz="0" w:space="0" w:color="auto"/>
            <w:left w:val="none" w:sz="0" w:space="0" w:color="auto"/>
            <w:bottom w:val="none" w:sz="0" w:space="0" w:color="auto"/>
            <w:right w:val="none" w:sz="0" w:space="0" w:color="auto"/>
          </w:divBdr>
        </w:div>
      </w:divsChild>
    </w:div>
    <w:div w:id="1119253343">
      <w:bodyDiv w:val="1"/>
      <w:marLeft w:val="0"/>
      <w:marRight w:val="0"/>
      <w:marTop w:val="0"/>
      <w:marBottom w:val="0"/>
      <w:divBdr>
        <w:top w:val="none" w:sz="0" w:space="0" w:color="auto"/>
        <w:left w:val="none" w:sz="0" w:space="0" w:color="auto"/>
        <w:bottom w:val="none" w:sz="0" w:space="0" w:color="auto"/>
        <w:right w:val="none" w:sz="0" w:space="0" w:color="auto"/>
      </w:divBdr>
    </w:div>
    <w:div w:id="1124886178">
      <w:bodyDiv w:val="1"/>
      <w:marLeft w:val="0"/>
      <w:marRight w:val="0"/>
      <w:marTop w:val="0"/>
      <w:marBottom w:val="0"/>
      <w:divBdr>
        <w:top w:val="none" w:sz="0" w:space="0" w:color="auto"/>
        <w:left w:val="none" w:sz="0" w:space="0" w:color="auto"/>
        <w:bottom w:val="none" w:sz="0" w:space="0" w:color="auto"/>
        <w:right w:val="none" w:sz="0" w:space="0" w:color="auto"/>
      </w:divBdr>
    </w:div>
    <w:div w:id="1162434001">
      <w:bodyDiv w:val="1"/>
      <w:marLeft w:val="0"/>
      <w:marRight w:val="0"/>
      <w:marTop w:val="0"/>
      <w:marBottom w:val="0"/>
      <w:divBdr>
        <w:top w:val="none" w:sz="0" w:space="0" w:color="auto"/>
        <w:left w:val="none" w:sz="0" w:space="0" w:color="auto"/>
        <w:bottom w:val="none" w:sz="0" w:space="0" w:color="auto"/>
        <w:right w:val="none" w:sz="0" w:space="0" w:color="auto"/>
      </w:divBdr>
    </w:div>
    <w:div w:id="1511991531">
      <w:bodyDiv w:val="1"/>
      <w:marLeft w:val="0"/>
      <w:marRight w:val="0"/>
      <w:marTop w:val="0"/>
      <w:marBottom w:val="0"/>
      <w:divBdr>
        <w:top w:val="none" w:sz="0" w:space="0" w:color="auto"/>
        <w:left w:val="none" w:sz="0" w:space="0" w:color="auto"/>
        <w:bottom w:val="none" w:sz="0" w:space="0" w:color="auto"/>
        <w:right w:val="none" w:sz="0" w:space="0" w:color="auto"/>
      </w:divBdr>
    </w:div>
    <w:div w:id="1771193459">
      <w:bodyDiv w:val="1"/>
      <w:marLeft w:val="0"/>
      <w:marRight w:val="0"/>
      <w:marTop w:val="0"/>
      <w:marBottom w:val="0"/>
      <w:divBdr>
        <w:top w:val="none" w:sz="0" w:space="0" w:color="auto"/>
        <w:left w:val="none" w:sz="0" w:space="0" w:color="auto"/>
        <w:bottom w:val="none" w:sz="0" w:space="0" w:color="auto"/>
        <w:right w:val="none" w:sz="0" w:space="0" w:color="auto"/>
      </w:divBdr>
    </w:div>
    <w:div w:id="1793670685">
      <w:bodyDiv w:val="1"/>
      <w:marLeft w:val="0"/>
      <w:marRight w:val="0"/>
      <w:marTop w:val="0"/>
      <w:marBottom w:val="0"/>
      <w:divBdr>
        <w:top w:val="none" w:sz="0" w:space="0" w:color="auto"/>
        <w:left w:val="none" w:sz="0" w:space="0" w:color="auto"/>
        <w:bottom w:val="none" w:sz="0" w:space="0" w:color="auto"/>
        <w:right w:val="none" w:sz="0" w:space="0" w:color="auto"/>
      </w:divBdr>
    </w:div>
    <w:div w:id="1866749719">
      <w:bodyDiv w:val="1"/>
      <w:marLeft w:val="0"/>
      <w:marRight w:val="0"/>
      <w:marTop w:val="0"/>
      <w:marBottom w:val="0"/>
      <w:divBdr>
        <w:top w:val="none" w:sz="0" w:space="0" w:color="auto"/>
        <w:left w:val="none" w:sz="0" w:space="0" w:color="auto"/>
        <w:bottom w:val="none" w:sz="0" w:space="0" w:color="auto"/>
        <w:right w:val="none" w:sz="0" w:space="0" w:color="auto"/>
      </w:divBdr>
    </w:div>
    <w:div w:id="1942452192">
      <w:bodyDiv w:val="1"/>
      <w:marLeft w:val="0"/>
      <w:marRight w:val="0"/>
      <w:marTop w:val="0"/>
      <w:marBottom w:val="0"/>
      <w:divBdr>
        <w:top w:val="none" w:sz="0" w:space="0" w:color="auto"/>
        <w:left w:val="none" w:sz="0" w:space="0" w:color="auto"/>
        <w:bottom w:val="none" w:sz="0" w:space="0" w:color="auto"/>
        <w:right w:val="none" w:sz="0" w:space="0" w:color="auto"/>
      </w:divBdr>
    </w:div>
    <w:div w:id="1948848281">
      <w:bodyDiv w:val="1"/>
      <w:marLeft w:val="0"/>
      <w:marRight w:val="0"/>
      <w:marTop w:val="0"/>
      <w:marBottom w:val="0"/>
      <w:divBdr>
        <w:top w:val="none" w:sz="0" w:space="0" w:color="auto"/>
        <w:left w:val="none" w:sz="0" w:space="0" w:color="auto"/>
        <w:bottom w:val="none" w:sz="0" w:space="0" w:color="auto"/>
        <w:right w:val="none" w:sz="0" w:space="0" w:color="auto"/>
      </w:divBdr>
    </w:div>
    <w:div w:id="2116055707">
      <w:bodyDiv w:val="1"/>
      <w:marLeft w:val="0"/>
      <w:marRight w:val="0"/>
      <w:marTop w:val="0"/>
      <w:marBottom w:val="0"/>
      <w:divBdr>
        <w:top w:val="none" w:sz="0" w:space="0" w:color="auto"/>
        <w:left w:val="none" w:sz="0" w:space="0" w:color="auto"/>
        <w:bottom w:val="none" w:sz="0" w:space="0" w:color="auto"/>
        <w:right w:val="none" w:sz="0" w:space="0" w:color="auto"/>
      </w:divBdr>
    </w:div>
    <w:div w:id="21348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b6c61e068a584b7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9dbf297ada7c4a03"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76D5-4F27-45A5-AEF6-45C1BB4F8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566C6-20A0-4213-98DE-B8E88BB9C95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4AAE3555-B57F-49D7-A858-BA451558879F}">
  <ds:schemaRefs>
    <ds:schemaRef ds:uri="http://schemas.microsoft.com/sharepoint/v3/contenttype/forms"/>
  </ds:schemaRefs>
</ds:datastoreItem>
</file>

<file path=customXml/itemProps4.xml><?xml version="1.0" encoding="utf-8"?>
<ds:datastoreItem xmlns:ds="http://schemas.openxmlformats.org/officeDocument/2006/customXml" ds:itemID="{F9C91E68-8BED-4DB6-8BB4-F7AD310A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2877</Words>
  <Characters>16404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echeverri granada</dc:creator>
  <cp:keywords/>
  <dc:description/>
  <cp:lastModifiedBy>samsung</cp:lastModifiedBy>
  <cp:revision>5</cp:revision>
  <dcterms:created xsi:type="dcterms:W3CDTF">2023-11-10T18:53:00Z</dcterms:created>
  <dcterms:modified xsi:type="dcterms:W3CDTF">2024-01-29T02:16:00Z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