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2EE0E" w14:textId="315A7B83" w:rsidR="00BA6782" w:rsidRPr="00AC1903" w:rsidRDefault="00AC1903" w:rsidP="00BA6782">
      <w:pPr>
        <w:widowControl w:val="0"/>
        <w:autoSpaceDE w:val="0"/>
        <w:autoSpaceDN w:val="0"/>
        <w:adjustRightInd w:val="0"/>
        <w:spacing w:line="240" w:lineRule="auto"/>
        <w:rPr>
          <w:rFonts w:eastAsia="Times New Roman" w:cs="Arial"/>
          <w:b/>
          <w:sz w:val="20"/>
          <w:szCs w:val="18"/>
          <w:lang w:val="es-ES" w:eastAsia="es-ES"/>
        </w:rPr>
      </w:pPr>
      <w:r w:rsidRPr="00AC1903">
        <w:rPr>
          <w:rFonts w:eastAsia="Times New Roman" w:cs="Arial"/>
          <w:b/>
          <w:sz w:val="20"/>
          <w:szCs w:val="18"/>
          <w:lang w:val="es-ES" w:eastAsia="es-ES"/>
        </w:rPr>
        <w:t xml:space="preserve">NULIDAD PROCESAL / RÉGIMEN APLICABLE EN LABORAL / CAUSALES / </w:t>
      </w:r>
      <w:proofErr w:type="spellStart"/>
      <w:r w:rsidRPr="00AC1903">
        <w:rPr>
          <w:rFonts w:eastAsia="Times New Roman" w:cs="Arial"/>
          <w:b/>
          <w:sz w:val="20"/>
          <w:szCs w:val="18"/>
          <w:lang w:val="es-ES" w:eastAsia="es-ES"/>
        </w:rPr>
        <w:t>TAXATIVIDAD</w:t>
      </w:r>
      <w:proofErr w:type="spellEnd"/>
    </w:p>
    <w:p w14:paraId="6A1365C7" w14:textId="6C8DE965" w:rsidR="00BA6782" w:rsidRPr="004F2928" w:rsidRDefault="00AC1903" w:rsidP="004F2928">
      <w:pPr>
        <w:widowControl w:val="0"/>
        <w:autoSpaceDE w:val="0"/>
        <w:autoSpaceDN w:val="0"/>
        <w:adjustRightInd w:val="0"/>
        <w:spacing w:line="240" w:lineRule="auto"/>
        <w:rPr>
          <w:rFonts w:eastAsia="Times New Roman" w:cs="Arial"/>
          <w:sz w:val="20"/>
          <w:szCs w:val="18"/>
          <w:lang w:val="es-ES" w:eastAsia="es-ES"/>
        </w:rPr>
      </w:pPr>
      <w:r>
        <w:rPr>
          <w:rFonts w:eastAsia="Times New Roman" w:cs="Arial"/>
          <w:sz w:val="20"/>
          <w:szCs w:val="18"/>
          <w:lang w:val="es-ES" w:eastAsia="es-ES"/>
        </w:rPr>
        <w:t xml:space="preserve">… </w:t>
      </w:r>
      <w:r w:rsidRPr="00AC1903">
        <w:rPr>
          <w:rFonts w:eastAsia="Times New Roman" w:cs="Arial"/>
          <w:sz w:val="20"/>
          <w:szCs w:val="18"/>
          <w:lang w:val="es-ES" w:eastAsia="es-ES"/>
        </w:rPr>
        <w:t xml:space="preserve">a falta de disposiciones especiales en el procedimiento del trabajo, el juez laboral debe acudir a la integración analógica ordenada por el artículo 145 del </w:t>
      </w:r>
      <w:proofErr w:type="spellStart"/>
      <w:r w:rsidRPr="00AC1903">
        <w:rPr>
          <w:rFonts w:eastAsia="Times New Roman" w:cs="Arial"/>
          <w:sz w:val="20"/>
          <w:szCs w:val="18"/>
          <w:lang w:val="es-ES" w:eastAsia="es-ES"/>
        </w:rPr>
        <w:t>CPT</w:t>
      </w:r>
      <w:proofErr w:type="spellEnd"/>
      <w:r w:rsidRPr="00AC1903">
        <w:rPr>
          <w:rFonts w:eastAsia="Times New Roman" w:cs="Arial"/>
          <w:sz w:val="20"/>
          <w:szCs w:val="18"/>
          <w:lang w:val="es-ES" w:eastAsia="es-ES"/>
        </w:rPr>
        <w:t xml:space="preserve"> y de la SS, y por tanto suplir el vacío normativo con las normas del citado estatuto procesal.</w:t>
      </w:r>
      <w:r>
        <w:rPr>
          <w:rFonts w:eastAsia="Times New Roman" w:cs="Arial"/>
          <w:sz w:val="20"/>
          <w:szCs w:val="18"/>
          <w:lang w:val="es-ES" w:eastAsia="es-ES"/>
        </w:rPr>
        <w:t xml:space="preserve">… </w:t>
      </w:r>
      <w:r w:rsidR="004F2928" w:rsidRPr="004F2928">
        <w:rPr>
          <w:rFonts w:eastAsia="Times New Roman" w:cs="Arial"/>
          <w:sz w:val="20"/>
          <w:szCs w:val="18"/>
          <w:lang w:val="es-ES" w:eastAsia="es-ES"/>
        </w:rPr>
        <w:t xml:space="preserve">este régimen de nulidades tiene un carácter excepcional y taxativo, al punto que las únicas nulidades </w:t>
      </w:r>
      <w:proofErr w:type="spellStart"/>
      <w:r w:rsidR="004F2928" w:rsidRPr="004F2928">
        <w:rPr>
          <w:rFonts w:eastAsia="Times New Roman" w:cs="Arial"/>
          <w:sz w:val="20"/>
          <w:szCs w:val="18"/>
          <w:lang w:val="es-ES" w:eastAsia="es-ES"/>
        </w:rPr>
        <w:t>insaneables</w:t>
      </w:r>
      <w:proofErr w:type="spellEnd"/>
      <w:r w:rsidR="004F2928" w:rsidRPr="004F2928">
        <w:rPr>
          <w:rFonts w:eastAsia="Times New Roman" w:cs="Arial"/>
          <w:sz w:val="20"/>
          <w:szCs w:val="18"/>
          <w:lang w:val="es-ES" w:eastAsia="es-ES"/>
        </w:rPr>
        <w:t>, según lo dispuesto por el parágrafo del artículo 136 ídem, son aquellas que se configuran por el juez proceder contra providencia ejecutoriada del superior, revivir un proceso legalmente concluido o pretermitir íntegramente la respectiva instancia. Las demás nulidades, conforme al mismo artículo, se sanean 1) cuando la parte que podía alegarla no lo hizo oportunamente o actuó sin proponerla, 2) cuando la parte que podía alegarla la convalidó en forma expresa antes de haber sid</w:t>
      </w:r>
      <w:r>
        <w:rPr>
          <w:rFonts w:eastAsia="Times New Roman" w:cs="Arial"/>
          <w:sz w:val="20"/>
          <w:szCs w:val="18"/>
          <w:lang w:val="es-ES" w:eastAsia="es-ES"/>
        </w:rPr>
        <w:t>o renovada la actuación anulada…</w:t>
      </w:r>
    </w:p>
    <w:p w14:paraId="05346335" w14:textId="77777777" w:rsidR="00BA6782" w:rsidRPr="00BA6782" w:rsidRDefault="00BA6782" w:rsidP="00BA6782">
      <w:pPr>
        <w:widowControl w:val="0"/>
        <w:autoSpaceDE w:val="0"/>
        <w:autoSpaceDN w:val="0"/>
        <w:adjustRightInd w:val="0"/>
        <w:spacing w:line="240" w:lineRule="auto"/>
        <w:rPr>
          <w:rFonts w:eastAsia="Times New Roman" w:cs="Arial"/>
          <w:sz w:val="20"/>
          <w:szCs w:val="18"/>
          <w:lang w:val="es-ES" w:eastAsia="es-ES"/>
        </w:rPr>
      </w:pPr>
    </w:p>
    <w:p w14:paraId="17EEE7B1" w14:textId="4F3CAD8D" w:rsidR="00AC1903" w:rsidRPr="00AC1903" w:rsidRDefault="00AC1903" w:rsidP="00AC1903">
      <w:pPr>
        <w:widowControl w:val="0"/>
        <w:autoSpaceDE w:val="0"/>
        <w:autoSpaceDN w:val="0"/>
        <w:adjustRightInd w:val="0"/>
        <w:spacing w:line="240" w:lineRule="auto"/>
        <w:rPr>
          <w:rFonts w:eastAsia="Times New Roman" w:cs="Arial"/>
          <w:b/>
          <w:sz w:val="20"/>
          <w:szCs w:val="18"/>
          <w:lang w:val="es-ES" w:eastAsia="es-ES"/>
        </w:rPr>
      </w:pPr>
      <w:r w:rsidRPr="00AC1903">
        <w:rPr>
          <w:rFonts w:eastAsia="Times New Roman" w:cs="Arial"/>
          <w:b/>
          <w:sz w:val="20"/>
          <w:szCs w:val="18"/>
          <w:lang w:val="es-ES" w:eastAsia="es-ES"/>
        </w:rPr>
        <w:t xml:space="preserve">NULIDAD PROCESAL / </w:t>
      </w:r>
      <w:r w:rsidR="003411FE">
        <w:rPr>
          <w:rFonts w:eastAsia="Times New Roman" w:cs="Arial"/>
          <w:b/>
          <w:sz w:val="20"/>
          <w:szCs w:val="18"/>
          <w:lang w:val="es-ES" w:eastAsia="es-ES"/>
        </w:rPr>
        <w:t xml:space="preserve">POR INDEBIDA NOTIFICACIÓN </w:t>
      </w:r>
      <w:r w:rsidRPr="00AC1903">
        <w:rPr>
          <w:rFonts w:eastAsia="Times New Roman" w:cs="Arial"/>
          <w:b/>
          <w:sz w:val="20"/>
          <w:szCs w:val="18"/>
          <w:lang w:val="es-ES" w:eastAsia="es-ES"/>
        </w:rPr>
        <w:t xml:space="preserve">/ </w:t>
      </w:r>
      <w:r w:rsidR="003411FE">
        <w:rPr>
          <w:rFonts w:eastAsia="Times New Roman" w:cs="Arial"/>
          <w:b/>
          <w:sz w:val="20"/>
          <w:szCs w:val="18"/>
          <w:lang w:val="es-ES" w:eastAsia="es-ES"/>
        </w:rPr>
        <w:t>DEFINICIÓN</w:t>
      </w:r>
    </w:p>
    <w:p w14:paraId="45CE888C" w14:textId="23D078A4" w:rsidR="00BA6782" w:rsidRPr="00BA6782" w:rsidRDefault="003411FE" w:rsidP="00BA6782">
      <w:pPr>
        <w:widowControl w:val="0"/>
        <w:autoSpaceDE w:val="0"/>
        <w:autoSpaceDN w:val="0"/>
        <w:adjustRightInd w:val="0"/>
        <w:spacing w:line="240" w:lineRule="auto"/>
        <w:rPr>
          <w:rFonts w:eastAsia="Times New Roman" w:cs="Arial"/>
          <w:sz w:val="20"/>
          <w:szCs w:val="18"/>
          <w:lang w:val="es-ES" w:eastAsia="es-ES"/>
        </w:rPr>
      </w:pPr>
      <w:r w:rsidRPr="003411FE">
        <w:rPr>
          <w:rFonts w:eastAsia="Times New Roman" w:cs="Arial"/>
          <w:sz w:val="20"/>
          <w:szCs w:val="18"/>
          <w:lang w:val="es-ES" w:eastAsia="es-ES"/>
        </w:rPr>
        <w:t xml:space="preserve">En cuanto a la nulidad por indebida notificación, establece el numeral 8º del artículo 133 del </w:t>
      </w:r>
      <w:proofErr w:type="spellStart"/>
      <w:r w:rsidRPr="003411FE">
        <w:rPr>
          <w:rFonts w:eastAsia="Times New Roman" w:cs="Arial"/>
          <w:sz w:val="20"/>
          <w:szCs w:val="18"/>
          <w:lang w:val="es-ES" w:eastAsia="es-ES"/>
        </w:rPr>
        <w:t>CGP</w:t>
      </w:r>
      <w:proofErr w:type="spellEnd"/>
      <w:r w:rsidRPr="003411FE">
        <w:rPr>
          <w:rFonts w:eastAsia="Times New Roman" w:cs="Arial"/>
          <w:sz w:val="20"/>
          <w:szCs w:val="18"/>
          <w:lang w:val="es-ES" w:eastAsia="es-ES"/>
        </w:rPr>
        <w:t>, que el proceso es nulo en todo o en parte, cuando no se practica en legal forma la notificación del auto admisorio de la demanda, o el emplazamiento de las demás personas, aunque sean indeterminadas, deban ser citadas como partes, o de aquellas que deban suceder en el proceso a cualquiera de las partes, cuando la ley así lo ordena</w:t>
      </w:r>
    </w:p>
    <w:p w14:paraId="1F5947B7" w14:textId="77777777" w:rsidR="00BA6782" w:rsidRPr="00BA6782" w:rsidRDefault="00BA6782" w:rsidP="00BA6782">
      <w:pPr>
        <w:widowControl w:val="0"/>
        <w:autoSpaceDE w:val="0"/>
        <w:autoSpaceDN w:val="0"/>
        <w:adjustRightInd w:val="0"/>
        <w:spacing w:line="240" w:lineRule="auto"/>
        <w:rPr>
          <w:rFonts w:eastAsia="Times New Roman" w:cs="Arial"/>
          <w:sz w:val="20"/>
          <w:szCs w:val="18"/>
          <w:lang w:val="es-ES" w:eastAsia="es-ES"/>
        </w:rPr>
      </w:pPr>
    </w:p>
    <w:p w14:paraId="3F20FDB0" w14:textId="77777777" w:rsidR="00BA6782" w:rsidRPr="00BA6782" w:rsidRDefault="00BA6782" w:rsidP="00BA6782">
      <w:pPr>
        <w:widowControl w:val="0"/>
        <w:autoSpaceDE w:val="0"/>
        <w:autoSpaceDN w:val="0"/>
        <w:adjustRightInd w:val="0"/>
        <w:spacing w:line="240" w:lineRule="auto"/>
        <w:rPr>
          <w:rFonts w:eastAsia="Times New Roman" w:cs="Arial"/>
          <w:sz w:val="20"/>
          <w:szCs w:val="18"/>
          <w:lang w:val="es-ES" w:eastAsia="es-ES"/>
        </w:rPr>
      </w:pPr>
    </w:p>
    <w:p w14:paraId="2E0E213B" w14:textId="77777777" w:rsidR="009A7325" w:rsidRDefault="009A7325" w:rsidP="00BA6782">
      <w:pPr>
        <w:widowControl w:val="0"/>
        <w:autoSpaceDE w:val="0"/>
        <w:autoSpaceDN w:val="0"/>
        <w:adjustRightInd w:val="0"/>
        <w:spacing w:line="240" w:lineRule="auto"/>
        <w:rPr>
          <w:rFonts w:eastAsia="Times New Roman" w:cs="Arial"/>
          <w:sz w:val="20"/>
          <w:szCs w:val="18"/>
          <w:lang w:val="es-ES" w:eastAsia="es-ES"/>
        </w:rPr>
      </w:pPr>
      <w:bookmarkStart w:id="0" w:name="_Hlk99113374"/>
    </w:p>
    <w:p w14:paraId="3BBF6F35" w14:textId="0966215E" w:rsidR="00BA6782" w:rsidRPr="00BA6782" w:rsidRDefault="00BA6782" w:rsidP="00BA6782">
      <w:pPr>
        <w:widowControl w:val="0"/>
        <w:autoSpaceDE w:val="0"/>
        <w:autoSpaceDN w:val="0"/>
        <w:adjustRightInd w:val="0"/>
        <w:spacing w:line="240" w:lineRule="auto"/>
        <w:rPr>
          <w:rFonts w:eastAsia="Times New Roman" w:cs="Arial"/>
          <w:sz w:val="20"/>
          <w:szCs w:val="18"/>
          <w:lang w:val="es-ES" w:eastAsia="es-ES"/>
        </w:rPr>
      </w:pPr>
      <w:r w:rsidRPr="00BA6782">
        <w:rPr>
          <w:rFonts w:eastAsia="Times New Roman" w:cs="Arial"/>
          <w:sz w:val="20"/>
          <w:szCs w:val="18"/>
          <w:lang w:val="es-ES" w:eastAsia="es-ES"/>
        </w:rPr>
        <w:t>Radicado:</w:t>
      </w:r>
      <w:r>
        <w:rPr>
          <w:rFonts w:eastAsia="Times New Roman" w:cs="Arial"/>
          <w:sz w:val="20"/>
          <w:szCs w:val="18"/>
          <w:lang w:val="es-ES" w:eastAsia="es-ES"/>
        </w:rPr>
        <w:tab/>
      </w:r>
      <w:r w:rsidRPr="00BA6782">
        <w:rPr>
          <w:rFonts w:eastAsia="Times New Roman" w:cs="Arial"/>
          <w:sz w:val="20"/>
          <w:szCs w:val="18"/>
          <w:lang w:val="es-ES" w:eastAsia="es-ES"/>
        </w:rPr>
        <w:tab/>
        <w:t>66400318900120210128101</w:t>
      </w:r>
    </w:p>
    <w:p w14:paraId="3A1A0691" w14:textId="046178E2" w:rsidR="00BA6782" w:rsidRPr="00BA6782" w:rsidRDefault="00BA6782" w:rsidP="00BA6782">
      <w:pPr>
        <w:widowControl w:val="0"/>
        <w:autoSpaceDE w:val="0"/>
        <w:autoSpaceDN w:val="0"/>
        <w:adjustRightInd w:val="0"/>
        <w:spacing w:line="240" w:lineRule="auto"/>
        <w:rPr>
          <w:rFonts w:eastAsia="Times New Roman" w:cs="Arial"/>
          <w:sz w:val="20"/>
          <w:szCs w:val="18"/>
          <w:lang w:val="es-ES" w:eastAsia="es-ES"/>
        </w:rPr>
      </w:pPr>
      <w:r w:rsidRPr="00BA6782">
        <w:rPr>
          <w:rFonts w:eastAsia="Times New Roman" w:cs="Arial"/>
          <w:sz w:val="20"/>
          <w:szCs w:val="18"/>
          <w:lang w:val="es-ES" w:eastAsia="es-ES"/>
        </w:rPr>
        <w:t>Proceso:</w:t>
      </w:r>
      <w:r>
        <w:rPr>
          <w:rFonts w:eastAsia="Times New Roman" w:cs="Arial"/>
          <w:sz w:val="20"/>
          <w:szCs w:val="18"/>
          <w:lang w:val="es-ES" w:eastAsia="es-ES"/>
        </w:rPr>
        <w:tab/>
      </w:r>
      <w:r w:rsidRPr="00BA6782">
        <w:rPr>
          <w:rFonts w:eastAsia="Times New Roman" w:cs="Arial"/>
          <w:sz w:val="20"/>
          <w:szCs w:val="18"/>
          <w:lang w:val="es-ES" w:eastAsia="es-ES"/>
        </w:rPr>
        <w:tab/>
        <w:t>Ordinario Laboral</w:t>
      </w:r>
    </w:p>
    <w:p w14:paraId="137AB901" w14:textId="1807F57D" w:rsidR="00BA6782" w:rsidRPr="00BA6782" w:rsidRDefault="00BA6782" w:rsidP="00BA6782">
      <w:pPr>
        <w:widowControl w:val="0"/>
        <w:autoSpaceDE w:val="0"/>
        <w:autoSpaceDN w:val="0"/>
        <w:adjustRightInd w:val="0"/>
        <w:spacing w:line="240" w:lineRule="auto"/>
        <w:rPr>
          <w:rFonts w:eastAsia="Times New Roman" w:cs="Arial"/>
          <w:sz w:val="20"/>
          <w:szCs w:val="18"/>
          <w:lang w:val="es-ES" w:eastAsia="es-ES"/>
        </w:rPr>
      </w:pPr>
      <w:r w:rsidRPr="00BA6782">
        <w:rPr>
          <w:rFonts w:eastAsia="Times New Roman" w:cs="Arial"/>
          <w:sz w:val="20"/>
          <w:szCs w:val="18"/>
          <w:lang w:val="es-ES" w:eastAsia="es-ES"/>
        </w:rPr>
        <w:t>Demandante:</w:t>
      </w:r>
      <w:r>
        <w:rPr>
          <w:rFonts w:eastAsia="Times New Roman" w:cs="Arial"/>
          <w:sz w:val="20"/>
          <w:szCs w:val="18"/>
          <w:lang w:val="es-ES" w:eastAsia="es-ES"/>
        </w:rPr>
        <w:tab/>
      </w:r>
      <w:r>
        <w:rPr>
          <w:rFonts w:eastAsia="Times New Roman" w:cs="Arial"/>
          <w:sz w:val="20"/>
          <w:szCs w:val="18"/>
          <w:lang w:val="es-ES" w:eastAsia="es-ES"/>
        </w:rPr>
        <w:tab/>
      </w:r>
      <w:r w:rsidRPr="00BA6782">
        <w:rPr>
          <w:rFonts w:eastAsia="Times New Roman" w:cs="Arial"/>
          <w:sz w:val="20"/>
          <w:szCs w:val="18"/>
          <w:lang w:val="es-ES" w:eastAsia="es-ES"/>
        </w:rPr>
        <w:t>Oscar Ortiz Mejía</w:t>
      </w:r>
    </w:p>
    <w:p w14:paraId="6618040C" w14:textId="1F59725E" w:rsidR="00BA6782" w:rsidRPr="00BA6782" w:rsidRDefault="00BA6782" w:rsidP="00BA6782">
      <w:pPr>
        <w:widowControl w:val="0"/>
        <w:autoSpaceDE w:val="0"/>
        <w:autoSpaceDN w:val="0"/>
        <w:adjustRightInd w:val="0"/>
        <w:spacing w:line="240" w:lineRule="auto"/>
        <w:rPr>
          <w:rFonts w:eastAsia="Times New Roman" w:cs="Arial"/>
          <w:sz w:val="20"/>
          <w:szCs w:val="18"/>
          <w:lang w:val="es-ES" w:eastAsia="es-ES"/>
        </w:rPr>
      </w:pPr>
      <w:r w:rsidRPr="00BA6782">
        <w:rPr>
          <w:rFonts w:eastAsia="Times New Roman" w:cs="Arial"/>
          <w:sz w:val="20"/>
          <w:szCs w:val="18"/>
          <w:lang w:val="es-ES" w:eastAsia="es-ES"/>
        </w:rPr>
        <w:t>Demandado:</w:t>
      </w:r>
      <w:r>
        <w:rPr>
          <w:rFonts w:eastAsia="Times New Roman" w:cs="Arial"/>
          <w:sz w:val="20"/>
          <w:szCs w:val="18"/>
          <w:lang w:val="es-ES" w:eastAsia="es-ES"/>
        </w:rPr>
        <w:tab/>
      </w:r>
      <w:r w:rsidRPr="00BA6782">
        <w:rPr>
          <w:rFonts w:eastAsia="Times New Roman" w:cs="Arial"/>
          <w:sz w:val="20"/>
          <w:szCs w:val="18"/>
          <w:lang w:val="es-ES" w:eastAsia="es-ES"/>
        </w:rPr>
        <w:tab/>
        <w:t>Fabio Gómez Ochoa y otros</w:t>
      </w:r>
    </w:p>
    <w:p w14:paraId="321A3838" w14:textId="439DFF57" w:rsidR="00BA6782" w:rsidRPr="00BA6782" w:rsidRDefault="00BA6782" w:rsidP="00BA6782">
      <w:pPr>
        <w:widowControl w:val="0"/>
        <w:autoSpaceDE w:val="0"/>
        <w:autoSpaceDN w:val="0"/>
        <w:adjustRightInd w:val="0"/>
        <w:spacing w:line="240" w:lineRule="auto"/>
        <w:rPr>
          <w:rFonts w:eastAsia="Times New Roman" w:cs="Arial"/>
          <w:sz w:val="20"/>
          <w:szCs w:val="18"/>
          <w:lang w:val="es-ES" w:eastAsia="es-ES"/>
        </w:rPr>
      </w:pPr>
      <w:r w:rsidRPr="00BA6782">
        <w:rPr>
          <w:rFonts w:eastAsia="Times New Roman" w:cs="Arial"/>
          <w:sz w:val="20"/>
          <w:szCs w:val="18"/>
          <w:lang w:val="es-ES" w:eastAsia="es-ES"/>
        </w:rPr>
        <w:t>Juzgado</w:t>
      </w:r>
      <w:r>
        <w:rPr>
          <w:rFonts w:eastAsia="Times New Roman" w:cs="Arial"/>
          <w:sz w:val="20"/>
          <w:szCs w:val="18"/>
          <w:lang w:val="es-ES" w:eastAsia="es-ES"/>
        </w:rPr>
        <w:t xml:space="preserve"> de origen</w:t>
      </w:r>
      <w:r w:rsidRPr="00BA6782">
        <w:rPr>
          <w:rFonts w:eastAsia="Times New Roman" w:cs="Arial"/>
          <w:sz w:val="20"/>
          <w:szCs w:val="18"/>
          <w:lang w:val="es-ES" w:eastAsia="es-ES"/>
        </w:rPr>
        <w:t>:</w:t>
      </w:r>
      <w:r w:rsidRPr="00BA6782">
        <w:rPr>
          <w:rFonts w:eastAsia="Times New Roman" w:cs="Arial"/>
          <w:sz w:val="20"/>
          <w:szCs w:val="18"/>
          <w:lang w:val="es-ES" w:eastAsia="es-ES"/>
        </w:rPr>
        <w:tab/>
        <w:t>Promiscuo del Circuito de La Virginia</w:t>
      </w:r>
    </w:p>
    <w:bookmarkEnd w:id="0"/>
    <w:p w14:paraId="32EB90F0" w14:textId="77777777" w:rsidR="00BA6782" w:rsidRPr="00BA6782" w:rsidRDefault="00BA6782" w:rsidP="00BA6782">
      <w:pPr>
        <w:widowControl w:val="0"/>
        <w:autoSpaceDE w:val="0"/>
        <w:autoSpaceDN w:val="0"/>
        <w:adjustRightInd w:val="0"/>
        <w:spacing w:line="240" w:lineRule="auto"/>
        <w:rPr>
          <w:rFonts w:eastAsia="Times New Roman" w:cs="Arial"/>
          <w:bCs/>
          <w:sz w:val="20"/>
          <w:szCs w:val="18"/>
          <w:lang w:val="es-ES" w:eastAsia="es-ES"/>
        </w:rPr>
      </w:pPr>
    </w:p>
    <w:p w14:paraId="122423CD" w14:textId="77777777" w:rsidR="00BA6782" w:rsidRPr="00BA6782" w:rsidRDefault="00BA6782" w:rsidP="00BA6782">
      <w:pPr>
        <w:widowControl w:val="0"/>
        <w:autoSpaceDE w:val="0"/>
        <w:autoSpaceDN w:val="0"/>
        <w:adjustRightInd w:val="0"/>
        <w:spacing w:line="240" w:lineRule="auto"/>
        <w:rPr>
          <w:rFonts w:eastAsia="Times New Roman" w:cs="Arial"/>
          <w:bCs/>
          <w:sz w:val="20"/>
          <w:szCs w:val="18"/>
          <w:lang w:val="es-ES" w:eastAsia="es-ES"/>
        </w:rPr>
      </w:pPr>
    </w:p>
    <w:p w14:paraId="0F7E366F" w14:textId="77777777" w:rsidR="00BA6782" w:rsidRPr="00BA6782" w:rsidRDefault="00BA6782" w:rsidP="00BA6782">
      <w:pPr>
        <w:widowControl w:val="0"/>
        <w:autoSpaceDE w:val="0"/>
        <w:autoSpaceDN w:val="0"/>
        <w:adjustRightInd w:val="0"/>
        <w:spacing w:line="240" w:lineRule="auto"/>
        <w:rPr>
          <w:rFonts w:eastAsia="Times New Roman" w:cs="Arial"/>
          <w:bCs/>
          <w:sz w:val="20"/>
          <w:szCs w:val="18"/>
          <w:lang w:val="es-ES" w:eastAsia="es-ES"/>
        </w:rPr>
      </w:pPr>
    </w:p>
    <w:p w14:paraId="77FAF452" w14:textId="77777777" w:rsidR="00BA6782" w:rsidRPr="00BA6782" w:rsidRDefault="00BA6782" w:rsidP="00BA6782">
      <w:pPr>
        <w:spacing w:line="276" w:lineRule="auto"/>
        <w:jc w:val="center"/>
        <w:rPr>
          <w:rFonts w:ascii="Tahoma" w:eastAsia="Calibri" w:hAnsi="Tahoma" w:cs="Tahoma"/>
          <w:b/>
          <w:bCs/>
        </w:rPr>
      </w:pPr>
      <w:r w:rsidRPr="00BA6782">
        <w:rPr>
          <w:rFonts w:ascii="Tahoma" w:eastAsia="Calibri" w:hAnsi="Tahoma" w:cs="Tahoma"/>
          <w:b/>
          <w:bCs/>
        </w:rPr>
        <w:t>TRIBUNAL SUPERIOR DEL DISTRITO JUDICIAL DE PEREIRA</w:t>
      </w:r>
    </w:p>
    <w:p w14:paraId="717BF03D" w14:textId="77777777" w:rsidR="00BA6782" w:rsidRPr="00BA6782" w:rsidRDefault="00BA6782" w:rsidP="00BA6782">
      <w:pPr>
        <w:spacing w:line="276" w:lineRule="auto"/>
        <w:jc w:val="center"/>
        <w:rPr>
          <w:rFonts w:ascii="Tahoma" w:eastAsia="Calibri" w:hAnsi="Tahoma" w:cs="Tahoma"/>
          <w:b/>
          <w:bCs/>
        </w:rPr>
      </w:pPr>
      <w:r w:rsidRPr="00BA6782">
        <w:rPr>
          <w:rFonts w:ascii="Tahoma" w:eastAsia="Calibri" w:hAnsi="Tahoma" w:cs="Tahoma"/>
          <w:b/>
          <w:bCs/>
        </w:rPr>
        <w:t>SALA DE DECISIÓN LABORAL No. 1</w:t>
      </w:r>
    </w:p>
    <w:p w14:paraId="3ABC3724" w14:textId="77777777" w:rsidR="00BA6782" w:rsidRPr="00BA6782" w:rsidRDefault="00BA6782" w:rsidP="00BA6782">
      <w:pPr>
        <w:spacing w:line="276" w:lineRule="auto"/>
        <w:jc w:val="left"/>
        <w:rPr>
          <w:rFonts w:ascii="Tahoma" w:eastAsia="Times New Roman" w:hAnsi="Tahoma" w:cs="Tahoma"/>
        </w:rPr>
      </w:pPr>
    </w:p>
    <w:p w14:paraId="619C37F8" w14:textId="77777777" w:rsidR="00BA6782" w:rsidRPr="00BA6782" w:rsidRDefault="00BA6782" w:rsidP="00BA6782">
      <w:pPr>
        <w:spacing w:line="276" w:lineRule="auto"/>
        <w:jc w:val="center"/>
        <w:textAlignment w:val="baseline"/>
        <w:rPr>
          <w:rFonts w:ascii="Tahoma" w:eastAsia="Times New Roman" w:hAnsi="Tahoma" w:cs="Tahoma"/>
          <w:lang w:eastAsia="es-CO"/>
        </w:rPr>
      </w:pPr>
      <w:r w:rsidRPr="00BA6782">
        <w:rPr>
          <w:rFonts w:ascii="Tahoma" w:eastAsia="Times New Roman" w:hAnsi="Tahoma" w:cs="Tahoma"/>
          <w:lang w:eastAsia="es-CO"/>
        </w:rPr>
        <w:t>Magistrada Ponente: </w:t>
      </w:r>
      <w:r w:rsidRPr="00BA6782">
        <w:rPr>
          <w:rFonts w:ascii="Tahoma" w:eastAsia="Times New Roman" w:hAnsi="Tahoma" w:cs="Tahoma"/>
          <w:b/>
          <w:bCs/>
          <w:lang w:eastAsia="es-CO"/>
        </w:rPr>
        <w:t>Ana Lucía Caicedo Calderón</w:t>
      </w:r>
      <w:r w:rsidRPr="00BA6782">
        <w:rPr>
          <w:rFonts w:ascii="Tahoma" w:eastAsia="Times New Roman" w:hAnsi="Tahoma" w:cs="Tahoma"/>
          <w:lang w:eastAsia="es-CO"/>
        </w:rPr>
        <w:t> </w:t>
      </w:r>
    </w:p>
    <w:p w14:paraId="411C0168" w14:textId="77777777" w:rsidR="00BA6782" w:rsidRPr="00BA6782" w:rsidRDefault="00BA6782" w:rsidP="002E7951">
      <w:pPr>
        <w:spacing w:line="276" w:lineRule="auto"/>
        <w:jc w:val="left"/>
        <w:rPr>
          <w:rFonts w:ascii="Tahoma" w:eastAsia="Times New Roman" w:hAnsi="Tahoma" w:cs="Tahoma"/>
          <w:lang w:eastAsia="es-CO"/>
        </w:rPr>
      </w:pPr>
    </w:p>
    <w:p w14:paraId="6A6EC43A" w14:textId="77777777" w:rsidR="00BA6782" w:rsidRPr="00BA6782" w:rsidRDefault="00BA6782" w:rsidP="002E7951">
      <w:pPr>
        <w:spacing w:line="276" w:lineRule="auto"/>
        <w:jc w:val="left"/>
        <w:rPr>
          <w:rFonts w:ascii="Tahoma" w:eastAsia="Times New Roman" w:hAnsi="Tahoma" w:cs="Tahoma"/>
          <w:lang w:eastAsia="es-CO"/>
        </w:rPr>
      </w:pPr>
    </w:p>
    <w:p w14:paraId="5107EC2E" w14:textId="11091490" w:rsidR="530A3049" w:rsidRPr="002E7951" w:rsidRDefault="530A3049" w:rsidP="002E7951">
      <w:pPr>
        <w:spacing w:line="276" w:lineRule="auto"/>
        <w:jc w:val="center"/>
        <w:rPr>
          <w:rFonts w:ascii="Tahoma" w:eastAsia="Tahoma" w:hAnsi="Tahoma" w:cs="Tahoma"/>
          <w:color w:val="000000" w:themeColor="text1"/>
        </w:rPr>
      </w:pPr>
      <w:r w:rsidRPr="002E7951">
        <w:rPr>
          <w:rStyle w:val="normaltextrun"/>
          <w:rFonts w:ascii="Tahoma" w:eastAsia="Tahoma" w:hAnsi="Tahoma" w:cs="Tahoma"/>
          <w:color w:val="000000" w:themeColor="text1"/>
        </w:rPr>
        <w:t>Pereira, Risaralda, diecisiete (17) de noviembre de dos mil veintitrés (2023)  </w:t>
      </w:r>
    </w:p>
    <w:p w14:paraId="4253A0D3" w14:textId="2504BAF8" w:rsidR="530A3049" w:rsidRPr="002E7951" w:rsidRDefault="530A3049" w:rsidP="002E7951">
      <w:pPr>
        <w:spacing w:line="276" w:lineRule="auto"/>
        <w:ind w:firstLine="705"/>
        <w:jc w:val="center"/>
        <w:rPr>
          <w:rFonts w:ascii="Tahoma" w:eastAsia="Tahoma" w:hAnsi="Tahoma" w:cs="Tahoma"/>
          <w:color w:val="000000" w:themeColor="text1"/>
        </w:rPr>
      </w:pPr>
      <w:r w:rsidRPr="002E7951">
        <w:rPr>
          <w:rStyle w:val="normaltextrun"/>
          <w:rFonts w:ascii="Tahoma" w:eastAsia="Tahoma" w:hAnsi="Tahoma" w:cs="Tahoma"/>
          <w:color w:val="000000" w:themeColor="text1"/>
        </w:rPr>
        <w:t> Acta No. 185 del 16 de noviembre de 2023 </w:t>
      </w:r>
    </w:p>
    <w:p w14:paraId="02D3A1B8" w14:textId="77777777" w:rsidR="009B563C" w:rsidRPr="002E7951" w:rsidRDefault="009B563C" w:rsidP="002E7951">
      <w:pPr>
        <w:pStyle w:val="Sinespaciado"/>
        <w:spacing w:line="276" w:lineRule="auto"/>
        <w:rPr>
          <w:rFonts w:ascii="Tahoma" w:hAnsi="Tahoma" w:cs="Tahoma"/>
        </w:rPr>
      </w:pPr>
    </w:p>
    <w:p w14:paraId="50F63A35" w14:textId="5223630E" w:rsidR="005D452B" w:rsidRPr="002E7951" w:rsidRDefault="00B652EB" w:rsidP="002E7951">
      <w:pPr>
        <w:spacing w:line="276" w:lineRule="auto"/>
        <w:ind w:firstLine="708"/>
        <w:rPr>
          <w:rFonts w:ascii="Tahoma" w:hAnsi="Tahoma" w:cs="Tahoma"/>
          <w:lang w:val="es-ES"/>
        </w:rPr>
      </w:pPr>
      <w:r w:rsidRPr="002E7951">
        <w:rPr>
          <w:rFonts w:ascii="Tahoma" w:hAnsi="Tahoma" w:cs="Tahoma"/>
        </w:rPr>
        <w:t>Teniendo en cuenta que el artículo 14 de Ley 2213 de 2022</w:t>
      </w:r>
      <w:r w:rsidR="009B563C" w:rsidRPr="002E7951">
        <w:rPr>
          <w:rFonts w:ascii="Tahoma" w:hAnsi="Tahoma" w:cs="Tahoma"/>
          <w:lang w:val="es-ES"/>
        </w:rPr>
        <w:t xml:space="preserve">, estableció que en la especialidad laboral se proferirán por escrito las providencias de segunda instancia en las que se surta el grado jurisdiccional de consulta o se resuelva el recurso de apelación de autos o sentencias, </w:t>
      </w:r>
      <w:r w:rsidR="009B563C" w:rsidRPr="002E7951">
        <w:rPr>
          <w:rFonts w:ascii="Tahoma" w:hAnsi="Tahoma" w:cs="Tahoma"/>
        </w:rPr>
        <w:t xml:space="preserve">la Sala de Decisión Laboral </w:t>
      </w:r>
      <w:r w:rsidR="008C1F75" w:rsidRPr="002E7951">
        <w:rPr>
          <w:rFonts w:ascii="Tahoma" w:hAnsi="Tahoma" w:cs="Tahoma"/>
        </w:rPr>
        <w:t xml:space="preserve">No. 1 del Tribunal Superior de Pereira, </w:t>
      </w:r>
      <w:r w:rsidR="009B563C" w:rsidRPr="002E7951">
        <w:rPr>
          <w:rFonts w:ascii="Tahoma" w:hAnsi="Tahoma" w:cs="Tahoma"/>
        </w:rPr>
        <w:t xml:space="preserve">integrada por las Magistradas </w:t>
      </w:r>
      <w:r w:rsidR="009B563C" w:rsidRPr="002E7951">
        <w:rPr>
          <w:rFonts w:ascii="Tahoma" w:hAnsi="Tahoma" w:cs="Tahoma"/>
          <w:bCs/>
        </w:rPr>
        <w:t>ANA LUCÍA CAICEDO CALDERÓN</w:t>
      </w:r>
      <w:r w:rsidR="009B563C" w:rsidRPr="002E7951">
        <w:rPr>
          <w:rFonts w:ascii="Tahoma" w:hAnsi="Tahoma" w:cs="Tahoma"/>
        </w:rPr>
        <w:t xml:space="preserve"> como Ponente, </w:t>
      </w:r>
      <w:r w:rsidR="009B563C" w:rsidRPr="002E7951">
        <w:rPr>
          <w:rFonts w:ascii="Tahoma" w:hAnsi="Tahoma" w:cs="Tahoma"/>
          <w:bCs/>
        </w:rPr>
        <w:t>OLGA LUCÍA HOYOS SEPÚLVEDA</w:t>
      </w:r>
      <w:r w:rsidR="009B563C" w:rsidRPr="002E7951">
        <w:rPr>
          <w:rFonts w:ascii="Tahoma" w:hAnsi="Tahoma" w:cs="Tahoma"/>
        </w:rPr>
        <w:t xml:space="preserve"> y el Magistrado </w:t>
      </w:r>
      <w:bookmarkStart w:id="1" w:name="_Hlk61987554"/>
      <w:r w:rsidR="009B563C" w:rsidRPr="002E7951">
        <w:rPr>
          <w:rFonts w:ascii="Tahoma" w:hAnsi="Tahoma" w:cs="Tahoma"/>
          <w:bCs/>
        </w:rPr>
        <w:t xml:space="preserve">GERMÁN </w:t>
      </w:r>
      <w:r w:rsidR="002E7951" w:rsidRPr="002E7951">
        <w:rPr>
          <w:rFonts w:ascii="Tahoma" w:hAnsi="Tahoma" w:cs="Tahoma"/>
          <w:bCs/>
        </w:rPr>
        <w:t>DARÍO</w:t>
      </w:r>
      <w:r w:rsidR="009B563C" w:rsidRPr="002E7951">
        <w:rPr>
          <w:rFonts w:ascii="Tahoma" w:hAnsi="Tahoma" w:cs="Tahoma"/>
          <w:bCs/>
        </w:rPr>
        <w:t xml:space="preserve"> </w:t>
      </w:r>
      <w:proofErr w:type="spellStart"/>
      <w:r w:rsidR="009B563C" w:rsidRPr="002E7951">
        <w:rPr>
          <w:rFonts w:ascii="Tahoma" w:hAnsi="Tahoma" w:cs="Tahoma"/>
          <w:bCs/>
        </w:rPr>
        <w:t>GOEZ</w:t>
      </w:r>
      <w:proofErr w:type="spellEnd"/>
      <w:r w:rsidR="009B563C" w:rsidRPr="002E7951">
        <w:rPr>
          <w:rFonts w:ascii="Tahoma" w:hAnsi="Tahoma" w:cs="Tahoma"/>
          <w:bCs/>
        </w:rPr>
        <w:t xml:space="preserve"> </w:t>
      </w:r>
      <w:proofErr w:type="spellStart"/>
      <w:r w:rsidR="009B563C" w:rsidRPr="002E7951">
        <w:rPr>
          <w:rFonts w:ascii="Tahoma" w:hAnsi="Tahoma" w:cs="Tahoma"/>
          <w:bCs/>
        </w:rPr>
        <w:t>VINASCO</w:t>
      </w:r>
      <w:bookmarkEnd w:id="1"/>
      <w:proofErr w:type="spellEnd"/>
      <w:r w:rsidR="009B563C" w:rsidRPr="002E7951">
        <w:rPr>
          <w:rFonts w:ascii="Tahoma" w:hAnsi="Tahoma" w:cs="Tahoma"/>
        </w:rPr>
        <w:t xml:space="preserve">, procede a proferir el siguiente auto escrito dentro del proceso </w:t>
      </w:r>
      <w:r w:rsidR="009B563C" w:rsidRPr="002E7951">
        <w:rPr>
          <w:rFonts w:ascii="Tahoma" w:hAnsi="Tahoma" w:cs="Tahoma"/>
          <w:b/>
        </w:rPr>
        <w:t>ordinario laboral</w:t>
      </w:r>
      <w:r w:rsidR="009B563C" w:rsidRPr="002E7951">
        <w:rPr>
          <w:rFonts w:ascii="Tahoma" w:hAnsi="Tahoma" w:cs="Tahoma"/>
        </w:rPr>
        <w:t xml:space="preserve"> instaurado por</w:t>
      </w:r>
      <w:r w:rsidR="009B563C" w:rsidRPr="002E7951">
        <w:rPr>
          <w:rFonts w:ascii="Tahoma" w:hAnsi="Tahoma" w:cs="Tahoma"/>
          <w:lang w:val="es-ES"/>
        </w:rPr>
        <w:t xml:space="preserve"> </w:t>
      </w:r>
      <w:r w:rsidR="006364A5" w:rsidRPr="002E7951">
        <w:rPr>
          <w:rFonts w:ascii="Tahoma" w:hAnsi="Tahoma" w:cs="Tahoma"/>
          <w:b/>
          <w:bCs/>
        </w:rPr>
        <w:t xml:space="preserve">Oscar Ortiz Mejía </w:t>
      </w:r>
      <w:r w:rsidR="009B563C" w:rsidRPr="002E7951">
        <w:rPr>
          <w:rFonts w:ascii="Tahoma" w:hAnsi="Tahoma" w:cs="Tahoma"/>
          <w:lang w:val="es-ES"/>
        </w:rPr>
        <w:t xml:space="preserve">en contra </w:t>
      </w:r>
      <w:r w:rsidR="005450B6" w:rsidRPr="002E7951">
        <w:rPr>
          <w:rFonts w:ascii="Tahoma" w:hAnsi="Tahoma" w:cs="Tahoma"/>
          <w:lang w:val="es-ES"/>
        </w:rPr>
        <w:t xml:space="preserve">de </w:t>
      </w:r>
      <w:r w:rsidR="006364A5" w:rsidRPr="002E7951">
        <w:rPr>
          <w:rFonts w:ascii="Tahoma" w:hAnsi="Tahoma" w:cs="Tahoma"/>
          <w:bCs/>
          <w:lang w:val="es-ES"/>
        </w:rPr>
        <w:t>la</w:t>
      </w:r>
      <w:r w:rsidR="006364A5" w:rsidRPr="002E7951">
        <w:rPr>
          <w:rFonts w:ascii="Tahoma" w:hAnsi="Tahoma" w:cs="Tahoma"/>
          <w:b/>
          <w:bCs/>
          <w:lang w:val="es-ES"/>
        </w:rPr>
        <w:t xml:space="preserve"> </w:t>
      </w:r>
      <w:r w:rsidR="002E7951" w:rsidRPr="002E7951">
        <w:rPr>
          <w:rFonts w:ascii="Tahoma" w:hAnsi="Tahoma" w:cs="Tahoma"/>
          <w:bCs/>
          <w:lang w:val="es-ES"/>
        </w:rPr>
        <w:t>sociedad</w:t>
      </w:r>
      <w:r w:rsidR="002E7951" w:rsidRPr="002E7951">
        <w:rPr>
          <w:rFonts w:ascii="Tahoma" w:hAnsi="Tahoma" w:cs="Tahoma"/>
          <w:b/>
          <w:bCs/>
          <w:lang w:val="es-ES"/>
        </w:rPr>
        <w:t xml:space="preserve"> </w:t>
      </w:r>
      <w:r w:rsidR="006364A5" w:rsidRPr="002E7951">
        <w:rPr>
          <w:rFonts w:ascii="Tahoma" w:hAnsi="Tahoma" w:cs="Tahoma"/>
          <w:b/>
          <w:bCs/>
          <w:lang w:val="es-ES"/>
        </w:rPr>
        <w:t xml:space="preserve">José Gómez </w:t>
      </w:r>
      <w:proofErr w:type="spellStart"/>
      <w:r w:rsidR="006364A5" w:rsidRPr="002E7951">
        <w:rPr>
          <w:rFonts w:ascii="Tahoma" w:hAnsi="Tahoma" w:cs="Tahoma"/>
          <w:b/>
          <w:bCs/>
          <w:lang w:val="es-ES"/>
        </w:rPr>
        <w:t>Arrubla</w:t>
      </w:r>
      <w:proofErr w:type="spellEnd"/>
      <w:r w:rsidR="006364A5" w:rsidRPr="002E7951">
        <w:rPr>
          <w:rFonts w:ascii="Tahoma" w:hAnsi="Tahoma" w:cs="Tahoma"/>
          <w:b/>
          <w:bCs/>
          <w:lang w:val="es-ES"/>
        </w:rPr>
        <w:t xml:space="preserve"> y </w:t>
      </w:r>
      <w:r w:rsidR="002E7951" w:rsidRPr="002E7951">
        <w:rPr>
          <w:rFonts w:ascii="Tahoma" w:hAnsi="Tahoma" w:cs="Tahoma"/>
          <w:b/>
          <w:bCs/>
          <w:lang w:val="es-ES"/>
        </w:rPr>
        <w:t>Cía.</w:t>
      </w:r>
      <w:r w:rsidR="002E7951">
        <w:rPr>
          <w:rFonts w:ascii="Tahoma" w:hAnsi="Tahoma" w:cs="Tahoma"/>
          <w:b/>
          <w:bCs/>
          <w:lang w:val="es-ES"/>
        </w:rPr>
        <w:t>,</w:t>
      </w:r>
      <w:r w:rsidR="006364A5" w:rsidRPr="002E7951">
        <w:rPr>
          <w:rFonts w:ascii="Tahoma" w:hAnsi="Tahoma" w:cs="Tahoma"/>
          <w:b/>
          <w:bCs/>
          <w:lang w:val="es-ES"/>
        </w:rPr>
        <w:t xml:space="preserve"> Importaciones Vega </w:t>
      </w:r>
      <w:r w:rsidR="002E7951" w:rsidRPr="002E7951">
        <w:rPr>
          <w:rFonts w:ascii="Tahoma" w:hAnsi="Tahoma" w:cs="Tahoma"/>
          <w:b/>
          <w:bCs/>
          <w:lang w:val="es-ES"/>
        </w:rPr>
        <w:t>Ltda.</w:t>
      </w:r>
      <w:r w:rsidR="006364A5" w:rsidRPr="002E7951">
        <w:rPr>
          <w:rFonts w:ascii="Tahoma" w:hAnsi="Tahoma" w:cs="Tahoma"/>
          <w:b/>
          <w:bCs/>
          <w:lang w:val="es-ES"/>
        </w:rPr>
        <w:t xml:space="preserve">, María Victoria Gómez de Botero, Claudia García Gómez </w:t>
      </w:r>
      <w:r w:rsidR="006364A5" w:rsidRPr="002E7951">
        <w:rPr>
          <w:rFonts w:ascii="Tahoma" w:hAnsi="Tahoma" w:cs="Tahoma"/>
          <w:bCs/>
          <w:lang w:val="es-ES"/>
        </w:rPr>
        <w:t>y</w:t>
      </w:r>
      <w:r w:rsidR="006364A5" w:rsidRPr="002E7951">
        <w:rPr>
          <w:rFonts w:ascii="Tahoma" w:hAnsi="Tahoma" w:cs="Tahoma"/>
          <w:b/>
          <w:bCs/>
          <w:lang w:val="es-ES"/>
        </w:rPr>
        <w:t xml:space="preserve"> Fabio Gómez Ochoa.</w:t>
      </w:r>
    </w:p>
    <w:p w14:paraId="1E8BAE90" w14:textId="329C0187" w:rsidR="0D699F5C" w:rsidRPr="002E7951" w:rsidRDefault="0D699F5C" w:rsidP="002E7951">
      <w:pPr>
        <w:pStyle w:val="Sinespaciado"/>
        <w:spacing w:line="276" w:lineRule="auto"/>
        <w:rPr>
          <w:rFonts w:ascii="Tahoma" w:hAnsi="Tahoma" w:cs="Tahoma"/>
          <w:lang w:val="es-ES"/>
        </w:rPr>
      </w:pPr>
    </w:p>
    <w:p w14:paraId="0E13DC22" w14:textId="71334CD1" w:rsidR="009B563C" w:rsidRPr="002E7951" w:rsidRDefault="009B563C" w:rsidP="002E7951">
      <w:pPr>
        <w:spacing w:line="276" w:lineRule="auto"/>
        <w:jc w:val="center"/>
        <w:rPr>
          <w:rFonts w:ascii="Tahoma" w:hAnsi="Tahoma" w:cs="Tahoma"/>
          <w:b/>
          <w:bCs/>
        </w:rPr>
      </w:pPr>
      <w:r w:rsidRPr="002E7951">
        <w:rPr>
          <w:rFonts w:ascii="Tahoma" w:hAnsi="Tahoma" w:cs="Tahoma"/>
          <w:b/>
          <w:bCs/>
        </w:rPr>
        <w:t>PUNTO A TRATAR</w:t>
      </w:r>
    </w:p>
    <w:p w14:paraId="2AF0B67B" w14:textId="77777777" w:rsidR="009B563C" w:rsidRPr="002E7951" w:rsidRDefault="009B563C" w:rsidP="002E7951">
      <w:pPr>
        <w:pStyle w:val="Sinespaciado"/>
        <w:spacing w:line="276" w:lineRule="auto"/>
        <w:rPr>
          <w:rFonts w:ascii="Tahoma" w:hAnsi="Tahoma" w:cs="Tahoma"/>
        </w:rPr>
      </w:pPr>
    </w:p>
    <w:p w14:paraId="656A2E27" w14:textId="7497F68A" w:rsidR="00030263" w:rsidRPr="002E7951" w:rsidRDefault="009B563C" w:rsidP="002E7951">
      <w:pPr>
        <w:spacing w:line="276" w:lineRule="auto"/>
        <w:ind w:firstLine="708"/>
        <w:rPr>
          <w:rStyle w:val="eop"/>
          <w:rFonts w:ascii="Tahoma" w:hAnsi="Tahoma" w:cs="Tahoma"/>
          <w:spacing w:val="-2"/>
        </w:rPr>
      </w:pPr>
      <w:r w:rsidRPr="002E7951">
        <w:rPr>
          <w:rFonts w:ascii="Tahoma" w:hAnsi="Tahoma" w:cs="Tahoma"/>
        </w:rPr>
        <w:t xml:space="preserve">Por medio de esta providencia procede la Sala a resolver el recurso de apelación promovido por </w:t>
      </w:r>
      <w:r w:rsidR="006364A5" w:rsidRPr="002E7951">
        <w:rPr>
          <w:rFonts w:ascii="Tahoma" w:hAnsi="Tahoma" w:cs="Tahoma"/>
        </w:rPr>
        <w:t xml:space="preserve">Fabio Gómez Ochoa </w:t>
      </w:r>
      <w:r w:rsidRPr="002E7951">
        <w:rPr>
          <w:rFonts w:ascii="Tahoma" w:hAnsi="Tahoma" w:cs="Tahoma"/>
        </w:rPr>
        <w:t xml:space="preserve">en contra del auto del </w:t>
      </w:r>
      <w:r w:rsidR="006364A5" w:rsidRPr="002E7951">
        <w:rPr>
          <w:rFonts w:ascii="Tahoma" w:hAnsi="Tahoma" w:cs="Tahoma"/>
          <w:b/>
          <w:bCs/>
        </w:rPr>
        <w:t>22 de febrero del 2023</w:t>
      </w:r>
      <w:r w:rsidRPr="002E7951">
        <w:rPr>
          <w:rFonts w:ascii="Tahoma" w:hAnsi="Tahoma" w:cs="Tahoma"/>
        </w:rPr>
        <w:t xml:space="preserve">, por medio del cual se </w:t>
      </w:r>
      <w:r w:rsidR="006364A5" w:rsidRPr="002E7951">
        <w:rPr>
          <w:rFonts w:ascii="Tahoma" w:hAnsi="Tahoma" w:cs="Tahoma"/>
        </w:rPr>
        <w:t>negó la solicitud de nulidad por indebida notificación del auto admisorio, elevada por el señor Gómez Ochoa</w:t>
      </w:r>
      <w:r w:rsidRPr="002E7951">
        <w:rPr>
          <w:rFonts w:ascii="Tahoma" w:hAnsi="Tahoma" w:cs="Tahoma"/>
        </w:rPr>
        <w:t xml:space="preserve">. </w:t>
      </w:r>
      <w:r w:rsidR="12C54A03" w:rsidRPr="002E7951">
        <w:rPr>
          <w:rFonts w:ascii="Tahoma" w:hAnsi="Tahoma" w:cs="Tahoma"/>
        </w:rPr>
        <w:t xml:space="preserve">Es del caso advertir que frente a la mencionada providencia se presentó recurso de reposición que fuera decidido </w:t>
      </w:r>
      <w:r w:rsidR="12C54A03" w:rsidRPr="002E7951">
        <w:rPr>
          <w:rFonts w:ascii="Tahoma" w:hAnsi="Tahoma" w:cs="Tahoma"/>
        </w:rPr>
        <w:lastRenderedPageBreak/>
        <w:t xml:space="preserve">negativamente mediante proveído del 28 de julio de 2023, por lo cual, solo hasta el </w:t>
      </w:r>
      <w:r w:rsidR="4658BAEE" w:rsidRPr="002E7951">
        <w:rPr>
          <w:rFonts w:ascii="Tahoma" w:hAnsi="Tahoma" w:cs="Tahoma"/>
        </w:rPr>
        <w:t xml:space="preserve">10 de agosto es remitido el proceso ante la oficina judicial para ser repartido. </w:t>
      </w:r>
      <w:r w:rsidR="002823F7" w:rsidRPr="002E7951">
        <w:rPr>
          <w:rStyle w:val="normaltextrun"/>
          <w:rFonts w:ascii="Tahoma" w:hAnsi="Tahoma" w:cs="Tahoma"/>
          <w:spacing w:val="-2"/>
        </w:rPr>
        <w:t>Para ello se tiene en cuenta lo siguiente: </w:t>
      </w:r>
      <w:r w:rsidR="002823F7" w:rsidRPr="002E7951">
        <w:rPr>
          <w:rStyle w:val="eop"/>
          <w:rFonts w:ascii="Tahoma" w:hAnsi="Tahoma" w:cs="Tahoma"/>
          <w:spacing w:val="-2"/>
        </w:rPr>
        <w:t> </w:t>
      </w:r>
    </w:p>
    <w:p w14:paraId="40FB4E4F" w14:textId="25F37209" w:rsidR="002823F7" w:rsidRPr="002E7951" w:rsidRDefault="002823F7" w:rsidP="002E7951">
      <w:pPr>
        <w:pStyle w:val="Sinespaciado"/>
        <w:spacing w:line="276" w:lineRule="auto"/>
        <w:rPr>
          <w:rFonts w:ascii="Tahoma" w:hAnsi="Tahoma" w:cs="Tahoma"/>
        </w:rPr>
      </w:pPr>
    </w:p>
    <w:p w14:paraId="4E3EDF08" w14:textId="77777777" w:rsidR="00030263" w:rsidRPr="002E7951" w:rsidRDefault="00030263" w:rsidP="002E7951">
      <w:pPr>
        <w:pStyle w:val="Prrafodelista"/>
        <w:numPr>
          <w:ilvl w:val="0"/>
          <w:numId w:val="1"/>
        </w:numPr>
        <w:tabs>
          <w:tab w:val="left" w:pos="284"/>
        </w:tabs>
        <w:spacing w:line="276" w:lineRule="auto"/>
        <w:jc w:val="center"/>
        <w:rPr>
          <w:rFonts w:ascii="Tahoma" w:hAnsi="Tahoma" w:cs="Tahoma"/>
          <w:b/>
          <w:bCs/>
        </w:rPr>
      </w:pPr>
      <w:r w:rsidRPr="002E7951">
        <w:rPr>
          <w:rFonts w:ascii="Tahoma" w:hAnsi="Tahoma" w:cs="Tahoma"/>
          <w:b/>
          <w:bCs/>
        </w:rPr>
        <w:t>Antecedentes Procesales</w:t>
      </w:r>
    </w:p>
    <w:p w14:paraId="0FFF0ABA" w14:textId="4380F66B" w:rsidR="00030263" w:rsidRPr="002E7951" w:rsidRDefault="00030263" w:rsidP="002E7951">
      <w:pPr>
        <w:pStyle w:val="Sinespaciado"/>
        <w:spacing w:line="276" w:lineRule="auto"/>
        <w:rPr>
          <w:rFonts w:ascii="Tahoma" w:hAnsi="Tahoma" w:cs="Tahoma"/>
        </w:rPr>
      </w:pPr>
    </w:p>
    <w:p w14:paraId="60B364BB" w14:textId="35AFB8B3" w:rsidR="005450B6" w:rsidRPr="002E7951" w:rsidRDefault="005450B6" w:rsidP="002E7951">
      <w:pPr>
        <w:spacing w:line="276" w:lineRule="auto"/>
        <w:ind w:firstLine="708"/>
        <w:rPr>
          <w:rFonts w:ascii="Tahoma" w:hAnsi="Tahoma" w:cs="Tahoma"/>
          <w:spacing w:val="-3"/>
          <w:kern w:val="2"/>
        </w:rPr>
      </w:pPr>
      <w:r w:rsidRPr="002E7951">
        <w:rPr>
          <w:rFonts w:ascii="Tahoma" w:hAnsi="Tahoma" w:cs="Tahoma"/>
          <w:spacing w:val="-3"/>
          <w:kern w:val="2"/>
        </w:rPr>
        <w:t>En lo que interesa al recurso apelación, la acción se inició con la finalidad de que se declare la existencia de un contrato de trabajo entre</w:t>
      </w:r>
      <w:r w:rsidR="00A8370C" w:rsidRPr="002E7951">
        <w:rPr>
          <w:rFonts w:ascii="Tahoma" w:hAnsi="Tahoma" w:cs="Tahoma"/>
          <w:spacing w:val="-3"/>
          <w:kern w:val="2"/>
        </w:rPr>
        <w:t xml:space="preserve"> </w:t>
      </w:r>
      <w:r w:rsidR="004B625E" w:rsidRPr="002E7951">
        <w:rPr>
          <w:rFonts w:ascii="Tahoma" w:hAnsi="Tahoma" w:cs="Tahoma"/>
          <w:spacing w:val="-3"/>
          <w:kern w:val="2"/>
        </w:rPr>
        <w:t xml:space="preserve">el señor </w:t>
      </w:r>
      <w:r w:rsidR="00E73F37" w:rsidRPr="002E7951">
        <w:rPr>
          <w:rFonts w:ascii="Tahoma" w:hAnsi="Tahoma" w:cs="Tahoma"/>
          <w:spacing w:val="-3"/>
          <w:kern w:val="2"/>
        </w:rPr>
        <w:t xml:space="preserve">Oscar Ortiz Mejía, como trabajador y los demandados Sociedad José Gómez </w:t>
      </w:r>
      <w:proofErr w:type="spellStart"/>
      <w:r w:rsidR="00E73F37" w:rsidRPr="002E7951">
        <w:rPr>
          <w:rFonts w:ascii="Tahoma" w:hAnsi="Tahoma" w:cs="Tahoma"/>
          <w:spacing w:val="-3"/>
          <w:kern w:val="2"/>
        </w:rPr>
        <w:t>Arrubla</w:t>
      </w:r>
      <w:proofErr w:type="spellEnd"/>
      <w:r w:rsidR="00E73F37" w:rsidRPr="002E7951">
        <w:rPr>
          <w:rFonts w:ascii="Tahoma" w:hAnsi="Tahoma" w:cs="Tahoma"/>
          <w:spacing w:val="-3"/>
          <w:kern w:val="2"/>
        </w:rPr>
        <w:t xml:space="preserve"> y </w:t>
      </w:r>
      <w:proofErr w:type="spellStart"/>
      <w:r w:rsidR="00E73F37" w:rsidRPr="002E7951">
        <w:rPr>
          <w:rFonts w:ascii="Tahoma" w:hAnsi="Tahoma" w:cs="Tahoma"/>
          <w:spacing w:val="-3"/>
          <w:kern w:val="2"/>
        </w:rPr>
        <w:t>Cía</w:t>
      </w:r>
      <w:proofErr w:type="spellEnd"/>
      <w:r w:rsidR="00E73F37" w:rsidRPr="002E7951">
        <w:rPr>
          <w:rFonts w:ascii="Tahoma" w:hAnsi="Tahoma" w:cs="Tahoma"/>
          <w:spacing w:val="-3"/>
          <w:kern w:val="2"/>
        </w:rPr>
        <w:t xml:space="preserve"> Importaciones Vega </w:t>
      </w:r>
      <w:proofErr w:type="spellStart"/>
      <w:r w:rsidR="00E73F37" w:rsidRPr="002E7951">
        <w:rPr>
          <w:rFonts w:ascii="Tahoma" w:hAnsi="Tahoma" w:cs="Tahoma"/>
          <w:spacing w:val="-3"/>
          <w:kern w:val="2"/>
        </w:rPr>
        <w:t>Ltda</w:t>
      </w:r>
      <w:proofErr w:type="spellEnd"/>
      <w:r w:rsidR="00E73F37" w:rsidRPr="002E7951">
        <w:rPr>
          <w:rFonts w:ascii="Tahoma" w:hAnsi="Tahoma" w:cs="Tahoma"/>
          <w:spacing w:val="-3"/>
          <w:kern w:val="2"/>
        </w:rPr>
        <w:t xml:space="preserve">, </w:t>
      </w:r>
      <w:proofErr w:type="spellStart"/>
      <w:r w:rsidR="00E73F37" w:rsidRPr="002E7951">
        <w:rPr>
          <w:rFonts w:ascii="Tahoma" w:hAnsi="Tahoma" w:cs="Tahoma"/>
          <w:spacing w:val="-3"/>
          <w:kern w:val="2"/>
        </w:rPr>
        <w:t>Fabrio</w:t>
      </w:r>
      <w:proofErr w:type="spellEnd"/>
      <w:r w:rsidR="00E73F37" w:rsidRPr="002E7951">
        <w:rPr>
          <w:rFonts w:ascii="Tahoma" w:hAnsi="Tahoma" w:cs="Tahoma"/>
          <w:spacing w:val="-3"/>
          <w:kern w:val="2"/>
        </w:rPr>
        <w:t xml:space="preserve"> Gómez Ochoa, María Victoria Gómez de Botero y Claudia García Gómez, como empleadores, vigente del 10 de enero de 1991 al 21 de julio de 2021; y para que se condene a los demandados al pago de recargos dominicales y nocturnos, prestaciones sociales, vacaciones, indemnizaciones y la pensión de vejez.</w:t>
      </w:r>
    </w:p>
    <w:p w14:paraId="7C6DE2F7" w14:textId="1EA91ACA" w:rsidR="00A8370C" w:rsidRPr="002E7951" w:rsidRDefault="00A8370C" w:rsidP="002E7951">
      <w:pPr>
        <w:pStyle w:val="Sinespaciado"/>
        <w:spacing w:line="276" w:lineRule="auto"/>
        <w:rPr>
          <w:rFonts w:ascii="Tahoma" w:hAnsi="Tahoma" w:cs="Tahoma"/>
        </w:rPr>
      </w:pPr>
    </w:p>
    <w:p w14:paraId="5318D063" w14:textId="1109F9AE" w:rsidR="00E73F37" w:rsidRPr="002E7951" w:rsidRDefault="00A8370C" w:rsidP="002E7951">
      <w:pPr>
        <w:spacing w:line="276" w:lineRule="auto"/>
        <w:ind w:firstLine="708"/>
        <w:rPr>
          <w:rFonts w:ascii="Tahoma" w:hAnsi="Tahoma" w:cs="Tahoma"/>
          <w:spacing w:val="-3"/>
          <w:kern w:val="2"/>
        </w:rPr>
      </w:pPr>
      <w:r w:rsidRPr="002E7951">
        <w:rPr>
          <w:rFonts w:ascii="Tahoma" w:hAnsi="Tahoma" w:cs="Tahoma"/>
          <w:spacing w:val="-3"/>
          <w:kern w:val="2"/>
        </w:rPr>
        <w:t xml:space="preserve">La demanda se admitió mediante auto del </w:t>
      </w:r>
      <w:r w:rsidR="00E73F37" w:rsidRPr="002E7951">
        <w:rPr>
          <w:rFonts w:ascii="Tahoma" w:hAnsi="Tahoma" w:cs="Tahoma"/>
          <w:spacing w:val="-3"/>
          <w:kern w:val="2"/>
        </w:rPr>
        <w:t xml:space="preserve">04 de noviembre de 2021 en contra de la Sociedad José Gómez </w:t>
      </w:r>
      <w:proofErr w:type="spellStart"/>
      <w:r w:rsidR="00E73F37" w:rsidRPr="002E7951">
        <w:rPr>
          <w:rFonts w:ascii="Tahoma" w:hAnsi="Tahoma" w:cs="Tahoma"/>
          <w:spacing w:val="-3"/>
          <w:kern w:val="2"/>
        </w:rPr>
        <w:t>Arrubla</w:t>
      </w:r>
      <w:proofErr w:type="spellEnd"/>
      <w:r w:rsidR="00E73F37" w:rsidRPr="002E7951">
        <w:rPr>
          <w:rFonts w:ascii="Tahoma" w:hAnsi="Tahoma" w:cs="Tahoma"/>
          <w:spacing w:val="-3"/>
          <w:kern w:val="2"/>
        </w:rPr>
        <w:t xml:space="preserve"> y </w:t>
      </w:r>
      <w:proofErr w:type="spellStart"/>
      <w:r w:rsidR="00E73F37" w:rsidRPr="002E7951">
        <w:rPr>
          <w:rFonts w:ascii="Tahoma" w:hAnsi="Tahoma" w:cs="Tahoma"/>
          <w:spacing w:val="-3"/>
          <w:kern w:val="2"/>
        </w:rPr>
        <w:t>Cía</w:t>
      </w:r>
      <w:proofErr w:type="spellEnd"/>
      <w:r w:rsidR="00E73F37" w:rsidRPr="002E7951">
        <w:rPr>
          <w:rFonts w:ascii="Tahoma" w:hAnsi="Tahoma" w:cs="Tahoma"/>
          <w:spacing w:val="-3"/>
          <w:kern w:val="2"/>
        </w:rPr>
        <w:t xml:space="preserve"> </w:t>
      </w:r>
      <w:r w:rsidR="00E349FF" w:rsidRPr="002E7951">
        <w:rPr>
          <w:rFonts w:ascii="Tahoma" w:hAnsi="Tahoma" w:cs="Tahoma"/>
          <w:spacing w:val="-3"/>
          <w:kern w:val="2"/>
        </w:rPr>
        <w:t>E</w:t>
      </w:r>
      <w:r w:rsidR="00E73F37" w:rsidRPr="002E7951">
        <w:rPr>
          <w:rFonts w:ascii="Tahoma" w:hAnsi="Tahoma" w:cs="Tahoma"/>
          <w:spacing w:val="-3"/>
          <w:kern w:val="2"/>
        </w:rPr>
        <w:t>mpresa Importaciones Vega Ltda., representada legalmente por el señor Fabio Gómez y en contra de María Victoria Gómez de Botero y Claudia García Gómez, como herederas de la señora Gloria Gómez Ochoa.</w:t>
      </w:r>
    </w:p>
    <w:p w14:paraId="67FA70C6" w14:textId="0DC54A87" w:rsidR="005A7630" w:rsidRPr="002E7951" w:rsidRDefault="005A7630" w:rsidP="002E7951">
      <w:pPr>
        <w:spacing w:line="276" w:lineRule="auto"/>
        <w:ind w:firstLine="708"/>
        <w:rPr>
          <w:rFonts w:ascii="Tahoma" w:hAnsi="Tahoma" w:cs="Tahoma"/>
          <w:spacing w:val="-3"/>
          <w:kern w:val="2"/>
        </w:rPr>
      </w:pPr>
    </w:p>
    <w:p w14:paraId="116E9B96" w14:textId="2447BC08" w:rsidR="007C5217" w:rsidRPr="002E7951" w:rsidRDefault="3BA9B097" w:rsidP="002E7951">
      <w:pPr>
        <w:spacing w:line="276" w:lineRule="auto"/>
        <w:ind w:firstLine="708"/>
        <w:rPr>
          <w:rFonts w:ascii="Tahoma" w:hAnsi="Tahoma" w:cs="Tahoma"/>
          <w:spacing w:val="-3"/>
          <w:kern w:val="2"/>
        </w:rPr>
      </w:pPr>
      <w:r w:rsidRPr="002E7951">
        <w:rPr>
          <w:rFonts w:ascii="Tahoma" w:hAnsi="Tahoma" w:cs="Tahoma"/>
          <w:spacing w:val="-3"/>
          <w:kern w:val="2"/>
        </w:rPr>
        <w:t xml:space="preserve">El </w:t>
      </w:r>
      <w:r w:rsidR="005A7630" w:rsidRPr="002E7951">
        <w:rPr>
          <w:rFonts w:ascii="Tahoma" w:hAnsi="Tahoma" w:cs="Tahoma"/>
          <w:spacing w:val="-3"/>
          <w:kern w:val="2"/>
        </w:rPr>
        <w:t>22 de noviembre de 2021</w:t>
      </w:r>
      <w:r w:rsidR="00E349FF" w:rsidRPr="002E7951">
        <w:rPr>
          <w:rFonts w:ascii="Tahoma" w:hAnsi="Tahoma" w:cs="Tahoma"/>
          <w:spacing w:val="-3"/>
          <w:kern w:val="2"/>
        </w:rPr>
        <w:t xml:space="preserve">, por medio de un mismo apoderado judicial, la Sociedad José Gómez </w:t>
      </w:r>
      <w:proofErr w:type="spellStart"/>
      <w:r w:rsidR="00E349FF" w:rsidRPr="002E7951">
        <w:rPr>
          <w:rFonts w:ascii="Tahoma" w:hAnsi="Tahoma" w:cs="Tahoma"/>
          <w:spacing w:val="-3"/>
          <w:kern w:val="2"/>
        </w:rPr>
        <w:t>Arrubla</w:t>
      </w:r>
      <w:proofErr w:type="spellEnd"/>
      <w:r w:rsidR="00E349FF" w:rsidRPr="002E7951">
        <w:rPr>
          <w:rFonts w:ascii="Tahoma" w:hAnsi="Tahoma" w:cs="Tahoma"/>
          <w:spacing w:val="-3"/>
          <w:kern w:val="2"/>
        </w:rPr>
        <w:t xml:space="preserve"> y Cía. Empresa Importaciones Vega Ltda., María Victoria Gómez de Botero y Claudia García Gómez, dieron contestación a la demanda, misma que fue admitida mediante auto del 21 de enero de 2022, llevándose a cabo audiencia de que trata el art. 77 del </w:t>
      </w:r>
      <w:proofErr w:type="spellStart"/>
      <w:r w:rsidR="00E349FF" w:rsidRPr="002E7951">
        <w:rPr>
          <w:rFonts w:ascii="Tahoma" w:hAnsi="Tahoma" w:cs="Tahoma"/>
          <w:spacing w:val="-3"/>
          <w:kern w:val="2"/>
        </w:rPr>
        <w:t>CPT</w:t>
      </w:r>
      <w:proofErr w:type="spellEnd"/>
      <w:r w:rsidR="00E349FF" w:rsidRPr="002E7951">
        <w:rPr>
          <w:rFonts w:ascii="Tahoma" w:hAnsi="Tahoma" w:cs="Tahoma"/>
          <w:spacing w:val="-3"/>
          <w:kern w:val="2"/>
        </w:rPr>
        <w:t xml:space="preserve"> y SS, el 07 de abril de 2022, </w:t>
      </w:r>
      <w:r w:rsidR="25B32B60" w:rsidRPr="002E7951">
        <w:rPr>
          <w:rFonts w:ascii="Tahoma" w:hAnsi="Tahoma" w:cs="Tahoma"/>
          <w:spacing w:val="-3"/>
          <w:kern w:val="2"/>
        </w:rPr>
        <w:t>ú</w:t>
      </w:r>
      <w:r w:rsidR="00E349FF" w:rsidRPr="002E7951">
        <w:rPr>
          <w:rFonts w:ascii="Tahoma" w:hAnsi="Tahoma" w:cs="Tahoma"/>
          <w:spacing w:val="-3"/>
          <w:kern w:val="2"/>
        </w:rPr>
        <w:t>ltima calenda en que se fijó la audiencia de trámite y juzgamiento para el 02 de agosto de 2022.</w:t>
      </w:r>
    </w:p>
    <w:p w14:paraId="6116EF24" w14:textId="47E117C3" w:rsidR="00E349FF" w:rsidRPr="002E7951" w:rsidRDefault="00E349FF" w:rsidP="002E7951">
      <w:pPr>
        <w:spacing w:line="276" w:lineRule="auto"/>
        <w:ind w:firstLine="708"/>
        <w:rPr>
          <w:rFonts w:ascii="Tahoma" w:hAnsi="Tahoma" w:cs="Tahoma"/>
          <w:spacing w:val="-3"/>
          <w:kern w:val="2"/>
        </w:rPr>
      </w:pPr>
    </w:p>
    <w:p w14:paraId="0E2BFD87" w14:textId="554CEBA5" w:rsidR="00E349FF" w:rsidRPr="002E7951" w:rsidRDefault="00E349FF" w:rsidP="002E7951">
      <w:pPr>
        <w:spacing w:line="276" w:lineRule="auto"/>
        <w:ind w:firstLine="708"/>
        <w:rPr>
          <w:rFonts w:ascii="Tahoma" w:hAnsi="Tahoma" w:cs="Tahoma"/>
          <w:spacing w:val="-3"/>
          <w:kern w:val="2"/>
        </w:rPr>
      </w:pPr>
      <w:r w:rsidRPr="002E7951">
        <w:rPr>
          <w:rFonts w:ascii="Tahoma" w:hAnsi="Tahoma" w:cs="Tahoma"/>
          <w:spacing w:val="-3"/>
          <w:kern w:val="2"/>
        </w:rPr>
        <w:t>Pese a lo anterior, el 22 de agosto de 2022, la jueza de primera instancia, al advertir que la demanda fue presentada también en contra Fabio Gómez Ochoa como persona natural</w:t>
      </w:r>
      <w:r w:rsidR="007A742B" w:rsidRPr="002E7951">
        <w:rPr>
          <w:rFonts w:ascii="Tahoma" w:hAnsi="Tahoma" w:cs="Tahoma"/>
          <w:spacing w:val="-3"/>
          <w:kern w:val="2"/>
        </w:rPr>
        <w:t xml:space="preserve"> y que en el auto admisorio únicamente se indicó que el señor Gómez Ochoa acude como representante legal de la sociedad demandada</w:t>
      </w:r>
      <w:r w:rsidRPr="002E7951">
        <w:rPr>
          <w:rFonts w:ascii="Tahoma" w:hAnsi="Tahoma" w:cs="Tahoma"/>
          <w:spacing w:val="-3"/>
          <w:kern w:val="2"/>
        </w:rPr>
        <w:t xml:space="preserve">, decretó la nulidad de lo actuado a partir de la notificación del auto admisorio de la demanda y ordenó la vinculación del señor Fabio Gómez Ochoa como persona natural </w:t>
      </w:r>
      <w:r w:rsidR="004816A8" w:rsidRPr="002E7951">
        <w:rPr>
          <w:rFonts w:ascii="Tahoma" w:hAnsi="Tahoma" w:cs="Tahoma"/>
          <w:spacing w:val="-3"/>
          <w:kern w:val="2"/>
        </w:rPr>
        <w:t>y su</w:t>
      </w:r>
      <w:r w:rsidRPr="002E7951">
        <w:rPr>
          <w:rFonts w:ascii="Tahoma" w:hAnsi="Tahoma" w:cs="Tahoma"/>
          <w:spacing w:val="-3"/>
          <w:kern w:val="2"/>
        </w:rPr>
        <w:t xml:space="preserve"> correspondiente notificación </w:t>
      </w:r>
      <w:r w:rsidR="004816A8" w:rsidRPr="002E7951">
        <w:rPr>
          <w:rFonts w:ascii="Tahoma" w:hAnsi="Tahoma" w:cs="Tahoma"/>
          <w:spacing w:val="-3"/>
          <w:kern w:val="2"/>
        </w:rPr>
        <w:t>para el</w:t>
      </w:r>
      <w:r w:rsidRPr="002E7951">
        <w:rPr>
          <w:rFonts w:ascii="Tahoma" w:hAnsi="Tahoma" w:cs="Tahoma"/>
          <w:spacing w:val="-3"/>
          <w:kern w:val="2"/>
        </w:rPr>
        <w:t xml:space="preserve"> traslado de la demanda</w:t>
      </w:r>
      <w:r w:rsidR="007A742B" w:rsidRPr="002E7951">
        <w:rPr>
          <w:rFonts w:ascii="Tahoma" w:hAnsi="Tahoma" w:cs="Tahoma"/>
          <w:spacing w:val="-3"/>
          <w:kern w:val="2"/>
        </w:rPr>
        <w:t>.</w:t>
      </w:r>
    </w:p>
    <w:p w14:paraId="02F90A50" w14:textId="270D4BB9" w:rsidR="007A742B" w:rsidRPr="002E7951" w:rsidRDefault="007A742B" w:rsidP="002E7951">
      <w:pPr>
        <w:spacing w:line="276" w:lineRule="auto"/>
        <w:ind w:firstLine="708"/>
        <w:rPr>
          <w:rFonts w:ascii="Tahoma" w:hAnsi="Tahoma" w:cs="Tahoma"/>
          <w:spacing w:val="-3"/>
          <w:kern w:val="2"/>
        </w:rPr>
      </w:pPr>
    </w:p>
    <w:p w14:paraId="6927BD9D" w14:textId="1EB0A774" w:rsidR="00733913" w:rsidRPr="002E7951" w:rsidRDefault="007A742B" w:rsidP="002E7951">
      <w:pPr>
        <w:spacing w:line="276" w:lineRule="auto"/>
        <w:ind w:firstLine="708"/>
        <w:rPr>
          <w:rFonts w:ascii="Tahoma" w:hAnsi="Tahoma" w:cs="Tahoma"/>
          <w:spacing w:val="-3"/>
          <w:kern w:val="2"/>
        </w:rPr>
      </w:pPr>
      <w:r w:rsidRPr="002E7951">
        <w:rPr>
          <w:rFonts w:ascii="Tahoma" w:hAnsi="Tahoma" w:cs="Tahoma"/>
          <w:spacing w:val="-3"/>
          <w:kern w:val="2"/>
        </w:rPr>
        <w:t>De acuerdo con lo dispuesto, el 03 de octubre de 2022 se efectuó la notificación, por medio de correo electrónico, del señor Fabio Gómez Ochoa, quien, a través de apoderada judicial el 18 de octubre de 2022 allegó contestación de la demanda y solicitud de nulidad</w:t>
      </w:r>
      <w:r w:rsidR="00733913" w:rsidRPr="002E7951">
        <w:rPr>
          <w:rFonts w:ascii="Tahoma" w:hAnsi="Tahoma" w:cs="Tahoma"/>
          <w:spacing w:val="-3"/>
          <w:kern w:val="2"/>
        </w:rPr>
        <w:t xml:space="preserve"> en </w:t>
      </w:r>
      <w:r w:rsidRPr="002E7951">
        <w:rPr>
          <w:rFonts w:ascii="Tahoma" w:hAnsi="Tahoma" w:cs="Tahoma"/>
          <w:spacing w:val="-3"/>
          <w:kern w:val="2"/>
        </w:rPr>
        <w:t>la</w:t>
      </w:r>
      <w:r w:rsidR="00733913" w:rsidRPr="002E7951">
        <w:rPr>
          <w:rFonts w:ascii="Tahoma" w:hAnsi="Tahoma" w:cs="Tahoma"/>
          <w:spacing w:val="-3"/>
          <w:kern w:val="2"/>
        </w:rPr>
        <w:t xml:space="preserve"> que manifiesta que </w:t>
      </w:r>
      <w:r w:rsidRPr="002E7951">
        <w:rPr>
          <w:rFonts w:ascii="Tahoma" w:hAnsi="Tahoma" w:cs="Tahoma"/>
          <w:spacing w:val="-3"/>
          <w:kern w:val="2"/>
        </w:rPr>
        <w:t xml:space="preserve">la nulidad decretada por la jueza de primera instancia a partir de la notificación del auto admisorio de la demanda, por no haberse notificado al señor Gómez Ochoa como persona natural, comprende toda actuación realizada con posterioridad a este acto procesal, por lo que pierde validez  la contestación de la demanda presentada por todos los convocados al proceso y la audiencia de que trata el artículo 77 del </w:t>
      </w:r>
      <w:proofErr w:type="spellStart"/>
      <w:r w:rsidRPr="002E7951">
        <w:rPr>
          <w:rFonts w:ascii="Tahoma" w:hAnsi="Tahoma" w:cs="Tahoma"/>
          <w:spacing w:val="-3"/>
          <w:kern w:val="2"/>
        </w:rPr>
        <w:t>CPT</w:t>
      </w:r>
      <w:proofErr w:type="spellEnd"/>
      <w:r w:rsidRPr="002E7951">
        <w:rPr>
          <w:rFonts w:ascii="Tahoma" w:hAnsi="Tahoma" w:cs="Tahoma"/>
          <w:spacing w:val="-3"/>
          <w:kern w:val="2"/>
        </w:rPr>
        <w:t xml:space="preserve"> y SS., debiéndose reiniciar el proceso desde el acto </w:t>
      </w:r>
      <w:proofErr w:type="spellStart"/>
      <w:r w:rsidRPr="002E7951">
        <w:rPr>
          <w:rFonts w:ascii="Tahoma" w:hAnsi="Tahoma" w:cs="Tahoma"/>
          <w:spacing w:val="-3"/>
          <w:kern w:val="2"/>
        </w:rPr>
        <w:t>nulitado</w:t>
      </w:r>
      <w:proofErr w:type="spellEnd"/>
      <w:r w:rsidRPr="002E7951">
        <w:rPr>
          <w:rFonts w:ascii="Tahoma" w:hAnsi="Tahoma" w:cs="Tahoma"/>
          <w:spacing w:val="-3"/>
          <w:kern w:val="2"/>
        </w:rPr>
        <w:t>, lo que implica la notificación a todos los demandados nuevamente, con el correspondiente traslado.</w:t>
      </w:r>
    </w:p>
    <w:p w14:paraId="7A14CBA1" w14:textId="0AD4CC10" w:rsidR="00BC584F" w:rsidRPr="002E7951" w:rsidRDefault="00BC584F" w:rsidP="002E7951">
      <w:pPr>
        <w:spacing w:line="276" w:lineRule="auto"/>
        <w:ind w:firstLine="708"/>
        <w:rPr>
          <w:rFonts w:ascii="Tahoma" w:hAnsi="Tahoma" w:cs="Tahoma"/>
          <w:spacing w:val="-3"/>
          <w:kern w:val="2"/>
        </w:rPr>
      </w:pPr>
    </w:p>
    <w:p w14:paraId="20A53CEF" w14:textId="70E276E5" w:rsidR="00BC584F" w:rsidRPr="002E7951" w:rsidRDefault="00BC584F" w:rsidP="002E7951">
      <w:pPr>
        <w:spacing w:line="276" w:lineRule="auto"/>
        <w:ind w:firstLine="708"/>
        <w:rPr>
          <w:rFonts w:ascii="Tahoma" w:hAnsi="Tahoma" w:cs="Tahoma"/>
          <w:spacing w:val="-3"/>
          <w:kern w:val="2"/>
        </w:rPr>
      </w:pPr>
      <w:r w:rsidRPr="002E7951">
        <w:rPr>
          <w:rFonts w:ascii="Tahoma" w:hAnsi="Tahoma" w:cs="Tahoma"/>
          <w:spacing w:val="-3"/>
          <w:kern w:val="2"/>
        </w:rPr>
        <w:lastRenderedPageBreak/>
        <w:t>Agregó que lo que realizó la jueza fue un acto de vinculación, como si se tratase de un tercero, por lo cual, en lugar de notificarle el auto admisorio de la demanda, se le puso en conocimiento la providencia de vinculación, con lo cual se mantiene la vulneración al derecho fundamental al debido proceso, máxime cuando el auto admisorio de la demanda es el contenedor de la causal de nulidad, en el entendido que, aunque se notifique al señor Gómez Ochoa, esto no lo convierte en demandado, ya que nunca se resolvió admitir la demanda en su contra.</w:t>
      </w:r>
    </w:p>
    <w:p w14:paraId="5A02A4C2" w14:textId="32778AC5" w:rsidR="00733913" w:rsidRPr="002E7951" w:rsidRDefault="00733913" w:rsidP="002E7951">
      <w:pPr>
        <w:pStyle w:val="Sinespaciado"/>
        <w:spacing w:line="276" w:lineRule="auto"/>
        <w:rPr>
          <w:rFonts w:ascii="Tahoma" w:hAnsi="Tahoma" w:cs="Tahoma"/>
        </w:rPr>
      </w:pPr>
    </w:p>
    <w:p w14:paraId="2F137318" w14:textId="582F37E3" w:rsidR="00733913" w:rsidRPr="002E7951" w:rsidRDefault="00F66B61" w:rsidP="002E7951">
      <w:pPr>
        <w:spacing w:line="276" w:lineRule="auto"/>
        <w:ind w:firstLine="709"/>
        <w:rPr>
          <w:rFonts w:ascii="Tahoma" w:hAnsi="Tahoma" w:cs="Tahoma"/>
          <w:spacing w:val="-3"/>
          <w:kern w:val="2"/>
        </w:rPr>
      </w:pPr>
      <w:r w:rsidRPr="002E7951">
        <w:rPr>
          <w:rFonts w:ascii="Tahoma" w:hAnsi="Tahoma" w:cs="Tahoma"/>
          <w:spacing w:val="-3"/>
          <w:kern w:val="2"/>
        </w:rPr>
        <w:t>De acuerdo con</w:t>
      </w:r>
      <w:r w:rsidR="004B1115" w:rsidRPr="002E7951">
        <w:rPr>
          <w:rFonts w:ascii="Tahoma" w:hAnsi="Tahoma" w:cs="Tahoma"/>
          <w:spacing w:val="-3"/>
          <w:kern w:val="2"/>
        </w:rPr>
        <w:t xml:space="preserve"> ello, solicitó declarar la nulidad de todo lo actuado a partir del auto admisorio de la demanda y, en su lugar, </w:t>
      </w:r>
      <w:r w:rsidR="00BC584F" w:rsidRPr="002E7951">
        <w:rPr>
          <w:rFonts w:ascii="Tahoma" w:hAnsi="Tahoma" w:cs="Tahoma"/>
          <w:spacing w:val="-3"/>
          <w:kern w:val="2"/>
        </w:rPr>
        <w:t xml:space="preserve">realizar nuevamente la providencia, incluyendo al señor Fabio Gómez Ochoa, sin tener en cuenta nada de lo actuado. </w:t>
      </w:r>
      <w:r w:rsidR="004B1115" w:rsidRPr="002E7951">
        <w:rPr>
          <w:rFonts w:ascii="Tahoma" w:hAnsi="Tahoma" w:cs="Tahoma"/>
          <w:spacing w:val="-3"/>
          <w:kern w:val="2"/>
        </w:rPr>
        <w:t xml:space="preserve"> </w:t>
      </w:r>
    </w:p>
    <w:p w14:paraId="4A78247B" w14:textId="076A7C85" w:rsidR="00733913" w:rsidRPr="002E7951" w:rsidRDefault="00733913" w:rsidP="002E7951">
      <w:pPr>
        <w:pStyle w:val="Sinespaciado"/>
        <w:spacing w:line="276" w:lineRule="auto"/>
        <w:rPr>
          <w:rFonts w:ascii="Tahoma" w:hAnsi="Tahoma" w:cs="Tahoma"/>
        </w:rPr>
      </w:pPr>
    </w:p>
    <w:p w14:paraId="2CFD6E05" w14:textId="3A8DBB77" w:rsidR="00021F62" w:rsidRPr="002E7951" w:rsidRDefault="006A29C8" w:rsidP="002E7951">
      <w:pPr>
        <w:pStyle w:val="Prrafodelista"/>
        <w:numPr>
          <w:ilvl w:val="0"/>
          <w:numId w:val="1"/>
        </w:numPr>
        <w:tabs>
          <w:tab w:val="left" w:pos="284"/>
        </w:tabs>
        <w:spacing w:line="276" w:lineRule="auto"/>
        <w:ind w:left="0" w:firstLine="0"/>
        <w:jc w:val="center"/>
        <w:rPr>
          <w:rFonts w:ascii="Tahoma" w:hAnsi="Tahoma" w:cs="Tahoma"/>
          <w:b/>
          <w:spacing w:val="-3"/>
          <w:kern w:val="2"/>
        </w:rPr>
      </w:pPr>
      <w:bookmarkStart w:id="2" w:name="_Hlk64569015"/>
      <w:r w:rsidRPr="002E7951">
        <w:rPr>
          <w:rFonts w:ascii="Tahoma" w:hAnsi="Tahoma" w:cs="Tahoma"/>
          <w:b/>
          <w:spacing w:val="-3"/>
          <w:kern w:val="2"/>
        </w:rPr>
        <w:t>Auto objeto de apelación</w:t>
      </w:r>
    </w:p>
    <w:p w14:paraId="6A5D84D1" w14:textId="756E12C4" w:rsidR="006A29C8" w:rsidRPr="002E7951" w:rsidRDefault="006A29C8" w:rsidP="002E7951">
      <w:pPr>
        <w:pStyle w:val="Prrafodelista"/>
        <w:spacing w:line="276" w:lineRule="auto"/>
        <w:ind w:left="0"/>
        <w:rPr>
          <w:rFonts w:ascii="Tahoma" w:hAnsi="Tahoma" w:cs="Tahoma"/>
          <w:b/>
          <w:spacing w:val="-3"/>
          <w:kern w:val="2"/>
        </w:rPr>
      </w:pPr>
    </w:p>
    <w:p w14:paraId="1AAA5995" w14:textId="02C45D79" w:rsidR="00996CE2" w:rsidRPr="002E7951" w:rsidRDefault="006A29C8" w:rsidP="002E7951">
      <w:pPr>
        <w:spacing w:line="276" w:lineRule="auto"/>
        <w:ind w:firstLine="708"/>
        <w:rPr>
          <w:rFonts w:ascii="Tahoma" w:hAnsi="Tahoma" w:cs="Tahoma"/>
          <w:spacing w:val="-3"/>
          <w:kern w:val="2"/>
        </w:rPr>
      </w:pPr>
      <w:r w:rsidRPr="002E7951">
        <w:rPr>
          <w:rFonts w:ascii="Tahoma" w:hAnsi="Tahoma" w:cs="Tahoma"/>
          <w:spacing w:val="-3"/>
          <w:kern w:val="2"/>
        </w:rPr>
        <w:t>La Jueza de conocimiento</w:t>
      </w:r>
      <w:r w:rsidR="0057513B" w:rsidRPr="002E7951">
        <w:rPr>
          <w:rFonts w:ascii="Tahoma" w:hAnsi="Tahoma" w:cs="Tahoma"/>
          <w:spacing w:val="-3"/>
          <w:kern w:val="2"/>
        </w:rPr>
        <w:t xml:space="preserve">, </w:t>
      </w:r>
      <w:r w:rsidR="00996CE2" w:rsidRPr="002E7951">
        <w:rPr>
          <w:rFonts w:ascii="Tahoma" w:hAnsi="Tahoma" w:cs="Tahoma"/>
          <w:spacing w:val="-3"/>
          <w:kern w:val="2"/>
        </w:rPr>
        <w:t xml:space="preserve">una vez cumplido el traslado </w:t>
      </w:r>
      <w:r w:rsidR="00CD026B" w:rsidRPr="002E7951">
        <w:rPr>
          <w:rFonts w:ascii="Tahoma" w:hAnsi="Tahoma" w:cs="Tahoma"/>
          <w:spacing w:val="-3"/>
          <w:kern w:val="2"/>
        </w:rPr>
        <w:t>a las restantes partes de la solicitud</w:t>
      </w:r>
      <w:r w:rsidR="00996CE2" w:rsidRPr="002E7951">
        <w:rPr>
          <w:rFonts w:ascii="Tahoma" w:hAnsi="Tahoma" w:cs="Tahoma"/>
          <w:spacing w:val="-3"/>
          <w:kern w:val="2"/>
        </w:rPr>
        <w:t xml:space="preserve">, </w:t>
      </w:r>
      <w:r w:rsidR="0057513B" w:rsidRPr="002E7951">
        <w:rPr>
          <w:rFonts w:ascii="Tahoma" w:hAnsi="Tahoma" w:cs="Tahoma"/>
          <w:spacing w:val="-3"/>
          <w:kern w:val="2"/>
        </w:rPr>
        <w:t xml:space="preserve">mediante proveído del </w:t>
      </w:r>
      <w:r w:rsidR="00996CE2" w:rsidRPr="002E7951">
        <w:rPr>
          <w:rFonts w:ascii="Tahoma" w:hAnsi="Tahoma" w:cs="Tahoma"/>
          <w:spacing w:val="-3"/>
          <w:kern w:val="2"/>
        </w:rPr>
        <w:t>22 de febrero</w:t>
      </w:r>
      <w:r w:rsidR="0057513B" w:rsidRPr="002E7951">
        <w:rPr>
          <w:rFonts w:ascii="Tahoma" w:hAnsi="Tahoma" w:cs="Tahoma"/>
          <w:spacing w:val="-3"/>
          <w:kern w:val="2"/>
        </w:rPr>
        <w:t xml:space="preserve"> de 2023,</w:t>
      </w:r>
      <w:r w:rsidR="00CD026B" w:rsidRPr="002E7951">
        <w:rPr>
          <w:rFonts w:ascii="Tahoma" w:hAnsi="Tahoma" w:cs="Tahoma"/>
          <w:spacing w:val="-3"/>
          <w:kern w:val="2"/>
        </w:rPr>
        <w:t xml:space="preserve"> negó la nulidad por indebida notificación elevada por el señor Fabio Gómez Ochoa.</w:t>
      </w:r>
    </w:p>
    <w:p w14:paraId="708D86F8" w14:textId="007FC5A5" w:rsidR="00904472" w:rsidRPr="002E7951" w:rsidRDefault="00904472" w:rsidP="002E7951">
      <w:pPr>
        <w:pStyle w:val="Sinespaciado"/>
        <w:spacing w:line="276" w:lineRule="auto"/>
        <w:rPr>
          <w:rFonts w:ascii="Tahoma" w:hAnsi="Tahoma" w:cs="Tahoma"/>
          <w:lang w:val="es-ES"/>
        </w:rPr>
      </w:pPr>
    </w:p>
    <w:p w14:paraId="44BEEDA3" w14:textId="274E4D05" w:rsidR="00614887" w:rsidRPr="002E7951" w:rsidRDefault="00904472" w:rsidP="002E7951">
      <w:pPr>
        <w:spacing w:line="276" w:lineRule="auto"/>
        <w:ind w:firstLine="708"/>
        <w:rPr>
          <w:rFonts w:ascii="Tahoma" w:hAnsi="Tahoma" w:cs="Tahoma"/>
          <w:lang w:val="es-ES"/>
        </w:rPr>
      </w:pPr>
      <w:r w:rsidRPr="002E7951">
        <w:rPr>
          <w:rFonts w:ascii="Tahoma" w:hAnsi="Tahoma" w:cs="Tahoma"/>
          <w:lang w:val="es-ES"/>
        </w:rPr>
        <w:t xml:space="preserve">Para llegar a tal determinación, la a-quo, una vez realizado un recuento de las actuaciones surtidas en el proceso desde el </w:t>
      </w:r>
      <w:r w:rsidR="00CD026B" w:rsidRPr="002E7951">
        <w:rPr>
          <w:rFonts w:ascii="Tahoma" w:hAnsi="Tahoma" w:cs="Tahoma"/>
          <w:lang w:val="es-ES"/>
        </w:rPr>
        <w:t>04 de noviembre de 2021</w:t>
      </w:r>
      <w:r w:rsidRPr="002E7951">
        <w:rPr>
          <w:rFonts w:ascii="Tahoma" w:hAnsi="Tahoma" w:cs="Tahoma"/>
          <w:lang w:val="es-ES"/>
        </w:rPr>
        <w:t xml:space="preserve">, cuando </w:t>
      </w:r>
      <w:r w:rsidR="00CD026B" w:rsidRPr="002E7951">
        <w:rPr>
          <w:rFonts w:ascii="Tahoma" w:hAnsi="Tahoma" w:cs="Tahoma"/>
          <w:lang w:val="es-ES"/>
        </w:rPr>
        <w:t>admitió</w:t>
      </w:r>
      <w:r w:rsidRPr="002E7951">
        <w:rPr>
          <w:rFonts w:ascii="Tahoma" w:hAnsi="Tahoma" w:cs="Tahoma"/>
          <w:lang w:val="es-ES"/>
        </w:rPr>
        <w:t xml:space="preserve"> la demanda, consideró, </w:t>
      </w:r>
      <w:r w:rsidR="0057513B" w:rsidRPr="002E7951">
        <w:rPr>
          <w:rFonts w:ascii="Tahoma" w:hAnsi="Tahoma" w:cs="Tahoma"/>
          <w:lang w:val="es-ES"/>
        </w:rPr>
        <w:t xml:space="preserve">que, aunque </w:t>
      </w:r>
      <w:r w:rsidR="00CD026B" w:rsidRPr="002E7951">
        <w:rPr>
          <w:rFonts w:ascii="Tahoma" w:hAnsi="Tahoma" w:cs="Tahoma"/>
          <w:lang w:val="es-ES"/>
        </w:rPr>
        <w:t xml:space="preserve">en el auto admisorio de la demanda se omitió incluir como demandado al señor Fabio Hernán Gómez Ochoa, como persona natural, dicha irregularidad se saneó con la providencia del 02 de agosto de 2022, cuando se vinculó al mismo </w:t>
      </w:r>
      <w:r w:rsidR="00C35E71" w:rsidRPr="002E7951">
        <w:rPr>
          <w:rFonts w:ascii="Tahoma" w:hAnsi="Tahoma" w:cs="Tahoma"/>
          <w:lang w:val="es-ES"/>
        </w:rPr>
        <w:t>al</w:t>
      </w:r>
      <w:r w:rsidR="00CD026B" w:rsidRPr="002E7951">
        <w:rPr>
          <w:rFonts w:ascii="Tahoma" w:hAnsi="Tahoma" w:cs="Tahoma"/>
          <w:lang w:val="es-ES"/>
        </w:rPr>
        <w:t xml:space="preserve"> proceso y se ordenó su notificación, trabándose en debida forma la litis</w:t>
      </w:r>
      <w:r w:rsidR="00C35E71" w:rsidRPr="002E7951">
        <w:rPr>
          <w:rFonts w:ascii="Tahoma" w:hAnsi="Tahoma" w:cs="Tahoma"/>
          <w:lang w:val="es-ES"/>
        </w:rPr>
        <w:t xml:space="preserve"> y, que,</w:t>
      </w:r>
      <w:r w:rsidR="00CD026B" w:rsidRPr="002E7951">
        <w:rPr>
          <w:rFonts w:ascii="Tahoma" w:hAnsi="Tahoma" w:cs="Tahoma"/>
          <w:lang w:val="es-ES"/>
        </w:rPr>
        <w:t xml:space="preserve"> como quiera que los demás demandados fueron debidamente notificados del auto admisorio, </w:t>
      </w:r>
      <w:r w:rsidR="00C35E71" w:rsidRPr="002E7951">
        <w:rPr>
          <w:rFonts w:ascii="Tahoma" w:hAnsi="Tahoma" w:cs="Tahoma"/>
          <w:lang w:val="es-ES"/>
        </w:rPr>
        <w:t xml:space="preserve">tanto que </w:t>
      </w:r>
      <w:r w:rsidR="00CD026B" w:rsidRPr="002E7951">
        <w:rPr>
          <w:rFonts w:ascii="Tahoma" w:hAnsi="Tahoma" w:cs="Tahoma"/>
          <w:lang w:val="es-ES"/>
        </w:rPr>
        <w:t>en tiempo oportuno dieron respuesta a la demanda y ejercieron el derecho de defensa</w:t>
      </w:r>
      <w:r w:rsidR="00C35E71" w:rsidRPr="002E7951">
        <w:rPr>
          <w:rFonts w:ascii="Tahoma" w:hAnsi="Tahoma" w:cs="Tahoma"/>
          <w:lang w:val="es-ES"/>
        </w:rPr>
        <w:t>;</w:t>
      </w:r>
      <w:r w:rsidR="00CD026B" w:rsidRPr="002E7951">
        <w:rPr>
          <w:rFonts w:ascii="Tahoma" w:hAnsi="Tahoma" w:cs="Tahoma"/>
          <w:lang w:val="es-ES"/>
        </w:rPr>
        <w:t xml:space="preserve"> en virtud de los principios de celeridad y economía procesal que rigen las actuaciones judiciales, se debe impartir validez a la</w:t>
      </w:r>
      <w:r w:rsidR="00C35E71" w:rsidRPr="002E7951">
        <w:rPr>
          <w:rFonts w:ascii="Tahoma" w:hAnsi="Tahoma" w:cs="Tahoma"/>
          <w:lang w:val="es-ES"/>
        </w:rPr>
        <w:t xml:space="preserve">s actuaciones que no presentaron irregularidad alguna, como lo son las notificaciones de los codemandados, sus contestaciones y la </w:t>
      </w:r>
      <w:r w:rsidR="00CD026B" w:rsidRPr="002E7951">
        <w:rPr>
          <w:rFonts w:ascii="Tahoma" w:hAnsi="Tahoma" w:cs="Tahoma"/>
          <w:lang w:val="es-ES"/>
        </w:rPr>
        <w:t xml:space="preserve">notificación efectuada al señor Gómez Ochoa, </w:t>
      </w:r>
      <w:r w:rsidR="00C35E71" w:rsidRPr="002E7951">
        <w:rPr>
          <w:rFonts w:ascii="Tahoma" w:hAnsi="Tahoma" w:cs="Tahoma"/>
          <w:lang w:val="es-ES"/>
        </w:rPr>
        <w:t xml:space="preserve">siendo del caso continuar con las restantes etapas del proceso </w:t>
      </w:r>
      <w:r w:rsidR="00CD026B" w:rsidRPr="002E7951">
        <w:rPr>
          <w:rFonts w:ascii="Tahoma" w:hAnsi="Tahoma" w:cs="Tahoma"/>
          <w:lang w:val="es-ES"/>
        </w:rPr>
        <w:t>luego de que se analice la contestación de la demanda presentada por el señor Gómez Ochoa como persona natural</w:t>
      </w:r>
      <w:r w:rsidR="00C35E71" w:rsidRPr="002E7951">
        <w:rPr>
          <w:rFonts w:ascii="Tahoma" w:hAnsi="Tahoma" w:cs="Tahoma"/>
          <w:lang w:val="es-ES"/>
        </w:rPr>
        <w:t>.</w:t>
      </w:r>
    </w:p>
    <w:p w14:paraId="6A32C85A" w14:textId="1B37A51A" w:rsidR="0D699F5C" w:rsidRPr="002E7951" w:rsidRDefault="0D699F5C" w:rsidP="002E7951">
      <w:pPr>
        <w:spacing w:line="276" w:lineRule="auto"/>
        <w:rPr>
          <w:rFonts w:ascii="Tahoma" w:hAnsi="Tahoma" w:cs="Tahoma"/>
          <w:lang w:val="es-ES"/>
        </w:rPr>
      </w:pPr>
    </w:p>
    <w:p w14:paraId="1F3B1589" w14:textId="2F5674A7" w:rsidR="003928D1" w:rsidRPr="002E7951" w:rsidRDefault="003928D1" w:rsidP="002E7951">
      <w:pPr>
        <w:pStyle w:val="Prrafodelista"/>
        <w:numPr>
          <w:ilvl w:val="0"/>
          <w:numId w:val="1"/>
        </w:numPr>
        <w:tabs>
          <w:tab w:val="left" w:pos="284"/>
        </w:tabs>
        <w:spacing w:line="276" w:lineRule="auto"/>
        <w:ind w:left="0" w:firstLine="0"/>
        <w:jc w:val="center"/>
        <w:rPr>
          <w:rFonts w:ascii="Tahoma" w:hAnsi="Tahoma" w:cs="Tahoma"/>
          <w:b/>
          <w:bCs/>
        </w:rPr>
      </w:pPr>
      <w:r w:rsidRPr="002E7951">
        <w:rPr>
          <w:rFonts w:ascii="Tahoma" w:hAnsi="Tahoma" w:cs="Tahoma"/>
          <w:b/>
          <w:bCs/>
        </w:rPr>
        <w:t>Recurso de Apelación</w:t>
      </w:r>
    </w:p>
    <w:p w14:paraId="22C5F274" w14:textId="77777777" w:rsidR="003928D1" w:rsidRPr="002E7951" w:rsidRDefault="003928D1" w:rsidP="002E7951">
      <w:pPr>
        <w:pStyle w:val="Textoindependiente"/>
        <w:spacing w:line="276" w:lineRule="auto"/>
        <w:rPr>
          <w:rFonts w:ascii="Tahoma" w:hAnsi="Tahoma" w:cs="Tahoma"/>
          <w:lang w:val="es-ES_tradnl"/>
        </w:rPr>
      </w:pPr>
    </w:p>
    <w:p w14:paraId="6278026B" w14:textId="278DB765" w:rsidR="00CF5C31" w:rsidRPr="002E7951" w:rsidRDefault="0002260E" w:rsidP="002E7951">
      <w:pPr>
        <w:spacing w:line="276" w:lineRule="auto"/>
        <w:ind w:firstLine="709"/>
        <w:rPr>
          <w:rFonts w:ascii="Tahoma" w:hAnsi="Tahoma" w:cs="Tahoma"/>
          <w:spacing w:val="-3"/>
          <w:kern w:val="2"/>
        </w:rPr>
      </w:pPr>
      <w:r w:rsidRPr="002E7951">
        <w:rPr>
          <w:rFonts w:ascii="Tahoma" w:hAnsi="Tahoma" w:cs="Tahoma"/>
          <w:spacing w:val="-3"/>
          <w:kern w:val="2"/>
          <w:lang w:val="es-ES"/>
        </w:rPr>
        <w:t>La apoderada</w:t>
      </w:r>
      <w:r w:rsidR="006650FA" w:rsidRPr="002E7951">
        <w:rPr>
          <w:rFonts w:ascii="Tahoma" w:hAnsi="Tahoma" w:cs="Tahoma"/>
          <w:spacing w:val="-3"/>
          <w:kern w:val="2"/>
          <w:lang w:val="es-ES"/>
        </w:rPr>
        <w:t xml:space="preserve"> judicial</w:t>
      </w:r>
      <w:r w:rsidR="006A29C8" w:rsidRPr="002E7951">
        <w:rPr>
          <w:rFonts w:ascii="Tahoma" w:hAnsi="Tahoma" w:cs="Tahoma"/>
          <w:spacing w:val="-3"/>
          <w:kern w:val="2"/>
          <w:lang w:val="es-ES"/>
        </w:rPr>
        <w:t xml:space="preserve"> de</w:t>
      </w:r>
      <w:r w:rsidRPr="002E7951">
        <w:rPr>
          <w:rFonts w:ascii="Tahoma" w:hAnsi="Tahoma" w:cs="Tahoma"/>
          <w:spacing w:val="-3"/>
          <w:kern w:val="2"/>
          <w:lang w:val="es-ES"/>
        </w:rPr>
        <w:t>l señor</w:t>
      </w:r>
      <w:r w:rsidR="006A29C8" w:rsidRPr="002E7951">
        <w:rPr>
          <w:rFonts w:ascii="Tahoma" w:hAnsi="Tahoma" w:cs="Tahoma"/>
          <w:spacing w:val="-3"/>
          <w:kern w:val="2"/>
          <w:lang w:val="es-ES"/>
        </w:rPr>
        <w:t xml:space="preserve"> </w:t>
      </w:r>
      <w:r w:rsidRPr="002E7951">
        <w:rPr>
          <w:rFonts w:ascii="Tahoma" w:hAnsi="Tahoma" w:cs="Tahoma"/>
          <w:spacing w:val="-3"/>
          <w:kern w:val="2"/>
          <w:lang w:val="es-ES"/>
        </w:rPr>
        <w:t xml:space="preserve">Fabio Gómez Ochoa </w:t>
      </w:r>
      <w:r w:rsidR="006A29C8" w:rsidRPr="002E7951">
        <w:rPr>
          <w:rFonts w:ascii="Tahoma" w:hAnsi="Tahoma" w:cs="Tahoma"/>
          <w:spacing w:val="-3"/>
          <w:kern w:val="2"/>
          <w:lang w:val="es-ES"/>
        </w:rPr>
        <w:t xml:space="preserve">atacó la decisión arguyendo que </w:t>
      </w:r>
      <w:r w:rsidRPr="002E7951">
        <w:rPr>
          <w:rFonts w:ascii="Tahoma" w:hAnsi="Tahoma" w:cs="Tahoma"/>
          <w:spacing w:val="-3"/>
          <w:kern w:val="2"/>
          <w:lang w:val="es-ES"/>
        </w:rPr>
        <w:t xml:space="preserve">cuando se declara la nulidad de la notificación del auto admisorio de la demanda, debe entenderse que toda actuación realizada con posterioridad a este acto procesal resulta viciada de nulidad y por este motivo pierde su validez jurídica, </w:t>
      </w:r>
      <w:r w:rsidR="00CF5C31" w:rsidRPr="002E7951">
        <w:rPr>
          <w:rFonts w:ascii="Tahoma" w:hAnsi="Tahoma" w:cs="Tahoma"/>
          <w:spacing w:val="-3"/>
          <w:kern w:val="2"/>
          <w:lang w:val="es-ES"/>
        </w:rPr>
        <w:t xml:space="preserve">por lo que el control de legalidad efectuado por la a-quo el 02 de agosto de 2022, </w:t>
      </w:r>
      <w:r w:rsidR="00CF5C31" w:rsidRPr="002E7951">
        <w:rPr>
          <w:rFonts w:ascii="Tahoma" w:hAnsi="Tahoma" w:cs="Tahoma"/>
          <w:spacing w:val="-3"/>
          <w:kern w:val="2"/>
        </w:rPr>
        <w:t xml:space="preserve">debía tener como efectos el reinició del proceso desde el auto admisorio de la demanda, lo que implicaba notificar esa pieza procesal a todos los demandados nuevamente y correrles traslado para contestar la demanda de manera conjunta, en el entendido </w:t>
      </w:r>
      <w:r w:rsidR="4685239E" w:rsidRPr="002E7951">
        <w:rPr>
          <w:rFonts w:ascii="Tahoma" w:hAnsi="Tahoma" w:cs="Tahoma"/>
          <w:spacing w:val="-3"/>
          <w:kern w:val="2"/>
        </w:rPr>
        <w:t xml:space="preserve">de </w:t>
      </w:r>
      <w:r w:rsidR="00CF5C31" w:rsidRPr="002E7951">
        <w:rPr>
          <w:rFonts w:ascii="Tahoma" w:hAnsi="Tahoma" w:cs="Tahoma"/>
          <w:spacing w:val="-3"/>
          <w:kern w:val="2"/>
        </w:rPr>
        <w:t xml:space="preserve">que el legislador le otorgó a los convocados a esta clase de procesos la oportunidad de contestar la demanda en el </w:t>
      </w:r>
      <w:r w:rsidR="00CF5C31" w:rsidRPr="002E7951">
        <w:rPr>
          <w:rFonts w:ascii="Tahoma" w:hAnsi="Tahoma" w:cs="Tahoma"/>
          <w:spacing w:val="-3"/>
          <w:kern w:val="2"/>
        </w:rPr>
        <w:lastRenderedPageBreak/>
        <w:t>mismo tiempo, para que pudieran ponerse de acuerdo en los puntos de su defensa, viéndose privados en este caso de la oportunidad de formular una defensa conjunta.</w:t>
      </w:r>
    </w:p>
    <w:p w14:paraId="0B89AA31" w14:textId="77777777" w:rsidR="00CF5C31" w:rsidRPr="002E7951" w:rsidRDefault="00CF5C31" w:rsidP="002E7951">
      <w:pPr>
        <w:spacing w:line="276" w:lineRule="auto"/>
        <w:ind w:firstLine="709"/>
        <w:rPr>
          <w:rFonts w:ascii="Tahoma" w:hAnsi="Tahoma" w:cs="Tahoma"/>
          <w:spacing w:val="-3"/>
          <w:kern w:val="2"/>
        </w:rPr>
      </w:pPr>
    </w:p>
    <w:p w14:paraId="3ACF7FD0" w14:textId="51C81223" w:rsidR="00CF5C31" w:rsidRPr="002E7951" w:rsidRDefault="00ED79A4" w:rsidP="002E7951">
      <w:pPr>
        <w:spacing w:line="276" w:lineRule="auto"/>
        <w:ind w:firstLine="709"/>
        <w:rPr>
          <w:rFonts w:ascii="Tahoma" w:hAnsi="Tahoma" w:cs="Tahoma"/>
          <w:spacing w:val="-3"/>
          <w:kern w:val="2"/>
        </w:rPr>
      </w:pPr>
      <w:r w:rsidRPr="002E7951">
        <w:rPr>
          <w:rFonts w:ascii="Tahoma" w:hAnsi="Tahoma" w:cs="Tahoma"/>
          <w:spacing w:val="-3"/>
          <w:kern w:val="2"/>
        </w:rPr>
        <w:t>Reiteró que</w:t>
      </w:r>
      <w:r w:rsidR="00CF5C31" w:rsidRPr="002E7951">
        <w:rPr>
          <w:rFonts w:ascii="Tahoma" w:hAnsi="Tahoma" w:cs="Tahoma"/>
          <w:spacing w:val="-3"/>
          <w:kern w:val="2"/>
        </w:rPr>
        <w:t xml:space="preserve"> el auto de vinculación del demandado que se expidió carece de fundamento jurídico, pues </w:t>
      </w:r>
      <w:r w:rsidRPr="002E7951">
        <w:rPr>
          <w:rFonts w:ascii="Tahoma" w:hAnsi="Tahoma" w:cs="Tahoma"/>
          <w:spacing w:val="-3"/>
          <w:kern w:val="2"/>
        </w:rPr>
        <w:t xml:space="preserve">la adición de las providencias únicamente </w:t>
      </w:r>
      <w:r w:rsidR="00CF5C31" w:rsidRPr="002E7951">
        <w:rPr>
          <w:rFonts w:ascii="Tahoma" w:hAnsi="Tahoma" w:cs="Tahoma"/>
          <w:spacing w:val="-3"/>
          <w:kern w:val="2"/>
        </w:rPr>
        <w:t>puede realizarse en el término de ejecutoria</w:t>
      </w:r>
      <w:r w:rsidRPr="002E7951">
        <w:rPr>
          <w:rFonts w:ascii="Tahoma" w:hAnsi="Tahoma" w:cs="Tahoma"/>
          <w:spacing w:val="-3"/>
          <w:kern w:val="2"/>
        </w:rPr>
        <w:t xml:space="preserve"> y </w:t>
      </w:r>
      <w:r w:rsidR="00CF5C31" w:rsidRPr="002E7951">
        <w:rPr>
          <w:rFonts w:ascii="Tahoma" w:hAnsi="Tahoma" w:cs="Tahoma"/>
          <w:spacing w:val="-3"/>
          <w:kern w:val="2"/>
        </w:rPr>
        <w:t>los efectos de la nulidad de la notificación del auto admisorio de la demanda en ningún momento comprenden la vinculación del demandado, sino el reinicio del proceso hasta el momento de la actuación viciada</w:t>
      </w:r>
      <w:r w:rsidRPr="002E7951">
        <w:rPr>
          <w:rFonts w:ascii="Tahoma" w:hAnsi="Tahoma" w:cs="Tahoma"/>
          <w:spacing w:val="-3"/>
          <w:kern w:val="2"/>
        </w:rPr>
        <w:t xml:space="preserve">, considerándose además que </w:t>
      </w:r>
      <w:r w:rsidR="00CF5C31" w:rsidRPr="002E7951">
        <w:rPr>
          <w:rFonts w:ascii="Tahoma" w:hAnsi="Tahoma" w:cs="Tahoma"/>
          <w:spacing w:val="-3"/>
          <w:kern w:val="2"/>
        </w:rPr>
        <w:t xml:space="preserve"> el auto admisorio de la demanda es el contenedor de la causal de nulidad, pues independientemente de que este se notifique al señor Gómez Ochoa, en ningún momento constituirá una providencia vinculante para él, toda vez que en el mismo nunca se resolvió admitir la demanda en su contra ni correrle traslado para replicarla.  </w:t>
      </w:r>
    </w:p>
    <w:p w14:paraId="59F67624" w14:textId="5F1F3A10" w:rsidR="0002260E" w:rsidRPr="002E7951" w:rsidRDefault="0002260E" w:rsidP="002E7951">
      <w:pPr>
        <w:spacing w:line="276" w:lineRule="auto"/>
        <w:ind w:firstLine="709"/>
        <w:rPr>
          <w:rFonts w:ascii="Tahoma" w:hAnsi="Tahoma" w:cs="Tahoma"/>
          <w:spacing w:val="-3"/>
          <w:kern w:val="2"/>
        </w:rPr>
      </w:pPr>
    </w:p>
    <w:p w14:paraId="4C0362BC" w14:textId="6B13C2C7" w:rsidR="00CF5C31" w:rsidRPr="002E7951" w:rsidRDefault="0002260E" w:rsidP="002E7951">
      <w:pPr>
        <w:spacing w:line="276" w:lineRule="auto"/>
        <w:ind w:firstLine="709"/>
        <w:rPr>
          <w:rFonts w:ascii="Tahoma" w:hAnsi="Tahoma" w:cs="Tahoma"/>
          <w:spacing w:val="-3"/>
          <w:kern w:val="2"/>
        </w:rPr>
      </w:pPr>
      <w:r w:rsidRPr="002E7951">
        <w:rPr>
          <w:rFonts w:ascii="Tahoma" w:hAnsi="Tahoma" w:cs="Tahoma"/>
          <w:spacing w:val="-3"/>
          <w:kern w:val="2"/>
        </w:rPr>
        <w:t>Conforme a lo anterior,</w:t>
      </w:r>
      <w:r w:rsidR="00CF5C31" w:rsidRPr="002E7951">
        <w:rPr>
          <w:rFonts w:ascii="Tahoma" w:hAnsi="Tahoma" w:cs="Tahoma"/>
          <w:spacing w:val="-3"/>
          <w:kern w:val="2"/>
        </w:rPr>
        <w:t xml:space="preserve"> solicitó </w:t>
      </w:r>
      <w:r w:rsidRPr="002E7951">
        <w:rPr>
          <w:rFonts w:ascii="Tahoma" w:hAnsi="Tahoma" w:cs="Tahoma"/>
          <w:spacing w:val="-3"/>
          <w:kern w:val="2"/>
        </w:rPr>
        <w:t xml:space="preserve">la declaratoria de nulidad </w:t>
      </w:r>
      <w:r w:rsidR="00CF5C31" w:rsidRPr="002E7951">
        <w:rPr>
          <w:rFonts w:ascii="Tahoma" w:hAnsi="Tahoma" w:cs="Tahoma"/>
          <w:spacing w:val="-3"/>
          <w:kern w:val="2"/>
        </w:rPr>
        <w:t>desde la expedición del auto admisorio de la demanda</w:t>
      </w:r>
      <w:r w:rsidR="000F1946" w:rsidRPr="002E7951">
        <w:rPr>
          <w:rFonts w:ascii="Tahoma" w:hAnsi="Tahoma" w:cs="Tahoma"/>
          <w:spacing w:val="-3"/>
          <w:kern w:val="2"/>
        </w:rPr>
        <w:t xml:space="preserve"> y </w:t>
      </w:r>
      <w:r w:rsidR="00CF5C31" w:rsidRPr="002E7951">
        <w:rPr>
          <w:rFonts w:ascii="Tahoma" w:hAnsi="Tahoma" w:cs="Tahoma"/>
          <w:spacing w:val="-3"/>
          <w:kern w:val="2"/>
        </w:rPr>
        <w:t>realizar nuevamente esta providencia incluyendo al señor Fabio Gómez Ocho.</w:t>
      </w:r>
      <w:r w:rsidRPr="002E7951">
        <w:rPr>
          <w:rFonts w:ascii="Tahoma" w:hAnsi="Tahoma" w:cs="Tahoma"/>
          <w:spacing w:val="-3"/>
          <w:kern w:val="2"/>
        </w:rPr>
        <w:t xml:space="preserve"> </w:t>
      </w:r>
    </w:p>
    <w:p w14:paraId="2A98B71D" w14:textId="40C5A56C" w:rsidR="0D699F5C" w:rsidRPr="002E7951" w:rsidRDefault="0D699F5C" w:rsidP="002E7951">
      <w:pPr>
        <w:pStyle w:val="Sinespaciado"/>
        <w:spacing w:line="276" w:lineRule="auto"/>
        <w:rPr>
          <w:rFonts w:ascii="Tahoma" w:hAnsi="Tahoma" w:cs="Tahoma"/>
        </w:rPr>
      </w:pPr>
    </w:p>
    <w:p w14:paraId="52CE57D8" w14:textId="4936796A" w:rsidR="00FB2EA7" w:rsidRPr="002E7951" w:rsidRDefault="00FB2EA7" w:rsidP="002E7951">
      <w:pPr>
        <w:pStyle w:val="Prrafodelista"/>
        <w:numPr>
          <w:ilvl w:val="0"/>
          <w:numId w:val="1"/>
        </w:numPr>
        <w:tabs>
          <w:tab w:val="left" w:pos="284"/>
        </w:tabs>
        <w:spacing w:line="276" w:lineRule="auto"/>
        <w:jc w:val="center"/>
        <w:rPr>
          <w:rFonts w:ascii="Tahoma" w:hAnsi="Tahoma" w:cs="Tahoma"/>
          <w:b/>
          <w:bCs/>
        </w:rPr>
      </w:pPr>
      <w:r w:rsidRPr="002E7951">
        <w:rPr>
          <w:rFonts w:ascii="Tahoma" w:hAnsi="Tahoma" w:cs="Tahoma"/>
          <w:b/>
          <w:bCs/>
        </w:rPr>
        <w:t>Alegatos</w:t>
      </w:r>
      <w:r w:rsidR="003001D0" w:rsidRPr="002E7951">
        <w:rPr>
          <w:rFonts w:ascii="Tahoma" w:hAnsi="Tahoma" w:cs="Tahoma"/>
          <w:b/>
          <w:bCs/>
        </w:rPr>
        <w:t xml:space="preserve"> de conclusión</w:t>
      </w:r>
    </w:p>
    <w:p w14:paraId="01D9862E" w14:textId="77777777" w:rsidR="00FB2EA7" w:rsidRPr="002E7951" w:rsidRDefault="00FB2EA7" w:rsidP="002E7951">
      <w:pPr>
        <w:pStyle w:val="Sinespaciado"/>
        <w:spacing w:line="276" w:lineRule="auto"/>
        <w:rPr>
          <w:rFonts w:ascii="Tahoma" w:hAnsi="Tahoma" w:cs="Tahoma"/>
        </w:rPr>
      </w:pPr>
    </w:p>
    <w:p w14:paraId="751A87E3" w14:textId="77777777" w:rsidR="00B652EB" w:rsidRPr="002E7951" w:rsidRDefault="00B652EB" w:rsidP="002E7951">
      <w:pPr>
        <w:spacing w:line="276" w:lineRule="auto"/>
        <w:ind w:firstLine="708"/>
        <w:rPr>
          <w:rFonts w:ascii="Tahoma" w:eastAsia="Tahoma" w:hAnsi="Tahoma" w:cs="Tahoma"/>
        </w:rPr>
      </w:pPr>
      <w:r w:rsidRPr="002E7951">
        <w:rPr>
          <w:rFonts w:ascii="Tahoma" w:eastAsia="Tahoma" w:hAnsi="Tahoma" w:cs="Tahoma"/>
        </w:rPr>
        <w:t xml:space="preserve">Como quedó sentado en la constancia secretarial que antecede, las partes guardaron silencio durante el término dispuesto para presentar alegatos de conclusión. </w:t>
      </w:r>
    </w:p>
    <w:p w14:paraId="657613F1" w14:textId="7967E4F1" w:rsidR="0D699F5C" w:rsidRPr="002E7951" w:rsidRDefault="0D699F5C" w:rsidP="002E7951">
      <w:pPr>
        <w:pStyle w:val="Sinespaciado"/>
        <w:spacing w:line="276" w:lineRule="auto"/>
        <w:rPr>
          <w:rFonts w:ascii="Tahoma" w:hAnsi="Tahoma" w:cs="Tahoma"/>
        </w:rPr>
      </w:pPr>
    </w:p>
    <w:p w14:paraId="019F1E92" w14:textId="77777777" w:rsidR="00B20045" w:rsidRPr="002E7951" w:rsidRDefault="00B20045" w:rsidP="002E7951">
      <w:pPr>
        <w:pStyle w:val="Prrafodelista"/>
        <w:numPr>
          <w:ilvl w:val="0"/>
          <w:numId w:val="1"/>
        </w:numPr>
        <w:tabs>
          <w:tab w:val="left" w:pos="284"/>
        </w:tabs>
        <w:spacing w:line="276" w:lineRule="auto"/>
        <w:jc w:val="center"/>
        <w:rPr>
          <w:rFonts w:ascii="Tahoma" w:hAnsi="Tahoma" w:cs="Tahoma"/>
          <w:b/>
          <w:bCs/>
        </w:rPr>
      </w:pPr>
      <w:r w:rsidRPr="002E7951">
        <w:rPr>
          <w:rFonts w:ascii="Tahoma" w:hAnsi="Tahoma" w:cs="Tahoma"/>
          <w:b/>
          <w:bCs/>
        </w:rPr>
        <w:t>Problema jurídico por resolver</w:t>
      </w:r>
    </w:p>
    <w:p w14:paraId="50646E74" w14:textId="77777777" w:rsidR="00B20045" w:rsidRPr="002E7951" w:rsidRDefault="00B20045" w:rsidP="002E7951">
      <w:pPr>
        <w:pStyle w:val="Sinespaciado"/>
        <w:spacing w:line="276" w:lineRule="auto"/>
        <w:rPr>
          <w:rFonts w:ascii="Tahoma" w:hAnsi="Tahoma" w:cs="Tahoma"/>
          <w:lang w:val="es-419"/>
        </w:rPr>
      </w:pPr>
    </w:p>
    <w:p w14:paraId="51624FC2" w14:textId="0CF9DADB" w:rsidR="00610BD0" w:rsidRPr="002E7951" w:rsidRDefault="00B20045" w:rsidP="002E7951">
      <w:pPr>
        <w:spacing w:line="276" w:lineRule="auto"/>
        <w:ind w:firstLine="360"/>
        <w:rPr>
          <w:rFonts w:ascii="Tahoma" w:hAnsi="Tahoma" w:cs="Tahoma"/>
          <w:lang w:val="es-419"/>
        </w:rPr>
      </w:pPr>
      <w:r w:rsidRPr="002E7951">
        <w:rPr>
          <w:rFonts w:ascii="Tahoma" w:hAnsi="Tahoma" w:cs="Tahoma"/>
          <w:lang w:val="es-419"/>
        </w:rPr>
        <w:t xml:space="preserve">De acuerdo con los argumentos expuestos en la decisión de primera instancia y los fundamentos de la apelación, le corresponde a la Sala </w:t>
      </w:r>
      <w:r w:rsidR="00EB6FCE" w:rsidRPr="002E7951">
        <w:rPr>
          <w:rFonts w:ascii="Tahoma" w:hAnsi="Tahoma" w:cs="Tahoma"/>
          <w:lang w:val="es-419"/>
        </w:rPr>
        <w:t>determinar si</w:t>
      </w:r>
      <w:r w:rsidR="00ED79A4" w:rsidRPr="002E7951">
        <w:rPr>
          <w:rFonts w:ascii="Tahoma" w:hAnsi="Tahoma" w:cs="Tahoma"/>
          <w:lang w:val="es-419"/>
        </w:rPr>
        <w:t xml:space="preserve"> al dejarse de admitir la demanda en contra de un demandado y vincularse a este con posterioridad, corriéndosele traslado de la demanda</w:t>
      </w:r>
      <w:r w:rsidR="00610BD0" w:rsidRPr="002E7951">
        <w:rPr>
          <w:rFonts w:ascii="Tahoma" w:hAnsi="Tahoma" w:cs="Tahoma"/>
          <w:lang w:val="es-419"/>
        </w:rPr>
        <w:t xml:space="preserve">, </w:t>
      </w:r>
      <w:r w:rsidR="7B9743C6" w:rsidRPr="002E7951">
        <w:rPr>
          <w:rFonts w:ascii="Tahoma" w:hAnsi="Tahoma" w:cs="Tahoma"/>
          <w:lang w:val="es-419"/>
        </w:rPr>
        <w:t xml:space="preserve">debe quedar nulo todo lo actuado respecto de los otros codemandados, lo que implica volver a notificar a todos los sujetos pasivos, so </w:t>
      </w:r>
      <w:r w:rsidR="3CF25E95" w:rsidRPr="002E7951">
        <w:rPr>
          <w:rFonts w:ascii="Tahoma" w:hAnsi="Tahoma" w:cs="Tahoma"/>
          <w:lang w:val="es-419"/>
        </w:rPr>
        <w:t>pena</w:t>
      </w:r>
      <w:r w:rsidR="7B9743C6" w:rsidRPr="002E7951">
        <w:rPr>
          <w:rFonts w:ascii="Tahoma" w:hAnsi="Tahoma" w:cs="Tahoma"/>
          <w:lang w:val="es-419"/>
        </w:rPr>
        <w:t xml:space="preserve"> de incurrir e</w:t>
      </w:r>
      <w:r w:rsidR="40F3C91F" w:rsidRPr="002E7951">
        <w:rPr>
          <w:rFonts w:ascii="Tahoma" w:hAnsi="Tahoma" w:cs="Tahoma"/>
          <w:lang w:val="es-419"/>
        </w:rPr>
        <w:t xml:space="preserve">n </w:t>
      </w:r>
      <w:r w:rsidR="00610BD0" w:rsidRPr="002E7951">
        <w:rPr>
          <w:rFonts w:ascii="Tahoma" w:hAnsi="Tahoma" w:cs="Tahoma"/>
          <w:lang w:val="es-419"/>
        </w:rPr>
        <w:t xml:space="preserve">la causal de nulidad establecida en el numeral 8º del art. 133 del </w:t>
      </w:r>
      <w:proofErr w:type="spellStart"/>
      <w:r w:rsidR="00610BD0" w:rsidRPr="002E7951">
        <w:rPr>
          <w:rFonts w:ascii="Tahoma" w:hAnsi="Tahoma" w:cs="Tahoma"/>
          <w:lang w:val="es-419"/>
        </w:rPr>
        <w:t>CGP</w:t>
      </w:r>
      <w:proofErr w:type="spellEnd"/>
      <w:r w:rsidR="00610BD0" w:rsidRPr="002E7951">
        <w:rPr>
          <w:rFonts w:ascii="Tahoma" w:hAnsi="Tahoma" w:cs="Tahoma"/>
          <w:lang w:val="es-419"/>
        </w:rPr>
        <w:t>.</w:t>
      </w:r>
    </w:p>
    <w:p w14:paraId="35E3E17D" w14:textId="21C6E10C" w:rsidR="0D699F5C" w:rsidRPr="002E7951" w:rsidRDefault="0D699F5C" w:rsidP="002E7951">
      <w:pPr>
        <w:pStyle w:val="Sinespaciado"/>
        <w:spacing w:line="276" w:lineRule="auto"/>
        <w:rPr>
          <w:rFonts w:ascii="Tahoma" w:hAnsi="Tahoma" w:cs="Tahoma"/>
        </w:rPr>
      </w:pPr>
    </w:p>
    <w:p w14:paraId="0557C8AC" w14:textId="4C97F6B3" w:rsidR="006E0E08" w:rsidRPr="002E7951" w:rsidRDefault="006E0E08" w:rsidP="002E7951">
      <w:pPr>
        <w:pStyle w:val="Prrafodelista"/>
        <w:numPr>
          <w:ilvl w:val="0"/>
          <w:numId w:val="1"/>
        </w:numPr>
        <w:tabs>
          <w:tab w:val="left" w:pos="284"/>
        </w:tabs>
        <w:spacing w:line="276" w:lineRule="auto"/>
        <w:jc w:val="center"/>
        <w:rPr>
          <w:rFonts w:ascii="Tahoma" w:hAnsi="Tahoma" w:cs="Tahoma"/>
          <w:b/>
          <w:bCs/>
        </w:rPr>
      </w:pPr>
      <w:r w:rsidRPr="002E7951">
        <w:rPr>
          <w:rFonts w:ascii="Tahoma" w:hAnsi="Tahoma" w:cs="Tahoma"/>
          <w:b/>
          <w:bCs/>
        </w:rPr>
        <w:t>Consideraciones</w:t>
      </w:r>
    </w:p>
    <w:p w14:paraId="7CE00EA4" w14:textId="77777777" w:rsidR="005D452B" w:rsidRPr="002E7951" w:rsidRDefault="005D452B" w:rsidP="002E7951">
      <w:pPr>
        <w:pStyle w:val="Sinespaciado"/>
        <w:spacing w:line="276" w:lineRule="auto"/>
        <w:rPr>
          <w:rFonts w:ascii="Tahoma" w:hAnsi="Tahoma" w:cs="Tahoma"/>
        </w:rPr>
      </w:pPr>
    </w:p>
    <w:p w14:paraId="67DE964C" w14:textId="77777777" w:rsidR="00AB3556" w:rsidRPr="002E7951" w:rsidRDefault="00AB3556" w:rsidP="002E7951">
      <w:pPr>
        <w:pStyle w:val="Prrafodelista"/>
        <w:numPr>
          <w:ilvl w:val="1"/>
          <w:numId w:val="1"/>
        </w:numPr>
        <w:spacing w:line="276" w:lineRule="auto"/>
        <w:ind w:left="567" w:firstLine="0"/>
        <w:rPr>
          <w:rFonts w:ascii="Tahoma" w:eastAsia="Tahoma" w:hAnsi="Tahoma" w:cs="Tahoma"/>
          <w:b/>
        </w:rPr>
      </w:pPr>
      <w:r w:rsidRPr="002E7951">
        <w:rPr>
          <w:rFonts w:ascii="Tahoma" w:hAnsi="Tahoma" w:cs="Tahoma"/>
          <w:b/>
          <w:bCs/>
          <w:lang w:eastAsia="es-ES"/>
        </w:rPr>
        <w:t xml:space="preserve">Régimen de las </w:t>
      </w:r>
      <w:r w:rsidRPr="002E7951">
        <w:rPr>
          <w:rFonts w:ascii="Tahoma" w:hAnsi="Tahoma" w:cs="Tahoma"/>
          <w:b/>
          <w:bCs/>
          <w:spacing w:val="-3"/>
          <w:kern w:val="2"/>
          <w:lang w:val="es-419"/>
        </w:rPr>
        <w:t>nulidades</w:t>
      </w:r>
      <w:r w:rsidRPr="002E7951">
        <w:rPr>
          <w:rFonts w:ascii="Tahoma" w:hAnsi="Tahoma" w:cs="Tahoma"/>
          <w:b/>
          <w:bCs/>
          <w:lang w:eastAsia="es-ES"/>
        </w:rPr>
        <w:t xml:space="preserve"> procesales en materia laboral.</w:t>
      </w:r>
    </w:p>
    <w:p w14:paraId="6138CFAD" w14:textId="77777777" w:rsidR="00AB3556" w:rsidRPr="002E7951" w:rsidRDefault="00AB3556" w:rsidP="002E7951">
      <w:pPr>
        <w:pStyle w:val="Sinespaciado"/>
        <w:spacing w:line="276" w:lineRule="auto"/>
        <w:rPr>
          <w:rFonts w:ascii="Tahoma" w:eastAsiaTheme="minorHAnsi" w:hAnsi="Tahoma" w:cs="Tahoma"/>
          <w:lang w:eastAsia="es-ES"/>
        </w:rPr>
      </w:pPr>
    </w:p>
    <w:p w14:paraId="75D44FA5" w14:textId="4F9B7F76" w:rsidR="00AB3556" w:rsidRPr="002E7951" w:rsidRDefault="00AB3556" w:rsidP="002E7951">
      <w:pPr>
        <w:spacing w:line="276" w:lineRule="auto"/>
        <w:ind w:firstLine="709"/>
        <w:rPr>
          <w:rFonts w:ascii="Tahoma" w:hAnsi="Tahoma" w:cs="Tahoma"/>
          <w:lang w:eastAsia="es-ES"/>
        </w:rPr>
      </w:pPr>
      <w:bookmarkStart w:id="3" w:name="_Hlk109108462"/>
      <w:r w:rsidRPr="002E7951">
        <w:rPr>
          <w:rFonts w:ascii="Tahoma" w:hAnsi="Tahoma" w:cs="Tahoma"/>
          <w:lang w:eastAsia="es-ES"/>
        </w:rPr>
        <w:t xml:space="preserve">Es bien sabido que el Código de Procedimiento Laboral y de la Seguridad Social no establece de manera expresa las causales configurativas de nulidad en el trámite de procesos y demandas adelantadas ante la especialidad laboral. Tampoco existe en las leyes adjetivas laborales precepto alguno que regule de manera puntual la oportunidad para proponer nulidades procesales, ni los efectos que su declaratoria tiene sobre los procesos en trámite. </w:t>
      </w:r>
    </w:p>
    <w:p w14:paraId="0E31BA72" w14:textId="77777777" w:rsidR="00614887" w:rsidRPr="002E7951" w:rsidRDefault="00614887" w:rsidP="002E7951">
      <w:pPr>
        <w:spacing w:line="276" w:lineRule="auto"/>
        <w:ind w:firstLine="709"/>
        <w:rPr>
          <w:rFonts w:ascii="Tahoma" w:hAnsi="Tahoma" w:cs="Tahoma"/>
          <w:lang w:eastAsia="es-ES"/>
        </w:rPr>
      </w:pPr>
    </w:p>
    <w:p w14:paraId="4093C25D" w14:textId="029C0440" w:rsidR="00AB3556" w:rsidRPr="002E7951" w:rsidRDefault="00AB3556" w:rsidP="002E7951">
      <w:pPr>
        <w:spacing w:line="276" w:lineRule="auto"/>
        <w:ind w:firstLine="709"/>
        <w:rPr>
          <w:rFonts w:ascii="Tahoma" w:hAnsi="Tahoma" w:cs="Tahoma"/>
          <w:lang w:eastAsia="es-ES"/>
        </w:rPr>
      </w:pPr>
      <w:r w:rsidRPr="002E7951">
        <w:rPr>
          <w:rFonts w:ascii="Tahoma" w:hAnsi="Tahoma" w:cs="Tahoma"/>
          <w:lang w:eastAsia="es-ES"/>
        </w:rPr>
        <w:t xml:space="preserve">No obstante, con la entrada en vigencia de la Ley 1564 de 2012, </w:t>
      </w:r>
      <w:r w:rsidRPr="002E7951">
        <w:rPr>
          <w:rFonts w:ascii="Tahoma" w:hAnsi="Tahoma" w:cs="Tahoma"/>
          <w:i/>
          <w:lang w:eastAsia="es-ES"/>
        </w:rPr>
        <w:t>“</w:t>
      </w:r>
      <w:r w:rsidRPr="00D46659">
        <w:rPr>
          <w:rFonts w:ascii="Tahoma" w:hAnsi="Tahoma" w:cs="Tahoma"/>
          <w:i/>
          <w:sz w:val="22"/>
          <w:lang w:eastAsia="es-ES"/>
        </w:rPr>
        <w:t>por medio de la cual se expide el Código General del Proceso y se dictan otras disposiciones</w:t>
      </w:r>
      <w:r w:rsidRPr="002E7951">
        <w:rPr>
          <w:rFonts w:ascii="Tahoma" w:hAnsi="Tahoma" w:cs="Tahoma"/>
          <w:i/>
          <w:lang w:eastAsia="es-ES"/>
        </w:rPr>
        <w:t>”</w:t>
      </w:r>
      <w:r w:rsidRPr="002E7951">
        <w:rPr>
          <w:rFonts w:ascii="Tahoma" w:hAnsi="Tahoma" w:cs="Tahoma"/>
          <w:lang w:eastAsia="es-ES"/>
        </w:rPr>
        <w:t xml:space="preserve">, se estableció que dicho código debe aplicarse al proceso laboral en todo aquello que no esté </w:t>
      </w:r>
      <w:r w:rsidRPr="002E7951">
        <w:rPr>
          <w:rFonts w:ascii="Tahoma" w:hAnsi="Tahoma" w:cs="Tahoma"/>
          <w:lang w:eastAsia="es-ES"/>
        </w:rPr>
        <w:lastRenderedPageBreak/>
        <w:t>expresamente regulado por otras normas de carácter especial</w:t>
      </w:r>
      <w:bookmarkEnd w:id="3"/>
      <w:r w:rsidRPr="002E7951">
        <w:rPr>
          <w:rFonts w:ascii="Tahoma" w:hAnsi="Tahoma" w:cs="Tahoma"/>
          <w:lang w:eastAsia="es-ES"/>
        </w:rPr>
        <w:t xml:space="preserve">, tal como se desprende del artículo 1º de la citada ley, aunado a que, a falta de disposiciones especiales en el procedimiento del trabajo, el juez laboral debe acudir a la integración analógica ordenada por el artículo 145 del </w:t>
      </w:r>
      <w:proofErr w:type="spellStart"/>
      <w:r w:rsidRPr="002E7951">
        <w:rPr>
          <w:rFonts w:ascii="Tahoma" w:hAnsi="Tahoma" w:cs="Tahoma"/>
          <w:lang w:eastAsia="es-ES"/>
        </w:rPr>
        <w:t>CPT</w:t>
      </w:r>
      <w:proofErr w:type="spellEnd"/>
      <w:r w:rsidRPr="002E7951">
        <w:rPr>
          <w:rFonts w:ascii="Tahoma" w:hAnsi="Tahoma" w:cs="Tahoma"/>
          <w:lang w:eastAsia="es-ES"/>
        </w:rPr>
        <w:t xml:space="preserve"> y de la SS, y por tanto suplir el vacío normativo con las normas del citado estatuto procesal.</w:t>
      </w:r>
    </w:p>
    <w:p w14:paraId="136A5533" w14:textId="77777777" w:rsidR="00614887" w:rsidRPr="002E7951" w:rsidRDefault="00614887" w:rsidP="002E7951">
      <w:pPr>
        <w:spacing w:line="276" w:lineRule="auto"/>
        <w:ind w:firstLine="709"/>
        <w:rPr>
          <w:rFonts w:ascii="Tahoma" w:hAnsi="Tahoma" w:cs="Tahoma"/>
          <w:lang w:eastAsia="es-ES"/>
        </w:rPr>
      </w:pPr>
    </w:p>
    <w:p w14:paraId="4A536130" w14:textId="715345AA" w:rsidR="00693C42" w:rsidRPr="002E7951" w:rsidRDefault="00AB3556" w:rsidP="002E7951">
      <w:pPr>
        <w:spacing w:line="276" w:lineRule="auto"/>
        <w:ind w:firstLine="709"/>
        <w:rPr>
          <w:rFonts w:ascii="Tahoma" w:hAnsi="Tahoma" w:cs="Tahoma"/>
          <w:lang w:eastAsia="es-ES"/>
        </w:rPr>
      </w:pPr>
      <w:r w:rsidRPr="002E7951">
        <w:rPr>
          <w:rFonts w:ascii="Tahoma" w:hAnsi="Tahoma" w:cs="Tahoma"/>
          <w:lang w:eastAsia="es-ES"/>
        </w:rPr>
        <w:t xml:space="preserve">Aclarado lo anterior, cabe advertir que este régimen de nulidades tiene un carácter excepcional y taxativo, al punto que las únicas nulidades </w:t>
      </w:r>
      <w:proofErr w:type="spellStart"/>
      <w:r w:rsidRPr="002E7951">
        <w:rPr>
          <w:rFonts w:ascii="Tahoma" w:hAnsi="Tahoma" w:cs="Tahoma"/>
          <w:lang w:eastAsia="es-ES"/>
        </w:rPr>
        <w:t>insaneables</w:t>
      </w:r>
      <w:proofErr w:type="spellEnd"/>
      <w:r w:rsidRPr="002E7951">
        <w:rPr>
          <w:rFonts w:ascii="Tahoma" w:hAnsi="Tahoma" w:cs="Tahoma"/>
          <w:lang w:eastAsia="es-ES"/>
        </w:rPr>
        <w:t xml:space="preserve">, según lo dispuesto por el parágrafo del artículo </w:t>
      </w:r>
      <w:bookmarkStart w:id="4" w:name="OLE_LINK7"/>
      <w:r w:rsidRPr="002E7951">
        <w:rPr>
          <w:rFonts w:ascii="Tahoma" w:hAnsi="Tahoma" w:cs="Tahoma"/>
          <w:lang w:eastAsia="es-ES"/>
        </w:rPr>
        <w:t xml:space="preserve">136 ídem, son aquellas que se configuran por el juez proceder contra providencia ejecutoriada del superior, revivir un proceso legalmente concluido o pretermitir íntegramente la respectiva instancia. Las demás nulidades, conforme al mismo artículo, se sanean </w:t>
      </w:r>
      <w:r w:rsidRPr="002E7951">
        <w:rPr>
          <w:rFonts w:ascii="Tahoma" w:hAnsi="Tahoma" w:cs="Tahoma"/>
          <w:b/>
          <w:bCs/>
          <w:lang w:eastAsia="es-ES"/>
        </w:rPr>
        <w:t>1)</w:t>
      </w:r>
      <w:r w:rsidRPr="002E7951">
        <w:rPr>
          <w:rFonts w:ascii="Tahoma" w:hAnsi="Tahoma" w:cs="Tahoma"/>
          <w:lang w:eastAsia="es-ES"/>
        </w:rPr>
        <w:t xml:space="preserve"> cuando la parte que podía alegarla no lo hizo oportunamente o actuó sin proponerla, </w:t>
      </w:r>
      <w:r w:rsidRPr="002E7951">
        <w:rPr>
          <w:rFonts w:ascii="Tahoma" w:hAnsi="Tahoma" w:cs="Tahoma"/>
          <w:b/>
          <w:bCs/>
          <w:lang w:eastAsia="es-ES"/>
        </w:rPr>
        <w:t>2)</w:t>
      </w:r>
      <w:r w:rsidRPr="002E7951">
        <w:rPr>
          <w:rFonts w:ascii="Tahoma" w:hAnsi="Tahoma" w:cs="Tahoma"/>
          <w:lang w:eastAsia="es-ES"/>
        </w:rPr>
        <w:t xml:space="preserve"> cuando la parte que podía alegarla la convalidó en forma expresa antes de haber sido renovada la actuación anulada, </w:t>
      </w:r>
      <w:r w:rsidRPr="002E7951">
        <w:rPr>
          <w:rFonts w:ascii="Tahoma" w:hAnsi="Tahoma" w:cs="Tahoma"/>
          <w:b/>
          <w:bCs/>
          <w:lang w:eastAsia="es-ES"/>
        </w:rPr>
        <w:t>3)</w:t>
      </w:r>
      <w:r w:rsidRPr="002E7951">
        <w:rPr>
          <w:rFonts w:ascii="Tahoma" w:hAnsi="Tahoma" w:cs="Tahoma"/>
          <w:lang w:eastAsia="es-ES"/>
        </w:rPr>
        <w:t xml:space="preserve"> cuando se origine en la interrupción o suspensión del proceso y no se alegue dentro de los 5 días siguientes a la fecha en que haya cesado la causa y </w:t>
      </w:r>
      <w:r w:rsidRPr="002E7951">
        <w:rPr>
          <w:rFonts w:ascii="Tahoma" w:hAnsi="Tahoma" w:cs="Tahoma"/>
          <w:b/>
          <w:bCs/>
          <w:lang w:eastAsia="es-ES"/>
        </w:rPr>
        <w:t>4)</w:t>
      </w:r>
      <w:r w:rsidRPr="002E7951">
        <w:rPr>
          <w:rFonts w:ascii="Tahoma" w:hAnsi="Tahoma" w:cs="Tahoma"/>
          <w:lang w:eastAsia="es-ES"/>
        </w:rPr>
        <w:t xml:space="preserve"> cuando a pesar del vicio el </w:t>
      </w:r>
      <w:bookmarkStart w:id="5" w:name="_Hlk102025714"/>
      <w:r w:rsidRPr="002E7951">
        <w:rPr>
          <w:rFonts w:ascii="Tahoma" w:hAnsi="Tahoma" w:cs="Tahoma"/>
          <w:lang w:eastAsia="es-ES"/>
        </w:rPr>
        <w:t>acto procesal cumplió su finalidad y no se violó el derecho de defensa</w:t>
      </w:r>
      <w:bookmarkEnd w:id="5"/>
      <w:r w:rsidRPr="002E7951">
        <w:rPr>
          <w:rFonts w:ascii="Tahoma" w:hAnsi="Tahoma" w:cs="Tahoma"/>
          <w:lang w:eastAsia="es-ES"/>
        </w:rPr>
        <w:t>.</w:t>
      </w:r>
    </w:p>
    <w:p w14:paraId="1C362F72" w14:textId="77777777" w:rsidR="00614887" w:rsidRPr="002E7951" w:rsidRDefault="00614887" w:rsidP="002E7951">
      <w:pPr>
        <w:spacing w:line="276" w:lineRule="auto"/>
        <w:ind w:firstLine="709"/>
        <w:rPr>
          <w:rFonts w:ascii="Tahoma" w:hAnsi="Tahoma" w:cs="Tahoma"/>
          <w:lang w:eastAsia="es-ES"/>
        </w:rPr>
      </w:pPr>
    </w:p>
    <w:p w14:paraId="23B5032D" w14:textId="52B29310" w:rsidR="00AB3556" w:rsidRPr="002E7951" w:rsidRDefault="00693C42" w:rsidP="002E7951">
      <w:pPr>
        <w:spacing w:line="276" w:lineRule="auto"/>
        <w:ind w:firstLine="709"/>
        <w:rPr>
          <w:rFonts w:ascii="Tahoma" w:hAnsi="Tahoma" w:cs="Tahoma"/>
          <w:lang w:eastAsia="es-ES"/>
        </w:rPr>
      </w:pPr>
      <w:r w:rsidRPr="002E7951">
        <w:rPr>
          <w:rFonts w:ascii="Tahoma" w:hAnsi="Tahoma" w:cs="Tahoma"/>
          <w:lang w:eastAsia="es-ES"/>
        </w:rPr>
        <w:t xml:space="preserve">En cuanto a la nulidad por indebida notificación, </w:t>
      </w:r>
      <w:bookmarkEnd w:id="4"/>
      <w:r w:rsidRPr="002E7951">
        <w:rPr>
          <w:rFonts w:ascii="Tahoma" w:hAnsi="Tahoma" w:cs="Tahoma"/>
          <w:lang w:eastAsia="es-ES"/>
        </w:rPr>
        <w:t>establece</w:t>
      </w:r>
      <w:r w:rsidR="00AB3556" w:rsidRPr="002E7951">
        <w:rPr>
          <w:rFonts w:ascii="Tahoma" w:hAnsi="Tahoma" w:cs="Tahoma"/>
          <w:lang w:eastAsia="es-ES"/>
        </w:rPr>
        <w:t xml:space="preserve"> el numeral 8º del artículo 133 del </w:t>
      </w:r>
      <w:proofErr w:type="spellStart"/>
      <w:r w:rsidR="00AB3556" w:rsidRPr="002E7951">
        <w:rPr>
          <w:rFonts w:ascii="Tahoma" w:hAnsi="Tahoma" w:cs="Tahoma"/>
          <w:lang w:eastAsia="es-ES"/>
        </w:rPr>
        <w:t>CGP</w:t>
      </w:r>
      <w:proofErr w:type="spellEnd"/>
      <w:r w:rsidR="00AB3556" w:rsidRPr="002E7951">
        <w:rPr>
          <w:rFonts w:ascii="Tahoma" w:hAnsi="Tahoma" w:cs="Tahoma"/>
          <w:lang w:eastAsia="es-ES"/>
        </w:rPr>
        <w:t>, que el proceso es nulo en todo o en parte, cuando no se practica en legal forma la notificación del auto admisorio de la demanda, o el emplazamiento de las demás personas aunque sean indeterminadas, deban ser citadas como partes, o de aquellas que deban suceder en el proceso a cualquiera de las partes, cuando la ley así lo ordena, o cuando no se cita en debida forma al Ministerio Público o a cualquier otra persona o entidad que de acuerdo con la ley debió ser citado.</w:t>
      </w:r>
    </w:p>
    <w:p w14:paraId="565D4BBC" w14:textId="502C9CCA" w:rsidR="00D57090" w:rsidRPr="002E7951" w:rsidRDefault="00D57090" w:rsidP="002E7951">
      <w:pPr>
        <w:pStyle w:val="Sinespaciado"/>
        <w:spacing w:line="276" w:lineRule="auto"/>
        <w:rPr>
          <w:rFonts w:ascii="Tahoma" w:hAnsi="Tahoma" w:cs="Tahoma"/>
        </w:rPr>
      </w:pPr>
    </w:p>
    <w:p w14:paraId="6B59D4F1" w14:textId="63CB8F5F" w:rsidR="00D57090" w:rsidRPr="002E7951" w:rsidRDefault="00D57090" w:rsidP="002E7951">
      <w:pPr>
        <w:pStyle w:val="Prrafodelista"/>
        <w:numPr>
          <w:ilvl w:val="1"/>
          <w:numId w:val="1"/>
        </w:numPr>
        <w:spacing w:line="276" w:lineRule="auto"/>
        <w:ind w:left="567" w:firstLine="0"/>
        <w:rPr>
          <w:rFonts w:ascii="Tahoma" w:hAnsi="Tahoma" w:cs="Tahoma"/>
          <w:b/>
          <w:bCs/>
          <w:spacing w:val="-3"/>
          <w:kern w:val="2"/>
          <w:lang w:val="es-419"/>
        </w:rPr>
      </w:pPr>
      <w:r w:rsidRPr="002E7951">
        <w:rPr>
          <w:rFonts w:ascii="Tahoma" w:hAnsi="Tahoma" w:cs="Tahoma"/>
          <w:b/>
          <w:bCs/>
          <w:spacing w:val="-3"/>
          <w:kern w:val="2"/>
          <w:lang w:val="es-419"/>
        </w:rPr>
        <w:t xml:space="preserve">Caso concreto </w:t>
      </w:r>
    </w:p>
    <w:p w14:paraId="35DF7ECB" w14:textId="0959759A" w:rsidR="006E0E08" w:rsidRPr="002E7951" w:rsidRDefault="006E0E08" w:rsidP="002E7951">
      <w:pPr>
        <w:pStyle w:val="Sinespaciado"/>
        <w:spacing w:line="276" w:lineRule="auto"/>
        <w:rPr>
          <w:rFonts w:ascii="Tahoma" w:hAnsi="Tahoma" w:cs="Tahoma"/>
          <w:lang w:val="es-419"/>
        </w:rPr>
      </w:pPr>
    </w:p>
    <w:p w14:paraId="3C571809" w14:textId="66E46EC6" w:rsidR="00E1577C" w:rsidRPr="002E7951" w:rsidRDefault="0016001E" w:rsidP="002E7951">
      <w:pPr>
        <w:spacing w:line="276" w:lineRule="auto"/>
        <w:ind w:firstLine="567"/>
        <w:rPr>
          <w:rFonts w:ascii="Tahoma" w:hAnsi="Tahoma" w:cs="Tahoma"/>
          <w:spacing w:val="-3"/>
          <w:kern w:val="2"/>
          <w:lang w:val="es-419"/>
        </w:rPr>
      </w:pPr>
      <w:r w:rsidRPr="002E7951">
        <w:rPr>
          <w:rFonts w:ascii="Tahoma" w:hAnsi="Tahoma" w:cs="Tahoma"/>
          <w:spacing w:val="-3"/>
          <w:kern w:val="2"/>
          <w:lang w:val="es-419"/>
        </w:rPr>
        <w:t xml:space="preserve">A efectos de dar solución al </w:t>
      </w:r>
      <w:r w:rsidR="0099275D" w:rsidRPr="002E7951">
        <w:rPr>
          <w:rFonts w:ascii="Tahoma" w:hAnsi="Tahoma" w:cs="Tahoma"/>
          <w:spacing w:val="-3"/>
          <w:kern w:val="2"/>
          <w:lang w:val="es-419"/>
        </w:rPr>
        <w:t>p</w:t>
      </w:r>
      <w:r w:rsidRPr="002E7951">
        <w:rPr>
          <w:rFonts w:ascii="Tahoma" w:hAnsi="Tahoma" w:cs="Tahoma"/>
          <w:spacing w:val="-3"/>
          <w:kern w:val="2"/>
          <w:lang w:val="es-419"/>
        </w:rPr>
        <w:t xml:space="preserve">roblema jurídico planteado se dirá que, </w:t>
      </w:r>
      <w:r w:rsidR="00361ED9" w:rsidRPr="002E7951">
        <w:rPr>
          <w:rFonts w:ascii="Tahoma" w:hAnsi="Tahoma" w:cs="Tahoma"/>
          <w:spacing w:val="-3"/>
          <w:kern w:val="2"/>
          <w:lang w:val="es-419"/>
        </w:rPr>
        <w:t xml:space="preserve">aunque es cierto que el juzgado de primera instancia al admitir la demanda omitió tener como persona natural demandada al señor Fabio Gómez Ochoa y, por ello, en un principio no efectuó su notificación personal, también es una realidad que la jueza al percatarse de su omisión, haciendo uso de las facultades conferidas como directora del proceso, en especial la consagrada en el art. 132 del </w:t>
      </w:r>
      <w:proofErr w:type="spellStart"/>
      <w:r w:rsidR="00361ED9" w:rsidRPr="002E7951">
        <w:rPr>
          <w:rFonts w:ascii="Tahoma" w:hAnsi="Tahoma" w:cs="Tahoma"/>
          <w:spacing w:val="-3"/>
          <w:kern w:val="2"/>
          <w:lang w:val="es-419"/>
        </w:rPr>
        <w:t>C.G.P</w:t>
      </w:r>
      <w:proofErr w:type="spellEnd"/>
      <w:r w:rsidR="00361ED9" w:rsidRPr="002E7951">
        <w:rPr>
          <w:rFonts w:ascii="Tahoma" w:hAnsi="Tahoma" w:cs="Tahoma"/>
          <w:spacing w:val="-3"/>
          <w:kern w:val="2"/>
          <w:lang w:val="es-419"/>
        </w:rPr>
        <w:t>, subsanó dicha omisión decretando la nulidad de lo actuado a partir de la notificación del auto admisorio de la demanda</w:t>
      </w:r>
      <w:r w:rsidR="00361ED9" w:rsidRPr="002E7951">
        <w:rPr>
          <w:rFonts w:ascii="Tahoma" w:hAnsi="Tahoma" w:cs="Tahoma"/>
        </w:rPr>
        <w:t xml:space="preserve"> y ordenó la vinculación del señor </w:t>
      </w:r>
      <w:r w:rsidR="00361ED9" w:rsidRPr="002E7951">
        <w:rPr>
          <w:rFonts w:ascii="Tahoma" w:hAnsi="Tahoma" w:cs="Tahoma"/>
          <w:spacing w:val="-3"/>
          <w:kern w:val="2"/>
          <w:lang w:val="es-419"/>
        </w:rPr>
        <w:t>Fabio Gómez Ochoa como persona natural, con el fin de que se le corriera traslado de la demanda.</w:t>
      </w:r>
    </w:p>
    <w:p w14:paraId="647A868E" w14:textId="4B88F39D" w:rsidR="00361ED9" w:rsidRPr="002E7951" w:rsidRDefault="00361ED9" w:rsidP="002E7951">
      <w:pPr>
        <w:spacing w:line="276" w:lineRule="auto"/>
        <w:ind w:firstLine="567"/>
        <w:rPr>
          <w:rFonts w:ascii="Tahoma" w:hAnsi="Tahoma" w:cs="Tahoma"/>
          <w:lang w:eastAsia="es-ES"/>
        </w:rPr>
      </w:pPr>
    </w:p>
    <w:p w14:paraId="5FF6BBCE" w14:textId="615526C1" w:rsidR="00361ED9" w:rsidRPr="002E7951" w:rsidRDefault="00361ED9" w:rsidP="002E7951">
      <w:pPr>
        <w:spacing w:line="276" w:lineRule="auto"/>
        <w:ind w:firstLine="567"/>
        <w:rPr>
          <w:rFonts w:ascii="Tahoma" w:hAnsi="Tahoma" w:cs="Tahoma"/>
          <w:spacing w:val="-3"/>
          <w:kern w:val="2"/>
        </w:rPr>
      </w:pPr>
      <w:r w:rsidRPr="002E7951">
        <w:rPr>
          <w:rFonts w:ascii="Tahoma" w:hAnsi="Tahoma" w:cs="Tahoma"/>
          <w:lang w:eastAsia="es-ES"/>
        </w:rPr>
        <w:t xml:space="preserve">Así, el </w:t>
      </w:r>
      <w:r w:rsidRPr="002E7951">
        <w:rPr>
          <w:rFonts w:ascii="Tahoma" w:hAnsi="Tahoma" w:cs="Tahoma"/>
          <w:spacing w:val="-3"/>
          <w:kern w:val="2"/>
        </w:rPr>
        <w:t>03 de octubre de 2022 se efectuó la notificación al señor Fabio Gómez Ochoa, por medio de correo electrónico, otorgándosele el término de 10 días para que diera contestación a la demanda y ejerciera su derecho de defensa, para lo cual se le remitió el vínculo del expediente digital, frente a lo cual, el señor Gómez Ochoa confirió mandato a profesional del derecho que lo representara, quien</w:t>
      </w:r>
      <w:r w:rsidR="00D57E64" w:rsidRPr="002E7951">
        <w:rPr>
          <w:rFonts w:ascii="Tahoma" w:hAnsi="Tahoma" w:cs="Tahoma"/>
          <w:spacing w:val="-3"/>
          <w:kern w:val="2"/>
        </w:rPr>
        <w:t xml:space="preserve"> solicit</w:t>
      </w:r>
      <w:r w:rsidR="1380908F" w:rsidRPr="002E7951">
        <w:rPr>
          <w:rFonts w:ascii="Tahoma" w:hAnsi="Tahoma" w:cs="Tahoma"/>
          <w:spacing w:val="-3"/>
          <w:kern w:val="2"/>
        </w:rPr>
        <w:t>ó</w:t>
      </w:r>
      <w:r w:rsidR="00D57E64" w:rsidRPr="002E7951">
        <w:rPr>
          <w:rFonts w:ascii="Tahoma" w:hAnsi="Tahoma" w:cs="Tahoma"/>
          <w:spacing w:val="-3"/>
          <w:kern w:val="2"/>
        </w:rPr>
        <w:t xml:space="preserve"> la nulidad de lo actuado y contestó la demanda</w:t>
      </w:r>
      <w:r w:rsidR="006F688B" w:rsidRPr="002E7951">
        <w:rPr>
          <w:rFonts w:ascii="Tahoma" w:hAnsi="Tahoma" w:cs="Tahoma"/>
          <w:spacing w:val="-3"/>
          <w:kern w:val="2"/>
        </w:rPr>
        <w:t>, lo que evidencia que, en efecto, contó con las garantías propias del debido proceso al descorrer el traslado que se le hiciera</w:t>
      </w:r>
      <w:r w:rsidR="00D57E64" w:rsidRPr="002E7951">
        <w:rPr>
          <w:rFonts w:ascii="Tahoma" w:hAnsi="Tahoma" w:cs="Tahoma"/>
          <w:spacing w:val="-3"/>
          <w:kern w:val="2"/>
        </w:rPr>
        <w:t>.</w:t>
      </w:r>
    </w:p>
    <w:p w14:paraId="12FD279B" w14:textId="14E51A5C" w:rsidR="00D57E64" w:rsidRPr="002E7951" w:rsidRDefault="00D57E64" w:rsidP="002E7951">
      <w:pPr>
        <w:spacing w:line="276" w:lineRule="auto"/>
        <w:ind w:firstLine="567"/>
        <w:rPr>
          <w:rFonts w:ascii="Tahoma" w:hAnsi="Tahoma" w:cs="Tahoma"/>
          <w:lang w:eastAsia="es-ES"/>
        </w:rPr>
      </w:pPr>
    </w:p>
    <w:p w14:paraId="343105FA" w14:textId="45FE6B19" w:rsidR="00D57E64" w:rsidRPr="002E7951" w:rsidRDefault="00D57E64" w:rsidP="002E7951">
      <w:pPr>
        <w:spacing w:line="276" w:lineRule="auto"/>
        <w:ind w:firstLine="567"/>
        <w:rPr>
          <w:rFonts w:ascii="Tahoma" w:hAnsi="Tahoma" w:cs="Tahoma"/>
          <w:lang w:eastAsia="es-ES"/>
        </w:rPr>
      </w:pPr>
      <w:r w:rsidRPr="002E7951">
        <w:rPr>
          <w:rFonts w:ascii="Tahoma" w:hAnsi="Tahoma" w:cs="Tahoma"/>
          <w:lang w:eastAsia="es-ES"/>
        </w:rPr>
        <w:t xml:space="preserve">De acuerdo con lo anterior, para la Sala no se configura la causal de nulidad establecida en el numeral 8º del art. 133 del </w:t>
      </w:r>
      <w:proofErr w:type="spellStart"/>
      <w:r w:rsidRPr="002E7951">
        <w:rPr>
          <w:rFonts w:ascii="Tahoma" w:hAnsi="Tahoma" w:cs="Tahoma"/>
          <w:lang w:eastAsia="es-ES"/>
        </w:rPr>
        <w:t>CGP</w:t>
      </w:r>
      <w:proofErr w:type="spellEnd"/>
      <w:r w:rsidRPr="002E7951">
        <w:rPr>
          <w:rFonts w:ascii="Tahoma" w:hAnsi="Tahoma" w:cs="Tahoma"/>
          <w:lang w:eastAsia="es-ES"/>
        </w:rPr>
        <w:t xml:space="preserve">, toda vez que la jueza de primera instancia precisamente </w:t>
      </w:r>
      <w:r w:rsidR="006F688B" w:rsidRPr="002E7951">
        <w:rPr>
          <w:rFonts w:ascii="Tahoma" w:hAnsi="Tahoma" w:cs="Tahoma"/>
          <w:lang w:eastAsia="es-ES"/>
        </w:rPr>
        <w:t>corrigió</w:t>
      </w:r>
      <w:r w:rsidRPr="002E7951">
        <w:rPr>
          <w:rFonts w:ascii="Tahoma" w:hAnsi="Tahoma" w:cs="Tahoma"/>
          <w:lang w:eastAsia="es-ES"/>
        </w:rPr>
        <w:t xml:space="preserve"> la omisión en la notificación por medio de la providencia dictada en la audiencia llevada a cabo el 02 de agosto de 2022, sin que para ello fuese necesario proferir nuevamente el auto admisorio de la demanda y, tampoco adicionarlo, en el entendido que, tal como insistentemente lo advirtió el recurrente, de acuerdo con lo indicado en el art. 287 del </w:t>
      </w:r>
      <w:proofErr w:type="spellStart"/>
      <w:r w:rsidRPr="002E7951">
        <w:rPr>
          <w:rFonts w:ascii="Tahoma" w:hAnsi="Tahoma" w:cs="Tahoma"/>
          <w:lang w:eastAsia="es-ES"/>
        </w:rPr>
        <w:t>CGP</w:t>
      </w:r>
      <w:proofErr w:type="spellEnd"/>
      <w:r w:rsidRPr="002E7951">
        <w:rPr>
          <w:rFonts w:ascii="Tahoma" w:hAnsi="Tahoma" w:cs="Tahoma"/>
          <w:lang w:eastAsia="es-ES"/>
        </w:rPr>
        <w:t>, los autos solo podrán adicionarse de oficio dentro del término de su ejecutoria, o a solicitud de parte presentada en el mismo término; razón por la cual, ante la imposibilidad de adicionar el auto admisorio de la demanda, actuó conforme a derecho la jueza ordenando la vinculación del señor Gómez Ochoa, respetándosele el derecho de defensa, al ser notificado por medio de correo electrónico y corrérsele traslado de la demanda.</w:t>
      </w:r>
    </w:p>
    <w:p w14:paraId="4C5F6FAE" w14:textId="044C38A3" w:rsidR="006F688B" w:rsidRPr="002E7951" w:rsidRDefault="006F688B" w:rsidP="002E7951">
      <w:pPr>
        <w:spacing w:line="276" w:lineRule="auto"/>
        <w:ind w:firstLine="567"/>
        <w:rPr>
          <w:rFonts w:ascii="Tahoma" w:hAnsi="Tahoma" w:cs="Tahoma"/>
          <w:lang w:eastAsia="es-ES"/>
        </w:rPr>
      </w:pPr>
    </w:p>
    <w:p w14:paraId="7B257132" w14:textId="30452C54" w:rsidR="006F688B" w:rsidRPr="002E7951" w:rsidRDefault="006F688B" w:rsidP="002E7951">
      <w:pPr>
        <w:spacing w:line="276" w:lineRule="auto"/>
        <w:ind w:firstLine="567"/>
        <w:rPr>
          <w:rFonts w:ascii="Tahoma" w:hAnsi="Tahoma" w:cs="Tahoma"/>
          <w:lang w:eastAsia="es-ES"/>
        </w:rPr>
      </w:pPr>
      <w:r w:rsidRPr="002E7951">
        <w:rPr>
          <w:rFonts w:ascii="Tahoma" w:hAnsi="Tahoma" w:cs="Tahoma"/>
          <w:lang w:eastAsia="es-ES"/>
        </w:rPr>
        <w:t xml:space="preserve">Y es que entre las causales taxativamente dispuestas en el art. 133 del </w:t>
      </w:r>
      <w:proofErr w:type="spellStart"/>
      <w:r w:rsidRPr="002E7951">
        <w:rPr>
          <w:rFonts w:ascii="Tahoma" w:hAnsi="Tahoma" w:cs="Tahoma"/>
          <w:lang w:eastAsia="es-ES"/>
        </w:rPr>
        <w:t>CGP</w:t>
      </w:r>
      <w:proofErr w:type="spellEnd"/>
      <w:r w:rsidRPr="002E7951">
        <w:rPr>
          <w:rFonts w:ascii="Tahoma" w:hAnsi="Tahoma" w:cs="Tahoma"/>
          <w:lang w:eastAsia="es-ES"/>
        </w:rPr>
        <w:t xml:space="preserve"> realmente no hay ninguna que se ajuste a lo pedido por la apoderada judicial del señor Gómez Ochoa, puesto que, se itera, el auto admisorio de la demanda y la vinculación fue</w:t>
      </w:r>
      <w:r w:rsidR="25ABEF77" w:rsidRPr="002E7951">
        <w:rPr>
          <w:rFonts w:ascii="Tahoma" w:hAnsi="Tahoma" w:cs="Tahoma"/>
          <w:lang w:eastAsia="es-ES"/>
        </w:rPr>
        <w:t>ron</w:t>
      </w:r>
      <w:r w:rsidRPr="002E7951">
        <w:rPr>
          <w:rFonts w:ascii="Tahoma" w:hAnsi="Tahoma" w:cs="Tahoma"/>
          <w:lang w:eastAsia="es-ES"/>
        </w:rPr>
        <w:t xml:space="preserve"> debidamente notificado</w:t>
      </w:r>
      <w:r w:rsidR="752553CF" w:rsidRPr="002E7951">
        <w:rPr>
          <w:rFonts w:ascii="Tahoma" w:hAnsi="Tahoma" w:cs="Tahoma"/>
          <w:lang w:eastAsia="es-ES"/>
        </w:rPr>
        <w:t>s</w:t>
      </w:r>
      <w:r w:rsidRPr="002E7951">
        <w:rPr>
          <w:rFonts w:ascii="Tahoma" w:hAnsi="Tahoma" w:cs="Tahoma"/>
          <w:lang w:eastAsia="es-ES"/>
        </w:rPr>
        <w:t xml:space="preserve"> y, aun cuando es cierto que su comparecencia debía efectuarse como demandado y no como vinculado, </w:t>
      </w:r>
      <w:r w:rsidR="000758EB" w:rsidRPr="002E7951">
        <w:rPr>
          <w:rFonts w:ascii="Tahoma" w:hAnsi="Tahoma" w:cs="Tahoma"/>
          <w:lang w:eastAsia="es-ES"/>
        </w:rPr>
        <w:t xml:space="preserve">realmente el acto procesal cumplió con su finalidad, que no era otra que permitir al señor Gómez Ochoa comparecer al proceso como persona natural y ejercer su derecho de defensa, aplicándose así el saneamiento indicado en el numeral 4º del art. 136 del </w:t>
      </w:r>
      <w:proofErr w:type="spellStart"/>
      <w:r w:rsidR="000758EB" w:rsidRPr="002E7951">
        <w:rPr>
          <w:rFonts w:ascii="Tahoma" w:hAnsi="Tahoma" w:cs="Tahoma"/>
          <w:lang w:eastAsia="es-ES"/>
        </w:rPr>
        <w:t>CGP</w:t>
      </w:r>
      <w:proofErr w:type="spellEnd"/>
      <w:r w:rsidR="00B62872" w:rsidRPr="002E7951">
        <w:rPr>
          <w:rFonts w:ascii="Tahoma" w:hAnsi="Tahoma" w:cs="Tahoma"/>
          <w:lang w:eastAsia="es-ES"/>
        </w:rPr>
        <w:t>, toda vez que como vinculado o demandado, se le permiten realizar las mismas actuaciones y disponer de su derecho sin diferencia alguna.</w:t>
      </w:r>
    </w:p>
    <w:p w14:paraId="6DE5A602" w14:textId="1E1E8BA5" w:rsidR="00997F32" w:rsidRPr="002E7951" w:rsidRDefault="00997F32" w:rsidP="002E7951">
      <w:pPr>
        <w:spacing w:line="276" w:lineRule="auto"/>
        <w:ind w:firstLine="567"/>
        <w:rPr>
          <w:rFonts w:ascii="Tahoma" w:hAnsi="Tahoma" w:cs="Tahoma"/>
          <w:lang w:eastAsia="es-ES"/>
        </w:rPr>
      </w:pPr>
    </w:p>
    <w:p w14:paraId="14E00898" w14:textId="0D8BCAE2" w:rsidR="00997F32" w:rsidRPr="002E7951" w:rsidRDefault="00997F32" w:rsidP="002E7951">
      <w:pPr>
        <w:spacing w:line="276" w:lineRule="auto"/>
        <w:ind w:firstLine="567"/>
        <w:rPr>
          <w:rFonts w:ascii="Tahoma" w:hAnsi="Tahoma" w:cs="Tahoma"/>
          <w:spacing w:val="-3"/>
          <w:kern w:val="2"/>
        </w:rPr>
      </w:pPr>
      <w:r w:rsidRPr="002E7951">
        <w:rPr>
          <w:rFonts w:ascii="Tahoma" w:hAnsi="Tahoma" w:cs="Tahoma"/>
          <w:lang w:eastAsia="es-ES"/>
        </w:rPr>
        <w:t>Adicional a lo anterior, es del caso advertir a</w:t>
      </w:r>
      <w:r w:rsidR="00971E4E" w:rsidRPr="002E7951">
        <w:rPr>
          <w:rFonts w:ascii="Tahoma" w:hAnsi="Tahoma" w:cs="Tahoma"/>
          <w:lang w:eastAsia="es-ES"/>
        </w:rPr>
        <w:t xml:space="preserve">l </w:t>
      </w:r>
      <w:r w:rsidRPr="002E7951">
        <w:rPr>
          <w:rFonts w:ascii="Tahoma" w:hAnsi="Tahoma" w:cs="Tahoma"/>
          <w:lang w:eastAsia="es-ES"/>
        </w:rPr>
        <w:t>recurrente que el hecho de que en materia laboral el traslado sea conjunto, no significa que la totalidad de los convocados al proceso deban ser notificados simultáneamente para que puedan “</w:t>
      </w:r>
      <w:r w:rsidRPr="00D46659">
        <w:rPr>
          <w:rFonts w:ascii="Tahoma" w:hAnsi="Tahoma" w:cs="Tahoma"/>
          <w:spacing w:val="-3"/>
          <w:kern w:val="2"/>
          <w:sz w:val="22"/>
        </w:rPr>
        <w:t>ponerse de acuerdo en los puntos de su defensa</w:t>
      </w:r>
      <w:r w:rsidRPr="002E7951">
        <w:rPr>
          <w:rFonts w:ascii="Tahoma" w:hAnsi="Tahoma" w:cs="Tahoma"/>
          <w:spacing w:val="-3"/>
          <w:kern w:val="2"/>
        </w:rPr>
        <w:t xml:space="preserve">”, puesto que, aunque hagan parte de un mismo extremo de la litis, su defensa es individual y, solamente en caso de litisconsorcios necesario, indica el art. 61 del </w:t>
      </w:r>
      <w:proofErr w:type="spellStart"/>
      <w:r w:rsidRPr="002E7951">
        <w:rPr>
          <w:rFonts w:ascii="Tahoma" w:hAnsi="Tahoma" w:cs="Tahoma"/>
          <w:spacing w:val="-3"/>
          <w:kern w:val="2"/>
        </w:rPr>
        <w:t>CGP</w:t>
      </w:r>
      <w:proofErr w:type="spellEnd"/>
      <w:r w:rsidRPr="002E7951">
        <w:rPr>
          <w:rFonts w:ascii="Tahoma" w:hAnsi="Tahoma" w:cs="Tahoma"/>
          <w:spacing w:val="-3"/>
          <w:kern w:val="2"/>
        </w:rPr>
        <w:t xml:space="preserve"> </w:t>
      </w:r>
      <w:r w:rsidRPr="002E7951">
        <w:rPr>
          <w:rFonts w:ascii="Tahoma" w:eastAsia="Tahoma" w:hAnsi="Tahoma" w:cs="Tahoma"/>
          <w:i/>
          <w:iCs/>
          <w:spacing w:val="-3"/>
          <w:kern w:val="2"/>
        </w:rPr>
        <w:t>“</w:t>
      </w:r>
      <w:r w:rsidRPr="00D46659">
        <w:rPr>
          <w:rFonts w:ascii="Tahoma" w:eastAsia="Tahoma" w:hAnsi="Tahoma" w:cs="Tahoma"/>
          <w:i/>
          <w:iCs/>
          <w:spacing w:val="-3"/>
          <w:kern w:val="2"/>
          <w:sz w:val="22"/>
        </w:rPr>
        <w:t>los recursos y en general las actuaciones de cada litisconsorte favorecerán a los demás. sin embargo, los actos que impliquen disposición del derecho en litigio solo tendrán eficacia si emanan de todos</w:t>
      </w:r>
      <w:r w:rsidRPr="002E7951">
        <w:rPr>
          <w:rFonts w:ascii="Tahoma" w:eastAsia="Tahoma" w:hAnsi="Tahoma" w:cs="Tahoma"/>
          <w:i/>
          <w:iCs/>
          <w:spacing w:val="-3"/>
          <w:kern w:val="2"/>
        </w:rPr>
        <w:t>”</w:t>
      </w:r>
      <w:r w:rsidRPr="002E7951">
        <w:rPr>
          <w:rFonts w:ascii="Tahoma" w:eastAsia="Tahoma" w:hAnsi="Tahoma" w:cs="Tahoma"/>
          <w:spacing w:val="-3"/>
          <w:kern w:val="2"/>
        </w:rPr>
        <w:t xml:space="preserve">, </w:t>
      </w:r>
      <w:r w:rsidRPr="002E7951">
        <w:rPr>
          <w:rFonts w:ascii="Tahoma" w:hAnsi="Tahoma" w:cs="Tahoma"/>
          <w:spacing w:val="-3"/>
          <w:kern w:val="2"/>
        </w:rPr>
        <w:t xml:space="preserve">lo que implica que, aun cuando el traslado a todos los demandados sea común, cada uno debe efectuar bajo su responsabilidad las actuaciones o, lo contrario implicaría </w:t>
      </w:r>
      <w:r w:rsidR="00971E4E" w:rsidRPr="002E7951">
        <w:rPr>
          <w:rFonts w:ascii="Tahoma" w:hAnsi="Tahoma" w:cs="Tahoma"/>
          <w:spacing w:val="-3"/>
          <w:kern w:val="2"/>
        </w:rPr>
        <w:t>que, con una sola contestación de la demanda, la defensa de los múltiples intervinientes se ve</w:t>
      </w:r>
      <w:r w:rsidR="0E1B2E11" w:rsidRPr="002E7951">
        <w:rPr>
          <w:rFonts w:ascii="Tahoma" w:hAnsi="Tahoma" w:cs="Tahoma"/>
          <w:spacing w:val="-3"/>
          <w:kern w:val="2"/>
        </w:rPr>
        <w:t>a</w:t>
      </w:r>
      <w:r w:rsidR="00971E4E" w:rsidRPr="002E7951">
        <w:rPr>
          <w:rFonts w:ascii="Tahoma" w:hAnsi="Tahoma" w:cs="Tahoma"/>
          <w:spacing w:val="-3"/>
          <w:kern w:val="2"/>
        </w:rPr>
        <w:t xml:space="preserve"> satisfecha</w:t>
      </w:r>
      <w:r w:rsidRPr="002E7951">
        <w:rPr>
          <w:rFonts w:ascii="Tahoma" w:hAnsi="Tahoma" w:cs="Tahoma"/>
          <w:spacing w:val="-3"/>
          <w:kern w:val="2"/>
        </w:rPr>
        <w:t>.</w:t>
      </w:r>
    </w:p>
    <w:p w14:paraId="1FECA0E7" w14:textId="53E58FBD" w:rsidR="00971E4E" w:rsidRPr="002E7951" w:rsidRDefault="00971E4E" w:rsidP="002E7951">
      <w:pPr>
        <w:spacing w:line="276" w:lineRule="auto"/>
        <w:ind w:firstLine="567"/>
        <w:rPr>
          <w:rFonts w:ascii="Tahoma" w:hAnsi="Tahoma" w:cs="Tahoma"/>
          <w:spacing w:val="-3"/>
          <w:kern w:val="2"/>
        </w:rPr>
      </w:pPr>
    </w:p>
    <w:p w14:paraId="28C82CFD" w14:textId="3B0B2E44" w:rsidR="00971E4E" w:rsidRPr="002E7951" w:rsidRDefault="00971E4E" w:rsidP="002E7951">
      <w:pPr>
        <w:spacing w:line="276" w:lineRule="auto"/>
        <w:ind w:firstLine="567"/>
        <w:rPr>
          <w:rFonts w:ascii="Tahoma" w:hAnsi="Tahoma" w:cs="Tahoma"/>
          <w:spacing w:val="-3"/>
          <w:kern w:val="2"/>
        </w:rPr>
      </w:pPr>
      <w:r w:rsidRPr="002E7951">
        <w:rPr>
          <w:rFonts w:ascii="Tahoma" w:hAnsi="Tahoma" w:cs="Tahoma"/>
          <w:spacing w:val="-3"/>
          <w:kern w:val="2"/>
        </w:rPr>
        <w:t>Adicional a ello, pasa por alto el recurrente que no en pocos casos, la defensa de un demandado afecta directamente los intereses del otro y, por ello, no puede entenderse que es necesario un término común para convenir los términos de su defensa.</w:t>
      </w:r>
    </w:p>
    <w:p w14:paraId="36FAC33E" w14:textId="4D20E183" w:rsidR="00B62872" w:rsidRPr="002E7951" w:rsidRDefault="00B62872" w:rsidP="002E7951">
      <w:pPr>
        <w:spacing w:line="276" w:lineRule="auto"/>
        <w:ind w:firstLine="567"/>
        <w:rPr>
          <w:rFonts w:ascii="Tahoma" w:hAnsi="Tahoma" w:cs="Tahoma"/>
          <w:spacing w:val="-3"/>
          <w:kern w:val="2"/>
        </w:rPr>
      </w:pPr>
    </w:p>
    <w:p w14:paraId="11365671" w14:textId="5E5B554A" w:rsidR="00B62872" w:rsidRPr="002E7951" w:rsidRDefault="00B62872" w:rsidP="002E7951">
      <w:pPr>
        <w:spacing w:line="276" w:lineRule="auto"/>
        <w:ind w:firstLine="567"/>
        <w:rPr>
          <w:rFonts w:ascii="Tahoma" w:hAnsi="Tahoma" w:cs="Tahoma"/>
          <w:spacing w:val="-3"/>
          <w:kern w:val="2"/>
        </w:rPr>
      </w:pPr>
      <w:r w:rsidRPr="002E7951">
        <w:rPr>
          <w:rFonts w:ascii="Tahoma" w:hAnsi="Tahoma" w:cs="Tahoma"/>
          <w:spacing w:val="-3"/>
          <w:kern w:val="2"/>
        </w:rPr>
        <w:t xml:space="preserve">Finalmente, respecto a los efectos de la nulidad decretada por la jueza, encuentra la Sala que el señor Fabio Gómez Ochoa carece de legitimación o intereses para reprochar la falta de una nueva notificación a los demandados, puesto que son estos y no él quien tendría que haberse opuesto a ello, si es que se consideran afectados, lo cual en ningún momento hicieron, pues ni siquiera se pronunciaron al corrérseles traslado de la nulidad </w:t>
      </w:r>
      <w:r w:rsidRPr="002E7951">
        <w:rPr>
          <w:rFonts w:ascii="Tahoma" w:hAnsi="Tahoma" w:cs="Tahoma"/>
          <w:spacing w:val="-3"/>
          <w:kern w:val="2"/>
        </w:rPr>
        <w:lastRenderedPageBreak/>
        <w:t xml:space="preserve">y, por ende, debe entenderse que no presentan reproche alguno, máxime que sus contestaciones no han perdido validez con la declaratoria de la nulidad, al no depender del hecho que las origina </w:t>
      </w:r>
      <w:r w:rsidR="003E7EC3" w:rsidRPr="002E7951">
        <w:rPr>
          <w:rFonts w:ascii="Tahoma" w:hAnsi="Tahoma" w:cs="Tahoma"/>
          <w:spacing w:val="-3"/>
          <w:kern w:val="2"/>
        </w:rPr>
        <w:t xml:space="preserve">-falta de integración como parte pasiva del señor Fabio Gómez Ochoa como persona natural- </w:t>
      </w:r>
      <w:r w:rsidRPr="002E7951">
        <w:rPr>
          <w:rFonts w:ascii="Tahoma" w:hAnsi="Tahoma" w:cs="Tahoma"/>
          <w:spacing w:val="-3"/>
          <w:kern w:val="2"/>
        </w:rPr>
        <w:t>y, aun cuando así hubiese sido, bien hubieran podido tenerse notificados por conducta concluyente y prescindirse del término de traslado, por lo que ningún efecto tendría dejar sin efectos también las notificaciones a ellos efectuadas</w:t>
      </w:r>
      <w:r w:rsidR="003E7EC3" w:rsidRPr="002E7951">
        <w:rPr>
          <w:rFonts w:ascii="Tahoma" w:hAnsi="Tahoma" w:cs="Tahoma"/>
          <w:spacing w:val="-3"/>
          <w:kern w:val="2"/>
        </w:rPr>
        <w:t xml:space="preserve"> y sus respectivas respuestas a la demanda</w:t>
      </w:r>
      <w:r w:rsidRPr="002E7951">
        <w:rPr>
          <w:rFonts w:ascii="Tahoma" w:hAnsi="Tahoma" w:cs="Tahoma"/>
          <w:spacing w:val="-3"/>
          <w:kern w:val="2"/>
        </w:rPr>
        <w:t xml:space="preserve">. </w:t>
      </w:r>
    </w:p>
    <w:p w14:paraId="24CAFBB8" w14:textId="77777777" w:rsidR="00B62872" w:rsidRPr="002E7951" w:rsidRDefault="00B62872" w:rsidP="002E7951">
      <w:pPr>
        <w:spacing w:line="276" w:lineRule="auto"/>
        <w:ind w:firstLine="567"/>
        <w:rPr>
          <w:rFonts w:ascii="Tahoma" w:hAnsi="Tahoma" w:cs="Tahoma"/>
          <w:spacing w:val="-3"/>
          <w:kern w:val="2"/>
        </w:rPr>
      </w:pPr>
    </w:p>
    <w:p w14:paraId="457F9CF3" w14:textId="6165BA26" w:rsidR="002717D5" w:rsidRPr="002E7951" w:rsidRDefault="008C4FF2" w:rsidP="002E7951">
      <w:pPr>
        <w:spacing w:line="276" w:lineRule="auto"/>
        <w:ind w:firstLine="708"/>
        <w:rPr>
          <w:rFonts w:ascii="Tahoma" w:hAnsi="Tahoma" w:cs="Tahoma"/>
        </w:rPr>
      </w:pPr>
      <w:r w:rsidRPr="002E7951">
        <w:rPr>
          <w:rFonts w:ascii="Tahoma" w:hAnsi="Tahoma" w:cs="Tahoma"/>
          <w:lang w:val="es-419"/>
        </w:rPr>
        <w:t xml:space="preserve">Sin más consideraciones, se confirmará el auto recurrido y, ante la </w:t>
      </w:r>
      <w:proofErr w:type="spellStart"/>
      <w:r w:rsidRPr="002E7951">
        <w:rPr>
          <w:rFonts w:ascii="Tahoma" w:hAnsi="Tahoma" w:cs="Tahoma"/>
          <w:lang w:val="es-419"/>
        </w:rPr>
        <w:t>improsperidad</w:t>
      </w:r>
      <w:proofErr w:type="spellEnd"/>
      <w:r w:rsidRPr="002E7951">
        <w:rPr>
          <w:rFonts w:ascii="Tahoma" w:hAnsi="Tahoma" w:cs="Tahoma"/>
          <w:lang w:val="es-419"/>
        </w:rPr>
        <w:t xml:space="preserve"> del recurso, se condenará en costas procesales al señor </w:t>
      </w:r>
      <w:r w:rsidRPr="002E7951">
        <w:rPr>
          <w:rFonts w:ascii="Tahoma" w:hAnsi="Tahoma" w:cs="Tahoma"/>
          <w:spacing w:val="-3"/>
          <w:kern w:val="2"/>
        </w:rPr>
        <w:t>Fabio Gómez Ochoa, en favor del demandante.</w:t>
      </w:r>
    </w:p>
    <w:p w14:paraId="488DF71E" w14:textId="77777777" w:rsidR="00614887" w:rsidRPr="002E7951" w:rsidRDefault="00614887" w:rsidP="002E7951">
      <w:pPr>
        <w:spacing w:line="276" w:lineRule="auto"/>
        <w:ind w:firstLine="708"/>
        <w:rPr>
          <w:rFonts w:ascii="Tahoma" w:hAnsi="Tahoma" w:cs="Tahoma"/>
        </w:rPr>
      </w:pPr>
    </w:p>
    <w:p w14:paraId="7468EE4B" w14:textId="77777777" w:rsidR="006E0E08" w:rsidRPr="002E7951" w:rsidRDefault="006E0E08" w:rsidP="002E7951">
      <w:pPr>
        <w:spacing w:line="276" w:lineRule="auto"/>
        <w:ind w:firstLine="708"/>
        <w:rPr>
          <w:rFonts w:ascii="Tahoma" w:hAnsi="Tahoma" w:cs="Tahoma"/>
          <w:lang w:val="es-419"/>
        </w:rPr>
      </w:pPr>
      <w:r w:rsidRPr="002E7951">
        <w:rPr>
          <w:rFonts w:ascii="Tahoma" w:hAnsi="Tahoma" w:cs="Tahoma"/>
          <w:lang w:val="es-419"/>
        </w:rPr>
        <w:t>En mérito de lo expuesto, el Tribunal Superior del Distrito Judicial de Pereira (Risaralda), Sala de Decisión Laboral Presidida por la Dra. Ana Lucía Caicedo Calderón,</w:t>
      </w:r>
    </w:p>
    <w:p w14:paraId="788AAF40" w14:textId="77777777" w:rsidR="006E0E08" w:rsidRPr="002E7951" w:rsidRDefault="006E0E08" w:rsidP="002E7951">
      <w:pPr>
        <w:spacing w:line="276" w:lineRule="auto"/>
        <w:ind w:firstLine="708"/>
        <w:rPr>
          <w:rFonts w:ascii="Tahoma" w:hAnsi="Tahoma" w:cs="Tahoma"/>
          <w:lang w:val="es-419"/>
        </w:rPr>
      </w:pPr>
    </w:p>
    <w:p w14:paraId="7B721BC3" w14:textId="77777777" w:rsidR="006E0E08" w:rsidRPr="002E7951" w:rsidRDefault="006E0E08" w:rsidP="002E7951">
      <w:pPr>
        <w:spacing w:line="276" w:lineRule="auto"/>
        <w:ind w:firstLine="708"/>
        <w:jc w:val="center"/>
        <w:rPr>
          <w:rFonts w:ascii="Tahoma" w:hAnsi="Tahoma" w:cs="Tahoma"/>
          <w:b/>
          <w:bCs/>
          <w:lang w:val="es-419"/>
        </w:rPr>
      </w:pPr>
      <w:r w:rsidRPr="002E7951">
        <w:rPr>
          <w:rFonts w:ascii="Tahoma" w:hAnsi="Tahoma" w:cs="Tahoma"/>
          <w:b/>
          <w:bCs/>
          <w:lang w:val="es-419"/>
        </w:rPr>
        <w:t>RESUELVE</w:t>
      </w:r>
    </w:p>
    <w:p w14:paraId="63A00F3C" w14:textId="77777777" w:rsidR="006E0E08" w:rsidRPr="002E7951" w:rsidRDefault="006E0E08" w:rsidP="002E7951">
      <w:pPr>
        <w:spacing w:line="276" w:lineRule="auto"/>
        <w:ind w:firstLine="708"/>
        <w:rPr>
          <w:rFonts w:ascii="Tahoma" w:hAnsi="Tahoma" w:cs="Tahoma"/>
          <w:lang w:val="es-419"/>
        </w:rPr>
      </w:pPr>
    </w:p>
    <w:p w14:paraId="369BF8A8" w14:textId="78D4EE57" w:rsidR="008C4FF2" w:rsidRPr="002E7951" w:rsidRDefault="008C4FF2" w:rsidP="002E7951">
      <w:pPr>
        <w:spacing w:line="276" w:lineRule="auto"/>
        <w:ind w:firstLine="567"/>
        <w:rPr>
          <w:rFonts w:ascii="Tahoma" w:hAnsi="Tahoma" w:cs="Tahoma"/>
        </w:rPr>
      </w:pPr>
      <w:r w:rsidRPr="002E7951">
        <w:rPr>
          <w:rStyle w:val="normaltextrun"/>
          <w:rFonts w:ascii="Tahoma" w:hAnsi="Tahoma" w:cs="Tahoma"/>
          <w:b/>
          <w:bCs/>
          <w:lang w:val="es-419"/>
        </w:rPr>
        <w:t>PRIMERO</w:t>
      </w:r>
      <w:r w:rsidRPr="002E7951">
        <w:rPr>
          <w:rStyle w:val="normaltextrun"/>
          <w:rFonts w:ascii="Tahoma" w:hAnsi="Tahoma" w:cs="Tahoma"/>
          <w:lang w:val="es-419"/>
        </w:rPr>
        <w:t xml:space="preserve">. </w:t>
      </w:r>
      <w:r w:rsidRPr="002E7951">
        <w:rPr>
          <w:rStyle w:val="normaltextrun"/>
          <w:rFonts w:ascii="Tahoma" w:hAnsi="Tahoma" w:cs="Tahoma"/>
          <w:b/>
          <w:bCs/>
          <w:lang w:val="es-419"/>
        </w:rPr>
        <w:t>CONFIRMAR</w:t>
      </w:r>
      <w:r w:rsidRPr="002E7951">
        <w:rPr>
          <w:rStyle w:val="normaltextrun"/>
          <w:rFonts w:ascii="Tahoma" w:hAnsi="Tahoma" w:cs="Tahoma"/>
          <w:lang w:val="es-419"/>
        </w:rPr>
        <w:t xml:space="preserve"> el auto </w:t>
      </w:r>
      <w:r w:rsidRPr="002E7951">
        <w:rPr>
          <w:rStyle w:val="normaltextrun"/>
          <w:rFonts w:ascii="Tahoma" w:hAnsi="Tahoma" w:cs="Tahoma"/>
          <w:lang w:val="es-ES"/>
        </w:rPr>
        <w:t>proferido el 22 de febrero de 2023, por el Juzgado Promiscuo del Circuito de La Virginia-Risaralda, por medio del cual se negó la nulidad propuesta por el señor Fabio Gómez Ochoa.</w:t>
      </w:r>
      <w:r w:rsidRPr="002E7951">
        <w:rPr>
          <w:rStyle w:val="eop"/>
          <w:rFonts w:ascii="Tahoma" w:hAnsi="Tahoma" w:cs="Tahoma"/>
        </w:rPr>
        <w:t> </w:t>
      </w:r>
    </w:p>
    <w:p w14:paraId="189F02DA" w14:textId="77777777" w:rsidR="008C4FF2" w:rsidRPr="002E7951" w:rsidRDefault="008C4FF2" w:rsidP="002E7951">
      <w:pPr>
        <w:pStyle w:val="paragraph"/>
        <w:spacing w:before="0" w:beforeAutospacing="0" w:after="0" w:afterAutospacing="0" w:line="276" w:lineRule="auto"/>
        <w:ind w:firstLine="705"/>
        <w:jc w:val="both"/>
        <w:textAlignment w:val="baseline"/>
        <w:rPr>
          <w:rFonts w:ascii="Tahoma" w:hAnsi="Tahoma" w:cs="Tahoma"/>
        </w:rPr>
      </w:pPr>
      <w:r w:rsidRPr="002E7951">
        <w:rPr>
          <w:rStyle w:val="eop"/>
          <w:rFonts w:ascii="Tahoma" w:hAnsi="Tahoma" w:cs="Tahoma"/>
        </w:rPr>
        <w:t> </w:t>
      </w:r>
    </w:p>
    <w:p w14:paraId="273D130E" w14:textId="6610CBE2" w:rsidR="008C4FF2" w:rsidRPr="002E7951" w:rsidRDefault="008C4FF2" w:rsidP="002E7951">
      <w:pPr>
        <w:spacing w:line="276" w:lineRule="auto"/>
        <w:ind w:firstLine="567"/>
        <w:rPr>
          <w:rFonts w:ascii="Tahoma" w:hAnsi="Tahoma" w:cs="Tahoma"/>
        </w:rPr>
      </w:pPr>
      <w:r w:rsidRPr="002E7951">
        <w:rPr>
          <w:rStyle w:val="normaltextrun"/>
          <w:rFonts w:ascii="Tahoma" w:hAnsi="Tahoma" w:cs="Tahoma"/>
          <w:b/>
          <w:bCs/>
          <w:lang w:val="es-419"/>
        </w:rPr>
        <w:t>SEGUNDO</w:t>
      </w:r>
      <w:r w:rsidRPr="002E7951">
        <w:rPr>
          <w:rStyle w:val="normaltextrun"/>
          <w:rFonts w:ascii="Tahoma" w:hAnsi="Tahoma" w:cs="Tahoma"/>
          <w:lang w:val="es-ES"/>
        </w:rPr>
        <w:t xml:space="preserve">: </w:t>
      </w:r>
      <w:r w:rsidRPr="002E7951">
        <w:rPr>
          <w:rStyle w:val="normaltextrun"/>
          <w:rFonts w:ascii="Tahoma" w:hAnsi="Tahoma" w:cs="Tahoma"/>
          <w:b/>
          <w:bCs/>
          <w:lang w:val="es-ES"/>
        </w:rPr>
        <w:t xml:space="preserve">COSTAS </w:t>
      </w:r>
      <w:r w:rsidRPr="002E7951">
        <w:rPr>
          <w:rStyle w:val="normaltextrun"/>
          <w:rFonts w:ascii="Tahoma" w:hAnsi="Tahoma" w:cs="Tahoma"/>
          <w:lang w:val="es-ES"/>
        </w:rPr>
        <w:t>en esta instancia a cargo del apelante y en favor del demandante. Liquídense por la secretaría del juzgado de origen.</w:t>
      </w:r>
      <w:r w:rsidRPr="002E7951">
        <w:rPr>
          <w:rStyle w:val="eop"/>
          <w:rFonts w:ascii="Tahoma" w:hAnsi="Tahoma" w:cs="Tahoma"/>
        </w:rPr>
        <w:t> </w:t>
      </w:r>
    </w:p>
    <w:p w14:paraId="503DB9FE" w14:textId="77777777" w:rsidR="002E7951" w:rsidRPr="002E7951" w:rsidRDefault="002E7951" w:rsidP="002E7951">
      <w:pPr>
        <w:spacing w:line="276" w:lineRule="auto"/>
        <w:rPr>
          <w:rFonts w:ascii="Tahoma" w:eastAsia="Calibri" w:hAnsi="Tahoma" w:cs="Tahoma"/>
        </w:rPr>
      </w:pPr>
      <w:bookmarkStart w:id="6" w:name="_Hlk126574973"/>
      <w:bookmarkEnd w:id="2"/>
    </w:p>
    <w:p w14:paraId="6B151E83" w14:textId="77777777" w:rsidR="002E7951" w:rsidRPr="002E7951" w:rsidRDefault="002E7951" w:rsidP="002E7951">
      <w:pPr>
        <w:spacing w:line="276" w:lineRule="auto"/>
        <w:jc w:val="center"/>
        <w:rPr>
          <w:rFonts w:ascii="Tahoma" w:eastAsia="Tahoma" w:hAnsi="Tahoma" w:cs="Tahoma"/>
          <w:b/>
          <w:bCs/>
        </w:rPr>
      </w:pPr>
      <w:r w:rsidRPr="002E7951">
        <w:rPr>
          <w:rFonts w:ascii="Tahoma" w:eastAsia="Tahoma" w:hAnsi="Tahoma" w:cs="Tahoma"/>
          <w:b/>
          <w:bCs/>
        </w:rPr>
        <w:t>Notifíquese y cúmplase</w:t>
      </w:r>
    </w:p>
    <w:p w14:paraId="24406E3E" w14:textId="77777777" w:rsidR="002E7951" w:rsidRPr="002E7951" w:rsidRDefault="002E7951" w:rsidP="002E7951">
      <w:pPr>
        <w:spacing w:line="276" w:lineRule="auto"/>
        <w:rPr>
          <w:rFonts w:ascii="Tahoma" w:eastAsia="Calibri" w:hAnsi="Tahoma" w:cs="Tahoma"/>
        </w:rPr>
      </w:pPr>
      <w:r w:rsidRPr="002E7951">
        <w:rPr>
          <w:rFonts w:ascii="Tahoma" w:eastAsia="Calibri" w:hAnsi="Tahoma" w:cs="Tahoma"/>
        </w:rPr>
        <w:t xml:space="preserve"> </w:t>
      </w:r>
    </w:p>
    <w:p w14:paraId="56D214AB" w14:textId="77777777" w:rsidR="002E7951" w:rsidRPr="002E7951" w:rsidRDefault="002E7951" w:rsidP="002E7951">
      <w:pPr>
        <w:widowControl w:val="0"/>
        <w:autoSpaceDE w:val="0"/>
        <w:autoSpaceDN w:val="0"/>
        <w:adjustRightInd w:val="0"/>
        <w:spacing w:line="276" w:lineRule="auto"/>
        <w:rPr>
          <w:rFonts w:ascii="Tahoma" w:eastAsia="Times New Roman" w:hAnsi="Tahoma" w:cs="Tahoma"/>
          <w:lang w:val="es-ES" w:eastAsia="es-ES"/>
        </w:rPr>
      </w:pPr>
      <w:r w:rsidRPr="002E7951">
        <w:rPr>
          <w:rFonts w:ascii="Tahoma" w:eastAsia="Times New Roman" w:hAnsi="Tahoma" w:cs="Tahoma"/>
          <w:lang w:val="es-ES" w:eastAsia="es-ES"/>
        </w:rPr>
        <w:tab/>
        <w:t>La Magistrada ponente,</w:t>
      </w:r>
    </w:p>
    <w:p w14:paraId="546FBD49" w14:textId="77777777" w:rsidR="002E7951" w:rsidRPr="002E7951" w:rsidRDefault="002E7951" w:rsidP="002E7951">
      <w:pPr>
        <w:spacing w:line="276" w:lineRule="auto"/>
        <w:jc w:val="left"/>
        <w:rPr>
          <w:rFonts w:ascii="Tahoma" w:eastAsia="Times New Roman" w:hAnsi="Tahoma" w:cs="Tahoma"/>
          <w:lang w:val="es-ES" w:eastAsia="es-ES"/>
        </w:rPr>
      </w:pPr>
    </w:p>
    <w:p w14:paraId="5DBD7934" w14:textId="77777777" w:rsidR="002E7951" w:rsidRPr="002E7951" w:rsidRDefault="002E7951" w:rsidP="002E7951">
      <w:pPr>
        <w:spacing w:line="276" w:lineRule="auto"/>
        <w:jc w:val="left"/>
        <w:rPr>
          <w:rFonts w:ascii="Tahoma" w:eastAsia="Times New Roman" w:hAnsi="Tahoma" w:cs="Tahoma"/>
          <w:lang w:val="es-ES" w:eastAsia="es-ES"/>
        </w:rPr>
      </w:pPr>
    </w:p>
    <w:p w14:paraId="48DF9802" w14:textId="77777777" w:rsidR="002E7951" w:rsidRPr="002E7951" w:rsidRDefault="002E7951" w:rsidP="002E7951">
      <w:pPr>
        <w:spacing w:line="276" w:lineRule="auto"/>
        <w:jc w:val="left"/>
        <w:rPr>
          <w:rFonts w:ascii="Tahoma" w:eastAsia="Times New Roman" w:hAnsi="Tahoma" w:cs="Tahoma"/>
          <w:lang w:val="es-ES" w:eastAsia="es-ES"/>
        </w:rPr>
      </w:pPr>
    </w:p>
    <w:p w14:paraId="44D74F94" w14:textId="77777777" w:rsidR="002E7951" w:rsidRPr="002E7951" w:rsidRDefault="002E7951" w:rsidP="002E7951">
      <w:pPr>
        <w:keepNext/>
        <w:spacing w:line="276" w:lineRule="auto"/>
        <w:jc w:val="center"/>
        <w:outlineLvl w:val="2"/>
        <w:rPr>
          <w:rFonts w:ascii="Tahoma" w:eastAsia="Times New Roman" w:hAnsi="Tahoma" w:cs="Tahoma"/>
          <w:b/>
          <w:bCs/>
          <w:lang w:val="es-ES" w:eastAsia="es-ES"/>
        </w:rPr>
      </w:pPr>
      <w:r w:rsidRPr="002E7951">
        <w:rPr>
          <w:rFonts w:ascii="Tahoma" w:eastAsia="Times New Roman" w:hAnsi="Tahoma" w:cs="Tahoma"/>
          <w:b/>
          <w:bCs/>
          <w:lang w:val="es-ES" w:eastAsia="es-ES"/>
        </w:rPr>
        <w:t>ANA LUCÍA CAICEDO CALDERÓN</w:t>
      </w:r>
    </w:p>
    <w:p w14:paraId="1314CC37" w14:textId="77777777" w:rsidR="002E7951" w:rsidRPr="002E7951" w:rsidRDefault="002E7951" w:rsidP="002E7951">
      <w:pPr>
        <w:spacing w:line="276" w:lineRule="auto"/>
        <w:jc w:val="left"/>
        <w:rPr>
          <w:rFonts w:ascii="Tahoma" w:eastAsia="Times New Roman" w:hAnsi="Tahoma" w:cs="Tahoma"/>
          <w:lang w:val="es-ES" w:eastAsia="es-ES"/>
        </w:rPr>
      </w:pPr>
    </w:p>
    <w:p w14:paraId="1FEB1F97" w14:textId="77777777" w:rsidR="002E7951" w:rsidRPr="002E7951" w:rsidRDefault="002E7951" w:rsidP="002E7951">
      <w:pPr>
        <w:spacing w:line="276" w:lineRule="auto"/>
        <w:ind w:firstLine="708"/>
        <w:jc w:val="left"/>
        <w:rPr>
          <w:rFonts w:ascii="Tahoma" w:eastAsia="Times New Roman" w:hAnsi="Tahoma" w:cs="Tahoma"/>
          <w:lang w:val="es-ES" w:eastAsia="es-ES"/>
        </w:rPr>
      </w:pPr>
      <w:bookmarkStart w:id="7" w:name="_Hlk62478330"/>
      <w:r w:rsidRPr="002E7951">
        <w:rPr>
          <w:rFonts w:ascii="Tahoma" w:eastAsia="Times New Roman" w:hAnsi="Tahoma" w:cs="Tahoma"/>
          <w:lang w:val="es-ES" w:eastAsia="es-ES"/>
        </w:rPr>
        <w:t>La Magistrada y el Magistrado,</w:t>
      </w:r>
    </w:p>
    <w:p w14:paraId="1A27B3E2" w14:textId="77777777" w:rsidR="002E7951" w:rsidRPr="002E7951" w:rsidRDefault="002E7951" w:rsidP="002E7951">
      <w:pPr>
        <w:spacing w:line="276" w:lineRule="auto"/>
        <w:jc w:val="left"/>
        <w:rPr>
          <w:rFonts w:ascii="Tahoma" w:eastAsia="Times New Roman" w:hAnsi="Tahoma" w:cs="Tahoma"/>
          <w:lang w:val="es-ES" w:eastAsia="es-ES"/>
        </w:rPr>
      </w:pPr>
    </w:p>
    <w:p w14:paraId="002C9848" w14:textId="77777777" w:rsidR="002E7951" w:rsidRPr="002E7951" w:rsidRDefault="002E7951" w:rsidP="002E7951">
      <w:pPr>
        <w:spacing w:line="276" w:lineRule="auto"/>
        <w:jc w:val="left"/>
        <w:rPr>
          <w:rFonts w:ascii="Tahoma" w:eastAsia="Times New Roman" w:hAnsi="Tahoma" w:cs="Tahoma"/>
          <w:lang w:val="es-ES" w:eastAsia="es-ES"/>
        </w:rPr>
      </w:pPr>
    </w:p>
    <w:p w14:paraId="49DAB7F4" w14:textId="77777777" w:rsidR="002E7951" w:rsidRPr="002E7951" w:rsidRDefault="002E7951" w:rsidP="002E7951">
      <w:pPr>
        <w:spacing w:line="276" w:lineRule="auto"/>
        <w:jc w:val="left"/>
        <w:rPr>
          <w:rFonts w:ascii="Tahoma" w:eastAsia="Times New Roman" w:hAnsi="Tahoma" w:cs="Tahoma"/>
          <w:lang w:val="es-ES" w:eastAsia="es-ES"/>
        </w:rPr>
      </w:pPr>
    </w:p>
    <w:p w14:paraId="66CFF584" w14:textId="77777777" w:rsidR="002E7951" w:rsidRPr="002E7951" w:rsidRDefault="002E7951" w:rsidP="002E7951">
      <w:pPr>
        <w:spacing w:line="276" w:lineRule="auto"/>
        <w:rPr>
          <w:rFonts w:ascii="Tahoma" w:eastAsia="Calibri" w:hAnsi="Tahoma" w:cs="Tahoma"/>
          <w:lang w:val="es-ES"/>
        </w:rPr>
      </w:pPr>
      <w:r w:rsidRPr="002E7951">
        <w:rPr>
          <w:rFonts w:ascii="Tahoma" w:eastAsia="Times New Roman" w:hAnsi="Tahoma" w:cs="Tahoma"/>
          <w:b/>
          <w:bCs/>
          <w:lang w:val="es-ES" w:eastAsia="es-ES"/>
        </w:rPr>
        <w:t>OLGA LUCÍA HOYOS SEPÚLVEDA</w:t>
      </w:r>
      <w:r w:rsidRPr="002E7951">
        <w:rPr>
          <w:rFonts w:ascii="Tahoma" w:eastAsia="Times New Roman" w:hAnsi="Tahoma" w:cs="Tahoma"/>
          <w:b/>
          <w:bCs/>
          <w:lang w:val="es-ES" w:eastAsia="es-ES"/>
        </w:rPr>
        <w:tab/>
      </w:r>
      <w:r w:rsidRPr="002E7951">
        <w:rPr>
          <w:rFonts w:ascii="Tahoma" w:eastAsia="Times New Roman" w:hAnsi="Tahoma" w:cs="Tahoma"/>
          <w:b/>
          <w:bCs/>
          <w:lang w:val="es-ES" w:eastAsia="es-ES"/>
        </w:rPr>
        <w:tab/>
        <w:t xml:space="preserve">GERMÁN DARÍO </w:t>
      </w:r>
      <w:proofErr w:type="spellStart"/>
      <w:r w:rsidRPr="002E7951">
        <w:rPr>
          <w:rFonts w:ascii="Tahoma" w:eastAsia="Times New Roman" w:hAnsi="Tahoma" w:cs="Tahoma"/>
          <w:b/>
          <w:bCs/>
          <w:lang w:val="es-ES" w:eastAsia="es-ES"/>
        </w:rPr>
        <w:t>GÓEZ</w:t>
      </w:r>
      <w:proofErr w:type="spellEnd"/>
      <w:r w:rsidRPr="002E7951">
        <w:rPr>
          <w:rFonts w:ascii="Tahoma" w:eastAsia="Times New Roman" w:hAnsi="Tahoma" w:cs="Tahoma"/>
          <w:b/>
          <w:bCs/>
          <w:lang w:val="es-ES" w:eastAsia="es-ES"/>
        </w:rPr>
        <w:t xml:space="preserve"> </w:t>
      </w:r>
      <w:proofErr w:type="spellStart"/>
      <w:r w:rsidRPr="002E7951">
        <w:rPr>
          <w:rFonts w:ascii="Tahoma" w:eastAsia="Times New Roman" w:hAnsi="Tahoma" w:cs="Tahoma"/>
          <w:b/>
          <w:bCs/>
          <w:lang w:val="es-ES" w:eastAsia="es-ES"/>
        </w:rPr>
        <w:t>VINASCO</w:t>
      </w:r>
      <w:bookmarkEnd w:id="6"/>
      <w:bookmarkEnd w:id="7"/>
      <w:proofErr w:type="spellEnd"/>
    </w:p>
    <w:p w14:paraId="6680EB1E" w14:textId="6E31D3F2" w:rsidR="0025175A" w:rsidRPr="002E7951" w:rsidRDefault="002E7951" w:rsidP="002E7951">
      <w:pPr>
        <w:spacing w:line="276" w:lineRule="auto"/>
        <w:rPr>
          <w:rFonts w:ascii="Tahoma" w:hAnsi="Tahoma" w:cs="Tahoma"/>
          <w:lang w:val="es-ES"/>
        </w:rPr>
      </w:pPr>
      <w:r>
        <w:rPr>
          <w:rFonts w:ascii="Tahoma" w:hAnsi="Tahoma" w:cs="Tahoma"/>
          <w:lang w:val="es-ES"/>
        </w:rPr>
        <w:tab/>
      </w:r>
      <w:r>
        <w:rPr>
          <w:rFonts w:ascii="Tahoma" w:hAnsi="Tahoma" w:cs="Tahoma"/>
          <w:lang w:val="es-ES"/>
        </w:rPr>
        <w:tab/>
      </w:r>
      <w:r>
        <w:rPr>
          <w:rFonts w:ascii="Tahoma" w:hAnsi="Tahoma" w:cs="Tahoma"/>
          <w:lang w:val="es-ES"/>
        </w:rPr>
        <w:tab/>
      </w:r>
      <w:r>
        <w:rPr>
          <w:rFonts w:ascii="Tahoma" w:hAnsi="Tahoma" w:cs="Tahoma"/>
          <w:lang w:val="es-ES"/>
        </w:rPr>
        <w:tab/>
      </w:r>
      <w:r>
        <w:rPr>
          <w:rFonts w:ascii="Tahoma" w:hAnsi="Tahoma" w:cs="Tahoma"/>
          <w:lang w:val="es-ES"/>
        </w:rPr>
        <w:tab/>
      </w:r>
      <w:r>
        <w:rPr>
          <w:rFonts w:ascii="Tahoma" w:hAnsi="Tahoma" w:cs="Tahoma"/>
          <w:lang w:val="es-ES"/>
        </w:rPr>
        <w:tab/>
      </w:r>
      <w:r>
        <w:rPr>
          <w:rFonts w:ascii="Tahoma" w:hAnsi="Tahoma" w:cs="Tahoma"/>
          <w:lang w:val="es-ES"/>
        </w:rPr>
        <w:tab/>
        <w:t>Ausencia justificada</w:t>
      </w:r>
      <w:bookmarkStart w:id="8" w:name="_GoBack"/>
      <w:bookmarkEnd w:id="8"/>
    </w:p>
    <w:sectPr w:rsidR="0025175A" w:rsidRPr="002E7951" w:rsidSect="00BA6782">
      <w:headerReference w:type="default" r:id="rId11"/>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16BA00" w16cex:dateUtc="2023-08-30T16:52:08.278Z"/>
  <w16cex:commentExtensible w16cex:durableId="2C8D6593" w16cex:dateUtc="2023-08-30T18:28:42.571Z"/>
  <w16cex:commentExtensible w16cex:durableId="1BF4EB41" w16cex:dateUtc="2023-11-15T15:13:31.369Z"/>
</w16cex:commentsExtensible>
</file>

<file path=word/commentsIds.xml><?xml version="1.0" encoding="utf-8"?>
<w16cid:commentsIds xmlns:mc="http://schemas.openxmlformats.org/markup-compatibility/2006" xmlns:w16cid="http://schemas.microsoft.com/office/word/2016/wordml/cid" mc:Ignorable="w16cid">
  <w16cid:commentId w16cid:paraId="461A91DD" w16cid:durableId="1BF4EB4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3091D" w14:textId="77777777" w:rsidR="00126D82" w:rsidRDefault="00126D82" w:rsidP="00D57090">
      <w:pPr>
        <w:spacing w:line="240" w:lineRule="auto"/>
      </w:pPr>
      <w:r>
        <w:separator/>
      </w:r>
    </w:p>
  </w:endnote>
  <w:endnote w:type="continuationSeparator" w:id="0">
    <w:p w14:paraId="4A2C95FF" w14:textId="77777777" w:rsidR="00126D82" w:rsidRDefault="00126D82" w:rsidP="00D570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05C41" w14:textId="77777777" w:rsidR="00126D82" w:rsidRDefault="00126D82" w:rsidP="00D57090">
      <w:pPr>
        <w:spacing w:line="240" w:lineRule="auto"/>
      </w:pPr>
      <w:r>
        <w:separator/>
      </w:r>
    </w:p>
  </w:footnote>
  <w:footnote w:type="continuationSeparator" w:id="0">
    <w:p w14:paraId="3F6681F3" w14:textId="77777777" w:rsidR="00126D82" w:rsidRDefault="00126D82" w:rsidP="00D570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9C5BA" w14:textId="11964D8F" w:rsidR="00EC6C51" w:rsidRPr="00D46659" w:rsidRDefault="00EC6C51" w:rsidP="00D46659">
    <w:pPr>
      <w:pStyle w:val="Encabezado"/>
      <w:tabs>
        <w:tab w:val="clear" w:pos="4419"/>
        <w:tab w:val="clear" w:pos="8838"/>
      </w:tabs>
      <w:rPr>
        <w:rFonts w:cs="Arial"/>
        <w:sz w:val="20"/>
        <w:szCs w:val="18"/>
      </w:rPr>
    </w:pPr>
    <w:r w:rsidRPr="00D46659">
      <w:rPr>
        <w:rFonts w:cs="Arial"/>
        <w:sz w:val="20"/>
        <w:szCs w:val="18"/>
      </w:rPr>
      <w:t>Radicado:</w:t>
    </w:r>
    <w:r w:rsidR="00D46659">
      <w:rPr>
        <w:rFonts w:cs="Arial"/>
        <w:sz w:val="20"/>
        <w:szCs w:val="18"/>
      </w:rPr>
      <w:tab/>
    </w:r>
    <w:r w:rsidR="006364A5" w:rsidRPr="00D46659">
      <w:rPr>
        <w:rFonts w:cs="Arial"/>
        <w:sz w:val="20"/>
        <w:szCs w:val="18"/>
      </w:rPr>
      <w:t>66400-31-89-001-2021-01281-01</w:t>
    </w:r>
  </w:p>
  <w:p w14:paraId="0FC3981D" w14:textId="403919CA" w:rsidR="00EC6C51" w:rsidRPr="00D46659" w:rsidRDefault="00EC6C51" w:rsidP="00D46659">
    <w:pPr>
      <w:pStyle w:val="Encabezado"/>
      <w:tabs>
        <w:tab w:val="clear" w:pos="4419"/>
        <w:tab w:val="clear" w:pos="8838"/>
      </w:tabs>
      <w:rPr>
        <w:rFonts w:cs="Arial"/>
        <w:sz w:val="20"/>
        <w:szCs w:val="18"/>
      </w:rPr>
    </w:pPr>
    <w:r w:rsidRPr="00D46659">
      <w:rPr>
        <w:rFonts w:cs="Arial"/>
        <w:sz w:val="20"/>
        <w:szCs w:val="18"/>
      </w:rPr>
      <w:t>Demandante:</w:t>
    </w:r>
    <w:r w:rsidR="00D46659">
      <w:rPr>
        <w:rFonts w:cs="Arial"/>
        <w:sz w:val="20"/>
        <w:szCs w:val="18"/>
      </w:rPr>
      <w:tab/>
    </w:r>
    <w:r w:rsidR="006364A5" w:rsidRPr="00D46659">
      <w:rPr>
        <w:rFonts w:cs="Arial"/>
        <w:sz w:val="20"/>
        <w:szCs w:val="18"/>
      </w:rPr>
      <w:t>Oscar Ortiz Mejía</w:t>
    </w:r>
  </w:p>
  <w:p w14:paraId="5F8F2EB3" w14:textId="4CA9F39F" w:rsidR="006364A5" w:rsidRPr="00D46659" w:rsidRDefault="00EC6C51" w:rsidP="00D46659">
    <w:pPr>
      <w:pStyle w:val="Encabezado"/>
      <w:tabs>
        <w:tab w:val="clear" w:pos="4419"/>
        <w:tab w:val="clear" w:pos="8838"/>
      </w:tabs>
      <w:rPr>
        <w:rFonts w:cs="Arial"/>
        <w:sz w:val="20"/>
        <w:szCs w:val="18"/>
      </w:rPr>
    </w:pPr>
    <w:r w:rsidRPr="00D46659">
      <w:rPr>
        <w:rFonts w:cs="Arial"/>
        <w:sz w:val="20"/>
        <w:szCs w:val="18"/>
      </w:rPr>
      <w:t>Demandado:</w:t>
    </w:r>
    <w:r w:rsidR="00D46659">
      <w:rPr>
        <w:rFonts w:cs="Arial"/>
        <w:sz w:val="20"/>
        <w:szCs w:val="18"/>
      </w:rPr>
      <w:tab/>
    </w:r>
    <w:r w:rsidR="006364A5" w:rsidRPr="00D46659">
      <w:rPr>
        <w:rFonts w:cs="Arial"/>
        <w:sz w:val="20"/>
        <w:szCs w:val="18"/>
      </w:rPr>
      <w:t>Fabio Gómez Ochoa y otros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870AF"/>
    <w:multiLevelType w:val="multilevel"/>
    <w:tmpl w:val="CD06080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3C6B1EA3"/>
    <w:multiLevelType w:val="hybridMultilevel"/>
    <w:tmpl w:val="9CAA907C"/>
    <w:lvl w:ilvl="0" w:tplc="63263A22">
      <w:numFmt w:val="bullet"/>
      <w:lvlText w:val="-"/>
      <w:lvlJc w:val="left"/>
      <w:pPr>
        <w:ind w:left="1068" w:hanging="360"/>
      </w:pPr>
      <w:rPr>
        <w:rFonts w:ascii="Arial Narrow" w:eastAsiaTheme="minorHAnsi" w:hAnsi="Arial Narrow"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15:restartNumberingAfterBreak="0">
    <w:nsid w:val="3E796335"/>
    <w:multiLevelType w:val="multilevel"/>
    <w:tmpl w:val="CD06080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43C355A2"/>
    <w:multiLevelType w:val="hybridMultilevel"/>
    <w:tmpl w:val="6B22651A"/>
    <w:lvl w:ilvl="0" w:tplc="50DC69F6">
      <w:start w:val="1"/>
      <w:numFmt w:val="decimal"/>
      <w:lvlText w:val="%1."/>
      <w:lvlJc w:val="left"/>
      <w:pPr>
        <w:ind w:left="1144" w:hanging="360"/>
      </w:pPr>
      <w:rPr>
        <w:rFonts w:hint="default"/>
        <w:b/>
      </w:rPr>
    </w:lvl>
    <w:lvl w:ilvl="1" w:tplc="240A0019" w:tentative="1">
      <w:start w:val="1"/>
      <w:numFmt w:val="lowerLetter"/>
      <w:lvlText w:val="%2."/>
      <w:lvlJc w:val="left"/>
      <w:pPr>
        <w:ind w:left="1864" w:hanging="360"/>
      </w:pPr>
    </w:lvl>
    <w:lvl w:ilvl="2" w:tplc="240A001B" w:tentative="1">
      <w:start w:val="1"/>
      <w:numFmt w:val="lowerRoman"/>
      <w:lvlText w:val="%3."/>
      <w:lvlJc w:val="right"/>
      <w:pPr>
        <w:ind w:left="2584" w:hanging="180"/>
      </w:pPr>
    </w:lvl>
    <w:lvl w:ilvl="3" w:tplc="240A000F" w:tentative="1">
      <w:start w:val="1"/>
      <w:numFmt w:val="decimal"/>
      <w:lvlText w:val="%4."/>
      <w:lvlJc w:val="left"/>
      <w:pPr>
        <w:ind w:left="3304" w:hanging="360"/>
      </w:pPr>
    </w:lvl>
    <w:lvl w:ilvl="4" w:tplc="240A0019" w:tentative="1">
      <w:start w:val="1"/>
      <w:numFmt w:val="lowerLetter"/>
      <w:lvlText w:val="%5."/>
      <w:lvlJc w:val="left"/>
      <w:pPr>
        <w:ind w:left="4024" w:hanging="360"/>
      </w:pPr>
    </w:lvl>
    <w:lvl w:ilvl="5" w:tplc="240A001B" w:tentative="1">
      <w:start w:val="1"/>
      <w:numFmt w:val="lowerRoman"/>
      <w:lvlText w:val="%6."/>
      <w:lvlJc w:val="right"/>
      <w:pPr>
        <w:ind w:left="4744" w:hanging="180"/>
      </w:pPr>
    </w:lvl>
    <w:lvl w:ilvl="6" w:tplc="240A000F" w:tentative="1">
      <w:start w:val="1"/>
      <w:numFmt w:val="decimal"/>
      <w:lvlText w:val="%7."/>
      <w:lvlJc w:val="left"/>
      <w:pPr>
        <w:ind w:left="5464" w:hanging="360"/>
      </w:pPr>
    </w:lvl>
    <w:lvl w:ilvl="7" w:tplc="240A0019" w:tentative="1">
      <w:start w:val="1"/>
      <w:numFmt w:val="lowerLetter"/>
      <w:lvlText w:val="%8."/>
      <w:lvlJc w:val="left"/>
      <w:pPr>
        <w:ind w:left="6184" w:hanging="360"/>
      </w:pPr>
    </w:lvl>
    <w:lvl w:ilvl="8" w:tplc="240A001B" w:tentative="1">
      <w:start w:val="1"/>
      <w:numFmt w:val="lowerRoman"/>
      <w:lvlText w:val="%9."/>
      <w:lvlJc w:val="right"/>
      <w:pPr>
        <w:ind w:left="6904" w:hanging="180"/>
      </w:pPr>
    </w:lvl>
  </w:abstractNum>
  <w:abstractNum w:abstractNumId="4" w15:restartNumberingAfterBreak="0">
    <w:nsid w:val="47862183"/>
    <w:multiLevelType w:val="multilevel"/>
    <w:tmpl w:val="CD06080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15:restartNumberingAfterBreak="0">
    <w:nsid w:val="488E3E9D"/>
    <w:multiLevelType w:val="multilevel"/>
    <w:tmpl w:val="7C0EAA5A"/>
    <w:lvl w:ilvl="0">
      <w:start w:val="7"/>
      <w:numFmt w:val="decimal"/>
      <w:lvlText w:val="%1."/>
      <w:lvlJc w:val="left"/>
      <w:pPr>
        <w:ind w:left="450" w:hanging="450"/>
      </w:pPr>
      <w:rPr>
        <w:rFonts w:eastAsiaTheme="minorHAnsi" w:hint="default"/>
      </w:rPr>
    </w:lvl>
    <w:lvl w:ilvl="1">
      <w:start w:val="1"/>
      <w:numFmt w:val="decimal"/>
      <w:lvlText w:val="%1.%2."/>
      <w:lvlJc w:val="left"/>
      <w:pPr>
        <w:ind w:left="1080" w:hanging="720"/>
      </w:pPr>
      <w:rPr>
        <w:rFonts w:eastAsiaTheme="minorHAnsi" w:hint="default"/>
      </w:rPr>
    </w:lvl>
    <w:lvl w:ilvl="2">
      <w:start w:val="1"/>
      <w:numFmt w:val="decimal"/>
      <w:lvlText w:val="%1.%2.%3."/>
      <w:lvlJc w:val="left"/>
      <w:pPr>
        <w:ind w:left="1800" w:hanging="1080"/>
      </w:pPr>
      <w:rPr>
        <w:rFonts w:eastAsiaTheme="minorHAnsi" w:hint="default"/>
      </w:rPr>
    </w:lvl>
    <w:lvl w:ilvl="3">
      <w:start w:val="1"/>
      <w:numFmt w:val="decimal"/>
      <w:lvlText w:val="%1.%2.%3.%4."/>
      <w:lvlJc w:val="left"/>
      <w:pPr>
        <w:ind w:left="2520" w:hanging="1440"/>
      </w:pPr>
      <w:rPr>
        <w:rFonts w:eastAsiaTheme="minorHAnsi" w:hint="default"/>
      </w:rPr>
    </w:lvl>
    <w:lvl w:ilvl="4">
      <w:start w:val="1"/>
      <w:numFmt w:val="decimal"/>
      <w:lvlText w:val="%1.%2.%3.%4.%5."/>
      <w:lvlJc w:val="left"/>
      <w:pPr>
        <w:ind w:left="2880" w:hanging="1440"/>
      </w:pPr>
      <w:rPr>
        <w:rFonts w:eastAsiaTheme="minorHAnsi" w:hint="default"/>
      </w:rPr>
    </w:lvl>
    <w:lvl w:ilvl="5">
      <w:start w:val="1"/>
      <w:numFmt w:val="decimal"/>
      <w:lvlText w:val="%1.%2.%3.%4.%5.%6."/>
      <w:lvlJc w:val="left"/>
      <w:pPr>
        <w:ind w:left="3600" w:hanging="1800"/>
      </w:pPr>
      <w:rPr>
        <w:rFonts w:eastAsiaTheme="minorHAnsi" w:hint="default"/>
      </w:rPr>
    </w:lvl>
    <w:lvl w:ilvl="6">
      <w:start w:val="1"/>
      <w:numFmt w:val="decimal"/>
      <w:lvlText w:val="%1.%2.%3.%4.%5.%6.%7."/>
      <w:lvlJc w:val="left"/>
      <w:pPr>
        <w:ind w:left="4320" w:hanging="2160"/>
      </w:pPr>
      <w:rPr>
        <w:rFonts w:eastAsiaTheme="minorHAnsi" w:hint="default"/>
      </w:rPr>
    </w:lvl>
    <w:lvl w:ilvl="7">
      <w:start w:val="1"/>
      <w:numFmt w:val="decimal"/>
      <w:lvlText w:val="%1.%2.%3.%4.%5.%6.%7.%8."/>
      <w:lvlJc w:val="left"/>
      <w:pPr>
        <w:ind w:left="5040" w:hanging="2520"/>
      </w:pPr>
      <w:rPr>
        <w:rFonts w:eastAsiaTheme="minorHAnsi" w:hint="default"/>
      </w:rPr>
    </w:lvl>
    <w:lvl w:ilvl="8">
      <w:start w:val="1"/>
      <w:numFmt w:val="decimal"/>
      <w:lvlText w:val="%1.%2.%3.%4.%5.%6.%7.%8.%9."/>
      <w:lvlJc w:val="left"/>
      <w:pPr>
        <w:ind w:left="5400" w:hanging="2520"/>
      </w:pPr>
      <w:rPr>
        <w:rFonts w:eastAsiaTheme="minorHAnsi" w:hint="default"/>
      </w:rPr>
    </w:lvl>
  </w:abstractNum>
  <w:abstractNum w:abstractNumId="6" w15:restartNumberingAfterBreak="0">
    <w:nsid w:val="503C48B7"/>
    <w:multiLevelType w:val="hybridMultilevel"/>
    <w:tmpl w:val="06F66D28"/>
    <w:lvl w:ilvl="0" w:tplc="DA3E21E0">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7" w15:restartNumberingAfterBreak="0">
    <w:nsid w:val="5FFD47F8"/>
    <w:multiLevelType w:val="multilevel"/>
    <w:tmpl w:val="CD06080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 w15:restartNumberingAfterBreak="0">
    <w:nsid w:val="7DAC77D5"/>
    <w:multiLevelType w:val="hybridMultilevel"/>
    <w:tmpl w:val="06F66D28"/>
    <w:lvl w:ilvl="0" w:tplc="DA3E21E0">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9" w15:restartNumberingAfterBreak="0">
    <w:nsid w:val="7F5837FC"/>
    <w:multiLevelType w:val="hybridMultilevel"/>
    <w:tmpl w:val="06F66D28"/>
    <w:lvl w:ilvl="0" w:tplc="DA3E21E0">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4"/>
  </w:num>
  <w:num w:numId="5">
    <w:abstractNumId w:val="9"/>
  </w:num>
  <w:num w:numId="6">
    <w:abstractNumId w:val="8"/>
  </w:num>
  <w:num w:numId="7">
    <w:abstractNumId w:val="6"/>
  </w:num>
  <w:num w:numId="8">
    <w:abstractNumId w:val="1"/>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63C"/>
    <w:rsid w:val="00005231"/>
    <w:rsid w:val="00021F62"/>
    <w:rsid w:val="000220A0"/>
    <w:rsid w:val="0002260E"/>
    <w:rsid w:val="00030263"/>
    <w:rsid w:val="00032D8E"/>
    <w:rsid w:val="00060723"/>
    <w:rsid w:val="00064B7C"/>
    <w:rsid w:val="000758EB"/>
    <w:rsid w:val="0008124F"/>
    <w:rsid w:val="000901E7"/>
    <w:rsid w:val="0009335F"/>
    <w:rsid w:val="000A1DB5"/>
    <w:rsid w:val="000B2296"/>
    <w:rsid w:val="000D69FD"/>
    <w:rsid w:val="000F1946"/>
    <w:rsid w:val="00100C3A"/>
    <w:rsid w:val="00126D82"/>
    <w:rsid w:val="00127B0B"/>
    <w:rsid w:val="001353A2"/>
    <w:rsid w:val="001363CA"/>
    <w:rsid w:val="0013745D"/>
    <w:rsid w:val="0016001E"/>
    <w:rsid w:val="00167E00"/>
    <w:rsid w:val="00185856"/>
    <w:rsid w:val="00194553"/>
    <w:rsid w:val="001A2F1C"/>
    <w:rsid w:val="001C20F3"/>
    <w:rsid w:val="001C56EB"/>
    <w:rsid w:val="001C6294"/>
    <w:rsid w:val="001E307A"/>
    <w:rsid w:val="001E3EF3"/>
    <w:rsid w:val="001E66EB"/>
    <w:rsid w:val="001F2C19"/>
    <w:rsid w:val="00225E76"/>
    <w:rsid w:val="002272C1"/>
    <w:rsid w:val="00231591"/>
    <w:rsid w:val="0025175A"/>
    <w:rsid w:val="002573DF"/>
    <w:rsid w:val="00267EDC"/>
    <w:rsid w:val="002717D5"/>
    <w:rsid w:val="00275C49"/>
    <w:rsid w:val="002804ED"/>
    <w:rsid w:val="002823F7"/>
    <w:rsid w:val="00283EF3"/>
    <w:rsid w:val="00290DBD"/>
    <w:rsid w:val="002A2F5E"/>
    <w:rsid w:val="002D6A1F"/>
    <w:rsid w:val="002E5089"/>
    <w:rsid w:val="002E7951"/>
    <w:rsid w:val="002F46AD"/>
    <w:rsid w:val="002F7B73"/>
    <w:rsid w:val="003001D0"/>
    <w:rsid w:val="00322E89"/>
    <w:rsid w:val="00326D2B"/>
    <w:rsid w:val="0033460A"/>
    <w:rsid w:val="003411FE"/>
    <w:rsid w:val="0034363C"/>
    <w:rsid w:val="00357718"/>
    <w:rsid w:val="00361ED9"/>
    <w:rsid w:val="00363521"/>
    <w:rsid w:val="003928D1"/>
    <w:rsid w:val="00392A86"/>
    <w:rsid w:val="00393999"/>
    <w:rsid w:val="0039638A"/>
    <w:rsid w:val="003B6C90"/>
    <w:rsid w:val="003E1437"/>
    <w:rsid w:val="003E7EC3"/>
    <w:rsid w:val="004233DC"/>
    <w:rsid w:val="004242B1"/>
    <w:rsid w:val="00434D77"/>
    <w:rsid w:val="00435DAE"/>
    <w:rsid w:val="004816A8"/>
    <w:rsid w:val="0048283A"/>
    <w:rsid w:val="004870D8"/>
    <w:rsid w:val="00487447"/>
    <w:rsid w:val="00497574"/>
    <w:rsid w:val="004A548C"/>
    <w:rsid w:val="004B1115"/>
    <w:rsid w:val="004B27D7"/>
    <w:rsid w:val="004B625E"/>
    <w:rsid w:val="004B795A"/>
    <w:rsid w:val="004C0801"/>
    <w:rsid w:val="004F2928"/>
    <w:rsid w:val="004F561E"/>
    <w:rsid w:val="00540B2E"/>
    <w:rsid w:val="00544D42"/>
    <w:rsid w:val="005450B6"/>
    <w:rsid w:val="00545ED7"/>
    <w:rsid w:val="005573D2"/>
    <w:rsid w:val="005574D2"/>
    <w:rsid w:val="00571F0F"/>
    <w:rsid w:val="0057513B"/>
    <w:rsid w:val="0059260C"/>
    <w:rsid w:val="00592A65"/>
    <w:rsid w:val="005A5EB6"/>
    <w:rsid w:val="005A7630"/>
    <w:rsid w:val="005B0B5B"/>
    <w:rsid w:val="005B5103"/>
    <w:rsid w:val="005C510D"/>
    <w:rsid w:val="005D3DC7"/>
    <w:rsid w:val="005D452B"/>
    <w:rsid w:val="00610BD0"/>
    <w:rsid w:val="006113F3"/>
    <w:rsid w:val="00614887"/>
    <w:rsid w:val="006364A5"/>
    <w:rsid w:val="00660E8B"/>
    <w:rsid w:val="00662C01"/>
    <w:rsid w:val="006650FA"/>
    <w:rsid w:val="00667A5A"/>
    <w:rsid w:val="00671FA6"/>
    <w:rsid w:val="00674BDA"/>
    <w:rsid w:val="00676963"/>
    <w:rsid w:val="00685853"/>
    <w:rsid w:val="00693C42"/>
    <w:rsid w:val="00696F4C"/>
    <w:rsid w:val="006A29C8"/>
    <w:rsid w:val="006B5A8B"/>
    <w:rsid w:val="006D5657"/>
    <w:rsid w:val="006E0E08"/>
    <w:rsid w:val="006F688B"/>
    <w:rsid w:val="00716963"/>
    <w:rsid w:val="007204B7"/>
    <w:rsid w:val="00726FC2"/>
    <w:rsid w:val="00733913"/>
    <w:rsid w:val="00771B74"/>
    <w:rsid w:val="00774859"/>
    <w:rsid w:val="00785E24"/>
    <w:rsid w:val="007A742B"/>
    <w:rsid w:val="007C5217"/>
    <w:rsid w:val="007E1D76"/>
    <w:rsid w:val="00806CDF"/>
    <w:rsid w:val="008239A8"/>
    <w:rsid w:val="00826894"/>
    <w:rsid w:val="008409DE"/>
    <w:rsid w:val="008548ED"/>
    <w:rsid w:val="00892B60"/>
    <w:rsid w:val="00892DD2"/>
    <w:rsid w:val="008A3C0F"/>
    <w:rsid w:val="008A6B77"/>
    <w:rsid w:val="008C05E6"/>
    <w:rsid w:val="008C1F75"/>
    <w:rsid w:val="008C4FF2"/>
    <w:rsid w:val="008C74D5"/>
    <w:rsid w:val="008F60D1"/>
    <w:rsid w:val="00904472"/>
    <w:rsid w:val="009320D0"/>
    <w:rsid w:val="00947021"/>
    <w:rsid w:val="00971E4E"/>
    <w:rsid w:val="00972EE1"/>
    <w:rsid w:val="00983C71"/>
    <w:rsid w:val="0098558F"/>
    <w:rsid w:val="0099275D"/>
    <w:rsid w:val="00995218"/>
    <w:rsid w:val="009966B3"/>
    <w:rsid w:val="00996CE2"/>
    <w:rsid w:val="00997F32"/>
    <w:rsid w:val="009A0DAA"/>
    <w:rsid w:val="009A7325"/>
    <w:rsid w:val="009B563C"/>
    <w:rsid w:val="009E10D1"/>
    <w:rsid w:val="009F3CF8"/>
    <w:rsid w:val="00A105D2"/>
    <w:rsid w:val="00A1062B"/>
    <w:rsid w:val="00A266F5"/>
    <w:rsid w:val="00A43DF5"/>
    <w:rsid w:val="00A44646"/>
    <w:rsid w:val="00A6703B"/>
    <w:rsid w:val="00A71DA2"/>
    <w:rsid w:val="00A778F0"/>
    <w:rsid w:val="00A825BC"/>
    <w:rsid w:val="00A8370C"/>
    <w:rsid w:val="00AB3556"/>
    <w:rsid w:val="00AC1122"/>
    <w:rsid w:val="00AC1903"/>
    <w:rsid w:val="00AD3423"/>
    <w:rsid w:val="00AD4458"/>
    <w:rsid w:val="00AD5BEB"/>
    <w:rsid w:val="00AE52C7"/>
    <w:rsid w:val="00AE79F6"/>
    <w:rsid w:val="00AF49AB"/>
    <w:rsid w:val="00B0384B"/>
    <w:rsid w:val="00B05066"/>
    <w:rsid w:val="00B06918"/>
    <w:rsid w:val="00B20045"/>
    <w:rsid w:val="00B243C7"/>
    <w:rsid w:val="00B33A99"/>
    <w:rsid w:val="00B62872"/>
    <w:rsid w:val="00B652EB"/>
    <w:rsid w:val="00B67519"/>
    <w:rsid w:val="00B71025"/>
    <w:rsid w:val="00B83F2D"/>
    <w:rsid w:val="00B87498"/>
    <w:rsid w:val="00B920FE"/>
    <w:rsid w:val="00B97AFF"/>
    <w:rsid w:val="00BA1595"/>
    <w:rsid w:val="00BA6782"/>
    <w:rsid w:val="00BB1D9A"/>
    <w:rsid w:val="00BB6207"/>
    <w:rsid w:val="00BC584F"/>
    <w:rsid w:val="00BD5767"/>
    <w:rsid w:val="00BE5ED0"/>
    <w:rsid w:val="00BE7012"/>
    <w:rsid w:val="00C3405A"/>
    <w:rsid w:val="00C35E71"/>
    <w:rsid w:val="00C419E0"/>
    <w:rsid w:val="00C41F23"/>
    <w:rsid w:val="00C83E31"/>
    <w:rsid w:val="00C9037D"/>
    <w:rsid w:val="00CA0212"/>
    <w:rsid w:val="00CB41D8"/>
    <w:rsid w:val="00CC7ADE"/>
    <w:rsid w:val="00CD026B"/>
    <w:rsid w:val="00CE662B"/>
    <w:rsid w:val="00CF5883"/>
    <w:rsid w:val="00CF5C31"/>
    <w:rsid w:val="00D0373A"/>
    <w:rsid w:val="00D20D6A"/>
    <w:rsid w:val="00D4323F"/>
    <w:rsid w:val="00D46659"/>
    <w:rsid w:val="00D57090"/>
    <w:rsid w:val="00D57E64"/>
    <w:rsid w:val="00D61C4A"/>
    <w:rsid w:val="00D63380"/>
    <w:rsid w:val="00D80320"/>
    <w:rsid w:val="00D838FE"/>
    <w:rsid w:val="00D84D9C"/>
    <w:rsid w:val="00D97CE2"/>
    <w:rsid w:val="00DA46E5"/>
    <w:rsid w:val="00DB5B35"/>
    <w:rsid w:val="00DD756A"/>
    <w:rsid w:val="00DF119B"/>
    <w:rsid w:val="00E0299B"/>
    <w:rsid w:val="00E06F43"/>
    <w:rsid w:val="00E1577C"/>
    <w:rsid w:val="00E17BF6"/>
    <w:rsid w:val="00E20A98"/>
    <w:rsid w:val="00E21C22"/>
    <w:rsid w:val="00E349FF"/>
    <w:rsid w:val="00E35E12"/>
    <w:rsid w:val="00E41F2D"/>
    <w:rsid w:val="00E4373B"/>
    <w:rsid w:val="00E44599"/>
    <w:rsid w:val="00E73F37"/>
    <w:rsid w:val="00E76925"/>
    <w:rsid w:val="00E85F6E"/>
    <w:rsid w:val="00E90D10"/>
    <w:rsid w:val="00E912FB"/>
    <w:rsid w:val="00E950D3"/>
    <w:rsid w:val="00EB6FCE"/>
    <w:rsid w:val="00EB7118"/>
    <w:rsid w:val="00EC6C51"/>
    <w:rsid w:val="00ED128A"/>
    <w:rsid w:val="00ED79A4"/>
    <w:rsid w:val="00EF79F7"/>
    <w:rsid w:val="00F138C6"/>
    <w:rsid w:val="00F16062"/>
    <w:rsid w:val="00F3107D"/>
    <w:rsid w:val="00F66B61"/>
    <w:rsid w:val="00F75650"/>
    <w:rsid w:val="00F90459"/>
    <w:rsid w:val="00FA6F21"/>
    <w:rsid w:val="00FA7D78"/>
    <w:rsid w:val="00FB2EA7"/>
    <w:rsid w:val="00FC0D17"/>
    <w:rsid w:val="00FD578C"/>
    <w:rsid w:val="00FF2078"/>
    <w:rsid w:val="0128B6B5"/>
    <w:rsid w:val="0199C0D1"/>
    <w:rsid w:val="03532685"/>
    <w:rsid w:val="0467208B"/>
    <w:rsid w:val="04EEF6E6"/>
    <w:rsid w:val="068AC747"/>
    <w:rsid w:val="0714A800"/>
    <w:rsid w:val="082697A8"/>
    <w:rsid w:val="0D699F5C"/>
    <w:rsid w:val="0D83E984"/>
    <w:rsid w:val="0E1B2E11"/>
    <w:rsid w:val="0EDDAE4D"/>
    <w:rsid w:val="10713682"/>
    <w:rsid w:val="11A07C6C"/>
    <w:rsid w:val="12C54A03"/>
    <w:rsid w:val="1380908F"/>
    <w:rsid w:val="15B598AA"/>
    <w:rsid w:val="15DE7F98"/>
    <w:rsid w:val="186CB12B"/>
    <w:rsid w:val="1AC7EEAA"/>
    <w:rsid w:val="1E7EA723"/>
    <w:rsid w:val="1E8DD041"/>
    <w:rsid w:val="1FB93FC8"/>
    <w:rsid w:val="20B99837"/>
    <w:rsid w:val="22BE384E"/>
    <w:rsid w:val="244C7F59"/>
    <w:rsid w:val="245A08AF"/>
    <w:rsid w:val="25ABEF77"/>
    <w:rsid w:val="25B32B60"/>
    <w:rsid w:val="25F5D910"/>
    <w:rsid w:val="274DE1CB"/>
    <w:rsid w:val="27DAC787"/>
    <w:rsid w:val="281B8A2A"/>
    <w:rsid w:val="28305C53"/>
    <w:rsid w:val="28FEE16B"/>
    <w:rsid w:val="2969E07E"/>
    <w:rsid w:val="29CFEB70"/>
    <w:rsid w:val="2AB75721"/>
    <w:rsid w:val="2B0BADEC"/>
    <w:rsid w:val="2C6ADFA3"/>
    <w:rsid w:val="2C6B7388"/>
    <w:rsid w:val="2CA4A789"/>
    <w:rsid w:val="2D078C32"/>
    <w:rsid w:val="2D1E0ADC"/>
    <w:rsid w:val="2EA35C93"/>
    <w:rsid w:val="2F6577CF"/>
    <w:rsid w:val="321BAD6C"/>
    <w:rsid w:val="32D2CE76"/>
    <w:rsid w:val="32E26070"/>
    <w:rsid w:val="33A204D0"/>
    <w:rsid w:val="37F04E57"/>
    <w:rsid w:val="38460DB4"/>
    <w:rsid w:val="38740AB6"/>
    <w:rsid w:val="38ED94E0"/>
    <w:rsid w:val="39D56BDB"/>
    <w:rsid w:val="3BA9B097"/>
    <w:rsid w:val="3CF25E95"/>
    <w:rsid w:val="3CF2C275"/>
    <w:rsid w:val="3E8E92D6"/>
    <w:rsid w:val="40F3C91F"/>
    <w:rsid w:val="44CDCABE"/>
    <w:rsid w:val="45453995"/>
    <w:rsid w:val="4658BAEE"/>
    <w:rsid w:val="4685239E"/>
    <w:rsid w:val="4A2F57A4"/>
    <w:rsid w:val="4E6C289E"/>
    <w:rsid w:val="500407EB"/>
    <w:rsid w:val="509B643B"/>
    <w:rsid w:val="51356BBF"/>
    <w:rsid w:val="530A3049"/>
    <w:rsid w:val="536F9780"/>
    <w:rsid w:val="54C50F31"/>
    <w:rsid w:val="55F56978"/>
    <w:rsid w:val="55F5DC88"/>
    <w:rsid w:val="58F629E0"/>
    <w:rsid w:val="5C00D7E7"/>
    <w:rsid w:val="5E5C850E"/>
    <w:rsid w:val="60456FF4"/>
    <w:rsid w:val="646DC433"/>
    <w:rsid w:val="65F2C6FC"/>
    <w:rsid w:val="675754EC"/>
    <w:rsid w:val="6C032647"/>
    <w:rsid w:val="6C3E695E"/>
    <w:rsid w:val="6D71949C"/>
    <w:rsid w:val="6EFB3441"/>
    <w:rsid w:val="722BAA74"/>
    <w:rsid w:val="7251438F"/>
    <w:rsid w:val="752553CF"/>
    <w:rsid w:val="758D2CB7"/>
    <w:rsid w:val="75F921AE"/>
    <w:rsid w:val="78368206"/>
    <w:rsid w:val="78FFCE64"/>
    <w:rsid w:val="7B9743C6"/>
    <w:rsid w:val="7CEC1F49"/>
    <w:rsid w:val="7D86EE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D224C"/>
  <w15:chartTrackingRefBased/>
  <w15:docId w15:val="{0AD7894E-3989-40D2-B59B-00BA73D5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63C"/>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B563C"/>
    <w:pPr>
      <w:spacing w:before="100" w:beforeAutospacing="1" w:after="100" w:afterAutospacing="1" w:line="240" w:lineRule="auto"/>
      <w:jc w:val="left"/>
    </w:pPr>
    <w:rPr>
      <w:rFonts w:ascii="Times New Roman" w:eastAsia="Times New Roman" w:hAnsi="Times New Roman" w:cs="Times New Roman"/>
      <w:lang w:val="es-ES" w:eastAsia="es-ES"/>
    </w:rPr>
  </w:style>
  <w:style w:type="paragraph" w:customStyle="1" w:styleId="paragraph">
    <w:name w:val="paragraph"/>
    <w:basedOn w:val="Normal"/>
    <w:rsid w:val="009B563C"/>
    <w:pPr>
      <w:spacing w:before="100" w:beforeAutospacing="1" w:after="100" w:afterAutospacing="1" w:line="240" w:lineRule="auto"/>
      <w:jc w:val="left"/>
    </w:pPr>
    <w:rPr>
      <w:rFonts w:ascii="Times New Roman" w:eastAsia="Times New Roman" w:hAnsi="Times New Roman" w:cs="Times New Roman"/>
      <w:lang w:eastAsia="es-ES_tradnl"/>
    </w:rPr>
  </w:style>
  <w:style w:type="character" w:customStyle="1" w:styleId="normaltextrun">
    <w:name w:val="normaltextrun"/>
    <w:basedOn w:val="Fuentedeprrafopredeter"/>
    <w:rsid w:val="009B563C"/>
  </w:style>
  <w:style w:type="character" w:customStyle="1" w:styleId="eop">
    <w:name w:val="eop"/>
    <w:basedOn w:val="Fuentedeprrafopredeter"/>
    <w:rsid w:val="009B563C"/>
  </w:style>
  <w:style w:type="paragraph" w:styleId="Prrafodelista">
    <w:name w:val="List Paragraph"/>
    <w:basedOn w:val="Normal"/>
    <w:uiPriority w:val="34"/>
    <w:qFormat/>
    <w:rsid w:val="00030263"/>
    <w:pPr>
      <w:ind w:left="720"/>
      <w:contextualSpacing/>
    </w:pPr>
  </w:style>
  <w:style w:type="character" w:customStyle="1" w:styleId="SinespaciadoCar">
    <w:name w:val="Sin espaciado Car"/>
    <w:link w:val="Sinespaciado"/>
    <w:uiPriority w:val="1"/>
    <w:locked/>
    <w:rsid w:val="006E0E08"/>
    <w:rPr>
      <w:rFonts w:ascii="Times New Roman" w:eastAsia="Times New Roman" w:hAnsi="Times New Roman" w:cs="Times New Roman"/>
    </w:rPr>
  </w:style>
  <w:style w:type="paragraph" w:styleId="Sinespaciado">
    <w:name w:val="No Spacing"/>
    <w:link w:val="SinespaciadoCar"/>
    <w:uiPriority w:val="1"/>
    <w:qFormat/>
    <w:rsid w:val="006E0E08"/>
    <w:pPr>
      <w:spacing w:line="240" w:lineRule="auto"/>
      <w:jc w:val="left"/>
    </w:pPr>
    <w:rPr>
      <w:rFonts w:ascii="Times New Roman" w:eastAsia="Times New Roman" w:hAnsi="Times New Roman" w:cs="Times New Roman"/>
    </w:rPr>
  </w:style>
  <w:style w:type="paragraph" w:styleId="Textonotapie">
    <w:name w:val="footnote text"/>
    <w:basedOn w:val="Normal"/>
    <w:link w:val="TextonotapieCar"/>
    <w:uiPriority w:val="99"/>
    <w:unhideWhenUsed/>
    <w:rsid w:val="00D57090"/>
    <w:pPr>
      <w:spacing w:line="240" w:lineRule="auto"/>
      <w:jc w:val="left"/>
    </w:pPr>
    <w:rPr>
      <w:rFonts w:asciiTheme="minorHAnsi" w:hAnsiTheme="minorHAnsi"/>
      <w:sz w:val="20"/>
      <w:szCs w:val="20"/>
      <w:lang w:val="es-ES"/>
    </w:rPr>
  </w:style>
  <w:style w:type="character" w:customStyle="1" w:styleId="TextonotapieCar">
    <w:name w:val="Texto nota pie Car"/>
    <w:basedOn w:val="Fuentedeprrafopredeter"/>
    <w:link w:val="Textonotapie"/>
    <w:uiPriority w:val="99"/>
    <w:rsid w:val="00D57090"/>
    <w:rPr>
      <w:rFonts w:asciiTheme="minorHAnsi" w:hAnsiTheme="minorHAnsi"/>
      <w:sz w:val="20"/>
      <w:szCs w:val="20"/>
      <w:lang w:val="es-ES"/>
    </w:rPr>
  </w:style>
  <w:style w:type="character" w:styleId="Refdenotaalpie">
    <w:name w:val="footnote reference"/>
    <w:basedOn w:val="Fuentedeprrafopredeter"/>
    <w:uiPriority w:val="99"/>
    <w:semiHidden/>
    <w:unhideWhenUsed/>
    <w:rsid w:val="00D57090"/>
    <w:rPr>
      <w:vertAlign w:val="superscript"/>
    </w:rPr>
  </w:style>
  <w:style w:type="table" w:styleId="Tablaconcuadrcula">
    <w:name w:val="Table Grid"/>
    <w:basedOn w:val="Tablanormal"/>
    <w:uiPriority w:val="39"/>
    <w:rsid w:val="00D57090"/>
    <w:pPr>
      <w:spacing w:line="240" w:lineRule="auto"/>
      <w:jc w:val="left"/>
    </w:pPr>
    <w:rPr>
      <w:rFonts w:asciiTheme="minorHAnsi" w:hAnsiTheme="minorHAns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DB5B35"/>
    <w:rPr>
      <w:rFonts w:ascii="Verdana" w:hAnsi="Verdana" w:hint="default"/>
      <w:b w:val="0"/>
      <w:bCs w:val="0"/>
      <w:i/>
      <w:iCs/>
      <w:color w:val="000000"/>
      <w:sz w:val="24"/>
      <w:szCs w:val="24"/>
    </w:rPr>
  </w:style>
  <w:style w:type="character" w:customStyle="1" w:styleId="fontstyle21">
    <w:name w:val="fontstyle21"/>
    <w:basedOn w:val="Fuentedeprrafopredeter"/>
    <w:rsid w:val="00E90D10"/>
    <w:rPr>
      <w:rFonts w:ascii="Verdana" w:hAnsi="Verdana" w:hint="default"/>
      <w:b/>
      <w:bCs/>
      <w:i/>
      <w:iCs/>
      <w:color w:val="000000"/>
      <w:sz w:val="24"/>
      <w:szCs w:val="24"/>
    </w:rPr>
  </w:style>
  <w:style w:type="paragraph" w:styleId="Textoindependiente">
    <w:name w:val="Body Text"/>
    <w:basedOn w:val="Normal"/>
    <w:link w:val="TextoindependienteCar"/>
    <w:uiPriority w:val="1"/>
    <w:qFormat/>
    <w:rsid w:val="00DD756A"/>
    <w:pPr>
      <w:autoSpaceDE w:val="0"/>
      <w:autoSpaceDN w:val="0"/>
      <w:adjustRightInd w:val="0"/>
      <w:spacing w:line="240" w:lineRule="auto"/>
      <w:jc w:val="left"/>
    </w:pPr>
    <w:rPr>
      <w:rFonts w:ascii="Verdana" w:hAnsi="Verdana" w:cs="Verdana"/>
      <w:i/>
      <w:iCs/>
    </w:rPr>
  </w:style>
  <w:style w:type="character" w:customStyle="1" w:styleId="TextoindependienteCar">
    <w:name w:val="Texto independiente Car"/>
    <w:basedOn w:val="Fuentedeprrafopredeter"/>
    <w:link w:val="Textoindependiente"/>
    <w:uiPriority w:val="1"/>
    <w:rsid w:val="00DD756A"/>
    <w:rPr>
      <w:rFonts w:ascii="Verdana" w:hAnsi="Verdana" w:cs="Verdana"/>
      <w:i/>
      <w:iCs/>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A2F1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2F1C"/>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1A2F1C"/>
    <w:rPr>
      <w:b/>
      <w:bCs/>
    </w:rPr>
  </w:style>
  <w:style w:type="character" w:customStyle="1" w:styleId="AsuntodelcomentarioCar">
    <w:name w:val="Asunto del comentario Car"/>
    <w:basedOn w:val="TextocomentarioCar"/>
    <w:link w:val="Asuntodelcomentario"/>
    <w:uiPriority w:val="99"/>
    <w:semiHidden/>
    <w:rsid w:val="001A2F1C"/>
    <w:rPr>
      <w:b/>
      <w:bCs/>
      <w:sz w:val="20"/>
      <w:szCs w:val="20"/>
    </w:rPr>
  </w:style>
  <w:style w:type="paragraph" w:styleId="Encabezado">
    <w:name w:val="header"/>
    <w:basedOn w:val="Normal"/>
    <w:link w:val="EncabezadoCar"/>
    <w:uiPriority w:val="99"/>
    <w:unhideWhenUsed/>
    <w:rsid w:val="005450B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450B6"/>
  </w:style>
  <w:style w:type="paragraph" w:styleId="Piedepgina">
    <w:name w:val="footer"/>
    <w:basedOn w:val="Normal"/>
    <w:link w:val="PiedepginaCar"/>
    <w:uiPriority w:val="99"/>
    <w:unhideWhenUsed/>
    <w:rsid w:val="005450B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450B6"/>
  </w:style>
  <w:style w:type="character" w:styleId="Hipervnculo">
    <w:name w:val="Hyperlink"/>
    <w:basedOn w:val="Fuentedeprrafopredeter"/>
    <w:uiPriority w:val="99"/>
    <w:unhideWhenUsed/>
    <w:rsid w:val="00B243C7"/>
    <w:rPr>
      <w:color w:val="0563C1" w:themeColor="hyperlink"/>
      <w:u w:val="single"/>
    </w:rPr>
  </w:style>
  <w:style w:type="character" w:customStyle="1" w:styleId="UnresolvedMention">
    <w:name w:val="Unresolved Mention"/>
    <w:basedOn w:val="Fuentedeprrafopredeter"/>
    <w:uiPriority w:val="99"/>
    <w:semiHidden/>
    <w:unhideWhenUsed/>
    <w:rsid w:val="00B243C7"/>
    <w:rPr>
      <w:color w:val="605E5C"/>
      <w:shd w:val="clear" w:color="auto" w:fill="E1DFDD"/>
    </w:rPr>
  </w:style>
  <w:style w:type="character" w:customStyle="1" w:styleId="baj">
    <w:name w:val="b_aj"/>
    <w:basedOn w:val="Fuentedeprrafopredeter"/>
    <w:rsid w:val="0025175A"/>
  </w:style>
  <w:style w:type="paragraph" w:customStyle="1" w:styleId="centrado">
    <w:name w:val="centrado"/>
    <w:basedOn w:val="Normal"/>
    <w:rsid w:val="0025175A"/>
    <w:pPr>
      <w:spacing w:before="100" w:beforeAutospacing="1" w:after="100" w:afterAutospacing="1" w:line="240" w:lineRule="auto"/>
      <w:jc w:val="left"/>
    </w:pPr>
    <w:rPr>
      <w:rFonts w:ascii="Times New Roman" w:eastAsia="Times New Roman" w:hAnsi="Times New Roman" w:cs="Times New Roman"/>
      <w:lang w:eastAsia="es-CO"/>
    </w:r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21634">
      <w:bodyDiv w:val="1"/>
      <w:marLeft w:val="0"/>
      <w:marRight w:val="0"/>
      <w:marTop w:val="0"/>
      <w:marBottom w:val="0"/>
      <w:divBdr>
        <w:top w:val="none" w:sz="0" w:space="0" w:color="auto"/>
        <w:left w:val="none" w:sz="0" w:space="0" w:color="auto"/>
        <w:bottom w:val="none" w:sz="0" w:space="0" w:color="auto"/>
        <w:right w:val="none" w:sz="0" w:space="0" w:color="auto"/>
      </w:divBdr>
    </w:div>
    <w:div w:id="790173733">
      <w:bodyDiv w:val="1"/>
      <w:marLeft w:val="0"/>
      <w:marRight w:val="0"/>
      <w:marTop w:val="0"/>
      <w:marBottom w:val="0"/>
      <w:divBdr>
        <w:top w:val="none" w:sz="0" w:space="0" w:color="auto"/>
        <w:left w:val="none" w:sz="0" w:space="0" w:color="auto"/>
        <w:bottom w:val="none" w:sz="0" w:space="0" w:color="auto"/>
        <w:right w:val="none" w:sz="0" w:space="0" w:color="auto"/>
      </w:divBdr>
    </w:div>
    <w:div w:id="997925900">
      <w:bodyDiv w:val="1"/>
      <w:marLeft w:val="0"/>
      <w:marRight w:val="0"/>
      <w:marTop w:val="0"/>
      <w:marBottom w:val="0"/>
      <w:divBdr>
        <w:top w:val="none" w:sz="0" w:space="0" w:color="auto"/>
        <w:left w:val="none" w:sz="0" w:space="0" w:color="auto"/>
        <w:bottom w:val="none" w:sz="0" w:space="0" w:color="auto"/>
        <w:right w:val="none" w:sz="0" w:space="0" w:color="auto"/>
      </w:divBdr>
    </w:div>
    <w:div w:id="1008748669">
      <w:bodyDiv w:val="1"/>
      <w:marLeft w:val="0"/>
      <w:marRight w:val="0"/>
      <w:marTop w:val="0"/>
      <w:marBottom w:val="0"/>
      <w:divBdr>
        <w:top w:val="none" w:sz="0" w:space="0" w:color="auto"/>
        <w:left w:val="none" w:sz="0" w:space="0" w:color="auto"/>
        <w:bottom w:val="none" w:sz="0" w:space="0" w:color="auto"/>
        <w:right w:val="none" w:sz="0" w:space="0" w:color="auto"/>
      </w:divBdr>
      <w:divsChild>
        <w:div w:id="1305307122">
          <w:marLeft w:val="0"/>
          <w:marRight w:val="0"/>
          <w:marTop w:val="0"/>
          <w:marBottom w:val="0"/>
          <w:divBdr>
            <w:top w:val="none" w:sz="0" w:space="0" w:color="auto"/>
            <w:left w:val="none" w:sz="0" w:space="0" w:color="auto"/>
            <w:bottom w:val="none" w:sz="0" w:space="0" w:color="auto"/>
            <w:right w:val="none" w:sz="0" w:space="0" w:color="auto"/>
          </w:divBdr>
        </w:div>
        <w:div w:id="1320228245">
          <w:marLeft w:val="0"/>
          <w:marRight w:val="0"/>
          <w:marTop w:val="0"/>
          <w:marBottom w:val="0"/>
          <w:divBdr>
            <w:top w:val="none" w:sz="0" w:space="0" w:color="auto"/>
            <w:left w:val="none" w:sz="0" w:space="0" w:color="auto"/>
            <w:bottom w:val="none" w:sz="0" w:space="0" w:color="auto"/>
            <w:right w:val="none" w:sz="0" w:space="0" w:color="auto"/>
          </w:divBdr>
        </w:div>
        <w:div w:id="141771512">
          <w:marLeft w:val="0"/>
          <w:marRight w:val="0"/>
          <w:marTop w:val="0"/>
          <w:marBottom w:val="0"/>
          <w:divBdr>
            <w:top w:val="none" w:sz="0" w:space="0" w:color="auto"/>
            <w:left w:val="none" w:sz="0" w:space="0" w:color="auto"/>
            <w:bottom w:val="none" w:sz="0" w:space="0" w:color="auto"/>
            <w:right w:val="none" w:sz="0" w:space="0" w:color="auto"/>
          </w:divBdr>
        </w:div>
      </w:divsChild>
    </w:div>
    <w:div w:id="1119253343">
      <w:bodyDiv w:val="1"/>
      <w:marLeft w:val="0"/>
      <w:marRight w:val="0"/>
      <w:marTop w:val="0"/>
      <w:marBottom w:val="0"/>
      <w:divBdr>
        <w:top w:val="none" w:sz="0" w:space="0" w:color="auto"/>
        <w:left w:val="none" w:sz="0" w:space="0" w:color="auto"/>
        <w:bottom w:val="none" w:sz="0" w:space="0" w:color="auto"/>
        <w:right w:val="none" w:sz="0" w:space="0" w:color="auto"/>
      </w:divBdr>
    </w:div>
    <w:div w:id="1124886178">
      <w:bodyDiv w:val="1"/>
      <w:marLeft w:val="0"/>
      <w:marRight w:val="0"/>
      <w:marTop w:val="0"/>
      <w:marBottom w:val="0"/>
      <w:divBdr>
        <w:top w:val="none" w:sz="0" w:space="0" w:color="auto"/>
        <w:left w:val="none" w:sz="0" w:space="0" w:color="auto"/>
        <w:bottom w:val="none" w:sz="0" w:space="0" w:color="auto"/>
        <w:right w:val="none" w:sz="0" w:space="0" w:color="auto"/>
      </w:divBdr>
    </w:div>
    <w:div w:id="1771193459">
      <w:bodyDiv w:val="1"/>
      <w:marLeft w:val="0"/>
      <w:marRight w:val="0"/>
      <w:marTop w:val="0"/>
      <w:marBottom w:val="0"/>
      <w:divBdr>
        <w:top w:val="none" w:sz="0" w:space="0" w:color="auto"/>
        <w:left w:val="none" w:sz="0" w:space="0" w:color="auto"/>
        <w:bottom w:val="none" w:sz="0" w:space="0" w:color="auto"/>
        <w:right w:val="none" w:sz="0" w:space="0" w:color="auto"/>
      </w:divBdr>
    </w:div>
    <w:div w:id="1793670685">
      <w:bodyDiv w:val="1"/>
      <w:marLeft w:val="0"/>
      <w:marRight w:val="0"/>
      <w:marTop w:val="0"/>
      <w:marBottom w:val="0"/>
      <w:divBdr>
        <w:top w:val="none" w:sz="0" w:space="0" w:color="auto"/>
        <w:left w:val="none" w:sz="0" w:space="0" w:color="auto"/>
        <w:bottom w:val="none" w:sz="0" w:space="0" w:color="auto"/>
        <w:right w:val="none" w:sz="0" w:space="0" w:color="auto"/>
      </w:divBdr>
    </w:div>
    <w:div w:id="1942452192">
      <w:bodyDiv w:val="1"/>
      <w:marLeft w:val="0"/>
      <w:marRight w:val="0"/>
      <w:marTop w:val="0"/>
      <w:marBottom w:val="0"/>
      <w:divBdr>
        <w:top w:val="none" w:sz="0" w:space="0" w:color="auto"/>
        <w:left w:val="none" w:sz="0" w:space="0" w:color="auto"/>
        <w:bottom w:val="none" w:sz="0" w:space="0" w:color="auto"/>
        <w:right w:val="none" w:sz="0" w:space="0" w:color="auto"/>
      </w:divBdr>
    </w:div>
    <w:div w:id="1948848281">
      <w:bodyDiv w:val="1"/>
      <w:marLeft w:val="0"/>
      <w:marRight w:val="0"/>
      <w:marTop w:val="0"/>
      <w:marBottom w:val="0"/>
      <w:divBdr>
        <w:top w:val="none" w:sz="0" w:space="0" w:color="auto"/>
        <w:left w:val="none" w:sz="0" w:space="0" w:color="auto"/>
        <w:bottom w:val="none" w:sz="0" w:space="0" w:color="auto"/>
        <w:right w:val="none" w:sz="0" w:space="0" w:color="auto"/>
      </w:divBdr>
    </w:div>
    <w:div w:id="213486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b6c61e068a584b76" Type="http://schemas.microsoft.com/office/2018/08/relationships/commentsExtensible" Target="commentsExtensible.xml"/><Relationship Id="Rd30e63f623024d2d"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A7234-AA0D-4222-969E-8ADAC1950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566C6-20A0-4213-98DE-B8E88BB9C952}">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3.xml><?xml version="1.0" encoding="utf-8"?>
<ds:datastoreItem xmlns:ds="http://schemas.openxmlformats.org/officeDocument/2006/customXml" ds:itemID="{4AAE3555-B57F-49D7-A858-BA451558879F}">
  <ds:schemaRefs>
    <ds:schemaRef ds:uri="http://schemas.microsoft.com/sharepoint/v3/contenttype/forms"/>
  </ds:schemaRefs>
</ds:datastoreItem>
</file>

<file path=customXml/itemProps4.xml><?xml version="1.0" encoding="utf-8"?>
<ds:datastoreItem xmlns:ds="http://schemas.openxmlformats.org/officeDocument/2006/customXml" ds:itemID="{15360FE7-6475-49BE-8269-3E5080409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2951</Words>
  <Characters>16821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patricia echeverri granada</dc:creator>
  <cp:keywords/>
  <dc:description/>
  <cp:lastModifiedBy>samsung</cp:lastModifiedBy>
  <cp:revision>6</cp:revision>
  <dcterms:created xsi:type="dcterms:W3CDTF">2023-11-10T17:31:00Z</dcterms:created>
  <dcterms:modified xsi:type="dcterms:W3CDTF">2024-01-29T02:02:00Z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57102300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ies>
</file>