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E4009B3"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bookmarkStart w:id="0" w:name="_Hlk99113374"/>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29C0FAA2"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6B5BF430"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p>
    <w:p w14:paraId="41B3BF63" w14:textId="77777777" w:rsidR="00782C1C" w:rsidRPr="006814D6" w:rsidRDefault="00782C1C" w:rsidP="00782C1C">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27C20CD0"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5A7244DA"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p>
    <w:p w14:paraId="6CC84F5C" w14:textId="77777777" w:rsidR="00782C1C"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5B997967"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xml:space="preserve">Ahora bien, como quiera que uno de los argumentos de la defensa de las AFP es que la normatividad del deber de información se ha venido dando paulatinamente, vale la pena citar la sentencia del 8 de mayo de 2019 </w:t>
      </w:r>
      <w:proofErr w:type="spellStart"/>
      <w:r w:rsidRPr="00EA711B">
        <w:rPr>
          <w:rFonts w:ascii="Arial" w:eastAsia="Times New Roman" w:hAnsi="Arial" w:cs="Arial"/>
          <w:sz w:val="20"/>
          <w:szCs w:val="20"/>
          <w:lang w:val="es-419" w:eastAsia="es-ES"/>
        </w:rPr>
        <w:t>SL</w:t>
      </w:r>
      <w:proofErr w:type="spellEnd"/>
      <w:r w:rsidRPr="00EA711B">
        <w:rPr>
          <w:rFonts w:ascii="Arial" w:eastAsia="Times New Roman" w:hAnsi="Arial" w:cs="Arial"/>
          <w:sz w:val="20"/>
          <w:szCs w:val="20"/>
          <w:lang w:val="es-419" w:eastAsia="es-ES"/>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29D33D5C"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p>
    <w:p w14:paraId="27E5BD34" w14:textId="77777777" w:rsidR="00782C1C" w:rsidRDefault="00782C1C" w:rsidP="00782C1C">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33983202"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xml:space="preserve">… los formularios de afiliación a lo sumo acreditan un consentimiento, pero no informado, tal como se expresa a continuación: “… La Sala considera desacertada esta tesis, en la medida que la firma del formulario, al igual que las afirmaciones consignadas en los formatos </w:t>
      </w:r>
      <w:proofErr w:type="spellStart"/>
      <w:r w:rsidRPr="00EA711B">
        <w:rPr>
          <w:rFonts w:ascii="Arial" w:eastAsia="Times New Roman" w:hAnsi="Arial" w:cs="Arial"/>
          <w:sz w:val="20"/>
          <w:szCs w:val="20"/>
          <w:lang w:val="es-419" w:eastAsia="es-ES"/>
        </w:rPr>
        <w:t>preimpresos</w:t>
      </w:r>
      <w:proofErr w:type="spellEnd"/>
      <w:r w:rsidRPr="00EA711B">
        <w:rPr>
          <w:rFonts w:ascii="Arial" w:eastAsia="Times New Roman" w:hAnsi="Arial" w:cs="Arial"/>
          <w:sz w:val="20"/>
          <w:szCs w:val="20"/>
          <w:lang w:val="es-419"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70C34074" w14:textId="77777777" w:rsidR="00782C1C" w:rsidRPr="00EA711B" w:rsidRDefault="00782C1C" w:rsidP="00782C1C">
      <w:pPr>
        <w:spacing w:before="0" w:beforeAutospacing="0" w:after="0" w:afterAutospacing="0" w:line="240" w:lineRule="auto"/>
        <w:ind w:firstLine="0"/>
        <w:rPr>
          <w:rFonts w:ascii="Arial" w:eastAsia="Times New Roman" w:hAnsi="Arial" w:cs="Arial"/>
          <w:sz w:val="20"/>
          <w:szCs w:val="20"/>
          <w:lang w:val="es-419" w:eastAsia="es-ES"/>
        </w:rPr>
      </w:pPr>
    </w:p>
    <w:p w14:paraId="0D8C9828" w14:textId="77777777" w:rsidR="00782C1C" w:rsidRPr="00A070DD" w:rsidRDefault="00782C1C" w:rsidP="00782C1C">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65B5ED4D" w14:textId="77777777" w:rsidR="00782C1C" w:rsidRPr="00A070DD" w:rsidRDefault="00782C1C" w:rsidP="00782C1C">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39B622D6" w14:textId="33179D79"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C63227">
        <w:rPr>
          <w:rFonts w:ascii="Arial" w:eastAsia="Times New Roman" w:hAnsi="Arial" w:cs="Arial"/>
          <w:sz w:val="20"/>
          <w:szCs w:val="18"/>
          <w:lang w:val="es-ES" w:eastAsia="es-ES"/>
        </w:rPr>
        <w:t>Radicación No.: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00783F63">
        <w:rPr>
          <w:rFonts w:ascii="Arial" w:eastAsia="Times New Roman" w:hAnsi="Arial" w:cs="Arial"/>
          <w:sz w:val="20"/>
          <w:szCs w:val="18"/>
          <w:lang w:val="es-ES" w:eastAsia="es-ES"/>
        </w:rPr>
        <w:t>66001310</w:t>
      </w:r>
      <w:bookmarkStart w:id="1" w:name="_GoBack"/>
      <w:bookmarkEnd w:id="1"/>
      <w:r w:rsidR="00783F63">
        <w:rPr>
          <w:rFonts w:ascii="Arial" w:eastAsia="Times New Roman" w:hAnsi="Arial" w:cs="Arial"/>
          <w:sz w:val="20"/>
          <w:szCs w:val="18"/>
          <w:lang w:val="es-ES" w:eastAsia="es-ES"/>
        </w:rPr>
        <w:t>5002</w:t>
      </w:r>
      <w:r w:rsidRPr="00C63227">
        <w:rPr>
          <w:rFonts w:ascii="Arial" w:eastAsia="Times New Roman" w:hAnsi="Arial" w:cs="Arial"/>
          <w:sz w:val="20"/>
          <w:szCs w:val="18"/>
          <w:lang w:val="es-ES" w:eastAsia="es-ES"/>
        </w:rPr>
        <w:t>20190055701</w:t>
      </w:r>
    </w:p>
    <w:p w14:paraId="1B634C2D" w14:textId="0E6F5B83"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C63227">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C63227">
        <w:rPr>
          <w:rFonts w:ascii="Arial" w:eastAsia="Times New Roman" w:hAnsi="Arial" w:cs="Arial"/>
          <w:sz w:val="20"/>
          <w:szCs w:val="18"/>
          <w:lang w:val="es-ES" w:eastAsia="es-ES"/>
        </w:rPr>
        <w:t>Ordinario Laboral</w:t>
      </w:r>
    </w:p>
    <w:p w14:paraId="4B6E2B6B" w14:textId="10E88248"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C63227">
        <w:rPr>
          <w:rFonts w:ascii="Arial" w:eastAsia="Times New Roman" w:hAnsi="Arial" w:cs="Arial"/>
          <w:sz w:val="20"/>
          <w:szCs w:val="18"/>
          <w:lang w:val="es-ES" w:eastAsia="es-ES"/>
        </w:rPr>
        <w:t>Demandante: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C63227">
        <w:rPr>
          <w:rFonts w:ascii="Arial" w:eastAsia="Times New Roman" w:hAnsi="Arial" w:cs="Arial"/>
          <w:sz w:val="20"/>
          <w:szCs w:val="18"/>
          <w:lang w:val="es-ES" w:eastAsia="es-ES"/>
        </w:rPr>
        <w:t>Martha Luz Echeverri Flórez</w:t>
      </w:r>
    </w:p>
    <w:p w14:paraId="5C84963D" w14:textId="73D7FAA4"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C63227">
        <w:rPr>
          <w:rFonts w:ascii="Arial" w:eastAsia="Times New Roman" w:hAnsi="Arial" w:cs="Arial"/>
          <w:sz w:val="20"/>
          <w:szCs w:val="18"/>
          <w:lang w:val="es-ES" w:eastAsia="es-ES"/>
        </w:rPr>
        <w:t>Demandado: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C63227">
        <w:rPr>
          <w:rFonts w:ascii="Arial" w:eastAsia="Times New Roman" w:hAnsi="Arial" w:cs="Arial"/>
          <w:sz w:val="20"/>
          <w:szCs w:val="18"/>
          <w:lang w:val="es-ES" w:eastAsia="es-ES"/>
        </w:rPr>
        <w:t>Colpensiones y otros</w:t>
      </w:r>
    </w:p>
    <w:p w14:paraId="36506B94" w14:textId="05928A2E"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C63227">
        <w:rPr>
          <w:rFonts w:ascii="Arial" w:eastAsia="Times New Roman" w:hAnsi="Arial" w:cs="Arial"/>
          <w:sz w:val="20"/>
          <w:szCs w:val="18"/>
          <w:lang w:val="es-ES" w:eastAsia="es-ES"/>
        </w:rPr>
        <w:t>Juzgado</w:t>
      </w:r>
      <w:r>
        <w:rPr>
          <w:rFonts w:ascii="Arial" w:eastAsia="Times New Roman" w:hAnsi="Arial" w:cs="Arial"/>
          <w:sz w:val="20"/>
          <w:szCs w:val="18"/>
          <w:lang w:val="es-ES" w:eastAsia="es-ES"/>
        </w:rPr>
        <w:t xml:space="preserve"> de origen</w:t>
      </w:r>
      <w:r w:rsidRPr="00C63227">
        <w:rPr>
          <w:rFonts w:ascii="Arial" w:eastAsia="Times New Roman" w:hAnsi="Arial" w:cs="Arial"/>
          <w:sz w:val="20"/>
          <w:szCs w:val="18"/>
          <w:lang w:val="es-ES" w:eastAsia="es-ES"/>
        </w:rPr>
        <w:t>:</w:t>
      </w:r>
      <w:r>
        <w:rPr>
          <w:rFonts w:ascii="Arial" w:eastAsia="Times New Roman" w:hAnsi="Arial" w:cs="Arial"/>
          <w:sz w:val="20"/>
          <w:szCs w:val="18"/>
          <w:lang w:val="es-ES" w:eastAsia="es-ES"/>
        </w:rPr>
        <w:tab/>
      </w:r>
      <w:r w:rsidRPr="00C63227">
        <w:rPr>
          <w:rFonts w:ascii="Arial" w:eastAsia="Times New Roman" w:hAnsi="Arial" w:cs="Arial"/>
          <w:sz w:val="20"/>
          <w:szCs w:val="18"/>
          <w:lang w:val="es-ES" w:eastAsia="es-ES"/>
        </w:rPr>
        <w:t>Segundo Laboral del Circuito de Pereira</w:t>
      </w:r>
    </w:p>
    <w:bookmarkEnd w:id="0"/>
    <w:p w14:paraId="463BD692" w14:textId="77777777"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00A375A9" w14:textId="77777777"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19E586F9" w14:textId="77777777" w:rsidR="00C63227" w:rsidRPr="00C63227" w:rsidRDefault="00C63227" w:rsidP="00C63227">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1577C93D" w14:textId="77777777" w:rsidR="00C63227" w:rsidRPr="00C63227" w:rsidRDefault="00C63227" w:rsidP="00C63227">
      <w:pPr>
        <w:spacing w:before="0" w:beforeAutospacing="0" w:after="0" w:afterAutospacing="0" w:line="276" w:lineRule="auto"/>
        <w:ind w:firstLine="0"/>
        <w:jc w:val="center"/>
        <w:rPr>
          <w:rFonts w:ascii="Tahoma" w:eastAsia="Calibri" w:hAnsi="Tahoma" w:cs="Tahoma"/>
          <w:b/>
          <w:bCs/>
        </w:rPr>
      </w:pPr>
      <w:r w:rsidRPr="00C63227">
        <w:rPr>
          <w:rFonts w:ascii="Tahoma" w:eastAsia="Calibri" w:hAnsi="Tahoma" w:cs="Tahoma"/>
          <w:b/>
          <w:bCs/>
        </w:rPr>
        <w:t>TRIBUNAL SUPERIOR DEL DISTRITO JUDICIAL DE PEREIRA</w:t>
      </w:r>
    </w:p>
    <w:p w14:paraId="2F6FF2C7" w14:textId="77777777" w:rsidR="00C63227" w:rsidRPr="00C63227" w:rsidRDefault="00C63227" w:rsidP="00C63227">
      <w:pPr>
        <w:spacing w:before="0" w:beforeAutospacing="0" w:after="0" w:afterAutospacing="0" w:line="276" w:lineRule="auto"/>
        <w:ind w:firstLine="0"/>
        <w:jc w:val="center"/>
        <w:rPr>
          <w:rFonts w:ascii="Tahoma" w:eastAsia="Calibri" w:hAnsi="Tahoma" w:cs="Tahoma"/>
          <w:b/>
          <w:bCs/>
        </w:rPr>
      </w:pPr>
      <w:r w:rsidRPr="00C63227">
        <w:rPr>
          <w:rFonts w:ascii="Tahoma" w:eastAsia="Calibri" w:hAnsi="Tahoma" w:cs="Tahoma"/>
          <w:b/>
          <w:bCs/>
        </w:rPr>
        <w:t>SALA DE DECISIÓN LABORAL No. 1</w:t>
      </w:r>
    </w:p>
    <w:p w14:paraId="74C194AB" w14:textId="77777777" w:rsidR="00C63227" w:rsidRPr="00C63227" w:rsidRDefault="00C63227" w:rsidP="00C63227">
      <w:pPr>
        <w:spacing w:before="0" w:beforeAutospacing="0" w:after="0" w:afterAutospacing="0" w:line="276" w:lineRule="auto"/>
        <w:ind w:firstLine="0"/>
        <w:jc w:val="left"/>
        <w:rPr>
          <w:rFonts w:ascii="Tahoma" w:eastAsia="Times New Roman" w:hAnsi="Tahoma" w:cs="Tahoma"/>
        </w:rPr>
      </w:pPr>
    </w:p>
    <w:p w14:paraId="41715A8C" w14:textId="77777777" w:rsidR="00C63227" w:rsidRPr="00C63227" w:rsidRDefault="00C63227" w:rsidP="00C63227">
      <w:pPr>
        <w:spacing w:before="0" w:beforeAutospacing="0" w:after="0" w:afterAutospacing="0" w:line="276" w:lineRule="auto"/>
        <w:ind w:firstLine="0"/>
        <w:jc w:val="center"/>
        <w:textAlignment w:val="baseline"/>
        <w:rPr>
          <w:rFonts w:ascii="Tahoma" w:eastAsia="Times New Roman" w:hAnsi="Tahoma" w:cs="Tahoma"/>
          <w:lang w:eastAsia="es-CO"/>
        </w:rPr>
      </w:pPr>
      <w:r w:rsidRPr="00C63227">
        <w:rPr>
          <w:rFonts w:ascii="Tahoma" w:eastAsia="Times New Roman" w:hAnsi="Tahoma" w:cs="Tahoma"/>
          <w:lang w:eastAsia="es-CO"/>
        </w:rPr>
        <w:t>Magistrada Ponente: </w:t>
      </w:r>
      <w:r w:rsidRPr="00C63227">
        <w:rPr>
          <w:rFonts w:ascii="Tahoma" w:eastAsia="Times New Roman" w:hAnsi="Tahoma" w:cs="Tahoma"/>
          <w:b/>
          <w:bCs/>
          <w:lang w:eastAsia="es-CO"/>
        </w:rPr>
        <w:t>Ana Lucía Caicedo Calderón</w:t>
      </w:r>
      <w:r w:rsidRPr="00C63227">
        <w:rPr>
          <w:rFonts w:ascii="Tahoma" w:eastAsia="Times New Roman" w:hAnsi="Tahoma" w:cs="Tahoma"/>
          <w:lang w:eastAsia="es-CO"/>
        </w:rPr>
        <w:t> </w:t>
      </w:r>
    </w:p>
    <w:p w14:paraId="34AB76D1" w14:textId="08745C26" w:rsidR="00C63227" w:rsidRPr="0087273B" w:rsidRDefault="00C63227" w:rsidP="0087273B">
      <w:pPr>
        <w:spacing w:before="0" w:beforeAutospacing="0" w:after="0" w:afterAutospacing="0" w:line="276" w:lineRule="auto"/>
        <w:ind w:firstLine="0"/>
        <w:jc w:val="left"/>
        <w:rPr>
          <w:rFonts w:ascii="Tahoma" w:eastAsia="Times New Roman" w:hAnsi="Tahoma" w:cs="Tahoma"/>
          <w:lang w:eastAsia="es-CO"/>
        </w:rPr>
      </w:pPr>
    </w:p>
    <w:p w14:paraId="72FFDA6B" w14:textId="77777777" w:rsidR="00C63227" w:rsidRPr="00C63227" w:rsidRDefault="00C63227" w:rsidP="0087273B">
      <w:pPr>
        <w:spacing w:before="0" w:beforeAutospacing="0" w:after="0" w:afterAutospacing="0" w:line="276" w:lineRule="auto"/>
        <w:ind w:firstLine="0"/>
        <w:jc w:val="left"/>
        <w:rPr>
          <w:rFonts w:ascii="Tahoma" w:eastAsia="Times New Roman" w:hAnsi="Tahoma" w:cs="Tahoma"/>
          <w:lang w:eastAsia="es-CO"/>
        </w:rPr>
      </w:pPr>
    </w:p>
    <w:p w14:paraId="0EC7E432" w14:textId="55A87A02" w:rsidR="4E4CBC73" w:rsidRPr="0087273B" w:rsidRDefault="4E4CBC73" w:rsidP="0087273B">
      <w:pPr>
        <w:spacing w:before="0" w:beforeAutospacing="0" w:after="0" w:afterAutospacing="0" w:line="276" w:lineRule="auto"/>
        <w:ind w:firstLine="708"/>
        <w:contextualSpacing/>
        <w:jc w:val="center"/>
        <w:rPr>
          <w:rFonts w:ascii="Tahoma" w:eastAsia="Tahoma" w:hAnsi="Tahoma" w:cs="Tahoma"/>
          <w:color w:val="000000" w:themeColor="text1"/>
        </w:rPr>
      </w:pPr>
      <w:r w:rsidRPr="0087273B">
        <w:rPr>
          <w:rFonts w:ascii="Tahoma" w:eastAsia="Tahoma" w:hAnsi="Tahoma" w:cs="Tahoma"/>
          <w:color w:val="000000" w:themeColor="text1"/>
        </w:rPr>
        <w:t xml:space="preserve">Pereira, Risaralda, </w:t>
      </w:r>
      <w:r w:rsidR="2B7B1C8C" w:rsidRPr="0087273B">
        <w:rPr>
          <w:rFonts w:ascii="Tahoma" w:eastAsia="Tahoma" w:hAnsi="Tahoma" w:cs="Tahoma"/>
          <w:color w:val="000000" w:themeColor="text1"/>
        </w:rPr>
        <w:t>diez</w:t>
      </w:r>
      <w:r w:rsidRPr="0087273B">
        <w:rPr>
          <w:rFonts w:ascii="Tahoma" w:eastAsia="Tahoma" w:hAnsi="Tahoma" w:cs="Tahoma"/>
          <w:color w:val="000000" w:themeColor="text1"/>
        </w:rPr>
        <w:t xml:space="preserve"> (</w:t>
      </w:r>
      <w:r w:rsidR="36A3D438" w:rsidRPr="0087273B">
        <w:rPr>
          <w:rFonts w:ascii="Tahoma" w:eastAsia="Tahoma" w:hAnsi="Tahoma" w:cs="Tahoma"/>
          <w:color w:val="000000" w:themeColor="text1"/>
        </w:rPr>
        <w:t>1</w:t>
      </w:r>
      <w:r w:rsidRPr="0087273B">
        <w:rPr>
          <w:rFonts w:ascii="Tahoma" w:eastAsia="Tahoma" w:hAnsi="Tahoma" w:cs="Tahoma"/>
          <w:color w:val="000000" w:themeColor="text1"/>
        </w:rPr>
        <w:t xml:space="preserve">0) de </w:t>
      </w:r>
      <w:r w:rsidR="6DD4E274" w:rsidRPr="0087273B">
        <w:rPr>
          <w:rFonts w:ascii="Tahoma" w:eastAsia="Tahoma" w:hAnsi="Tahoma" w:cs="Tahoma"/>
          <w:color w:val="000000" w:themeColor="text1"/>
        </w:rPr>
        <w:t>noviembre</w:t>
      </w:r>
      <w:r w:rsidRPr="0087273B">
        <w:rPr>
          <w:rFonts w:ascii="Tahoma" w:eastAsia="Tahoma" w:hAnsi="Tahoma" w:cs="Tahoma"/>
          <w:color w:val="000000" w:themeColor="text1"/>
        </w:rPr>
        <w:t xml:space="preserve"> de dos mil veintitrés (2023) </w:t>
      </w:r>
    </w:p>
    <w:p w14:paraId="6A77324A" w14:textId="59C33DD8" w:rsidR="4E4CBC73" w:rsidRPr="0087273B" w:rsidRDefault="4E4CBC73" w:rsidP="0087273B">
      <w:pPr>
        <w:spacing w:before="0" w:beforeAutospacing="0" w:after="0" w:afterAutospacing="0" w:line="276" w:lineRule="auto"/>
        <w:ind w:firstLine="708"/>
        <w:contextualSpacing/>
        <w:jc w:val="center"/>
        <w:rPr>
          <w:rFonts w:ascii="Tahoma" w:eastAsia="Tahoma" w:hAnsi="Tahoma" w:cs="Tahoma"/>
          <w:color w:val="000000" w:themeColor="text1"/>
        </w:rPr>
      </w:pPr>
      <w:r w:rsidRPr="0087273B">
        <w:rPr>
          <w:rFonts w:ascii="Tahoma" w:eastAsia="Tahoma" w:hAnsi="Tahoma" w:cs="Tahoma"/>
          <w:color w:val="000000" w:themeColor="text1"/>
        </w:rPr>
        <w:t xml:space="preserve"> Acta No. </w:t>
      </w:r>
      <w:r w:rsidR="6510D622" w:rsidRPr="0087273B">
        <w:rPr>
          <w:rFonts w:ascii="Tahoma" w:eastAsia="Tahoma" w:hAnsi="Tahoma" w:cs="Tahoma"/>
          <w:color w:val="000000" w:themeColor="text1"/>
        </w:rPr>
        <w:t>1</w:t>
      </w:r>
      <w:r w:rsidR="715E684F" w:rsidRPr="0087273B">
        <w:rPr>
          <w:rFonts w:ascii="Tahoma" w:eastAsia="Tahoma" w:hAnsi="Tahoma" w:cs="Tahoma"/>
          <w:color w:val="000000" w:themeColor="text1"/>
        </w:rPr>
        <w:t>8</w:t>
      </w:r>
      <w:r w:rsidR="6510D622" w:rsidRPr="0087273B">
        <w:rPr>
          <w:rFonts w:ascii="Tahoma" w:eastAsia="Tahoma" w:hAnsi="Tahoma" w:cs="Tahoma"/>
          <w:color w:val="000000" w:themeColor="text1"/>
        </w:rPr>
        <w:t>0</w:t>
      </w:r>
      <w:r w:rsidRPr="0087273B">
        <w:rPr>
          <w:rFonts w:ascii="Tahoma" w:eastAsia="Tahoma" w:hAnsi="Tahoma" w:cs="Tahoma"/>
          <w:color w:val="000000" w:themeColor="text1"/>
        </w:rPr>
        <w:t xml:space="preserve"> del </w:t>
      </w:r>
      <w:r w:rsidR="1FC0AA95" w:rsidRPr="0087273B">
        <w:rPr>
          <w:rFonts w:ascii="Tahoma" w:eastAsia="Tahoma" w:hAnsi="Tahoma" w:cs="Tahoma"/>
          <w:color w:val="000000" w:themeColor="text1"/>
        </w:rPr>
        <w:t>09 de noviembre</w:t>
      </w:r>
      <w:r w:rsidRPr="0087273B">
        <w:rPr>
          <w:rFonts w:ascii="Tahoma" w:eastAsia="Tahoma" w:hAnsi="Tahoma" w:cs="Tahoma"/>
          <w:color w:val="000000" w:themeColor="text1"/>
        </w:rPr>
        <w:t xml:space="preserve"> de 2023</w:t>
      </w:r>
    </w:p>
    <w:p w14:paraId="4D47DCFA" w14:textId="77777777" w:rsidR="00151506" w:rsidRPr="0087273B" w:rsidRDefault="00151506" w:rsidP="0087273B">
      <w:pPr>
        <w:spacing w:before="0" w:beforeAutospacing="0" w:after="0" w:afterAutospacing="0" w:line="276" w:lineRule="auto"/>
        <w:ind w:right="49" w:firstLine="0"/>
        <w:contextualSpacing/>
        <w:rPr>
          <w:rFonts w:ascii="Tahoma" w:eastAsia="Times New Roman" w:hAnsi="Tahoma" w:cs="Tahoma"/>
          <w:lang w:eastAsia="es-CO"/>
        </w:rPr>
      </w:pPr>
    </w:p>
    <w:p w14:paraId="424ACD4D" w14:textId="333E119C" w:rsidR="57970542" w:rsidRPr="0087273B" w:rsidRDefault="00C113E7" w:rsidP="0025451C">
      <w:pPr>
        <w:spacing w:before="0" w:beforeAutospacing="0" w:after="0" w:afterAutospacing="0" w:line="276" w:lineRule="auto"/>
        <w:ind w:firstLine="708"/>
        <w:contextualSpacing/>
        <w:rPr>
          <w:rFonts w:ascii="Tahoma" w:hAnsi="Tahoma" w:cs="Tahoma"/>
          <w:b/>
          <w:bCs/>
        </w:rPr>
      </w:pPr>
      <w:r w:rsidRPr="0087273B">
        <w:rPr>
          <w:rFonts w:ascii="Tahoma" w:hAnsi="Tahoma" w:cs="Tahoma"/>
          <w:lang w:val="es-ES"/>
        </w:rPr>
        <w:t xml:space="preserve">Teniendo en cuenta que el artículo </w:t>
      </w:r>
      <w:r w:rsidR="003A3B50" w:rsidRPr="0087273B">
        <w:rPr>
          <w:rFonts w:ascii="Tahoma" w:hAnsi="Tahoma" w:cs="Tahoma"/>
          <w:lang w:val="es-ES"/>
        </w:rPr>
        <w:t xml:space="preserve">13 </w:t>
      </w:r>
      <w:r w:rsidRPr="0087273B">
        <w:rPr>
          <w:rFonts w:ascii="Tahoma" w:hAnsi="Tahoma" w:cs="Tahoma"/>
          <w:lang w:val="es-ES"/>
        </w:rPr>
        <w:t>de la Ley 2213 del 13 de junio de 2022</w:t>
      </w:r>
      <w:r w:rsidR="000A7489" w:rsidRPr="0087273B">
        <w:rPr>
          <w:rFonts w:ascii="Tahoma" w:hAnsi="Tahoma" w:cs="Tahoma"/>
        </w:rPr>
        <w:t xml:space="preserve">, </w:t>
      </w:r>
      <w:r w:rsidR="003B6848" w:rsidRPr="0087273B">
        <w:rPr>
          <w:rFonts w:ascii="Tahoma" w:hAnsi="Tahoma" w:cs="Tahoma"/>
        </w:rPr>
        <w:t>estableció que en la</w:t>
      </w:r>
      <w:r w:rsidR="00E60AFE" w:rsidRPr="0087273B">
        <w:rPr>
          <w:rFonts w:ascii="Tahoma" w:hAnsi="Tahoma" w:cs="Tahoma"/>
        </w:rPr>
        <w:t xml:space="preserve"> </w:t>
      </w:r>
      <w:r w:rsidR="003B6848" w:rsidRPr="0087273B">
        <w:rPr>
          <w:rFonts w:ascii="Tahoma" w:hAnsi="Tahoma" w:cs="Tahoma"/>
        </w:rPr>
        <w:t>especialidad laboral se proferirán por escrito las providencias de</w:t>
      </w:r>
      <w:r w:rsidR="00E60AFE" w:rsidRPr="0087273B">
        <w:rPr>
          <w:rFonts w:ascii="Tahoma" w:hAnsi="Tahoma" w:cs="Tahoma"/>
        </w:rPr>
        <w:t xml:space="preserve"> </w:t>
      </w:r>
      <w:r w:rsidR="003B6848" w:rsidRPr="0087273B">
        <w:rPr>
          <w:rFonts w:ascii="Tahoma" w:hAnsi="Tahoma" w:cs="Tahoma"/>
        </w:rPr>
        <w:t>segunda</w:t>
      </w:r>
      <w:r w:rsidR="00E60AFE" w:rsidRPr="0087273B">
        <w:rPr>
          <w:rFonts w:ascii="Tahoma" w:hAnsi="Tahoma" w:cs="Tahoma"/>
        </w:rPr>
        <w:t xml:space="preserve"> </w:t>
      </w:r>
      <w:r w:rsidR="003B6848" w:rsidRPr="0087273B">
        <w:rPr>
          <w:rFonts w:ascii="Tahoma" w:hAnsi="Tahoma" w:cs="Tahoma"/>
        </w:rPr>
        <w:t>instancia</w:t>
      </w:r>
      <w:r w:rsidR="00E60AFE" w:rsidRPr="0087273B">
        <w:rPr>
          <w:rFonts w:ascii="Tahoma" w:hAnsi="Tahoma" w:cs="Tahoma"/>
        </w:rPr>
        <w:t xml:space="preserve"> </w:t>
      </w:r>
      <w:r w:rsidR="003B6848" w:rsidRPr="0087273B">
        <w:rPr>
          <w:rFonts w:ascii="Tahoma" w:hAnsi="Tahoma" w:cs="Tahoma"/>
        </w:rPr>
        <w:t>en las que se surta el grado jurisdiccional de consulta o se resuelva el recurso de</w:t>
      </w:r>
      <w:r w:rsidR="00E60AFE" w:rsidRPr="0087273B">
        <w:rPr>
          <w:rFonts w:ascii="Tahoma" w:hAnsi="Tahoma" w:cs="Tahoma"/>
        </w:rPr>
        <w:t xml:space="preserve"> </w:t>
      </w:r>
      <w:r w:rsidR="003B6848" w:rsidRPr="0087273B">
        <w:rPr>
          <w:rFonts w:ascii="Tahoma" w:hAnsi="Tahoma" w:cs="Tahoma"/>
        </w:rPr>
        <w:t>apelación de autos o sentencias, la Sala de Decisión Laboral</w:t>
      </w:r>
      <w:r w:rsidR="00617E08" w:rsidRPr="0087273B">
        <w:rPr>
          <w:rFonts w:ascii="Tahoma" w:hAnsi="Tahoma" w:cs="Tahoma"/>
        </w:rPr>
        <w:t xml:space="preserve"> del Tribunal Superior de Pereira, </w:t>
      </w:r>
      <w:r w:rsidR="003B6848" w:rsidRPr="0087273B">
        <w:rPr>
          <w:rFonts w:ascii="Tahoma" w:hAnsi="Tahoma" w:cs="Tahoma"/>
        </w:rPr>
        <w:t>integrada por las</w:t>
      </w:r>
      <w:r w:rsidR="00510D63" w:rsidRPr="0087273B">
        <w:rPr>
          <w:rFonts w:ascii="Tahoma" w:hAnsi="Tahoma" w:cs="Tahoma"/>
        </w:rPr>
        <w:t xml:space="preserve"> </w:t>
      </w:r>
      <w:r w:rsidR="003B6848" w:rsidRPr="0087273B">
        <w:rPr>
          <w:rFonts w:ascii="Tahoma" w:hAnsi="Tahoma" w:cs="Tahoma"/>
        </w:rPr>
        <w:t>Magistradas ANA LUCÍA CAICEDO CALDERÓN</w:t>
      </w:r>
      <w:r w:rsidR="00617E08" w:rsidRPr="0087273B">
        <w:rPr>
          <w:rFonts w:ascii="Tahoma" w:hAnsi="Tahoma" w:cs="Tahoma"/>
        </w:rPr>
        <w:t>,</w:t>
      </w:r>
      <w:r w:rsidR="003B6848" w:rsidRPr="0087273B">
        <w:rPr>
          <w:rFonts w:ascii="Tahoma" w:hAnsi="Tahoma" w:cs="Tahoma"/>
        </w:rPr>
        <w:t xml:space="preserve"> como </w:t>
      </w:r>
      <w:r w:rsidR="00617E08" w:rsidRPr="0087273B">
        <w:rPr>
          <w:rFonts w:ascii="Tahoma" w:hAnsi="Tahoma" w:cs="Tahoma"/>
        </w:rPr>
        <w:t>p</w:t>
      </w:r>
      <w:r w:rsidR="003B6848" w:rsidRPr="0087273B">
        <w:rPr>
          <w:rFonts w:ascii="Tahoma" w:hAnsi="Tahoma" w:cs="Tahoma"/>
        </w:rPr>
        <w:t xml:space="preserve">onente, </w:t>
      </w:r>
      <w:r w:rsidR="00617E08" w:rsidRPr="0087273B">
        <w:rPr>
          <w:rFonts w:ascii="Tahoma" w:hAnsi="Tahoma" w:cs="Tahoma"/>
        </w:rPr>
        <w:t xml:space="preserve">y </w:t>
      </w:r>
      <w:r w:rsidR="003B6848" w:rsidRPr="0087273B">
        <w:rPr>
          <w:rFonts w:ascii="Tahoma" w:hAnsi="Tahoma" w:cs="Tahoma"/>
        </w:rPr>
        <w:t>OLGA LUCÍA HOYOS</w:t>
      </w:r>
      <w:r w:rsidR="00510D63" w:rsidRPr="0087273B">
        <w:rPr>
          <w:rFonts w:ascii="Tahoma" w:hAnsi="Tahoma" w:cs="Tahoma"/>
        </w:rPr>
        <w:t xml:space="preserve"> </w:t>
      </w:r>
      <w:r w:rsidR="003B6848" w:rsidRPr="0087273B">
        <w:rPr>
          <w:rFonts w:ascii="Tahoma" w:hAnsi="Tahoma" w:cs="Tahoma"/>
        </w:rPr>
        <w:t>SEPÚLVEDA</w:t>
      </w:r>
      <w:r w:rsidR="00617E08" w:rsidRPr="0087273B">
        <w:rPr>
          <w:rFonts w:ascii="Tahoma" w:hAnsi="Tahoma" w:cs="Tahoma"/>
        </w:rPr>
        <w:t>,</w:t>
      </w:r>
      <w:r w:rsidR="003B6848" w:rsidRPr="0087273B">
        <w:rPr>
          <w:rFonts w:ascii="Tahoma" w:hAnsi="Tahoma" w:cs="Tahoma"/>
        </w:rPr>
        <w:t xml:space="preserve"> y el Magistrado</w:t>
      </w:r>
      <w:r w:rsidR="00510D63" w:rsidRPr="0087273B">
        <w:rPr>
          <w:rFonts w:ascii="Tahoma" w:hAnsi="Tahoma" w:cs="Tahoma"/>
        </w:rPr>
        <w:t xml:space="preserve"> </w:t>
      </w:r>
      <w:r w:rsidR="003B6848" w:rsidRPr="0087273B">
        <w:rPr>
          <w:rFonts w:ascii="Tahoma" w:hAnsi="Tahoma" w:cs="Tahoma"/>
        </w:rPr>
        <w:t>GERMÁN DARIO GOEZ VINASCO, procede a proferir la</w:t>
      </w:r>
      <w:r w:rsidR="00510D63" w:rsidRPr="0087273B">
        <w:rPr>
          <w:rFonts w:ascii="Tahoma" w:hAnsi="Tahoma" w:cs="Tahoma"/>
        </w:rPr>
        <w:t xml:space="preserve"> </w:t>
      </w:r>
      <w:r w:rsidR="003B6848" w:rsidRPr="0087273B">
        <w:rPr>
          <w:rFonts w:ascii="Tahoma" w:hAnsi="Tahoma" w:cs="Tahoma"/>
        </w:rPr>
        <w:t xml:space="preserve">siguiente sentencia escrita dentro del proceso </w:t>
      </w:r>
      <w:r w:rsidR="003B6848" w:rsidRPr="0025451C">
        <w:rPr>
          <w:rFonts w:ascii="Tahoma" w:hAnsi="Tahoma" w:cs="Tahoma"/>
          <w:b/>
        </w:rPr>
        <w:t>ordinario laboral</w:t>
      </w:r>
      <w:r w:rsidR="003B6848" w:rsidRPr="0087273B">
        <w:rPr>
          <w:rFonts w:ascii="Tahoma" w:hAnsi="Tahoma" w:cs="Tahoma"/>
        </w:rPr>
        <w:t xml:space="preserve"> instaurado por </w:t>
      </w:r>
      <w:bookmarkStart w:id="2" w:name="_Hlk136510132"/>
      <w:r w:rsidR="00FD6255" w:rsidRPr="0087273B">
        <w:rPr>
          <w:rFonts w:ascii="Tahoma" w:hAnsi="Tahoma" w:cs="Tahoma"/>
          <w:b/>
          <w:bCs/>
        </w:rPr>
        <w:t xml:space="preserve">Martha Luz Echeverri Flórez </w:t>
      </w:r>
      <w:r w:rsidR="00171926" w:rsidRPr="0087273B">
        <w:rPr>
          <w:rFonts w:ascii="Tahoma" w:hAnsi="Tahoma" w:cs="Tahoma"/>
        </w:rPr>
        <w:t>en contra de la</w:t>
      </w:r>
      <w:r w:rsidR="00171926" w:rsidRPr="0087273B">
        <w:rPr>
          <w:rFonts w:ascii="Tahoma" w:hAnsi="Tahoma" w:cs="Tahoma"/>
          <w:b/>
          <w:bCs/>
        </w:rPr>
        <w:t xml:space="preserve"> Administradora Colombiana de Pensiones – </w:t>
      </w:r>
      <w:r w:rsidR="0025451C" w:rsidRPr="0087273B">
        <w:rPr>
          <w:rFonts w:ascii="Tahoma" w:hAnsi="Tahoma" w:cs="Tahoma"/>
          <w:b/>
          <w:bCs/>
        </w:rPr>
        <w:t>COLPENSIONES</w:t>
      </w:r>
      <w:r w:rsidR="00432D0E" w:rsidRPr="0087273B">
        <w:rPr>
          <w:rFonts w:ascii="Tahoma" w:hAnsi="Tahoma" w:cs="Tahoma"/>
          <w:b/>
          <w:bCs/>
        </w:rPr>
        <w:t xml:space="preserve">, </w:t>
      </w:r>
      <w:r w:rsidR="00E210BB" w:rsidRPr="0087273B">
        <w:rPr>
          <w:rFonts w:ascii="Tahoma" w:hAnsi="Tahoma" w:cs="Tahoma"/>
          <w:b/>
          <w:bCs/>
        </w:rPr>
        <w:t xml:space="preserve">la </w:t>
      </w:r>
      <w:r w:rsidR="00432D0E" w:rsidRPr="0087273B">
        <w:rPr>
          <w:rFonts w:ascii="Tahoma" w:hAnsi="Tahoma" w:cs="Tahoma"/>
          <w:b/>
          <w:bCs/>
        </w:rPr>
        <w:t xml:space="preserve">Sociedad </w:t>
      </w:r>
      <w:r w:rsidR="00171926" w:rsidRPr="0087273B">
        <w:rPr>
          <w:rFonts w:ascii="Tahoma" w:hAnsi="Tahoma" w:cs="Tahoma"/>
          <w:b/>
          <w:bCs/>
        </w:rPr>
        <w:t>Administradora de Fondos de Pensiones</w:t>
      </w:r>
      <w:r w:rsidR="00D05FDE" w:rsidRPr="0087273B">
        <w:rPr>
          <w:rFonts w:ascii="Tahoma" w:hAnsi="Tahoma" w:cs="Tahoma"/>
          <w:b/>
          <w:bCs/>
        </w:rPr>
        <w:t xml:space="preserve"> y Cesantías</w:t>
      </w:r>
      <w:r w:rsidR="00171926" w:rsidRPr="0087273B">
        <w:rPr>
          <w:rFonts w:ascii="Tahoma" w:hAnsi="Tahoma" w:cs="Tahoma"/>
          <w:b/>
          <w:bCs/>
        </w:rPr>
        <w:t xml:space="preserve"> – </w:t>
      </w:r>
      <w:r w:rsidR="0025451C" w:rsidRPr="0087273B">
        <w:rPr>
          <w:rFonts w:ascii="Tahoma" w:hAnsi="Tahoma" w:cs="Tahoma"/>
          <w:b/>
          <w:bCs/>
        </w:rPr>
        <w:t xml:space="preserve">PORVENIR </w:t>
      </w:r>
      <w:r w:rsidR="00D05FDE" w:rsidRPr="0087273B">
        <w:rPr>
          <w:rFonts w:ascii="Tahoma" w:hAnsi="Tahoma" w:cs="Tahoma"/>
          <w:b/>
          <w:bCs/>
        </w:rPr>
        <w:t>S.A.</w:t>
      </w:r>
      <w:bookmarkEnd w:id="2"/>
      <w:r w:rsidR="008C04FD" w:rsidRPr="0087273B">
        <w:rPr>
          <w:rFonts w:ascii="Tahoma" w:hAnsi="Tahoma" w:cs="Tahoma"/>
          <w:b/>
          <w:bCs/>
        </w:rPr>
        <w:t xml:space="preserve">, y </w:t>
      </w:r>
      <w:proofErr w:type="spellStart"/>
      <w:r w:rsidR="0022249A" w:rsidRPr="0087273B">
        <w:rPr>
          <w:rFonts w:ascii="Tahoma" w:hAnsi="Tahoma" w:cs="Tahoma"/>
          <w:b/>
          <w:bCs/>
        </w:rPr>
        <w:t>Skandia</w:t>
      </w:r>
      <w:proofErr w:type="spellEnd"/>
      <w:r w:rsidR="008C04FD" w:rsidRPr="0087273B">
        <w:rPr>
          <w:rFonts w:ascii="Tahoma" w:hAnsi="Tahoma" w:cs="Tahoma"/>
          <w:b/>
          <w:bCs/>
        </w:rPr>
        <w:t xml:space="preserve"> Administradora de Fondos de Pensiones y Cesantías S.A.</w:t>
      </w:r>
      <w:r w:rsidR="0022249A" w:rsidRPr="0087273B">
        <w:rPr>
          <w:rFonts w:ascii="Tahoma" w:hAnsi="Tahoma" w:cs="Tahoma"/>
          <w:b/>
          <w:bCs/>
        </w:rPr>
        <w:t xml:space="preserve"> </w:t>
      </w:r>
      <w:r w:rsidR="006565F0" w:rsidRPr="0087273B">
        <w:rPr>
          <w:rFonts w:ascii="Tahoma" w:hAnsi="Tahoma" w:cs="Tahoma"/>
        </w:rPr>
        <w:t>trámite al que se vinculó como</w:t>
      </w:r>
      <w:r w:rsidR="00396982" w:rsidRPr="0087273B">
        <w:rPr>
          <w:rFonts w:ascii="Tahoma" w:hAnsi="Tahoma" w:cs="Tahoma"/>
        </w:rPr>
        <w:t xml:space="preserve"> litis consorte necesario a </w:t>
      </w:r>
      <w:proofErr w:type="spellStart"/>
      <w:r w:rsidR="0025451C" w:rsidRPr="0087273B">
        <w:rPr>
          <w:rFonts w:ascii="Tahoma" w:hAnsi="Tahoma" w:cs="Tahoma"/>
          <w:b/>
          <w:bCs/>
        </w:rPr>
        <w:t>COLFONDOS</w:t>
      </w:r>
      <w:proofErr w:type="spellEnd"/>
      <w:r w:rsidR="0025451C" w:rsidRPr="0087273B">
        <w:rPr>
          <w:rFonts w:ascii="Tahoma" w:hAnsi="Tahoma" w:cs="Tahoma"/>
          <w:b/>
          <w:bCs/>
        </w:rPr>
        <w:t xml:space="preserve"> </w:t>
      </w:r>
      <w:r w:rsidR="00396982" w:rsidRPr="0087273B">
        <w:rPr>
          <w:rFonts w:ascii="Tahoma" w:hAnsi="Tahoma" w:cs="Tahoma"/>
          <w:b/>
          <w:bCs/>
        </w:rPr>
        <w:t>S.A.</w:t>
      </w:r>
      <w:r w:rsidR="000B4FB6">
        <w:rPr>
          <w:rFonts w:ascii="Tahoma" w:hAnsi="Tahoma" w:cs="Tahoma"/>
          <w:b/>
          <w:bCs/>
        </w:rPr>
        <w:t>,</w:t>
      </w:r>
      <w:r w:rsidR="00396982" w:rsidRPr="0087273B">
        <w:rPr>
          <w:rFonts w:ascii="Tahoma" w:hAnsi="Tahoma" w:cs="Tahoma"/>
          <w:b/>
          <w:bCs/>
        </w:rPr>
        <w:t xml:space="preserve"> Pensiones y Cesantías, </w:t>
      </w:r>
      <w:r w:rsidR="00396982" w:rsidRPr="0087273B">
        <w:rPr>
          <w:rFonts w:ascii="Tahoma" w:hAnsi="Tahoma" w:cs="Tahoma"/>
        </w:rPr>
        <w:t>y como</w:t>
      </w:r>
      <w:r w:rsidR="006565F0" w:rsidRPr="0087273B">
        <w:rPr>
          <w:rFonts w:ascii="Tahoma" w:hAnsi="Tahoma" w:cs="Tahoma"/>
        </w:rPr>
        <w:t xml:space="preserve"> llamada en garantía a la sociedad </w:t>
      </w:r>
      <w:r w:rsidR="006565F0" w:rsidRPr="0087273B">
        <w:rPr>
          <w:rFonts w:ascii="Tahoma" w:hAnsi="Tahoma" w:cs="Tahoma"/>
          <w:b/>
          <w:bCs/>
        </w:rPr>
        <w:t>Mapfre Colombia Vida Seguros S.A.</w:t>
      </w:r>
    </w:p>
    <w:p w14:paraId="7171299C" w14:textId="77777777" w:rsidR="0022249A" w:rsidRPr="0087273B" w:rsidRDefault="0022249A" w:rsidP="0087273B">
      <w:pPr>
        <w:spacing w:before="0" w:beforeAutospacing="0" w:after="0" w:afterAutospacing="0" w:line="276" w:lineRule="auto"/>
        <w:ind w:firstLine="708"/>
        <w:contextualSpacing/>
        <w:rPr>
          <w:rFonts w:ascii="Tahoma" w:hAnsi="Tahoma" w:cs="Tahoma"/>
          <w:b/>
          <w:bCs/>
        </w:rPr>
      </w:pPr>
    </w:p>
    <w:p w14:paraId="11B2C985" w14:textId="5477777E" w:rsidR="00CC7065" w:rsidRPr="0087273B" w:rsidRDefault="00CC7065" w:rsidP="0087273B">
      <w:pPr>
        <w:pStyle w:val="paragraph"/>
        <w:spacing w:before="0" w:beforeAutospacing="0" w:after="0" w:afterAutospacing="0" w:line="276" w:lineRule="auto"/>
        <w:jc w:val="center"/>
        <w:textAlignment w:val="baseline"/>
        <w:rPr>
          <w:rFonts w:ascii="Tahoma" w:hAnsi="Tahoma" w:cs="Tahoma"/>
          <w:b/>
        </w:rPr>
      </w:pPr>
      <w:r w:rsidRPr="0087273B">
        <w:rPr>
          <w:rStyle w:val="normaltextrun"/>
          <w:rFonts w:ascii="Tahoma" w:hAnsi="Tahoma" w:cs="Tahoma"/>
          <w:b/>
        </w:rPr>
        <w:t>PUNTO A TRATAR</w:t>
      </w:r>
    </w:p>
    <w:p w14:paraId="32FCA209" w14:textId="77777777" w:rsidR="00617E08" w:rsidRPr="0087273B" w:rsidRDefault="00617E08" w:rsidP="0087273B">
      <w:pPr>
        <w:spacing w:before="0" w:beforeAutospacing="0" w:after="0" w:afterAutospacing="0" w:line="276" w:lineRule="auto"/>
        <w:ind w:firstLine="708"/>
        <w:rPr>
          <w:rStyle w:val="normaltextrun"/>
          <w:rFonts w:ascii="Tahoma" w:hAnsi="Tahoma" w:cs="Tahoma"/>
        </w:rPr>
      </w:pPr>
    </w:p>
    <w:p w14:paraId="06AA2758" w14:textId="58AA35D2" w:rsidR="00415842" w:rsidRPr="0087273B" w:rsidRDefault="00CC7065" w:rsidP="0087273B">
      <w:pPr>
        <w:spacing w:before="0" w:beforeAutospacing="0" w:after="0" w:afterAutospacing="0" w:line="276" w:lineRule="auto"/>
        <w:ind w:firstLine="708"/>
        <w:rPr>
          <w:rStyle w:val="normaltextrun"/>
          <w:rFonts w:ascii="Tahoma" w:hAnsi="Tahoma" w:cs="Tahoma"/>
        </w:rPr>
      </w:pPr>
      <w:r w:rsidRPr="0087273B">
        <w:rPr>
          <w:rStyle w:val="normaltextrun"/>
          <w:rFonts w:ascii="Tahoma" w:hAnsi="Tahoma" w:cs="Tahoma"/>
        </w:rPr>
        <w:t>Por medio de esta providencia</w:t>
      </w:r>
      <w:r w:rsidR="002E447B" w:rsidRPr="0087273B">
        <w:rPr>
          <w:rStyle w:val="normaltextrun"/>
          <w:rFonts w:ascii="Tahoma" w:hAnsi="Tahoma" w:cs="Tahoma"/>
        </w:rPr>
        <w:t xml:space="preserve"> </w:t>
      </w:r>
      <w:r w:rsidRPr="0087273B">
        <w:rPr>
          <w:rStyle w:val="normaltextrun"/>
          <w:rFonts w:ascii="Tahoma" w:hAnsi="Tahoma" w:cs="Tahoma"/>
        </w:rPr>
        <w:t>procede la Sala a</w:t>
      </w:r>
      <w:r w:rsidRPr="0087273B">
        <w:rPr>
          <w:rFonts w:ascii="Tahoma" w:hAnsi="Tahoma" w:cs="Tahoma"/>
        </w:rPr>
        <w:t xml:space="preserve"> resolver</w:t>
      </w:r>
      <w:r w:rsidR="00F80DA9" w:rsidRPr="0087273B">
        <w:rPr>
          <w:rFonts w:ascii="Tahoma" w:hAnsi="Tahoma" w:cs="Tahoma"/>
        </w:rPr>
        <w:t xml:space="preserve"> el grado jurisdiccional de consulta dispuesto en favor de Colpensiones, y </w:t>
      </w:r>
      <w:r w:rsidR="002E447B" w:rsidRPr="0087273B">
        <w:rPr>
          <w:rFonts w:ascii="Tahoma" w:hAnsi="Tahoma" w:cs="Tahoma"/>
        </w:rPr>
        <w:t xml:space="preserve">los </w:t>
      </w:r>
      <w:r w:rsidR="00BF19FE" w:rsidRPr="0087273B">
        <w:rPr>
          <w:rFonts w:ascii="Tahoma" w:hAnsi="Tahoma" w:cs="Tahoma"/>
        </w:rPr>
        <w:t>recurso</w:t>
      </w:r>
      <w:r w:rsidR="002E447B" w:rsidRPr="0087273B">
        <w:rPr>
          <w:rFonts w:ascii="Tahoma" w:hAnsi="Tahoma" w:cs="Tahoma"/>
        </w:rPr>
        <w:t>s</w:t>
      </w:r>
      <w:r w:rsidR="00BF19FE" w:rsidRPr="0087273B">
        <w:rPr>
          <w:rFonts w:ascii="Tahoma" w:hAnsi="Tahoma" w:cs="Tahoma"/>
        </w:rPr>
        <w:t xml:space="preserve"> </w:t>
      </w:r>
      <w:r w:rsidR="00F80DA9" w:rsidRPr="0087273B">
        <w:rPr>
          <w:rFonts w:ascii="Tahoma" w:hAnsi="Tahoma" w:cs="Tahoma"/>
        </w:rPr>
        <w:t>de apelación propuesto</w:t>
      </w:r>
      <w:r w:rsidR="002E447B" w:rsidRPr="0087273B">
        <w:rPr>
          <w:rFonts w:ascii="Tahoma" w:hAnsi="Tahoma" w:cs="Tahoma"/>
        </w:rPr>
        <w:t>s</w:t>
      </w:r>
      <w:r w:rsidR="00733A7A" w:rsidRPr="0087273B">
        <w:rPr>
          <w:rFonts w:ascii="Tahoma" w:hAnsi="Tahoma" w:cs="Tahoma"/>
        </w:rPr>
        <w:t xml:space="preserve"> por</w:t>
      </w:r>
      <w:r w:rsidR="00F80DA9" w:rsidRPr="0087273B">
        <w:rPr>
          <w:rFonts w:ascii="Tahoma" w:hAnsi="Tahoma" w:cs="Tahoma"/>
        </w:rPr>
        <w:t xml:space="preserve"> </w:t>
      </w:r>
      <w:r w:rsidR="00737CE8" w:rsidRPr="0087273B">
        <w:rPr>
          <w:rFonts w:ascii="Tahoma" w:hAnsi="Tahoma" w:cs="Tahoma"/>
        </w:rPr>
        <w:t>dicha administradora</w:t>
      </w:r>
      <w:r w:rsidR="000F30F9" w:rsidRPr="0087273B">
        <w:rPr>
          <w:rFonts w:ascii="Tahoma" w:hAnsi="Tahoma" w:cs="Tahoma"/>
        </w:rPr>
        <w:t xml:space="preserve">, </w:t>
      </w:r>
      <w:proofErr w:type="spellStart"/>
      <w:r w:rsidR="002E447B" w:rsidRPr="0087273B">
        <w:rPr>
          <w:rFonts w:ascii="Tahoma" w:hAnsi="Tahoma" w:cs="Tahoma"/>
        </w:rPr>
        <w:t>Colfondos</w:t>
      </w:r>
      <w:proofErr w:type="spellEnd"/>
      <w:r w:rsidR="002E447B" w:rsidRPr="0087273B">
        <w:rPr>
          <w:rFonts w:ascii="Tahoma" w:hAnsi="Tahoma" w:cs="Tahoma"/>
        </w:rPr>
        <w:t xml:space="preserve"> S.A.</w:t>
      </w:r>
      <w:r w:rsidR="000F30F9" w:rsidRPr="0087273B">
        <w:rPr>
          <w:rFonts w:ascii="Tahoma" w:hAnsi="Tahoma" w:cs="Tahoma"/>
        </w:rPr>
        <w:t xml:space="preserve">, </w:t>
      </w:r>
      <w:proofErr w:type="spellStart"/>
      <w:r w:rsidR="000F30F9" w:rsidRPr="0087273B">
        <w:rPr>
          <w:rFonts w:ascii="Tahoma" w:hAnsi="Tahoma" w:cs="Tahoma"/>
        </w:rPr>
        <w:t>Skandia</w:t>
      </w:r>
      <w:proofErr w:type="spellEnd"/>
      <w:r w:rsidR="000F30F9" w:rsidRPr="0087273B">
        <w:rPr>
          <w:rFonts w:ascii="Tahoma" w:hAnsi="Tahoma" w:cs="Tahoma"/>
        </w:rPr>
        <w:t xml:space="preserve"> S.A. y Porvenir S.A. </w:t>
      </w:r>
      <w:r w:rsidR="00F80DA9" w:rsidRPr="0087273B">
        <w:rPr>
          <w:rFonts w:ascii="Tahoma" w:hAnsi="Tahoma" w:cs="Tahoma"/>
        </w:rPr>
        <w:t xml:space="preserve">en contra de la sentencia proferida el </w:t>
      </w:r>
      <w:r w:rsidR="002E447B" w:rsidRPr="0087273B">
        <w:rPr>
          <w:rFonts w:ascii="Tahoma" w:hAnsi="Tahoma" w:cs="Tahoma"/>
        </w:rPr>
        <w:t xml:space="preserve">2 </w:t>
      </w:r>
      <w:r w:rsidR="00F80DA9" w:rsidRPr="0087273B">
        <w:rPr>
          <w:rFonts w:ascii="Tahoma" w:hAnsi="Tahoma" w:cs="Tahoma"/>
        </w:rPr>
        <w:t xml:space="preserve">de </w:t>
      </w:r>
      <w:r w:rsidR="002E447B" w:rsidRPr="0087273B">
        <w:rPr>
          <w:rFonts w:ascii="Tahoma" w:hAnsi="Tahoma" w:cs="Tahoma"/>
        </w:rPr>
        <w:t>junio</w:t>
      </w:r>
      <w:r w:rsidR="00F80DA9" w:rsidRPr="0087273B">
        <w:rPr>
          <w:rFonts w:ascii="Tahoma" w:hAnsi="Tahoma" w:cs="Tahoma"/>
        </w:rPr>
        <w:t xml:space="preserve"> de 2023 </w:t>
      </w:r>
      <w:r w:rsidRPr="0087273B">
        <w:rPr>
          <w:rFonts w:ascii="Tahoma" w:hAnsi="Tahoma" w:cs="Tahoma"/>
        </w:rPr>
        <w:t xml:space="preserve">por el </w:t>
      </w:r>
      <w:r w:rsidRPr="0087273B">
        <w:rPr>
          <w:rFonts w:ascii="Tahoma" w:hAnsi="Tahoma" w:cs="Tahoma"/>
          <w:lang w:val="es-ES_tradnl"/>
        </w:rPr>
        <w:t>Juzgado</w:t>
      </w:r>
      <w:r w:rsidR="00CB40C7" w:rsidRPr="0087273B">
        <w:rPr>
          <w:rFonts w:ascii="Tahoma" w:hAnsi="Tahoma" w:cs="Tahoma"/>
        </w:rPr>
        <w:t xml:space="preserve"> </w:t>
      </w:r>
      <w:r w:rsidR="002E447B" w:rsidRPr="0087273B">
        <w:rPr>
          <w:rFonts w:ascii="Tahoma" w:hAnsi="Tahoma" w:cs="Tahoma"/>
        </w:rPr>
        <w:t>Segundo</w:t>
      </w:r>
      <w:r w:rsidRPr="0087273B">
        <w:rPr>
          <w:rFonts w:ascii="Tahoma" w:hAnsi="Tahoma" w:cs="Tahoma"/>
        </w:rPr>
        <w:t xml:space="preserve"> Laboral del Circuito de Pereira. </w:t>
      </w:r>
      <w:r w:rsidRPr="0087273B">
        <w:rPr>
          <w:rStyle w:val="normaltextrun"/>
          <w:rFonts w:ascii="Tahoma" w:hAnsi="Tahoma" w:cs="Tahoma"/>
        </w:rPr>
        <w:t>Para ello se tiene en cuenta lo siguiente:</w:t>
      </w:r>
    </w:p>
    <w:p w14:paraId="39AD59FF" w14:textId="4B1D2D5F" w:rsidR="00BF19FE" w:rsidRPr="0087273B" w:rsidRDefault="00BF19FE" w:rsidP="0087273B">
      <w:pPr>
        <w:spacing w:before="0" w:beforeAutospacing="0" w:after="0" w:afterAutospacing="0" w:line="276" w:lineRule="auto"/>
        <w:ind w:firstLine="0"/>
        <w:rPr>
          <w:rFonts w:ascii="Tahoma" w:hAnsi="Tahoma" w:cs="Tahoma"/>
        </w:rPr>
      </w:pPr>
    </w:p>
    <w:p w14:paraId="40C2E441" w14:textId="4FFDB667" w:rsidR="00415842" w:rsidRPr="0087273B" w:rsidRDefault="37EF5B6D" w:rsidP="0087273B">
      <w:pPr>
        <w:pStyle w:val="Prrafodelista"/>
        <w:numPr>
          <w:ilvl w:val="0"/>
          <w:numId w:val="1"/>
        </w:numPr>
        <w:spacing w:line="276" w:lineRule="auto"/>
        <w:ind w:left="426" w:hanging="426"/>
        <w:jc w:val="center"/>
        <w:rPr>
          <w:rFonts w:cs="Tahoma"/>
          <w:b/>
          <w:bCs/>
          <w:szCs w:val="24"/>
        </w:rPr>
      </w:pPr>
      <w:r w:rsidRPr="0087273B">
        <w:rPr>
          <w:rFonts w:cs="Tahoma"/>
          <w:b/>
          <w:bCs/>
          <w:szCs w:val="24"/>
        </w:rPr>
        <w:t xml:space="preserve">La </w:t>
      </w:r>
      <w:r w:rsidR="00415842" w:rsidRPr="0087273B">
        <w:rPr>
          <w:rFonts w:cs="Tahoma"/>
          <w:b/>
          <w:bCs/>
          <w:szCs w:val="24"/>
        </w:rPr>
        <w:t xml:space="preserve">Demanda y </w:t>
      </w:r>
      <w:r w:rsidR="028816A1" w:rsidRPr="0087273B">
        <w:rPr>
          <w:rFonts w:cs="Tahoma"/>
          <w:b/>
          <w:bCs/>
          <w:szCs w:val="24"/>
        </w:rPr>
        <w:t>la</w:t>
      </w:r>
      <w:r w:rsidR="00415842" w:rsidRPr="0087273B">
        <w:rPr>
          <w:rFonts w:cs="Tahoma"/>
          <w:b/>
          <w:bCs/>
          <w:szCs w:val="24"/>
        </w:rPr>
        <w:t xml:space="preserve"> contestación</w:t>
      </w:r>
      <w:r w:rsidR="4DD9EB4A" w:rsidRPr="0087273B">
        <w:rPr>
          <w:rFonts w:cs="Tahoma"/>
          <w:b/>
          <w:bCs/>
          <w:szCs w:val="24"/>
        </w:rPr>
        <w:t xml:space="preserve"> de la demanda</w:t>
      </w:r>
    </w:p>
    <w:p w14:paraId="417070AC" w14:textId="77777777" w:rsidR="00647E83" w:rsidRPr="0087273B" w:rsidRDefault="00647E83" w:rsidP="0087273B">
      <w:pPr>
        <w:spacing w:before="0" w:beforeAutospacing="0" w:after="0" w:afterAutospacing="0" w:line="276" w:lineRule="auto"/>
        <w:ind w:firstLine="708"/>
        <w:contextualSpacing/>
        <w:rPr>
          <w:rFonts w:ascii="Tahoma" w:eastAsia="Calibri" w:hAnsi="Tahoma" w:cs="Tahoma"/>
        </w:rPr>
      </w:pPr>
    </w:p>
    <w:p w14:paraId="029A3B0C" w14:textId="395EB5CC" w:rsidR="006C00B2" w:rsidRPr="0087273B" w:rsidRDefault="006C00B2" w:rsidP="0087273B">
      <w:pPr>
        <w:spacing w:before="0" w:beforeAutospacing="0" w:after="0" w:afterAutospacing="0" w:line="276" w:lineRule="auto"/>
        <w:rPr>
          <w:rFonts w:ascii="Tahoma" w:eastAsia="Times New Roman" w:hAnsi="Tahoma" w:cs="Tahoma"/>
          <w:lang w:val="es-ES" w:eastAsia="es-MX"/>
        </w:rPr>
      </w:pPr>
      <w:r w:rsidRPr="0087273B">
        <w:rPr>
          <w:rFonts w:ascii="Tahoma" w:eastAsia="Times New Roman" w:hAnsi="Tahoma" w:cs="Tahoma"/>
          <w:lang w:val="es-ES" w:eastAsia="es-MX"/>
        </w:rPr>
        <w:t xml:space="preserve">La demandante busca que se declare la </w:t>
      </w:r>
      <w:r w:rsidR="008144F8" w:rsidRPr="0087273B">
        <w:rPr>
          <w:rFonts w:ascii="Tahoma" w:eastAsia="Times New Roman" w:hAnsi="Tahoma" w:cs="Tahoma"/>
          <w:lang w:val="es-ES" w:eastAsia="es-MX"/>
        </w:rPr>
        <w:t xml:space="preserve">ineficacia del </w:t>
      </w:r>
      <w:r w:rsidR="007F3C1E" w:rsidRPr="0087273B">
        <w:rPr>
          <w:rFonts w:ascii="Tahoma" w:eastAsia="Times New Roman" w:hAnsi="Tahoma" w:cs="Tahoma"/>
          <w:lang w:val="es-ES" w:eastAsia="es-MX"/>
        </w:rPr>
        <w:t>traslado</w:t>
      </w:r>
      <w:r w:rsidRPr="0087273B">
        <w:rPr>
          <w:rFonts w:ascii="Tahoma" w:eastAsia="Times New Roman" w:hAnsi="Tahoma" w:cs="Tahoma"/>
          <w:lang w:val="es-ES" w:eastAsia="es-MX"/>
        </w:rPr>
        <w:t xml:space="preserve"> que realizó a </w:t>
      </w:r>
      <w:r w:rsidR="08CBFD0D" w:rsidRPr="0087273B">
        <w:rPr>
          <w:rFonts w:ascii="Tahoma" w:eastAsia="Times New Roman" w:hAnsi="Tahoma" w:cs="Tahoma"/>
          <w:lang w:val="es-ES" w:eastAsia="es-MX"/>
        </w:rPr>
        <w:t>Porvenir S.A.</w:t>
      </w:r>
      <w:r w:rsidRPr="0087273B">
        <w:rPr>
          <w:rFonts w:ascii="Tahoma" w:eastAsia="Times New Roman" w:hAnsi="Tahoma" w:cs="Tahoma"/>
          <w:lang w:val="es-ES" w:eastAsia="es-MX"/>
        </w:rPr>
        <w:t>, a través de la cual se trasladó del régimen de prima media con prestación definida (en adelante RPM) al régimen de ahorro individual con solidaridad (en adelante RAIS).</w:t>
      </w:r>
    </w:p>
    <w:p w14:paraId="71D7EDA2" w14:textId="77777777" w:rsidR="006C00B2" w:rsidRPr="0087273B" w:rsidRDefault="006C00B2" w:rsidP="0087273B">
      <w:pPr>
        <w:spacing w:before="0" w:beforeAutospacing="0" w:after="0" w:afterAutospacing="0" w:line="276" w:lineRule="auto"/>
        <w:ind w:firstLine="0"/>
        <w:rPr>
          <w:rFonts w:ascii="Tahoma" w:eastAsia="Times New Roman" w:hAnsi="Tahoma" w:cs="Tahoma"/>
          <w:lang w:val="es-ES" w:eastAsia="es-MX"/>
        </w:rPr>
      </w:pPr>
    </w:p>
    <w:p w14:paraId="31076ED0" w14:textId="7C11981F" w:rsidR="00C97A9A" w:rsidRPr="0087273B" w:rsidRDefault="006C00B2" w:rsidP="0087273B">
      <w:pPr>
        <w:spacing w:before="0" w:beforeAutospacing="0" w:after="0" w:afterAutospacing="0" w:line="276" w:lineRule="auto"/>
        <w:ind w:firstLine="708"/>
        <w:rPr>
          <w:rFonts w:ascii="Tahoma" w:eastAsia="Times New Roman" w:hAnsi="Tahoma" w:cs="Tahoma"/>
          <w:lang w:val="es-ES" w:eastAsia="es-MX"/>
        </w:rPr>
      </w:pPr>
      <w:r w:rsidRPr="0087273B">
        <w:rPr>
          <w:rFonts w:ascii="Tahoma" w:eastAsia="Times New Roman" w:hAnsi="Tahoma" w:cs="Tahoma"/>
          <w:lang w:val="es-ES" w:eastAsia="es-MX"/>
        </w:rPr>
        <w:t xml:space="preserve">En consecuencia, procura </w:t>
      </w:r>
      <w:r w:rsidR="388D3195" w:rsidRPr="0087273B">
        <w:rPr>
          <w:rFonts w:ascii="Tahoma" w:eastAsia="Times New Roman" w:hAnsi="Tahoma" w:cs="Tahoma"/>
          <w:lang w:val="es-ES" w:eastAsia="es-MX"/>
        </w:rPr>
        <w:t xml:space="preserve">que se </w:t>
      </w:r>
      <w:r w:rsidR="00C97A9A" w:rsidRPr="0087273B">
        <w:rPr>
          <w:rFonts w:ascii="Tahoma" w:eastAsia="Times New Roman" w:hAnsi="Tahoma" w:cs="Tahoma"/>
          <w:lang w:val="es-ES" w:eastAsia="es-MX"/>
        </w:rPr>
        <w:t>condene a Colpensiones a recibirla como afiliada, y a</w:t>
      </w:r>
      <w:r w:rsidR="681E6FA5" w:rsidRPr="0087273B">
        <w:rPr>
          <w:rFonts w:ascii="Tahoma" w:eastAsia="Times New Roman" w:hAnsi="Tahoma" w:cs="Tahoma"/>
          <w:lang w:val="es-ES" w:eastAsia="es-MX"/>
        </w:rPr>
        <w:t xml:space="preserve"> la AFP </w:t>
      </w:r>
      <w:proofErr w:type="spellStart"/>
      <w:r w:rsidR="681E6FA5" w:rsidRPr="0087273B">
        <w:rPr>
          <w:rFonts w:ascii="Tahoma" w:eastAsia="Times New Roman" w:hAnsi="Tahoma" w:cs="Tahoma"/>
          <w:lang w:val="es-ES" w:eastAsia="es-MX"/>
        </w:rPr>
        <w:t>Skandia</w:t>
      </w:r>
      <w:proofErr w:type="spellEnd"/>
      <w:r w:rsidR="00BE60F9" w:rsidRPr="0087273B">
        <w:rPr>
          <w:rFonts w:ascii="Tahoma" w:eastAsia="Times New Roman" w:hAnsi="Tahoma" w:cs="Tahoma"/>
          <w:lang w:val="es-ES" w:eastAsia="es-MX"/>
        </w:rPr>
        <w:t xml:space="preserve"> S.A. </w:t>
      </w:r>
      <w:r w:rsidR="00C97A9A" w:rsidRPr="0087273B">
        <w:rPr>
          <w:rFonts w:ascii="Tahoma" w:eastAsia="Times New Roman" w:hAnsi="Tahoma" w:cs="Tahoma"/>
          <w:lang w:val="es-ES" w:eastAsia="es-MX"/>
        </w:rPr>
        <w:t xml:space="preserve">a </w:t>
      </w:r>
      <w:r w:rsidR="00541E51" w:rsidRPr="0087273B">
        <w:rPr>
          <w:rFonts w:ascii="Tahoma" w:eastAsia="Times New Roman" w:hAnsi="Tahoma" w:cs="Tahoma"/>
          <w:lang w:val="es-ES" w:eastAsia="es-MX"/>
        </w:rPr>
        <w:t>trasladar las sumas de dinero que componen su cuenta de ahorro individual</w:t>
      </w:r>
      <w:r w:rsidR="402B9B5C" w:rsidRPr="0087273B">
        <w:rPr>
          <w:rFonts w:ascii="Tahoma" w:eastAsia="Times New Roman" w:hAnsi="Tahoma" w:cs="Tahoma"/>
          <w:lang w:val="es-ES" w:eastAsia="es-MX"/>
        </w:rPr>
        <w:t>;</w:t>
      </w:r>
      <w:r w:rsidR="00541E51" w:rsidRPr="0087273B">
        <w:rPr>
          <w:rFonts w:ascii="Tahoma" w:eastAsia="Times New Roman" w:hAnsi="Tahoma" w:cs="Tahoma"/>
          <w:lang w:val="es-ES" w:eastAsia="es-MX"/>
        </w:rPr>
        <w:t xml:space="preserve"> lo que se demuestre bajo las facultades ultra y extra petita y</w:t>
      </w:r>
      <w:r w:rsidR="00322322" w:rsidRPr="0087273B">
        <w:rPr>
          <w:rFonts w:ascii="Tahoma" w:eastAsia="Times New Roman" w:hAnsi="Tahoma" w:cs="Tahoma"/>
          <w:lang w:val="es-ES" w:eastAsia="es-MX"/>
        </w:rPr>
        <w:t xml:space="preserve"> </w:t>
      </w:r>
      <w:r w:rsidR="00647504" w:rsidRPr="0087273B">
        <w:rPr>
          <w:rFonts w:ascii="Tahoma" w:eastAsia="Times New Roman" w:hAnsi="Tahoma" w:cs="Tahoma"/>
          <w:lang w:val="es-ES" w:eastAsia="es-MX"/>
        </w:rPr>
        <w:t>las costas procesales</w:t>
      </w:r>
      <w:r w:rsidR="00541E51" w:rsidRPr="0087273B">
        <w:rPr>
          <w:rFonts w:ascii="Tahoma" w:eastAsia="Times New Roman" w:hAnsi="Tahoma" w:cs="Tahoma"/>
          <w:lang w:val="es-ES" w:eastAsia="es-MX"/>
        </w:rPr>
        <w:t xml:space="preserve"> a su favor.</w:t>
      </w:r>
    </w:p>
    <w:p w14:paraId="0B2055D5" w14:textId="77777777" w:rsidR="006C00B2" w:rsidRPr="0087273B" w:rsidRDefault="006C00B2" w:rsidP="0087273B">
      <w:pPr>
        <w:spacing w:before="0" w:beforeAutospacing="0" w:after="0" w:afterAutospacing="0" w:line="276" w:lineRule="auto"/>
        <w:ind w:firstLine="0"/>
        <w:rPr>
          <w:rFonts w:ascii="Tahoma" w:eastAsia="Times New Roman" w:hAnsi="Tahoma" w:cs="Tahoma"/>
          <w:lang w:val="es-ES" w:eastAsia="es-MX"/>
        </w:rPr>
      </w:pPr>
    </w:p>
    <w:p w14:paraId="30986A00" w14:textId="55A127E8" w:rsidR="005B2412" w:rsidRPr="0087273B" w:rsidRDefault="006C00B2" w:rsidP="0087273B">
      <w:pPr>
        <w:spacing w:before="0" w:beforeAutospacing="0" w:after="0" w:afterAutospacing="0" w:line="276" w:lineRule="auto"/>
        <w:ind w:firstLine="708"/>
        <w:rPr>
          <w:rFonts w:ascii="Tahoma" w:eastAsia="Times New Roman" w:hAnsi="Tahoma" w:cs="Tahoma"/>
          <w:lang w:val="es-ES" w:eastAsia="es-MX"/>
        </w:rPr>
      </w:pPr>
      <w:r w:rsidRPr="0087273B">
        <w:rPr>
          <w:rFonts w:ascii="Tahoma" w:eastAsia="Times New Roman" w:hAnsi="Tahoma" w:cs="Tahoma"/>
          <w:lang w:val="es-ES" w:eastAsia="es-MX"/>
        </w:rPr>
        <w:t xml:space="preserve">En sustento de lo pretendido, relata que </w:t>
      </w:r>
      <w:r w:rsidR="00400192" w:rsidRPr="0087273B">
        <w:rPr>
          <w:rFonts w:ascii="Tahoma" w:eastAsia="Times New Roman" w:hAnsi="Tahoma" w:cs="Tahoma"/>
          <w:lang w:val="es-ES" w:eastAsia="es-MX"/>
        </w:rPr>
        <w:t>nació el</w:t>
      </w:r>
      <w:r w:rsidR="004133D4" w:rsidRPr="0087273B">
        <w:rPr>
          <w:rFonts w:ascii="Tahoma" w:eastAsia="Times New Roman" w:hAnsi="Tahoma" w:cs="Tahoma"/>
          <w:lang w:val="es-ES" w:eastAsia="es-MX"/>
        </w:rPr>
        <w:t xml:space="preserve"> 17 de enero de 1968</w:t>
      </w:r>
      <w:r w:rsidR="00400192" w:rsidRPr="0087273B">
        <w:rPr>
          <w:rFonts w:ascii="Tahoma" w:eastAsia="Times New Roman" w:hAnsi="Tahoma" w:cs="Tahoma"/>
          <w:lang w:val="es-ES" w:eastAsia="es-MX"/>
        </w:rPr>
        <w:t>, que se afilió al RPM</w:t>
      </w:r>
      <w:r w:rsidR="004133D4" w:rsidRPr="0087273B">
        <w:rPr>
          <w:rFonts w:ascii="Tahoma" w:eastAsia="Times New Roman" w:hAnsi="Tahoma" w:cs="Tahoma"/>
          <w:lang w:val="es-ES" w:eastAsia="es-MX"/>
        </w:rPr>
        <w:t xml:space="preserve"> el 22 de abril de 1994</w:t>
      </w:r>
      <w:r w:rsidR="00E81080" w:rsidRPr="0087273B">
        <w:rPr>
          <w:rFonts w:ascii="Tahoma" w:eastAsia="Times New Roman" w:hAnsi="Tahoma" w:cs="Tahoma"/>
          <w:lang w:val="es-ES" w:eastAsia="es-MX"/>
        </w:rPr>
        <w:t>,</w:t>
      </w:r>
      <w:r w:rsidR="00400192" w:rsidRPr="0087273B">
        <w:rPr>
          <w:rFonts w:ascii="Tahoma" w:eastAsia="Times New Roman" w:hAnsi="Tahoma" w:cs="Tahoma"/>
          <w:lang w:val="es-ES" w:eastAsia="es-MX"/>
        </w:rPr>
        <w:t xml:space="preserve"> </w:t>
      </w:r>
      <w:r w:rsidRPr="0087273B">
        <w:rPr>
          <w:rFonts w:ascii="Tahoma" w:eastAsia="Times New Roman" w:hAnsi="Tahoma" w:cs="Tahoma"/>
          <w:lang w:val="es-ES" w:eastAsia="es-MX"/>
        </w:rPr>
        <w:t>donde efectuó cotizaciones hasta</w:t>
      </w:r>
      <w:r w:rsidR="00536DE0" w:rsidRPr="0087273B">
        <w:rPr>
          <w:rFonts w:ascii="Tahoma" w:eastAsia="Times New Roman" w:hAnsi="Tahoma" w:cs="Tahoma"/>
          <w:lang w:val="es-ES" w:eastAsia="es-MX"/>
        </w:rPr>
        <w:t xml:space="preserve"> </w:t>
      </w:r>
      <w:r w:rsidR="00C159D4" w:rsidRPr="0087273B">
        <w:rPr>
          <w:rFonts w:ascii="Tahoma" w:eastAsia="Times New Roman" w:hAnsi="Tahoma" w:cs="Tahoma"/>
          <w:lang w:val="es-ES" w:eastAsia="es-MX"/>
        </w:rPr>
        <w:t>noviembre</w:t>
      </w:r>
      <w:r w:rsidR="006B09A9" w:rsidRPr="0087273B">
        <w:rPr>
          <w:rFonts w:ascii="Tahoma" w:eastAsia="Times New Roman" w:hAnsi="Tahoma" w:cs="Tahoma"/>
          <w:lang w:val="es-ES" w:eastAsia="es-MX"/>
        </w:rPr>
        <w:t xml:space="preserve"> de </w:t>
      </w:r>
      <w:r w:rsidR="00C159D4" w:rsidRPr="0087273B">
        <w:rPr>
          <w:rFonts w:ascii="Tahoma" w:eastAsia="Times New Roman" w:hAnsi="Tahoma" w:cs="Tahoma"/>
          <w:lang w:val="es-ES" w:eastAsia="es-MX"/>
        </w:rPr>
        <w:t>1998</w:t>
      </w:r>
      <w:r w:rsidR="00A260F6" w:rsidRPr="0087273B">
        <w:rPr>
          <w:rFonts w:ascii="Tahoma" w:eastAsia="Times New Roman" w:hAnsi="Tahoma" w:cs="Tahoma"/>
          <w:lang w:val="es-ES" w:eastAsia="es-MX"/>
        </w:rPr>
        <w:t xml:space="preserve">, debido a que </w:t>
      </w:r>
      <w:r w:rsidRPr="0087273B">
        <w:rPr>
          <w:rFonts w:ascii="Tahoma" w:eastAsia="Times New Roman" w:hAnsi="Tahoma" w:cs="Tahoma"/>
          <w:lang w:val="es-ES" w:eastAsia="es-MX"/>
        </w:rPr>
        <w:t>suscribió</w:t>
      </w:r>
      <w:r w:rsidR="0086282F" w:rsidRPr="0087273B">
        <w:rPr>
          <w:rFonts w:ascii="Tahoma" w:eastAsia="Times New Roman" w:hAnsi="Tahoma" w:cs="Tahoma"/>
          <w:lang w:val="es-ES" w:eastAsia="es-MX"/>
        </w:rPr>
        <w:t xml:space="preserve"> el</w:t>
      </w:r>
      <w:r w:rsidRPr="0087273B">
        <w:rPr>
          <w:rFonts w:ascii="Tahoma" w:eastAsia="Times New Roman" w:hAnsi="Tahoma" w:cs="Tahoma"/>
          <w:lang w:val="es-ES" w:eastAsia="es-MX"/>
        </w:rPr>
        <w:t xml:space="preserve"> formulario de afiliación a la AFP </w:t>
      </w:r>
      <w:r w:rsidR="00C159D4" w:rsidRPr="0087273B">
        <w:rPr>
          <w:rFonts w:ascii="Tahoma" w:eastAsia="Times New Roman" w:hAnsi="Tahoma" w:cs="Tahoma"/>
          <w:lang w:val="es-ES" w:eastAsia="es-MX"/>
        </w:rPr>
        <w:t>Porveni</w:t>
      </w:r>
      <w:r w:rsidR="00AC2F76" w:rsidRPr="0087273B">
        <w:rPr>
          <w:rFonts w:ascii="Tahoma" w:eastAsia="Times New Roman" w:hAnsi="Tahoma" w:cs="Tahoma"/>
          <w:lang w:val="es-ES" w:eastAsia="es-MX"/>
        </w:rPr>
        <w:t xml:space="preserve">r, y posteriormente el 19 de septiembre de 2007 se trasladó a </w:t>
      </w:r>
      <w:proofErr w:type="spellStart"/>
      <w:r w:rsidR="00AC2F76" w:rsidRPr="0087273B">
        <w:rPr>
          <w:rFonts w:ascii="Tahoma" w:eastAsia="Times New Roman" w:hAnsi="Tahoma" w:cs="Tahoma"/>
          <w:lang w:val="es-ES" w:eastAsia="es-MX"/>
        </w:rPr>
        <w:t>Skandía</w:t>
      </w:r>
      <w:proofErr w:type="spellEnd"/>
      <w:r w:rsidR="00AC2F76" w:rsidRPr="0087273B">
        <w:rPr>
          <w:rFonts w:ascii="Tahoma" w:eastAsia="Times New Roman" w:hAnsi="Tahoma" w:cs="Tahoma"/>
          <w:lang w:val="es-ES" w:eastAsia="es-MX"/>
        </w:rPr>
        <w:t xml:space="preserve"> </w:t>
      </w:r>
      <w:proofErr w:type="spellStart"/>
      <w:r w:rsidR="00AC2F76" w:rsidRPr="0087273B">
        <w:rPr>
          <w:rFonts w:ascii="Tahoma" w:eastAsia="Times New Roman" w:hAnsi="Tahoma" w:cs="Tahoma"/>
          <w:lang w:val="es-ES" w:eastAsia="es-MX"/>
        </w:rPr>
        <w:t>S.A</w:t>
      </w:r>
      <w:proofErr w:type="spellEnd"/>
      <w:r w:rsidR="00BB2337" w:rsidRPr="0087273B">
        <w:rPr>
          <w:rFonts w:ascii="Tahoma" w:eastAsia="Times New Roman" w:hAnsi="Tahoma" w:cs="Tahoma"/>
          <w:lang w:val="es-ES" w:eastAsia="es-MX"/>
        </w:rPr>
        <w:t>; sin embargo, el noviembre de 2012 regresó a Porvenir S.A.</w:t>
      </w:r>
    </w:p>
    <w:p w14:paraId="19B92744" w14:textId="77777777" w:rsidR="005B2412" w:rsidRPr="0087273B" w:rsidRDefault="005B2412" w:rsidP="0087273B">
      <w:pPr>
        <w:spacing w:before="0" w:beforeAutospacing="0" w:after="0" w:afterAutospacing="0" w:line="276" w:lineRule="auto"/>
        <w:ind w:firstLine="708"/>
        <w:rPr>
          <w:rFonts w:ascii="Tahoma" w:eastAsia="Times New Roman" w:hAnsi="Tahoma" w:cs="Tahoma"/>
          <w:lang w:val="es-ES" w:eastAsia="es-MX"/>
        </w:rPr>
      </w:pPr>
    </w:p>
    <w:p w14:paraId="5314F8B5" w14:textId="71BECEA6" w:rsidR="006B09A9" w:rsidRPr="0087273B" w:rsidRDefault="006A7C15" w:rsidP="0087273B">
      <w:pPr>
        <w:spacing w:before="0" w:beforeAutospacing="0" w:after="0" w:afterAutospacing="0" w:line="276" w:lineRule="auto"/>
        <w:ind w:firstLine="708"/>
        <w:rPr>
          <w:rFonts w:ascii="Tahoma" w:eastAsia="Times New Roman" w:hAnsi="Tahoma" w:cs="Tahoma"/>
          <w:lang w:val="es-ES" w:eastAsia="es-MX"/>
        </w:rPr>
      </w:pPr>
      <w:r w:rsidRPr="0087273B">
        <w:rPr>
          <w:rFonts w:ascii="Tahoma" w:eastAsia="Times New Roman" w:hAnsi="Tahoma" w:cs="Tahoma"/>
          <w:lang w:val="es-ES" w:eastAsia="es-MX"/>
        </w:rPr>
        <w:t xml:space="preserve">Niega que </w:t>
      </w:r>
      <w:r w:rsidR="00BB2337" w:rsidRPr="0087273B">
        <w:rPr>
          <w:rFonts w:ascii="Tahoma" w:eastAsia="Times New Roman" w:hAnsi="Tahoma" w:cs="Tahoma"/>
          <w:lang w:val="es-ES" w:eastAsia="es-MX"/>
        </w:rPr>
        <w:t xml:space="preserve">dichos </w:t>
      </w:r>
      <w:r w:rsidRPr="0087273B">
        <w:rPr>
          <w:rFonts w:ascii="Tahoma" w:eastAsia="Times New Roman" w:hAnsi="Tahoma" w:cs="Tahoma"/>
          <w:lang w:val="es-ES" w:eastAsia="es-MX"/>
        </w:rPr>
        <w:t>traslado</w:t>
      </w:r>
      <w:r w:rsidR="00BB2337" w:rsidRPr="0087273B">
        <w:rPr>
          <w:rFonts w:ascii="Tahoma" w:eastAsia="Times New Roman" w:hAnsi="Tahoma" w:cs="Tahoma"/>
          <w:lang w:val="es-ES" w:eastAsia="es-MX"/>
        </w:rPr>
        <w:t>s</w:t>
      </w:r>
      <w:r w:rsidRPr="0087273B">
        <w:rPr>
          <w:rFonts w:ascii="Tahoma" w:eastAsia="Times New Roman" w:hAnsi="Tahoma" w:cs="Tahoma"/>
          <w:lang w:val="es-ES" w:eastAsia="es-MX"/>
        </w:rPr>
        <w:t xml:space="preserve"> hubiera</w:t>
      </w:r>
      <w:r w:rsidR="00BB2337" w:rsidRPr="0087273B">
        <w:rPr>
          <w:rFonts w:ascii="Tahoma" w:eastAsia="Times New Roman" w:hAnsi="Tahoma" w:cs="Tahoma"/>
          <w:lang w:val="es-ES" w:eastAsia="es-MX"/>
        </w:rPr>
        <w:t>n</w:t>
      </w:r>
      <w:r w:rsidRPr="0087273B">
        <w:rPr>
          <w:rFonts w:ascii="Tahoma" w:eastAsia="Times New Roman" w:hAnsi="Tahoma" w:cs="Tahoma"/>
          <w:lang w:val="es-ES" w:eastAsia="es-MX"/>
        </w:rPr>
        <w:t xml:space="preserve"> estado </w:t>
      </w:r>
      <w:r w:rsidR="00BB2337" w:rsidRPr="0087273B">
        <w:rPr>
          <w:rFonts w:ascii="Tahoma" w:eastAsia="Times New Roman" w:hAnsi="Tahoma" w:cs="Tahoma"/>
          <w:lang w:val="es-ES" w:eastAsia="es-MX"/>
        </w:rPr>
        <w:t>precedidos</w:t>
      </w:r>
      <w:r w:rsidRPr="0087273B">
        <w:rPr>
          <w:rFonts w:ascii="Tahoma" w:eastAsia="Times New Roman" w:hAnsi="Tahoma" w:cs="Tahoma"/>
          <w:lang w:val="es-ES" w:eastAsia="es-MX"/>
        </w:rPr>
        <w:t xml:space="preserve"> de</w:t>
      </w:r>
      <w:r w:rsidR="00A83E58" w:rsidRPr="0087273B">
        <w:rPr>
          <w:rFonts w:ascii="Tahoma" w:eastAsia="Times New Roman" w:hAnsi="Tahoma" w:cs="Tahoma"/>
          <w:lang w:val="es-ES" w:eastAsia="es-MX"/>
        </w:rPr>
        <w:t>l deber de información, pues a su juicio la</w:t>
      </w:r>
      <w:r w:rsidR="006B09A9" w:rsidRPr="0087273B">
        <w:rPr>
          <w:rFonts w:ascii="Tahoma" w:eastAsia="Times New Roman" w:hAnsi="Tahoma" w:cs="Tahoma"/>
          <w:lang w:val="es-ES" w:eastAsia="es-MX"/>
        </w:rPr>
        <w:t>s</w:t>
      </w:r>
      <w:r w:rsidR="00A83E58" w:rsidRPr="0087273B">
        <w:rPr>
          <w:rFonts w:ascii="Tahoma" w:eastAsia="Times New Roman" w:hAnsi="Tahoma" w:cs="Tahoma"/>
          <w:lang w:val="es-ES" w:eastAsia="es-MX"/>
        </w:rPr>
        <w:t xml:space="preserve"> A</w:t>
      </w:r>
      <w:r w:rsidR="006B09A9" w:rsidRPr="0087273B">
        <w:rPr>
          <w:rFonts w:ascii="Tahoma" w:eastAsia="Times New Roman" w:hAnsi="Tahoma" w:cs="Tahoma"/>
          <w:lang w:val="es-ES" w:eastAsia="es-MX"/>
        </w:rPr>
        <w:t>dministradoras</w:t>
      </w:r>
      <w:r w:rsidR="00A83E58" w:rsidRPr="0087273B">
        <w:rPr>
          <w:rFonts w:ascii="Tahoma" w:eastAsia="Times New Roman" w:hAnsi="Tahoma" w:cs="Tahoma"/>
          <w:lang w:val="es-ES" w:eastAsia="es-MX"/>
        </w:rPr>
        <w:t xml:space="preserve"> demandada</w:t>
      </w:r>
      <w:r w:rsidR="006B09A9" w:rsidRPr="0087273B">
        <w:rPr>
          <w:rFonts w:ascii="Tahoma" w:eastAsia="Times New Roman" w:hAnsi="Tahoma" w:cs="Tahoma"/>
          <w:lang w:val="es-ES" w:eastAsia="es-MX"/>
        </w:rPr>
        <w:t>s</w:t>
      </w:r>
      <w:r w:rsidR="00A83E58" w:rsidRPr="0087273B">
        <w:rPr>
          <w:rFonts w:ascii="Tahoma" w:eastAsia="Times New Roman" w:hAnsi="Tahoma" w:cs="Tahoma"/>
          <w:lang w:val="es-ES" w:eastAsia="es-MX"/>
        </w:rPr>
        <w:t xml:space="preserve"> </w:t>
      </w:r>
      <w:r w:rsidR="006B09A9" w:rsidRPr="0087273B">
        <w:rPr>
          <w:rFonts w:ascii="Tahoma" w:eastAsia="Times New Roman" w:hAnsi="Tahoma" w:cs="Tahoma"/>
          <w:lang w:val="es-ES" w:eastAsia="es-MX"/>
        </w:rPr>
        <w:t>incumplieron con lo ordenado por el Estatuto Orgánico Financiero, esto es con el deber de brindar una información necesaria y transparente</w:t>
      </w:r>
      <w:r w:rsidR="0083240D" w:rsidRPr="0087273B">
        <w:rPr>
          <w:rFonts w:ascii="Tahoma" w:eastAsia="Times New Roman" w:hAnsi="Tahoma" w:cs="Tahoma"/>
          <w:lang w:val="es-ES" w:eastAsia="es-MX"/>
        </w:rPr>
        <w:t xml:space="preserve"> al momento de realizar los respectivos traslados.</w:t>
      </w:r>
    </w:p>
    <w:p w14:paraId="3EB0B70A" w14:textId="77777777" w:rsidR="00B66307" w:rsidRPr="0087273B" w:rsidRDefault="00B66307" w:rsidP="0087273B">
      <w:pPr>
        <w:spacing w:before="0" w:beforeAutospacing="0" w:after="0" w:afterAutospacing="0" w:line="276" w:lineRule="auto"/>
        <w:ind w:firstLine="0"/>
        <w:rPr>
          <w:rFonts w:ascii="Tahoma" w:eastAsia="Times New Roman" w:hAnsi="Tahoma" w:cs="Tahoma"/>
          <w:lang w:val="es-ES" w:eastAsia="es-MX"/>
        </w:rPr>
      </w:pPr>
    </w:p>
    <w:p w14:paraId="193F04CC" w14:textId="731D7FE5" w:rsidR="00581726" w:rsidRPr="0087273B" w:rsidRDefault="00436606" w:rsidP="0087273B">
      <w:pPr>
        <w:spacing w:before="0" w:beforeAutospacing="0" w:after="0" w:afterAutospacing="0" w:line="276" w:lineRule="auto"/>
        <w:ind w:firstLine="708"/>
        <w:rPr>
          <w:rFonts w:ascii="Tahoma" w:eastAsia="Times New Roman" w:hAnsi="Tahoma" w:cs="Tahoma"/>
          <w:lang w:val="es-ES" w:eastAsia="es-MX"/>
        </w:rPr>
      </w:pPr>
      <w:r w:rsidRPr="0087273B">
        <w:rPr>
          <w:rFonts w:ascii="Tahoma" w:eastAsia="Times New Roman" w:hAnsi="Tahoma" w:cs="Tahoma"/>
          <w:lang w:val="es-ES" w:eastAsia="es-MX"/>
        </w:rPr>
        <w:t xml:space="preserve">Finalmente, expone </w:t>
      </w:r>
      <w:r w:rsidR="00581726" w:rsidRPr="0087273B">
        <w:rPr>
          <w:rFonts w:ascii="Tahoma" w:eastAsia="Times New Roman" w:hAnsi="Tahoma" w:cs="Tahoma"/>
          <w:lang w:val="es-ES" w:eastAsia="es-MX"/>
        </w:rPr>
        <w:t xml:space="preserve">que </w:t>
      </w:r>
      <w:r w:rsidR="0083240D" w:rsidRPr="0087273B">
        <w:rPr>
          <w:rFonts w:ascii="Tahoma" w:eastAsia="Times New Roman" w:hAnsi="Tahoma" w:cs="Tahoma"/>
          <w:lang w:val="es-ES" w:eastAsia="es-MX"/>
        </w:rPr>
        <w:t xml:space="preserve">el </w:t>
      </w:r>
      <w:r w:rsidR="002E0674" w:rsidRPr="0087273B">
        <w:rPr>
          <w:rFonts w:ascii="Tahoma" w:eastAsia="Times New Roman" w:hAnsi="Tahoma" w:cs="Tahoma"/>
          <w:lang w:val="es-ES" w:eastAsia="es-MX"/>
        </w:rPr>
        <w:t>29 de noviembre de 2019</w:t>
      </w:r>
      <w:r w:rsidR="00581726" w:rsidRPr="0087273B">
        <w:rPr>
          <w:rFonts w:ascii="Tahoma" w:eastAsia="Times New Roman" w:hAnsi="Tahoma" w:cs="Tahoma"/>
          <w:lang w:val="es-ES" w:eastAsia="es-MX"/>
        </w:rPr>
        <w:t>, Colpensiones negó la solicitud de traslado</w:t>
      </w:r>
      <w:r w:rsidR="00254F97" w:rsidRPr="0087273B">
        <w:rPr>
          <w:rFonts w:ascii="Tahoma" w:eastAsia="Times New Roman" w:hAnsi="Tahoma" w:cs="Tahoma"/>
          <w:lang w:val="es-ES" w:eastAsia="es-MX"/>
        </w:rPr>
        <w:t>.</w:t>
      </w:r>
    </w:p>
    <w:p w14:paraId="7A872F8D" w14:textId="77777777" w:rsidR="006C00B2" w:rsidRPr="0087273B" w:rsidRDefault="006C00B2" w:rsidP="0087273B">
      <w:pPr>
        <w:spacing w:before="0" w:beforeAutospacing="0" w:after="0" w:afterAutospacing="0" w:line="276" w:lineRule="auto"/>
        <w:ind w:firstLine="0"/>
        <w:rPr>
          <w:rFonts w:ascii="Tahoma" w:eastAsia="Times New Roman" w:hAnsi="Tahoma" w:cs="Tahoma"/>
          <w:lang w:val="es-ES" w:eastAsia="es-MX"/>
        </w:rPr>
      </w:pPr>
    </w:p>
    <w:p w14:paraId="66F9C994" w14:textId="6F5984E2" w:rsidR="002E0674" w:rsidRPr="0087273B" w:rsidRDefault="00450915" w:rsidP="0087273B">
      <w:pPr>
        <w:spacing w:before="0" w:beforeAutospacing="0" w:after="0" w:afterAutospacing="0" w:line="276" w:lineRule="auto"/>
        <w:ind w:firstLine="708"/>
        <w:rPr>
          <w:rFonts w:ascii="Tahoma" w:eastAsia="Times New Roman" w:hAnsi="Tahoma" w:cs="Tahoma"/>
          <w:bCs/>
          <w:lang w:val="es-ES" w:eastAsia="es-MX"/>
        </w:rPr>
      </w:pPr>
      <w:r w:rsidRPr="0087273B">
        <w:rPr>
          <w:rFonts w:ascii="Tahoma" w:eastAsia="Times New Roman" w:hAnsi="Tahoma" w:cs="Tahoma"/>
          <w:bCs/>
          <w:lang w:val="es-ES" w:eastAsia="es-MX"/>
        </w:rPr>
        <w:t xml:space="preserve">En respuesta a la demanda, </w:t>
      </w:r>
      <w:r w:rsidR="002E0674" w:rsidRPr="0087273B">
        <w:rPr>
          <w:rFonts w:ascii="Tahoma" w:eastAsia="Times New Roman" w:hAnsi="Tahoma" w:cs="Tahoma"/>
          <w:b/>
          <w:lang w:val="es-ES" w:eastAsia="es-MX"/>
        </w:rPr>
        <w:t>Porvenir S.A.</w:t>
      </w:r>
      <w:r w:rsidR="002B46A4" w:rsidRPr="0087273B">
        <w:rPr>
          <w:rStyle w:val="Refdenotaalpie"/>
          <w:rFonts w:ascii="Tahoma" w:eastAsia="Times New Roman" w:hAnsi="Tahoma" w:cs="Tahoma"/>
          <w:b/>
          <w:lang w:val="es-ES" w:eastAsia="es-MX"/>
        </w:rPr>
        <w:footnoteReference w:id="2"/>
      </w:r>
      <w:r w:rsidR="002E0674" w:rsidRPr="0087273B">
        <w:rPr>
          <w:rFonts w:ascii="Tahoma" w:eastAsia="Times New Roman" w:hAnsi="Tahoma" w:cs="Tahoma"/>
          <w:bCs/>
          <w:lang w:val="es-ES" w:eastAsia="es-MX"/>
        </w:rPr>
        <w:t xml:space="preserve"> </w:t>
      </w:r>
      <w:r w:rsidR="009C049A" w:rsidRPr="0087273B">
        <w:rPr>
          <w:rFonts w:ascii="Tahoma" w:eastAsia="Times New Roman" w:hAnsi="Tahoma" w:cs="Tahoma"/>
          <w:bCs/>
          <w:lang w:val="es-ES" w:eastAsia="es-MX"/>
        </w:rPr>
        <w:t>se opuso a la acción legal, informando que el traslado de régimen se realizó por medio de Colfondos S.A. y no por medio de la AFP Porvenir S.A.</w:t>
      </w:r>
      <w:r w:rsidR="008C3475" w:rsidRPr="0087273B">
        <w:rPr>
          <w:rFonts w:ascii="Tahoma" w:eastAsia="Times New Roman" w:hAnsi="Tahoma" w:cs="Tahoma"/>
          <w:bCs/>
          <w:lang w:val="es-ES" w:eastAsia="es-MX"/>
        </w:rPr>
        <w:t xml:space="preserve"> que, en todo caso,</w:t>
      </w:r>
      <w:r w:rsidR="009C049A" w:rsidRPr="0087273B">
        <w:rPr>
          <w:rFonts w:ascii="Tahoma" w:eastAsia="Times New Roman" w:hAnsi="Tahoma" w:cs="Tahoma"/>
          <w:bCs/>
          <w:lang w:val="es-ES" w:eastAsia="es-MX"/>
        </w:rPr>
        <w:t xml:space="preserve"> </w:t>
      </w:r>
      <w:r w:rsidR="008C3475" w:rsidRPr="0087273B">
        <w:rPr>
          <w:rFonts w:ascii="Tahoma" w:eastAsia="Times New Roman" w:hAnsi="Tahoma" w:cs="Tahoma"/>
          <w:bCs/>
          <w:lang w:val="es-ES" w:eastAsia="es-MX"/>
        </w:rPr>
        <w:t>el mismo se hizo conforme a la ley y medi</w:t>
      </w:r>
      <w:r w:rsidR="006E3D8F" w:rsidRPr="0087273B">
        <w:rPr>
          <w:rFonts w:ascii="Tahoma" w:eastAsia="Times New Roman" w:hAnsi="Tahoma" w:cs="Tahoma"/>
          <w:bCs/>
          <w:lang w:val="es-ES" w:eastAsia="es-MX"/>
        </w:rPr>
        <w:t>ó</w:t>
      </w:r>
      <w:r w:rsidR="008C3475" w:rsidRPr="0087273B">
        <w:rPr>
          <w:rFonts w:ascii="Tahoma" w:eastAsia="Times New Roman" w:hAnsi="Tahoma" w:cs="Tahoma"/>
          <w:bCs/>
          <w:lang w:val="es-ES" w:eastAsia="es-MX"/>
        </w:rPr>
        <w:t xml:space="preserve"> el consentimiento de la accionante tal como exhiben las solicitudes de vinculación</w:t>
      </w:r>
      <w:r w:rsidR="006E3D8F" w:rsidRPr="0087273B">
        <w:rPr>
          <w:rFonts w:ascii="Tahoma" w:eastAsia="Times New Roman" w:hAnsi="Tahoma" w:cs="Tahoma"/>
          <w:bCs/>
          <w:lang w:val="es-ES" w:eastAsia="es-MX"/>
        </w:rPr>
        <w:t>, de forma libre, espontánea y sin presiones</w:t>
      </w:r>
      <w:r w:rsidR="00C83C1D" w:rsidRPr="0087273B">
        <w:rPr>
          <w:rFonts w:ascii="Tahoma" w:eastAsia="Times New Roman" w:hAnsi="Tahoma" w:cs="Tahoma"/>
          <w:bCs/>
          <w:lang w:val="es-ES" w:eastAsia="es-MX"/>
        </w:rPr>
        <w:t>, y que en el evento hipotético de configurarse algún vicio en el consentimiento, la nulidad relativa quedó subsanada por el paso del tiempo</w:t>
      </w:r>
      <w:r w:rsidR="00964EAE" w:rsidRPr="0087273B">
        <w:rPr>
          <w:rFonts w:ascii="Tahoma" w:eastAsia="Times New Roman" w:hAnsi="Tahoma" w:cs="Tahoma"/>
          <w:bCs/>
          <w:lang w:val="es-ES" w:eastAsia="es-MX"/>
        </w:rPr>
        <w:t xml:space="preserve">. Finalmente, expone que en la actualidad la demandante no </w:t>
      </w:r>
      <w:r w:rsidR="006140BB" w:rsidRPr="0087273B">
        <w:rPr>
          <w:rFonts w:ascii="Tahoma" w:eastAsia="Times New Roman" w:hAnsi="Tahoma" w:cs="Tahoma"/>
          <w:bCs/>
          <w:lang w:val="es-ES" w:eastAsia="es-MX"/>
        </w:rPr>
        <w:t>puede</w:t>
      </w:r>
      <w:r w:rsidR="00964EAE" w:rsidRPr="0087273B">
        <w:rPr>
          <w:rFonts w:ascii="Tahoma" w:eastAsia="Times New Roman" w:hAnsi="Tahoma" w:cs="Tahoma"/>
          <w:bCs/>
          <w:lang w:val="es-ES" w:eastAsia="es-MX"/>
        </w:rPr>
        <w:t xml:space="preserve"> retornar al RPM, de </w:t>
      </w:r>
      <w:r w:rsidR="006140BB" w:rsidRPr="0087273B">
        <w:rPr>
          <w:rFonts w:ascii="Tahoma" w:eastAsia="Times New Roman" w:hAnsi="Tahoma" w:cs="Tahoma"/>
          <w:bCs/>
          <w:lang w:val="es-ES" w:eastAsia="es-MX"/>
        </w:rPr>
        <w:t xml:space="preserve">conformidad con la prohibición establecida en el literal e) del artículo 2 de la Ley 797 de 2003, que modificó el literal e) del artículo 13 de la Ley 100 de 1993. Con base en lo anterior, como medios defensivos de mérito propuso las que denominó: </w:t>
      </w:r>
      <w:r w:rsidR="006140BB" w:rsidRPr="0087273B">
        <w:rPr>
          <w:rFonts w:ascii="Tahoma" w:eastAsia="Times New Roman" w:hAnsi="Tahoma" w:cs="Tahoma"/>
          <w:bCs/>
          <w:i/>
          <w:iCs/>
          <w:lang w:val="es-ES" w:eastAsia="es-MX"/>
        </w:rPr>
        <w:t>“</w:t>
      </w:r>
      <w:r w:rsidR="006223E4" w:rsidRPr="0087273B">
        <w:rPr>
          <w:rFonts w:ascii="Tahoma" w:eastAsia="Times New Roman" w:hAnsi="Tahoma" w:cs="Tahoma"/>
          <w:bCs/>
          <w:i/>
          <w:iCs/>
          <w:lang w:val="es-ES" w:eastAsia="es-MX"/>
        </w:rPr>
        <w:t>validez y eficacia de la afiliación de la demandante a horizonte y Porvenir e inexistencia de vicios en el consentimiento”, “saneamiento de la eventual nulidad relativa”, “inexistencia de la obligación de devolver la comisión de administración en caso de que se declare la nulidad o ineficacia de la afiliación al RAIS”, “Inexistencia de la obligación de devolver el pago al seguro previsional cuando se declara la nulidad o ineficacia de la afiliación al RAIS”, “Prescripción”, “</w:t>
      </w:r>
      <w:r w:rsidR="002B46A4" w:rsidRPr="0087273B">
        <w:rPr>
          <w:rFonts w:ascii="Tahoma" w:eastAsia="Times New Roman" w:hAnsi="Tahoma" w:cs="Tahoma"/>
          <w:bCs/>
          <w:i/>
          <w:iCs/>
          <w:lang w:val="es-ES" w:eastAsia="es-MX"/>
        </w:rPr>
        <w:t>buena fe”, “innominada o genérica”.</w:t>
      </w:r>
      <w:r w:rsidR="002B46A4" w:rsidRPr="0087273B">
        <w:rPr>
          <w:rFonts w:ascii="Tahoma" w:eastAsia="Times New Roman" w:hAnsi="Tahoma" w:cs="Tahoma"/>
          <w:bCs/>
          <w:lang w:val="es-ES" w:eastAsia="es-MX"/>
        </w:rPr>
        <w:t xml:space="preserve"> </w:t>
      </w:r>
    </w:p>
    <w:p w14:paraId="5DA131FB" w14:textId="77777777" w:rsidR="008208AC" w:rsidRPr="0087273B" w:rsidRDefault="008208AC" w:rsidP="0087273B">
      <w:pPr>
        <w:spacing w:before="0" w:beforeAutospacing="0" w:after="0" w:afterAutospacing="0" w:line="276" w:lineRule="auto"/>
        <w:ind w:firstLine="708"/>
        <w:rPr>
          <w:rFonts w:ascii="Tahoma" w:eastAsia="Times New Roman" w:hAnsi="Tahoma" w:cs="Tahoma"/>
          <w:bCs/>
          <w:lang w:val="es-ES" w:eastAsia="es-MX"/>
        </w:rPr>
      </w:pPr>
    </w:p>
    <w:p w14:paraId="0DDD8AF3" w14:textId="705EF7A0" w:rsidR="008208AC" w:rsidRPr="0087273B" w:rsidRDefault="008208AC" w:rsidP="0087273B">
      <w:pPr>
        <w:spacing w:before="0" w:beforeAutospacing="0" w:after="0" w:afterAutospacing="0" w:line="276" w:lineRule="auto"/>
        <w:ind w:firstLine="708"/>
        <w:rPr>
          <w:rFonts w:ascii="Tahoma" w:eastAsia="Times New Roman" w:hAnsi="Tahoma" w:cs="Tahoma"/>
          <w:lang w:val="es-ES" w:eastAsia="es-MX"/>
        </w:rPr>
      </w:pPr>
      <w:r w:rsidRPr="0087273B">
        <w:rPr>
          <w:rFonts w:ascii="Tahoma" w:eastAsia="Times New Roman" w:hAnsi="Tahoma" w:cs="Tahoma"/>
          <w:lang w:val="es-ES" w:eastAsia="es-MX"/>
        </w:rPr>
        <w:t xml:space="preserve">En similares términos contestó </w:t>
      </w:r>
      <w:proofErr w:type="spellStart"/>
      <w:r w:rsidRPr="0087273B">
        <w:rPr>
          <w:rFonts w:ascii="Tahoma" w:eastAsia="Times New Roman" w:hAnsi="Tahoma" w:cs="Tahoma"/>
          <w:b/>
          <w:bCs/>
          <w:lang w:val="es-ES" w:eastAsia="es-MX"/>
        </w:rPr>
        <w:t>Skandia</w:t>
      </w:r>
      <w:proofErr w:type="spellEnd"/>
      <w:r w:rsidRPr="0087273B">
        <w:rPr>
          <w:rFonts w:ascii="Tahoma" w:eastAsia="Times New Roman" w:hAnsi="Tahoma" w:cs="Tahoma"/>
          <w:b/>
          <w:bCs/>
          <w:lang w:val="es-ES" w:eastAsia="es-MX"/>
        </w:rPr>
        <w:t xml:space="preserve"> S.A.</w:t>
      </w:r>
      <w:r w:rsidR="00D325A8" w:rsidRPr="0087273B">
        <w:rPr>
          <w:rStyle w:val="Refdenotaalpie"/>
          <w:rFonts w:ascii="Tahoma" w:eastAsia="Times New Roman" w:hAnsi="Tahoma" w:cs="Tahoma"/>
          <w:b/>
          <w:bCs/>
          <w:lang w:val="es-ES" w:eastAsia="es-MX"/>
        </w:rPr>
        <w:footnoteReference w:id="3"/>
      </w:r>
      <w:r w:rsidR="000317F0" w:rsidRPr="0087273B">
        <w:rPr>
          <w:rFonts w:ascii="Tahoma" w:eastAsia="Times New Roman" w:hAnsi="Tahoma" w:cs="Tahoma"/>
          <w:b/>
          <w:bCs/>
          <w:lang w:val="es-ES" w:eastAsia="es-MX"/>
        </w:rPr>
        <w:t xml:space="preserve"> </w:t>
      </w:r>
      <w:r w:rsidR="000317F0" w:rsidRPr="0087273B">
        <w:rPr>
          <w:rFonts w:ascii="Tahoma" w:eastAsia="Times New Roman" w:hAnsi="Tahoma" w:cs="Tahoma"/>
          <w:lang w:val="es-ES" w:eastAsia="es-MX"/>
        </w:rPr>
        <w:t xml:space="preserve">quien propuso las mismas excepciones perentorias y agregó la de </w:t>
      </w:r>
      <w:r w:rsidR="000317F0" w:rsidRPr="0087273B">
        <w:rPr>
          <w:rFonts w:ascii="Tahoma" w:eastAsia="Times New Roman" w:hAnsi="Tahoma" w:cs="Tahoma"/>
          <w:i/>
          <w:iCs/>
          <w:lang w:val="es-ES" w:eastAsia="es-MX"/>
        </w:rPr>
        <w:t>“compensación”</w:t>
      </w:r>
      <w:r w:rsidR="000317F0" w:rsidRPr="0087273B">
        <w:rPr>
          <w:rFonts w:ascii="Tahoma" w:eastAsia="Times New Roman" w:hAnsi="Tahoma" w:cs="Tahoma"/>
          <w:lang w:val="es-ES" w:eastAsia="es-MX"/>
        </w:rPr>
        <w:t xml:space="preserve"> y </w:t>
      </w:r>
      <w:r w:rsidR="000317F0" w:rsidRPr="0087273B">
        <w:rPr>
          <w:rFonts w:ascii="Tahoma" w:eastAsia="Times New Roman" w:hAnsi="Tahoma" w:cs="Tahoma"/>
          <w:i/>
          <w:iCs/>
          <w:lang w:val="es-ES" w:eastAsia="es-MX"/>
        </w:rPr>
        <w:t>“pago”.</w:t>
      </w:r>
      <w:r w:rsidR="002F7096" w:rsidRPr="0087273B">
        <w:rPr>
          <w:rFonts w:ascii="Tahoma" w:eastAsia="Times New Roman" w:hAnsi="Tahoma" w:cs="Tahoma"/>
          <w:i/>
          <w:iCs/>
          <w:lang w:val="es-ES" w:eastAsia="es-MX"/>
        </w:rPr>
        <w:t xml:space="preserve"> </w:t>
      </w:r>
      <w:r w:rsidR="00863370" w:rsidRPr="0087273B">
        <w:rPr>
          <w:rFonts w:ascii="Tahoma" w:eastAsia="Times New Roman" w:hAnsi="Tahoma" w:cs="Tahoma"/>
          <w:lang w:val="es-ES" w:eastAsia="es-MX"/>
        </w:rPr>
        <w:t>Además,</w:t>
      </w:r>
      <w:r w:rsidR="002F7096" w:rsidRPr="0087273B">
        <w:rPr>
          <w:rFonts w:ascii="Tahoma" w:eastAsia="Times New Roman" w:hAnsi="Tahoma" w:cs="Tahoma"/>
          <w:lang w:val="es-ES" w:eastAsia="es-MX"/>
        </w:rPr>
        <w:t xml:space="preserve"> llamó en garantía a la aseguradora </w:t>
      </w:r>
      <w:r w:rsidR="00300BF0" w:rsidRPr="0087273B">
        <w:rPr>
          <w:rFonts w:ascii="Tahoma" w:eastAsia="Times New Roman" w:hAnsi="Tahoma" w:cs="Tahoma"/>
          <w:b/>
          <w:bCs/>
          <w:lang w:val="es-ES" w:eastAsia="es-MX"/>
        </w:rPr>
        <w:t xml:space="preserve">Mapfre Colombia Vida Seguros </w:t>
      </w:r>
      <w:r w:rsidR="002F7096" w:rsidRPr="0087273B">
        <w:rPr>
          <w:rFonts w:ascii="Tahoma" w:eastAsia="Times New Roman" w:hAnsi="Tahoma" w:cs="Tahoma"/>
          <w:b/>
          <w:bCs/>
          <w:lang w:val="es-ES" w:eastAsia="es-MX"/>
        </w:rPr>
        <w:t>S.A</w:t>
      </w:r>
      <w:r w:rsidR="002F7096" w:rsidRPr="0087273B">
        <w:rPr>
          <w:rFonts w:ascii="Tahoma" w:eastAsia="Times New Roman" w:hAnsi="Tahoma" w:cs="Tahoma"/>
          <w:lang w:val="es-ES" w:eastAsia="es-MX"/>
        </w:rPr>
        <w:t>. con quien suscribió el seguro previsional de invalidez y sobrevivientes</w:t>
      </w:r>
      <w:r w:rsidR="00863370" w:rsidRPr="0087273B">
        <w:rPr>
          <w:rFonts w:ascii="Tahoma" w:eastAsia="Times New Roman" w:hAnsi="Tahoma" w:cs="Tahoma"/>
          <w:lang w:val="es-ES" w:eastAsia="es-MX"/>
        </w:rPr>
        <w:t>,</w:t>
      </w:r>
      <w:r w:rsidR="009C0760" w:rsidRPr="0087273B">
        <w:rPr>
          <w:rFonts w:ascii="Tahoma" w:eastAsia="Times New Roman" w:hAnsi="Tahoma" w:cs="Tahoma"/>
          <w:lang w:val="es-ES" w:eastAsia="es-MX"/>
        </w:rPr>
        <w:t xml:space="preserve"> </w:t>
      </w:r>
      <w:r w:rsidR="00300BF0" w:rsidRPr="0087273B">
        <w:rPr>
          <w:rFonts w:ascii="Tahoma" w:eastAsia="Times New Roman" w:hAnsi="Tahoma" w:cs="Tahoma"/>
          <w:lang w:val="es-ES" w:eastAsia="es-MX"/>
        </w:rPr>
        <w:t xml:space="preserve">que guardó silencio como </w:t>
      </w:r>
      <w:r w:rsidR="009C0760" w:rsidRPr="0087273B">
        <w:rPr>
          <w:rFonts w:ascii="Tahoma" w:eastAsia="Times New Roman" w:hAnsi="Tahoma" w:cs="Tahoma"/>
          <w:lang w:val="es-ES" w:eastAsia="es-MX"/>
        </w:rPr>
        <w:t xml:space="preserve">se aprecia en </w:t>
      </w:r>
      <w:r w:rsidR="007B2935" w:rsidRPr="0087273B">
        <w:rPr>
          <w:rFonts w:ascii="Tahoma" w:eastAsia="Times New Roman" w:hAnsi="Tahoma" w:cs="Tahoma"/>
          <w:lang w:val="es-ES" w:eastAsia="es-MX"/>
        </w:rPr>
        <w:t>la providencia del 14 de diciembre de 2021</w:t>
      </w:r>
      <w:r w:rsidR="007B2935" w:rsidRPr="0087273B">
        <w:rPr>
          <w:rStyle w:val="Refdenotaalpie"/>
          <w:rFonts w:ascii="Tahoma" w:eastAsia="Times New Roman" w:hAnsi="Tahoma" w:cs="Tahoma"/>
          <w:lang w:val="es-ES" w:eastAsia="es-MX"/>
        </w:rPr>
        <w:footnoteReference w:id="4"/>
      </w:r>
    </w:p>
    <w:p w14:paraId="6A1CC669" w14:textId="77777777" w:rsidR="002E0674" w:rsidRPr="0087273B" w:rsidRDefault="002E0674" w:rsidP="0087273B">
      <w:pPr>
        <w:spacing w:before="0" w:beforeAutospacing="0" w:after="0" w:afterAutospacing="0" w:line="276" w:lineRule="auto"/>
        <w:ind w:firstLine="708"/>
        <w:rPr>
          <w:rFonts w:ascii="Tahoma" w:eastAsia="Times New Roman" w:hAnsi="Tahoma" w:cs="Tahoma"/>
          <w:bCs/>
          <w:lang w:val="es-ES" w:eastAsia="es-MX"/>
        </w:rPr>
      </w:pPr>
    </w:p>
    <w:p w14:paraId="74546277" w14:textId="3CA5ED2F" w:rsidR="0083240D" w:rsidRPr="0087273B" w:rsidRDefault="005A50FD" w:rsidP="0087273B">
      <w:pPr>
        <w:spacing w:before="0" w:beforeAutospacing="0" w:after="0" w:afterAutospacing="0" w:line="276" w:lineRule="auto"/>
        <w:ind w:firstLine="708"/>
        <w:rPr>
          <w:rFonts w:ascii="Tahoma" w:eastAsia="Times New Roman" w:hAnsi="Tahoma" w:cs="Tahoma"/>
          <w:lang w:val="es-ES" w:eastAsia="es-MX"/>
        </w:rPr>
      </w:pPr>
      <w:r w:rsidRPr="0087273B">
        <w:rPr>
          <w:rFonts w:ascii="Tahoma" w:eastAsia="Times New Roman" w:hAnsi="Tahoma" w:cs="Tahoma"/>
          <w:bCs/>
          <w:lang w:val="es-ES" w:eastAsia="es-MX"/>
        </w:rPr>
        <w:t xml:space="preserve">Por su parte, </w:t>
      </w:r>
      <w:r w:rsidR="0083240D" w:rsidRPr="0087273B">
        <w:rPr>
          <w:rFonts w:ascii="Tahoma" w:eastAsia="Times New Roman" w:hAnsi="Tahoma" w:cs="Tahoma"/>
          <w:b/>
          <w:lang w:val="es-ES" w:eastAsia="es-MX"/>
        </w:rPr>
        <w:t>Colpensiones</w:t>
      </w:r>
      <w:r w:rsidR="002E50AC" w:rsidRPr="0087273B">
        <w:rPr>
          <w:rStyle w:val="Refdenotaalpie"/>
          <w:rFonts w:ascii="Tahoma" w:eastAsia="Times New Roman" w:hAnsi="Tahoma" w:cs="Tahoma"/>
          <w:b/>
          <w:lang w:val="es-ES" w:eastAsia="es-MX"/>
        </w:rPr>
        <w:footnoteReference w:id="5"/>
      </w:r>
      <w:r w:rsidR="0083240D" w:rsidRPr="0087273B">
        <w:rPr>
          <w:rFonts w:ascii="Tahoma" w:eastAsia="Times New Roman" w:hAnsi="Tahoma" w:cs="Tahoma"/>
          <w:b/>
          <w:lang w:val="es-ES" w:eastAsia="es-MX"/>
        </w:rPr>
        <w:t xml:space="preserve"> </w:t>
      </w:r>
      <w:r w:rsidR="0083240D" w:rsidRPr="0087273B">
        <w:rPr>
          <w:rFonts w:ascii="Tahoma" w:eastAsia="Times New Roman" w:hAnsi="Tahoma" w:cs="Tahoma"/>
          <w:lang w:val="es-ES" w:eastAsia="es-MX"/>
        </w:rPr>
        <w:t xml:space="preserve">se opuso a la prosperidad de las pretensiones de la demanda, </w:t>
      </w:r>
      <w:r w:rsidR="00F07A18" w:rsidRPr="0087273B">
        <w:rPr>
          <w:rFonts w:ascii="Tahoma" w:eastAsia="Times New Roman" w:hAnsi="Tahoma" w:cs="Tahoma"/>
          <w:lang w:val="es-ES" w:eastAsia="es-MX"/>
        </w:rPr>
        <w:t xml:space="preserve">arguyendo </w:t>
      </w:r>
      <w:r w:rsidR="0083240D" w:rsidRPr="0087273B">
        <w:rPr>
          <w:rFonts w:ascii="Tahoma" w:eastAsia="Times New Roman" w:hAnsi="Tahoma" w:cs="Tahoma"/>
          <w:lang w:val="es-ES" w:eastAsia="es-MX"/>
        </w:rPr>
        <w:t xml:space="preserve">que la afiliación de la actora al régimen de Ahorro Individual se dio en virtud a la libertad de escogencia de régimen pensional y no a una nulidad por vicio en el consentimiento. </w:t>
      </w:r>
    </w:p>
    <w:p w14:paraId="645267F0" w14:textId="77777777" w:rsidR="0083240D" w:rsidRPr="0087273B" w:rsidRDefault="0083240D" w:rsidP="0087273B">
      <w:pPr>
        <w:spacing w:before="0" w:beforeAutospacing="0" w:after="0" w:afterAutospacing="0" w:line="276" w:lineRule="auto"/>
        <w:ind w:firstLine="708"/>
        <w:rPr>
          <w:rFonts w:ascii="Tahoma" w:eastAsia="Times New Roman" w:hAnsi="Tahoma" w:cs="Tahoma"/>
          <w:lang w:val="es-ES" w:eastAsia="es-MX"/>
        </w:rPr>
      </w:pPr>
    </w:p>
    <w:p w14:paraId="486A5401" w14:textId="150B6882" w:rsidR="0083240D" w:rsidRPr="0087273B" w:rsidRDefault="0083240D" w:rsidP="0087273B">
      <w:pPr>
        <w:spacing w:before="0" w:beforeAutospacing="0" w:after="0" w:afterAutospacing="0" w:line="276" w:lineRule="auto"/>
        <w:ind w:firstLine="708"/>
        <w:rPr>
          <w:rFonts w:ascii="Tahoma" w:hAnsi="Tahoma" w:cs="Tahoma"/>
          <w:i/>
          <w:iCs/>
          <w:lang w:val="es-ES" w:eastAsia="es-MX"/>
        </w:rPr>
      </w:pPr>
      <w:r w:rsidRPr="0087273B">
        <w:rPr>
          <w:rFonts w:ascii="Tahoma" w:eastAsia="Times New Roman" w:hAnsi="Tahoma" w:cs="Tahoma"/>
          <w:lang w:val="es-ES" w:eastAsia="es-MX"/>
        </w:rPr>
        <w:t xml:space="preserve">Solicitó que en caso de una eventual sentencia desfavorable a los intereses de Colpensiones, se condenara a la </w:t>
      </w:r>
      <w:r w:rsidR="00391FC5" w:rsidRPr="0087273B">
        <w:rPr>
          <w:rFonts w:ascii="Tahoma" w:eastAsia="Times New Roman" w:hAnsi="Tahoma" w:cs="Tahoma"/>
          <w:lang w:val="es-ES" w:eastAsia="es-MX"/>
        </w:rPr>
        <w:t xml:space="preserve">AFP Porvenir S.A. </w:t>
      </w:r>
      <w:r w:rsidRPr="0087273B">
        <w:rPr>
          <w:rFonts w:ascii="Tahoma" w:eastAsia="Times New Roman" w:hAnsi="Tahoma" w:cs="Tahoma"/>
          <w:lang w:val="es-ES" w:eastAsia="es-MX"/>
        </w:rPr>
        <w:t xml:space="preserve">a pagar un cálculo actuarial equivalente al valor total de mesadas pensionales a pagar, liquidadas bajo los parámetros del Régimen de Prima Media, teniendo en cuenta para ello, la expectativa de vida de la demandante y la de sus posibles beneficiarios, argumentando que, en este caso, Colpensiones es un tercero afectado, ya que no realizó los actos engañosos u omisivos endilgados. Como excepciones perentorias formuló: </w:t>
      </w:r>
      <w:r w:rsidRPr="0087273B">
        <w:rPr>
          <w:rFonts w:ascii="Tahoma" w:eastAsia="Times New Roman" w:hAnsi="Tahoma" w:cs="Tahoma"/>
          <w:b/>
          <w:i/>
          <w:iCs/>
          <w:lang w:val="es-ES" w:eastAsia="es-MX"/>
        </w:rPr>
        <w:t>“</w:t>
      </w:r>
      <w:r w:rsidRPr="0087273B">
        <w:rPr>
          <w:rStyle w:val="Textoennegrita"/>
          <w:rFonts w:ascii="Tahoma" w:hAnsi="Tahoma" w:cs="Tahoma"/>
          <w:b w:val="0"/>
          <w:i/>
          <w:iCs/>
          <w:lang w:val="es-ES" w:eastAsia="es-MX"/>
        </w:rPr>
        <w:t>validez de la afiliación al RAIS”, “saneamiento de una presunta nulidad”,</w:t>
      </w:r>
      <w:r w:rsidRPr="0087273B">
        <w:rPr>
          <w:rStyle w:val="Textoennegrita"/>
          <w:rFonts w:ascii="Tahoma" w:hAnsi="Tahoma" w:cs="Tahoma"/>
          <w:i/>
          <w:iCs/>
          <w:lang w:val="es-ES" w:eastAsia="es-MX"/>
        </w:rPr>
        <w:t xml:space="preserve"> “</w:t>
      </w:r>
      <w:r w:rsidRPr="0087273B">
        <w:rPr>
          <w:rFonts w:ascii="Tahoma" w:hAnsi="Tahoma" w:cs="Tahoma"/>
          <w:i/>
          <w:iCs/>
          <w:lang w:val="es-ES" w:eastAsia="es-MX"/>
        </w:rPr>
        <w:t xml:space="preserve">solicitud de traslado de dineros de gastos de administración”, “prescripción”, “imposibilidad jurídica para reconocer y </w:t>
      </w:r>
      <w:r w:rsidRPr="0087273B">
        <w:rPr>
          <w:rFonts w:ascii="Tahoma" w:hAnsi="Tahoma" w:cs="Tahoma"/>
          <w:i/>
          <w:iCs/>
          <w:lang w:val="es-ES" w:eastAsia="es-MX"/>
        </w:rPr>
        <w:lastRenderedPageBreak/>
        <w:t>pagar derechos por fuera del ordenamiento legal”, “buena fe”, “imposibilidad de condena en costas”, “declaratoria de otras excepciones”.</w:t>
      </w:r>
    </w:p>
    <w:p w14:paraId="52FE1428" w14:textId="77777777" w:rsidR="005A50FD" w:rsidRPr="0087273B" w:rsidRDefault="005A50FD" w:rsidP="0087273B">
      <w:pPr>
        <w:spacing w:before="0" w:beforeAutospacing="0" w:after="0" w:afterAutospacing="0" w:line="276" w:lineRule="auto"/>
        <w:ind w:firstLine="708"/>
        <w:rPr>
          <w:rFonts w:ascii="Tahoma" w:hAnsi="Tahoma" w:cs="Tahoma"/>
          <w:i/>
          <w:iCs/>
          <w:lang w:val="es-ES" w:eastAsia="es-MX"/>
        </w:rPr>
      </w:pPr>
    </w:p>
    <w:p w14:paraId="587CA0F3" w14:textId="60A90343" w:rsidR="0083240D" w:rsidRPr="0087273B" w:rsidRDefault="005A50FD" w:rsidP="0087273B">
      <w:pPr>
        <w:spacing w:before="0" w:beforeAutospacing="0" w:after="0" w:afterAutospacing="0" w:line="276" w:lineRule="auto"/>
        <w:ind w:firstLine="708"/>
        <w:rPr>
          <w:rFonts w:ascii="Tahoma" w:eastAsia="Times New Roman" w:hAnsi="Tahoma" w:cs="Tahoma"/>
          <w:i/>
          <w:iCs/>
          <w:lang w:val="es-ES" w:eastAsia="es-MX"/>
        </w:rPr>
      </w:pPr>
      <w:r w:rsidRPr="0087273B">
        <w:rPr>
          <w:rFonts w:ascii="Tahoma" w:hAnsi="Tahoma" w:cs="Tahoma"/>
          <w:lang w:val="es-ES" w:eastAsia="es-MX"/>
        </w:rPr>
        <w:t xml:space="preserve">Por último, </w:t>
      </w:r>
      <w:r w:rsidR="6FA188BB" w:rsidRPr="0087273B">
        <w:rPr>
          <w:rFonts w:ascii="Tahoma" w:hAnsi="Tahoma" w:cs="Tahoma"/>
          <w:lang w:val="es-ES" w:eastAsia="es-MX"/>
        </w:rPr>
        <w:t xml:space="preserve">a </w:t>
      </w:r>
      <w:proofErr w:type="spellStart"/>
      <w:r w:rsidR="6FA188BB" w:rsidRPr="0087273B">
        <w:rPr>
          <w:rFonts w:ascii="Tahoma" w:hAnsi="Tahoma" w:cs="Tahoma"/>
          <w:lang w:val="es-ES" w:eastAsia="es-MX"/>
        </w:rPr>
        <w:t>traves</w:t>
      </w:r>
      <w:proofErr w:type="spellEnd"/>
      <w:r w:rsidR="6FA188BB" w:rsidRPr="0087273B">
        <w:rPr>
          <w:rFonts w:ascii="Tahoma" w:hAnsi="Tahoma" w:cs="Tahoma"/>
          <w:lang w:val="es-ES" w:eastAsia="es-MX"/>
        </w:rPr>
        <w:t xml:space="preserve"> de auto del 14 de diciembre de 2021, se vinculó como litisconsorte necesario a la AFP </w:t>
      </w:r>
      <w:r w:rsidR="006C16F9" w:rsidRPr="0087273B">
        <w:rPr>
          <w:rFonts w:ascii="Tahoma" w:eastAsia="Times New Roman" w:hAnsi="Tahoma" w:cs="Tahoma"/>
          <w:b/>
          <w:bCs/>
          <w:lang w:val="es-ES" w:eastAsia="es-MX"/>
        </w:rPr>
        <w:t>Colfondos S.A.</w:t>
      </w:r>
      <w:r w:rsidR="003B1F61" w:rsidRPr="0087273B">
        <w:rPr>
          <w:rStyle w:val="Refdenotaalpie"/>
          <w:rFonts w:ascii="Tahoma" w:eastAsia="Times New Roman" w:hAnsi="Tahoma" w:cs="Tahoma"/>
          <w:b/>
          <w:bCs/>
          <w:lang w:val="es-ES" w:eastAsia="es-MX"/>
        </w:rPr>
        <w:footnoteReference w:id="6"/>
      </w:r>
      <w:r w:rsidR="0083240D" w:rsidRPr="0087273B">
        <w:rPr>
          <w:rFonts w:ascii="Tahoma" w:eastAsia="Times New Roman" w:hAnsi="Tahoma" w:cs="Tahoma"/>
          <w:b/>
          <w:bCs/>
          <w:lang w:val="es-ES" w:eastAsia="es-MX"/>
        </w:rPr>
        <w:t xml:space="preserve"> </w:t>
      </w:r>
      <w:r w:rsidR="3B4CD851" w:rsidRPr="0087273B">
        <w:rPr>
          <w:rFonts w:ascii="Tahoma" w:eastAsia="Times New Roman" w:hAnsi="Tahoma" w:cs="Tahoma"/>
          <w:b/>
          <w:bCs/>
          <w:lang w:val="es-ES" w:eastAsia="es-MX"/>
        </w:rPr>
        <w:t xml:space="preserve">, </w:t>
      </w:r>
      <w:r w:rsidR="3B4CD851" w:rsidRPr="0087273B">
        <w:rPr>
          <w:rFonts w:ascii="Tahoma" w:eastAsia="Times New Roman" w:hAnsi="Tahoma" w:cs="Tahoma"/>
          <w:lang w:val="es-ES" w:eastAsia="es-MX"/>
        </w:rPr>
        <w:t xml:space="preserve">quien </w:t>
      </w:r>
      <w:r w:rsidR="00A773B1" w:rsidRPr="0087273B">
        <w:rPr>
          <w:rFonts w:ascii="Tahoma" w:eastAsia="Times New Roman" w:hAnsi="Tahoma" w:cs="Tahoma"/>
          <w:lang w:val="es-ES" w:eastAsia="es-MX"/>
        </w:rPr>
        <w:t>se opuso a las pretensiones</w:t>
      </w:r>
      <w:r w:rsidR="00C816A2" w:rsidRPr="0087273B">
        <w:rPr>
          <w:rFonts w:ascii="Tahoma" w:eastAsia="Times New Roman" w:hAnsi="Tahoma" w:cs="Tahoma"/>
          <w:lang w:val="es-ES" w:eastAsia="es-MX"/>
        </w:rPr>
        <w:t>, porque no estaban dirigidas en su contra, advirtiendo que la demandante se trasladó válidamente al RAIS</w:t>
      </w:r>
      <w:r w:rsidR="00F10BBD" w:rsidRPr="0087273B">
        <w:rPr>
          <w:rFonts w:ascii="Tahoma" w:eastAsia="Times New Roman" w:hAnsi="Tahoma" w:cs="Tahoma"/>
          <w:lang w:val="es-ES" w:eastAsia="es-MX"/>
        </w:rPr>
        <w:t xml:space="preserve">. </w:t>
      </w:r>
      <w:r w:rsidR="006C16F9" w:rsidRPr="0087273B">
        <w:rPr>
          <w:rFonts w:ascii="Tahoma" w:eastAsia="Times New Roman" w:hAnsi="Tahoma" w:cs="Tahoma"/>
          <w:lang w:val="es-ES" w:eastAsia="es-MX"/>
        </w:rPr>
        <w:t xml:space="preserve">De </w:t>
      </w:r>
      <w:r w:rsidR="0083240D" w:rsidRPr="0087273B">
        <w:rPr>
          <w:rFonts w:ascii="Tahoma" w:eastAsia="Times New Roman" w:hAnsi="Tahoma" w:cs="Tahoma"/>
          <w:lang w:val="es-ES" w:eastAsia="es-MX"/>
        </w:rPr>
        <w:t>esta manera, invocó como excepciones de mérito l</w:t>
      </w:r>
      <w:r w:rsidR="00851C6C" w:rsidRPr="0087273B">
        <w:rPr>
          <w:rFonts w:ascii="Tahoma" w:eastAsia="Times New Roman" w:hAnsi="Tahoma" w:cs="Tahoma"/>
          <w:lang w:val="es-ES" w:eastAsia="es-MX"/>
        </w:rPr>
        <w:t xml:space="preserve">os </w:t>
      </w:r>
      <w:r w:rsidR="0083240D" w:rsidRPr="0087273B">
        <w:rPr>
          <w:rFonts w:ascii="Tahoma" w:eastAsia="Times New Roman" w:hAnsi="Tahoma" w:cs="Tahoma"/>
          <w:lang w:val="es-ES" w:eastAsia="es-MX"/>
        </w:rPr>
        <w:t xml:space="preserve">que denominó: </w:t>
      </w:r>
      <w:r w:rsidR="00764E3D" w:rsidRPr="0087273B">
        <w:rPr>
          <w:rFonts w:ascii="Tahoma" w:eastAsia="Times New Roman" w:hAnsi="Tahoma" w:cs="Tahoma"/>
          <w:i/>
          <w:iCs/>
          <w:lang w:val="es-ES" w:eastAsia="es-MX"/>
        </w:rPr>
        <w:t>inexistencia de la obligación”, “falta de legitimación en la causa por pasiva”, “buena fe”, “innominada o genérica”, “ausencia de vicios del consentimiento”, “validez de la afiliación al régimen de ahorro individual con solidaridad”, “ratificación de la afiliación del actor al fondo de pensiones obligatorias administrado por Colfondos S.A”, “Prescripción de la acción para solicitar la nulidad de la afiliación”, “compensación y pago”.</w:t>
      </w:r>
    </w:p>
    <w:p w14:paraId="29F621AA" w14:textId="77777777" w:rsidR="00AA6629" w:rsidRPr="0087273B" w:rsidRDefault="00AA6629" w:rsidP="0087273B">
      <w:pPr>
        <w:spacing w:before="0" w:beforeAutospacing="0" w:after="0" w:afterAutospacing="0" w:line="276" w:lineRule="auto"/>
        <w:ind w:firstLine="0"/>
        <w:rPr>
          <w:rFonts w:ascii="Tahoma" w:eastAsia="Times New Roman" w:hAnsi="Tahoma" w:cs="Tahoma"/>
          <w:i/>
          <w:lang w:val="es-ES" w:eastAsia="es-MX"/>
        </w:rPr>
      </w:pPr>
    </w:p>
    <w:p w14:paraId="0D04922D" w14:textId="77777777" w:rsidR="00DC4FE9" w:rsidRPr="0087273B" w:rsidRDefault="00DC4FE9" w:rsidP="0087273B">
      <w:pPr>
        <w:pStyle w:val="Prrafodelista"/>
        <w:numPr>
          <w:ilvl w:val="0"/>
          <w:numId w:val="1"/>
        </w:numPr>
        <w:spacing w:line="276" w:lineRule="auto"/>
        <w:ind w:left="426" w:hanging="426"/>
        <w:jc w:val="center"/>
        <w:rPr>
          <w:rFonts w:cs="Tahoma"/>
          <w:b/>
          <w:bCs/>
          <w:szCs w:val="24"/>
        </w:rPr>
      </w:pPr>
      <w:r w:rsidRPr="0087273B">
        <w:rPr>
          <w:rFonts w:cs="Tahoma"/>
          <w:b/>
          <w:bCs/>
          <w:szCs w:val="24"/>
        </w:rPr>
        <w:t>Sentencia de primera instancia</w:t>
      </w:r>
    </w:p>
    <w:p w14:paraId="5AD2A23A" w14:textId="77777777" w:rsidR="000B1501" w:rsidRPr="0087273B" w:rsidRDefault="000B1501" w:rsidP="0087273B">
      <w:pPr>
        <w:spacing w:before="0" w:beforeAutospacing="0" w:after="0" w:afterAutospacing="0" w:line="276" w:lineRule="auto"/>
        <w:contextualSpacing/>
        <w:rPr>
          <w:rFonts w:ascii="Tahoma" w:eastAsia="Calibri" w:hAnsi="Tahoma" w:cs="Tahoma"/>
          <w:lang w:val="es-ES"/>
        </w:rPr>
      </w:pPr>
    </w:p>
    <w:p w14:paraId="2B51C7A9" w14:textId="22A0FB48" w:rsidR="000B6E77" w:rsidRPr="0087273B" w:rsidRDefault="00FA28A6" w:rsidP="0087273B">
      <w:pPr>
        <w:widowControl w:val="0"/>
        <w:autoSpaceDE w:val="0"/>
        <w:autoSpaceDN w:val="0"/>
        <w:spacing w:before="0" w:beforeAutospacing="0" w:after="0" w:afterAutospacing="0" w:line="276" w:lineRule="auto"/>
        <w:contextualSpacing/>
        <w:rPr>
          <w:rFonts w:ascii="Tahoma" w:eastAsia="Calibri" w:hAnsi="Tahoma" w:cs="Tahoma"/>
          <w:lang w:val="es-ES"/>
        </w:rPr>
      </w:pPr>
      <w:r w:rsidRPr="0087273B">
        <w:rPr>
          <w:rFonts w:ascii="Tahoma" w:eastAsia="Calibri" w:hAnsi="Tahoma" w:cs="Tahoma"/>
          <w:lang w:val="es-ES"/>
        </w:rPr>
        <w:t>El juez</w:t>
      </w:r>
      <w:r w:rsidR="004F2ECB" w:rsidRPr="0087273B">
        <w:rPr>
          <w:rFonts w:ascii="Tahoma" w:eastAsia="Calibri" w:hAnsi="Tahoma" w:cs="Tahoma"/>
          <w:lang w:val="es-ES"/>
        </w:rPr>
        <w:t xml:space="preserve"> de primera instancia</w:t>
      </w:r>
      <w:r w:rsidR="003630C0" w:rsidRPr="0087273B">
        <w:rPr>
          <w:rFonts w:ascii="Tahoma" w:eastAsia="Calibri" w:hAnsi="Tahoma" w:cs="Tahoma"/>
          <w:lang w:val="es-ES"/>
        </w:rPr>
        <w:t xml:space="preserve"> declaró ineficaz</w:t>
      </w:r>
      <w:r w:rsidR="000B6E77" w:rsidRPr="0087273B">
        <w:rPr>
          <w:rFonts w:ascii="Tahoma" w:eastAsia="Calibri" w:hAnsi="Tahoma" w:cs="Tahoma"/>
          <w:lang w:val="es-ES"/>
        </w:rPr>
        <w:t xml:space="preserve"> el traslado realizado por la señora MARTHA LUZ ECHEVERRI FLÓREZ, el 1 de septiembre de 1994 del régimen de prima media con prestación definida, al régimen de ahorro individual con solidaridad, a través de Colfondos S.A.</w:t>
      </w:r>
    </w:p>
    <w:p w14:paraId="03BEE187" w14:textId="77777777" w:rsidR="000B6E77" w:rsidRPr="0087273B" w:rsidRDefault="000B6E77" w:rsidP="0087273B">
      <w:pPr>
        <w:widowControl w:val="0"/>
        <w:autoSpaceDE w:val="0"/>
        <w:autoSpaceDN w:val="0"/>
        <w:spacing w:before="0" w:beforeAutospacing="0" w:after="0" w:afterAutospacing="0" w:line="276" w:lineRule="auto"/>
        <w:contextualSpacing/>
        <w:rPr>
          <w:rFonts w:ascii="Tahoma" w:eastAsia="Calibri" w:hAnsi="Tahoma" w:cs="Tahoma"/>
          <w:lang w:val="es-ES"/>
        </w:rPr>
      </w:pPr>
    </w:p>
    <w:p w14:paraId="33B8944E" w14:textId="5FF5172A" w:rsidR="00743068" w:rsidRPr="0087273B" w:rsidRDefault="003630C0" w:rsidP="0087273B">
      <w:pPr>
        <w:widowControl w:val="0"/>
        <w:autoSpaceDE w:val="0"/>
        <w:autoSpaceDN w:val="0"/>
        <w:spacing w:before="0" w:beforeAutospacing="0" w:after="0" w:afterAutospacing="0" w:line="276" w:lineRule="auto"/>
        <w:contextualSpacing/>
        <w:rPr>
          <w:rFonts w:ascii="Tahoma" w:eastAsia="Calibri" w:hAnsi="Tahoma" w:cs="Tahoma"/>
          <w:lang w:val="es-ES"/>
        </w:rPr>
      </w:pPr>
      <w:r w:rsidRPr="0087273B">
        <w:rPr>
          <w:rFonts w:ascii="Tahoma" w:eastAsia="Calibri" w:hAnsi="Tahoma" w:cs="Tahoma"/>
          <w:lang w:val="es-ES"/>
        </w:rPr>
        <w:t xml:space="preserve">En consecuencia, condenó </w:t>
      </w:r>
      <w:r w:rsidR="000B6E77" w:rsidRPr="0087273B">
        <w:rPr>
          <w:rFonts w:ascii="Tahoma" w:eastAsia="Calibri" w:hAnsi="Tahoma" w:cs="Tahoma"/>
          <w:lang w:val="es-ES"/>
        </w:rPr>
        <w:t xml:space="preserve">a Porvenir S.A. para que </w:t>
      </w:r>
      <w:r w:rsidR="00743068" w:rsidRPr="0087273B">
        <w:rPr>
          <w:rFonts w:ascii="Tahoma" w:eastAsia="Calibri" w:hAnsi="Tahoma" w:cs="Tahoma"/>
          <w:lang w:val="es-ES"/>
        </w:rPr>
        <w:t xml:space="preserve">en el término improrrogable de un (1) mes contado a partir de la ejecutoria de esta providencia, procediera a normalizar la afiliación en el Sistema de Información de Administradoras de Fondos de Pensiones –SIAFP, a entregar el archivo del detalle de aportes realizados durante la permanencia en el RAIS y a trasladar con cargo a sus propios recursos si es necesario, las cotizaciones, rendimientos financieros, bonos pensionales, comisiones, gastos de administración, valores utilizados en los seguros previsionales, los emolumentos destinados a constituir el </w:t>
      </w:r>
      <w:proofErr w:type="spellStart"/>
      <w:r w:rsidR="00743068" w:rsidRPr="0087273B">
        <w:rPr>
          <w:rFonts w:ascii="Tahoma" w:eastAsia="Calibri" w:hAnsi="Tahoma" w:cs="Tahoma"/>
          <w:lang w:val="es-ES"/>
        </w:rPr>
        <w:t>fonde</w:t>
      </w:r>
      <w:proofErr w:type="spellEnd"/>
      <w:r w:rsidR="00743068" w:rsidRPr="0087273B">
        <w:rPr>
          <w:rFonts w:ascii="Tahoma" w:eastAsia="Calibri" w:hAnsi="Tahoma" w:cs="Tahoma"/>
          <w:lang w:val="es-ES"/>
        </w:rPr>
        <w:t xml:space="preserve"> de garantía de pensión mínima, debidamente indexados a la ADMINISTRADORA COLOMBIANA DE PENSIONES – COLPENSIONES. </w:t>
      </w:r>
    </w:p>
    <w:p w14:paraId="3F4E1E51" w14:textId="77777777" w:rsidR="00743068" w:rsidRPr="0087273B" w:rsidRDefault="00743068" w:rsidP="0087273B">
      <w:pPr>
        <w:widowControl w:val="0"/>
        <w:autoSpaceDE w:val="0"/>
        <w:autoSpaceDN w:val="0"/>
        <w:spacing w:before="0" w:beforeAutospacing="0" w:after="0" w:afterAutospacing="0" w:line="276" w:lineRule="auto"/>
        <w:contextualSpacing/>
        <w:rPr>
          <w:rFonts w:ascii="Tahoma" w:eastAsia="Calibri" w:hAnsi="Tahoma" w:cs="Tahoma"/>
          <w:lang w:val="es-ES"/>
        </w:rPr>
      </w:pPr>
    </w:p>
    <w:p w14:paraId="19CBD7CC" w14:textId="5ED393B3" w:rsidR="00EB73C1" w:rsidRPr="0087273B" w:rsidRDefault="00743068" w:rsidP="0087273B">
      <w:pPr>
        <w:widowControl w:val="0"/>
        <w:autoSpaceDE w:val="0"/>
        <w:autoSpaceDN w:val="0"/>
        <w:spacing w:before="0" w:beforeAutospacing="0" w:after="0" w:afterAutospacing="0" w:line="276" w:lineRule="auto"/>
        <w:contextualSpacing/>
        <w:rPr>
          <w:rFonts w:ascii="Tahoma" w:eastAsia="Calibri" w:hAnsi="Tahoma" w:cs="Tahoma"/>
          <w:lang w:val="es-ES"/>
        </w:rPr>
      </w:pPr>
      <w:r w:rsidRPr="0087273B">
        <w:rPr>
          <w:rFonts w:ascii="Tahoma" w:eastAsia="Calibri" w:hAnsi="Tahoma" w:cs="Tahoma"/>
          <w:lang w:val="es-ES"/>
        </w:rPr>
        <w:t xml:space="preserve">Asimismo, condenó a </w:t>
      </w:r>
      <w:proofErr w:type="spellStart"/>
      <w:r w:rsidRPr="0087273B">
        <w:rPr>
          <w:rFonts w:ascii="Tahoma" w:eastAsia="Calibri" w:hAnsi="Tahoma" w:cs="Tahoma"/>
          <w:lang w:val="es-ES"/>
        </w:rPr>
        <w:t>Skand</w:t>
      </w:r>
      <w:r w:rsidR="0003730D" w:rsidRPr="0087273B">
        <w:rPr>
          <w:rFonts w:ascii="Tahoma" w:eastAsia="Calibri" w:hAnsi="Tahoma" w:cs="Tahoma"/>
          <w:lang w:val="es-ES"/>
        </w:rPr>
        <w:t>i</w:t>
      </w:r>
      <w:r w:rsidRPr="0087273B">
        <w:rPr>
          <w:rFonts w:ascii="Tahoma" w:eastAsia="Calibri" w:hAnsi="Tahoma" w:cs="Tahoma"/>
          <w:lang w:val="es-ES"/>
        </w:rPr>
        <w:t>a</w:t>
      </w:r>
      <w:proofErr w:type="spellEnd"/>
      <w:r w:rsidRPr="0087273B">
        <w:rPr>
          <w:rFonts w:ascii="Tahoma" w:eastAsia="Calibri" w:hAnsi="Tahoma" w:cs="Tahoma"/>
          <w:lang w:val="es-ES"/>
        </w:rPr>
        <w:t xml:space="preserve"> </w:t>
      </w:r>
      <w:r w:rsidR="000B4FB6">
        <w:rPr>
          <w:rFonts w:ascii="Tahoma" w:eastAsia="Calibri" w:hAnsi="Tahoma" w:cs="Tahoma"/>
          <w:lang w:val="es-ES"/>
        </w:rPr>
        <w:t xml:space="preserve">S.A. </w:t>
      </w:r>
      <w:r w:rsidRPr="0087273B">
        <w:rPr>
          <w:rFonts w:ascii="Tahoma" w:eastAsia="Calibri" w:hAnsi="Tahoma" w:cs="Tahoma"/>
          <w:lang w:val="es-ES"/>
        </w:rPr>
        <w:t xml:space="preserve">y </w:t>
      </w:r>
      <w:proofErr w:type="spellStart"/>
      <w:r w:rsidRPr="0087273B">
        <w:rPr>
          <w:rFonts w:ascii="Tahoma" w:eastAsia="Calibri" w:hAnsi="Tahoma" w:cs="Tahoma"/>
          <w:lang w:val="es-ES"/>
        </w:rPr>
        <w:t>Colfondos</w:t>
      </w:r>
      <w:proofErr w:type="spellEnd"/>
      <w:r w:rsidRPr="0087273B">
        <w:rPr>
          <w:rFonts w:ascii="Tahoma" w:eastAsia="Calibri" w:hAnsi="Tahoma" w:cs="Tahoma"/>
          <w:lang w:val="es-ES"/>
        </w:rPr>
        <w:t xml:space="preserve"> S.A. </w:t>
      </w:r>
      <w:r w:rsidR="0003730D" w:rsidRPr="0087273B">
        <w:rPr>
          <w:rFonts w:ascii="Tahoma" w:eastAsia="Calibri" w:hAnsi="Tahoma" w:cs="Tahoma"/>
          <w:lang w:val="es-ES"/>
        </w:rPr>
        <w:t xml:space="preserve">para que el término improrrogable de un (1) mes contado a partir de la ejecutoria de esta providencia, procediera a trasladar los valores descontados de gastos de administración, valores utilizados en los seguros previsionales, los emolumentos destinados a constituir el </w:t>
      </w:r>
      <w:proofErr w:type="spellStart"/>
      <w:r w:rsidR="0003730D" w:rsidRPr="0087273B">
        <w:rPr>
          <w:rFonts w:ascii="Tahoma" w:eastAsia="Calibri" w:hAnsi="Tahoma" w:cs="Tahoma"/>
          <w:lang w:val="es-ES"/>
        </w:rPr>
        <w:t>fonde</w:t>
      </w:r>
      <w:proofErr w:type="spellEnd"/>
      <w:r w:rsidR="0003730D" w:rsidRPr="0087273B">
        <w:rPr>
          <w:rFonts w:ascii="Tahoma" w:eastAsia="Calibri" w:hAnsi="Tahoma" w:cs="Tahoma"/>
          <w:lang w:val="es-ES"/>
        </w:rPr>
        <w:t xml:space="preserve"> de garantía de pensión mínima, debidamente indexados a la ADMINISTRADORA COLOMBIANA DE PENSIONES – COLPENSIONES. Acudiendo incluso a sus propios recursos.</w:t>
      </w:r>
    </w:p>
    <w:p w14:paraId="324EA518" w14:textId="77777777" w:rsidR="00EB73C1" w:rsidRPr="0087273B" w:rsidRDefault="00EB73C1" w:rsidP="0087273B">
      <w:pPr>
        <w:widowControl w:val="0"/>
        <w:autoSpaceDE w:val="0"/>
        <w:autoSpaceDN w:val="0"/>
        <w:spacing w:before="0" w:beforeAutospacing="0" w:after="0" w:afterAutospacing="0" w:line="276" w:lineRule="auto"/>
        <w:contextualSpacing/>
        <w:rPr>
          <w:rFonts w:ascii="Tahoma" w:eastAsia="Calibri" w:hAnsi="Tahoma" w:cs="Tahoma"/>
          <w:lang w:val="es-ES"/>
        </w:rPr>
      </w:pPr>
    </w:p>
    <w:p w14:paraId="08E655AA" w14:textId="27E11D68" w:rsidR="00EB73C1" w:rsidRPr="0087273B" w:rsidRDefault="00EB73C1" w:rsidP="0087273B">
      <w:pPr>
        <w:widowControl w:val="0"/>
        <w:autoSpaceDE w:val="0"/>
        <w:autoSpaceDN w:val="0"/>
        <w:spacing w:before="0" w:beforeAutospacing="0" w:after="0" w:afterAutospacing="0" w:line="276" w:lineRule="auto"/>
        <w:ind w:firstLine="708"/>
        <w:contextualSpacing/>
        <w:rPr>
          <w:rFonts w:ascii="Tahoma" w:eastAsia="Calibri" w:hAnsi="Tahoma" w:cs="Tahoma"/>
          <w:lang w:val="es-ES"/>
        </w:rPr>
      </w:pPr>
      <w:r w:rsidRPr="0087273B">
        <w:rPr>
          <w:rFonts w:ascii="Tahoma" w:eastAsia="Calibri" w:hAnsi="Tahoma" w:cs="Tahoma"/>
          <w:lang w:val="es-ES"/>
        </w:rPr>
        <w:t xml:space="preserve">También, ordenó a la ADMINISTRADORA COLOMBIANA DE PENSIONES COLPENSIONES que una vez Porvenir </w:t>
      </w:r>
      <w:r w:rsidR="000B4FB6">
        <w:rPr>
          <w:rFonts w:ascii="Tahoma" w:eastAsia="Calibri" w:hAnsi="Tahoma" w:cs="Tahoma"/>
          <w:lang w:val="es-ES"/>
        </w:rPr>
        <w:t xml:space="preserve">S.A. </w:t>
      </w:r>
      <w:r w:rsidRPr="0087273B">
        <w:rPr>
          <w:rFonts w:ascii="Tahoma" w:eastAsia="Calibri" w:hAnsi="Tahoma" w:cs="Tahoma"/>
          <w:lang w:val="es-ES"/>
        </w:rPr>
        <w:t xml:space="preserve">dé cumplimiento a lo ordenado en el numeral anterior, proceda a aceptar el traslado de la demandante, del régimen de ahorro individual, al de prima media con prestación definida, sin solución de </w:t>
      </w:r>
      <w:r w:rsidRPr="0087273B">
        <w:rPr>
          <w:rFonts w:ascii="Tahoma" w:eastAsia="Calibri" w:hAnsi="Tahoma" w:cs="Tahoma"/>
          <w:lang w:val="es-ES"/>
        </w:rPr>
        <w:lastRenderedPageBreak/>
        <w:t>continuidad, convalidando la información en su historia laboral.</w:t>
      </w:r>
    </w:p>
    <w:p w14:paraId="36DDA63D" w14:textId="77777777" w:rsidR="00EB73C1" w:rsidRPr="0087273B" w:rsidRDefault="00EB73C1" w:rsidP="0087273B">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34E75280" w14:textId="4792E58A" w:rsidR="001D328D" w:rsidRPr="0087273B" w:rsidRDefault="00C5190D" w:rsidP="0087273B">
      <w:pPr>
        <w:widowControl w:val="0"/>
        <w:autoSpaceDE w:val="0"/>
        <w:autoSpaceDN w:val="0"/>
        <w:spacing w:before="0" w:beforeAutospacing="0" w:after="0" w:afterAutospacing="0" w:line="276" w:lineRule="auto"/>
        <w:contextualSpacing/>
        <w:rPr>
          <w:rFonts w:ascii="Tahoma" w:eastAsia="Calibri" w:hAnsi="Tahoma" w:cs="Tahoma"/>
          <w:lang w:val="es-ES"/>
        </w:rPr>
      </w:pPr>
      <w:r w:rsidRPr="0087273B">
        <w:rPr>
          <w:rFonts w:ascii="Tahoma" w:eastAsia="Calibri" w:hAnsi="Tahoma" w:cs="Tahoma"/>
          <w:lang w:val="es-ES"/>
        </w:rPr>
        <w:t xml:space="preserve">Finalmente, </w:t>
      </w:r>
      <w:r w:rsidR="00A6476B" w:rsidRPr="0087273B">
        <w:rPr>
          <w:rFonts w:ascii="Tahoma" w:eastAsia="Calibri" w:hAnsi="Tahoma" w:cs="Tahoma"/>
          <w:lang w:val="es-ES"/>
        </w:rPr>
        <w:t xml:space="preserve">absolvió a la aseguradora a MAFPRE COLOMBIA VIDA SEGUROS </w:t>
      </w:r>
      <w:r w:rsidR="000B4FB6">
        <w:rPr>
          <w:rFonts w:ascii="Tahoma" w:eastAsia="Calibri" w:hAnsi="Tahoma" w:cs="Tahoma"/>
          <w:lang w:val="es-ES"/>
        </w:rPr>
        <w:t>S.A.</w:t>
      </w:r>
      <w:r w:rsidR="00A6476B" w:rsidRPr="0087273B">
        <w:rPr>
          <w:rFonts w:ascii="Tahoma" w:eastAsia="Calibri" w:hAnsi="Tahoma" w:cs="Tahoma"/>
          <w:lang w:val="es-ES"/>
        </w:rPr>
        <w:t xml:space="preserve"> de las pretensiones incoadas en su contra como entidad llamada en garantía, y condenó en costas a Colfondos S.A. en favor de la demandante, para lo cual fijó las agencias en derecho en la suma de un salario mínimo mensual legal vigente y no impuso costas a cargo de Colpensiones, </w:t>
      </w:r>
      <w:proofErr w:type="spellStart"/>
      <w:r w:rsidR="00A6476B" w:rsidRPr="0087273B">
        <w:rPr>
          <w:rFonts w:ascii="Tahoma" w:eastAsia="Calibri" w:hAnsi="Tahoma" w:cs="Tahoma"/>
          <w:lang w:val="es-ES"/>
        </w:rPr>
        <w:t>Skandia</w:t>
      </w:r>
      <w:proofErr w:type="spellEnd"/>
      <w:r w:rsidR="00A6476B" w:rsidRPr="0087273B">
        <w:rPr>
          <w:rFonts w:ascii="Tahoma" w:eastAsia="Calibri" w:hAnsi="Tahoma" w:cs="Tahoma"/>
          <w:lang w:val="es-ES"/>
        </w:rPr>
        <w:t xml:space="preserve"> y Porvenir. </w:t>
      </w:r>
    </w:p>
    <w:p w14:paraId="340AFCD1" w14:textId="455DF241" w:rsidR="001D328D" w:rsidRPr="0087273B" w:rsidRDefault="001D328D" w:rsidP="0087273B">
      <w:pPr>
        <w:widowControl w:val="0"/>
        <w:autoSpaceDE w:val="0"/>
        <w:autoSpaceDN w:val="0"/>
        <w:spacing w:before="0" w:beforeAutospacing="0" w:after="0" w:afterAutospacing="0" w:line="276" w:lineRule="auto"/>
        <w:ind w:firstLine="0"/>
        <w:contextualSpacing/>
        <w:rPr>
          <w:rFonts w:ascii="Tahoma" w:eastAsia="Calibri" w:hAnsi="Tahoma" w:cs="Tahoma"/>
          <w:lang w:val="es-MX"/>
        </w:rPr>
      </w:pPr>
    </w:p>
    <w:p w14:paraId="38E1F882" w14:textId="77777777" w:rsidR="00016959" w:rsidRPr="0087273B" w:rsidRDefault="00C5190D" w:rsidP="0087273B">
      <w:pPr>
        <w:widowControl w:val="0"/>
        <w:autoSpaceDE w:val="0"/>
        <w:autoSpaceDN w:val="0"/>
        <w:spacing w:before="0" w:beforeAutospacing="0" w:after="0" w:afterAutospacing="0" w:line="276" w:lineRule="auto"/>
        <w:ind w:firstLine="708"/>
        <w:contextualSpacing/>
        <w:rPr>
          <w:rFonts w:ascii="Tahoma" w:eastAsia="Calibri" w:hAnsi="Tahoma" w:cs="Tahoma"/>
          <w:lang w:val="es-MX"/>
        </w:rPr>
      </w:pPr>
      <w:r w:rsidRPr="0087273B">
        <w:rPr>
          <w:rFonts w:ascii="Tahoma" w:eastAsia="Calibri" w:hAnsi="Tahoma" w:cs="Tahoma"/>
          <w:lang w:val="es-MX"/>
        </w:rPr>
        <w:t xml:space="preserve">Para llegar a esta determinación el operador judicial previo recuento normativo y jurisprudencial, indicó que si bien la selección del régimen es libre y voluntario para el afiliado, ello no exime a los administradores de los fondos de pensiones de brindar información clara, cierta comprensible y oportuna de las características, condiciones, diferencias, riesgos y consecuencias del cambio de régimen pensional, recordó que tratándose de ineficacias del traslado opera una inversión de carga de la prueba correspondiéndole a la AFP demostrar que si brindó dicha información, aunado a que los actos de relacionamiento no convalidan el deber de información trasgredido al momento de la afiliación. </w:t>
      </w:r>
    </w:p>
    <w:p w14:paraId="6B89CE83" w14:textId="77777777" w:rsidR="00016959" w:rsidRPr="0087273B" w:rsidRDefault="00016959" w:rsidP="0087273B">
      <w:pPr>
        <w:widowControl w:val="0"/>
        <w:autoSpaceDE w:val="0"/>
        <w:autoSpaceDN w:val="0"/>
        <w:spacing w:before="0" w:beforeAutospacing="0" w:after="0" w:afterAutospacing="0" w:line="276" w:lineRule="auto"/>
        <w:ind w:firstLine="708"/>
        <w:contextualSpacing/>
        <w:rPr>
          <w:rFonts w:ascii="Tahoma" w:eastAsia="Calibri" w:hAnsi="Tahoma" w:cs="Tahoma"/>
          <w:highlight w:val="red"/>
          <w:lang w:val="es-MX"/>
        </w:rPr>
      </w:pPr>
    </w:p>
    <w:p w14:paraId="2E0A46BA" w14:textId="12954C0F" w:rsidR="00C5190D" w:rsidRPr="0087273B" w:rsidRDefault="00016959" w:rsidP="0087273B">
      <w:pPr>
        <w:widowControl w:val="0"/>
        <w:autoSpaceDE w:val="0"/>
        <w:autoSpaceDN w:val="0"/>
        <w:spacing w:before="0" w:beforeAutospacing="0" w:after="0" w:afterAutospacing="0" w:line="276" w:lineRule="auto"/>
        <w:ind w:firstLine="708"/>
        <w:contextualSpacing/>
        <w:rPr>
          <w:rFonts w:ascii="Tahoma" w:eastAsia="Calibri" w:hAnsi="Tahoma" w:cs="Tahoma"/>
          <w:lang w:val="es-MX"/>
        </w:rPr>
      </w:pPr>
      <w:r w:rsidRPr="0087273B">
        <w:rPr>
          <w:rFonts w:ascii="Tahoma" w:eastAsia="Calibri" w:hAnsi="Tahoma" w:cs="Tahoma"/>
          <w:lang w:val="es-MX"/>
        </w:rPr>
        <w:t xml:space="preserve">Al respecto del caso concreto, dispuso el fallador que </w:t>
      </w:r>
      <w:r w:rsidR="00F77646" w:rsidRPr="0087273B">
        <w:rPr>
          <w:rFonts w:ascii="Tahoma" w:eastAsia="Calibri" w:hAnsi="Tahoma" w:cs="Tahoma"/>
          <w:lang w:val="es-MX"/>
        </w:rPr>
        <w:t>el relato del interrogatorio no correspondía a lo narrado en el escrito de la demanda, a su juicio porque los promotores de este tipo de acciones acudieron a un modelo que no respecta los enunciados facticos propios de cada juicio</w:t>
      </w:r>
      <w:r w:rsidR="00DA61F3" w:rsidRPr="0087273B">
        <w:rPr>
          <w:rFonts w:ascii="Tahoma" w:eastAsia="Calibri" w:hAnsi="Tahoma" w:cs="Tahoma"/>
          <w:lang w:val="es-MX"/>
        </w:rPr>
        <w:t xml:space="preserve">. </w:t>
      </w:r>
      <w:r w:rsidRPr="0087273B">
        <w:rPr>
          <w:rFonts w:ascii="Tahoma" w:eastAsia="Calibri" w:hAnsi="Tahoma" w:cs="Tahoma"/>
          <w:lang w:val="es-MX"/>
        </w:rPr>
        <w:t xml:space="preserve">Pese a lo anterior, indicó </w:t>
      </w:r>
      <w:r w:rsidR="00C5190D" w:rsidRPr="0087273B">
        <w:rPr>
          <w:rFonts w:ascii="Tahoma" w:eastAsia="Calibri" w:hAnsi="Tahoma" w:cs="Tahoma"/>
          <w:lang w:val="es-MX"/>
        </w:rPr>
        <w:t>que, de los anexos presentados por las Administradoras llamadas a juicio, incluyendo el formulario de afiliación y comunicado de prensa, ninguno ofrecía claridad sobre la información que se le presentó a la demandante al momento del traslado, y rendido el interrogatorio de parte no se obtuvo prueba de confesión. Con todo, indicó que los fondos incumplieron la carga de la prueba impuesta, lo que conllevaba a concluir que la decisión de traslado no estuvo precedida por la compresión e información suficiente.</w:t>
      </w:r>
    </w:p>
    <w:p w14:paraId="5DD066E2" w14:textId="6E181BF3" w:rsidR="00B7401A" w:rsidRPr="0087273B" w:rsidRDefault="00B7401A" w:rsidP="0087273B">
      <w:pPr>
        <w:widowControl w:val="0"/>
        <w:autoSpaceDE w:val="0"/>
        <w:autoSpaceDN w:val="0"/>
        <w:spacing w:before="0" w:beforeAutospacing="0" w:after="0" w:afterAutospacing="0" w:line="276" w:lineRule="auto"/>
        <w:ind w:firstLine="0"/>
        <w:contextualSpacing/>
        <w:rPr>
          <w:rFonts w:ascii="Tahoma" w:eastAsia="Calibri" w:hAnsi="Tahoma" w:cs="Tahoma"/>
          <w:lang w:val="es-MX"/>
        </w:rPr>
      </w:pPr>
    </w:p>
    <w:p w14:paraId="06F9B313" w14:textId="7293D0F9" w:rsidR="002F2D15" w:rsidRPr="0025451C" w:rsidRDefault="00171926" w:rsidP="0025451C">
      <w:pPr>
        <w:pStyle w:val="Prrafodelista"/>
        <w:numPr>
          <w:ilvl w:val="0"/>
          <w:numId w:val="1"/>
        </w:numPr>
        <w:spacing w:line="276" w:lineRule="auto"/>
        <w:ind w:left="426" w:hanging="426"/>
        <w:jc w:val="center"/>
        <w:rPr>
          <w:rFonts w:cs="Tahoma"/>
          <w:b/>
          <w:bCs/>
          <w:szCs w:val="24"/>
        </w:rPr>
      </w:pPr>
      <w:r w:rsidRPr="0025451C">
        <w:rPr>
          <w:rFonts w:cs="Tahoma"/>
          <w:b/>
          <w:bCs/>
          <w:szCs w:val="24"/>
        </w:rPr>
        <w:t>Recursos de apelación y procedencia de la consulta</w:t>
      </w:r>
      <w:bookmarkStart w:id="3" w:name="_Hlk133392111"/>
    </w:p>
    <w:p w14:paraId="3CE6AB99" w14:textId="77777777" w:rsidR="004B5E90" w:rsidRPr="0025451C" w:rsidRDefault="004B5E90" w:rsidP="0087273B">
      <w:pPr>
        <w:spacing w:before="0" w:beforeAutospacing="0" w:after="0" w:afterAutospacing="0" w:line="276" w:lineRule="auto"/>
        <w:ind w:firstLine="0"/>
        <w:rPr>
          <w:rFonts w:ascii="Tahoma" w:hAnsi="Tahoma" w:cs="Tahoma"/>
        </w:rPr>
      </w:pPr>
    </w:p>
    <w:p w14:paraId="225D8AEF" w14:textId="37564FAE" w:rsidR="00543C3E" w:rsidRPr="0087273B" w:rsidRDefault="004B5E90" w:rsidP="0087273B">
      <w:pPr>
        <w:spacing w:before="0" w:beforeAutospacing="0" w:after="0" w:afterAutospacing="0" w:line="276" w:lineRule="auto"/>
        <w:ind w:firstLine="0"/>
        <w:rPr>
          <w:rFonts w:ascii="Tahoma" w:hAnsi="Tahoma" w:cs="Tahoma"/>
          <w:bCs/>
          <w:lang w:val="es-MX"/>
        </w:rPr>
      </w:pPr>
      <w:r w:rsidRPr="0087273B">
        <w:rPr>
          <w:rFonts w:ascii="Tahoma" w:hAnsi="Tahoma" w:cs="Tahoma"/>
          <w:lang w:val="es-MX"/>
        </w:rPr>
        <w:tab/>
      </w:r>
      <w:r w:rsidR="00543C3E" w:rsidRPr="0087273B">
        <w:rPr>
          <w:rFonts w:ascii="Tahoma" w:hAnsi="Tahoma" w:cs="Tahoma"/>
          <w:b/>
          <w:bCs/>
          <w:lang w:val="es-ES"/>
        </w:rPr>
        <w:t xml:space="preserve">La Administradora Colombiana de Pensiones- </w:t>
      </w:r>
      <w:r w:rsidR="00543C3E" w:rsidRPr="0087273B">
        <w:rPr>
          <w:rFonts w:ascii="Tahoma" w:hAnsi="Tahoma" w:cs="Tahoma"/>
          <w:b/>
          <w:bCs/>
          <w:lang w:val="es-MX"/>
        </w:rPr>
        <w:t xml:space="preserve">Colpensiones </w:t>
      </w:r>
      <w:r w:rsidR="00543C3E" w:rsidRPr="0087273B">
        <w:rPr>
          <w:rFonts w:ascii="Tahoma" w:hAnsi="Tahoma" w:cs="Tahoma"/>
          <w:bCs/>
          <w:lang w:val="es-MX"/>
        </w:rPr>
        <w:t>interpuso recurso de apelación, señalando que</w:t>
      </w:r>
      <w:r w:rsidR="00032188" w:rsidRPr="0087273B">
        <w:rPr>
          <w:rFonts w:ascii="Tahoma" w:hAnsi="Tahoma" w:cs="Tahoma"/>
          <w:bCs/>
          <w:lang w:val="es-MX"/>
        </w:rPr>
        <w:t xml:space="preserve"> el trasladó realizado por la demandante fue válido, toda vez que cumplió con los requisitos establecidos en el artículo 13 de la Ley </w:t>
      </w:r>
      <w:r w:rsidR="002A2A42" w:rsidRPr="0087273B">
        <w:rPr>
          <w:rFonts w:ascii="Tahoma" w:hAnsi="Tahoma" w:cs="Tahoma"/>
          <w:bCs/>
          <w:lang w:val="es-MX"/>
        </w:rPr>
        <w:t xml:space="preserve">100 de 1993 dado que </w:t>
      </w:r>
      <w:r w:rsidR="00543C3E" w:rsidRPr="0087273B">
        <w:rPr>
          <w:rFonts w:ascii="Tahoma" w:hAnsi="Tahoma" w:cs="Tahoma"/>
          <w:bCs/>
          <w:lang w:val="es-MX"/>
        </w:rPr>
        <w:t>firmó el formulario de afiliación de forma libre, voluntaria y sin presiones</w:t>
      </w:r>
      <w:r w:rsidR="002A2A42" w:rsidRPr="0087273B">
        <w:rPr>
          <w:rFonts w:ascii="Tahoma" w:hAnsi="Tahoma" w:cs="Tahoma"/>
          <w:bCs/>
          <w:lang w:val="es-MX"/>
        </w:rPr>
        <w:t xml:space="preserve">, y por tanto en la actualidad se encuentra incursa en la causal establecida </w:t>
      </w:r>
      <w:r w:rsidR="00C10A21" w:rsidRPr="0087273B">
        <w:rPr>
          <w:rFonts w:ascii="Tahoma" w:hAnsi="Tahoma" w:cs="Tahoma"/>
          <w:bCs/>
        </w:rPr>
        <w:t>en el literal e) del artículo 13 de la Ley 100 de 1993, modificado por el artículo 2º de la Ley 797 de 2003.</w:t>
      </w:r>
    </w:p>
    <w:p w14:paraId="79A7AA7E" w14:textId="77777777" w:rsidR="00543C3E" w:rsidRPr="0087273B" w:rsidRDefault="00543C3E" w:rsidP="0087273B">
      <w:pPr>
        <w:spacing w:before="0" w:beforeAutospacing="0" w:after="0" w:afterAutospacing="0" w:line="276" w:lineRule="auto"/>
        <w:ind w:firstLine="0"/>
        <w:rPr>
          <w:rFonts w:ascii="Tahoma" w:hAnsi="Tahoma" w:cs="Tahoma"/>
          <w:bCs/>
          <w:lang w:val="es-MX"/>
        </w:rPr>
      </w:pPr>
    </w:p>
    <w:p w14:paraId="62B2DDAE" w14:textId="50DE1597" w:rsidR="008019D1" w:rsidRPr="0087273B" w:rsidRDefault="00543C3E" w:rsidP="0087273B">
      <w:pPr>
        <w:spacing w:before="0" w:beforeAutospacing="0" w:after="0" w:afterAutospacing="0" w:line="276" w:lineRule="auto"/>
        <w:ind w:firstLine="0"/>
        <w:rPr>
          <w:rFonts w:ascii="Tahoma" w:hAnsi="Tahoma" w:cs="Tahoma"/>
          <w:bCs/>
          <w:lang w:val="es-MX"/>
        </w:rPr>
      </w:pPr>
      <w:r w:rsidRPr="0087273B">
        <w:rPr>
          <w:rFonts w:ascii="Tahoma" w:hAnsi="Tahoma" w:cs="Tahoma"/>
          <w:bCs/>
          <w:lang w:val="es-MX"/>
        </w:rPr>
        <w:tab/>
        <w:t>Solicita que al perseguir un fin netamente económico se nieguen las pretensiones, ya que en lugar de la ineficacia del traslado era procedente incoar una acción de resarcimiento de perjuicios</w:t>
      </w:r>
      <w:r w:rsidR="00C10A21" w:rsidRPr="0087273B">
        <w:rPr>
          <w:rFonts w:ascii="Tahoma" w:hAnsi="Tahoma" w:cs="Tahoma"/>
          <w:bCs/>
          <w:lang w:val="es-MX"/>
        </w:rPr>
        <w:t>, de conformidad con el artículo 10 d</w:t>
      </w:r>
      <w:r w:rsidR="008A3221" w:rsidRPr="0087273B">
        <w:rPr>
          <w:rFonts w:ascii="Tahoma" w:hAnsi="Tahoma" w:cs="Tahoma"/>
          <w:bCs/>
          <w:lang w:val="es-MX"/>
        </w:rPr>
        <w:t xml:space="preserve">el </w:t>
      </w:r>
      <w:r w:rsidR="00C10A21" w:rsidRPr="0087273B">
        <w:rPr>
          <w:rFonts w:ascii="Tahoma" w:hAnsi="Tahoma" w:cs="Tahoma"/>
          <w:bCs/>
          <w:lang w:val="es-MX"/>
        </w:rPr>
        <w:t>Decreto 720 de 1994</w:t>
      </w:r>
      <w:r w:rsidR="008019D1" w:rsidRPr="0087273B">
        <w:rPr>
          <w:rFonts w:ascii="Tahoma" w:hAnsi="Tahoma" w:cs="Tahoma"/>
          <w:bCs/>
          <w:lang w:val="es-MX"/>
        </w:rPr>
        <w:t xml:space="preserve">, toda vez que la inconveniencia económica de un negocio jurídico no le resta validez, tesis que guarda </w:t>
      </w:r>
      <w:r w:rsidR="001F182D" w:rsidRPr="0087273B">
        <w:rPr>
          <w:rFonts w:ascii="Tahoma" w:hAnsi="Tahoma" w:cs="Tahoma"/>
          <w:bCs/>
          <w:lang w:val="es-MX"/>
        </w:rPr>
        <w:t xml:space="preserve">relación con la plasmada en el salvamento de voto por la Magistrada Olga Lucía Hoyos Sepúlveda, </w:t>
      </w:r>
      <w:r w:rsidR="0078683D" w:rsidRPr="0087273B">
        <w:rPr>
          <w:rFonts w:ascii="Tahoma" w:hAnsi="Tahoma" w:cs="Tahoma"/>
          <w:bCs/>
          <w:lang w:val="es-MX"/>
        </w:rPr>
        <w:t>dentro del proceso bajo radicado 05-2019-00167.</w:t>
      </w:r>
    </w:p>
    <w:p w14:paraId="5417225B" w14:textId="77777777" w:rsidR="00543C3E" w:rsidRPr="0087273B" w:rsidRDefault="00543C3E" w:rsidP="0087273B">
      <w:pPr>
        <w:spacing w:before="0" w:beforeAutospacing="0" w:after="0" w:afterAutospacing="0" w:line="276" w:lineRule="auto"/>
        <w:ind w:firstLine="0"/>
        <w:rPr>
          <w:rFonts w:ascii="Tahoma" w:hAnsi="Tahoma" w:cs="Tahoma"/>
          <w:bCs/>
          <w:lang w:val="es-MX"/>
        </w:rPr>
      </w:pPr>
    </w:p>
    <w:p w14:paraId="168DEE34" w14:textId="3C06A5B2" w:rsidR="00543C3E" w:rsidRPr="0087273B" w:rsidRDefault="00543C3E" w:rsidP="0087273B">
      <w:pPr>
        <w:spacing w:before="0" w:beforeAutospacing="0" w:after="0" w:afterAutospacing="0" w:line="276" w:lineRule="auto"/>
        <w:ind w:firstLine="0"/>
        <w:rPr>
          <w:rFonts w:ascii="Tahoma" w:hAnsi="Tahoma" w:cs="Tahoma"/>
          <w:bCs/>
          <w:lang w:val="es-MX"/>
        </w:rPr>
      </w:pPr>
      <w:r w:rsidRPr="0087273B">
        <w:rPr>
          <w:rFonts w:ascii="Tahoma" w:hAnsi="Tahoma" w:cs="Tahoma"/>
          <w:bCs/>
          <w:lang w:val="es-MX"/>
        </w:rPr>
        <w:tab/>
        <w:t>Agrega que Colpensiones es un tercero afectado con el acto declarado ineficaz, porque no participó en el engaño u omisión por parte de la AFP; sin embargo, se le obliga a resarcir un daño que no causó</w:t>
      </w:r>
      <w:r w:rsidR="00E02F37" w:rsidRPr="0087273B">
        <w:rPr>
          <w:rFonts w:ascii="Tahoma" w:hAnsi="Tahoma" w:cs="Tahoma"/>
          <w:bCs/>
          <w:lang w:val="es-MX"/>
        </w:rPr>
        <w:t>.</w:t>
      </w:r>
    </w:p>
    <w:p w14:paraId="5DF7FF01" w14:textId="77777777" w:rsidR="00543C3E" w:rsidRPr="0087273B" w:rsidRDefault="00543C3E" w:rsidP="0087273B">
      <w:pPr>
        <w:spacing w:before="0" w:beforeAutospacing="0" w:after="0" w:afterAutospacing="0" w:line="276" w:lineRule="auto"/>
        <w:ind w:firstLine="0"/>
        <w:rPr>
          <w:rFonts w:ascii="Tahoma" w:hAnsi="Tahoma" w:cs="Tahoma"/>
          <w:bCs/>
          <w:lang w:val="es-MX"/>
        </w:rPr>
      </w:pPr>
    </w:p>
    <w:p w14:paraId="18D615CC" w14:textId="111D744D" w:rsidR="00A824B7" w:rsidRPr="0087273B" w:rsidRDefault="00543C3E" w:rsidP="0087273B">
      <w:pPr>
        <w:spacing w:before="0" w:beforeAutospacing="0" w:after="0" w:afterAutospacing="0" w:line="276" w:lineRule="auto"/>
        <w:ind w:firstLine="706"/>
        <w:rPr>
          <w:rFonts w:ascii="Tahoma" w:hAnsi="Tahoma" w:cs="Tahoma"/>
          <w:lang w:val="es-MX"/>
        </w:rPr>
      </w:pPr>
      <w:r w:rsidRPr="0087273B">
        <w:rPr>
          <w:rFonts w:ascii="Tahoma" w:hAnsi="Tahoma" w:cs="Tahoma"/>
          <w:bCs/>
        </w:rPr>
        <w:t xml:space="preserve">Con el mismo recurso, </w:t>
      </w:r>
      <w:r w:rsidR="00A824B7" w:rsidRPr="0087273B">
        <w:rPr>
          <w:rFonts w:ascii="Tahoma" w:hAnsi="Tahoma" w:cs="Tahoma"/>
          <w:b/>
          <w:bCs/>
          <w:lang w:val="es-MX"/>
        </w:rPr>
        <w:t xml:space="preserve">Porvenir y </w:t>
      </w:r>
      <w:proofErr w:type="spellStart"/>
      <w:r w:rsidR="00A824B7" w:rsidRPr="0087273B">
        <w:rPr>
          <w:rFonts w:ascii="Tahoma" w:hAnsi="Tahoma" w:cs="Tahoma"/>
          <w:b/>
          <w:bCs/>
          <w:lang w:val="es-MX"/>
        </w:rPr>
        <w:t>Skandia</w:t>
      </w:r>
      <w:proofErr w:type="spellEnd"/>
      <w:r w:rsidR="00A824B7" w:rsidRPr="0087273B">
        <w:rPr>
          <w:rFonts w:ascii="Tahoma" w:hAnsi="Tahoma" w:cs="Tahoma"/>
          <w:b/>
          <w:bCs/>
          <w:lang w:val="es-MX"/>
        </w:rPr>
        <w:t xml:space="preserve"> S.A. </w:t>
      </w:r>
      <w:r w:rsidR="00A824B7" w:rsidRPr="0087273B">
        <w:rPr>
          <w:rFonts w:ascii="Tahoma" w:hAnsi="Tahoma" w:cs="Tahoma"/>
          <w:lang w:val="es-MX"/>
        </w:rPr>
        <w:t>indicaron que no tenían como demostrar la información que los asesores rindieron por el transcurso del tiempo</w:t>
      </w:r>
      <w:r w:rsidR="005374E2" w:rsidRPr="0087273B">
        <w:rPr>
          <w:rFonts w:ascii="Tahoma" w:hAnsi="Tahoma" w:cs="Tahoma"/>
          <w:lang w:val="es-MX"/>
        </w:rPr>
        <w:t>, en tanto el único registro escrito que debían conservar para la época del traslado era el formulario de afiliación y los asesores ya no laboran para las respectivas administradoras</w:t>
      </w:r>
      <w:r w:rsidR="00405D51" w:rsidRPr="0087273B">
        <w:rPr>
          <w:rFonts w:ascii="Tahoma" w:hAnsi="Tahoma" w:cs="Tahoma"/>
          <w:lang w:val="es-MX"/>
        </w:rPr>
        <w:t>.</w:t>
      </w:r>
    </w:p>
    <w:p w14:paraId="49170F6B" w14:textId="77777777" w:rsidR="00405D51" w:rsidRPr="0087273B" w:rsidRDefault="00405D51" w:rsidP="0087273B">
      <w:pPr>
        <w:spacing w:before="0" w:beforeAutospacing="0" w:after="0" w:afterAutospacing="0" w:line="276" w:lineRule="auto"/>
        <w:ind w:firstLine="706"/>
        <w:rPr>
          <w:rFonts w:ascii="Tahoma" w:hAnsi="Tahoma" w:cs="Tahoma"/>
          <w:lang w:val="es-MX"/>
        </w:rPr>
      </w:pPr>
    </w:p>
    <w:p w14:paraId="6A7BF6B4" w14:textId="2EBEF7C9" w:rsidR="00405D51" w:rsidRPr="0087273B" w:rsidRDefault="00405D51" w:rsidP="0087273B">
      <w:pPr>
        <w:spacing w:before="0" w:beforeAutospacing="0" w:after="0" w:afterAutospacing="0" w:line="276" w:lineRule="auto"/>
        <w:ind w:firstLine="706"/>
        <w:rPr>
          <w:rFonts w:ascii="Tahoma" w:hAnsi="Tahoma" w:cs="Tahoma"/>
          <w:lang w:val="es-ES"/>
        </w:rPr>
      </w:pPr>
      <w:r w:rsidRPr="0087273B">
        <w:rPr>
          <w:rFonts w:ascii="Tahoma" w:hAnsi="Tahoma" w:cs="Tahoma"/>
          <w:lang w:val="es-ES"/>
        </w:rPr>
        <w:t>Reprochan la condena en su contra, en especial la orden de devolver las comisiones de administración y las cuotas destinadas a financiar los seguros previsionales</w:t>
      </w:r>
      <w:r w:rsidR="000029E2" w:rsidRPr="0087273B">
        <w:rPr>
          <w:rFonts w:ascii="Tahoma" w:hAnsi="Tahoma" w:cs="Tahoma"/>
          <w:lang w:val="es-ES"/>
        </w:rPr>
        <w:t xml:space="preserve"> y aportes a solidad pensional</w:t>
      </w:r>
      <w:r w:rsidRPr="0087273B">
        <w:rPr>
          <w:rFonts w:ascii="Tahoma" w:hAnsi="Tahoma" w:cs="Tahoma"/>
          <w:lang w:val="es-ES"/>
        </w:rPr>
        <w:t xml:space="preserve">, porque las primeras fueron producto de la gestión de la AFP para hacer rentar la cuenta de ahorro individual y las segundas, fueron </w:t>
      </w:r>
      <w:r w:rsidR="000029E2" w:rsidRPr="0087273B">
        <w:rPr>
          <w:rFonts w:ascii="Tahoma" w:hAnsi="Tahoma" w:cs="Tahoma"/>
          <w:lang w:val="es-ES"/>
        </w:rPr>
        <w:t xml:space="preserve">descontadas en virtud de un mandato legal y </w:t>
      </w:r>
      <w:r w:rsidRPr="0087273B">
        <w:rPr>
          <w:rFonts w:ascii="Tahoma" w:hAnsi="Tahoma" w:cs="Tahoma"/>
          <w:lang w:val="es-ES"/>
        </w:rPr>
        <w:t>pagadas a la aseguradora</w:t>
      </w:r>
      <w:r w:rsidR="000029E2" w:rsidRPr="0087273B">
        <w:rPr>
          <w:rFonts w:ascii="Tahoma" w:hAnsi="Tahoma" w:cs="Tahoma"/>
          <w:lang w:val="es-ES"/>
        </w:rPr>
        <w:t xml:space="preserve">. </w:t>
      </w:r>
      <w:r w:rsidRPr="0087273B">
        <w:rPr>
          <w:rFonts w:ascii="Tahoma" w:hAnsi="Tahoma" w:cs="Tahoma"/>
          <w:lang w:val="es-ES"/>
        </w:rPr>
        <w:t>En consecuencia, solicita que operen las restituciones mutuas consagradas en el artículo 1746 del Código Civil.</w:t>
      </w:r>
    </w:p>
    <w:p w14:paraId="5B767539" w14:textId="77777777" w:rsidR="00405D51" w:rsidRPr="0087273B" w:rsidRDefault="00405D51" w:rsidP="0087273B">
      <w:pPr>
        <w:spacing w:before="0" w:beforeAutospacing="0" w:after="0" w:afterAutospacing="0" w:line="276" w:lineRule="auto"/>
        <w:ind w:firstLine="706"/>
        <w:rPr>
          <w:rFonts w:ascii="Tahoma" w:hAnsi="Tahoma" w:cs="Tahoma"/>
          <w:lang w:val="es-ES"/>
        </w:rPr>
      </w:pPr>
    </w:p>
    <w:p w14:paraId="20154A21" w14:textId="6C54C3A9" w:rsidR="00A824B7" w:rsidRPr="0087273B" w:rsidRDefault="00CE4CAD" w:rsidP="0087273B">
      <w:pPr>
        <w:spacing w:before="0" w:beforeAutospacing="0" w:after="0" w:afterAutospacing="0" w:line="276" w:lineRule="auto"/>
        <w:ind w:firstLine="0"/>
        <w:rPr>
          <w:rFonts w:ascii="Tahoma" w:hAnsi="Tahoma" w:cs="Tahoma"/>
          <w:lang w:val="es-MX"/>
        </w:rPr>
      </w:pPr>
      <w:r w:rsidRPr="0087273B">
        <w:rPr>
          <w:rFonts w:ascii="Tahoma" w:hAnsi="Tahoma" w:cs="Tahoma"/>
          <w:lang w:val="es-MX"/>
        </w:rPr>
        <w:tab/>
        <w:t xml:space="preserve">En similares términos, </w:t>
      </w:r>
      <w:r w:rsidRPr="0087273B">
        <w:rPr>
          <w:rFonts w:ascii="Tahoma" w:hAnsi="Tahoma" w:cs="Tahoma"/>
          <w:b/>
          <w:bCs/>
          <w:lang w:val="es-MX"/>
        </w:rPr>
        <w:t xml:space="preserve">Colfondos S.A. </w:t>
      </w:r>
      <w:r w:rsidRPr="0087273B">
        <w:rPr>
          <w:rFonts w:ascii="Tahoma" w:hAnsi="Tahoma" w:cs="Tahoma"/>
          <w:lang w:val="es-MX"/>
        </w:rPr>
        <w:t xml:space="preserve">expuso que la devolución de la sumas objeto de condena de forma indexada era improcedente, porque los rendimientos que generó la cuenta de </w:t>
      </w:r>
      <w:r w:rsidR="42927617" w:rsidRPr="0087273B">
        <w:rPr>
          <w:rFonts w:ascii="Tahoma" w:hAnsi="Tahoma" w:cs="Tahoma"/>
          <w:lang w:val="es-MX"/>
        </w:rPr>
        <w:t>ahorro</w:t>
      </w:r>
      <w:r w:rsidRPr="0087273B">
        <w:rPr>
          <w:rFonts w:ascii="Tahoma" w:hAnsi="Tahoma" w:cs="Tahoma"/>
          <w:lang w:val="es-MX"/>
        </w:rPr>
        <w:t xml:space="preserve"> individual fue producto de la gestión administrativa de la AFP </w:t>
      </w:r>
      <w:proofErr w:type="gramStart"/>
      <w:r w:rsidRPr="0087273B">
        <w:rPr>
          <w:rFonts w:ascii="Tahoma" w:hAnsi="Tahoma" w:cs="Tahoma"/>
          <w:lang w:val="es-MX"/>
        </w:rPr>
        <w:t>y</w:t>
      </w:r>
      <w:proofErr w:type="gramEnd"/>
      <w:r w:rsidRPr="0087273B">
        <w:rPr>
          <w:rFonts w:ascii="Tahoma" w:hAnsi="Tahoma" w:cs="Tahoma"/>
          <w:lang w:val="es-MX"/>
        </w:rPr>
        <w:t xml:space="preserve"> por tanto, con la devolución de dichos rendimientos es suficiente para compensar la </w:t>
      </w:r>
      <w:r w:rsidR="00E97F2E" w:rsidRPr="0087273B">
        <w:rPr>
          <w:rFonts w:ascii="Tahoma" w:hAnsi="Tahoma" w:cs="Tahoma"/>
          <w:lang w:val="es-MX"/>
        </w:rPr>
        <w:t xml:space="preserve">depreciación de los conceptos objeto de devolución, </w:t>
      </w:r>
      <w:r w:rsidRPr="0087273B">
        <w:rPr>
          <w:rFonts w:ascii="Tahoma" w:hAnsi="Tahoma" w:cs="Tahoma"/>
          <w:lang w:val="es-MX"/>
        </w:rPr>
        <w:t>aunado a que dicho rubro no fue objeto de la demanda, ni de la fijación del litigio.</w:t>
      </w:r>
    </w:p>
    <w:p w14:paraId="3E9902F8" w14:textId="77777777" w:rsidR="00617F66" w:rsidRPr="0087273B" w:rsidRDefault="00617F66" w:rsidP="0087273B">
      <w:pPr>
        <w:spacing w:before="0" w:beforeAutospacing="0" w:after="0" w:afterAutospacing="0" w:line="276" w:lineRule="auto"/>
        <w:ind w:firstLine="0"/>
        <w:rPr>
          <w:rStyle w:val="normaltextrun"/>
          <w:rFonts w:ascii="Tahoma" w:hAnsi="Tahoma" w:cs="Tahoma"/>
          <w:bCs/>
          <w:iCs/>
        </w:rPr>
      </w:pPr>
    </w:p>
    <w:p w14:paraId="17B0446A" w14:textId="69259493" w:rsidR="00E722C8" w:rsidRPr="0087273B" w:rsidRDefault="00E722C8" w:rsidP="0087273B">
      <w:pPr>
        <w:widowControl w:val="0"/>
        <w:autoSpaceDE w:val="0"/>
        <w:autoSpaceDN w:val="0"/>
        <w:adjustRightInd w:val="0"/>
        <w:spacing w:before="0" w:beforeAutospacing="0" w:after="0" w:afterAutospacing="0" w:line="276" w:lineRule="auto"/>
        <w:ind w:firstLine="706"/>
        <w:rPr>
          <w:rFonts w:ascii="Tahoma" w:hAnsi="Tahoma" w:cs="Tahoma"/>
        </w:rPr>
      </w:pPr>
      <w:r w:rsidRPr="0087273B">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3"/>
    <w:p w14:paraId="15598D38" w14:textId="3D6E60CA" w:rsidR="00E236B6" w:rsidRPr="0087273B" w:rsidRDefault="00E236B6" w:rsidP="0087273B">
      <w:pPr>
        <w:widowControl w:val="0"/>
        <w:autoSpaceDE w:val="0"/>
        <w:autoSpaceDN w:val="0"/>
        <w:spacing w:before="0" w:beforeAutospacing="0" w:after="0" w:afterAutospacing="0" w:line="276" w:lineRule="auto"/>
        <w:ind w:firstLine="0"/>
        <w:contextualSpacing/>
        <w:rPr>
          <w:rFonts w:ascii="Tahoma" w:eastAsia="Times New Roman" w:hAnsi="Tahoma" w:cs="Tahoma"/>
          <w:color w:val="000000"/>
          <w:shd w:val="clear" w:color="auto" w:fill="FFFFFF"/>
          <w:lang w:val="es-MX" w:eastAsia="es-MX"/>
        </w:rPr>
      </w:pPr>
    </w:p>
    <w:p w14:paraId="0A73EB47" w14:textId="7B29A1B2" w:rsidR="008C3C1E" w:rsidRPr="0087273B" w:rsidRDefault="008C3C1E" w:rsidP="0087273B">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87273B">
        <w:rPr>
          <w:rFonts w:eastAsia="Tahoma" w:cs="Tahoma"/>
          <w:b/>
          <w:bCs/>
          <w:szCs w:val="24"/>
          <w:lang w:val="es"/>
        </w:rPr>
        <w:t>Alegatos de conclusión</w:t>
      </w:r>
    </w:p>
    <w:p w14:paraId="1C15BA51" w14:textId="77777777" w:rsidR="008C3C1E" w:rsidRPr="0087273B" w:rsidRDefault="008C3C1E" w:rsidP="0087273B">
      <w:pPr>
        <w:spacing w:before="0" w:beforeAutospacing="0" w:after="0" w:afterAutospacing="0" w:line="276" w:lineRule="auto"/>
        <w:ind w:firstLine="708"/>
        <w:contextualSpacing/>
        <w:rPr>
          <w:rFonts w:ascii="Tahoma" w:eastAsia="Tahoma" w:hAnsi="Tahoma" w:cs="Tahoma"/>
        </w:rPr>
      </w:pPr>
    </w:p>
    <w:p w14:paraId="01F79DE7" w14:textId="0099C0AD" w:rsidR="008C3C1E" w:rsidRPr="0087273B" w:rsidRDefault="008C3C1E" w:rsidP="0025451C">
      <w:pPr>
        <w:spacing w:before="0" w:beforeAutospacing="0" w:after="0" w:afterAutospacing="0" w:line="276" w:lineRule="auto"/>
        <w:ind w:firstLine="708"/>
        <w:contextualSpacing/>
        <w:rPr>
          <w:rFonts w:ascii="Tahoma" w:eastAsia="Tahoma" w:hAnsi="Tahoma" w:cs="Tahoma"/>
        </w:rPr>
      </w:pPr>
      <w:r w:rsidRPr="0087273B">
        <w:rPr>
          <w:rFonts w:ascii="Tahoma" w:eastAsia="Tahoma" w:hAnsi="Tahoma" w:cs="Tahoma"/>
        </w:rPr>
        <w:t xml:space="preserve">Analizados los alegatos presentados por </w:t>
      </w:r>
      <w:r w:rsidR="00617F66" w:rsidRPr="0087273B">
        <w:rPr>
          <w:rFonts w:ascii="Tahoma" w:eastAsia="Tahoma" w:hAnsi="Tahoma" w:cs="Tahoma"/>
        </w:rPr>
        <w:t xml:space="preserve">la demandante, </w:t>
      </w:r>
      <w:r w:rsidRPr="0087273B">
        <w:rPr>
          <w:rFonts w:ascii="Tahoma" w:eastAsia="Tahoma" w:hAnsi="Tahoma" w:cs="Tahoma"/>
        </w:rPr>
        <w:t>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p>
    <w:p w14:paraId="051DE91A" w14:textId="77777777" w:rsidR="00915162" w:rsidRPr="0087273B" w:rsidRDefault="00915162" w:rsidP="0087273B">
      <w:pPr>
        <w:spacing w:before="0" w:beforeAutospacing="0" w:after="0" w:afterAutospacing="0" w:line="276" w:lineRule="auto"/>
        <w:ind w:firstLine="708"/>
        <w:contextualSpacing/>
        <w:rPr>
          <w:rFonts w:ascii="Tahoma" w:eastAsia="Tahoma" w:hAnsi="Tahoma" w:cs="Tahoma"/>
        </w:rPr>
      </w:pPr>
    </w:p>
    <w:p w14:paraId="13714DF5" w14:textId="77777777" w:rsidR="008C3C1E" w:rsidRPr="0087273B" w:rsidRDefault="008C3C1E" w:rsidP="0087273B">
      <w:pPr>
        <w:widowControl w:val="0"/>
        <w:numPr>
          <w:ilvl w:val="0"/>
          <w:numId w:val="1"/>
        </w:numPr>
        <w:autoSpaceDE w:val="0"/>
        <w:autoSpaceDN w:val="0"/>
        <w:spacing w:before="0" w:beforeAutospacing="0" w:after="0" w:afterAutospacing="0" w:line="276" w:lineRule="auto"/>
        <w:contextualSpacing/>
        <w:jc w:val="center"/>
        <w:rPr>
          <w:rFonts w:ascii="Tahoma" w:eastAsiaTheme="minorEastAsia" w:hAnsi="Tahoma" w:cs="Tahoma"/>
          <w:b/>
          <w:bCs/>
          <w:lang w:val="es-ES"/>
        </w:rPr>
      </w:pPr>
      <w:r w:rsidRPr="0087273B">
        <w:rPr>
          <w:rFonts w:ascii="Tahoma" w:eastAsia="Tahoma" w:hAnsi="Tahoma" w:cs="Tahoma"/>
          <w:b/>
          <w:bCs/>
          <w:lang w:val="es"/>
        </w:rPr>
        <w:t>Problemas jurídicos por resolver</w:t>
      </w:r>
    </w:p>
    <w:p w14:paraId="7CC87BD5" w14:textId="77777777" w:rsidR="008C3C1E" w:rsidRPr="0087273B" w:rsidRDefault="008C3C1E" w:rsidP="0087273B">
      <w:pPr>
        <w:spacing w:before="0" w:beforeAutospacing="0" w:after="0" w:afterAutospacing="0" w:line="276" w:lineRule="auto"/>
        <w:ind w:firstLine="708"/>
        <w:contextualSpacing/>
        <w:rPr>
          <w:rFonts w:ascii="Tahoma" w:hAnsi="Tahoma" w:cs="Tahoma"/>
        </w:rPr>
      </w:pPr>
    </w:p>
    <w:p w14:paraId="14E70D46" w14:textId="0B11A19C" w:rsidR="00856A74" w:rsidRPr="0087273B" w:rsidRDefault="008C3C1E" w:rsidP="0087273B">
      <w:pPr>
        <w:spacing w:before="0" w:beforeAutospacing="0" w:after="0" w:afterAutospacing="0" w:line="276" w:lineRule="auto"/>
        <w:ind w:firstLine="708"/>
        <w:contextualSpacing/>
        <w:rPr>
          <w:rFonts w:ascii="Tahoma" w:hAnsi="Tahoma" w:cs="Tahoma"/>
        </w:rPr>
      </w:pPr>
      <w:r w:rsidRPr="0087273B">
        <w:rPr>
          <w:rFonts w:ascii="Tahoma" w:hAnsi="Tahoma" w:cs="Tahoma"/>
        </w:rPr>
        <w:t>De acuerdo con los argumentos expuestos en la sentencia de primera instancia, los fundamentos de la apelación</w:t>
      </w:r>
      <w:r w:rsidR="003115D1" w:rsidRPr="0087273B">
        <w:rPr>
          <w:rFonts w:ascii="Tahoma" w:hAnsi="Tahoma" w:cs="Tahoma"/>
        </w:rPr>
        <w:t xml:space="preserve">, </w:t>
      </w:r>
      <w:r w:rsidRPr="0087273B">
        <w:rPr>
          <w:rFonts w:ascii="Tahoma" w:hAnsi="Tahoma" w:cs="Tahoma"/>
        </w:rPr>
        <w:t xml:space="preserve">los alegatos de conclusión, </w:t>
      </w:r>
      <w:r w:rsidR="003115D1" w:rsidRPr="0087273B">
        <w:rPr>
          <w:rFonts w:ascii="Tahoma" w:hAnsi="Tahoma" w:cs="Tahoma"/>
        </w:rPr>
        <w:t xml:space="preserve">y en virtud del grado jurisdiccional de consulta, </w:t>
      </w:r>
      <w:r w:rsidRPr="0087273B">
        <w:rPr>
          <w:rFonts w:ascii="Tahoma" w:hAnsi="Tahoma" w:cs="Tahoma"/>
        </w:rPr>
        <w:t>le corresponde a la Sala resolver los siguientes problemas jurídicos:</w:t>
      </w:r>
    </w:p>
    <w:p w14:paraId="469100B8" w14:textId="77777777" w:rsidR="008C1F46" w:rsidRPr="0087273B" w:rsidRDefault="008C1F46" w:rsidP="0087273B">
      <w:pPr>
        <w:spacing w:before="0" w:beforeAutospacing="0" w:after="0" w:afterAutospacing="0" w:line="276" w:lineRule="auto"/>
        <w:ind w:firstLine="708"/>
        <w:contextualSpacing/>
        <w:rPr>
          <w:rFonts w:ascii="Tahoma" w:hAnsi="Tahoma" w:cs="Tahoma"/>
        </w:rPr>
      </w:pPr>
    </w:p>
    <w:p w14:paraId="574E85E6" w14:textId="77777777" w:rsidR="009C38A3" w:rsidRPr="0087273B" w:rsidRDefault="009C38A3" w:rsidP="0087273B">
      <w:pPr>
        <w:numPr>
          <w:ilvl w:val="0"/>
          <w:numId w:val="13"/>
        </w:numPr>
        <w:spacing w:before="0" w:beforeAutospacing="0" w:after="0" w:afterAutospacing="0" w:line="276" w:lineRule="auto"/>
        <w:contextualSpacing/>
        <w:rPr>
          <w:rFonts w:ascii="Tahoma" w:hAnsi="Tahoma" w:cs="Tahoma"/>
          <w:color w:val="000000"/>
          <w:shd w:val="clear" w:color="auto" w:fill="FFFFFF"/>
        </w:rPr>
      </w:pPr>
      <w:r w:rsidRPr="0087273B">
        <w:rPr>
          <w:rFonts w:ascii="Tahoma" w:hAnsi="Tahoma" w:cs="Tahoma"/>
          <w:color w:val="000000"/>
          <w:shd w:val="clear" w:color="auto" w:fill="FFFFFF"/>
        </w:rPr>
        <w:lastRenderedPageBreak/>
        <w:t>Analizar si quedó probado en el proceso que la parte demandante recibió de parte de la AFP demandada, la asesoría e información suficiente y necesaria para hacer el cambio de régimen, si el acto de afiliación fue válido y las consecuencias procesales de la declaratoria de la ineficacia del traslado.</w:t>
      </w:r>
    </w:p>
    <w:p w14:paraId="605633E4" w14:textId="77777777" w:rsidR="008C1F46" w:rsidRPr="0087273B" w:rsidRDefault="008C1F46" w:rsidP="0087273B">
      <w:pPr>
        <w:spacing w:before="0" w:beforeAutospacing="0" w:after="0" w:afterAutospacing="0" w:line="276" w:lineRule="auto"/>
        <w:ind w:left="720" w:firstLine="0"/>
        <w:contextualSpacing/>
        <w:rPr>
          <w:rFonts w:ascii="Tahoma" w:hAnsi="Tahoma" w:cs="Tahoma"/>
        </w:rPr>
      </w:pPr>
    </w:p>
    <w:p w14:paraId="66119435" w14:textId="3436152F" w:rsidR="008C1F46" w:rsidRPr="0087273B" w:rsidRDefault="008C1F46" w:rsidP="0087273B">
      <w:pPr>
        <w:numPr>
          <w:ilvl w:val="0"/>
          <w:numId w:val="13"/>
        </w:numPr>
        <w:spacing w:before="0" w:beforeAutospacing="0" w:after="0" w:afterAutospacing="0" w:line="276" w:lineRule="auto"/>
        <w:contextualSpacing/>
        <w:rPr>
          <w:rFonts w:ascii="Tahoma" w:hAnsi="Tahoma" w:cs="Tahoma"/>
        </w:rPr>
      </w:pPr>
      <w:r w:rsidRPr="0087273B">
        <w:rPr>
          <w:rFonts w:ascii="Tahoma" w:hAnsi="Tahoma" w:cs="Tahoma"/>
          <w:lang w:val="es"/>
        </w:rPr>
        <w:t xml:space="preserve">Definir si para dar por cumplido el deber de información de las AFP es suficiente el diligenciamiento del formulario de afiliación. </w:t>
      </w:r>
    </w:p>
    <w:p w14:paraId="798192F9" w14:textId="77777777" w:rsidR="008C1F46" w:rsidRPr="0087273B" w:rsidRDefault="008C1F46" w:rsidP="0087273B">
      <w:pPr>
        <w:pStyle w:val="Prrafodelista"/>
        <w:spacing w:line="276" w:lineRule="auto"/>
        <w:rPr>
          <w:rFonts w:cs="Tahoma"/>
          <w:szCs w:val="24"/>
        </w:rPr>
      </w:pPr>
    </w:p>
    <w:p w14:paraId="19D773C9" w14:textId="7E69EB99" w:rsidR="008C1F46" w:rsidRPr="0087273B" w:rsidRDefault="008C1F46" w:rsidP="0087273B">
      <w:pPr>
        <w:numPr>
          <w:ilvl w:val="0"/>
          <w:numId w:val="13"/>
        </w:numPr>
        <w:spacing w:before="0" w:beforeAutospacing="0" w:after="0" w:afterAutospacing="0" w:line="276" w:lineRule="auto"/>
        <w:contextualSpacing/>
        <w:rPr>
          <w:rFonts w:ascii="Tahoma" w:hAnsi="Tahoma" w:cs="Tahoma"/>
        </w:rPr>
      </w:pPr>
      <w:r w:rsidRPr="0087273B">
        <w:rPr>
          <w:rFonts w:ascii="Tahoma" w:hAnsi="Tahoma" w:cs="Tahoma"/>
        </w:rPr>
        <w:t xml:space="preserve">Determinar la carga probatoria que les corresponde a cada una de las partes cuando está en discusión la eficacia del traslado entre regímenes pensionales. </w:t>
      </w:r>
    </w:p>
    <w:p w14:paraId="4B6FA20D" w14:textId="77777777" w:rsidR="008C1F46" w:rsidRPr="0087273B" w:rsidRDefault="008C1F46" w:rsidP="0087273B">
      <w:pPr>
        <w:spacing w:before="0" w:beforeAutospacing="0" w:after="0" w:afterAutospacing="0" w:line="276" w:lineRule="auto"/>
        <w:ind w:left="720" w:firstLine="0"/>
        <w:contextualSpacing/>
        <w:rPr>
          <w:rFonts w:ascii="Tahoma" w:hAnsi="Tahoma" w:cs="Tahoma"/>
        </w:rPr>
      </w:pPr>
    </w:p>
    <w:p w14:paraId="14A89CAD" w14:textId="0833A6AD" w:rsidR="008C1F46" w:rsidRPr="0087273B" w:rsidRDefault="008C1F46" w:rsidP="0087273B">
      <w:pPr>
        <w:numPr>
          <w:ilvl w:val="0"/>
          <w:numId w:val="13"/>
        </w:numPr>
        <w:spacing w:before="0" w:beforeAutospacing="0" w:after="0" w:afterAutospacing="0" w:line="276" w:lineRule="auto"/>
        <w:contextualSpacing/>
        <w:rPr>
          <w:rFonts w:ascii="Tahoma" w:hAnsi="Tahoma" w:cs="Tahoma"/>
        </w:rPr>
      </w:pPr>
      <w:r w:rsidRPr="0087273B">
        <w:rPr>
          <w:rFonts w:ascii="Tahoma" w:hAnsi="Tahoma" w:cs="Tahoma"/>
        </w:rPr>
        <w:t>Concluir si la prohibición señalada en el literal e) del artículo 13 de la Ley 100 de 1993, modificado por el artículo 2º de la Ley 797 de 2003, es atendible en aquellos eventos donde se discute la ineficacia del traslado de régimen pensional.</w:t>
      </w:r>
    </w:p>
    <w:p w14:paraId="54EFA1A6" w14:textId="77777777" w:rsidR="008C1F46" w:rsidRPr="0087273B" w:rsidRDefault="008C1F46" w:rsidP="0087273B">
      <w:pPr>
        <w:spacing w:before="0" w:beforeAutospacing="0" w:after="0" w:afterAutospacing="0" w:line="276" w:lineRule="auto"/>
        <w:ind w:firstLine="0"/>
        <w:contextualSpacing/>
        <w:rPr>
          <w:rFonts w:ascii="Tahoma" w:hAnsi="Tahoma" w:cs="Tahoma"/>
        </w:rPr>
      </w:pPr>
    </w:p>
    <w:p w14:paraId="08192D8E" w14:textId="1E2DE734" w:rsidR="008C1F46" w:rsidRPr="0087273B" w:rsidRDefault="008C1F46" w:rsidP="0087273B">
      <w:pPr>
        <w:numPr>
          <w:ilvl w:val="0"/>
          <w:numId w:val="13"/>
        </w:numPr>
        <w:spacing w:before="0" w:beforeAutospacing="0" w:after="0" w:afterAutospacing="0" w:line="276" w:lineRule="auto"/>
        <w:contextualSpacing/>
        <w:rPr>
          <w:rFonts w:ascii="Tahoma" w:hAnsi="Tahoma" w:cs="Tahoma"/>
        </w:rPr>
      </w:pPr>
      <w:r w:rsidRPr="0087273B">
        <w:rPr>
          <w:rFonts w:ascii="Tahoma" w:hAnsi="Tahoma" w:cs="Tahoma"/>
        </w:rPr>
        <w:t xml:space="preserve">Analizar si es procedente condenar a </w:t>
      </w:r>
      <w:r w:rsidR="003D0ED0" w:rsidRPr="0087273B">
        <w:rPr>
          <w:rFonts w:ascii="Tahoma" w:hAnsi="Tahoma" w:cs="Tahoma"/>
        </w:rPr>
        <w:t xml:space="preserve">Porvenir S.A. </w:t>
      </w:r>
      <w:r w:rsidRPr="0087273B">
        <w:rPr>
          <w:rFonts w:ascii="Tahoma" w:hAnsi="Tahoma" w:cs="Tahoma"/>
        </w:rPr>
        <w:t>a título de sanción al pago de un cálculo actuarial equivalente al valor total de las mesadas pensionales liquidadas bajo los parámetros del régimen de prima media.</w:t>
      </w:r>
    </w:p>
    <w:p w14:paraId="56C6FE3A" w14:textId="41D1116A" w:rsidR="00915162" w:rsidRPr="0087273B" w:rsidRDefault="00915162" w:rsidP="0087273B">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87273B" w:rsidRDefault="008C3C1E" w:rsidP="0087273B">
      <w:pPr>
        <w:widowControl w:val="0"/>
        <w:numPr>
          <w:ilvl w:val="0"/>
          <w:numId w:val="4"/>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87273B">
        <w:rPr>
          <w:rFonts w:ascii="Tahoma" w:eastAsia="Calibri" w:hAnsi="Tahoma" w:cs="Tahoma"/>
          <w:b/>
          <w:bCs/>
          <w:lang w:eastAsia="es-CO"/>
        </w:rPr>
        <w:t>Consideraciones</w:t>
      </w:r>
    </w:p>
    <w:p w14:paraId="18D92D98" w14:textId="5EB6CE86" w:rsidR="005B7733" w:rsidRPr="0087273B" w:rsidRDefault="005B7733" w:rsidP="0087273B">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37BB89DC" w14:textId="77777777" w:rsidR="00E37D62" w:rsidRPr="00412A82" w:rsidRDefault="00E37D62" w:rsidP="00E37D6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412A82">
        <w:rPr>
          <w:rFonts w:ascii="Tahoma" w:eastAsia="Calibri" w:hAnsi="Tahoma" w:cs="Tahoma"/>
          <w:b/>
          <w:bCs/>
          <w:lang w:eastAsia="es-CO"/>
        </w:rPr>
        <w:t xml:space="preserve">Precedente vertical: la tesis de la Corte Suprema de Justicia respecto al tema de la ineficacia del traslado constituye doctrina probable </w:t>
      </w:r>
    </w:p>
    <w:p w14:paraId="30A48E98" w14:textId="77777777" w:rsidR="00E37D62" w:rsidRPr="00412A82"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33FF369C" w14:textId="77777777" w:rsidR="00E37D62" w:rsidRPr="00412A82"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la actualidad existe </w:t>
      </w:r>
      <w:r w:rsidRPr="00412A82">
        <w:rPr>
          <w:rFonts w:ascii="Tahoma" w:eastAsia="Calibri" w:hAnsi="Tahoma" w:cs="Tahoma"/>
          <w:b/>
          <w:lang w:eastAsia="es-CO"/>
        </w:rPr>
        <w:t>doctrina probable</w:t>
      </w:r>
      <w:r w:rsidRPr="00412A82">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60DECCE5" w14:textId="77777777" w:rsidR="00E37D62" w:rsidRPr="00412A82"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E675F4E" w14:textId="77777777" w:rsidR="00E37D62" w:rsidRPr="00412A82"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roofErr w:type="spellStart"/>
      <w:r w:rsidRPr="00412A82">
        <w:rPr>
          <w:rFonts w:ascii="Tahoma" w:eastAsia="Calibri" w:hAnsi="Tahoma" w:cs="Tahoma"/>
          <w:bCs/>
          <w:lang w:eastAsia="es-CO"/>
        </w:rPr>
        <w:t>SL</w:t>
      </w:r>
      <w:proofErr w:type="spellEnd"/>
      <w:r w:rsidRPr="00412A82">
        <w:rPr>
          <w:rFonts w:ascii="Tahoma" w:eastAsia="Calibri" w:hAnsi="Tahoma" w:cs="Tahoma"/>
          <w:bCs/>
          <w:lang w:eastAsia="es-CO"/>
        </w:rPr>
        <w:t xml:space="preserve"> 31989 del 9 sep. 2008,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31314 9 sep. 2008,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33083 22 nov. 2011, </w:t>
      </w:r>
      <w:proofErr w:type="spellStart"/>
      <w:r w:rsidRPr="00412A82">
        <w:rPr>
          <w:rFonts w:ascii="Tahoma" w:eastAsia="Calibri" w:hAnsi="Tahoma" w:cs="Tahoma"/>
          <w:lang w:eastAsia="es-CO"/>
        </w:rPr>
        <w:t>SL12136</w:t>
      </w:r>
      <w:proofErr w:type="spellEnd"/>
      <w:r w:rsidRPr="00412A82">
        <w:rPr>
          <w:rFonts w:ascii="Tahoma" w:eastAsia="Calibri" w:hAnsi="Tahoma" w:cs="Tahoma"/>
          <w:lang w:eastAsia="es-CO"/>
        </w:rPr>
        <w:t xml:space="preserve">-2014, </w:t>
      </w:r>
      <w:proofErr w:type="spellStart"/>
      <w:r w:rsidRPr="00412A82">
        <w:rPr>
          <w:rFonts w:ascii="Tahoma" w:eastAsia="Calibri" w:hAnsi="Tahoma" w:cs="Tahoma"/>
          <w:lang w:eastAsia="es-CO"/>
        </w:rPr>
        <w:t>SL19447</w:t>
      </w:r>
      <w:proofErr w:type="spellEnd"/>
      <w:r w:rsidRPr="00412A82">
        <w:rPr>
          <w:rFonts w:ascii="Tahoma" w:eastAsia="Calibri" w:hAnsi="Tahoma" w:cs="Tahoma"/>
          <w:lang w:eastAsia="es-CO"/>
        </w:rPr>
        <w:t xml:space="preserve">-2017, </w:t>
      </w:r>
      <w:proofErr w:type="spellStart"/>
      <w:r w:rsidRPr="00412A82">
        <w:rPr>
          <w:rFonts w:ascii="Tahoma" w:eastAsia="Calibri" w:hAnsi="Tahoma" w:cs="Tahoma"/>
          <w:lang w:eastAsia="es-CO"/>
        </w:rPr>
        <w:t>SL4964</w:t>
      </w:r>
      <w:proofErr w:type="spellEnd"/>
      <w:r w:rsidRPr="00412A82">
        <w:rPr>
          <w:rFonts w:ascii="Tahoma" w:eastAsia="Calibri" w:hAnsi="Tahoma" w:cs="Tahoma"/>
          <w:lang w:eastAsia="es-CO"/>
        </w:rPr>
        <w:t xml:space="preserve">-2018, CSJ </w:t>
      </w:r>
      <w:proofErr w:type="spellStart"/>
      <w:r w:rsidRPr="00412A82">
        <w:rPr>
          <w:rFonts w:ascii="Tahoma" w:eastAsia="Calibri" w:hAnsi="Tahoma" w:cs="Tahoma"/>
          <w:lang w:eastAsia="es-CO"/>
        </w:rPr>
        <w:t>SL4989</w:t>
      </w:r>
      <w:proofErr w:type="spellEnd"/>
      <w:r w:rsidRPr="00412A82">
        <w:rPr>
          <w:rFonts w:ascii="Tahoma" w:eastAsia="Calibri" w:hAnsi="Tahoma" w:cs="Tahoma"/>
          <w:lang w:eastAsia="es-CO"/>
        </w:rPr>
        <w:t xml:space="preserve">-2018, </w:t>
      </w:r>
      <w:proofErr w:type="spellStart"/>
      <w:r w:rsidRPr="00412A82">
        <w:rPr>
          <w:rFonts w:ascii="Tahoma" w:eastAsia="Calibri" w:hAnsi="Tahoma" w:cs="Tahoma"/>
          <w:lang w:eastAsia="es-CO"/>
        </w:rPr>
        <w:t>SL1421</w:t>
      </w:r>
      <w:proofErr w:type="spellEnd"/>
      <w:r w:rsidRPr="00412A82">
        <w:rPr>
          <w:rFonts w:ascii="Tahoma" w:eastAsia="Calibri" w:hAnsi="Tahoma" w:cs="Tahoma"/>
          <w:lang w:eastAsia="es-CO"/>
        </w:rPr>
        <w:t xml:space="preserve">-2019, </w:t>
      </w:r>
      <w:proofErr w:type="spellStart"/>
      <w:r w:rsidRPr="00412A82">
        <w:rPr>
          <w:rFonts w:ascii="Tahoma" w:eastAsia="Calibri" w:hAnsi="Tahoma" w:cs="Tahoma"/>
          <w:lang w:eastAsia="es-CO"/>
        </w:rPr>
        <w:t>SL1452</w:t>
      </w:r>
      <w:proofErr w:type="spellEnd"/>
      <w:r w:rsidRPr="00412A82">
        <w:rPr>
          <w:rFonts w:ascii="Tahoma" w:eastAsia="Calibri" w:hAnsi="Tahoma" w:cs="Tahoma"/>
          <w:lang w:eastAsia="es-CO"/>
        </w:rPr>
        <w:t xml:space="preserve">-2019, </w:t>
      </w:r>
      <w:proofErr w:type="spellStart"/>
      <w:r w:rsidRPr="00412A82">
        <w:rPr>
          <w:rFonts w:ascii="Tahoma" w:eastAsia="Calibri" w:hAnsi="Tahoma" w:cs="Tahoma"/>
          <w:lang w:eastAsia="es-CO"/>
        </w:rPr>
        <w:t>SL1688</w:t>
      </w:r>
      <w:proofErr w:type="spellEnd"/>
      <w:r w:rsidRPr="00412A82">
        <w:rPr>
          <w:rFonts w:ascii="Tahoma" w:eastAsia="Calibri" w:hAnsi="Tahoma" w:cs="Tahoma"/>
          <w:lang w:eastAsia="es-CO"/>
        </w:rPr>
        <w:t xml:space="preserve">-2019, </w:t>
      </w:r>
      <w:proofErr w:type="spellStart"/>
      <w:r w:rsidRPr="00412A82">
        <w:rPr>
          <w:rFonts w:ascii="Tahoma" w:eastAsia="Calibri" w:hAnsi="Tahoma" w:cs="Tahoma"/>
          <w:lang w:eastAsia="es-CO"/>
        </w:rPr>
        <w:t>SL1689</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373 -2020, Sentencia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5462-2019, Sentencia </w:t>
      </w:r>
      <w:proofErr w:type="spellStart"/>
      <w:r w:rsidRPr="00412A82">
        <w:rPr>
          <w:rFonts w:ascii="Tahoma" w:eastAsia="Calibri" w:hAnsi="Tahoma" w:cs="Tahoma"/>
          <w:lang w:eastAsia="es-CO"/>
        </w:rPr>
        <w:t>SL149</w:t>
      </w:r>
      <w:proofErr w:type="spellEnd"/>
      <w:r w:rsidRPr="00412A82">
        <w:rPr>
          <w:rFonts w:ascii="Tahoma" w:eastAsia="Calibri" w:hAnsi="Tahoma" w:cs="Tahoma"/>
          <w:lang w:eastAsia="es-CO"/>
        </w:rPr>
        <w:t xml:space="preserve">-2020, Sentencia </w:t>
      </w:r>
      <w:proofErr w:type="spellStart"/>
      <w:r w:rsidRPr="00412A82">
        <w:rPr>
          <w:rFonts w:ascii="Tahoma" w:eastAsia="Calibri" w:hAnsi="Tahoma" w:cs="Tahoma"/>
          <w:lang w:eastAsia="es-CO"/>
        </w:rPr>
        <w:t>SL5533</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SL5144</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SL4937</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SL4426</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SL4343</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SL4856</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STP</w:t>
      </w:r>
      <w:proofErr w:type="spellEnd"/>
      <w:r w:rsidRPr="00412A82">
        <w:rPr>
          <w:rFonts w:ascii="Tahoma" w:eastAsia="Calibri" w:hAnsi="Tahoma" w:cs="Tahoma"/>
          <w:lang w:eastAsia="es-CO"/>
        </w:rPr>
        <w:t xml:space="preserve"> 2082-2019, Sentencia </w:t>
      </w:r>
      <w:proofErr w:type="spellStart"/>
      <w:r w:rsidRPr="00412A82">
        <w:rPr>
          <w:rFonts w:ascii="Tahoma" w:eastAsia="Calibri" w:hAnsi="Tahoma" w:cs="Tahoma"/>
          <w:lang w:eastAsia="es-CO"/>
        </w:rPr>
        <w:t>SL4360</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SL3852</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SL3749</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SL3179</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SL1838</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SL2817</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SL771</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SL4296</w:t>
      </w:r>
      <w:proofErr w:type="spellEnd"/>
      <w:r w:rsidRPr="00412A82">
        <w:rPr>
          <w:rFonts w:ascii="Tahoma" w:eastAsia="Calibri" w:hAnsi="Tahoma" w:cs="Tahoma"/>
          <w:lang w:eastAsia="es-CO"/>
        </w:rPr>
        <w:t xml:space="preserve">-2018, Sentencia </w:t>
      </w:r>
      <w:proofErr w:type="spellStart"/>
      <w:r w:rsidRPr="00412A82">
        <w:rPr>
          <w:rFonts w:ascii="Tahoma" w:eastAsia="Calibri" w:hAnsi="Tahoma" w:cs="Tahoma"/>
          <w:lang w:eastAsia="es-CO"/>
        </w:rPr>
        <w:t>SL2865</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SL2955</w:t>
      </w:r>
      <w:proofErr w:type="spellEnd"/>
      <w:r w:rsidRPr="00412A82">
        <w:rPr>
          <w:rFonts w:ascii="Tahoma" w:eastAsia="Calibri" w:hAnsi="Tahoma" w:cs="Tahoma"/>
          <w:lang w:eastAsia="es-CO"/>
        </w:rPr>
        <w:t xml:space="preserve">-2019, Sentencia  </w:t>
      </w:r>
      <w:proofErr w:type="spellStart"/>
      <w:r w:rsidRPr="00412A82">
        <w:rPr>
          <w:rFonts w:ascii="Tahoma" w:eastAsia="Calibri" w:hAnsi="Tahoma" w:cs="Tahoma"/>
          <w:lang w:eastAsia="es-CO"/>
        </w:rPr>
        <w:t>SL2324</w:t>
      </w:r>
      <w:proofErr w:type="spellEnd"/>
      <w:r w:rsidRPr="00412A82">
        <w:rPr>
          <w:rFonts w:ascii="Tahoma" w:eastAsia="Calibri" w:hAnsi="Tahoma" w:cs="Tahoma"/>
          <w:lang w:eastAsia="es-CO"/>
        </w:rPr>
        <w:t>-2019.</w:t>
      </w:r>
    </w:p>
    <w:p w14:paraId="3EC025AD"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C723EBA" w14:textId="77777777" w:rsidR="00E37D62" w:rsidRPr="00412A82"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En términos generales, en todas estas sentencias se determinó </w:t>
      </w:r>
      <w:r w:rsidRPr="00412A82">
        <w:rPr>
          <w:rFonts w:ascii="Tahoma" w:eastAsia="Calibri" w:hAnsi="Tahoma" w:cs="Tahoma"/>
          <w:i/>
          <w:lang w:eastAsia="es-CO"/>
        </w:rPr>
        <w:t xml:space="preserve">i) </w:t>
      </w:r>
      <w:r w:rsidRPr="00412A82">
        <w:rPr>
          <w:rFonts w:ascii="Tahoma" w:eastAsia="Calibri" w:hAnsi="Tahoma" w:cs="Tahoma"/>
          <w:lang w:eastAsia="es-CO"/>
        </w:rPr>
        <w:t xml:space="preserve">el alcance del deber de información a cargo de las Administradoras de Fondos de Pensiones, </w:t>
      </w:r>
      <w:r w:rsidRPr="00412A82">
        <w:rPr>
          <w:rFonts w:ascii="Tahoma" w:eastAsia="Calibri" w:hAnsi="Tahoma" w:cs="Tahoma"/>
          <w:i/>
          <w:lang w:eastAsia="es-CO"/>
        </w:rPr>
        <w:t xml:space="preserve">ii) </w:t>
      </w:r>
      <w:r w:rsidRPr="00412A82">
        <w:rPr>
          <w:rFonts w:ascii="Tahoma" w:eastAsia="Calibri" w:hAnsi="Tahoma" w:cs="Tahoma"/>
          <w:lang w:eastAsia="es-CO"/>
        </w:rPr>
        <w:t xml:space="preserve">la procedencia de la ineficacia del traslado, </w:t>
      </w:r>
      <w:r w:rsidRPr="00412A82">
        <w:rPr>
          <w:rFonts w:ascii="Tahoma" w:eastAsia="Calibri" w:hAnsi="Tahoma" w:cs="Tahoma"/>
          <w:i/>
          <w:lang w:eastAsia="es-CO"/>
        </w:rPr>
        <w:t xml:space="preserve">iii) </w:t>
      </w:r>
      <w:r w:rsidRPr="00412A82">
        <w:rPr>
          <w:rFonts w:ascii="Tahoma" w:eastAsia="Calibri" w:hAnsi="Tahoma" w:cs="Tahoma"/>
          <w:lang w:eastAsia="es-CO"/>
        </w:rPr>
        <w:t xml:space="preserve">la inversión de la carga de la prueba en favor del afiliado. Todos los problemas jurídicos planteados en este asunto, fueron objeto de estudio por parte de la Sala de Casación Laboral, de modo que basta referirnos a su precedente para dar respuesta a los mismos, como veremos a </w:t>
      </w:r>
      <w:r w:rsidRPr="00412A82">
        <w:rPr>
          <w:rFonts w:ascii="Tahoma" w:eastAsia="Calibri" w:hAnsi="Tahoma" w:cs="Tahoma"/>
          <w:lang w:eastAsia="es-CO"/>
        </w:rPr>
        <w:lastRenderedPageBreak/>
        <w:t>continuación.</w:t>
      </w:r>
    </w:p>
    <w:p w14:paraId="75DD6073"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8CA17C9" w14:textId="77777777" w:rsidR="00E37D62" w:rsidRPr="00412A82" w:rsidRDefault="00E37D62" w:rsidP="00E37D6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“El deber de información a cargo de las administradoras de fondos de pensiones: Un deber exigible desde su creación</w:t>
      </w:r>
      <w:r w:rsidRPr="00412A82">
        <w:rPr>
          <w:rFonts w:ascii="Tahoma" w:eastAsia="Calibri" w:hAnsi="Tahoma" w:cs="Tahoma"/>
          <w:b/>
          <w:iCs/>
          <w:vertAlign w:val="superscript"/>
          <w:lang w:eastAsia="es-CO"/>
        </w:rPr>
        <w:footnoteReference w:id="7"/>
      </w:r>
      <w:r w:rsidRPr="00412A82">
        <w:rPr>
          <w:rFonts w:ascii="Tahoma" w:eastAsia="Calibri" w:hAnsi="Tahoma" w:cs="Tahoma"/>
          <w:b/>
          <w:iCs/>
          <w:lang w:eastAsia="es-CO"/>
        </w:rPr>
        <w:t>”</w:t>
      </w:r>
    </w:p>
    <w:p w14:paraId="0BFF452D"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5B0D89F1" w14:textId="77777777" w:rsidR="00E37D62" w:rsidRPr="00412A82"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412A82">
        <w:rPr>
          <w:rFonts w:ascii="Tahoma" w:eastAsia="Calibri" w:hAnsi="Tahoma" w:cs="Tahoma"/>
          <w:u w:val="single"/>
          <w:lang w:eastAsia="es-CO"/>
        </w:rPr>
        <w:t>debida diligencia y cuidado</w:t>
      </w:r>
      <w:r w:rsidRPr="00412A82">
        <w:rPr>
          <w:rFonts w:ascii="Tahoma" w:eastAsia="Calibri" w:hAnsi="Tahoma" w:cs="Tahoma"/>
          <w:lang w:eastAsia="es-CO"/>
        </w:rPr>
        <w:t xml:space="preserve"> incumbe a quien ha debido emplearla, atendiendo a las siguientes razones:</w:t>
      </w:r>
    </w:p>
    <w:p w14:paraId="3171BE0A" w14:textId="77777777" w:rsidR="00E37D62" w:rsidRPr="00412A82"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73945727" w14:textId="77777777" w:rsidR="00E37D62" w:rsidRPr="00412A82" w:rsidRDefault="00E37D62" w:rsidP="00E37D6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412A82">
        <w:rPr>
          <w:rFonts w:eastAsia="Calibri" w:cs="Tahoma"/>
          <w:szCs w:val="24"/>
          <w:u w:val="single"/>
          <w:lang w:eastAsia="es-CO"/>
        </w:rPr>
        <w:t>Decreto 663 de 1993</w:t>
      </w:r>
      <w:r w:rsidRPr="00412A82">
        <w:rPr>
          <w:rFonts w:cs="Tahoma"/>
          <w:szCs w:val="24"/>
          <w:u w:val="single"/>
          <w:vertAlign w:val="superscript"/>
          <w:lang w:eastAsia="es-CO"/>
        </w:rPr>
        <w:footnoteReference w:id="8"/>
      </w:r>
      <w:r w:rsidRPr="00412A82">
        <w:rPr>
          <w:rFonts w:eastAsia="Calibri" w:cs="Tahoma"/>
          <w:szCs w:val="24"/>
          <w:lang w:eastAsia="es-CO"/>
        </w:rPr>
        <w:t>, norma en la que se destaca la importancia de los principios de debida diligencia, transparencia e información cierta, suficiente y oportuna.</w:t>
      </w:r>
    </w:p>
    <w:p w14:paraId="1CE064FD" w14:textId="77777777" w:rsidR="00E37D62" w:rsidRPr="00412A82" w:rsidRDefault="00E37D62" w:rsidP="00E37D62">
      <w:pPr>
        <w:pStyle w:val="Prrafodelista"/>
        <w:widowControl w:val="0"/>
        <w:autoSpaceDE w:val="0"/>
        <w:autoSpaceDN w:val="0"/>
        <w:adjustRightInd w:val="0"/>
        <w:spacing w:line="276" w:lineRule="auto"/>
        <w:rPr>
          <w:rFonts w:eastAsia="Calibri" w:cs="Tahoma"/>
          <w:szCs w:val="24"/>
          <w:lang w:eastAsia="es-CO"/>
        </w:rPr>
      </w:pPr>
    </w:p>
    <w:p w14:paraId="678EEE16" w14:textId="77777777" w:rsidR="00E37D62" w:rsidRPr="00412A82" w:rsidRDefault="00E37D62" w:rsidP="00E37D6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412A82">
        <w:rPr>
          <w:rFonts w:eastAsia="Calibri" w:cs="Tahoma"/>
          <w:szCs w:val="24"/>
          <w:u w:val="single"/>
          <w:lang w:eastAsia="es-CO"/>
        </w:rPr>
        <w:t>suficiente, amplia y oportuna</w:t>
      </w:r>
      <w:r w:rsidRPr="00412A82">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7150BA53" w14:textId="77777777" w:rsidR="00E37D62" w:rsidRPr="00412A82" w:rsidRDefault="00E37D62" w:rsidP="00E37D62">
      <w:pPr>
        <w:pStyle w:val="Prrafodelista"/>
        <w:spacing w:line="276" w:lineRule="auto"/>
        <w:rPr>
          <w:rFonts w:eastAsia="Calibri" w:cs="Tahoma"/>
          <w:szCs w:val="24"/>
          <w:lang w:eastAsia="es-CO"/>
        </w:rPr>
      </w:pPr>
    </w:p>
    <w:p w14:paraId="4108F76A" w14:textId="77777777" w:rsidR="00E37D62" w:rsidRPr="00412A82" w:rsidRDefault="00E37D62" w:rsidP="00E37D6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Dispone el artículo 114 de la Ley 100 de 1993, que los trabajadores y servidores públicos que se trasladen por primera vez del RPM al </w:t>
      </w:r>
      <w:proofErr w:type="spellStart"/>
      <w:r w:rsidRPr="00412A82">
        <w:rPr>
          <w:rFonts w:eastAsia="Calibri" w:cs="Tahoma"/>
          <w:szCs w:val="24"/>
          <w:lang w:eastAsia="es-CO"/>
        </w:rPr>
        <w:t>RAIS</w:t>
      </w:r>
      <w:proofErr w:type="spellEnd"/>
      <w:r w:rsidRPr="00412A82">
        <w:rPr>
          <w:rFonts w:eastAsia="Calibri" w:cs="Tahoma"/>
          <w:szCs w:val="24"/>
          <w:lang w:eastAsia="es-CO"/>
        </w:rPr>
        <w:t>, deberán presentar a la respectiva entidad administradora comunicación escrita en la que conste que la selección de dicho régimen se ha tomado de manera libre, espontánea y sin presiones.</w:t>
      </w:r>
    </w:p>
    <w:p w14:paraId="100881B1" w14:textId="77777777" w:rsidR="00E37D62" w:rsidRPr="00412A82" w:rsidRDefault="00E37D62" w:rsidP="00E37D62">
      <w:pPr>
        <w:pStyle w:val="Prrafodelista"/>
        <w:spacing w:line="276" w:lineRule="auto"/>
        <w:rPr>
          <w:rFonts w:eastAsia="Calibri" w:cs="Tahoma"/>
          <w:szCs w:val="24"/>
          <w:lang w:eastAsia="es-CO"/>
        </w:rPr>
      </w:pPr>
    </w:p>
    <w:p w14:paraId="31641128" w14:textId="77777777" w:rsidR="00E37D62" w:rsidRPr="00412A82" w:rsidRDefault="00E37D62" w:rsidP="00E37D6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szCs w:val="24"/>
          <w:lang w:eastAsia="es-CO"/>
        </w:rPr>
        <w:t xml:space="preserve">En numerosas sentencias del órgano de cierre de la jurisdicción ordinaria laboral, se ha establecido que no puede argüirse que </w:t>
      </w:r>
      <w:r w:rsidRPr="00412A82">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412A82">
        <w:rPr>
          <w:rFonts w:eastAsia="Calibri" w:cs="Tahoma"/>
          <w:i/>
          <w:iCs/>
          <w:szCs w:val="24"/>
          <w:lang w:eastAsia="es-CO"/>
        </w:rPr>
        <w:t>“</w:t>
      </w:r>
      <w:r w:rsidRPr="00412A82">
        <w:rPr>
          <w:rFonts w:eastAsia="Calibri" w:cs="Tahoma"/>
          <w:i/>
          <w:iCs/>
          <w:szCs w:val="24"/>
          <w:u w:val="single"/>
          <w:lang w:eastAsia="es-CO"/>
        </w:rPr>
        <w:t>dar cuenta de que documentaron clara y suficientemente los efectos que acarrea el cambio de régimen, so pena de declarar ineficaz ese tránsito.”</w:t>
      </w:r>
    </w:p>
    <w:p w14:paraId="66F30BAA" w14:textId="77777777" w:rsidR="00E37D62" w:rsidRPr="00412A82" w:rsidRDefault="00E37D62" w:rsidP="00E37D62">
      <w:pPr>
        <w:pStyle w:val="Prrafodelista"/>
        <w:spacing w:line="276" w:lineRule="auto"/>
        <w:rPr>
          <w:rFonts w:eastAsia="Calibri" w:cs="Tahoma"/>
          <w:iCs/>
          <w:szCs w:val="24"/>
          <w:lang w:eastAsia="es-CO"/>
        </w:rPr>
      </w:pPr>
    </w:p>
    <w:p w14:paraId="15135453" w14:textId="77777777" w:rsidR="00E37D62" w:rsidRPr="00412A82" w:rsidRDefault="00E37D62" w:rsidP="00E37D62">
      <w:pPr>
        <w:pStyle w:val="Prrafodelista"/>
        <w:widowControl w:val="0"/>
        <w:numPr>
          <w:ilvl w:val="0"/>
          <w:numId w:val="9"/>
        </w:numPr>
        <w:autoSpaceDE w:val="0"/>
        <w:autoSpaceDN w:val="0"/>
        <w:adjustRightInd w:val="0"/>
        <w:spacing w:line="276" w:lineRule="auto"/>
        <w:rPr>
          <w:rFonts w:eastAsia="Calibri" w:cs="Tahoma"/>
          <w:szCs w:val="24"/>
          <w:lang w:eastAsia="es-CO"/>
        </w:rPr>
      </w:pPr>
      <w:r w:rsidRPr="00412A82">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w:t>
      </w:r>
      <w:r w:rsidRPr="00412A82">
        <w:rPr>
          <w:rFonts w:eastAsia="Calibri" w:cs="Tahoma"/>
          <w:iCs/>
          <w:szCs w:val="24"/>
          <w:lang w:eastAsia="es-CO"/>
        </w:rPr>
        <w:lastRenderedPageBreak/>
        <w:t xml:space="preserve">a demostrar, bajo los medios probatorios a su alcance, que cumplió con el deber de buen consejo al transmitirle al afiliado toda aquella información que resultaba relevante para que tomar una decisión de tal trascendencia. </w:t>
      </w:r>
    </w:p>
    <w:p w14:paraId="2196A648"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2B75DF7D"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412A82">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640B9540"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2B69A619"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412A82">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0F15CB80"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22CACBD" w14:textId="77777777" w:rsidR="00E37D62" w:rsidRPr="00412A82"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12A82">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w:t>
      </w:r>
      <w:proofErr w:type="spellStart"/>
      <w:r w:rsidRPr="00412A82">
        <w:rPr>
          <w:rFonts w:ascii="Tahoma" w:eastAsia="Calibri" w:hAnsi="Tahoma" w:cs="Tahoma"/>
          <w:lang w:eastAsia="es-CO"/>
        </w:rPr>
        <w:t>SL</w:t>
      </w:r>
      <w:proofErr w:type="spellEnd"/>
      <w:r w:rsidRPr="00412A82">
        <w:rPr>
          <w:rFonts w:ascii="Tahoma" w:eastAsia="Calibri" w:hAnsi="Tahoma" w:cs="Tahoma"/>
          <w:lang w:eastAsia="es-CO"/>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412A82">
        <w:rPr>
          <w:rFonts w:ascii="Tahoma" w:eastAsia="Calibri" w:hAnsi="Tahoma" w:cs="Tahoma"/>
          <w:b/>
          <w:lang w:eastAsia="es-CO"/>
        </w:rPr>
        <w:t xml:space="preserve">necesaria y transparente, </w:t>
      </w:r>
      <w:r w:rsidRPr="00412A82">
        <w:rPr>
          <w:rFonts w:ascii="Tahoma" w:eastAsia="Calibri" w:hAnsi="Tahoma" w:cs="Tahoma"/>
          <w:lang w:eastAsia="es-CO"/>
        </w:rPr>
        <w:t xml:space="preserve">que con el transcurrir del tiempo esta exigencia cambió, pasando de un deber de información necesaria al de </w:t>
      </w:r>
      <w:r w:rsidRPr="00412A82">
        <w:rPr>
          <w:rFonts w:ascii="Tahoma" w:eastAsia="Calibri" w:hAnsi="Tahoma" w:cs="Tahoma"/>
          <w:b/>
          <w:lang w:eastAsia="es-CO"/>
        </w:rPr>
        <w:t>asesoría y buen consejo</w:t>
      </w:r>
      <w:r w:rsidRPr="00412A82">
        <w:rPr>
          <w:rFonts w:ascii="Tahoma" w:eastAsia="Calibri" w:hAnsi="Tahoma" w:cs="Tahoma"/>
          <w:lang w:eastAsia="es-CO"/>
        </w:rPr>
        <w:t xml:space="preserve">, y finalmente al de </w:t>
      </w:r>
      <w:r w:rsidRPr="00412A82">
        <w:rPr>
          <w:rFonts w:ascii="Tahoma" w:eastAsia="Calibri" w:hAnsi="Tahoma" w:cs="Tahoma"/>
          <w:b/>
          <w:lang w:eastAsia="es-CO"/>
        </w:rPr>
        <w:t>doble asesoría</w:t>
      </w:r>
      <w:r w:rsidRPr="00412A82">
        <w:rPr>
          <w:rFonts w:ascii="Tahoma" w:eastAsia="Calibri" w:hAnsi="Tahoma" w:cs="Tahoma"/>
          <w:lang w:eastAsia="es-CO"/>
        </w:rPr>
        <w:t>, explicando en qué consiste cada uno de esos conceptos. Dicho recuento histórico, se compendia de la siguiente manera:</w:t>
      </w:r>
    </w:p>
    <w:p w14:paraId="16EBB431"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B6C73FF"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3AAAE051"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E37D62" w:rsidRPr="001B705F" w14:paraId="702FE50B"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486C65CE"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018A7CA3"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38DC22CD"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Contenido mínimo y alcance del deber de información</w:t>
            </w:r>
          </w:p>
        </w:tc>
      </w:tr>
      <w:tr w:rsidR="00E37D62" w:rsidRPr="001B705F" w14:paraId="231CECCD"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7872C2BD"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65A5D4A7"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Arts. 13 literal b), 271 y 272 de la Ley 100 de 1993</w:t>
            </w:r>
          </w:p>
          <w:p w14:paraId="25DBFE95"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p>
          <w:p w14:paraId="03C273E6"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Art. 97, numeral </w:t>
            </w:r>
            <w:proofErr w:type="gramStart"/>
            <w:r w:rsidRPr="001B705F">
              <w:rPr>
                <w:rFonts w:ascii="Tahoma" w:eastAsia="Tahoma" w:hAnsi="Tahoma" w:cs="Tahoma"/>
                <w:i/>
                <w:iCs/>
                <w:lang w:eastAsia="es-MX"/>
              </w:rPr>
              <w:t>1.°</w:t>
            </w:r>
            <w:proofErr w:type="gramEnd"/>
            <w:r w:rsidRPr="001B705F">
              <w:rPr>
                <w:rFonts w:ascii="Tahoma" w:eastAsia="Tahoma" w:hAnsi="Tahoma" w:cs="Tahoma"/>
                <w:i/>
                <w:iCs/>
                <w:lang w:eastAsia="es-MX"/>
              </w:rPr>
              <w:t xml:space="preserve"> del Decreto 663 de 1993, modificado por el artículo 23 de la Ley 797 de 2003</w:t>
            </w:r>
          </w:p>
          <w:p w14:paraId="55E4E2E5"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p>
          <w:p w14:paraId="48E148B4"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Disposiciones </w:t>
            </w:r>
            <w:r w:rsidRPr="001B705F">
              <w:rPr>
                <w:rFonts w:ascii="Tahoma" w:eastAsia="Tahoma" w:hAnsi="Tahoma" w:cs="Tahoma"/>
                <w:i/>
                <w:iCs/>
                <w:lang w:eastAsia="es-MX"/>
              </w:rPr>
              <w:lastRenderedPageBreak/>
              <w:t>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05AEEF3F"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bookmarkStart w:id="4" w:name="_Hlk109250046"/>
            <w:r w:rsidRPr="001B705F">
              <w:rPr>
                <w:rFonts w:ascii="Tahoma" w:eastAsia="Tahoma" w:hAnsi="Tahoma" w:cs="Tahoma"/>
                <w:i/>
                <w:iCs/>
                <w:lang w:eastAsia="es-MX"/>
              </w:rPr>
              <w:lastRenderedPageBreak/>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E37D62" w:rsidRPr="001B705F" w14:paraId="65CC5470"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27B52EB2"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6CCD1B4F"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Artículo </w:t>
            </w:r>
            <w:proofErr w:type="gramStart"/>
            <w:r w:rsidRPr="001B705F">
              <w:rPr>
                <w:rFonts w:ascii="Tahoma" w:eastAsia="Tahoma" w:hAnsi="Tahoma" w:cs="Tahoma"/>
                <w:i/>
                <w:iCs/>
                <w:lang w:eastAsia="es-MX"/>
              </w:rPr>
              <w:t>3.°</w:t>
            </w:r>
            <w:proofErr w:type="gramEnd"/>
            <w:r w:rsidRPr="001B705F">
              <w:rPr>
                <w:rFonts w:ascii="Tahoma" w:eastAsia="Tahoma" w:hAnsi="Tahoma" w:cs="Tahoma"/>
                <w:i/>
                <w:iCs/>
                <w:lang w:eastAsia="es-MX"/>
              </w:rPr>
              <w:t>, literal c) de la Ley 1328 de 2009</w:t>
            </w:r>
          </w:p>
          <w:p w14:paraId="139D8BD4"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p>
          <w:p w14:paraId="1E0A0DAC"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02BB482B"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E37D62" w:rsidRPr="001B705F" w14:paraId="2E22A6B7" w14:textId="77777777" w:rsidTr="00D42432">
        <w:trPr>
          <w:trHeight w:val="397"/>
        </w:trPr>
        <w:tc>
          <w:tcPr>
            <w:tcW w:w="1985" w:type="dxa"/>
            <w:tcBorders>
              <w:top w:val="single" w:sz="4" w:space="0" w:color="auto"/>
              <w:left w:val="single" w:sz="4" w:space="0" w:color="auto"/>
              <w:bottom w:val="single" w:sz="4" w:space="0" w:color="auto"/>
              <w:right w:val="single" w:sz="4" w:space="0" w:color="auto"/>
            </w:tcBorders>
            <w:hideMark/>
          </w:tcPr>
          <w:p w14:paraId="6AD03D14"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51C42ACA"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Ley 1748 de 2014</w:t>
            </w:r>
          </w:p>
          <w:p w14:paraId="6DAA7167"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p>
          <w:p w14:paraId="3ECD7D72"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 xml:space="preserve">Artículo </w:t>
            </w:r>
            <w:proofErr w:type="gramStart"/>
            <w:r w:rsidRPr="001B705F">
              <w:rPr>
                <w:rFonts w:ascii="Tahoma" w:eastAsia="Tahoma" w:hAnsi="Tahoma" w:cs="Tahoma"/>
                <w:i/>
                <w:iCs/>
                <w:lang w:eastAsia="es-MX"/>
              </w:rPr>
              <w:t>3.°</w:t>
            </w:r>
            <w:proofErr w:type="gramEnd"/>
            <w:r w:rsidRPr="001B705F">
              <w:rPr>
                <w:rFonts w:ascii="Tahoma" w:eastAsia="Tahoma" w:hAnsi="Tahoma" w:cs="Tahoma"/>
                <w:i/>
                <w:iCs/>
                <w:lang w:eastAsia="es-MX"/>
              </w:rPr>
              <w:t xml:space="preserve"> del Decreto 2071 de 2015</w:t>
            </w:r>
          </w:p>
          <w:p w14:paraId="6C525029"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p>
          <w:p w14:paraId="2CDA1541"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456E28DE" w14:textId="77777777" w:rsidR="00E37D62" w:rsidRPr="001B705F" w:rsidRDefault="00E37D62" w:rsidP="00D42432">
            <w:pPr>
              <w:widowControl w:val="0"/>
              <w:autoSpaceDE w:val="0"/>
              <w:autoSpaceDN w:val="0"/>
              <w:adjustRightInd w:val="0"/>
              <w:ind w:left="426" w:right="420"/>
              <w:rPr>
                <w:rFonts w:ascii="Tahoma" w:eastAsia="Tahoma" w:hAnsi="Tahoma" w:cs="Tahoma"/>
                <w:i/>
                <w:iCs/>
                <w:lang w:eastAsia="es-MX"/>
              </w:rPr>
            </w:pPr>
            <w:r w:rsidRPr="001B705F">
              <w:rPr>
                <w:rFonts w:ascii="Tahoma" w:eastAsia="Tahoma" w:hAnsi="Tahoma" w:cs="Tahoma"/>
                <w:i/>
                <w:iCs/>
                <w:lang w:eastAsia="es-MX"/>
              </w:rPr>
              <w:t>Junto con lo anterior, lleva inmerso el derecho a obtener asesoría de los representantes de ambos regímenes pensionales.</w:t>
            </w:r>
          </w:p>
        </w:tc>
      </w:tr>
    </w:tbl>
    <w:p w14:paraId="02627AB3"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1709CBB1"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1B705F">
        <w:rPr>
          <w:rFonts w:ascii="Tahoma" w:eastAsia="Calibri" w:hAnsi="Tahoma" w:cs="Tahoma"/>
          <w:b/>
          <w:i/>
          <w:sz w:val="22"/>
          <w:lang w:eastAsia="es-CO"/>
        </w:rPr>
        <w:t>1.4 Conclusión: La constatación del deber de información es ineludible</w:t>
      </w:r>
    </w:p>
    <w:p w14:paraId="6DD814A6"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159D22DD"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 xml:space="preserve">Según se pudo advertir del anterior recuento, </w:t>
      </w:r>
      <w:r w:rsidRPr="001B705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B705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484F23D1"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F1DF739"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5BA20791"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20938EA"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w:t>
      </w:r>
      <w:r w:rsidRPr="00553FAE">
        <w:rPr>
          <w:rFonts w:ascii="Tahoma" w:eastAsia="Calibri" w:hAnsi="Tahoma" w:cs="Tahoma"/>
          <w:i/>
          <w:sz w:val="22"/>
          <w:lang w:eastAsia="es-CO"/>
        </w:rPr>
        <w:lastRenderedPageBreak/>
        <w:t xml:space="preserve">decir, la sentencia estuvo desprovista de una adecuada investigación normativa y un discurso jurídico debidamente fundamentado”. </w:t>
      </w:r>
    </w:p>
    <w:p w14:paraId="66D950C8" w14:textId="77777777" w:rsidR="00E37D62" w:rsidRPr="00287F24"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9FCF886" w14:textId="77777777" w:rsidR="00E37D62" w:rsidRPr="001B705F" w:rsidRDefault="00E37D62" w:rsidP="00E37D6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412A82">
        <w:rPr>
          <w:rFonts w:ascii="Tahoma" w:eastAsia="Calibri" w:hAnsi="Tahoma" w:cs="Tahoma"/>
          <w:b/>
          <w:iCs/>
          <w:lang w:eastAsia="es-CO"/>
        </w:rPr>
        <w:t xml:space="preserve"> </w:t>
      </w:r>
      <w:bookmarkStart w:id="5" w:name="_Hlk109243055"/>
      <w:r w:rsidRPr="001B705F">
        <w:rPr>
          <w:rFonts w:ascii="Tahoma" w:eastAsia="Calibri" w:hAnsi="Tahoma" w:cs="Tahoma"/>
          <w:b/>
          <w:iCs/>
          <w:lang w:eastAsia="es-CO"/>
        </w:rPr>
        <w:t xml:space="preserve">“El simple consentimiento vertido en el formulario de afiliación es insuficiente – Necesidad de un consentimiento informado” </w:t>
      </w:r>
      <w:r w:rsidRPr="00AB4C1E">
        <w:rPr>
          <w:rFonts w:ascii="Tahoma" w:eastAsia="Calibri" w:hAnsi="Tahoma" w:cs="Tahoma"/>
          <w:b/>
          <w:iCs/>
          <w:vertAlign w:val="superscript"/>
          <w:lang w:eastAsia="es-CO"/>
        </w:rPr>
        <w:footnoteReference w:id="9"/>
      </w:r>
      <w:r w:rsidRPr="001B705F">
        <w:rPr>
          <w:rFonts w:ascii="Tahoma" w:eastAsia="Calibri" w:hAnsi="Tahoma" w:cs="Tahoma"/>
          <w:b/>
          <w:iCs/>
          <w:lang w:eastAsia="es-CO"/>
        </w:rPr>
        <w:t xml:space="preserve"> </w:t>
      </w:r>
    </w:p>
    <w:p w14:paraId="38D70DCA" w14:textId="77777777" w:rsidR="00E37D62" w:rsidRPr="00287F24"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D38C172" w14:textId="77777777" w:rsidR="00E37D62" w:rsidRPr="00287F24"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7561FBB1" w14:textId="77777777" w:rsidR="00E37D62" w:rsidRPr="00287F24"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B01A7DE"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1991BF26"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75EE3EF"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La Sala considera desacertada esta tesis, en la medida que la firma del formulario, al igual que las afirmaciones consignadas en los formatos </w:t>
      </w:r>
      <w:proofErr w:type="spellStart"/>
      <w:r w:rsidRPr="00553FAE">
        <w:rPr>
          <w:rFonts w:ascii="Tahoma" w:eastAsia="Calibri" w:hAnsi="Tahoma" w:cs="Tahoma"/>
          <w:i/>
          <w:sz w:val="22"/>
          <w:lang w:eastAsia="es-CO"/>
        </w:rPr>
        <w:t>preimpresos</w:t>
      </w:r>
      <w:proofErr w:type="spellEnd"/>
      <w:r w:rsidRPr="00553FAE">
        <w:rPr>
          <w:rFonts w:ascii="Tahoma" w:eastAsia="Calibri" w:hAnsi="Tahoma" w:cs="Tahoma"/>
          <w:i/>
          <w:sz w:val="22"/>
          <w:lang w:eastAsia="es-CO"/>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E5AF41B"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253970F"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3BD6FFD4"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422138A3"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Por tanto, hoy en el campo de la seguridad social, existe un verdadero e insoslayable deber de obtener un consentimiento informado (CSJ </w:t>
      </w:r>
      <w:proofErr w:type="spellStart"/>
      <w:r w:rsidRPr="00553FAE">
        <w:rPr>
          <w:rFonts w:ascii="Tahoma" w:eastAsia="Calibri" w:hAnsi="Tahoma" w:cs="Tahoma"/>
          <w:i/>
          <w:sz w:val="22"/>
          <w:lang w:eastAsia="es-CO"/>
        </w:rPr>
        <w:t>SL19447</w:t>
      </w:r>
      <w:proofErr w:type="spellEnd"/>
      <w:r w:rsidRPr="00553FAE">
        <w:rPr>
          <w:rFonts w:ascii="Tahoma" w:eastAsia="Calibri" w:hAnsi="Tahoma" w:cs="Tahoma"/>
          <w:i/>
          <w:sz w:val="22"/>
          <w:lang w:eastAsia="es-CO"/>
        </w:rPr>
        <w:t>-2017),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0F86B024" w14:textId="77777777" w:rsidR="00E37D62" w:rsidRPr="00287F24"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3D201046" w14:textId="77777777" w:rsidR="00E37D62" w:rsidRPr="00287F24"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 xml:space="preserve">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w:t>
      </w:r>
      <w:proofErr w:type="spellStart"/>
      <w:r w:rsidRPr="00287F24">
        <w:rPr>
          <w:rFonts w:ascii="Tahoma" w:eastAsia="Calibri" w:hAnsi="Tahoma" w:cs="Tahoma"/>
          <w:bCs/>
          <w:lang w:eastAsia="es-CO"/>
        </w:rPr>
        <w:t>SL12136</w:t>
      </w:r>
      <w:proofErr w:type="spellEnd"/>
      <w:r w:rsidRPr="00287F24">
        <w:rPr>
          <w:rFonts w:ascii="Tahoma" w:eastAsia="Calibri" w:hAnsi="Tahoma" w:cs="Tahoma"/>
          <w:bCs/>
          <w:lang w:eastAsia="es-CO"/>
        </w:rPr>
        <w:t>-2014 en la que se dijo lo siguiente:</w:t>
      </w:r>
    </w:p>
    <w:p w14:paraId="121D13F1" w14:textId="77777777" w:rsidR="00E37D62" w:rsidRPr="00287F24"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0092B51C"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173A9B43" w14:textId="77777777" w:rsidR="00E37D62" w:rsidRPr="00D11B68"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bookmarkEnd w:id="5"/>
    <w:p w14:paraId="3E6313A3" w14:textId="77777777" w:rsidR="00E37D62" w:rsidRPr="00D11B68" w:rsidRDefault="00E37D62" w:rsidP="00E37D6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 xml:space="preserve">Los actos de relacionamiento, </w:t>
      </w:r>
      <w:proofErr w:type="spellStart"/>
      <w:r w:rsidRPr="00D11B68">
        <w:rPr>
          <w:rFonts w:ascii="Tahoma" w:eastAsia="Calibri" w:hAnsi="Tahoma" w:cs="Tahoma"/>
          <w:b/>
          <w:bCs/>
          <w:lang w:eastAsia="es-CO"/>
        </w:rPr>
        <w:t>reasesorías</w:t>
      </w:r>
      <w:proofErr w:type="spellEnd"/>
      <w:r w:rsidRPr="00D11B68">
        <w:rPr>
          <w:rFonts w:ascii="Tahoma" w:eastAsia="Calibri" w:hAnsi="Tahoma" w:cs="Tahoma"/>
          <w:b/>
          <w:bCs/>
          <w:lang w:eastAsia="es-CO"/>
        </w:rPr>
        <w:t xml:space="preserve">,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ineficacia por la falta de información al momento del traslado al </w:t>
      </w:r>
      <w:proofErr w:type="spellStart"/>
      <w:r w:rsidRPr="00D11B68">
        <w:rPr>
          <w:rFonts w:ascii="Tahoma" w:eastAsia="Calibri" w:hAnsi="Tahoma" w:cs="Tahoma"/>
          <w:b/>
          <w:bCs/>
          <w:lang w:eastAsia="es-CO"/>
        </w:rPr>
        <w:t>RAIS</w:t>
      </w:r>
      <w:proofErr w:type="spellEnd"/>
      <w:r w:rsidRPr="00D11B68">
        <w:rPr>
          <w:rFonts w:ascii="Tahoma" w:eastAsia="Calibri" w:hAnsi="Tahoma" w:cs="Tahoma"/>
          <w:b/>
          <w:bCs/>
          <w:lang w:eastAsia="es-CO"/>
        </w:rPr>
        <w:t>.</w:t>
      </w:r>
    </w:p>
    <w:p w14:paraId="79F51F54" w14:textId="77777777" w:rsidR="00E37D62" w:rsidRPr="00D11B68" w:rsidRDefault="00E37D62" w:rsidP="00E37D62">
      <w:pPr>
        <w:pStyle w:val="Prrafodelista"/>
        <w:widowControl w:val="0"/>
        <w:autoSpaceDE w:val="0"/>
        <w:autoSpaceDN w:val="0"/>
        <w:adjustRightInd w:val="0"/>
        <w:spacing w:line="276" w:lineRule="auto"/>
        <w:ind w:left="1429"/>
        <w:rPr>
          <w:rFonts w:eastAsia="Calibri" w:cs="Tahoma"/>
          <w:b/>
          <w:bCs/>
          <w:szCs w:val="24"/>
          <w:lang w:eastAsia="es-CO"/>
        </w:rPr>
      </w:pPr>
    </w:p>
    <w:p w14:paraId="4BBFCA35" w14:textId="77777777" w:rsidR="00E37D62" w:rsidRPr="00D11B68" w:rsidRDefault="00E37D62" w:rsidP="00E37D62">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r w:rsidRPr="00D11B68">
        <w:rPr>
          <w:rFonts w:ascii="Tahoma" w:eastAsia="Calibri" w:hAnsi="Tahoma" w:cs="Tahoma"/>
          <w:bCs/>
          <w:lang w:eastAsia="es-CO"/>
        </w:rPr>
        <w:t xml:space="preserve">Además de lo anterior, ha precisado el máximo órgano de la jurisdicción ordinaria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9 sep. 2008, rad. 31989, CSJ </w:t>
      </w:r>
      <w:proofErr w:type="spellStart"/>
      <w:r w:rsidRPr="00D11B68">
        <w:rPr>
          <w:rFonts w:ascii="Tahoma" w:eastAsia="Calibri" w:hAnsi="Tahoma" w:cs="Tahoma"/>
          <w:bCs/>
          <w:lang w:eastAsia="es-CO"/>
        </w:rPr>
        <w:t>SL2877</w:t>
      </w:r>
      <w:proofErr w:type="spellEnd"/>
      <w:r w:rsidRPr="00D11B68">
        <w:rPr>
          <w:rFonts w:ascii="Tahoma" w:eastAsia="Calibri" w:hAnsi="Tahoma" w:cs="Tahoma"/>
          <w:bCs/>
          <w:lang w:eastAsia="es-CO"/>
        </w:rPr>
        <w:t xml:space="preserve">-2020, CSJ </w:t>
      </w:r>
      <w:proofErr w:type="spellStart"/>
      <w:r w:rsidRPr="00D11B68">
        <w:rPr>
          <w:rFonts w:ascii="Tahoma" w:eastAsia="Calibri" w:hAnsi="Tahoma" w:cs="Tahoma"/>
          <w:bCs/>
          <w:lang w:eastAsia="es-CO"/>
        </w:rPr>
        <w:t>SL1942</w:t>
      </w:r>
      <w:proofErr w:type="spellEnd"/>
      <w:r w:rsidRPr="00D11B68">
        <w:rPr>
          <w:rFonts w:ascii="Tahoma" w:eastAsia="Calibri" w:hAnsi="Tahoma" w:cs="Tahoma"/>
          <w:bCs/>
          <w:lang w:eastAsia="es-CO"/>
        </w:rPr>
        <w:t xml:space="preserve">-2021 y CSJ </w:t>
      </w:r>
      <w:proofErr w:type="spellStart"/>
      <w:r w:rsidRPr="00D11B68">
        <w:rPr>
          <w:rFonts w:ascii="Tahoma" w:eastAsia="Calibri" w:hAnsi="Tahoma" w:cs="Tahoma"/>
          <w:bCs/>
          <w:lang w:eastAsia="es-CO"/>
        </w:rPr>
        <w:t>SL1949</w:t>
      </w:r>
      <w:proofErr w:type="spellEnd"/>
      <w:r w:rsidRPr="00D11B68">
        <w:rPr>
          <w:rFonts w:ascii="Tahoma" w:eastAsia="Calibri" w:hAnsi="Tahoma" w:cs="Tahoma"/>
          <w:bCs/>
          <w:lang w:eastAsia="es-CO"/>
        </w:rPr>
        <w:t xml:space="preserve">-2021) que la suscripción de varios formularios de afiliación dentro del mismo </w:t>
      </w:r>
      <w:proofErr w:type="spellStart"/>
      <w:r w:rsidRPr="00D11B68">
        <w:rPr>
          <w:rFonts w:ascii="Tahoma" w:eastAsia="Calibri" w:hAnsi="Tahoma" w:cs="Tahoma"/>
          <w:bCs/>
          <w:lang w:eastAsia="es-CO"/>
        </w:rPr>
        <w:t>RAIS</w:t>
      </w:r>
      <w:proofErr w:type="spellEnd"/>
      <w:r w:rsidRPr="00D11B68">
        <w:rPr>
          <w:rFonts w:ascii="Tahoma" w:eastAsia="Calibri" w:hAnsi="Tahoma" w:cs="Tahoma"/>
          <w:bCs/>
          <w:lang w:eastAsia="es-CO"/>
        </w:rPr>
        <w:t xml:space="preserve">,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5688 de 2021</w:t>
      </w:r>
      <w:r w:rsidRPr="00D11B68">
        <w:rPr>
          <w:rStyle w:val="Refdenotaalpie"/>
          <w:rFonts w:ascii="Tahoma" w:eastAsia="Calibri" w:hAnsi="Tahoma" w:cs="Tahoma"/>
          <w:bCs/>
          <w:lang w:eastAsia="es-CO"/>
        </w:rPr>
        <w:footnoteReference w:id="10"/>
      </w:r>
      <w:r w:rsidRPr="00D11B68">
        <w:rPr>
          <w:rFonts w:ascii="Tahoma" w:eastAsia="Calibri" w:hAnsi="Tahoma" w:cs="Tahoma"/>
          <w:bCs/>
          <w:lang w:eastAsia="es-CO"/>
        </w:rPr>
        <w:t xml:space="preserve"> que memora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9 sep. 2008, rad. 31989 expuso:</w:t>
      </w:r>
    </w:p>
    <w:p w14:paraId="17BD344A" w14:textId="77777777" w:rsidR="00E37D62" w:rsidRPr="00D11B68"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508BB6FA"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1AF76239" w14:textId="77777777" w:rsidR="00E37D62" w:rsidRPr="00D11B68"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1F7FF089" w14:textId="77777777" w:rsidR="00E37D62" w:rsidRPr="00D11B68" w:rsidRDefault="00E37D62" w:rsidP="00E37D62">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 xml:space="preserve">En este orden de ideas, en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5686 de 2021</w:t>
      </w:r>
      <w:r w:rsidRPr="00D11B68">
        <w:rPr>
          <w:rStyle w:val="Refdenotaalpie"/>
          <w:rFonts w:ascii="Tahoma" w:eastAsia="Calibri" w:hAnsi="Tahoma" w:cs="Tahoma"/>
          <w:bCs/>
          <w:lang w:eastAsia="es-CO"/>
        </w:rPr>
        <w:footnoteReference w:id="11"/>
      </w:r>
      <w:r w:rsidRPr="00D11B68">
        <w:rPr>
          <w:rFonts w:ascii="Tahoma" w:eastAsia="Calibri" w:hAnsi="Tahoma" w:cs="Tahoma"/>
          <w:bCs/>
          <w:lang w:eastAsia="es-CO"/>
        </w:rPr>
        <w:t xml:space="preserve"> traída a colación en la CSJ </w:t>
      </w:r>
      <w:proofErr w:type="spellStart"/>
      <w:r w:rsidRPr="00D11B68">
        <w:rPr>
          <w:rFonts w:ascii="Tahoma" w:eastAsia="Calibri" w:hAnsi="Tahoma" w:cs="Tahoma"/>
          <w:bCs/>
          <w:lang w:eastAsia="es-CO"/>
        </w:rPr>
        <w:t>SL1926</w:t>
      </w:r>
      <w:proofErr w:type="spellEnd"/>
      <w:r w:rsidRPr="00D11B68">
        <w:rPr>
          <w:rFonts w:ascii="Tahoma" w:eastAsia="Calibri" w:hAnsi="Tahoma" w:cs="Tahoma"/>
          <w:bCs/>
          <w:lang w:eastAsia="es-CO"/>
        </w:rPr>
        <w:t>-2022</w:t>
      </w:r>
      <w:r w:rsidRPr="00D11B68">
        <w:rPr>
          <w:rStyle w:val="Refdenotaalpie"/>
          <w:rFonts w:ascii="Tahoma" w:eastAsia="Calibri" w:hAnsi="Tahoma" w:cs="Tahoma"/>
          <w:bCs/>
          <w:lang w:eastAsia="es-CO"/>
        </w:rPr>
        <w:footnoteReference w:id="12"/>
      </w:r>
      <w:r w:rsidRPr="00D11B68">
        <w:rPr>
          <w:rFonts w:ascii="Tahoma" w:eastAsia="Calibri" w:hAnsi="Tahoma" w:cs="Tahoma"/>
          <w:bCs/>
          <w:lang w:eastAsia="es-CO"/>
        </w:rPr>
        <w:t xml:space="preserve"> añadió:</w:t>
      </w:r>
    </w:p>
    <w:p w14:paraId="0A3B8AB8" w14:textId="77777777" w:rsidR="00E37D62" w:rsidRPr="00D11B68"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9456B3E"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672FFE6A"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74020FE"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El anterior criterio es el precedente vigente y en rigor de la Sala de Casación Laboral de esta Corte, y corrige cualquier otro que le sea contrario, en especial el condensado en las sentencias CSJ </w:t>
      </w:r>
      <w:proofErr w:type="spellStart"/>
      <w:r w:rsidRPr="00553FAE">
        <w:rPr>
          <w:rFonts w:ascii="Tahoma" w:eastAsia="Calibri" w:hAnsi="Tahoma" w:cs="Tahoma"/>
          <w:bCs/>
          <w:i/>
          <w:sz w:val="22"/>
          <w:lang w:val="es-ES" w:eastAsia="es-CO"/>
        </w:rPr>
        <w:t>SL3752</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SL4934</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SL1008</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SL1061</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SL2439</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SL2440</w:t>
      </w:r>
      <w:proofErr w:type="spellEnd"/>
      <w:r w:rsidRPr="00553FAE">
        <w:rPr>
          <w:rFonts w:ascii="Tahoma" w:eastAsia="Calibri" w:hAnsi="Tahoma" w:cs="Tahoma"/>
          <w:bCs/>
          <w:i/>
          <w:sz w:val="22"/>
          <w:lang w:val="es-ES" w:eastAsia="es-CO"/>
        </w:rPr>
        <w:t xml:space="preserve">-2021 y CSJ </w:t>
      </w:r>
      <w:proofErr w:type="spellStart"/>
      <w:r w:rsidRPr="00553FAE">
        <w:rPr>
          <w:rFonts w:ascii="Tahoma" w:eastAsia="Calibri" w:hAnsi="Tahoma" w:cs="Tahoma"/>
          <w:bCs/>
          <w:i/>
          <w:sz w:val="22"/>
          <w:lang w:val="es-ES" w:eastAsia="es-CO"/>
        </w:rPr>
        <w:t>SL2753</w:t>
      </w:r>
      <w:proofErr w:type="spellEnd"/>
      <w:r w:rsidRPr="00553FAE">
        <w:rPr>
          <w:rFonts w:ascii="Tahoma" w:eastAsia="Calibri" w:hAnsi="Tahoma" w:cs="Tahoma"/>
          <w:bCs/>
          <w:i/>
          <w:sz w:val="22"/>
          <w:lang w:val="es-ES" w:eastAsia="es-CO"/>
        </w:rPr>
        <w:t>-2021”.</w:t>
      </w:r>
    </w:p>
    <w:p w14:paraId="323E8D1C" w14:textId="77777777" w:rsidR="00E37D62" w:rsidRPr="00D11B68"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24B84709" w14:textId="77777777" w:rsidR="00E37D62" w:rsidRPr="00D11B68" w:rsidRDefault="00E37D62" w:rsidP="00E37D62">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 xml:space="preserve">Posteriormente, la sentencia CSJ </w:t>
      </w:r>
      <w:proofErr w:type="spellStart"/>
      <w:r w:rsidRPr="00D11B68">
        <w:rPr>
          <w:rFonts w:ascii="Tahoma" w:eastAsia="Calibri" w:hAnsi="Tahoma" w:cs="Tahoma"/>
          <w:bCs/>
          <w:lang w:eastAsia="es-CO"/>
        </w:rPr>
        <w:t>SL1055</w:t>
      </w:r>
      <w:proofErr w:type="spellEnd"/>
      <w:r w:rsidRPr="00D11B68">
        <w:rPr>
          <w:rFonts w:ascii="Tahoma" w:eastAsia="Calibri" w:hAnsi="Tahoma" w:cs="Tahoma"/>
          <w:bCs/>
          <w:lang w:eastAsia="es-CO"/>
        </w:rPr>
        <w:t xml:space="preserve"> de 2022</w:t>
      </w:r>
      <w:r w:rsidRPr="00D11B68">
        <w:rPr>
          <w:rStyle w:val="Refdenotaalpie"/>
          <w:rFonts w:ascii="Tahoma" w:eastAsia="Calibri" w:hAnsi="Tahoma" w:cs="Tahoma"/>
          <w:bCs/>
          <w:lang w:eastAsia="es-CO"/>
        </w:rPr>
        <w:footnoteReference w:id="13"/>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lastRenderedPageBreak/>
        <w:t xml:space="preserve">CSJ </w:t>
      </w:r>
      <w:proofErr w:type="spellStart"/>
      <w:r w:rsidRPr="00D11B68">
        <w:rPr>
          <w:rFonts w:ascii="Tahoma" w:eastAsia="Calibri" w:hAnsi="Tahoma" w:cs="Tahoma"/>
          <w:bCs/>
          <w:lang w:val="es-ES" w:eastAsia="es-CO"/>
        </w:rPr>
        <w:t>SL249</w:t>
      </w:r>
      <w:proofErr w:type="spellEnd"/>
      <w:r w:rsidRPr="00D11B68">
        <w:rPr>
          <w:rFonts w:ascii="Tahoma" w:eastAsia="Calibri" w:hAnsi="Tahoma" w:cs="Tahoma"/>
          <w:bCs/>
          <w:lang w:val="es-ES" w:eastAsia="es-CO"/>
        </w:rPr>
        <w:t xml:space="preserve">-2022 y </w:t>
      </w:r>
      <w:proofErr w:type="spellStart"/>
      <w:r w:rsidRPr="00D11B68">
        <w:rPr>
          <w:rFonts w:ascii="Tahoma" w:eastAsia="Calibri" w:hAnsi="Tahoma" w:cs="Tahoma"/>
          <w:bCs/>
          <w:lang w:val="es-ES" w:eastAsia="es-CO"/>
        </w:rPr>
        <w:t>SL259</w:t>
      </w:r>
      <w:proofErr w:type="spellEnd"/>
      <w:r w:rsidRPr="00D11B68">
        <w:rPr>
          <w:rFonts w:ascii="Tahoma" w:eastAsia="Calibri" w:hAnsi="Tahoma" w:cs="Tahoma"/>
          <w:bCs/>
          <w:lang w:val="es-ES" w:eastAsia="es-CO"/>
        </w:rPr>
        <w:t>-2022, y en su lugar ratificó:</w:t>
      </w:r>
    </w:p>
    <w:p w14:paraId="4C89F245" w14:textId="77777777" w:rsidR="00E37D62" w:rsidRPr="00D11B68"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63201E46"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62366222" w14:textId="77777777" w:rsidR="00E37D62" w:rsidRPr="00D11B68" w:rsidRDefault="00E37D62" w:rsidP="00E37D62">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5B5F921C" w14:textId="77777777" w:rsidR="00E37D62" w:rsidRPr="00D11B68"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 xml:space="preserve">Igual cosa se ha predicado de las </w:t>
      </w:r>
      <w:proofErr w:type="spellStart"/>
      <w:r w:rsidRPr="00D11B68">
        <w:rPr>
          <w:rFonts w:ascii="Tahoma" w:eastAsia="Calibri" w:hAnsi="Tahoma" w:cs="Tahoma"/>
          <w:bCs/>
          <w:lang w:eastAsia="es-CO"/>
        </w:rPr>
        <w:t>reasesorías</w:t>
      </w:r>
      <w:proofErr w:type="spellEnd"/>
      <w:r w:rsidRPr="00D11B68">
        <w:rPr>
          <w:rFonts w:ascii="Tahoma" w:eastAsia="Calibri" w:hAnsi="Tahoma" w:cs="Tahoma"/>
          <w:bCs/>
          <w:lang w:eastAsia="es-CO"/>
        </w:rPr>
        <w:t xml:space="preserve">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w:t>
      </w:r>
      <w:proofErr w:type="spellStart"/>
      <w:r w:rsidRPr="00D11B68">
        <w:rPr>
          <w:rFonts w:ascii="Tahoma" w:eastAsia="Calibri" w:hAnsi="Tahoma" w:cs="Tahoma"/>
          <w:lang w:eastAsia="es-CO"/>
        </w:rPr>
        <w:t>SL</w:t>
      </w:r>
      <w:proofErr w:type="spellEnd"/>
      <w:r w:rsidRPr="00D11B68">
        <w:rPr>
          <w:rFonts w:ascii="Tahoma" w:eastAsia="Calibri" w:hAnsi="Tahoma" w:cs="Tahoma"/>
          <w:lang w:eastAsia="es-CO"/>
        </w:rPr>
        <w:t xml:space="preserve"> 1688-2019, así: </w:t>
      </w:r>
    </w:p>
    <w:p w14:paraId="7C751B41" w14:textId="77777777" w:rsidR="00E37D62" w:rsidRPr="00D11B68"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33A379B6"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“Ahora, si bien la AFP brindó a la actora una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21810094"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6CFFEFDA"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primer término, porque el traslado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implicó la pérdida de los beneficios derivados de la transición al no contar la demandante con 15 años de cotización o servicios a 1 de abril de 1994. Es decir, así se hubiese trasladado la demandante al día siguiente de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de todas formas, ya había perdido la transición.</w:t>
      </w:r>
    </w:p>
    <w:p w14:paraId="31A15FFA"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16EBD550"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70630938"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22659B29"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Por otro lado, no es de recibo el planteo de Protección S.A., cuando sostiene que una vez realizó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Myriam Arroyave Henao no mostró interés en la ineficacia de la vinculación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al conservar su status de afiliada durante un tiempo, Se dice lo anterior ya que la sugerencia de Protección S.A. de regresar al </w:t>
      </w:r>
      <w:proofErr w:type="spellStart"/>
      <w:r w:rsidRPr="00553FAE">
        <w:rPr>
          <w:rFonts w:ascii="Tahoma" w:eastAsia="Calibri" w:hAnsi="Tahoma" w:cs="Tahoma"/>
          <w:bCs/>
          <w:i/>
          <w:sz w:val="22"/>
          <w:lang w:val="es-ES" w:eastAsia="es-CO"/>
        </w:rPr>
        <w:t>RPMPD</w:t>
      </w:r>
      <w:proofErr w:type="spellEnd"/>
      <w:r w:rsidRPr="00553FAE">
        <w:rPr>
          <w:rFonts w:ascii="Tahoma" w:eastAsia="Calibri" w:hAnsi="Tahoma" w:cs="Tahoma"/>
          <w:bCs/>
          <w:i/>
          <w:sz w:val="22"/>
          <w:lang w:val="es-ES" w:eastAsia="es-CO"/>
        </w:rPr>
        <w:t xml:space="preserve">, se produjo el 26 de noviembre de 2003, y el formulario para la nueva afiliación al </w:t>
      </w:r>
      <w:proofErr w:type="spellStart"/>
      <w:r w:rsidRPr="00553FAE">
        <w:rPr>
          <w:rFonts w:ascii="Tahoma" w:eastAsia="Calibri" w:hAnsi="Tahoma" w:cs="Tahoma"/>
          <w:bCs/>
          <w:i/>
          <w:sz w:val="22"/>
          <w:lang w:val="es-ES" w:eastAsia="es-CO"/>
        </w:rPr>
        <w:t>ISS</w:t>
      </w:r>
      <w:proofErr w:type="spellEnd"/>
      <w:r w:rsidRPr="00553FAE">
        <w:rPr>
          <w:rFonts w:ascii="Tahoma" w:eastAsia="Calibri" w:hAnsi="Tahoma" w:cs="Tahoma"/>
          <w:bCs/>
          <w:i/>
          <w:sz w:val="22"/>
          <w:lang w:val="es-ES" w:eastAsia="es-CO"/>
        </w:rPr>
        <w:t xml:space="preserve">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2EFE4A70" w14:textId="77777777" w:rsidR="00E37D62" w:rsidRPr="00D11B68" w:rsidRDefault="00E37D62" w:rsidP="00E37D62">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6C7A7CA8" w14:textId="77777777" w:rsidR="00E37D62" w:rsidRPr="00D11B68" w:rsidRDefault="00E37D62" w:rsidP="00E37D62">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w:t>
      </w:r>
      <w:proofErr w:type="spellStart"/>
      <w:r w:rsidRPr="00D11B68">
        <w:rPr>
          <w:rFonts w:ascii="Tahoma" w:eastAsia="Calibri" w:hAnsi="Tahoma" w:cs="Tahoma"/>
          <w:lang w:val="es-ES"/>
        </w:rPr>
        <w:t>SL</w:t>
      </w:r>
      <w:proofErr w:type="spellEnd"/>
      <w:r w:rsidRPr="00D11B68">
        <w:rPr>
          <w:rFonts w:ascii="Tahoma" w:eastAsia="Calibri" w:hAnsi="Tahoma" w:cs="Tahoma"/>
          <w:lang w:val="es-ES"/>
        </w:rPr>
        <w:t xml:space="preserve"> 4297 de 2022, la Sala laboral desde la CSJ </w:t>
      </w:r>
      <w:proofErr w:type="spellStart"/>
      <w:r w:rsidRPr="00D11B68">
        <w:rPr>
          <w:rFonts w:ascii="Tahoma" w:eastAsia="Calibri" w:hAnsi="Tahoma" w:cs="Tahoma"/>
          <w:lang w:val="es-ES"/>
        </w:rPr>
        <w:t>SL</w:t>
      </w:r>
      <w:proofErr w:type="spellEnd"/>
      <w:r w:rsidRPr="00D11B68">
        <w:rPr>
          <w:rFonts w:ascii="Tahoma" w:eastAsia="Calibri" w:hAnsi="Tahoma" w:cs="Tahoma"/>
          <w:lang w:val="es-ES"/>
        </w:rPr>
        <w:t xml:space="preserve">, 9 sep. 2008, rad. 31989 ha sostenido la siguiente regla de decisión respecto de los conocidos actos de relacionamiento: </w:t>
      </w:r>
    </w:p>
    <w:p w14:paraId="320D2E4C" w14:textId="77777777" w:rsidR="00E37D62" w:rsidRPr="00D11B68" w:rsidRDefault="00E37D62" w:rsidP="00E37D62">
      <w:pPr>
        <w:spacing w:before="0" w:beforeAutospacing="0" w:after="0" w:afterAutospacing="0" w:line="276" w:lineRule="auto"/>
        <w:ind w:firstLine="0"/>
        <w:contextualSpacing/>
        <w:rPr>
          <w:rFonts w:ascii="Tahoma" w:eastAsia="Calibri" w:hAnsi="Tahoma" w:cs="Tahoma"/>
          <w:iCs/>
          <w:lang w:val="es-ES"/>
        </w:rPr>
      </w:pPr>
    </w:p>
    <w:p w14:paraId="3EB5D76D"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611644D1" w14:textId="77777777" w:rsidR="00E37D62" w:rsidRPr="00D11B68"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2E5AE60F" w14:textId="77777777" w:rsidR="00E37D62" w:rsidRPr="00D11B68" w:rsidRDefault="00E37D62" w:rsidP="00E37D62">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lastRenderedPageBreak/>
        <w:t>Finalmente, en el mismo sentido se ha pronunciado el máximo órgano de cierre de la jurisdicción laboral, respecto a las publicaciones de prensa y extractos de la cuenta de ahorro individual, en este orden en la sentencia CSJ 1618-2022</w:t>
      </w:r>
      <w:r w:rsidRPr="00D11B68">
        <w:rPr>
          <w:rStyle w:val="Refdenotaalpie"/>
          <w:rFonts w:ascii="Tahoma" w:eastAsia="Calibri" w:hAnsi="Tahoma" w:cs="Tahoma"/>
          <w:iCs/>
          <w:lang w:val="es-ES"/>
        </w:rPr>
        <w:footnoteReference w:id="14"/>
      </w:r>
      <w:r w:rsidRPr="00D11B68">
        <w:rPr>
          <w:rFonts w:ascii="Tahoma" w:eastAsia="Calibri" w:hAnsi="Tahoma" w:cs="Tahoma"/>
          <w:iCs/>
          <w:lang w:val="es-ES"/>
        </w:rPr>
        <w:t xml:space="preserve"> precisó: </w:t>
      </w:r>
    </w:p>
    <w:p w14:paraId="7038A902" w14:textId="77777777" w:rsidR="00E37D62" w:rsidRPr="00D11B68" w:rsidRDefault="00E37D62" w:rsidP="00E37D62">
      <w:pPr>
        <w:spacing w:before="0" w:beforeAutospacing="0" w:after="0" w:afterAutospacing="0" w:line="276" w:lineRule="auto"/>
        <w:ind w:left="426" w:right="420" w:firstLine="0"/>
        <w:contextualSpacing/>
        <w:rPr>
          <w:rFonts w:ascii="Tahoma" w:eastAsia="Calibri" w:hAnsi="Tahoma" w:cs="Tahoma"/>
          <w:i/>
          <w:lang w:val="es-ES"/>
        </w:rPr>
      </w:pPr>
    </w:p>
    <w:p w14:paraId="48B8B094" w14:textId="77777777" w:rsidR="00E37D62" w:rsidRPr="00553FAE"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w:t>
      </w:r>
      <w:proofErr w:type="spellStart"/>
      <w:r w:rsidRPr="00553FAE">
        <w:rPr>
          <w:rFonts w:ascii="Tahoma" w:eastAsia="Calibri" w:hAnsi="Tahoma" w:cs="Tahoma"/>
          <w:bCs/>
          <w:i/>
          <w:sz w:val="22"/>
          <w:lang w:val="es-ES" w:eastAsia="es-CO"/>
        </w:rPr>
        <w:t>Anzola</w:t>
      </w:r>
      <w:proofErr w:type="spellEnd"/>
      <w:r w:rsidRPr="00553FAE">
        <w:rPr>
          <w:rFonts w:ascii="Tahoma" w:eastAsia="Calibri" w:hAnsi="Tahoma" w:cs="Tahoma"/>
          <w:bCs/>
          <w:i/>
          <w:sz w:val="22"/>
          <w:lang w:val="es-ES" w:eastAsia="es-CO"/>
        </w:rPr>
        <w:t>”.</w:t>
      </w:r>
    </w:p>
    <w:p w14:paraId="705B0B88" w14:textId="77777777" w:rsidR="00E37D62" w:rsidRPr="001B705F" w:rsidRDefault="00E37D62" w:rsidP="00E37D62">
      <w:pPr>
        <w:widowControl w:val="0"/>
        <w:autoSpaceDE w:val="0"/>
        <w:autoSpaceDN w:val="0"/>
        <w:adjustRightInd w:val="0"/>
        <w:spacing w:before="0" w:beforeAutospacing="0" w:after="0" w:afterAutospacing="0" w:line="276" w:lineRule="auto"/>
        <w:ind w:left="1429" w:firstLine="0"/>
        <w:rPr>
          <w:rFonts w:ascii="Tahoma" w:eastAsia="Calibri" w:hAnsi="Tahoma" w:cs="Tahoma"/>
          <w:b/>
          <w:iCs/>
          <w:lang w:eastAsia="es-CO"/>
        </w:rPr>
      </w:pPr>
    </w:p>
    <w:p w14:paraId="6FD66494" w14:textId="77777777" w:rsidR="00E37D62" w:rsidRPr="00412A82" w:rsidRDefault="00E37D62" w:rsidP="00E37D6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 xml:space="preserve"> “De la carga de la prueba – Inversión a favor del afiliado” </w:t>
      </w:r>
      <w:r w:rsidRPr="00AB4C1E">
        <w:rPr>
          <w:rFonts w:ascii="Tahoma" w:eastAsia="Calibri" w:hAnsi="Tahoma" w:cs="Tahoma"/>
          <w:b/>
          <w:iCs/>
          <w:vertAlign w:val="superscript"/>
          <w:lang w:eastAsia="es-CO"/>
        </w:rPr>
        <w:footnoteReference w:id="15"/>
      </w:r>
    </w:p>
    <w:p w14:paraId="0EDD6B7E" w14:textId="77777777" w:rsidR="00E37D62" w:rsidRPr="00412A82"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5F717FA3" w14:textId="77777777" w:rsidR="00E37D62" w:rsidRPr="001B705F"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B705F">
        <w:rPr>
          <w:rFonts w:ascii="Tahoma" w:eastAsia="Calibri" w:hAnsi="Tahoma" w:cs="Tahoma"/>
          <w:bCs/>
          <w:i/>
          <w:sz w:val="22"/>
          <w:lang w:val="es-ES" w:eastAsia="es-CO"/>
        </w:rPr>
        <w:t>la prueba de la diligencia o cuidado incumbe al que ha debido emplearlo</w:t>
      </w:r>
      <w:r w:rsidRPr="001B705F">
        <w:rPr>
          <w:rFonts w:ascii="Tahoma" w:eastAsia="Calibri" w:hAnsi="Tahoma" w:cs="Tahoma"/>
          <w:i/>
          <w:lang w:eastAsia="es-CO"/>
        </w:rPr>
        <w:t>”</w:t>
      </w:r>
      <w:r w:rsidRPr="001B705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203A7944" w14:textId="77777777" w:rsidR="00E37D62" w:rsidRPr="001B705F"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E4AF280"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1C461FAC"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939D709"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4AFB4E09"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5ED79FA"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226D22F8"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FE351F2"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5ECB8030"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0019205"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174BA8D4"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C988CC7"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135D9E3D"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98C4BE0"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66478F50" w14:textId="77777777" w:rsidR="00E37D62" w:rsidRPr="001B705F" w:rsidRDefault="00E37D62" w:rsidP="00E37D6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251E014" w14:textId="77777777" w:rsidR="00E37D62" w:rsidRPr="00AB4C1E" w:rsidRDefault="00E37D62" w:rsidP="00E37D62">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AB4C1E">
        <w:rPr>
          <w:rFonts w:ascii="Tahoma" w:eastAsia="Calibri" w:hAnsi="Tahoma" w:cs="Tahoma"/>
          <w:b/>
          <w:iCs/>
          <w:lang w:eastAsia="es-CO"/>
        </w:rPr>
        <w:t>Consecuencias de la declaratoria de la ineficacia del traslado de régimen pensional.</w:t>
      </w:r>
    </w:p>
    <w:p w14:paraId="7A0E4E4E" w14:textId="77777777" w:rsidR="00E37D62" w:rsidRPr="00412A82" w:rsidRDefault="00E37D62" w:rsidP="00E37D62">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11DF0DE2" w14:textId="77777777" w:rsidR="00E37D62" w:rsidRPr="001B705F"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 xml:space="preserve">Al efecto, la Sala de Casación Laboral de la Corte Suprema de Justicia precisó en las sentencias CSJ </w:t>
      </w:r>
      <w:proofErr w:type="spellStart"/>
      <w:r w:rsidRPr="001B705F">
        <w:rPr>
          <w:rFonts w:ascii="Tahoma" w:eastAsia="Calibri" w:hAnsi="Tahoma" w:cs="Tahoma"/>
          <w:lang w:eastAsia="es-CO"/>
        </w:rPr>
        <w:t>SL</w:t>
      </w:r>
      <w:proofErr w:type="spellEnd"/>
      <w:r w:rsidRPr="001B705F">
        <w:rPr>
          <w:rFonts w:ascii="Tahoma" w:eastAsia="Calibri" w:hAnsi="Tahoma" w:cs="Tahoma"/>
          <w:lang w:eastAsia="es-CO"/>
        </w:rPr>
        <w:t xml:space="preserve"> 4297-2022, </w:t>
      </w:r>
      <w:r w:rsidRPr="001B705F">
        <w:rPr>
          <w:rFonts w:ascii="Tahoma" w:eastAsia="Calibri" w:hAnsi="Tahoma" w:cs="Tahoma"/>
          <w:lang w:val="es-ES" w:eastAsia="es-CO"/>
        </w:rPr>
        <w:t xml:space="preserve">CSJ </w:t>
      </w:r>
      <w:proofErr w:type="spellStart"/>
      <w:r w:rsidRPr="001B705F">
        <w:rPr>
          <w:rFonts w:ascii="Tahoma" w:eastAsia="Calibri" w:hAnsi="Tahoma" w:cs="Tahoma"/>
          <w:lang w:val="es-ES" w:eastAsia="es-CO"/>
        </w:rPr>
        <w:t>SL3871</w:t>
      </w:r>
      <w:proofErr w:type="spellEnd"/>
      <w:r w:rsidRPr="001B705F">
        <w:rPr>
          <w:rFonts w:ascii="Tahoma" w:eastAsia="Calibri" w:hAnsi="Tahoma" w:cs="Tahoma"/>
          <w:lang w:val="es-ES" w:eastAsia="es-CO"/>
        </w:rPr>
        <w:t xml:space="preserve">-2021,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3611-2021, CSJ </w:t>
      </w:r>
      <w:proofErr w:type="spellStart"/>
      <w:r w:rsidRPr="001B705F">
        <w:rPr>
          <w:rFonts w:ascii="Tahoma" w:eastAsia="Calibri" w:hAnsi="Tahoma" w:cs="Tahoma"/>
          <w:lang w:val="es-ES" w:eastAsia="es-CO"/>
        </w:rPr>
        <w:t>SL3537</w:t>
      </w:r>
      <w:proofErr w:type="spellEnd"/>
      <w:r w:rsidRPr="001B705F">
        <w:rPr>
          <w:rFonts w:ascii="Tahoma" w:eastAsia="Calibri" w:hAnsi="Tahoma" w:cs="Tahoma"/>
          <w:lang w:val="es-ES" w:eastAsia="es-CO"/>
        </w:rPr>
        <w:t xml:space="preserve">-2021 </w:t>
      </w:r>
      <w:r w:rsidRPr="001B705F">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35246135" w14:textId="77777777" w:rsidR="00E37D62" w:rsidRPr="001B705F"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4FB1FA61" w14:textId="77777777" w:rsidR="00E37D62" w:rsidRPr="001B705F"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B705F">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79DF4A0E" w14:textId="77777777" w:rsidR="00E37D62" w:rsidRPr="001B705F"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0628EDBB" w14:textId="77777777" w:rsidR="00E37D62" w:rsidRPr="001B705F"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1B705F">
        <w:rPr>
          <w:rFonts w:ascii="Tahoma" w:eastAsia="Calibri" w:hAnsi="Tahoma" w:cs="Tahoma"/>
          <w:lang w:eastAsia="es-CO"/>
        </w:rPr>
        <w:t xml:space="preserve">Con base en lo anterior, el máximo órgano de cierre de la jurisdicción laboral declaró, entre otras, en las sentencias CSJ </w:t>
      </w:r>
      <w:proofErr w:type="spellStart"/>
      <w:r w:rsidRPr="001B705F">
        <w:rPr>
          <w:rFonts w:ascii="Tahoma" w:eastAsia="Calibri" w:hAnsi="Tahoma" w:cs="Tahoma"/>
          <w:lang w:val="es-ES" w:eastAsia="es-CO"/>
        </w:rPr>
        <w:t>SL1084</w:t>
      </w:r>
      <w:proofErr w:type="spellEnd"/>
      <w:r w:rsidRPr="001B705F">
        <w:rPr>
          <w:rFonts w:ascii="Tahoma" w:eastAsia="Calibri" w:hAnsi="Tahoma" w:cs="Tahoma"/>
          <w:lang w:val="es-ES" w:eastAsia="es-CO"/>
        </w:rPr>
        <w:t xml:space="preserve">-2023,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932-2023,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4297-2022, CSJ </w:t>
      </w:r>
      <w:proofErr w:type="spellStart"/>
      <w:r w:rsidRPr="001B705F">
        <w:rPr>
          <w:rFonts w:ascii="Tahoma" w:eastAsia="Calibri" w:hAnsi="Tahoma" w:cs="Tahoma"/>
          <w:lang w:val="es-ES" w:eastAsia="es-CO"/>
        </w:rPr>
        <w:t>SL3465</w:t>
      </w:r>
      <w:proofErr w:type="spellEnd"/>
      <w:r w:rsidRPr="001B705F">
        <w:rPr>
          <w:rFonts w:ascii="Tahoma" w:eastAsia="Calibri" w:hAnsi="Tahoma" w:cs="Tahoma"/>
          <w:lang w:val="es-ES" w:eastAsia="es-CO"/>
        </w:rPr>
        <w:t xml:space="preserve">-2022, CSJ </w:t>
      </w:r>
      <w:proofErr w:type="spellStart"/>
      <w:r w:rsidRPr="001B705F">
        <w:rPr>
          <w:rFonts w:ascii="Tahoma" w:eastAsia="Calibri" w:hAnsi="Tahoma" w:cs="Tahoma"/>
          <w:lang w:val="es-ES" w:eastAsia="es-CO"/>
        </w:rPr>
        <w:t>SL2229</w:t>
      </w:r>
      <w:proofErr w:type="spellEnd"/>
      <w:r w:rsidRPr="001B705F">
        <w:rPr>
          <w:rFonts w:ascii="Tahoma" w:eastAsia="Calibri" w:hAnsi="Tahoma" w:cs="Tahoma"/>
          <w:lang w:val="es-ES" w:eastAsia="es-CO"/>
        </w:rPr>
        <w:t xml:space="preserve">-2022 y CSJ </w:t>
      </w:r>
      <w:proofErr w:type="spellStart"/>
      <w:r w:rsidRPr="001B705F">
        <w:rPr>
          <w:rFonts w:ascii="Tahoma" w:eastAsia="Calibri" w:hAnsi="Tahoma" w:cs="Tahoma"/>
          <w:lang w:val="es-ES" w:eastAsia="es-CO"/>
        </w:rPr>
        <w:t>SL3188</w:t>
      </w:r>
      <w:proofErr w:type="spellEnd"/>
      <w:r w:rsidRPr="001B705F">
        <w:rPr>
          <w:rFonts w:ascii="Tahoma" w:eastAsia="Calibri" w:hAnsi="Tahoma" w:cs="Tahoma"/>
          <w:lang w:val="es-ES" w:eastAsia="es-CO"/>
        </w:rPr>
        <w:t xml:space="preserve">-2022 que la ineficacia del traslado no solo acarrea la obligación de trasladar </w:t>
      </w:r>
      <w:r w:rsidRPr="001B705F">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6B34CF1C" w14:textId="77777777" w:rsidR="00E37D62" w:rsidRPr="001B705F" w:rsidRDefault="00E37D62" w:rsidP="00E37D62">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63FA5D81"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16E21347"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7A0A5678" w14:textId="77777777" w:rsidR="00E37D62" w:rsidRPr="001B705F" w:rsidRDefault="00E37D62" w:rsidP="00E37D62">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lastRenderedPageBreak/>
        <w:t xml:space="preserve">Asimismo, al momento de cumplirse esta orden, tales valores deberán aparecer discriminados con sus respectivos montos, junto con el detalle pormenorizado de los ciclos, </w:t>
      </w:r>
      <w:proofErr w:type="spellStart"/>
      <w:r w:rsidRPr="001B705F">
        <w:rPr>
          <w:rFonts w:ascii="Tahoma" w:eastAsia="Calibri" w:hAnsi="Tahoma" w:cs="Tahoma"/>
          <w:bCs/>
          <w:i/>
          <w:sz w:val="22"/>
          <w:lang w:val="es-ES" w:eastAsia="es-CO"/>
        </w:rPr>
        <w:t>IBC</w:t>
      </w:r>
      <w:proofErr w:type="spellEnd"/>
      <w:r w:rsidRPr="001B705F">
        <w:rPr>
          <w:rFonts w:ascii="Tahoma" w:eastAsia="Calibri" w:hAnsi="Tahoma" w:cs="Tahoma"/>
          <w:bCs/>
          <w:i/>
          <w:sz w:val="22"/>
          <w:lang w:val="es-ES" w:eastAsia="es-CO"/>
        </w:rPr>
        <w:t>, aportes y demás información relevante que los justifiquen”.</w:t>
      </w:r>
    </w:p>
    <w:p w14:paraId="168DAAF4" w14:textId="77777777" w:rsidR="00BE095E" w:rsidRPr="00A13BFF" w:rsidRDefault="00BE095E" w:rsidP="0087273B">
      <w:pPr>
        <w:widowControl w:val="0"/>
        <w:autoSpaceDE w:val="0"/>
        <w:autoSpaceDN w:val="0"/>
        <w:adjustRightInd w:val="0"/>
        <w:spacing w:before="0" w:beforeAutospacing="0" w:after="0" w:afterAutospacing="0" w:line="276" w:lineRule="auto"/>
        <w:ind w:firstLine="284"/>
        <w:rPr>
          <w:rFonts w:ascii="Tahoma" w:eastAsia="Calibri" w:hAnsi="Tahoma" w:cs="Tahoma"/>
          <w:b/>
          <w:lang w:val="es-ES" w:eastAsia="es-CO"/>
        </w:rPr>
      </w:pPr>
    </w:p>
    <w:p w14:paraId="653CDEF3" w14:textId="3FFDCC6B" w:rsidR="00400EE6" w:rsidRPr="0087273B" w:rsidRDefault="008C3C1E" w:rsidP="00A13BFF">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87273B">
        <w:rPr>
          <w:rFonts w:ascii="Tahoma" w:eastAsia="Calibri" w:hAnsi="Tahoma" w:cs="Tahoma"/>
          <w:b/>
          <w:lang w:eastAsia="es-CO"/>
        </w:rPr>
        <w:t>Caso concreto</w:t>
      </w:r>
    </w:p>
    <w:p w14:paraId="0F0AE9B1" w14:textId="77777777" w:rsidR="00400EE6" w:rsidRPr="0087273B" w:rsidRDefault="00400EE6" w:rsidP="00A13BFF">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6B41FC3F" w14:textId="667FDF10" w:rsidR="00400EE6" w:rsidRPr="0087273B" w:rsidRDefault="00400EE6" w:rsidP="0087273B">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7273B">
        <w:rPr>
          <w:rFonts w:ascii="Tahoma" w:eastAsia="Calibri" w:hAnsi="Tahoma" w:cs="Tahoma"/>
          <w:lang w:eastAsia="es-CO"/>
        </w:rPr>
        <w:t xml:space="preserve">Se pretende por esta vía ordinaria que se declare la ineficacia del traslado del régimen de prima media con prestación definida al de ahorro individual con solidaridad, que </w:t>
      </w:r>
      <w:r w:rsidR="26D45226" w:rsidRPr="0087273B">
        <w:rPr>
          <w:rFonts w:ascii="Tahoma" w:eastAsia="Calibri" w:hAnsi="Tahoma" w:cs="Tahoma"/>
          <w:lang w:eastAsia="es-CO"/>
        </w:rPr>
        <w:t xml:space="preserve">según se definió en primera instancia, </w:t>
      </w:r>
      <w:r w:rsidRPr="0087273B">
        <w:rPr>
          <w:rFonts w:ascii="Tahoma" w:eastAsia="Calibri" w:hAnsi="Tahoma" w:cs="Tahoma"/>
          <w:lang w:eastAsia="es-CO"/>
        </w:rPr>
        <w:t xml:space="preserve">realizó la actora a través de </w:t>
      </w:r>
      <w:proofErr w:type="spellStart"/>
      <w:r w:rsidR="00B27897" w:rsidRPr="0087273B">
        <w:rPr>
          <w:rFonts w:ascii="Tahoma" w:eastAsia="Calibri" w:hAnsi="Tahoma" w:cs="Tahoma"/>
          <w:lang w:eastAsia="es-CO"/>
        </w:rPr>
        <w:t>Colfondos</w:t>
      </w:r>
      <w:proofErr w:type="spellEnd"/>
      <w:r w:rsidR="00B27897" w:rsidRPr="0087273B">
        <w:rPr>
          <w:rFonts w:ascii="Tahoma" w:eastAsia="Calibri" w:hAnsi="Tahoma" w:cs="Tahoma"/>
          <w:lang w:eastAsia="es-CO"/>
        </w:rPr>
        <w:t xml:space="preserve"> S.A. </w:t>
      </w:r>
      <w:r w:rsidRPr="0087273B">
        <w:rPr>
          <w:rFonts w:ascii="Tahoma" w:eastAsia="Calibri" w:hAnsi="Tahoma" w:cs="Tahoma"/>
          <w:lang w:eastAsia="es-CO"/>
        </w:rPr>
        <w:t>el</w:t>
      </w:r>
      <w:r w:rsidR="00E078FB" w:rsidRPr="0087273B">
        <w:rPr>
          <w:rFonts w:ascii="Tahoma" w:eastAsia="Calibri" w:hAnsi="Tahoma" w:cs="Tahoma"/>
          <w:lang w:eastAsia="es-CO"/>
        </w:rPr>
        <w:t xml:space="preserve"> 2 de agosto de </w:t>
      </w:r>
      <w:r w:rsidR="002B6705" w:rsidRPr="0087273B">
        <w:rPr>
          <w:rFonts w:ascii="Tahoma" w:eastAsia="Calibri" w:hAnsi="Tahoma" w:cs="Tahoma"/>
          <w:lang w:eastAsia="es-CO"/>
        </w:rPr>
        <w:t>1994</w:t>
      </w:r>
      <w:r w:rsidRPr="0087273B">
        <w:rPr>
          <w:rFonts w:ascii="Tahoma" w:eastAsia="Calibri" w:hAnsi="Tahoma" w:cs="Tahoma"/>
          <w:lang w:eastAsia="es-CO"/>
        </w:rPr>
        <w:t xml:space="preserve">, efectivo a partir 01 de </w:t>
      </w:r>
      <w:r w:rsidR="007C345D" w:rsidRPr="0087273B">
        <w:rPr>
          <w:rFonts w:ascii="Tahoma" w:eastAsia="Calibri" w:hAnsi="Tahoma" w:cs="Tahoma"/>
          <w:lang w:eastAsia="es-CO"/>
        </w:rPr>
        <w:t>septiembre</w:t>
      </w:r>
      <w:r w:rsidRPr="0087273B">
        <w:rPr>
          <w:rFonts w:ascii="Tahoma" w:eastAsia="Calibri" w:hAnsi="Tahoma" w:cs="Tahoma"/>
          <w:lang w:eastAsia="es-CO"/>
        </w:rPr>
        <w:t xml:space="preserve"> del mismo año, y en consecuencia, </w:t>
      </w:r>
      <w:r w:rsidR="00B27897" w:rsidRPr="0087273B">
        <w:rPr>
          <w:rFonts w:ascii="Tahoma" w:eastAsia="Calibri" w:hAnsi="Tahoma" w:cs="Tahoma"/>
          <w:lang w:eastAsia="es-CO"/>
        </w:rPr>
        <w:t>los realizados a Horizonte, hoy Porvenir S.A. el 6 de julio de 1998</w:t>
      </w:r>
      <w:r w:rsidR="00B27897" w:rsidRPr="0087273B">
        <w:rPr>
          <w:rStyle w:val="Refdenotaalpie"/>
          <w:rFonts w:ascii="Tahoma" w:eastAsia="Calibri" w:hAnsi="Tahoma" w:cs="Tahoma"/>
          <w:lang w:eastAsia="es-CO"/>
        </w:rPr>
        <w:footnoteReference w:id="16"/>
      </w:r>
      <w:r w:rsidR="00B27897" w:rsidRPr="0087273B">
        <w:rPr>
          <w:rFonts w:ascii="Tahoma" w:eastAsia="Calibri" w:hAnsi="Tahoma" w:cs="Tahoma"/>
          <w:lang w:eastAsia="es-CO"/>
        </w:rPr>
        <w:t>, efectivo a partir de</w:t>
      </w:r>
      <w:r w:rsidR="007C345D" w:rsidRPr="0087273B">
        <w:rPr>
          <w:rFonts w:ascii="Tahoma" w:eastAsia="Calibri" w:hAnsi="Tahoma" w:cs="Tahoma"/>
          <w:lang w:eastAsia="es-CO"/>
        </w:rPr>
        <w:t xml:space="preserve">l 1 de septiembre de 1998; </w:t>
      </w:r>
      <w:r w:rsidRPr="0087273B">
        <w:rPr>
          <w:rFonts w:ascii="Tahoma" w:eastAsia="Calibri" w:hAnsi="Tahoma" w:cs="Tahoma"/>
          <w:lang w:eastAsia="es-CO"/>
        </w:rPr>
        <w:t xml:space="preserve">a </w:t>
      </w:r>
      <w:proofErr w:type="spellStart"/>
      <w:r w:rsidR="00CC0990" w:rsidRPr="0087273B">
        <w:rPr>
          <w:rFonts w:ascii="Tahoma" w:eastAsia="Calibri" w:hAnsi="Tahoma" w:cs="Tahoma"/>
          <w:lang w:eastAsia="es-CO"/>
        </w:rPr>
        <w:t>Skandia</w:t>
      </w:r>
      <w:proofErr w:type="spellEnd"/>
      <w:r w:rsidR="00CC0990" w:rsidRPr="0087273B">
        <w:rPr>
          <w:rFonts w:ascii="Tahoma" w:eastAsia="Calibri" w:hAnsi="Tahoma" w:cs="Tahoma"/>
          <w:lang w:eastAsia="es-CO"/>
        </w:rPr>
        <w:t xml:space="preserve"> </w:t>
      </w:r>
      <w:r w:rsidR="000B4FB6">
        <w:rPr>
          <w:rFonts w:ascii="Tahoma" w:eastAsia="Calibri" w:hAnsi="Tahoma" w:cs="Tahoma"/>
          <w:lang w:eastAsia="es-CO"/>
        </w:rPr>
        <w:t xml:space="preserve">S.A. </w:t>
      </w:r>
      <w:r w:rsidR="00CC0990" w:rsidRPr="0087273B">
        <w:rPr>
          <w:rFonts w:ascii="Tahoma" w:eastAsia="Calibri" w:hAnsi="Tahoma" w:cs="Tahoma"/>
          <w:lang w:eastAsia="es-CO"/>
        </w:rPr>
        <w:t>el 19 de septiembre de 2007</w:t>
      </w:r>
      <w:r w:rsidR="00CC3FD8" w:rsidRPr="0087273B">
        <w:rPr>
          <w:rStyle w:val="Refdenotaalpie"/>
          <w:rFonts w:ascii="Tahoma" w:eastAsia="Calibri" w:hAnsi="Tahoma" w:cs="Tahoma"/>
          <w:lang w:eastAsia="es-CO"/>
        </w:rPr>
        <w:footnoteReference w:id="17"/>
      </w:r>
      <w:r w:rsidRPr="0087273B">
        <w:rPr>
          <w:rFonts w:ascii="Tahoma" w:eastAsia="Calibri" w:hAnsi="Tahoma" w:cs="Tahoma"/>
          <w:lang w:eastAsia="es-CO"/>
        </w:rPr>
        <w:t>,</w:t>
      </w:r>
      <w:r w:rsidR="00AB0723" w:rsidRPr="0087273B">
        <w:rPr>
          <w:rFonts w:ascii="Tahoma" w:eastAsia="Calibri" w:hAnsi="Tahoma" w:cs="Tahoma"/>
          <w:lang w:eastAsia="es-CO"/>
        </w:rPr>
        <w:t xml:space="preserve"> efectivo a partir del 1 de noviembre de 2007</w:t>
      </w:r>
      <w:r w:rsidR="002730BF" w:rsidRPr="0087273B">
        <w:rPr>
          <w:rStyle w:val="Refdenotaalpie"/>
          <w:rFonts w:ascii="Tahoma" w:eastAsia="Calibri" w:hAnsi="Tahoma" w:cs="Tahoma"/>
          <w:lang w:eastAsia="es-CO"/>
        </w:rPr>
        <w:footnoteReference w:id="18"/>
      </w:r>
      <w:r w:rsidR="007C345D" w:rsidRPr="0087273B">
        <w:rPr>
          <w:rFonts w:ascii="Tahoma" w:eastAsia="Calibri" w:hAnsi="Tahoma" w:cs="Tahoma"/>
          <w:lang w:eastAsia="es-CO"/>
        </w:rPr>
        <w:t>;</w:t>
      </w:r>
      <w:r w:rsidRPr="0087273B">
        <w:rPr>
          <w:rFonts w:ascii="Tahoma" w:eastAsia="Calibri" w:hAnsi="Tahoma" w:cs="Tahoma"/>
          <w:lang w:eastAsia="es-CO"/>
        </w:rPr>
        <w:t xml:space="preserve"> </w:t>
      </w:r>
      <w:r w:rsidR="00DA0B25" w:rsidRPr="0087273B">
        <w:rPr>
          <w:rFonts w:ascii="Tahoma" w:eastAsia="Calibri" w:hAnsi="Tahoma" w:cs="Tahoma"/>
          <w:lang w:eastAsia="es-CO"/>
        </w:rPr>
        <w:t>y por último, retornó a Porvenir el 01 de octubre de 2012</w:t>
      </w:r>
      <w:r w:rsidR="004D55F5" w:rsidRPr="0087273B">
        <w:rPr>
          <w:rStyle w:val="Refdenotaalpie"/>
          <w:rFonts w:ascii="Tahoma" w:eastAsia="Calibri" w:hAnsi="Tahoma" w:cs="Tahoma"/>
          <w:lang w:eastAsia="es-CO"/>
        </w:rPr>
        <w:footnoteReference w:id="19"/>
      </w:r>
      <w:r w:rsidR="00DA0B25" w:rsidRPr="0087273B">
        <w:rPr>
          <w:rFonts w:ascii="Tahoma" w:eastAsia="Calibri" w:hAnsi="Tahoma" w:cs="Tahoma"/>
          <w:lang w:eastAsia="es-CO"/>
        </w:rPr>
        <w:t xml:space="preserve">, efectivo a partir del 1 de diciembre de 2012, </w:t>
      </w:r>
      <w:r w:rsidRPr="0087273B">
        <w:rPr>
          <w:rFonts w:ascii="Tahoma" w:eastAsia="Calibri" w:hAnsi="Tahoma" w:cs="Tahoma"/>
          <w:lang w:eastAsia="es-CO"/>
        </w:rPr>
        <w:t>según se desprende de</w:t>
      </w:r>
      <w:r w:rsidR="00DA0B25" w:rsidRPr="0087273B">
        <w:rPr>
          <w:rFonts w:ascii="Tahoma" w:eastAsia="Calibri" w:hAnsi="Tahoma" w:cs="Tahoma"/>
          <w:lang w:eastAsia="es-CO"/>
        </w:rPr>
        <w:t xml:space="preserve"> los formularios de vinculació</w:t>
      </w:r>
      <w:r w:rsidR="00DA4A85" w:rsidRPr="0087273B">
        <w:rPr>
          <w:rFonts w:ascii="Tahoma" w:eastAsia="Calibri" w:hAnsi="Tahoma" w:cs="Tahoma"/>
          <w:lang w:eastAsia="es-CO"/>
        </w:rPr>
        <w:t xml:space="preserve">n y </w:t>
      </w:r>
      <w:r w:rsidR="004D55F5" w:rsidRPr="0087273B">
        <w:rPr>
          <w:rFonts w:ascii="Tahoma" w:eastAsia="Calibri" w:hAnsi="Tahoma" w:cs="Tahoma"/>
          <w:lang w:eastAsia="es-CO"/>
        </w:rPr>
        <w:t>certificados emitidos por las respectivas administradoras</w:t>
      </w:r>
      <w:r w:rsidR="00DA4A85" w:rsidRPr="0087273B">
        <w:rPr>
          <w:rFonts w:ascii="Tahoma" w:eastAsia="Calibri" w:hAnsi="Tahoma" w:cs="Tahoma"/>
          <w:lang w:eastAsia="es-CO"/>
        </w:rPr>
        <w:t xml:space="preserve">, </w:t>
      </w:r>
      <w:r w:rsidR="00620C66" w:rsidRPr="0087273B">
        <w:rPr>
          <w:rFonts w:ascii="Tahoma" w:eastAsia="Calibri" w:hAnsi="Tahoma" w:cs="Tahoma"/>
          <w:lang w:eastAsia="es-CO"/>
        </w:rPr>
        <w:t xml:space="preserve">y se corrobora en el </w:t>
      </w:r>
      <w:r w:rsidRPr="0087273B">
        <w:rPr>
          <w:rFonts w:ascii="Tahoma" w:eastAsia="Calibri" w:hAnsi="Tahoma" w:cs="Tahoma"/>
          <w:lang w:eastAsia="es-CO"/>
        </w:rPr>
        <w:t>historial de vinculaciones</w:t>
      </w:r>
      <w:r w:rsidRPr="0087273B">
        <w:rPr>
          <w:rFonts w:ascii="Tahoma" w:eastAsia="Calibri" w:hAnsi="Tahoma" w:cs="Tahoma"/>
          <w:vertAlign w:val="superscript"/>
          <w:lang w:eastAsia="es-CO"/>
        </w:rPr>
        <w:footnoteReference w:id="20"/>
      </w:r>
      <w:r w:rsidRPr="0087273B">
        <w:rPr>
          <w:rFonts w:ascii="Tahoma" w:eastAsia="Calibri" w:hAnsi="Tahoma" w:cs="Tahoma"/>
          <w:lang w:eastAsia="es-CO"/>
        </w:rPr>
        <w:t>, dada la omisión de información clara y precisa, que ha debido brindarle la AFP a la parte actora en orden a conocer las condiciones y consecuencias de migración de régimen.</w:t>
      </w:r>
    </w:p>
    <w:p w14:paraId="5EFB2C1A" w14:textId="671965F6" w:rsidR="46C8673D" w:rsidRPr="0087273B" w:rsidRDefault="46C8673D" w:rsidP="0087273B">
      <w:pPr>
        <w:widowControl w:val="0"/>
        <w:spacing w:before="0" w:beforeAutospacing="0" w:after="0" w:afterAutospacing="0" w:line="276" w:lineRule="auto"/>
        <w:ind w:firstLine="708"/>
        <w:rPr>
          <w:rFonts w:ascii="Tahoma" w:eastAsia="Calibri" w:hAnsi="Tahoma" w:cs="Tahoma"/>
          <w:lang w:eastAsia="es-CO"/>
        </w:rPr>
      </w:pPr>
    </w:p>
    <w:p w14:paraId="05D5D90C" w14:textId="7EF3556A" w:rsidR="6AE5A291" w:rsidRPr="0087273B" w:rsidRDefault="6AE5A291" w:rsidP="0087273B">
      <w:pPr>
        <w:widowControl w:val="0"/>
        <w:spacing w:before="0" w:beforeAutospacing="0" w:after="0" w:afterAutospacing="0" w:line="276" w:lineRule="auto"/>
        <w:ind w:firstLine="708"/>
        <w:rPr>
          <w:rFonts w:ascii="Tahoma" w:eastAsia="Calibri" w:hAnsi="Tahoma" w:cs="Tahoma"/>
          <w:lang w:eastAsia="es-CO"/>
        </w:rPr>
      </w:pPr>
      <w:r w:rsidRPr="0087273B">
        <w:rPr>
          <w:rFonts w:ascii="Tahoma" w:eastAsia="Calibri" w:hAnsi="Tahoma" w:cs="Tahoma"/>
          <w:lang w:eastAsia="es-CO"/>
        </w:rPr>
        <w:t xml:space="preserve">Cabe advertir que, en el caso de marras, el litigio no se instauró en contra de Colfondos S.A., sin embargo, </w:t>
      </w:r>
      <w:r w:rsidR="22DE046D" w:rsidRPr="0087273B">
        <w:rPr>
          <w:rFonts w:ascii="Tahoma" w:eastAsia="Calibri" w:hAnsi="Tahoma" w:cs="Tahoma"/>
          <w:lang w:eastAsia="es-CO"/>
        </w:rPr>
        <w:t xml:space="preserve">al ser vinculado a juicio como litisconsorte necesario, las manifestaciones realizadas en la contestación a modo de confesión, al tenor del artículo </w:t>
      </w:r>
      <w:r w:rsidR="75E77C5F" w:rsidRPr="0087273B">
        <w:rPr>
          <w:rFonts w:ascii="Tahoma" w:eastAsia="Calibri" w:hAnsi="Tahoma" w:cs="Tahoma"/>
          <w:lang w:eastAsia="es-CO"/>
        </w:rPr>
        <w:t>192 del Código General del Proceso, debían ser valoradas como testimonio de un tercero</w:t>
      </w:r>
      <w:r w:rsidR="13DED42A" w:rsidRPr="0087273B">
        <w:rPr>
          <w:rFonts w:ascii="Tahoma" w:eastAsia="Calibri" w:hAnsi="Tahoma" w:cs="Tahoma"/>
          <w:lang w:eastAsia="es-CO"/>
        </w:rPr>
        <w:t>. Al respecto, en el primer acto que ató a</w:t>
      </w:r>
      <w:r w:rsidR="4FCD83BE" w:rsidRPr="0087273B">
        <w:rPr>
          <w:rFonts w:ascii="Tahoma" w:eastAsia="Calibri" w:hAnsi="Tahoma" w:cs="Tahoma"/>
          <w:lang w:eastAsia="es-CO"/>
        </w:rPr>
        <w:t xml:space="preserve"> Colfondos al </w:t>
      </w:r>
      <w:r w:rsidR="13DED42A" w:rsidRPr="0087273B">
        <w:rPr>
          <w:rFonts w:ascii="Tahoma" w:eastAsia="Calibri" w:hAnsi="Tahoma" w:cs="Tahoma"/>
          <w:lang w:eastAsia="es-CO"/>
        </w:rPr>
        <w:t xml:space="preserve">litigio, </w:t>
      </w:r>
      <w:r w:rsidR="509EAB8E" w:rsidRPr="0087273B">
        <w:rPr>
          <w:rFonts w:ascii="Tahoma" w:eastAsia="Calibri" w:hAnsi="Tahoma" w:cs="Tahoma"/>
          <w:lang w:eastAsia="es-CO"/>
        </w:rPr>
        <w:t>en el acápite denominado “</w:t>
      </w:r>
      <w:r w:rsidR="509EAB8E" w:rsidRPr="00A13BFF">
        <w:rPr>
          <w:rFonts w:ascii="Tahoma" w:eastAsia="Calibri" w:hAnsi="Tahoma" w:cs="Tahoma"/>
          <w:sz w:val="22"/>
          <w:lang w:eastAsia="es-CO"/>
        </w:rPr>
        <w:t>hechos y razones de la defensa</w:t>
      </w:r>
      <w:r w:rsidR="509EAB8E" w:rsidRPr="0087273B">
        <w:rPr>
          <w:rFonts w:ascii="Tahoma" w:eastAsia="Calibri" w:hAnsi="Tahoma" w:cs="Tahoma"/>
          <w:lang w:eastAsia="es-CO"/>
        </w:rPr>
        <w:t>”</w:t>
      </w:r>
      <w:r w:rsidR="3FD42851" w:rsidRPr="0087273B">
        <w:rPr>
          <w:rFonts w:ascii="Tahoma" w:eastAsia="Calibri" w:hAnsi="Tahoma" w:cs="Tahoma"/>
          <w:lang w:eastAsia="es-CO"/>
        </w:rPr>
        <w:t xml:space="preserve"> </w:t>
      </w:r>
      <w:r w:rsidR="7BC2D7E5" w:rsidRPr="0087273B">
        <w:rPr>
          <w:rFonts w:ascii="Tahoma" w:eastAsia="Calibri" w:hAnsi="Tahoma" w:cs="Tahoma"/>
          <w:lang w:eastAsia="es-CO"/>
        </w:rPr>
        <w:t>afirmó que</w:t>
      </w:r>
      <w:r w:rsidR="3FD42851" w:rsidRPr="0087273B">
        <w:rPr>
          <w:rFonts w:ascii="Tahoma" w:eastAsia="Calibri" w:hAnsi="Tahoma" w:cs="Tahoma"/>
          <w:lang w:eastAsia="es-CO"/>
        </w:rPr>
        <w:t xml:space="preserve"> </w:t>
      </w:r>
      <w:r w:rsidR="23737D61" w:rsidRPr="0087273B">
        <w:rPr>
          <w:rFonts w:ascii="Tahoma" w:eastAsia="Calibri" w:hAnsi="Tahoma" w:cs="Tahoma"/>
          <w:i/>
          <w:iCs/>
          <w:lang w:eastAsia="es-CO"/>
        </w:rPr>
        <w:t>“</w:t>
      </w:r>
      <w:r w:rsidR="509EAB8E" w:rsidRPr="00A13BFF">
        <w:rPr>
          <w:rFonts w:ascii="Tahoma" w:eastAsia="Calibri" w:hAnsi="Tahoma" w:cs="Tahoma"/>
          <w:i/>
          <w:iCs/>
          <w:sz w:val="22"/>
          <w:lang w:eastAsia="es-CO"/>
        </w:rPr>
        <w:t>es c</w:t>
      </w:r>
      <w:r w:rsidR="7478679A" w:rsidRPr="00A13BFF">
        <w:rPr>
          <w:rFonts w:ascii="Tahoma" w:eastAsia="Calibri" w:hAnsi="Tahoma" w:cs="Tahoma"/>
          <w:i/>
          <w:iCs/>
          <w:sz w:val="22"/>
          <w:lang w:eastAsia="es-CO"/>
        </w:rPr>
        <w:t>laro</w:t>
      </w:r>
      <w:r w:rsidR="509EAB8E" w:rsidRPr="00A13BFF">
        <w:rPr>
          <w:rFonts w:ascii="Tahoma" w:eastAsia="Calibri" w:hAnsi="Tahoma" w:cs="Tahoma"/>
          <w:i/>
          <w:iCs/>
          <w:sz w:val="22"/>
          <w:lang w:eastAsia="es-CO"/>
        </w:rPr>
        <w:t xml:space="preserve"> que la demandante suscribió formulario de afiliación con </w:t>
      </w:r>
      <w:r w:rsidR="010335D9" w:rsidRPr="00A13BFF">
        <w:rPr>
          <w:rFonts w:ascii="Tahoma" w:eastAsia="Calibri" w:hAnsi="Tahoma" w:cs="Tahoma"/>
          <w:i/>
          <w:iCs/>
          <w:sz w:val="22"/>
          <w:lang w:eastAsia="es-CO"/>
        </w:rPr>
        <w:t>C</w:t>
      </w:r>
      <w:r w:rsidR="509EAB8E" w:rsidRPr="00A13BFF">
        <w:rPr>
          <w:rFonts w:ascii="Tahoma" w:eastAsia="Calibri" w:hAnsi="Tahoma" w:cs="Tahoma"/>
          <w:i/>
          <w:iCs/>
          <w:sz w:val="22"/>
          <w:lang w:eastAsia="es-CO"/>
        </w:rPr>
        <w:t xml:space="preserve">olfondos, como vinculación inicial al sistema </w:t>
      </w:r>
      <w:r w:rsidR="205FDBD1" w:rsidRPr="00A13BFF">
        <w:rPr>
          <w:rFonts w:ascii="Tahoma" w:eastAsia="Calibri" w:hAnsi="Tahoma" w:cs="Tahoma"/>
          <w:i/>
          <w:iCs/>
          <w:sz w:val="22"/>
          <w:lang w:eastAsia="es-CO"/>
        </w:rPr>
        <w:t>general de pensiones</w:t>
      </w:r>
      <w:r w:rsidR="42701F22" w:rsidRPr="0087273B">
        <w:rPr>
          <w:rFonts w:ascii="Tahoma" w:eastAsia="Calibri" w:hAnsi="Tahoma" w:cs="Tahoma"/>
          <w:i/>
          <w:iCs/>
          <w:lang w:eastAsia="es-CO"/>
        </w:rPr>
        <w:t>”.</w:t>
      </w:r>
      <w:r w:rsidR="42701F22" w:rsidRPr="0087273B">
        <w:rPr>
          <w:rFonts w:ascii="Tahoma" w:eastAsia="Calibri" w:hAnsi="Tahoma" w:cs="Tahoma"/>
          <w:lang w:eastAsia="es-CO"/>
        </w:rPr>
        <w:t xml:space="preserve"> De ahí que la valoración conjunta de los medios de prueba permita concluir </w:t>
      </w:r>
      <w:r w:rsidR="1D719933" w:rsidRPr="0087273B">
        <w:rPr>
          <w:rFonts w:ascii="Tahoma" w:eastAsia="Calibri" w:hAnsi="Tahoma" w:cs="Tahoma"/>
          <w:lang w:eastAsia="es-CO"/>
        </w:rPr>
        <w:t xml:space="preserve">como lo hizo el juez de instancia, que el traslado de </w:t>
      </w:r>
      <w:r w:rsidR="6FBD6268" w:rsidRPr="0087273B">
        <w:rPr>
          <w:rFonts w:ascii="Tahoma" w:eastAsia="Calibri" w:hAnsi="Tahoma" w:cs="Tahoma"/>
          <w:lang w:eastAsia="es-CO"/>
        </w:rPr>
        <w:t xml:space="preserve">régimen </w:t>
      </w:r>
      <w:r w:rsidR="1D719933" w:rsidRPr="0087273B">
        <w:rPr>
          <w:rFonts w:ascii="Tahoma" w:eastAsia="Calibri" w:hAnsi="Tahoma" w:cs="Tahoma"/>
          <w:lang w:eastAsia="es-CO"/>
        </w:rPr>
        <w:t>de la gestora litigiosa se realizó a través de</w:t>
      </w:r>
      <w:r w:rsidR="3C14B52D" w:rsidRPr="0087273B">
        <w:rPr>
          <w:rFonts w:ascii="Tahoma" w:eastAsia="Calibri" w:hAnsi="Tahoma" w:cs="Tahoma"/>
          <w:lang w:eastAsia="es-CO"/>
        </w:rPr>
        <w:t>l</w:t>
      </w:r>
      <w:r w:rsidR="1D719933" w:rsidRPr="0087273B">
        <w:rPr>
          <w:rFonts w:ascii="Tahoma" w:eastAsia="Calibri" w:hAnsi="Tahoma" w:cs="Tahoma"/>
          <w:lang w:eastAsia="es-CO"/>
        </w:rPr>
        <w:t xml:space="preserve"> fondo en comento</w:t>
      </w:r>
      <w:r w:rsidR="7F2E4AC1" w:rsidRPr="0087273B">
        <w:rPr>
          <w:rFonts w:ascii="Tahoma" w:eastAsia="Calibri" w:hAnsi="Tahoma" w:cs="Tahoma"/>
          <w:lang w:eastAsia="es-CO"/>
        </w:rPr>
        <w:t xml:space="preserve">, pues incluso, el historial de vinculaciones aportado por dicha AFP denota </w:t>
      </w:r>
      <w:r w:rsidR="78CBF54F" w:rsidRPr="0087273B">
        <w:rPr>
          <w:rFonts w:ascii="Tahoma" w:eastAsia="Calibri" w:hAnsi="Tahoma" w:cs="Tahoma"/>
          <w:lang w:eastAsia="es-CO"/>
        </w:rPr>
        <w:t>que, estando la actora afiliada al RPM, se trasladó al RAIS por medio de Colfondos S.A.</w:t>
      </w:r>
    </w:p>
    <w:p w14:paraId="2D0417F2" w14:textId="608BB107" w:rsidR="46C8673D" w:rsidRPr="0087273B" w:rsidRDefault="46C8673D" w:rsidP="0087273B">
      <w:pPr>
        <w:widowControl w:val="0"/>
        <w:spacing w:before="0" w:beforeAutospacing="0" w:after="0" w:afterAutospacing="0" w:line="276" w:lineRule="auto"/>
        <w:ind w:firstLine="708"/>
        <w:rPr>
          <w:rFonts w:ascii="Tahoma" w:eastAsia="Calibri" w:hAnsi="Tahoma" w:cs="Tahoma"/>
          <w:lang w:eastAsia="es-CO"/>
        </w:rPr>
      </w:pPr>
    </w:p>
    <w:p w14:paraId="35802DEC" w14:textId="5C09F3BB" w:rsidR="68A565FC" w:rsidRPr="0087273B" w:rsidRDefault="68A565FC" w:rsidP="0087273B">
      <w:pPr>
        <w:widowControl w:val="0"/>
        <w:spacing w:before="0" w:beforeAutospacing="0" w:after="0" w:afterAutospacing="0" w:line="276" w:lineRule="auto"/>
        <w:ind w:firstLine="708"/>
        <w:rPr>
          <w:rFonts w:ascii="Tahoma" w:hAnsi="Tahoma" w:cs="Tahoma"/>
          <w:color w:val="000000" w:themeColor="text1"/>
        </w:rPr>
      </w:pPr>
      <w:r w:rsidRPr="0087273B">
        <w:rPr>
          <w:rFonts w:ascii="Tahoma" w:eastAsia="Calibri" w:hAnsi="Tahoma" w:cs="Tahoma"/>
          <w:lang w:eastAsia="es-CO"/>
        </w:rPr>
        <w:t>Así</w:t>
      </w:r>
      <w:r w:rsidR="47AADB3A" w:rsidRPr="0087273B">
        <w:rPr>
          <w:rFonts w:ascii="Tahoma" w:eastAsia="Calibri" w:hAnsi="Tahoma" w:cs="Tahoma"/>
          <w:lang w:eastAsia="es-CO"/>
        </w:rPr>
        <w:t xml:space="preserve">, lo que </w:t>
      </w:r>
      <w:r w:rsidR="71C231FD" w:rsidRPr="0087273B">
        <w:rPr>
          <w:rFonts w:ascii="Tahoma" w:eastAsia="Calibri" w:hAnsi="Tahoma" w:cs="Tahoma"/>
          <w:lang w:eastAsia="es-CO"/>
        </w:rPr>
        <w:t xml:space="preserve">en virtud del grado jurisdiccional de consulta debe revisar esta Colegiatura es si </w:t>
      </w:r>
      <w:r w:rsidR="4B324054" w:rsidRPr="0087273B">
        <w:rPr>
          <w:rFonts w:ascii="Tahoma" w:eastAsia="Calibri" w:hAnsi="Tahoma" w:cs="Tahoma"/>
          <w:lang w:eastAsia="es-CO"/>
        </w:rPr>
        <w:t xml:space="preserve">la </w:t>
      </w:r>
      <w:r w:rsidR="4B324054" w:rsidRPr="0087273B">
        <w:rPr>
          <w:rFonts w:ascii="Tahoma" w:hAnsi="Tahoma" w:cs="Tahoma"/>
          <w:color w:val="000000" w:themeColor="text1"/>
        </w:rPr>
        <w:t xml:space="preserve">parte demandante recibió de la AFP </w:t>
      </w:r>
      <w:r w:rsidR="3D3E780E" w:rsidRPr="0087273B">
        <w:rPr>
          <w:rFonts w:ascii="Tahoma" w:hAnsi="Tahoma" w:cs="Tahoma"/>
          <w:color w:val="000000" w:themeColor="text1"/>
        </w:rPr>
        <w:t>vinculada</w:t>
      </w:r>
      <w:r w:rsidR="4B324054" w:rsidRPr="0087273B">
        <w:rPr>
          <w:rFonts w:ascii="Tahoma" w:hAnsi="Tahoma" w:cs="Tahoma"/>
          <w:color w:val="000000" w:themeColor="text1"/>
        </w:rPr>
        <w:t>, la asesoría e información suficiente y necesaria para hacer el cambio de régimen,</w:t>
      </w:r>
      <w:r w:rsidR="3BAEDDEF" w:rsidRPr="0087273B">
        <w:rPr>
          <w:rFonts w:ascii="Tahoma" w:hAnsi="Tahoma" w:cs="Tahoma"/>
          <w:color w:val="000000" w:themeColor="text1"/>
        </w:rPr>
        <w:t xml:space="preserve"> y </w:t>
      </w:r>
      <w:r w:rsidR="4B324054" w:rsidRPr="0087273B">
        <w:rPr>
          <w:rFonts w:ascii="Tahoma" w:hAnsi="Tahoma" w:cs="Tahoma"/>
          <w:color w:val="000000" w:themeColor="text1"/>
        </w:rPr>
        <w:t>si el acto de afiliación fue válido</w:t>
      </w:r>
      <w:r w:rsidR="570BA9D3" w:rsidRPr="0087273B">
        <w:rPr>
          <w:rFonts w:ascii="Tahoma" w:hAnsi="Tahoma" w:cs="Tahoma"/>
          <w:color w:val="000000" w:themeColor="text1"/>
        </w:rPr>
        <w:t>, entre otros problemas jurídicos atrás establecidos con sustento en los argumentos de apelación.</w:t>
      </w:r>
    </w:p>
    <w:p w14:paraId="5D76F346" w14:textId="77777777" w:rsidR="00400EE6" w:rsidRPr="0087273B" w:rsidRDefault="00400EE6" w:rsidP="0087273B">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48FE65CF" w14:textId="1394A8AA" w:rsidR="00CF360E" w:rsidRPr="0087273B" w:rsidRDefault="72E9910D" w:rsidP="0087273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7273B">
        <w:rPr>
          <w:rFonts w:ascii="Tahoma" w:eastAsia="Calibri" w:hAnsi="Tahoma" w:cs="Tahoma"/>
          <w:lang w:eastAsia="es-CO"/>
        </w:rPr>
        <w:t>A tono con lo anterior, d</w:t>
      </w:r>
      <w:r w:rsidR="00400EE6" w:rsidRPr="0087273B">
        <w:rPr>
          <w:rFonts w:ascii="Tahoma" w:eastAsia="Calibri" w:hAnsi="Tahoma" w:cs="Tahoma"/>
          <w:lang w:eastAsia="es-CO"/>
        </w:rPr>
        <w:t xml:space="preserve">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w:t>
      </w:r>
      <w:r w:rsidR="00400EE6" w:rsidRPr="0087273B">
        <w:rPr>
          <w:rFonts w:ascii="Tahoma" w:eastAsia="Calibri" w:hAnsi="Tahoma" w:cs="Tahoma"/>
          <w:lang w:eastAsia="es-CO"/>
        </w:rPr>
        <w:lastRenderedPageBreak/>
        <w:t>pensiones, a cuyo cargo estaba el deber de suministrar la información suficiente y completa a la afiliada, acerca del impacto del cambio de régimen pensional</w:t>
      </w:r>
      <w:r w:rsidR="00F374B7" w:rsidRPr="0087273B">
        <w:rPr>
          <w:rFonts w:ascii="Tahoma" w:eastAsia="Calibri" w:hAnsi="Tahoma" w:cs="Tahoma"/>
          <w:lang w:eastAsia="es-CO"/>
        </w:rPr>
        <w:t xml:space="preserve">. </w:t>
      </w:r>
      <w:r w:rsidR="001E6AF5" w:rsidRPr="0087273B">
        <w:rPr>
          <w:rFonts w:ascii="Tahoma" w:eastAsia="Calibri" w:hAnsi="Tahoma" w:cs="Tahoma"/>
          <w:lang w:eastAsia="es-CO"/>
        </w:rPr>
        <w:t xml:space="preserve">Con dicho fin, las convocadas a juicio llamaron a declarar a su contraparte procesal, empero </w:t>
      </w:r>
      <w:r w:rsidR="00400EE6" w:rsidRPr="0087273B">
        <w:rPr>
          <w:rFonts w:ascii="Tahoma" w:eastAsia="Calibri" w:hAnsi="Tahoma" w:cs="Tahoma"/>
          <w:lang w:eastAsia="es-CO"/>
        </w:rPr>
        <w:t xml:space="preserve">una vez practicado el mismo, no se obtuvo prueba de confesión que permitiera </w:t>
      </w:r>
      <w:r w:rsidR="00400EE6" w:rsidRPr="0087273B">
        <w:rPr>
          <w:rFonts w:ascii="Tahoma" w:eastAsia="Calibri" w:hAnsi="Tahoma" w:cs="Tahoma"/>
          <w:lang w:val="es-ES" w:eastAsia="es-CO"/>
        </w:rPr>
        <w:t>desvirtuar la poca información recibida por la promotora de la litis,</w:t>
      </w:r>
      <w:r w:rsidR="00400EE6" w:rsidRPr="0087273B">
        <w:rPr>
          <w:rFonts w:ascii="Tahoma" w:eastAsia="Calibri" w:hAnsi="Tahoma" w:cs="Tahoma"/>
          <w:b/>
          <w:bCs/>
          <w:lang w:eastAsia="es-CO"/>
        </w:rPr>
        <w:t xml:space="preserve"> </w:t>
      </w:r>
      <w:r w:rsidR="00400EE6" w:rsidRPr="0087273B">
        <w:rPr>
          <w:rFonts w:ascii="Tahoma" w:eastAsia="Calibri" w:hAnsi="Tahoma" w:cs="Tahoma"/>
          <w:lang w:eastAsia="es-CO"/>
        </w:rPr>
        <w:t>y</w:t>
      </w:r>
      <w:r w:rsidR="00CF360E" w:rsidRPr="0087273B">
        <w:rPr>
          <w:rFonts w:ascii="Tahoma" w:eastAsia="Calibri" w:hAnsi="Tahoma" w:cs="Tahoma"/>
          <w:lang w:eastAsia="es-CO"/>
        </w:rPr>
        <w:t xml:space="preserve">a que la </w:t>
      </w:r>
      <w:r w:rsidR="0086337A" w:rsidRPr="0087273B">
        <w:rPr>
          <w:rFonts w:ascii="Tahoma" w:eastAsia="Calibri" w:hAnsi="Tahoma" w:cs="Tahoma"/>
          <w:lang w:eastAsia="es-CO"/>
        </w:rPr>
        <w:t>misma</w:t>
      </w:r>
      <w:r w:rsidR="00CF360E" w:rsidRPr="0087273B">
        <w:rPr>
          <w:rFonts w:ascii="Tahoma" w:eastAsia="Calibri" w:hAnsi="Tahoma" w:cs="Tahoma"/>
          <w:lang w:eastAsia="es-CO"/>
        </w:rPr>
        <w:t>, únicamente recordaba con precisión el último traslado a Porvenir realizado en el 2012,</w:t>
      </w:r>
      <w:r w:rsidR="00112581" w:rsidRPr="0087273B">
        <w:rPr>
          <w:rFonts w:ascii="Tahoma" w:eastAsia="Calibri" w:hAnsi="Tahoma" w:cs="Tahoma"/>
          <w:lang w:eastAsia="es-CO"/>
        </w:rPr>
        <w:t xml:space="preserve"> respecto del cual afirmó que un asesor de </w:t>
      </w:r>
      <w:r w:rsidR="00C65B40" w:rsidRPr="0087273B">
        <w:rPr>
          <w:rFonts w:ascii="Tahoma" w:eastAsia="Calibri" w:hAnsi="Tahoma" w:cs="Tahoma"/>
          <w:lang w:eastAsia="es-CO"/>
        </w:rPr>
        <w:t xml:space="preserve">dicha AFP </w:t>
      </w:r>
      <w:r w:rsidR="00112581" w:rsidRPr="0087273B">
        <w:rPr>
          <w:rFonts w:ascii="Tahoma" w:eastAsia="Calibri" w:hAnsi="Tahoma" w:cs="Tahoma"/>
          <w:lang w:eastAsia="es-CO"/>
        </w:rPr>
        <w:t xml:space="preserve">la abordó en la clínica donde laboraba y le indicó que en ese fondo la mesada iba a ser mayor, le podían hacer la devolución del capital en cualquier </w:t>
      </w:r>
      <w:r w:rsidR="0086337A" w:rsidRPr="0087273B">
        <w:rPr>
          <w:rFonts w:ascii="Tahoma" w:eastAsia="Calibri" w:hAnsi="Tahoma" w:cs="Tahoma"/>
          <w:lang w:eastAsia="es-CO"/>
        </w:rPr>
        <w:t>momento</w:t>
      </w:r>
      <w:r w:rsidR="00112581" w:rsidRPr="0087273B">
        <w:rPr>
          <w:rFonts w:ascii="Tahoma" w:eastAsia="Calibri" w:hAnsi="Tahoma" w:cs="Tahoma"/>
          <w:lang w:eastAsia="es-CO"/>
        </w:rPr>
        <w:t xml:space="preserve">, y que la mayor parte de sus compañeros se estaban trasladando hacía ese fondo. Respecto de los demás traslados, en especial el que generó el cambio de régimen pensional, no recordó </w:t>
      </w:r>
      <w:r w:rsidR="001E029D" w:rsidRPr="0087273B">
        <w:rPr>
          <w:rFonts w:ascii="Tahoma" w:eastAsia="Calibri" w:hAnsi="Tahoma" w:cs="Tahoma"/>
          <w:lang w:eastAsia="es-CO"/>
        </w:rPr>
        <w:t>si estuvo presente un representante o asesor de Colfondos S.A., pues en su sentir el formulario fue entregado por el empleador.</w:t>
      </w:r>
    </w:p>
    <w:p w14:paraId="5916571C" w14:textId="77777777" w:rsidR="00937A81" w:rsidRPr="0087273B" w:rsidRDefault="00937A81" w:rsidP="0087273B">
      <w:pPr>
        <w:widowControl w:val="0"/>
        <w:autoSpaceDE w:val="0"/>
        <w:autoSpaceDN w:val="0"/>
        <w:adjustRightInd w:val="0"/>
        <w:spacing w:before="0" w:beforeAutospacing="0" w:after="0" w:afterAutospacing="0" w:line="276" w:lineRule="auto"/>
        <w:rPr>
          <w:rFonts w:ascii="Tahoma" w:eastAsia="Calibri" w:hAnsi="Tahoma" w:cs="Tahoma"/>
          <w:bCs/>
          <w:lang w:eastAsia="es-CO"/>
        </w:rPr>
      </w:pPr>
    </w:p>
    <w:p w14:paraId="63F6623A" w14:textId="5DB75126" w:rsidR="004378E0" w:rsidRPr="0087273B" w:rsidRDefault="00937A81" w:rsidP="0087273B">
      <w:pPr>
        <w:widowControl w:val="0"/>
        <w:autoSpaceDE w:val="0"/>
        <w:autoSpaceDN w:val="0"/>
        <w:adjustRightInd w:val="0"/>
        <w:spacing w:before="0" w:beforeAutospacing="0" w:after="0" w:afterAutospacing="0" w:line="276" w:lineRule="auto"/>
        <w:rPr>
          <w:rFonts w:ascii="Tahoma" w:eastAsia="Calibri" w:hAnsi="Tahoma" w:cs="Tahoma"/>
          <w:lang w:eastAsia="es-CO"/>
        </w:rPr>
      </w:pPr>
      <w:r w:rsidRPr="0087273B">
        <w:rPr>
          <w:rFonts w:ascii="Tahoma" w:eastAsia="Calibri" w:hAnsi="Tahoma" w:cs="Tahoma"/>
          <w:bCs/>
          <w:lang w:eastAsia="es-CO"/>
        </w:rPr>
        <w:t>Como puede verse, tal como lo dilucidó el juez, en el presente caso, la demand</w:t>
      </w:r>
      <w:r w:rsidR="00F73F17" w:rsidRPr="0087273B">
        <w:rPr>
          <w:rFonts w:ascii="Tahoma" w:eastAsia="Calibri" w:hAnsi="Tahoma" w:cs="Tahoma"/>
          <w:bCs/>
          <w:lang w:eastAsia="es-CO"/>
        </w:rPr>
        <w:t xml:space="preserve">ada Colfondos S.A. responsable del traslado de régimen pensional, como se ve en el formulario </w:t>
      </w:r>
      <w:r w:rsidR="00B64ABA" w:rsidRPr="0087273B">
        <w:rPr>
          <w:rFonts w:ascii="Tahoma" w:eastAsia="Calibri" w:hAnsi="Tahoma" w:cs="Tahoma"/>
          <w:bCs/>
          <w:lang w:eastAsia="es-CO"/>
        </w:rPr>
        <w:t>SIAFP</w:t>
      </w:r>
      <w:r w:rsidR="00F73F17" w:rsidRPr="0087273B">
        <w:rPr>
          <w:rFonts w:ascii="Tahoma" w:eastAsia="Calibri" w:hAnsi="Tahoma" w:cs="Tahoma"/>
          <w:bCs/>
          <w:lang w:eastAsia="es-CO"/>
        </w:rPr>
        <w:t xml:space="preserve">, ni siquiera aportó, el formulario de afiliación, de ahí que </w:t>
      </w:r>
      <w:r w:rsidR="00DB2B65" w:rsidRPr="0087273B">
        <w:rPr>
          <w:rFonts w:ascii="Tahoma" w:eastAsia="Calibri" w:hAnsi="Tahoma" w:cs="Tahoma"/>
          <w:bCs/>
          <w:lang w:eastAsia="es-CO"/>
        </w:rPr>
        <w:t xml:space="preserve">esa sola ausencia es más que suficiente para concluir la falta al deber de información que tuvo la administradora </w:t>
      </w:r>
      <w:r w:rsidR="00000097" w:rsidRPr="0087273B">
        <w:rPr>
          <w:rFonts w:ascii="Tahoma" w:eastAsia="Calibri" w:hAnsi="Tahoma" w:cs="Tahoma"/>
          <w:bCs/>
          <w:lang w:eastAsia="es-CO"/>
        </w:rPr>
        <w:t xml:space="preserve">con la afiliada, pues </w:t>
      </w:r>
      <w:r w:rsidR="00C65B40" w:rsidRPr="0087273B">
        <w:rPr>
          <w:rFonts w:ascii="Tahoma" w:eastAsia="Calibri" w:hAnsi="Tahoma" w:cs="Tahoma"/>
          <w:bCs/>
          <w:lang w:eastAsia="es-CO"/>
        </w:rPr>
        <w:t xml:space="preserve">las demás pruebas documentales arribadas al proceso </w:t>
      </w:r>
      <w:r w:rsidR="007F65A6" w:rsidRPr="0087273B">
        <w:rPr>
          <w:rFonts w:ascii="Tahoma" w:eastAsia="Calibri" w:hAnsi="Tahoma" w:cs="Tahoma"/>
          <w:bCs/>
          <w:lang w:eastAsia="es-CO"/>
        </w:rPr>
        <w:t xml:space="preserve">como </w:t>
      </w:r>
      <w:r w:rsidR="00F5319F" w:rsidRPr="0087273B">
        <w:rPr>
          <w:rFonts w:ascii="Tahoma" w:eastAsia="Calibri" w:hAnsi="Tahoma" w:cs="Tahoma"/>
          <w:lang w:eastAsia="es-CO"/>
        </w:rPr>
        <w:t>respuestas de derecho de petición con posterioridad al cambio de régimen</w:t>
      </w:r>
      <w:r w:rsidR="00E41FCA" w:rsidRPr="0087273B">
        <w:rPr>
          <w:rFonts w:ascii="Tahoma" w:eastAsia="Calibri" w:hAnsi="Tahoma" w:cs="Tahoma"/>
          <w:lang w:eastAsia="es-CO"/>
        </w:rPr>
        <w:t xml:space="preserve"> y </w:t>
      </w:r>
      <w:r w:rsidR="00724DD3" w:rsidRPr="0087273B">
        <w:rPr>
          <w:rFonts w:ascii="Tahoma" w:eastAsia="Calibri" w:hAnsi="Tahoma" w:cs="Tahoma"/>
          <w:lang w:val="es-ES" w:eastAsia="es-CO"/>
        </w:rPr>
        <w:t>los comunicados de prensa</w:t>
      </w:r>
      <w:r w:rsidR="00724DD3" w:rsidRPr="0087273B">
        <w:rPr>
          <w:rFonts w:ascii="Tahoma" w:eastAsia="Calibri" w:hAnsi="Tahoma" w:cs="Tahoma"/>
          <w:vertAlign w:val="superscript"/>
          <w:lang w:val="es-ES" w:eastAsia="es-CO"/>
        </w:rPr>
        <w:footnoteReference w:id="21"/>
      </w:r>
      <w:r w:rsidR="00724DD3" w:rsidRPr="0087273B">
        <w:rPr>
          <w:rFonts w:ascii="Tahoma" w:eastAsia="Calibri" w:hAnsi="Tahoma" w:cs="Tahoma"/>
          <w:lang w:val="es-ES" w:eastAsia="es-CO"/>
        </w:rPr>
        <w:t xml:space="preserve">, por </w:t>
      </w:r>
      <w:r w:rsidR="00E41FCA" w:rsidRPr="0087273B">
        <w:rPr>
          <w:rFonts w:ascii="Tahoma" w:eastAsia="Calibri" w:hAnsi="Tahoma" w:cs="Tahoma"/>
          <w:lang w:val="es-ES" w:eastAsia="es-CO"/>
        </w:rPr>
        <w:t>sí</w:t>
      </w:r>
      <w:r w:rsidR="00724DD3" w:rsidRPr="0087273B">
        <w:rPr>
          <w:rFonts w:ascii="Tahoma" w:eastAsia="Calibri" w:hAnsi="Tahoma" w:cs="Tahoma"/>
          <w:lang w:val="es-ES" w:eastAsia="es-CO"/>
        </w:rPr>
        <w:t xml:space="preserve"> solos no tienen la virtualidad de acreditar que la AFP cumplió con su obligación legal de información y su deber orientador al momento de la vinculación, tal como lo indicó la Corte Suprema de Justicia en la sentencia CSJ SL1618-2022</w:t>
      </w:r>
      <w:r w:rsidR="00FF3E17" w:rsidRPr="0087273B">
        <w:rPr>
          <w:rFonts w:ascii="Tahoma" w:eastAsia="Calibri" w:hAnsi="Tahoma" w:cs="Tahoma"/>
          <w:lang w:eastAsia="es-CO"/>
        </w:rPr>
        <w:t>.</w:t>
      </w:r>
    </w:p>
    <w:p w14:paraId="28854D85" w14:textId="1CFBA5CF" w:rsidR="004378E0" w:rsidRPr="0087273B" w:rsidRDefault="004378E0" w:rsidP="0087273B">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7D14BC67" w14:textId="4AF15C5E" w:rsidR="004378E0" w:rsidRPr="0087273B" w:rsidRDefault="004378E0" w:rsidP="0087273B">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87273B">
        <w:rPr>
          <w:rFonts w:ascii="Tahoma" w:eastAsia="Calibri" w:hAnsi="Tahoma" w:cs="Tahoma"/>
          <w:lang w:val="es-ES" w:eastAsia="es-CO"/>
        </w:rPr>
        <w:t xml:space="preserve">Ahora, </w:t>
      </w:r>
      <w:r w:rsidR="00BB57A3" w:rsidRPr="0087273B">
        <w:rPr>
          <w:rFonts w:ascii="Tahoma" w:eastAsia="Calibri" w:hAnsi="Tahoma" w:cs="Tahoma"/>
          <w:lang w:val="es-ES" w:eastAsia="es-CO"/>
        </w:rPr>
        <w:t xml:space="preserve">aunque </w:t>
      </w:r>
      <w:r w:rsidR="002A72C6" w:rsidRPr="0087273B">
        <w:rPr>
          <w:rFonts w:ascii="Tahoma" w:eastAsia="Calibri" w:hAnsi="Tahoma" w:cs="Tahoma"/>
          <w:lang w:val="es-ES" w:eastAsia="es-CO"/>
        </w:rPr>
        <w:t xml:space="preserve">la accionante </w:t>
      </w:r>
      <w:r w:rsidR="00BB57A3" w:rsidRPr="0087273B">
        <w:rPr>
          <w:rFonts w:ascii="Tahoma" w:eastAsia="Calibri" w:hAnsi="Tahoma" w:cs="Tahoma"/>
          <w:lang w:val="es-ES" w:eastAsia="es-CO"/>
        </w:rPr>
        <w:t xml:space="preserve">afirmó que la intención de retornar al RPM se funda en un interés económico representado en el valor de la mesada pensional, </w:t>
      </w:r>
      <w:r w:rsidR="00BB57A3" w:rsidRPr="0087273B">
        <w:rPr>
          <w:rFonts w:ascii="Tahoma" w:eastAsia="Calibri" w:hAnsi="Tahoma" w:cs="Tahoma"/>
          <w:lang w:eastAsia="es-CO"/>
        </w:rPr>
        <w:t>esto de ningún modo desvía el origen de la litis, que no es otro que</w:t>
      </w:r>
      <w:r w:rsidR="0060243A" w:rsidRPr="0087273B">
        <w:rPr>
          <w:rFonts w:ascii="Tahoma" w:eastAsia="Calibri" w:hAnsi="Tahoma" w:cs="Tahoma"/>
          <w:lang w:eastAsia="es-CO"/>
        </w:rPr>
        <w:t xml:space="preserve"> </w:t>
      </w:r>
      <w:r w:rsidR="00BB57A3" w:rsidRPr="0087273B">
        <w:rPr>
          <w:rFonts w:ascii="Tahoma" w:eastAsia="Calibri" w:hAnsi="Tahoma" w:cs="Tahoma"/>
          <w:lang w:eastAsia="es-CO"/>
        </w:rPr>
        <w:t xml:space="preserve">verificar </w:t>
      </w:r>
      <w:r w:rsidR="00BB57A3" w:rsidRPr="0087273B">
        <w:rPr>
          <w:rFonts w:ascii="Tahoma" w:eastAsia="Calibri" w:hAnsi="Tahoma" w:cs="Tahoma"/>
          <w:lang w:val="es-ES" w:eastAsia="es-CO"/>
        </w:rPr>
        <w:t xml:space="preserve">el deber de información que recaía en los fondos de pensiones, </w:t>
      </w:r>
      <w:r w:rsidR="00BB57A3" w:rsidRPr="0087273B">
        <w:rPr>
          <w:rFonts w:ascii="Tahoma" w:eastAsia="Calibri" w:hAnsi="Tahoma" w:cs="Tahoma"/>
          <w:lang w:eastAsia="es-CO"/>
        </w:rPr>
        <w:t xml:space="preserve">pues como se vio en el precedente jurisprudencial, para la fecha de la creación de las AFP existían normas en el Código Civil y en el Estatuto Financiero que obligaban a los fondos a brindar una asesoría adecuada de cara a lo que consistía el nuevo régimen de ahorro individual con solidaridad, </w:t>
      </w:r>
      <w:r w:rsidR="007D6796" w:rsidRPr="0087273B">
        <w:rPr>
          <w:rFonts w:ascii="Tahoma" w:eastAsia="Calibri" w:hAnsi="Tahoma" w:cs="Tahoma"/>
          <w:lang w:eastAsia="es-CO"/>
        </w:rPr>
        <w:t xml:space="preserve">deber de información que no fue demostrado </w:t>
      </w:r>
      <w:r w:rsidR="00BB57A3" w:rsidRPr="0087273B">
        <w:rPr>
          <w:rFonts w:ascii="Tahoma" w:eastAsia="Calibri" w:hAnsi="Tahoma" w:cs="Tahoma"/>
          <w:lang w:eastAsia="es-CO"/>
        </w:rPr>
        <w:t xml:space="preserve">por la AFP responsable del traslado de régimen, </w:t>
      </w:r>
      <w:r w:rsidR="00BB57A3" w:rsidRPr="0087273B">
        <w:rPr>
          <w:rFonts w:ascii="Tahoma" w:eastAsia="Calibri" w:hAnsi="Tahoma" w:cs="Tahoma"/>
          <w:lang w:val="es-ES" w:eastAsia="es-CO"/>
        </w:rPr>
        <w:t>a fin de conjurar cualquier acto litigioso como el que hoy nos</w:t>
      </w:r>
      <w:r w:rsidR="007D6796" w:rsidRPr="0087273B">
        <w:rPr>
          <w:rFonts w:ascii="Tahoma" w:eastAsia="Calibri" w:hAnsi="Tahoma" w:cs="Tahoma"/>
          <w:lang w:val="es-ES" w:eastAsia="es-CO"/>
        </w:rPr>
        <w:t xml:space="preserve"> ocupa. </w:t>
      </w:r>
    </w:p>
    <w:p w14:paraId="1AF5A019" w14:textId="77777777" w:rsidR="00914BF4" w:rsidRPr="0087273B" w:rsidRDefault="00914BF4" w:rsidP="0087273B">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3B156660" w14:textId="24006A5A" w:rsidR="004C3BFD" w:rsidRPr="0087273B" w:rsidRDefault="00457603" w:rsidP="0087273B">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r w:rsidRPr="0087273B">
        <w:rPr>
          <w:rFonts w:ascii="Tahoma" w:eastAsia="Calibri" w:hAnsi="Tahoma" w:cs="Tahoma"/>
          <w:bCs/>
          <w:iCs/>
          <w:lang w:eastAsia="es-CO"/>
        </w:rPr>
        <w:t xml:space="preserve">También </w:t>
      </w:r>
      <w:r w:rsidR="00B11483" w:rsidRPr="0087273B">
        <w:rPr>
          <w:rFonts w:ascii="Tahoma" w:eastAsia="Calibri" w:hAnsi="Tahoma" w:cs="Tahoma"/>
          <w:bCs/>
          <w:iCs/>
          <w:lang w:eastAsia="es-CO"/>
        </w:rPr>
        <w:t xml:space="preserve">es improcedente acudir a la prohibición legal establecida en el literal e) del artículo 13 de la Ley 100 de 1993, modificado por el artículo 2º de la Ley 797 de 2003, 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00B11483" w:rsidRPr="0087273B">
        <w:rPr>
          <w:rFonts w:ascii="Tahoma" w:eastAsia="Calibri" w:hAnsi="Tahoma" w:cs="Tahoma"/>
          <w:iCs/>
          <w:lang w:eastAsia="es-CO"/>
        </w:rPr>
        <w:t xml:space="preserve">cosas al estado en que se encontraban, es decir, como si ello no hubiera ocurrido y, en este caso, dicha declaratoria de ineficacia de cambio de régimen pensional, conlleva al regreso </w:t>
      </w:r>
      <w:r w:rsidR="00B11483" w:rsidRPr="0087273B">
        <w:rPr>
          <w:rFonts w:ascii="Tahoma" w:eastAsia="Calibri" w:hAnsi="Tahoma" w:cs="Tahoma"/>
          <w:iCs/>
          <w:lang w:eastAsia="es-CO"/>
        </w:rPr>
        <w:lastRenderedPageBreak/>
        <w:t xml:space="preserve">automático del demandante al régimen solidario de prima media con prestación definida hoy administrado por Colpensiones, del cual ya hacía parte. </w:t>
      </w:r>
    </w:p>
    <w:p w14:paraId="3C54B3CA" w14:textId="18822F71" w:rsidR="007D6796" w:rsidRPr="0087273B" w:rsidRDefault="007D6796" w:rsidP="0087273B">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p>
    <w:p w14:paraId="29F6725D" w14:textId="185ACA26" w:rsidR="00B11483" w:rsidRPr="0087273B" w:rsidRDefault="007D6796" w:rsidP="0087273B">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87273B">
        <w:rPr>
          <w:rStyle w:val="normaltextrun"/>
          <w:rFonts w:ascii="Tahoma" w:hAnsi="Tahoma" w:cs="Tahoma"/>
          <w:color w:val="000000"/>
          <w:shd w:val="clear" w:color="auto" w:fill="FFFFFF"/>
        </w:rPr>
        <w:t>Del mismo modo, el traslado entre administradoras del RAIS y permanencia en dicho régimen, cómo se expuso en precedencia</w:t>
      </w:r>
      <w:r w:rsidRPr="0087273B">
        <w:rPr>
          <w:rStyle w:val="normaltextrun"/>
          <w:rFonts w:ascii="Tahoma" w:hAnsi="Tahoma" w:cs="Tahoma"/>
          <w:color w:val="000000"/>
          <w:shd w:val="clear" w:color="auto" w:fill="FFFFFF"/>
          <w:lang w:val="es-ES"/>
        </w:rPr>
        <w:t xml:space="preserve">, no suplen </w:t>
      </w:r>
      <w:r w:rsidRPr="0087273B">
        <w:rPr>
          <w:rStyle w:val="normaltextrun"/>
          <w:rFonts w:ascii="Tahoma" w:hAnsi="Tahoma" w:cs="Tahoma"/>
          <w:color w:val="000000"/>
          <w:shd w:val="clear" w:color="auto" w:fill="FFFFFF"/>
        </w:rPr>
        <w:t xml:space="preserve">la omisión de la entidad administradora en el cumplimiento de su deber de información a los afiliados, ratifican la decisión del traslado o suponen una afiliación tácita del mismo, </w:t>
      </w:r>
      <w:r w:rsidRPr="0087273B">
        <w:rPr>
          <w:rStyle w:val="normaltextrun"/>
          <w:rFonts w:ascii="Tahoma" w:hAnsi="Tahoma" w:cs="Tahoma"/>
          <w:color w:val="000000"/>
          <w:shd w:val="clear" w:color="auto" w:fill="FFFFFF"/>
          <w:lang w:val="es-ES"/>
        </w:rPr>
        <w:t xml:space="preserve">dado que </w:t>
      </w:r>
      <w:r w:rsidRPr="0087273B">
        <w:rPr>
          <w:rStyle w:val="normaltextrun"/>
          <w:rFonts w:ascii="Tahoma" w:hAnsi="Tahoma" w:cs="Tahoma"/>
          <w:i/>
          <w:iCs/>
          <w:color w:val="000000"/>
          <w:shd w:val="clear" w:color="auto" w:fill="FFFFFF"/>
          <w:lang w:val="es-ES"/>
        </w:rPr>
        <w:t>«la oportunidad de información se juzga al momento del acto jurídico del traslado, no con posterioridad»</w:t>
      </w:r>
      <w:r w:rsidRPr="0087273B">
        <w:rPr>
          <w:rStyle w:val="normaltextrun"/>
          <w:rFonts w:ascii="Tahoma" w:hAnsi="Tahoma" w:cs="Tahoma"/>
          <w:color w:val="000000"/>
          <w:shd w:val="clear" w:color="auto" w:fill="FFFFFF"/>
          <w:lang w:val="es-ES"/>
        </w:rPr>
        <w:t>, conforme lo adoctrinó el máximo órgano de cierre donde además recogió los pronunciamientos contrarios emitidos por las Salas de Descongestión. </w:t>
      </w:r>
      <w:r w:rsidRPr="0087273B">
        <w:rPr>
          <w:rStyle w:val="eop"/>
          <w:rFonts w:ascii="Tahoma" w:hAnsi="Tahoma" w:cs="Tahoma"/>
          <w:color w:val="000000"/>
          <w:shd w:val="clear" w:color="auto" w:fill="FFFFFF"/>
        </w:rPr>
        <w:t> </w:t>
      </w:r>
    </w:p>
    <w:p w14:paraId="6E09DDC2" w14:textId="0B8D4009" w:rsidR="007D6796" w:rsidRPr="0087273B" w:rsidRDefault="007D6796" w:rsidP="0087273B">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69CEBA35" w14:textId="13618396" w:rsidR="00B11483" w:rsidRPr="0087273B" w:rsidRDefault="007D6796" w:rsidP="0087273B">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87273B">
        <w:rPr>
          <w:rStyle w:val="normaltextrun"/>
          <w:rFonts w:ascii="Tahoma" w:hAnsi="Tahoma" w:cs="Tahoma"/>
          <w:color w:val="000000"/>
          <w:shd w:val="clear" w:color="auto" w:fill="FFFFFF"/>
          <w:lang w:val="es-MX"/>
        </w:rPr>
        <w:t>Por otra parte,</w:t>
      </w:r>
      <w:r w:rsidR="00734A9F" w:rsidRPr="0087273B">
        <w:rPr>
          <w:rStyle w:val="normaltextrun"/>
          <w:rFonts w:ascii="Tahoma" w:hAnsi="Tahoma" w:cs="Tahoma"/>
          <w:color w:val="000000"/>
          <w:shd w:val="clear" w:color="auto" w:fill="FFFFFF"/>
          <w:lang w:val="es-MX"/>
        </w:rPr>
        <w:t xml:space="preserve"> cabe agregar que, el</w:t>
      </w:r>
      <w:r w:rsidR="00734A9F" w:rsidRPr="0087273B">
        <w:rPr>
          <w:rStyle w:val="normaltextrun"/>
          <w:rFonts w:ascii="Tahoma" w:hAnsi="Tahoma" w:cs="Tahoma"/>
          <w:color w:val="000000"/>
          <w:shd w:val="clear" w:color="auto" w:fill="FFFFFF"/>
          <w:lang w:val="es-ES"/>
        </w:rPr>
        <w:t xml:space="preserve"> </w:t>
      </w:r>
      <w:r w:rsidR="000C6F41" w:rsidRPr="0087273B">
        <w:rPr>
          <w:rStyle w:val="normaltextrun"/>
          <w:rFonts w:ascii="Tahoma" w:hAnsi="Tahoma" w:cs="Tahoma"/>
          <w:color w:val="000000" w:themeColor="text1"/>
        </w:rPr>
        <w:t xml:space="preserve">artículo 7 del Código General del </w:t>
      </w:r>
      <w:r w:rsidR="00734A9F" w:rsidRPr="0087273B">
        <w:rPr>
          <w:rStyle w:val="normaltextrun"/>
          <w:rFonts w:ascii="Tahoma" w:hAnsi="Tahoma" w:cs="Tahoma"/>
          <w:color w:val="000000" w:themeColor="text1"/>
        </w:rPr>
        <w:t>Proceso</w:t>
      </w:r>
      <w:r w:rsidR="000C6F41" w:rsidRPr="0087273B">
        <w:rPr>
          <w:rStyle w:val="normaltextrun"/>
          <w:rFonts w:ascii="Tahoma" w:hAnsi="Tahoma" w:cs="Tahoma"/>
          <w:color w:val="000000" w:themeColor="text1"/>
        </w:rPr>
        <w:t xml:space="preserve"> est</w:t>
      </w:r>
      <w:r w:rsidR="48EF42E7" w:rsidRPr="0087273B">
        <w:rPr>
          <w:rStyle w:val="normaltextrun"/>
          <w:rFonts w:ascii="Tahoma" w:hAnsi="Tahoma" w:cs="Tahoma"/>
          <w:color w:val="000000" w:themeColor="text1"/>
        </w:rPr>
        <w:t>í</w:t>
      </w:r>
      <w:r w:rsidR="000C6F41" w:rsidRPr="0087273B">
        <w:rPr>
          <w:rStyle w:val="normaltextrun"/>
          <w:rFonts w:ascii="Tahoma" w:hAnsi="Tahoma" w:cs="Tahoma"/>
          <w:color w:val="000000" w:themeColor="text1"/>
        </w:rPr>
        <w:t xml:space="preserve">pula que </w:t>
      </w:r>
      <w:r w:rsidR="000C6F41" w:rsidRPr="0087273B">
        <w:rPr>
          <w:rStyle w:val="normaltextrun"/>
          <w:rFonts w:ascii="Tahoma" w:hAnsi="Tahoma" w:cs="Tahoma"/>
          <w:i/>
          <w:iCs/>
          <w:color w:val="000000" w:themeColor="text1"/>
        </w:rPr>
        <w:t>“</w:t>
      </w:r>
      <w:r w:rsidR="000C6F41" w:rsidRPr="00A13BFF">
        <w:rPr>
          <w:rStyle w:val="normaltextrun"/>
          <w:rFonts w:ascii="Tahoma" w:hAnsi="Tahoma" w:cs="Tahoma"/>
          <w:i/>
          <w:iCs/>
          <w:color w:val="000000" w:themeColor="text1"/>
          <w:sz w:val="22"/>
        </w:rPr>
        <w:t>cuando el juez se aparte de la doctrina probable, estará obligado a exponer clara y razonadamente los fundamentos jurídicos que justifican su decisión</w:t>
      </w:r>
      <w:r w:rsidR="000C6F41" w:rsidRPr="0087273B">
        <w:rPr>
          <w:rStyle w:val="normaltextrun"/>
          <w:rFonts w:ascii="Tahoma" w:hAnsi="Tahoma" w:cs="Tahoma"/>
          <w:i/>
          <w:iCs/>
          <w:color w:val="000000" w:themeColor="text1"/>
        </w:rPr>
        <w:t xml:space="preserve">”, </w:t>
      </w:r>
      <w:r w:rsidR="000C6F41" w:rsidRPr="0087273B">
        <w:rPr>
          <w:rStyle w:val="normaltextrun"/>
          <w:rFonts w:ascii="Tahoma" w:hAnsi="Tahoma" w:cs="Tahoma"/>
          <w:color w:val="000000" w:themeColor="text1"/>
        </w:rPr>
        <w:t xml:space="preserve">por lo que el querer de la recurrente </w:t>
      </w:r>
      <w:r w:rsidR="00734A9F" w:rsidRPr="0087273B">
        <w:rPr>
          <w:rStyle w:val="normaltextrun"/>
          <w:rFonts w:ascii="Tahoma" w:hAnsi="Tahoma" w:cs="Tahoma"/>
          <w:color w:val="000000" w:themeColor="text1"/>
        </w:rPr>
        <w:t xml:space="preserve">dirigido a que se acojan </w:t>
      </w:r>
      <w:r w:rsidR="00734A9F" w:rsidRPr="0087273B">
        <w:rPr>
          <w:rStyle w:val="normaltextrun"/>
          <w:rFonts w:ascii="Tahoma" w:hAnsi="Tahoma" w:cs="Tahoma"/>
          <w:color w:val="000000"/>
          <w:shd w:val="clear" w:color="auto" w:fill="FFFFFF"/>
          <w:lang w:val="es-MX"/>
        </w:rPr>
        <w:t>los salvamentos de voto que difieren de la tesis de ineficacia del traslado de régimen pensional adoptada por la Corte Suprema de Justicia</w:t>
      </w:r>
      <w:r w:rsidR="00734A9F" w:rsidRPr="0087273B">
        <w:rPr>
          <w:rStyle w:val="normaltextrun"/>
          <w:rFonts w:ascii="Tahoma" w:hAnsi="Tahoma" w:cs="Tahoma"/>
          <w:color w:val="000000"/>
          <w:shd w:val="clear" w:color="auto" w:fill="FFFFFF"/>
          <w:lang w:val="es-ES"/>
        </w:rPr>
        <w:t xml:space="preserve">, </w:t>
      </w:r>
      <w:r w:rsidR="000C6F41" w:rsidRPr="0087273B">
        <w:rPr>
          <w:rStyle w:val="normaltextrun"/>
          <w:rFonts w:ascii="Tahoma" w:hAnsi="Tahoma" w:cs="Tahoma"/>
          <w:color w:val="000000" w:themeColor="text1"/>
        </w:rPr>
        <w:t xml:space="preserve">implica un desconocimiento de la doctrina probable entendida como </w:t>
      </w:r>
      <w:r w:rsidR="000C6F41" w:rsidRPr="0087273B">
        <w:rPr>
          <w:rStyle w:val="normaltextrun"/>
          <w:rFonts w:ascii="Tahoma" w:hAnsi="Tahoma" w:cs="Tahoma"/>
          <w:i/>
          <w:iCs/>
          <w:color w:val="000000" w:themeColor="text1"/>
        </w:rPr>
        <w:t>“</w:t>
      </w:r>
      <w:r w:rsidR="000C6F41" w:rsidRPr="00A13BFF">
        <w:rPr>
          <w:rStyle w:val="normaltextrun"/>
          <w:rFonts w:ascii="Tahoma" w:hAnsi="Tahoma" w:cs="Tahoma"/>
          <w:i/>
          <w:iCs/>
          <w:color w:val="000000" w:themeColor="text1"/>
          <w:sz w:val="22"/>
        </w:rPr>
        <w:t>tres decisiones uniformes dadas por la Corte Suprema como Tribunal de Casación sobre un mismo punto de derecho</w:t>
      </w:r>
      <w:r w:rsidR="000C6F41" w:rsidRPr="0087273B">
        <w:rPr>
          <w:rStyle w:val="normaltextrun"/>
          <w:rFonts w:ascii="Tahoma" w:hAnsi="Tahoma" w:cs="Tahoma"/>
          <w:i/>
          <w:iCs/>
          <w:color w:val="000000" w:themeColor="text1"/>
        </w:rPr>
        <w:t>”</w:t>
      </w:r>
      <w:r w:rsidR="000C6F41" w:rsidRPr="0087273B">
        <w:rPr>
          <w:rStyle w:val="normaltextrun"/>
          <w:rFonts w:ascii="Tahoma" w:hAnsi="Tahoma" w:cs="Tahoma"/>
          <w:color w:val="000000" w:themeColor="text1"/>
        </w:rPr>
        <w:t xml:space="preserve"> (artículo 4, Ley 169 de 1896), y del precedente judicial, definido en la sentencia SU- 053 de 2015 como </w:t>
      </w:r>
      <w:r w:rsidR="00736355" w:rsidRPr="0087273B">
        <w:rPr>
          <w:rStyle w:val="normaltextrun"/>
          <w:rFonts w:ascii="Tahoma" w:hAnsi="Tahoma" w:cs="Tahoma"/>
          <w:color w:val="000000" w:themeColor="text1"/>
        </w:rPr>
        <w:t>“</w:t>
      </w:r>
      <w:r w:rsidR="000C6F41" w:rsidRPr="00A13BFF">
        <w:rPr>
          <w:rStyle w:val="normaltextrun"/>
          <w:rFonts w:ascii="Tahoma" w:hAnsi="Tahoma" w:cs="Tahoma"/>
          <w:i/>
          <w:iCs/>
          <w:color w:val="000000" w:themeColor="text1"/>
          <w:sz w:val="22"/>
        </w:rPr>
        <w:t>la sentencia o el conjunto de ellas, anteriores a un caso determinado, que por su pertinencia y semejanza en los problemas jurídicos resueltos, debe necesariamente considerarse por las autoridades judiciales al momento de emitir un fallo</w:t>
      </w:r>
      <w:r w:rsidR="00736355" w:rsidRPr="0087273B">
        <w:rPr>
          <w:rStyle w:val="normaltextrun"/>
          <w:rFonts w:ascii="Tahoma" w:hAnsi="Tahoma" w:cs="Tahoma"/>
          <w:i/>
          <w:iCs/>
          <w:color w:val="000000" w:themeColor="text1"/>
        </w:rPr>
        <w:t>”</w:t>
      </w:r>
      <w:r w:rsidR="000C6F41" w:rsidRPr="0087273B">
        <w:rPr>
          <w:rStyle w:val="normaltextrun"/>
          <w:rFonts w:ascii="Tahoma" w:hAnsi="Tahoma" w:cs="Tahoma"/>
          <w:color w:val="000000" w:themeColor="text1"/>
        </w:rPr>
        <w:t xml:space="preserve"> y, en tal sentido, el emitido por los máximos órganos de cierre, </w:t>
      </w:r>
      <w:r w:rsidR="000C6F41" w:rsidRPr="0087273B">
        <w:rPr>
          <w:rStyle w:val="normaltextrun"/>
          <w:rFonts w:ascii="Tahoma" w:hAnsi="Tahoma" w:cs="Tahoma"/>
          <w:i/>
          <w:iCs/>
          <w:color w:val="000000" w:themeColor="text1"/>
        </w:rPr>
        <w:t>“</w:t>
      </w:r>
      <w:r w:rsidR="000C6F41" w:rsidRPr="00A13BFF">
        <w:rPr>
          <w:rStyle w:val="normaltextrun"/>
          <w:rFonts w:ascii="Tahoma" w:hAnsi="Tahoma" w:cs="Tahoma"/>
          <w:i/>
          <w:iCs/>
          <w:color w:val="000000" w:themeColor="text1"/>
          <w:sz w:val="22"/>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000C6F41" w:rsidRPr="0087273B">
        <w:rPr>
          <w:rStyle w:val="normaltextrun"/>
          <w:rFonts w:ascii="Tahoma" w:hAnsi="Tahoma" w:cs="Tahoma"/>
          <w:i/>
          <w:iCs/>
          <w:color w:val="000000" w:themeColor="text1"/>
        </w:rPr>
        <w:t>”</w:t>
      </w:r>
      <w:r w:rsidR="000C6F41" w:rsidRPr="0087273B">
        <w:rPr>
          <w:rStyle w:val="normaltextrun"/>
          <w:rFonts w:ascii="Tahoma" w:hAnsi="Tahoma" w:cs="Tahoma"/>
          <w:color w:val="000000" w:themeColor="text1"/>
        </w:rPr>
        <w:t xml:space="preserve"> (STL4759-2020). Así las cosas, no advierte la Sala que existan fundamentos jurídicos razonables para apartarse de los argumentos que sobre la materia a sentado el máximo órgano de cierre de la jurisdicción ordinaria.</w:t>
      </w:r>
      <w:r w:rsidR="000C6F41" w:rsidRPr="0087273B">
        <w:rPr>
          <w:rStyle w:val="eop"/>
          <w:rFonts w:ascii="Tahoma" w:hAnsi="Tahoma" w:cs="Tahoma"/>
        </w:rPr>
        <w:t> </w:t>
      </w:r>
    </w:p>
    <w:p w14:paraId="7C838320" w14:textId="03E7A6A2" w:rsidR="23A8B317" w:rsidRPr="0087273B" w:rsidRDefault="23A8B317" w:rsidP="0087273B">
      <w:pPr>
        <w:widowControl w:val="0"/>
        <w:spacing w:before="0" w:beforeAutospacing="0" w:after="0" w:afterAutospacing="0" w:line="276" w:lineRule="auto"/>
        <w:ind w:firstLine="708"/>
        <w:rPr>
          <w:rStyle w:val="eop"/>
          <w:rFonts w:ascii="Tahoma" w:hAnsi="Tahoma" w:cs="Tahoma"/>
        </w:rPr>
      </w:pPr>
    </w:p>
    <w:p w14:paraId="0333B2EF" w14:textId="53CE97C2" w:rsidR="00B11483" w:rsidRPr="0087273B" w:rsidRDefault="0035588E" w:rsidP="0087273B">
      <w:pPr>
        <w:pStyle w:val="paragraph"/>
        <w:spacing w:before="0" w:beforeAutospacing="0" w:after="0" w:afterAutospacing="0" w:line="276" w:lineRule="auto"/>
        <w:ind w:firstLine="705"/>
        <w:jc w:val="both"/>
        <w:textAlignment w:val="baseline"/>
        <w:rPr>
          <w:rFonts w:ascii="Tahoma" w:hAnsi="Tahoma" w:cs="Tahoma"/>
          <w:lang w:val="es-ES" w:eastAsia="es-ES"/>
        </w:rPr>
      </w:pPr>
      <w:r w:rsidRPr="0087273B">
        <w:rPr>
          <w:rFonts w:ascii="Tahoma" w:eastAsia="Tahoma" w:hAnsi="Tahoma" w:cs="Tahoma"/>
          <w:color w:val="000000" w:themeColor="text1"/>
        </w:rPr>
        <w:t>En este orden de ideas, se confirmará la declaratoria de la ineficacia del acto de afiliación sentado en primera instancia</w:t>
      </w:r>
      <w:r w:rsidR="00706B62" w:rsidRPr="0087273B">
        <w:rPr>
          <w:rFonts w:ascii="Tahoma" w:eastAsia="Tahoma" w:hAnsi="Tahoma" w:cs="Tahoma"/>
          <w:color w:val="000000" w:themeColor="text1"/>
        </w:rPr>
        <w:t xml:space="preserve">, debido a que la </w:t>
      </w:r>
      <w:r w:rsidR="00706B62" w:rsidRPr="0087273B">
        <w:rPr>
          <w:rFonts w:ascii="Tahoma" w:hAnsi="Tahoma" w:cs="Tahoma"/>
          <w:lang w:val="es-ES" w:eastAsia="es-ES"/>
        </w:rPr>
        <w:t>la AFP demandada no demostró el cumplimiento de su deber de información, lo que acarrea la ineficacia del traslado, como ya se explicó.</w:t>
      </w:r>
      <w:r w:rsidR="00733DFA" w:rsidRPr="0087273B">
        <w:rPr>
          <w:rFonts w:ascii="Tahoma" w:hAnsi="Tahoma" w:cs="Tahoma"/>
          <w:lang w:val="es-ES" w:eastAsia="es-ES"/>
        </w:rPr>
        <w:t xml:space="preserve"> </w:t>
      </w:r>
      <w:r w:rsidR="00BF77D4" w:rsidRPr="0087273B">
        <w:rPr>
          <w:rFonts w:ascii="Tahoma" w:hAnsi="Tahoma" w:cs="Tahoma"/>
          <w:lang w:val="es-ES" w:eastAsia="es-ES"/>
        </w:rPr>
        <w:t xml:space="preserve">Empero, se modificará el numeral primero para precisar que la actora se trasladó al </w:t>
      </w:r>
      <w:proofErr w:type="spellStart"/>
      <w:r w:rsidR="00BF77D4" w:rsidRPr="0087273B">
        <w:rPr>
          <w:rFonts w:ascii="Tahoma" w:hAnsi="Tahoma" w:cs="Tahoma"/>
          <w:lang w:val="es-ES" w:eastAsia="es-ES"/>
        </w:rPr>
        <w:t>RAIS</w:t>
      </w:r>
      <w:proofErr w:type="spellEnd"/>
      <w:r w:rsidR="00A311DC" w:rsidRPr="0087273B">
        <w:rPr>
          <w:rFonts w:ascii="Tahoma" w:hAnsi="Tahoma" w:cs="Tahoma"/>
          <w:lang w:val="es-ES" w:eastAsia="es-ES"/>
        </w:rPr>
        <w:t xml:space="preserve">, por medio de </w:t>
      </w:r>
      <w:proofErr w:type="spellStart"/>
      <w:r w:rsidR="00A311DC" w:rsidRPr="0087273B">
        <w:rPr>
          <w:rFonts w:ascii="Tahoma" w:hAnsi="Tahoma" w:cs="Tahoma"/>
          <w:lang w:val="es-ES" w:eastAsia="es-ES"/>
        </w:rPr>
        <w:t>Colfondos</w:t>
      </w:r>
      <w:proofErr w:type="spellEnd"/>
      <w:r w:rsidR="00A311DC" w:rsidRPr="0087273B">
        <w:rPr>
          <w:rFonts w:ascii="Tahoma" w:hAnsi="Tahoma" w:cs="Tahoma"/>
          <w:lang w:val="es-ES" w:eastAsia="es-ES"/>
        </w:rPr>
        <w:t xml:space="preserve"> S.A.</w:t>
      </w:r>
      <w:r w:rsidR="00BF77D4" w:rsidRPr="0087273B">
        <w:rPr>
          <w:rFonts w:ascii="Tahoma" w:hAnsi="Tahoma" w:cs="Tahoma"/>
          <w:lang w:val="es-ES" w:eastAsia="es-ES"/>
        </w:rPr>
        <w:t xml:space="preserve"> </w:t>
      </w:r>
      <w:r w:rsidR="00BF77D4" w:rsidRPr="0087273B">
        <w:rPr>
          <w:rFonts w:ascii="Tahoma" w:hAnsi="Tahoma" w:cs="Tahoma"/>
          <w:lang w:eastAsia="es-ES"/>
        </w:rPr>
        <w:t xml:space="preserve">el </w:t>
      </w:r>
      <w:r w:rsidR="00A311DC" w:rsidRPr="0087273B">
        <w:rPr>
          <w:rFonts w:ascii="Tahoma" w:hAnsi="Tahoma" w:cs="Tahoma"/>
          <w:lang w:eastAsia="es-ES"/>
        </w:rPr>
        <w:t xml:space="preserve">2 de agosto de </w:t>
      </w:r>
      <w:r w:rsidR="002B6705" w:rsidRPr="0087273B">
        <w:rPr>
          <w:rFonts w:ascii="Tahoma" w:hAnsi="Tahoma" w:cs="Tahoma"/>
          <w:lang w:eastAsia="es-ES"/>
        </w:rPr>
        <w:t>1994</w:t>
      </w:r>
      <w:r w:rsidR="00A311DC" w:rsidRPr="0087273B">
        <w:rPr>
          <w:rFonts w:ascii="Tahoma" w:hAnsi="Tahoma" w:cs="Tahoma"/>
          <w:lang w:eastAsia="es-ES"/>
        </w:rPr>
        <w:t>, efectivo a partir 01 de septiembre</w:t>
      </w:r>
      <w:r w:rsidR="002B6705" w:rsidRPr="0087273B">
        <w:rPr>
          <w:rFonts w:ascii="Tahoma" w:hAnsi="Tahoma" w:cs="Tahoma"/>
          <w:lang w:eastAsia="es-ES"/>
        </w:rPr>
        <w:t xml:space="preserve"> de </w:t>
      </w:r>
      <w:r w:rsidR="00E21E31" w:rsidRPr="0087273B">
        <w:rPr>
          <w:rFonts w:ascii="Tahoma" w:hAnsi="Tahoma" w:cs="Tahoma"/>
          <w:lang w:eastAsia="es-ES"/>
        </w:rPr>
        <w:t>1994,</w:t>
      </w:r>
      <w:r w:rsidR="00A311DC" w:rsidRPr="0087273B">
        <w:rPr>
          <w:rFonts w:ascii="Tahoma" w:hAnsi="Tahoma" w:cs="Tahoma"/>
          <w:lang w:eastAsia="es-ES"/>
        </w:rPr>
        <w:t xml:space="preserve"> </w:t>
      </w:r>
      <w:r w:rsidR="002B6705" w:rsidRPr="0087273B">
        <w:rPr>
          <w:rFonts w:ascii="Tahoma" w:hAnsi="Tahoma" w:cs="Tahoma"/>
          <w:lang w:val="es-ES" w:eastAsia="es-ES"/>
        </w:rPr>
        <w:t xml:space="preserve">y que los traslados realizados en el </w:t>
      </w:r>
      <w:proofErr w:type="spellStart"/>
      <w:r w:rsidR="002B6705" w:rsidRPr="0087273B">
        <w:rPr>
          <w:rFonts w:ascii="Tahoma" w:hAnsi="Tahoma" w:cs="Tahoma"/>
          <w:lang w:val="es-ES" w:eastAsia="es-ES"/>
        </w:rPr>
        <w:t>RAIS</w:t>
      </w:r>
      <w:proofErr w:type="spellEnd"/>
      <w:r w:rsidR="002B6705" w:rsidRPr="0087273B">
        <w:rPr>
          <w:rFonts w:ascii="Tahoma" w:hAnsi="Tahoma" w:cs="Tahoma"/>
          <w:lang w:val="es-ES" w:eastAsia="es-ES"/>
        </w:rPr>
        <w:t>, esto es</w:t>
      </w:r>
      <w:r w:rsidR="00E21E31" w:rsidRPr="0087273B">
        <w:rPr>
          <w:rFonts w:ascii="Tahoma" w:hAnsi="Tahoma" w:cs="Tahoma"/>
          <w:lang w:val="es-ES" w:eastAsia="es-ES"/>
        </w:rPr>
        <w:t xml:space="preserve">, el realizado </w:t>
      </w:r>
      <w:r w:rsidR="00A311DC" w:rsidRPr="0087273B">
        <w:rPr>
          <w:rFonts w:ascii="Tahoma" w:hAnsi="Tahoma" w:cs="Tahoma"/>
          <w:lang w:eastAsia="es-ES"/>
        </w:rPr>
        <w:t>a Horizonte, hoy Porvenir S.A. el 6 de julio de 1998</w:t>
      </w:r>
      <w:r w:rsidR="00A311DC" w:rsidRPr="0087273B">
        <w:rPr>
          <w:rFonts w:ascii="Tahoma" w:hAnsi="Tahoma" w:cs="Tahoma"/>
          <w:vertAlign w:val="superscript"/>
          <w:lang w:eastAsia="es-ES"/>
        </w:rPr>
        <w:footnoteReference w:id="22"/>
      </w:r>
      <w:r w:rsidR="00A311DC" w:rsidRPr="0087273B">
        <w:rPr>
          <w:rFonts w:ascii="Tahoma" w:hAnsi="Tahoma" w:cs="Tahoma"/>
          <w:lang w:eastAsia="es-ES"/>
        </w:rPr>
        <w:t xml:space="preserve">, efectivo a partir del 1 de septiembre de 1998; a </w:t>
      </w:r>
      <w:proofErr w:type="spellStart"/>
      <w:r w:rsidR="00A311DC" w:rsidRPr="0087273B">
        <w:rPr>
          <w:rFonts w:ascii="Tahoma" w:hAnsi="Tahoma" w:cs="Tahoma"/>
          <w:lang w:eastAsia="es-ES"/>
        </w:rPr>
        <w:t>Skandia</w:t>
      </w:r>
      <w:proofErr w:type="spellEnd"/>
      <w:r w:rsidR="00A311DC" w:rsidRPr="0087273B">
        <w:rPr>
          <w:rFonts w:ascii="Tahoma" w:hAnsi="Tahoma" w:cs="Tahoma"/>
          <w:lang w:eastAsia="es-ES"/>
        </w:rPr>
        <w:t xml:space="preserve"> </w:t>
      </w:r>
      <w:r w:rsidR="000B4FB6">
        <w:rPr>
          <w:rFonts w:ascii="Tahoma" w:hAnsi="Tahoma" w:cs="Tahoma"/>
          <w:lang w:eastAsia="es-ES"/>
        </w:rPr>
        <w:t xml:space="preserve">S.A. </w:t>
      </w:r>
      <w:r w:rsidR="00A311DC" w:rsidRPr="0087273B">
        <w:rPr>
          <w:rFonts w:ascii="Tahoma" w:hAnsi="Tahoma" w:cs="Tahoma"/>
          <w:lang w:eastAsia="es-ES"/>
        </w:rPr>
        <w:t>el 19 de septiembre de 2007</w:t>
      </w:r>
      <w:r w:rsidR="00A311DC" w:rsidRPr="0087273B">
        <w:rPr>
          <w:rFonts w:ascii="Tahoma" w:hAnsi="Tahoma" w:cs="Tahoma"/>
          <w:vertAlign w:val="superscript"/>
          <w:lang w:eastAsia="es-ES"/>
        </w:rPr>
        <w:footnoteReference w:id="23"/>
      </w:r>
      <w:r w:rsidR="00A311DC" w:rsidRPr="0087273B">
        <w:rPr>
          <w:rFonts w:ascii="Tahoma" w:hAnsi="Tahoma" w:cs="Tahoma"/>
          <w:lang w:eastAsia="es-ES"/>
        </w:rPr>
        <w:t>, efectivo a partir del 1 de noviembre de 2007</w:t>
      </w:r>
      <w:r w:rsidR="00A311DC" w:rsidRPr="0087273B">
        <w:rPr>
          <w:rFonts w:ascii="Tahoma" w:hAnsi="Tahoma" w:cs="Tahoma"/>
          <w:vertAlign w:val="superscript"/>
          <w:lang w:eastAsia="es-ES"/>
        </w:rPr>
        <w:footnoteReference w:id="24"/>
      </w:r>
      <w:r w:rsidR="00A311DC" w:rsidRPr="0087273B">
        <w:rPr>
          <w:rFonts w:ascii="Tahoma" w:hAnsi="Tahoma" w:cs="Tahoma"/>
          <w:lang w:eastAsia="es-ES"/>
        </w:rPr>
        <w:t xml:space="preserve">; y </w:t>
      </w:r>
      <w:r w:rsidR="00E21E31" w:rsidRPr="0087273B">
        <w:rPr>
          <w:rFonts w:ascii="Tahoma" w:hAnsi="Tahoma" w:cs="Tahoma"/>
          <w:lang w:eastAsia="es-ES"/>
        </w:rPr>
        <w:t xml:space="preserve">a </w:t>
      </w:r>
      <w:r w:rsidR="00A311DC" w:rsidRPr="0087273B">
        <w:rPr>
          <w:rFonts w:ascii="Tahoma" w:hAnsi="Tahoma" w:cs="Tahoma"/>
          <w:lang w:eastAsia="es-ES"/>
        </w:rPr>
        <w:t>Porvenir el 01 de octubre de 2012</w:t>
      </w:r>
      <w:r w:rsidR="00A311DC" w:rsidRPr="0087273B">
        <w:rPr>
          <w:rFonts w:ascii="Tahoma" w:hAnsi="Tahoma" w:cs="Tahoma"/>
          <w:vertAlign w:val="superscript"/>
          <w:lang w:eastAsia="es-ES"/>
        </w:rPr>
        <w:footnoteReference w:id="25"/>
      </w:r>
      <w:r w:rsidR="00A311DC" w:rsidRPr="0087273B">
        <w:rPr>
          <w:rFonts w:ascii="Tahoma" w:hAnsi="Tahoma" w:cs="Tahoma"/>
          <w:lang w:eastAsia="es-ES"/>
        </w:rPr>
        <w:t>, efectivo a partir del 1 de diciembre de 2012,</w:t>
      </w:r>
      <w:r w:rsidR="00D06BE7" w:rsidRPr="0087273B">
        <w:rPr>
          <w:rFonts w:ascii="Tahoma" w:hAnsi="Tahoma" w:cs="Tahoma"/>
          <w:lang w:eastAsia="es-ES"/>
        </w:rPr>
        <w:t xml:space="preserve"> </w:t>
      </w:r>
      <w:r w:rsidR="00BF77D4" w:rsidRPr="0087273B">
        <w:rPr>
          <w:rFonts w:ascii="Tahoma" w:hAnsi="Tahoma" w:cs="Tahoma"/>
          <w:lang w:eastAsia="es-ES"/>
        </w:rPr>
        <w:t>por ser posteriores al trasladó de régimen, están gobernado por el mismo efecto.</w:t>
      </w:r>
    </w:p>
    <w:p w14:paraId="473B54BB" w14:textId="2294C93D" w:rsidR="23A8B317" w:rsidRPr="0087273B" w:rsidRDefault="23A8B317" w:rsidP="0087273B">
      <w:pPr>
        <w:pStyle w:val="paragraph"/>
        <w:spacing w:before="0" w:beforeAutospacing="0" w:after="0" w:afterAutospacing="0" w:line="276" w:lineRule="auto"/>
        <w:ind w:firstLine="705"/>
        <w:jc w:val="both"/>
        <w:rPr>
          <w:rFonts w:ascii="Tahoma" w:hAnsi="Tahoma" w:cs="Tahoma"/>
          <w:lang w:eastAsia="es-ES"/>
        </w:rPr>
      </w:pPr>
    </w:p>
    <w:p w14:paraId="61A5FB06" w14:textId="1638A01C" w:rsidR="005521CB" w:rsidRPr="0087273B" w:rsidRDefault="00DF6BCE" w:rsidP="0087273B">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87273B">
        <w:rPr>
          <w:rFonts w:ascii="Tahoma" w:eastAsia="Calibri" w:hAnsi="Tahoma" w:cs="Tahoma"/>
          <w:lang w:eastAsia="es-CO"/>
        </w:rPr>
        <w:t xml:space="preserve">En cuanto a las condenas impartidas a cargo de </w:t>
      </w:r>
      <w:r w:rsidR="26FD2EC3" w:rsidRPr="0087273B">
        <w:rPr>
          <w:rFonts w:ascii="Tahoma" w:eastAsia="Calibri" w:hAnsi="Tahoma" w:cs="Tahoma"/>
          <w:lang w:eastAsia="es-CO"/>
        </w:rPr>
        <w:t>P</w:t>
      </w:r>
      <w:r w:rsidR="00FA4669" w:rsidRPr="0087273B">
        <w:rPr>
          <w:rFonts w:ascii="Tahoma" w:eastAsia="Calibri" w:hAnsi="Tahoma" w:cs="Tahoma"/>
          <w:lang w:eastAsia="es-CO"/>
        </w:rPr>
        <w:t>orvenir</w:t>
      </w:r>
      <w:r w:rsidR="00B72058" w:rsidRPr="0087273B">
        <w:rPr>
          <w:rFonts w:ascii="Tahoma" w:eastAsia="Calibri" w:hAnsi="Tahoma" w:cs="Tahoma"/>
          <w:lang w:eastAsia="es-CO"/>
        </w:rPr>
        <w:t xml:space="preserve"> </w:t>
      </w:r>
      <w:r w:rsidR="000B4FB6">
        <w:rPr>
          <w:rFonts w:ascii="Tahoma" w:eastAsia="Calibri" w:hAnsi="Tahoma" w:cs="Tahoma"/>
          <w:lang w:eastAsia="es-CO"/>
        </w:rPr>
        <w:t>S.A.</w:t>
      </w:r>
      <w:r w:rsidR="00FA4669" w:rsidRPr="0087273B">
        <w:rPr>
          <w:rFonts w:ascii="Tahoma" w:eastAsia="Calibri" w:hAnsi="Tahoma" w:cs="Tahoma"/>
          <w:lang w:eastAsia="es-CO"/>
        </w:rPr>
        <w:t xml:space="preserve"> </w:t>
      </w:r>
      <w:r w:rsidR="00E90354" w:rsidRPr="0087273B">
        <w:rPr>
          <w:rFonts w:ascii="Tahoma" w:eastAsia="Calibri" w:hAnsi="Tahoma" w:cs="Tahoma"/>
          <w:lang w:eastAsia="es-CO"/>
        </w:rPr>
        <w:t>Colfondos S.A.</w:t>
      </w:r>
      <w:r w:rsidR="007A1026" w:rsidRPr="0087273B">
        <w:rPr>
          <w:rFonts w:ascii="Tahoma" w:eastAsia="Calibri" w:hAnsi="Tahoma" w:cs="Tahoma"/>
          <w:lang w:eastAsia="es-CO"/>
        </w:rPr>
        <w:t xml:space="preserve"> </w:t>
      </w:r>
      <w:r w:rsidR="00FA4669" w:rsidRPr="0087273B">
        <w:rPr>
          <w:rFonts w:ascii="Tahoma" w:eastAsia="Calibri" w:hAnsi="Tahoma" w:cs="Tahoma"/>
          <w:lang w:eastAsia="es-CO"/>
        </w:rPr>
        <w:t xml:space="preserve">y </w:t>
      </w:r>
      <w:proofErr w:type="spellStart"/>
      <w:r w:rsidR="00FA4669" w:rsidRPr="0087273B">
        <w:rPr>
          <w:rFonts w:ascii="Tahoma" w:eastAsia="Calibri" w:hAnsi="Tahoma" w:cs="Tahoma"/>
          <w:lang w:eastAsia="es-CO"/>
        </w:rPr>
        <w:t>Skandia</w:t>
      </w:r>
      <w:proofErr w:type="spellEnd"/>
      <w:r w:rsidR="00FA4669" w:rsidRPr="0087273B">
        <w:rPr>
          <w:rFonts w:ascii="Tahoma" w:eastAsia="Calibri" w:hAnsi="Tahoma" w:cs="Tahoma"/>
          <w:lang w:eastAsia="es-CO"/>
        </w:rPr>
        <w:t xml:space="preserve"> S.A. </w:t>
      </w:r>
      <w:r w:rsidR="009F13DB" w:rsidRPr="0087273B">
        <w:rPr>
          <w:rFonts w:ascii="Tahoma" w:eastAsia="Calibri" w:hAnsi="Tahoma" w:cs="Tahoma"/>
          <w:lang w:eastAsia="es-CO"/>
        </w:rPr>
        <w:t xml:space="preserve">se dirá que en estricto acatamiento de las consecuencias previstas por la Corte Suprema de Justicia, entre otras, en las sentencias CSJ </w:t>
      </w:r>
      <w:r w:rsidR="009F13DB" w:rsidRPr="0087273B">
        <w:rPr>
          <w:rFonts w:ascii="Tahoma" w:eastAsia="Calibri" w:hAnsi="Tahoma" w:cs="Tahoma"/>
          <w:lang w:val="es-ES" w:eastAsia="es-CO"/>
        </w:rPr>
        <w:t>SL1084-2023, CSJ SL 932-2023, CSJ SL 4297-2022, CSJ SL3465-2022, CSJ SL2229-2022 y CSJ SL3188-2022,</w:t>
      </w:r>
      <w:r w:rsidR="009F13DB" w:rsidRPr="0087273B">
        <w:rPr>
          <w:rFonts w:ascii="Tahoma" w:eastAsia="Calibri" w:hAnsi="Tahoma" w:cs="Tahoma"/>
          <w:b/>
          <w:bCs/>
          <w:lang w:val="es-ES" w:eastAsia="es-CO"/>
        </w:rPr>
        <w:t xml:space="preserve"> </w:t>
      </w:r>
      <w:r w:rsidR="009F13DB" w:rsidRPr="0087273B">
        <w:rPr>
          <w:rFonts w:ascii="Tahoma" w:eastAsia="Calibri" w:hAnsi="Tahoma" w:cs="Tahoma"/>
          <w:lang w:eastAsia="es-CO"/>
        </w:rPr>
        <w:t xml:space="preserve">previamente citadas, es su deber devolver a Colpensiones </w:t>
      </w:r>
      <w:r w:rsidR="009F13DB" w:rsidRPr="0087273B">
        <w:rPr>
          <w:rFonts w:ascii="Tahoma" w:eastAsia="Calibri" w:hAnsi="Tahoma" w:cs="Tahoma"/>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734A9F" w:rsidRPr="0087273B">
        <w:rPr>
          <w:rFonts w:ascii="Tahoma" w:eastAsia="Calibri" w:hAnsi="Tahoma" w:cs="Tahoma"/>
          <w:lang w:eastAsia="es-CO"/>
        </w:rPr>
        <w:t>.</w:t>
      </w:r>
      <w:r w:rsidR="00BF77D4" w:rsidRPr="0087273B">
        <w:rPr>
          <w:rFonts w:ascii="Tahoma" w:eastAsia="Calibri" w:hAnsi="Tahoma" w:cs="Tahoma"/>
          <w:bCs/>
          <w:iCs/>
          <w:lang w:val="es-ES" w:eastAsia="es-CO"/>
        </w:rPr>
        <w:t xml:space="preserve"> Por lo anterior, </w:t>
      </w:r>
      <w:r w:rsidR="00BF77D4" w:rsidRPr="0087273B">
        <w:rPr>
          <w:rFonts w:ascii="Tahoma" w:eastAsia="Calibri" w:hAnsi="Tahoma" w:cs="Tahoma"/>
          <w:lang w:eastAsia="es-CO"/>
        </w:rPr>
        <w:t>se modificarán los ordinales segundo y tercero, para mayor claridad, debido a que el juez de instancia no discriminó cuáles eran los conceptos que los fondos debían trasladar con cargo a sus propios recursos</w:t>
      </w:r>
      <w:r w:rsidR="005521CB" w:rsidRPr="0087273B">
        <w:rPr>
          <w:rFonts w:ascii="Tahoma" w:eastAsia="Calibri" w:hAnsi="Tahoma" w:cs="Tahoma"/>
          <w:lang w:eastAsia="es-CO"/>
        </w:rPr>
        <w:t xml:space="preserve">, y se excluirá la condena dirigida a la </w:t>
      </w:r>
      <w:r w:rsidR="00AD6379" w:rsidRPr="0087273B">
        <w:rPr>
          <w:rFonts w:ascii="Tahoma" w:eastAsia="Calibri" w:hAnsi="Tahoma" w:cs="Tahoma"/>
          <w:lang w:eastAsia="es-CO"/>
        </w:rPr>
        <w:t>devolución del bono pensiona</w:t>
      </w:r>
      <w:r w:rsidR="005521CB" w:rsidRPr="0087273B">
        <w:rPr>
          <w:rFonts w:ascii="Tahoma" w:eastAsia="Calibri" w:hAnsi="Tahoma" w:cs="Tahoma"/>
          <w:lang w:eastAsia="es-CO"/>
        </w:rPr>
        <w:t>l, como quiera que la accionante no tenía derecho a</w:t>
      </w:r>
      <w:r w:rsidR="007B101B" w:rsidRPr="0087273B">
        <w:rPr>
          <w:rFonts w:ascii="Tahoma" w:eastAsia="Calibri" w:hAnsi="Tahoma" w:cs="Tahoma"/>
          <w:lang w:eastAsia="es-CO"/>
        </w:rPr>
        <w:t xml:space="preserve"> reconocimiento de</w:t>
      </w:r>
      <w:r w:rsidR="005521CB" w:rsidRPr="0087273B">
        <w:rPr>
          <w:rFonts w:ascii="Tahoma" w:eastAsia="Calibri" w:hAnsi="Tahoma" w:cs="Tahoma"/>
          <w:lang w:eastAsia="es-CO"/>
        </w:rPr>
        <w:t xml:space="preserve"> bono</w:t>
      </w:r>
      <w:r w:rsidR="00383CA2" w:rsidRPr="0087273B">
        <w:rPr>
          <w:rFonts w:ascii="Tahoma" w:eastAsia="Calibri" w:hAnsi="Tahoma" w:cs="Tahoma"/>
          <w:lang w:eastAsia="es-CO"/>
        </w:rPr>
        <w:t xml:space="preserve"> pensional</w:t>
      </w:r>
      <w:r w:rsidR="005521CB" w:rsidRPr="0087273B">
        <w:rPr>
          <w:rFonts w:ascii="Tahoma" w:eastAsia="Calibri" w:hAnsi="Tahoma" w:cs="Tahoma"/>
          <w:lang w:eastAsia="es-CO"/>
        </w:rPr>
        <w:t xml:space="preserve"> tipo A</w:t>
      </w:r>
      <w:r w:rsidR="007B101B" w:rsidRPr="0087273B">
        <w:rPr>
          <w:rFonts w:ascii="Tahoma" w:eastAsia="Calibri" w:hAnsi="Tahoma" w:cs="Tahoma"/>
          <w:lang w:eastAsia="es-CO"/>
        </w:rPr>
        <w:t xml:space="preserve">, debido a que previó al traslado al RAIS </w:t>
      </w:r>
      <w:r w:rsidR="005E79D6" w:rsidRPr="0087273B">
        <w:rPr>
          <w:rFonts w:ascii="Tahoma" w:eastAsia="Calibri" w:hAnsi="Tahoma" w:cs="Tahoma"/>
          <w:lang w:eastAsia="es-CO"/>
        </w:rPr>
        <w:t xml:space="preserve">solo cotizó 36 semanas </w:t>
      </w:r>
      <w:r w:rsidR="00383CA2" w:rsidRPr="0087273B">
        <w:rPr>
          <w:rFonts w:ascii="Tahoma" w:eastAsia="Calibri" w:hAnsi="Tahoma" w:cs="Tahoma"/>
          <w:lang w:eastAsia="es-CO"/>
        </w:rPr>
        <w:t xml:space="preserve">en el RPM, </w:t>
      </w:r>
      <w:r w:rsidR="005E79D6" w:rsidRPr="0087273B">
        <w:rPr>
          <w:rFonts w:ascii="Tahoma" w:eastAsia="Calibri" w:hAnsi="Tahoma" w:cs="Tahoma"/>
          <w:lang w:eastAsia="es-CO"/>
        </w:rPr>
        <w:t>esto es menos de las 150 previstas por la norma para su causación.</w:t>
      </w:r>
    </w:p>
    <w:p w14:paraId="54F5D5EA" w14:textId="77777777" w:rsidR="00AD6379" w:rsidRPr="0087273B" w:rsidRDefault="00AD6379" w:rsidP="0087273B">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4249906C" w14:textId="1494EDF0" w:rsidR="009066CA" w:rsidRPr="0087273B" w:rsidRDefault="00AD6379" w:rsidP="0087273B">
      <w:pPr>
        <w:spacing w:before="0" w:beforeAutospacing="0" w:after="0" w:afterAutospacing="0" w:line="276" w:lineRule="auto"/>
        <w:rPr>
          <w:rFonts w:ascii="Tahoma" w:hAnsi="Tahoma" w:cs="Tahoma"/>
          <w:bCs/>
          <w:lang w:val="es-ES"/>
        </w:rPr>
      </w:pPr>
      <w:r w:rsidRPr="0087273B">
        <w:rPr>
          <w:rFonts w:ascii="Tahoma" w:hAnsi="Tahoma" w:cs="Tahoma"/>
        </w:rPr>
        <w:t>Bajo las mismas premisas, se adicionará la sentencia para precisar que al momento del cumplimiento de esa orden “</w:t>
      </w:r>
      <w:r w:rsidRPr="00A13BFF">
        <w:rPr>
          <w:rFonts w:ascii="Tahoma" w:hAnsi="Tahoma" w:cs="Tahoma"/>
          <w:bCs/>
          <w:i/>
          <w:iCs/>
          <w:sz w:val="22"/>
          <w:lang w:val="es-ES"/>
        </w:rPr>
        <w:t>tales valores deberán aparecer discriminados con sus respectivos montos, junto con el detalle pormenorizado de los ciclos, IBC, aportes y demás información relevante que los justifiquen</w:t>
      </w:r>
      <w:r w:rsidRPr="0087273B">
        <w:rPr>
          <w:rFonts w:ascii="Tahoma" w:hAnsi="Tahoma" w:cs="Tahoma"/>
          <w:bCs/>
          <w:i/>
          <w:iCs/>
          <w:lang w:val="es-ES"/>
        </w:rPr>
        <w:t>”</w:t>
      </w:r>
      <w:r w:rsidR="003E36F3" w:rsidRPr="0087273B">
        <w:rPr>
          <w:rFonts w:ascii="Tahoma" w:hAnsi="Tahoma" w:cs="Tahoma"/>
          <w:bCs/>
          <w:i/>
          <w:iCs/>
          <w:lang w:val="es-ES"/>
        </w:rPr>
        <w:t xml:space="preserve">, </w:t>
      </w:r>
      <w:r w:rsidR="003E36F3" w:rsidRPr="0087273B">
        <w:rPr>
          <w:rFonts w:ascii="Tahoma" w:hAnsi="Tahoma" w:cs="Tahoma"/>
          <w:bCs/>
          <w:lang w:val="es-ES"/>
        </w:rPr>
        <w:t xml:space="preserve">y el numeral cuarto, en el sentido de que </w:t>
      </w:r>
      <w:r w:rsidR="009E6119" w:rsidRPr="0087273B">
        <w:rPr>
          <w:rFonts w:ascii="Tahoma" w:hAnsi="Tahoma" w:cs="Tahoma"/>
          <w:bCs/>
          <w:lang w:val="es-ES"/>
        </w:rPr>
        <w:t xml:space="preserve">una vez cumplida la orden por Porvenir </w:t>
      </w:r>
      <w:r w:rsidR="000B4FB6">
        <w:rPr>
          <w:rFonts w:ascii="Tahoma" w:hAnsi="Tahoma" w:cs="Tahoma"/>
          <w:bCs/>
          <w:lang w:val="es-ES"/>
        </w:rPr>
        <w:t>S.A.</w:t>
      </w:r>
      <w:r w:rsidR="009E6119" w:rsidRPr="0087273B">
        <w:rPr>
          <w:rFonts w:ascii="Tahoma" w:hAnsi="Tahoma" w:cs="Tahoma"/>
          <w:bCs/>
          <w:lang w:val="es-ES"/>
        </w:rPr>
        <w:t xml:space="preserve"> </w:t>
      </w:r>
      <w:proofErr w:type="spellStart"/>
      <w:r w:rsidR="009E6119" w:rsidRPr="0087273B">
        <w:rPr>
          <w:rFonts w:ascii="Tahoma" w:hAnsi="Tahoma" w:cs="Tahoma"/>
          <w:bCs/>
          <w:lang w:val="es-ES"/>
        </w:rPr>
        <w:t>Skandia</w:t>
      </w:r>
      <w:proofErr w:type="spellEnd"/>
      <w:r w:rsidR="009E6119" w:rsidRPr="0087273B">
        <w:rPr>
          <w:rFonts w:ascii="Tahoma" w:hAnsi="Tahoma" w:cs="Tahoma"/>
          <w:bCs/>
          <w:lang w:val="es-ES"/>
        </w:rPr>
        <w:t xml:space="preserve"> S.A. y </w:t>
      </w:r>
      <w:proofErr w:type="spellStart"/>
      <w:r w:rsidR="009E6119" w:rsidRPr="0087273B">
        <w:rPr>
          <w:rFonts w:ascii="Tahoma" w:hAnsi="Tahoma" w:cs="Tahoma"/>
          <w:bCs/>
          <w:lang w:val="es-ES"/>
        </w:rPr>
        <w:t>Colfondos</w:t>
      </w:r>
      <w:proofErr w:type="spellEnd"/>
      <w:r w:rsidR="009E6119" w:rsidRPr="0087273B">
        <w:rPr>
          <w:rFonts w:ascii="Tahoma" w:hAnsi="Tahoma" w:cs="Tahoma"/>
          <w:bCs/>
          <w:lang w:val="es-ES"/>
        </w:rPr>
        <w:t xml:space="preserve"> S.A., Colpensiones deberá aceptar el traslado de la demandante, sin solución de continuidad, convalidando la información en su historia laboral.</w:t>
      </w:r>
    </w:p>
    <w:p w14:paraId="3E11157B" w14:textId="77777777" w:rsidR="00383CA2" w:rsidRPr="0087273B" w:rsidRDefault="00383CA2" w:rsidP="0087273B">
      <w:pPr>
        <w:spacing w:before="0" w:beforeAutospacing="0" w:after="0" w:afterAutospacing="0" w:line="276" w:lineRule="auto"/>
        <w:rPr>
          <w:rFonts w:ascii="Tahoma" w:hAnsi="Tahoma" w:cs="Tahoma"/>
        </w:rPr>
      </w:pPr>
    </w:p>
    <w:p w14:paraId="66470B79" w14:textId="49BC765E" w:rsidR="009066CA" w:rsidRPr="0087273B" w:rsidRDefault="009066CA" w:rsidP="0087273B">
      <w:pPr>
        <w:widowControl w:val="0"/>
        <w:autoSpaceDE w:val="0"/>
        <w:autoSpaceDN w:val="0"/>
        <w:adjustRightInd w:val="0"/>
        <w:spacing w:before="0" w:beforeAutospacing="0" w:after="0" w:afterAutospacing="0" w:line="276" w:lineRule="auto"/>
        <w:ind w:firstLine="708"/>
        <w:rPr>
          <w:rFonts w:ascii="Tahoma" w:eastAsia="Calibri" w:hAnsi="Tahoma" w:cs="Tahoma"/>
          <w:lang w:val="es" w:eastAsia="es-CO"/>
        </w:rPr>
      </w:pPr>
      <w:r w:rsidRPr="0087273B">
        <w:rPr>
          <w:rFonts w:ascii="Tahoma" w:eastAsia="Calibri" w:hAnsi="Tahoma" w:cs="Tahoma"/>
          <w:lang w:eastAsia="es-CO"/>
        </w:rPr>
        <w:t xml:space="preserve">Por otra parte, improcedente resulta </w:t>
      </w:r>
      <w:r w:rsidRPr="0087273B">
        <w:rPr>
          <w:rFonts w:ascii="Tahoma" w:eastAsia="Calibri" w:hAnsi="Tahoma" w:cs="Tahoma"/>
          <w:lang w:val="es" w:eastAsia="es-CO"/>
        </w:rPr>
        <w:t>condenar a P</w:t>
      </w:r>
      <w:r w:rsidR="00E2151F" w:rsidRPr="0087273B">
        <w:rPr>
          <w:rFonts w:ascii="Tahoma" w:eastAsia="Calibri" w:hAnsi="Tahoma" w:cs="Tahoma"/>
          <w:lang w:val="es" w:eastAsia="es-CO"/>
        </w:rPr>
        <w:t xml:space="preserve">orvenir </w:t>
      </w:r>
      <w:r w:rsidR="000B4FB6">
        <w:rPr>
          <w:rFonts w:ascii="Tahoma" w:eastAsia="Calibri" w:hAnsi="Tahoma" w:cs="Tahoma"/>
          <w:lang w:val="es" w:eastAsia="es-CO"/>
        </w:rPr>
        <w:t xml:space="preserve">S.A. </w:t>
      </w:r>
      <w:r w:rsidRPr="0087273B">
        <w:rPr>
          <w:rFonts w:ascii="Tahoma" w:eastAsia="Calibri" w:hAnsi="Tahoma" w:cs="Tahoma"/>
          <w:lang w:val="es" w:eastAsia="es-CO"/>
        </w:rPr>
        <w:t xml:space="preserve">a título de sanción al pago de un cálculo actuarial equivalente al valor total de las mesadas pensionales liquidadas bajo los parámetros del régimen de prima media teniendo en cuenta para ello la expectativa de vida del demandante, pues teniendo en cuenta las implicaciones que ello implica para la AFP, ello debe ser objeto de demanda de Colpensiones contra la AFP a efectos de que esta última ejerza debidamente su derecho de defensa. En consecuencia, el cálculo actuarial solicitado por Colpensiones no puede analizarse en este asunto porque no hay pretensiones en ese sentido. Por otra parte, no puede pasarse inadvertido que dentro de la acción de ineficacia las sanciones son taxativas y su interpretación restrictiva y la única sanción legal establecida para quienes atenten contra la afiliación libre, voluntaria e informada del trabajador es la prevista en el artículo 271 de la Ley 100 de 1993, cuya imposición le compete al Ministerio del Trabajo y Seguridad Social o del Ministerio de Salud en cada caso y no a la justicia del trabajo. Lo anterior sin perjuicio de las acciones por indemnización de perjuicios que eventualmente tienen </w:t>
      </w:r>
      <w:r w:rsidR="002F5BD0" w:rsidRPr="0087273B">
        <w:rPr>
          <w:rFonts w:ascii="Tahoma" w:eastAsia="Calibri" w:hAnsi="Tahoma" w:cs="Tahoma"/>
          <w:lang w:val="es" w:eastAsia="es-CO"/>
        </w:rPr>
        <w:t>la</w:t>
      </w:r>
      <w:r w:rsidRPr="0087273B">
        <w:rPr>
          <w:rFonts w:ascii="Tahoma" w:eastAsia="Calibri" w:hAnsi="Tahoma" w:cs="Tahoma"/>
          <w:lang w:val="es" w:eastAsia="es-CO"/>
        </w:rPr>
        <w:t xml:space="preserve"> afiliad</w:t>
      </w:r>
      <w:r w:rsidR="002F5BD0" w:rsidRPr="0087273B">
        <w:rPr>
          <w:rFonts w:ascii="Tahoma" w:eastAsia="Calibri" w:hAnsi="Tahoma" w:cs="Tahoma"/>
          <w:lang w:val="es" w:eastAsia="es-CO"/>
        </w:rPr>
        <w:t>a</w:t>
      </w:r>
      <w:r w:rsidRPr="0087273B">
        <w:rPr>
          <w:rFonts w:ascii="Tahoma" w:eastAsia="Calibri" w:hAnsi="Tahoma" w:cs="Tahoma"/>
          <w:lang w:val="es" w:eastAsia="es-CO"/>
        </w:rPr>
        <w:t xml:space="preserve"> y Colpensiones.</w:t>
      </w:r>
    </w:p>
    <w:p w14:paraId="0729899F" w14:textId="77777777" w:rsidR="008627DF" w:rsidRPr="0087273B" w:rsidRDefault="008627DF" w:rsidP="0087273B">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12DB8E88" w14:textId="743D8AB4" w:rsidR="00E2151F" w:rsidRPr="0087273B" w:rsidRDefault="00E2151F" w:rsidP="0087273B">
      <w:pPr>
        <w:spacing w:before="0" w:beforeAutospacing="0" w:after="0" w:afterAutospacing="0" w:line="276" w:lineRule="auto"/>
        <w:rPr>
          <w:rFonts w:ascii="Tahoma" w:hAnsi="Tahoma" w:cs="Tahoma"/>
          <w:lang w:eastAsia="es-CO"/>
        </w:rPr>
      </w:pPr>
      <w:r w:rsidRPr="0087273B">
        <w:rPr>
          <w:rFonts w:ascii="Tahoma" w:hAnsi="Tahoma" w:cs="Tahoma"/>
        </w:rPr>
        <w:t xml:space="preserve">Finalmente, pese a que no fue objeto de alzada, no puede desconocer la Corporación que el fallador de instancia fijó erradamente las agencias en derecho en la sentencia objeto de estudio, ya que según prevé el artículo 366 del Código General </w:t>
      </w:r>
      <w:r w:rsidRPr="0087273B">
        <w:rPr>
          <w:rFonts w:ascii="Tahoma" w:hAnsi="Tahoma" w:cs="Tahoma"/>
        </w:rPr>
        <w:lastRenderedPageBreak/>
        <w:t xml:space="preserve">del Proceso dicha etapa procesal se dispuso una vez ejecutoriada la providencia que le ponga fin al proceso o se notifique el auto de obedecimiento a lo dispuesto por el superior. Así las cosas, con el fin de proteger los derechos de contradicción y defensa de las partes procesales, que en este aspecto solo pueden ser ejercidos frente al auto que aprueba la liquidación de costas, se modificará el numeral </w:t>
      </w:r>
      <w:r w:rsidR="00486AC4" w:rsidRPr="0087273B">
        <w:rPr>
          <w:rFonts w:ascii="Tahoma" w:hAnsi="Tahoma" w:cs="Tahoma"/>
        </w:rPr>
        <w:t>séptim</w:t>
      </w:r>
      <w:r w:rsidRPr="0087273B">
        <w:rPr>
          <w:rFonts w:ascii="Tahoma" w:hAnsi="Tahoma" w:cs="Tahoma"/>
        </w:rPr>
        <w:t xml:space="preserve">o de la providencia recurrida para excluir la fijación de agencias en derecho, y se revocará el ordinal </w:t>
      </w:r>
      <w:r w:rsidR="00486AC4" w:rsidRPr="0087273B">
        <w:rPr>
          <w:rFonts w:ascii="Tahoma" w:hAnsi="Tahoma" w:cs="Tahoma"/>
        </w:rPr>
        <w:t xml:space="preserve">noveno </w:t>
      </w:r>
      <w:r w:rsidRPr="0087273B">
        <w:rPr>
          <w:rFonts w:ascii="Tahoma" w:hAnsi="Tahoma" w:cs="Tahoma"/>
        </w:rPr>
        <w:t>por desconocer las etapas en mención. </w:t>
      </w:r>
    </w:p>
    <w:p w14:paraId="24E22614" w14:textId="77777777" w:rsidR="00E2151F" w:rsidRPr="0087273B" w:rsidRDefault="00E2151F" w:rsidP="0087273B">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540DEC20" w14:textId="4A15F966" w:rsidR="00BA0474" w:rsidRPr="0087273B" w:rsidRDefault="00BA0474" w:rsidP="0087273B">
      <w:pPr>
        <w:spacing w:before="0" w:beforeAutospacing="0" w:after="0" w:afterAutospacing="0" w:line="276" w:lineRule="auto"/>
        <w:ind w:firstLine="708"/>
        <w:rPr>
          <w:rFonts w:ascii="Tahoma" w:eastAsia="Calibri" w:hAnsi="Tahoma" w:cs="Tahoma"/>
          <w:lang w:eastAsia="es-CO"/>
        </w:rPr>
      </w:pPr>
      <w:r w:rsidRPr="0087273B">
        <w:rPr>
          <w:rFonts w:ascii="Tahoma" w:eastAsia="Calibri" w:hAnsi="Tahoma" w:cs="Tahoma"/>
          <w:lang w:eastAsia="es-CO"/>
        </w:rPr>
        <w:t xml:space="preserve">Ante el fracaso del recurso de apelación, de conformidad con el artículo 365 del CGP, se condenará en costas procesales </w:t>
      </w:r>
      <w:r w:rsidR="00467BCB" w:rsidRPr="0087273B">
        <w:rPr>
          <w:rFonts w:ascii="Tahoma" w:eastAsia="Calibri" w:hAnsi="Tahoma" w:cs="Tahoma"/>
          <w:lang w:eastAsia="es-CO"/>
        </w:rPr>
        <w:t>a</w:t>
      </w:r>
      <w:r w:rsidR="00E90354" w:rsidRPr="0087273B">
        <w:rPr>
          <w:rFonts w:ascii="Tahoma" w:eastAsia="Calibri" w:hAnsi="Tahoma" w:cs="Tahoma"/>
          <w:lang w:eastAsia="es-CO"/>
        </w:rPr>
        <w:t xml:space="preserve"> l</w:t>
      </w:r>
      <w:r w:rsidR="00BF49D9" w:rsidRPr="0087273B">
        <w:rPr>
          <w:rFonts w:ascii="Tahoma" w:eastAsia="Calibri" w:hAnsi="Tahoma" w:cs="Tahoma"/>
          <w:lang w:eastAsia="es-CO"/>
        </w:rPr>
        <w:t>a</w:t>
      </w:r>
      <w:r w:rsidR="00E90354" w:rsidRPr="0087273B">
        <w:rPr>
          <w:rFonts w:ascii="Tahoma" w:eastAsia="Calibri" w:hAnsi="Tahoma" w:cs="Tahoma"/>
          <w:lang w:eastAsia="es-CO"/>
        </w:rPr>
        <w:t xml:space="preserve">s recuentes </w:t>
      </w:r>
      <w:r w:rsidR="0090694C" w:rsidRPr="0087273B">
        <w:rPr>
          <w:rFonts w:ascii="Tahoma" w:eastAsia="Calibri" w:hAnsi="Tahoma" w:cs="Tahoma"/>
          <w:lang w:eastAsia="es-CO"/>
        </w:rPr>
        <w:t>en</w:t>
      </w:r>
      <w:r w:rsidRPr="0087273B">
        <w:rPr>
          <w:rFonts w:ascii="Tahoma" w:eastAsia="Calibri" w:hAnsi="Tahoma" w:cs="Tahoma"/>
          <w:lang w:eastAsia="es-CO"/>
        </w:rPr>
        <w:t xml:space="preserve"> favor de la parte actora, las cuales se liquidarán por la secretaría del juzgado de origen.</w:t>
      </w:r>
    </w:p>
    <w:p w14:paraId="180F9CBD" w14:textId="77777777" w:rsidR="008C3C1E" w:rsidRPr="0087273B" w:rsidRDefault="008C3C1E" w:rsidP="0087273B">
      <w:pPr>
        <w:spacing w:before="0" w:beforeAutospacing="0" w:after="0" w:afterAutospacing="0" w:line="276" w:lineRule="auto"/>
        <w:ind w:firstLine="284"/>
        <w:rPr>
          <w:rFonts w:ascii="Tahoma" w:eastAsia="Tahoma" w:hAnsi="Tahoma" w:cs="Tahoma"/>
          <w:lang w:eastAsia="es-CO"/>
        </w:rPr>
      </w:pPr>
    </w:p>
    <w:p w14:paraId="29FCCA0A" w14:textId="77777777" w:rsidR="008C3C1E" w:rsidRPr="0087273B" w:rsidRDefault="008C3C1E" w:rsidP="0087273B">
      <w:pPr>
        <w:spacing w:before="0" w:beforeAutospacing="0" w:after="0" w:afterAutospacing="0" w:line="276" w:lineRule="auto"/>
        <w:ind w:firstLine="708"/>
        <w:rPr>
          <w:rFonts w:ascii="Tahoma" w:eastAsia="Tahoma" w:hAnsi="Tahoma" w:cs="Tahoma"/>
          <w:lang w:eastAsia="es-CO"/>
        </w:rPr>
      </w:pPr>
      <w:r w:rsidRPr="0087273B">
        <w:rPr>
          <w:rFonts w:ascii="Tahoma" w:eastAsia="Tahoma" w:hAnsi="Tahoma" w:cs="Tahoma"/>
          <w:lang w:eastAsia="es-CO"/>
        </w:rPr>
        <w:t xml:space="preserve">En mérito de lo expuesto, el </w:t>
      </w:r>
      <w:r w:rsidRPr="0087273B">
        <w:rPr>
          <w:rFonts w:ascii="Tahoma" w:eastAsia="Tahoma" w:hAnsi="Tahoma" w:cs="Tahoma"/>
          <w:b/>
          <w:bCs/>
          <w:lang w:eastAsia="es-CO"/>
        </w:rPr>
        <w:t>Tribunal Superior del Distrito Judicial de Pereira - Risaralda, Sala Primera de Decisión Laboral,</w:t>
      </w:r>
      <w:r w:rsidRPr="0087273B">
        <w:rPr>
          <w:rFonts w:ascii="Tahoma" w:eastAsia="Tahoma" w:hAnsi="Tahoma" w:cs="Tahoma"/>
          <w:lang w:eastAsia="es-CO"/>
        </w:rPr>
        <w:t xml:space="preserve"> administrando justicia en nombre de la República y por autoridad de la ley,</w:t>
      </w:r>
    </w:p>
    <w:p w14:paraId="61DFB121" w14:textId="77777777" w:rsidR="008C3C1E" w:rsidRPr="0087273B" w:rsidRDefault="008C3C1E" w:rsidP="0087273B">
      <w:pPr>
        <w:spacing w:before="0" w:beforeAutospacing="0" w:after="0" w:afterAutospacing="0" w:line="276" w:lineRule="auto"/>
        <w:ind w:firstLine="644"/>
        <w:rPr>
          <w:rFonts w:ascii="Tahoma" w:eastAsia="Tahoma" w:hAnsi="Tahoma" w:cs="Tahoma"/>
          <w:lang w:eastAsia="es-CO"/>
        </w:rPr>
      </w:pPr>
      <w:r w:rsidRPr="0087273B">
        <w:rPr>
          <w:rFonts w:ascii="Tahoma" w:eastAsia="Tahoma" w:hAnsi="Tahoma" w:cs="Tahoma"/>
          <w:lang w:eastAsia="es-CO"/>
        </w:rPr>
        <w:t xml:space="preserve"> </w:t>
      </w:r>
    </w:p>
    <w:p w14:paraId="5D9B3479" w14:textId="77777777" w:rsidR="008C3C1E" w:rsidRPr="0087273B" w:rsidRDefault="008C3C1E" w:rsidP="00A13BFF">
      <w:pPr>
        <w:spacing w:before="0" w:beforeAutospacing="0" w:after="0" w:afterAutospacing="0" w:line="276" w:lineRule="auto"/>
        <w:ind w:firstLine="0"/>
        <w:jc w:val="center"/>
        <w:rPr>
          <w:rFonts w:ascii="Tahoma" w:eastAsia="Tahoma" w:hAnsi="Tahoma" w:cs="Tahoma"/>
          <w:lang w:eastAsia="es-CO"/>
        </w:rPr>
      </w:pPr>
      <w:r w:rsidRPr="0087273B">
        <w:rPr>
          <w:rFonts w:ascii="Tahoma" w:eastAsia="Tahoma" w:hAnsi="Tahoma" w:cs="Tahoma"/>
          <w:b/>
          <w:bCs/>
          <w:lang w:eastAsia="es-CO"/>
        </w:rPr>
        <w:t>RESUELVE</w:t>
      </w:r>
    </w:p>
    <w:p w14:paraId="0E17455F" w14:textId="77777777" w:rsidR="005314C7" w:rsidRPr="0087273B" w:rsidRDefault="008C3C1E" w:rsidP="0087273B">
      <w:pPr>
        <w:spacing w:before="0" w:beforeAutospacing="0" w:after="0" w:afterAutospacing="0" w:line="276" w:lineRule="auto"/>
        <w:ind w:firstLine="0"/>
        <w:jc w:val="center"/>
        <w:rPr>
          <w:rFonts w:ascii="Tahoma" w:eastAsia="Tahoma" w:hAnsi="Tahoma" w:cs="Tahoma"/>
          <w:lang w:eastAsia="es-CO"/>
        </w:rPr>
      </w:pPr>
      <w:r w:rsidRPr="0087273B">
        <w:rPr>
          <w:rFonts w:ascii="Tahoma" w:eastAsia="Tahoma" w:hAnsi="Tahoma" w:cs="Tahoma"/>
          <w:b/>
          <w:bCs/>
          <w:lang w:eastAsia="es-CO"/>
        </w:rPr>
        <w:t xml:space="preserve"> </w:t>
      </w:r>
    </w:p>
    <w:p w14:paraId="74CF4275" w14:textId="7C100C53" w:rsidR="00DB3500" w:rsidRPr="0087273B" w:rsidRDefault="00DB3500" w:rsidP="0087273B">
      <w:pPr>
        <w:spacing w:before="0" w:beforeAutospacing="0" w:after="0" w:afterAutospacing="0" w:line="276" w:lineRule="auto"/>
        <w:ind w:firstLine="708"/>
        <w:contextualSpacing/>
        <w:rPr>
          <w:rFonts w:ascii="Tahoma" w:eastAsia="Tahoma" w:hAnsi="Tahoma" w:cs="Tahoma"/>
          <w:b/>
          <w:bCs/>
          <w:lang w:eastAsia="es-CO"/>
        </w:rPr>
      </w:pPr>
      <w:r w:rsidRPr="0087273B">
        <w:rPr>
          <w:rFonts w:ascii="Tahoma" w:eastAsia="Times New Roman" w:hAnsi="Tahoma" w:cs="Tahoma"/>
          <w:b/>
          <w:bCs/>
          <w:lang w:eastAsia="es-CO"/>
        </w:rPr>
        <w:t xml:space="preserve">PRIMERO: </w:t>
      </w:r>
      <w:r w:rsidRPr="0087273B">
        <w:rPr>
          <w:rFonts w:ascii="Tahoma" w:eastAsia="Times New Roman" w:hAnsi="Tahoma" w:cs="Tahoma"/>
          <w:lang w:eastAsia="es-CO"/>
        </w:rPr>
        <w:t> </w:t>
      </w:r>
      <w:r w:rsidRPr="0087273B">
        <w:rPr>
          <w:rFonts w:ascii="Tahoma" w:eastAsia="Tahoma" w:hAnsi="Tahoma" w:cs="Tahoma"/>
          <w:b/>
          <w:bCs/>
          <w:lang w:eastAsia="es-CO"/>
        </w:rPr>
        <w:t xml:space="preserve">MODIFICAR </w:t>
      </w:r>
      <w:r w:rsidRPr="0087273B">
        <w:rPr>
          <w:rFonts w:ascii="Tahoma" w:eastAsia="Tahoma" w:hAnsi="Tahoma" w:cs="Tahoma"/>
          <w:lang w:eastAsia="es-CO"/>
        </w:rPr>
        <w:t>los</w:t>
      </w:r>
      <w:r w:rsidRPr="0087273B">
        <w:rPr>
          <w:rFonts w:ascii="Tahoma" w:eastAsia="Calibri" w:hAnsi="Tahoma" w:cs="Tahoma"/>
          <w:lang w:eastAsia="es-CO"/>
        </w:rPr>
        <w:t xml:space="preserve"> numerales primero, segundo, tercero</w:t>
      </w:r>
      <w:r w:rsidR="00486AC4" w:rsidRPr="0087273B">
        <w:rPr>
          <w:rFonts w:ascii="Tahoma" w:eastAsia="Calibri" w:hAnsi="Tahoma" w:cs="Tahoma"/>
          <w:lang w:eastAsia="es-CO"/>
        </w:rPr>
        <w:t xml:space="preserve">, cuarto </w:t>
      </w:r>
      <w:r w:rsidRPr="0087273B">
        <w:rPr>
          <w:rFonts w:ascii="Tahoma" w:eastAsia="Calibri" w:hAnsi="Tahoma" w:cs="Tahoma"/>
          <w:lang w:eastAsia="es-CO"/>
        </w:rPr>
        <w:t>y séptimo de</w:t>
      </w:r>
      <w:r w:rsidRPr="0087273B">
        <w:rPr>
          <w:rFonts w:ascii="Tahoma" w:eastAsia="Tahoma" w:hAnsi="Tahoma" w:cs="Tahoma"/>
          <w:lang w:eastAsia="es-CO"/>
        </w:rPr>
        <w:t xml:space="preserve"> la sentencia proferida por el Juzgado Segundo Laboral del Circuito de Pereira el </w:t>
      </w:r>
      <w:r w:rsidR="00FE639D" w:rsidRPr="0087273B">
        <w:rPr>
          <w:rFonts w:ascii="Tahoma" w:eastAsia="Tahoma" w:hAnsi="Tahoma" w:cs="Tahoma"/>
          <w:lang w:eastAsia="es-CO"/>
        </w:rPr>
        <w:t>2</w:t>
      </w:r>
      <w:r w:rsidRPr="0087273B">
        <w:rPr>
          <w:rFonts w:ascii="Tahoma" w:eastAsia="Tahoma" w:hAnsi="Tahoma" w:cs="Tahoma"/>
          <w:lang w:eastAsia="es-CO"/>
        </w:rPr>
        <w:t xml:space="preserve"> de </w:t>
      </w:r>
      <w:r w:rsidR="00FE639D" w:rsidRPr="0087273B">
        <w:rPr>
          <w:rFonts w:ascii="Tahoma" w:eastAsia="Tahoma" w:hAnsi="Tahoma" w:cs="Tahoma"/>
          <w:lang w:eastAsia="es-CO"/>
        </w:rPr>
        <w:t>junio</w:t>
      </w:r>
      <w:r w:rsidRPr="0087273B">
        <w:rPr>
          <w:rFonts w:ascii="Tahoma" w:eastAsia="Tahoma" w:hAnsi="Tahoma" w:cs="Tahoma"/>
          <w:lang w:eastAsia="es-CO"/>
        </w:rPr>
        <w:t xml:space="preserve"> de 2023, </w:t>
      </w:r>
      <w:r w:rsidR="00A24962" w:rsidRPr="0087273B">
        <w:rPr>
          <w:rFonts w:ascii="Tahoma" w:eastAsia="Tahoma" w:hAnsi="Tahoma" w:cs="Tahoma"/>
          <w:lang w:eastAsia="es-CO"/>
        </w:rPr>
        <w:t xml:space="preserve">dentro del proceso </w:t>
      </w:r>
      <w:r w:rsidR="00FE639D" w:rsidRPr="0087273B">
        <w:rPr>
          <w:rFonts w:ascii="Tahoma" w:eastAsia="Tahoma" w:hAnsi="Tahoma" w:cs="Tahoma"/>
          <w:lang w:eastAsia="es-CO"/>
        </w:rPr>
        <w:t>de la referencia</w:t>
      </w:r>
      <w:r w:rsidR="00F627A9" w:rsidRPr="0087273B">
        <w:rPr>
          <w:rFonts w:ascii="Tahoma" w:eastAsia="Tahoma" w:hAnsi="Tahoma" w:cs="Tahoma"/>
          <w:lang w:eastAsia="es-CO"/>
        </w:rPr>
        <w:t xml:space="preserve">, </w:t>
      </w:r>
      <w:r w:rsidRPr="0087273B">
        <w:rPr>
          <w:rFonts w:ascii="Tahoma" w:hAnsi="Tahoma" w:cs="Tahoma"/>
        </w:rPr>
        <w:t>así:</w:t>
      </w:r>
    </w:p>
    <w:p w14:paraId="4E3571C6" w14:textId="77777777" w:rsidR="00DB3500" w:rsidRPr="0087273B" w:rsidRDefault="00DB3500" w:rsidP="0087273B">
      <w:pPr>
        <w:spacing w:before="0" w:beforeAutospacing="0" w:after="0" w:afterAutospacing="0" w:line="276" w:lineRule="auto"/>
        <w:ind w:firstLine="708"/>
        <w:contextualSpacing/>
        <w:rPr>
          <w:rFonts w:ascii="Tahoma" w:hAnsi="Tahoma" w:cs="Tahoma"/>
          <w:b/>
          <w:bCs/>
        </w:rPr>
      </w:pPr>
    </w:p>
    <w:p w14:paraId="111975E4" w14:textId="04F4FE4F" w:rsidR="00A4041C" w:rsidRPr="0087273B" w:rsidRDefault="00DB3500" w:rsidP="0087273B">
      <w:pPr>
        <w:spacing w:before="0" w:beforeAutospacing="0" w:after="0" w:afterAutospacing="0" w:line="276" w:lineRule="auto"/>
        <w:ind w:firstLine="708"/>
        <w:contextualSpacing/>
        <w:rPr>
          <w:rFonts w:ascii="Tahoma" w:hAnsi="Tahoma" w:cs="Tahoma"/>
          <w:i/>
          <w:iCs/>
        </w:rPr>
      </w:pPr>
      <w:r w:rsidRPr="0087273B">
        <w:rPr>
          <w:rFonts w:ascii="Tahoma" w:hAnsi="Tahoma" w:cs="Tahoma"/>
          <w:b/>
          <w:bCs/>
          <w:i/>
        </w:rPr>
        <w:t xml:space="preserve">“PRIMERO: </w:t>
      </w:r>
      <w:r w:rsidRPr="0087273B">
        <w:rPr>
          <w:rFonts w:ascii="Tahoma" w:hAnsi="Tahoma" w:cs="Tahoma"/>
          <w:b/>
          <w:bCs/>
          <w:i/>
          <w:iCs/>
        </w:rPr>
        <w:t xml:space="preserve">DECLARAR </w:t>
      </w:r>
      <w:r w:rsidRPr="0087273B">
        <w:rPr>
          <w:rFonts w:ascii="Tahoma" w:hAnsi="Tahoma" w:cs="Tahoma"/>
          <w:i/>
          <w:iCs/>
        </w:rPr>
        <w:t>ineficaz el traslado del régimen de prima media con prestación definida al régimen de ahorro individual con solidaridad efectuado por la señora</w:t>
      </w:r>
      <w:r w:rsidR="00594828" w:rsidRPr="0087273B">
        <w:rPr>
          <w:rFonts w:ascii="Tahoma" w:hAnsi="Tahoma" w:cs="Tahoma"/>
          <w:i/>
          <w:iCs/>
        </w:rPr>
        <w:t xml:space="preserve"> Martha Luz Echeverri </w:t>
      </w:r>
      <w:proofErr w:type="spellStart"/>
      <w:r w:rsidR="00594828" w:rsidRPr="0087273B">
        <w:rPr>
          <w:rFonts w:ascii="Tahoma" w:hAnsi="Tahoma" w:cs="Tahoma"/>
          <w:i/>
          <w:iCs/>
        </w:rPr>
        <w:t>Fl</w:t>
      </w:r>
      <w:r w:rsidR="003443AE" w:rsidRPr="0087273B">
        <w:rPr>
          <w:rFonts w:ascii="Tahoma" w:hAnsi="Tahoma" w:cs="Tahoma"/>
          <w:i/>
          <w:iCs/>
        </w:rPr>
        <w:t>o</w:t>
      </w:r>
      <w:r w:rsidR="00594828" w:rsidRPr="0087273B">
        <w:rPr>
          <w:rFonts w:ascii="Tahoma" w:hAnsi="Tahoma" w:cs="Tahoma"/>
          <w:i/>
          <w:iCs/>
        </w:rPr>
        <w:t>rez</w:t>
      </w:r>
      <w:proofErr w:type="spellEnd"/>
      <w:r w:rsidRPr="0087273B">
        <w:rPr>
          <w:rFonts w:ascii="Tahoma" w:hAnsi="Tahoma" w:cs="Tahoma"/>
          <w:i/>
          <w:iCs/>
        </w:rPr>
        <w:t>,</w:t>
      </w:r>
      <w:r w:rsidR="00A4041C" w:rsidRPr="0087273B">
        <w:rPr>
          <w:rFonts w:ascii="Tahoma" w:hAnsi="Tahoma" w:cs="Tahoma"/>
          <w:i/>
          <w:iCs/>
        </w:rPr>
        <w:t xml:space="preserve"> a través de</w:t>
      </w:r>
      <w:r w:rsidRPr="0087273B">
        <w:rPr>
          <w:rFonts w:ascii="Tahoma" w:hAnsi="Tahoma" w:cs="Tahoma"/>
          <w:i/>
          <w:iCs/>
        </w:rPr>
        <w:t xml:space="preserve"> </w:t>
      </w:r>
      <w:proofErr w:type="spellStart"/>
      <w:r w:rsidR="00A4041C" w:rsidRPr="0087273B">
        <w:rPr>
          <w:rFonts w:ascii="Tahoma" w:hAnsi="Tahoma" w:cs="Tahoma"/>
          <w:i/>
          <w:iCs/>
          <w:lang w:val="es-ES"/>
        </w:rPr>
        <w:t>Colfondos</w:t>
      </w:r>
      <w:proofErr w:type="spellEnd"/>
      <w:r w:rsidR="00A4041C" w:rsidRPr="0087273B">
        <w:rPr>
          <w:rFonts w:ascii="Tahoma" w:hAnsi="Tahoma" w:cs="Tahoma"/>
          <w:i/>
          <w:iCs/>
          <w:lang w:val="es-ES"/>
        </w:rPr>
        <w:t xml:space="preserve"> S.A. </w:t>
      </w:r>
      <w:r w:rsidR="00A4041C" w:rsidRPr="0087273B">
        <w:rPr>
          <w:rFonts w:ascii="Tahoma" w:hAnsi="Tahoma" w:cs="Tahoma"/>
          <w:i/>
          <w:iCs/>
        </w:rPr>
        <w:t xml:space="preserve">el 2 de agosto de 1994, efectivo a partir 01 de septiembre de 1994, </w:t>
      </w:r>
      <w:r w:rsidR="00906416" w:rsidRPr="0087273B">
        <w:rPr>
          <w:rFonts w:ascii="Tahoma" w:hAnsi="Tahoma" w:cs="Tahoma"/>
          <w:i/>
          <w:iCs/>
          <w:lang w:val="es-ES"/>
        </w:rPr>
        <w:t xml:space="preserve">y los posteriores traslados realizados dentro del </w:t>
      </w:r>
      <w:proofErr w:type="spellStart"/>
      <w:r w:rsidR="00906416" w:rsidRPr="0087273B">
        <w:rPr>
          <w:rFonts w:ascii="Tahoma" w:hAnsi="Tahoma" w:cs="Tahoma"/>
          <w:i/>
          <w:iCs/>
          <w:lang w:val="es-ES"/>
        </w:rPr>
        <w:t>RAIS</w:t>
      </w:r>
      <w:proofErr w:type="spellEnd"/>
      <w:r w:rsidR="00906416" w:rsidRPr="0087273B">
        <w:rPr>
          <w:rFonts w:ascii="Tahoma" w:hAnsi="Tahoma" w:cs="Tahoma"/>
          <w:i/>
          <w:iCs/>
          <w:lang w:val="es-ES"/>
        </w:rPr>
        <w:t xml:space="preserve"> así:  </w:t>
      </w:r>
      <w:r w:rsidR="00906416" w:rsidRPr="0087273B">
        <w:rPr>
          <w:rFonts w:ascii="Tahoma" w:hAnsi="Tahoma" w:cs="Tahoma"/>
          <w:i/>
          <w:iCs/>
        </w:rPr>
        <w:t xml:space="preserve">a </w:t>
      </w:r>
      <w:r w:rsidR="00A4041C" w:rsidRPr="0087273B">
        <w:rPr>
          <w:rFonts w:ascii="Tahoma" w:hAnsi="Tahoma" w:cs="Tahoma"/>
          <w:i/>
          <w:iCs/>
        </w:rPr>
        <w:t>Horizonte, hoy Porvenir S.A. el 6 de julio de 1998</w:t>
      </w:r>
      <w:r w:rsidR="00A4041C" w:rsidRPr="0087273B">
        <w:rPr>
          <w:rFonts w:ascii="Tahoma" w:hAnsi="Tahoma" w:cs="Tahoma"/>
          <w:i/>
          <w:iCs/>
          <w:vertAlign w:val="superscript"/>
        </w:rPr>
        <w:footnoteReference w:id="26"/>
      </w:r>
      <w:r w:rsidR="00A4041C" w:rsidRPr="0087273B">
        <w:rPr>
          <w:rFonts w:ascii="Tahoma" w:hAnsi="Tahoma" w:cs="Tahoma"/>
          <w:i/>
          <w:iCs/>
        </w:rPr>
        <w:t xml:space="preserve">, efectivo a partir del 1 de septiembre de 1998; a </w:t>
      </w:r>
      <w:proofErr w:type="spellStart"/>
      <w:r w:rsidR="00A4041C" w:rsidRPr="0087273B">
        <w:rPr>
          <w:rFonts w:ascii="Tahoma" w:hAnsi="Tahoma" w:cs="Tahoma"/>
          <w:i/>
          <w:iCs/>
        </w:rPr>
        <w:t>Skandia</w:t>
      </w:r>
      <w:proofErr w:type="spellEnd"/>
      <w:r w:rsidR="00A4041C" w:rsidRPr="0087273B">
        <w:rPr>
          <w:rFonts w:ascii="Tahoma" w:hAnsi="Tahoma" w:cs="Tahoma"/>
          <w:i/>
          <w:iCs/>
        </w:rPr>
        <w:t xml:space="preserve"> </w:t>
      </w:r>
      <w:r w:rsidR="000B4FB6">
        <w:rPr>
          <w:rFonts w:ascii="Tahoma" w:hAnsi="Tahoma" w:cs="Tahoma"/>
          <w:i/>
          <w:iCs/>
        </w:rPr>
        <w:t xml:space="preserve">S.A. </w:t>
      </w:r>
      <w:r w:rsidR="00A4041C" w:rsidRPr="0087273B">
        <w:rPr>
          <w:rFonts w:ascii="Tahoma" w:hAnsi="Tahoma" w:cs="Tahoma"/>
          <w:i/>
          <w:iCs/>
        </w:rPr>
        <w:t>el 19 de septiembre de 2007</w:t>
      </w:r>
      <w:r w:rsidR="00A4041C" w:rsidRPr="0087273B">
        <w:rPr>
          <w:rFonts w:ascii="Tahoma" w:hAnsi="Tahoma" w:cs="Tahoma"/>
          <w:i/>
          <w:iCs/>
          <w:vertAlign w:val="superscript"/>
        </w:rPr>
        <w:footnoteReference w:id="27"/>
      </w:r>
      <w:r w:rsidR="00A4041C" w:rsidRPr="0087273B">
        <w:rPr>
          <w:rFonts w:ascii="Tahoma" w:hAnsi="Tahoma" w:cs="Tahoma"/>
          <w:i/>
          <w:iCs/>
        </w:rPr>
        <w:t>, efectivo a partir del 1 de noviembre de 2007</w:t>
      </w:r>
      <w:r w:rsidR="00A4041C" w:rsidRPr="0087273B">
        <w:rPr>
          <w:rFonts w:ascii="Tahoma" w:hAnsi="Tahoma" w:cs="Tahoma"/>
          <w:i/>
          <w:iCs/>
          <w:vertAlign w:val="superscript"/>
        </w:rPr>
        <w:footnoteReference w:id="28"/>
      </w:r>
      <w:r w:rsidR="00A4041C" w:rsidRPr="0087273B">
        <w:rPr>
          <w:rFonts w:ascii="Tahoma" w:hAnsi="Tahoma" w:cs="Tahoma"/>
          <w:i/>
          <w:iCs/>
        </w:rPr>
        <w:t xml:space="preserve">; y </w:t>
      </w:r>
      <w:r w:rsidR="00EC3D54" w:rsidRPr="0087273B">
        <w:rPr>
          <w:rFonts w:ascii="Tahoma" w:hAnsi="Tahoma" w:cs="Tahoma"/>
          <w:i/>
          <w:iCs/>
        </w:rPr>
        <w:t xml:space="preserve">por último, el traslado realizado </w:t>
      </w:r>
      <w:r w:rsidR="00A4041C" w:rsidRPr="0087273B">
        <w:rPr>
          <w:rFonts w:ascii="Tahoma" w:hAnsi="Tahoma" w:cs="Tahoma"/>
          <w:i/>
          <w:iCs/>
        </w:rPr>
        <w:t>a Porvenir el 01 de octubre de 2012</w:t>
      </w:r>
      <w:r w:rsidR="00A4041C" w:rsidRPr="0087273B">
        <w:rPr>
          <w:rFonts w:ascii="Tahoma" w:hAnsi="Tahoma" w:cs="Tahoma"/>
          <w:i/>
          <w:iCs/>
          <w:vertAlign w:val="superscript"/>
        </w:rPr>
        <w:footnoteReference w:id="29"/>
      </w:r>
      <w:r w:rsidR="00A4041C" w:rsidRPr="0087273B">
        <w:rPr>
          <w:rFonts w:ascii="Tahoma" w:hAnsi="Tahoma" w:cs="Tahoma"/>
          <w:i/>
          <w:iCs/>
        </w:rPr>
        <w:t>, efectivo a partir del 1 de diciembre de 2012</w:t>
      </w:r>
      <w:r w:rsidR="00D4181F" w:rsidRPr="0087273B">
        <w:rPr>
          <w:rFonts w:ascii="Tahoma" w:hAnsi="Tahoma" w:cs="Tahoma"/>
          <w:i/>
          <w:iCs/>
        </w:rPr>
        <w:t>.</w:t>
      </w:r>
    </w:p>
    <w:p w14:paraId="733C3291" w14:textId="77777777" w:rsidR="00DB3500" w:rsidRPr="0087273B" w:rsidRDefault="00DB3500" w:rsidP="0087273B">
      <w:pPr>
        <w:spacing w:before="0" w:beforeAutospacing="0" w:after="0" w:afterAutospacing="0" w:line="276" w:lineRule="auto"/>
        <w:ind w:firstLine="0"/>
        <w:contextualSpacing/>
        <w:rPr>
          <w:rFonts w:ascii="Tahoma" w:hAnsi="Tahoma" w:cs="Tahoma"/>
          <w:i/>
          <w:iCs/>
        </w:rPr>
      </w:pPr>
    </w:p>
    <w:p w14:paraId="676CCD33" w14:textId="77777777" w:rsidR="00DB3500" w:rsidRPr="0087273B" w:rsidRDefault="00DB3500" w:rsidP="0087273B">
      <w:pPr>
        <w:spacing w:before="0" w:beforeAutospacing="0" w:after="0" w:afterAutospacing="0" w:line="276" w:lineRule="auto"/>
        <w:ind w:firstLine="708"/>
        <w:contextualSpacing/>
        <w:rPr>
          <w:rFonts w:ascii="Tahoma" w:eastAsia="Calibri" w:hAnsi="Tahoma" w:cs="Tahoma"/>
          <w:bCs/>
          <w:i/>
          <w:iCs/>
          <w:lang w:val="es-ES" w:eastAsia="es-CO"/>
        </w:rPr>
      </w:pPr>
      <w:r w:rsidRPr="0087273B">
        <w:rPr>
          <w:rFonts w:ascii="Tahoma" w:hAnsi="Tahoma" w:cs="Tahoma"/>
          <w:b/>
          <w:bCs/>
          <w:i/>
        </w:rPr>
        <w:t>SEGUNDO: CONDENAR</w:t>
      </w:r>
      <w:r w:rsidRPr="0087273B">
        <w:rPr>
          <w:rFonts w:ascii="Tahoma" w:hAnsi="Tahoma" w:cs="Tahoma"/>
          <w:bCs/>
          <w:i/>
        </w:rPr>
        <w:t xml:space="preserve"> a PORVENIR S.A. </w:t>
      </w:r>
      <w:r w:rsidRPr="0087273B">
        <w:rPr>
          <w:rStyle w:val="normaltextrun"/>
          <w:rFonts w:ascii="Tahoma" w:hAnsi="Tahoma" w:cs="Tahoma"/>
          <w:i/>
          <w:color w:val="000000"/>
          <w:shd w:val="clear" w:color="auto" w:fill="FFFFFF"/>
        </w:rPr>
        <w:t xml:space="preserve">a devolver a Colpensiones, la totalidad de los aportes y rendimientos financieros de la cuenta de ahorro individual de la actora. Asimismo, con cargo a sus propios recursos y debidamente indexado </w:t>
      </w:r>
      <w:r w:rsidRPr="0087273B">
        <w:rPr>
          <w:rFonts w:ascii="Tahoma" w:eastAsia="Calibri" w:hAnsi="Tahoma" w:cs="Tahoma"/>
          <w:bCs/>
          <w:i/>
          <w:iCs/>
          <w:lang w:val="es-ES" w:eastAsia="es-CO"/>
        </w:rPr>
        <w:t>el porcentaje correspondiente a los gastos de administración, comisiones y primas de seguros previsionales de invalidez y sobrevivencia, y el porcentaje destinado al fondo de garantía de pensión mínima, por el tiempo que tuvo como afiliada a la demandante.</w:t>
      </w:r>
    </w:p>
    <w:p w14:paraId="5409065A" w14:textId="77777777" w:rsidR="00DB3500" w:rsidRPr="0087273B" w:rsidRDefault="00DB3500" w:rsidP="0087273B">
      <w:pPr>
        <w:spacing w:before="0" w:beforeAutospacing="0" w:after="0" w:afterAutospacing="0" w:line="276" w:lineRule="auto"/>
        <w:ind w:firstLine="708"/>
        <w:contextualSpacing/>
        <w:rPr>
          <w:rFonts w:ascii="Tahoma" w:hAnsi="Tahoma" w:cs="Tahoma"/>
          <w:b/>
          <w:bCs/>
          <w:i/>
          <w:iCs/>
          <w:lang w:val="es-ES"/>
        </w:rPr>
      </w:pPr>
    </w:p>
    <w:p w14:paraId="794588F4" w14:textId="42B962BA" w:rsidR="00DB3500" w:rsidRPr="0087273B" w:rsidRDefault="00DB3500" w:rsidP="0087273B">
      <w:pPr>
        <w:spacing w:before="0" w:beforeAutospacing="0" w:after="0" w:afterAutospacing="0" w:line="276" w:lineRule="auto"/>
        <w:ind w:firstLine="708"/>
        <w:contextualSpacing/>
        <w:rPr>
          <w:rFonts w:ascii="Tahoma" w:eastAsia="Calibri" w:hAnsi="Tahoma" w:cs="Tahoma"/>
          <w:bCs/>
          <w:i/>
          <w:iCs/>
          <w:lang w:val="es-ES" w:eastAsia="es-CO"/>
        </w:rPr>
      </w:pPr>
      <w:r w:rsidRPr="0087273B">
        <w:rPr>
          <w:rFonts w:ascii="Tahoma" w:eastAsia="Calibri" w:hAnsi="Tahoma" w:cs="Tahoma"/>
          <w:b/>
          <w:i/>
          <w:iCs/>
          <w:lang w:val="es-ES" w:eastAsia="es-CO"/>
        </w:rPr>
        <w:t xml:space="preserve">TERCERO: </w:t>
      </w:r>
      <w:r w:rsidRPr="0087273B">
        <w:rPr>
          <w:rFonts w:ascii="Tahoma" w:eastAsia="Calibri" w:hAnsi="Tahoma" w:cs="Tahoma"/>
          <w:b/>
          <w:bCs/>
          <w:i/>
          <w:iCs/>
          <w:lang w:eastAsia="es-CO"/>
        </w:rPr>
        <w:t xml:space="preserve">CONDENAR </w:t>
      </w:r>
      <w:r w:rsidRPr="0087273B">
        <w:rPr>
          <w:rFonts w:ascii="Tahoma" w:eastAsia="Calibri" w:hAnsi="Tahoma" w:cs="Tahoma"/>
          <w:i/>
          <w:iCs/>
          <w:lang w:eastAsia="es-CO"/>
        </w:rPr>
        <w:t xml:space="preserve">a </w:t>
      </w:r>
      <w:r w:rsidR="000A1D28" w:rsidRPr="0087273B">
        <w:rPr>
          <w:rFonts w:ascii="Tahoma" w:eastAsia="Calibri" w:hAnsi="Tahoma" w:cs="Tahoma"/>
          <w:i/>
          <w:iCs/>
          <w:lang w:eastAsia="es-CO"/>
        </w:rPr>
        <w:t xml:space="preserve">COLFONDOS S.A. y </w:t>
      </w:r>
      <w:r w:rsidRPr="0087273B">
        <w:rPr>
          <w:rFonts w:ascii="Tahoma" w:eastAsia="Calibri" w:hAnsi="Tahoma" w:cs="Tahoma"/>
          <w:i/>
          <w:iCs/>
          <w:lang w:eastAsia="es-CO"/>
        </w:rPr>
        <w:t>SKANDIA S.A.</w:t>
      </w:r>
      <w:r w:rsidRPr="0087273B">
        <w:rPr>
          <w:rFonts w:ascii="Tahoma" w:eastAsia="Calibri" w:hAnsi="Tahoma" w:cs="Tahoma"/>
          <w:b/>
          <w:bCs/>
          <w:i/>
          <w:iCs/>
          <w:lang w:eastAsia="es-CO"/>
        </w:rPr>
        <w:t xml:space="preserve"> </w:t>
      </w:r>
      <w:r w:rsidRPr="0087273B">
        <w:rPr>
          <w:rFonts w:ascii="Tahoma" w:eastAsia="Calibri" w:hAnsi="Tahoma" w:cs="Tahoma"/>
          <w:bCs/>
          <w:i/>
          <w:iCs/>
          <w:lang w:eastAsia="es-CO"/>
        </w:rPr>
        <w:t xml:space="preserve">a devolver a Colpensiones, con cargo a sus propios recursos y debidamente indexado </w:t>
      </w:r>
      <w:r w:rsidRPr="0087273B">
        <w:rPr>
          <w:rFonts w:ascii="Tahoma" w:eastAsia="Calibri" w:hAnsi="Tahoma" w:cs="Tahoma"/>
          <w:bCs/>
          <w:i/>
          <w:iCs/>
          <w:lang w:val="es-ES" w:eastAsia="es-CO"/>
        </w:rPr>
        <w:t xml:space="preserve">el porcentaje correspondiente a los gastos de administración, comisiones y primas de seguros </w:t>
      </w:r>
      <w:r w:rsidRPr="0087273B">
        <w:rPr>
          <w:rFonts w:ascii="Tahoma" w:eastAsia="Calibri" w:hAnsi="Tahoma" w:cs="Tahoma"/>
          <w:bCs/>
          <w:i/>
          <w:iCs/>
          <w:lang w:val="es-ES" w:eastAsia="es-CO"/>
        </w:rPr>
        <w:lastRenderedPageBreak/>
        <w:t>previsionales de invalidez y sobrevivencia, y el porcentaje destinado al fondo de garantía de pensión mínima, por el tiempo que tuvo como afiliada a la demandante.</w:t>
      </w:r>
    </w:p>
    <w:p w14:paraId="481B42CB" w14:textId="77777777" w:rsidR="004A2465" w:rsidRPr="0087273B" w:rsidRDefault="004A2465" w:rsidP="0087273B">
      <w:pPr>
        <w:spacing w:before="0" w:beforeAutospacing="0" w:after="0" w:afterAutospacing="0" w:line="276" w:lineRule="auto"/>
        <w:ind w:firstLine="708"/>
        <w:contextualSpacing/>
        <w:rPr>
          <w:rFonts w:ascii="Tahoma" w:eastAsia="Calibri" w:hAnsi="Tahoma" w:cs="Tahoma"/>
          <w:bCs/>
          <w:i/>
          <w:iCs/>
          <w:lang w:val="es-ES" w:eastAsia="es-CO"/>
        </w:rPr>
      </w:pPr>
    </w:p>
    <w:p w14:paraId="7BA3E5CF" w14:textId="1825E058" w:rsidR="00DB3500" w:rsidRPr="0087273B" w:rsidRDefault="004A2465" w:rsidP="0087273B">
      <w:pPr>
        <w:spacing w:before="0" w:beforeAutospacing="0" w:after="0" w:afterAutospacing="0" w:line="276" w:lineRule="auto"/>
        <w:ind w:firstLine="708"/>
        <w:contextualSpacing/>
        <w:rPr>
          <w:rFonts w:ascii="Tahoma" w:eastAsia="Calibri" w:hAnsi="Tahoma" w:cs="Tahoma"/>
          <w:i/>
          <w:iCs/>
          <w:lang w:val="es-ES" w:eastAsia="es-CO"/>
        </w:rPr>
      </w:pPr>
      <w:r w:rsidRPr="0087273B">
        <w:rPr>
          <w:rFonts w:ascii="Tahoma" w:eastAsia="Calibri" w:hAnsi="Tahoma" w:cs="Tahoma"/>
          <w:b/>
          <w:bCs/>
          <w:i/>
          <w:iCs/>
          <w:lang w:val="es-ES" w:eastAsia="es-CO"/>
        </w:rPr>
        <w:t xml:space="preserve">CUARTO: </w:t>
      </w:r>
      <w:r w:rsidR="00EC3167" w:rsidRPr="0087273B">
        <w:rPr>
          <w:rFonts w:ascii="Tahoma" w:eastAsia="Calibri" w:hAnsi="Tahoma" w:cs="Tahoma"/>
          <w:b/>
          <w:bCs/>
          <w:i/>
          <w:iCs/>
          <w:lang w:val="es-ES" w:eastAsia="es-CO"/>
        </w:rPr>
        <w:t>ORDENAR</w:t>
      </w:r>
      <w:r w:rsidR="00EC3167" w:rsidRPr="0087273B">
        <w:rPr>
          <w:rFonts w:ascii="Tahoma" w:eastAsia="Calibri" w:hAnsi="Tahoma" w:cs="Tahoma"/>
          <w:i/>
          <w:iCs/>
          <w:lang w:val="es-ES" w:eastAsia="es-CO"/>
        </w:rPr>
        <w:t xml:space="preserve"> a la ADMINISTRADORA COLOMBIANA DE PENSIONES COLPENSIONES que una vez PORVENIR </w:t>
      </w:r>
      <w:r w:rsidR="000B4FB6">
        <w:rPr>
          <w:rFonts w:ascii="Tahoma" w:eastAsia="Calibri" w:hAnsi="Tahoma" w:cs="Tahoma"/>
          <w:i/>
          <w:iCs/>
          <w:lang w:val="es-ES" w:eastAsia="es-CO"/>
        </w:rPr>
        <w:t>S.A.,</w:t>
      </w:r>
      <w:r w:rsidR="00EC3167" w:rsidRPr="0087273B">
        <w:rPr>
          <w:rFonts w:ascii="Tahoma" w:eastAsia="Calibri" w:hAnsi="Tahoma" w:cs="Tahoma"/>
          <w:i/>
          <w:iCs/>
          <w:lang w:eastAsia="es-CO"/>
        </w:rPr>
        <w:t xml:space="preserve"> </w:t>
      </w:r>
      <w:proofErr w:type="spellStart"/>
      <w:r w:rsidR="00EC3167" w:rsidRPr="0087273B">
        <w:rPr>
          <w:rFonts w:ascii="Tahoma" w:eastAsia="Calibri" w:hAnsi="Tahoma" w:cs="Tahoma"/>
          <w:i/>
          <w:iCs/>
          <w:lang w:eastAsia="es-CO"/>
        </w:rPr>
        <w:t>COLFONDOS</w:t>
      </w:r>
      <w:proofErr w:type="spellEnd"/>
      <w:r w:rsidR="00EC3167" w:rsidRPr="0087273B">
        <w:rPr>
          <w:rFonts w:ascii="Tahoma" w:eastAsia="Calibri" w:hAnsi="Tahoma" w:cs="Tahoma"/>
          <w:i/>
          <w:iCs/>
          <w:lang w:eastAsia="es-CO"/>
        </w:rPr>
        <w:t xml:space="preserve"> S.A. y </w:t>
      </w:r>
      <w:proofErr w:type="spellStart"/>
      <w:r w:rsidR="00EC3167" w:rsidRPr="0087273B">
        <w:rPr>
          <w:rFonts w:ascii="Tahoma" w:eastAsia="Calibri" w:hAnsi="Tahoma" w:cs="Tahoma"/>
          <w:i/>
          <w:iCs/>
          <w:lang w:eastAsia="es-CO"/>
        </w:rPr>
        <w:t>SKANDIA</w:t>
      </w:r>
      <w:proofErr w:type="spellEnd"/>
      <w:r w:rsidR="00EC3167" w:rsidRPr="0087273B">
        <w:rPr>
          <w:rFonts w:ascii="Tahoma" w:eastAsia="Calibri" w:hAnsi="Tahoma" w:cs="Tahoma"/>
          <w:i/>
          <w:iCs/>
          <w:lang w:eastAsia="es-CO"/>
        </w:rPr>
        <w:t xml:space="preserve"> </w:t>
      </w:r>
      <w:r w:rsidR="000B4FB6">
        <w:rPr>
          <w:rFonts w:ascii="Tahoma" w:eastAsia="Calibri" w:hAnsi="Tahoma" w:cs="Tahoma"/>
          <w:i/>
          <w:iCs/>
          <w:lang w:eastAsia="es-CO"/>
        </w:rPr>
        <w:t xml:space="preserve">S.A. </w:t>
      </w:r>
      <w:r w:rsidR="00FF12DB" w:rsidRPr="0087273B">
        <w:rPr>
          <w:rFonts w:ascii="Tahoma" w:eastAsia="Calibri" w:hAnsi="Tahoma" w:cs="Tahoma"/>
          <w:i/>
          <w:iCs/>
          <w:lang w:val="es-ES" w:eastAsia="es-CO"/>
        </w:rPr>
        <w:t>den</w:t>
      </w:r>
      <w:r w:rsidR="00EC3167" w:rsidRPr="0087273B">
        <w:rPr>
          <w:rFonts w:ascii="Tahoma" w:eastAsia="Calibri" w:hAnsi="Tahoma" w:cs="Tahoma"/>
          <w:i/>
          <w:iCs/>
          <w:lang w:val="es-ES" w:eastAsia="es-CO"/>
        </w:rPr>
        <w:t xml:space="preserve"> cumplimiento a lo ordenado, proceda a aceptar el traslado de la demandante, del régimen de ahorro individual, al de prima media con prestación definida, sin solución de continuidad, convalidando la información en su historia laboral.</w:t>
      </w:r>
      <w:r w:rsidR="00EC3167" w:rsidRPr="0087273B">
        <w:rPr>
          <w:rFonts w:ascii="Tahoma" w:eastAsia="Calibri" w:hAnsi="Tahoma" w:cs="Tahoma"/>
          <w:bCs/>
          <w:i/>
          <w:iCs/>
          <w:lang w:val="es-ES" w:eastAsia="es-CO"/>
        </w:rPr>
        <w:cr/>
      </w:r>
    </w:p>
    <w:p w14:paraId="27D31214" w14:textId="275082D4" w:rsidR="23A8B317" w:rsidRPr="0087273B" w:rsidRDefault="23A8B317" w:rsidP="0087273B">
      <w:pPr>
        <w:spacing w:before="0" w:beforeAutospacing="0" w:after="0" w:afterAutospacing="0" w:line="276" w:lineRule="auto"/>
        <w:ind w:firstLine="708"/>
        <w:contextualSpacing/>
        <w:rPr>
          <w:rFonts w:ascii="Tahoma" w:eastAsia="Calibri" w:hAnsi="Tahoma" w:cs="Tahoma"/>
          <w:i/>
          <w:iCs/>
          <w:lang w:val="es-ES" w:eastAsia="es-CO"/>
        </w:rPr>
      </w:pPr>
    </w:p>
    <w:p w14:paraId="59B42910" w14:textId="508BD1E0" w:rsidR="00DB3500" w:rsidRPr="0087273B" w:rsidRDefault="00DB3500" w:rsidP="0087273B">
      <w:pPr>
        <w:spacing w:before="0" w:beforeAutospacing="0" w:after="0" w:afterAutospacing="0" w:line="276" w:lineRule="auto"/>
        <w:ind w:firstLine="708"/>
        <w:contextualSpacing/>
        <w:rPr>
          <w:rFonts w:ascii="Tahoma" w:hAnsi="Tahoma" w:cs="Tahoma"/>
          <w:i/>
          <w:iCs/>
        </w:rPr>
      </w:pPr>
      <w:r w:rsidRPr="0087273B">
        <w:rPr>
          <w:rFonts w:ascii="Tahoma" w:hAnsi="Tahoma" w:cs="Tahoma"/>
          <w:b/>
          <w:bCs/>
          <w:i/>
          <w:iCs/>
        </w:rPr>
        <w:t xml:space="preserve">SÉPTIMO: CONDENAR </w:t>
      </w:r>
      <w:r w:rsidRPr="0087273B">
        <w:rPr>
          <w:rFonts w:ascii="Tahoma" w:hAnsi="Tahoma" w:cs="Tahoma"/>
          <w:i/>
          <w:iCs/>
        </w:rPr>
        <w:t xml:space="preserve">en costas a la parte demandada </w:t>
      </w:r>
      <w:r w:rsidR="004A2465" w:rsidRPr="0087273B">
        <w:rPr>
          <w:rFonts w:ascii="Tahoma" w:hAnsi="Tahoma" w:cs="Tahoma"/>
          <w:i/>
          <w:iCs/>
        </w:rPr>
        <w:t xml:space="preserve">COLFONDOS S.A. </w:t>
      </w:r>
      <w:r w:rsidRPr="0087273B">
        <w:rPr>
          <w:rFonts w:ascii="Tahoma" w:hAnsi="Tahoma" w:cs="Tahoma"/>
          <w:i/>
          <w:iCs/>
        </w:rPr>
        <w:t>a favor de la demandante. No se imponen costas a cargo de Colpensione</w:t>
      </w:r>
      <w:r w:rsidR="004A2465" w:rsidRPr="0087273B">
        <w:rPr>
          <w:rFonts w:ascii="Tahoma" w:hAnsi="Tahoma" w:cs="Tahoma"/>
          <w:i/>
          <w:iCs/>
        </w:rPr>
        <w:t xml:space="preserve">s, </w:t>
      </w:r>
      <w:proofErr w:type="spellStart"/>
      <w:r w:rsidR="004A2465" w:rsidRPr="0087273B">
        <w:rPr>
          <w:rFonts w:ascii="Tahoma" w:hAnsi="Tahoma" w:cs="Tahoma"/>
          <w:i/>
          <w:iCs/>
        </w:rPr>
        <w:t>Skandia</w:t>
      </w:r>
      <w:proofErr w:type="spellEnd"/>
      <w:r w:rsidR="004A2465" w:rsidRPr="0087273B">
        <w:rPr>
          <w:rFonts w:ascii="Tahoma" w:hAnsi="Tahoma" w:cs="Tahoma"/>
          <w:i/>
          <w:iCs/>
        </w:rPr>
        <w:t xml:space="preserve"> y Porvenir.</w:t>
      </w:r>
    </w:p>
    <w:p w14:paraId="6F98362F" w14:textId="77777777" w:rsidR="00DB3500" w:rsidRPr="0087273B" w:rsidRDefault="00DB3500" w:rsidP="0087273B">
      <w:pPr>
        <w:spacing w:before="0" w:beforeAutospacing="0" w:after="0" w:afterAutospacing="0" w:line="276" w:lineRule="auto"/>
        <w:ind w:firstLine="708"/>
        <w:contextualSpacing/>
        <w:rPr>
          <w:rFonts w:ascii="Tahoma" w:hAnsi="Tahoma" w:cs="Tahoma"/>
          <w:i/>
          <w:iCs/>
        </w:rPr>
      </w:pPr>
    </w:p>
    <w:p w14:paraId="3D638E14" w14:textId="34DC0EE8" w:rsidR="00DB3500" w:rsidRPr="0087273B" w:rsidRDefault="00DB3500" w:rsidP="0087273B">
      <w:pPr>
        <w:spacing w:before="0" w:beforeAutospacing="0" w:after="0" w:afterAutospacing="0" w:line="276" w:lineRule="auto"/>
        <w:ind w:firstLine="708"/>
        <w:contextualSpacing/>
        <w:rPr>
          <w:rFonts w:ascii="Tahoma" w:hAnsi="Tahoma" w:cs="Tahoma"/>
          <w:bCs/>
          <w:lang w:val="es-ES"/>
        </w:rPr>
      </w:pPr>
      <w:r w:rsidRPr="0087273B">
        <w:rPr>
          <w:rFonts w:ascii="Tahoma" w:eastAsia="Tahoma" w:hAnsi="Tahoma" w:cs="Tahoma"/>
          <w:b/>
          <w:bCs/>
          <w:lang w:eastAsia="es-CO"/>
        </w:rPr>
        <w:t xml:space="preserve">SEGUNDO: ADICIONAR </w:t>
      </w:r>
      <w:r w:rsidRPr="0087273B">
        <w:rPr>
          <w:rFonts w:ascii="Tahoma" w:eastAsia="Tahoma" w:hAnsi="Tahoma" w:cs="Tahoma"/>
          <w:lang w:eastAsia="es-CO"/>
        </w:rPr>
        <w:t xml:space="preserve">la sentencia, </w:t>
      </w:r>
      <w:r w:rsidRPr="0087273B">
        <w:rPr>
          <w:rFonts w:ascii="Tahoma" w:hAnsi="Tahoma" w:cs="Tahoma"/>
        </w:rPr>
        <w:t>para ordenar a Porvenir S.A.</w:t>
      </w:r>
      <w:r w:rsidR="003F7AB5">
        <w:rPr>
          <w:rFonts w:ascii="Tahoma" w:hAnsi="Tahoma" w:cs="Tahoma"/>
        </w:rPr>
        <w:t>,</w:t>
      </w:r>
      <w:r w:rsidRPr="0087273B">
        <w:rPr>
          <w:rFonts w:ascii="Tahoma" w:hAnsi="Tahoma" w:cs="Tahoma"/>
        </w:rPr>
        <w:t xml:space="preserve"> </w:t>
      </w:r>
      <w:proofErr w:type="spellStart"/>
      <w:r w:rsidR="00FF12DB" w:rsidRPr="0087273B">
        <w:rPr>
          <w:rFonts w:ascii="Tahoma" w:hAnsi="Tahoma" w:cs="Tahoma"/>
        </w:rPr>
        <w:t>Colfondos</w:t>
      </w:r>
      <w:proofErr w:type="spellEnd"/>
      <w:r w:rsidR="00FF12DB" w:rsidRPr="0087273B">
        <w:rPr>
          <w:rFonts w:ascii="Tahoma" w:hAnsi="Tahoma" w:cs="Tahoma"/>
        </w:rPr>
        <w:t xml:space="preserve"> </w:t>
      </w:r>
      <w:r w:rsidR="000B4FB6">
        <w:rPr>
          <w:rFonts w:ascii="Tahoma" w:hAnsi="Tahoma" w:cs="Tahoma"/>
        </w:rPr>
        <w:t xml:space="preserve">S.A. </w:t>
      </w:r>
      <w:r w:rsidRPr="0087273B">
        <w:rPr>
          <w:rFonts w:ascii="Tahoma" w:hAnsi="Tahoma" w:cs="Tahoma"/>
        </w:rPr>
        <w:t xml:space="preserve">y </w:t>
      </w:r>
      <w:proofErr w:type="spellStart"/>
      <w:r w:rsidRPr="0087273B">
        <w:rPr>
          <w:rFonts w:ascii="Tahoma" w:hAnsi="Tahoma" w:cs="Tahoma"/>
        </w:rPr>
        <w:t>Skandia</w:t>
      </w:r>
      <w:proofErr w:type="spellEnd"/>
      <w:r w:rsidRPr="0087273B">
        <w:rPr>
          <w:rFonts w:ascii="Tahoma" w:hAnsi="Tahoma" w:cs="Tahoma"/>
        </w:rPr>
        <w:t xml:space="preserve"> </w:t>
      </w:r>
      <w:r w:rsidR="000B4FB6">
        <w:rPr>
          <w:rFonts w:ascii="Tahoma" w:hAnsi="Tahoma" w:cs="Tahoma"/>
        </w:rPr>
        <w:t xml:space="preserve">S.A. </w:t>
      </w:r>
      <w:r w:rsidRPr="0087273B">
        <w:rPr>
          <w:rFonts w:ascii="Tahoma" w:hAnsi="Tahoma" w:cs="Tahoma"/>
        </w:rPr>
        <w:t xml:space="preserve">que, al momento del traslado de las condenas impuestas, los </w:t>
      </w:r>
      <w:r w:rsidRPr="0087273B">
        <w:rPr>
          <w:rFonts w:ascii="Tahoma" w:hAnsi="Tahoma" w:cs="Tahoma"/>
          <w:bCs/>
          <w:lang w:val="es-ES"/>
        </w:rPr>
        <w:t>valores deberán aparecer discriminados con sus respectivos montos, junto con el detalle pormenorizado de los ciclos, IBC, aportes y demás información relevante que los justifiquen.</w:t>
      </w:r>
    </w:p>
    <w:p w14:paraId="4F33D091" w14:textId="77777777" w:rsidR="00DB3500" w:rsidRPr="0087273B" w:rsidRDefault="00DB3500" w:rsidP="0087273B">
      <w:pPr>
        <w:pStyle w:val="paragraph"/>
        <w:spacing w:before="0" w:beforeAutospacing="0" w:after="0" w:afterAutospacing="0" w:line="276" w:lineRule="auto"/>
        <w:jc w:val="both"/>
        <w:textAlignment w:val="baseline"/>
        <w:rPr>
          <w:rStyle w:val="normaltextrun"/>
          <w:rFonts w:ascii="Tahoma" w:hAnsi="Tahoma" w:cs="Tahoma"/>
        </w:rPr>
      </w:pPr>
    </w:p>
    <w:p w14:paraId="11D53201" w14:textId="0ED23149" w:rsidR="00DB3500" w:rsidRPr="0087273B" w:rsidRDefault="00AC43BD" w:rsidP="0087273B">
      <w:pPr>
        <w:spacing w:before="0" w:beforeAutospacing="0" w:after="0" w:afterAutospacing="0" w:line="276" w:lineRule="auto"/>
        <w:ind w:firstLine="705"/>
        <w:rPr>
          <w:rFonts w:ascii="Tahoma" w:hAnsi="Tahoma" w:cs="Tahoma"/>
          <w:b/>
          <w:bCs/>
        </w:rPr>
      </w:pPr>
      <w:r w:rsidRPr="0087273B">
        <w:rPr>
          <w:rStyle w:val="normaltextrun"/>
          <w:rFonts w:ascii="Tahoma" w:hAnsi="Tahoma" w:cs="Tahoma"/>
          <w:b/>
          <w:bCs/>
        </w:rPr>
        <w:t>TERCERO</w:t>
      </w:r>
      <w:r w:rsidR="00DB3500" w:rsidRPr="0087273B">
        <w:rPr>
          <w:rStyle w:val="normaltextrun"/>
          <w:rFonts w:ascii="Tahoma" w:hAnsi="Tahoma" w:cs="Tahoma"/>
          <w:b/>
          <w:bCs/>
        </w:rPr>
        <w:t xml:space="preserve">: REVOCAR </w:t>
      </w:r>
      <w:r w:rsidR="00DB3500" w:rsidRPr="0087273B">
        <w:rPr>
          <w:rFonts w:ascii="Tahoma" w:hAnsi="Tahoma" w:cs="Tahoma"/>
        </w:rPr>
        <w:t>el numeral noveno de la sentencia apelada.</w:t>
      </w:r>
      <w:r w:rsidR="00DB3500" w:rsidRPr="0087273B">
        <w:rPr>
          <w:rFonts w:ascii="Tahoma" w:hAnsi="Tahoma" w:cs="Tahoma"/>
          <w:b/>
          <w:bCs/>
        </w:rPr>
        <w:t> </w:t>
      </w:r>
    </w:p>
    <w:p w14:paraId="3AEC1659" w14:textId="77777777" w:rsidR="00DB3500" w:rsidRPr="0087273B" w:rsidRDefault="00DB3500" w:rsidP="0087273B">
      <w:pPr>
        <w:spacing w:before="0" w:beforeAutospacing="0" w:after="0" w:afterAutospacing="0" w:line="276" w:lineRule="auto"/>
        <w:ind w:firstLine="705"/>
        <w:rPr>
          <w:rStyle w:val="normaltextrun"/>
          <w:rFonts w:ascii="Tahoma" w:hAnsi="Tahoma" w:cs="Tahoma"/>
        </w:rPr>
      </w:pPr>
    </w:p>
    <w:p w14:paraId="0E2220D6" w14:textId="7C977645" w:rsidR="00DB3500" w:rsidRPr="0087273B" w:rsidRDefault="00AC43BD" w:rsidP="0087273B">
      <w:pPr>
        <w:spacing w:before="0" w:beforeAutospacing="0" w:after="0" w:afterAutospacing="0" w:line="276" w:lineRule="auto"/>
        <w:ind w:firstLine="705"/>
        <w:rPr>
          <w:rFonts w:ascii="Tahoma" w:eastAsia="Tahoma" w:hAnsi="Tahoma" w:cs="Tahoma"/>
          <w:bCs/>
          <w:lang w:eastAsia="es-CO"/>
        </w:rPr>
      </w:pPr>
      <w:r w:rsidRPr="0087273B">
        <w:rPr>
          <w:rStyle w:val="normaltextrun"/>
          <w:rFonts w:ascii="Tahoma" w:hAnsi="Tahoma" w:cs="Tahoma"/>
          <w:b/>
          <w:bCs/>
        </w:rPr>
        <w:t xml:space="preserve">CUARTO: </w:t>
      </w:r>
      <w:r w:rsidR="00DB3500" w:rsidRPr="0087273B">
        <w:rPr>
          <w:rStyle w:val="normaltextrun"/>
          <w:rFonts w:ascii="Tahoma" w:hAnsi="Tahoma" w:cs="Tahoma"/>
          <w:b/>
          <w:bCs/>
        </w:rPr>
        <w:t xml:space="preserve">CONFIRMAR </w:t>
      </w:r>
      <w:r w:rsidR="00DB3500" w:rsidRPr="0087273B">
        <w:rPr>
          <w:rFonts w:ascii="Tahoma" w:eastAsia="Tahoma" w:hAnsi="Tahoma" w:cs="Tahoma"/>
          <w:bCs/>
          <w:lang w:eastAsia="es-CO"/>
        </w:rPr>
        <w:t>en todo lo demás la sentencia recurrida y consultada.</w:t>
      </w:r>
    </w:p>
    <w:p w14:paraId="4E5276AD" w14:textId="77777777" w:rsidR="00DB3500" w:rsidRPr="0087273B" w:rsidRDefault="00DB3500" w:rsidP="0087273B">
      <w:pPr>
        <w:spacing w:before="0" w:beforeAutospacing="0" w:after="0" w:afterAutospacing="0" w:line="276" w:lineRule="auto"/>
        <w:ind w:firstLine="705"/>
        <w:rPr>
          <w:rFonts w:ascii="Tahoma" w:eastAsia="Tahoma" w:hAnsi="Tahoma" w:cs="Tahoma"/>
          <w:bCs/>
          <w:lang w:eastAsia="es-CO"/>
        </w:rPr>
      </w:pPr>
    </w:p>
    <w:p w14:paraId="4C9FA8E2" w14:textId="0F3A935E" w:rsidR="00DB3500" w:rsidRPr="0087273B" w:rsidRDefault="00AC43BD" w:rsidP="0087273B">
      <w:pPr>
        <w:spacing w:before="0" w:beforeAutospacing="0" w:after="0" w:afterAutospacing="0" w:line="276" w:lineRule="auto"/>
        <w:ind w:firstLine="708"/>
        <w:rPr>
          <w:rFonts w:ascii="Tahoma" w:eastAsia="Tahoma" w:hAnsi="Tahoma" w:cs="Tahoma"/>
          <w:lang w:eastAsia="es-CO"/>
        </w:rPr>
      </w:pPr>
      <w:r w:rsidRPr="0087273B">
        <w:rPr>
          <w:rFonts w:ascii="Tahoma" w:eastAsia="Tahoma" w:hAnsi="Tahoma" w:cs="Tahoma"/>
          <w:b/>
          <w:lang w:eastAsia="es-CO"/>
        </w:rPr>
        <w:t>QUINTO</w:t>
      </w:r>
      <w:r w:rsidR="00DB3500" w:rsidRPr="0087273B">
        <w:rPr>
          <w:rFonts w:ascii="Tahoma" w:eastAsia="Tahoma" w:hAnsi="Tahoma" w:cs="Tahoma"/>
          <w:b/>
          <w:lang w:eastAsia="es-CO"/>
        </w:rPr>
        <w:t xml:space="preserve">: CONDENAR </w:t>
      </w:r>
      <w:r w:rsidR="00DB3500" w:rsidRPr="0087273B">
        <w:rPr>
          <w:rFonts w:ascii="Tahoma" w:eastAsia="Tahoma" w:hAnsi="Tahoma" w:cs="Tahoma"/>
          <w:lang w:eastAsia="es-CO"/>
        </w:rPr>
        <w:t xml:space="preserve">en costas de segunda instancia a </w:t>
      </w:r>
      <w:r w:rsidR="00DB3500" w:rsidRPr="0087273B">
        <w:rPr>
          <w:rFonts w:ascii="Tahoma" w:eastAsia="Tahoma" w:hAnsi="Tahoma" w:cs="Tahoma"/>
          <w:lang w:eastAsia="es-MX"/>
        </w:rPr>
        <w:t>la</w:t>
      </w:r>
      <w:r w:rsidR="00DB3500" w:rsidRPr="0087273B">
        <w:rPr>
          <w:rFonts w:ascii="Tahoma" w:eastAsia="Tahoma" w:hAnsi="Tahoma" w:cs="Tahoma"/>
          <w:b/>
          <w:bCs/>
          <w:lang w:eastAsia="es-MX"/>
        </w:rPr>
        <w:t xml:space="preserve"> </w:t>
      </w:r>
      <w:r w:rsidR="00DB3500" w:rsidRPr="0087273B">
        <w:rPr>
          <w:rFonts w:ascii="Tahoma" w:eastAsia="Tahoma" w:hAnsi="Tahoma" w:cs="Tahoma"/>
          <w:lang w:eastAsia="es-MX"/>
        </w:rPr>
        <w:t>Administradora Colombiana de Pensiones – Colpensiones</w:t>
      </w:r>
      <w:r w:rsidR="00FE639D" w:rsidRPr="0087273B">
        <w:rPr>
          <w:rFonts w:ascii="Tahoma" w:eastAsia="Tahoma" w:hAnsi="Tahoma" w:cs="Tahoma"/>
          <w:lang w:eastAsia="es-MX"/>
        </w:rPr>
        <w:t>, la Sociedad Administradora de Fondos de Pensiones y Cesantías – Porvenir S.A.,</w:t>
      </w:r>
      <w:r w:rsidR="003B5C1D" w:rsidRPr="0087273B">
        <w:rPr>
          <w:rFonts w:ascii="Tahoma" w:eastAsia="Tahoma" w:hAnsi="Tahoma" w:cs="Tahoma"/>
          <w:lang w:eastAsia="es-MX"/>
        </w:rPr>
        <w:t xml:space="preserve"> </w:t>
      </w:r>
      <w:proofErr w:type="spellStart"/>
      <w:r w:rsidR="00FE639D" w:rsidRPr="0087273B">
        <w:rPr>
          <w:rFonts w:ascii="Tahoma" w:eastAsia="Tahoma" w:hAnsi="Tahoma" w:cs="Tahoma"/>
          <w:lang w:eastAsia="es-MX"/>
        </w:rPr>
        <w:t>Skandia</w:t>
      </w:r>
      <w:proofErr w:type="spellEnd"/>
      <w:r w:rsidR="00FE639D" w:rsidRPr="0087273B">
        <w:rPr>
          <w:rFonts w:ascii="Tahoma" w:eastAsia="Tahoma" w:hAnsi="Tahoma" w:cs="Tahoma"/>
          <w:lang w:eastAsia="es-MX"/>
        </w:rPr>
        <w:t xml:space="preserve"> Administradora de Fondos de Pensiones y Cesantías S.A. </w:t>
      </w:r>
      <w:r w:rsidR="003B5C1D" w:rsidRPr="0087273B">
        <w:rPr>
          <w:rFonts w:ascii="Tahoma" w:eastAsia="Tahoma" w:hAnsi="Tahoma" w:cs="Tahoma"/>
          <w:lang w:eastAsia="es-MX"/>
        </w:rPr>
        <w:t xml:space="preserve">y a </w:t>
      </w:r>
      <w:r w:rsidR="00FE639D" w:rsidRPr="0087273B">
        <w:rPr>
          <w:rFonts w:ascii="Tahoma" w:eastAsia="Tahoma" w:hAnsi="Tahoma" w:cs="Tahoma"/>
          <w:lang w:eastAsia="es-MX"/>
        </w:rPr>
        <w:t xml:space="preserve">Colfondos S.A. Pensiones y Cesantías, </w:t>
      </w:r>
      <w:r w:rsidR="00DB3500" w:rsidRPr="0087273B">
        <w:rPr>
          <w:rFonts w:ascii="Tahoma" w:eastAsia="Tahoma" w:hAnsi="Tahoma" w:cs="Tahoma"/>
          <w:lang w:eastAsia="es-MX"/>
        </w:rPr>
        <w:t>en favor de la parte actora.</w:t>
      </w:r>
      <w:r w:rsidR="00DB3500" w:rsidRPr="0087273B">
        <w:rPr>
          <w:rFonts w:ascii="Tahoma" w:eastAsia="Tahoma" w:hAnsi="Tahoma" w:cs="Tahoma"/>
          <w:lang w:eastAsia="es-CO"/>
        </w:rPr>
        <w:t xml:space="preserve"> Liquídense por la secretaría del juzgado de origen.</w:t>
      </w:r>
    </w:p>
    <w:p w14:paraId="41E370AC" w14:textId="77777777" w:rsidR="0087273B" w:rsidRPr="0087273B" w:rsidRDefault="0087273B" w:rsidP="0087273B">
      <w:pPr>
        <w:spacing w:before="0" w:beforeAutospacing="0" w:after="0" w:afterAutospacing="0" w:line="276" w:lineRule="auto"/>
        <w:ind w:firstLine="0"/>
        <w:rPr>
          <w:rFonts w:ascii="Tahoma" w:eastAsia="Calibri" w:hAnsi="Tahoma" w:cs="Tahoma"/>
        </w:rPr>
      </w:pPr>
      <w:bookmarkStart w:id="7" w:name="_Hlk126574973"/>
    </w:p>
    <w:p w14:paraId="4D664755" w14:textId="77777777" w:rsidR="0087273B" w:rsidRPr="0087273B" w:rsidRDefault="0087273B" w:rsidP="0087273B">
      <w:pPr>
        <w:spacing w:before="0" w:beforeAutospacing="0" w:after="0" w:afterAutospacing="0" w:line="276" w:lineRule="auto"/>
        <w:ind w:firstLine="0"/>
        <w:jc w:val="center"/>
        <w:rPr>
          <w:rFonts w:ascii="Tahoma" w:eastAsia="Tahoma" w:hAnsi="Tahoma" w:cs="Tahoma"/>
          <w:b/>
          <w:bCs/>
        </w:rPr>
      </w:pPr>
      <w:r w:rsidRPr="0087273B">
        <w:rPr>
          <w:rFonts w:ascii="Tahoma" w:eastAsia="Tahoma" w:hAnsi="Tahoma" w:cs="Tahoma"/>
          <w:b/>
          <w:bCs/>
        </w:rPr>
        <w:t>Notifíquese y cúmplase</w:t>
      </w:r>
    </w:p>
    <w:p w14:paraId="67CB6157" w14:textId="77777777" w:rsidR="0087273B" w:rsidRPr="0087273B" w:rsidRDefault="0087273B" w:rsidP="0087273B">
      <w:pPr>
        <w:spacing w:before="0" w:beforeAutospacing="0" w:after="0" w:afterAutospacing="0" w:line="276" w:lineRule="auto"/>
        <w:ind w:firstLine="0"/>
        <w:rPr>
          <w:rFonts w:ascii="Tahoma" w:eastAsia="Calibri" w:hAnsi="Tahoma" w:cs="Tahoma"/>
        </w:rPr>
      </w:pPr>
      <w:r w:rsidRPr="0087273B">
        <w:rPr>
          <w:rFonts w:ascii="Tahoma" w:eastAsia="Calibri" w:hAnsi="Tahoma" w:cs="Tahoma"/>
        </w:rPr>
        <w:t xml:space="preserve"> </w:t>
      </w:r>
    </w:p>
    <w:p w14:paraId="0062422B" w14:textId="77777777" w:rsidR="0087273B" w:rsidRPr="0087273B" w:rsidRDefault="0087273B" w:rsidP="0087273B">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87273B">
        <w:rPr>
          <w:rFonts w:ascii="Tahoma" w:eastAsia="Times New Roman" w:hAnsi="Tahoma" w:cs="Tahoma"/>
          <w:lang w:val="es-ES" w:eastAsia="es-ES"/>
        </w:rPr>
        <w:tab/>
        <w:t>La Magistrada ponente,</w:t>
      </w:r>
    </w:p>
    <w:p w14:paraId="54910CE3" w14:textId="77777777" w:rsidR="0087273B" w:rsidRPr="0087273B" w:rsidRDefault="0087273B" w:rsidP="0087273B">
      <w:pPr>
        <w:spacing w:before="0" w:beforeAutospacing="0" w:after="0" w:afterAutospacing="0" w:line="276" w:lineRule="auto"/>
        <w:ind w:firstLine="0"/>
        <w:jc w:val="left"/>
        <w:rPr>
          <w:rFonts w:ascii="Tahoma" w:eastAsia="Times New Roman" w:hAnsi="Tahoma" w:cs="Tahoma"/>
          <w:lang w:val="es-ES" w:eastAsia="es-ES"/>
        </w:rPr>
      </w:pPr>
    </w:p>
    <w:p w14:paraId="5BA8532E" w14:textId="77777777" w:rsidR="0087273B" w:rsidRPr="0087273B" w:rsidRDefault="0087273B" w:rsidP="0087273B">
      <w:pPr>
        <w:spacing w:before="0" w:beforeAutospacing="0" w:after="0" w:afterAutospacing="0" w:line="276" w:lineRule="auto"/>
        <w:ind w:firstLine="0"/>
        <w:jc w:val="left"/>
        <w:rPr>
          <w:rFonts w:ascii="Tahoma" w:eastAsia="Times New Roman" w:hAnsi="Tahoma" w:cs="Tahoma"/>
          <w:lang w:val="es-ES" w:eastAsia="es-ES"/>
        </w:rPr>
      </w:pPr>
    </w:p>
    <w:p w14:paraId="638BF775" w14:textId="77777777" w:rsidR="0087273B" w:rsidRPr="0087273B" w:rsidRDefault="0087273B" w:rsidP="0087273B">
      <w:pPr>
        <w:spacing w:before="0" w:beforeAutospacing="0" w:after="0" w:afterAutospacing="0" w:line="276" w:lineRule="auto"/>
        <w:ind w:firstLine="0"/>
        <w:jc w:val="left"/>
        <w:rPr>
          <w:rFonts w:ascii="Tahoma" w:eastAsia="Times New Roman" w:hAnsi="Tahoma" w:cs="Tahoma"/>
          <w:lang w:val="es-ES" w:eastAsia="es-ES"/>
        </w:rPr>
      </w:pPr>
    </w:p>
    <w:p w14:paraId="0BA124FD" w14:textId="77777777" w:rsidR="0087273B" w:rsidRPr="0087273B" w:rsidRDefault="0087273B" w:rsidP="0087273B">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87273B">
        <w:rPr>
          <w:rFonts w:ascii="Tahoma" w:eastAsia="Times New Roman" w:hAnsi="Tahoma" w:cs="Tahoma"/>
          <w:b/>
          <w:bCs/>
          <w:lang w:val="es-ES" w:eastAsia="es-ES"/>
        </w:rPr>
        <w:t>ANA LUCÍA CAICEDO CALDERÓN</w:t>
      </w:r>
    </w:p>
    <w:p w14:paraId="4014BD73" w14:textId="77777777" w:rsidR="0087273B" w:rsidRPr="0087273B" w:rsidRDefault="0087273B" w:rsidP="0087273B">
      <w:pPr>
        <w:spacing w:before="0" w:beforeAutospacing="0" w:after="0" w:afterAutospacing="0" w:line="276" w:lineRule="auto"/>
        <w:ind w:firstLine="0"/>
        <w:jc w:val="left"/>
        <w:rPr>
          <w:rFonts w:ascii="Tahoma" w:eastAsia="Times New Roman" w:hAnsi="Tahoma" w:cs="Tahoma"/>
          <w:lang w:val="es-ES" w:eastAsia="es-ES"/>
        </w:rPr>
      </w:pPr>
    </w:p>
    <w:p w14:paraId="76B4BFD0" w14:textId="77777777" w:rsidR="0087273B" w:rsidRPr="0087273B" w:rsidRDefault="0087273B" w:rsidP="0087273B">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87273B">
        <w:rPr>
          <w:rFonts w:ascii="Tahoma" w:eastAsia="Times New Roman" w:hAnsi="Tahoma" w:cs="Tahoma"/>
          <w:lang w:val="es-ES" w:eastAsia="es-ES"/>
        </w:rPr>
        <w:t>La Magistrada y el Magistrado,</w:t>
      </w:r>
    </w:p>
    <w:p w14:paraId="0F2F8301" w14:textId="77777777" w:rsidR="0087273B" w:rsidRPr="0087273B" w:rsidRDefault="0087273B" w:rsidP="0087273B">
      <w:pPr>
        <w:spacing w:before="0" w:beforeAutospacing="0" w:after="0" w:afterAutospacing="0" w:line="276" w:lineRule="auto"/>
        <w:ind w:firstLine="0"/>
        <w:jc w:val="left"/>
        <w:rPr>
          <w:rFonts w:ascii="Tahoma" w:eastAsia="Times New Roman" w:hAnsi="Tahoma" w:cs="Tahoma"/>
          <w:lang w:val="es-ES" w:eastAsia="es-ES"/>
        </w:rPr>
      </w:pPr>
    </w:p>
    <w:p w14:paraId="2CC17B55" w14:textId="77777777" w:rsidR="0087273B" w:rsidRPr="0087273B" w:rsidRDefault="0087273B" w:rsidP="0087273B">
      <w:pPr>
        <w:spacing w:before="0" w:beforeAutospacing="0" w:after="0" w:afterAutospacing="0" w:line="276" w:lineRule="auto"/>
        <w:ind w:firstLine="0"/>
        <w:jc w:val="left"/>
        <w:rPr>
          <w:rFonts w:ascii="Tahoma" w:eastAsia="Times New Roman" w:hAnsi="Tahoma" w:cs="Tahoma"/>
          <w:lang w:val="es-ES" w:eastAsia="es-ES"/>
        </w:rPr>
      </w:pPr>
    </w:p>
    <w:p w14:paraId="15A527AD" w14:textId="77777777" w:rsidR="0087273B" w:rsidRPr="0087273B" w:rsidRDefault="0087273B" w:rsidP="0087273B">
      <w:pPr>
        <w:spacing w:before="0" w:beforeAutospacing="0" w:after="0" w:afterAutospacing="0" w:line="276" w:lineRule="auto"/>
        <w:ind w:firstLine="0"/>
        <w:jc w:val="left"/>
        <w:rPr>
          <w:rFonts w:ascii="Tahoma" w:eastAsia="Times New Roman" w:hAnsi="Tahoma" w:cs="Tahoma"/>
          <w:lang w:val="es-ES" w:eastAsia="es-ES"/>
        </w:rPr>
      </w:pPr>
    </w:p>
    <w:p w14:paraId="7BEFC95F" w14:textId="77777777" w:rsidR="0087273B" w:rsidRPr="0087273B" w:rsidRDefault="0087273B" w:rsidP="0087273B">
      <w:pPr>
        <w:spacing w:before="0" w:beforeAutospacing="0" w:after="0" w:afterAutospacing="0" w:line="276" w:lineRule="auto"/>
        <w:ind w:firstLine="0"/>
        <w:rPr>
          <w:rFonts w:ascii="Tahoma" w:eastAsia="Calibri" w:hAnsi="Tahoma" w:cs="Tahoma"/>
          <w:lang w:val="es-ES"/>
        </w:rPr>
      </w:pPr>
      <w:r w:rsidRPr="0087273B">
        <w:rPr>
          <w:rFonts w:ascii="Tahoma" w:eastAsia="Times New Roman" w:hAnsi="Tahoma" w:cs="Tahoma"/>
          <w:b/>
          <w:bCs/>
          <w:lang w:val="es-ES" w:eastAsia="es-ES"/>
        </w:rPr>
        <w:t>OLGA LUCÍA HOYOS SEPÚLVEDA</w:t>
      </w:r>
      <w:r w:rsidRPr="0087273B">
        <w:rPr>
          <w:rFonts w:ascii="Tahoma" w:eastAsia="Times New Roman" w:hAnsi="Tahoma" w:cs="Tahoma"/>
          <w:b/>
          <w:bCs/>
          <w:lang w:val="es-ES" w:eastAsia="es-ES"/>
        </w:rPr>
        <w:tab/>
      </w:r>
      <w:r w:rsidRPr="0087273B">
        <w:rPr>
          <w:rFonts w:ascii="Tahoma" w:eastAsia="Times New Roman" w:hAnsi="Tahoma" w:cs="Tahoma"/>
          <w:b/>
          <w:bCs/>
          <w:lang w:val="es-ES" w:eastAsia="es-ES"/>
        </w:rPr>
        <w:tab/>
        <w:t>GERMÁN DARÍO GÓEZ VINASCO</w:t>
      </w:r>
      <w:bookmarkEnd w:id="7"/>
      <w:bookmarkEnd w:id="8"/>
    </w:p>
    <w:p w14:paraId="634A6C5D" w14:textId="29C61723" w:rsidR="008C3C1E" w:rsidRDefault="0087273B" w:rsidP="0087273B">
      <w:pPr>
        <w:spacing w:before="0" w:beforeAutospacing="0" w:after="0" w:afterAutospacing="0" w:line="276" w:lineRule="auto"/>
        <w:ind w:firstLine="0"/>
        <w:contextualSpacing/>
        <w:rPr>
          <w:rFonts w:ascii="Tahoma" w:eastAsia="Tahoma" w:hAnsi="Tahoma" w:cs="Tahoma"/>
          <w:bCs/>
          <w:lang w:val="es-ES"/>
        </w:rPr>
      </w:pPr>
      <w:r w:rsidRPr="0087273B">
        <w:rPr>
          <w:rFonts w:ascii="Tahoma" w:eastAsia="Tahoma" w:hAnsi="Tahoma" w:cs="Tahoma"/>
          <w:bCs/>
          <w:lang w:val="es-ES"/>
        </w:rPr>
        <w:t>Con salvamento de voto</w:t>
      </w:r>
    </w:p>
    <w:p w14:paraId="2F726252" w14:textId="2A2FF32B" w:rsidR="003F7AB5" w:rsidRDefault="003F7AB5">
      <w:pPr>
        <w:rPr>
          <w:rFonts w:ascii="Tahoma" w:eastAsia="Tahoma" w:hAnsi="Tahoma" w:cs="Tahoma"/>
          <w:bCs/>
          <w:lang w:val="es-ES"/>
        </w:rPr>
      </w:pPr>
      <w:r>
        <w:rPr>
          <w:rFonts w:ascii="Tahoma" w:eastAsia="Tahoma" w:hAnsi="Tahoma" w:cs="Tahoma"/>
          <w:bCs/>
          <w:lang w:val="es-ES"/>
        </w:rPr>
        <w:br w:type="page"/>
      </w:r>
    </w:p>
    <w:p w14:paraId="4169400E" w14:textId="77777777" w:rsidR="003F7AB5" w:rsidRPr="003F7AB5" w:rsidRDefault="003F7AB5" w:rsidP="00FC7FEE">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2"/>
          <w:lang w:val="es-ES" w:eastAsia="es-ES"/>
        </w:rPr>
      </w:pPr>
      <w:r w:rsidRPr="003F7AB5">
        <w:rPr>
          <w:rFonts w:ascii="Arial" w:eastAsia="Times New Roman" w:hAnsi="Arial" w:cs="Arial"/>
          <w:sz w:val="20"/>
          <w:szCs w:val="22"/>
          <w:lang w:val="es-ES" w:eastAsia="es-ES"/>
        </w:rPr>
        <w:lastRenderedPageBreak/>
        <w:t>Radicación No.:</w:t>
      </w:r>
      <w:r w:rsidRPr="003F7AB5">
        <w:rPr>
          <w:rFonts w:ascii="Arial" w:eastAsia="Times New Roman" w:hAnsi="Arial" w:cs="Arial"/>
          <w:sz w:val="22"/>
          <w:lang w:val="es-ES" w:eastAsia="es-ES"/>
        </w:rPr>
        <w:tab/>
      </w:r>
      <w:r w:rsidRPr="003F7AB5">
        <w:rPr>
          <w:rFonts w:ascii="Arial" w:eastAsia="Times New Roman" w:hAnsi="Arial" w:cs="Arial"/>
          <w:sz w:val="22"/>
          <w:lang w:val="es-ES" w:eastAsia="es-ES"/>
        </w:rPr>
        <w:tab/>
      </w:r>
      <w:r w:rsidRPr="003F7AB5">
        <w:rPr>
          <w:rFonts w:ascii="Arial" w:eastAsia="Times New Roman" w:hAnsi="Arial" w:cs="Arial"/>
          <w:sz w:val="20"/>
          <w:szCs w:val="22"/>
          <w:lang w:val="es-ES" w:eastAsia="es-ES"/>
        </w:rPr>
        <w:t>66001-31-05-002-2019-00557-01</w:t>
      </w:r>
    </w:p>
    <w:p w14:paraId="7DCB3FE2" w14:textId="3EC84A47" w:rsidR="003F7AB5" w:rsidRPr="003F7AB5" w:rsidRDefault="003F7AB5" w:rsidP="00FC7FEE">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2"/>
          <w:lang w:val="es-ES" w:eastAsia="es-ES"/>
        </w:rPr>
      </w:pPr>
      <w:r w:rsidRPr="003F7AB5">
        <w:rPr>
          <w:rFonts w:ascii="Arial" w:eastAsia="Times New Roman" w:hAnsi="Arial" w:cs="Arial"/>
          <w:sz w:val="20"/>
          <w:szCs w:val="22"/>
          <w:lang w:val="es-ES" w:eastAsia="es-ES"/>
        </w:rPr>
        <w:t>Proceso:</w:t>
      </w:r>
      <w:r w:rsidRPr="003F7AB5">
        <w:rPr>
          <w:rFonts w:ascii="Arial" w:eastAsia="Times New Roman" w:hAnsi="Arial" w:cs="Arial"/>
          <w:sz w:val="20"/>
          <w:szCs w:val="22"/>
          <w:lang w:val="es-ES" w:eastAsia="es-ES"/>
        </w:rPr>
        <w:tab/>
      </w:r>
      <w:r w:rsidRPr="003F7AB5">
        <w:rPr>
          <w:rFonts w:ascii="Arial" w:eastAsia="Times New Roman" w:hAnsi="Arial" w:cs="Arial"/>
          <w:sz w:val="20"/>
          <w:szCs w:val="22"/>
          <w:lang w:val="es-ES" w:eastAsia="es-ES"/>
        </w:rPr>
        <w:tab/>
        <w:t xml:space="preserve">Ordinario laboral </w:t>
      </w:r>
    </w:p>
    <w:p w14:paraId="795EC965" w14:textId="2BA06492" w:rsidR="003F7AB5" w:rsidRPr="003F7AB5" w:rsidRDefault="003F7AB5" w:rsidP="00FC7FEE">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2"/>
          <w:lang w:val="es-ES" w:eastAsia="es-ES"/>
        </w:rPr>
      </w:pPr>
      <w:r w:rsidRPr="003F7AB5">
        <w:rPr>
          <w:rFonts w:ascii="Arial" w:eastAsia="Times New Roman" w:hAnsi="Arial" w:cs="Arial"/>
          <w:sz w:val="20"/>
          <w:szCs w:val="22"/>
          <w:lang w:val="es-ES" w:eastAsia="es-ES"/>
        </w:rPr>
        <w:t>Demandante:</w:t>
      </w:r>
      <w:r w:rsidRPr="003F7AB5">
        <w:rPr>
          <w:rFonts w:ascii="Arial" w:eastAsia="Times New Roman" w:hAnsi="Arial" w:cs="Arial"/>
          <w:sz w:val="22"/>
          <w:lang w:val="es-ES" w:eastAsia="es-ES"/>
        </w:rPr>
        <w:tab/>
      </w:r>
      <w:r w:rsidRPr="003F7AB5">
        <w:rPr>
          <w:rFonts w:ascii="Arial" w:eastAsia="Times New Roman" w:hAnsi="Arial" w:cs="Arial"/>
          <w:sz w:val="22"/>
          <w:lang w:val="es-ES" w:eastAsia="es-ES"/>
        </w:rPr>
        <w:tab/>
      </w:r>
      <w:r w:rsidRPr="003F7AB5">
        <w:rPr>
          <w:rFonts w:ascii="Arial" w:eastAsia="Times New Roman" w:hAnsi="Arial" w:cs="Arial"/>
          <w:sz w:val="20"/>
          <w:szCs w:val="22"/>
          <w:lang w:val="es-ES" w:eastAsia="es-ES"/>
        </w:rPr>
        <w:t>Martha Luz Echeverri Flórez</w:t>
      </w:r>
    </w:p>
    <w:p w14:paraId="4461111E" w14:textId="2C8C701E" w:rsidR="003F7AB5" w:rsidRPr="003F7AB5" w:rsidRDefault="003F7AB5" w:rsidP="00FC7FEE">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2"/>
          <w:lang w:val="es-ES" w:eastAsia="es-ES"/>
        </w:rPr>
      </w:pPr>
      <w:r w:rsidRPr="003F7AB5">
        <w:rPr>
          <w:rFonts w:ascii="Arial" w:eastAsia="Times New Roman" w:hAnsi="Arial" w:cs="Arial"/>
          <w:sz w:val="20"/>
          <w:szCs w:val="22"/>
          <w:lang w:val="es-ES" w:eastAsia="es-ES"/>
        </w:rPr>
        <w:t>Demandado:</w:t>
      </w:r>
      <w:r w:rsidRPr="003F7AB5">
        <w:rPr>
          <w:rFonts w:ascii="Arial" w:eastAsia="Times New Roman" w:hAnsi="Arial" w:cs="Arial"/>
          <w:sz w:val="22"/>
          <w:lang w:val="es-ES" w:eastAsia="es-ES"/>
        </w:rPr>
        <w:tab/>
      </w:r>
      <w:r w:rsidRPr="003F7AB5">
        <w:rPr>
          <w:rFonts w:ascii="Arial" w:eastAsia="Times New Roman" w:hAnsi="Arial" w:cs="Arial"/>
          <w:sz w:val="22"/>
          <w:lang w:val="es-ES" w:eastAsia="es-ES"/>
        </w:rPr>
        <w:tab/>
      </w:r>
      <w:r w:rsidRPr="003F7AB5">
        <w:rPr>
          <w:rFonts w:ascii="Arial" w:eastAsia="Times New Roman" w:hAnsi="Arial" w:cs="Arial"/>
          <w:sz w:val="20"/>
          <w:szCs w:val="22"/>
          <w:lang w:val="es-ES" w:eastAsia="es-ES"/>
        </w:rPr>
        <w:t xml:space="preserve">Colpensiones, </w:t>
      </w:r>
      <w:proofErr w:type="spellStart"/>
      <w:r w:rsidRPr="003F7AB5">
        <w:rPr>
          <w:rFonts w:ascii="Arial" w:eastAsia="Times New Roman" w:hAnsi="Arial" w:cs="Arial"/>
          <w:sz w:val="20"/>
          <w:szCs w:val="22"/>
          <w:lang w:val="es-ES" w:eastAsia="es-ES"/>
        </w:rPr>
        <w:t>Skandia</w:t>
      </w:r>
      <w:proofErr w:type="spellEnd"/>
      <w:r w:rsidRPr="003F7AB5">
        <w:rPr>
          <w:rFonts w:ascii="Arial" w:eastAsia="Times New Roman" w:hAnsi="Arial" w:cs="Arial"/>
          <w:sz w:val="20"/>
          <w:szCs w:val="22"/>
          <w:lang w:val="es-ES" w:eastAsia="es-ES"/>
        </w:rPr>
        <w:t xml:space="preserve"> S.A. y Porvenir S.A.</w:t>
      </w:r>
    </w:p>
    <w:p w14:paraId="5ADA7540" w14:textId="64A4928F" w:rsidR="003F7AB5" w:rsidRPr="003F7AB5" w:rsidRDefault="003F7AB5" w:rsidP="00FC7FEE">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2"/>
          <w:lang w:val="es-ES" w:eastAsia="es-ES"/>
        </w:rPr>
      </w:pPr>
      <w:r w:rsidRPr="003F7AB5">
        <w:rPr>
          <w:rFonts w:ascii="Arial" w:eastAsia="Times New Roman" w:hAnsi="Arial" w:cs="Arial"/>
          <w:sz w:val="20"/>
          <w:szCs w:val="22"/>
          <w:lang w:val="es-ES" w:eastAsia="es-ES"/>
        </w:rPr>
        <w:t>Vinculada:</w:t>
      </w:r>
      <w:r w:rsidRPr="003F7AB5">
        <w:rPr>
          <w:rFonts w:ascii="Arial" w:eastAsia="Times New Roman" w:hAnsi="Arial" w:cs="Arial"/>
          <w:sz w:val="20"/>
          <w:szCs w:val="22"/>
          <w:lang w:val="es-ES" w:eastAsia="es-ES"/>
        </w:rPr>
        <w:tab/>
      </w:r>
      <w:r w:rsidRPr="003F7AB5">
        <w:rPr>
          <w:rFonts w:ascii="Arial" w:eastAsia="Times New Roman" w:hAnsi="Arial" w:cs="Arial"/>
          <w:sz w:val="20"/>
          <w:szCs w:val="22"/>
          <w:lang w:val="es-ES" w:eastAsia="es-ES"/>
        </w:rPr>
        <w:tab/>
      </w:r>
      <w:proofErr w:type="spellStart"/>
      <w:r w:rsidRPr="003F7AB5">
        <w:rPr>
          <w:rFonts w:ascii="Arial" w:eastAsia="Times New Roman" w:hAnsi="Arial" w:cs="Arial"/>
          <w:sz w:val="20"/>
          <w:szCs w:val="22"/>
          <w:lang w:val="es-ES" w:eastAsia="es-ES"/>
        </w:rPr>
        <w:t>Colfondos</w:t>
      </w:r>
      <w:proofErr w:type="spellEnd"/>
      <w:r w:rsidRPr="003F7AB5">
        <w:rPr>
          <w:rFonts w:ascii="Arial" w:eastAsia="Times New Roman" w:hAnsi="Arial" w:cs="Arial"/>
          <w:sz w:val="20"/>
          <w:szCs w:val="22"/>
          <w:lang w:val="es-ES" w:eastAsia="es-ES"/>
        </w:rPr>
        <w:t xml:space="preserve"> S.A.</w:t>
      </w:r>
    </w:p>
    <w:p w14:paraId="09D111CA" w14:textId="625434E0" w:rsidR="003F7AB5" w:rsidRPr="003F7AB5" w:rsidRDefault="003F7AB5" w:rsidP="00FC7FEE">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22"/>
          <w:lang w:eastAsia="es-ES"/>
        </w:rPr>
      </w:pPr>
      <w:r w:rsidRPr="003F7AB5">
        <w:rPr>
          <w:rFonts w:ascii="Arial" w:eastAsia="Times New Roman" w:hAnsi="Arial" w:cs="Arial"/>
          <w:sz w:val="20"/>
          <w:szCs w:val="22"/>
          <w:lang w:val="es-ES" w:eastAsia="es-ES"/>
        </w:rPr>
        <w:t xml:space="preserve">Magistrado ponente: </w:t>
      </w:r>
      <w:r w:rsidRPr="003F7AB5">
        <w:rPr>
          <w:rFonts w:ascii="Arial" w:eastAsia="Times New Roman" w:hAnsi="Arial" w:cs="Arial"/>
          <w:sz w:val="22"/>
          <w:lang w:val="es-ES" w:eastAsia="es-ES"/>
        </w:rPr>
        <w:tab/>
      </w:r>
      <w:r w:rsidRPr="003F7AB5">
        <w:rPr>
          <w:rFonts w:ascii="Arial" w:eastAsia="Times New Roman" w:hAnsi="Arial" w:cs="Arial"/>
          <w:sz w:val="20"/>
          <w:szCs w:val="22"/>
          <w:lang w:val="es-ES" w:eastAsia="es-ES"/>
        </w:rPr>
        <w:t>Dra. Ana Lucía Caicedo Calderón</w:t>
      </w:r>
    </w:p>
    <w:p w14:paraId="34A41753" w14:textId="44759A9E" w:rsidR="003F7AB5" w:rsidRPr="003F7AB5" w:rsidRDefault="003F7AB5" w:rsidP="00FC7FEE">
      <w:pPr>
        <w:widowControl w:val="0"/>
        <w:tabs>
          <w:tab w:val="left" w:pos="2127"/>
        </w:tabs>
        <w:autoSpaceDE w:val="0"/>
        <w:autoSpaceDN w:val="0"/>
        <w:adjustRightInd w:val="0"/>
        <w:spacing w:before="0" w:beforeAutospacing="0" w:after="0" w:afterAutospacing="0" w:line="240" w:lineRule="auto"/>
        <w:ind w:left="2832" w:hanging="2832"/>
        <w:rPr>
          <w:rFonts w:ascii="Arial" w:eastAsia="Times New Roman" w:hAnsi="Arial" w:cs="Arial"/>
          <w:bCs/>
          <w:sz w:val="20"/>
          <w:szCs w:val="22"/>
          <w:lang w:val="es-ES" w:eastAsia="es-ES"/>
        </w:rPr>
      </w:pPr>
      <w:r w:rsidRPr="003F7AB5">
        <w:rPr>
          <w:rFonts w:ascii="Arial" w:eastAsia="Times New Roman" w:hAnsi="Arial" w:cs="Arial"/>
          <w:sz w:val="20"/>
          <w:szCs w:val="22"/>
          <w:lang w:val="es-ES" w:eastAsia="es-ES"/>
        </w:rPr>
        <w:t xml:space="preserve">Tema: </w:t>
      </w:r>
      <w:r w:rsidRPr="003F7AB5">
        <w:rPr>
          <w:rFonts w:ascii="Arial" w:eastAsia="Times New Roman" w:hAnsi="Arial" w:cs="Arial"/>
          <w:sz w:val="20"/>
          <w:szCs w:val="22"/>
          <w:lang w:val="es-ES" w:eastAsia="es-ES"/>
        </w:rPr>
        <w:tab/>
        <w:t xml:space="preserve">Ineficacia de traslado </w:t>
      </w:r>
    </w:p>
    <w:p w14:paraId="161F93B0" w14:textId="4F80976F" w:rsidR="003F7AB5" w:rsidRPr="00FC7FEE" w:rsidRDefault="003F7AB5" w:rsidP="00FC7FEE">
      <w:pPr>
        <w:spacing w:before="0" w:beforeAutospacing="0" w:after="0" w:afterAutospacing="0" w:line="240" w:lineRule="auto"/>
        <w:ind w:firstLine="0"/>
        <w:textAlignment w:val="baseline"/>
        <w:rPr>
          <w:rFonts w:ascii="Arial" w:eastAsia="Times New Roman" w:hAnsi="Arial" w:cs="Arial"/>
          <w:bCs/>
          <w:u w:val="single"/>
          <w:lang w:val="es-ES" w:eastAsia="es-CO"/>
        </w:rPr>
      </w:pPr>
    </w:p>
    <w:p w14:paraId="133E5811" w14:textId="1815F7C4" w:rsidR="00FC7FEE" w:rsidRDefault="00FC7FEE" w:rsidP="00FC7FEE">
      <w:pPr>
        <w:spacing w:before="0" w:beforeAutospacing="0" w:after="0" w:afterAutospacing="0" w:line="240" w:lineRule="auto"/>
        <w:ind w:firstLine="0"/>
        <w:textAlignment w:val="baseline"/>
        <w:rPr>
          <w:rFonts w:ascii="Arial" w:eastAsia="Times New Roman" w:hAnsi="Arial" w:cs="Arial"/>
          <w:bCs/>
          <w:u w:val="single"/>
          <w:lang w:val="es-ES" w:eastAsia="es-CO"/>
        </w:rPr>
      </w:pPr>
    </w:p>
    <w:p w14:paraId="1DCEDE77" w14:textId="77777777" w:rsidR="00FC7FEE" w:rsidRPr="003F7AB5" w:rsidRDefault="00FC7FEE" w:rsidP="00FC7FEE">
      <w:pPr>
        <w:spacing w:before="0" w:beforeAutospacing="0" w:after="0" w:afterAutospacing="0" w:line="240" w:lineRule="auto"/>
        <w:ind w:firstLine="0"/>
        <w:textAlignment w:val="baseline"/>
        <w:rPr>
          <w:rFonts w:ascii="Arial" w:eastAsia="Times New Roman" w:hAnsi="Arial" w:cs="Arial"/>
          <w:bCs/>
          <w:u w:val="single"/>
          <w:lang w:val="es-ES" w:eastAsia="es-CO"/>
        </w:rPr>
      </w:pPr>
    </w:p>
    <w:p w14:paraId="172D9AE8" w14:textId="77777777" w:rsidR="003F7AB5" w:rsidRPr="00A805D9" w:rsidRDefault="003F7AB5" w:rsidP="00A805D9">
      <w:pPr>
        <w:keepNext/>
        <w:spacing w:before="0" w:beforeAutospacing="0" w:after="0" w:afterAutospacing="0" w:line="276" w:lineRule="auto"/>
        <w:ind w:firstLine="0"/>
        <w:jc w:val="center"/>
        <w:outlineLvl w:val="2"/>
        <w:rPr>
          <w:rFonts w:ascii="Arial" w:eastAsia="Times New Roman" w:hAnsi="Arial" w:cs="Arial"/>
          <w:b/>
          <w:lang w:val="es-ES_tradnl" w:eastAsia="es-ES"/>
        </w:rPr>
      </w:pPr>
      <w:r w:rsidRPr="00A805D9">
        <w:rPr>
          <w:rFonts w:ascii="Arial" w:eastAsia="Times New Roman" w:hAnsi="Arial" w:cs="Arial"/>
          <w:b/>
          <w:lang w:val="es-ES_tradnl" w:eastAsia="es-ES"/>
        </w:rPr>
        <w:t>TRIBUNAL SUPERIOR DEL DISTRITO JUDICIAL</w:t>
      </w:r>
    </w:p>
    <w:p w14:paraId="4B9C75AC" w14:textId="77777777" w:rsidR="003F7AB5" w:rsidRPr="00A805D9" w:rsidRDefault="003F7AB5" w:rsidP="00A805D9">
      <w:pPr>
        <w:spacing w:before="0" w:beforeAutospacing="0" w:after="0" w:afterAutospacing="0" w:line="276" w:lineRule="auto"/>
        <w:ind w:firstLine="0"/>
        <w:jc w:val="center"/>
        <w:rPr>
          <w:rFonts w:ascii="Arial" w:eastAsia="Calibri" w:hAnsi="Arial" w:cs="Arial"/>
          <w:b/>
        </w:rPr>
      </w:pPr>
      <w:r w:rsidRPr="00A805D9">
        <w:rPr>
          <w:rFonts w:ascii="Arial" w:eastAsia="Calibri" w:hAnsi="Arial" w:cs="Arial"/>
          <w:b/>
        </w:rPr>
        <w:t>SALA LABORAL</w:t>
      </w:r>
    </w:p>
    <w:p w14:paraId="4C5B1496" w14:textId="77777777" w:rsidR="003F7AB5" w:rsidRPr="00A805D9" w:rsidRDefault="003F7AB5" w:rsidP="00A805D9">
      <w:pPr>
        <w:spacing w:before="0" w:beforeAutospacing="0" w:after="0" w:afterAutospacing="0" w:line="276" w:lineRule="auto"/>
        <w:ind w:firstLine="0"/>
        <w:jc w:val="center"/>
        <w:rPr>
          <w:rFonts w:ascii="Arial" w:eastAsia="Times New Roman" w:hAnsi="Arial" w:cs="Arial"/>
          <w:b/>
          <w:lang w:val="es-ES_tradnl" w:eastAsia="es-ES"/>
        </w:rPr>
      </w:pPr>
      <w:r w:rsidRPr="00A805D9">
        <w:rPr>
          <w:rFonts w:ascii="Arial" w:eastAsia="Times New Roman" w:hAnsi="Arial" w:cs="Arial"/>
          <w:b/>
          <w:lang w:val="es-ES_tradnl" w:eastAsia="es-ES"/>
        </w:rPr>
        <w:t>MAGISTRADA: OLGA LUCIA HOYOS SEPÚLVEDA</w:t>
      </w:r>
    </w:p>
    <w:p w14:paraId="5D3194CF" w14:textId="77777777" w:rsidR="003F7AB5" w:rsidRPr="00A805D9" w:rsidRDefault="003F7AB5" w:rsidP="00A805D9">
      <w:pPr>
        <w:spacing w:before="0" w:beforeAutospacing="0" w:after="0" w:afterAutospacing="0" w:line="276" w:lineRule="auto"/>
        <w:ind w:firstLine="0"/>
        <w:jc w:val="left"/>
        <w:rPr>
          <w:rFonts w:ascii="Arial" w:eastAsia="Times New Roman" w:hAnsi="Arial" w:cs="Arial"/>
          <w:b/>
          <w:lang w:val="es-ES_tradnl" w:eastAsia="es-ES"/>
        </w:rPr>
      </w:pPr>
    </w:p>
    <w:p w14:paraId="5226ACA1" w14:textId="77777777" w:rsidR="003F7AB5" w:rsidRPr="00A805D9" w:rsidRDefault="003F7AB5" w:rsidP="00A805D9">
      <w:pPr>
        <w:spacing w:before="0" w:beforeAutospacing="0" w:after="0" w:afterAutospacing="0" w:line="276" w:lineRule="auto"/>
        <w:ind w:firstLine="0"/>
        <w:jc w:val="left"/>
        <w:textAlignment w:val="baseline"/>
        <w:rPr>
          <w:rFonts w:ascii="Arial" w:eastAsia="Times New Roman" w:hAnsi="Arial" w:cs="Arial"/>
          <w:lang w:val="es-ES_tradnl" w:eastAsia="es-CO"/>
        </w:rPr>
      </w:pPr>
    </w:p>
    <w:p w14:paraId="547173D2" w14:textId="77777777" w:rsidR="003F7AB5" w:rsidRPr="003F7AB5" w:rsidRDefault="003F7AB5" w:rsidP="00A805D9">
      <w:pPr>
        <w:spacing w:before="0" w:beforeAutospacing="0" w:after="0" w:afterAutospacing="0" w:line="276" w:lineRule="auto"/>
        <w:ind w:firstLine="0"/>
        <w:jc w:val="center"/>
        <w:textAlignment w:val="baseline"/>
        <w:rPr>
          <w:rFonts w:ascii="Arial" w:eastAsia="Times New Roman" w:hAnsi="Arial" w:cs="Arial"/>
          <w:sz w:val="18"/>
          <w:szCs w:val="18"/>
          <w:lang w:eastAsia="es-CO"/>
        </w:rPr>
      </w:pPr>
      <w:r w:rsidRPr="003F7AB5">
        <w:rPr>
          <w:rFonts w:ascii="Arial" w:eastAsia="Times New Roman" w:hAnsi="Arial" w:cs="Arial"/>
          <w:b/>
          <w:bCs/>
          <w:u w:val="single"/>
          <w:lang w:val="es-ES" w:eastAsia="es-CO"/>
        </w:rPr>
        <w:t xml:space="preserve">SALVAMENTO DE VOTO </w:t>
      </w:r>
    </w:p>
    <w:p w14:paraId="1F751190" w14:textId="77777777" w:rsidR="003F7AB5" w:rsidRPr="003F7AB5" w:rsidRDefault="003F7AB5" w:rsidP="00A805D9">
      <w:pPr>
        <w:shd w:val="clear" w:color="auto" w:fill="FFFFFF"/>
        <w:spacing w:before="0" w:beforeAutospacing="0" w:after="0" w:afterAutospacing="0" w:line="276" w:lineRule="auto"/>
        <w:ind w:firstLine="0"/>
        <w:jc w:val="left"/>
        <w:textAlignment w:val="baseline"/>
        <w:rPr>
          <w:rFonts w:ascii="Arial" w:eastAsia="Times New Roman" w:hAnsi="Arial" w:cs="Arial"/>
          <w:sz w:val="18"/>
          <w:szCs w:val="18"/>
          <w:lang w:eastAsia="es-CO"/>
        </w:rPr>
      </w:pPr>
      <w:r w:rsidRPr="003F7AB5">
        <w:rPr>
          <w:rFonts w:ascii="Arial" w:eastAsia="Times New Roman" w:hAnsi="Arial" w:cs="Arial"/>
          <w:color w:val="000000"/>
          <w:lang w:eastAsia="es-CO"/>
        </w:rPr>
        <w:t>  </w:t>
      </w:r>
    </w:p>
    <w:p w14:paraId="692F85B8"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szCs w:val="20"/>
          <w:lang w:val="es-ES" w:eastAsia="es-CO"/>
        </w:rPr>
      </w:pPr>
      <w:r w:rsidRPr="003F7AB5">
        <w:rPr>
          <w:rFonts w:ascii="Arial" w:eastAsia="Times New Roman" w:hAnsi="Arial" w:cs="Arial"/>
          <w:szCs w:val="20"/>
          <w:lang w:val="es-ES" w:eastAsia="es-CO"/>
        </w:rPr>
        <w:t>Con el acostumbrado respeto me aparto de la decisión adoptada por la Sala Mayoritaria que confirmó la sentencia proferida el 10 de noviembre del 2023 por el Juzgado Segundo Laboral del Circuito de Pereira.</w:t>
      </w:r>
    </w:p>
    <w:p w14:paraId="5F29DDD3"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 w:eastAsia="es-CO"/>
        </w:rPr>
      </w:pPr>
    </w:p>
    <w:p w14:paraId="642FDCC3" w14:textId="77777777" w:rsidR="003F7AB5" w:rsidRPr="003F7AB5" w:rsidRDefault="003F7AB5" w:rsidP="00A805D9">
      <w:pPr>
        <w:spacing w:before="0" w:beforeAutospacing="0" w:after="0" w:afterAutospacing="0" w:line="276" w:lineRule="auto"/>
        <w:ind w:firstLine="0"/>
        <w:rPr>
          <w:rFonts w:ascii="Arial" w:eastAsia="Times New Roman" w:hAnsi="Arial" w:cs="Arial"/>
          <w:lang w:val="es-ES_tradnl" w:eastAsia="es-CO"/>
        </w:rPr>
      </w:pPr>
      <w:r w:rsidRPr="003F7AB5">
        <w:rPr>
          <w:rFonts w:ascii="Arial" w:eastAsia="Times New Roman" w:hAnsi="Arial" w:cs="Arial"/>
          <w:szCs w:val="20"/>
          <w:lang w:val="es-ES" w:eastAsia="es-CO"/>
        </w:rPr>
        <w:t>En efecto, disiento de la decisión mayoritaria por cuanto d</w:t>
      </w:r>
      <w:proofErr w:type="spellStart"/>
      <w:r w:rsidRPr="003F7AB5">
        <w:rPr>
          <w:rFonts w:ascii="Arial" w:eastAsia="Times New Roman" w:hAnsi="Arial" w:cs="Arial"/>
          <w:szCs w:val="20"/>
          <w:lang w:val="es-ES_tradnl" w:eastAsia="es-CO"/>
        </w:rPr>
        <w:t>e</w:t>
      </w:r>
      <w:proofErr w:type="spellEnd"/>
      <w:r w:rsidRPr="003F7AB5">
        <w:rPr>
          <w:rFonts w:ascii="Arial" w:eastAsia="Times New Roman" w:hAnsi="Arial" w:cs="Arial"/>
          <w:szCs w:val="20"/>
          <w:lang w:val="es-ES_tradnl" w:eastAsia="es-CO"/>
        </w:rPr>
        <w:t xml:space="preserve"> los hechos de la demanda se observa que la parte actora omitió vincular y solicitar la ineficacia del traslado de régimen que se surtió a través de </w:t>
      </w:r>
      <w:proofErr w:type="spellStart"/>
      <w:r w:rsidRPr="003F7AB5">
        <w:rPr>
          <w:rFonts w:ascii="Arial" w:eastAsia="Times New Roman" w:hAnsi="Arial" w:cs="Arial"/>
          <w:szCs w:val="20"/>
          <w:lang w:val="es-ES_tradnl" w:eastAsia="es-CO"/>
        </w:rPr>
        <w:t>Colfondos</w:t>
      </w:r>
      <w:proofErr w:type="spellEnd"/>
      <w:r w:rsidRPr="003F7AB5">
        <w:rPr>
          <w:rFonts w:ascii="Arial" w:eastAsia="Times New Roman" w:hAnsi="Arial" w:cs="Arial"/>
          <w:szCs w:val="20"/>
          <w:lang w:val="es-ES_tradnl" w:eastAsia="es-CO"/>
        </w:rPr>
        <w:t xml:space="preserve"> S.A.; pues lo que pretendió fue la ineficacia frente a Porvenir S.A. como si ésta hubiera sido la que ocasionó el cambio de régimen; por lo mismo ningún supuestos fáctico se consignó en la demanda respecto a la omisión de información por parte de </w:t>
      </w:r>
      <w:proofErr w:type="spellStart"/>
      <w:r w:rsidRPr="003F7AB5">
        <w:rPr>
          <w:rFonts w:ascii="Arial" w:eastAsia="Times New Roman" w:hAnsi="Arial" w:cs="Arial"/>
          <w:szCs w:val="20"/>
          <w:lang w:val="es-ES_tradnl" w:eastAsia="es-CO"/>
        </w:rPr>
        <w:t>Colfondos</w:t>
      </w:r>
      <w:proofErr w:type="spellEnd"/>
      <w:r w:rsidRPr="003F7AB5">
        <w:rPr>
          <w:rFonts w:ascii="Arial" w:eastAsia="Times New Roman" w:hAnsi="Arial" w:cs="Arial"/>
          <w:szCs w:val="20"/>
          <w:lang w:val="es-ES_tradnl" w:eastAsia="es-CO"/>
        </w:rPr>
        <w:t xml:space="preserve"> S.A. sobre las características, beneficios, ventajas y desventajas al momento del cambio de régimen, para de esta manera poder estar en presencia  de una negación indefinida a favor de la parte actora que traslade la carga de la prueba a la AFP </w:t>
      </w:r>
      <w:proofErr w:type="spellStart"/>
      <w:r w:rsidRPr="003F7AB5">
        <w:rPr>
          <w:rFonts w:ascii="Arial" w:eastAsia="Times New Roman" w:hAnsi="Arial" w:cs="Arial"/>
          <w:szCs w:val="20"/>
          <w:lang w:val="es-ES_tradnl" w:eastAsia="es-CO"/>
        </w:rPr>
        <w:t>Colfondos</w:t>
      </w:r>
      <w:proofErr w:type="spellEnd"/>
      <w:r w:rsidRPr="003F7AB5">
        <w:rPr>
          <w:rFonts w:ascii="Arial" w:eastAsia="Times New Roman" w:hAnsi="Arial" w:cs="Arial"/>
          <w:szCs w:val="20"/>
          <w:lang w:val="es-ES_tradnl" w:eastAsia="es-CO"/>
        </w:rPr>
        <w:t xml:space="preserve">  S.A.; por lo que este asunto está desprovisto de la prueba respecto a la AFP con la que se dio el cambio de régimen; siendo este el bastión que permitiría salir avante las pretensiones; sin que se pueda llegar al extremo de acceder a las pretensiones respecto de quien no se han formulado y de quien no existe prueba del incumplimiento de sus obligaciones; hay que tener presente que esto no es un hecho notorio, pues cada caso es particular y para ser vencido requiere haber prueba en contra de quien resulta condenado; no basta con solo presentar un escrito e invocar la pretensión de ineficacia sin otra exigencia, ello vulnera el derecho al debido proceso.</w:t>
      </w:r>
    </w:p>
    <w:p w14:paraId="1B352160" w14:textId="77777777" w:rsidR="003F7AB5" w:rsidRPr="003F7AB5" w:rsidRDefault="003F7AB5" w:rsidP="00A805D9">
      <w:pPr>
        <w:spacing w:before="0" w:beforeAutospacing="0" w:after="0" w:afterAutospacing="0" w:line="276" w:lineRule="auto"/>
        <w:ind w:firstLine="0"/>
        <w:rPr>
          <w:rFonts w:ascii="Arial" w:eastAsia="Times New Roman" w:hAnsi="Arial" w:cs="Arial"/>
          <w:lang w:val="es-ES_tradnl" w:eastAsia="es-CO"/>
        </w:rPr>
      </w:pPr>
      <w:r w:rsidRPr="003F7AB5">
        <w:rPr>
          <w:rFonts w:ascii="Arial" w:eastAsia="Times New Roman" w:hAnsi="Arial" w:cs="Arial"/>
          <w:szCs w:val="20"/>
          <w:lang w:val="es-ES_tradnl" w:eastAsia="es-CO"/>
        </w:rPr>
        <w:t xml:space="preserve"> </w:t>
      </w:r>
    </w:p>
    <w:p w14:paraId="604E0F01"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_tradnl" w:eastAsia="es-CO"/>
        </w:rPr>
      </w:pPr>
      <w:r w:rsidRPr="003F7AB5">
        <w:rPr>
          <w:rFonts w:ascii="Arial" w:eastAsia="Times New Roman" w:hAnsi="Arial" w:cs="Arial"/>
          <w:lang w:val="es-ES_tradnl" w:eastAsia="es-CO"/>
        </w:rPr>
        <w:t xml:space="preserve">Además, hay que tener en cuenta para dar solución al problema jurídico planteado la consecuencia que genera la declaratoria de la ineficacia del traslado de régimen, que lo es que la afiliada no dejó de pertenecer al RPM; que al no solicitarse tal declaratoria respecto de </w:t>
      </w:r>
      <w:proofErr w:type="spellStart"/>
      <w:r w:rsidRPr="003F7AB5">
        <w:rPr>
          <w:rFonts w:ascii="Arial" w:eastAsia="Times New Roman" w:hAnsi="Arial" w:cs="Arial"/>
          <w:lang w:val="es-ES_tradnl" w:eastAsia="es-CO"/>
        </w:rPr>
        <w:t>Colfondos</w:t>
      </w:r>
      <w:proofErr w:type="spellEnd"/>
      <w:r w:rsidRPr="003F7AB5">
        <w:rPr>
          <w:rFonts w:ascii="Arial" w:eastAsia="Times New Roman" w:hAnsi="Arial" w:cs="Arial"/>
          <w:lang w:val="es-ES_tradnl" w:eastAsia="es-CO"/>
        </w:rPr>
        <w:t xml:space="preserve"> S.A. sino de Porvenir S.A. con quien no se surtió el cambio de régimen sino un mero traslado horizontal, a lo sumo la ineficacia declarada respecto de esta última lleva consigo a que la demandante nuevamente estuviera afiliada a </w:t>
      </w:r>
      <w:proofErr w:type="spellStart"/>
      <w:r w:rsidRPr="003F7AB5">
        <w:rPr>
          <w:rFonts w:ascii="Arial" w:eastAsia="Times New Roman" w:hAnsi="Arial" w:cs="Arial"/>
          <w:lang w:val="es-ES_tradnl" w:eastAsia="es-CO"/>
        </w:rPr>
        <w:t>Colfondos</w:t>
      </w:r>
      <w:proofErr w:type="spellEnd"/>
      <w:r w:rsidRPr="003F7AB5">
        <w:rPr>
          <w:rFonts w:ascii="Arial" w:eastAsia="Times New Roman" w:hAnsi="Arial" w:cs="Arial"/>
          <w:lang w:val="es-ES_tradnl" w:eastAsia="es-CO"/>
        </w:rPr>
        <w:t xml:space="preserve"> S.A., pero no al RPM a través de Colpensiones; resultado este que no es el pretendido en la demanda; de ahí, que erró la juez al no verificar esta situación al momento de proferir la decisión. </w:t>
      </w:r>
    </w:p>
    <w:p w14:paraId="2DA27CDF"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_tradnl" w:eastAsia="es-CO"/>
        </w:rPr>
      </w:pPr>
      <w:r w:rsidRPr="003F7AB5">
        <w:rPr>
          <w:rFonts w:ascii="Arial" w:eastAsia="Times New Roman" w:hAnsi="Arial" w:cs="Arial"/>
          <w:lang w:val="es-ES_tradnl" w:eastAsia="es-CO"/>
        </w:rPr>
        <w:t> </w:t>
      </w:r>
    </w:p>
    <w:p w14:paraId="4D9D32E1"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i/>
          <w:lang w:val="es-ES_tradnl" w:eastAsia="es-CO"/>
        </w:rPr>
      </w:pPr>
      <w:r w:rsidRPr="003F7AB5">
        <w:rPr>
          <w:rFonts w:ascii="Arial" w:eastAsia="Times New Roman" w:hAnsi="Arial" w:cs="Arial"/>
          <w:lang w:val="es-ES_tradnl" w:eastAsia="es-CO"/>
        </w:rPr>
        <w:t xml:space="preserve">Omisión que no le era dable a la jueza subsanar, toda vez que ésta debe ceñirse el principio de congruencia establecido en el artículo 281 del </w:t>
      </w:r>
      <w:proofErr w:type="spellStart"/>
      <w:r w:rsidRPr="003F7AB5">
        <w:rPr>
          <w:rFonts w:ascii="Arial" w:eastAsia="Times New Roman" w:hAnsi="Arial" w:cs="Arial"/>
          <w:lang w:val="es-ES_tradnl" w:eastAsia="es-CO"/>
        </w:rPr>
        <w:t>CGP</w:t>
      </w:r>
      <w:proofErr w:type="spellEnd"/>
      <w:r w:rsidRPr="003F7AB5">
        <w:rPr>
          <w:rFonts w:ascii="Arial" w:eastAsia="Times New Roman" w:hAnsi="Arial" w:cs="Arial"/>
          <w:lang w:val="es-ES_tradnl" w:eastAsia="es-CO"/>
        </w:rPr>
        <w:t xml:space="preserve"> aplicable por remisión </w:t>
      </w:r>
      <w:r w:rsidRPr="003F7AB5">
        <w:rPr>
          <w:rFonts w:ascii="Arial" w:eastAsia="Times New Roman" w:hAnsi="Arial" w:cs="Arial"/>
          <w:lang w:val="es-ES_tradnl" w:eastAsia="es-CO"/>
        </w:rPr>
        <w:lastRenderedPageBreak/>
        <w:t xml:space="preserve">del artículo 145 del </w:t>
      </w:r>
      <w:proofErr w:type="spellStart"/>
      <w:r w:rsidRPr="003F7AB5">
        <w:rPr>
          <w:rFonts w:ascii="Arial" w:eastAsia="Times New Roman" w:hAnsi="Arial" w:cs="Arial"/>
          <w:lang w:val="es-ES_tradnl" w:eastAsia="es-CO"/>
        </w:rPr>
        <w:t>CPTSS</w:t>
      </w:r>
      <w:proofErr w:type="spellEnd"/>
      <w:r w:rsidRPr="003F7AB5">
        <w:rPr>
          <w:rFonts w:ascii="Arial" w:eastAsia="Times New Roman" w:hAnsi="Arial" w:cs="Arial"/>
          <w:lang w:val="es-ES_tradnl" w:eastAsia="es-CO"/>
        </w:rPr>
        <w:t xml:space="preserve">, que dispone que las sentencias que profieran los jueces de instancia deberán estar en consonancia con </w:t>
      </w:r>
      <w:r w:rsidRPr="003F7AB5">
        <w:rPr>
          <w:rFonts w:ascii="Arial" w:eastAsia="Times New Roman" w:hAnsi="Arial" w:cs="Arial"/>
          <w:i/>
          <w:lang w:val="es-ES_tradnl" w:eastAsia="es-CO"/>
        </w:rPr>
        <w:t>“(…) con los hechos y las pretensiones aducidos en la demanda”.   </w:t>
      </w:r>
    </w:p>
    <w:p w14:paraId="22B5C09A"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_tradnl" w:eastAsia="es-CO"/>
        </w:rPr>
      </w:pPr>
      <w:r w:rsidRPr="003F7AB5">
        <w:rPr>
          <w:rFonts w:ascii="Arial" w:eastAsia="Times New Roman" w:hAnsi="Arial" w:cs="Arial"/>
          <w:lang w:val="es-ES_tradnl" w:eastAsia="es-CO"/>
        </w:rPr>
        <w:t> </w:t>
      </w:r>
    </w:p>
    <w:p w14:paraId="31AA85C6"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_tradnl" w:eastAsia="es-CO"/>
        </w:rPr>
      </w:pPr>
      <w:r w:rsidRPr="003F7AB5">
        <w:rPr>
          <w:rFonts w:ascii="Arial" w:eastAsia="Times New Roman" w:hAnsi="Arial" w:cs="Arial"/>
          <w:lang w:val="es-ES_tradnl" w:eastAsia="es-CO"/>
        </w:rPr>
        <w:t>De ahí, que la Sala de Casación Laboral de la Corte Suprema de Justicia haya dicho “</w:t>
      </w:r>
      <w:r w:rsidRPr="003F7AB5">
        <w:rPr>
          <w:rFonts w:ascii="Arial" w:eastAsia="Times New Roman" w:hAnsi="Arial" w:cs="Arial"/>
          <w:i/>
          <w:lang w:val="es-ES_tradnl" w:eastAsia="es-CO"/>
        </w:rPr>
        <w:t>Luego, no es la calificación jurídica que el demandante hace en su libelo de la relación jurídica sustancial en disputa la que demarca el objeto del proceso, sino que lo es la exposición y alegación de los hechos jurídicamente relevantes los que la precisan, con lo cual se cumple con el viejo aforismo latino que regla la actividad judicial ‘</w:t>
      </w:r>
      <w:proofErr w:type="spellStart"/>
      <w:r w:rsidRPr="003F7AB5">
        <w:rPr>
          <w:rFonts w:ascii="Arial" w:eastAsia="Times New Roman" w:hAnsi="Arial" w:cs="Arial"/>
          <w:i/>
          <w:lang w:val="es-ES_tradnl" w:eastAsia="es-CO"/>
        </w:rPr>
        <w:t>mihi</w:t>
      </w:r>
      <w:proofErr w:type="spellEnd"/>
      <w:r w:rsidRPr="003F7AB5">
        <w:rPr>
          <w:rFonts w:ascii="Arial" w:eastAsia="Times New Roman" w:hAnsi="Arial" w:cs="Arial"/>
          <w:i/>
          <w:lang w:val="es-ES_tradnl" w:eastAsia="es-CO"/>
        </w:rPr>
        <w:t xml:space="preserve"> </w:t>
      </w:r>
      <w:proofErr w:type="spellStart"/>
      <w:r w:rsidRPr="003F7AB5">
        <w:rPr>
          <w:rFonts w:ascii="Arial" w:eastAsia="Times New Roman" w:hAnsi="Arial" w:cs="Arial"/>
          <w:i/>
          <w:lang w:val="es-ES_tradnl" w:eastAsia="es-CO"/>
        </w:rPr>
        <w:t>factum</w:t>
      </w:r>
      <w:proofErr w:type="spellEnd"/>
      <w:r w:rsidRPr="003F7AB5">
        <w:rPr>
          <w:rFonts w:ascii="Arial" w:eastAsia="Times New Roman" w:hAnsi="Arial" w:cs="Arial"/>
          <w:i/>
          <w:lang w:val="es-ES_tradnl" w:eastAsia="es-CO"/>
        </w:rPr>
        <w:t xml:space="preserve">, </w:t>
      </w:r>
      <w:proofErr w:type="spellStart"/>
      <w:r w:rsidRPr="003F7AB5">
        <w:rPr>
          <w:rFonts w:ascii="Arial" w:eastAsia="Times New Roman" w:hAnsi="Arial" w:cs="Arial"/>
          <w:i/>
          <w:lang w:val="es-ES_tradnl" w:eastAsia="es-CO"/>
        </w:rPr>
        <w:t>dabo</w:t>
      </w:r>
      <w:proofErr w:type="spellEnd"/>
      <w:r w:rsidRPr="003F7AB5">
        <w:rPr>
          <w:rFonts w:ascii="Arial" w:eastAsia="Times New Roman" w:hAnsi="Arial" w:cs="Arial"/>
          <w:i/>
          <w:lang w:val="es-ES_tradnl" w:eastAsia="es-CO"/>
        </w:rPr>
        <w:t xml:space="preserve"> tibi </w:t>
      </w:r>
      <w:proofErr w:type="spellStart"/>
      <w:r w:rsidRPr="003F7AB5">
        <w:rPr>
          <w:rFonts w:ascii="Arial" w:eastAsia="Times New Roman" w:hAnsi="Arial" w:cs="Arial"/>
          <w:i/>
          <w:lang w:val="es-ES_tradnl" w:eastAsia="es-CO"/>
        </w:rPr>
        <w:t>ius</w:t>
      </w:r>
      <w:proofErr w:type="spellEnd"/>
      <w:r w:rsidRPr="003F7AB5">
        <w:rPr>
          <w:rFonts w:ascii="Arial" w:eastAsia="Times New Roman" w:hAnsi="Arial" w:cs="Arial"/>
          <w:i/>
          <w:lang w:val="es-ES_tradnl" w:eastAsia="es-CO"/>
        </w:rPr>
        <w:t>’ (dadme los hechos, yo te daré el derecho), connatural con los principios constitucionales de prevalencia del derecho sustancial (artículo 228) y autonomía judicial (artículo 230) (…)”</w:t>
      </w:r>
      <w:hyperlink r:id="rId11" w:anchor="_ftn1" w:tgtFrame="_blank" w:history="1">
        <w:r w:rsidRPr="003F7AB5">
          <w:rPr>
            <w:rFonts w:ascii="Arial" w:eastAsia="Times New Roman" w:hAnsi="Arial" w:cs="Arial"/>
            <w:i/>
            <w:lang w:val="es-ES_tradnl" w:eastAsia="es-CO"/>
          </w:rPr>
          <w:t>[1]</w:t>
        </w:r>
      </w:hyperlink>
      <w:r w:rsidRPr="003F7AB5">
        <w:rPr>
          <w:rFonts w:ascii="Arial" w:eastAsia="Times New Roman" w:hAnsi="Arial" w:cs="Arial"/>
          <w:lang w:val="es-ES_tradnl" w:eastAsia="es-CO"/>
        </w:rPr>
        <w:t>. </w:t>
      </w:r>
    </w:p>
    <w:p w14:paraId="75DACEC0"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_tradnl" w:eastAsia="es-CO"/>
        </w:rPr>
      </w:pPr>
      <w:r w:rsidRPr="003F7AB5">
        <w:rPr>
          <w:rFonts w:ascii="Arial" w:eastAsia="Times New Roman" w:hAnsi="Arial" w:cs="Arial"/>
          <w:lang w:val="es-ES_tradnl" w:eastAsia="es-CO"/>
        </w:rPr>
        <w:t>  </w:t>
      </w:r>
    </w:p>
    <w:p w14:paraId="663A8313"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_tradnl" w:eastAsia="es-CO"/>
        </w:rPr>
      </w:pPr>
      <w:r w:rsidRPr="003F7AB5">
        <w:rPr>
          <w:rFonts w:ascii="Arial" w:eastAsia="Times New Roman" w:hAnsi="Arial" w:cs="Arial"/>
          <w:lang w:val="es-ES_tradnl" w:eastAsia="es-CO"/>
        </w:rPr>
        <w:t xml:space="preserve">Sin que fuera procedente a la primera instancia declarar la ineficacia frente a </w:t>
      </w:r>
      <w:proofErr w:type="spellStart"/>
      <w:r w:rsidRPr="003F7AB5">
        <w:rPr>
          <w:rFonts w:ascii="Arial" w:eastAsia="Times New Roman" w:hAnsi="Arial" w:cs="Arial"/>
          <w:lang w:val="es-ES_tradnl" w:eastAsia="es-CO"/>
        </w:rPr>
        <w:t>Colfondos</w:t>
      </w:r>
      <w:proofErr w:type="spellEnd"/>
      <w:r w:rsidRPr="003F7AB5">
        <w:rPr>
          <w:rFonts w:ascii="Arial" w:eastAsia="Times New Roman" w:hAnsi="Arial" w:cs="Arial"/>
          <w:lang w:val="es-ES_tradnl" w:eastAsia="es-CO"/>
        </w:rPr>
        <w:t xml:space="preserve"> S.A. por el solo hecho de integrarla a la parte pasiva, pues se itera </w:t>
      </w:r>
      <w:r w:rsidRPr="003F7AB5">
        <w:rPr>
          <w:rFonts w:ascii="Arial" w:eastAsia="Times New Roman" w:hAnsi="Arial" w:cs="Arial"/>
          <w:b/>
          <w:lang w:val="es-ES_tradnl" w:eastAsia="es-CO"/>
        </w:rPr>
        <w:t>es necesario que en los hechos de la demanda se diga que existió falta de información para que pueda hablarse de una negación indefinida y así trasladar la carga de la prueba a la AFP</w:t>
      </w:r>
      <w:r w:rsidRPr="003F7AB5">
        <w:rPr>
          <w:rFonts w:ascii="Arial" w:eastAsia="Times New Roman" w:hAnsi="Arial" w:cs="Arial"/>
          <w:lang w:val="es-ES_tradnl" w:eastAsia="es-CO"/>
        </w:rPr>
        <w:t xml:space="preserve"> y como esto no ocurrió le correspondía a la demandante demostrarlo.  </w:t>
      </w:r>
    </w:p>
    <w:p w14:paraId="6DC35C52"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_tradnl" w:eastAsia="es-CO"/>
        </w:rPr>
      </w:pPr>
      <w:r w:rsidRPr="003F7AB5">
        <w:rPr>
          <w:rFonts w:ascii="Arial" w:eastAsia="Times New Roman" w:hAnsi="Arial" w:cs="Arial"/>
          <w:lang w:val="es-ES_tradnl" w:eastAsia="es-CO"/>
        </w:rPr>
        <w:t> </w:t>
      </w:r>
    </w:p>
    <w:p w14:paraId="7AB9AF9F"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lang w:val="es-ES" w:eastAsia="es-CO"/>
        </w:rPr>
      </w:pPr>
      <w:r w:rsidRPr="003F7AB5">
        <w:rPr>
          <w:rFonts w:ascii="Arial" w:eastAsia="Times New Roman" w:hAnsi="Arial" w:cs="Arial"/>
          <w:lang w:val="es-ES" w:eastAsia="es-CO"/>
        </w:rPr>
        <w:t xml:space="preserve">Además, no podía la </w:t>
      </w:r>
      <w:r w:rsidRPr="003F7AB5">
        <w:rPr>
          <w:rFonts w:ascii="Arial" w:eastAsia="Times New Roman" w:hAnsi="Arial" w:cs="Arial"/>
          <w:i/>
          <w:iCs/>
          <w:lang w:val="es-ES" w:eastAsia="es-CO"/>
        </w:rPr>
        <w:t>a quo</w:t>
      </w:r>
      <w:r w:rsidRPr="003F7AB5">
        <w:rPr>
          <w:rFonts w:ascii="Arial" w:eastAsia="Times New Roman" w:hAnsi="Arial" w:cs="Arial"/>
          <w:lang w:val="es-ES" w:eastAsia="es-CO"/>
        </w:rPr>
        <w:t xml:space="preserve"> acudir a sus facultades extra y ultra petita, ya que era necesario que el supuesto fáctico haya sido discutido en el proceso, lo que implica que se haya mencionado en la demanda; acto que no aconteció en este caso; como tampoco lo puede hacer esta instancia al carecer de estas facultades ultra y extra petita, sin que se esté en presencia de la excepción determina por la jurisprudencia para estudiarlo (</w:t>
      </w:r>
      <w:proofErr w:type="spellStart"/>
      <w:r w:rsidRPr="003F7AB5">
        <w:rPr>
          <w:rFonts w:ascii="Arial" w:eastAsia="Times New Roman" w:hAnsi="Arial" w:cs="Arial"/>
          <w:lang w:val="es-ES" w:eastAsia="es-CO"/>
        </w:rPr>
        <w:t>SL755</w:t>
      </w:r>
      <w:proofErr w:type="spellEnd"/>
      <w:r w:rsidRPr="003F7AB5">
        <w:rPr>
          <w:rFonts w:ascii="Arial" w:eastAsia="Times New Roman" w:hAnsi="Arial" w:cs="Arial"/>
          <w:lang w:val="es-ES" w:eastAsia="es-CO"/>
        </w:rPr>
        <w:t xml:space="preserve"> de 2022 </w:t>
      </w:r>
      <w:proofErr w:type="spellStart"/>
      <w:r w:rsidRPr="003F7AB5">
        <w:rPr>
          <w:rFonts w:ascii="Arial" w:eastAsia="Times New Roman" w:hAnsi="Arial" w:cs="Arial"/>
          <w:lang w:val="es-ES" w:eastAsia="es-CO"/>
        </w:rPr>
        <w:t>M.P</w:t>
      </w:r>
      <w:proofErr w:type="spellEnd"/>
      <w:r w:rsidRPr="003F7AB5">
        <w:rPr>
          <w:rFonts w:ascii="Arial" w:eastAsia="Times New Roman" w:hAnsi="Arial" w:cs="Arial"/>
          <w:lang w:val="es-ES" w:eastAsia="es-CO"/>
        </w:rPr>
        <w:t xml:space="preserve">. Luís Benedicto Herrera y </w:t>
      </w:r>
      <w:proofErr w:type="spellStart"/>
      <w:r w:rsidRPr="003F7AB5">
        <w:rPr>
          <w:rFonts w:ascii="Arial" w:eastAsia="Times New Roman" w:hAnsi="Arial" w:cs="Arial"/>
          <w:lang w:val="es-ES" w:eastAsia="es-CO"/>
        </w:rPr>
        <w:t>SL</w:t>
      </w:r>
      <w:proofErr w:type="spellEnd"/>
      <w:r w:rsidRPr="003F7AB5">
        <w:rPr>
          <w:rFonts w:ascii="Arial" w:eastAsia="Times New Roman" w:hAnsi="Arial" w:cs="Arial"/>
          <w:lang w:val="es-ES" w:eastAsia="es-CO"/>
        </w:rPr>
        <w:t xml:space="preserve"> 440 de 2021) </w:t>
      </w:r>
      <w:r w:rsidRPr="003F7AB5">
        <w:rPr>
          <w:rFonts w:ascii="Arial" w:eastAsia="Times New Roman" w:hAnsi="Arial" w:cs="Arial"/>
          <w:lang w:eastAsia="es-CO"/>
        </w:rPr>
        <w:br/>
      </w:r>
    </w:p>
    <w:p w14:paraId="40934E17" w14:textId="77777777" w:rsidR="003F7AB5" w:rsidRPr="003F7AB5" w:rsidRDefault="003F7AB5" w:rsidP="00A805D9">
      <w:pPr>
        <w:spacing w:before="0" w:beforeAutospacing="0" w:after="0" w:afterAutospacing="0" w:line="276" w:lineRule="auto"/>
        <w:ind w:firstLine="0"/>
        <w:rPr>
          <w:rFonts w:ascii="Arial" w:eastAsia="Times New Roman" w:hAnsi="Arial" w:cs="Arial"/>
          <w:lang w:val="es-ES" w:eastAsia="es-CO"/>
        </w:rPr>
      </w:pPr>
      <w:r w:rsidRPr="003F7AB5">
        <w:rPr>
          <w:rFonts w:ascii="Arial" w:eastAsia="Times New Roman" w:hAnsi="Arial" w:cs="Arial"/>
          <w:lang w:val="es-ES" w:eastAsia="es-CO"/>
        </w:rPr>
        <w:t xml:space="preserve">Frente a la diligencia y cuidado que le incumbe probar al que ha debido emplearlo, en este caso a la AFP a voces del artículo 1604 del código civil; para que esta carga probatoria opere debe mencionarse en la demanda que el demandado o de quien se exige tal actividad, fue negligente; afirmación que no está dentro del libelo referida a la AFP </w:t>
      </w:r>
      <w:proofErr w:type="spellStart"/>
      <w:r w:rsidRPr="003F7AB5">
        <w:rPr>
          <w:rFonts w:ascii="Arial" w:eastAsia="Times New Roman" w:hAnsi="Arial" w:cs="Arial"/>
          <w:lang w:val="es-ES" w:eastAsia="es-CO"/>
        </w:rPr>
        <w:t>COLFONDOS</w:t>
      </w:r>
      <w:proofErr w:type="spellEnd"/>
      <w:r w:rsidRPr="003F7AB5">
        <w:rPr>
          <w:rFonts w:ascii="Arial" w:eastAsia="Times New Roman" w:hAnsi="Arial" w:cs="Arial"/>
          <w:lang w:val="es-ES" w:eastAsia="es-CO"/>
        </w:rPr>
        <w:t xml:space="preserve"> </w:t>
      </w:r>
      <w:proofErr w:type="spellStart"/>
      <w:r w:rsidRPr="003F7AB5">
        <w:rPr>
          <w:rFonts w:ascii="Arial" w:eastAsia="Times New Roman" w:hAnsi="Arial" w:cs="Arial"/>
          <w:lang w:val="es-ES" w:eastAsia="es-CO"/>
        </w:rPr>
        <w:t>SA</w:t>
      </w:r>
      <w:proofErr w:type="spellEnd"/>
      <w:r w:rsidRPr="003F7AB5">
        <w:rPr>
          <w:rFonts w:ascii="Arial" w:eastAsia="Times New Roman" w:hAnsi="Arial" w:cs="Arial"/>
          <w:lang w:val="es-ES" w:eastAsia="es-CO"/>
        </w:rPr>
        <w:t>, sino a otras AFP, por lo que no es predicable la aplicación del canon en mención en este asunto para dar por probado un hecho que no existe.</w:t>
      </w:r>
    </w:p>
    <w:p w14:paraId="6E278E69" w14:textId="77777777" w:rsidR="003F7AB5" w:rsidRPr="003F7AB5" w:rsidRDefault="003F7AB5" w:rsidP="00A805D9">
      <w:pPr>
        <w:spacing w:before="0" w:beforeAutospacing="0" w:after="0" w:afterAutospacing="0" w:line="276" w:lineRule="auto"/>
        <w:ind w:firstLine="0"/>
        <w:rPr>
          <w:rFonts w:ascii="Arial" w:eastAsia="Times New Roman" w:hAnsi="Arial" w:cs="Arial"/>
          <w:lang w:val="es-ES" w:eastAsia="es-CO"/>
        </w:rPr>
      </w:pPr>
    </w:p>
    <w:p w14:paraId="7E8F4BF9"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szCs w:val="20"/>
          <w:lang w:val="es-ES" w:eastAsia="es-CO"/>
        </w:rPr>
      </w:pPr>
      <w:r w:rsidRPr="003F7AB5">
        <w:rPr>
          <w:rFonts w:ascii="Arial" w:eastAsia="Times New Roman" w:hAnsi="Arial" w:cs="Arial"/>
          <w:szCs w:val="20"/>
          <w:lang w:val="es-ES" w:eastAsia="es-CO"/>
        </w:rPr>
        <w:t>Permitir que en los procesos de ineficacia de traslado de régimen pensional ni siquiera se describan los hechos que dan lugar a la pretensión es convertir un proceso judicial en un simple formato de solicitud de traslado, con claros y caras consecuencias en la administración de justicia que despliega todo su andamiaje para resolver asuntos en los que ni siquiera se exige al demandante que describa la realidad acontecida.</w:t>
      </w:r>
    </w:p>
    <w:p w14:paraId="5A629D25"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szCs w:val="20"/>
          <w:lang w:val="es-ES" w:eastAsia="es-CO"/>
        </w:rPr>
      </w:pPr>
    </w:p>
    <w:p w14:paraId="143380DE"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sz w:val="18"/>
          <w:szCs w:val="18"/>
          <w:lang w:eastAsia="es-CO"/>
        </w:rPr>
      </w:pPr>
      <w:r w:rsidRPr="003F7AB5">
        <w:rPr>
          <w:rFonts w:ascii="Arial" w:eastAsia="Times New Roman" w:hAnsi="Arial" w:cs="Arial"/>
          <w:szCs w:val="20"/>
          <w:lang w:val="es-ES" w:eastAsia="es-CO"/>
        </w:rPr>
        <w:t>En estos términos salvo voto,</w:t>
      </w:r>
      <w:r w:rsidRPr="003F7AB5">
        <w:rPr>
          <w:rFonts w:ascii="Arial" w:eastAsia="Times New Roman" w:hAnsi="Arial" w:cs="Arial"/>
          <w:szCs w:val="20"/>
          <w:lang w:eastAsia="es-CO"/>
        </w:rPr>
        <w:t>  </w:t>
      </w:r>
    </w:p>
    <w:p w14:paraId="16E371C2" w14:textId="39693E6E" w:rsidR="003F7AB5" w:rsidRDefault="003F7AB5" w:rsidP="00A805D9">
      <w:pPr>
        <w:spacing w:before="0" w:beforeAutospacing="0" w:after="0" w:afterAutospacing="0" w:line="276" w:lineRule="auto"/>
        <w:ind w:firstLine="0"/>
        <w:textAlignment w:val="baseline"/>
        <w:rPr>
          <w:rFonts w:ascii="Arial" w:eastAsia="Times New Roman" w:hAnsi="Arial" w:cs="Arial"/>
          <w:szCs w:val="20"/>
          <w:lang w:val="es-ES" w:eastAsia="es-CO"/>
        </w:rPr>
      </w:pPr>
    </w:p>
    <w:p w14:paraId="158CCBD8" w14:textId="77777777" w:rsidR="00A805D9" w:rsidRPr="003F7AB5" w:rsidRDefault="00A805D9" w:rsidP="00A805D9">
      <w:pPr>
        <w:spacing w:before="0" w:beforeAutospacing="0" w:after="0" w:afterAutospacing="0" w:line="276" w:lineRule="auto"/>
        <w:ind w:firstLine="0"/>
        <w:textAlignment w:val="baseline"/>
        <w:rPr>
          <w:rFonts w:ascii="Arial" w:eastAsia="Times New Roman" w:hAnsi="Arial" w:cs="Arial"/>
          <w:szCs w:val="20"/>
          <w:lang w:val="es-ES" w:eastAsia="es-CO"/>
        </w:rPr>
      </w:pPr>
    </w:p>
    <w:p w14:paraId="2E8FE04A" w14:textId="0313F85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szCs w:val="20"/>
          <w:lang w:val="es-ES" w:eastAsia="es-CO"/>
        </w:rPr>
      </w:pPr>
    </w:p>
    <w:p w14:paraId="609C554A" w14:textId="77777777" w:rsidR="003F7AB5" w:rsidRPr="003F7AB5" w:rsidRDefault="003F7AB5" w:rsidP="00A805D9">
      <w:pPr>
        <w:spacing w:before="0" w:beforeAutospacing="0" w:after="0" w:afterAutospacing="0" w:line="276" w:lineRule="auto"/>
        <w:ind w:firstLine="0"/>
        <w:textAlignment w:val="baseline"/>
        <w:rPr>
          <w:rFonts w:ascii="Arial" w:eastAsia="Times New Roman" w:hAnsi="Arial" w:cs="Arial"/>
          <w:sz w:val="18"/>
          <w:szCs w:val="18"/>
          <w:lang w:eastAsia="es-CO"/>
        </w:rPr>
      </w:pPr>
      <w:r w:rsidRPr="003F7AB5">
        <w:rPr>
          <w:rFonts w:ascii="Arial" w:eastAsia="Times New Roman" w:hAnsi="Arial" w:cs="Arial"/>
          <w:b/>
          <w:bCs/>
          <w:lang w:val="es-ES" w:eastAsia="es-CO"/>
        </w:rPr>
        <w:t>OLGA LUCÍA HOYOS SEPÚLVEDA</w:t>
      </w:r>
      <w:r w:rsidRPr="003F7AB5">
        <w:rPr>
          <w:rFonts w:ascii="Arial" w:eastAsia="Times New Roman" w:hAnsi="Arial" w:cs="Arial"/>
          <w:lang w:eastAsia="es-CO"/>
        </w:rPr>
        <w:t>  </w:t>
      </w:r>
    </w:p>
    <w:p w14:paraId="26A9FF95" w14:textId="360E3F9B" w:rsidR="000B4FB6" w:rsidRPr="00A805D9" w:rsidRDefault="003F7AB5" w:rsidP="00A805D9">
      <w:pPr>
        <w:spacing w:before="0" w:beforeAutospacing="0" w:after="0" w:afterAutospacing="0" w:line="276" w:lineRule="auto"/>
        <w:ind w:firstLine="0"/>
        <w:textAlignment w:val="baseline"/>
        <w:rPr>
          <w:rFonts w:ascii="Arial" w:eastAsia="Times New Roman" w:hAnsi="Arial" w:cs="Arial"/>
          <w:sz w:val="18"/>
          <w:szCs w:val="18"/>
          <w:lang w:eastAsia="es-CO"/>
        </w:rPr>
      </w:pPr>
      <w:r w:rsidRPr="003F7AB5">
        <w:rPr>
          <w:rFonts w:ascii="Arial" w:eastAsia="Times New Roman" w:hAnsi="Arial" w:cs="Arial"/>
          <w:bCs/>
          <w:lang w:val="es-ES" w:eastAsia="es-CO"/>
        </w:rPr>
        <w:t>Magistrada</w:t>
      </w:r>
    </w:p>
    <w:sectPr w:rsidR="000B4FB6" w:rsidRPr="00A805D9" w:rsidSect="00C63227">
      <w:headerReference w:type="default" r:id="rId12"/>
      <w:footerReference w:type="even" r:id="rId13"/>
      <w:footerReference w:type="default" r:id="rId14"/>
      <w:headerReference w:type="first" r:id="rId15"/>
      <w:footerReference w:type="first" r:id="rId16"/>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88C65A" w16cex:dateUtc="2023-10-25T16:06:56.229Z"/>
  <w16cex:commentExtensible w16cex:durableId="2F49083F" w16cex:dateUtc="2023-10-25T16:07:47.306Z"/>
  <w16cex:commentExtensible w16cex:durableId="07F49999" w16cex:dateUtc="2023-10-25T16:09:03.515Z"/>
  <w16cex:commentExtensible w16cex:durableId="763DC636" w16cex:dateUtc="2023-10-25T16:10:08.452Z"/>
  <w16cex:commentExtensible w16cex:durableId="2796E7F0" w16cex:dateUtc="2023-10-25T16:11:04.327Z"/>
  <w16cex:commentExtensible w16cex:durableId="6BA98380" w16cex:dateUtc="2023-10-25T16:32:33.238Z"/>
  <w16cex:commentExtensible w16cex:durableId="092F68A9" w16cex:dateUtc="2023-10-25T16:33:14.516Z"/>
  <w16cex:commentExtensible w16cex:durableId="7F49D05C" w16cex:dateUtc="2023-10-25T17:04:59.848Z"/>
  <w16cex:commentExtensible w16cex:durableId="5960D36D" w16cex:dateUtc="2023-10-27T12:18:07.662Z"/>
  <w16cex:commentExtensible w16cex:durableId="1A95CAFE" w16cex:dateUtc="2023-10-31T13:53:38.26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5B91" w14:textId="77777777" w:rsidR="00BB365D" w:rsidRDefault="00BB365D" w:rsidP="00995B6C">
      <w:pPr>
        <w:spacing w:before="0" w:after="0" w:line="240" w:lineRule="auto"/>
      </w:pPr>
      <w:r>
        <w:separator/>
      </w:r>
    </w:p>
  </w:endnote>
  <w:endnote w:type="continuationSeparator" w:id="0">
    <w:p w14:paraId="2F976D14" w14:textId="77777777" w:rsidR="00BB365D" w:rsidRDefault="00BB365D" w:rsidP="00995B6C">
      <w:pPr>
        <w:spacing w:before="0" w:after="0" w:line="240" w:lineRule="auto"/>
      </w:pPr>
      <w:r>
        <w:continuationSeparator/>
      </w:r>
    </w:p>
  </w:endnote>
  <w:endnote w:type="continuationNotice" w:id="1">
    <w:p w14:paraId="4438A092" w14:textId="77777777" w:rsidR="00BB365D" w:rsidRDefault="00BB36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543C3E" w:rsidRDefault="00543C3E"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543C3E" w:rsidRDefault="00543C3E"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themeColor="text1"/>
        <w:sz w:val="18"/>
        <w:szCs w:val="18"/>
      </w:rPr>
    </w:sdtEndPr>
    <w:sdtContent>
      <w:p w14:paraId="2E70D12B" w14:textId="2062DF2F" w:rsidR="00543C3E" w:rsidRPr="0025451C" w:rsidRDefault="00543C3E" w:rsidP="0025451C">
        <w:pPr>
          <w:framePr w:wrap="none" w:vAnchor="text" w:hAnchor="margin" w:xAlign="right" w:y="1"/>
          <w:spacing w:before="0" w:beforeAutospacing="0" w:after="0" w:afterAutospacing="0" w:line="240" w:lineRule="auto"/>
          <w:ind w:firstLine="0"/>
          <w:jc w:val="left"/>
          <w:rPr>
            <w:rFonts w:ascii="Arial" w:hAnsi="Arial" w:cs="Arial"/>
            <w:color w:val="000000" w:themeColor="text1"/>
            <w:sz w:val="18"/>
            <w:szCs w:val="18"/>
          </w:rPr>
        </w:pPr>
        <w:r w:rsidRPr="0025451C">
          <w:rPr>
            <w:rFonts w:ascii="Arial" w:hAnsi="Arial" w:cs="Arial"/>
            <w:color w:val="000000" w:themeColor="text1"/>
            <w:sz w:val="18"/>
            <w:szCs w:val="18"/>
          </w:rPr>
          <w:fldChar w:fldCharType="begin"/>
        </w:r>
        <w:r w:rsidRPr="0025451C">
          <w:rPr>
            <w:rFonts w:ascii="Arial" w:hAnsi="Arial" w:cs="Arial"/>
            <w:color w:val="000000" w:themeColor="text1"/>
            <w:sz w:val="18"/>
            <w:szCs w:val="18"/>
          </w:rPr>
          <w:instrText xml:space="preserve"> PAGE </w:instrText>
        </w:r>
        <w:r w:rsidRPr="0025451C">
          <w:rPr>
            <w:rFonts w:ascii="Arial" w:hAnsi="Arial" w:cs="Arial"/>
            <w:color w:val="000000" w:themeColor="text1"/>
            <w:sz w:val="18"/>
            <w:szCs w:val="18"/>
          </w:rPr>
          <w:fldChar w:fldCharType="separate"/>
        </w:r>
        <w:r w:rsidR="00783F63">
          <w:rPr>
            <w:rFonts w:ascii="Arial" w:hAnsi="Arial" w:cs="Arial"/>
            <w:noProof/>
            <w:color w:val="000000" w:themeColor="text1"/>
            <w:sz w:val="18"/>
            <w:szCs w:val="18"/>
          </w:rPr>
          <w:t>2</w:t>
        </w:r>
        <w:r w:rsidRPr="0025451C">
          <w:rPr>
            <w:rFonts w:ascii="Arial" w:hAnsi="Arial" w:cs="Arial"/>
            <w:color w:val="000000" w:themeColor="text1"/>
            <w:sz w:val="18"/>
            <w:szCs w:val="18"/>
          </w:rPr>
          <w:fldChar w:fldCharType="end"/>
        </w:r>
      </w:p>
    </w:sdtContent>
  </w:sdt>
  <w:p w14:paraId="79A44826" w14:textId="77777777" w:rsidR="00543C3E" w:rsidRPr="0025451C" w:rsidRDefault="00543C3E" w:rsidP="0025451C">
    <w:pPr>
      <w:pBdr>
        <w:top w:val="nil"/>
        <w:left w:val="nil"/>
        <w:bottom w:val="nil"/>
        <w:right w:val="nil"/>
        <w:between w:val="nil"/>
      </w:pBdr>
      <w:spacing w:before="0" w:beforeAutospacing="0" w:after="0" w:afterAutospacing="0" w:line="240" w:lineRule="auto"/>
      <w:ind w:firstLine="0"/>
      <w:jc w:val="left"/>
      <w:rPr>
        <w:rFonts w:ascii="Arial" w:hAnsi="Arial" w:cs="Arial"/>
        <w:color w:val="000000" w:themeColor="text1"/>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543C3E" w14:paraId="0F1C2B3B" w14:textId="77777777" w:rsidTr="5ADF22E0">
      <w:trPr>
        <w:trHeight w:val="300"/>
      </w:trPr>
      <w:tc>
        <w:tcPr>
          <w:tcW w:w="2945" w:type="dxa"/>
        </w:tcPr>
        <w:p w14:paraId="37B0C757" w14:textId="7F20D58F" w:rsidR="00543C3E" w:rsidRDefault="00543C3E" w:rsidP="5ADF22E0">
          <w:pPr>
            <w:pStyle w:val="Encabezado"/>
            <w:ind w:left="-115"/>
            <w:jc w:val="left"/>
          </w:pPr>
        </w:p>
      </w:tc>
      <w:tc>
        <w:tcPr>
          <w:tcW w:w="2945" w:type="dxa"/>
        </w:tcPr>
        <w:p w14:paraId="1D0ECE8F" w14:textId="6185D1B3" w:rsidR="00543C3E" w:rsidRDefault="00543C3E" w:rsidP="5ADF22E0">
          <w:pPr>
            <w:pStyle w:val="Encabezado"/>
            <w:jc w:val="center"/>
          </w:pPr>
        </w:p>
      </w:tc>
      <w:tc>
        <w:tcPr>
          <w:tcW w:w="2945" w:type="dxa"/>
        </w:tcPr>
        <w:p w14:paraId="32763A04" w14:textId="719334FE" w:rsidR="00543C3E" w:rsidRDefault="00543C3E" w:rsidP="5ADF22E0">
          <w:pPr>
            <w:pStyle w:val="Encabezado"/>
            <w:ind w:right="-115"/>
            <w:jc w:val="right"/>
          </w:pPr>
        </w:p>
      </w:tc>
    </w:tr>
  </w:tbl>
  <w:p w14:paraId="3EA259C9" w14:textId="0AE19240" w:rsidR="00543C3E" w:rsidRDefault="00543C3E" w:rsidP="5ADF22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5DFE1" w14:textId="77777777" w:rsidR="00BB365D" w:rsidRDefault="00BB365D" w:rsidP="00995B6C">
      <w:pPr>
        <w:spacing w:before="0" w:after="0" w:line="240" w:lineRule="auto"/>
      </w:pPr>
      <w:r>
        <w:separator/>
      </w:r>
    </w:p>
  </w:footnote>
  <w:footnote w:type="continuationSeparator" w:id="0">
    <w:p w14:paraId="51A1FA71" w14:textId="77777777" w:rsidR="00BB365D" w:rsidRDefault="00BB365D" w:rsidP="00995B6C">
      <w:pPr>
        <w:spacing w:before="0" w:after="0" w:line="240" w:lineRule="auto"/>
      </w:pPr>
      <w:r>
        <w:continuationSeparator/>
      </w:r>
    </w:p>
  </w:footnote>
  <w:footnote w:type="continuationNotice" w:id="1">
    <w:p w14:paraId="1413F2A4" w14:textId="77777777" w:rsidR="00BB365D" w:rsidRDefault="00BB365D">
      <w:pPr>
        <w:spacing w:before="0" w:after="0" w:line="240" w:lineRule="auto"/>
      </w:pPr>
    </w:p>
  </w:footnote>
  <w:footnote w:id="2">
    <w:p w14:paraId="584BB1EF" w14:textId="2783AD77" w:rsidR="002B46A4" w:rsidRPr="0087273B" w:rsidRDefault="002B46A4"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08 cuaderno de primera instancia.</w:t>
      </w:r>
    </w:p>
  </w:footnote>
  <w:footnote w:id="3">
    <w:p w14:paraId="23A304FC" w14:textId="5577E3DA" w:rsidR="00D325A8" w:rsidRPr="0087273B" w:rsidRDefault="00D325A8"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14 cuaderno de primera instancia.</w:t>
      </w:r>
    </w:p>
  </w:footnote>
  <w:footnote w:id="4">
    <w:p w14:paraId="0C777847" w14:textId="7F13C39B" w:rsidR="007B2935" w:rsidRPr="0087273B" w:rsidRDefault="007B2935"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18 cuaderno de primera instancia </w:t>
      </w:r>
    </w:p>
  </w:footnote>
  <w:footnote w:id="5">
    <w:p w14:paraId="7F382D66" w14:textId="04C0788B" w:rsidR="002E50AC" w:rsidRPr="0087273B" w:rsidRDefault="002E50A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11 cuaderno de primera instancia.</w:t>
      </w:r>
    </w:p>
  </w:footnote>
  <w:footnote w:id="6">
    <w:p w14:paraId="396ED853" w14:textId="4E22973D" w:rsidR="003B1F61" w:rsidRPr="0087273B" w:rsidRDefault="003B1F61"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Artículo 23 cuaderno de primera instancia.</w:t>
      </w:r>
    </w:p>
  </w:footnote>
  <w:footnote w:id="7">
    <w:p w14:paraId="79A424F6"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w:t>
      </w:r>
      <w:proofErr w:type="spellStart"/>
      <w:r w:rsidRPr="00325463">
        <w:rPr>
          <w:rFonts w:ascii="Arial" w:hAnsi="Arial" w:cs="Arial"/>
          <w:sz w:val="18"/>
          <w:szCs w:val="18"/>
        </w:rPr>
        <w:t>2019SL</w:t>
      </w:r>
      <w:proofErr w:type="spellEnd"/>
      <w:r w:rsidRPr="00325463">
        <w:rPr>
          <w:rFonts w:ascii="Arial" w:hAnsi="Arial" w:cs="Arial"/>
          <w:sz w:val="18"/>
          <w:szCs w:val="18"/>
        </w:rPr>
        <w:t xml:space="preserve"> 1688-2019, Radicado 68838, con Ponencia de la Dra. Clara Cecilia Dueñas Quevedo</w:t>
      </w:r>
    </w:p>
  </w:footnote>
  <w:footnote w:id="8">
    <w:p w14:paraId="292AFCCF"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Estatuto Orgánico del Sistema Financiero </w:t>
      </w:r>
    </w:p>
  </w:footnote>
  <w:footnote w:id="9">
    <w:p w14:paraId="71316C62"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Título tomado de la sentencia del 8 de mayo de </w:t>
      </w:r>
      <w:proofErr w:type="spellStart"/>
      <w:r w:rsidRPr="00325463">
        <w:rPr>
          <w:rFonts w:ascii="Arial" w:hAnsi="Arial" w:cs="Arial"/>
          <w:sz w:val="18"/>
          <w:szCs w:val="18"/>
        </w:rPr>
        <w:t>2019SL</w:t>
      </w:r>
      <w:proofErr w:type="spellEnd"/>
      <w:r w:rsidRPr="00325463">
        <w:rPr>
          <w:rFonts w:ascii="Arial" w:hAnsi="Arial" w:cs="Arial"/>
          <w:sz w:val="18"/>
          <w:szCs w:val="18"/>
        </w:rPr>
        <w:t xml:space="preserve"> 1688-2019, Radicado 68838, con Ponencia de la Dra. Clara Cecilia Dueñas Quevedo</w:t>
      </w:r>
    </w:p>
  </w:footnote>
  <w:footnote w:id="10">
    <w:p w14:paraId="1017EDFB"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w:t>
      </w:r>
      <w:proofErr w:type="spellStart"/>
      <w:r w:rsidRPr="00325463">
        <w:rPr>
          <w:rFonts w:ascii="Arial" w:hAnsi="Arial" w:cs="Arial"/>
          <w:sz w:val="18"/>
          <w:szCs w:val="18"/>
        </w:rPr>
        <w:t>SL5688</w:t>
      </w:r>
      <w:proofErr w:type="spellEnd"/>
      <w:r w:rsidRPr="00325463">
        <w:rPr>
          <w:rFonts w:ascii="Arial" w:hAnsi="Arial" w:cs="Arial"/>
          <w:sz w:val="18"/>
          <w:szCs w:val="18"/>
        </w:rPr>
        <w:t xml:space="preserve"> de 2021, rad. 83576 del 6 de octubre de 2021. </w:t>
      </w:r>
      <w:proofErr w:type="spellStart"/>
      <w:r w:rsidRPr="00325463">
        <w:rPr>
          <w:rFonts w:ascii="Arial" w:hAnsi="Arial" w:cs="Arial"/>
          <w:sz w:val="18"/>
          <w:szCs w:val="18"/>
        </w:rPr>
        <w:t>M.P</w:t>
      </w:r>
      <w:proofErr w:type="spellEnd"/>
      <w:r w:rsidRPr="00325463">
        <w:rPr>
          <w:rFonts w:ascii="Arial" w:hAnsi="Arial" w:cs="Arial"/>
          <w:sz w:val="18"/>
          <w:szCs w:val="18"/>
        </w:rPr>
        <w:t xml:space="preserve">. Iván Mauricio </w:t>
      </w:r>
      <w:proofErr w:type="spellStart"/>
      <w:r w:rsidRPr="00325463">
        <w:rPr>
          <w:rFonts w:ascii="Arial" w:hAnsi="Arial" w:cs="Arial"/>
          <w:sz w:val="18"/>
          <w:szCs w:val="18"/>
        </w:rPr>
        <w:t>Lenis</w:t>
      </w:r>
      <w:proofErr w:type="spellEnd"/>
      <w:r w:rsidRPr="00325463">
        <w:rPr>
          <w:rFonts w:ascii="Arial" w:hAnsi="Arial" w:cs="Arial"/>
          <w:sz w:val="18"/>
          <w:szCs w:val="18"/>
        </w:rPr>
        <w:t xml:space="preserve"> Gómez.</w:t>
      </w:r>
    </w:p>
  </w:footnote>
  <w:footnote w:id="11">
    <w:p w14:paraId="01116BC3"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 xml:space="preserve">Corte Suprema de Justicia- Sala Laboral, sentencia </w:t>
      </w:r>
      <w:proofErr w:type="spellStart"/>
      <w:r w:rsidRPr="00325463">
        <w:rPr>
          <w:rFonts w:ascii="Arial" w:hAnsi="Arial" w:cs="Arial"/>
          <w:sz w:val="18"/>
          <w:szCs w:val="18"/>
          <w:lang w:val="es-CO"/>
        </w:rPr>
        <w:t>SL5686</w:t>
      </w:r>
      <w:proofErr w:type="spellEnd"/>
      <w:r w:rsidRPr="00325463">
        <w:rPr>
          <w:rFonts w:ascii="Arial" w:hAnsi="Arial" w:cs="Arial"/>
          <w:sz w:val="18"/>
          <w:szCs w:val="18"/>
          <w:lang w:val="es-CO"/>
        </w:rPr>
        <w:t xml:space="preserve"> de 2021, rad. 82139 del 6 de octubre de 2021. </w:t>
      </w:r>
      <w:proofErr w:type="spellStart"/>
      <w:r w:rsidRPr="00325463">
        <w:rPr>
          <w:rFonts w:ascii="Arial" w:hAnsi="Arial" w:cs="Arial"/>
          <w:sz w:val="18"/>
          <w:szCs w:val="18"/>
          <w:lang w:val="es-CO"/>
        </w:rPr>
        <w:t>M.P</w:t>
      </w:r>
      <w:proofErr w:type="spellEnd"/>
      <w:r w:rsidRPr="00325463">
        <w:rPr>
          <w:rFonts w:ascii="Arial" w:hAnsi="Arial" w:cs="Arial"/>
          <w:sz w:val="18"/>
          <w:szCs w:val="18"/>
          <w:lang w:val="es-CO"/>
        </w:rPr>
        <w:t xml:space="preserve">. Iván Mauricio </w:t>
      </w:r>
      <w:proofErr w:type="spellStart"/>
      <w:r w:rsidRPr="00325463">
        <w:rPr>
          <w:rFonts w:ascii="Arial" w:hAnsi="Arial" w:cs="Arial"/>
          <w:sz w:val="18"/>
          <w:szCs w:val="18"/>
          <w:lang w:val="es-CO"/>
        </w:rPr>
        <w:t>Lenis</w:t>
      </w:r>
      <w:proofErr w:type="spellEnd"/>
      <w:r w:rsidRPr="00325463">
        <w:rPr>
          <w:rFonts w:ascii="Arial" w:hAnsi="Arial" w:cs="Arial"/>
          <w:sz w:val="18"/>
          <w:szCs w:val="18"/>
          <w:lang w:val="es-CO"/>
        </w:rPr>
        <w:t xml:space="preserve"> Gómez.</w:t>
      </w:r>
    </w:p>
  </w:footnote>
  <w:footnote w:id="12">
    <w:p w14:paraId="145FC673"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 xml:space="preserve">Corte Suprema de Justicia- Sala Laboral, sentencia </w:t>
      </w:r>
      <w:proofErr w:type="spellStart"/>
      <w:r w:rsidRPr="00325463">
        <w:rPr>
          <w:rFonts w:ascii="Arial" w:hAnsi="Arial" w:cs="Arial"/>
          <w:sz w:val="18"/>
          <w:szCs w:val="18"/>
          <w:lang w:val="es-CO"/>
        </w:rPr>
        <w:t>SL1926</w:t>
      </w:r>
      <w:proofErr w:type="spellEnd"/>
      <w:r w:rsidRPr="00325463">
        <w:rPr>
          <w:rFonts w:ascii="Arial" w:hAnsi="Arial" w:cs="Arial"/>
          <w:sz w:val="18"/>
          <w:szCs w:val="18"/>
          <w:lang w:val="es-CO"/>
        </w:rPr>
        <w:t xml:space="preserve"> de 2022, rad. 89920 del 27 de abril de 2022. </w:t>
      </w:r>
      <w:proofErr w:type="spellStart"/>
      <w:r w:rsidRPr="00325463">
        <w:rPr>
          <w:rFonts w:ascii="Arial" w:hAnsi="Arial" w:cs="Arial"/>
          <w:sz w:val="18"/>
          <w:szCs w:val="18"/>
          <w:lang w:val="es-CO"/>
        </w:rPr>
        <w:t>M.P</w:t>
      </w:r>
      <w:proofErr w:type="spellEnd"/>
      <w:r w:rsidRPr="00325463">
        <w:rPr>
          <w:rFonts w:ascii="Arial" w:hAnsi="Arial" w:cs="Arial"/>
          <w:sz w:val="18"/>
          <w:szCs w:val="18"/>
          <w:lang w:val="es-CO"/>
        </w:rPr>
        <w:t>. Omar Ángel Mejía Amador.</w:t>
      </w:r>
    </w:p>
  </w:footnote>
  <w:footnote w:id="13">
    <w:p w14:paraId="394CDC81"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w:t>
      </w:r>
      <w:r w:rsidRPr="00325463">
        <w:rPr>
          <w:rFonts w:ascii="Arial" w:hAnsi="Arial" w:cs="Arial"/>
          <w:sz w:val="18"/>
          <w:szCs w:val="18"/>
          <w:lang w:val="es-CO"/>
        </w:rPr>
        <w:t xml:space="preserve">Corte Suprema de Justicia- Sala Laboral, sentencia </w:t>
      </w:r>
      <w:proofErr w:type="spellStart"/>
      <w:r w:rsidRPr="00325463">
        <w:rPr>
          <w:rFonts w:ascii="Arial" w:hAnsi="Arial" w:cs="Arial"/>
          <w:sz w:val="18"/>
          <w:szCs w:val="18"/>
          <w:lang w:val="es-CO"/>
        </w:rPr>
        <w:t>SL1055</w:t>
      </w:r>
      <w:proofErr w:type="spellEnd"/>
      <w:r w:rsidRPr="00325463">
        <w:rPr>
          <w:rFonts w:ascii="Arial" w:hAnsi="Arial" w:cs="Arial"/>
          <w:sz w:val="18"/>
          <w:szCs w:val="18"/>
          <w:lang w:val="es-CO"/>
        </w:rPr>
        <w:t xml:space="preserve"> de 2022, rad. 87911 del 2 de marzo de 2022. </w:t>
      </w:r>
      <w:proofErr w:type="spellStart"/>
      <w:r w:rsidRPr="00325463">
        <w:rPr>
          <w:rFonts w:ascii="Arial" w:hAnsi="Arial" w:cs="Arial"/>
          <w:sz w:val="18"/>
          <w:szCs w:val="18"/>
          <w:lang w:val="es-CO"/>
        </w:rPr>
        <w:t>M.P</w:t>
      </w:r>
      <w:proofErr w:type="spellEnd"/>
      <w:r w:rsidRPr="00325463">
        <w:rPr>
          <w:rFonts w:ascii="Arial" w:hAnsi="Arial" w:cs="Arial"/>
          <w:sz w:val="18"/>
          <w:szCs w:val="18"/>
          <w:lang w:val="es-CO"/>
        </w:rPr>
        <w:t xml:space="preserve">. Iván Mauricio </w:t>
      </w:r>
      <w:proofErr w:type="spellStart"/>
      <w:r w:rsidRPr="00325463">
        <w:rPr>
          <w:rFonts w:ascii="Arial" w:hAnsi="Arial" w:cs="Arial"/>
          <w:sz w:val="18"/>
          <w:szCs w:val="18"/>
          <w:lang w:val="es-CO"/>
        </w:rPr>
        <w:t>Lenis</w:t>
      </w:r>
      <w:proofErr w:type="spellEnd"/>
      <w:r w:rsidRPr="00325463">
        <w:rPr>
          <w:rFonts w:ascii="Arial" w:hAnsi="Arial" w:cs="Arial"/>
          <w:sz w:val="18"/>
          <w:szCs w:val="18"/>
          <w:lang w:val="es-CO"/>
        </w:rPr>
        <w:t xml:space="preserve"> Gómez.</w:t>
      </w:r>
    </w:p>
  </w:footnote>
  <w:footnote w:id="14">
    <w:p w14:paraId="54B42514"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Corte Suprema de Justicia- Sala Laboral, sentencia </w:t>
      </w:r>
      <w:proofErr w:type="spellStart"/>
      <w:r w:rsidRPr="00325463">
        <w:rPr>
          <w:rFonts w:ascii="Arial" w:hAnsi="Arial" w:cs="Arial"/>
          <w:sz w:val="18"/>
          <w:szCs w:val="18"/>
        </w:rPr>
        <w:t>SL</w:t>
      </w:r>
      <w:proofErr w:type="spellEnd"/>
      <w:r w:rsidRPr="00325463">
        <w:rPr>
          <w:rFonts w:ascii="Arial" w:hAnsi="Arial" w:cs="Arial"/>
          <w:sz w:val="18"/>
          <w:szCs w:val="18"/>
        </w:rPr>
        <w:t xml:space="preserve"> 1618-2022, radicado 87821 del 4 de mayo de 2022, </w:t>
      </w:r>
      <w:proofErr w:type="spellStart"/>
      <w:r w:rsidRPr="00325463">
        <w:rPr>
          <w:rFonts w:ascii="Arial" w:hAnsi="Arial" w:cs="Arial"/>
          <w:sz w:val="18"/>
          <w:szCs w:val="18"/>
        </w:rPr>
        <w:t>M.P</w:t>
      </w:r>
      <w:proofErr w:type="spellEnd"/>
      <w:r w:rsidRPr="00325463">
        <w:rPr>
          <w:rFonts w:ascii="Arial" w:hAnsi="Arial" w:cs="Arial"/>
          <w:sz w:val="18"/>
          <w:szCs w:val="18"/>
        </w:rPr>
        <w:t>. Gerardo Botero Zuluaga.</w:t>
      </w:r>
    </w:p>
  </w:footnote>
  <w:footnote w:id="15">
    <w:p w14:paraId="1DFF5B1E" w14:textId="77777777" w:rsidR="00E37D62" w:rsidRPr="00325463" w:rsidRDefault="00E37D62" w:rsidP="00E37D62">
      <w:pPr>
        <w:pStyle w:val="Textonotapie"/>
        <w:ind w:firstLine="0"/>
        <w:rPr>
          <w:rFonts w:ascii="Arial" w:hAnsi="Arial" w:cs="Arial"/>
          <w:sz w:val="18"/>
          <w:szCs w:val="18"/>
        </w:rPr>
      </w:pPr>
      <w:r w:rsidRPr="00325463">
        <w:rPr>
          <w:rStyle w:val="Refdenotaalpie"/>
          <w:rFonts w:ascii="Arial" w:hAnsi="Arial" w:cs="Arial"/>
          <w:sz w:val="18"/>
          <w:szCs w:val="18"/>
        </w:rPr>
        <w:footnoteRef/>
      </w:r>
      <w:r w:rsidRPr="00325463">
        <w:rPr>
          <w:rFonts w:ascii="Arial" w:hAnsi="Arial" w:cs="Arial"/>
          <w:sz w:val="18"/>
          <w:szCs w:val="18"/>
        </w:rPr>
        <w:t xml:space="preserve"> Ibídem</w:t>
      </w:r>
    </w:p>
  </w:footnote>
  <w:footnote w:id="16">
    <w:p w14:paraId="7C817691" w14:textId="40BF1371" w:rsidR="00B27897" w:rsidRPr="0087273B" w:rsidRDefault="00B27897"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08, página 17 cuaderno de primera instancia.</w:t>
      </w:r>
    </w:p>
  </w:footnote>
  <w:footnote w:id="17">
    <w:p w14:paraId="548FAD44" w14:textId="30AFE6D6" w:rsidR="00CC3FD8" w:rsidRPr="0087273B" w:rsidRDefault="00CC3FD8"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26 cuaderno de primera instancia</w:t>
      </w:r>
      <w:r w:rsidR="002730BF" w:rsidRPr="0087273B">
        <w:rPr>
          <w:rFonts w:ascii="Arial" w:hAnsi="Arial" w:cs="Arial"/>
          <w:sz w:val="18"/>
          <w:szCs w:val="18"/>
        </w:rPr>
        <w:t>.</w:t>
      </w:r>
    </w:p>
  </w:footnote>
  <w:footnote w:id="18">
    <w:p w14:paraId="07F7BD08" w14:textId="514A7679" w:rsidR="002730BF" w:rsidRPr="0087273B" w:rsidRDefault="002730BF"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27 cuaderno de primera instancia.</w:t>
      </w:r>
    </w:p>
  </w:footnote>
  <w:footnote w:id="19">
    <w:p w14:paraId="60ECCAC1" w14:textId="71287188" w:rsidR="004D55F5" w:rsidRPr="0087273B" w:rsidRDefault="004D55F5"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9 cuaderno de primera instancia.</w:t>
      </w:r>
    </w:p>
  </w:footnote>
  <w:footnote w:id="20">
    <w:p w14:paraId="6A3C0F41" w14:textId="0210F7C9" w:rsidR="00400EE6" w:rsidRPr="0087273B" w:rsidRDefault="00400EE6"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w:t>
      </w:r>
      <w:r w:rsidR="00E078FB" w:rsidRPr="0087273B">
        <w:rPr>
          <w:rFonts w:ascii="Arial" w:hAnsi="Arial" w:cs="Arial"/>
          <w:sz w:val="18"/>
          <w:szCs w:val="18"/>
        </w:rPr>
        <w:t>8</w:t>
      </w:r>
      <w:r w:rsidRPr="0087273B">
        <w:rPr>
          <w:rFonts w:ascii="Arial" w:hAnsi="Arial" w:cs="Arial"/>
          <w:sz w:val="18"/>
          <w:szCs w:val="18"/>
        </w:rPr>
        <w:t xml:space="preserve">, página </w:t>
      </w:r>
      <w:r w:rsidR="00E078FB" w:rsidRPr="0087273B">
        <w:rPr>
          <w:rFonts w:ascii="Arial" w:hAnsi="Arial" w:cs="Arial"/>
          <w:sz w:val="18"/>
          <w:szCs w:val="18"/>
        </w:rPr>
        <w:t>34</w:t>
      </w:r>
      <w:r w:rsidRPr="0087273B">
        <w:rPr>
          <w:rFonts w:ascii="Arial" w:hAnsi="Arial" w:cs="Arial"/>
          <w:sz w:val="18"/>
          <w:szCs w:val="18"/>
        </w:rPr>
        <w:t xml:space="preserve"> del cuaderno de primera instancia.</w:t>
      </w:r>
    </w:p>
  </w:footnote>
  <w:footnote w:id="21">
    <w:p w14:paraId="07893F15" w14:textId="684CE646" w:rsidR="00543C3E" w:rsidRPr="0087273B" w:rsidRDefault="00543C3E"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w:t>
      </w:r>
      <w:r w:rsidR="002A72C6" w:rsidRPr="0087273B">
        <w:rPr>
          <w:rFonts w:ascii="Arial" w:hAnsi="Arial" w:cs="Arial"/>
          <w:sz w:val="18"/>
          <w:szCs w:val="18"/>
        </w:rPr>
        <w:t>23</w:t>
      </w:r>
      <w:r w:rsidRPr="0087273B">
        <w:rPr>
          <w:rFonts w:ascii="Arial" w:hAnsi="Arial" w:cs="Arial"/>
          <w:sz w:val="18"/>
          <w:szCs w:val="18"/>
        </w:rPr>
        <w:t xml:space="preserve">, páginas </w:t>
      </w:r>
      <w:r w:rsidR="002A72C6" w:rsidRPr="0087273B">
        <w:rPr>
          <w:rFonts w:ascii="Arial" w:hAnsi="Arial" w:cs="Arial"/>
          <w:sz w:val="18"/>
          <w:szCs w:val="18"/>
        </w:rPr>
        <w:t>18 a 20</w:t>
      </w:r>
      <w:r w:rsidR="00D643BF" w:rsidRPr="0087273B">
        <w:rPr>
          <w:rFonts w:ascii="Arial" w:hAnsi="Arial" w:cs="Arial"/>
          <w:sz w:val="18"/>
          <w:szCs w:val="18"/>
        </w:rPr>
        <w:t xml:space="preserve"> </w:t>
      </w:r>
      <w:r w:rsidR="002A72C6" w:rsidRPr="0087273B">
        <w:rPr>
          <w:rFonts w:ascii="Arial" w:hAnsi="Arial" w:cs="Arial"/>
          <w:sz w:val="18"/>
          <w:szCs w:val="18"/>
        </w:rPr>
        <w:t>cuaderno de primera instancia</w:t>
      </w:r>
    </w:p>
  </w:footnote>
  <w:footnote w:id="22">
    <w:p w14:paraId="03D8DC70" w14:textId="77777777" w:rsidR="00A311DC" w:rsidRPr="0087273B" w:rsidRDefault="00A311D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08, página 17 cuaderno de primera instancia.</w:t>
      </w:r>
    </w:p>
  </w:footnote>
  <w:footnote w:id="23">
    <w:p w14:paraId="318D616C" w14:textId="77777777" w:rsidR="00A311DC" w:rsidRPr="0087273B" w:rsidRDefault="00A311D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26 cuaderno de primera instancia.</w:t>
      </w:r>
    </w:p>
  </w:footnote>
  <w:footnote w:id="24">
    <w:p w14:paraId="17DF3092" w14:textId="77777777" w:rsidR="00A311DC" w:rsidRPr="0087273B" w:rsidRDefault="00A311D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27 cuaderno de primera instancia.</w:t>
      </w:r>
    </w:p>
  </w:footnote>
  <w:footnote w:id="25">
    <w:p w14:paraId="68571DB0" w14:textId="77777777" w:rsidR="00A311DC" w:rsidRPr="0087273B" w:rsidRDefault="00A311D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9 cuaderno de primera instancia.</w:t>
      </w:r>
    </w:p>
  </w:footnote>
  <w:footnote w:id="26">
    <w:p w14:paraId="75AA2B66" w14:textId="77777777" w:rsidR="00A4041C" w:rsidRPr="0087273B" w:rsidRDefault="00A4041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08, página 17 cuaderno de primera instancia.</w:t>
      </w:r>
    </w:p>
  </w:footnote>
  <w:footnote w:id="27">
    <w:p w14:paraId="1C4FDD78" w14:textId="77777777" w:rsidR="00A4041C" w:rsidRPr="0087273B" w:rsidRDefault="00A4041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26 cuaderno de primera instancia.</w:t>
      </w:r>
    </w:p>
  </w:footnote>
  <w:footnote w:id="28">
    <w:p w14:paraId="3EF01059" w14:textId="77777777" w:rsidR="00A4041C" w:rsidRPr="0087273B" w:rsidRDefault="00A4041C" w:rsidP="0087273B">
      <w:pPr>
        <w:pStyle w:val="Textonotapie"/>
        <w:ind w:firstLine="0"/>
        <w:rPr>
          <w:rFonts w:ascii="Arial" w:hAnsi="Arial" w:cs="Arial"/>
          <w:sz w:val="18"/>
          <w:szCs w:val="18"/>
        </w:rPr>
      </w:pPr>
      <w:r w:rsidRPr="0087273B">
        <w:rPr>
          <w:rStyle w:val="Refdenotaalpie"/>
          <w:rFonts w:ascii="Arial" w:hAnsi="Arial" w:cs="Arial"/>
          <w:sz w:val="18"/>
          <w:szCs w:val="18"/>
        </w:rPr>
        <w:footnoteRef/>
      </w:r>
      <w:r w:rsidRPr="0087273B">
        <w:rPr>
          <w:rFonts w:ascii="Arial" w:hAnsi="Arial" w:cs="Arial"/>
          <w:sz w:val="18"/>
          <w:szCs w:val="18"/>
        </w:rPr>
        <w:t xml:space="preserve"> Archivo 03, página 27 cuaderno de primera instancia.</w:t>
      </w:r>
    </w:p>
  </w:footnote>
  <w:footnote w:id="29">
    <w:p w14:paraId="1AAFF250" w14:textId="77777777" w:rsidR="00A4041C" w:rsidRDefault="00A4041C" w:rsidP="0087273B">
      <w:pPr>
        <w:pStyle w:val="Textonotapie"/>
        <w:ind w:firstLine="0"/>
      </w:pPr>
      <w:r w:rsidRPr="0087273B">
        <w:rPr>
          <w:rStyle w:val="Refdenotaalpie"/>
          <w:rFonts w:ascii="Arial" w:hAnsi="Arial" w:cs="Arial"/>
          <w:sz w:val="18"/>
          <w:szCs w:val="18"/>
        </w:rPr>
        <w:footnoteRef/>
      </w:r>
      <w:r w:rsidRPr="0087273B">
        <w:rPr>
          <w:rFonts w:ascii="Arial" w:hAnsi="Arial" w:cs="Arial"/>
          <w:sz w:val="18"/>
          <w:szCs w:val="18"/>
        </w:rPr>
        <w:t xml:space="preserve"> Archivo 03, página 9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C0D1" w14:textId="77627194" w:rsidR="00474C41" w:rsidRPr="0025451C" w:rsidRDefault="00474C41" w:rsidP="0025451C">
    <w:pPr>
      <w:pBdr>
        <w:top w:val="nil"/>
        <w:left w:val="nil"/>
        <w:bottom w:val="nil"/>
        <w:right w:val="nil"/>
        <w:between w:val="nil"/>
      </w:pBdr>
      <w:spacing w:before="0" w:beforeAutospacing="0" w:after="0" w:afterAutospacing="0" w:line="240" w:lineRule="auto"/>
      <w:ind w:firstLine="0"/>
      <w:jc w:val="left"/>
      <w:rPr>
        <w:rFonts w:ascii="Arial" w:hAnsi="Arial" w:cs="Arial"/>
        <w:color w:val="000000"/>
        <w:sz w:val="18"/>
        <w:szCs w:val="18"/>
      </w:rPr>
    </w:pPr>
    <w:r w:rsidRPr="0025451C">
      <w:rPr>
        <w:rFonts w:ascii="Arial" w:hAnsi="Arial" w:cs="Arial"/>
        <w:color w:val="000000" w:themeColor="text1"/>
        <w:sz w:val="18"/>
        <w:szCs w:val="18"/>
      </w:rPr>
      <w:t>Radicación No.:</w:t>
    </w:r>
    <w:r w:rsidR="0025451C">
      <w:rPr>
        <w:rFonts w:ascii="Arial" w:hAnsi="Arial" w:cs="Arial"/>
        <w:color w:val="000000" w:themeColor="text1"/>
        <w:sz w:val="18"/>
        <w:szCs w:val="18"/>
      </w:rPr>
      <w:tab/>
    </w:r>
    <w:r w:rsidRPr="0025451C">
      <w:rPr>
        <w:rFonts w:ascii="Arial" w:hAnsi="Arial" w:cs="Arial"/>
        <w:color w:val="000000" w:themeColor="text1"/>
        <w:sz w:val="18"/>
        <w:szCs w:val="18"/>
      </w:rPr>
      <w:t>66001310500</w:t>
    </w:r>
    <w:r w:rsidR="00783F63">
      <w:rPr>
        <w:rFonts w:ascii="Arial" w:hAnsi="Arial" w:cs="Arial"/>
        <w:color w:val="000000" w:themeColor="text1"/>
        <w:sz w:val="18"/>
        <w:szCs w:val="18"/>
      </w:rPr>
      <w:t>2</w:t>
    </w:r>
    <w:r w:rsidRPr="0025451C">
      <w:rPr>
        <w:rFonts w:ascii="Arial" w:hAnsi="Arial" w:cs="Arial"/>
        <w:color w:val="000000" w:themeColor="text1"/>
        <w:sz w:val="18"/>
        <w:szCs w:val="18"/>
      </w:rPr>
      <w:t>20190055701</w:t>
    </w:r>
  </w:p>
  <w:p w14:paraId="743C9411" w14:textId="0272D203" w:rsidR="00474C41" w:rsidRPr="0025451C" w:rsidRDefault="00474C41" w:rsidP="0025451C">
    <w:pPr>
      <w:pBdr>
        <w:top w:val="nil"/>
        <w:left w:val="nil"/>
        <w:bottom w:val="nil"/>
        <w:right w:val="nil"/>
        <w:between w:val="nil"/>
      </w:pBdr>
      <w:spacing w:before="0" w:beforeAutospacing="0" w:after="0" w:afterAutospacing="0" w:line="240" w:lineRule="auto"/>
      <w:ind w:firstLine="0"/>
      <w:jc w:val="left"/>
      <w:rPr>
        <w:rFonts w:ascii="Arial" w:hAnsi="Arial" w:cs="Arial"/>
        <w:color w:val="000000"/>
        <w:sz w:val="18"/>
        <w:szCs w:val="18"/>
      </w:rPr>
    </w:pPr>
    <w:r w:rsidRPr="0025451C">
      <w:rPr>
        <w:rFonts w:ascii="Arial" w:hAnsi="Arial" w:cs="Arial"/>
        <w:color w:val="000000" w:themeColor="text1"/>
        <w:sz w:val="18"/>
        <w:szCs w:val="18"/>
      </w:rPr>
      <w:t>Demandante:</w:t>
    </w:r>
    <w:r w:rsidR="0025451C">
      <w:rPr>
        <w:rFonts w:ascii="Arial" w:hAnsi="Arial" w:cs="Arial"/>
        <w:color w:val="000000" w:themeColor="text1"/>
        <w:sz w:val="18"/>
        <w:szCs w:val="18"/>
      </w:rPr>
      <w:tab/>
    </w:r>
    <w:r w:rsidRPr="0025451C">
      <w:rPr>
        <w:rFonts w:ascii="Arial" w:hAnsi="Arial" w:cs="Arial"/>
        <w:color w:val="000000" w:themeColor="text1"/>
        <w:sz w:val="18"/>
        <w:szCs w:val="18"/>
      </w:rPr>
      <w:t>Martha Luz Echeverri Flórez</w:t>
    </w:r>
  </w:p>
  <w:p w14:paraId="52B55A57" w14:textId="7E436FCD" w:rsidR="00474C41" w:rsidRPr="0025451C" w:rsidRDefault="00474C41" w:rsidP="0025451C">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25451C">
      <w:rPr>
        <w:rFonts w:ascii="Arial" w:hAnsi="Arial" w:cs="Arial"/>
        <w:color w:val="000000"/>
        <w:sz w:val="18"/>
        <w:szCs w:val="18"/>
      </w:rPr>
      <w:t>Demandado:</w:t>
    </w:r>
    <w:r w:rsidR="0025451C">
      <w:rPr>
        <w:rFonts w:ascii="Arial" w:hAnsi="Arial" w:cs="Arial"/>
        <w:color w:val="000000"/>
        <w:sz w:val="18"/>
        <w:szCs w:val="18"/>
      </w:rPr>
      <w:tab/>
    </w:r>
    <w:r w:rsidRPr="0025451C">
      <w:rPr>
        <w:rFonts w:ascii="Arial" w:hAnsi="Arial" w:cs="Arial"/>
        <w:color w:val="000000"/>
        <w:sz w:val="18"/>
        <w:szCs w:val="18"/>
      </w:rPr>
      <w:t>Colpensiones y otros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5B2D" w14:textId="35EFEC9D" w:rsidR="5DB4E084" w:rsidRPr="00270820" w:rsidRDefault="5DB4E084" w:rsidP="00270820">
    <w:pPr>
      <w:pStyle w:val="Encabezad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1" w15:restartNumberingAfterBreak="0">
    <w:nsid w:val="1D7C46F9"/>
    <w:multiLevelType w:val="hybridMultilevel"/>
    <w:tmpl w:val="82EC3A2E"/>
    <w:lvl w:ilvl="0" w:tplc="1C74D80C">
      <w:start w:val="1"/>
      <w:numFmt w:val="lowerRoman"/>
      <w:lvlText w:val="%1."/>
      <w:lvlJc w:val="right"/>
      <w:pPr>
        <w:ind w:left="720" w:hanging="360"/>
      </w:pPr>
      <w:rPr>
        <w:rFonts w:ascii="Tahoma" w:hAnsi="Tahoma"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5"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1"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097"/>
    <w:rsid w:val="00000227"/>
    <w:rsid w:val="000029E2"/>
    <w:rsid w:val="00004072"/>
    <w:rsid w:val="00004383"/>
    <w:rsid w:val="000055AD"/>
    <w:rsid w:val="00006732"/>
    <w:rsid w:val="00006E51"/>
    <w:rsid w:val="00016959"/>
    <w:rsid w:val="0001710B"/>
    <w:rsid w:val="00017163"/>
    <w:rsid w:val="00017A74"/>
    <w:rsid w:val="00022D96"/>
    <w:rsid w:val="000252B8"/>
    <w:rsid w:val="000317F0"/>
    <w:rsid w:val="00032188"/>
    <w:rsid w:val="000331FD"/>
    <w:rsid w:val="00034673"/>
    <w:rsid w:val="0003730D"/>
    <w:rsid w:val="000459B3"/>
    <w:rsid w:val="000507B6"/>
    <w:rsid w:val="0005572F"/>
    <w:rsid w:val="00062953"/>
    <w:rsid w:val="000645D4"/>
    <w:rsid w:val="00067274"/>
    <w:rsid w:val="00070883"/>
    <w:rsid w:val="00073E27"/>
    <w:rsid w:val="00081E34"/>
    <w:rsid w:val="000824F3"/>
    <w:rsid w:val="00096385"/>
    <w:rsid w:val="000A0C58"/>
    <w:rsid w:val="000A1D28"/>
    <w:rsid w:val="000A2289"/>
    <w:rsid w:val="000A2CE5"/>
    <w:rsid w:val="000A67D9"/>
    <w:rsid w:val="000A70BA"/>
    <w:rsid w:val="000A7489"/>
    <w:rsid w:val="000B11F7"/>
    <w:rsid w:val="000B1501"/>
    <w:rsid w:val="000B4FB6"/>
    <w:rsid w:val="000B5B6D"/>
    <w:rsid w:val="000B5F9F"/>
    <w:rsid w:val="000B6E77"/>
    <w:rsid w:val="000C54B1"/>
    <w:rsid w:val="000C5FE0"/>
    <w:rsid w:val="000C6F41"/>
    <w:rsid w:val="000D1243"/>
    <w:rsid w:val="000D14EA"/>
    <w:rsid w:val="000D23D0"/>
    <w:rsid w:val="000D60BA"/>
    <w:rsid w:val="000E1D8A"/>
    <w:rsid w:val="000E4C41"/>
    <w:rsid w:val="000E4F34"/>
    <w:rsid w:val="000E594B"/>
    <w:rsid w:val="000E6459"/>
    <w:rsid w:val="000F1F8F"/>
    <w:rsid w:val="000F2CC2"/>
    <w:rsid w:val="000F30F9"/>
    <w:rsid w:val="000F7063"/>
    <w:rsid w:val="00100F91"/>
    <w:rsid w:val="001102E5"/>
    <w:rsid w:val="00110515"/>
    <w:rsid w:val="001119A0"/>
    <w:rsid w:val="00112581"/>
    <w:rsid w:val="001206E4"/>
    <w:rsid w:val="0012076B"/>
    <w:rsid w:val="00125170"/>
    <w:rsid w:val="001300D4"/>
    <w:rsid w:val="00130143"/>
    <w:rsid w:val="00130244"/>
    <w:rsid w:val="00133625"/>
    <w:rsid w:val="00142E00"/>
    <w:rsid w:val="00143B39"/>
    <w:rsid w:val="00143CD9"/>
    <w:rsid w:val="00144783"/>
    <w:rsid w:val="001466BC"/>
    <w:rsid w:val="001477E0"/>
    <w:rsid w:val="00151506"/>
    <w:rsid w:val="00152848"/>
    <w:rsid w:val="0016235B"/>
    <w:rsid w:val="0016609B"/>
    <w:rsid w:val="0016622E"/>
    <w:rsid w:val="001673F5"/>
    <w:rsid w:val="001701D0"/>
    <w:rsid w:val="00171926"/>
    <w:rsid w:val="00171F35"/>
    <w:rsid w:val="00175C84"/>
    <w:rsid w:val="001765AD"/>
    <w:rsid w:val="00181075"/>
    <w:rsid w:val="001812C9"/>
    <w:rsid w:val="00183FB2"/>
    <w:rsid w:val="001846F2"/>
    <w:rsid w:val="00186623"/>
    <w:rsid w:val="00191CB5"/>
    <w:rsid w:val="00194F06"/>
    <w:rsid w:val="00195393"/>
    <w:rsid w:val="00196D45"/>
    <w:rsid w:val="00197066"/>
    <w:rsid w:val="001A2A50"/>
    <w:rsid w:val="001A3F6D"/>
    <w:rsid w:val="001A5772"/>
    <w:rsid w:val="001A6E83"/>
    <w:rsid w:val="001A7745"/>
    <w:rsid w:val="001A7E99"/>
    <w:rsid w:val="001B0963"/>
    <w:rsid w:val="001B2720"/>
    <w:rsid w:val="001B4D98"/>
    <w:rsid w:val="001C013A"/>
    <w:rsid w:val="001D328D"/>
    <w:rsid w:val="001D48B0"/>
    <w:rsid w:val="001D5892"/>
    <w:rsid w:val="001E029D"/>
    <w:rsid w:val="001E171B"/>
    <w:rsid w:val="001E450E"/>
    <w:rsid w:val="001E6AF5"/>
    <w:rsid w:val="001F182D"/>
    <w:rsid w:val="002001A7"/>
    <w:rsid w:val="00203CE4"/>
    <w:rsid w:val="0020420B"/>
    <w:rsid w:val="0020674E"/>
    <w:rsid w:val="002108CA"/>
    <w:rsid w:val="00211049"/>
    <w:rsid w:val="002202D0"/>
    <w:rsid w:val="0022249A"/>
    <w:rsid w:val="0022640C"/>
    <w:rsid w:val="00234B72"/>
    <w:rsid w:val="00235AF2"/>
    <w:rsid w:val="00236A5E"/>
    <w:rsid w:val="002372A5"/>
    <w:rsid w:val="0024011A"/>
    <w:rsid w:val="0024236E"/>
    <w:rsid w:val="002432DB"/>
    <w:rsid w:val="00245563"/>
    <w:rsid w:val="0024770B"/>
    <w:rsid w:val="00253941"/>
    <w:rsid w:val="0025451C"/>
    <w:rsid w:val="00254F97"/>
    <w:rsid w:val="00256E1A"/>
    <w:rsid w:val="00270820"/>
    <w:rsid w:val="00270931"/>
    <w:rsid w:val="00271095"/>
    <w:rsid w:val="0027225F"/>
    <w:rsid w:val="00272767"/>
    <w:rsid w:val="002730BF"/>
    <w:rsid w:val="00273A36"/>
    <w:rsid w:val="00274C26"/>
    <w:rsid w:val="00274D15"/>
    <w:rsid w:val="0028109A"/>
    <w:rsid w:val="00281848"/>
    <w:rsid w:val="0029235B"/>
    <w:rsid w:val="00293E32"/>
    <w:rsid w:val="00295F84"/>
    <w:rsid w:val="002A05AE"/>
    <w:rsid w:val="002A2A42"/>
    <w:rsid w:val="002A72C6"/>
    <w:rsid w:val="002B46A4"/>
    <w:rsid w:val="002B6705"/>
    <w:rsid w:val="002B6AAF"/>
    <w:rsid w:val="002B723F"/>
    <w:rsid w:val="002C0454"/>
    <w:rsid w:val="002C3206"/>
    <w:rsid w:val="002C36F5"/>
    <w:rsid w:val="002C3DD4"/>
    <w:rsid w:val="002C573C"/>
    <w:rsid w:val="002C6290"/>
    <w:rsid w:val="002C6AA0"/>
    <w:rsid w:val="002D4640"/>
    <w:rsid w:val="002D4C61"/>
    <w:rsid w:val="002D7247"/>
    <w:rsid w:val="002E0674"/>
    <w:rsid w:val="002E07F2"/>
    <w:rsid w:val="002E35B4"/>
    <w:rsid w:val="002E447B"/>
    <w:rsid w:val="002E4FED"/>
    <w:rsid w:val="002E50AC"/>
    <w:rsid w:val="002F1507"/>
    <w:rsid w:val="002F2D15"/>
    <w:rsid w:val="002F4CFB"/>
    <w:rsid w:val="002F59E9"/>
    <w:rsid w:val="002F5BD0"/>
    <w:rsid w:val="002F7096"/>
    <w:rsid w:val="00300BF0"/>
    <w:rsid w:val="00302D47"/>
    <w:rsid w:val="00305BFF"/>
    <w:rsid w:val="003115D1"/>
    <w:rsid w:val="00311CE6"/>
    <w:rsid w:val="00316347"/>
    <w:rsid w:val="00317D80"/>
    <w:rsid w:val="003203F3"/>
    <w:rsid w:val="00322322"/>
    <w:rsid w:val="00322A29"/>
    <w:rsid w:val="00325F7E"/>
    <w:rsid w:val="00327553"/>
    <w:rsid w:val="00327729"/>
    <w:rsid w:val="00327B34"/>
    <w:rsid w:val="0033550D"/>
    <w:rsid w:val="00336942"/>
    <w:rsid w:val="00340DBE"/>
    <w:rsid w:val="00341542"/>
    <w:rsid w:val="003443AE"/>
    <w:rsid w:val="00347457"/>
    <w:rsid w:val="0035588E"/>
    <w:rsid w:val="003630C0"/>
    <w:rsid w:val="003637EB"/>
    <w:rsid w:val="003706D2"/>
    <w:rsid w:val="0037135C"/>
    <w:rsid w:val="00372F91"/>
    <w:rsid w:val="003805DF"/>
    <w:rsid w:val="00381DE1"/>
    <w:rsid w:val="00383CA2"/>
    <w:rsid w:val="003850D8"/>
    <w:rsid w:val="00391FC5"/>
    <w:rsid w:val="003926FE"/>
    <w:rsid w:val="00392FFA"/>
    <w:rsid w:val="00396892"/>
    <w:rsid w:val="00396982"/>
    <w:rsid w:val="00397F39"/>
    <w:rsid w:val="003A3B50"/>
    <w:rsid w:val="003B1F61"/>
    <w:rsid w:val="003B23EA"/>
    <w:rsid w:val="003B5C1D"/>
    <w:rsid w:val="003B5FAB"/>
    <w:rsid w:val="003B6848"/>
    <w:rsid w:val="003C1968"/>
    <w:rsid w:val="003C2FDB"/>
    <w:rsid w:val="003C5B27"/>
    <w:rsid w:val="003D0ED0"/>
    <w:rsid w:val="003D37AE"/>
    <w:rsid w:val="003D3C04"/>
    <w:rsid w:val="003D3EAB"/>
    <w:rsid w:val="003E0BE1"/>
    <w:rsid w:val="003E12D1"/>
    <w:rsid w:val="003E36E9"/>
    <w:rsid w:val="003E36F3"/>
    <w:rsid w:val="003E604A"/>
    <w:rsid w:val="003E71C4"/>
    <w:rsid w:val="003F3426"/>
    <w:rsid w:val="003F7AB5"/>
    <w:rsid w:val="00400192"/>
    <w:rsid w:val="00400B5C"/>
    <w:rsid w:val="00400CB5"/>
    <w:rsid w:val="00400EE6"/>
    <w:rsid w:val="00403C9A"/>
    <w:rsid w:val="004054C1"/>
    <w:rsid w:val="00405661"/>
    <w:rsid w:val="0040599D"/>
    <w:rsid w:val="00405D51"/>
    <w:rsid w:val="00410374"/>
    <w:rsid w:val="004126ED"/>
    <w:rsid w:val="004133D4"/>
    <w:rsid w:val="004137B9"/>
    <w:rsid w:val="00413E58"/>
    <w:rsid w:val="00415842"/>
    <w:rsid w:val="0041683E"/>
    <w:rsid w:val="00416DEC"/>
    <w:rsid w:val="00417EE5"/>
    <w:rsid w:val="00420ABB"/>
    <w:rsid w:val="0042586E"/>
    <w:rsid w:val="00425AC5"/>
    <w:rsid w:val="00427DB9"/>
    <w:rsid w:val="004303F5"/>
    <w:rsid w:val="00432D0E"/>
    <w:rsid w:val="00433379"/>
    <w:rsid w:val="00436606"/>
    <w:rsid w:val="00436A5C"/>
    <w:rsid w:val="004373AC"/>
    <w:rsid w:val="004378E0"/>
    <w:rsid w:val="00445BEF"/>
    <w:rsid w:val="00446AD1"/>
    <w:rsid w:val="00450915"/>
    <w:rsid w:val="0045191A"/>
    <w:rsid w:val="00455FC7"/>
    <w:rsid w:val="00456466"/>
    <w:rsid w:val="00457603"/>
    <w:rsid w:val="00467BCB"/>
    <w:rsid w:val="004708F9"/>
    <w:rsid w:val="00473B12"/>
    <w:rsid w:val="00474C41"/>
    <w:rsid w:val="00480F74"/>
    <w:rsid w:val="00482FD3"/>
    <w:rsid w:val="0048475E"/>
    <w:rsid w:val="00486AC4"/>
    <w:rsid w:val="004902A7"/>
    <w:rsid w:val="00491ED6"/>
    <w:rsid w:val="004922E4"/>
    <w:rsid w:val="00493A3A"/>
    <w:rsid w:val="00494C5F"/>
    <w:rsid w:val="004953FE"/>
    <w:rsid w:val="004973B1"/>
    <w:rsid w:val="004A2465"/>
    <w:rsid w:val="004B05CC"/>
    <w:rsid w:val="004B1F24"/>
    <w:rsid w:val="004B3947"/>
    <w:rsid w:val="004B58AC"/>
    <w:rsid w:val="004B5E90"/>
    <w:rsid w:val="004B6909"/>
    <w:rsid w:val="004B6EE9"/>
    <w:rsid w:val="004B78F0"/>
    <w:rsid w:val="004C3BFD"/>
    <w:rsid w:val="004C426A"/>
    <w:rsid w:val="004C6A80"/>
    <w:rsid w:val="004C6AA1"/>
    <w:rsid w:val="004D2220"/>
    <w:rsid w:val="004D36D9"/>
    <w:rsid w:val="004D4784"/>
    <w:rsid w:val="004D55F5"/>
    <w:rsid w:val="004E0E50"/>
    <w:rsid w:val="004E789B"/>
    <w:rsid w:val="004F0854"/>
    <w:rsid w:val="004F0B78"/>
    <w:rsid w:val="004F15AB"/>
    <w:rsid w:val="004F1747"/>
    <w:rsid w:val="004F2ECB"/>
    <w:rsid w:val="004F3E96"/>
    <w:rsid w:val="004F4328"/>
    <w:rsid w:val="004F5AD3"/>
    <w:rsid w:val="004F643D"/>
    <w:rsid w:val="0050278F"/>
    <w:rsid w:val="00510D63"/>
    <w:rsid w:val="0051458A"/>
    <w:rsid w:val="00514801"/>
    <w:rsid w:val="00515D7A"/>
    <w:rsid w:val="00520A60"/>
    <w:rsid w:val="005219F8"/>
    <w:rsid w:val="00522DCA"/>
    <w:rsid w:val="00523C0A"/>
    <w:rsid w:val="00524870"/>
    <w:rsid w:val="0052540F"/>
    <w:rsid w:val="005269C2"/>
    <w:rsid w:val="00526DAE"/>
    <w:rsid w:val="005311FB"/>
    <w:rsid w:val="005314C7"/>
    <w:rsid w:val="005321D5"/>
    <w:rsid w:val="005328C8"/>
    <w:rsid w:val="005345C0"/>
    <w:rsid w:val="00536DE0"/>
    <w:rsid w:val="005374E2"/>
    <w:rsid w:val="00537B37"/>
    <w:rsid w:val="005417E6"/>
    <w:rsid w:val="00541E51"/>
    <w:rsid w:val="00543C3E"/>
    <w:rsid w:val="005458EA"/>
    <w:rsid w:val="005521CB"/>
    <w:rsid w:val="00556A73"/>
    <w:rsid w:val="005652FE"/>
    <w:rsid w:val="0057028D"/>
    <w:rsid w:val="00571558"/>
    <w:rsid w:val="00571570"/>
    <w:rsid w:val="00571C08"/>
    <w:rsid w:val="0057307A"/>
    <w:rsid w:val="00576F86"/>
    <w:rsid w:val="00581726"/>
    <w:rsid w:val="00581B7C"/>
    <w:rsid w:val="00585C8B"/>
    <w:rsid w:val="00592977"/>
    <w:rsid w:val="00594828"/>
    <w:rsid w:val="0059528B"/>
    <w:rsid w:val="0059616A"/>
    <w:rsid w:val="0059688C"/>
    <w:rsid w:val="005974D6"/>
    <w:rsid w:val="005A50FD"/>
    <w:rsid w:val="005B0328"/>
    <w:rsid w:val="005B2412"/>
    <w:rsid w:val="005B4D39"/>
    <w:rsid w:val="005B5AF9"/>
    <w:rsid w:val="005B6A0C"/>
    <w:rsid w:val="005B7733"/>
    <w:rsid w:val="005C123C"/>
    <w:rsid w:val="005C2D06"/>
    <w:rsid w:val="005C329D"/>
    <w:rsid w:val="005C5D11"/>
    <w:rsid w:val="005C6F3B"/>
    <w:rsid w:val="005D0D5A"/>
    <w:rsid w:val="005D333D"/>
    <w:rsid w:val="005D3367"/>
    <w:rsid w:val="005E19EA"/>
    <w:rsid w:val="005E2EDB"/>
    <w:rsid w:val="005E3598"/>
    <w:rsid w:val="005E55E7"/>
    <w:rsid w:val="005E79D6"/>
    <w:rsid w:val="005F15A6"/>
    <w:rsid w:val="005F5E85"/>
    <w:rsid w:val="005F637F"/>
    <w:rsid w:val="00601795"/>
    <w:rsid w:val="0060243A"/>
    <w:rsid w:val="006048C5"/>
    <w:rsid w:val="006068ED"/>
    <w:rsid w:val="006103AC"/>
    <w:rsid w:val="00611B57"/>
    <w:rsid w:val="00612CB4"/>
    <w:rsid w:val="00613BC1"/>
    <w:rsid w:val="006140BB"/>
    <w:rsid w:val="006152BA"/>
    <w:rsid w:val="00616657"/>
    <w:rsid w:val="00617E08"/>
    <w:rsid w:val="00617F66"/>
    <w:rsid w:val="00620C66"/>
    <w:rsid w:val="006215B4"/>
    <w:rsid w:val="006223E4"/>
    <w:rsid w:val="006227D1"/>
    <w:rsid w:val="00623AEF"/>
    <w:rsid w:val="0062667E"/>
    <w:rsid w:val="0063497B"/>
    <w:rsid w:val="006412B3"/>
    <w:rsid w:val="00641BF1"/>
    <w:rsid w:val="0064202A"/>
    <w:rsid w:val="00642569"/>
    <w:rsid w:val="0064476B"/>
    <w:rsid w:val="00646361"/>
    <w:rsid w:val="00647504"/>
    <w:rsid w:val="00647E83"/>
    <w:rsid w:val="00650C9B"/>
    <w:rsid w:val="00651429"/>
    <w:rsid w:val="00651F64"/>
    <w:rsid w:val="0065201C"/>
    <w:rsid w:val="006565F0"/>
    <w:rsid w:val="00660570"/>
    <w:rsid w:val="00663DEF"/>
    <w:rsid w:val="00666129"/>
    <w:rsid w:val="0067372B"/>
    <w:rsid w:val="006740DF"/>
    <w:rsid w:val="00675500"/>
    <w:rsid w:val="00676A11"/>
    <w:rsid w:val="006835BE"/>
    <w:rsid w:val="00684563"/>
    <w:rsid w:val="0068569E"/>
    <w:rsid w:val="0068639A"/>
    <w:rsid w:val="006871CE"/>
    <w:rsid w:val="00690465"/>
    <w:rsid w:val="00690A06"/>
    <w:rsid w:val="00693343"/>
    <w:rsid w:val="0069601C"/>
    <w:rsid w:val="006A0C84"/>
    <w:rsid w:val="006A18A8"/>
    <w:rsid w:val="006A2ECC"/>
    <w:rsid w:val="006A7C15"/>
    <w:rsid w:val="006B09A9"/>
    <w:rsid w:val="006B2CCE"/>
    <w:rsid w:val="006B6D69"/>
    <w:rsid w:val="006B70EF"/>
    <w:rsid w:val="006C00B2"/>
    <w:rsid w:val="006C1120"/>
    <w:rsid w:val="006C16F9"/>
    <w:rsid w:val="006C1E3C"/>
    <w:rsid w:val="006C487F"/>
    <w:rsid w:val="006C4E21"/>
    <w:rsid w:val="006C5A6C"/>
    <w:rsid w:val="006C74D7"/>
    <w:rsid w:val="006D15C5"/>
    <w:rsid w:val="006E0C88"/>
    <w:rsid w:val="006E3D8F"/>
    <w:rsid w:val="006E5368"/>
    <w:rsid w:val="006E5977"/>
    <w:rsid w:val="006E65BD"/>
    <w:rsid w:val="006E668F"/>
    <w:rsid w:val="006F4C17"/>
    <w:rsid w:val="006F4E09"/>
    <w:rsid w:val="006F54F3"/>
    <w:rsid w:val="0070144E"/>
    <w:rsid w:val="007016FE"/>
    <w:rsid w:val="00706B62"/>
    <w:rsid w:val="00707687"/>
    <w:rsid w:val="00711C63"/>
    <w:rsid w:val="00711F08"/>
    <w:rsid w:val="007177C6"/>
    <w:rsid w:val="00723671"/>
    <w:rsid w:val="00724DD3"/>
    <w:rsid w:val="00727897"/>
    <w:rsid w:val="00733A7A"/>
    <w:rsid w:val="00733C37"/>
    <w:rsid w:val="00733DFA"/>
    <w:rsid w:val="00734A9F"/>
    <w:rsid w:val="00736355"/>
    <w:rsid w:val="00737CE8"/>
    <w:rsid w:val="00740928"/>
    <w:rsid w:val="00741A38"/>
    <w:rsid w:val="007425C2"/>
    <w:rsid w:val="00743068"/>
    <w:rsid w:val="00752050"/>
    <w:rsid w:val="007524CE"/>
    <w:rsid w:val="00754F0E"/>
    <w:rsid w:val="0075558B"/>
    <w:rsid w:val="00755EAA"/>
    <w:rsid w:val="00761A18"/>
    <w:rsid w:val="00764731"/>
    <w:rsid w:val="00764E3D"/>
    <w:rsid w:val="00767B5D"/>
    <w:rsid w:val="007775BD"/>
    <w:rsid w:val="00782C1C"/>
    <w:rsid w:val="00783F63"/>
    <w:rsid w:val="007867BA"/>
    <w:rsid w:val="0078683D"/>
    <w:rsid w:val="0079124C"/>
    <w:rsid w:val="00794286"/>
    <w:rsid w:val="00797E8D"/>
    <w:rsid w:val="007A1026"/>
    <w:rsid w:val="007A28F1"/>
    <w:rsid w:val="007A3D3C"/>
    <w:rsid w:val="007A67AA"/>
    <w:rsid w:val="007A72A4"/>
    <w:rsid w:val="007B0E9F"/>
    <w:rsid w:val="007B101B"/>
    <w:rsid w:val="007B2935"/>
    <w:rsid w:val="007B482B"/>
    <w:rsid w:val="007B5D33"/>
    <w:rsid w:val="007C033C"/>
    <w:rsid w:val="007C1C6D"/>
    <w:rsid w:val="007C345D"/>
    <w:rsid w:val="007C3FE3"/>
    <w:rsid w:val="007C46E1"/>
    <w:rsid w:val="007C54BF"/>
    <w:rsid w:val="007C7A2B"/>
    <w:rsid w:val="007D14D8"/>
    <w:rsid w:val="007D1B2A"/>
    <w:rsid w:val="007D3292"/>
    <w:rsid w:val="007D44F0"/>
    <w:rsid w:val="007D50D1"/>
    <w:rsid w:val="007D6796"/>
    <w:rsid w:val="007E5811"/>
    <w:rsid w:val="007E6666"/>
    <w:rsid w:val="007F183E"/>
    <w:rsid w:val="007F3C1E"/>
    <w:rsid w:val="007F5C1B"/>
    <w:rsid w:val="007F65A6"/>
    <w:rsid w:val="007F729D"/>
    <w:rsid w:val="00801065"/>
    <w:rsid w:val="008019D1"/>
    <w:rsid w:val="00805B61"/>
    <w:rsid w:val="008138D6"/>
    <w:rsid w:val="008143EF"/>
    <w:rsid w:val="008144F8"/>
    <w:rsid w:val="00816B8E"/>
    <w:rsid w:val="00820314"/>
    <w:rsid w:val="0082038E"/>
    <w:rsid w:val="008208AC"/>
    <w:rsid w:val="00822D69"/>
    <w:rsid w:val="008271CF"/>
    <w:rsid w:val="0083240D"/>
    <w:rsid w:val="00837814"/>
    <w:rsid w:val="00841EA8"/>
    <w:rsid w:val="00850E9D"/>
    <w:rsid w:val="00851C6C"/>
    <w:rsid w:val="00852FE8"/>
    <w:rsid w:val="00856A74"/>
    <w:rsid w:val="008600A8"/>
    <w:rsid w:val="008627DF"/>
    <w:rsid w:val="0086282F"/>
    <w:rsid w:val="00863370"/>
    <w:rsid w:val="0086337A"/>
    <w:rsid w:val="00870C82"/>
    <w:rsid w:val="0087273B"/>
    <w:rsid w:val="0087410C"/>
    <w:rsid w:val="0087559D"/>
    <w:rsid w:val="00875C21"/>
    <w:rsid w:val="00877D12"/>
    <w:rsid w:val="00884ED0"/>
    <w:rsid w:val="0088572E"/>
    <w:rsid w:val="0089481D"/>
    <w:rsid w:val="008A3221"/>
    <w:rsid w:val="008A7187"/>
    <w:rsid w:val="008B0000"/>
    <w:rsid w:val="008B0CA0"/>
    <w:rsid w:val="008C04FD"/>
    <w:rsid w:val="008C1F46"/>
    <w:rsid w:val="008C2034"/>
    <w:rsid w:val="008C3475"/>
    <w:rsid w:val="008C3B97"/>
    <w:rsid w:val="008C3C1E"/>
    <w:rsid w:val="008C72A4"/>
    <w:rsid w:val="008C7FCA"/>
    <w:rsid w:val="008D0962"/>
    <w:rsid w:val="008D0DE1"/>
    <w:rsid w:val="008D20E0"/>
    <w:rsid w:val="008D2AEC"/>
    <w:rsid w:val="008D554E"/>
    <w:rsid w:val="008D7E8A"/>
    <w:rsid w:val="008E0C39"/>
    <w:rsid w:val="008E24DB"/>
    <w:rsid w:val="008E3994"/>
    <w:rsid w:val="008E6346"/>
    <w:rsid w:val="008E6732"/>
    <w:rsid w:val="008F08E8"/>
    <w:rsid w:val="00900CD2"/>
    <w:rsid w:val="00901D3D"/>
    <w:rsid w:val="009032DF"/>
    <w:rsid w:val="00903CF2"/>
    <w:rsid w:val="00905218"/>
    <w:rsid w:val="00906416"/>
    <w:rsid w:val="009066CA"/>
    <w:rsid w:val="0090694C"/>
    <w:rsid w:val="00911938"/>
    <w:rsid w:val="00914BF4"/>
    <w:rsid w:val="00915162"/>
    <w:rsid w:val="00923579"/>
    <w:rsid w:val="00924B50"/>
    <w:rsid w:val="00924F14"/>
    <w:rsid w:val="009259F0"/>
    <w:rsid w:val="009279BF"/>
    <w:rsid w:val="00931A6B"/>
    <w:rsid w:val="009355B8"/>
    <w:rsid w:val="00935D48"/>
    <w:rsid w:val="00936BC2"/>
    <w:rsid w:val="00937351"/>
    <w:rsid w:val="00937A81"/>
    <w:rsid w:val="00941E62"/>
    <w:rsid w:val="009624C1"/>
    <w:rsid w:val="0096257A"/>
    <w:rsid w:val="00964AFF"/>
    <w:rsid w:val="00964EAE"/>
    <w:rsid w:val="00972764"/>
    <w:rsid w:val="00983218"/>
    <w:rsid w:val="00985905"/>
    <w:rsid w:val="00986C7A"/>
    <w:rsid w:val="00987474"/>
    <w:rsid w:val="00991B4C"/>
    <w:rsid w:val="0099380E"/>
    <w:rsid w:val="00995B6C"/>
    <w:rsid w:val="00996A8F"/>
    <w:rsid w:val="00996D2C"/>
    <w:rsid w:val="009B06E9"/>
    <w:rsid w:val="009B3CE5"/>
    <w:rsid w:val="009B74F0"/>
    <w:rsid w:val="009C049A"/>
    <w:rsid w:val="009C055D"/>
    <w:rsid w:val="009C0760"/>
    <w:rsid w:val="009C38A3"/>
    <w:rsid w:val="009C3DFC"/>
    <w:rsid w:val="009D0362"/>
    <w:rsid w:val="009D24AE"/>
    <w:rsid w:val="009D38FF"/>
    <w:rsid w:val="009D4EE3"/>
    <w:rsid w:val="009E064F"/>
    <w:rsid w:val="009E20D3"/>
    <w:rsid w:val="009E4E4B"/>
    <w:rsid w:val="009E6119"/>
    <w:rsid w:val="009EE333"/>
    <w:rsid w:val="009F0B95"/>
    <w:rsid w:val="009F13DB"/>
    <w:rsid w:val="009F319E"/>
    <w:rsid w:val="009F52C8"/>
    <w:rsid w:val="00A03007"/>
    <w:rsid w:val="00A0409F"/>
    <w:rsid w:val="00A05225"/>
    <w:rsid w:val="00A05A16"/>
    <w:rsid w:val="00A13BFF"/>
    <w:rsid w:val="00A2196C"/>
    <w:rsid w:val="00A223F1"/>
    <w:rsid w:val="00A23352"/>
    <w:rsid w:val="00A24962"/>
    <w:rsid w:val="00A260F6"/>
    <w:rsid w:val="00A27D8A"/>
    <w:rsid w:val="00A311DC"/>
    <w:rsid w:val="00A32101"/>
    <w:rsid w:val="00A3299A"/>
    <w:rsid w:val="00A32BF4"/>
    <w:rsid w:val="00A33188"/>
    <w:rsid w:val="00A36906"/>
    <w:rsid w:val="00A40324"/>
    <w:rsid w:val="00A4041C"/>
    <w:rsid w:val="00A40704"/>
    <w:rsid w:val="00A4522C"/>
    <w:rsid w:val="00A4598D"/>
    <w:rsid w:val="00A502E1"/>
    <w:rsid w:val="00A50B3C"/>
    <w:rsid w:val="00A51230"/>
    <w:rsid w:val="00A5150F"/>
    <w:rsid w:val="00A545BA"/>
    <w:rsid w:val="00A54EBF"/>
    <w:rsid w:val="00A5787D"/>
    <w:rsid w:val="00A57987"/>
    <w:rsid w:val="00A57B89"/>
    <w:rsid w:val="00A57CD0"/>
    <w:rsid w:val="00A63C95"/>
    <w:rsid w:val="00A640A3"/>
    <w:rsid w:val="00A6476B"/>
    <w:rsid w:val="00A70802"/>
    <w:rsid w:val="00A71F4B"/>
    <w:rsid w:val="00A72952"/>
    <w:rsid w:val="00A729AC"/>
    <w:rsid w:val="00A729FB"/>
    <w:rsid w:val="00A75448"/>
    <w:rsid w:val="00A76DB4"/>
    <w:rsid w:val="00A773B1"/>
    <w:rsid w:val="00A805D9"/>
    <w:rsid w:val="00A824B7"/>
    <w:rsid w:val="00A82E64"/>
    <w:rsid w:val="00A83B0F"/>
    <w:rsid w:val="00A83E58"/>
    <w:rsid w:val="00A84DED"/>
    <w:rsid w:val="00A8510D"/>
    <w:rsid w:val="00A871A4"/>
    <w:rsid w:val="00A91753"/>
    <w:rsid w:val="00A9227D"/>
    <w:rsid w:val="00A927EA"/>
    <w:rsid w:val="00A95A55"/>
    <w:rsid w:val="00A9646D"/>
    <w:rsid w:val="00A97B5E"/>
    <w:rsid w:val="00AA2320"/>
    <w:rsid w:val="00AA2997"/>
    <w:rsid w:val="00AA3848"/>
    <w:rsid w:val="00AA5F58"/>
    <w:rsid w:val="00AA6274"/>
    <w:rsid w:val="00AA6629"/>
    <w:rsid w:val="00AB0723"/>
    <w:rsid w:val="00AB63F7"/>
    <w:rsid w:val="00AB721F"/>
    <w:rsid w:val="00AB753C"/>
    <w:rsid w:val="00AB7DA5"/>
    <w:rsid w:val="00AC22DC"/>
    <w:rsid w:val="00AC2F76"/>
    <w:rsid w:val="00AC30D5"/>
    <w:rsid w:val="00AC3939"/>
    <w:rsid w:val="00AC43BD"/>
    <w:rsid w:val="00AD0B5E"/>
    <w:rsid w:val="00AD1ACE"/>
    <w:rsid w:val="00AD3B13"/>
    <w:rsid w:val="00AD4CEA"/>
    <w:rsid w:val="00AD520E"/>
    <w:rsid w:val="00AD6379"/>
    <w:rsid w:val="00AE4067"/>
    <w:rsid w:val="00AE476D"/>
    <w:rsid w:val="00AE53B3"/>
    <w:rsid w:val="00AF0B1B"/>
    <w:rsid w:val="00B00DBA"/>
    <w:rsid w:val="00B02314"/>
    <w:rsid w:val="00B059D5"/>
    <w:rsid w:val="00B061E0"/>
    <w:rsid w:val="00B113DC"/>
    <w:rsid w:val="00B11483"/>
    <w:rsid w:val="00B121C3"/>
    <w:rsid w:val="00B13502"/>
    <w:rsid w:val="00B23300"/>
    <w:rsid w:val="00B2391B"/>
    <w:rsid w:val="00B24AB7"/>
    <w:rsid w:val="00B24FB1"/>
    <w:rsid w:val="00B27897"/>
    <w:rsid w:val="00B37E2D"/>
    <w:rsid w:val="00B4321F"/>
    <w:rsid w:val="00B4594B"/>
    <w:rsid w:val="00B45C53"/>
    <w:rsid w:val="00B47270"/>
    <w:rsid w:val="00B5083D"/>
    <w:rsid w:val="00B50E30"/>
    <w:rsid w:val="00B519CA"/>
    <w:rsid w:val="00B52510"/>
    <w:rsid w:val="00B534BA"/>
    <w:rsid w:val="00B54FE4"/>
    <w:rsid w:val="00B6446F"/>
    <w:rsid w:val="00B64ABA"/>
    <w:rsid w:val="00B66113"/>
    <w:rsid w:val="00B66307"/>
    <w:rsid w:val="00B72005"/>
    <w:rsid w:val="00B72058"/>
    <w:rsid w:val="00B72AA5"/>
    <w:rsid w:val="00B73AA0"/>
    <w:rsid w:val="00B73C88"/>
    <w:rsid w:val="00B7401A"/>
    <w:rsid w:val="00B7718D"/>
    <w:rsid w:val="00B82684"/>
    <w:rsid w:val="00B827C3"/>
    <w:rsid w:val="00B86F3A"/>
    <w:rsid w:val="00B90029"/>
    <w:rsid w:val="00B91B8D"/>
    <w:rsid w:val="00B92B87"/>
    <w:rsid w:val="00B92B8B"/>
    <w:rsid w:val="00B93249"/>
    <w:rsid w:val="00B941A5"/>
    <w:rsid w:val="00BA0131"/>
    <w:rsid w:val="00BA0474"/>
    <w:rsid w:val="00BA2E95"/>
    <w:rsid w:val="00BA4401"/>
    <w:rsid w:val="00BA653D"/>
    <w:rsid w:val="00BB0D41"/>
    <w:rsid w:val="00BB2337"/>
    <w:rsid w:val="00BB365D"/>
    <w:rsid w:val="00BB57A3"/>
    <w:rsid w:val="00BC3163"/>
    <w:rsid w:val="00BC5E29"/>
    <w:rsid w:val="00BC6A96"/>
    <w:rsid w:val="00BD14AE"/>
    <w:rsid w:val="00BD4CD3"/>
    <w:rsid w:val="00BD6855"/>
    <w:rsid w:val="00BE08B5"/>
    <w:rsid w:val="00BE095E"/>
    <w:rsid w:val="00BE09FC"/>
    <w:rsid w:val="00BE1CC5"/>
    <w:rsid w:val="00BE3906"/>
    <w:rsid w:val="00BE461D"/>
    <w:rsid w:val="00BE60F9"/>
    <w:rsid w:val="00BF19FE"/>
    <w:rsid w:val="00BF49D9"/>
    <w:rsid w:val="00BF5A14"/>
    <w:rsid w:val="00BF77D4"/>
    <w:rsid w:val="00C06396"/>
    <w:rsid w:val="00C10434"/>
    <w:rsid w:val="00C10A21"/>
    <w:rsid w:val="00C113E7"/>
    <w:rsid w:val="00C1241B"/>
    <w:rsid w:val="00C159D4"/>
    <w:rsid w:val="00C20A9F"/>
    <w:rsid w:val="00C303A6"/>
    <w:rsid w:val="00C304D2"/>
    <w:rsid w:val="00C35AB1"/>
    <w:rsid w:val="00C41934"/>
    <w:rsid w:val="00C43BAA"/>
    <w:rsid w:val="00C476DD"/>
    <w:rsid w:val="00C47BC0"/>
    <w:rsid w:val="00C517C6"/>
    <w:rsid w:val="00C517F7"/>
    <w:rsid w:val="00C5190D"/>
    <w:rsid w:val="00C51F84"/>
    <w:rsid w:val="00C60DBB"/>
    <w:rsid w:val="00C63227"/>
    <w:rsid w:val="00C632F7"/>
    <w:rsid w:val="00C6543D"/>
    <w:rsid w:val="00C65B40"/>
    <w:rsid w:val="00C72652"/>
    <w:rsid w:val="00C73CC7"/>
    <w:rsid w:val="00C74A57"/>
    <w:rsid w:val="00C75273"/>
    <w:rsid w:val="00C756C0"/>
    <w:rsid w:val="00C816A2"/>
    <w:rsid w:val="00C83C1D"/>
    <w:rsid w:val="00C8440E"/>
    <w:rsid w:val="00C85BE8"/>
    <w:rsid w:val="00C86637"/>
    <w:rsid w:val="00C878FE"/>
    <w:rsid w:val="00C93F61"/>
    <w:rsid w:val="00C97A9A"/>
    <w:rsid w:val="00CA0E69"/>
    <w:rsid w:val="00CA16A5"/>
    <w:rsid w:val="00CA349D"/>
    <w:rsid w:val="00CA5B04"/>
    <w:rsid w:val="00CB1D91"/>
    <w:rsid w:val="00CB40C7"/>
    <w:rsid w:val="00CB46B2"/>
    <w:rsid w:val="00CB6E57"/>
    <w:rsid w:val="00CC0219"/>
    <w:rsid w:val="00CC0990"/>
    <w:rsid w:val="00CC3B17"/>
    <w:rsid w:val="00CC3FD8"/>
    <w:rsid w:val="00CC4EDC"/>
    <w:rsid w:val="00CC5E74"/>
    <w:rsid w:val="00CC6CAB"/>
    <w:rsid w:val="00CC7065"/>
    <w:rsid w:val="00CD055E"/>
    <w:rsid w:val="00CE258E"/>
    <w:rsid w:val="00CE3240"/>
    <w:rsid w:val="00CE4CAD"/>
    <w:rsid w:val="00CE7D5D"/>
    <w:rsid w:val="00CF360E"/>
    <w:rsid w:val="00CF5E1A"/>
    <w:rsid w:val="00D013E8"/>
    <w:rsid w:val="00D02D0C"/>
    <w:rsid w:val="00D0472B"/>
    <w:rsid w:val="00D05FDE"/>
    <w:rsid w:val="00D06B04"/>
    <w:rsid w:val="00D06BE7"/>
    <w:rsid w:val="00D06E72"/>
    <w:rsid w:val="00D13DD7"/>
    <w:rsid w:val="00D16764"/>
    <w:rsid w:val="00D167F5"/>
    <w:rsid w:val="00D16BB6"/>
    <w:rsid w:val="00D21B62"/>
    <w:rsid w:val="00D225C4"/>
    <w:rsid w:val="00D2454B"/>
    <w:rsid w:val="00D26C4D"/>
    <w:rsid w:val="00D31E1D"/>
    <w:rsid w:val="00D325A8"/>
    <w:rsid w:val="00D35BAA"/>
    <w:rsid w:val="00D4181F"/>
    <w:rsid w:val="00D47EFA"/>
    <w:rsid w:val="00D52474"/>
    <w:rsid w:val="00D55080"/>
    <w:rsid w:val="00D57605"/>
    <w:rsid w:val="00D643BF"/>
    <w:rsid w:val="00D6592E"/>
    <w:rsid w:val="00D659BA"/>
    <w:rsid w:val="00D66047"/>
    <w:rsid w:val="00D66E5C"/>
    <w:rsid w:val="00D70DC2"/>
    <w:rsid w:val="00D71180"/>
    <w:rsid w:val="00D723B5"/>
    <w:rsid w:val="00D744FB"/>
    <w:rsid w:val="00D75044"/>
    <w:rsid w:val="00D775B0"/>
    <w:rsid w:val="00D8073B"/>
    <w:rsid w:val="00D82621"/>
    <w:rsid w:val="00D8698F"/>
    <w:rsid w:val="00D90708"/>
    <w:rsid w:val="00D90A0F"/>
    <w:rsid w:val="00D945FF"/>
    <w:rsid w:val="00D956A4"/>
    <w:rsid w:val="00D97B21"/>
    <w:rsid w:val="00DA0B25"/>
    <w:rsid w:val="00DA4A85"/>
    <w:rsid w:val="00DA5582"/>
    <w:rsid w:val="00DA61F3"/>
    <w:rsid w:val="00DA78EF"/>
    <w:rsid w:val="00DB13A5"/>
    <w:rsid w:val="00DB20BF"/>
    <w:rsid w:val="00DB25F1"/>
    <w:rsid w:val="00DB2B65"/>
    <w:rsid w:val="00DB3500"/>
    <w:rsid w:val="00DB6467"/>
    <w:rsid w:val="00DB67CB"/>
    <w:rsid w:val="00DC1DC8"/>
    <w:rsid w:val="00DC1F37"/>
    <w:rsid w:val="00DC2687"/>
    <w:rsid w:val="00DC4FD0"/>
    <w:rsid w:val="00DC4FE9"/>
    <w:rsid w:val="00DD6E41"/>
    <w:rsid w:val="00DE0C90"/>
    <w:rsid w:val="00DE45BF"/>
    <w:rsid w:val="00DE7704"/>
    <w:rsid w:val="00DF09AB"/>
    <w:rsid w:val="00DF3345"/>
    <w:rsid w:val="00DF57A6"/>
    <w:rsid w:val="00DF6108"/>
    <w:rsid w:val="00DF6BCE"/>
    <w:rsid w:val="00DF7558"/>
    <w:rsid w:val="00E021A1"/>
    <w:rsid w:val="00E02F37"/>
    <w:rsid w:val="00E06618"/>
    <w:rsid w:val="00E078FB"/>
    <w:rsid w:val="00E108AB"/>
    <w:rsid w:val="00E11D51"/>
    <w:rsid w:val="00E12ED1"/>
    <w:rsid w:val="00E164F4"/>
    <w:rsid w:val="00E210BB"/>
    <w:rsid w:val="00E2151F"/>
    <w:rsid w:val="00E21A29"/>
    <w:rsid w:val="00E21E31"/>
    <w:rsid w:val="00E236B6"/>
    <w:rsid w:val="00E31687"/>
    <w:rsid w:val="00E31791"/>
    <w:rsid w:val="00E31CB4"/>
    <w:rsid w:val="00E31F2A"/>
    <w:rsid w:val="00E343FC"/>
    <w:rsid w:val="00E37D62"/>
    <w:rsid w:val="00E41090"/>
    <w:rsid w:val="00E41FCA"/>
    <w:rsid w:val="00E44DA7"/>
    <w:rsid w:val="00E45B03"/>
    <w:rsid w:val="00E47799"/>
    <w:rsid w:val="00E51830"/>
    <w:rsid w:val="00E56D09"/>
    <w:rsid w:val="00E60429"/>
    <w:rsid w:val="00E60AFE"/>
    <w:rsid w:val="00E6138E"/>
    <w:rsid w:val="00E62558"/>
    <w:rsid w:val="00E667D1"/>
    <w:rsid w:val="00E7133F"/>
    <w:rsid w:val="00E722C8"/>
    <w:rsid w:val="00E72E01"/>
    <w:rsid w:val="00E81080"/>
    <w:rsid w:val="00E83024"/>
    <w:rsid w:val="00E8322E"/>
    <w:rsid w:val="00E8501B"/>
    <w:rsid w:val="00E90354"/>
    <w:rsid w:val="00E90F0C"/>
    <w:rsid w:val="00E97F2E"/>
    <w:rsid w:val="00EA5201"/>
    <w:rsid w:val="00EB0851"/>
    <w:rsid w:val="00EB0A71"/>
    <w:rsid w:val="00EB2384"/>
    <w:rsid w:val="00EB2A02"/>
    <w:rsid w:val="00EB6177"/>
    <w:rsid w:val="00EB73C1"/>
    <w:rsid w:val="00EB7DC9"/>
    <w:rsid w:val="00EC071E"/>
    <w:rsid w:val="00EC3167"/>
    <w:rsid w:val="00EC367B"/>
    <w:rsid w:val="00EC3D54"/>
    <w:rsid w:val="00EC4415"/>
    <w:rsid w:val="00EC587C"/>
    <w:rsid w:val="00ED1178"/>
    <w:rsid w:val="00ED1A9A"/>
    <w:rsid w:val="00ED3AA1"/>
    <w:rsid w:val="00ED5727"/>
    <w:rsid w:val="00ED62F5"/>
    <w:rsid w:val="00ED7027"/>
    <w:rsid w:val="00EE0537"/>
    <w:rsid w:val="00EE54A1"/>
    <w:rsid w:val="00EF01CA"/>
    <w:rsid w:val="00EF2220"/>
    <w:rsid w:val="00EF3761"/>
    <w:rsid w:val="00F01167"/>
    <w:rsid w:val="00F021C2"/>
    <w:rsid w:val="00F046B1"/>
    <w:rsid w:val="00F076EE"/>
    <w:rsid w:val="00F07A18"/>
    <w:rsid w:val="00F10573"/>
    <w:rsid w:val="00F10BBD"/>
    <w:rsid w:val="00F11C1D"/>
    <w:rsid w:val="00F1245B"/>
    <w:rsid w:val="00F14ECE"/>
    <w:rsid w:val="00F152E9"/>
    <w:rsid w:val="00F16FBA"/>
    <w:rsid w:val="00F1739D"/>
    <w:rsid w:val="00F25E12"/>
    <w:rsid w:val="00F26E9C"/>
    <w:rsid w:val="00F275AF"/>
    <w:rsid w:val="00F2779D"/>
    <w:rsid w:val="00F374B7"/>
    <w:rsid w:val="00F417FC"/>
    <w:rsid w:val="00F426CF"/>
    <w:rsid w:val="00F459EE"/>
    <w:rsid w:val="00F47635"/>
    <w:rsid w:val="00F502A3"/>
    <w:rsid w:val="00F52E13"/>
    <w:rsid w:val="00F5319F"/>
    <w:rsid w:val="00F55B70"/>
    <w:rsid w:val="00F569CD"/>
    <w:rsid w:val="00F60E07"/>
    <w:rsid w:val="00F61FC4"/>
    <w:rsid w:val="00F627A9"/>
    <w:rsid w:val="00F65786"/>
    <w:rsid w:val="00F666F7"/>
    <w:rsid w:val="00F73F17"/>
    <w:rsid w:val="00F77646"/>
    <w:rsid w:val="00F80DA9"/>
    <w:rsid w:val="00F84C72"/>
    <w:rsid w:val="00F872E5"/>
    <w:rsid w:val="00F90380"/>
    <w:rsid w:val="00F91236"/>
    <w:rsid w:val="00F91341"/>
    <w:rsid w:val="00F91638"/>
    <w:rsid w:val="00F93069"/>
    <w:rsid w:val="00FA263F"/>
    <w:rsid w:val="00FA2880"/>
    <w:rsid w:val="00FA28A6"/>
    <w:rsid w:val="00FA43ED"/>
    <w:rsid w:val="00FA4669"/>
    <w:rsid w:val="00FA5E08"/>
    <w:rsid w:val="00FB1E68"/>
    <w:rsid w:val="00FB3408"/>
    <w:rsid w:val="00FC23E2"/>
    <w:rsid w:val="00FC7FEE"/>
    <w:rsid w:val="00FD0B7D"/>
    <w:rsid w:val="00FD102A"/>
    <w:rsid w:val="00FD2A60"/>
    <w:rsid w:val="00FD34A0"/>
    <w:rsid w:val="00FD552F"/>
    <w:rsid w:val="00FD5936"/>
    <w:rsid w:val="00FD6255"/>
    <w:rsid w:val="00FE1BD0"/>
    <w:rsid w:val="00FE256F"/>
    <w:rsid w:val="00FE41AD"/>
    <w:rsid w:val="00FE42EF"/>
    <w:rsid w:val="00FE5D31"/>
    <w:rsid w:val="00FE60A7"/>
    <w:rsid w:val="00FE639D"/>
    <w:rsid w:val="00FF12DB"/>
    <w:rsid w:val="00FF3E17"/>
    <w:rsid w:val="00FF4450"/>
    <w:rsid w:val="010335D9"/>
    <w:rsid w:val="01FBE704"/>
    <w:rsid w:val="028816A1"/>
    <w:rsid w:val="03D95EED"/>
    <w:rsid w:val="0444F892"/>
    <w:rsid w:val="047F2760"/>
    <w:rsid w:val="0559F598"/>
    <w:rsid w:val="06137F31"/>
    <w:rsid w:val="0776C29E"/>
    <w:rsid w:val="08CBFD0D"/>
    <w:rsid w:val="0945C31E"/>
    <w:rsid w:val="09644850"/>
    <w:rsid w:val="0A084A2B"/>
    <w:rsid w:val="0A18B787"/>
    <w:rsid w:val="0A7D44FE"/>
    <w:rsid w:val="0AC20829"/>
    <w:rsid w:val="0BBD28EA"/>
    <w:rsid w:val="0CC8E02B"/>
    <w:rsid w:val="1028307C"/>
    <w:rsid w:val="104827A7"/>
    <w:rsid w:val="10B943B6"/>
    <w:rsid w:val="10EC1B99"/>
    <w:rsid w:val="12A8048B"/>
    <w:rsid w:val="12BF07E8"/>
    <w:rsid w:val="12F20239"/>
    <w:rsid w:val="13DED42A"/>
    <w:rsid w:val="13FBE178"/>
    <w:rsid w:val="14B84B5D"/>
    <w:rsid w:val="15A3E0EF"/>
    <w:rsid w:val="16CE03D1"/>
    <w:rsid w:val="186359DC"/>
    <w:rsid w:val="18DF6DFF"/>
    <w:rsid w:val="19393E69"/>
    <w:rsid w:val="1A6FA97F"/>
    <w:rsid w:val="1B0C7A34"/>
    <w:rsid w:val="1CFCBD64"/>
    <w:rsid w:val="1D719933"/>
    <w:rsid w:val="1E900CD2"/>
    <w:rsid w:val="1F5B43F4"/>
    <w:rsid w:val="1FC0AA95"/>
    <w:rsid w:val="205FDBD1"/>
    <w:rsid w:val="20605818"/>
    <w:rsid w:val="215D09A3"/>
    <w:rsid w:val="22DE046D"/>
    <w:rsid w:val="23737D61"/>
    <w:rsid w:val="23A8B317"/>
    <w:rsid w:val="259229B1"/>
    <w:rsid w:val="26D45226"/>
    <w:rsid w:val="26FD2EC3"/>
    <w:rsid w:val="2742ED41"/>
    <w:rsid w:val="27D82BA7"/>
    <w:rsid w:val="2819439A"/>
    <w:rsid w:val="28C8FE1A"/>
    <w:rsid w:val="29C29DEF"/>
    <w:rsid w:val="2B45C510"/>
    <w:rsid w:val="2B7B1C8C"/>
    <w:rsid w:val="2B9C59DA"/>
    <w:rsid w:val="2C43458E"/>
    <w:rsid w:val="2CA81517"/>
    <w:rsid w:val="2EF0ACB0"/>
    <w:rsid w:val="30851C6E"/>
    <w:rsid w:val="30C93127"/>
    <w:rsid w:val="30FFEF5E"/>
    <w:rsid w:val="3136B1E2"/>
    <w:rsid w:val="31763796"/>
    <w:rsid w:val="327A0512"/>
    <w:rsid w:val="33571E93"/>
    <w:rsid w:val="3407BFB7"/>
    <w:rsid w:val="3496CAE3"/>
    <w:rsid w:val="349BB7E4"/>
    <w:rsid w:val="355FEE34"/>
    <w:rsid w:val="36715652"/>
    <w:rsid w:val="369C106E"/>
    <w:rsid w:val="36A3D438"/>
    <w:rsid w:val="36E29638"/>
    <w:rsid w:val="37EF5B6D"/>
    <w:rsid w:val="38244818"/>
    <w:rsid w:val="3887EE58"/>
    <w:rsid w:val="388D3195"/>
    <w:rsid w:val="3947BBEF"/>
    <w:rsid w:val="3A70136D"/>
    <w:rsid w:val="3B4CD851"/>
    <w:rsid w:val="3B508FD5"/>
    <w:rsid w:val="3B782330"/>
    <w:rsid w:val="3BAEDDEF"/>
    <w:rsid w:val="3BE4EEE9"/>
    <w:rsid w:val="3C14B52D"/>
    <w:rsid w:val="3CEC6036"/>
    <w:rsid w:val="3CF1508A"/>
    <w:rsid w:val="3D24FB70"/>
    <w:rsid w:val="3D3E780E"/>
    <w:rsid w:val="3EF3C7F9"/>
    <w:rsid w:val="3F3E27BB"/>
    <w:rsid w:val="3FD42851"/>
    <w:rsid w:val="4008D15B"/>
    <w:rsid w:val="402B9B5C"/>
    <w:rsid w:val="424AAB0F"/>
    <w:rsid w:val="42701F22"/>
    <w:rsid w:val="42927617"/>
    <w:rsid w:val="44F9AC2E"/>
    <w:rsid w:val="458AC0C0"/>
    <w:rsid w:val="468BDAD2"/>
    <w:rsid w:val="46C8673D"/>
    <w:rsid w:val="46D58FF6"/>
    <w:rsid w:val="47301143"/>
    <w:rsid w:val="474E9675"/>
    <w:rsid w:val="47AADB3A"/>
    <w:rsid w:val="48EF42E7"/>
    <w:rsid w:val="48FD1CA9"/>
    <w:rsid w:val="4B0D5229"/>
    <w:rsid w:val="4B241DB7"/>
    <w:rsid w:val="4B324054"/>
    <w:rsid w:val="4C038266"/>
    <w:rsid w:val="4D14C0B0"/>
    <w:rsid w:val="4D350A8D"/>
    <w:rsid w:val="4D525DCA"/>
    <w:rsid w:val="4DD9EB4A"/>
    <w:rsid w:val="4E4CBC73"/>
    <w:rsid w:val="4F457E0E"/>
    <w:rsid w:val="4FCD83BE"/>
    <w:rsid w:val="4FF78EDA"/>
    <w:rsid w:val="503442F0"/>
    <w:rsid w:val="509EAB8E"/>
    <w:rsid w:val="517B60A5"/>
    <w:rsid w:val="51D01351"/>
    <w:rsid w:val="520DC053"/>
    <w:rsid w:val="52D30946"/>
    <w:rsid w:val="53CADA33"/>
    <w:rsid w:val="54BA298A"/>
    <w:rsid w:val="5505DFE0"/>
    <w:rsid w:val="554B7C12"/>
    <w:rsid w:val="55AA64AC"/>
    <w:rsid w:val="56A38474"/>
    <w:rsid w:val="56A697F5"/>
    <w:rsid w:val="570BA9D3"/>
    <w:rsid w:val="57970542"/>
    <w:rsid w:val="58887C23"/>
    <w:rsid w:val="5ADF22E0"/>
    <w:rsid w:val="5B624EF6"/>
    <w:rsid w:val="5BC11D21"/>
    <w:rsid w:val="5C40552E"/>
    <w:rsid w:val="5C6AABF3"/>
    <w:rsid w:val="5D3B146D"/>
    <w:rsid w:val="5DB4E084"/>
    <w:rsid w:val="5E901127"/>
    <w:rsid w:val="5F12A0F3"/>
    <w:rsid w:val="6059420E"/>
    <w:rsid w:val="60DA8C5C"/>
    <w:rsid w:val="61128FDA"/>
    <w:rsid w:val="61C7B1E9"/>
    <w:rsid w:val="6290D53A"/>
    <w:rsid w:val="642CA59B"/>
    <w:rsid w:val="6477DCB5"/>
    <w:rsid w:val="6510D622"/>
    <w:rsid w:val="65406832"/>
    <w:rsid w:val="658F5BA0"/>
    <w:rsid w:val="681E6FA5"/>
    <w:rsid w:val="683CDE3C"/>
    <w:rsid w:val="687F2A37"/>
    <w:rsid w:val="68A565FC"/>
    <w:rsid w:val="69F93686"/>
    <w:rsid w:val="6AE5A291"/>
    <w:rsid w:val="6B4376C1"/>
    <w:rsid w:val="6B6E942F"/>
    <w:rsid w:val="6C37B780"/>
    <w:rsid w:val="6DAD8563"/>
    <w:rsid w:val="6DD4E274"/>
    <w:rsid w:val="6E171D0F"/>
    <w:rsid w:val="6EF323FE"/>
    <w:rsid w:val="6F4955C4"/>
    <w:rsid w:val="6FA188BB"/>
    <w:rsid w:val="6FBD6268"/>
    <w:rsid w:val="714EBDD1"/>
    <w:rsid w:val="715E684F"/>
    <w:rsid w:val="71C231FD"/>
    <w:rsid w:val="7204486B"/>
    <w:rsid w:val="727CE46A"/>
    <w:rsid w:val="72AD14A0"/>
    <w:rsid w:val="72E9910D"/>
    <w:rsid w:val="7478679A"/>
    <w:rsid w:val="7491DC2A"/>
    <w:rsid w:val="75E690E9"/>
    <w:rsid w:val="75E77C5F"/>
    <w:rsid w:val="763D82F2"/>
    <w:rsid w:val="77AA669E"/>
    <w:rsid w:val="77DCC84A"/>
    <w:rsid w:val="77E61F50"/>
    <w:rsid w:val="78CBF54F"/>
    <w:rsid w:val="7BC2D7E5"/>
    <w:rsid w:val="7D0F4D83"/>
    <w:rsid w:val="7DEB5BA5"/>
    <w:rsid w:val="7E0ED700"/>
    <w:rsid w:val="7E62F030"/>
    <w:rsid w:val="7EC44641"/>
    <w:rsid w:val="7F2E4AC1"/>
    <w:rsid w:val="7F59C8B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character" w:styleId="Textoennegrita">
    <w:name w:val="Strong"/>
    <w:basedOn w:val="Fuentedeprrafopredeter"/>
    <w:uiPriority w:val="22"/>
    <w:qFormat/>
    <w:rsid w:val="0083240D"/>
    <w:rPr>
      <w:b/>
      <w:bCs/>
    </w:rPr>
  </w:style>
  <w:style w:type="table" w:customStyle="1" w:styleId="Tablaconcuadrcula11">
    <w:name w:val="Tabla con cuadrícula11"/>
    <w:basedOn w:val="Tablanormal"/>
    <w:next w:val="Tablaconcuadrcula"/>
    <w:rsid w:val="00E37D62"/>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9696">
      <w:bodyDiv w:val="1"/>
      <w:marLeft w:val="0"/>
      <w:marRight w:val="0"/>
      <w:marTop w:val="0"/>
      <w:marBottom w:val="0"/>
      <w:divBdr>
        <w:top w:val="none" w:sz="0" w:space="0" w:color="auto"/>
        <w:left w:val="none" w:sz="0" w:space="0" w:color="auto"/>
        <w:bottom w:val="none" w:sz="0" w:space="0" w:color="auto"/>
        <w:right w:val="none" w:sz="0" w:space="0" w:color="auto"/>
      </w:divBdr>
      <w:divsChild>
        <w:div w:id="1207447241">
          <w:marLeft w:val="0"/>
          <w:marRight w:val="0"/>
          <w:marTop w:val="0"/>
          <w:marBottom w:val="0"/>
          <w:divBdr>
            <w:top w:val="none" w:sz="0" w:space="0" w:color="auto"/>
            <w:left w:val="none" w:sz="0" w:space="0" w:color="auto"/>
            <w:bottom w:val="none" w:sz="0" w:space="0" w:color="auto"/>
            <w:right w:val="none" w:sz="0" w:space="0" w:color="auto"/>
          </w:divBdr>
          <w:divsChild>
            <w:div w:id="913592144">
              <w:marLeft w:val="0"/>
              <w:marRight w:val="0"/>
              <w:marTop w:val="0"/>
              <w:marBottom w:val="0"/>
              <w:divBdr>
                <w:top w:val="none" w:sz="0" w:space="0" w:color="auto"/>
                <w:left w:val="none" w:sz="0" w:space="0" w:color="auto"/>
                <w:bottom w:val="none" w:sz="0" w:space="0" w:color="auto"/>
                <w:right w:val="none" w:sz="0" w:space="0" w:color="auto"/>
              </w:divBdr>
            </w:div>
          </w:divsChild>
        </w:div>
        <w:div w:id="2063939194">
          <w:marLeft w:val="0"/>
          <w:marRight w:val="0"/>
          <w:marTop w:val="0"/>
          <w:marBottom w:val="0"/>
          <w:divBdr>
            <w:top w:val="none" w:sz="0" w:space="0" w:color="auto"/>
            <w:left w:val="none" w:sz="0" w:space="0" w:color="auto"/>
            <w:bottom w:val="none" w:sz="0" w:space="0" w:color="auto"/>
            <w:right w:val="none" w:sz="0" w:space="0" w:color="auto"/>
          </w:divBdr>
        </w:div>
      </w:divsChild>
    </w:div>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9f5a6388ff9a499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c-word-edit.officeapps.live.com/we/wordeditorframe.aspx?ui=es&amp;rs=es%2DES&amp;wopisrc=https%3A%2F%2Fetbcsj.sharepoint.com%2Fsites%2FDespacho4%2F_vti_bin%2Fwopi.ashx%2Ffiles%2Fc49a626a271644b1acf78f29026ef8c6&amp;wdenableroaming=1&amp;wdfr=1&amp;mscc=1&amp;hid=487669CD-BAC0-4DE3-81E6-FC4154F562C2&amp;wdorigin=Sharing&amp;jsapi=1&amp;jsapiver=v1&amp;newsession=1&amp;corrid=abbc65a7-8ed6-499d-851b-f012f133d19f&amp;usid=abbc65a7-8ed6-499d-851b-f012f133d19f&amp;sftc=1&amp;cac=1&amp;mtf=1&amp;sfp=1&amp;instantedit=1&amp;wopicomplete=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27C68-F85D-4D9B-AF76-CE44B918C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33C3B897-7D63-4893-A533-1159A4DF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10033</Words>
  <Characters>57194</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13</cp:revision>
  <dcterms:created xsi:type="dcterms:W3CDTF">2023-10-20T00:00:00Z</dcterms:created>
  <dcterms:modified xsi:type="dcterms:W3CDTF">2024-01-29T21:33:00Z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