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F5C7" w14:textId="29198326" w:rsidR="00A55A0A" w:rsidRPr="0087371B" w:rsidRDefault="0087371B" w:rsidP="00A55A0A">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TRANSACCIÓN LABORAL / REQUISITOS</w:t>
      </w:r>
      <w:r w:rsidR="002755EA">
        <w:rPr>
          <w:rFonts w:ascii="Arial" w:eastAsia="Times New Roman" w:hAnsi="Arial" w:cs="Arial"/>
          <w:b/>
          <w:sz w:val="20"/>
          <w:szCs w:val="18"/>
          <w:lang w:eastAsia="es-ES"/>
        </w:rPr>
        <w:t xml:space="preserve"> / IMPUGNACIÓN / CAUSALES</w:t>
      </w:r>
    </w:p>
    <w:p w14:paraId="25A5156B" w14:textId="3DF64F19" w:rsidR="00A55A0A" w:rsidRPr="0087371B" w:rsidRDefault="0087371B" w:rsidP="0087371B">
      <w:pPr>
        <w:widowControl w:val="0"/>
        <w:autoSpaceDE w:val="0"/>
        <w:autoSpaceDN w:val="0"/>
        <w:adjustRightInd w:val="0"/>
        <w:spacing w:line="240" w:lineRule="auto"/>
        <w:rPr>
          <w:rFonts w:ascii="Arial" w:eastAsia="Times New Roman" w:hAnsi="Arial" w:cs="Arial"/>
          <w:sz w:val="20"/>
          <w:szCs w:val="18"/>
          <w:lang w:eastAsia="es-ES"/>
        </w:rPr>
      </w:pPr>
      <w:r w:rsidRPr="0087371B">
        <w:rPr>
          <w:rFonts w:ascii="Arial" w:eastAsia="Times New Roman" w:hAnsi="Arial" w:cs="Arial"/>
          <w:sz w:val="20"/>
          <w:szCs w:val="18"/>
          <w:lang w:eastAsia="es-ES"/>
        </w:rPr>
        <w:t xml:space="preserve">La Corte Suprema de Justicia ha estimado que para que proceda la aprobación de la transacción, se deben cumplir los siguientes presupuestos: (i) exista entre las partes un derecho litigioso eventual o pendiente de resolver; (ii) el objeto a negociar no tenga el carácter de un derecho cierto e indiscutible; (iii) el acto jurídico sea producto de la voluntad libre de las partes, es decir, exenta de cualquier vicio del consentimiento, y (iv) lo acordado genere concesiones recíprocas y mutuas para las partes (CSJ </w:t>
      </w:r>
      <w:proofErr w:type="spellStart"/>
      <w:r w:rsidRPr="0087371B">
        <w:rPr>
          <w:rFonts w:ascii="Arial" w:eastAsia="Times New Roman" w:hAnsi="Arial" w:cs="Arial"/>
          <w:sz w:val="20"/>
          <w:szCs w:val="18"/>
          <w:lang w:eastAsia="es-ES"/>
        </w:rPr>
        <w:t>AL607</w:t>
      </w:r>
      <w:proofErr w:type="spellEnd"/>
      <w:r w:rsidRPr="0087371B">
        <w:rPr>
          <w:rFonts w:ascii="Arial" w:eastAsia="Times New Roman" w:hAnsi="Arial" w:cs="Arial"/>
          <w:sz w:val="20"/>
          <w:szCs w:val="18"/>
          <w:lang w:eastAsia="es-ES"/>
        </w:rPr>
        <w:t>-2017), o no sea abusiva o lesiva</w:t>
      </w:r>
      <w:r>
        <w:rPr>
          <w:rFonts w:ascii="Arial" w:eastAsia="Times New Roman" w:hAnsi="Arial" w:cs="Arial"/>
          <w:sz w:val="20"/>
          <w:szCs w:val="18"/>
          <w:lang w:eastAsia="es-ES"/>
        </w:rPr>
        <w:t xml:space="preserve"> de los derechos del trabajador… </w:t>
      </w:r>
      <w:r w:rsidRPr="0087371B">
        <w:rPr>
          <w:rFonts w:ascii="Arial" w:eastAsia="Times New Roman" w:hAnsi="Arial" w:cs="Arial"/>
          <w:sz w:val="20"/>
          <w:szCs w:val="18"/>
          <w:lang w:eastAsia="es-ES"/>
        </w:rPr>
        <w:t>Asimismo, es claro que las partes involucradas en el acuerdo conciliatorio o la transacción tienen la posibilidad de acudir al proceso laboral para impugnar su validez, si consideran que existe un vicio del consentimiento, un objeto o causa ilícitos o un desconocimiento de derechos ciertos e indiscutibles</w:t>
      </w:r>
      <w:r w:rsidR="002755EA">
        <w:rPr>
          <w:rFonts w:ascii="Arial" w:eastAsia="Times New Roman" w:hAnsi="Arial" w:cs="Arial"/>
          <w:sz w:val="20"/>
          <w:szCs w:val="18"/>
          <w:lang w:eastAsia="es-ES"/>
        </w:rPr>
        <w:t>…</w:t>
      </w:r>
    </w:p>
    <w:p w14:paraId="53CA42E8" w14:textId="1175A2D7" w:rsidR="00A55A0A"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0C461623" w14:textId="1F5AF1FC" w:rsidR="002755EA" w:rsidRPr="0087371B" w:rsidRDefault="002755EA" w:rsidP="002755EA">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TRANSACCIÓN LABORAL / </w:t>
      </w:r>
      <w:r w:rsidR="00663E65">
        <w:rPr>
          <w:rFonts w:ascii="Arial" w:eastAsia="Times New Roman" w:hAnsi="Arial" w:cs="Arial"/>
          <w:b/>
          <w:sz w:val="20"/>
          <w:szCs w:val="18"/>
          <w:lang w:eastAsia="es-ES"/>
        </w:rPr>
        <w:t xml:space="preserve">COSA JUZGADA / </w:t>
      </w:r>
      <w:r>
        <w:rPr>
          <w:rFonts w:ascii="Arial" w:eastAsia="Times New Roman" w:hAnsi="Arial" w:cs="Arial"/>
          <w:b/>
          <w:sz w:val="20"/>
          <w:szCs w:val="18"/>
          <w:lang w:eastAsia="es-ES"/>
        </w:rPr>
        <w:t xml:space="preserve">IMPUGNACIÓN / </w:t>
      </w:r>
      <w:r w:rsidR="00663E65">
        <w:rPr>
          <w:rFonts w:ascii="Arial" w:eastAsia="Times New Roman" w:hAnsi="Arial" w:cs="Arial"/>
          <w:b/>
          <w:sz w:val="20"/>
          <w:szCs w:val="18"/>
          <w:lang w:eastAsia="es-ES"/>
        </w:rPr>
        <w:t>INHIBE LA EXCEPCIÓN PREVIA</w:t>
      </w:r>
    </w:p>
    <w:p w14:paraId="68F4BC70" w14:textId="17D7FE6D" w:rsidR="00A55A0A" w:rsidRDefault="00663E65" w:rsidP="00A55A0A">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663E65">
        <w:rPr>
          <w:rFonts w:ascii="Arial" w:eastAsia="Times New Roman" w:hAnsi="Arial" w:cs="Arial"/>
          <w:sz w:val="20"/>
          <w:szCs w:val="18"/>
          <w:lang w:eastAsia="es-ES"/>
        </w:rPr>
        <w:t xml:space="preserve">al margen del alcance de cosa juzgada que pueda emanar del instrumento transaccional en que se escuda la codemandada para impedir la continuación del proceso, teniendo en cuenta que el actor alega en uno de los hechos de la demanda que fue sometido a engaño en la antesala de su suscripción, puntualmente en el hecho once del libelo introductor, donde plantea que el documento fue firmado “mediante manifestaciones engañosas”, no era viable resolver la excepción como previa, pues solo en el devenir del juicio se podrá establecer si ello en realidad ocurrió y si tuvo la virtualidad de invalidar o </w:t>
      </w:r>
      <w:proofErr w:type="spellStart"/>
      <w:r w:rsidRPr="00663E65">
        <w:rPr>
          <w:rFonts w:ascii="Arial" w:eastAsia="Times New Roman" w:hAnsi="Arial" w:cs="Arial"/>
          <w:sz w:val="20"/>
          <w:szCs w:val="18"/>
          <w:lang w:eastAsia="es-ES"/>
        </w:rPr>
        <w:t>nulitar</w:t>
      </w:r>
      <w:proofErr w:type="spellEnd"/>
      <w:r w:rsidRPr="00663E65">
        <w:rPr>
          <w:rFonts w:ascii="Arial" w:eastAsia="Times New Roman" w:hAnsi="Arial" w:cs="Arial"/>
          <w:sz w:val="20"/>
          <w:szCs w:val="18"/>
          <w:lang w:eastAsia="es-ES"/>
        </w:rPr>
        <w:t xml:space="preserve"> el acuerdo transaccional</w:t>
      </w:r>
      <w:r>
        <w:rPr>
          <w:rFonts w:ascii="Arial" w:eastAsia="Times New Roman" w:hAnsi="Arial" w:cs="Arial"/>
          <w:sz w:val="20"/>
          <w:szCs w:val="18"/>
          <w:lang w:eastAsia="es-ES"/>
        </w:rPr>
        <w:t>…</w:t>
      </w:r>
    </w:p>
    <w:p w14:paraId="397F3934" w14:textId="60C246C5" w:rsidR="00A55A0A"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7ADD8597" w14:textId="23205C6D" w:rsidR="00663E65" w:rsidRPr="0087371B" w:rsidRDefault="00B1307D" w:rsidP="00663E65">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RECLAMACIÓN ADMINISTRATIVA / ARTÍCULO 6 </w:t>
      </w:r>
      <w:r w:rsidRPr="00B1307D">
        <w:rPr>
          <w:rFonts w:ascii="Arial" w:eastAsia="Times New Roman" w:hAnsi="Arial" w:cs="Arial"/>
          <w:b/>
          <w:sz w:val="20"/>
          <w:szCs w:val="18"/>
          <w:lang w:eastAsia="es-ES"/>
        </w:rPr>
        <w:t xml:space="preserve">DEL </w:t>
      </w:r>
      <w:proofErr w:type="spellStart"/>
      <w:r w:rsidRPr="00B1307D">
        <w:rPr>
          <w:rFonts w:ascii="Arial" w:eastAsia="Times New Roman" w:hAnsi="Arial" w:cs="Arial"/>
          <w:b/>
          <w:sz w:val="20"/>
          <w:szCs w:val="18"/>
          <w:lang w:eastAsia="es-ES"/>
        </w:rPr>
        <w:t>C.P.T</w:t>
      </w:r>
      <w:proofErr w:type="spellEnd"/>
      <w:r w:rsidRPr="00B1307D">
        <w:rPr>
          <w:rFonts w:ascii="Arial" w:eastAsia="Times New Roman" w:hAnsi="Arial" w:cs="Arial"/>
          <w:b/>
          <w:sz w:val="20"/>
          <w:szCs w:val="18"/>
          <w:lang w:eastAsia="es-ES"/>
        </w:rPr>
        <w:t xml:space="preserve">. </w:t>
      </w:r>
      <w:r>
        <w:rPr>
          <w:rFonts w:ascii="Arial" w:eastAsia="Times New Roman" w:hAnsi="Arial" w:cs="Arial"/>
          <w:b/>
          <w:sz w:val="20"/>
          <w:szCs w:val="18"/>
          <w:lang w:eastAsia="es-ES"/>
        </w:rPr>
        <w:t>/ RESPONSABLES SOLIDARIOS / NO PROCEDE</w:t>
      </w:r>
    </w:p>
    <w:p w14:paraId="1821ED54" w14:textId="1423D85B" w:rsidR="00A55A0A" w:rsidRDefault="000149D5" w:rsidP="00A55A0A">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0149D5">
        <w:rPr>
          <w:rFonts w:ascii="Arial" w:eastAsia="Times New Roman" w:hAnsi="Arial" w:cs="Arial"/>
          <w:sz w:val="20"/>
          <w:szCs w:val="18"/>
          <w:lang w:eastAsia="es-ES"/>
        </w:rPr>
        <w:t>teniendo en cuenta que CENIT S.A.S. fue llamada como solidaria inane resulta verificar la calidad de la convocada, pues como ya lo ha señalado la Sala Mayoritaria de esta Corporación, “no constituye requisito de procedibilidad la reclamación administrativa frente a la Nación, entidades territoriales y cualquier otra autoridad de la administración pública, cuando alguna de ellas sea convocada al proceso ordinario para que se le declare solidariamente responsable de las obligaciones del contratista independiente.”</w:t>
      </w:r>
    </w:p>
    <w:p w14:paraId="06C8D0F5" w14:textId="77777777" w:rsidR="00A55A0A"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0CD0D23A" w14:textId="77777777" w:rsidR="00A55A0A" w:rsidRPr="00772CF4"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421DA328" w14:textId="77777777" w:rsidR="00A55A0A" w:rsidRPr="00772CF4"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7008FC06" w14:textId="572F4118" w:rsidR="00853DD1" w:rsidRPr="00A55A0A" w:rsidRDefault="00853DD1" w:rsidP="008D60D4">
      <w:pPr>
        <w:spacing w:line="240" w:lineRule="auto"/>
        <w:rPr>
          <w:rFonts w:ascii="Arial" w:eastAsia="Times New Roman" w:hAnsi="Arial" w:cs="Arial"/>
          <w:sz w:val="18"/>
          <w:szCs w:val="18"/>
          <w:lang w:eastAsia="es-ES"/>
        </w:rPr>
      </w:pPr>
      <w:r w:rsidRPr="00A55A0A">
        <w:rPr>
          <w:rFonts w:ascii="Arial" w:eastAsia="Times New Roman" w:hAnsi="Arial" w:cs="Arial"/>
          <w:sz w:val="18"/>
          <w:szCs w:val="18"/>
          <w:lang w:eastAsia="es-ES"/>
        </w:rPr>
        <w:t>Radicación No.:</w:t>
      </w:r>
      <w:r w:rsidR="00A55A0A">
        <w:rPr>
          <w:rFonts w:ascii="Arial" w:eastAsia="Times New Roman" w:hAnsi="Arial" w:cs="Arial"/>
          <w:sz w:val="18"/>
          <w:szCs w:val="18"/>
          <w:lang w:eastAsia="es-ES"/>
        </w:rPr>
        <w:tab/>
      </w:r>
      <w:r w:rsidRPr="00A55A0A">
        <w:rPr>
          <w:rFonts w:ascii="Arial" w:hAnsi="Arial" w:cs="Arial"/>
        </w:rPr>
        <w:tab/>
      </w:r>
      <w:r w:rsidRPr="00A55A0A">
        <w:rPr>
          <w:rFonts w:ascii="Arial" w:eastAsia="Times New Roman" w:hAnsi="Arial" w:cs="Arial"/>
          <w:sz w:val="18"/>
          <w:szCs w:val="18"/>
          <w:lang w:eastAsia="es-ES"/>
        </w:rPr>
        <w:t>66001310500</w:t>
      </w:r>
      <w:r w:rsidR="00F660A7" w:rsidRPr="00A55A0A">
        <w:rPr>
          <w:rFonts w:ascii="Arial" w:eastAsia="Times New Roman" w:hAnsi="Arial" w:cs="Arial"/>
          <w:sz w:val="18"/>
          <w:szCs w:val="18"/>
          <w:lang w:eastAsia="es-ES"/>
        </w:rPr>
        <w:t>3</w:t>
      </w:r>
      <w:r w:rsidRPr="00A55A0A">
        <w:rPr>
          <w:rFonts w:ascii="Arial" w:eastAsia="Times New Roman" w:hAnsi="Arial" w:cs="Arial"/>
          <w:sz w:val="18"/>
          <w:szCs w:val="18"/>
          <w:lang w:eastAsia="es-ES"/>
        </w:rPr>
        <w:t>20</w:t>
      </w:r>
      <w:r w:rsidR="0066333D" w:rsidRPr="00A55A0A">
        <w:rPr>
          <w:rFonts w:ascii="Arial" w:eastAsia="Times New Roman" w:hAnsi="Arial" w:cs="Arial"/>
          <w:sz w:val="18"/>
          <w:szCs w:val="18"/>
          <w:lang w:eastAsia="es-ES"/>
        </w:rPr>
        <w:t>20</w:t>
      </w:r>
      <w:r w:rsidRPr="00A55A0A">
        <w:rPr>
          <w:rFonts w:ascii="Arial" w:eastAsia="Times New Roman" w:hAnsi="Arial" w:cs="Arial"/>
          <w:sz w:val="18"/>
          <w:szCs w:val="18"/>
          <w:lang w:eastAsia="es-ES"/>
        </w:rPr>
        <w:t>00</w:t>
      </w:r>
      <w:r w:rsidR="0066333D" w:rsidRPr="00A55A0A">
        <w:rPr>
          <w:rFonts w:ascii="Arial" w:eastAsia="Times New Roman" w:hAnsi="Arial" w:cs="Arial"/>
          <w:sz w:val="18"/>
          <w:szCs w:val="18"/>
          <w:lang w:eastAsia="es-ES"/>
        </w:rPr>
        <w:t>085</w:t>
      </w:r>
      <w:r w:rsidRPr="00A55A0A">
        <w:rPr>
          <w:rFonts w:ascii="Arial" w:eastAsia="Times New Roman" w:hAnsi="Arial" w:cs="Arial"/>
          <w:sz w:val="18"/>
          <w:szCs w:val="18"/>
          <w:lang w:eastAsia="es-ES"/>
        </w:rPr>
        <w:t>0</w:t>
      </w:r>
      <w:r w:rsidR="009B6552" w:rsidRPr="00A55A0A">
        <w:rPr>
          <w:rFonts w:ascii="Arial" w:eastAsia="Times New Roman" w:hAnsi="Arial" w:cs="Arial"/>
          <w:sz w:val="18"/>
          <w:szCs w:val="18"/>
          <w:lang w:eastAsia="es-ES"/>
        </w:rPr>
        <w:t>1</w:t>
      </w:r>
    </w:p>
    <w:p w14:paraId="23B960C7" w14:textId="1538C308" w:rsidR="00853DD1" w:rsidRPr="00A55A0A" w:rsidRDefault="00853DD1" w:rsidP="008D60D4">
      <w:pPr>
        <w:spacing w:line="240" w:lineRule="auto"/>
        <w:rPr>
          <w:rFonts w:ascii="Arial" w:eastAsia="Times New Roman" w:hAnsi="Arial" w:cs="Arial"/>
          <w:sz w:val="18"/>
          <w:szCs w:val="18"/>
          <w:lang w:eastAsia="es-ES"/>
        </w:rPr>
      </w:pPr>
      <w:r w:rsidRPr="00A55A0A">
        <w:rPr>
          <w:rFonts w:ascii="Arial" w:eastAsia="Times New Roman" w:hAnsi="Arial" w:cs="Arial"/>
          <w:sz w:val="18"/>
          <w:szCs w:val="18"/>
          <w:lang w:eastAsia="es-ES"/>
        </w:rPr>
        <w:t>Proceso:</w:t>
      </w:r>
      <w:r w:rsidR="008D60D4">
        <w:rPr>
          <w:rFonts w:ascii="Arial" w:eastAsia="Times New Roman" w:hAnsi="Arial" w:cs="Arial"/>
          <w:sz w:val="18"/>
          <w:szCs w:val="18"/>
          <w:lang w:eastAsia="es-ES"/>
        </w:rPr>
        <w:tab/>
      </w:r>
      <w:r w:rsidR="008D60D4">
        <w:rPr>
          <w:rFonts w:ascii="Arial" w:eastAsia="Times New Roman" w:hAnsi="Arial" w:cs="Arial"/>
          <w:sz w:val="18"/>
          <w:szCs w:val="18"/>
          <w:lang w:eastAsia="es-ES"/>
        </w:rPr>
        <w:tab/>
      </w:r>
      <w:r w:rsidRPr="00A55A0A">
        <w:rPr>
          <w:rFonts w:ascii="Arial" w:eastAsia="Times New Roman" w:hAnsi="Arial" w:cs="Arial"/>
          <w:sz w:val="18"/>
          <w:szCs w:val="18"/>
          <w:lang w:eastAsia="es-ES"/>
        </w:rPr>
        <w:t xml:space="preserve">Ordinario Laboral </w:t>
      </w:r>
    </w:p>
    <w:p w14:paraId="19C269AB" w14:textId="3D9EC912" w:rsidR="00853DD1" w:rsidRPr="00A55A0A" w:rsidRDefault="00853DD1" w:rsidP="008D60D4">
      <w:pPr>
        <w:spacing w:line="240" w:lineRule="auto"/>
        <w:rPr>
          <w:rFonts w:ascii="Arial" w:eastAsia="Times New Roman" w:hAnsi="Arial" w:cs="Arial"/>
          <w:sz w:val="18"/>
          <w:szCs w:val="18"/>
          <w:lang w:eastAsia="es-ES"/>
        </w:rPr>
      </w:pPr>
      <w:r w:rsidRPr="00A55A0A">
        <w:rPr>
          <w:rFonts w:ascii="Arial" w:eastAsia="Times New Roman" w:hAnsi="Arial" w:cs="Arial"/>
          <w:sz w:val="18"/>
          <w:szCs w:val="18"/>
          <w:lang w:eastAsia="es-ES"/>
        </w:rPr>
        <w:t xml:space="preserve">Demandante: </w:t>
      </w:r>
      <w:r w:rsidR="008D60D4">
        <w:rPr>
          <w:rFonts w:ascii="Arial" w:eastAsia="Times New Roman" w:hAnsi="Arial" w:cs="Arial"/>
          <w:sz w:val="18"/>
          <w:szCs w:val="18"/>
          <w:lang w:eastAsia="es-ES"/>
        </w:rPr>
        <w:tab/>
      </w:r>
      <w:r w:rsidRPr="00A55A0A">
        <w:rPr>
          <w:rFonts w:ascii="Arial" w:hAnsi="Arial" w:cs="Arial"/>
        </w:rPr>
        <w:tab/>
      </w:r>
      <w:proofErr w:type="spellStart"/>
      <w:r w:rsidR="0066333D" w:rsidRPr="00A55A0A">
        <w:rPr>
          <w:rFonts w:ascii="Arial" w:eastAsia="Times New Roman" w:hAnsi="Arial" w:cs="Arial"/>
          <w:sz w:val="18"/>
          <w:szCs w:val="18"/>
          <w:lang w:eastAsia="es-ES"/>
        </w:rPr>
        <w:t>Elibardo</w:t>
      </w:r>
      <w:proofErr w:type="spellEnd"/>
      <w:r w:rsidR="0066333D" w:rsidRPr="00A55A0A">
        <w:rPr>
          <w:rFonts w:ascii="Arial" w:eastAsia="Times New Roman" w:hAnsi="Arial" w:cs="Arial"/>
          <w:sz w:val="18"/>
          <w:szCs w:val="18"/>
          <w:lang w:eastAsia="es-ES"/>
        </w:rPr>
        <w:t xml:space="preserve"> Giraldo Rivera</w:t>
      </w:r>
    </w:p>
    <w:p w14:paraId="525C8183" w14:textId="40825E25" w:rsidR="00853DD1" w:rsidRPr="00A55A0A" w:rsidRDefault="00853DD1" w:rsidP="008D60D4">
      <w:pPr>
        <w:spacing w:line="240" w:lineRule="auto"/>
        <w:rPr>
          <w:rFonts w:ascii="Arial" w:eastAsia="Times New Roman" w:hAnsi="Arial" w:cs="Arial"/>
          <w:sz w:val="18"/>
          <w:szCs w:val="18"/>
          <w:lang w:eastAsia="es-ES"/>
        </w:rPr>
      </w:pPr>
      <w:r w:rsidRPr="00A55A0A">
        <w:rPr>
          <w:rFonts w:ascii="Arial" w:eastAsia="Times New Roman" w:hAnsi="Arial" w:cs="Arial"/>
          <w:sz w:val="18"/>
          <w:szCs w:val="18"/>
          <w:lang w:eastAsia="es-ES"/>
        </w:rPr>
        <w:t xml:space="preserve">Demandado: </w:t>
      </w:r>
      <w:r w:rsidR="008D60D4">
        <w:rPr>
          <w:rFonts w:ascii="Arial" w:eastAsia="Times New Roman" w:hAnsi="Arial" w:cs="Arial"/>
          <w:sz w:val="18"/>
          <w:szCs w:val="18"/>
          <w:lang w:eastAsia="es-ES"/>
        </w:rPr>
        <w:tab/>
      </w:r>
      <w:r w:rsidRPr="00A55A0A">
        <w:rPr>
          <w:rFonts w:ascii="Arial" w:hAnsi="Arial" w:cs="Arial"/>
        </w:rPr>
        <w:tab/>
      </w:r>
      <w:proofErr w:type="spellStart"/>
      <w:r w:rsidR="005C6924" w:rsidRPr="00A55A0A">
        <w:rPr>
          <w:rFonts w:ascii="Arial" w:eastAsia="Times New Roman" w:hAnsi="Arial" w:cs="Arial"/>
          <w:sz w:val="18"/>
          <w:szCs w:val="18"/>
          <w:lang w:eastAsia="es-ES"/>
        </w:rPr>
        <w:t>M</w:t>
      </w:r>
      <w:r w:rsidR="0066333D" w:rsidRPr="00A55A0A">
        <w:rPr>
          <w:rFonts w:ascii="Arial" w:eastAsia="Times New Roman" w:hAnsi="Arial" w:cs="Arial"/>
          <w:sz w:val="18"/>
          <w:szCs w:val="18"/>
          <w:lang w:eastAsia="es-ES"/>
        </w:rPr>
        <w:t>ontecz</w:t>
      </w:r>
      <w:proofErr w:type="spellEnd"/>
      <w:r w:rsidR="0066333D" w:rsidRPr="00A55A0A">
        <w:rPr>
          <w:rFonts w:ascii="Arial" w:eastAsia="Times New Roman" w:hAnsi="Arial" w:cs="Arial"/>
          <w:sz w:val="18"/>
          <w:szCs w:val="18"/>
          <w:lang w:eastAsia="es-ES"/>
        </w:rPr>
        <w:t xml:space="preserve"> S.A. y otro.</w:t>
      </w:r>
    </w:p>
    <w:p w14:paraId="41E167DD" w14:textId="524F1FC3" w:rsidR="00853DD1" w:rsidRPr="00A55A0A" w:rsidRDefault="00853DD1" w:rsidP="008D60D4">
      <w:pPr>
        <w:spacing w:line="240" w:lineRule="auto"/>
        <w:rPr>
          <w:rFonts w:ascii="Arial" w:eastAsia="Times New Roman" w:hAnsi="Arial" w:cs="Arial"/>
          <w:sz w:val="18"/>
          <w:szCs w:val="18"/>
          <w:lang w:eastAsia="es-ES"/>
        </w:rPr>
      </w:pPr>
      <w:r w:rsidRPr="00A55A0A">
        <w:rPr>
          <w:rFonts w:ascii="Arial" w:eastAsia="Times New Roman" w:hAnsi="Arial" w:cs="Arial"/>
          <w:sz w:val="18"/>
          <w:szCs w:val="18"/>
          <w:lang w:eastAsia="es-ES"/>
        </w:rPr>
        <w:t xml:space="preserve">Juzgado: </w:t>
      </w:r>
      <w:r w:rsidRPr="00A55A0A">
        <w:rPr>
          <w:rFonts w:ascii="Arial" w:hAnsi="Arial" w:cs="Arial"/>
        </w:rPr>
        <w:tab/>
      </w:r>
      <w:r w:rsidRPr="00A55A0A">
        <w:rPr>
          <w:rFonts w:ascii="Arial" w:hAnsi="Arial" w:cs="Arial"/>
        </w:rPr>
        <w:tab/>
      </w:r>
      <w:r w:rsidR="00F447BD" w:rsidRPr="00A55A0A">
        <w:rPr>
          <w:rFonts w:ascii="Arial" w:eastAsia="Times New Roman" w:hAnsi="Arial" w:cs="Arial"/>
          <w:sz w:val="18"/>
          <w:szCs w:val="18"/>
          <w:lang w:eastAsia="es-ES"/>
        </w:rPr>
        <w:t>Tercero</w:t>
      </w:r>
      <w:r w:rsidR="00CA4661" w:rsidRPr="00A55A0A">
        <w:rPr>
          <w:rFonts w:ascii="Arial" w:eastAsia="Times New Roman" w:hAnsi="Arial" w:cs="Arial"/>
          <w:sz w:val="18"/>
          <w:szCs w:val="18"/>
          <w:lang w:eastAsia="es-ES"/>
        </w:rPr>
        <w:t xml:space="preserve"> Laboral</w:t>
      </w:r>
      <w:r w:rsidRPr="00A55A0A">
        <w:rPr>
          <w:rFonts w:ascii="Arial" w:eastAsia="Times New Roman" w:hAnsi="Arial" w:cs="Arial"/>
          <w:sz w:val="18"/>
          <w:szCs w:val="18"/>
          <w:lang w:eastAsia="es-ES"/>
        </w:rPr>
        <w:t xml:space="preserve"> del Circuito de Pereira</w:t>
      </w:r>
    </w:p>
    <w:p w14:paraId="6104F502" w14:textId="77777777" w:rsidR="00A55A0A"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16383BCD" w14:textId="77777777" w:rsidR="00A55A0A" w:rsidRPr="00772CF4"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065AD46F" w14:textId="77777777" w:rsidR="00A55A0A" w:rsidRPr="00772CF4" w:rsidRDefault="00A55A0A" w:rsidP="00A55A0A">
      <w:pPr>
        <w:widowControl w:val="0"/>
        <w:autoSpaceDE w:val="0"/>
        <w:autoSpaceDN w:val="0"/>
        <w:adjustRightInd w:val="0"/>
        <w:spacing w:line="240" w:lineRule="auto"/>
        <w:rPr>
          <w:rFonts w:ascii="Arial" w:eastAsia="Times New Roman" w:hAnsi="Arial" w:cs="Arial"/>
          <w:sz w:val="20"/>
          <w:szCs w:val="18"/>
          <w:lang w:eastAsia="es-ES"/>
        </w:rPr>
      </w:pPr>
    </w:p>
    <w:p w14:paraId="113FDB76" w14:textId="77777777" w:rsidR="00B02A64" w:rsidRPr="008D60D4" w:rsidRDefault="00B02A64" w:rsidP="008D60D4">
      <w:pPr>
        <w:pStyle w:val="Ttulo4"/>
        <w:widowControl w:val="0"/>
        <w:spacing w:line="276" w:lineRule="auto"/>
        <w:ind w:left="709" w:right="845"/>
        <w:rPr>
          <w:rFonts w:ascii="Tahoma" w:hAnsi="Tahoma" w:cs="Tahoma"/>
          <w:szCs w:val="24"/>
          <w:lang w:eastAsia="es-MX"/>
        </w:rPr>
      </w:pPr>
      <w:r w:rsidRPr="008D60D4">
        <w:rPr>
          <w:rFonts w:ascii="Tahoma" w:hAnsi="Tahoma" w:cs="Tahoma"/>
          <w:szCs w:val="24"/>
          <w:lang w:eastAsia="es-MX"/>
        </w:rPr>
        <w:t>TRIBUNAL SUPERIOR DEL DISTRITO JUDICIAL DE PEREIRA</w:t>
      </w:r>
    </w:p>
    <w:p w14:paraId="59D2FB15" w14:textId="35520623" w:rsidR="00B02A64" w:rsidRPr="008D60D4" w:rsidRDefault="00B02A64" w:rsidP="008D60D4">
      <w:pPr>
        <w:pStyle w:val="Ttulo4"/>
        <w:widowControl w:val="0"/>
        <w:spacing w:line="276" w:lineRule="auto"/>
        <w:ind w:left="709" w:right="845"/>
        <w:rPr>
          <w:rFonts w:ascii="Tahoma" w:hAnsi="Tahoma" w:cs="Tahoma"/>
          <w:szCs w:val="24"/>
          <w:lang w:eastAsia="es-MX"/>
        </w:rPr>
      </w:pPr>
      <w:r w:rsidRPr="008D60D4">
        <w:rPr>
          <w:rFonts w:ascii="Tahoma" w:hAnsi="Tahoma" w:cs="Tahoma"/>
          <w:szCs w:val="24"/>
          <w:lang w:eastAsia="es-MX"/>
        </w:rPr>
        <w:t xml:space="preserve">SALA PRIMERA DE </w:t>
      </w:r>
      <w:r w:rsidR="008D60D4" w:rsidRPr="008D60D4">
        <w:rPr>
          <w:rFonts w:ascii="Tahoma" w:hAnsi="Tahoma" w:cs="Tahoma"/>
          <w:szCs w:val="24"/>
          <w:lang w:eastAsia="es-MX"/>
        </w:rPr>
        <w:t>DECISIÓN</w:t>
      </w:r>
      <w:r w:rsidRPr="008D60D4">
        <w:rPr>
          <w:rFonts w:ascii="Tahoma" w:hAnsi="Tahoma" w:cs="Tahoma"/>
          <w:szCs w:val="24"/>
          <w:lang w:eastAsia="es-MX"/>
        </w:rPr>
        <w:t xml:space="preserve"> LABORAL </w:t>
      </w:r>
    </w:p>
    <w:p w14:paraId="0DF73DD5" w14:textId="77777777" w:rsidR="00B02A64" w:rsidRPr="008D60D4" w:rsidRDefault="00B02A64" w:rsidP="008D60D4">
      <w:pPr>
        <w:spacing w:line="276" w:lineRule="auto"/>
        <w:jc w:val="center"/>
        <w:rPr>
          <w:rFonts w:cs="Tahoma"/>
          <w:szCs w:val="24"/>
        </w:rPr>
      </w:pPr>
    </w:p>
    <w:p w14:paraId="610BC8C1" w14:textId="77777777" w:rsidR="00B02A64" w:rsidRPr="008D60D4" w:rsidRDefault="00B02A64" w:rsidP="008D60D4">
      <w:pPr>
        <w:spacing w:line="276" w:lineRule="auto"/>
        <w:jc w:val="center"/>
        <w:textAlignment w:val="baseline"/>
        <w:rPr>
          <w:rFonts w:eastAsia="Times New Roman" w:cs="Tahoma"/>
          <w:szCs w:val="24"/>
          <w:lang w:eastAsia="es-CO"/>
        </w:rPr>
      </w:pPr>
      <w:r w:rsidRPr="008D60D4">
        <w:rPr>
          <w:rFonts w:eastAsia="Times New Roman" w:cs="Tahoma"/>
          <w:szCs w:val="24"/>
          <w:lang w:eastAsia="es-CO"/>
        </w:rPr>
        <w:t>Magistrada Ponente: </w:t>
      </w:r>
      <w:r w:rsidRPr="008D60D4">
        <w:rPr>
          <w:rFonts w:eastAsia="Times New Roman" w:cs="Tahoma"/>
          <w:b/>
          <w:bCs/>
          <w:szCs w:val="24"/>
          <w:lang w:eastAsia="es-CO"/>
        </w:rPr>
        <w:t>Ana Lucía Caicedo Calderón</w:t>
      </w:r>
      <w:r w:rsidRPr="008D60D4">
        <w:rPr>
          <w:rFonts w:eastAsia="Times New Roman" w:cs="Tahoma"/>
          <w:szCs w:val="24"/>
          <w:lang w:eastAsia="es-CO"/>
        </w:rPr>
        <w:t> </w:t>
      </w:r>
    </w:p>
    <w:p w14:paraId="258F0C2C" w14:textId="77777777" w:rsidR="00FF4BAC" w:rsidRDefault="00FF4BAC" w:rsidP="008D60D4">
      <w:pPr>
        <w:spacing w:line="276" w:lineRule="auto"/>
        <w:jc w:val="center"/>
        <w:textAlignment w:val="baseline"/>
        <w:rPr>
          <w:rFonts w:eastAsia="Times New Roman" w:cs="Tahoma"/>
          <w:szCs w:val="24"/>
          <w:lang w:eastAsia="es-CO"/>
        </w:rPr>
      </w:pPr>
    </w:p>
    <w:p w14:paraId="0ED13375" w14:textId="101F8DC9" w:rsidR="00236E5A" w:rsidRPr="008D60D4" w:rsidRDefault="00B02A64" w:rsidP="008D60D4">
      <w:pPr>
        <w:spacing w:line="276" w:lineRule="auto"/>
        <w:jc w:val="center"/>
        <w:textAlignment w:val="baseline"/>
        <w:rPr>
          <w:rFonts w:eastAsia="Times New Roman" w:cs="Tahoma"/>
          <w:szCs w:val="24"/>
          <w:lang w:eastAsia="es-CO"/>
        </w:rPr>
      </w:pPr>
      <w:r w:rsidRPr="008D60D4">
        <w:rPr>
          <w:rFonts w:eastAsia="Times New Roman" w:cs="Tahoma"/>
          <w:szCs w:val="24"/>
          <w:lang w:eastAsia="es-CO"/>
        </w:rPr>
        <w:t> </w:t>
      </w:r>
    </w:p>
    <w:p w14:paraId="6C4E5D16" w14:textId="25C412A5" w:rsidR="00236E5A" w:rsidRPr="008D60D4" w:rsidRDefault="76C5D3EA" w:rsidP="008D60D4">
      <w:pPr>
        <w:spacing w:line="276" w:lineRule="auto"/>
        <w:ind w:firstLine="705"/>
        <w:jc w:val="center"/>
        <w:textAlignment w:val="baseline"/>
        <w:rPr>
          <w:rFonts w:eastAsia="Tahoma" w:cs="Tahoma"/>
          <w:szCs w:val="24"/>
          <w:lang w:val="es-CO"/>
        </w:rPr>
      </w:pPr>
      <w:r w:rsidRPr="008D60D4">
        <w:rPr>
          <w:rFonts w:eastAsia="Tahoma" w:cs="Tahoma"/>
          <w:szCs w:val="24"/>
          <w:lang w:val="es"/>
        </w:rPr>
        <w:t>Pereira, Risaralda, once (11) de diciembre de dos mil veintitrés (2023)</w:t>
      </w:r>
      <w:r w:rsidRPr="008D60D4">
        <w:rPr>
          <w:rFonts w:eastAsia="Tahoma" w:cs="Tahoma"/>
          <w:szCs w:val="24"/>
          <w:lang w:val="es-CO"/>
        </w:rPr>
        <w:t xml:space="preserve"> </w:t>
      </w:r>
    </w:p>
    <w:p w14:paraId="5E777546" w14:textId="47FFC6B6" w:rsidR="00236E5A" w:rsidRPr="008D60D4" w:rsidRDefault="76C5D3EA" w:rsidP="008D60D4">
      <w:pPr>
        <w:spacing w:line="276" w:lineRule="auto"/>
        <w:ind w:firstLine="705"/>
        <w:jc w:val="center"/>
        <w:textAlignment w:val="baseline"/>
        <w:rPr>
          <w:rFonts w:eastAsia="Tahoma" w:cs="Tahoma"/>
          <w:szCs w:val="24"/>
          <w:lang w:val="es"/>
        </w:rPr>
      </w:pPr>
      <w:r w:rsidRPr="008D60D4">
        <w:rPr>
          <w:rFonts w:eastAsia="Tahoma" w:cs="Tahoma"/>
          <w:szCs w:val="24"/>
          <w:lang w:val="es"/>
        </w:rPr>
        <w:t xml:space="preserve">Acta No. </w:t>
      </w:r>
      <w:r w:rsidR="4E958C72" w:rsidRPr="008D60D4">
        <w:rPr>
          <w:rFonts w:eastAsia="Tahoma" w:cs="Tahoma"/>
          <w:szCs w:val="24"/>
          <w:lang w:val="es"/>
        </w:rPr>
        <w:t>199</w:t>
      </w:r>
      <w:r w:rsidRPr="008D60D4">
        <w:rPr>
          <w:rFonts w:eastAsia="Tahoma" w:cs="Tahoma"/>
          <w:szCs w:val="24"/>
          <w:lang w:val="es"/>
        </w:rPr>
        <w:t xml:space="preserve"> del </w:t>
      </w:r>
      <w:r w:rsidR="40585F8C" w:rsidRPr="008D60D4">
        <w:rPr>
          <w:rFonts w:eastAsia="Tahoma" w:cs="Tahoma"/>
          <w:szCs w:val="24"/>
          <w:lang w:val="es"/>
        </w:rPr>
        <w:t>11</w:t>
      </w:r>
      <w:r w:rsidRPr="008D60D4">
        <w:rPr>
          <w:rFonts w:eastAsia="Tahoma" w:cs="Tahoma"/>
          <w:szCs w:val="24"/>
          <w:lang w:val="es"/>
        </w:rPr>
        <w:t xml:space="preserve"> de diciembre de 2023</w:t>
      </w:r>
    </w:p>
    <w:p w14:paraId="32ADF1A1" w14:textId="77777777" w:rsidR="00B02A64" w:rsidRPr="008D60D4" w:rsidRDefault="00B02A64" w:rsidP="008D60D4">
      <w:pPr>
        <w:spacing w:line="276" w:lineRule="auto"/>
        <w:rPr>
          <w:rFonts w:cs="Tahoma"/>
          <w:b/>
          <w:bCs/>
          <w:szCs w:val="24"/>
        </w:rPr>
      </w:pPr>
    </w:p>
    <w:p w14:paraId="75915CB7" w14:textId="1DC38DDA" w:rsidR="0066333D" w:rsidRPr="008D60D4" w:rsidRDefault="00B02A64" w:rsidP="008D60D4">
      <w:pPr>
        <w:spacing w:line="276" w:lineRule="auto"/>
        <w:ind w:firstLine="709"/>
        <w:rPr>
          <w:rFonts w:cs="Tahoma"/>
          <w:b/>
          <w:bCs/>
          <w:szCs w:val="24"/>
        </w:rPr>
      </w:pPr>
      <w:r w:rsidRPr="008D60D4">
        <w:rPr>
          <w:rFonts w:cs="Tahoma"/>
          <w:szCs w:val="24"/>
        </w:rPr>
        <w:t xml:space="preserve">Teniendo en cuenta que el artículo </w:t>
      </w:r>
      <w:r w:rsidR="00051C89" w:rsidRPr="008D60D4">
        <w:rPr>
          <w:rFonts w:cs="Tahoma"/>
          <w:szCs w:val="24"/>
        </w:rPr>
        <w:t xml:space="preserve">13 de la Ley 2213 del 13 de junio de 2022 </w:t>
      </w:r>
      <w:r w:rsidRPr="008D60D4">
        <w:rPr>
          <w:rFonts w:cs="Tahoma"/>
          <w:szCs w:val="24"/>
        </w:rPr>
        <w:t>estableció que en la</w:t>
      </w:r>
      <w:r w:rsidR="00051C89" w:rsidRPr="008D60D4">
        <w:rPr>
          <w:rFonts w:cs="Tahoma"/>
          <w:szCs w:val="24"/>
        </w:rPr>
        <w:t xml:space="preserve"> </w:t>
      </w:r>
      <w:r w:rsidRPr="008D60D4">
        <w:rPr>
          <w:rFonts w:cs="Tahoma"/>
          <w:szCs w:val="24"/>
        </w:rPr>
        <w:t>especialidad laboral se proferirán por escrito las providencias de segunda instancia</w:t>
      </w:r>
      <w:r w:rsidR="00051C89" w:rsidRPr="008D60D4">
        <w:rPr>
          <w:rFonts w:cs="Tahoma"/>
          <w:szCs w:val="24"/>
        </w:rPr>
        <w:t xml:space="preserve"> </w:t>
      </w:r>
      <w:r w:rsidRPr="008D60D4">
        <w:rPr>
          <w:rFonts w:cs="Tahoma"/>
          <w:szCs w:val="24"/>
        </w:rPr>
        <w:t>en las que se surta el grado jurisdiccional de consulta o se resuelva el recurso de</w:t>
      </w:r>
      <w:r w:rsidR="00051C89" w:rsidRPr="008D60D4">
        <w:rPr>
          <w:rFonts w:cs="Tahoma"/>
          <w:szCs w:val="24"/>
        </w:rPr>
        <w:t xml:space="preserve"> </w:t>
      </w:r>
      <w:r w:rsidRPr="008D60D4">
        <w:rPr>
          <w:rFonts w:cs="Tahoma"/>
          <w:szCs w:val="24"/>
        </w:rPr>
        <w:t xml:space="preserve">apelación de autos o sentencias, la Sala Primera de Decisión Laboral del Tribunal Superior de Pereira, integrada por las Magistradas ANA LUCÍA CAICEDO CALDERÓN, como Ponente, y OLGA LUCÍA HOYOS SEPÚLVEDA, y el Magistrado GERMÁN </w:t>
      </w:r>
      <w:proofErr w:type="spellStart"/>
      <w:r w:rsidRPr="008D60D4">
        <w:rPr>
          <w:rFonts w:cs="Tahoma"/>
          <w:szCs w:val="24"/>
        </w:rPr>
        <w:t>DARIO</w:t>
      </w:r>
      <w:proofErr w:type="spellEnd"/>
      <w:r w:rsidRPr="008D60D4">
        <w:rPr>
          <w:rFonts w:cs="Tahoma"/>
          <w:szCs w:val="24"/>
        </w:rPr>
        <w:t xml:space="preserve"> </w:t>
      </w:r>
      <w:proofErr w:type="spellStart"/>
      <w:r w:rsidRPr="008D60D4">
        <w:rPr>
          <w:rFonts w:cs="Tahoma"/>
          <w:szCs w:val="24"/>
        </w:rPr>
        <w:t>GOEZ</w:t>
      </w:r>
      <w:proofErr w:type="spellEnd"/>
      <w:r w:rsidRPr="008D60D4">
        <w:rPr>
          <w:rFonts w:cs="Tahoma"/>
          <w:szCs w:val="24"/>
        </w:rPr>
        <w:t xml:space="preserve"> </w:t>
      </w:r>
      <w:proofErr w:type="spellStart"/>
      <w:r w:rsidRPr="008D60D4">
        <w:rPr>
          <w:rFonts w:cs="Tahoma"/>
          <w:szCs w:val="24"/>
        </w:rPr>
        <w:t>VINASCO</w:t>
      </w:r>
      <w:proofErr w:type="spellEnd"/>
      <w:r w:rsidRPr="008D60D4">
        <w:rPr>
          <w:rFonts w:cs="Tahoma"/>
          <w:szCs w:val="24"/>
        </w:rPr>
        <w:t>, procede a proferir la siguiente</w:t>
      </w:r>
      <w:r w:rsidR="00655004" w:rsidRPr="008D60D4">
        <w:rPr>
          <w:rFonts w:cs="Tahoma"/>
          <w:szCs w:val="24"/>
        </w:rPr>
        <w:t xml:space="preserve"> auto</w:t>
      </w:r>
      <w:r w:rsidRPr="008D60D4">
        <w:rPr>
          <w:rFonts w:cs="Tahoma"/>
          <w:szCs w:val="24"/>
        </w:rPr>
        <w:t xml:space="preserve"> escrit</w:t>
      </w:r>
      <w:r w:rsidR="00655004" w:rsidRPr="008D60D4">
        <w:rPr>
          <w:rFonts w:cs="Tahoma"/>
          <w:szCs w:val="24"/>
        </w:rPr>
        <w:t>o</w:t>
      </w:r>
      <w:r w:rsidRPr="008D60D4">
        <w:rPr>
          <w:rFonts w:cs="Tahoma"/>
          <w:szCs w:val="24"/>
        </w:rPr>
        <w:t xml:space="preserve"> dentro del proceso </w:t>
      </w:r>
      <w:r w:rsidRPr="00FF4BAC">
        <w:rPr>
          <w:rFonts w:cs="Tahoma"/>
          <w:b/>
          <w:szCs w:val="24"/>
        </w:rPr>
        <w:t>ordinario laboral</w:t>
      </w:r>
      <w:r w:rsidRPr="008D60D4">
        <w:rPr>
          <w:rFonts w:cs="Tahoma"/>
          <w:szCs w:val="24"/>
        </w:rPr>
        <w:t xml:space="preserve"> instaurado por </w:t>
      </w:r>
      <w:proofErr w:type="spellStart"/>
      <w:r w:rsidR="00FF4BAC" w:rsidRPr="008D60D4">
        <w:rPr>
          <w:rFonts w:cs="Tahoma"/>
          <w:b/>
          <w:bCs/>
          <w:szCs w:val="24"/>
        </w:rPr>
        <w:t>Elibardo</w:t>
      </w:r>
      <w:proofErr w:type="spellEnd"/>
      <w:r w:rsidR="00FF4BAC" w:rsidRPr="008D60D4">
        <w:rPr>
          <w:rFonts w:cs="Tahoma"/>
          <w:b/>
          <w:bCs/>
          <w:szCs w:val="24"/>
        </w:rPr>
        <w:t xml:space="preserve"> Giraldo Rivera </w:t>
      </w:r>
      <w:r w:rsidR="0066333D" w:rsidRPr="008D60D4">
        <w:rPr>
          <w:rFonts w:cs="Tahoma"/>
          <w:szCs w:val="24"/>
        </w:rPr>
        <w:t xml:space="preserve">en contra de </w:t>
      </w:r>
      <w:r w:rsidR="004E37DB" w:rsidRPr="008D60D4">
        <w:rPr>
          <w:rFonts w:cs="Tahoma"/>
          <w:b/>
          <w:bCs/>
          <w:szCs w:val="24"/>
        </w:rPr>
        <w:t xml:space="preserve">Cenit Transporte y Logística de Hidrocarburos </w:t>
      </w:r>
      <w:r w:rsidR="00F447BD" w:rsidRPr="008D60D4">
        <w:rPr>
          <w:rFonts w:cs="Tahoma"/>
          <w:b/>
          <w:bCs/>
          <w:szCs w:val="24"/>
        </w:rPr>
        <w:t xml:space="preserve">S.A.S </w:t>
      </w:r>
      <w:r w:rsidR="00F447BD" w:rsidRPr="008D60D4">
        <w:rPr>
          <w:rFonts w:cs="Tahoma"/>
          <w:szCs w:val="24"/>
        </w:rPr>
        <w:t>y</w:t>
      </w:r>
      <w:r w:rsidR="00F447BD" w:rsidRPr="008D60D4">
        <w:rPr>
          <w:rFonts w:cs="Tahoma"/>
          <w:b/>
          <w:bCs/>
          <w:szCs w:val="24"/>
        </w:rPr>
        <w:t xml:space="preserve"> </w:t>
      </w:r>
      <w:proofErr w:type="spellStart"/>
      <w:r w:rsidR="004E37DB" w:rsidRPr="008D60D4">
        <w:rPr>
          <w:rFonts w:cs="Tahoma"/>
          <w:b/>
          <w:bCs/>
          <w:szCs w:val="24"/>
        </w:rPr>
        <w:t>Montecz</w:t>
      </w:r>
      <w:proofErr w:type="spellEnd"/>
      <w:r w:rsidR="004E37DB" w:rsidRPr="008D60D4">
        <w:rPr>
          <w:rFonts w:cs="Tahoma"/>
          <w:b/>
          <w:bCs/>
          <w:szCs w:val="24"/>
        </w:rPr>
        <w:t xml:space="preserve"> </w:t>
      </w:r>
      <w:r w:rsidR="00F447BD" w:rsidRPr="008D60D4">
        <w:rPr>
          <w:rFonts w:cs="Tahoma"/>
          <w:b/>
          <w:bCs/>
          <w:szCs w:val="24"/>
        </w:rPr>
        <w:t>S.A.,</w:t>
      </w:r>
      <w:r w:rsidR="00F447BD" w:rsidRPr="008D60D4">
        <w:rPr>
          <w:rFonts w:cs="Tahoma"/>
          <w:szCs w:val="24"/>
        </w:rPr>
        <w:t xml:space="preserve"> trámite al que se llamó en garantía a </w:t>
      </w:r>
      <w:proofErr w:type="spellStart"/>
      <w:r w:rsidR="004E37DB" w:rsidRPr="008D60D4">
        <w:rPr>
          <w:rFonts w:cs="Tahoma"/>
          <w:b/>
          <w:bCs/>
          <w:szCs w:val="24"/>
        </w:rPr>
        <w:t>Liberty</w:t>
      </w:r>
      <w:proofErr w:type="spellEnd"/>
      <w:r w:rsidR="004E37DB" w:rsidRPr="008D60D4">
        <w:rPr>
          <w:rFonts w:cs="Tahoma"/>
          <w:b/>
          <w:bCs/>
          <w:szCs w:val="24"/>
        </w:rPr>
        <w:t xml:space="preserve"> Seguros </w:t>
      </w:r>
      <w:r w:rsidR="00F447BD" w:rsidRPr="008D60D4">
        <w:rPr>
          <w:rFonts w:cs="Tahoma"/>
          <w:b/>
          <w:bCs/>
          <w:szCs w:val="24"/>
        </w:rPr>
        <w:t>S.A.</w:t>
      </w:r>
    </w:p>
    <w:p w14:paraId="2621ED5C" w14:textId="77777777" w:rsidR="00305DC2" w:rsidRPr="008D60D4" w:rsidRDefault="00305DC2" w:rsidP="008D60D4">
      <w:pPr>
        <w:spacing w:line="276" w:lineRule="auto"/>
        <w:rPr>
          <w:rFonts w:cs="Tahoma"/>
          <w:szCs w:val="24"/>
        </w:rPr>
      </w:pPr>
    </w:p>
    <w:p w14:paraId="77D04272" w14:textId="77777777" w:rsidR="00B02A64" w:rsidRPr="008D60D4" w:rsidRDefault="00B02A64" w:rsidP="008D60D4">
      <w:pPr>
        <w:pStyle w:val="paragraph"/>
        <w:spacing w:before="0" w:beforeAutospacing="0" w:after="0" w:afterAutospacing="0" w:line="276" w:lineRule="auto"/>
        <w:jc w:val="center"/>
        <w:textAlignment w:val="baseline"/>
        <w:rPr>
          <w:rStyle w:val="normaltextrun"/>
          <w:rFonts w:ascii="Tahoma" w:hAnsi="Tahoma" w:cs="Tahoma"/>
          <w:b/>
          <w:bCs/>
        </w:rPr>
      </w:pPr>
      <w:r w:rsidRPr="008D60D4">
        <w:rPr>
          <w:rStyle w:val="normaltextrun"/>
          <w:rFonts w:ascii="Tahoma" w:hAnsi="Tahoma" w:cs="Tahoma"/>
          <w:b/>
          <w:bCs/>
        </w:rPr>
        <w:lastRenderedPageBreak/>
        <w:t>PUNTO A TRATAR</w:t>
      </w:r>
    </w:p>
    <w:p w14:paraId="0B9202BB" w14:textId="77777777" w:rsidR="00B02A64" w:rsidRPr="008D60D4" w:rsidRDefault="00B02A64" w:rsidP="008D60D4">
      <w:pPr>
        <w:pStyle w:val="paragraph"/>
        <w:spacing w:before="0" w:beforeAutospacing="0" w:after="0" w:afterAutospacing="0" w:line="276" w:lineRule="auto"/>
        <w:jc w:val="center"/>
        <w:textAlignment w:val="baseline"/>
        <w:rPr>
          <w:rFonts w:ascii="Tahoma" w:hAnsi="Tahoma" w:cs="Tahoma"/>
        </w:rPr>
      </w:pPr>
    </w:p>
    <w:p w14:paraId="2A7580DA" w14:textId="6A0A7BEE" w:rsidR="00B02A64" w:rsidRPr="008D60D4" w:rsidRDefault="00B02A64" w:rsidP="008D60D4">
      <w:pPr>
        <w:spacing w:line="276" w:lineRule="auto"/>
        <w:ind w:firstLine="708"/>
        <w:rPr>
          <w:rStyle w:val="normaltextrun"/>
          <w:rFonts w:cs="Tahoma"/>
          <w:szCs w:val="24"/>
        </w:rPr>
      </w:pPr>
      <w:r w:rsidRPr="008D60D4">
        <w:rPr>
          <w:rStyle w:val="normaltextrun"/>
          <w:rFonts w:cs="Tahoma"/>
          <w:szCs w:val="24"/>
        </w:rPr>
        <w:t>Por medio de esta providencia</w:t>
      </w:r>
      <w:r w:rsidR="008D1ABA" w:rsidRPr="008D60D4">
        <w:rPr>
          <w:rStyle w:val="normaltextrun"/>
          <w:rFonts w:cs="Tahoma"/>
          <w:szCs w:val="24"/>
        </w:rPr>
        <w:t xml:space="preserve"> </w:t>
      </w:r>
      <w:r w:rsidRPr="008D60D4">
        <w:rPr>
          <w:rStyle w:val="normaltextrun"/>
          <w:rFonts w:cs="Tahoma"/>
          <w:szCs w:val="24"/>
        </w:rPr>
        <w:t>procede la Sala a</w:t>
      </w:r>
      <w:r w:rsidRPr="008D60D4">
        <w:rPr>
          <w:rFonts w:cs="Tahoma"/>
          <w:szCs w:val="24"/>
        </w:rPr>
        <w:t xml:space="preserve"> resolver </w:t>
      </w:r>
      <w:r w:rsidR="002C3499" w:rsidRPr="008D60D4">
        <w:rPr>
          <w:rFonts w:cs="Tahoma"/>
          <w:szCs w:val="24"/>
        </w:rPr>
        <w:t>el</w:t>
      </w:r>
      <w:r w:rsidRPr="008D60D4">
        <w:rPr>
          <w:rFonts w:cs="Tahoma"/>
          <w:szCs w:val="24"/>
        </w:rPr>
        <w:t xml:space="preserve"> recurso de apelación interpuesto por</w:t>
      </w:r>
      <w:r w:rsidR="0066333D" w:rsidRPr="008D60D4">
        <w:rPr>
          <w:rFonts w:cs="Tahoma"/>
          <w:szCs w:val="24"/>
        </w:rPr>
        <w:t xml:space="preserve"> el demandante y la demandada </w:t>
      </w:r>
      <w:r w:rsidR="00F447BD" w:rsidRPr="008D60D4">
        <w:rPr>
          <w:rFonts w:cs="Tahoma"/>
          <w:szCs w:val="24"/>
        </w:rPr>
        <w:t xml:space="preserve">CENIT TRANSPORTE Y LOGÍSTICA DE HIDROCARBUROS S.A.S contra el auto proferido por el Juzgado </w:t>
      </w:r>
      <w:r w:rsidR="0025125F" w:rsidRPr="008D60D4">
        <w:rPr>
          <w:rFonts w:cs="Tahoma"/>
          <w:szCs w:val="24"/>
        </w:rPr>
        <w:t>Tercero</w:t>
      </w:r>
      <w:r w:rsidR="00F447BD" w:rsidRPr="008D60D4">
        <w:rPr>
          <w:rFonts w:cs="Tahoma"/>
          <w:szCs w:val="24"/>
        </w:rPr>
        <w:t xml:space="preserve"> Laboral del Circuito de Pereira el 04 de septiembre de 2023, por medio del cual se decidieron las excepciones previas de </w:t>
      </w:r>
      <w:r w:rsidR="00F447BD" w:rsidRPr="008D60D4">
        <w:rPr>
          <w:rFonts w:cs="Tahoma"/>
          <w:i/>
          <w:iCs/>
          <w:szCs w:val="24"/>
        </w:rPr>
        <w:t>“cosa juzgada”</w:t>
      </w:r>
      <w:r w:rsidR="00F447BD" w:rsidRPr="008D60D4">
        <w:rPr>
          <w:rFonts w:cs="Tahoma"/>
          <w:szCs w:val="24"/>
        </w:rPr>
        <w:t xml:space="preserve"> y </w:t>
      </w:r>
      <w:r w:rsidR="00F447BD" w:rsidRPr="008D60D4">
        <w:rPr>
          <w:rFonts w:cs="Tahoma"/>
          <w:i/>
          <w:iCs/>
          <w:szCs w:val="24"/>
        </w:rPr>
        <w:t>“falta de reclamación administrativa”.</w:t>
      </w:r>
      <w:r w:rsidR="00F447BD" w:rsidRPr="008D60D4">
        <w:rPr>
          <w:rFonts w:cs="Tahoma"/>
          <w:szCs w:val="24"/>
        </w:rPr>
        <w:t xml:space="preserve"> </w:t>
      </w:r>
      <w:r w:rsidR="00AF2F68" w:rsidRPr="008D60D4">
        <w:rPr>
          <w:rFonts w:cs="Tahoma"/>
          <w:szCs w:val="24"/>
        </w:rPr>
        <w:t>Para ello se tiene en cuenta lo siguiente:</w:t>
      </w:r>
    </w:p>
    <w:p w14:paraId="78DCFD2A" w14:textId="77777777" w:rsidR="004E7258" w:rsidRPr="008D60D4" w:rsidRDefault="004E7258" w:rsidP="008D60D4">
      <w:pPr>
        <w:spacing w:line="276" w:lineRule="auto"/>
        <w:rPr>
          <w:rFonts w:cs="Tahoma"/>
          <w:szCs w:val="24"/>
        </w:rPr>
      </w:pPr>
    </w:p>
    <w:p w14:paraId="06F71854" w14:textId="644B26E4" w:rsidR="00B67192" w:rsidRPr="008D60D4" w:rsidRDefault="004B5F35" w:rsidP="008D60D4">
      <w:pPr>
        <w:pStyle w:val="Prrafodelista"/>
        <w:numPr>
          <w:ilvl w:val="0"/>
          <w:numId w:val="11"/>
        </w:numPr>
        <w:spacing w:line="276" w:lineRule="auto"/>
        <w:jc w:val="center"/>
        <w:rPr>
          <w:rFonts w:eastAsia="Calibri" w:cs="Tahoma"/>
          <w:b/>
          <w:bCs/>
          <w:szCs w:val="24"/>
        </w:rPr>
      </w:pPr>
      <w:r w:rsidRPr="008D60D4">
        <w:rPr>
          <w:rFonts w:eastAsia="Calibri" w:cs="Tahoma"/>
          <w:b/>
          <w:bCs/>
          <w:szCs w:val="24"/>
        </w:rPr>
        <w:t>ANTECEDENTES</w:t>
      </w:r>
    </w:p>
    <w:p w14:paraId="2C6CBFE0" w14:textId="6309D09C" w:rsidR="0081729B" w:rsidRPr="008D60D4" w:rsidRDefault="0081729B" w:rsidP="008D60D4">
      <w:pPr>
        <w:spacing w:line="276" w:lineRule="auto"/>
        <w:ind w:firstLine="708"/>
        <w:rPr>
          <w:rFonts w:eastAsia="Calibri" w:cs="Tahoma"/>
          <w:szCs w:val="24"/>
        </w:rPr>
      </w:pPr>
    </w:p>
    <w:p w14:paraId="7AB13CA5" w14:textId="75D247B6" w:rsidR="00F447BD" w:rsidRPr="008D60D4" w:rsidRDefault="0081729B" w:rsidP="008D60D4">
      <w:pPr>
        <w:spacing w:line="276" w:lineRule="auto"/>
        <w:ind w:firstLine="708"/>
        <w:rPr>
          <w:rFonts w:cs="Tahoma"/>
          <w:szCs w:val="24"/>
        </w:rPr>
      </w:pPr>
      <w:r w:rsidRPr="008D60D4">
        <w:rPr>
          <w:rFonts w:cs="Tahoma"/>
          <w:szCs w:val="24"/>
        </w:rPr>
        <w:t xml:space="preserve">Para mejor proveer debe indicarse que </w:t>
      </w:r>
      <w:r w:rsidR="00F95909" w:rsidRPr="008D60D4">
        <w:rPr>
          <w:rFonts w:cs="Tahoma"/>
          <w:szCs w:val="24"/>
        </w:rPr>
        <w:t xml:space="preserve">con el presente proceso </w:t>
      </w:r>
      <w:r w:rsidR="007246B6" w:rsidRPr="008D60D4">
        <w:rPr>
          <w:rFonts w:cs="Tahoma"/>
          <w:szCs w:val="24"/>
        </w:rPr>
        <w:t>el</w:t>
      </w:r>
      <w:r w:rsidR="00F95909" w:rsidRPr="008D60D4">
        <w:rPr>
          <w:rFonts w:cs="Tahoma"/>
          <w:szCs w:val="24"/>
        </w:rPr>
        <w:t xml:space="preserve"> demandante pretende</w:t>
      </w:r>
      <w:r w:rsidR="007246B6" w:rsidRPr="008D60D4">
        <w:rPr>
          <w:rFonts w:cs="Tahoma"/>
          <w:szCs w:val="24"/>
        </w:rPr>
        <w:t xml:space="preserve"> </w:t>
      </w:r>
      <w:r w:rsidR="00F447BD" w:rsidRPr="008D60D4">
        <w:rPr>
          <w:rFonts w:cs="Tahoma"/>
          <w:szCs w:val="24"/>
        </w:rPr>
        <w:t xml:space="preserve">que se declare la existencia de un contrato de trabajo por obra o labor contratada con la empresa de transporte </w:t>
      </w:r>
      <w:proofErr w:type="spellStart"/>
      <w:r w:rsidR="00F447BD" w:rsidRPr="008D60D4">
        <w:rPr>
          <w:rFonts w:cs="Tahoma"/>
          <w:szCs w:val="24"/>
        </w:rPr>
        <w:t>MONTECZ</w:t>
      </w:r>
      <w:proofErr w:type="spellEnd"/>
      <w:r w:rsidR="00F447BD" w:rsidRPr="008D60D4">
        <w:rPr>
          <w:rFonts w:cs="Tahoma"/>
          <w:szCs w:val="24"/>
        </w:rPr>
        <w:t xml:space="preserve"> S.A.</w:t>
      </w:r>
      <w:r w:rsidR="005919E9" w:rsidRPr="008D60D4">
        <w:rPr>
          <w:rFonts w:cs="Tahoma"/>
          <w:szCs w:val="24"/>
        </w:rPr>
        <w:t>,</w:t>
      </w:r>
      <w:r w:rsidR="00F447BD" w:rsidRPr="008D60D4">
        <w:rPr>
          <w:rFonts w:cs="Tahoma"/>
          <w:szCs w:val="24"/>
        </w:rPr>
        <w:t xml:space="preserve"> en calidad de empleador, desde el 7 de septiembre de 2018</w:t>
      </w:r>
      <w:r w:rsidR="00B07102" w:rsidRPr="008D60D4">
        <w:rPr>
          <w:rFonts w:cs="Tahoma"/>
          <w:szCs w:val="24"/>
        </w:rPr>
        <w:t>, terminado sin justa causa antes del finiquito de la obra o labor contratada.</w:t>
      </w:r>
    </w:p>
    <w:p w14:paraId="64A07C9C" w14:textId="7BD95B1D" w:rsidR="00F447BD" w:rsidRPr="008D60D4" w:rsidRDefault="00F447BD" w:rsidP="008D60D4">
      <w:pPr>
        <w:spacing w:line="276" w:lineRule="auto"/>
        <w:ind w:firstLine="708"/>
        <w:rPr>
          <w:rFonts w:cs="Tahoma"/>
          <w:szCs w:val="24"/>
        </w:rPr>
      </w:pPr>
    </w:p>
    <w:p w14:paraId="5C895DB2" w14:textId="7C978A89" w:rsidR="00F447BD" w:rsidRPr="008D60D4" w:rsidRDefault="00F447BD" w:rsidP="008D60D4">
      <w:pPr>
        <w:spacing w:line="276" w:lineRule="auto"/>
        <w:ind w:firstLine="708"/>
        <w:rPr>
          <w:rFonts w:cs="Tahoma"/>
          <w:szCs w:val="24"/>
        </w:rPr>
      </w:pPr>
      <w:r w:rsidRPr="008D60D4">
        <w:rPr>
          <w:rFonts w:cs="Tahoma"/>
          <w:szCs w:val="24"/>
        </w:rPr>
        <w:t xml:space="preserve">En consecuencia, procura </w:t>
      </w:r>
      <w:r w:rsidR="00B07102" w:rsidRPr="008D60D4">
        <w:rPr>
          <w:rFonts w:cs="Tahoma"/>
          <w:szCs w:val="24"/>
        </w:rPr>
        <w:t xml:space="preserve">que se condene a la sociedad </w:t>
      </w:r>
      <w:proofErr w:type="spellStart"/>
      <w:r w:rsidR="00B07102" w:rsidRPr="008D60D4">
        <w:rPr>
          <w:rFonts w:cs="Tahoma"/>
          <w:szCs w:val="24"/>
        </w:rPr>
        <w:t>MONTECZ</w:t>
      </w:r>
      <w:proofErr w:type="spellEnd"/>
      <w:r w:rsidR="00B07102" w:rsidRPr="008D60D4">
        <w:rPr>
          <w:rFonts w:cs="Tahoma"/>
          <w:szCs w:val="24"/>
        </w:rPr>
        <w:t xml:space="preserve"> S.A. y a la empresa CENIT TRANSPORTE Y </w:t>
      </w:r>
      <w:r w:rsidR="00427FE0" w:rsidRPr="008D60D4">
        <w:rPr>
          <w:rFonts w:cs="Tahoma"/>
          <w:szCs w:val="24"/>
        </w:rPr>
        <w:t>LOGÍSTICA</w:t>
      </w:r>
      <w:r w:rsidR="00B07102" w:rsidRPr="008D60D4">
        <w:rPr>
          <w:rFonts w:cs="Tahoma"/>
          <w:szCs w:val="24"/>
        </w:rPr>
        <w:t xml:space="preserve"> DE HIDROCARBUROS S.A.S</w:t>
      </w:r>
      <w:r w:rsidR="005919E9" w:rsidRPr="008D60D4">
        <w:rPr>
          <w:rFonts w:cs="Tahoma"/>
          <w:szCs w:val="24"/>
        </w:rPr>
        <w:t>.,</w:t>
      </w:r>
      <w:r w:rsidR="00B07102" w:rsidRPr="008D60D4">
        <w:rPr>
          <w:rFonts w:cs="Tahoma"/>
          <w:szCs w:val="24"/>
        </w:rPr>
        <w:t xml:space="preserve"> como responsable solidaria a reconocer y pagar los salarios dejados de percibir desde el 21 de diciembre de 2018 hasta la fecha de presentación de la demanda, las prestaciones sociales, vacaciones, los aportes a la seguridad social, lo que se demuestre bajo las facultades </w:t>
      </w:r>
      <w:r w:rsidR="00B07102" w:rsidRPr="008D60D4">
        <w:rPr>
          <w:rFonts w:cs="Tahoma"/>
          <w:i/>
          <w:iCs/>
          <w:szCs w:val="24"/>
        </w:rPr>
        <w:t>ultra</w:t>
      </w:r>
      <w:r w:rsidR="00B07102" w:rsidRPr="008D60D4">
        <w:rPr>
          <w:rFonts w:cs="Tahoma"/>
          <w:szCs w:val="24"/>
        </w:rPr>
        <w:t xml:space="preserve"> y </w:t>
      </w:r>
      <w:r w:rsidR="00B07102" w:rsidRPr="008D60D4">
        <w:rPr>
          <w:rFonts w:cs="Tahoma"/>
          <w:i/>
          <w:iCs/>
          <w:szCs w:val="24"/>
        </w:rPr>
        <w:t>extra pe</w:t>
      </w:r>
      <w:r w:rsidR="005919E9" w:rsidRPr="008D60D4">
        <w:rPr>
          <w:rFonts w:cs="Tahoma"/>
          <w:i/>
          <w:iCs/>
          <w:szCs w:val="24"/>
        </w:rPr>
        <w:t>tita</w:t>
      </w:r>
      <w:r w:rsidR="00B07102" w:rsidRPr="008D60D4">
        <w:rPr>
          <w:rFonts w:cs="Tahoma"/>
          <w:szCs w:val="24"/>
        </w:rPr>
        <w:t xml:space="preserve"> y las costas procesales en su favor. </w:t>
      </w:r>
    </w:p>
    <w:p w14:paraId="62F2766A" w14:textId="77777777" w:rsidR="0081729B" w:rsidRPr="008D60D4" w:rsidRDefault="0081729B" w:rsidP="008D60D4">
      <w:pPr>
        <w:spacing w:line="276" w:lineRule="auto"/>
        <w:rPr>
          <w:rFonts w:cs="Tahoma"/>
          <w:szCs w:val="24"/>
        </w:rPr>
      </w:pPr>
    </w:p>
    <w:p w14:paraId="650C5F9E" w14:textId="45B927A7" w:rsidR="00203E29" w:rsidRPr="008D60D4" w:rsidRDefault="0081729B" w:rsidP="008D60D4">
      <w:pPr>
        <w:spacing w:line="276" w:lineRule="auto"/>
        <w:rPr>
          <w:rFonts w:cs="Tahoma"/>
          <w:szCs w:val="24"/>
        </w:rPr>
      </w:pPr>
      <w:r w:rsidRPr="008D60D4">
        <w:rPr>
          <w:rFonts w:cs="Tahoma"/>
          <w:szCs w:val="24"/>
          <w:lang w:val="es-ES_tradnl"/>
        </w:rPr>
        <w:tab/>
      </w:r>
      <w:r w:rsidRPr="008D60D4">
        <w:rPr>
          <w:rFonts w:cs="Tahoma"/>
          <w:szCs w:val="24"/>
        </w:rPr>
        <w:t xml:space="preserve">Para lo que interesa al asunto se indicará </w:t>
      </w:r>
      <w:r w:rsidR="0025125F" w:rsidRPr="008D60D4">
        <w:rPr>
          <w:rFonts w:cs="Tahoma"/>
          <w:szCs w:val="24"/>
        </w:rPr>
        <w:t xml:space="preserve">que en respuesta a la demanda </w:t>
      </w:r>
      <w:proofErr w:type="spellStart"/>
      <w:r w:rsidR="0025125F" w:rsidRPr="008D60D4">
        <w:rPr>
          <w:rFonts w:cs="Tahoma"/>
          <w:szCs w:val="24"/>
        </w:rPr>
        <w:t>MONTECZ</w:t>
      </w:r>
      <w:proofErr w:type="spellEnd"/>
      <w:r w:rsidR="0025125F" w:rsidRPr="008D60D4">
        <w:rPr>
          <w:rFonts w:cs="Tahoma"/>
          <w:szCs w:val="24"/>
        </w:rPr>
        <w:t xml:space="preserve"> S.A.</w:t>
      </w:r>
      <w:r w:rsidR="003620D3" w:rsidRPr="008D60D4">
        <w:rPr>
          <w:rStyle w:val="Refdenotaalpie"/>
          <w:rFonts w:cs="Tahoma"/>
          <w:szCs w:val="24"/>
        </w:rPr>
        <w:footnoteReference w:id="1"/>
      </w:r>
      <w:r w:rsidR="0025125F" w:rsidRPr="008D60D4">
        <w:rPr>
          <w:rFonts w:cs="Tahoma"/>
          <w:szCs w:val="24"/>
        </w:rPr>
        <w:t xml:space="preserve"> propuso como excepciones previas: ineptitud de la demanda por falta de los requisitos formales, cosa juzgada e inexistencia de reclamación administrativa. En cuanto a</w:t>
      </w:r>
      <w:r w:rsidR="005919E9" w:rsidRPr="008D60D4">
        <w:rPr>
          <w:rFonts w:cs="Tahoma"/>
          <w:szCs w:val="24"/>
        </w:rPr>
        <w:t>l medio exceptivo</w:t>
      </w:r>
      <w:r w:rsidR="0025125F" w:rsidRPr="008D60D4">
        <w:rPr>
          <w:rFonts w:cs="Tahoma"/>
          <w:szCs w:val="24"/>
        </w:rPr>
        <w:t xml:space="preserve"> de cosa juzgada, expuso que el 21 de diciembre de 2018</w:t>
      </w:r>
      <w:r w:rsidR="001D74A5" w:rsidRPr="008D60D4">
        <w:rPr>
          <w:rFonts w:cs="Tahoma"/>
          <w:szCs w:val="24"/>
        </w:rPr>
        <w:t>,</w:t>
      </w:r>
      <w:r w:rsidR="0025125F" w:rsidRPr="008D60D4">
        <w:rPr>
          <w:rFonts w:cs="Tahoma"/>
          <w:szCs w:val="24"/>
        </w:rPr>
        <w:t xml:space="preserve"> suscribió con el demandante contrato de transacción, </w:t>
      </w:r>
      <w:r w:rsidR="00203E29" w:rsidRPr="008D60D4">
        <w:rPr>
          <w:rFonts w:cs="Tahoma"/>
          <w:szCs w:val="24"/>
        </w:rPr>
        <w:t xml:space="preserve">cuyas clausulas quinta y sexta, declaraban a paz y salvo a </w:t>
      </w:r>
      <w:proofErr w:type="spellStart"/>
      <w:r w:rsidR="00203E29" w:rsidRPr="008D60D4">
        <w:rPr>
          <w:rFonts w:cs="Tahoma"/>
          <w:szCs w:val="24"/>
        </w:rPr>
        <w:t>MONTECZ</w:t>
      </w:r>
      <w:proofErr w:type="spellEnd"/>
      <w:r w:rsidR="00203E29" w:rsidRPr="008D60D4">
        <w:rPr>
          <w:rFonts w:cs="Tahoma"/>
          <w:szCs w:val="24"/>
        </w:rPr>
        <w:t xml:space="preserve"> S.A.</w:t>
      </w:r>
      <w:r w:rsidR="005919E9" w:rsidRPr="008D60D4">
        <w:rPr>
          <w:rFonts w:cs="Tahoma"/>
          <w:szCs w:val="24"/>
        </w:rPr>
        <w:t xml:space="preserve"> </w:t>
      </w:r>
      <w:r w:rsidR="001D74A5" w:rsidRPr="008D60D4">
        <w:rPr>
          <w:rFonts w:cs="Tahoma"/>
          <w:szCs w:val="24"/>
        </w:rPr>
        <w:t xml:space="preserve">y donde </w:t>
      </w:r>
      <w:r w:rsidR="005919E9" w:rsidRPr="008D60D4">
        <w:rPr>
          <w:rFonts w:cs="Tahoma"/>
          <w:szCs w:val="24"/>
        </w:rPr>
        <w:t>igualmente se hace expresa referencia a</w:t>
      </w:r>
      <w:r w:rsidR="00203E29" w:rsidRPr="008D60D4">
        <w:rPr>
          <w:rFonts w:cs="Tahoma"/>
          <w:szCs w:val="24"/>
        </w:rPr>
        <w:t xml:space="preserve"> los efectos </w:t>
      </w:r>
      <w:r w:rsidR="005919E9" w:rsidRPr="008D60D4">
        <w:rPr>
          <w:rFonts w:cs="Tahoma"/>
          <w:szCs w:val="24"/>
        </w:rPr>
        <w:t xml:space="preserve">de </w:t>
      </w:r>
      <w:r w:rsidR="00203E29" w:rsidRPr="008D60D4">
        <w:rPr>
          <w:rFonts w:cs="Tahoma"/>
          <w:szCs w:val="24"/>
        </w:rPr>
        <w:t>cosa juzgada</w:t>
      </w:r>
      <w:r w:rsidR="001D74A5" w:rsidRPr="008D60D4">
        <w:rPr>
          <w:rFonts w:cs="Tahoma"/>
          <w:szCs w:val="24"/>
        </w:rPr>
        <w:t xml:space="preserve"> que tiene dicha transacción</w:t>
      </w:r>
      <w:r w:rsidR="00203E29" w:rsidRPr="008D60D4">
        <w:rPr>
          <w:rFonts w:cs="Tahoma"/>
          <w:szCs w:val="24"/>
        </w:rPr>
        <w:t>. En cuanto a la</w:t>
      </w:r>
      <w:r w:rsidR="001D74A5" w:rsidRPr="008D60D4">
        <w:rPr>
          <w:rFonts w:cs="Tahoma"/>
          <w:szCs w:val="24"/>
        </w:rPr>
        <w:t xml:space="preserve"> excepción</w:t>
      </w:r>
      <w:r w:rsidR="00203E29" w:rsidRPr="008D60D4">
        <w:rPr>
          <w:rFonts w:cs="Tahoma"/>
          <w:szCs w:val="24"/>
        </w:rPr>
        <w:t xml:space="preserve"> de inexistencia de reclamación administrativa, </w:t>
      </w:r>
      <w:r w:rsidR="001D74A5" w:rsidRPr="008D60D4">
        <w:rPr>
          <w:rFonts w:cs="Tahoma"/>
          <w:szCs w:val="24"/>
        </w:rPr>
        <w:t>indicó</w:t>
      </w:r>
      <w:r w:rsidR="00203E29" w:rsidRPr="008D60D4">
        <w:rPr>
          <w:rFonts w:cs="Tahoma"/>
          <w:szCs w:val="24"/>
        </w:rPr>
        <w:t xml:space="preserve"> que </w:t>
      </w:r>
      <w:r w:rsidR="001D74A5" w:rsidRPr="008D60D4">
        <w:rPr>
          <w:rFonts w:cs="Tahoma"/>
          <w:szCs w:val="24"/>
        </w:rPr>
        <w:t>a</w:t>
      </w:r>
      <w:r w:rsidR="00203E29" w:rsidRPr="008D60D4">
        <w:rPr>
          <w:rFonts w:cs="Tahoma"/>
          <w:szCs w:val="24"/>
        </w:rPr>
        <w:t xml:space="preserve">l proceso se convocó a la EMPRESA COLOMBIANA DE </w:t>
      </w:r>
      <w:r w:rsidR="00427FE0" w:rsidRPr="008D60D4">
        <w:rPr>
          <w:rFonts w:cs="Tahoma"/>
          <w:szCs w:val="24"/>
        </w:rPr>
        <w:t>PETRÓLEOS</w:t>
      </w:r>
      <w:r w:rsidR="00203E29" w:rsidRPr="008D60D4">
        <w:rPr>
          <w:rFonts w:cs="Tahoma"/>
          <w:szCs w:val="24"/>
        </w:rPr>
        <w:t xml:space="preserve"> </w:t>
      </w:r>
      <w:r w:rsidR="005919E9" w:rsidRPr="008D60D4">
        <w:rPr>
          <w:rFonts w:cs="Tahoma"/>
          <w:szCs w:val="24"/>
        </w:rPr>
        <w:t>-</w:t>
      </w:r>
      <w:r w:rsidR="00203E29" w:rsidRPr="008D60D4">
        <w:rPr>
          <w:rFonts w:cs="Tahoma"/>
          <w:szCs w:val="24"/>
        </w:rPr>
        <w:t>ECOPETROL</w:t>
      </w:r>
      <w:r w:rsidR="005919E9" w:rsidRPr="008D60D4">
        <w:rPr>
          <w:rFonts w:cs="Tahoma"/>
          <w:szCs w:val="24"/>
        </w:rPr>
        <w:t>-</w:t>
      </w:r>
      <w:r w:rsidR="00203E29" w:rsidRPr="008D60D4">
        <w:rPr>
          <w:rFonts w:cs="Tahoma"/>
          <w:szCs w:val="24"/>
        </w:rPr>
        <w:t>, por lo que</w:t>
      </w:r>
      <w:r w:rsidR="001D74A5" w:rsidRPr="008D60D4">
        <w:rPr>
          <w:rFonts w:cs="Tahoma"/>
          <w:szCs w:val="24"/>
        </w:rPr>
        <w:t>,</w:t>
      </w:r>
      <w:r w:rsidR="00203E29" w:rsidRPr="008D60D4">
        <w:rPr>
          <w:rFonts w:cs="Tahoma"/>
          <w:szCs w:val="24"/>
        </w:rPr>
        <w:t xml:space="preserve"> en atención </w:t>
      </w:r>
      <w:r w:rsidR="001D74A5" w:rsidRPr="008D60D4">
        <w:rPr>
          <w:rFonts w:cs="Tahoma"/>
          <w:szCs w:val="24"/>
        </w:rPr>
        <w:t>al</w:t>
      </w:r>
      <w:r w:rsidR="00203E29" w:rsidRPr="008D60D4">
        <w:rPr>
          <w:rFonts w:cs="Tahoma"/>
          <w:szCs w:val="24"/>
        </w:rPr>
        <w:t xml:space="preserve"> artículo 6 del </w:t>
      </w:r>
      <w:proofErr w:type="spellStart"/>
      <w:r w:rsidR="00203E29" w:rsidRPr="008D60D4">
        <w:rPr>
          <w:rFonts w:cs="Tahoma"/>
          <w:szCs w:val="24"/>
        </w:rPr>
        <w:t>C.P.T</w:t>
      </w:r>
      <w:proofErr w:type="spellEnd"/>
      <w:r w:rsidR="00427FE0">
        <w:rPr>
          <w:rFonts w:cs="Tahoma"/>
          <w:szCs w:val="24"/>
        </w:rPr>
        <w:t>.</w:t>
      </w:r>
      <w:r w:rsidR="00203E29" w:rsidRPr="008D60D4">
        <w:rPr>
          <w:rFonts w:cs="Tahoma"/>
          <w:szCs w:val="24"/>
        </w:rPr>
        <w:t xml:space="preserve"> y de la S.S.</w:t>
      </w:r>
      <w:r w:rsidR="005919E9" w:rsidRPr="008D60D4">
        <w:rPr>
          <w:rFonts w:cs="Tahoma"/>
          <w:szCs w:val="24"/>
        </w:rPr>
        <w:t>,</w:t>
      </w:r>
      <w:r w:rsidR="00203E29" w:rsidRPr="008D60D4">
        <w:rPr>
          <w:rFonts w:cs="Tahoma"/>
          <w:szCs w:val="24"/>
        </w:rPr>
        <w:t xml:space="preserve"> el promotor del litigio estaba obligado a agotar la reclamación administrativa</w:t>
      </w:r>
      <w:r w:rsidR="005919E9" w:rsidRPr="008D60D4">
        <w:rPr>
          <w:rFonts w:cs="Tahoma"/>
          <w:szCs w:val="24"/>
        </w:rPr>
        <w:t>,</w:t>
      </w:r>
      <w:r w:rsidR="00203E29" w:rsidRPr="008D60D4">
        <w:rPr>
          <w:rFonts w:cs="Tahoma"/>
          <w:szCs w:val="24"/>
        </w:rPr>
        <w:t xml:space="preserve"> previo al reclamo judicial. </w:t>
      </w:r>
    </w:p>
    <w:p w14:paraId="156FC4CD" w14:textId="77777777" w:rsidR="00203E29" w:rsidRPr="008D60D4" w:rsidRDefault="00203E29" w:rsidP="008D60D4">
      <w:pPr>
        <w:spacing w:line="276" w:lineRule="auto"/>
        <w:rPr>
          <w:rFonts w:cs="Tahoma"/>
          <w:szCs w:val="24"/>
        </w:rPr>
      </w:pPr>
    </w:p>
    <w:p w14:paraId="753AD656" w14:textId="358C7C8C" w:rsidR="00A53360" w:rsidRPr="008D60D4" w:rsidRDefault="0025125F" w:rsidP="008D60D4">
      <w:pPr>
        <w:spacing w:line="276" w:lineRule="auto"/>
        <w:rPr>
          <w:rFonts w:cs="Tahoma"/>
          <w:szCs w:val="24"/>
        </w:rPr>
      </w:pPr>
      <w:r w:rsidRPr="008D60D4">
        <w:rPr>
          <w:rFonts w:cs="Tahoma"/>
          <w:szCs w:val="24"/>
        </w:rPr>
        <w:tab/>
        <w:t xml:space="preserve">Por su parte, </w:t>
      </w:r>
      <w:r w:rsidR="00203E29" w:rsidRPr="008D60D4">
        <w:rPr>
          <w:rFonts w:cs="Tahoma"/>
          <w:szCs w:val="24"/>
        </w:rPr>
        <w:t>CENIT TRANSPORTE Y LOGÍSTICA DE HIDROCARBUROS S.A.S</w:t>
      </w:r>
      <w:r w:rsidR="003620D3" w:rsidRPr="008D60D4">
        <w:rPr>
          <w:rStyle w:val="Refdenotaalpie"/>
          <w:rFonts w:cs="Tahoma"/>
          <w:szCs w:val="24"/>
        </w:rPr>
        <w:footnoteReference w:id="2"/>
      </w:r>
      <w:r w:rsidR="00944BE6" w:rsidRPr="008D60D4">
        <w:rPr>
          <w:rFonts w:cs="Tahoma"/>
          <w:szCs w:val="24"/>
        </w:rPr>
        <w:t>, también propuso como excepción dilatoria la de falta de agotamiento de la reclamación administrativa</w:t>
      </w:r>
      <w:r w:rsidR="001D74A5" w:rsidRPr="008D60D4">
        <w:rPr>
          <w:rFonts w:cs="Tahoma"/>
          <w:szCs w:val="24"/>
        </w:rPr>
        <w:t xml:space="preserve">, </w:t>
      </w:r>
      <w:r w:rsidR="00944BE6" w:rsidRPr="008D60D4">
        <w:rPr>
          <w:rFonts w:cs="Tahoma"/>
          <w:szCs w:val="24"/>
        </w:rPr>
        <w:t>señalando que</w:t>
      </w:r>
      <w:r w:rsidR="0026362D" w:rsidRPr="008D60D4">
        <w:rPr>
          <w:rFonts w:cs="Tahoma"/>
          <w:szCs w:val="24"/>
        </w:rPr>
        <w:t xml:space="preserve"> es una sociedad de economía mixta, en situación de control económico por parte de ECOPETROL S.A. </w:t>
      </w:r>
      <w:r w:rsidR="003620D3" w:rsidRPr="008D60D4">
        <w:rPr>
          <w:rFonts w:cs="Tahoma"/>
          <w:szCs w:val="24"/>
        </w:rPr>
        <w:t xml:space="preserve">y, por tanto, </w:t>
      </w:r>
      <w:r w:rsidR="00944BE6" w:rsidRPr="008D60D4">
        <w:rPr>
          <w:rFonts w:cs="Tahoma"/>
          <w:szCs w:val="24"/>
        </w:rPr>
        <w:t xml:space="preserve">el mentado requisito constituye presupuesto de procedibilidad y de competencia, cuya omisión deriva en el rechazo de la acción. </w:t>
      </w:r>
    </w:p>
    <w:p w14:paraId="4728A4B8" w14:textId="7D70D638" w:rsidR="25592B95" w:rsidRPr="008D60D4" w:rsidRDefault="25592B95" w:rsidP="008D60D4">
      <w:pPr>
        <w:spacing w:line="276" w:lineRule="auto"/>
        <w:rPr>
          <w:rFonts w:eastAsia="Calibri" w:cs="Tahoma"/>
          <w:szCs w:val="24"/>
        </w:rPr>
      </w:pPr>
    </w:p>
    <w:p w14:paraId="02343077" w14:textId="1DE1E2A8" w:rsidR="00362E6F" w:rsidRPr="008D60D4" w:rsidRDefault="004B5F35" w:rsidP="008D60D4">
      <w:pPr>
        <w:pStyle w:val="Prrafodelista"/>
        <w:numPr>
          <w:ilvl w:val="0"/>
          <w:numId w:val="11"/>
        </w:numPr>
        <w:spacing w:line="276" w:lineRule="auto"/>
        <w:jc w:val="center"/>
        <w:rPr>
          <w:rFonts w:cs="Tahoma"/>
          <w:b/>
          <w:bCs/>
          <w:szCs w:val="24"/>
          <w:lang w:val="es-CO"/>
        </w:rPr>
      </w:pPr>
      <w:r w:rsidRPr="008D60D4">
        <w:rPr>
          <w:rFonts w:cs="Tahoma"/>
          <w:b/>
          <w:bCs/>
          <w:szCs w:val="24"/>
          <w:lang w:val="es-CO"/>
        </w:rPr>
        <w:t>AUTO APELADO</w:t>
      </w:r>
    </w:p>
    <w:p w14:paraId="59C6491C" w14:textId="77777777" w:rsidR="00F04658" w:rsidRPr="008D60D4" w:rsidRDefault="00F04658" w:rsidP="008D60D4">
      <w:pPr>
        <w:spacing w:line="276" w:lineRule="auto"/>
        <w:rPr>
          <w:rFonts w:cs="Tahoma"/>
          <w:szCs w:val="24"/>
        </w:rPr>
      </w:pPr>
    </w:p>
    <w:p w14:paraId="560A1F43" w14:textId="6BE0C0AA" w:rsidR="003620D3" w:rsidRPr="008D60D4" w:rsidRDefault="00B83B4E" w:rsidP="008D60D4">
      <w:pPr>
        <w:spacing w:line="276" w:lineRule="auto"/>
        <w:ind w:firstLine="708"/>
        <w:rPr>
          <w:rFonts w:cs="Tahoma"/>
          <w:szCs w:val="24"/>
        </w:rPr>
      </w:pPr>
      <w:r w:rsidRPr="008D60D4">
        <w:rPr>
          <w:rFonts w:cs="Tahoma"/>
          <w:szCs w:val="24"/>
        </w:rPr>
        <w:t xml:space="preserve">En </w:t>
      </w:r>
      <w:r w:rsidR="001D74A5" w:rsidRPr="008D60D4">
        <w:rPr>
          <w:rFonts w:cs="Tahoma"/>
          <w:szCs w:val="24"/>
        </w:rPr>
        <w:t xml:space="preserve">el </w:t>
      </w:r>
      <w:r w:rsidRPr="008D60D4">
        <w:rPr>
          <w:rFonts w:cs="Tahoma"/>
          <w:szCs w:val="24"/>
        </w:rPr>
        <w:t xml:space="preserve">curso de la etapa de decisión de excepciones previas, prevista en el artículo 77 del </w:t>
      </w:r>
      <w:proofErr w:type="spellStart"/>
      <w:r w:rsidR="000B265E" w:rsidRPr="008D60D4">
        <w:rPr>
          <w:rFonts w:cs="Tahoma"/>
          <w:szCs w:val="24"/>
        </w:rPr>
        <w:t>C.P.T</w:t>
      </w:r>
      <w:proofErr w:type="spellEnd"/>
      <w:r w:rsidR="000B265E" w:rsidRPr="008D60D4">
        <w:rPr>
          <w:rFonts w:cs="Tahoma"/>
          <w:szCs w:val="24"/>
        </w:rPr>
        <w:t xml:space="preserve"> </w:t>
      </w:r>
      <w:r w:rsidRPr="008D60D4">
        <w:rPr>
          <w:rFonts w:cs="Tahoma"/>
          <w:szCs w:val="24"/>
        </w:rPr>
        <w:t xml:space="preserve">y la </w:t>
      </w:r>
      <w:r w:rsidR="000B265E" w:rsidRPr="008D60D4">
        <w:rPr>
          <w:rFonts w:cs="Tahoma"/>
          <w:szCs w:val="24"/>
        </w:rPr>
        <w:t>S.S</w:t>
      </w:r>
      <w:r w:rsidRPr="008D60D4">
        <w:rPr>
          <w:rFonts w:cs="Tahoma"/>
          <w:szCs w:val="24"/>
        </w:rPr>
        <w:t>.,</w:t>
      </w:r>
      <w:r w:rsidR="00BF594D" w:rsidRPr="008D60D4">
        <w:rPr>
          <w:rFonts w:cs="Tahoma"/>
          <w:szCs w:val="24"/>
        </w:rPr>
        <w:t xml:space="preserve"> </w:t>
      </w:r>
      <w:r w:rsidRPr="008D60D4">
        <w:rPr>
          <w:rFonts w:cs="Tahoma"/>
          <w:szCs w:val="24"/>
        </w:rPr>
        <w:t xml:space="preserve">la </w:t>
      </w:r>
      <w:r w:rsidR="001D74A5" w:rsidRPr="008D60D4">
        <w:rPr>
          <w:rFonts w:cs="Tahoma"/>
          <w:szCs w:val="24"/>
        </w:rPr>
        <w:t>j</w:t>
      </w:r>
      <w:r w:rsidRPr="008D60D4">
        <w:rPr>
          <w:rFonts w:cs="Tahoma"/>
          <w:szCs w:val="24"/>
        </w:rPr>
        <w:t xml:space="preserve">ueza de conocimiento declaró </w:t>
      </w:r>
      <w:r w:rsidR="00FD0937" w:rsidRPr="008D60D4">
        <w:rPr>
          <w:rFonts w:cs="Tahoma"/>
          <w:szCs w:val="24"/>
        </w:rPr>
        <w:t xml:space="preserve">probada la excepción previa de cosa juzgada y </w:t>
      </w:r>
      <w:r w:rsidRPr="008D60D4">
        <w:rPr>
          <w:rFonts w:cs="Tahoma"/>
          <w:szCs w:val="24"/>
        </w:rPr>
        <w:t>no probada</w:t>
      </w:r>
      <w:r w:rsidR="00FD0937" w:rsidRPr="008D60D4">
        <w:rPr>
          <w:rFonts w:cs="Tahoma"/>
          <w:szCs w:val="24"/>
        </w:rPr>
        <w:t>s</w:t>
      </w:r>
      <w:r w:rsidRPr="008D60D4">
        <w:rPr>
          <w:rFonts w:cs="Tahoma"/>
          <w:szCs w:val="24"/>
        </w:rPr>
        <w:t xml:space="preserve"> </w:t>
      </w:r>
      <w:r w:rsidR="00557985" w:rsidRPr="008D60D4">
        <w:rPr>
          <w:rFonts w:cs="Tahoma"/>
          <w:szCs w:val="24"/>
        </w:rPr>
        <w:t xml:space="preserve">las </w:t>
      </w:r>
      <w:r w:rsidR="00FD0937" w:rsidRPr="008D60D4">
        <w:rPr>
          <w:rFonts w:cs="Tahoma"/>
          <w:szCs w:val="24"/>
        </w:rPr>
        <w:t>de inepta demanda y falta de reclamación administrativa</w:t>
      </w:r>
      <w:r w:rsidR="00557985" w:rsidRPr="008D60D4">
        <w:rPr>
          <w:rFonts w:cs="Tahoma"/>
          <w:szCs w:val="24"/>
        </w:rPr>
        <w:t xml:space="preserve">. </w:t>
      </w:r>
    </w:p>
    <w:p w14:paraId="3F5F7F42" w14:textId="77777777" w:rsidR="00557985" w:rsidRPr="008D60D4" w:rsidRDefault="00557985" w:rsidP="008D60D4">
      <w:pPr>
        <w:spacing w:line="276" w:lineRule="auto"/>
        <w:ind w:firstLine="708"/>
        <w:rPr>
          <w:rFonts w:cs="Tahoma"/>
          <w:szCs w:val="24"/>
        </w:rPr>
      </w:pPr>
    </w:p>
    <w:p w14:paraId="61C28EB3" w14:textId="6B331758" w:rsidR="001D74A5" w:rsidRPr="008D60D4" w:rsidRDefault="00557985" w:rsidP="008D60D4">
      <w:pPr>
        <w:spacing w:line="276" w:lineRule="auto"/>
        <w:ind w:firstLine="708"/>
        <w:rPr>
          <w:rFonts w:cs="Tahoma"/>
          <w:szCs w:val="24"/>
        </w:rPr>
      </w:pPr>
      <w:r w:rsidRPr="008D60D4">
        <w:rPr>
          <w:rFonts w:cs="Tahoma"/>
          <w:szCs w:val="24"/>
        </w:rPr>
        <w:t xml:space="preserve">En lo que atañe al recurso de apelación, </w:t>
      </w:r>
      <w:r w:rsidR="00D73CF1" w:rsidRPr="008D60D4">
        <w:rPr>
          <w:rFonts w:cs="Tahoma"/>
          <w:szCs w:val="24"/>
        </w:rPr>
        <w:t>la falladora determinó que</w:t>
      </w:r>
      <w:r w:rsidR="00B04A7D" w:rsidRPr="008D60D4">
        <w:rPr>
          <w:rFonts w:cs="Tahoma"/>
          <w:szCs w:val="24"/>
        </w:rPr>
        <w:t xml:space="preserve"> la reclamación administrativa que se echó de menos respecto de Ecopetrol para el caso de marras era un presupuesto de procedibilidad innecesario debido a que dicha parte no había si</w:t>
      </w:r>
      <w:r w:rsidR="00FB0DF7" w:rsidRPr="008D60D4">
        <w:rPr>
          <w:rFonts w:cs="Tahoma"/>
          <w:szCs w:val="24"/>
        </w:rPr>
        <w:t>do llamada a integrar el extremo pasivo de la litis</w:t>
      </w:r>
      <w:r w:rsidR="0098252B" w:rsidRPr="008D60D4">
        <w:rPr>
          <w:rFonts w:cs="Tahoma"/>
          <w:szCs w:val="24"/>
        </w:rPr>
        <w:t>, en lo que respecta a la inexistencia de reclamo previo respecto de CENIT TRANSPORTE Y LOGÍSTICA DE HIDROCARBUROS S.A.S</w:t>
      </w:r>
      <w:r w:rsidR="001D74A5" w:rsidRPr="008D60D4">
        <w:rPr>
          <w:rFonts w:cs="Tahoma"/>
          <w:szCs w:val="24"/>
        </w:rPr>
        <w:t>.,</w:t>
      </w:r>
      <w:r w:rsidR="003E3ABE" w:rsidRPr="008D60D4">
        <w:rPr>
          <w:rFonts w:cs="Tahoma"/>
          <w:szCs w:val="24"/>
        </w:rPr>
        <w:t xml:space="preserve"> argumentó que </w:t>
      </w:r>
      <w:r w:rsidR="00F15BAD" w:rsidRPr="008D60D4">
        <w:rPr>
          <w:rFonts w:cs="Tahoma"/>
          <w:szCs w:val="24"/>
        </w:rPr>
        <w:t>al ser una entidad de derecho privado e</w:t>
      </w:r>
      <w:r w:rsidR="0069120A" w:rsidRPr="008D60D4">
        <w:rPr>
          <w:rFonts w:cs="Tahoma"/>
          <w:szCs w:val="24"/>
        </w:rPr>
        <w:t>ra inane el</w:t>
      </w:r>
      <w:r w:rsidR="00F15BAD" w:rsidRPr="008D60D4">
        <w:rPr>
          <w:rFonts w:cs="Tahoma"/>
          <w:szCs w:val="24"/>
        </w:rPr>
        <w:t xml:space="preserve"> requisito establecido en el artículo 6 del </w:t>
      </w:r>
      <w:proofErr w:type="spellStart"/>
      <w:r w:rsidR="00F15BAD" w:rsidRPr="008D60D4">
        <w:rPr>
          <w:rFonts w:cs="Tahoma"/>
          <w:szCs w:val="24"/>
        </w:rPr>
        <w:t>C.P.T</w:t>
      </w:r>
      <w:proofErr w:type="spellEnd"/>
      <w:r w:rsidR="00427FE0">
        <w:rPr>
          <w:rFonts w:cs="Tahoma"/>
          <w:szCs w:val="24"/>
        </w:rPr>
        <w:t>.</w:t>
      </w:r>
      <w:r w:rsidR="00F15BAD" w:rsidRPr="008D60D4">
        <w:rPr>
          <w:rFonts w:cs="Tahoma"/>
          <w:szCs w:val="24"/>
        </w:rPr>
        <w:t xml:space="preserve"> y de la S.S. </w:t>
      </w:r>
    </w:p>
    <w:p w14:paraId="357190E5" w14:textId="77777777" w:rsidR="001D74A5" w:rsidRPr="008D60D4" w:rsidRDefault="001D74A5" w:rsidP="008D60D4">
      <w:pPr>
        <w:spacing w:line="276" w:lineRule="auto"/>
        <w:ind w:firstLine="708"/>
        <w:rPr>
          <w:rFonts w:cs="Tahoma"/>
          <w:szCs w:val="24"/>
        </w:rPr>
      </w:pPr>
    </w:p>
    <w:p w14:paraId="73A5E73C" w14:textId="25D0F99C" w:rsidR="00FF3ADE" w:rsidRPr="008D60D4" w:rsidRDefault="00927D49" w:rsidP="008D60D4">
      <w:pPr>
        <w:spacing w:line="276" w:lineRule="auto"/>
        <w:ind w:firstLine="708"/>
        <w:rPr>
          <w:rFonts w:cs="Tahoma"/>
          <w:szCs w:val="24"/>
        </w:rPr>
      </w:pPr>
      <w:r w:rsidRPr="008D60D4">
        <w:rPr>
          <w:rFonts w:cs="Tahoma"/>
          <w:szCs w:val="24"/>
        </w:rPr>
        <w:t xml:space="preserve">En cuanto a la excepción de cosa juzgada, señaló que el demandante y la sociedad </w:t>
      </w:r>
      <w:proofErr w:type="spellStart"/>
      <w:r w:rsidRPr="008D60D4">
        <w:rPr>
          <w:rFonts w:cs="Tahoma"/>
          <w:szCs w:val="24"/>
        </w:rPr>
        <w:t>MONTECZ</w:t>
      </w:r>
      <w:proofErr w:type="spellEnd"/>
      <w:r w:rsidRPr="008D60D4">
        <w:rPr>
          <w:rFonts w:cs="Tahoma"/>
          <w:szCs w:val="24"/>
        </w:rPr>
        <w:t xml:space="preserve"> S.A</w:t>
      </w:r>
      <w:r w:rsidR="001D74A5" w:rsidRPr="008D60D4">
        <w:rPr>
          <w:rFonts w:cs="Tahoma"/>
          <w:szCs w:val="24"/>
        </w:rPr>
        <w:t>., en efecto</w:t>
      </w:r>
      <w:r w:rsidRPr="008D60D4">
        <w:rPr>
          <w:rFonts w:cs="Tahoma"/>
          <w:szCs w:val="24"/>
        </w:rPr>
        <w:t xml:space="preserve"> suscribieron un acuerdo de transacción</w:t>
      </w:r>
      <w:r w:rsidR="001D74A5" w:rsidRPr="008D60D4">
        <w:rPr>
          <w:rFonts w:cs="Tahoma"/>
          <w:szCs w:val="24"/>
        </w:rPr>
        <w:t xml:space="preserve"> en virtud del cual zanjaron sus diferencias</w:t>
      </w:r>
      <w:r w:rsidR="00D64BD3" w:rsidRPr="008D60D4">
        <w:rPr>
          <w:rFonts w:cs="Tahoma"/>
          <w:szCs w:val="24"/>
        </w:rPr>
        <w:t xml:space="preserve"> </w:t>
      </w:r>
      <w:r w:rsidR="001D74A5" w:rsidRPr="008D60D4">
        <w:rPr>
          <w:rFonts w:cs="Tahoma"/>
          <w:szCs w:val="24"/>
        </w:rPr>
        <w:t xml:space="preserve">en </w:t>
      </w:r>
      <w:r w:rsidR="001D74A5" w:rsidRPr="008D60D4">
        <w:rPr>
          <w:rFonts w:cs="Tahoma"/>
          <w:i/>
          <w:iCs/>
          <w:szCs w:val="24"/>
        </w:rPr>
        <w:t>“</w:t>
      </w:r>
      <w:r w:rsidR="00D64BD3" w:rsidRPr="004E37DB">
        <w:rPr>
          <w:rFonts w:cs="Tahoma"/>
          <w:i/>
          <w:iCs/>
          <w:sz w:val="22"/>
          <w:szCs w:val="24"/>
        </w:rPr>
        <w:t xml:space="preserve">todos y cada uno de </w:t>
      </w:r>
      <w:r w:rsidR="00FE4A0E" w:rsidRPr="004E37DB">
        <w:rPr>
          <w:rFonts w:cs="Tahoma"/>
          <w:i/>
          <w:iCs/>
          <w:sz w:val="22"/>
          <w:szCs w:val="24"/>
        </w:rPr>
        <w:t xml:space="preserve">los aspectos derivados de la prestación del servicio del actor en favor de dicha sociedad </w:t>
      </w:r>
      <w:r w:rsidR="00D64BD3" w:rsidRPr="004E37DB">
        <w:rPr>
          <w:rFonts w:cs="Tahoma"/>
          <w:i/>
          <w:iCs/>
          <w:sz w:val="22"/>
          <w:szCs w:val="24"/>
        </w:rPr>
        <w:t>en la suma de $2.5</w:t>
      </w:r>
      <w:r w:rsidR="00FE4A0E" w:rsidRPr="004E37DB">
        <w:rPr>
          <w:rFonts w:cs="Tahoma"/>
          <w:i/>
          <w:iCs/>
          <w:sz w:val="22"/>
          <w:szCs w:val="24"/>
        </w:rPr>
        <w:t>68</w:t>
      </w:r>
      <w:r w:rsidR="00D64BD3" w:rsidRPr="004E37DB">
        <w:rPr>
          <w:rFonts w:cs="Tahoma"/>
          <w:i/>
          <w:iCs/>
          <w:sz w:val="22"/>
          <w:szCs w:val="24"/>
        </w:rPr>
        <w:t>.</w:t>
      </w:r>
      <w:r w:rsidR="00FE4A0E" w:rsidRPr="004E37DB">
        <w:rPr>
          <w:rFonts w:cs="Tahoma"/>
          <w:i/>
          <w:iCs/>
          <w:sz w:val="22"/>
          <w:szCs w:val="24"/>
        </w:rPr>
        <w:t>370</w:t>
      </w:r>
      <w:r w:rsidR="001D74A5" w:rsidRPr="008D60D4">
        <w:rPr>
          <w:rFonts w:cs="Tahoma"/>
          <w:i/>
          <w:iCs/>
          <w:szCs w:val="24"/>
        </w:rPr>
        <w:t>”</w:t>
      </w:r>
      <w:r w:rsidR="0040448A" w:rsidRPr="008D60D4">
        <w:rPr>
          <w:rFonts w:cs="Tahoma"/>
          <w:szCs w:val="24"/>
        </w:rPr>
        <w:t>, por lo que al dar por demostrada la restitución mutua</w:t>
      </w:r>
      <w:r w:rsidR="001D74A5" w:rsidRPr="008D60D4">
        <w:rPr>
          <w:rFonts w:cs="Tahoma"/>
          <w:szCs w:val="24"/>
        </w:rPr>
        <w:t xml:space="preserve">, </w:t>
      </w:r>
      <w:r w:rsidR="0040448A" w:rsidRPr="008D60D4">
        <w:rPr>
          <w:rFonts w:cs="Tahoma"/>
          <w:szCs w:val="24"/>
        </w:rPr>
        <w:t xml:space="preserve">sin afectación de los derechos </w:t>
      </w:r>
      <w:r w:rsidR="00287C89" w:rsidRPr="008D60D4">
        <w:rPr>
          <w:rFonts w:cs="Tahoma"/>
          <w:szCs w:val="24"/>
        </w:rPr>
        <w:t>ciertos e indiscutibles</w:t>
      </w:r>
      <w:r w:rsidR="001D74A5" w:rsidRPr="008D60D4">
        <w:rPr>
          <w:rFonts w:cs="Tahoma"/>
          <w:szCs w:val="24"/>
        </w:rPr>
        <w:t xml:space="preserve">, </w:t>
      </w:r>
      <w:r w:rsidR="0089003F" w:rsidRPr="008D60D4">
        <w:rPr>
          <w:rFonts w:cs="Tahoma"/>
          <w:szCs w:val="24"/>
        </w:rPr>
        <w:t>d</w:t>
      </w:r>
      <w:r w:rsidR="00174596" w:rsidRPr="008D60D4">
        <w:rPr>
          <w:rFonts w:cs="Tahoma"/>
          <w:szCs w:val="24"/>
        </w:rPr>
        <w:t xml:space="preserve">ado </w:t>
      </w:r>
      <w:r w:rsidR="0089003F" w:rsidRPr="008D60D4">
        <w:rPr>
          <w:rFonts w:cs="Tahoma"/>
          <w:szCs w:val="24"/>
        </w:rPr>
        <w:t>que los hechos del litigio no habían sido aceptados por las contendoras</w:t>
      </w:r>
      <w:r w:rsidR="00711DA1" w:rsidRPr="008D60D4">
        <w:rPr>
          <w:rFonts w:cs="Tahoma"/>
          <w:szCs w:val="24"/>
        </w:rPr>
        <w:t xml:space="preserve">, </w:t>
      </w:r>
      <w:r w:rsidR="001D74A5" w:rsidRPr="008D60D4">
        <w:rPr>
          <w:rFonts w:cs="Tahoma"/>
          <w:szCs w:val="24"/>
        </w:rPr>
        <w:t xml:space="preserve"> </w:t>
      </w:r>
      <w:r w:rsidR="00287C89" w:rsidRPr="008D60D4">
        <w:rPr>
          <w:rFonts w:cs="Tahoma"/>
          <w:szCs w:val="24"/>
        </w:rPr>
        <w:t>era dable poner fin al litigio de forma anticipada</w:t>
      </w:r>
      <w:r w:rsidR="00174596" w:rsidRPr="008D60D4">
        <w:rPr>
          <w:rFonts w:cs="Tahoma"/>
          <w:szCs w:val="24"/>
        </w:rPr>
        <w:t xml:space="preserve"> </w:t>
      </w:r>
      <w:r w:rsidR="00EF6B39" w:rsidRPr="008D60D4">
        <w:rPr>
          <w:rFonts w:cs="Tahoma"/>
          <w:szCs w:val="24"/>
        </w:rPr>
        <w:t>por los efectos de cosa juzgada que se pregonan del acuerdo transaccional</w:t>
      </w:r>
      <w:r w:rsidR="00F65574" w:rsidRPr="008D60D4">
        <w:rPr>
          <w:rFonts w:cs="Tahoma"/>
          <w:szCs w:val="24"/>
        </w:rPr>
        <w:t>, y que permean al llamado como solidario.</w:t>
      </w:r>
      <w:r w:rsidR="001D74A5" w:rsidRPr="008D60D4">
        <w:rPr>
          <w:rFonts w:cs="Tahoma"/>
          <w:szCs w:val="24"/>
        </w:rPr>
        <w:t xml:space="preserve"> </w:t>
      </w:r>
      <w:r w:rsidR="00F65574" w:rsidRPr="008D60D4">
        <w:rPr>
          <w:rFonts w:cs="Tahoma"/>
          <w:szCs w:val="24"/>
        </w:rPr>
        <w:t>Finalmente, no impuso condena en costas.</w:t>
      </w:r>
    </w:p>
    <w:p w14:paraId="7D4F7FEA" w14:textId="77777777" w:rsidR="00172301" w:rsidRPr="008D60D4" w:rsidRDefault="00172301" w:rsidP="008D60D4">
      <w:pPr>
        <w:spacing w:line="276" w:lineRule="auto"/>
        <w:ind w:firstLine="708"/>
        <w:rPr>
          <w:rFonts w:cs="Tahoma"/>
          <w:szCs w:val="24"/>
        </w:rPr>
      </w:pPr>
    </w:p>
    <w:p w14:paraId="7C54CB10" w14:textId="6035C9EF" w:rsidR="005D3995" w:rsidRPr="008D60D4" w:rsidRDefault="00B83B4E" w:rsidP="008D60D4">
      <w:pPr>
        <w:pStyle w:val="Prrafodelista"/>
        <w:numPr>
          <w:ilvl w:val="0"/>
          <w:numId w:val="11"/>
        </w:numPr>
        <w:spacing w:line="276" w:lineRule="auto"/>
        <w:jc w:val="center"/>
        <w:rPr>
          <w:rFonts w:cs="Tahoma"/>
          <w:b/>
          <w:bCs/>
          <w:szCs w:val="24"/>
        </w:rPr>
      </w:pPr>
      <w:r w:rsidRPr="008D60D4">
        <w:rPr>
          <w:rFonts w:cs="Tahoma"/>
          <w:b/>
          <w:bCs/>
          <w:szCs w:val="24"/>
        </w:rPr>
        <w:t>FUNDAMENTOS DE LA APELACIÓN</w:t>
      </w:r>
      <w:bookmarkStart w:id="0" w:name="_Hlk97041943"/>
    </w:p>
    <w:p w14:paraId="1F719E1E" w14:textId="77777777" w:rsidR="0023223A" w:rsidRPr="008D60D4" w:rsidRDefault="0023223A" w:rsidP="008D60D4">
      <w:pPr>
        <w:pStyle w:val="Prrafodelista"/>
        <w:tabs>
          <w:tab w:val="left" w:pos="284"/>
        </w:tabs>
        <w:spacing w:line="276" w:lineRule="auto"/>
        <w:ind w:left="1068"/>
        <w:rPr>
          <w:rFonts w:cs="Tahoma"/>
          <w:b/>
          <w:bCs/>
          <w:szCs w:val="24"/>
        </w:rPr>
      </w:pPr>
    </w:p>
    <w:p w14:paraId="2751B9E2" w14:textId="3EF82EBB" w:rsidR="001F7278" w:rsidRPr="008D60D4" w:rsidRDefault="00F04658" w:rsidP="008D60D4">
      <w:pPr>
        <w:spacing w:line="276" w:lineRule="auto"/>
        <w:ind w:firstLine="708"/>
        <w:rPr>
          <w:rFonts w:cs="Tahoma"/>
          <w:szCs w:val="24"/>
          <w:lang w:val="es-419"/>
        </w:rPr>
      </w:pPr>
      <w:r w:rsidRPr="008D60D4">
        <w:rPr>
          <w:rFonts w:cs="Tahoma"/>
          <w:szCs w:val="24"/>
          <w:lang w:val="es-419"/>
        </w:rPr>
        <w:t xml:space="preserve">Inconforme con lo decidido, </w:t>
      </w:r>
      <w:bookmarkEnd w:id="0"/>
      <w:r w:rsidR="00462E57" w:rsidRPr="008D60D4">
        <w:rPr>
          <w:rFonts w:cs="Tahoma"/>
          <w:szCs w:val="24"/>
          <w:lang w:val="es-419"/>
        </w:rPr>
        <w:t>el</w:t>
      </w:r>
      <w:r w:rsidR="00F65574" w:rsidRPr="008D60D4">
        <w:rPr>
          <w:rFonts w:cs="Tahoma"/>
          <w:szCs w:val="24"/>
          <w:lang w:val="es-419"/>
        </w:rPr>
        <w:t xml:space="preserve"> demandante </w:t>
      </w:r>
      <w:r w:rsidR="004B60CA" w:rsidRPr="008D60D4">
        <w:rPr>
          <w:rFonts w:cs="Tahoma"/>
          <w:szCs w:val="24"/>
          <w:lang w:val="es-419"/>
        </w:rPr>
        <w:t xml:space="preserve">interpuso recurso de apelación advirtiendo </w:t>
      </w:r>
      <w:r w:rsidR="001F7278" w:rsidRPr="008D60D4">
        <w:rPr>
          <w:rFonts w:cs="Tahoma"/>
          <w:szCs w:val="24"/>
          <w:lang w:val="es-419"/>
        </w:rPr>
        <w:t>que en el proceso</w:t>
      </w:r>
      <w:r w:rsidR="00A00791" w:rsidRPr="008D60D4">
        <w:rPr>
          <w:rFonts w:cs="Tahoma"/>
          <w:szCs w:val="24"/>
          <w:lang w:val="es-419"/>
        </w:rPr>
        <w:t xml:space="preserve"> se</w:t>
      </w:r>
      <w:r w:rsidR="001F7278" w:rsidRPr="008D60D4">
        <w:rPr>
          <w:rFonts w:cs="Tahoma"/>
          <w:szCs w:val="24"/>
          <w:lang w:val="es-419"/>
        </w:rPr>
        <w:t xml:space="preserve"> discute </w:t>
      </w:r>
      <w:r w:rsidR="00462E57" w:rsidRPr="008D60D4">
        <w:rPr>
          <w:rFonts w:cs="Tahoma"/>
          <w:szCs w:val="24"/>
          <w:lang w:val="es-419"/>
        </w:rPr>
        <w:t>que el acuerdo de transacción que suscribió es ineficaz, debido a que lo firmó</w:t>
      </w:r>
      <w:r w:rsidR="001F7278" w:rsidRPr="008D60D4">
        <w:rPr>
          <w:rFonts w:cs="Tahoma"/>
          <w:szCs w:val="24"/>
          <w:lang w:val="es-419"/>
        </w:rPr>
        <w:t xml:space="preserve"> desconoci</w:t>
      </w:r>
      <w:r w:rsidR="00462E57" w:rsidRPr="008D60D4">
        <w:rPr>
          <w:rFonts w:cs="Tahoma"/>
          <w:szCs w:val="24"/>
          <w:lang w:val="es-419"/>
        </w:rPr>
        <w:t>endo</w:t>
      </w:r>
      <w:r w:rsidR="00F95613" w:rsidRPr="008D60D4">
        <w:rPr>
          <w:rFonts w:cs="Tahoma"/>
          <w:szCs w:val="24"/>
          <w:lang w:val="es-419"/>
        </w:rPr>
        <w:t xml:space="preserve"> las consecuencias del </w:t>
      </w:r>
      <w:r w:rsidR="00A00791" w:rsidRPr="008D60D4">
        <w:rPr>
          <w:rFonts w:cs="Tahoma"/>
          <w:szCs w:val="24"/>
          <w:lang w:val="es-419"/>
        </w:rPr>
        <w:t>mismo</w:t>
      </w:r>
      <w:r w:rsidR="00F95613" w:rsidRPr="008D60D4">
        <w:rPr>
          <w:rFonts w:cs="Tahoma"/>
          <w:szCs w:val="24"/>
          <w:lang w:val="es-419"/>
        </w:rPr>
        <w:t xml:space="preserve">, ya que la demandada de forma engañosa </w:t>
      </w:r>
      <w:r w:rsidR="00A00791" w:rsidRPr="008D60D4">
        <w:rPr>
          <w:rFonts w:cs="Tahoma"/>
          <w:szCs w:val="24"/>
          <w:lang w:val="es-419"/>
        </w:rPr>
        <w:t xml:space="preserve">lo llevó a dicho consenso bajo la promesa de que el contrato de trabajo sería renovado </w:t>
      </w:r>
      <w:r w:rsidR="00A92BC8" w:rsidRPr="008D60D4">
        <w:rPr>
          <w:rFonts w:cs="Tahoma"/>
          <w:szCs w:val="24"/>
          <w:lang w:val="es-419"/>
        </w:rPr>
        <w:t xml:space="preserve">en el mes de enero una vez se </w:t>
      </w:r>
      <w:r w:rsidR="002C7853" w:rsidRPr="008D60D4">
        <w:rPr>
          <w:rFonts w:cs="Tahoma"/>
          <w:szCs w:val="24"/>
          <w:lang w:val="es-419"/>
        </w:rPr>
        <w:t xml:space="preserve">reiniciaran </w:t>
      </w:r>
      <w:r w:rsidR="00A92BC8" w:rsidRPr="008D60D4">
        <w:rPr>
          <w:rFonts w:cs="Tahoma"/>
          <w:szCs w:val="24"/>
          <w:lang w:val="es-419"/>
        </w:rPr>
        <w:t>las labores de la obra</w:t>
      </w:r>
      <w:r w:rsidR="002C7853" w:rsidRPr="008D60D4">
        <w:rPr>
          <w:rFonts w:cs="Tahoma"/>
          <w:szCs w:val="24"/>
          <w:lang w:val="es-419"/>
        </w:rPr>
        <w:t xml:space="preserve">. Agregó que para la calenda del acuerdo tenía la condición de </w:t>
      </w:r>
      <w:proofErr w:type="spellStart"/>
      <w:r w:rsidR="002C7853" w:rsidRPr="008D60D4">
        <w:rPr>
          <w:rFonts w:cs="Tahoma"/>
          <w:szCs w:val="24"/>
          <w:lang w:val="es-419"/>
        </w:rPr>
        <w:t>prepensionado</w:t>
      </w:r>
      <w:proofErr w:type="spellEnd"/>
      <w:r w:rsidR="001D74A5" w:rsidRPr="008D60D4">
        <w:rPr>
          <w:rFonts w:cs="Tahoma"/>
          <w:szCs w:val="24"/>
          <w:lang w:val="es-419"/>
        </w:rPr>
        <w:t>,</w:t>
      </w:r>
      <w:r w:rsidR="00EE23A5" w:rsidRPr="008D60D4">
        <w:rPr>
          <w:rFonts w:cs="Tahoma"/>
          <w:szCs w:val="24"/>
          <w:lang w:val="es-419"/>
        </w:rPr>
        <w:t xml:space="preserve"> porque tenía 60 </w:t>
      </w:r>
      <w:r w:rsidR="00CC343B" w:rsidRPr="008D60D4">
        <w:rPr>
          <w:rFonts w:cs="Tahoma"/>
          <w:szCs w:val="24"/>
          <w:lang w:val="es-419"/>
        </w:rPr>
        <w:t>años</w:t>
      </w:r>
      <w:r w:rsidR="00EE23A5" w:rsidRPr="008D60D4">
        <w:rPr>
          <w:rFonts w:cs="Tahoma"/>
          <w:szCs w:val="24"/>
          <w:lang w:val="es-419"/>
        </w:rPr>
        <w:t xml:space="preserve"> y tenía las semanas necesarias para adquirir la pensión de vejez.</w:t>
      </w:r>
    </w:p>
    <w:p w14:paraId="40C8CFB5" w14:textId="77777777" w:rsidR="00EE23A5" w:rsidRPr="008D60D4" w:rsidRDefault="00EE23A5" w:rsidP="008D60D4">
      <w:pPr>
        <w:spacing w:line="276" w:lineRule="auto"/>
        <w:ind w:firstLine="708"/>
        <w:rPr>
          <w:rFonts w:cs="Tahoma"/>
          <w:szCs w:val="24"/>
          <w:lang w:val="es-419"/>
        </w:rPr>
      </w:pPr>
    </w:p>
    <w:p w14:paraId="6211F6E6" w14:textId="3B2CD126" w:rsidR="00AF5DB1" w:rsidRPr="008D60D4" w:rsidRDefault="00503F90" w:rsidP="008D60D4">
      <w:pPr>
        <w:spacing w:line="276" w:lineRule="auto"/>
        <w:ind w:firstLine="708"/>
        <w:rPr>
          <w:rFonts w:cs="Tahoma"/>
          <w:szCs w:val="24"/>
        </w:rPr>
      </w:pPr>
      <w:r w:rsidRPr="008D60D4">
        <w:rPr>
          <w:rFonts w:cs="Tahoma"/>
          <w:szCs w:val="24"/>
          <w:lang w:val="es-419"/>
        </w:rPr>
        <w:t xml:space="preserve">Por su parte, </w:t>
      </w:r>
      <w:bookmarkStart w:id="1" w:name="_Hlk152062446"/>
      <w:r w:rsidRPr="008D60D4">
        <w:rPr>
          <w:rFonts w:cs="Tahoma"/>
          <w:szCs w:val="24"/>
        </w:rPr>
        <w:t>CENIT TRANSPORTE Y LOGÍSTICA DE HIDROCARBUROS S.A.S</w:t>
      </w:r>
      <w:r w:rsidR="001D74A5" w:rsidRPr="008D60D4">
        <w:rPr>
          <w:rFonts w:cs="Tahoma"/>
          <w:szCs w:val="24"/>
        </w:rPr>
        <w:t>.</w:t>
      </w:r>
      <w:r w:rsidRPr="008D60D4">
        <w:rPr>
          <w:rFonts w:cs="Tahoma"/>
          <w:szCs w:val="24"/>
        </w:rPr>
        <w:t xml:space="preserve"> </w:t>
      </w:r>
      <w:bookmarkEnd w:id="1"/>
      <w:r w:rsidRPr="008D60D4">
        <w:rPr>
          <w:rFonts w:cs="Tahoma"/>
          <w:szCs w:val="24"/>
        </w:rPr>
        <w:t>interpuso el mismo recurso</w:t>
      </w:r>
      <w:r w:rsidR="008C0F38" w:rsidRPr="008D60D4">
        <w:rPr>
          <w:rFonts w:cs="Tahoma"/>
          <w:szCs w:val="24"/>
        </w:rPr>
        <w:t xml:space="preserve"> contra la decisión que dio por no probada la excepción dilatoria de</w:t>
      </w:r>
      <w:r w:rsidR="00B729B5" w:rsidRPr="008D60D4">
        <w:rPr>
          <w:rFonts w:cs="Tahoma"/>
          <w:szCs w:val="24"/>
        </w:rPr>
        <w:t xml:space="preserve"> falta de competencia por falta de</w:t>
      </w:r>
      <w:r w:rsidR="008C0F38" w:rsidRPr="008D60D4">
        <w:rPr>
          <w:rFonts w:cs="Tahoma"/>
          <w:szCs w:val="24"/>
        </w:rPr>
        <w:t xml:space="preserve"> reclamación administrativa, </w:t>
      </w:r>
      <w:r w:rsidR="00AF5DB1" w:rsidRPr="008D60D4">
        <w:rPr>
          <w:rFonts w:cs="Tahoma"/>
          <w:szCs w:val="24"/>
        </w:rPr>
        <w:t>alegando que es una sociedad de economía mixta, hecho que</w:t>
      </w:r>
      <w:r w:rsidR="001D74A5" w:rsidRPr="008D60D4">
        <w:rPr>
          <w:rFonts w:cs="Tahoma"/>
          <w:szCs w:val="24"/>
        </w:rPr>
        <w:t>,</w:t>
      </w:r>
      <w:r w:rsidR="00AF5DB1" w:rsidRPr="008D60D4">
        <w:rPr>
          <w:rFonts w:cs="Tahoma"/>
          <w:szCs w:val="24"/>
        </w:rPr>
        <w:t xml:space="preserve"> contrario a lo señalado por la jueza</w:t>
      </w:r>
      <w:r w:rsidR="001D74A5" w:rsidRPr="008D60D4">
        <w:rPr>
          <w:rFonts w:cs="Tahoma"/>
          <w:szCs w:val="24"/>
        </w:rPr>
        <w:t>,</w:t>
      </w:r>
      <w:r w:rsidR="00AF5DB1" w:rsidRPr="008D60D4">
        <w:rPr>
          <w:rFonts w:cs="Tahoma"/>
          <w:szCs w:val="24"/>
        </w:rPr>
        <w:t xml:space="preserve"> se encuentra demostrado con el </w:t>
      </w:r>
      <w:r w:rsidR="001D74A5" w:rsidRPr="008D60D4">
        <w:rPr>
          <w:rFonts w:cs="Tahoma"/>
          <w:szCs w:val="24"/>
        </w:rPr>
        <w:t>C</w:t>
      </w:r>
      <w:r w:rsidR="00AF5DB1" w:rsidRPr="008D60D4">
        <w:rPr>
          <w:rFonts w:cs="Tahoma"/>
          <w:szCs w:val="24"/>
        </w:rPr>
        <w:t xml:space="preserve">ertificado de </w:t>
      </w:r>
      <w:r w:rsidR="001D74A5" w:rsidRPr="008D60D4">
        <w:rPr>
          <w:rFonts w:cs="Tahoma"/>
          <w:szCs w:val="24"/>
        </w:rPr>
        <w:t>E</w:t>
      </w:r>
      <w:r w:rsidR="00AF5DB1" w:rsidRPr="008D60D4">
        <w:rPr>
          <w:rFonts w:cs="Tahoma"/>
          <w:szCs w:val="24"/>
        </w:rPr>
        <w:t xml:space="preserve">xistencia y </w:t>
      </w:r>
      <w:r w:rsidR="001D74A5" w:rsidRPr="008D60D4">
        <w:rPr>
          <w:rFonts w:cs="Tahoma"/>
          <w:szCs w:val="24"/>
        </w:rPr>
        <w:t>R</w:t>
      </w:r>
      <w:r w:rsidR="00AF5DB1" w:rsidRPr="008D60D4">
        <w:rPr>
          <w:rFonts w:cs="Tahoma"/>
          <w:szCs w:val="24"/>
        </w:rPr>
        <w:t xml:space="preserve">epresentación </w:t>
      </w:r>
      <w:r w:rsidR="001D74A5" w:rsidRPr="008D60D4">
        <w:rPr>
          <w:rFonts w:cs="Tahoma"/>
          <w:szCs w:val="24"/>
        </w:rPr>
        <w:t>L</w:t>
      </w:r>
      <w:r w:rsidR="00AF5DB1" w:rsidRPr="008D60D4">
        <w:rPr>
          <w:rFonts w:cs="Tahoma"/>
          <w:szCs w:val="24"/>
        </w:rPr>
        <w:t>egal del que se desprende que se encuentra bajo control de Ecopetrol</w:t>
      </w:r>
      <w:r w:rsidR="008B4E70" w:rsidRPr="008D60D4">
        <w:rPr>
          <w:rFonts w:cs="Tahoma"/>
          <w:szCs w:val="24"/>
        </w:rPr>
        <w:t>, sociedad que posee la mayor composición accionaria</w:t>
      </w:r>
      <w:r w:rsidR="00FB4F3A" w:rsidRPr="008D60D4">
        <w:rPr>
          <w:rFonts w:cs="Tahoma"/>
          <w:szCs w:val="24"/>
        </w:rPr>
        <w:t xml:space="preserve">, y por tanto, al tenor del </w:t>
      </w:r>
      <w:r w:rsidR="001D74A5" w:rsidRPr="008D60D4">
        <w:rPr>
          <w:rFonts w:cs="Tahoma"/>
          <w:szCs w:val="24"/>
        </w:rPr>
        <w:t>artículo</w:t>
      </w:r>
      <w:r w:rsidR="00FB4F3A" w:rsidRPr="008D60D4">
        <w:rPr>
          <w:rFonts w:cs="Tahoma"/>
          <w:szCs w:val="24"/>
        </w:rPr>
        <w:t xml:space="preserve"> 6 del </w:t>
      </w:r>
      <w:proofErr w:type="spellStart"/>
      <w:r w:rsidR="00FB4F3A" w:rsidRPr="008D60D4">
        <w:rPr>
          <w:rFonts w:cs="Tahoma"/>
          <w:szCs w:val="24"/>
        </w:rPr>
        <w:t>C.P.T</w:t>
      </w:r>
      <w:proofErr w:type="spellEnd"/>
      <w:r w:rsidR="001D74A5" w:rsidRPr="008D60D4">
        <w:rPr>
          <w:rFonts w:cs="Tahoma"/>
          <w:szCs w:val="24"/>
        </w:rPr>
        <w:t>. y de la S.S.</w:t>
      </w:r>
      <w:r w:rsidR="00FB4F3A" w:rsidRPr="008D60D4">
        <w:rPr>
          <w:rFonts w:cs="Tahoma"/>
          <w:szCs w:val="24"/>
        </w:rPr>
        <w:t xml:space="preserve">, era necesario </w:t>
      </w:r>
      <w:r w:rsidR="0019007F" w:rsidRPr="008D60D4">
        <w:rPr>
          <w:rFonts w:cs="Tahoma"/>
          <w:szCs w:val="24"/>
        </w:rPr>
        <w:t xml:space="preserve">permitir la </w:t>
      </w:r>
      <w:proofErr w:type="spellStart"/>
      <w:r w:rsidR="0019007F" w:rsidRPr="008D60D4">
        <w:rPr>
          <w:rFonts w:cs="Tahoma"/>
          <w:szCs w:val="24"/>
        </w:rPr>
        <w:t>autotutela</w:t>
      </w:r>
      <w:proofErr w:type="spellEnd"/>
      <w:r w:rsidR="0019007F" w:rsidRPr="008D60D4">
        <w:rPr>
          <w:rFonts w:cs="Tahoma"/>
          <w:szCs w:val="24"/>
        </w:rPr>
        <w:t xml:space="preserve"> de la administración como factor habilitante de competencia.</w:t>
      </w:r>
      <w:r w:rsidR="00AF5DB1" w:rsidRPr="008D60D4">
        <w:rPr>
          <w:rFonts w:cs="Tahoma"/>
          <w:szCs w:val="24"/>
        </w:rPr>
        <w:t xml:space="preserve"> </w:t>
      </w:r>
    </w:p>
    <w:p w14:paraId="686B468A" w14:textId="77777777" w:rsidR="006A5073" w:rsidRPr="008D60D4" w:rsidRDefault="006A5073" w:rsidP="008D60D4">
      <w:pPr>
        <w:spacing w:line="276" w:lineRule="auto"/>
        <w:rPr>
          <w:rFonts w:cs="Tahoma"/>
          <w:szCs w:val="24"/>
          <w:lang w:val="es-419"/>
        </w:rPr>
      </w:pPr>
    </w:p>
    <w:p w14:paraId="179DA56E" w14:textId="3C7BF6D9" w:rsidR="003B0567" w:rsidRPr="008D60D4" w:rsidRDefault="003B0567" w:rsidP="008D60D4">
      <w:pPr>
        <w:pStyle w:val="Prrafodelista"/>
        <w:widowControl w:val="0"/>
        <w:numPr>
          <w:ilvl w:val="0"/>
          <w:numId w:val="11"/>
        </w:numPr>
        <w:autoSpaceDE w:val="0"/>
        <w:autoSpaceDN w:val="0"/>
        <w:adjustRightInd w:val="0"/>
        <w:spacing w:line="276" w:lineRule="auto"/>
        <w:jc w:val="center"/>
        <w:rPr>
          <w:rFonts w:cs="Tahoma"/>
          <w:b/>
          <w:bCs/>
          <w:szCs w:val="24"/>
          <w:lang w:val="es-CO"/>
        </w:rPr>
      </w:pPr>
      <w:r w:rsidRPr="008D60D4">
        <w:rPr>
          <w:rFonts w:cs="Tahoma"/>
          <w:b/>
          <w:bCs/>
          <w:szCs w:val="24"/>
          <w:lang w:val="es-CO"/>
        </w:rPr>
        <w:t>ALEGATOS DE CONCLUSIÓN/ CONCEPTO DEL MINISTERIO PÚBLICO</w:t>
      </w:r>
    </w:p>
    <w:p w14:paraId="15E027EF" w14:textId="77777777" w:rsidR="003B0567" w:rsidRPr="008D60D4" w:rsidRDefault="003B0567" w:rsidP="008D60D4">
      <w:pPr>
        <w:spacing w:line="276" w:lineRule="auto"/>
        <w:rPr>
          <w:rStyle w:val="normaltextrun"/>
          <w:rFonts w:cs="Tahoma"/>
          <w:color w:val="000000"/>
          <w:szCs w:val="24"/>
        </w:rPr>
      </w:pPr>
    </w:p>
    <w:p w14:paraId="35D5B941" w14:textId="3A5D2628" w:rsidR="008A137B" w:rsidRPr="008D60D4" w:rsidRDefault="008A137B" w:rsidP="008D60D4">
      <w:pPr>
        <w:spacing w:line="276" w:lineRule="auto"/>
        <w:ind w:firstLine="708"/>
        <w:rPr>
          <w:rFonts w:cs="Tahoma"/>
          <w:szCs w:val="24"/>
        </w:rPr>
      </w:pPr>
      <w:r w:rsidRPr="008D60D4">
        <w:rPr>
          <w:rFonts w:cs="Tahoma"/>
          <w:szCs w:val="24"/>
        </w:rPr>
        <w:t xml:space="preserve">Analizados los alegatos escritos presentados por la llamada en garantía, mismos que obran en el expediente digital y a los cuales nos remitimos por economía procesal en virtud del artículo 280 del </w:t>
      </w:r>
      <w:proofErr w:type="spellStart"/>
      <w:r w:rsidRPr="008D60D4">
        <w:rPr>
          <w:rFonts w:cs="Tahoma"/>
          <w:szCs w:val="24"/>
        </w:rPr>
        <w:t>C.G.P</w:t>
      </w:r>
      <w:proofErr w:type="spellEnd"/>
      <w:r w:rsidRPr="008D60D4">
        <w:rPr>
          <w:rFonts w:cs="Tahoma"/>
          <w:szCs w:val="24"/>
        </w:rPr>
        <w:t>., la Sala encuentra que los argumentos fácticos y jurídicos expresados concuerdan con los puntos objeto de discusión en esta instancia y se relacionan con el problema jurídico que se expresará más adelante. El Ministerio Público no conceptuó en este asunto.</w:t>
      </w:r>
    </w:p>
    <w:p w14:paraId="48A6716A" w14:textId="3E00C90C" w:rsidR="25592B95" w:rsidRPr="008D60D4" w:rsidRDefault="25592B95" w:rsidP="008D60D4">
      <w:pPr>
        <w:spacing w:line="276" w:lineRule="auto"/>
        <w:rPr>
          <w:rStyle w:val="normaltextrun"/>
          <w:rFonts w:cs="Tahoma"/>
          <w:color w:val="000000" w:themeColor="text1"/>
          <w:szCs w:val="24"/>
          <w:lang w:val="es-CO"/>
        </w:rPr>
      </w:pPr>
    </w:p>
    <w:p w14:paraId="0B99B14C" w14:textId="1ECF525A" w:rsidR="00890E99" w:rsidRPr="008D60D4" w:rsidRDefault="00890E99" w:rsidP="008D60D4">
      <w:pPr>
        <w:pStyle w:val="Prrafodelista"/>
        <w:numPr>
          <w:ilvl w:val="0"/>
          <w:numId w:val="11"/>
        </w:numPr>
        <w:spacing w:line="276" w:lineRule="auto"/>
        <w:jc w:val="center"/>
        <w:rPr>
          <w:rFonts w:cs="Tahoma"/>
          <w:b/>
          <w:bCs/>
          <w:color w:val="000000"/>
          <w:szCs w:val="24"/>
        </w:rPr>
      </w:pPr>
      <w:r w:rsidRPr="008D60D4">
        <w:rPr>
          <w:rFonts w:cs="Tahoma"/>
          <w:b/>
          <w:bCs/>
          <w:color w:val="000000" w:themeColor="text1"/>
          <w:szCs w:val="24"/>
        </w:rPr>
        <w:t>PROBLEMA JURÍDICO POR RESOLVER</w:t>
      </w:r>
    </w:p>
    <w:p w14:paraId="40DA9429" w14:textId="77777777" w:rsidR="003E457A" w:rsidRPr="008D60D4" w:rsidRDefault="003E457A" w:rsidP="008D60D4">
      <w:pPr>
        <w:spacing w:line="276" w:lineRule="auto"/>
        <w:rPr>
          <w:rFonts w:cs="Tahoma"/>
          <w:color w:val="000000"/>
          <w:szCs w:val="24"/>
        </w:rPr>
      </w:pPr>
    </w:p>
    <w:p w14:paraId="72DDAC62" w14:textId="2F20FEE6" w:rsidR="00F12C45" w:rsidRPr="008D60D4" w:rsidRDefault="003E457A" w:rsidP="008D60D4">
      <w:pPr>
        <w:spacing w:line="276" w:lineRule="auto"/>
        <w:ind w:firstLine="708"/>
        <w:rPr>
          <w:rFonts w:cs="Tahoma"/>
          <w:szCs w:val="24"/>
          <w:lang w:val="es-419"/>
        </w:rPr>
      </w:pPr>
      <w:r w:rsidRPr="008D60D4">
        <w:rPr>
          <w:rFonts w:cs="Tahoma"/>
          <w:szCs w:val="24"/>
          <w:lang w:val="es-419"/>
        </w:rPr>
        <w:t xml:space="preserve">De acuerdo con los argumentos expuestos en la decisión de primera instancia y los fundamentos de la apelación, le corresponde a </w:t>
      </w:r>
      <w:r w:rsidR="00BA15E1" w:rsidRPr="008D60D4">
        <w:rPr>
          <w:rFonts w:cs="Tahoma"/>
          <w:szCs w:val="24"/>
          <w:lang w:val="es-419"/>
        </w:rPr>
        <w:t xml:space="preserve">la Sala </w:t>
      </w:r>
      <w:r w:rsidR="007358F3" w:rsidRPr="008D60D4">
        <w:rPr>
          <w:rFonts w:cs="Tahoma"/>
          <w:szCs w:val="24"/>
          <w:lang w:val="es-419"/>
        </w:rPr>
        <w:t>resolver los siguientes interrogantes</w:t>
      </w:r>
      <w:r w:rsidR="00F12C45" w:rsidRPr="008D60D4">
        <w:rPr>
          <w:rFonts w:cs="Tahoma"/>
          <w:szCs w:val="24"/>
          <w:lang w:val="es-419"/>
        </w:rPr>
        <w:t xml:space="preserve">:  </w:t>
      </w:r>
    </w:p>
    <w:p w14:paraId="3BE053B9" w14:textId="77777777" w:rsidR="00F12C45" w:rsidRPr="008D60D4" w:rsidRDefault="00F12C45" w:rsidP="008D60D4">
      <w:pPr>
        <w:spacing w:line="276" w:lineRule="auto"/>
        <w:ind w:firstLine="708"/>
        <w:rPr>
          <w:rFonts w:cs="Tahoma"/>
          <w:szCs w:val="24"/>
          <w:lang w:val="es-419"/>
        </w:rPr>
      </w:pPr>
    </w:p>
    <w:p w14:paraId="25375311" w14:textId="77FA8A6C" w:rsidR="00BA15E1" w:rsidRPr="008D60D4" w:rsidRDefault="00BA15E1" w:rsidP="004E37DB">
      <w:pPr>
        <w:pStyle w:val="Prrafodelista"/>
        <w:numPr>
          <w:ilvl w:val="0"/>
          <w:numId w:val="12"/>
        </w:numPr>
        <w:spacing w:line="276" w:lineRule="auto"/>
        <w:ind w:left="1134"/>
        <w:rPr>
          <w:rFonts w:cs="Tahoma"/>
          <w:szCs w:val="24"/>
          <w:lang w:val="es-CO"/>
        </w:rPr>
      </w:pPr>
      <w:r w:rsidRPr="008D60D4">
        <w:rPr>
          <w:rFonts w:cs="Tahoma"/>
          <w:szCs w:val="24"/>
          <w:lang w:val="es-CO"/>
        </w:rPr>
        <w:t>¿</w:t>
      </w:r>
      <w:r w:rsidR="001E4D75" w:rsidRPr="008D60D4">
        <w:rPr>
          <w:rFonts w:cs="Tahoma"/>
          <w:szCs w:val="24"/>
          <w:lang w:val="es-CO"/>
        </w:rPr>
        <w:t>Se configura con la transacción celebrada entre las partes el fenómeno procesal de cosa juzgada</w:t>
      </w:r>
      <w:r w:rsidRPr="008D60D4">
        <w:rPr>
          <w:rFonts w:cs="Tahoma"/>
          <w:szCs w:val="24"/>
          <w:lang w:val="es-CO"/>
        </w:rPr>
        <w:t>?</w:t>
      </w:r>
    </w:p>
    <w:p w14:paraId="5A0B7B1F" w14:textId="77777777" w:rsidR="001E4D75" w:rsidRPr="008D60D4" w:rsidRDefault="001E4D75" w:rsidP="004E37DB">
      <w:pPr>
        <w:pStyle w:val="Prrafodelista"/>
        <w:spacing w:line="276" w:lineRule="auto"/>
        <w:ind w:left="1134"/>
        <w:rPr>
          <w:rFonts w:cs="Tahoma"/>
          <w:szCs w:val="24"/>
          <w:lang w:val="es-CO"/>
        </w:rPr>
      </w:pPr>
    </w:p>
    <w:p w14:paraId="6A2D7429" w14:textId="00C021E1" w:rsidR="001E4D75" w:rsidRPr="008D60D4" w:rsidRDefault="001E4D75" w:rsidP="004E37DB">
      <w:pPr>
        <w:pStyle w:val="Prrafodelista"/>
        <w:numPr>
          <w:ilvl w:val="0"/>
          <w:numId w:val="12"/>
        </w:numPr>
        <w:spacing w:line="276" w:lineRule="auto"/>
        <w:ind w:left="1134"/>
        <w:rPr>
          <w:rFonts w:cs="Tahoma"/>
          <w:szCs w:val="24"/>
          <w:lang w:val="es-CO"/>
        </w:rPr>
      </w:pPr>
      <w:r w:rsidRPr="008D60D4">
        <w:rPr>
          <w:rFonts w:cs="Tahoma"/>
          <w:szCs w:val="24"/>
          <w:lang w:val="es-CO"/>
        </w:rPr>
        <w:t>¿</w:t>
      </w:r>
      <w:r w:rsidR="00281257" w:rsidRPr="008D60D4">
        <w:rPr>
          <w:rFonts w:cs="Tahoma"/>
          <w:szCs w:val="24"/>
          <w:lang w:val="es-CO"/>
        </w:rPr>
        <w:t>E</w:t>
      </w:r>
      <w:r w:rsidRPr="008D60D4">
        <w:rPr>
          <w:rFonts w:cs="Tahoma"/>
          <w:szCs w:val="24"/>
          <w:lang w:val="es-CO"/>
        </w:rPr>
        <w:t>ra viable declarar la excepción de cosa juzgada como excepción previa en este caso?</w:t>
      </w:r>
    </w:p>
    <w:p w14:paraId="650A2853" w14:textId="77777777" w:rsidR="001E4D75" w:rsidRPr="008D60D4" w:rsidRDefault="001E4D75" w:rsidP="004E37DB">
      <w:pPr>
        <w:pStyle w:val="Prrafodelista"/>
        <w:spacing w:line="276" w:lineRule="auto"/>
        <w:ind w:left="1134"/>
        <w:rPr>
          <w:rFonts w:cs="Tahoma"/>
          <w:szCs w:val="24"/>
          <w:lang w:val="es-CO"/>
        </w:rPr>
      </w:pPr>
    </w:p>
    <w:p w14:paraId="06767384" w14:textId="3EDAA787" w:rsidR="001E4D75" w:rsidRPr="008D60D4" w:rsidRDefault="001E4D75" w:rsidP="004E37DB">
      <w:pPr>
        <w:pStyle w:val="Prrafodelista"/>
        <w:numPr>
          <w:ilvl w:val="0"/>
          <w:numId w:val="12"/>
        </w:numPr>
        <w:spacing w:line="276" w:lineRule="auto"/>
        <w:ind w:left="1134"/>
        <w:rPr>
          <w:rFonts w:cs="Tahoma"/>
          <w:szCs w:val="24"/>
          <w:lang w:val="es-419"/>
        </w:rPr>
      </w:pPr>
      <w:r w:rsidRPr="008D60D4">
        <w:rPr>
          <w:rFonts w:cs="Tahoma"/>
          <w:szCs w:val="24"/>
          <w:lang w:val="es-419"/>
        </w:rPr>
        <w:t xml:space="preserve">En caso negativo, esto es, en el evento en que no prospere el medio exceptivo de cosa juzgada, la Sala deberá pasar a resolver un último interrogante: ¿es necesario agotar la reclamación administrativa previo al inicio del proceso laboral frente al convocado en calidad de responsable solidario? </w:t>
      </w:r>
    </w:p>
    <w:p w14:paraId="485FD3FB" w14:textId="77777777" w:rsidR="00CE1A4A" w:rsidRPr="008D60D4" w:rsidRDefault="00CE1A4A" w:rsidP="008D60D4">
      <w:pPr>
        <w:spacing w:line="276" w:lineRule="auto"/>
        <w:rPr>
          <w:rStyle w:val="normaltextrun"/>
          <w:rFonts w:cs="Tahoma"/>
          <w:color w:val="000000"/>
          <w:szCs w:val="24"/>
        </w:rPr>
      </w:pPr>
    </w:p>
    <w:p w14:paraId="23D5A1E8" w14:textId="02D26610" w:rsidR="00181FA3" w:rsidRPr="008D60D4" w:rsidRDefault="003221C2" w:rsidP="008D60D4">
      <w:pPr>
        <w:pStyle w:val="Prrafodelista"/>
        <w:numPr>
          <w:ilvl w:val="0"/>
          <w:numId w:val="11"/>
        </w:numPr>
        <w:spacing w:line="276" w:lineRule="auto"/>
        <w:jc w:val="center"/>
        <w:rPr>
          <w:rStyle w:val="normaltextrun"/>
          <w:rFonts w:cs="Tahoma"/>
          <w:b/>
          <w:bCs/>
          <w:color w:val="000000"/>
          <w:szCs w:val="24"/>
        </w:rPr>
      </w:pPr>
      <w:r w:rsidRPr="008D60D4">
        <w:rPr>
          <w:rStyle w:val="normaltextrun"/>
          <w:rFonts w:cs="Tahoma"/>
          <w:b/>
          <w:bCs/>
          <w:color w:val="000000" w:themeColor="text1"/>
          <w:szCs w:val="24"/>
        </w:rPr>
        <w:t>CONSIDERACIONES</w:t>
      </w:r>
    </w:p>
    <w:p w14:paraId="04B2B949" w14:textId="77777777" w:rsidR="00BA5BFB" w:rsidRPr="008D60D4" w:rsidRDefault="00BA5BFB" w:rsidP="008D60D4">
      <w:pPr>
        <w:spacing w:line="276" w:lineRule="auto"/>
        <w:jc w:val="left"/>
        <w:rPr>
          <w:rStyle w:val="normaltextrun"/>
          <w:rFonts w:cs="Tahoma"/>
          <w:b/>
          <w:bCs/>
          <w:color w:val="000000"/>
          <w:szCs w:val="24"/>
        </w:rPr>
      </w:pPr>
    </w:p>
    <w:p w14:paraId="63958CDA" w14:textId="46BB42AA" w:rsidR="00BA5BFB" w:rsidRPr="008D60D4" w:rsidRDefault="00BA5BFB" w:rsidP="008D60D4">
      <w:pPr>
        <w:pStyle w:val="Prrafodelista"/>
        <w:numPr>
          <w:ilvl w:val="1"/>
          <w:numId w:val="11"/>
        </w:numPr>
        <w:spacing w:line="276" w:lineRule="auto"/>
        <w:jc w:val="left"/>
        <w:rPr>
          <w:rStyle w:val="normaltextrun"/>
          <w:rFonts w:cs="Tahoma"/>
          <w:b/>
          <w:bCs/>
          <w:color w:val="000000"/>
          <w:szCs w:val="24"/>
        </w:rPr>
      </w:pPr>
      <w:r w:rsidRPr="008D60D4">
        <w:rPr>
          <w:rStyle w:val="normaltextrun"/>
          <w:rFonts w:cs="Tahoma"/>
          <w:b/>
          <w:bCs/>
          <w:color w:val="000000" w:themeColor="text1"/>
          <w:szCs w:val="24"/>
        </w:rPr>
        <w:t>Cosa Juzgada</w:t>
      </w:r>
      <w:r w:rsidR="00706DCC" w:rsidRPr="008D60D4">
        <w:rPr>
          <w:rStyle w:val="normaltextrun"/>
          <w:rFonts w:cs="Tahoma"/>
          <w:b/>
          <w:bCs/>
          <w:color w:val="000000" w:themeColor="text1"/>
          <w:szCs w:val="24"/>
        </w:rPr>
        <w:t xml:space="preserve"> y transacción. </w:t>
      </w:r>
    </w:p>
    <w:p w14:paraId="30E32415" w14:textId="77777777" w:rsidR="00706DCC" w:rsidRPr="008D60D4" w:rsidRDefault="00706DCC" w:rsidP="008D60D4">
      <w:pPr>
        <w:spacing w:line="276" w:lineRule="auto"/>
        <w:jc w:val="left"/>
        <w:rPr>
          <w:rStyle w:val="normaltextrun"/>
          <w:rFonts w:cs="Tahoma"/>
          <w:b/>
          <w:bCs/>
          <w:color w:val="000000"/>
          <w:szCs w:val="24"/>
        </w:rPr>
      </w:pPr>
    </w:p>
    <w:p w14:paraId="0E91AC7C" w14:textId="77777777" w:rsidR="00F60257" w:rsidRPr="008D60D4" w:rsidRDefault="00F60257" w:rsidP="008D60D4">
      <w:pPr>
        <w:spacing w:line="276" w:lineRule="auto"/>
        <w:ind w:firstLine="708"/>
        <w:rPr>
          <w:rFonts w:cs="Tahoma"/>
          <w:color w:val="000000"/>
          <w:szCs w:val="24"/>
          <w:shd w:val="clear" w:color="auto" w:fill="FFFFFF"/>
        </w:rPr>
      </w:pPr>
      <w:r w:rsidRPr="008D60D4">
        <w:rPr>
          <w:rFonts w:cs="Tahoma"/>
          <w:color w:val="000000"/>
          <w:szCs w:val="24"/>
          <w:shd w:val="clear" w:color="auto" w:fill="FFFFFF"/>
        </w:rPr>
        <w:t>La Corte Suprema de Justicia ha estimado que para que proceda la aprobación de la transacción, se deben cumplir los siguientes presupuestos:</w:t>
      </w:r>
      <w:r w:rsidRPr="008D60D4">
        <w:rPr>
          <w:rFonts w:cs="Tahoma"/>
          <w:i/>
          <w:iCs/>
          <w:color w:val="000000"/>
          <w:szCs w:val="24"/>
          <w:shd w:val="clear" w:color="auto" w:fill="FFFFFF"/>
        </w:rPr>
        <w:t xml:space="preserve"> (i) exista entre las partes un derecho litigioso eventual o pendiente de resolver; (ii) el objeto a negociar no tenga el carácter de un derecho cierto e indiscutible; (iii) el acto jurídico sea producto de la voluntad libre de las partes, es decir, exenta de cualquier vicio del consentimiento, y (iv) lo acordado genere concesiones recíprocas y mutuas para las partes (CSJ </w:t>
      </w:r>
      <w:proofErr w:type="spellStart"/>
      <w:r w:rsidRPr="008D60D4">
        <w:rPr>
          <w:rFonts w:cs="Tahoma"/>
          <w:i/>
          <w:iCs/>
          <w:color w:val="000000"/>
          <w:szCs w:val="24"/>
          <w:shd w:val="clear" w:color="auto" w:fill="FFFFFF"/>
        </w:rPr>
        <w:t>AL607</w:t>
      </w:r>
      <w:proofErr w:type="spellEnd"/>
      <w:r w:rsidRPr="008D60D4">
        <w:rPr>
          <w:rFonts w:cs="Tahoma"/>
          <w:i/>
          <w:iCs/>
          <w:color w:val="000000"/>
          <w:szCs w:val="24"/>
          <w:shd w:val="clear" w:color="auto" w:fill="FFFFFF"/>
        </w:rPr>
        <w:t>-2017), o no sea abusiva o lesiva de los derechos del trabajador.</w:t>
      </w:r>
      <w:r w:rsidRPr="008D60D4">
        <w:rPr>
          <w:rFonts w:cs="Tahoma"/>
          <w:color w:val="000000"/>
          <w:szCs w:val="24"/>
          <w:shd w:val="clear" w:color="auto" w:fill="FFFFFF"/>
        </w:rPr>
        <w:t xml:space="preserve"> (CSJ </w:t>
      </w:r>
      <w:proofErr w:type="spellStart"/>
      <w:r w:rsidRPr="008D60D4">
        <w:rPr>
          <w:rFonts w:cs="Tahoma"/>
          <w:color w:val="000000"/>
          <w:szCs w:val="24"/>
          <w:shd w:val="clear" w:color="auto" w:fill="FFFFFF"/>
        </w:rPr>
        <w:t>AL3809</w:t>
      </w:r>
      <w:proofErr w:type="spellEnd"/>
      <w:r w:rsidRPr="008D60D4">
        <w:rPr>
          <w:rFonts w:cs="Tahoma"/>
          <w:color w:val="000000"/>
          <w:szCs w:val="24"/>
          <w:shd w:val="clear" w:color="auto" w:fill="FFFFFF"/>
        </w:rPr>
        <w:t xml:space="preserve">-2018, CSJ </w:t>
      </w:r>
      <w:proofErr w:type="spellStart"/>
      <w:r w:rsidRPr="008D60D4">
        <w:rPr>
          <w:rFonts w:cs="Tahoma"/>
          <w:color w:val="000000"/>
          <w:szCs w:val="24"/>
          <w:shd w:val="clear" w:color="auto" w:fill="FFFFFF"/>
        </w:rPr>
        <w:t>AL3654</w:t>
      </w:r>
      <w:proofErr w:type="spellEnd"/>
      <w:r w:rsidRPr="008D60D4">
        <w:rPr>
          <w:rFonts w:cs="Tahoma"/>
          <w:color w:val="000000"/>
          <w:szCs w:val="24"/>
          <w:shd w:val="clear" w:color="auto" w:fill="FFFFFF"/>
        </w:rPr>
        <w:t xml:space="preserve">-2020, CSJ AL 1200-2022 y CSJ </w:t>
      </w:r>
      <w:proofErr w:type="spellStart"/>
      <w:r w:rsidRPr="008D60D4">
        <w:rPr>
          <w:rFonts w:cs="Tahoma"/>
          <w:color w:val="000000"/>
          <w:szCs w:val="24"/>
          <w:shd w:val="clear" w:color="auto" w:fill="FFFFFF"/>
        </w:rPr>
        <w:t>AL4218</w:t>
      </w:r>
      <w:proofErr w:type="spellEnd"/>
      <w:r w:rsidRPr="008D60D4">
        <w:rPr>
          <w:rFonts w:cs="Tahoma"/>
          <w:color w:val="000000"/>
          <w:szCs w:val="24"/>
          <w:shd w:val="clear" w:color="auto" w:fill="FFFFFF"/>
        </w:rPr>
        <w:t>-2022).</w:t>
      </w:r>
    </w:p>
    <w:p w14:paraId="0592BAA3" w14:textId="77777777" w:rsidR="00F60257" w:rsidRPr="008D60D4" w:rsidRDefault="00F60257" w:rsidP="008D60D4">
      <w:pPr>
        <w:spacing w:line="276" w:lineRule="auto"/>
        <w:ind w:firstLine="708"/>
        <w:rPr>
          <w:rFonts w:cs="Tahoma"/>
          <w:color w:val="000000"/>
          <w:szCs w:val="24"/>
          <w:shd w:val="clear" w:color="auto" w:fill="FFFFFF"/>
        </w:rPr>
      </w:pPr>
    </w:p>
    <w:p w14:paraId="2987261C" w14:textId="2F0E900B" w:rsidR="004A3187" w:rsidRPr="008D60D4" w:rsidRDefault="004A3187" w:rsidP="008D60D4">
      <w:pPr>
        <w:pStyle w:val="Ttulo11"/>
        <w:spacing w:line="276" w:lineRule="auto"/>
        <w:ind w:left="0" w:right="0" w:firstLine="708"/>
        <w:jc w:val="both"/>
        <w:rPr>
          <w:rFonts w:ascii="Tahoma" w:hAnsi="Tahoma" w:cs="Tahoma"/>
          <w:b w:val="0"/>
          <w:bCs w:val="0"/>
        </w:rPr>
      </w:pPr>
      <w:r w:rsidRPr="008D60D4">
        <w:rPr>
          <w:rFonts w:ascii="Tahoma" w:hAnsi="Tahoma" w:cs="Tahoma"/>
          <w:b w:val="0"/>
          <w:bCs w:val="0"/>
        </w:rPr>
        <w:t xml:space="preserve">Asimismo, es claro que las partes involucradas en el acuerdo conciliatorio </w:t>
      </w:r>
      <w:r w:rsidR="00CC343B" w:rsidRPr="008D60D4">
        <w:rPr>
          <w:rFonts w:ascii="Tahoma" w:hAnsi="Tahoma" w:cs="Tahoma"/>
          <w:b w:val="0"/>
          <w:bCs w:val="0"/>
        </w:rPr>
        <w:t xml:space="preserve">o la transacción </w:t>
      </w:r>
      <w:r w:rsidRPr="008D60D4">
        <w:rPr>
          <w:rFonts w:ascii="Tahoma" w:hAnsi="Tahoma" w:cs="Tahoma"/>
          <w:b w:val="0"/>
          <w:bCs w:val="0"/>
        </w:rPr>
        <w:t>tienen la posibilidad de acudir al proceso laboral para impugnar su validez, si consideran que existe un vicio del consentimiento, un objeto o causa ilícitos o un desconocimiento de derechos ciertos e indiscutibles (</w:t>
      </w:r>
      <w:r w:rsidR="002B48BC" w:rsidRPr="008D60D4">
        <w:rPr>
          <w:rFonts w:ascii="Tahoma" w:hAnsi="Tahoma" w:cs="Tahoma"/>
          <w:b w:val="0"/>
          <w:bCs w:val="0"/>
        </w:rPr>
        <w:t>v</w:t>
      </w:r>
      <w:r w:rsidRPr="008D60D4">
        <w:rPr>
          <w:rFonts w:ascii="Tahoma" w:hAnsi="Tahoma" w:cs="Tahoma"/>
          <w:b w:val="0"/>
          <w:bCs w:val="0"/>
        </w:rPr>
        <w:t xml:space="preserve">er </w:t>
      </w:r>
      <w:r w:rsidR="002B48BC" w:rsidRPr="008D60D4">
        <w:rPr>
          <w:rFonts w:ascii="Tahoma" w:hAnsi="Tahoma" w:cs="Tahoma"/>
          <w:b w:val="0"/>
          <w:bCs w:val="0"/>
        </w:rPr>
        <w:t>s</w:t>
      </w:r>
      <w:r w:rsidRPr="008D60D4">
        <w:rPr>
          <w:rFonts w:ascii="Tahoma" w:hAnsi="Tahoma" w:cs="Tahoma"/>
          <w:b w:val="0"/>
          <w:bCs w:val="0"/>
        </w:rPr>
        <w:t xml:space="preserve">entencia CSJ </w:t>
      </w:r>
      <w:proofErr w:type="spellStart"/>
      <w:r w:rsidRPr="008D60D4">
        <w:rPr>
          <w:rFonts w:ascii="Tahoma" w:hAnsi="Tahoma" w:cs="Tahoma"/>
          <w:b w:val="0"/>
          <w:bCs w:val="0"/>
        </w:rPr>
        <w:t>SL</w:t>
      </w:r>
      <w:proofErr w:type="spellEnd"/>
      <w:r w:rsidRPr="008D60D4">
        <w:rPr>
          <w:rFonts w:ascii="Tahoma" w:hAnsi="Tahoma" w:cs="Tahoma"/>
          <w:b w:val="0"/>
          <w:bCs w:val="0"/>
        </w:rPr>
        <w:t xml:space="preserve">-1459 de 2021). En ese sentido, el consentimiento que se exige en materia laboral para la validez de los diferentes actos jurídicos debe ser libre y espontáneo y no debe adolecer de vicio alguno (error, fuerza o dolo), en los términos del artículo 1504 del Código Civil, </w:t>
      </w:r>
      <w:r w:rsidRPr="008D60D4">
        <w:rPr>
          <w:rFonts w:ascii="Tahoma" w:hAnsi="Tahoma" w:cs="Tahoma"/>
          <w:b w:val="0"/>
          <w:bCs w:val="0"/>
        </w:rPr>
        <w:lastRenderedPageBreak/>
        <w:t xml:space="preserve">pues de lo contrario el acuerdo se reputaría inválido, igualmente se debe vigilar que dichos acuerdos no desconozcan derechos ciertos e indiscutibles, so pena de su invalidez (art. 15 </w:t>
      </w:r>
      <w:proofErr w:type="spellStart"/>
      <w:r w:rsidRPr="008D60D4">
        <w:rPr>
          <w:rFonts w:ascii="Tahoma" w:hAnsi="Tahoma" w:cs="Tahoma"/>
          <w:b w:val="0"/>
          <w:bCs w:val="0"/>
        </w:rPr>
        <w:t>C.S.T</w:t>
      </w:r>
      <w:proofErr w:type="spellEnd"/>
      <w:r w:rsidRPr="008D60D4">
        <w:rPr>
          <w:rFonts w:ascii="Tahoma" w:hAnsi="Tahoma" w:cs="Tahoma"/>
          <w:b w:val="0"/>
          <w:bCs w:val="0"/>
        </w:rPr>
        <w:t>)</w:t>
      </w:r>
      <w:r w:rsidRPr="008D60D4">
        <w:rPr>
          <w:rStyle w:val="Refdenotaalpie"/>
          <w:rFonts w:ascii="Tahoma" w:hAnsi="Tahoma" w:cs="Tahoma"/>
          <w:b w:val="0"/>
          <w:bCs w:val="0"/>
        </w:rPr>
        <w:footnoteReference w:id="3"/>
      </w:r>
      <w:r w:rsidRPr="008D60D4">
        <w:rPr>
          <w:rFonts w:ascii="Tahoma" w:hAnsi="Tahoma" w:cs="Tahoma"/>
          <w:b w:val="0"/>
          <w:bCs w:val="0"/>
        </w:rPr>
        <w:t>.</w:t>
      </w:r>
    </w:p>
    <w:p w14:paraId="5D2F715A" w14:textId="77777777" w:rsidR="004A3187" w:rsidRPr="008D60D4" w:rsidRDefault="004A3187" w:rsidP="008D60D4">
      <w:pPr>
        <w:spacing w:line="276" w:lineRule="auto"/>
        <w:ind w:firstLine="708"/>
        <w:rPr>
          <w:rFonts w:cs="Tahoma"/>
          <w:color w:val="000000"/>
          <w:szCs w:val="24"/>
          <w:shd w:val="clear" w:color="auto" w:fill="FFFFFF"/>
        </w:rPr>
      </w:pPr>
    </w:p>
    <w:p w14:paraId="6FD58866" w14:textId="689BD902" w:rsidR="004A3187" w:rsidRPr="008D60D4" w:rsidRDefault="004A3187" w:rsidP="008D60D4">
      <w:pPr>
        <w:spacing w:line="276" w:lineRule="auto"/>
        <w:ind w:firstLine="708"/>
        <w:rPr>
          <w:rFonts w:cs="Tahoma"/>
          <w:color w:val="000000"/>
          <w:szCs w:val="24"/>
          <w:shd w:val="clear" w:color="auto" w:fill="FFFFFF"/>
        </w:rPr>
      </w:pPr>
      <w:r w:rsidRPr="008D60D4">
        <w:rPr>
          <w:rFonts w:cs="Tahoma"/>
          <w:color w:val="000000"/>
          <w:szCs w:val="24"/>
          <w:shd w:val="clear" w:color="auto" w:fill="FFFFFF"/>
        </w:rPr>
        <w:t>Con sustento en lo anterior, al margen del alcance de cosa juzgada que pueda emanar del instrumento transaccional en que se escuda la codemandada</w:t>
      </w:r>
      <w:r w:rsidR="00CC343B" w:rsidRPr="008D60D4">
        <w:rPr>
          <w:rFonts w:cs="Tahoma"/>
          <w:color w:val="000000"/>
          <w:szCs w:val="24"/>
          <w:shd w:val="clear" w:color="auto" w:fill="FFFFFF"/>
        </w:rPr>
        <w:t xml:space="preserve"> para impedir la continuación del proceso</w:t>
      </w:r>
      <w:r w:rsidRPr="008D60D4">
        <w:rPr>
          <w:rFonts w:cs="Tahoma"/>
          <w:color w:val="000000"/>
          <w:szCs w:val="24"/>
          <w:shd w:val="clear" w:color="auto" w:fill="FFFFFF"/>
        </w:rPr>
        <w:t>, teniendo en cuenta que el actor alega en uno de los hechos de la demanda</w:t>
      </w:r>
      <w:r w:rsidR="00CC343B" w:rsidRPr="008D60D4">
        <w:rPr>
          <w:rFonts w:cs="Tahoma"/>
          <w:color w:val="000000"/>
          <w:szCs w:val="24"/>
          <w:shd w:val="clear" w:color="auto" w:fill="FFFFFF"/>
        </w:rPr>
        <w:t xml:space="preserve"> que fue sometido a engaño en la antesala de su suscripción, puntualmente en el </w:t>
      </w:r>
      <w:r w:rsidR="00CC343B" w:rsidRPr="008D60D4">
        <w:rPr>
          <w:rFonts w:eastAsia="Arial Narrow" w:cs="Tahoma"/>
          <w:szCs w:val="24"/>
        </w:rPr>
        <w:t xml:space="preserve">hecho once del libelo introductor, donde plantea que el documento fue firmado </w:t>
      </w:r>
      <w:r w:rsidR="00CC343B" w:rsidRPr="008D60D4">
        <w:rPr>
          <w:rFonts w:eastAsia="Arial Narrow" w:cs="Tahoma"/>
          <w:i/>
          <w:iCs/>
          <w:szCs w:val="24"/>
        </w:rPr>
        <w:t>“medi</w:t>
      </w:r>
      <w:r w:rsidR="002755EA">
        <w:rPr>
          <w:rFonts w:eastAsia="Arial Narrow" w:cs="Tahoma"/>
          <w:i/>
          <w:iCs/>
          <w:szCs w:val="24"/>
        </w:rPr>
        <w:t>ante manifestaciones engañosas”</w:t>
      </w:r>
      <w:r w:rsidRPr="008D60D4">
        <w:rPr>
          <w:rFonts w:cs="Tahoma"/>
          <w:color w:val="000000"/>
          <w:szCs w:val="24"/>
          <w:shd w:val="clear" w:color="auto" w:fill="FFFFFF"/>
        </w:rPr>
        <w:t>, no era viable resolver la excepción como previa, pues solo en el devenir del juicio se podrá establecer si ello en realidad ocurrió</w:t>
      </w:r>
      <w:r w:rsidR="00CC343B" w:rsidRPr="008D60D4">
        <w:rPr>
          <w:rFonts w:cs="Tahoma"/>
          <w:color w:val="000000"/>
          <w:szCs w:val="24"/>
          <w:shd w:val="clear" w:color="auto" w:fill="FFFFFF"/>
        </w:rPr>
        <w:t xml:space="preserve"> y si tuvo la virtualidad de invalidar o </w:t>
      </w:r>
      <w:proofErr w:type="spellStart"/>
      <w:r w:rsidR="00CC343B" w:rsidRPr="008D60D4">
        <w:rPr>
          <w:rFonts w:cs="Tahoma"/>
          <w:color w:val="000000"/>
          <w:szCs w:val="24"/>
          <w:shd w:val="clear" w:color="auto" w:fill="FFFFFF"/>
        </w:rPr>
        <w:t>nulitar</w:t>
      </w:r>
      <w:proofErr w:type="spellEnd"/>
      <w:r w:rsidR="00CC343B" w:rsidRPr="008D60D4">
        <w:rPr>
          <w:rFonts w:cs="Tahoma"/>
          <w:color w:val="000000"/>
          <w:szCs w:val="24"/>
          <w:shd w:val="clear" w:color="auto" w:fill="FFFFFF"/>
        </w:rPr>
        <w:t xml:space="preserve"> el acuerdo transaccional</w:t>
      </w:r>
      <w:r w:rsidRPr="008D60D4">
        <w:rPr>
          <w:rFonts w:cs="Tahoma"/>
          <w:color w:val="000000"/>
          <w:szCs w:val="24"/>
          <w:shd w:val="clear" w:color="auto" w:fill="FFFFFF"/>
        </w:rPr>
        <w:t>, como paso previo al análisis de sus efectos materiales. Dicho de otra manera, cuando se pone</w:t>
      </w:r>
      <w:r w:rsidR="002B48BC" w:rsidRPr="008D60D4">
        <w:rPr>
          <w:rFonts w:cs="Tahoma"/>
          <w:color w:val="000000"/>
          <w:szCs w:val="24"/>
          <w:shd w:val="clear" w:color="auto" w:fill="FFFFFF"/>
        </w:rPr>
        <w:t>n en duda los elementos de validez de la transacción o la conciliación y, por esta vía, el demandante persigue enervar sus efectos jurídicos,</w:t>
      </w:r>
      <w:r w:rsidR="00CC343B" w:rsidRPr="008D60D4">
        <w:rPr>
          <w:rFonts w:cs="Tahoma"/>
          <w:color w:val="000000"/>
          <w:szCs w:val="24"/>
          <w:shd w:val="clear" w:color="auto" w:fill="FFFFFF"/>
        </w:rPr>
        <w:t xml:space="preserve"> que no es nada distinto a restarle validez </w:t>
      </w:r>
      <w:r w:rsidR="00854D8F" w:rsidRPr="008D60D4">
        <w:rPr>
          <w:rFonts w:cs="Tahoma"/>
          <w:color w:val="000000"/>
          <w:szCs w:val="24"/>
          <w:shd w:val="clear" w:color="auto" w:fill="FFFFFF"/>
        </w:rPr>
        <w:t>a los efectos de cosa juzgada, el</w:t>
      </w:r>
      <w:r w:rsidR="002B48BC" w:rsidRPr="008D60D4">
        <w:rPr>
          <w:rFonts w:cs="Tahoma"/>
          <w:color w:val="000000"/>
          <w:szCs w:val="24"/>
          <w:shd w:val="clear" w:color="auto" w:fill="FFFFFF"/>
        </w:rPr>
        <w:t xml:space="preserve"> juzgador </w:t>
      </w:r>
      <w:r w:rsidR="00854D8F" w:rsidRPr="008D60D4">
        <w:rPr>
          <w:rFonts w:cs="Tahoma"/>
          <w:color w:val="000000"/>
          <w:szCs w:val="24"/>
          <w:shd w:val="clear" w:color="auto" w:fill="FFFFFF"/>
        </w:rPr>
        <w:t xml:space="preserve">o juzgadora </w:t>
      </w:r>
      <w:r w:rsidR="002B48BC" w:rsidRPr="008D60D4">
        <w:rPr>
          <w:rFonts w:cs="Tahoma"/>
          <w:color w:val="000000"/>
          <w:szCs w:val="24"/>
          <w:shd w:val="clear" w:color="auto" w:fill="FFFFFF"/>
        </w:rPr>
        <w:t>debe empezar por resolver</w:t>
      </w:r>
      <w:r w:rsidR="00854D8F" w:rsidRPr="008D60D4">
        <w:rPr>
          <w:rFonts w:cs="Tahoma"/>
          <w:color w:val="000000"/>
          <w:szCs w:val="24"/>
          <w:shd w:val="clear" w:color="auto" w:fill="FFFFFF"/>
        </w:rPr>
        <w:t xml:space="preserve"> acerca de la viabilidad de dicho alegato, pues </w:t>
      </w:r>
      <w:r w:rsidR="00F0505C" w:rsidRPr="008D60D4">
        <w:rPr>
          <w:rFonts w:cs="Tahoma"/>
          <w:color w:val="000000"/>
          <w:szCs w:val="24"/>
          <w:shd w:val="clear" w:color="auto" w:fill="FFFFFF"/>
        </w:rPr>
        <w:t>es</w:t>
      </w:r>
      <w:r w:rsidR="00854D8F" w:rsidRPr="008D60D4">
        <w:rPr>
          <w:rFonts w:cs="Tahoma"/>
          <w:color w:val="000000"/>
          <w:szCs w:val="24"/>
          <w:shd w:val="clear" w:color="auto" w:fill="FFFFFF"/>
        </w:rPr>
        <w:t xml:space="preserve"> lógico que </w:t>
      </w:r>
      <w:r w:rsidR="00F0505C" w:rsidRPr="008D60D4">
        <w:rPr>
          <w:rFonts w:cs="Tahoma"/>
          <w:color w:val="000000"/>
          <w:szCs w:val="24"/>
          <w:shd w:val="clear" w:color="auto" w:fill="FFFFFF"/>
        </w:rPr>
        <w:t xml:space="preserve">de </w:t>
      </w:r>
      <w:r w:rsidR="00854D8F" w:rsidRPr="008D60D4">
        <w:rPr>
          <w:rFonts w:cs="Tahoma"/>
          <w:color w:val="000000"/>
          <w:szCs w:val="24"/>
          <w:shd w:val="clear" w:color="auto" w:fill="FFFFFF"/>
        </w:rPr>
        <w:t xml:space="preserve">un acto invalido o nulo, no puede emanar el efecto de cosa juzgada. </w:t>
      </w:r>
      <w:r w:rsidR="002B48BC" w:rsidRPr="008D60D4">
        <w:rPr>
          <w:rFonts w:cs="Tahoma"/>
          <w:color w:val="000000"/>
          <w:szCs w:val="24"/>
          <w:shd w:val="clear" w:color="auto" w:fill="FFFFFF"/>
        </w:rPr>
        <w:t xml:space="preserve"> </w:t>
      </w:r>
    </w:p>
    <w:p w14:paraId="5BDB73AC" w14:textId="77777777" w:rsidR="004A3187" w:rsidRPr="008D60D4" w:rsidRDefault="004A3187" w:rsidP="008D60D4">
      <w:pPr>
        <w:spacing w:line="276" w:lineRule="auto"/>
        <w:ind w:firstLine="708"/>
        <w:rPr>
          <w:rFonts w:cs="Tahoma"/>
          <w:color w:val="000000"/>
          <w:szCs w:val="24"/>
          <w:shd w:val="clear" w:color="auto" w:fill="FFFFFF"/>
        </w:rPr>
      </w:pPr>
    </w:p>
    <w:p w14:paraId="7D385E50" w14:textId="5FA89EE9" w:rsidR="00AC1196" w:rsidRPr="00B3557A" w:rsidRDefault="00854D8F" w:rsidP="008D60D4">
      <w:pPr>
        <w:spacing w:line="276" w:lineRule="auto"/>
        <w:ind w:firstLine="708"/>
        <w:rPr>
          <w:rFonts w:cs="Tahoma"/>
          <w:color w:val="000000"/>
          <w:szCs w:val="24"/>
          <w:shd w:val="clear" w:color="auto" w:fill="FFFFFF"/>
        </w:rPr>
      </w:pPr>
      <w:r w:rsidRPr="008D60D4">
        <w:rPr>
          <w:rFonts w:cs="Tahoma"/>
          <w:color w:val="000000"/>
          <w:szCs w:val="24"/>
          <w:shd w:val="clear" w:color="auto" w:fill="FFFFFF"/>
        </w:rPr>
        <w:t xml:space="preserve">Al respecto ya ha tenido oportunidad de pronunciarse esta Colegiatura, </w:t>
      </w:r>
      <w:r w:rsidR="007E7152" w:rsidRPr="008D60D4">
        <w:rPr>
          <w:rFonts w:cs="Tahoma"/>
          <w:color w:val="000000"/>
          <w:szCs w:val="24"/>
          <w:shd w:val="clear" w:color="auto" w:fill="FFFFFF"/>
        </w:rPr>
        <w:t xml:space="preserve">en </w:t>
      </w:r>
      <w:r w:rsidR="0073490C" w:rsidRPr="008D60D4">
        <w:rPr>
          <w:rFonts w:cs="Tahoma"/>
          <w:color w:val="000000"/>
          <w:szCs w:val="24"/>
          <w:shd w:val="clear" w:color="auto" w:fill="FFFFFF"/>
        </w:rPr>
        <w:t>providencia bajo radicado No. 66001-31-05-003-2017-00378-01 del 9 de mayo de 2019</w:t>
      </w:r>
      <w:r w:rsidRPr="008D60D4">
        <w:rPr>
          <w:rFonts w:cs="Tahoma"/>
          <w:color w:val="000000"/>
          <w:szCs w:val="24"/>
          <w:shd w:val="clear" w:color="auto" w:fill="FFFFFF"/>
        </w:rPr>
        <w:t>,</w:t>
      </w:r>
      <w:r w:rsidR="3EA3FFA1" w:rsidRPr="008D60D4">
        <w:rPr>
          <w:rFonts w:cs="Tahoma"/>
          <w:color w:val="000000"/>
          <w:szCs w:val="24"/>
          <w:shd w:val="clear" w:color="auto" w:fill="FFFFFF"/>
        </w:rPr>
        <w:t xml:space="preserve"> </w:t>
      </w:r>
      <w:proofErr w:type="spellStart"/>
      <w:r w:rsidR="3EA3FFA1" w:rsidRPr="008D60D4">
        <w:rPr>
          <w:rFonts w:cs="Tahoma"/>
          <w:color w:val="000000"/>
          <w:szCs w:val="24"/>
          <w:shd w:val="clear" w:color="auto" w:fill="FFFFFF"/>
        </w:rPr>
        <w:t>M.P</w:t>
      </w:r>
      <w:proofErr w:type="spellEnd"/>
      <w:r w:rsidR="3EA3FFA1" w:rsidRPr="008D60D4">
        <w:rPr>
          <w:rFonts w:cs="Tahoma"/>
          <w:color w:val="000000"/>
          <w:szCs w:val="24"/>
          <w:shd w:val="clear" w:color="auto" w:fill="FFFFFF"/>
        </w:rPr>
        <w:t>. Francisco Javier Tamayo Tabares,</w:t>
      </w:r>
      <w:r w:rsidRPr="008D60D4">
        <w:rPr>
          <w:rFonts w:cs="Tahoma"/>
          <w:color w:val="000000"/>
          <w:szCs w:val="24"/>
          <w:shd w:val="clear" w:color="auto" w:fill="FFFFFF"/>
        </w:rPr>
        <w:t xml:space="preserve"> donde se indicó:</w:t>
      </w:r>
      <w:r w:rsidR="00F60257" w:rsidRPr="008D60D4">
        <w:rPr>
          <w:rFonts w:eastAsia="Arial Narrow" w:cs="Tahoma"/>
          <w:i/>
          <w:iCs/>
          <w:szCs w:val="24"/>
        </w:rPr>
        <w:t>“</w:t>
      </w:r>
      <w:r w:rsidR="00F0505C" w:rsidRPr="00B3557A">
        <w:rPr>
          <w:rFonts w:eastAsia="Arial Narrow" w:cs="Tahoma"/>
          <w:i/>
          <w:iCs/>
          <w:sz w:val="22"/>
          <w:szCs w:val="24"/>
        </w:rPr>
        <w:t xml:space="preserve">(…) </w:t>
      </w:r>
      <w:r w:rsidR="001C3D59" w:rsidRPr="00B3557A">
        <w:rPr>
          <w:rFonts w:eastAsia="Arial Narrow" w:cs="Tahoma"/>
          <w:i/>
          <w:iCs/>
          <w:sz w:val="22"/>
          <w:szCs w:val="24"/>
        </w:rPr>
        <w:t xml:space="preserve">El contrato de transacción, conforme a lo señalado en los artículos 2.469 y siguientes del Código Civil, permite que las partes que lo suscriben terminen de manera extrajudicial un litigio en curso o prevengan una futura contienda judicial, culminación que en todo caso y conforme a las voces del canon 2.483 de la obra en cita, surte efectos de cosa juzgada, es decir, no permite que se reabra el debate judicialmente entre las partes, </w:t>
      </w:r>
      <w:r w:rsidR="001C3D59" w:rsidRPr="00B3557A">
        <w:rPr>
          <w:rFonts w:eastAsia="Arial Narrow" w:cs="Tahoma"/>
          <w:i/>
          <w:iCs/>
          <w:sz w:val="22"/>
          <w:szCs w:val="24"/>
          <w:u w:val="single"/>
        </w:rPr>
        <w:t>salvo cuando se ataque la nulidad o rescisión del mismo convenio de transacción</w:t>
      </w:r>
      <w:r w:rsidR="00B3557A" w:rsidRPr="00B3557A">
        <w:rPr>
          <w:rFonts w:eastAsia="Arial Narrow" w:cs="Tahoma"/>
          <w:i/>
          <w:iCs/>
          <w:szCs w:val="24"/>
        </w:rPr>
        <w:t>”</w:t>
      </w:r>
      <w:r w:rsidR="001C3D59" w:rsidRPr="00B3557A">
        <w:rPr>
          <w:rFonts w:eastAsia="Arial Narrow" w:cs="Tahoma"/>
          <w:i/>
          <w:iCs/>
          <w:szCs w:val="24"/>
        </w:rPr>
        <w:t>.</w:t>
      </w:r>
      <w:r w:rsidRPr="00B3557A">
        <w:rPr>
          <w:rFonts w:eastAsia="Arial Narrow" w:cs="Tahoma"/>
          <w:i/>
          <w:iCs/>
          <w:szCs w:val="24"/>
        </w:rPr>
        <w:t xml:space="preserve"> </w:t>
      </w:r>
      <w:r w:rsidRPr="00B3557A">
        <w:rPr>
          <w:rFonts w:eastAsia="Arial Narrow" w:cs="Tahoma"/>
          <w:szCs w:val="24"/>
        </w:rPr>
        <w:t>(subrayado fuera de texto).</w:t>
      </w:r>
    </w:p>
    <w:p w14:paraId="3B57D366" w14:textId="1FF222E4" w:rsidR="00D45E79" w:rsidRPr="008D60D4" w:rsidRDefault="00D45E79" w:rsidP="008D60D4">
      <w:pPr>
        <w:spacing w:line="276" w:lineRule="auto"/>
        <w:rPr>
          <w:rFonts w:eastAsia="Arial Narrow" w:cs="Tahoma"/>
          <w:szCs w:val="24"/>
        </w:rPr>
      </w:pPr>
    </w:p>
    <w:p w14:paraId="73C32132" w14:textId="70B3E9B8" w:rsidR="00F0505C" w:rsidRPr="008D60D4" w:rsidRDefault="00482D9D" w:rsidP="008D60D4">
      <w:pPr>
        <w:spacing w:line="276" w:lineRule="auto"/>
        <w:rPr>
          <w:rFonts w:eastAsia="Arial Narrow" w:cs="Tahoma"/>
          <w:szCs w:val="24"/>
        </w:rPr>
      </w:pPr>
      <w:r w:rsidRPr="008D60D4">
        <w:rPr>
          <w:rFonts w:eastAsia="Arial Narrow" w:cs="Tahoma"/>
          <w:szCs w:val="24"/>
        </w:rPr>
        <w:tab/>
      </w:r>
      <w:r w:rsidR="00F0505C" w:rsidRPr="008D60D4">
        <w:rPr>
          <w:rFonts w:eastAsia="Arial Narrow" w:cs="Tahoma"/>
          <w:szCs w:val="24"/>
        </w:rPr>
        <w:t xml:space="preserve">Ahora bien, aunque ninguna pretensión se encamina a la declaración de la nulidad, invalidez o ineficacia del acto de transacción, </w:t>
      </w:r>
      <w:r w:rsidR="3F51FAB5" w:rsidRPr="008D60D4">
        <w:rPr>
          <w:rFonts w:eastAsia="Arial Narrow" w:cs="Tahoma"/>
          <w:szCs w:val="24"/>
        </w:rPr>
        <w:t xml:space="preserve">debido a que el pedido judicial no es otro que la declaratoria de la </w:t>
      </w:r>
      <w:r w:rsidR="722AE704" w:rsidRPr="008D60D4">
        <w:rPr>
          <w:rFonts w:eastAsia="Tahoma" w:cs="Tahoma"/>
          <w:szCs w:val="24"/>
          <w:lang w:val="es"/>
        </w:rPr>
        <w:t xml:space="preserve">ineficacia de la terminación de la relación laboral sin justa causa el 21 de diciembre de 2018, en concordancia con el artículo 64 del </w:t>
      </w:r>
      <w:proofErr w:type="spellStart"/>
      <w:r w:rsidR="722AE704" w:rsidRPr="008D60D4">
        <w:rPr>
          <w:rFonts w:eastAsia="Tahoma" w:cs="Tahoma"/>
          <w:szCs w:val="24"/>
          <w:lang w:val="es"/>
        </w:rPr>
        <w:t>C.S.T</w:t>
      </w:r>
      <w:proofErr w:type="spellEnd"/>
      <w:r w:rsidR="00FC17DB">
        <w:rPr>
          <w:rFonts w:eastAsia="Tahoma" w:cs="Tahoma"/>
          <w:szCs w:val="24"/>
          <w:lang w:val="es"/>
        </w:rPr>
        <w:t>.</w:t>
      </w:r>
      <w:r w:rsidR="722AE704" w:rsidRPr="008D60D4">
        <w:rPr>
          <w:rFonts w:eastAsia="Tahoma" w:cs="Tahoma"/>
          <w:szCs w:val="24"/>
          <w:lang w:val="es"/>
        </w:rPr>
        <w:t xml:space="preserve"> debido a que la obra se encontraba en ejecución, </w:t>
      </w:r>
      <w:proofErr w:type="spellStart"/>
      <w:r w:rsidR="722AE704" w:rsidRPr="008D60D4">
        <w:rPr>
          <w:rFonts w:eastAsia="Tahoma" w:cs="Tahoma"/>
          <w:szCs w:val="24"/>
          <w:lang w:val="es"/>
        </w:rPr>
        <w:t>auando</w:t>
      </w:r>
      <w:proofErr w:type="spellEnd"/>
      <w:r w:rsidR="722AE704" w:rsidRPr="008D60D4">
        <w:rPr>
          <w:rFonts w:eastAsia="Tahoma" w:cs="Tahoma"/>
          <w:szCs w:val="24"/>
          <w:lang w:val="es"/>
        </w:rPr>
        <w:t xml:space="preserve"> al pago de los emolumentos dejado</w:t>
      </w:r>
      <w:r w:rsidR="00FC17DB">
        <w:rPr>
          <w:rFonts w:eastAsia="Tahoma" w:cs="Tahoma"/>
          <w:szCs w:val="24"/>
          <w:lang w:val="es"/>
        </w:rPr>
        <w:t>s</w:t>
      </w:r>
      <w:r w:rsidR="722AE704" w:rsidRPr="008D60D4">
        <w:rPr>
          <w:rFonts w:eastAsia="Tahoma" w:cs="Tahoma"/>
          <w:szCs w:val="24"/>
          <w:lang w:val="es"/>
        </w:rPr>
        <w:t xml:space="preserve"> de percibir, </w:t>
      </w:r>
      <w:r w:rsidR="00F0505C" w:rsidRPr="008D60D4">
        <w:rPr>
          <w:rFonts w:eastAsia="Arial Narrow" w:cs="Tahoma"/>
          <w:szCs w:val="24"/>
        </w:rPr>
        <w:t xml:space="preserve">esta omisión podrá tener relevancia al momento en que la </w:t>
      </w:r>
      <w:r w:rsidR="00F0505C" w:rsidRPr="008D60D4">
        <w:rPr>
          <w:rFonts w:eastAsia="Arial Narrow" w:cs="Tahoma"/>
          <w:i/>
          <w:iCs/>
          <w:szCs w:val="24"/>
        </w:rPr>
        <w:t>a-quo</w:t>
      </w:r>
      <w:r w:rsidR="00F0505C" w:rsidRPr="008D60D4">
        <w:rPr>
          <w:rFonts w:eastAsia="Arial Narrow" w:cs="Tahoma"/>
          <w:szCs w:val="24"/>
        </w:rPr>
        <w:t xml:space="preserve"> evalúe en la sentencia la viabilidad de una condena en tal sentido, pero de entrada no puede pasarse por alto que la sola enunciación de un hecho invalidante del acto obliga a </w:t>
      </w:r>
      <w:r w:rsidR="00557A08" w:rsidRPr="008D60D4">
        <w:rPr>
          <w:rFonts w:eastAsia="Arial Narrow" w:cs="Tahoma"/>
          <w:szCs w:val="24"/>
        </w:rPr>
        <w:t xml:space="preserve">la práctica y eventual justipreciación de los medios probatorios que se arrimen al proceso para demostrar o desvirtuar el hecho, sin que esto sea camisa </w:t>
      </w:r>
      <w:r w:rsidR="5DD24C41" w:rsidRPr="008D60D4">
        <w:rPr>
          <w:rFonts w:eastAsia="Arial Narrow" w:cs="Tahoma"/>
          <w:szCs w:val="24"/>
        </w:rPr>
        <w:t>de</w:t>
      </w:r>
      <w:r w:rsidR="00557A08" w:rsidRPr="008D60D4">
        <w:rPr>
          <w:rFonts w:eastAsia="Arial Narrow" w:cs="Tahoma"/>
          <w:szCs w:val="24"/>
        </w:rPr>
        <w:t xml:space="preserve"> fuerza para que la juzgadora de primera instancia acceda al pedido impugnatorio, pues será del resorte de la sentencia de primera instancia</w:t>
      </w:r>
      <w:r w:rsidR="501465C9" w:rsidRPr="008D60D4">
        <w:rPr>
          <w:rFonts w:eastAsia="Arial Narrow" w:cs="Tahoma"/>
          <w:szCs w:val="24"/>
        </w:rPr>
        <w:t xml:space="preserve">: i) </w:t>
      </w:r>
      <w:r w:rsidR="00557A08" w:rsidRPr="008D60D4">
        <w:rPr>
          <w:rFonts w:eastAsia="Arial Narrow" w:cs="Tahoma"/>
          <w:szCs w:val="24"/>
        </w:rPr>
        <w:t xml:space="preserve">establecer si se requiere </w:t>
      </w:r>
      <w:r w:rsidR="00557A08" w:rsidRPr="008D60D4">
        <w:rPr>
          <w:rFonts w:eastAsia="Arial Narrow" w:cs="Tahoma"/>
          <w:szCs w:val="24"/>
        </w:rPr>
        <w:lastRenderedPageBreak/>
        <w:t xml:space="preserve">pretensión expresa para declarar la nulidad que el demandante pregona en el recurso que actualmente resuelve esta </w:t>
      </w:r>
      <w:r w:rsidR="29847420" w:rsidRPr="008D60D4">
        <w:rPr>
          <w:rFonts w:eastAsia="Arial Narrow" w:cs="Tahoma"/>
          <w:szCs w:val="24"/>
        </w:rPr>
        <w:t>Sala</w:t>
      </w:r>
      <w:r w:rsidR="0777BF90" w:rsidRPr="008D60D4">
        <w:rPr>
          <w:rFonts w:eastAsia="Arial Narrow" w:cs="Tahoma"/>
          <w:szCs w:val="24"/>
        </w:rPr>
        <w:t xml:space="preserve">; ii) </w:t>
      </w:r>
      <w:r w:rsidR="747253F7" w:rsidRPr="008D60D4">
        <w:rPr>
          <w:rFonts w:eastAsia="Arial Narrow" w:cs="Tahoma"/>
          <w:szCs w:val="24"/>
        </w:rPr>
        <w:t>evaluar la validez del acuerdo al determinar</w:t>
      </w:r>
      <w:r w:rsidR="1F60E5CD" w:rsidRPr="008D60D4">
        <w:rPr>
          <w:rFonts w:eastAsia="Arial Narrow" w:cs="Tahoma"/>
          <w:szCs w:val="24"/>
        </w:rPr>
        <w:t xml:space="preserve"> que no se hubieren violentado derechos ciertos e indiscutibles</w:t>
      </w:r>
      <w:r w:rsidR="4B5E7263" w:rsidRPr="008D60D4">
        <w:rPr>
          <w:rFonts w:eastAsia="Arial Narrow" w:cs="Tahoma"/>
          <w:szCs w:val="24"/>
        </w:rPr>
        <w:t>; y iii) Analizar si perme</w:t>
      </w:r>
      <w:r w:rsidR="321D0DFF" w:rsidRPr="008D60D4">
        <w:rPr>
          <w:rFonts w:eastAsia="Arial Narrow" w:cs="Tahoma"/>
          <w:szCs w:val="24"/>
        </w:rPr>
        <w:t>ó</w:t>
      </w:r>
      <w:r w:rsidR="4B5E7263" w:rsidRPr="008D60D4">
        <w:rPr>
          <w:rFonts w:eastAsia="Arial Narrow" w:cs="Tahoma"/>
          <w:szCs w:val="24"/>
        </w:rPr>
        <w:t xml:space="preserve"> la totalidad de los emolumentos reclamados y discutidos en sede judicial</w:t>
      </w:r>
      <w:r w:rsidR="3FEF1CA9" w:rsidRPr="008D60D4">
        <w:rPr>
          <w:rFonts w:eastAsia="Arial Narrow" w:cs="Tahoma"/>
          <w:szCs w:val="24"/>
        </w:rPr>
        <w:t>.</w:t>
      </w:r>
      <w:r w:rsidR="4B5E7263" w:rsidRPr="008D60D4">
        <w:rPr>
          <w:rFonts w:eastAsia="Arial Narrow" w:cs="Tahoma"/>
          <w:szCs w:val="24"/>
        </w:rPr>
        <w:t xml:space="preserve"> De ahí que resulte </w:t>
      </w:r>
      <w:r w:rsidR="00557A08" w:rsidRPr="008D60D4">
        <w:rPr>
          <w:rFonts w:eastAsia="Arial Narrow" w:cs="Tahoma"/>
          <w:szCs w:val="24"/>
        </w:rPr>
        <w:t xml:space="preserve">improcedente cualquier pronunciamiento de </w:t>
      </w:r>
      <w:r w:rsidR="005874A2" w:rsidRPr="008D60D4">
        <w:rPr>
          <w:rFonts w:eastAsia="Arial Narrow" w:cs="Tahoma"/>
          <w:szCs w:val="24"/>
        </w:rPr>
        <w:t>la Corporación</w:t>
      </w:r>
      <w:r w:rsidR="00557A08" w:rsidRPr="008D60D4">
        <w:rPr>
          <w:rFonts w:eastAsia="Arial Narrow" w:cs="Tahoma"/>
          <w:szCs w:val="24"/>
        </w:rPr>
        <w:t xml:space="preserve"> en esta etapa del proceso, pues, se itera, de ello se debe</w:t>
      </w:r>
      <w:r w:rsidR="005874A2" w:rsidRPr="008D60D4">
        <w:rPr>
          <w:rFonts w:eastAsia="Arial Narrow" w:cs="Tahoma"/>
          <w:szCs w:val="24"/>
        </w:rPr>
        <w:t>rá</w:t>
      </w:r>
      <w:r w:rsidR="00557A08" w:rsidRPr="008D60D4">
        <w:rPr>
          <w:rFonts w:eastAsia="Arial Narrow" w:cs="Tahoma"/>
          <w:szCs w:val="24"/>
        </w:rPr>
        <w:t xml:space="preserve"> ocupar la sentencia.  </w:t>
      </w:r>
      <w:r w:rsidR="00F0505C" w:rsidRPr="008D60D4">
        <w:rPr>
          <w:rFonts w:eastAsia="Arial Narrow" w:cs="Tahoma"/>
          <w:szCs w:val="24"/>
        </w:rPr>
        <w:t xml:space="preserve"> </w:t>
      </w:r>
    </w:p>
    <w:p w14:paraId="3E38698A" w14:textId="77777777" w:rsidR="006E70AB" w:rsidRPr="008D60D4" w:rsidRDefault="006E70AB" w:rsidP="008D60D4">
      <w:pPr>
        <w:spacing w:line="276" w:lineRule="auto"/>
        <w:rPr>
          <w:rFonts w:eastAsia="Arial Narrow" w:cs="Tahoma"/>
          <w:szCs w:val="24"/>
        </w:rPr>
      </w:pPr>
    </w:p>
    <w:p w14:paraId="09E58590" w14:textId="36633939" w:rsidR="006E70AB" w:rsidRPr="008D60D4" w:rsidRDefault="006E70AB" w:rsidP="008D60D4">
      <w:pPr>
        <w:spacing w:line="276" w:lineRule="auto"/>
        <w:rPr>
          <w:rFonts w:eastAsia="Arial Narrow" w:cs="Tahoma"/>
          <w:szCs w:val="24"/>
        </w:rPr>
      </w:pPr>
      <w:r w:rsidRPr="008D60D4">
        <w:rPr>
          <w:rFonts w:eastAsia="Arial Narrow" w:cs="Tahoma"/>
          <w:szCs w:val="24"/>
        </w:rPr>
        <w:tab/>
        <w:t>Por lo expuesto, se revocará</w:t>
      </w:r>
      <w:r w:rsidR="006735AA" w:rsidRPr="008D60D4">
        <w:rPr>
          <w:rFonts w:eastAsia="Arial Narrow" w:cs="Tahoma"/>
          <w:szCs w:val="24"/>
        </w:rPr>
        <w:t xml:space="preserve"> el</w:t>
      </w:r>
      <w:r w:rsidR="002F7EA6" w:rsidRPr="008D60D4">
        <w:rPr>
          <w:rFonts w:eastAsia="Arial Narrow" w:cs="Tahoma"/>
          <w:szCs w:val="24"/>
        </w:rPr>
        <w:t xml:space="preserve"> </w:t>
      </w:r>
      <w:r w:rsidR="002A3AD2" w:rsidRPr="008D60D4">
        <w:rPr>
          <w:rFonts w:eastAsia="Arial Narrow" w:cs="Tahoma"/>
          <w:szCs w:val="24"/>
        </w:rPr>
        <w:t>auto proferido por el Juzgado Tercero Laboral del Circuito de Pereira</w:t>
      </w:r>
      <w:r w:rsidR="00FA047E" w:rsidRPr="008D60D4">
        <w:rPr>
          <w:rFonts w:eastAsia="Arial Narrow" w:cs="Tahoma"/>
          <w:szCs w:val="24"/>
        </w:rPr>
        <w:t xml:space="preserve"> </w:t>
      </w:r>
      <w:r w:rsidR="002A3AD2" w:rsidRPr="008D60D4">
        <w:rPr>
          <w:rFonts w:eastAsia="Arial Narrow" w:cs="Tahoma"/>
          <w:szCs w:val="24"/>
        </w:rPr>
        <w:t>el</w:t>
      </w:r>
      <w:r w:rsidR="005874A2" w:rsidRPr="008D60D4">
        <w:rPr>
          <w:rFonts w:eastAsia="Arial Narrow" w:cs="Tahoma"/>
          <w:szCs w:val="24"/>
        </w:rPr>
        <w:t xml:space="preserve"> pasado</w:t>
      </w:r>
      <w:r w:rsidR="002A3AD2" w:rsidRPr="008D60D4">
        <w:rPr>
          <w:rFonts w:eastAsia="Arial Narrow" w:cs="Tahoma"/>
          <w:szCs w:val="24"/>
        </w:rPr>
        <w:t xml:space="preserve"> 04 de septiembre de 2023, por medio del cual declaró probada </w:t>
      </w:r>
      <w:r w:rsidR="00557A08" w:rsidRPr="008D60D4">
        <w:rPr>
          <w:rFonts w:eastAsia="Arial Narrow" w:cs="Tahoma"/>
          <w:szCs w:val="24"/>
        </w:rPr>
        <w:t xml:space="preserve">la </w:t>
      </w:r>
      <w:r w:rsidR="002A3AD2" w:rsidRPr="008D60D4">
        <w:rPr>
          <w:rFonts w:eastAsia="Arial Narrow" w:cs="Tahoma"/>
          <w:szCs w:val="24"/>
        </w:rPr>
        <w:t>excepci</w:t>
      </w:r>
      <w:r w:rsidR="00557A08" w:rsidRPr="008D60D4">
        <w:rPr>
          <w:rFonts w:eastAsia="Arial Narrow" w:cs="Tahoma"/>
          <w:szCs w:val="24"/>
        </w:rPr>
        <w:t>ón</w:t>
      </w:r>
      <w:r w:rsidR="002A3AD2" w:rsidRPr="008D60D4">
        <w:rPr>
          <w:rFonts w:eastAsia="Arial Narrow" w:cs="Tahoma"/>
          <w:szCs w:val="24"/>
        </w:rPr>
        <w:t xml:space="preserve"> previa de “cosa juzgada”</w:t>
      </w:r>
      <w:r w:rsidR="005E42A7" w:rsidRPr="008D60D4">
        <w:rPr>
          <w:rFonts w:eastAsia="Arial Narrow" w:cs="Tahoma"/>
          <w:szCs w:val="24"/>
        </w:rPr>
        <w:t>, y en su lugar, se declarará no probada para que la jueza evalué la legalidad</w:t>
      </w:r>
      <w:r w:rsidR="00557A08" w:rsidRPr="008D60D4">
        <w:rPr>
          <w:rFonts w:eastAsia="Arial Narrow" w:cs="Tahoma"/>
          <w:szCs w:val="24"/>
        </w:rPr>
        <w:t xml:space="preserve"> y validez</w:t>
      </w:r>
      <w:r w:rsidR="005E42A7" w:rsidRPr="008D60D4">
        <w:rPr>
          <w:rFonts w:eastAsia="Arial Narrow" w:cs="Tahoma"/>
          <w:szCs w:val="24"/>
        </w:rPr>
        <w:t xml:space="preserve"> del acuerdo transaccional </w:t>
      </w:r>
      <w:r w:rsidR="00DE4FD5" w:rsidRPr="008D60D4">
        <w:rPr>
          <w:rFonts w:eastAsia="Arial Narrow" w:cs="Tahoma"/>
          <w:szCs w:val="24"/>
        </w:rPr>
        <w:t xml:space="preserve">al momento de emitir sentencia, </w:t>
      </w:r>
      <w:r w:rsidR="005E42A7" w:rsidRPr="008D60D4">
        <w:rPr>
          <w:rFonts w:eastAsia="Arial Narrow" w:cs="Tahoma"/>
          <w:szCs w:val="24"/>
        </w:rPr>
        <w:t xml:space="preserve">o en su defecto, </w:t>
      </w:r>
      <w:r w:rsidR="00DE4FD5" w:rsidRPr="008D60D4">
        <w:rPr>
          <w:rFonts w:eastAsia="Arial Narrow" w:cs="Tahoma"/>
          <w:szCs w:val="24"/>
        </w:rPr>
        <w:t>la declare probada parcialmente y resuelva sobre</w:t>
      </w:r>
      <w:r w:rsidR="00557A08" w:rsidRPr="008D60D4">
        <w:rPr>
          <w:rFonts w:eastAsia="Arial Narrow" w:cs="Tahoma"/>
          <w:szCs w:val="24"/>
        </w:rPr>
        <w:t xml:space="preserve"> los eventuales</w:t>
      </w:r>
      <w:r w:rsidR="00DE4FD5" w:rsidRPr="008D60D4">
        <w:rPr>
          <w:rFonts w:eastAsia="Arial Narrow" w:cs="Tahoma"/>
          <w:szCs w:val="24"/>
        </w:rPr>
        <w:t xml:space="preserve"> pedimento</w:t>
      </w:r>
      <w:r w:rsidR="00557A08" w:rsidRPr="008D60D4">
        <w:rPr>
          <w:rFonts w:eastAsia="Arial Narrow" w:cs="Tahoma"/>
          <w:szCs w:val="24"/>
        </w:rPr>
        <w:t>s que no hayan sido cobijados por dicho acuerdo.</w:t>
      </w:r>
    </w:p>
    <w:p w14:paraId="4C1BAED6" w14:textId="77777777" w:rsidR="00557A08" w:rsidRPr="008D60D4" w:rsidRDefault="00557A08" w:rsidP="008D60D4">
      <w:pPr>
        <w:spacing w:line="276" w:lineRule="auto"/>
        <w:rPr>
          <w:rFonts w:eastAsia="Arial Narrow" w:cs="Tahoma"/>
          <w:szCs w:val="24"/>
        </w:rPr>
      </w:pPr>
    </w:p>
    <w:p w14:paraId="1AAE91B9" w14:textId="09B0E6BE" w:rsidR="001E4D75" w:rsidRPr="008D60D4" w:rsidRDefault="001E4D75" w:rsidP="008D60D4">
      <w:pPr>
        <w:pStyle w:val="Prrafodelista"/>
        <w:numPr>
          <w:ilvl w:val="1"/>
          <w:numId w:val="11"/>
        </w:numPr>
        <w:spacing w:line="276" w:lineRule="auto"/>
        <w:jc w:val="left"/>
        <w:rPr>
          <w:rStyle w:val="normaltextrun"/>
          <w:rFonts w:cs="Tahoma"/>
          <w:b/>
          <w:bCs/>
          <w:color w:val="000000"/>
          <w:szCs w:val="24"/>
        </w:rPr>
      </w:pPr>
      <w:r w:rsidRPr="008D60D4">
        <w:rPr>
          <w:rStyle w:val="normaltextrun"/>
          <w:rFonts w:cs="Tahoma"/>
          <w:b/>
          <w:bCs/>
          <w:color w:val="000000" w:themeColor="text1"/>
          <w:szCs w:val="24"/>
        </w:rPr>
        <w:t>Falta de agotamiento de la reclamación administrativa.</w:t>
      </w:r>
    </w:p>
    <w:p w14:paraId="3619327C" w14:textId="77777777" w:rsidR="001E4D75" w:rsidRPr="008D60D4" w:rsidRDefault="001E4D75" w:rsidP="008D60D4">
      <w:pPr>
        <w:pStyle w:val="Sinespaciado"/>
        <w:spacing w:line="276" w:lineRule="auto"/>
        <w:jc w:val="both"/>
        <w:rPr>
          <w:rFonts w:ascii="Tahoma" w:hAnsi="Tahoma" w:cs="Tahoma"/>
          <w:b/>
          <w:bCs/>
        </w:rPr>
      </w:pPr>
    </w:p>
    <w:p w14:paraId="7FB29570" w14:textId="67B923FF" w:rsidR="001E4D75" w:rsidRPr="008D60D4" w:rsidRDefault="00557A08" w:rsidP="008D60D4">
      <w:pPr>
        <w:pStyle w:val="Sinespaciado"/>
        <w:spacing w:line="276" w:lineRule="auto"/>
        <w:ind w:firstLine="709"/>
        <w:jc w:val="both"/>
        <w:rPr>
          <w:rFonts w:ascii="Tahoma" w:hAnsi="Tahoma" w:cs="Tahoma"/>
        </w:rPr>
      </w:pPr>
      <w:r w:rsidRPr="008D60D4">
        <w:rPr>
          <w:rFonts w:ascii="Tahoma" w:hAnsi="Tahoma" w:cs="Tahoma"/>
        </w:rPr>
        <w:t xml:space="preserve">Teniendo en cuenta que se revocará el auto que declaró prospera la excepción en virtud de la cual se ordenó la </w:t>
      </w:r>
      <w:r w:rsidR="005874A2" w:rsidRPr="008D60D4">
        <w:rPr>
          <w:rFonts w:ascii="Tahoma" w:hAnsi="Tahoma" w:cs="Tahoma"/>
        </w:rPr>
        <w:t>terminación del proceso, resulta necesario resolver la viabilidad del recurso contra el otro medio exceptivo propuesto por Cenit S.A.S., que la a-quo declaró impróspero, para ello b</w:t>
      </w:r>
      <w:r w:rsidR="001E4D75" w:rsidRPr="008D60D4">
        <w:rPr>
          <w:rFonts w:ascii="Tahoma" w:hAnsi="Tahoma" w:cs="Tahoma"/>
        </w:rPr>
        <w:t xml:space="preserve">asta remitirse a las pretensiones planteadas en la demanda para avizorar que con aquellas se busca la declaración de la existencia de un contrato de trabajo entre el demandante y </w:t>
      </w:r>
      <w:proofErr w:type="spellStart"/>
      <w:r w:rsidR="001E4D75" w:rsidRPr="008D60D4">
        <w:rPr>
          <w:rFonts w:ascii="Tahoma" w:hAnsi="Tahoma" w:cs="Tahoma"/>
        </w:rPr>
        <w:t>MONTECZ</w:t>
      </w:r>
      <w:proofErr w:type="spellEnd"/>
      <w:r w:rsidR="001E4D75" w:rsidRPr="008D60D4">
        <w:rPr>
          <w:rFonts w:ascii="Tahoma" w:hAnsi="Tahoma" w:cs="Tahoma"/>
        </w:rPr>
        <w:t xml:space="preserve"> S.A., y que se condene a esa sociedad a cancelar las acreencias derivadas de dicho contrato en calidad de empleador, y solidariamente a</w:t>
      </w:r>
      <w:r w:rsidR="001E4D75" w:rsidRPr="008D60D4">
        <w:rPr>
          <w:rFonts w:ascii="Tahoma" w:hAnsi="Tahoma" w:cs="Tahoma"/>
          <w:b/>
          <w:bCs/>
        </w:rPr>
        <w:t xml:space="preserve"> </w:t>
      </w:r>
      <w:bookmarkStart w:id="2" w:name="_Hlk151989338"/>
      <w:r w:rsidR="001E4D75" w:rsidRPr="008D60D4">
        <w:rPr>
          <w:rFonts w:ascii="Tahoma" w:hAnsi="Tahoma" w:cs="Tahoma"/>
          <w:lang w:val="es-ES"/>
        </w:rPr>
        <w:t xml:space="preserve">CENIT TRANSPORTE Y </w:t>
      </w:r>
      <w:r w:rsidR="000149D5" w:rsidRPr="008D60D4">
        <w:rPr>
          <w:rFonts w:ascii="Tahoma" w:hAnsi="Tahoma" w:cs="Tahoma"/>
          <w:lang w:val="es-ES"/>
        </w:rPr>
        <w:t>LOGÍSTICA</w:t>
      </w:r>
      <w:r w:rsidR="001E4D75" w:rsidRPr="008D60D4">
        <w:rPr>
          <w:rFonts w:ascii="Tahoma" w:hAnsi="Tahoma" w:cs="Tahoma"/>
          <w:lang w:val="es-ES"/>
        </w:rPr>
        <w:t xml:space="preserve"> DE HIDROCARBUROS S.A.S.</w:t>
      </w:r>
      <w:bookmarkEnd w:id="2"/>
    </w:p>
    <w:p w14:paraId="011BD417" w14:textId="77777777" w:rsidR="001E4D75" w:rsidRPr="008D60D4" w:rsidRDefault="001E4D75" w:rsidP="008D60D4">
      <w:pPr>
        <w:pStyle w:val="Sinespaciado"/>
        <w:spacing w:line="276" w:lineRule="auto"/>
        <w:ind w:firstLine="709"/>
        <w:jc w:val="both"/>
        <w:rPr>
          <w:rFonts w:ascii="Tahoma" w:hAnsi="Tahoma" w:cs="Tahoma"/>
          <w:lang w:val="es-ES"/>
        </w:rPr>
      </w:pPr>
    </w:p>
    <w:p w14:paraId="23A42723" w14:textId="77777777" w:rsidR="001E4D75" w:rsidRPr="008D60D4" w:rsidRDefault="001E4D75" w:rsidP="008D60D4">
      <w:pPr>
        <w:pStyle w:val="Sinespaciado"/>
        <w:spacing w:line="276" w:lineRule="auto"/>
        <w:ind w:firstLine="709"/>
        <w:jc w:val="both"/>
        <w:rPr>
          <w:rFonts w:ascii="Tahoma" w:hAnsi="Tahoma" w:cs="Tahoma"/>
          <w:i/>
          <w:iCs/>
          <w:lang w:val="es-ES"/>
        </w:rPr>
      </w:pPr>
      <w:r w:rsidRPr="008D60D4">
        <w:rPr>
          <w:rFonts w:ascii="Tahoma" w:hAnsi="Tahoma" w:cs="Tahoma"/>
          <w:lang w:val="es-ES"/>
        </w:rPr>
        <w:t xml:space="preserve">En ese orden, teniendo en cuenta que CENIT S.A.S. fue llamada como solidaria inane resulta verificar la calidad de la convocada, pues como ya lo ha señalado la Sala Mayoritaria de esta Corporación, </w:t>
      </w:r>
      <w:r w:rsidRPr="008D60D4">
        <w:rPr>
          <w:rFonts w:ascii="Tahoma" w:hAnsi="Tahoma" w:cs="Tahoma"/>
          <w:i/>
          <w:iCs/>
          <w:lang w:val="es-ES"/>
        </w:rPr>
        <w:t>“</w:t>
      </w:r>
      <w:r w:rsidRPr="00B3557A">
        <w:rPr>
          <w:rFonts w:ascii="Tahoma" w:hAnsi="Tahoma" w:cs="Tahoma"/>
          <w:i/>
          <w:iCs/>
          <w:sz w:val="22"/>
          <w:lang w:val="es-ES"/>
        </w:rPr>
        <w:t xml:space="preserve">no constituye requisito de procedibilidad la reclamación administrativa frente a la Nación, entidades territoriales y cualquier otra autoridad de la administración pública, </w:t>
      </w:r>
      <w:r w:rsidRPr="00B3557A">
        <w:rPr>
          <w:rFonts w:ascii="Tahoma" w:hAnsi="Tahoma" w:cs="Tahoma"/>
          <w:b/>
          <w:bCs/>
          <w:i/>
          <w:iCs/>
          <w:sz w:val="22"/>
          <w:lang w:val="es-ES"/>
        </w:rPr>
        <w:t>cuando alguna de ellas sea convocada al proceso ordinario para que se le declare solidariamente responsable de las obligaciones del contratista independiente</w:t>
      </w:r>
      <w:r w:rsidRPr="00B3557A">
        <w:rPr>
          <w:rFonts w:ascii="Tahoma" w:hAnsi="Tahoma" w:cs="Tahoma"/>
          <w:bCs/>
          <w:i/>
          <w:iCs/>
          <w:lang w:val="es-ES"/>
        </w:rPr>
        <w:t>.</w:t>
      </w:r>
      <w:r w:rsidRPr="00B3557A">
        <w:rPr>
          <w:rFonts w:ascii="Tahoma" w:hAnsi="Tahoma" w:cs="Tahoma"/>
          <w:i/>
          <w:iCs/>
          <w:lang w:val="es-ES"/>
        </w:rPr>
        <w:t>”</w:t>
      </w:r>
      <w:r w:rsidRPr="008D60D4">
        <w:rPr>
          <w:rStyle w:val="Refdenotaalpie"/>
          <w:rFonts w:ascii="Tahoma" w:hAnsi="Tahoma" w:cs="Tahoma"/>
          <w:i/>
          <w:iCs/>
          <w:lang w:val="es-ES"/>
        </w:rPr>
        <w:footnoteReference w:id="4"/>
      </w:r>
    </w:p>
    <w:p w14:paraId="6B7E26B5" w14:textId="77777777" w:rsidR="001E4D75" w:rsidRPr="008D60D4" w:rsidRDefault="001E4D75" w:rsidP="008D60D4">
      <w:pPr>
        <w:pStyle w:val="Sinespaciado"/>
        <w:spacing w:line="276" w:lineRule="auto"/>
        <w:ind w:firstLine="709"/>
        <w:jc w:val="both"/>
        <w:rPr>
          <w:rFonts w:ascii="Tahoma" w:hAnsi="Tahoma" w:cs="Tahoma"/>
          <w:i/>
          <w:iCs/>
          <w:lang w:val="es-ES"/>
        </w:rPr>
      </w:pPr>
    </w:p>
    <w:p w14:paraId="619FCD8C" w14:textId="77777777" w:rsidR="001E4D75" w:rsidRPr="008D60D4" w:rsidRDefault="001E4D75" w:rsidP="008D60D4">
      <w:pPr>
        <w:pStyle w:val="Sinespaciado"/>
        <w:spacing w:line="276" w:lineRule="auto"/>
        <w:ind w:firstLine="709"/>
        <w:jc w:val="both"/>
        <w:rPr>
          <w:rFonts w:ascii="Tahoma" w:hAnsi="Tahoma" w:cs="Tahoma"/>
          <w:lang w:val="es-ES"/>
        </w:rPr>
      </w:pPr>
      <w:r w:rsidRPr="008D60D4">
        <w:rPr>
          <w:rFonts w:ascii="Tahoma" w:hAnsi="Tahoma" w:cs="Tahoma"/>
          <w:lang w:val="es-ES"/>
        </w:rPr>
        <w:t xml:space="preserve">Lo anterior, ya había sido decantado por el mismo Cuerpo Colegiado de forma mayoritaria, en los siguientes términos: </w:t>
      </w:r>
    </w:p>
    <w:p w14:paraId="4A9D69B9" w14:textId="77777777" w:rsidR="001E4D75" w:rsidRPr="008D60D4" w:rsidRDefault="001E4D75" w:rsidP="008D60D4">
      <w:pPr>
        <w:pStyle w:val="Sinespaciado"/>
        <w:spacing w:line="276" w:lineRule="auto"/>
        <w:ind w:firstLine="709"/>
        <w:jc w:val="both"/>
        <w:rPr>
          <w:rFonts w:ascii="Tahoma" w:hAnsi="Tahoma" w:cs="Tahoma"/>
          <w:lang w:val="es-ES"/>
        </w:rPr>
      </w:pPr>
    </w:p>
    <w:p w14:paraId="13EDAD56" w14:textId="62EA9FE8" w:rsidR="001E4D75" w:rsidRPr="004E37DB" w:rsidRDefault="001E4D75" w:rsidP="004E37DB">
      <w:pPr>
        <w:pStyle w:val="Sinespaciado"/>
        <w:ind w:left="426" w:right="420" w:firstLine="1"/>
        <w:jc w:val="both"/>
        <w:rPr>
          <w:rFonts w:ascii="Tahoma" w:hAnsi="Tahoma" w:cs="Tahoma"/>
          <w:i/>
          <w:iCs/>
          <w:sz w:val="22"/>
          <w:lang w:val="es-ES"/>
        </w:rPr>
      </w:pPr>
      <w:r w:rsidRPr="004E37DB">
        <w:rPr>
          <w:rFonts w:ascii="Tahoma" w:hAnsi="Tahoma" w:cs="Tahoma"/>
          <w:i/>
          <w:iCs/>
          <w:sz w:val="22"/>
        </w:rPr>
        <w:t xml:space="preserve">“De otro lado, si lo anterior no fuera la respuesta adecuada al tema propuesto por la </w:t>
      </w:r>
      <w:proofErr w:type="spellStart"/>
      <w:r w:rsidRPr="004E37DB">
        <w:rPr>
          <w:rFonts w:ascii="Tahoma" w:hAnsi="Tahoma" w:cs="Tahoma"/>
          <w:i/>
          <w:iCs/>
          <w:sz w:val="22"/>
        </w:rPr>
        <w:t>excepcionante</w:t>
      </w:r>
      <w:proofErr w:type="spellEnd"/>
      <w:r w:rsidRPr="004E37DB">
        <w:rPr>
          <w:rFonts w:ascii="Tahoma" w:hAnsi="Tahoma" w:cs="Tahoma"/>
          <w:i/>
          <w:iCs/>
          <w:sz w:val="22"/>
        </w:rPr>
        <w:t>, lo cierto es que</w:t>
      </w:r>
      <w:r w:rsidR="005874A2" w:rsidRPr="004E37DB">
        <w:rPr>
          <w:rFonts w:ascii="Tahoma" w:hAnsi="Tahoma" w:cs="Tahoma"/>
          <w:i/>
          <w:iCs/>
          <w:sz w:val="22"/>
        </w:rPr>
        <w:t xml:space="preserve">, </w:t>
      </w:r>
      <w:r w:rsidRPr="004E37DB">
        <w:rPr>
          <w:rFonts w:ascii="Tahoma" w:hAnsi="Tahoma" w:cs="Tahoma"/>
          <w:i/>
          <w:iCs/>
          <w:sz w:val="22"/>
        </w:rPr>
        <w:t>por mayoría de esta Sala, se ha sentado que no es preciso agotar la reclamación administrativa, en tratándose de una obligada solidaria (entidad pública), en la medida en que el demandante, ni es servidor público, ni trabajador de quien se exige la reclamación administrativa. Por cuanto, la entidad solidaria no es empleadora del actor, por lo que no es la llamada a cancelarle los débitos reclamados, solo que</w:t>
      </w:r>
      <w:r w:rsidR="005874A2" w:rsidRPr="004E37DB">
        <w:rPr>
          <w:rFonts w:ascii="Tahoma" w:hAnsi="Tahoma" w:cs="Tahoma"/>
          <w:i/>
          <w:iCs/>
          <w:sz w:val="22"/>
        </w:rPr>
        <w:t>,</w:t>
      </w:r>
      <w:r w:rsidRPr="004E37DB">
        <w:rPr>
          <w:rFonts w:ascii="Tahoma" w:hAnsi="Tahoma" w:cs="Tahoma"/>
          <w:i/>
          <w:iCs/>
          <w:sz w:val="22"/>
        </w:rPr>
        <w:t xml:space="preserve"> por mandato legal, sería solidaria al pago de las obligaciones que en sentencia se impongan al verdadero patrono.”</w:t>
      </w:r>
    </w:p>
    <w:p w14:paraId="201F6887" w14:textId="77777777" w:rsidR="001E4D75" w:rsidRPr="008D60D4" w:rsidRDefault="001E4D75" w:rsidP="008D60D4">
      <w:pPr>
        <w:pStyle w:val="Sinespaciado"/>
        <w:spacing w:line="276" w:lineRule="auto"/>
        <w:jc w:val="both"/>
        <w:rPr>
          <w:rFonts w:ascii="Tahoma" w:hAnsi="Tahoma" w:cs="Tahoma"/>
          <w:lang w:val="es-ES"/>
        </w:rPr>
      </w:pPr>
    </w:p>
    <w:p w14:paraId="6FF9C3EE" w14:textId="3E0ED10A" w:rsidR="001E4D75" w:rsidRPr="008D60D4" w:rsidRDefault="001E4D75" w:rsidP="008D60D4">
      <w:pPr>
        <w:pStyle w:val="Sinespaciado"/>
        <w:spacing w:line="276" w:lineRule="auto"/>
        <w:jc w:val="both"/>
        <w:rPr>
          <w:rStyle w:val="normaltextrun"/>
          <w:rFonts w:ascii="Tahoma" w:hAnsi="Tahoma" w:cs="Tahoma"/>
        </w:rPr>
      </w:pPr>
      <w:r w:rsidRPr="008D60D4">
        <w:rPr>
          <w:rFonts w:ascii="Tahoma" w:hAnsi="Tahoma" w:cs="Tahoma"/>
        </w:rPr>
        <w:lastRenderedPageBreak/>
        <w:tab/>
        <w:t>En este orden de ideas y sin más elucubraciones al respecto, se confirmará</w:t>
      </w:r>
      <w:r w:rsidR="005874A2" w:rsidRPr="008D60D4">
        <w:rPr>
          <w:rFonts w:ascii="Tahoma" w:hAnsi="Tahoma" w:cs="Tahoma"/>
        </w:rPr>
        <w:t>, pero</w:t>
      </w:r>
      <w:r w:rsidRPr="008D60D4">
        <w:rPr>
          <w:rFonts w:ascii="Tahoma" w:hAnsi="Tahoma" w:cs="Tahoma"/>
        </w:rPr>
        <w:t xml:space="preserve"> por razones distintas, este segmento de la apelación.</w:t>
      </w:r>
    </w:p>
    <w:p w14:paraId="0A3E54D9" w14:textId="2678044A" w:rsidR="0073490C" w:rsidRPr="008D60D4" w:rsidRDefault="0073490C" w:rsidP="008D60D4">
      <w:pPr>
        <w:spacing w:line="276" w:lineRule="auto"/>
        <w:rPr>
          <w:rFonts w:eastAsia="Arial Narrow" w:cs="Tahoma"/>
          <w:szCs w:val="24"/>
        </w:rPr>
      </w:pPr>
    </w:p>
    <w:p w14:paraId="74BA8909" w14:textId="634BF27E" w:rsidR="009B33F1" w:rsidRPr="008D60D4" w:rsidRDefault="009B33F1" w:rsidP="008D60D4">
      <w:pPr>
        <w:pStyle w:val="Prrafodelista"/>
        <w:numPr>
          <w:ilvl w:val="1"/>
          <w:numId w:val="11"/>
        </w:numPr>
        <w:spacing w:line="276" w:lineRule="auto"/>
        <w:jc w:val="left"/>
        <w:rPr>
          <w:rStyle w:val="normaltextrun"/>
          <w:rFonts w:cs="Tahoma"/>
          <w:b/>
          <w:bCs/>
          <w:color w:val="000000"/>
          <w:szCs w:val="24"/>
        </w:rPr>
      </w:pPr>
      <w:r w:rsidRPr="008D60D4">
        <w:rPr>
          <w:rStyle w:val="normaltextrun"/>
          <w:rFonts w:cs="Tahoma"/>
          <w:b/>
          <w:bCs/>
          <w:color w:val="000000" w:themeColor="text1"/>
          <w:szCs w:val="24"/>
        </w:rPr>
        <w:t>Costas</w:t>
      </w:r>
    </w:p>
    <w:p w14:paraId="45F3F8F3" w14:textId="77777777" w:rsidR="00371FED" w:rsidRPr="008D60D4" w:rsidRDefault="00371FED" w:rsidP="008D60D4">
      <w:pPr>
        <w:pStyle w:val="Prrafodelista"/>
        <w:spacing w:line="276" w:lineRule="auto"/>
        <w:ind w:left="1080"/>
        <w:jc w:val="left"/>
        <w:rPr>
          <w:rStyle w:val="normaltextrun"/>
          <w:rFonts w:cs="Tahoma"/>
          <w:b/>
          <w:bCs/>
          <w:color w:val="000000"/>
          <w:szCs w:val="24"/>
        </w:rPr>
      </w:pPr>
    </w:p>
    <w:p w14:paraId="3848427D" w14:textId="3B2C4510" w:rsidR="00ED58FC" w:rsidRPr="008D60D4" w:rsidRDefault="00ED58FC" w:rsidP="008D60D4">
      <w:pPr>
        <w:spacing w:line="276" w:lineRule="auto"/>
        <w:ind w:firstLine="708"/>
        <w:rPr>
          <w:rStyle w:val="normaltextrun"/>
          <w:rFonts w:cs="Tahoma"/>
          <w:color w:val="000000" w:themeColor="text1"/>
          <w:szCs w:val="24"/>
        </w:rPr>
      </w:pPr>
      <w:r w:rsidRPr="008D60D4">
        <w:rPr>
          <w:rStyle w:val="normaltextrun"/>
          <w:rFonts w:cs="Tahoma"/>
          <w:color w:val="000000" w:themeColor="text1"/>
          <w:szCs w:val="24"/>
        </w:rPr>
        <w:t xml:space="preserve">Costas en esta instancia a cargo de la sociedad </w:t>
      </w:r>
      <w:r w:rsidR="00371FED" w:rsidRPr="008D60D4">
        <w:rPr>
          <w:rFonts w:cs="Tahoma"/>
          <w:color w:val="000000" w:themeColor="text1"/>
          <w:szCs w:val="24"/>
        </w:rPr>
        <w:t xml:space="preserve">CENIT TRANSPORTE Y LOGÍSTICA DE HIDROCARBUROS S.A.S </w:t>
      </w:r>
      <w:r w:rsidRPr="008D60D4">
        <w:rPr>
          <w:rStyle w:val="normaltextrun"/>
          <w:rFonts w:cs="Tahoma"/>
          <w:color w:val="000000" w:themeColor="text1"/>
          <w:szCs w:val="24"/>
        </w:rPr>
        <w:t>ante el fracaso del recurso de apelación</w:t>
      </w:r>
      <w:r w:rsidR="00D84302" w:rsidRPr="008D60D4">
        <w:rPr>
          <w:rStyle w:val="normaltextrun"/>
          <w:rFonts w:cs="Tahoma"/>
          <w:color w:val="000000" w:themeColor="text1"/>
          <w:szCs w:val="24"/>
        </w:rPr>
        <w:t xml:space="preserve">. </w:t>
      </w:r>
    </w:p>
    <w:p w14:paraId="44F74728" w14:textId="3BD88F7B" w:rsidR="00ED58FC" w:rsidRPr="008D60D4" w:rsidRDefault="00ED58FC" w:rsidP="008D60D4">
      <w:pPr>
        <w:spacing w:line="276" w:lineRule="auto"/>
        <w:ind w:firstLine="708"/>
        <w:rPr>
          <w:rStyle w:val="normaltextrun"/>
          <w:rFonts w:cs="Tahoma"/>
          <w:color w:val="000000" w:themeColor="text1"/>
          <w:szCs w:val="24"/>
        </w:rPr>
      </w:pPr>
    </w:p>
    <w:p w14:paraId="32A2898B" w14:textId="04DA1F07" w:rsidR="00ED58FC" w:rsidRPr="008D60D4" w:rsidRDefault="00D84302" w:rsidP="008D60D4">
      <w:pPr>
        <w:spacing w:line="276" w:lineRule="auto"/>
        <w:ind w:firstLine="708"/>
        <w:rPr>
          <w:rStyle w:val="normaltextrun"/>
          <w:rFonts w:cs="Tahoma"/>
          <w:color w:val="000000"/>
          <w:szCs w:val="24"/>
        </w:rPr>
      </w:pPr>
      <w:r w:rsidRPr="008D60D4">
        <w:rPr>
          <w:rStyle w:val="normaltextrun"/>
          <w:rFonts w:cs="Tahoma"/>
          <w:color w:val="000000" w:themeColor="text1"/>
          <w:szCs w:val="24"/>
        </w:rPr>
        <w:t xml:space="preserve">Sin costas respecto del demandante ante la prosperidad parcial del recurso impetrado. </w:t>
      </w:r>
    </w:p>
    <w:p w14:paraId="67184702" w14:textId="77777777" w:rsidR="00150430" w:rsidRPr="008D60D4" w:rsidRDefault="00150430" w:rsidP="008D60D4">
      <w:pPr>
        <w:spacing w:line="276" w:lineRule="auto"/>
        <w:jc w:val="left"/>
        <w:rPr>
          <w:rFonts w:cs="Tahoma"/>
          <w:color w:val="000000"/>
          <w:szCs w:val="24"/>
        </w:rPr>
      </w:pPr>
    </w:p>
    <w:p w14:paraId="4CFF5599" w14:textId="1C20BDCD" w:rsidR="00B61C07" w:rsidRPr="008D60D4" w:rsidRDefault="00B61C07" w:rsidP="008D60D4">
      <w:pPr>
        <w:spacing w:line="276" w:lineRule="auto"/>
        <w:ind w:firstLine="708"/>
        <w:rPr>
          <w:rFonts w:cs="Tahoma"/>
          <w:szCs w:val="24"/>
        </w:rPr>
      </w:pPr>
      <w:r w:rsidRPr="008D60D4">
        <w:rPr>
          <w:rFonts w:cs="Tahoma"/>
          <w:szCs w:val="24"/>
        </w:rPr>
        <w:t xml:space="preserve">En mérito de lo expuesto, </w:t>
      </w:r>
      <w:r w:rsidR="00182B32" w:rsidRPr="008D60D4">
        <w:rPr>
          <w:rFonts w:cs="Tahoma"/>
          <w:b/>
          <w:bCs/>
          <w:szCs w:val="24"/>
        </w:rPr>
        <w:t xml:space="preserve">la Sala </w:t>
      </w:r>
      <w:r w:rsidR="003B4039" w:rsidRPr="008D60D4">
        <w:rPr>
          <w:rFonts w:cs="Tahoma"/>
          <w:b/>
          <w:bCs/>
          <w:szCs w:val="24"/>
        </w:rPr>
        <w:t xml:space="preserve">Primera </w:t>
      </w:r>
      <w:r w:rsidR="00182B32" w:rsidRPr="008D60D4">
        <w:rPr>
          <w:rFonts w:cs="Tahoma"/>
          <w:b/>
          <w:bCs/>
          <w:szCs w:val="24"/>
        </w:rPr>
        <w:t xml:space="preserve">de Decisión </w:t>
      </w:r>
      <w:r w:rsidR="003B4039" w:rsidRPr="008D60D4">
        <w:rPr>
          <w:rFonts w:cs="Tahoma"/>
          <w:b/>
          <w:bCs/>
          <w:szCs w:val="24"/>
        </w:rPr>
        <w:t xml:space="preserve">Laboral </w:t>
      </w:r>
      <w:r w:rsidR="00182B32" w:rsidRPr="008D60D4">
        <w:rPr>
          <w:rFonts w:cs="Tahoma"/>
          <w:b/>
          <w:bCs/>
          <w:szCs w:val="24"/>
        </w:rPr>
        <w:t>del Tribunal Superior de Distrito Judicial de Pereira – Risaralda-,</w:t>
      </w:r>
    </w:p>
    <w:p w14:paraId="4A84D389" w14:textId="77777777" w:rsidR="001A51FC" w:rsidRPr="008D60D4" w:rsidRDefault="001A51FC" w:rsidP="008D60D4">
      <w:pPr>
        <w:spacing w:line="276" w:lineRule="auto"/>
        <w:ind w:firstLine="708"/>
        <w:rPr>
          <w:rFonts w:cs="Tahoma"/>
          <w:szCs w:val="24"/>
          <w:lang w:val="es-CO"/>
        </w:rPr>
      </w:pPr>
    </w:p>
    <w:p w14:paraId="7A839D7A" w14:textId="2ABE7837" w:rsidR="00B61C07" w:rsidRPr="008D60D4" w:rsidRDefault="00B61C07" w:rsidP="004E37DB">
      <w:pPr>
        <w:spacing w:line="276" w:lineRule="auto"/>
        <w:jc w:val="center"/>
        <w:rPr>
          <w:rFonts w:cs="Tahoma"/>
          <w:szCs w:val="24"/>
          <w:lang w:val="es-CO"/>
        </w:rPr>
      </w:pPr>
      <w:r w:rsidRPr="008D60D4">
        <w:rPr>
          <w:rFonts w:cs="Tahoma"/>
          <w:b/>
          <w:bCs/>
          <w:szCs w:val="24"/>
        </w:rPr>
        <w:t>RESUELVE</w:t>
      </w:r>
    </w:p>
    <w:p w14:paraId="263D5BCA" w14:textId="77777777" w:rsidR="00B61C07" w:rsidRPr="008D60D4" w:rsidRDefault="00B61C07" w:rsidP="008D60D4">
      <w:pPr>
        <w:spacing w:line="276" w:lineRule="auto"/>
        <w:ind w:firstLine="708"/>
        <w:rPr>
          <w:rFonts w:cs="Tahoma"/>
          <w:szCs w:val="24"/>
          <w:lang w:val="es-CO"/>
        </w:rPr>
      </w:pPr>
      <w:r w:rsidRPr="008D60D4">
        <w:rPr>
          <w:rFonts w:cs="Tahoma"/>
          <w:szCs w:val="24"/>
          <w:lang w:val="es-CO"/>
        </w:rPr>
        <w:t> </w:t>
      </w:r>
    </w:p>
    <w:p w14:paraId="08136E4F" w14:textId="7DF0FC02" w:rsidR="003B4039" w:rsidRPr="008D60D4" w:rsidRDefault="00B61C07" w:rsidP="008D60D4">
      <w:pPr>
        <w:spacing w:line="276" w:lineRule="auto"/>
        <w:ind w:firstLine="708"/>
        <w:rPr>
          <w:rFonts w:eastAsia="Arial Narrow" w:cs="Tahoma"/>
          <w:szCs w:val="24"/>
        </w:rPr>
      </w:pPr>
      <w:r w:rsidRPr="008D60D4">
        <w:rPr>
          <w:rFonts w:cs="Tahoma"/>
          <w:b/>
          <w:bCs/>
          <w:szCs w:val="24"/>
          <w:u w:val="single"/>
        </w:rPr>
        <w:t>PRIMERO:</w:t>
      </w:r>
      <w:r w:rsidRPr="008D60D4">
        <w:rPr>
          <w:rFonts w:cs="Tahoma"/>
          <w:b/>
          <w:bCs/>
          <w:szCs w:val="24"/>
        </w:rPr>
        <w:t xml:space="preserve"> </w:t>
      </w:r>
      <w:r w:rsidR="00FA047E" w:rsidRPr="008D60D4">
        <w:rPr>
          <w:rFonts w:cs="Tahoma"/>
          <w:b/>
          <w:bCs/>
          <w:szCs w:val="24"/>
        </w:rPr>
        <w:t xml:space="preserve">REVOCAR </w:t>
      </w:r>
      <w:r w:rsidR="001265AA" w:rsidRPr="008D60D4">
        <w:rPr>
          <w:rFonts w:cs="Tahoma"/>
          <w:szCs w:val="24"/>
        </w:rPr>
        <w:t>parcialmente</w:t>
      </w:r>
      <w:r w:rsidR="001265AA" w:rsidRPr="008D60D4">
        <w:rPr>
          <w:rFonts w:cs="Tahoma"/>
          <w:b/>
          <w:bCs/>
          <w:szCs w:val="24"/>
        </w:rPr>
        <w:t xml:space="preserve"> </w:t>
      </w:r>
      <w:r w:rsidR="00FA047E" w:rsidRPr="008D60D4">
        <w:rPr>
          <w:rFonts w:cs="Tahoma"/>
          <w:szCs w:val="24"/>
        </w:rPr>
        <w:t xml:space="preserve">el auto proferido por el Juzgado Tercero Laboral del Circuito de Pereira el 04 de septiembre de 2023, por medio del cual declaró probada como excepciones previas la de </w:t>
      </w:r>
      <w:r w:rsidR="00FA047E" w:rsidRPr="008D60D4">
        <w:rPr>
          <w:rFonts w:cs="Tahoma"/>
          <w:i/>
          <w:iCs/>
          <w:szCs w:val="24"/>
        </w:rPr>
        <w:t>“cosa juzgada”</w:t>
      </w:r>
      <w:r w:rsidR="00F052C9" w:rsidRPr="008D60D4">
        <w:rPr>
          <w:rFonts w:cs="Tahoma"/>
          <w:szCs w:val="24"/>
        </w:rPr>
        <w:t xml:space="preserve">, </w:t>
      </w:r>
      <w:r w:rsidR="00FA047E" w:rsidRPr="008D60D4">
        <w:rPr>
          <w:rFonts w:cs="Tahoma"/>
          <w:szCs w:val="24"/>
        </w:rPr>
        <w:t xml:space="preserve">y en su lugar, se </w:t>
      </w:r>
      <w:r w:rsidR="000B5264" w:rsidRPr="008D60D4">
        <w:rPr>
          <w:rFonts w:cs="Tahoma"/>
          <w:b/>
          <w:bCs/>
          <w:szCs w:val="24"/>
        </w:rPr>
        <w:t>DECLARA</w:t>
      </w:r>
      <w:r w:rsidR="000B5264" w:rsidRPr="008D60D4">
        <w:rPr>
          <w:rFonts w:cs="Tahoma"/>
          <w:szCs w:val="24"/>
        </w:rPr>
        <w:t xml:space="preserve"> </w:t>
      </w:r>
      <w:r w:rsidR="00FA047E" w:rsidRPr="008D60D4">
        <w:rPr>
          <w:rFonts w:cs="Tahoma"/>
          <w:szCs w:val="24"/>
        </w:rPr>
        <w:t xml:space="preserve">no probada para que la jueza </w:t>
      </w:r>
      <w:r w:rsidR="001265AA" w:rsidRPr="008D60D4">
        <w:rPr>
          <w:rFonts w:eastAsia="Arial Narrow" w:cs="Tahoma"/>
          <w:szCs w:val="24"/>
        </w:rPr>
        <w:t>evalué en la sentencia la legalidad y validez del acuerdo transaccional al momento de emitir sentencia, o en su defecto, la declare probada parcialmente y resuelva sobre los eventuales pedimentos que no hayan sido cobijados por dicho acuerdo.</w:t>
      </w:r>
    </w:p>
    <w:p w14:paraId="37BD1DB9" w14:textId="77777777" w:rsidR="001265AA" w:rsidRPr="008D60D4" w:rsidRDefault="001265AA" w:rsidP="008D60D4">
      <w:pPr>
        <w:spacing w:line="276" w:lineRule="auto"/>
        <w:rPr>
          <w:rFonts w:eastAsia="Arial Narrow" w:cs="Tahoma"/>
          <w:szCs w:val="24"/>
        </w:rPr>
      </w:pPr>
    </w:p>
    <w:p w14:paraId="049F5D3B" w14:textId="216481C7" w:rsidR="001265AA" w:rsidRPr="008D60D4" w:rsidRDefault="001265AA" w:rsidP="008D60D4">
      <w:pPr>
        <w:spacing w:line="276" w:lineRule="auto"/>
        <w:ind w:firstLine="708"/>
        <w:rPr>
          <w:rFonts w:eastAsia="Arial Narrow" w:cs="Tahoma"/>
          <w:szCs w:val="24"/>
        </w:rPr>
      </w:pPr>
      <w:r w:rsidRPr="008D60D4">
        <w:rPr>
          <w:rFonts w:eastAsia="Arial Narrow" w:cs="Tahoma"/>
          <w:b/>
          <w:bCs/>
          <w:szCs w:val="24"/>
          <w:u w:val="single"/>
        </w:rPr>
        <w:t>SEGUNDO:</w:t>
      </w:r>
      <w:r w:rsidRPr="008D60D4">
        <w:rPr>
          <w:rFonts w:eastAsia="Arial Narrow" w:cs="Tahoma"/>
          <w:b/>
          <w:bCs/>
          <w:szCs w:val="24"/>
        </w:rPr>
        <w:t xml:space="preserve"> CONFIRMAR</w:t>
      </w:r>
      <w:r w:rsidRPr="008D60D4">
        <w:rPr>
          <w:rFonts w:eastAsia="Arial Narrow" w:cs="Tahoma"/>
          <w:szCs w:val="24"/>
        </w:rPr>
        <w:t xml:space="preserve"> en todo lo demás el auto que resolvió las excepciones previas, </w:t>
      </w:r>
      <w:r w:rsidR="07EFFEED" w:rsidRPr="008D60D4">
        <w:rPr>
          <w:rFonts w:eastAsia="Arial Narrow" w:cs="Tahoma"/>
          <w:szCs w:val="24"/>
        </w:rPr>
        <w:t xml:space="preserve">y declaró no probada </w:t>
      </w:r>
      <w:r w:rsidR="008432F2" w:rsidRPr="008D60D4">
        <w:rPr>
          <w:rFonts w:eastAsia="Arial Narrow" w:cs="Tahoma"/>
          <w:szCs w:val="24"/>
        </w:rPr>
        <w:t xml:space="preserve">la excepción de falta de reclamación administrativa respecto de CENIT S.A.S., por lo señalado en precedencia. </w:t>
      </w:r>
    </w:p>
    <w:p w14:paraId="258177B9" w14:textId="77777777" w:rsidR="008432F2" w:rsidRPr="008D60D4" w:rsidRDefault="008432F2" w:rsidP="008D60D4">
      <w:pPr>
        <w:spacing w:line="276" w:lineRule="auto"/>
        <w:rPr>
          <w:rFonts w:eastAsia="Arial Narrow" w:cs="Tahoma"/>
          <w:szCs w:val="24"/>
        </w:rPr>
      </w:pPr>
    </w:p>
    <w:p w14:paraId="6C7B832B" w14:textId="51345275" w:rsidR="003B4039" w:rsidRPr="008D60D4" w:rsidRDefault="003B4039" w:rsidP="008D60D4">
      <w:pPr>
        <w:spacing w:line="276" w:lineRule="auto"/>
        <w:ind w:firstLine="708"/>
        <w:rPr>
          <w:rFonts w:cs="Tahoma"/>
          <w:szCs w:val="24"/>
        </w:rPr>
      </w:pPr>
      <w:r w:rsidRPr="008D60D4">
        <w:rPr>
          <w:rFonts w:cs="Tahoma"/>
          <w:b/>
          <w:bCs/>
          <w:szCs w:val="24"/>
          <w:u w:val="single"/>
        </w:rPr>
        <w:t>SEGUNDO:</w:t>
      </w:r>
      <w:r w:rsidRPr="008D60D4">
        <w:rPr>
          <w:rFonts w:cs="Tahoma"/>
          <w:b/>
          <w:bCs/>
          <w:szCs w:val="24"/>
        </w:rPr>
        <w:t xml:space="preserve"> </w:t>
      </w:r>
      <w:r w:rsidRPr="008D60D4">
        <w:rPr>
          <w:rFonts w:cs="Tahoma"/>
          <w:szCs w:val="24"/>
        </w:rPr>
        <w:t xml:space="preserve">Costas en esta instancia a cargo </w:t>
      </w:r>
      <w:r w:rsidR="0081318C" w:rsidRPr="008D60D4">
        <w:rPr>
          <w:rFonts w:cs="Tahoma"/>
          <w:szCs w:val="24"/>
        </w:rPr>
        <w:t xml:space="preserve">de la sociedad </w:t>
      </w:r>
      <w:r w:rsidR="0081318C" w:rsidRPr="008D60D4">
        <w:rPr>
          <w:rFonts w:cs="Tahoma"/>
          <w:color w:val="000000" w:themeColor="text1"/>
          <w:szCs w:val="24"/>
        </w:rPr>
        <w:t>CENIT TRANSPORTE Y LOGÍSTICA DE HIDROCARBUROS S.A.</w:t>
      </w:r>
      <w:r w:rsidR="008432F2" w:rsidRPr="008D60D4">
        <w:rPr>
          <w:rFonts w:cs="Tahoma"/>
          <w:color w:val="000000" w:themeColor="text1"/>
          <w:szCs w:val="24"/>
        </w:rPr>
        <w:t>S. y</w:t>
      </w:r>
      <w:r w:rsidR="0081318C" w:rsidRPr="008D60D4">
        <w:rPr>
          <w:rFonts w:cs="Tahoma"/>
          <w:color w:val="000000" w:themeColor="text1"/>
          <w:szCs w:val="24"/>
        </w:rPr>
        <w:t xml:space="preserve"> en favor del demandante. L</w:t>
      </w:r>
      <w:r w:rsidRPr="008D60D4">
        <w:rPr>
          <w:rFonts w:cs="Tahoma"/>
          <w:szCs w:val="24"/>
        </w:rPr>
        <w:t>iquídense por la secretaría del juzgado de origen.</w:t>
      </w:r>
    </w:p>
    <w:p w14:paraId="0849EC3C" w14:textId="77777777" w:rsidR="00FF4BAC" w:rsidRPr="00C60C0D" w:rsidRDefault="00FF4BAC" w:rsidP="00FF4BAC">
      <w:pPr>
        <w:spacing w:line="276" w:lineRule="auto"/>
        <w:rPr>
          <w:rFonts w:eastAsia="Calibri" w:cs="Tahoma"/>
          <w:szCs w:val="24"/>
          <w:lang w:val="es-CO"/>
        </w:rPr>
      </w:pPr>
      <w:bookmarkStart w:id="3" w:name="_Hlk126574973"/>
    </w:p>
    <w:p w14:paraId="16F87C43" w14:textId="77777777" w:rsidR="00FF4BAC" w:rsidRPr="00C60C0D" w:rsidRDefault="00FF4BAC" w:rsidP="00FF4BAC">
      <w:pPr>
        <w:spacing w:line="276" w:lineRule="auto"/>
        <w:jc w:val="center"/>
        <w:rPr>
          <w:rFonts w:eastAsia="Tahoma" w:cs="Tahoma"/>
          <w:b/>
          <w:bCs/>
          <w:szCs w:val="24"/>
          <w:lang w:val="es-CO"/>
        </w:rPr>
      </w:pPr>
      <w:r w:rsidRPr="00C60C0D">
        <w:rPr>
          <w:rFonts w:eastAsia="Tahoma" w:cs="Tahoma"/>
          <w:b/>
          <w:bCs/>
          <w:szCs w:val="24"/>
          <w:lang w:val="es-CO"/>
        </w:rPr>
        <w:t>Notifíquese y cúmplase</w:t>
      </w:r>
    </w:p>
    <w:p w14:paraId="55C3CE3C" w14:textId="77777777" w:rsidR="00FF4BAC" w:rsidRPr="00C60C0D" w:rsidRDefault="00FF4BAC" w:rsidP="00FF4BAC">
      <w:pPr>
        <w:spacing w:line="276" w:lineRule="auto"/>
        <w:rPr>
          <w:rFonts w:eastAsia="Calibri" w:cs="Tahoma"/>
          <w:szCs w:val="24"/>
          <w:lang w:val="es-CO"/>
        </w:rPr>
      </w:pPr>
      <w:r w:rsidRPr="00C60C0D">
        <w:rPr>
          <w:rFonts w:eastAsia="Calibri" w:cs="Tahoma"/>
          <w:szCs w:val="24"/>
          <w:lang w:val="es-CO"/>
        </w:rPr>
        <w:t xml:space="preserve"> </w:t>
      </w:r>
    </w:p>
    <w:p w14:paraId="53CBC0F7" w14:textId="77777777" w:rsidR="00FF4BAC" w:rsidRPr="00C60C0D" w:rsidRDefault="00FF4BAC" w:rsidP="00FF4BAC">
      <w:pPr>
        <w:widowControl w:val="0"/>
        <w:autoSpaceDE w:val="0"/>
        <w:autoSpaceDN w:val="0"/>
        <w:adjustRightInd w:val="0"/>
        <w:spacing w:line="276" w:lineRule="auto"/>
        <w:rPr>
          <w:rFonts w:eastAsia="Times New Roman" w:cs="Tahoma"/>
          <w:szCs w:val="24"/>
          <w:lang w:eastAsia="es-ES"/>
        </w:rPr>
      </w:pPr>
      <w:r w:rsidRPr="00C60C0D">
        <w:rPr>
          <w:rFonts w:eastAsia="Times New Roman" w:cs="Tahoma"/>
          <w:szCs w:val="24"/>
          <w:lang w:eastAsia="es-ES"/>
        </w:rPr>
        <w:tab/>
        <w:t>La Magistrada ponente,</w:t>
      </w:r>
    </w:p>
    <w:p w14:paraId="4AB6B685" w14:textId="77777777" w:rsidR="00FF4BAC" w:rsidRPr="00C60C0D" w:rsidRDefault="00FF4BAC" w:rsidP="00FF4BAC">
      <w:pPr>
        <w:spacing w:line="276" w:lineRule="auto"/>
        <w:jc w:val="left"/>
        <w:rPr>
          <w:rFonts w:eastAsia="Times New Roman" w:cs="Tahoma"/>
          <w:szCs w:val="24"/>
          <w:lang w:eastAsia="es-ES"/>
        </w:rPr>
      </w:pPr>
    </w:p>
    <w:p w14:paraId="5E84F0A5" w14:textId="77777777" w:rsidR="00FF4BAC" w:rsidRPr="00C60C0D" w:rsidRDefault="00FF4BAC" w:rsidP="00FF4BAC">
      <w:pPr>
        <w:spacing w:line="276" w:lineRule="auto"/>
        <w:jc w:val="left"/>
        <w:rPr>
          <w:rFonts w:eastAsia="Times New Roman" w:cs="Tahoma"/>
          <w:szCs w:val="24"/>
          <w:lang w:eastAsia="es-ES"/>
        </w:rPr>
      </w:pPr>
    </w:p>
    <w:p w14:paraId="2D10CC19" w14:textId="77777777" w:rsidR="00FF4BAC" w:rsidRPr="00C60C0D" w:rsidRDefault="00FF4BAC" w:rsidP="00FF4BAC">
      <w:pPr>
        <w:spacing w:line="276" w:lineRule="auto"/>
        <w:jc w:val="left"/>
        <w:rPr>
          <w:rFonts w:eastAsia="Times New Roman" w:cs="Tahoma"/>
          <w:szCs w:val="24"/>
          <w:lang w:eastAsia="es-ES"/>
        </w:rPr>
      </w:pPr>
    </w:p>
    <w:p w14:paraId="7872B2F8" w14:textId="77777777" w:rsidR="00FF4BAC" w:rsidRPr="00C60C0D" w:rsidRDefault="00FF4BAC" w:rsidP="00FF4BAC">
      <w:pPr>
        <w:keepNext/>
        <w:spacing w:line="276" w:lineRule="auto"/>
        <w:jc w:val="center"/>
        <w:outlineLvl w:val="2"/>
        <w:rPr>
          <w:rFonts w:eastAsia="Times New Roman" w:cs="Tahoma"/>
          <w:b/>
          <w:bCs/>
          <w:szCs w:val="24"/>
          <w:lang w:eastAsia="es-ES"/>
        </w:rPr>
      </w:pPr>
      <w:r w:rsidRPr="00C60C0D">
        <w:rPr>
          <w:rFonts w:eastAsia="Times New Roman" w:cs="Tahoma"/>
          <w:b/>
          <w:bCs/>
          <w:szCs w:val="24"/>
          <w:lang w:eastAsia="es-ES"/>
        </w:rPr>
        <w:t>ANA LUCÍA CAICEDO CALDERÓN</w:t>
      </w:r>
    </w:p>
    <w:p w14:paraId="6348D6C4" w14:textId="77777777" w:rsidR="00FF4BAC" w:rsidRPr="00C60C0D" w:rsidRDefault="00FF4BAC" w:rsidP="00FF4BAC">
      <w:pPr>
        <w:spacing w:line="276" w:lineRule="auto"/>
        <w:jc w:val="left"/>
        <w:rPr>
          <w:rFonts w:eastAsia="Times New Roman" w:cs="Tahoma"/>
          <w:szCs w:val="24"/>
          <w:lang w:eastAsia="es-ES"/>
        </w:rPr>
      </w:pPr>
    </w:p>
    <w:p w14:paraId="7C641503" w14:textId="77777777" w:rsidR="00FF4BAC" w:rsidRPr="00C60C0D" w:rsidRDefault="00FF4BAC" w:rsidP="00FF4BAC">
      <w:pPr>
        <w:spacing w:line="276" w:lineRule="auto"/>
        <w:ind w:firstLine="708"/>
        <w:jc w:val="left"/>
        <w:rPr>
          <w:rFonts w:eastAsia="Times New Roman" w:cs="Tahoma"/>
          <w:szCs w:val="24"/>
          <w:lang w:eastAsia="es-ES"/>
        </w:rPr>
      </w:pPr>
      <w:bookmarkStart w:id="4" w:name="_Hlk62478330"/>
      <w:r w:rsidRPr="00C60C0D">
        <w:rPr>
          <w:rFonts w:eastAsia="Times New Roman" w:cs="Tahoma"/>
          <w:szCs w:val="24"/>
          <w:lang w:eastAsia="es-ES"/>
        </w:rPr>
        <w:t>La Magistrada y el Magistrado,</w:t>
      </w:r>
    </w:p>
    <w:p w14:paraId="2686FEF1" w14:textId="77777777" w:rsidR="00FF4BAC" w:rsidRPr="00C60C0D" w:rsidRDefault="00FF4BAC" w:rsidP="00FF4BAC">
      <w:pPr>
        <w:spacing w:line="276" w:lineRule="auto"/>
        <w:jc w:val="left"/>
        <w:rPr>
          <w:rFonts w:eastAsia="Times New Roman" w:cs="Tahoma"/>
          <w:szCs w:val="24"/>
          <w:lang w:eastAsia="es-ES"/>
        </w:rPr>
      </w:pPr>
    </w:p>
    <w:p w14:paraId="23EF17ED" w14:textId="77777777" w:rsidR="00FF4BAC" w:rsidRPr="00C60C0D" w:rsidRDefault="00FF4BAC" w:rsidP="00FF4BAC">
      <w:pPr>
        <w:spacing w:line="276" w:lineRule="auto"/>
        <w:jc w:val="left"/>
        <w:rPr>
          <w:rFonts w:eastAsia="Times New Roman" w:cs="Tahoma"/>
          <w:szCs w:val="24"/>
          <w:lang w:eastAsia="es-ES"/>
        </w:rPr>
      </w:pPr>
    </w:p>
    <w:p w14:paraId="2675B7AA" w14:textId="77777777" w:rsidR="00FF4BAC" w:rsidRPr="00C60C0D" w:rsidRDefault="00FF4BAC" w:rsidP="00FF4BAC">
      <w:pPr>
        <w:spacing w:line="276" w:lineRule="auto"/>
        <w:jc w:val="left"/>
        <w:rPr>
          <w:rFonts w:eastAsia="Times New Roman" w:cs="Tahoma"/>
          <w:szCs w:val="24"/>
          <w:lang w:eastAsia="es-ES"/>
        </w:rPr>
      </w:pPr>
    </w:p>
    <w:p w14:paraId="1FD93718" w14:textId="04B404D8" w:rsidR="006C0A86" w:rsidRPr="00FF4BAC" w:rsidRDefault="00FF4BAC" w:rsidP="00FF4BAC">
      <w:pPr>
        <w:spacing w:line="276" w:lineRule="auto"/>
        <w:rPr>
          <w:rFonts w:eastAsia="Calibri" w:cs="Tahoma"/>
          <w:szCs w:val="24"/>
        </w:rPr>
      </w:pPr>
      <w:r w:rsidRPr="00C60C0D">
        <w:rPr>
          <w:rFonts w:eastAsia="Times New Roman" w:cs="Tahoma"/>
          <w:b/>
          <w:bCs/>
          <w:szCs w:val="24"/>
          <w:lang w:eastAsia="es-ES"/>
        </w:rPr>
        <w:t>OLGA LUCÍA HOYOS SEPÚLVEDA</w:t>
      </w:r>
      <w:r w:rsidRPr="00C60C0D">
        <w:rPr>
          <w:rFonts w:eastAsia="Times New Roman" w:cs="Tahoma"/>
          <w:b/>
          <w:bCs/>
          <w:szCs w:val="24"/>
          <w:lang w:eastAsia="es-ES"/>
        </w:rPr>
        <w:tab/>
      </w:r>
      <w:r w:rsidRPr="00C60C0D">
        <w:rPr>
          <w:rFonts w:eastAsia="Times New Roman" w:cs="Tahoma"/>
          <w:b/>
          <w:bCs/>
          <w:szCs w:val="24"/>
          <w:lang w:eastAsia="es-ES"/>
        </w:rPr>
        <w:tab/>
        <w:t xml:space="preserve">GERMÁN DARÍO </w:t>
      </w:r>
      <w:proofErr w:type="spellStart"/>
      <w:r w:rsidRPr="00C60C0D">
        <w:rPr>
          <w:rFonts w:eastAsia="Times New Roman" w:cs="Tahoma"/>
          <w:b/>
          <w:bCs/>
          <w:szCs w:val="24"/>
          <w:lang w:eastAsia="es-ES"/>
        </w:rPr>
        <w:t>GÓEZ</w:t>
      </w:r>
      <w:proofErr w:type="spellEnd"/>
      <w:r w:rsidRPr="00C60C0D">
        <w:rPr>
          <w:rFonts w:eastAsia="Times New Roman" w:cs="Tahoma"/>
          <w:b/>
          <w:bCs/>
          <w:szCs w:val="24"/>
          <w:lang w:eastAsia="es-ES"/>
        </w:rPr>
        <w:t xml:space="preserve"> </w:t>
      </w:r>
      <w:proofErr w:type="spellStart"/>
      <w:r w:rsidRPr="00C60C0D">
        <w:rPr>
          <w:rFonts w:eastAsia="Times New Roman" w:cs="Tahoma"/>
          <w:b/>
          <w:bCs/>
          <w:szCs w:val="24"/>
          <w:lang w:eastAsia="es-ES"/>
        </w:rPr>
        <w:t>VINASCO</w:t>
      </w:r>
      <w:bookmarkStart w:id="5" w:name="_GoBack"/>
      <w:bookmarkEnd w:id="3"/>
      <w:bookmarkEnd w:id="4"/>
      <w:bookmarkEnd w:id="5"/>
      <w:proofErr w:type="spellEnd"/>
    </w:p>
    <w:sectPr w:rsidR="006C0A86" w:rsidRPr="00FF4BAC" w:rsidSect="00A55A0A">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23F00A" w16cex:dateUtc="2023-12-05T18:22:46.241Z"/>
</w16cex:commentsExtensible>
</file>

<file path=word/commentsIds.xml><?xml version="1.0" encoding="utf-8"?>
<w16cid:commentsIds xmlns:mc="http://schemas.openxmlformats.org/markup-compatibility/2006" xmlns:w16cid="http://schemas.microsoft.com/office/word/2016/wordml/cid" mc:Ignorable="w16cid">
  <w16cid:commentId w16cid:paraId="1BFE5AA2" w16cid:durableId="0023F0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3FAE" w14:textId="77777777" w:rsidR="00AD4B0C" w:rsidRDefault="00AD4B0C" w:rsidP="00B02A64">
      <w:pPr>
        <w:spacing w:line="240" w:lineRule="auto"/>
      </w:pPr>
      <w:r>
        <w:separator/>
      </w:r>
    </w:p>
  </w:endnote>
  <w:endnote w:type="continuationSeparator" w:id="0">
    <w:p w14:paraId="65D31642" w14:textId="77777777" w:rsidR="00AD4B0C" w:rsidRDefault="00AD4B0C" w:rsidP="00B0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4054" w14:textId="77777777" w:rsidR="00AD4B0C" w:rsidRDefault="00AD4B0C" w:rsidP="00B02A64">
      <w:pPr>
        <w:spacing w:line="240" w:lineRule="auto"/>
      </w:pPr>
      <w:r>
        <w:separator/>
      </w:r>
    </w:p>
  </w:footnote>
  <w:footnote w:type="continuationSeparator" w:id="0">
    <w:p w14:paraId="536BD291" w14:textId="77777777" w:rsidR="00AD4B0C" w:rsidRDefault="00AD4B0C" w:rsidP="00B02A64">
      <w:pPr>
        <w:spacing w:line="240" w:lineRule="auto"/>
      </w:pPr>
      <w:r>
        <w:continuationSeparator/>
      </w:r>
    </w:p>
  </w:footnote>
  <w:footnote w:id="1">
    <w:p w14:paraId="169BA0C7" w14:textId="17FE56B7" w:rsidR="003620D3" w:rsidRPr="004E37DB" w:rsidRDefault="003620D3" w:rsidP="004E37DB">
      <w:pPr>
        <w:pStyle w:val="Textonotapie"/>
        <w:rPr>
          <w:rFonts w:ascii="Arial" w:hAnsi="Arial" w:cs="Arial"/>
          <w:sz w:val="18"/>
          <w:szCs w:val="18"/>
          <w:lang w:val="es-CO"/>
        </w:rPr>
      </w:pPr>
      <w:r w:rsidRPr="004E37DB">
        <w:rPr>
          <w:rStyle w:val="Refdenotaalpie"/>
          <w:rFonts w:ascii="Arial" w:hAnsi="Arial" w:cs="Arial"/>
          <w:sz w:val="18"/>
          <w:szCs w:val="18"/>
        </w:rPr>
        <w:footnoteRef/>
      </w:r>
      <w:r w:rsidRPr="004E37DB">
        <w:rPr>
          <w:rFonts w:ascii="Arial" w:hAnsi="Arial" w:cs="Arial"/>
          <w:sz w:val="18"/>
          <w:szCs w:val="18"/>
        </w:rPr>
        <w:t xml:space="preserve"> Archivo 30 cuaderno de primera instancia. </w:t>
      </w:r>
    </w:p>
  </w:footnote>
  <w:footnote w:id="2">
    <w:p w14:paraId="6C17747D" w14:textId="4C3D0CC2" w:rsidR="003620D3" w:rsidRPr="004E37DB" w:rsidRDefault="003620D3" w:rsidP="004E37DB">
      <w:pPr>
        <w:pStyle w:val="Textonotapie"/>
        <w:rPr>
          <w:rFonts w:ascii="Arial" w:hAnsi="Arial" w:cs="Arial"/>
          <w:sz w:val="18"/>
          <w:szCs w:val="18"/>
          <w:lang w:val="es-CO"/>
        </w:rPr>
      </w:pPr>
      <w:r w:rsidRPr="004E37DB">
        <w:rPr>
          <w:rStyle w:val="Refdenotaalpie"/>
          <w:rFonts w:ascii="Arial" w:hAnsi="Arial" w:cs="Arial"/>
          <w:sz w:val="18"/>
          <w:szCs w:val="18"/>
        </w:rPr>
        <w:footnoteRef/>
      </w:r>
      <w:r w:rsidRPr="004E37DB">
        <w:rPr>
          <w:rFonts w:ascii="Arial" w:hAnsi="Arial" w:cs="Arial"/>
          <w:sz w:val="18"/>
          <w:szCs w:val="18"/>
        </w:rPr>
        <w:t xml:space="preserve"> </w:t>
      </w:r>
      <w:r w:rsidRPr="004E37DB">
        <w:rPr>
          <w:rFonts w:ascii="Arial" w:hAnsi="Arial" w:cs="Arial"/>
          <w:sz w:val="18"/>
          <w:szCs w:val="18"/>
          <w:lang w:val="es-CO"/>
        </w:rPr>
        <w:t>Archivo 27 cuaderno de primera instancia.</w:t>
      </w:r>
    </w:p>
  </w:footnote>
  <w:footnote w:id="3">
    <w:p w14:paraId="40CDC64E" w14:textId="77777777" w:rsidR="004A3187" w:rsidRPr="004E37DB" w:rsidRDefault="004A3187" w:rsidP="004E37DB">
      <w:pPr>
        <w:pStyle w:val="Textonotapie"/>
        <w:rPr>
          <w:rFonts w:ascii="Arial" w:hAnsi="Arial" w:cs="Arial"/>
          <w:sz w:val="18"/>
          <w:szCs w:val="18"/>
          <w:lang w:val="es-MX"/>
        </w:rPr>
      </w:pPr>
      <w:r w:rsidRPr="004E37DB">
        <w:rPr>
          <w:rStyle w:val="Refdenotaalpie"/>
          <w:rFonts w:ascii="Arial" w:hAnsi="Arial" w:cs="Arial"/>
          <w:sz w:val="18"/>
          <w:szCs w:val="18"/>
        </w:rPr>
        <w:footnoteRef/>
      </w:r>
      <w:r w:rsidRPr="004E37DB">
        <w:rPr>
          <w:rFonts w:ascii="Arial" w:hAnsi="Arial" w:cs="Arial"/>
          <w:sz w:val="18"/>
          <w:szCs w:val="18"/>
        </w:rPr>
        <w:t xml:space="preserve"> </w:t>
      </w:r>
      <w:r w:rsidRPr="004E37DB">
        <w:rPr>
          <w:rFonts w:ascii="Arial" w:hAnsi="Arial" w:cs="Arial"/>
          <w:sz w:val="18"/>
          <w:szCs w:val="18"/>
          <w:lang w:val="es-MX"/>
        </w:rPr>
        <w:t xml:space="preserve">Al respecto se indicó en la sentencia </w:t>
      </w:r>
      <w:r w:rsidRPr="004E37DB">
        <w:rPr>
          <w:rStyle w:val="normaltextrun"/>
          <w:rFonts w:ascii="Arial" w:hAnsi="Arial" w:cs="Arial"/>
          <w:color w:val="000000"/>
          <w:sz w:val="18"/>
          <w:szCs w:val="18"/>
          <w:shd w:val="clear" w:color="auto" w:fill="FFFFFF"/>
        </w:rPr>
        <w:t xml:space="preserve">CSJ </w:t>
      </w:r>
      <w:proofErr w:type="spellStart"/>
      <w:r w:rsidRPr="004E37DB">
        <w:rPr>
          <w:rStyle w:val="normaltextrun"/>
          <w:rFonts w:ascii="Arial" w:hAnsi="Arial" w:cs="Arial"/>
          <w:color w:val="000000"/>
          <w:sz w:val="18"/>
          <w:szCs w:val="18"/>
          <w:shd w:val="clear" w:color="auto" w:fill="FFFFFF"/>
        </w:rPr>
        <w:t>SL1924</w:t>
      </w:r>
      <w:proofErr w:type="spellEnd"/>
      <w:r w:rsidRPr="004E37DB">
        <w:rPr>
          <w:rStyle w:val="normaltextrun"/>
          <w:rFonts w:ascii="Arial" w:hAnsi="Arial" w:cs="Arial"/>
          <w:color w:val="000000"/>
          <w:sz w:val="18"/>
          <w:szCs w:val="18"/>
          <w:shd w:val="clear" w:color="auto" w:fill="FFFFFF"/>
        </w:rPr>
        <w:t xml:space="preserve">-2021, que rememora las sentencias CSJ </w:t>
      </w:r>
      <w:proofErr w:type="spellStart"/>
      <w:r w:rsidRPr="004E37DB">
        <w:rPr>
          <w:rStyle w:val="normaltextrun"/>
          <w:rFonts w:ascii="Arial" w:hAnsi="Arial" w:cs="Arial"/>
          <w:color w:val="000000"/>
          <w:sz w:val="18"/>
          <w:szCs w:val="18"/>
          <w:shd w:val="clear" w:color="auto" w:fill="FFFFFF"/>
        </w:rPr>
        <w:t>SL</w:t>
      </w:r>
      <w:proofErr w:type="spellEnd"/>
      <w:r w:rsidRPr="004E37DB">
        <w:rPr>
          <w:rStyle w:val="normaltextrun"/>
          <w:rFonts w:ascii="Arial" w:hAnsi="Arial" w:cs="Arial"/>
          <w:color w:val="000000"/>
          <w:sz w:val="18"/>
          <w:szCs w:val="18"/>
          <w:shd w:val="clear" w:color="auto" w:fill="FFFFFF"/>
        </w:rPr>
        <w:t xml:space="preserve">, 14 jun. 2011, rad. 38314; CSJ </w:t>
      </w:r>
      <w:proofErr w:type="spellStart"/>
      <w:r w:rsidRPr="004E37DB">
        <w:rPr>
          <w:rStyle w:val="normaltextrun"/>
          <w:rFonts w:ascii="Arial" w:hAnsi="Arial" w:cs="Arial"/>
          <w:color w:val="000000"/>
          <w:sz w:val="18"/>
          <w:szCs w:val="18"/>
          <w:shd w:val="clear" w:color="auto" w:fill="FFFFFF"/>
        </w:rPr>
        <w:t>SL</w:t>
      </w:r>
      <w:proofErr w:type="spellEnd"/>
      <w:r w:rsidRPr="004E37DB">
        <w:rPr>
          <w:rStyle w:val="normaltextrun"/>
          <w:rFonts w:ascii="Arial" w:hAnsi="Arial" w:cs="Arial"/>
          <w:color w:val="000000"/>
          <w:sz w:val="18"/>
          <w:szCs w:val="18"/>
          <w:shd w:val="clear" w:color="auto" w:fill="FFFFFF"/>
        </w:rPr>
        <w:t xml:space="preserve">, 24 en. 2012, rad. 44039; CSJ </w:t>
      </w:r>
      <w:proofErr w:type="spellStart"/>
      <w:r w:rsidRPr="004E37DB">
        <w:rPr>
          <w:rStyle w:val="normaltextrun"/>
          <w:rFonts w:ascii="Arial" w:hAnsi="Arial" w:cs="Arial"/>
          <w:color w:val="000000"/>
          <w:sz w:val="18"/>
          <w:szCs w:val="18"/>
          <w:shd w:val="clear" w:color="auto" w:fill="FFFFFF"/>
        </w:rPr>
        <w:t>SL4716</w:t>
      </w:r>
      <w:proofErr w:type="spellEnd"/>
      <w:r w:rsidRPr="004E37DB">
        <w:rPr>
          <w:rStyle w:val="normaltextrun"/>
          <w:rFonts w:ascii="Arial" w:hAnsi="Arial" w:cs="Arial"/>
          <w:color w:val="000000"/>
          <w:sz w:val="18"/>
          <w:szCs w:val="18"/>
          <w:shd w:val="clear" w:color="auto" w:fill="FFFFFF"/>
        </w:rPr>
        <w:t xml:space="preserve">-2017 y particularmente en la CSJ </w:t>
      </w:r>
      <w:proofErr w:type="spellStart"/>
      <w:r w:rsidRPr="004E37DB">
        <w:rPr>
          <w:rStyle w:val="normaltextrun"/>
          <w:rFonts w:ascii="Arial" w:hAnsi="Arial" w:cs="Arial"/>
          <w:color w:val="000000"/>
          <w:sz w:val="18"/>
          <w:szCs w:val="18"/>
          <w:shd w:val="clear" w:color="auto" w:fill="FFFFFF"/>
        </w:rPr>
        <w:t>SL18096</w:t>
      </w:r>
      <w:proofErr w:type="spellEnd"/>
      <w:r w:rsidRPr="004E37DB">
        <w:rPr>
          <w:rStyle w:val="normaltextrun"/>
          <w:rFonts w:ascii="Arial" w:hAnsi="Arial" w:cs="Arial"/>
          <w:color w:val="000000"/>
          <w:sz w:val="18"/>
          <w:szCs w:val="18"/>
          <w:shd w:val="clear" w:color="auto" w:fill="FFFFFF"/>
        </w:rPr>
        <w:t xml:space="preserve">-2016, reiterada en las CSJ </w:t>
      </w:r>
      <w:proofErr w:type="spellStart"/>
      <w:r w:rsidRPr="004E37DB">
        <w:rPr>
          <w:rStyle w:val="normaltextrun"/>
          <w:rFonts w:ascii="Arial" w:hAnsi="Arial" w:cs="Arial"/>
          <w:color w:val="000000"/>
          <w:sz w:val="18"/>
          <w:szCs w:val="18"/>
          <w:shd w:val="clear" w:color="auto" w:fill="FFFFFF"/>
        </w:rPr>
        <w:t>SL11339</w:t>
      </w:r>
      <w:proofErr w:type="spellEnd"/>
      <w:r w:rsidRPr="004E37DB">
        <w:rPr>
          <w:rStyle w:val="normaltextrun"/>
          <w:rFonts w:ascii="Arial" w:hAnsi="Arial" w:cs="Arial"/>
          <w:color w:val="000000"/>
          <w:sz w:val="18"/>
          <w:szCs w:val="18"/>
          <w:shd w:val="clear" w:color="auto" w:fill="FFFFFF"/>
        </w:rPr>
        <w:t xml:space="preserve">-2017; CSJ </w:t>
      </w:r>
      <w:proofErr w:type="spellStart"/>
      <w:r w:rsidRPr="004E37DB">
        <w:rPr>
          <w:rStyle w:val="normaltextrun"/>
          <w:rFonts w:ascii="Arial" w:hAnsi="Arial" w:cs="Arial"/>
          <w:color w:val="000000"/>
          <w:sz w:val="18"/>
          <w:szCs w:val="18"/>
          <w:shd w:val="clear" w:color="auto" w:fill="FFFFFF"/>
        </w:rPr>
        <w:t>SL8301</w:t>
      </w:r>
      <w:proofErr w:type="spellEnd"/>
      <w:r w:rsidRPr="004E37DB">
        <w:rPr>
          <w:rStyle w:val="normaltextrun"/>
          <w:rFonts w:ascii="Arial" w:hAnsi="Arial" w:cs="Arial"/>
          <w:color w:val="000000"/>
          <w:sz w:val="18"/>
          <w:szCs w:val="18"/>
          <w:shd w:val="clear" w:color="auto" w:fill="FFFFFF"/>
        </w:rPr>
        <w:t xml:space="preserve">-2017 y CSJ </w:t>
      </w:r>
      <w:proofErr w:type="spellStart"/>
      <w:r w:rsidRPr="004E37DB">
        <w:rPr>
          <w:rStyle w:val="normaltextrun"/>
          <w:rFonts w:ascii="Arial" w:hAnsi="Arial" w:cs="Arial"/>
          <w:color w:val="000000"/>
          <w:sz w:val="18"/>
          <w:szCs w:val="18"/>
          <w:shd w:val="clear" w:color="auto" w:fill="FFFFFF"/>
        </w:rPr>
        <w:t>SL8564</w:t>
      </w:r>
      <w:proofErr w:type="spellEnd"/>
      <w:r w:rsidRPr="004E37DB">
        <w:rPr>
          <w:rStyle w:val="normaltextrun"/>
          <w:rFonts w:ascii="Arial" w:hAnsi="Arial" w:cs="Arial"/>
          <w:color w:val="000000"/>
          <w:sz w:val="18"/>
          <w:szCs w:val="18"/>
          <w:shd w:val="clear" w:color="auto" w:fill="FFFFFF"/>
        </w:rPr>
        <w:t xml:space="preserve">-2017 que </w:t>
      </w:r>
      <w:r w:rsidRPr="004E37DB">
        <w:rPr>
          <w:rStyle w:val="normaltextrun"/>
          <w:rFonts w:ascii="Arial" w:hAnsi="Arial" w:cs="Arial"/>
          <w:i/>
          <w:iCs/>
          <w:color w:val="000000"/>
          <w:sz w:val="18"/>
          <w:szCs w:val="18"/>
          <w:shd w:val="clear" w:color="auto" w:fill="FFFFFF"/>
        </w:rPr>
        <w:t>“la conciliación en materia laboral es un mecanismo legítimo para la finalización de un conflicto entre las partes que, por regla general, hace tránsito a cosa juzgada, también lo es que si del acuerdo se desprende que alguno de los intervinientes actúa sin capacidad o carente de voluntad libre e informada, cuando la referida actuación verse sobre un objeto o causa ilícita, o suponga una violación de derechos ciertos e indiscutibles, el mismo podrá ser impugnado judicialmente para restarle validez y enervar sus efectos jurídicos”. </w:t>
      </w:r>
      <w:r w:rsidRPr="004E37DB">
        <w:rPr>
          <w:rStyle w:val="eop"/>
          <w:rFonts w:ascii="Arial" w:hAnsi="Arial" w:cs="Arial"/>
          <w:color w:val="000000"/>
          <w:sz w:val="18"/>
          <w:szCs w:val="18"/>
          <w:shd w:val="clear" w:color="auto" w:fill="FFFFFF"/>
        </w:rPr>
        <w:t> </w:t>
      </w:r>
    </w:p>
  </w:footnote>
  <w:footnote w:id="4">
    <w:p w14:paraId="5BDE66D6" w14:textId="77777777" w:rsidR="001E4D75" w:rsidRPr="004E37DB" w:rsidRDefault="001E4D75" w:rsidP="004E37DB">
      <w:pPr>
        <w:pStyle w:val="Textonotapie"/>
        <w:rPr>
          <w:rFonts w:ascii="Arial" w:hAnsi="Arial" w:cs="Arial"/>
          <w:sz w:val="18"/>
          <w:szCs w:val="18"/>
        </w:rPr>
      </w:pPr>
      <w:r w:rsidRPr="004E37DB">
        <w:rPr>
          <w:rStyle w:val="Refdenotaalpie"/>
          <w:rFonts w:ascii="Arial" w:hAnsi="Arial" w:cs="Arial"/>
          <w:sz w:val="18"/>
          <w:szCs w:val="18"/>
        </w:rPr>
        <w:footnoteRef/>
      </w:r>
      <w:r w:rsidRPr="004E37DB">
        <w:rPr>
          <w:rFonts w:ascii="Arial" w:hAnsi="Arial" w:cs="Arial"/>
          <w:sz w:val="18"/>
          <w:szCs w:val="18"/>
        </w:rPr>
        <w:t xml:space="preserve"> </w:t>
      </w:r>
      <w:r w:rsidRPr="004E37DB">
        <w:rPr>
          <w:rFonts w:ascii="Arial" w:hAnsi="Arial" w:cs="Arial"/>
          <w:iCs/>
          <w:sz w:val="18"/>
          <w:szCs w:val="18"/>
          <w:lang w:val="es-419"/>
        </w:rPr>
        <w:t xml:space="preserve">Auto Radicado No. </w:t>
      </w:r>
      <w:r w:rsidRPr="004E37DB">
        <w:rPr>
          <w:rFonts w:ascii="Arial" w:hAnsi="Arial" w:cs="Arial"/>
          <w:bCs/>
          <w:iCs/>
          <w:sz w:val="18"/>
          <w:szCs w:val="18"/>
          <w:lang w:val="es-ES_tradnl"/>
        </w:rPr>
        <w:t>66001-31-05-001-2015-00654-01</w:t>
      </w:r>
      <w:r w:rsidRPr="004E37DB">
        <w:rPr>
          <w:rFonts w:ascii="Arial" w:hAnsi="Arial" w:cs="Arial"/>
          <w:iCs/>
          <w:sz w:val="18"/>
          <w:szCs w:val="18"/>
          <w:lang w:val="es-CO"/>
        </w:rPr>
        <w:t xml:space="preserve"> del 3 de octubre de 2016, </w:t>
      </w:r>
      <w:proofErr w:type="spellStart"/>
      <w:r w:rsidRPr="004E37DB">
        <w:rPr>
          <w:rFonts w:ascii="Arial" w:hAnsi="Arial" w:cs="Arial"/>
          <w:iCs/>
          <w:sz w:val="18"/>
          <w:szCs w:val="18"/>
          <w:lang w:val="es-CO"/>
        </w:rPr>
        <w:t>M.P</w:t>
      </w:r>
      <w:proofErr w:type="spellEnd"/>
      <w:r w:rsidRPr="004E37DB">
        <w:rPr>
          <w:rFonts w:ascii="Arial" w:hAnsi="Arial" w:cs="Arial"/>
          <w:iCs/>
          <w:sz w:val="18"/>
          <w:szCs w:val="18"/>
          <w:lang w:val="es-CO"/>
        </w:rPr>
        <w:t>. Olga Lucía Hoyos Sepúlveda.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E05F" w14:textId="3EC5F14F" w:rsidR="00F447BD" w:rsidRPr="009A3C17" w:rsidRDefault="00F447BD" w:rsidP="009A3C17">
    <w:pPr>
      <w:spacing w:line="240" w:lineRule="auto"/>
      <w:rPr>
        <w:rFonts w:ascii="Arial" w:eastAsia="Times New Roman" w:hAnsi="Arial" w:cs="Arial"/>
        <w:sz w:val="18"/>
        <w:szCs w:val="18"/>
        <w:lang w:eastAsia="es-ES"/>
      </w:rPr>
    </w:pPr>
    <w:r w:rsidRPr="009A3C17">
      <w:rPr>
        <w:rFonts w:ascii="Arial" w:eastAsia="Times New Roman" w:hAnsi="Arial" w:cs="Arial"/>
        <w:sz w:val="18"/>
        <w:szCs w:val="18"/>
        <w:lang w:eastAsia="es-ES"/>
      </w:rPr>
      <w:t>Radicación No.:</w:t>
    </w:r>
    <w:r w:rsidR="000E7029">
      <w:rPr>
        <w:rFonts w:ascii="Arial" w:eastAsia="Times New Roman" w:hAnsi="Arial" w:cs="Arial"/>
        <w:sz w:val="18"/>
        <w:szCs w:val="18"/>
        <w:lang w:eastAsia="es-ES"/>
      </w:rPr>
      <w:tab/>
    </w:r>
    <w:r w:rsidRPr="009A3C17">
      <w:rPr>
        <w:rFonts w:ascii="Arial" w:eastAsia="Times New Roman" w:hAnsi="Arial" w:cs="Arial"/>
        <w:sz w:val="18"/>
        <w:szCs w:val="18"/>
        <w:lang w:eastAsia="es-ES"/>
      </w:rPr>
      <w:t>66001-31-05-003-2020-00085-01</w:t>
    </w:r>
  </w:p>
  <w:p w14:paraId="1C5ABC98" w14:textId="4AC72D5A" w:rsidR="00F447BD" w:rsidRPr="009A3C17" w:rsidRDefault="00F447BD" w:rsidP="009A3C17">
    <w:pPr>
      <w:spacing w:line="240" w:lineRule="auto"/>
      <w:rPr>
        <w:rFonts w:ascii="Arial" w:eastAsia="Times New Roman" w:hAnsi="Arial" w:cs="Arial"/>
        <w:sz w:val="18"/>
        <w:szCs w:val="18"/>
        <w:lang w:eastAsia="es-ES"/>
      </w:rPr>
    </w:pPr>
    <w:r w:rsidRPr="009A3C17">
      <w:rPr>
        <w:rFonts w:ascii="Arial" w:eastAsia="Times New Roman" w:hAnsi="Arial" w:cs="Arial"/>
        <w:sz w:val="18"/>
        <w:szCs w:val="18"/>
        <w:lang w:eastAsia="es-ES"/>
      </w:rPr>
      <w:t xml:space="preserve">Demandante: </w:t>
    </w:r>
    <w:r w:rsidRPr="009A3C17">
      <w:rPr>
        <w:rFonts w:ascii="Arial" w:eastAsia="Times New Roman" w:hAnsi="Arial" w:cs="Arial"/>
        <w:sz w:val="18"/>
        <w:szCs w:val="18"/>
        <w:lang w:eastAsia="es-ES"/>
      </w:rPr>
      <w:tab/>
    </w:r>
    <w:proofErr w:type="spellStart"/>
    <w:r w:rsidRPr="009A3C17">
      <w:rPr>
        <w:rFonts w:ascii="Arial" w:eastAsia="Times New Roman" w:hAnsi="Arial" w:cs="Arial"/>
        <w:sz w:val="18"/>
        <w:szCs w:val="18"/>
        <w:lang w:eastAsia="es-ES"/>
      </w:rPr>
      <w:t>Elibardo</w:t>
    </w:r>
    <w:proofErr w:type="spellEnd"/>
    <w:r w:rsidRPr="009A3C17">
      <w:rPr>
        <w:rFonts w:ascii="Arial" w:eastAsia="Times New Roman" w:hAnsi="Arial" w:cs="Arial"/>
        <w:sz w:val="18"/>
        <w:szCs w:val="18"/>
        <w:lang w:eastAsia="es-ES"/>
      </w:rPr>
      <w:t xml:space="preserve"> Giraldo Rivera</w:t>
    </w:r>
  </w:p>
  <w:p w14:paraId="5DE83EA9" w14:textId="5623C4BD" w:rsidR="006F0BF1" w:rsidRPr="009A3C17" w:rsidRDefault="00F447BD" w:rsidP="009A3C17">
    <w:pPr>
      <w:spacing w:line="240" w:lineRule="auto"/>
      <w:rPr>
        <w:rFonts w:ascii="Arial" w:eastAsia="Times New Roman" w:hAnsi="Arial" w:cs="Arial"/>
        <w:sz w:val="18"/>
        <w:szCs w:val="18"/>
        <w:lang w:eastAsia="es-ES"/>
      </w:rPr>
    </w:pPr>
    <w:r w:rsidRPr="009A3C17">
      <w:rPr>
        <w:rFonts w:ascii="Arial" w:eastAsia="Times New Roman" w:hAnsi="Arial" w:cs="Arial"/>
        <w:sz w:val="18"/>
        <w:szCs w:val="18"/>
        <w:lang w:eastAsia="es-ES"/>
      </w:rPr>
      <w:t xml:space="preserve">Demandado: </w:t>
    </w:r>
    <w:r w:rsidRPr="009A3C17">
      <w:rPr>
        <w:rFonts w:ascii="Arial" w:eastAsia="Times New Roman" w:hAnsi="Arial" w:cs="Arial"/>
        <w:sz w:val="18"/>
        <w:szCs w:val="18"/>
        <w:lang w:eastAsia="es-ES"/>
      </w:rPr>
      <w:tab/>
    </w:r>
    <w:proofErr w:type="spellStart"/>
    <w:r w:rsidR="009A3C17" w:rsidRPr="009A3C17">
      <w:rPr>
        <w:rFonts w:ascii="Arial" w:eastAsia="Times New Roman" w:hAnsi="Arial" w:cs="Arial"/>
        <w:sz w:val="18"/>
        <w:szCs w:val="18"/>
        <w:lang w:eastAsia="es-ES"/>
      </w:rPr>
      <w:t>Montecz</w:t>
    </w:r>
    <w:proofErr w:type="spellEnd"/>
    <w:r w:rsidR="009A3C17" w:rsidRPr="009A3C17">
      <w:rPr>
        <w:rFonts w:ascii="Arial" w:eastAsia="Times New Roman" w:hAnsi="Arial" w:cs="Arial"/>
        <w:sz w:val="18"/>
        <w:szCs w:val="18"/>
        <w:lang w:eastAsia="es-ES"/>
      </w:rPr>
      <w:t xml:space="preserve"> S.A. y otro</w:t>
    </w:r>
  </w:p>
</w:hdr>
</file>

<file path=word/intelligence2.xml><?xml version="1.0" encoding="utf-8"?>
<int2:intelligence xmlns:int2="http://schemas.microsoft.com/office/intelligence/2020/intelligence" xmlns:oel="http://schemas.microsoft.com/office/2019/extlst">
  <int2:observations>
    <int2:textHash int2:hashCode="uJzCFtj9tlf03g" int2:id="78gBEvj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7DD560A"/>
    <w:multiLevelType w:val="hybridMultilevel"/>
    <w:tmpl w:val="DE7029C2"/>
    <w:lvl w:ilvl="0" w:tplc="B4EEA59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4"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5" w15:restartNumberingAfterBreak="0">
    <w:nsid w:val="56F11699"/>
    <w:multiLevelType w:val="multilevel"/>
    <w:tmpl w:val="E03E2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9"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0" w15:restartNumberingAfterBreak="0">
    <w:nsid w:val="71231FAB"/>
    <w:multiLevelType w:val="multilevel"/>
    <w:tmpl w:val="E03E26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2"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
  </w:num>
  <w:num w:numId="2">
    <w:abstractNumId w:val="6"/>
  </w:num>
  <w:num w:numId="3">
    <w:abstractNumId w:val="11"/>
  </w:num>
  <w:num w:numId="4">
    <w:abstractNumId w:val="8"/>
  </w:num>
  <w:num w:numId="5">
    <w:abstractNumId w:val="3"/>
  </w:num>
  <w:num w:numId="6">
    <w:abstractNumId w:val="9"/>
  </w:num>
  <w:num w:numId="7">
    <w:abstractNumId w:val="0"/>
  </w:num>
  <w:num w:numId="8">
    <w:abstractNumId w:val="2"/>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02F2E"/>
    <w:rsid w:val="0001298F"/>
    <w:rsid w:val="000149D5"/>
    <w:rsid w:val="00031856"/>
    <w:rsid w:val="0004043C"/>
    <w:rsid w:val="000417F2"/>
    <w:rsid w:val="00051C89"/>
    <w:rsid w:val="00060615"/>
    <w:rsid w:val="00062B04"/>
    <w:rsid w:val="00062C8C"/>
    <w:rsid w:val="00063258"/>
    <w:rsid w:val="00065E17"/>
    <w:rsid w:val="00077432"/>
    <w:rsid w:val="00083150"/>
    <w:rsid w:val="0008330E"/>
    <w:rsid w:val="00084EF1"/>
    <w:rsid w:val="0009113A"/>
    <w:rsid w:val="000969B5"/>
    <w:rsid w:val="000A30B6"/>
    <w:rsid w:val="000A3135"/>
    <w:rsid w:val="000A6552"/>
    <w:rsid w:val="000A69A0"/>
    <w:rsid w:val="000A7FDF"/>
    <w:rsid w:val="000B265E"/>
    <w:rsid w:val="000B26DC"/>
    <w:rsid w:val="000B2AF1"/>
    <w:rsid w:val="000B5264"/>
    <w:rsid w:val="000C07FB"/>
    <w:rsid w:val="000C1FF0"/>
    <w:rsid w:val="000C2B7A"/>
    <w:rsid w:val="000C31D1"/>
    <w:rsid w:val="000C6F0F"/>
    <w:rsid w:val="000D169A"/>
    <w:rsid w:val="000D3625"/>
    <w:rsid w:val="000D6549"/>
    <w:rsid w:val="000E2B56"/>
    <w:rsid w:val="000E7029"/>
    <w:rsid w:val="000E7EAF"/>
    <w:rsid w:val="001002F8"/>
    <w:rsid w:val="00102A34"/>
    <w:rsid w:val="001046AE"/>
    <w:rsid w:val="00105433"/>
    <w:rsid w:val="001058BB"/>
    <w:rsid w:val="001065C6"/>
    <w:rsid w:val="00106600"/>
    <w:rsid w:val="00113107"/>
    <w:rsid w:val="0011734C"/>
    <w:rsid w:val="00121598"/>
    <w:rsid w:val="00124421"/>
    <w:rsid w:val="00124DAE"/>
    <w:rsid w:val="00125508"/>
    <w:rsid w:val="001265AA"/>
    <w:rsid w:val="00133DD4"/>
    <w:rsid w:val="00135598"/>
    <w:rsid w:val="001364C9"/>
    <w:rsid w:val="00137401"/>
    <w:rsid w:val="00143080"/>
    <w:rsid w:val="00150430"/>
    <w:rsid w:val="00151EDC"/>
    <w:rsid w:val="001521F5"/>
    <w:rsid w:val="00162479"/>
    <w:rsid w:val="00163F73"/>
    <w:rsid w:val="001644A4"/>
    <w:rsid w:val="00164628"/>
    <w:rsid w:val="00165A6D"/>
    <w:rsid w:val="00171D74"/>
    <w:rsid w:val="00172301"/>
    <w:rsid w:val="001723F7"/>
    <w:rsid w:val="00174596"/>
    <w:rsid w:val="00174C12"/>
    <w:rsid w:val="00180036"/>
    <w:rsid w:val="0018074F"/>
    <w:rsid w:val="00181719"/>
    <w:rsid w:val="001819FD"/>
    <w:rsid w:val="00181FA3"/>
    <w:rsid w:val="00182B32"/>
    <w:rsid w:val="00186526"/>
    <w:rsid w:val="001879AC"/>
    <w:rsid w:val="0019007F"/>
    <w:rsid w:val="00190C02"/>
    <w:rsid w:val="001A4CD2"/>
    <w:rsid w:val="001A4E68"/>
    <w:rsid w:val="001A51FC"/>
    <w:rsid w:val="001A60DF"/>
    <w:rsid w:val="001A780E"/>
    <w:rsid w:val="001B0E68"/>
    <w:rsid w:val="001B49BF"/>
    <w:rsid w:val="001B7519"/>
    <w:rsid w:val="001C2627"/>
    <w:rsid w:val="001C3D59"/>
    <w:rsid w:val="001C5F29"/>
    <w:rsid w:val="001C7DF3"/>
    <w:rsid w:val="001C7FCC"/>
    <w:rsid w:val="001D0FCE"/>
    <w:rsid w:val="001D3ECB"/>
    <w:rsid w:val="001D74A5"/>
    <w:rsid w:val="001D7A78"/>
    <w:rsid w:val="001E157C"/>
    <w:rsid w:val="001E4D75"/>
    <w:rsid w:val="001E544B"/>
    <w:rsid w:val="001E7B06"/>
    <w:rsid w:val="001F5065"/>
    <w:rsid w:val="001F7278"/>
    <w:rsid w:val="00203E29"/>
    <w:rsid w:val="0020401A"/>
    <w:rsid w:val="0020787C"/>
    <w:rsid w:val="00207AEB"/>
    <w:rsid w:val="00210BA3"/>
    <w:rsid w:val="00213F70"/>
    <w:rsid w:val="00222F3A"/>
    <w:rsid w:val="00223424"/>
    <w:rsid w:val="00227BBB"/>
    <w:rsid w:val="00230026"/>
    <w:rsid w:val="00230A4A"/>
    <w:rsid w:val="00230E19"/>
    <w:rsid w:val="0023223A"/>
    <w:rsid w:val="00235052"/>
    <w:rsid w:val="00236E5A"/>
    <w:rsid w:val="00237FBF"/>
    <w:rsid w:val="002409E5"/>
    <w:rsid w:val="00243DEB"/>
    <w:rsid w:val="002441C8"/>
    <w:rsid w:val="002443AE"/>
    <w:rsid w:val="0025125F"/>
    <w:rsid w:val="00254697"/>
    <w:rsid w:val="00255789"/>
    <w:rsid w:val="0026362D"/>
    <w:rsid w:val="00263CE9"/>
    <w:rsid w:val="00264C6A"/>
    <w:rsid w:val="0026635C"/>
    <w:rsid w:val="00266B7F"/>
    <w:rsid w:val="00267B19"/>
    <w:rsid w:val="00270449"/>
    <w:rsid w:val="00271EE9"/>
    <w:rsid w:val="002750A8"/>
    <w:rsid w:val="002755EA"/>
    <w:rsid w:val="002800D8"/>
    <w:rsid w:val="00280CB5"/>
    <w:rsid w:val="00281257"/>
    <w:rsid w:val="00285131"/>
    <w:rsid w:val="0028549B"/>
    <w:rsid w:val="00287C89"/>
    <w:rsid w:val="00293743"/>
    <w:rsid w:val="00294ECA"/>
    <w:rsid w:val="002A19C0"/>
    <w:rsid w:val="002A34F0"/>
    <w:rsid w:val="002A3AD2"/>
    <w:rsid w:val="002A4398"/>
    <w:rsid w:val="002A6049"/>
    <w:rsid w:val="002B0190"/>
    <w:rsid w:val="002B08E8"/>
    <w:rsid w:val="002B296B"/>
    <w:rsid w:val="002B48BC"/>
    <w:rsid w:val="002B54AA"/>
    <w:rsid w:val="002C229A"/>
    <w:rsid w:val="002C25F3"/>
    <w:rsid w:val="002C2CBF"/>
    <w:rsid w:val="002C2D50"/>
    <w:rsid w:val="002C3499"/>
    <w:rsid w:val="002C541E"/>
    <w:rsid w:val="002C7853"/>
    <w:rsid w:val="002D60F4"/>
    <w:rsid w:val="002D6D1A"/>
    <w:rsid w:val="002D7E41"/>
    <w:rsid w:val="002E031B"/>
    <w:rsid w:val="002E11DF"/>
    <w:rsid w:val="002E2778"/>
    <w:rsid w:val="002E41A3"/>
    <w:rsid w:val="002E5149"/>
    <w:rsid w:val="002E6B2F"/>
    <w:rsid w:val="002F16FC"/>
    <w:rsid w:val="002F7EA6"/>
    <w:rsid w:val="00301CF7"/>
    <w:rsid w:val="00303DFB"/>
    <w:rsid w:val="00304B91"/>
    <w:rsid w:val="00305DC2"/>
    <w:rsid w:val="003221C2"/>
    <w:rsid w:val="003254F1"/>
    <w:rsid w:val="003259DE"/>
    <w:rsid w:val="003266DC"/>
    <w:rsid w:val="0032713F"/>
    <w:rsid w:val="00330405"/>
    <w:rsid w:val="00332A11"/>
    <w:rsid w:val="00332F92"/>
    <w:rsid w:val="00333E9E"/>
    <w:rsid w:val="00337476"/>
    <w:rsid w:val="0034501E"/>
    <w:rsid w:val="0035190D"/>
    <w:rsid w:val="0035531C"/>
    <w:rsid w:val="00357D38"/>
    <w:rsid w:val="003605A6"/>
    <w:rsid w:val="00361B65"/>
    <w:rsid w:val="003620D3"/>
    <w:rsid w:val="00362E6F"/>
    <w:rsid w:val="00364DB8"/>
    <w:rsid w:val="00370613"/>
    <w:rsid w:val="00371FED"/>
    <w:rsid w:val="00373FE0"/>
    <w:rsid w:val="00380B7F"/>
    <w:rsid w:val="003825A2"/>
    <w:rsid w:val="00384AD2"/>
    <w:rsid w:val="003870EC"/>
    <w:rsid w:val="0039438D"/>
    <w:rsid w:val="003975D4"/>
    <w:rsid w:val="0039792C"/>
    <w:rsid w:val="003A3DB6"/>
    <w:rsid w:val="003A7207"/>
    <w:rsid w:val="003B0567"/>
    <w:rsid w:val="003B1E8B"/>
    <w:rsid w:val="003B4039"/>
    <w:rsid w:val="003B446A"/>
    <w:rsid w:val="003B6A87"/>
    <w:rsid w:val="003B6BC4"/>
    <w:rsid w:val="003C05F1"/>
    <w:rsid w:val="003C208A"/>
    <w:rsid w:val="003C610E"/>
    <w:rsid w:val="003C666D"/>
    <w:rsid w:val="003D1268"/>
    <w:rsid w:val="003D22B6"/>
    <w:rsid w:val="003D35CB"/>
    <w:rsid w:val="003D5E61"/>
    <w:rsid w:val="003E0B75"/>
    <w:rsid w:val="003E3ABE"/>
    <w:rsid w:val="003E3CA7"/>
    <w:rsid w:val="003E457A"/>
    <w:rsid w:val="003E5848"/>
    <w:rsid w:val="003F13BC"/>
    <w:rsid w:val="003F2330"/>
    <w:rsid w:val="00402C27"/>
    <w:rsid w:val="004032FD"/>
    <w:rsid w:val="00403375"/>
    <w:rsid w:val="004041F9"/>
    <w:rsid w:val="0040448A"/>
    <w:rsid w:val="0040763A"/>
    <w:rsid w:val="004109EE"/>
    <w:rsid w:val="00414526"/>
    <w:rsid w:val="00414A79"/>
    <w:rsid w:val="00414B7B"/>
    <w:rsid w:val="004175B8"/>
    <w:rsid w:val="004206BA"/>
    <w:rsid w:val="004224AE"/>
    <w:rsid w:val="004274C2"/>
    <w:rsid w:val="00427FE0"/>
    <w:rsid w:val="00441BE2"/>
    <w:rsid w:val="00445693"/>
    <w:rsid w:val="00451A9C"/>
    <w:rsid w:val="00453133"/>
    <w:rsid w:val="00453CC7"/>
    <w:rsid w:val="00455CD2"/>
    <w:rsid w:val="00460F59"/>
    <w:rsid w:val="00461363"/>
    <w:rsid w:val="0046253F"/>
    <w:rsid w:val="00462E57"/>
    <w:rsid w:val="00464F41"/>
    <w:rsid w:val="0046685B"/>
    <w:rsid w:val="004679C4"/>
    <w:rsid w:val="00467A93"/>
    <w:rsid w:val="00470DD2"/>
    <w:rsid w:val="00473604"/>
    <w:rsid w:val="00475B27"/>
    <w:rsid w:val="00480177"/>
    <w:rsid w:val="004801E2"/>
    <w:rsid w:val="0048176D"/>
    <w:rsid w:val="00482D9D"/>
    <w:rsid w:val="0048629F"/>
    <w:rsid w:val="00486AF2"/>
    <w:rsid w:val="004876FC"/>
    <w:rsid w:val="00487FF0"/>
    <w:rsid w:val="0049392B"/>
    <w:rsid w:val="004A0446"/>
    <w:rsid w:val="004A3187"/>
    <w:rsid w:val="004A4E32"/>
    <w:rsid w:val="004A52D8"/>
    <w:rsid w:val="004A6787"/>
    <w:rsid w:val="004A69F9"/>
    <w:rsid w:val="004B2E33"/>
    <w:rsid w:val="004B5B50"/>
    <w:rsid w:val="004B5F35"/>
    <w:rsid w:val="004B60CA"/>
    <w:rsid w:val="004C20C1"/>
    <w:rsid w:val="004C48F0"/>
    <w:rsid w:val="004C541C"/>
    <w:rsid w:val="004C7E2B"/>
    <w:rsid w:val="004D7E4F"/>
    <w:rsid w:val="004E15E2"/>
    <w:rsid w:val="004E37DB"/>
    <w:rsid w:val="004E399C"/>
    <w:rsid w:val="004E7258"/>
    <w:rsid w:val="004F0CDC"/>
    <w:rsid w:val="004F630F"/>
    <w:rsid w:val="004F7024"/>
    <w:rsid w:val="00502BC6"/>
    <w:rsid w:val="00503F90"/>
    <w:rsid w:val="0050521E"/>
    <w:rsid w:val="005100C1"/>
    <w:rsid w:val="00511D3F"/>
    <w:rsid w:val="00513B3E"/>
    <w:rsid w:val="00513B51"/>
    <w:rsid w:val="00515FDD"/>
    <w:rsid w:val="0052245F"/>
    <w:rsid w:val="00525CE8"/>
    <w:rsid w:val="00535228"/>
    <w:rsid w:val="00535EBE"/>
    <w:rsid w:val="005426A2"/>
    <w:rsid w:val="00545E48"/>
    <w:rsid w:val="00546DF4"/>
    <w:rsid w:val="00551D59"/>
    <w:rsid w:val="005537D9"/>
    <w:rsid w:val="0055563B"/>
    <w:rsid w:val="00556F69"/>
    <w:rsid w:val="00557985"/>
    <w:rsid w:val="00557A08"/>
    <w:rsid w:val="0056130D"/>
    <w:rsid w:val="005622F3"/>
    <w:rsid w:val="005664CC"/>
    <w:rsid w:val="00572FF7"/>
    <w:rsid w:val="005758D3"/>
    <w:rsid w:val="00575D76"/>
    <w:rsid w:val="005874A2"/>
    <w:rsid w:val="00587E5D"/>
    <w:rsid w:val="005919E9"/>
    <w:rsid w:val="005923D5"/>
    <w:rsid w:val="00592410"/>
    <w:rsid w:val="00594989"/>
    <w:rsid w:val="005953C3"/>
    <w:rsid w:val="005A0171"/>
    <w:rsid w:val="005A3F71"/>
    <w:rsid w:val="005A5892"/>
    <w:rsid w:val="005B3F4F"/>
    <w:rsid w:val="005B4F4D"/>
    <w:rsid w:val="005B7FAF"/>
    <w:rsid w:val="005C103F"/>
    <w:rsid w:val="005C4FE9"/>
    <w:rsid w:val="005C5479"/>
    <w:rsid w:val="005C54AA"/>
    <w:rsid w:val="005C61C1"/>
    <w:rsid w:val="005C6924"/>
    <w:rsid w:val="005C7539"/>
    <w:rsid w:val="005D19F5"/>
    <w:rsid w:val="005D3995"/>
    <w:rsid w:val="005D4C88"/>
    <w:rsid w:val="005D520F"/>
    <w:rsid w:val="005E16B2"/>
    <w:rsid w:val="005E2217"/>
    <w:rsid w:val="005E232D"/>
    <w:rsid w:val="005E3C47"/>
    <w:rsid w:val="005E42A7"/>
    <w:rsid w:val="005F302C"/>
    <w:rsid w:val="005F7A22"/>
    <w:rsid w:val="00604368"/>
    <w:rsid w:val="00604FCC"/>
    <w:rsid w:val="00606FC4"/>
    <w:rsid w:val="006078C3"/>
    <w:rsid w:val="00611C90"/>
    <w:rsid w:val="006123B5"/>
    <w:rsid w:val="00620940"/>
    <w:rsid w:val="00620B79"/>
    <w:rsid w:val="00621AFC"/>
    <w:rsid w:val="00621E31"/>
    <w:rsid w:val="00622DCC"/>
    <w:rsid w:val="00623EE9"/>
    <w:rsid w:val="00625091"/>
    <w:rsid w:val="006250A7"/>
    <w:rsid w:val="006408D8"/>
    <w:rsid w:val="00640B14"/>
    <w:rsid w:val="00641B64"/>
    <w:rsid w:val="00642847"/>
    <w:rsid w:val="00643112"/>
    <w:rsid w:val="00647EBA"/>
    <w:rsid w:val="006529DF"/>
    <w:rsid w:val="00654C4B"/>
    <w:rsid w:val="00655004"/>
    <w:rsid w:val="0066223A"/>
    <w:rsid w:val="0066252A"/>
    <w:rsid w:val="0066333D"/>
    <w:rsid w:val="00663E65"/>
    <w:rsid w:val="006657DA"/>
    <w:rsid w:val="0067260E"/>
    <w:rsid w:val="00672E34"/>
    <w:rsid w:val="006735AA"/>
    <w:rsid w:val="006837D7"/>
    <w:rsid w:val="006846AA"/>
    <w:rsid w:val="00684901"/>
    <w:rsid w:val="0069120A"/>
    <w:rsid w:val="006912D6"/>
    <w:rsid w:val="00693DF5"/>
    <w:rsid w:val="006A1F7E"/>
    <w:rsid w:val="006A3A16"/>
    <w:rsid w:val="006A3BDA"/>
    <w:rsid w:val="006A4EA3"/>
    <w:rsid w:val="006A5073"/>
    <w:rsid w:val="006B40F4"/>
    <w:rsid w:val="006C0A86"/>
    <w:rsid w:val="006C4FBF"/>
    <w:rsid w:val="006C5CC3"/>
    <w:rsid w:val="006C6B5C"/>
    <w:rsid w:val="006D0B29"/>
    <w:rsid w:val="006D6F94"/>
    <w:rsid w:val="006E071F"/>
    <w:rsid w:val="006E1A40"/>
    <w:rsid w:val="006E563E"/>
    <w:rsid w:val="006E70AB"/>
    <w:rsid w:val="006F0BF1"/>
    <w:rsid w:val="006F451E"/>
    <w:rsid w:val="006F5CBD"/>
    <w:rsid w:val="006F7223"/>
    <w:rsid w:val="006F7870"/>
    <w:rsid w:val="007014D5"/>
    <w:rsid w:val="00701E1C"/>
    <w:rsid w:val="00702235"/>
    <w:rsid w:val="007023EE"/>
    <w:rsid w:val="0070467A"/>
    <w:rsid w:val="00706DCC"/>
    <w:rsid w:val="00707171"/>
    <w:rsid w:val="007079FB"/>
    <w:rsid w:val="00711A24"/>
    <w:rsid w:val="00711BB3"/>
    <w:rsid w:val="00711DA1"/>
    <w:rsid w:val="00714670"/>
    <w:rsid w:val="007246B6"/>
    <w:rsid w:val="00724726"/>
    <w:rsid w:val="00727BFD"/>
    <w:rsid w:val="00730E61"/>
    <w:rsid w:val="00734715"/>
    <w:rsid w:val="0073490C"/>
    <w:rsid w:val="007358F3"/>
    <w:rsid w:val="007377C4"/>
    <w:rsid w:val="00737B42"/>
    <w:rsid w:val="00747DE3"/>
    <w:rsid w:val="00753907"/>
    <w:rsid w:val="007544F7"/>
    <w:rsid w:val="00755C3E"/>
    <w:rsid w:val="00756893"/>
    <w:rsid w:val="00757CA0"/>
    <w:rsid w:val="00760CFA"/>
    <w:rsid w:val="00761A73"/>
    <w:rsid w:val="007677E5"/>
    <w:rsid w:val="007700BA"/>
    <w:rsid w:val="0077020B"/>
    <w:rsid w:val="00771939"/>
    <w:rsid w:val="007741B9"/>
    <w:rsid w:val="007744B9"/>
    <w:rsid w:val="0077571F"/>
    <w:rsid w:val="00776F61"/>
    <w:rsid w:val="00777E41"/>
    <w:rsid w:val="00780B34"/>
    <w:rsid w:val="0078368E"/>
    <w:rsid w:val="00783FBD"/>
    <w:rsid w:val="00787F7F"/>
    <w:rsid w:val="00790499"/>
    <w:rsid w:val="007914E4"/>
    <w:rsid w:val="00791843"/>
    <w:rsid w:val="0079328F"/>
    <w:rsid w:val="00793555"/>
    <w:rsid w:val="007960A6"/>
    <w:rsid w:val="007A2570"/>
    <w:rsid w:val="007B1D3E"/>
    <w:rsid w:val="007B42CA"/>
    <w:rsid w:val="007B751E"/>
    <w:rsid w:val="007B7A8C"/>
    <w:rsid w:val="007C46B7"/>
    <w:rsid w:val="007D1D03"/>
    <w:rsid w:val="007E1E32"/>
    <w:rsid w:val="007E35C7"/>
    <w:rsid w:val="007E7152"/>
    <w:rsid w:val="007F03D8"/>
    <w:rsid w:val="007F4E79"/>
    <w:rsid w:val="00801F7D"/>
    <w:rsid w:val="00805090"/>
    <w:rsid w:val="0080516A"/>
    <w:rsid w:val="0080518C"/>
    <w:rsid w:val="008074E8"/>
    <w:rsid w:val="00811CC8"/>
    <w:rsid w:val="0081318C"/>
    <w:rsid w:val="008131AD"/>
    <w:rsid w:val="00813BFD"/>
    <w:rsid w:val="0081729B"/>
    <w:rsid w:val="00824C01"/>
    <w:rsid w:val="00824D90"/>
    <w:rsid w:val="0082757F"/>
    <w:rsid w:val="00827957"/>
    <w:rsid w:val="00832A9B"/>
    <w:rsid w:val="00832B57"/>
    <w:rsid w:val="0084150A"/>
    <w:rsid w:val="008431D8"/>
    <w:rsid w:val="008432F2"/>
    <w:rsid w:val="0084437A"/>
    <w:rsid w:val="00844905"/>
    <w:rsid w:val="00846464"/>
    <w:rsid w:val="00847DA7"/>
    <w:rsid w:val="0085042B"/>
    <w:rsid w:val="00853DD1"/>
    <w:rsid w:val="00854D8F"/>
    <w:rsid w:val="00864D76"/>
    <w:rsid w:val="00866E56"/>
    <w:rsid w:val="00867E47"/>
    <w:rsid w:val="0087371B"/>
    <w:rsid w:val="00873C04"/>
    <w:rsid w:val="00876690"/>
    <w:rsid w:val="00877B24"/>
    <w:rsid w:val="00877DA9"/>
    <w:rsid w:val="0088122C"/>
    <w:rsid w:val="0088597C"/>
    <w:rsid w:val="0089003F"/>
    <w:rsid w:val="00890E99"/>
    <w:rsid w:val="00892E5D"/>
    <w:rsid w:val="00893978"/>
    <w:rsid w:val="00895BAC"/>
    <w:rsid w:val="00896BF5"/>
    <w:rsid w:val="008A137B"/>
    <w:rsid w:val="008A38E3"/>
    <w:rsid w:val="008A4456"/>
    <w:rsid w:val="008A5D92"/>
    <w:rsid w:val="008A7065"/>
    <w:rsid w:val="008B4E70"/>
    <w:rsid w:val="008B5E43"/>
    <w:rsid w:val="008C0F38"/>
    <w:rsid w:val="008C4645"/>
    <w:rsid w:val="008D1ABA"/>
    <w:rsid w:val="008D3E37"/>
    <w:rsid w:val="008D49AC"/>
    <w:rsid w:val="008D60D4"/>
    <w:rsid w:val="008E4002"/>
    <w:rsid w:val="008E595C"/>
    <w:rsid w:val="008E6AE4"/>
    <w:rsid w:val="008E6F92"/>
    <w:rsid w:val="008F1277"/>
    <w:rsid w:val="008F1CBB"/>
    <w:rsid w:val="008F3229"/>
    <w:rsid w:val="008F4FA5"/>
    <w:rsid w:val="008F5E34"/>
    <w:rsid w:val="008F6200"/>
    <w:rsid w:val="008F66AA"/>
    <w:rsid w:val="008F6EA5"/>
    <w:rsid w:val="008F7F2E"/>
    <w:rsid w:val="00900B0E"/>
    <w:rsid w:val="00900F5A"/>
    <w:rsid w:val="009032DB"/>
    <w:rsid w:val="009037CB"/>
    <w:rsid w:val="00904971"/>
    <w:rsid w:val="0090597E"/>
    <w:rsid w:val="00910154"/>
    <w:rsid w:val="00910B40"/>
    <w:rsid w:val="009115CC"/>
    <w:rsid w:val="009145A1"/>
    <w:rsid w:val="009215E1"/>
    <w:rsid w:val="00921645"/>
    <w:rsid w:val="009263CE"/>
    <w:rsid w:val="00927D49"/>
    <w:rsid w:val="009364B2"/>
    <w:rsid w:val="00936E7F"/>
    <w:rsid w:val="00942837"/>
    <w:rsid w:val="00944BE6"/>
    <w:rsid w:val="009477C1"/>
    <w:rsid w:val="009521C2"/>
    <w:rsid w:val="0095244E"/>
    <w:rsid w:val="00962441"/>
    <w:rsid w:val="0096312B"/>
    <w:rsid w:val="00964EDE"/>
    <w:rsid w:val="009657F0"/>
    <w:rsid w:val="00966FF8"/>
    <w:rsid w:val="00971EBB"/>
    <w:rsid w:val="00973D9C"/>
    <w:rsid w:val="009752FF"/>
    <w:rsid w:val="00975E71"/>
    <w:rsid w:val="009769BD"/>
    <w:rsid w:val="00977C6A"/>
    <w:rsid w:val="00980E55"/>
    <w:rsid w:val="00982006"/>
    <w:rsid w:val="0098252B"/>
    <w:rsid w:val="00993A9D"/>
    <w:rsid w:val="009A1600"/>
    <w:rsid w:val="009A279B"/>
    <w:rsid w:val="009A3C17"/>
    <w:rsid w:val="009A6B00"/>
    <w:rsid w:val="009A7F53"/>
    <w:rsid w:val="009B0441"/>
    <w:rsid w:val="009B1D57"/>
    <w:rsid w:val="009B33F1"/>
    <w:rsid w:val="009B3476"/>
    <w:rsid w:val="009B6552"/>
    <w:rsid w:val="009C74B9"/>
    <w:rsid w:val="009C772B"/>
    <w:rsid w:val="009D13C4"/>
    <w:rsid w:val="009D3EE3"/>
    <w:rsid w:val="009D46DB"/>
    <w:rsid w:val="009E149F"/>
    <w:rsid w:val="009E14FC"/>
    <w:rsid w:val="009F2076"/>
    <w:rsid w:val="009F21DC"/>
    <w:rsid w:val="009F3039"/>
    <w:rsid w:val="009F4CB1"/>
    <w:rsid w:val="009F6669"/>
    <w:rsid w:val="00A00791"/>
    <w:rsid w:val="00A01634"/>
    <w:rsid w:val="00A02559"/>
    <w:rsid w:val="00A03775"/>
    <w:rsid w:val="00A04FFC"/>
    <w:rsid w:val="00A05CB1"/>
    <w:rsid w:val="00A13E49"/>
    <w:rsid w:val="00A14DC9"/>
    <w:rsid w:val="00A161F4"/>
    <w:rsid w:val="00A16A10"/>
    <w:rsid w:val="00A17C1A"/>
    <w:rsid w:val="00A2221A"/>
    <w:rsid w:val="00A27971"/>
    <w:rsid w:val="00A30822"/>
    <w:rsid w:val="00A31A11"/>
    <w:rsid w:val="00A32CDD"/>
    <w:rsid w:val="00A431F8"/>
    <w:rsid w:val="00A46518"/>
    <w:rsid w:val="00A50BDB"/>
    <w:rsid w:val="00A515F8"/>
    <w:rsid w:val="00A5196B"/>
    <w:rsid w:val="00A53360"/>
    <w:rsid w:val="00A55A0A"/>
    <w:rsid w:val="00A606EB"/>
    <w:rsid w:val="00A60DA3"/>
    <w:rsid w:val="00A622B2"/>
    <w:rsid w:val="00A739FD"/>
    <w:rsid w:val="00A81B91"/>
    <w:rsid w:val="00A81DFF"/>
    <w:rsid w:val="00A92BC8"/>
    <w:rsid w:val="00A95A6A"/>
    <w:rsid w:val="00A96379"/>
    <w:rsid w:val="00A96CE0"/>
    <w:rsid w:val="00A976FA"/>
    <w:rsid w:val="00AA2668"/>
    <w:rsid w:val="00AA4823"/>
    <w:rsid w:val="00AB0329"/>
    <w:rsid w:val="00AB7CC0"/>
    <w:rsid w:val="00AC00FB"/>
    <w:rsid w:val="00AC1196"/>
    <w:rsid w:val="00AC1B4F"/>
    <w:rsid w:val="00AC3B22"/>
    <w:rsid w:val="00AC4A45"/>
    <w:rsid w:val="00AC5B9A"/>
    <w:rsid w:val="00AC5F11"/>
    <w:rsid w:val="00AC6D3E"/>
    <w:rsid w:val="00AD011C"/>
    <w:rsid w:val="00AD183A"/>
    <w:rsid w:val="00AD2453"/>
    <w:rsid w:val="00AD427F"/>
    <w:rsid w:val="00AD4B0C"/>
    <w:rsid w:val="00AD7E46"/>
    <w:rsid w:val="00AE10A3"/>
    <w:rsid w:val="00AE377A"/>
    <w:rsid w:val="00AE52A5"/>
    <w:rsid w:val="00AF2F68"/>
    <w:rsid w:val="00AF4846"/>
    <w:rsid w:val="00AF53E9"/>
    <w:rsid w:val="00AF5DB1"/>
    <w:rsid w:val="00AF68C1"/>
    <w:rsid w:val="00B008CA"/>
    <w:rsid w:val="00B016E2"/>
    <w:rsid w:val="00B02A64"/>
    <w:rsid w:val="00B04A7D"/>
    <w:rsid w:val="00B07102"/>
    <w:rsid w:val="00B07485"/>
    <w:rsid w:val="00B1307D"/>
    <w:rsid w:val="00B13E2F"/>
    <w:rsid w:val="00B20293"/>
    <w:rsid w:val="00B22E03"/>
    <w:rsid w:val="00B22EA6"/>
    <w:rsid w:val="00B24065"/>
    <w:rsid w:val="00B3085E"/>
    <w:rsid w:val="00B30860"/>
    <w:rsid w:val="00B33451"/>
    <w:rsid w:val="00B3557A"/>
    <w:rsid w:val="00B376BC"/>
    <w:rsid w:val="00B51773"/>
    <w:rsid w:val="00B52BD0"/>
    <w:rsid w:val="00B61C07"/>
    <w:rsid w:val="00B636E3"/>
    <w:rsid w:val="00B64C2B"/>
    <w:rsid w:val="00B67192"/>
    <w:rsid w:val="00B7026B"/>
    <w:rsid w:val="00B71CB3"/>
    <w:rsid w:val="00B71DB2"/>
    <w:rsid w:val="00B729B5"/>
    <w:rsid w:val="00B83B4E"/>
    <w:rsid w:val="00B875DE"/>
    <w:rsid w:val="00B975FC"/>
    <w:rsid w:val="00BA15E1"/>
    <w:rsid w:val="00BA573B"/>
    <w:rsid w:val="00BA5BFB"/>
    <w:rsid w:val="00BA7AD9"/>
    <w:rsid w:val="00BB1B32"/>
    <w:rsid w:val="00BB4CFC"/>
    <w:rsid w:val="00BC1B60"/>
    <w:rsid w:val="00BC1FAD"/>
    <w:rsid w:val="00BC3331"/>
    <w:rsid w:val="00BC3E17"/>
    <w:rsid w:val="00BD0B18"/>
    <w:rsid w:val="00BD6161"/>
    <w:rsid w:val="00BD6361"/>
    <w:rsid w:val="00BE015B"/>
    <w:rsid w:val="00BE0EE1"/>
    <w:rsid w:val="00BE3952"/>
    <w:rsid w:val="00BF17E8"/>
    <w:rsid w:val="00BF50BF"/>
    <w:rsid w:val="00BF594D"/>
    <w:rsid w:val="00BF68B4"/>
    <w:rsid w:val="00C06762"/>
    <w:rsid w:val="00C252F5"/>
    <w:rsid w:val="00C253DB"/>
    <w:rsid w:val="00C3080B"/>
    <w:rsid w:val="00C30CC1"/>
    <w:rsid w:val="00C31D7D"/>
    <w:rsid w:val="00C32C82"/>
    <w:rsid w:val="00C33490"/>
    <w:rsid w:val="00C342B4"/>
    <w:rsid w:val="00C37FF7"/>
    <w:rsid w:val="00C432DD"/>
    <w:rsid w:val="00C4686C"/>
    <w:rsid w:val="00C51485"/>
    <w:rsid w:val="00C52120"/>
    <w:rsid w:val="00C5283F"/>
    <w:rsid w:val="00C548C4"/>
    <w:rsid w:val="00C640E3"/>
    <w:rsid w:val="00C65F09"/>
    <w:rsid w:val="00C6702A"/>
    <w:rsid w:val="00C8053E"/>
    <w:rsid w:val="00C80AFF"/>
    <w:rsid w:val="00C80E68"/>
    <w:rsid w:val="00C812EC"/>
    <w:rsid w:val="00C867FC"/>
    <w:rsid w:val="00C868F6"/>
    <w:rsid w:val="00C86E8B"/>
    <w:rsid w:val="00C910EB"/>
    <w:rsid w:val="00C922CB"/>
    <w:rsid w:val="00C94449"/>
    <w:rsid w:val="00C94BB1"/>
    <w:rsid w:val="00C94CA2"/>
    <w:rsid w:val="00C960FB"/>
    <w:rsid w:val="00C96F3E"/>
    <w:rsid w:val="00CA3161"/>
    <w:rsid w:val="00CA4661"/>
    <w:rsid w:val="00CA5A23"/>
    <w:rsid w:val="00CB0171"/>
    <w:rsid w:val="00CB2154"/>
    <w:rsid w:val="00CB3777"/>
    <w:rsid w:val="00CB513F"/>
    <w:rsid w:val="00CB7E46"/>
    <w:rsid w:val="00CC2EAB"/>
    <w:rsid w:val="00CC343B"/>
    <w:rsid w:val="00CC40BA"/>
    <w:rsid w:val="00CC79A3"/>
    <w:rsid w:val="00CD23FB"/>
    <w:rsid w:val="00CD3E80"/>
    <w:rsid w:val="00CD79E2"/>
    <w:rsid w:val="00CE1A4A"/>
    <w:rsid w:val="00CE330C"/>
    <w:rsid w:val="00CE6429"/>
    <w:rsid w:val="00CE6E90"/>
    <w:rsid w:val="00CF16C1"/>
    <w:rsid w:val="00CF29C7"/>
    <w:rsid w:val="00CF3810"/>
    <w:rsid w:val="00CF3C1D"/>
    <w:rsid w:val="00CF3F3F"/>
    <w:rsid w:val="00CF4282"/>
    <w:rsid w:val="00CF5341"/>
    <w:rsid w:val="00CF56FD"/>
    <w:rsid w:val="00D01FA5"/>
    <w:rsid w:val="00D035E3"/>
    <w:rsid w:val="00D04CE1"/>
    <w:rsid w:val="00D121D2"/>
    <w:rsid w:val="00D15EC2"/>
    <w:rsid w:val="00D23F74"/>
    <w:rsid w:val="00D24D2D"/>
    <w:rsid w:val="00D30BED"/>
    <w:rsid w:val="00D31018"/>
    <w:rsid w:val="00D325A6"/>
    <w:rsid w:val="00D33865"/>
    <w:rsid w:val="00D370D1"/>
    <w:rsid w:val="00D42378"/>
    <w:rsid w:val="00D45E79"/>
    <w:rsid w:val="00D471A0"/>
    <w:rsid w:val="00D520C8"/>
    <w:rsid w:val="00D56CDB"/>
    <w:rsid w:val="00D57478"/>
    <w:rsid w:val="00D61F9D"/>
    <w:rsid w:val="00D64BD3"/>
    <w:rsid w:val="00D73CF1"/>
    <w:rsid w:val="00D73FEA"/>
    <w:rsid w:val="00D7794C"/>
    <w:rsid w:val="00D84302"/>
    <w:rsid w:val="00D86BBA"/>
    <w:rsid w:val="00D9286F"/>
    <w:rsid w:val="00D96098"/>
    <w:rsid w:val="00D969B8"/>
    <w:rsid w:val="00D97CD6"/>
    <w:rsid w:val="00DA2BD7"/>
    <w:rsid w:val="00DA564D"/>
    <w:rsid w:val="00DB0F72"/>
    <w:rsid w:val="00DC2B9A"/>
    <w:rsid w:val="00DC6106"/>
    <w:rsid w:val="00DC67DF"/>
    <w:rsid w:val="00DD250C"/>
    <w:rsid w:val="00DD3346"/>
    <w:rsid w:val="00DE076C"/>
    <w:rsid w:val="00DE4FD5"/>
    <w:rsid w:val="00DE78EB"/>
    <w:rsid w:val="00DF09E3"/>
    <w:rsid w:val="00DF2AAB"/>
    <w:rsid w:val="00DF2CC5"/>
    <w:rsid w:val="00E004B7"/>
    <w:rsid w:val="00E023E2"/>
    <w:rsid w:val="00E14949"/>
    <w:rsid w:val="00E1573F"/>
    <w:rsid w:val="00E22AE7"/>
    <w:rsid w:val="00E26F40"/>
    <w:rsid w:val="00E27D05"/>
    <w:rsid w:val="00E321B7"/>
    <w:rsid w:val="00E3401F"/>
    <w:rsid w:val="00E414A4"/>
    <w:rsid w:val="00E474C3"/>
    <w:rsid w:val="00E50146"/>
    <w:rsid w:val="00E509DE"/>
    <w:rsid w:val="00E510A6"/>
    <w:rsid w:val="00E6166C"/>
    <w:rsid w:val="00E61C9F"/>
    <w:rsid w:val="00E64259"/>
    <w:rsid w:val="00E643AB"/>
    <w:rsid w:val="00E649D6"/>
    <w:rsid w:val="00E66234"/>
    <w:rsid w:val="00E67B09"/>
    <w:rsid w:val="00E71C5B"/>
    <w:rsid w:val="00E752E3"/>
    <w:rsid w:val="00E76EF8"/>
    <w:rsid w:val="00E82BDE"/>
    <w:rsid w:val="00E85A4F"/>
    <w:rsid w:val="00E90068"/>
    <w:rsid w:val="00E91926"/>
    <w:rsid w:val="00E92323"/>
    <w:rsid w:val="00E9430C"/>
    <w:rsid w:val="00E94842"/>
    <w:rsid w:val="00E958E0"/>
    <w:rsid w:val="00EA1407"/>
    <w:rsid w:val="00EA4291"/>
    <w:rsid w:val="00EB39F1"/>
    <w:rsid w:val="00EC1F7E"/>
    <w:rsid w:val="00EC62B2"/>
    <w:rsid w:val="00EC6BE4"/>
    <w:rsid w:val="00EC7BA3"/>
    <w:rsid w:val="00ED2FB3"/>
    <w:rsid w:val="00ED58FC"/>
    <w:rsid w:val="00ED6AED"/>
    <w:rsid w:val="00ED716D"/>
    <w:rsid w:val="00EE16CE"/>
    <w:rsid w:val="00EE23A5"/>
    <w:rsid w:val="00EE2766"/>
    <w:rsid w:val="00EE2BD4"/>
    <w:rsid w:val="00EE50BE"/>
    <w:rsid w:val="00EE5892"/>
    <w:rsid w:val="00EF04C3"/>
    <w:rsid w:val="00EF1718"/>
    <w:rsid w:val="00EF59E5"/>
    <w:rsid w:val="00EF5F8C"/>
    <w:rsid w:val="00EF6B39"/>
    <w:rsid w:val="00EF71A2"/>
    <w:rsid w:val="00F01BDD"/>
    <w:rsid w:val="00F03C79"/>
    <w:rsid w:val="00F03E98"/>
    <w:rsid w:val="00F04658"/>
    <w:rsid w:val="00F0505C"/>
    <w:rsid w:val="00F052C9"/>
    <w:rsid w:val="00F05F1B"/>
    <w:rsid w:val="00F07AA9"/>
    <w:rsid w:val="00F11ADD"/>
    <w:rsid w:val="00F121A9"/>
    <w:rsid w:val="00F126D3"/>
    <w:rsid w:val="00F12C45"/>
    <w:rsid w:val="00F12C6D"/>
    <w:rsid w:val="00F15A10"/>
    <w:rsid w:val="00F15BAD"/>
    <w:rsid w:val="00F163EB"/>
    <w:rsid w:val="00F179B3"/>
    <w:rsid w:val="00F2237A"/>
    <w:rsid w:val="00F24418"/>
    <w:rsid w:val="00F31EF1"/>
    <w:rsid w:val="00F348F4"/>
    <w:rsid w:val="00F36EFF"/>
    <w:rsid w:val="00F37061"/>
    <w:rsid w:val="00F40E3B"/>
    <w:rsid w:val="00F427C0"/>
    <w:rsid w:val="00F43151"/>
    <w:rsid w:val="00F441CC"/>
    <w:rsid w:val="00F447BD"/>
    <w:rsid w:val="00F45336"/>
    <w:rsid w:val="00F45F75"/>
    <w:rsid w:val="00F470F6"/>
    <w:rsid w:val="00F51151"/>
    <w:rsid w:val="00F517DC"/>
    <w:rsid w:val="00F532E5"/>
    <w:rsid w:val="00F5361E"/>
    <w:rsid w:val="00F536DE"/>
    <w:rsid w:val="00F5403C"/>
    <w:rsid w:val="00F564A8"/>
    <w:rsid w:val="00F60257"/>
    <w:rsid w:val="00F63619"/>
    <w:rsid w:val="00F6431F"/>
    <w:rsid w:val="00F65574"/>
    <w:rsid w:val="00F65615"/>
    <w:rsid w:val="00F65714"/>
    <w:rsid w:val="00F658CA"/>
    <w:rsid w:val="00F65DF4"/>
    <w:rsid w:val="00F660A7"/>
    <w:rsid w:val="00F778C4"/>
    <w:rsid w:val="00F82A9D"/>
    <w:rsid w:val="00F860C8"/>
    <w:rsid w:val="00F92276"/>
    <w:rsid w:val="00F92F0D"/>
    <w:rsid w:val="00F935C7"/>
    <w:rsid w:val="00F94727"/>
    <w:rsid w:val="00F95176"/>
    <w:rsid w:val="00F95613"/>
    <w:rsid w:val="00F95909"/>
    <w:rsid w:val="00F96416"/>
    <w:rsid w:val="00F97964"/>
    <w:rsid w:val="00FA047E"/>
    <w:rsid w:val="00FA1ACA"/>
    <w:rsid w:val="00FA29F8"/>
    <w:rsid w:val="00FA4225"/>
    <w:rsid w:val="00FA576C"/>
    <w:rsid w:val="00FA77DC"/>
    <w:rsid w:val="00FB0276"/>
    <w:rsid w:val="00FB0DF7"/>
    <w:rsid w:val="00FB30A4"/>
    <w:rsid w:val="00FB4D87"/>
    <w:rsid w:val="00FB4F3A"/>
    <w:rsid w:val="00FB5673"/>
    <w:rsid w:val="00FB6D0C"/>
    <w:rsid w:val="00FB7359"/>
    <w:rsid w:val="00FC0B16"/>
    <w:rsid w:val="00FC17DB"/>
    <w:rsid w:val="00FC2031"/>
    <w:rsid w:val="00FC3269"/>
    <w:rsid w:val="00FC3A14"/>
    <w:rsid w:val="00FC3A6D"/>
    <w:rsid w:val="00FC5D74"/>
    <w:rsid w:val="00FC731D"/>
    <w:rsid w:val="00FD0937"/>
    <w:rsid w:val="00FD2D87"/>
    <w:rsid w:val="00FD2F97"/>
    <w:rsid w:val="00FD59DF"/>
    <w:rsid w:val="00FE0D52"/>
    <w:rsid w:val="00FE4A0E"/>
    <w:rsid w:val="00FE5AE4"/>
    <w:rsid w:val="00FE6871"/>
    <w:rsid w:val="00FF0EC2"/>
    <w:rsid w:val="00FF1285"/>
    <w:rsid w:val="00FF3ADE"/>
    <w:rsid w:val="00FF4BAC"/>
    <w:rsid w:val="00FF4D0E"/>
    <w:rsid w:val="00FF61FE"/>
    <w:rsid w:val="03B972D9"/>
    <w:rsid w:val="076A7A1E"/>
    <w:rsid w:val="0777BF90"/>
    <w:rsid w:val="07EFFEED"/>
    <w:rsid w:val="08D6E6B9"/>
    <w:rsid w:val="0CB05A2B"/>
    <w:rsid w:val="107ECD84"/>
    <w:rsid w:val="121A9DE5"/>
    <w:rsid w:val="12CA98D9"/>
    <w:rsid w:val="13067352"/>
    <w:rsid w:val="138C4166"/>
    <w:rsid w:val="15E6E910"/>
    <w:rsid w:val="18988888"/>
    <w:rsid w:val="1A4D19E5"/>
    <w:rsid w:val="1AC89EF1"/>
    <w:rsid w:val="1F60E5CD"/>
    <w:rsid w:val="20CD3B17"/>
    <w:rsid w:val="21D3587E"/>
    <w:rsid w:val="23AEF687"/>
    <w:rsid w:val="2464772E"/>
    <w:rsid w:val="25592B95"/>
    <w:rsid w:val="28301089"/>
    <w:rsid w:val="29847420"/>
    <w:rsid w:val="2CB23E8B"/>
    <w:rsid w:val="321D0DFF"/>
    <w:rsid w:val="32929AFE"/>
    <w:rsid w:val="34F15B5D"/>
    <w:rsid w:val="38785F08"/>
    <w:rsid w:val="38CC65BF"/>
    <w:rsid w:val="3EA3FFA1"/>
    <w:rsid w:val="3F51FAB5"/>
    <w:rsid w:val="3FEF1CA9"/>
    <w:rsid w:val="40585F8C"/>
    <w:rsid w:val="4231941E"/>
    <w:rsid w:val="4831B98A"/>
    <w:rsid w:val="4B5E7263"/>
    <w:rsid w:val="4E958C72"/>
    <w:rsid w:val="4F5CDE9C"/>
    <w:rsid w:val="501465C9"/>
    <w:rsid w:val="504B3EFE"/>
    <w:rsid w:val="53640665"/>
    <w:rsid w:val="54304FBF"/>
    <w:rsid w:val="58EA9885"/>
    <w:rsid w:val="5B2A0328"/>
    <w:rsid w:val="5D273711"/>
    <w:rsid w:val="5DD24C41"/>
    <w:rsid w:val="5EE2241C"/>
    <w:rsid w:val="6051348E"/>
    <w:rsid w:val="6339EFDB"/>
    <w:rsid w:val="695DACAB"/>
    <w:rsid w:val="69F47F42"/>
    <w:rsid w:val="70989E09"/>
    <w:rsid w:val="722AE704"/>
    <w:rsid w:val="73324A6B"/>
    <w:rsid w:val="734E683C"/>
    <w:rsid w:val="747253F7"/>
    <w:rsid w:val="76C5D3EA"/>
    <w:rsid w:val="77C38FB6"/>
    <w:rsid w:val="7C304D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937"/>
  <w15:chartTrackingRefBased/>
  <w15:docId w15:val="{48A71EDB-784C-4CF8-A304-FC7A93E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texto de nota al"/>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r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paragraph" w:styleId="Sinespaciado">
    <w:name w:val="No Spacing"/>
    <w:link w:val="SinespaciadoCar"/>
    <w:uiPriority w:val="1"/>
    <w:qFormat/>
    <w:rsid w:val="006D6F94"/>
    <w:pPr>
      <w:spacing w:after="0" w:line="240" w:lineRule="auto"/>
    </w:pPr>
    <w:rPr>
      <w:rFonts w:ascii="Times New Roman" w:eastAsia="Times New Roman" w:hAnsi="Times New Roman" w:cs="Times New Roman"/>
      <w:sz w:val="24"/>
      <w:szCs w:val="24"/>
    </w:rPr>
  </w:style>
  <w:style w:type="character" w:customStyle="1" w:styleId="SinespaciadoCar">
    <w:name w:val="Sin espaciado Car"/>
    <w:link w:val="Sinespaciado"/>
    <w:uiPriority w:val="1"/>
    <w:locked/>
    <w:rsid w:val="006D6F94"/>
    <w:rPr>
      <w:rFonts w:ascii="Times New Roman" w:eastAsia="Times New Roman" w:hAnsi="Times New Roman" w:cs="Times New Roman"/>
      <w:sz w:val="24"/>
      <w:szCs w:val="24"/>
    </w:rPr>
  </w:style>
  <w:style w:type="paragraph" w:customStyle="1" w:styleId="Ttulo11">
    <w:name w:val="Título 11"/>
    <w:basedOn w:val="Normal"/>
    <w:uiPriority w:val="1"/>
    <w:qFormat/>
    <w:rsid w:val="004A3187"/>
    <w:pPr>
      <w:widowControl w:val="0"/>
      <w:autoSpaceDE w:val="0"/>
      <w:autoSpaceDN w:val="0"/>
      <w:spacing w:line="240" w:lineRule="auto"/>
      <w:ind w:left="1978" w:right="1996"/>
      <w:jc w:val="center"/>
      <w:outlineLvl w:val="1"/>
    </w:pPr>
    <w:rPr>
      <w:rFonts w:ascii="Verdana" w:eastAsia="Verdana" w:hAnsi="Verdana" w:cs="Verdana"/>
      <w:b/>
      <w:bCs/>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D0B2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B2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268589784">
      <w:bodyDiv w:val="1"/>
      <w:marLeft w:val="0"/>
      <w:marRight w:val="0"/>
      <w:marTop w:val="0"/>
      <w:marBottom w:val="0"/>
      <w:divBdr>
        <w:top w:val="none" w:sz="0" w:space="0" w:color="auto"/>
        <w:left w:val="none" w:sz="0" w:space="0" w:color="auto"/>
        <w:bottom w:val="none" w:sz="0" w:space="0" w:color="auto"/>
        <w:right w:val="none" w:sz="0" w:space="0" w:color="auto"/>
      </w:divBdr>
    </w:div>
    <w:div w:id="287397072">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410738824">
      <w:bodyDiv w:val="1"/>
      <w:marLeft w:val="0"/>
      <w:marRight w:val="0"/>
      <w:marTop w:val="0"/>
      <w:marBottom w:val="0"/>
      <w:divBdr>
        <w:top w:val="none" w:sz="0" w:space="0" w:color="auto"/>
        <w:left w:val="none" w:sz="0" w:space="0" w:color="auto"/>
        <w:bottom w:val="none" w:sz="0" w:space="0" w:color="auto"/>
        <w:right w:val="none" w:sz="0" w:space="0" w:color="auto"/>
      </w:divBdr>
      <w:divsChild>
        <w:div w:id="1000894064">
          <w:marLeft w:val="0"/>
          <w:marRight w:val="0"/>
          <w:marTop w:val="0"/>
          <w:marBottom w:val="0"/>
          <w:divBdr>
            <w:top w:val="none" w:sz="0" w:space="0" w:color="auto"/>
            <w:left w:val="none" w:sz="0" w:space="0" w:color="auto"/>
            <w:bottom w:val="none" w:sz="0" w:space="0" w:color="auto"/>
            <w:right w:val="none" w:sz="0" w:space="0" w:color="auto"/>
          </w:divBdr>
        </w:div>
        <w:div w:id="1709912782">
          <w:marLeft w:val="0"/>
          <w:marRight w:val="0"/>
          <w:marTop w:val="0"/>
          <w:marBottom w:val="0"/>
          <w:divBdr>
            <w:top w:val="none" w:sz="0" w:space="0" w:color="auto"/>
            <w:left w:val="none" w:sz="0" w:space="0" w:color="auto"/>
            <w:bottom w:val="none" w:sz="0" w:space="0" w:color="auto"/>
            <w:right w:val="none" w:sz="0" w:space="0" w:color="auto"/>
          </w:divBdr>
        </w:div>
      </w:divsChild>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0779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373574069">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3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464549">
          <w:marLeft w:val="0"/>
          <w:marRight w:val="0"/>
          <w:marTop w:val="0"/>
          <w:marBottom w:val="0"/>
          <w:divBdr>
            <w:top w:val="none" w:sz="0" w:space="0" w:color="auto"/>
            <w:left w:val="none" w:sz="0" w:space="0" w:color="auto"/>
            <w:bottom w:val="none" w:sz="0" w:space="0" w:color="auto"/>
            <w:right w:val="none" w:sz="0" w:space="0" w:color="auto"/>
          </w:divBdr>
        </w:div>
        <w:div w:id="1402944431">
          <w:marLeft w:val="0"/>
          <w:marRight w:val="0"/>
          <w:marTop w:val="0"/>
          <w:marBottom w:val="0"/>
          <w:divBdr>
            <w:top w:val="none" w:sz="0" w:space="0" w:color="auto"/>
            <w:left w:val="none" w:sz="0" w:space="0" w:color="auto"/>
            <w:bottom w:val="none" w:sz="0" w:space="0" w:color="auto"/>
            <w:right w:val="none" w:sz="0" w:space="0" w:color="auto"/>
          </w:divBdr>
        </w:div>
        <w:div w:id="1014764902">
          <w:marLeft w:val="0"/>
          <w:marRight w:val="0"/>
          <w:marTop w:val="0"/>
          <w:marBottom w:val="0"/>
          <w:divBdr>
            <w:top w:val="none" w:sz="0" w:space="0" w:color="auto"/>
            <w:left w:val="none" w:sz="0" w:space="0" w:color="auto"/>
            <w:bottom w:val="none" w:sz="0" w:space="0" w:color="auto"/>
            <w:right w:val="none" w:sz="0" w:space="0" w:color="auto"/>
          </w:divBdr>
        </w:div>
      </w:divsChild>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c90a0ea8851d4799"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 Id="R2a20503e2f1a449d"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E8D0-374D-4C81-BD25-7937C917D9AA}">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5CA67B9D-C407-41DF-B2A8-203FCCBC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29DF8-80C0-4308-A3B9-8037C03578DF}">
  <ds:schemaRefs>
    <ds:schemaRef ds:uri="http://schemas.microsoft.com/sharepoint/v3/contenttype/forms"/>
  </ds:schemaRefs>
</ds:datastoreItem>
</file>

<file path=customXml/itemProps4.xml><?xml version="1.0" encoding="utf-8"?>
<ds:datastoreItem xmlns:ds="http://schemas.openxmlformats.org/officeDocument/2006/customXml" ds:itemID="{7E94B57C-E7C4-4B75-8E61-5ABE66F6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2870</Words>
  <Characters>16364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9</cp:revision>
  <dcterms:created xsi:type="dcterms:W3CDTF">2023-11-29T20:20:00Z</dcterms:created>
  <dcterms:modified xsi:type="dcterms:W3CDTF">2024-02-19T18:57:00Z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