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85C78E"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6E458599"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7C2337E3"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p>
    <w:p w14:paraId="6E2402A9" w14:textId="77777777" w:rsidR="00203303" w:rsidRPr="006814D6" w:rsidRDefault="00203303" w:rsidP="00203303">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76870FB1"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3671F4B5"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p>
    <w:p w14:paraId="4CC5A3E3" w14:textId="77777777" w:rsidR="00203303"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552D1707"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EA711B">
        <w:rPr>
          <w:rFonts w:ascii="Arial" w:eastAsia="Times New Roman" w:hAnsi="Arial" w:cs="Arial"/>
          <w:sz w:val="20"/>
          <w:szCs w:val="20"/>
          <w:lang w:val="es-419" w:eastAsia="es-ES"/>
        </w:rPr>
        <w:t>SL</w:t>
      </w:r>
      <w:proofErr w:type="spellEnd"/>
      <w:r w:rsidRPr="00EA711B">
        <w:rPr>
          <w:rFonts w:ascii="Arial" w:eastAsia="Times New Roman" w:hAnsi="Arial" w:cs="Arial"/>
          <w:sz w:val="20"/>
          <w:szCs w:val="20"/>
          <w:lang w:val="es-419" w:eastAsia="es-ES"/>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DD94009"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p>
    <w:p w14:paraId="527A609A" w14:textId="77777777" w:rsidR="00203303" w:rsidRDefault="00203303" w:rsidP="00203303">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3BD8CACA"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 los formularios de afiliación a lo sumo acreditan un consentimiento, pero no informado, tal como se expresa a continuación: “… La Sala considera desacertada esta tesis, en la medida que la firma del formulario, al igual que las afirmaciones consignadas en los formatos </w:t>
      </w:r>
      <w:proofErr w:type="spellStart"/>
      <w:r w:rsidRPr="00EA711B">
        <w:rPr>
          <w:rFonts w:ascii="Arial" w:eastAsia="Times New Roman" w:hAnsi="Arial" w:cs="Arial"/>
          <w:sz w:val="20"/>
          <w:szCs w:val="20"/>
          <w:lang w:val="es-419" w:eastAsia="es-ES"/>
        </w:rPr>
        <w:t>preimpresos</w:t>
      </w:r>
      <w:proofErr w:type="spellEnd"/>
      <w:r w:rsidRPr="00EA711B">
        <w:rPr>
          <w:rFonts w:ascii="Arial" w:eastAsia="Times New Roman" w:hAnsi="Arial" w:cs="Arial"/>
          <w:sz w:val="20"/>
          <w:szCs w:val="20"/>
          <w:lang w:val="es-419"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06E86EDE"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p>
    <w:p w14:paraId="1DF1F911" w14:textId="77777777" w:rsidR="00203303" w:rsidRPr="00A070DD" w:rsidRDefault="00203303" w:rsidP="0020330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66ECC06A" w14:textId="77777777" w:rsidR="00203303" w:rsidRPr="00A070DD" w:rsidRDefault="00203303" w:rsidP="0020330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3D950F53" w:rsidR="00171926" w:rsidRPr="00203303"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03303">
        <w:rPr>
          <w:rFonts w:ascii="Arial" w:hAnsi="Arial" w:cs="Arial"/>
          <w:color w:val="000000"/>
          <w:sz w:val="20"/>
          <w:szCs w:val="18"/>
        </w:rPr>
        <w:t>Radicación No.:</w:t>
      </w:r>
      <w:r w:rsidR="000971EE">
        <w:rPr>
          <w:rFonts w:ascii="Arial" w:hAnsi="Arial" w:cs="Arial"/>
          <w:color w:val="000000"/>
          <w:sz w:val="20"/>
          <w:szCs w:val="18"/>
        </w:rPr>
        <w:tab/>
      </w:r>
      <w:r w:rsidR="000971EE">
        <w:rPr>
          <w:rFonts w:ascii="Arial" w:hAnsi="Arial" w:cs="Arial"/>
          <w:color w:val="000000"/>
          <w:sz w:val="20"/>
          <w:szCs w:val="18"/>
        </w:rPr>
        <w:tab/>
      </w:r>
      <w:bookmarkStart w:id="0" w:name="_GoBack"/>
      <w:r w:rsidRPr="00203303">
        <w:rPr>
          <w:rFonts w:ascii="Arial" w:hAnsi="Arial" w:cs="Arial"/>
          <w:color w:val="000000"/>
          <w:sz w:val="20"/>
          <w:szCs w:val="18"/>
        </w:rPr>
        <w:t>6600131</w:t>
      </w:r>
      <w:r w:rsidR="00692257" w:rsidRPr="00203303">
        <w:rPr>
          <w:rFonts w:ascii="Arial" w:hAnsi="Arial" w:cs="Arial"/>
          <w:color w:val="000000"/>
          <w:sz w:val="20"/>
          <w:szCs w:val="18"/>
        </w:rPr>
        <w:t>0500</w:t>
      </w:r>
      <w:r w:rsidR="00A226C9" w:rsidRPr="00203303">
        <w:rPr>
          <w:rFonts w:ascii="Arial" w:hAnsi="Arial" w:cs="Arial"/>
          <w:color w:val="000000"/>
          <w:sz w:val="20"/>
          <w:szCs w:val="18"/>
        </w:rPr>
        <w:t>1</w:t>
      </w:r>
      <w:r w:rsidR="00692257" w:rsidRPr="00203303">
        <w:rPr>
          <w:rFonts w:ascii="Arial" w:hAnsi="Arial" w:cs="Arial"/>
          <w:color w:val="000000"/>
          <w:sz w:val="20"/>
          <w:szCs w:val="18"/>
        </w:rPr>
        <w:t>202</w:t>
      </w:r>
      <w:r w:rsidR="00355125" w:rsidRPr="00203303">
        <w:rPr>
          <w:rFonts w:ascii="Arial" w:hAnsi="Arial" w:cs="Arial"/>
          <w:color w:val="000000"/>
          <w:sz w:val="20"/>
          <w:szCs w:val="18"/>
        </w:rPr>
        <w:t>2</w:t>
      </w:r>
      <w:r w:rsidR="00692257" w:rsidRPr="00203303">
        <w:rPr>
          <w:rFonts w:ascii="Arial" w:hAnsi="Arial" w:cs="Arial"/>
          <w:color w:val="000000"/>
          <w:sz w:val="20"/>
          <w:szCs w:val="18"/>
        </w:rPr>
        <w:t>00</w:t>
      </w:r>
      <w:r w:rsidR="00355125" w:rsidRPr="00203303">
        <w:rPr>
          <w:rFonts w:ascii="Arial" w:hAnsi="Arial" w:cs="Arial"/>
          <w:color w:val="000000"/>
          <w:sz w:val="20"/>
          <w:szCs w:val="18"/>
        </w:rPr>
        <w:t>048</w:t>
      </w:r>
      <w:r w:rsidR="00692257" w:rsidRPr="00203303">
        <w:rPr>
          <w:rFonts w:ascii="Arial" w:hAnsi="Arial" w:cs="Arial"/>
          <w:color w:val="000000"/>
          <w:sz w:val="20"/>
          <w:szCs w:val="18"/>
        </w:rPr>
        <w:t>01</w:t>
      </w:r>
      <w:bookmarkEnd w:id="0"/>
    </w:p>
    <w:p w14:paraId="744944F3" w14:textId="23AC59A9" w:rsidR="00171926" w:rsidRPr="00203303"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03303">
        <w:rPr>
          <w:rFonts w:ascii="Arial" w:hAnsi="Arial" w:cs="Arial"/>
          <w:color w:val="000000"/>
          <w:sz w:val="20"/>
          <w:szCs w:val="18"/>
        </w:rPr>
        <w:t>Proceso:</w:t>
      </w:r>
      <w:r w:rsidR="000971EE">
        <w:rPr>
          <w:rFonts w:ascii="Arial" w:hAnsi="Arial" w:cs="Arial"/>
          <w:color w:val="000000"/>
          <w:sz w:val="20"/>
          <w:szCs w:val="18"/>
        </w:rPr>
        <w:tab/>
      </w:r>
      <w:r w:rsidR="000971EE">
        <w:rPr>
          <w:rFonts w:ascii="Arial" w:hAnsi="Arial" w:cs="Arial"/>
          <w:color w:val="000000"/>
          <w:sz w:val="20"/>
          <w:szCs w:val="18"/>
        </w:rPr>
        <w:tab/>
      </w:r>
      <w:r w:rsidRPr="00203303">
        <w:rPr>
          <w:rFonts w:ascii="Arial" w:hAnsi="Arial" w:cs="Arial"/>
          <w:color w:val="000000"/>
          <w:sz w:val="20"/>
          <w:szCs w:val="18"/>
        </w:rPr>
        <w:t xml:space="preserve">Ordinario Laboral </w:t>
      </w:r>
    </w:p>
    <w:p w14:paraId="39E716B0" w14:textId="50C03AD2" w:rsidR="00171926" w:rsidRPr="00203303"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03303">
        <w:rPr>
          <w:rFonts w:ascii="Arial" w:hAnsi="Arial" w:cs="Arial"/>
          <w:color w:val="000000"/>
          <w:sz w:val="20"/>
          <w:szCs w:val="18"/>
        </w:rPr>
        <w:t>Demandante:</w:t>
      </w:r>
      <w:r w:rsidR="000971EE">
        <w:rPr>
          <w:rFonts w:ascii="Arial" w:hAnsi="Arial" w:cs="Arial"/>
          <w:color w:val="000000"/>
          <w:sz w:val="20"/>
          <w:szCs w:val="18"/>
        </w:rPr>
        <w:tab/>
      </w:r>
      <w:r w:rsidR="000971EE">
        <w:rPr>
          <w:rFonts w:ascii="Arial" w:hAnsi="Arial" w:cs="Arial"/>
          <w:color w:val="000000"/>
          <w:sz w:val="20"/>
          <w:szCs w:val="18"/>
        </w:rPr>
        <w:tab/>
      </w:r>
      <w:r w:rsidR="00355125" w:rsidRPr="00203303">
        <w:rPr>
          <w:rFonts w:ascii="Arial" w:hAnsi="Arial" w:cs="Arial"/>
          <w:color w:val="000000"/>
          <w:sz w:val="20"/>
          <w:szCs w:val="18"/>
        </w:rPr>
        <w:t xml:space="preserve">Inés </w:t>
      </w:r>
      <w:proofErr w:type="spellStart"/>
      <w:r w:rsidR="00355125" w:rsidRPr="00203303">
        <w:rPr>
          <w:rFonts w:ascii="Arial" w:hAnsi="Arial" w:cs="Arial"/>
          <w:color w:val="000000"/>
          <w:sz w:val="20"/>
          <w:szCs w:val="18"/>
        </w:rPr>
        <w:t>Hercilia</w:t>
      </w:r>
      <w:proofErr w:type="spellEnd"/>
      <w:r w:rsidR="00355125" w:rsidRPr="00203303">
        <w:rPr>
          <w:rFonts w:ascii="Arial" w:hAnsi="Arial" w:cs="Arial"/>
          <w:color w:val="000000"/>
          <w:sz w:val="20"/>
          <w:szCs w:val="18"/>
        </w:rPr>
        <w:t xml:space="preserve"> Corrales Leiva</w:t>
      </w:r>
    </w:p>
    <w:p w14:paraId="715E33E1" w14:textId="5D6A0416" w:rsidR="00171926" w:rsidRPr="00203303"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03303">
        <w:rPr>
          <w:rFonts w:ascii="Arial" w:hAnsi="Arial" w:cs="Arial"/>
          <w:color w:val="000000"/>
          <w:sz w:val="20"/>
          <w:szCs w:val="18"/>
        </w:rPr>
        <w:t>Demandado:</w:t>
      </w:r>
      <w:r w:rsidR="000971EE">
        <w:rPr>
          <w:rFonts w:ascii="Arial" w:hAnsi="Arial" w:cs="Arial"/>
          <w:color w:val="000000"/>
          <w:sz w:val="20"/>
          <w:szCs w:val="18"/>
        </w:rPr>
        <w:tab/>
      </w:r>
      <w:r w:rsidR="000971EE">
        <w:rPr>
          <w:rFonts w:ascii="Arial" w:hAnsi="Arial" w:cs="Arial"/>
          <w:color w:val="000000"/>
          <w:sz w:val="20"/>
          <w:szCs w:val="18"/>
        </w:rPr>
        <w:tab/>
      </w:r>
      <w:r w:rsidRPr="00203303">
        <w:rPr>
          <w:rFonts w:ascii="Arial" w:hAnsi="Arial" w:cs="Arial"/>
          <w:color w:val="000000"/>
          <w:sz w:val="20"/>
          <w:szCs w:val="18"/>
        </w:rPr>
        <w:t xml:space="preserve">Colpensiones y </w:t>
      </w:r>
      <w:r w:rsidR="00846A2C" w:rsidRPr="00203303">
        <w:rPr>
          <w:rFonts w:ascii="Arial" w:hAnsi="Arial" w:cs="Arial"/>
          <w:color w:val="000000"/>
          <w:sz w:val="20"/>
          <w:szCs w:val="18"/>
        </w:rPr>
        <w:t>Protección</w:t>
      </w:r>
      <w:r w:rsidR="0048481C" w:rsidRPr="00203303">
        <w:rPr>
          <w:rFonts w:ascii="Arial" w:hAnsi="Arial" w:cs="Arial"/>
          <w:color w:val="000000"/>
          <w:sz w:val="20"/>
          <w:szCs w:val="18"/>
        </w:rPr>
        <w:t xml:space="preserve"> S.A.</w:t>
      </w:r>
    </w:p>
    <w:p w14:paraId="45F925B1" w14:textId="175C9A82" w:rsidR="00171926" w:rsidRPr="00203303" w:rsidRDefault="00171926" w:rsidP="0017192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18"/>
        </w:rPr>
      </w:pPr>
      <w:r w:rsidRPr="00203303">
        <w:rPr>
          <w:rFonts w:ascii="Arial" w:hAnsi="Arial" w:cs="Arial"/>
          <w:color w:val="000000"/>
          <w:sz w:val="20"/>
          <w:szCs w:val="18"/>
        </w:rPr>
        <w:t>Juzgado</w:t>
      </w:r>
      <w:r w:rsidR="000971EE">
        <w:rPr>
          <w:rFonts w:ascii="Arial" w:hAnsi="Arial" w:cs="Arial"/>
          <w:color w:val="000000"/>
          <w:sz w:val="20"/>
          <w:szCs w:val="18"/>
        </w:rPr>
        <w:t xml:space="preserve"> de origen</w:t>
      </w:r>
      <w:r w:rsidRPr="00203303">
        <w:rPr>
          <w:rFonts w:ascii="Arial" w:hAnsi="Arial" w:cs="Arial"/>
          <w:color w:val="000000"/>
          <w:sz w:val="20"/>
          <w:szCs w:val="18"/>
        </w:rPr>
        <w:t>:</w:t>
      </w:r>
      <w:r w:rsidR="000971EE">
        <w:rPr>
          <w:rFonts w:ascii="Arial" w:hAnsi="Arial" w:cs="Arial"/>
          <w:color w:val="000000"/>
          <w:sz w:val="20"/>
          <w:szCs w:val="18"/>
        </w:rPr>
        <w:tab/>
      </w:r>
      <w:r w:rsidR="00A226C9" w:rsidRPr="00203303">
        <w:rPr>
          <w:rFonts w:ascii="Arial" w:hAnsi="Arial" w:cs="Arial"/>
          <w:color w:val="000000"/>
          <w:sz w:val="20"/>
          <w:szCs w:val="18"/>
        </w:rPr>
        <w:t>Primero</w:t>
      </w:r>
      <w:r w:rsidRPr="00203303">
        <w:rPr>
          <w:rFonts w:ascii="Arial" w:hAnsi="Arial" w:cs="Arial"/>
          <w:color w:val="000000"/>
          <w:sz w:val="20"/>
          <w:szCs w:val="18"/>
        </w:rPr>
        <w:t xml:space="preserve"> Laboral del Circuito de Pereira</w:t>
      </w:r>
    </w:p>
    <w:p w14:paraId="329166AD" w14:textId="77777777" w:rsidR="00203303" w:rsidRPr="00EA711B" w:rsidRDefault="00203303" w:rsidP="00203303">
      <w:pPr>
        <w:spacing w:before="0" w:beforeAutospacing="0" w:after="0" w:afterAutospacing="0" w:line="240" w:lineRule="auto"/>
        <w:ind w:firstLine="0"/>
        <w:rPr>
          <w:rFonts w:ascii="Arial" w:eastAsia="Times New Roman" w:hAnsi="Arial" w:cs="Arial"/>
          <w:sz w:val="20"/>
          <w:szCs w:val="20"/>
          <w:lang w:val="es-419" w:eastAsia="es-ES"/>
        </w:rPr>
      </w:pPr>
      <w:bookmarkStart w:id="1" w:name="_Hlk89346566"/>
    </w:p>
    <w:p w14:paraId="0F1CD597" w14:textId="77777777" w:rsidR="00203303" w:rsidRPr="00A070DD" w:rsidRDefault="00203303" w:rsidP="0020330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603AB40E" w14:textId="77777777" w:rsidR="00203303" w:rsidRPr="00A070DD" w:rsidRDefault="00203303" w:rsidP="0020330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B48FCCC" w14:textId="77777777" w:rsidR="003B6848" w:rsidRPr="000971EE" w:rsidRDefault="003B6848" w:rsidP="000971EE">
      <w:pPr>
        <w:pStyle w:val="Ttulo4"/>
        <w:widowControl w:val="0"/>
        <w:tabs>
          <w:tab w:val="clear" w:pos="0"/>
        </w:tabs>
        <w:spacing w:line="276" w:lineRule="auto"/>
        <w:ind w:right="49"/>
        <w:contextualSpacing/>
        <w:rPr>
          <w:rFonts w:ascii="Tahoma" w:hAnsi="Tahoma" w:cs="Tahoma"/>
          <w:bCs/>
          <w:szCs w:val="24"/>
          <w:lang w:eastAsia="es-MX"/>
        </w:rPr>
      </w:pPr>
      <w:r w:rsidRPr="000971EE">
        <w:rPr>
          <w:rFonts w:ascii="Tahoma" w:hAnsi="Tahoma" w:cs="Tahoma"/>
          <w:bCs/>
          <w:szCs w:val="24"/>
          <w:lang w:eastAsia="es-MX"/>
        </w:rPr>
        <w:t>TRIBUNAL SUPERIOR DEL DISTRITO JUDICIAL DE PEREIRA</w:t>
      </w:r>
    </w:p>
    <w:p w14:paraId="5A16DD1F" w14:textId="1D8E1CBF" w:rsidR="003B6848" w:rsidRPr="000971EE" w:rsidRDefault="003B6848" w:rsidP="000971EE">
      <w:pPr>
        <w:pStyle w:val="Ttulo4"/>
        <w:widowControl w:val="0"/>
        <w:tabs>
          <w:tab w:val="clear" w:pos="0"/>
        </w:tabs>
        <w:spacing w:line="276" w:lineRule="auto"/>
        <w:ind w:right="49"/>
        <w:contextualSpacing/>
        <w:rPr>
          <w:rFonts w:ascii="Tahoma" w:hAnsi="Tahoma" w:cs="Tahoma"/>
          <w:bCs/>
          <w:szCs w:val="24"/>
          <w:lang w:eastAsia="es-MX"/>
        </w:rPr>
      </w:pPr>
      <w:r w:rsidRPr="000971EE">
        <w:rPr>
          <w:rFonts w:ascii="Tahoma" w:hAnsi="Tahoma" w:cs="Tahoma"/>
          <w:bCs/>
          <w:szCs w:val="24"/>
          <w:lang w:eastAsia="es-MX"/>
        </w:rPr>
        <w:t xml:space="preserve">SALA PRIMERA DE </w:t>
      </w:r>
      <w:r w:rsidR="00DD1404" w:rsidRPr="000971EE">
        <w:rPr>
          <w:rFonts w:ascii="Tahoma" w:hAnsi="Tahoma" w:cs="Tahoma"/>
          <w:bCs/>
          <w:szCs w:val="24"/>
          <w:lang w:eastAsia="es-MX"/>
        </w:rPr>
        <w:t>DECISIÓN</w:t>
      </w:r>
      <w:r w:rsidRPr="000971EE">
        <w:rPr>
          <w:rFonts w:ascii="Tahoma" w:hAnsi="Tahoma" w:cs="Tahoma"/>
          <w:bCs/>
          <w:szCs w:val="24"/>
          <w:lang w:eastAsia="es-MX"/>
        </w:rPr>
        <w:t xml:space="preserve"> LABORAL</w:t>
      </w:r>
    </w:p>
    <w:p w14:paraId="1EA4F8CA" w14:textId="77777777" w:rsidR="000A7489" w:rsidRPr="000971EE" w:rsidRDefault="000A7489" w:rsidP="000971EE">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0971EE" w:rsidRDefault="003B6848" w:rsidP="000971EE">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0971EE">
        <w:rPr>
          <w:rFonts w:ascii="Tahoma" w:eastAsia="Times New Roman" w:hAnsi="Tahoma" w:cs="Tahoma"/>
          <w:lang w:eastAsia="es-CO"/>
        </w:rPr>
        <w:t>Magistrada Ponente: </w:t>
      </w:r>
      <w:r w:rsidRPr="000971EE">
        <w:rPr>
          <w:rFonts w:ascii="Tahoma" w:eastAsia="Times New Roman" w:hAnsi="Tahoma" w:cs="Tahoma"/>
          <w:b/>
          <w:bCs/>
          <w:lang w:eastAsia="es-CO"/>
        </w:rPr>
        <w:t>Ana Lucía Caicedo Calderón</w:t>
      </w:r>
    </w:p>
    <w:bookmarkEnd w:id="1"/>
    <w:p w14:paraId="2EE6C2C2" w14:textId="3C82EA90" w:rsidR="003B6848" w:rsidRDefault="003B6848" w:rsidP="000971EE">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056D6EE2" w14:textId="77777777" w:rsidR="000971EE" w:rsidRPr="000971EE" w:rsidRDefault="000971EE" w:rsidP="000971EE">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43E5BA6B" w14:textId="62B9D4C0" w:rsidR="1E412411" w:rsidRPr="000971EE" w:rsidRDefault="1E412411" w:rsidP="000971EE">
      <w:pPr>
        <w:spacing w:before="0" w:beforeAutospacing="0" w:after="0" w:afterAutospacing="0" w:line="276" w:lineRule="auto"/>
        <w:ind w:right="49" w:firstLine="0"/>
        <w:contextualSpacing/>
        <w:jc w:val="center"/>
        <w:rPr>
          <w:rFonts w:ascii="Tahoma" w:eastAsia="Tahoma" w:hAnsi="Tahoma" w:cs="Tahoma"/>
          <w:color w:val="000000" w:themeColor="text1"/>
        </w:rPr>
      </w:pPr>
      <w:r w:rsidRPr="000971EE">
        <w:rPr>
          <w:rFonts w:ascii="Tahoma" w:eastAsia="Tahoma" w:hAnsi="Tahoma" w:cs="Tahoma"/>
          <w:color w:val="000000" w:themeColor="text1"/>
        </w:rPr>
        <w:t xml:space="preserve">Pereira, Risaralda, </w:t>
      </w:r>
      <w:r w:rsidR="00163E17" w:rsidRPr="000971EE">
        <w:rPr>
          <w:rFonts w:ascii="Tahoma" w:eastAsia="Tahoma" w:hAnsi="Tahoma" w:cs="Tahoma"/>
          <w:color w:val="000000" w:themeColor="text1"/>
        </w:rPr>
        <w:t>quince</w:t>
      </w:r>
      <w:r w:rsidRPr="000971EE">
        <w:rPr>
          <w:rFonts w:ascii="Tahoma" w:eastAsia="Tahoma" w:hAnsi="Tahoma" w:cs="Tahoma"/>
          <w:color w:val="000000" w:themeColor="text1"/>
        </w:rPr>
        <w:t xml:space="preserve"> (</w:t>
      </w:r>
      <w:r w:rsidR="00355125" w:rsidRPr="000971EE">
        <w:rPr>
          <w:rFonts w:ascii="Tahoma" w:eastAsia="Tahoma" w:hAnsi="Tahoma" w:cs="Tahoma"/>
          <w:color w:val="000000" w:themeColor="text1"/>
        </w:rPr>
        <w:t>1</w:t>
      </w:r>
      <w:r w:rsidR="00163E17" w:rsidRPr="000971EE">
        <w:rPr>
          <w:rFonts w:ascii="Tahoma" w:eastAsia="Tahoma" w:hAnsi="Tahoma" w:cs="Tahoma"/>
          <w:color w:val="000000" w:themeColor="text1"/>
        </w:rPr>
        <w:t>5</w:t>
      </w:r>
      <w:r w:rsidRPr="000971EE">
        <w:rPr>
          <w:rFonts w:ascii="Tahoma" w:eastAsia="Tahoma" w:hAnsi="Tahoma" w:cs="Tahoma"/>
          <w:color w:val="000000" w:themeColor="text1"/>
        </w:rPr>
        <w:t xml:space="preserve">) de </w:t>
      </w:r>
      <w:r w:rsidR="00355125" w:rsidRPr="000971EE">
        <w:rPr>
          <w:rFonts w:ascii="Tahoma" w:eastAsia="Tahoma" w:hAnsi="Tahoma" w:cs="Tahoma"/>
          <w:color w:val="000000" w:themeColor="text1"/>
        </w:rPr>
        <w:t>diciembre</w:t>
      </w:r>
      <w:r w:rsidRPr="000971EE">
        <w:rPr>
          <w:rFonts w:ascii="Tahoma" w:eastAsia="Tahoma" w:hAnsi="Tahoma" w:cs="Tahoma"/>
          <w:color w:val="000000" w:themeColor="text1"/>
        </w:rPr>
        <w:t xml:space="preserve"> de dos mil veintitrés (2023) </w:t>
      </w:r>
    </w:p>
    <w:p w14:paraId="5A67E195" w14:textId="4A592F5B" w:rsidR="1E412411" w:rsidRPr="000971EE" w:rsidRDefault="1E412411" w:rsidP="000971EE">
      <w:pPr>
        <w:spacing w:before="0" w:beforeAutospacing="0" w:after="0" w:afterAutospacing="0" w:line="276" w:lineRule="auto"/>
        <w:ind w:right="49" w:firstLine="0"/>
        <w:contextualSpacing/>
        <w:jc w:val="center"/>
        <w:rPr>
          <w:rFonts w:ascii="Tahoma" w:eastAsia="Tahoma" w:hAnsi="Tahoma" w:cs="Tahoma"/>
          <w:color w:val="000000" w:themeColor="text1"/>
        </w:rPr>
      </w:pPr>
      <w:r w:rsidRPr="000971EE">
        <w:rPr>
          <w:rFonts w:ascii="Tahoma" w:eastAsia="Tahoma" w:hAnsi="Tahoma" w:cs="Tahoma"/>
          <w:color w:val="000000" w:themeColor="text1"/>
        </w:rPr>
        <w:t>Acta No. </w:t>
      </w:r>
      <w:r w:rsidR="42C0A97D" w:rsidRPr="000971EE">
        <w:rPr>
          <w:rFonts w:ascii="Tahoma" w:eastAsia="Tahoma" w:hAnsi="Tahoma" w:cs="Tahoma"/>
          <w:color w:val="000000" w:themeColor="text1"/>
        </w:rPr>
        <w:t>203</w:t>
      </w:r>
      <w:r w:rsidR="0FE51C1C" w:rsidRPr="000971EE">
        <w:rPr>
          <w:rFonts w:ascii="Tahoma" w:eastAsia="Tahoma" w:hAnsi="Tahoma" w:cs="Tahoma"/>
          <w:color w:val="000000" w:themeColor="text1"/>
        </w:rPr>
        <w:t xml:space="preserve"> </w:t>
      </w:r>
      <w:r w:rsidRPr="000971EE">
        <w:rPr>
          <w:rFonts w:ascii="Tahoma" w:eastAsia="Tahoma" w:hAnsi="Tahoma" w:cs="Tahoma"/>
          <w:color w:val="000000" w:themeColor="text1"/>
        </w:rPr>
        <w:t xml:space="preserve">del </w:t>
      </w:r>
      <w:r w:rsidR="00355125" w:rsidRPr="000971EE">
        <w:rPr>
          <w:rFonts w:ascii="Tahoma" w:eastAsia="Tahoma" w:hAnsi="Tahoma" w:cs="Tahoma"/>
          <w:color w:val="000000" w:themeColor="text1"/>
        </w:rPr>
        <w:t>1</w:t>
      </w:r>
      <w:r w:rsidR="00163E17" w:rsidRPr="000971EE">
        <w:rPr>
          <w:rFonts w:ascii="Tahoma" w:eastAsia="Tahoma" w:hAnsi="Tahoma" w:cs="Tahoma"/>
          <w:color w:val="000000" w:themeColor="text1"/>
        </w:rPr>
        <w:t>4</w:t>
      </w:r>
      <w:r w:rsidR="00355125" w:rsidRPr="000971EE">
        <w:rPr>
          <w:rFonts w:ascii="Tahoma" w:eastAsia="Tahoma" w:hAnsi="Tahoma" w:cs="Tahoma"/>
          <w:color w:val="000000" w:themeColor="text1"/>
        </w:rPr>
        <w:t xml:space="preserve"> de diciembre</w:t>
      </w:r>
      <w:r w:rsidRPr="000971EE">
        <w:rPr>
          <w:rFonts w:ascii="Tahoma" w:eastAsia="Tahoma" w:hAnsi="Tahoma" w:cs="Tahoma"/>
          <w:color w:val="000000" w:themeColor="text1"/>
        </w:rPr>
        <w:t xml:space="preserve"> de 2023</w:t>
      </w:r>
    </w:p>
    <w:p w14:paraId="4D47DCFA" w14:textId="77777777" w:rsidR="00151506" w:rsidRPr="000971EE" w:rsidRDefault="00151506" w:rsidP="000971EE">
      <w:pPr>
        <w:spacing w:before="0" w:beforeAutospacing="0" w:after="0" w:afterAutospacing="0" w:line="276" w:lineRule="auto"/>
        <w:contextualSpacing/>
        <w:jc w:val="center"/>
        <w:rPr>
          <w:rFonts w:ascii="Tahoma" w:hAnsi="Tahoma" w:cs="Tahoma"/>
          <w:b/>
          <w:bCs/>
        </w:rPr>
      </w:pPr>
    </w:p>
    <w:p w14:paraId="46700DBC" w14:textId="2080F6C6" w:rsidR="001D328D" w:rsidRPr="000971EE" w:rsidRDefault="00C113E7" w:rsidP="000971EE">
      <w:pPr>
        <w:spacing w:before="0" w:beforeAutospacing="0" w:after="0" w:afterAutospacing="0" w:line="276" w:lineRule="auto"/>
        <w:ind w:firstLine="708"/>
        <w:contextualSpacing/>
        <w:rPr>
          <w:rFonts w:ascii="Tahoma" w:hAnsi="Tahoma" w:cs="Tahoma"/>
          <w:b/>
          <w:bCs/>
        </w:rPr>
      </w:pPr>
      <w:r w:rsidRPr="000971EE">
        <w:rPr>
          <w:rFonts w:ascii="Tahoma" w:hAnsi="Tahoma" w:cs="Tahoma"/>
          <w:lang w:val="es-ES"/>
        </w:rPr>
        <w:lastRenderedPageBreak/>
        <w:t xml:space="preserve">Teniendo en cuenta que el artículo </w:t>
      </w:r>
      <w:r w:rsidR="003A3B50" w:rsidRPr="000971EE">
        <w:rPr>
          <w:rFonts w:ascii="Tahoma" w:hAnsi="Tahoma" w:cs="Tahoma"/>
          <w:lang w:val="es-ES"/>
        </w:rPr>
        <w:t xml:space="preserve">13 </w:t>
      </w:r>
      <w:r w:rsidRPr="000971EE">
        <w:rPr>
          <w:rFonts w:ascii="Tahoma" w:hAnsi="Tahoma" w:cs="Tahoma"/>
          <w:lang w:val="es-ES"/>
        </w:rPr>
        <w:t>de la Ley 2213 del 13 de junio de 2022</w:t>
      </w:r>
      <w:r w:rsidR="000A7489" w:rsidRPr="000971EE">
        <w:rPr>
          <w:rFonts w:ascii="Tahoma" w:hAnsi="Tahoma" w:cs="Tahoma"/>
        </w:rPr>
        <w:t xml:space="preserve">, </w:t>
      </w:r>
      <w:r w:rsidR="003B6848" w:rsidRPr="000971EE">
        <w:rPr>
          <w:rFonts w:ascii="Tahoma" w:hAnsi="Tahoma" w:cs="Tahoma"/>
        </w:rPr>
        <w:t>estableció que en la</w:t>
      </w:r>
      <w:r w:rsidR="00E60AFE" w:rsidRPr="000971EE">
        <w:rPr>
          <w:rFonts w:ascii="Tahoma" w:hAnsi="Tahoma" w:cs="Tahoma"/>
        </w:rPr>
        <w:t xml:space="preserve"> </w:t>
      </w:r>
      <w:r w:rsidR="003B6848" w:rsidRPr="000971EE">
        <w:rPr>
          <w:rFonts w:ascii="Tahoma" w:hAnsi="Tahoma" w:cs="Tahoma"/>
        </w:rPr>
        <w:t>especialidad laboral se proferirán por escrito las providencias de</w:t>
      </w:r>
      <w:r w:rsidR="00E60AFE" w:rsidRPr="000971EE">
        <w:rPr>
          <w:rFonts w:ascii="Tahoma" w:hAnsi="Tahoma" w:cs="Tahoma"/>
        </w:rPr>
        <w:t xml:space="preserve"> </w:t>
      </w:r>
      <w:r w:rsidR="003B6848" w:rsidRPr="000971EE">
        <w:rPr>
          <w:rFonts w:ascii="Tahoma" w:hAnsi="Tahoma" w:cs="Tahoma"/>
        </w:rPr>
        <w:t>segunda</w:t>
      </w:r>
      <w:r w:rsidR="00E60AFE" w:rsidRPr="000971EE">
        <w:rPr>
          <w:rFonts w:ascii="Tahoma" w:hAnsi="Tahoma" w:cs="Tahoma"/>
        </w:rPr>
        <w:t xml:space="preserve"> </w:t>
      </w:r>
      <w:r w:rsidR="003B6848" w:rsidRPr="000971EE">
        <w:rPr>
          <w:rFonts w:ascii="Tahoma" w:hAnsi="Tahoma" w:cs="Tahoma"/>
        </w:rPr>
        <w:t>instancia</w:t>
      </w:r>
      <w:r w:rsidR="00E60AFE" w:rsidRPr="000971EE">
        <w:rPr>
          <w:rFonts w:ascii="Tahoma" w:hAnsi="Tahoma" w:cs="Tahoma"/>
        </w:rPr>
        <w:t xml:space="preserve"> </w:t>
      </w:r>
      <w:r w:rsidR="003B6848" w:rsidRPr="000971EE">
        <w:rPr>
          <w:rFonts w:ascii="Tahoma" w:hAnsi="Tahoma" w:cs="Tahoma"/>
        </w:rPr>
        <w:t>en las que se surta el grado jurisdiccional de consulta o se resuelva el recurso de</w:t>
      </w:r>
      <w:r w:rsidR="00E60AFE" w:rsidRPr="000971EE">
        <w:rPr>
          <w:rFonts w:ascii="Tahoma" w:hAnsi="Tahoma" w:cs="Tahoma"/>
        </w:rPr>
        <w:t xml:space="preserve"> </w:t>
      </w:r>
      <w:r w:rsidR="003B6848" w:rsidRPr="000971EE">
        <w:rPr>
          <w:rFonts w:ascii="Tahoma" w:hAnsi="Tahoma" w:cs="Tahoma"/>
        </w:rPr>
        <w:t>apelación de autos o sentencias, la Sala de Decisión Laboral</w:t>
      </w:r>
      <w:r w:rsidR="00617E08" w:rsidRPr="000971EE">
        <w:rPr>
          <w:rFonts w:ascii="Tahoma" w:hAnsi="Tahoma" w:cs="Tahoma"/>
        </w:rPr>
        <w:t xml:space="preserve"> del Tribunal Superior de Pereira, </w:t>
      </w:r>
      <w:r w:rsidR="003B6848" w:rsidRPr="000971EE">
        <w:rPr>
          <w:rFonts w:ascii="Tahoma" w:hAnsi="Tahoma" w:cs="Tahoma"/>
        </w:rPr>
        <w:t>integrada por las</w:t>
      </w:r>
      <w:r w:rsidR="00510D63" w:rsidRPr="000971EE">
        <w:rPr>
          <w:rFonts w:ascii="Tahoma" w:hAnsi="Tahoma" w:cs="Tahoma"/>
        </w:rPr>
        <w:t xml:space="preserve"> </w:t>
      </w:r>
      <w:r w:rsidR="003B6848" w:rsidRPr="000971EE">
        <w:rPr>
          <w:rFonts w:ascii="Tahoma" w:hAnsi="Tahoma" w:cs="Tahoma"/>
        </w:rPr>
        <w:t>Magistradas ANA LUCÍA CAICEDO CALDERÓN</w:t>
      </w:r>
      <w:r w:rsidR="00617E08" w:rsidRPr="000971EE">
        <w:rPr>
          <w:rFonts w:ascii="Tahoma" w:hAnsi="Tahoma" w:cs="Tahoma"/>
        </w:rPr>
        <w:t>,</w:t>
      </w:r>
      <w:r w:rsidR="003B6848" w:rsidRPr="000971EE">
        <w:rPr>
          <w:rFonts w:ascii="Tahoma" w:hAnsi="Tahoma" w:cs="Tahoma"/>
        </w:rPr>
        <w:t xml:space="preserve"> como </w:t>
      </w:r>
      <w:r w:rsidR="00617E08" w:rsidRPr="000971EE">
        <w:rPr>
          <w:rFonts w:ascii="Tahoma" w:hAnsi="Tahoma" w:cs="Tahoma"/>
        </w:rPr>
        <w:t>p</w:t>
      </w:r>
      <w:r w:rsidR="003B6848" w:rsidRPr="000971EE">
        <w:rPr>
          <w:rFonts w:ascii="Tahoma" w:hAnsi="Tahoma" w:cs="Tahoma"/>
        </w:rPr>
        <w:t xml:space="preserve">onente, </w:t>
      </w:r>
      <w:r w:rsidR="00617E08" w:rsidRPr="000971EE">
        <w:rPr>
          <w:rFonts w:ascii="Tahoma" w:hAnsi="Tahoma" w:cs="Tahoma"/>
        </w:rPr>
        <w:t xml:space="preserve">y </w:t>
      </w:r>
      <w:r w:rsidR="003B6848" w:rsidRPr="000971EE">
        <w:rPr>
          <w:rFonts w:ascii="Tahoma" w:hAnsi="Tahoma" w:cs="Tahoma"/>
        </w:rPr>
        <w:t>OLGA LUCÍA HOYOS</w:t>
      </w:r>
      <w:r w:rsidR="00510D63" w:rsidRPr="000971EE">
        <w:rPr>
          <w:rFonts w:ascii="Tahoma" w:hAnsi="Tahoma" w:cs="Tahoma"/>
        </w:rPr>
        <w:t xml:space="preserve"> </w:t>
      </w:r>
      <w:r w:rsidR="003B6848" w:rsidRPr="000971EE">
        <w:rPr>
          <w:rFonts w:ascii="Tahoma" w:hAnsi="Tahoma" w:cs="Tahoma"/>
        </w:rPr>
        <w:t>SEPÚLVEDA</w:t>
      </w:r>
      <w:r w:rsidR="00617E08" w:rsidRPr="000971EE">
        <w:rPr>
          <w:rFonts w:ascii="Tahoma" w:hAnsi="Tahoma" w:cs="Tahoma"/>
        </w:rPr>
        <w:t>,</w:t>
      </w:r>
      <w:r w:rsidR="003B6848" w:rsidRPr="000971EE">
        <w:rPr>
          <w:rFonts w:ascii="Tahoma" w:hAnsi="Tahoma" w:cs="Tahoma"/>
        </w:rPr>
        <w:t xml:space="preserve"> y el Magistrado</w:t>
      </w:r>
      <w:r w:rsidR="00510D63" w:rsidRPr="000971EE">
        <w:rPr>
          <w:rFonts w:ascii="Tahoma" w:hAnsi="Tahoma" w:cs="Tahoma"/>
        </w:rPr>
        <w:t xml:space="preserve"> </w:t>
      </w:r>
      <w:r w:rsidR="003B6848" w:rsidRPr="000971EE">
        <w:rPr>
          <w:rFonts w:ascii="Tahoma" w:hAnsi="Tahoma" w:cs="Tahoma"/>
        </w:rPr>
        <w:t xml:space="preserve">GERMÁN </w:t>
      </w:r>
      <w:r w:rsidR="00DD1404" w:rsidRPr="000971EE">
        <w:rPr>
          <w:rFonts w:ascii="Tahoma" w:hAnsi="Tahoma" w:cs="Tahoma"/>
        </w:rPr>
        <w:t>DARÍO</w:t>
      </w:r>
      <w:r w:rsidR="003B6848" w:rsidRPr="000971EE">
        <w:rPr>
          <w:rFonts w:ascii="Tahoma" w:hAnsi="Tahoma" w:cs="Tahoma"/>
        </w:rPr>
        <w:t xml:space="preserve"> </w:t>
      </w:r>
      <w:proofErr w:type="spellStart"/>
      <w:r w:rsidR="003B6848" w:rsidRPr="000971EE">
        <w:rPr>
          <w:rFonts w:ascii="Tahoma" w:hAnsi="Tahoma" w:cs="Tahoma"/>
        </w:rPr>
        <w:t>GOEZ</w:t>
      </w:r>
      <w:proofErr w:type="spellEnd"/>
      <w:r w:rsidR="003B6848" w:rsidRPr="000971EE">
        <w:rPr>
          <w:rFonts w:ascii="Tahoma" w:hAnsi="Tahoma" w:cs="Tahoma"/>
        </w:rPr>
        <w:t xml:space="preserve"> </w:t>
      </w:r>
      <w:proofErr w:type="spellStart"/>
      <w:r w:rsidR="003B6848" w:rsidRPr="000971EE">
        <w:rPr>
          <w:rFonts w:ascii="Tahoma" w:hAnsi="Tahoma" w:cs="Tahoma"/>
        </w:rPr>
        <w:t>VINASCO</w:t>
      </w:r>
      <w:proofErr w:type="spellEnd"/>
      <w:r w:rsidR="003B6848" w:rsidRPr="000971EE">
        <w:rPr>
          <w:rFonts w:ascii="Tahoma" w:hAnsi="Tahoma" w:cs="Tahoma"/>
        </w:rPr>
        <w:t>, procede a proferir la</w:t>
      </w:r>
      <w:r w:rsidR="00510D63" w:rsidRPr="000971EE">
        <w:rPr>
          <w:rFonts w:ascii="Tahoma" w:hAnsi="Tahoma" w:cs="Tahoma"/>
        </w:rPr>
        <w:t xml:space="preserve"> </w:t>
      </w:r>
      <w:r w:rsidR="003B6848" w:rsidRPr="000971EE">
        <w:rPr>
          <w:rFonts w:ascii="Tahoma" w:hAnsi="Tahoma" w:cs="Tahoma"/>
        </w:rPr>
        <w:t xml:space="preserve">siguiente sentencia escrita dentro del proceso </w:t>
      </w:r>
      <w:r w:rsidR="003B6848" w:rsidRPr="000971EE">
        <w:rPr>
          <w:rFonts w:ascii="Tahoma" w:hAnsi="Tahoma" w:cs="Tahoma"/>
          <w:b/>
        </w:rPr>
        <w:t>ordinario laboral</w:t>
      </w:r>
      <w:r w:rsidR="003B6848" w:rsidRPr="000971EE">
        <w:rPr>
          <w:rFonts w:ascii="Tahoma" w:hAnsi="Tahoma" w:cs="Tahoma"/>
        </w:rPr>
        <w:t xml:space="preserve"> instaurado por </w:t>
      </w:r>
      <w:bookmarkStart w:id="2" w:name="_Hlk136510132"/>
      <w:r w:rsidR="006B15C1" w:rsidRPr="000971EE">
        <w:rPr>
          <w:rFonts w:ascii="Tahoma" w:hAnsi="Tahoma" w:cs="Tahoma"/>
          <w:b/>
          <w:bCs/>
        </w:rPr>
        <w:t xml:space="preserve">Inés </w:t>
      </w:r>
      <w:proofErr w:type="spellStart"/>
      <w:r w:rsidR="006B15C1" w:rsidRPr="000971EE">
        <w:rPr>
          <w:rFonts w:ascii="Tahoma" w:hAnsi="Tahoma" w:cs="Tahoma"/>
          <w:b/>
          <w:bCs/>
        </w:rPr>
        <w:t>Hercilia</w:t>
      </w:r>
      <w:proofErr w:type="spellEnd"/>
      <w:r w:rsidR="006B15C1" w:rsidRPr="000971EE">
        <w:rPr>
          <w:rFonts w:ascii="Tahoma" w:hAnsi="Tahoma" w:cs="Tahoma"/>
          <w:b/>
          <w:bCs/>
        </w:rPr>
        <w:t xml:space="preserve"> Corrales Leiva </w:t>
      </w:r>
      <w:r w:rsidR="00171926" w:rsidRPr="000971EE">
        <w:rPr>
          <w:rFonts w:ascii="Tahoma" w:hAnsi="Tahoma" w:cs="Tahoma"/>
        </w:rPr>
        <w:t>en contra de la</w:t>
      </w:r>
      <w:r w:rsidR="00171926" w:rsidRPr="000971EE">
        <w:rPr>
          <w:rFonts w:ascii="Tahoma" w:hAnsi="Tahoma" w:cs="Tahoma"/>
          <w:b/>
          <w:bCs/>
        </w:rPr>
        <w:t xml:space="preserve"> </w:t>
      </w:r>
      <w:r w:rsidR="006B15C1" w:rsidRPr="000971EE">
        <w:rPr>
          <w:rFonts w:ascii="Tahoma" w:hAnsi="Tahoma" w:cs="Tahoma"/>
          <w:b/>
          <w:bCs/>
        </w:rPr>
        <w:t xml:space="preserve">Administradora Colombiana de Pensiones </w:t>
      </w:r>
      <w:r w:rsidR="00846A2C" w:rsidRPr="000971EE">
        <w:rPr>
          <w:rFonts w:ascii="Tahoma" w:hAnsi="Tahoma" w:cs="Tahoma"/>
          <w:b/>
          <w:bCs/>
        </w:rPr>
        <w:t xml:space="preserve">– COLPENSIONES </w:t>
      </w:r>
      <w:r w:rsidR="00D05FDE" w:rsidRPr="000971EE">
        <w:rPr>
          <w:rFonts w:ascii="Tahoma" w:hAnsi="Tahoma" w:cs="Tahoma"/>
        </w:rPr>
        <w:t>y</w:t>
      </w:r>
      <w:r w:rsidR="00846A2C" w:rsidRPr="000971EE">
        <w:rPr>
          <w:rFonts w:ascii="Tahoma" w:hAnsi="Tahoma" w:cs="Tahoma"/>
        </w:rPr>
        <w:t xml:space="preserve"> la</w:t>
      </w:r>
      <w:r w:rsidR="00D05FDE" w:rsidRPr="000971EE">
        <w:rPr>
          <w:rFonts w:ascii="Tahoma" w:hAnsi="Tahoma" w:cs="Tahoma"/>
          <w:b/>
          <w:bCs/>
        </w:rPr>
        <w:t xml:space="preserve"> </w:t>
      </w:r>
      <w:bookmarkEnd w:id="2"/>
      <w:r w:rsidR="006B15C1" w:rsidRPr="000971EE">
        <w:rPr>
          <w:rFonts w:ascii="Tahoma" w:hAnsi="Tahoma" w:cs="Tahoma"/>
          <w:b/>
          <w:bCs/>
        </w:rPr>
        <w:t xml:space="preserve">Administradora de Fondos de Pensiones y Cesantías </w:t>
      </w:r>
      <w:r w:rsidR="00846A2C" w:rsidRPr="000971EE">
        <w:rPr>
          <w:rFonts w:ascii="Tahoma" w:hAnsi="Tahoma" w:cs="Tahoma"/>
          <w:b/>
          <w:bCs/>
        </w:rPr>
        <w:t>PROTECCIÓN S.A.</w:t>
      </w:r>
    </w:p>
    <w:p w14:paraId="4CD834BC" w14:textId="645594F8" w:rsidR="62940743" w:rsidRPr="000971EE" w:rsidRDefault="62940743" w:rsidP="000971EE">
      <w:pPr>
        <w:spacing w:before="0" w:beforeAutospacing="0" w:after="0" w:afterAutospacing="0" w:line="276" w:lineRule="auto"/>
        <w:ind w:firstLine="0"/>
        <w:contextualSpacing/>
        <w:rPr>
          <w:rFonts w:ascii="Tahoma" w:hAnsi="Tahoma" w:cs="Tahoma"/>
          <w:b/>
          <w:bCs/>
        </w:rPr>
      </w:pPr>
    </w:p>
    <w:p w14:paraId="11B2C985" w14:textId="5477777E" w:rsidR="00CC7065" w:rsidRPr="000971EE" w:rsidRDefault="00CC7065" w:rsidP="000971EE">
      <w:pPr>
        <w:pStyle w:val="paragraph"/>
        <w:spacing w:before="0" w:beforeAutospacing="0" w:after="0" w:afterAutospacing="0" w:line="276" w:lineRule="auto"/>
        <w:jc w:val="center"/>
        <w:textAlignment w:val="baseline"/>
        <w:rPr>
          <w:rFonts w:ascii="Tahoma" w:hAnsi="Tahoma" w:cs="Tahoma"/>
          <w:b/>
        </w:rPr>
      </w:pPr>
      <w:r w:rsidRPr="000971EE">
        <w:rPr>
          <w:rStyle w:val="normaltextrun"/>
          <w:rFonts w:ascii="Tahoma" w:hAnsi="Tahoma" w:cs="Tahoma"/>
          <w:b/>
        </w:rPr>
        <w:t>PUNTO A TRATAR</w:t>
      </w:r>
    </w:p>
    <w:p w14:paraId="32FCA209" w14:textId="77777777" w:rsidR="00617E08" w:rsidRPr="000971EE" w:rsidRDefault="00617E08" w:rsidP="000971EE">
      <w:pPr>
        <w:spacing w:before="0" w:beforeAutospacing="0" w:after="0" w:afterAutospacing="0" w:line="276" w:lineRule="auto"/>
        <w:ind w:firstLine="708"/>
        <w:rPr>
          <w:rStyle w:val="normaltextrun"/>
          <w:rFonts w:ascii="Tahoma" w:hAnsi="Tahoma" w:cs="Tahoma"/>
        </w:rPr>
      </w:pPr>
    </w:p>
    <w:p w14:paraId="06AA2758" w14:textId="790DAFF8" w:rsidR="00415842" w:rsidRPr="000971EE" w:rsidRDefault="00CC7065" w:rsidP="000971EE">
      <w:pPr>
        <w:spacing w:before="0" w:beforeAutospacing="0" w:after="0" w:afterAutospacing="0" w:line="276" w:lineRule="auto"/>
        <w:ind w:firstLine="708"/>
        <w:rPr>
          <w:rStyle w:val="normaltextrun"/>
          <w:rFonts w:ascii="Tahoma" w:hAnsi="Tahoma" w:cs="Tahoma"/>
        </w:rPr>
      </w:pPr>
      <w:r w:rsidRPr="000971EE">
        <w:rPr>
          <w:rStyle w:val="normaltextrun"/>
          <w:rFonts w:ascii="Tahoma" w:hAnsi="Tahoma" w:cs="Tahoma"/>
        </w:rPr>
        <w:t xml:space="preserve">Por medio de esta providencia procede la Sala </w:t>
      </w:r>
      <w:r w:rsidR="27DEB239" w:rsidRPr="000971EE">
        <w:rPr>
          <w:rStyle w:val="normaltextrun"/>
          <w:rFonts w:ascii="Tahoma" w:hAnsi="Tahoma" w:cs="Tahoma"/>
        </w:rPr>
        <w:t xml:space="preserve">entra </w:t>
      </w:r>
      <w:r w:rsidRPr="000971EE">
        <w:rPr>
          <w:rStyle w:val="normaltextrun"/>
          <w:rFonts w:ascii="Tahoma" w:hAnsi="Tahoma" w:cs="Tahoma"/>
        </w:rPr>
        <w:t>a</w:t>
      </w:r>
      <w:r w:rsidRPr="000971EE">
        <w:rPr>
          <w:rFonts w:ascii="Tahoma" w:hAnsi="Tahoma" w:cs="Tahoma"/>
        </w:rPr>
        <w:t xml:space="preserve"> resolver</w:t>
      </w:r>
      <w:r w:rsidR="00F80DA9" w:rsidRPr="000971EE">
        <w:rPr>
          <w:rFonts w:ascii="Tahoma" w:hAnsi="Tahoma" w:cs="Tahoma"/>
        </w:rPr>
        <w:t xml:space="preserve"> el grado jurisdiccional de consulta dispuesto en favor de Colpensiones, y </w:t>
      </w:r>
      <w:r w:rsidR="0048481C" w:rsidRPr="000971EE">
        <w:rPr>
          <w:rFonts w:ascii="Tahoma" w:hAnsi="Tahoma" w:cs="Tahoma"/>
        </w:rPr>
        <w:t>el recurso</w:t>
      </w:r>
      <w:r w:rsidR="00F80DA9" w:rsidRPr="000971EE">
        <w:rPr>
          <w:rFonts w:ascii="Tahoma" w:hAnsi="Tahoma" w:cs="Tahoma"/>
        </w:rPr>
        <w:t xml:space="preserve"> de apelación propuesto </w:t>
      </w:r>
      <w:r w:rsidR="000546A7" w:rsidRPr="000971EE">
        <w:rPr>
          <w:rFonts w:ascii="Tahoma" w:hAnsi="Tahoma" w:cs="Tahoma"/>
        </w:rPr>
        <w:t xml:space="preserve">por dicha administradora </w:t>
      </w:r>
      <w:r w:rsidR="00F80DA9" w:rsidRPr="000971EE">
        <w:rPr>
          <w:rFonts w:ascii="Tahoma" w:hAnsi="Tahoma" w:cs="Tahoma"/>
        </w:rPr>
        <w:t xml:space="preserve">contra la sentencia proferida el </w:t>
      </w:r>
      <w:r w:rsidR="00846A2C" w:rsidRPr="000971EE">
        <w:rPr>
          <w:rFonts w:ascii="Tahoma" w:hAnsi="Tahoma" w:cs="Tahoma"/>
        </w:rPr>
        <w:t>0</w:t>
      </w:r>
      <w:r w:rsidR="00355125" w:rsidRPr="000971EE">
        <w:rPr>
          <w:rFonts w:ascii="Tahoma" w:hAnsi="Tahoma" w:cs="Tahoma"/>
        </w:rPr>
        <w:t>4</w:t>
      </w:r>
      <w:r w:rsidR="00846A2C" w:rsidRPr="000971EE">
        <w:rPr>
          <w:rFonts w:ascii="Tahoma" w:hAnsi="Tahoma" w:cs="Tahoma"/>
        </w:rPr>
        <w:t xml:space="preserve"> de </w:t>
      </w:r>
      <w:r w:rsidR="00355125" w:rsidRPr="000971EE">
        <w:rPr>
          <w:rFonts w:ascii="Tahoma" w:hAnsi="Tahoma" w:cs="Tahoma"/>
        </w:rPr>
        <w:t>agosto</w:t>
      </w:r>
      <w:r w:rsidR="00846A2C" w:rsidRPr="000971EE">
        <w:rPr>
          <w:rFonts w:ascii="Tahoma" w:hAnsi="Tahoma" w:cs="Tahoma"/>
        </w:rPr>
        <w:t xml:space="preserve"> </w:t>
      </w:r>
      <w:r w:rsidR="00B378CD" w:rsidRPr="000971EE">
        <w:rPr>
          <w:rFonts w:ascii="Tahoma" w:hAnsi="Tahoma" w:cs="Tahoma"/>
        </w:rPr>
        <w:t xml:space="preserve">de 2023 </w:t>
      </w:r>
      <w:r w:rsidRPr="000971EE">
        <w:rPr>
          <w:rFonts w:ascii="Tahoma" w:hAnsi="Tahoma" w:cs="Tahoma"/>
        </w:rPr>
        <w:t xml:space="preserve">por el </w:t>
      </w:r>
      <w:r w:rsidRPr="000971EE">
        <w:rPr>
          <w:rFonts w:ascii="Tahoma" w:hAnsi="Tahoma" w:cs="Tahoma"/>
          <w:lang w:val="es-ES"/>
        </w:rPr>
        <w:t>Juzgado</w:t>
      </w:r>
      <w:r w:rsidR="00CB40C7" w:rsidRPr="000971EE">
        <w:rPr>
          <w:rFonts w:ascii="Tahoma" w:hAnsi="Tahoma" w:cs="Tahoma"/>
        </w:rPr>
        <w:t xml:space="preserve"> </w:t>
      </w:r>
      <w:r w:rsidR="00A226C9" w:rsidRPr="000971EE">
        <w:rPr>
          <w:rFonts w:ascii="Tahoma" w:hAnsi="Tahoma" w:cs="Tahoma"/>
        </w:rPr>
        <w:t>Primero</w:t>
      </w:r>
      <w:r w:rsidRPr="000971EE">
        <w:rPr>
          <w:rFonts w:ascii="Tahoma" w:hAnsi="Tahoma" w:cs="Tahoma"/>
        </w:rPr>
        <w:t xml:space="preserve"> Laboral del Circuito de Pereira. </w:t>
      </w:r>
      <w:r w:rsidRPr="000971EE">
        <w:rPr>
          <w:rStyle w:val="normaltextrun"/>
          <w:rFonts w:ascii="Tahoma" w:hAnsi="Tahoma" w:cs="Tahoma"/>
        </w:rPr>
        <w:t>Para ello se tiene en cuenta lo siguiente: </w:t>
      </w:r>
    </w:p>
    <w:p w14:paraId="614DD6DA" w14:textId="77777777" w:rsidR="00CC3B17" w:rsidRPr="000971EE" w:rsidRDefault="00CC3B17" w:rsidP="000971EE">
      <w:pPr>
        <w:spacing w:before="0" w:beforeAutospacing="0" w:after="0" w:afterAutospacing="0" w:line="276" w:lineRule="auto"/>
        <w:ind w:firstLine="708"/>
        <w:rPr>
          <w:rFonts w:ascii="Tahoma" w:hAnsi="Tahoma" w:cs="Tahoma"/>
        </w:rPr>
      </w:pPr>
    </w:p>
    <w:p w14:paraId="40C2E441" w14:textId="24078850" w:rsidR="00415842" w:rsidRPr="000971EE" w:rsidRDefault="00415842" w:rsidP="000971EE">
      <w:pPr>
        <w:pStyle w:val="Prrafodelista"/>
        <w:numPr>
          <w:ilvl w:val="0"/>
          <w:numId w:val="1"/>
        </w:numPr>
        <w:spacing w:line="276" w:lineRule="auto"/>
        <w:ind w:left="426" w:hanging="426"/>
        <w:jc w:val="center"/>
        <w:rPr>
          <w:rStyle w:val="normaltextrun"/>
          <w:rFonts w:cs="Tahoma"/>
          <w:b/>
          <w:bCs/>
          <w:szCs w:val="24"/>
        </w:rPr>
      </w:pPr>
      <w:r w:rsidRPr="000971EE">
        <w:rPr>
          <w:rFonts w:cs="Tahoma"/>
          <w:b/>
          <w:bCs/>
          <w:szCs w:val="24"/>
        </w:rPr>
        <w:t>Demanda y su contestación</w:t>
      </w:r>
    </w:p>
    <w:p w14:paraId="417070AC" w14:textId="77777777" w:rsidR="00647E83" w:rsidRPr="000971EE" w:rsidRDefault="00647E83" w:rsidP="000971EE">
      <w:pPr>
        <w:spacing w:before="0" w:beforeAutospacing="0" w:after="0" w:afterAutospacing="0" w:line="276" w:lineRule="auto"/>
        <w:ind w:firstLine="708"/>
        <w:contextualSpacing/>
        <w:rPr>
          <w:rFonts w:ascii="Tahoma" w:eastAsia="Calibri" w:hAnsi="Tahoma" w:cs="Tahoma"/>
        </w:rPr>
      </w:pPr>
    </w:p>
    <w:p w14:paraId="76C43454" w14:textId="24E3AB56" w:rsidR="00446F95" w:rsidRPr="000971EE" w:rsidRDefault="00446F95" w:rsidP="000971EE">
      <w:pPr>
        <w:spacing w:before="0" w:beforeAutospacing="0" w:after="0" w:afterAutospacing="0" w:line="276" w:lineRule="auto"/>
        <w:rPr>
          <w:rFonts w:ascii="Tahoma" w:eastAsia="Times New Roman" w:hAnsi="Tahoma" w:cs="Tahoma"/>
          <w:lang w:eastAsia="es-MX"/>
        </w:rPr>
      </w:pPr>
      <w:r w:rsidRPr="000971EE">
        <w:rPr>
          <w:rFonts w:ascii="Tahoma" w:eastAsia="Times New Roman" w:hAnsi="Tahoma" w:cs="Tahoma"/>
          <w:lang w:val="es-ES" w:eastAsia="es-MX"/>
        </w:rPr>
        <w:t>Pretende l</w:t>
      </w:r>
      <w:r w:rsidR="00355125" w:rsidRPr="000971EE">
        <w:rPr>
          <w:rFonts w:ascii="Tahoma" w:eastAsia="Times New Roman" w:hAnsi="Tahoma" w:cs="Tahoma"/>
          <w:lang w:val="es-ES" w:eastAsia="es-MX"/>
        </w:rPr>
        <w:t>a</w:t>
      </w:r>
      <w:r w:rsidRPr="000971EE">
        <w:rPr>
          <w:rFonts w:ascii="Tahoma" w:eastAsia="Times New Roman" w:hAnsi="Tahoma" w:cs="Tahoma"/>
          <w:lang w:val="es-ES" w:eastAsia="es-MX"/>
        </w:rPr>
        <w:t xml:space="preserve"> promotor</w:t>
      </w:r>
      <w:r w:rsidR="00355125" w:rsidRPr="000971EE">
        <w:rPr>
          <w:rFonts w:ascii="Tahoma" w:eastAsia="Times New Roman" w:hAnsi="Tahoma" w:cs="Tahoma"/>
          <w:lang w:val="es-ES" w:eastAsia="es-MX"/>
        </w:rPr>
        <w:t>a</w:t>
      </w:r>
      <w:r w:rsidRPr="000971EE">
        <w:rPr>
          <w:rFonts w:ascii="Tahoma" w:eastAsia="Times New Roman" w:hAnsi="Tahoma" w:cs="Tahoma"/>
          <w:lang w:val="es-ES" w:eastAsia="es-MX"/>
        </w:rPr>
        <w:t xml:space="preserve"> del litigio que se declare la ineficacia del traslado del régimen de prima media con prestación definida (en adelante RPM) al régimen de ahorro individual con solidaridad (en adelante </w:t>
      </w:r>
      <w:proofErr w:type="spellStart"/>
      <w:r w:rsidRPr="000971EE">
        <w:rPr>
          <w:rFonts w:ascii="Tahoma" w:eastAsia="Times New Roman" w:hAnsi="Tahoma" w:cs="Tahoma"/>
          <w:lang w:val="es-ES" w:eastAsia="es-MX"/>
        </w:rPr>
        <w:t>RAIS</w:t>
      </w:r>
      <w:proofErr w:type="spellEnd"/>
      <w:r w:rsidRPr="000971EE">
        <w:rPr>
          <w:rFonts w:ascii="Tahoma" w:eastAsia="Times New Roman" w:hAnsi="Tahoma" w:cs="Tahoma"/>
          <w:lang w:val="es-ES" w:eastAsia="es-MX"/>
        </w:rPr>
        <w:t>) que realizó a través de</w:t>
      </w:r>
      <w:r w:rsidR="00127CEA" w:rsidRPr="000971EE">
        <w:rPr>
          <w:rFonts w:ascii="Tahoma" w:eastAsia="Times New Roman" w:hAnsi="Tahoma" w:cs="Tahoma"/>
          <w:lang w:val="es-ES" w:eastAsia="es-MX"/>
        </w:rPr>
        <w:t xml:space="preserve"> </w:t>
      </w:r>
      <w:r w:rsidR="00846A2C" w:rsidRPr="000971EE">
        <w:rPr>
          <w:rFonts w:ascii="Tahoma" w:eastAsia="Times New Roman" w:hAnsi="Tahoma" w:cs="Tahoma"/>
          <w:lang w:val="es-ES" w:eastAsia="es-MX"/>
        </w:rPr>
        <w:t xml:space="preserve">PROTECCIÓN </w:t>
      </w:r>
      <w:r w:rsidRPr="000971EE">
        <w:rPr>
          <w:rFonts w:ascii="Tahoma" w:eastAsia="Times New Roman" w:hAnsi="Tahoma" w:cs="Tahoma"/>
          <w:lang w:val="es-ES" w:eastAsia="es-MX"/>
        </w:rPr>
        <w:t>S.A. y en consecuencia se condene a esta última</w:t>
      </w:r>
      <w:r w:rsidRPr="000971EE">
        <w:rPr>
          <w:rFonts w:ascii="Tahoma" w:eastAsia="Times New Roman" w:hAnsi="Tahoma" w:cs="Tahoma"/>
          <w:lang w:eastAsia="es-MX"/>
        </w:rPr>
        <w:t xml:space="preserve"> </w:t>
      </w:r>
      <w:r w:rsidR="00090ACD" w:rsidRPr="000971EE">
        <w:rPr>
          <w:rFonts w:ascii="Tahoma" w:eastAsia="Times New Roman" w:hAnsi="Tahoma" w:cs="Tahoma"/>
          <w:lang w:eastAsia="es-MX"/>
        </w:rPr>
        <w:t>devolver todos los valores que hubiese recibido por motivo de su afiliación, como cotizaciones, bonos pensionales, sumas de las aseguradoras, con todos sus frutos como rendimientos financieros, intereses y gastos de administración y a</w:t>
      </w:r>
      <w:r w:rsidRPr="000971EE">
        <w:rPr>
          <w:rFonts w:ascii="Tahoma" w:eastAsia="Times New Roman" w:hAnsi="Tahoma" w:cs="Tahoma"/>
          <w:lang w:eastAsia="es-MX"/>
        </w:rPr>
        <w:t xml:space="preserve"> COLPENSIONES, </w:t>
      </w:r>
      <w:r w:rsidR="00090ACD" w:rsidRPr="000971EE">
        <w:rPr>
          <w:rFonts w:ascii="Tahoma" w:eastAsia="Times New Roman" w:hAnsi="Tahoma" w:cs="Tahoma"/>
          <w:lang w:eastAsia="es-MX"/>
        </w:rPr>
        <w:t>que se ordene que valide sus aportes y los incorpore a la historia laboral</w:t>
      </w:r>
      <w:r w:rsidRPr="000971EE">
        <w:rPr>
          <w:rFonts w:ascii="Tahoma" w:eastAsia="Times New Roman" w:hAnsi="Tahoma" w:cs="Tahoma"/>
          <w:lang w:eastAsia="es-MX"/>
        </w:rPr>
        <w:t xml:space="preserve">. </w:t>
      </w:r>
    </w:p>
    <w:p w14:paraId="60187CBD" w14:textId="77777777" w:rsidR="00446F95" w:rsidRPr="000971EE" w:rsidRDefault="00446F95" w:rsidP="000971EE">
      <w:pPr>
        <w:spacing w:before="0" w:beforeAutospacing="0" w:after="0" w:afterAutospacing="0" w:line="276" w:lineRule="auto"/>
        <w:ind w:firstLine="0"/>
        <w:rPr>
          <w:rFonts w:ascii="Tahoma" w:eastAsia="Times New Roman" w:hAnsi="Tahoma" w:cs="Tahoma"/>
          <w:lang w:val="es-ES" w:eastAsia="es-MX"/>
        </w:rPr>
      </w:pPr>
    </w:p>
    <w:p w14:paraId="184D84F4" w14:textId="3E23E220" w:rsidR="00F41F1E" w:rsidRPr="000971EE" w:rsidRDefault="00446F95" w:rsidP="000971EE">
      <w:pPr>
        <w:spacing w:before="0" w:beforeAutospacing="0" w:after="0" w:afterAutospacing="0" w:line="276" w:lineRule="auto"/>
        <w:ind w:firstLine="708"/>
        <w:rPr>
          <w:rFonts w:ascii="Tahoma" w:eastAsia="Times New Roman" w:hAnsi="Tahoma" w:cs="Tahoma"/>
          <w:lang w:val="es-ES" w:eastAsia="es-MX"/>
        </w:rPr>
      </w:pPr>
      <w:r w:rsidRPr="000971EE">
        <w:rPr>
          <w:rFonts w:ascii="Tahoma" w:eastAsia="Times New Roman" w:hAnsi="Tahoma" w:cs="Tahoma"/>
          <w:lang w:val="es-ES" w:eastAsia="es-MX"/>
        </w:rPr>
        <w:t xml:space="preserve">En sustento de lo pretendido, relata, en síntesis, que </w:t>
      </w:r>
      <w:r w:rsidR="00F41F1E" w:rsidRPr="000971EE">
        <w:rPr>
          <w:rFonts w:ascii="Tahoma" w:eastAsia="Times New Roman" w:hAnsi="Tahoma" w:cs="Tahoma"/>
          <w:lang w:val="es-ES" w:eastAsia="es-MX"/>
        </w:rPr>
        <w:t>el 01 de diciembre de 1997</w:t>
      </w:r>
      <w:r w:rsidR="00127CEA" w:rsidRPr="000971EE">
        <w:rPr>
          <w:rFonts w:ascii="Tahoma" w:eastAsia="Times New Roman" w:hAnsi="Tahoma" w:cs="Tahoma"/>
          <w:lang w:val="es-ES" w:eastAsia="es-MX"/>
        </w:rPr>
        <w:t xml:space="preserve"> </w:t>
      </w:r>
      <w:r w:rsidRPr="000971EE">
        <w:rPr>
          <w:rFonts w:ascii="Tahoma" w:eastAsia="Times New Roman" w:hAnsi="Tahoma" w:cs="Tahoma"/>
          <w:lang w:val="es-ES" w:eastAsia="es-MX"/>
        </w:rPr>
        <w:t xml:space="preserve">se trasladó del RPM al </w:t>
      </w:r>
      <w:proofErr w:type="spellStart"/>
      <w:r w:rsidRPr="000971EE">
        <w:rPr>
          <w:rFonts w:ascii="Tahoma" w:eastAsia="Times New Roman" w:hAnsi="Tahoma" w:cs="Tahoma"/>
          <w:lang w:val="es-ES" w:eastAsia="es-MX"/>
        </w:rPr>
        <w:t>RAIS</w:t>
      </w:r>
      <w:proofErr w:type="spellEnd"/>
      <w:r w:rsidRPr="000971EE">
        <w:rPr>
          <w:rFonts w:ascii="Tahoma" w:eastAsia="Times New Roman" w:hAnsi="Tahoma" w:cs="Tahoma"/>
          <w:lang w:val="es-ES" w:eastAsia="es-MX"/>
        </w:rPr>
        <w:t xml:space="preserve">, </w:t>
      </w:r>
      <w:r w:rsidR="00F41F1E" w:rsidRPr="000971EE">
        <w:rPr>
          <w:rFonts w:ascii="Tahoma" w:eastAsia="Times New Roman" w:hAnsi="Tahoma" w:cs="Tahoma"/>
          <w:lang w:val="es-ES" w:eastAsia="es-MX"/>
        </w:rPr>
        <w:t xml:space="preserve">pese a que se </w:t>
      </w:r>
      <w:r w:rsidR="00BF1E78" w:rsidRPr="000971EE">
        <w:rPr>
          <w:rFonts w:ascii="Tahoma" w:eastAsia="Times New Roman" w:hAnsi="Tahoma" w:cs="Tahoma"/>
          <w:lang w:val="es-ES" w:eastAsia="es-MX"/>
        </w:rPr>
        <w:t>omitió</w:t>
      </w:r>
      <w:r w:rsidR="00F41F1E" w:rsidRPr="000971EE">
        <w:rPr>
          <w:rFonts w:ascii="Tahoma" w:eastAsia="Times New Roman" w:hAnsi="Tahoma" w:cs="Tahoma"/>
          <w:lang w:val="es-ES" w:eastAsia="es-MX"/>
        </w:rPr>
        <w:t xml:space="preserve"> la obligación de buen consejo por parte del fondo privado, al no brindarle una información clara y completa de los beneficios, contras y/o consecuencias del traslado. </w:t>
      </w:r>
    </w:p>
    <w:p w14:paraId="1825FFA6" w14:textId="77777777" w:rsidR="00F41F1E" w:rsidRPr="000971EE" w:rsidRDefault="00F41F1E" w:rsidP="000971EE">
      <w:pPr>
        <w:spacing w:before="0" w:beforeAutospacing="0" w:after="0" w:afterAutospacing="0" w:line="276" w:lineRule="auto"/>
        <w:ind w:firstLine="708"/>
        <w:rPr>
          <w:rFonts w:ascii="Tahoma" w:eastAsia="Times New Roman" w:hAnsi="Tahoma" w:cs="Tahoma"/>
          <w:lang w:val="es-ES" w:eastAsia="es-MX"/>
        </w:rPr>
      </w:pPr>
    </w:p>
    <w:p w14:paraId="51C8AA73" w14:textId="40920491" w:rsidR="00446F95" w:rsidRPr="000971EE" w:rsidRDefault="00446F95" w:rsidP="000971EE">
      <w:pPr>
        <w:spacing w:before="0" w:beforeAutospacing="0" w:after="0" w:afterAutospacing="0" w:line="276" w:lineRule="auto"/>
        <w:ind w:firstLine="708"/>
        <w:rPr>
          <w:rFonts w:ascii="Tahoma" w:eastAsia="Times New Roman" w:hAnsi="Tahoma" w:cs="Tahoma"/>
          <w:lang w:val="es-ES" w:eastAsia="es-MX"/>
        </w:rPr>
      </w:pPr>
      <w:r w:rsidRPr="000971EE">
        <w:rPr>
          <w:rFonts w:ascii="Tahoma" w:eastAsia="Times New Roman" w:hAnsi="Tahoma" w:cs="Tahoma"/>
          <w:lang w:val="es-ES" w:eastAsia="es-MX"/>
        </w:rPr>
        <w:t xml:space="preserve">Por último, indica que </w:t>
      </w:r>
      <w:r w:rsidR="009251C1" w:rsidRPr="000971EE">
        <w:rPr>
          <w:rFonts w:ascii="Tahoma" w:eastAsia="Times New Roman" w:hAnsi="Tahoma" w:cs="Tahoma"/>
          <w:lang w:val="es-ES" w:eastAsia="es-MX"/>
        </w:rPr>
        <w:t xml:space="preserve">el 03 de febrero de 2022 solicitó al </w:t>
      </w:r>
      <w:proofErr w:type="spellStart"/>
      <w:r w:rsidR="009251C1" w:rsidRPr="000971EE">
        <w:rPr>
          <w:rFonts w:ascii="Tahoma" w:eastAsia="Times New Roman" w:hAnsi="Tahoma" w:cs="Tahoma"/>
          <w:lang w:val="es-ES" w:eastAsia="es-MX"/>
        </w:rPr>
        <w:t>RAIS</w:t>
      </w:r>
      <w:proofErr w:type="spellEnd"/>
      <w:r w:rsidR="009251C1" w:rsidRPr="000971EE">
        <w:rPr>
          <w:rFonts w:ascii="Tahoma" w:eastAsia="Times New Roman" w:hAnsi="Tahoma" w:cs="Tahoma"/>
          <w:lang w:val="es-ES" w:eastAsia="es-MX"/>
        </w:rPr>
        <w:t xml:space="preserve"> la información de su pensión y aceptación de traslado, último que también solicitó ante COLPENSIONES, empero el 04 de febrero del mismo año, fue negada su solicitud por parte del RPM</w:t>
      </w:r>
      <w:r w:rsidR="00127CEA" w:rsidRPr="000971EE">
        <w:rPr>
          <w:rFonts w:ascii="Tahoma" w:eastAsia="Times New Roman" w:hAnsi="Tahoma" w:cs="Tahoma"/>
          <w:lang w:val="es-ES" w:eastAsia="es-MX"/>
        </w:rPr>
        <w:t xml:space="preserve">. </w:t>
      </w:r>
    </w:p>
    <w:p w14:paraId="7A872F8D" w14:textId="77777777" w:rsidR="006C00B2" w:rsidRPr="000971EE" w:rsidRDefault="006C00B2" w:rsidP="000971EE">
      <w:pPr>
        <w:spacing w:before="0" w:beforeAutospacing="0" w:after="0" w:afterAutospacing="0" w:line="276" w:lineRule="auto"/>
        <w:ind w:firstLine="0"/>
        <w:rPr>
          <w:rFonts w:ascii="Tahoma" w:eastAsia="Times New Roman" w:hAnsi="Tahoma" w:cs="Tahoma"/>
          <w:lang w:val="es-ES" w:eastAsia="es-MX"/>
        </w:rPr>
      </w:pPr>
    </w:p>
    <w:p w14:paraId="024DC0DA" w14:textId="1266BE0D" w:rsidR="00027B24" w:rsidRPr="000971EE" w:rsidRDefault="00450915" w:rsidP="000971EE">
      <w:pPr>
        <w:spacing w:before="0" w:beforeAutospacing="0" w:after="0" w:afterAutospacing="0" w:line="276" w:lineRule="auto"/>
        <w:ind w:firstLine="708"/>
        <w:rPr>
          <w:rFonts w:ascii="Tahoma" w:eastAsia="Times New Roman" w:hAnsi="Tahoma" w:cs="Tahoma"/>
          <w:i/>
          <w:iCs/>
          <w:lang w:val="es-ES" w:eastAsia="es-MX"/>
        </w:rPr>
      </w:pPr>
      <w:r w:rsidRPr="000971EE">
        <w:rPr>
          <w:rFonts w:ascii="Tahoma" w:eastAsia="Times New Roman" w:hAnsi="Tahoma" w:cs="Tahoma"/>
          <w:lang w:val="es-ES" w:eastAsia="es-MX"/>
        </w:rPr>
        <w:t xml:space="preserve">En respuesta a la demanda, </w:t>
      </w:r>
      <w:r w:rsidR="0067108B" w:rsidRPr="000971EE">
        <w:rPr>
          <w:rFonts w:ascii="Tahoma" w:eastAsia="Times New Roman" w:hAnsi="Tahoma" w:cs="Tahoma"/>
          <w:b/>
          <w:bCs/>
          <w:lang w:val="es-ES" w:eastAsia="es-MX"/>
        </w:rPr>
        <w:t xml:space="preserve">COLPENSIONES </w:t>
      </w:r>
      <w:r w:rsidR="00A9687D" w:rsidRPr="000971EE">
        <w:rPr>
          <w:rFonts w:ascii="Tahoma" w:eastAsia="Times New Roman" w:hAnsi="Tahoma" w:cs="Tahoma"/>
          <w:lang w:val="es-ES" w:eastAsia="es-MX"/>
        </w:rPr>
        <w:t>se opuso a todas y cada una de las pretensiones incoadas en su contra,</w:t>
      </w:r>
      <w:r w:rsidR="008C33D9" w:rsidRPr="000971EE">
        <w:rPr>
          <w:rFonts w:ascii="Tahoma" w:eastAsia="Times New Roman" w:hAnsi="Tahoma" w:cs="Tahoma"/>
          <w:lang w:val="es-ES" w:eastAsia="es-MX"/>
        </w:rPr>
        <w:t xml:space="preserve"> </w:t>
      </w:r>
      <w:r w:rsidR="009154B5" w:rsidRPr="000971EE">
        <w:rPr>
          <w:rFonts w:ascii="Tahoma" w:eastAsia="Times New Roman" w:hAnsi="Tahoma" w:cs="Tahoma"/>
          <w:lang w:val="es-ES" w:eastAsia="es-MX"/>
        </w:rPr>
        <w:t>argumentando que</w:t>
      </w:r>
      <w:r w:rsidR="00BD4B51" w:rsidRPr="000971EE">
        <w:rPr>
          <w:rFonts w:ascii="Tahoma" w:eastAsia="Times New Roman" w:hAnsi="Tahoma" w:cs="Tahoma"/>
          <w:lang w:val="es-ES" w:eastAsia="es-MX"/>
        </w:rPr>
        <w:t xml:space="preserve"> </w:t>
      </w:r>
      <w:r w:rsidR="00325B8D" w:rsidRPr="000971EE">
        <w:rPr>
          <w:rFonts w:ascii="Tahoma" w:eastAsia="Times New Roman" w:hAnsi="Tahoma" w:cs="Tahoma"/>
          <w:lang w:val="es-ES" w:eastAsia="es-MX"/>
        </w:rPr>
        <w:t>la selección de cualquiera de los regímenes existentes es única y exclusiva del afiliado de manera libre y voluntaria</w:t>
      </w:r>
      <w:r w:rsidR="00E25485" w:rsidRPr="000971EE">
        <w:rPr>
          <w:rFonts w:ascii="Tahoma" w:eastAsia="Times New Roman" w:hAnsi="Tahoma" w:cs="Tahoma"/>
          <w:lang w:val="es-ES" w:eastAsia="es-MX"/>
        </w:rPr>
        <w:t xml:space="preserve"> por lo cual, al no evidenciarse engaño o </w:t>
      </w:r>
      <w:r w:rsidR="0082387F" w:rsidRPr="000971EE">
        <w:rPr>
          <w:rFonts w:ascii="Tahoma" w:eastAsia="Times New Roman" w:hAnsi="Tahoma" w:cs="Tahoma"/>
          <w:lang w:val="es-ES" w:eastAsia="es-MX"/>
        </w:rPr>
        <w:t>a</w:t>
      </w:r>
      <w:r w:rsidR="00E25485" w:rsidRPr="000971EE">
        <w:rPr>
          <w:rFonts w:ascii="Tahoma" w:eastAsia="Times New Roman" w:hAnsi="Tahoma" w:cs="Tahoma"/>
          <w:lang w:val="es-ES" w:eastAsia="es-MX"/>
        </w:rPr>
        <w:t>cto que evidencia motivo para que se declare la ineficacia</w:t>
      </w:r>
      <w:r w:rsidR="00325B8D" w:rsidRPr="000971EE">
        <w:rPr>
          <w:rFonts w:ascii="Tahoma" w:eastAsia="Times New Roman" w:hAnsi="Tahoma" w:cs="Tahoma"/>
          <w:lang w:val="es-ES" w:eastAsia="es-MX"/>
        </w:rPr>
        <w:t>, no estando obligada a realizar el traslado pretendido</w:t>
      </w:r>
      <w:r w:rsidR="00BD4B51" w:rsidRPr="000971EE">
        <w:rPr>
          <w:rFonts w:ascii="Tahoma" w:eastAsia="Times New Roman" w:hAnsi="Tahoma" w:cs="Tahoma"/>
          <w:lang w:val="es-ES" w:eastAsia="es-MX"/>
        </w:rPr>
        <w:t xml:space="preserve">.  </w:t>
      </w:r>
      <w:r w:rsidR="00606D80" w:rsidRPr="000971EE">
        <w:rPr>
          <w:rFonts w:ascii="Tahoma" w:eastAsia="Times New Roman" w:hAnsi="Tahoma" w:cs="Tahoma"/>
          <w:lang w:val="es-ES" w:eastAsia="es-MX"/>
        </w:rPr>
        <w:t xml:space="preserve">Así, </w:t>
      </w:r>
      <w:r w:rsidR="00027B24" w:rsidRPr="000971EE">
        <w:rPr>
          <w:rFonts w:ascii="Tahoma" w:eastAsia="Times New Roman" w:hAnsi="Tahoma" w:cs="Tahoma"/>
          <w:lang w:val="es-ES" w:eastAsia="es-MX"/>
        </w:rPr>
        <w:t xml:space="preserve">Invocó como excepciones de </w:t>
      </w:r>
      <w:r w:rsidR="006C5C75" w:rsidRPr="000971EE">
        <w:rPr>
          <w:rFonts w:ascii="Tahoma" w:eastAsia="Times New Roman" w:hAnsi="Tahoma" w:cs="Tahoma"/>
          <w:lang w:val="es-ES" w:eastAsia="es-MX"/>
        </w:rPr>
        <w:t>fondo</w:t>
      </w:r>
      <w:r w:rsidR="00D90815" w:rsidRPr="000971EE">
        <w:rPr>
          <w:rFonts w:ascii="Tahoma" w:eastAsia="Times New Roman" w:hAnsi="Tahoma" w:cs="Tahoma"/>
          <w:i/>
          <w:iCs/>
          <w:lang w:val="es-ES" w:eastAsia="es-MX"/>
        </w:rPr>
        <w:t xml:space="preserve"> </w:t>
      </w:r>
      <w:r w:rsidR="0082387F" w:rsidRPr="000971EE">
        <w:rPr>
          <w:rFonts w:ascii="Tahoma" w:eastAsia="Times New Roman" w:hAnsi="Tahoma" w:cs="Tahoma"/>
          <w:i/>
          <w:iCs/>
          <w:lang w:val="es-ES" w:eastAsia="es-MX"/>
        </w:rPr>
        <w:t xml:space="preserve">“validez de la afiliación al </w:t>
      </w:r>
      <w:proofErr w:type="spellStart"/>
      <w:r w:rsidR="0082387F" w:rsidRPr="000971EE">
        <w:rPr>
          <w:rFonts w:ascii="Tahoma" w:eastAsia="Times New Roman" w:hAnsi="Tahoma" w:cs="Tahoma"/>
          <w:i/>
          <w:iCs/>
          <w:lang w:val="es-ES" w:eastAsia="es-MX"/>
        </w:rPr>
        <w:t>RAIS</w:t>
      </w:r>
      <w:proofErr w:type="spellEnd"/>
      <w:r w:rsidR="0082387F" w:rsidRPr="000971EE">
        <w:rPr>
          <w:rFonts w:ascii="Tahoma" w:eastAsia="Times New Roman" w:hAnsi="Tahoma" w:cs="Tahoma"/>
          <w:i/>
          <w:iCs/>
          <w:lang w:val="es-ES" w:eastAsia="es-MX"/>
        </w:rPr>
        <w:t xml:space="preserve">”, “aceptación implícita de la voluntad del afiliado”, “saneamiento de una presunta nulidad”, </w:t>
      </w:r>
      <w:r w:rsidR="0067108B" w:rsidRPr="000971EE">
        <w:rPr>
          <w:rFonts w:ascii="Tahoma" w:eastAsia="Times New Roman" w:hAnsi="Tahoma" w:cs="Tahoma"/>
          <w:i/>
          <w:iCs/>
          <w:lang w:val="es-ES" w:eastAsia="es-MX"/>
        </w:rPr>
        <w:t>“prescripción”,</w:t>
      </w:r>
      <w:r w:rsidR="00BD4B51" w:rsidRPr="000971EE">
        <w:rPr>
          <w:rFonts w:ascii="Tahoma" w:eastAsia="Times New Roman" w:hAnsi="Tahoma" w:cs="Tahoma"/>
          <w:i/>
          <w:iCs/>
          <w:lang w:val="es-ES" w:eastAsia="es-MX"/>
        </w:rPr>
        <w:t xml:space="preserve"> “buena </w:t>
      </w:r>
      <w:r w:rsidR="00BD4B51" w:rsidRPr="000971EE">
        <w:rPr>
          <w:rFonts w:ascii="Tahoma" w:eastAsia="Times New Roman" w:hAnsi="Tahoma" w:cs="Tahoma"/>
          <w:i/>
          <w:iCs/>
          <w:lang w:val="es-ES" w:eastAsia="es-MX"/>
        </w:rPr>
        <w:lastRenderedPageBreak/>
        <w:t xml:space="preserve">fe”, </w:t>
      </w:r>
      <w:r w:rsidR="00ED009D" w:rsidRPr="000971EE">
        <w:rPr>
          <w:rFonts w:ascii="Tahoma" w:eastAsia="Times New Roman" w:hAnsi="Tahoma" w:cs="Tahoma"/>
          <w:i/>
          <w:iCs/>
          <w:lang w:val="es-ES" w:eastAsia="es-MX"/>
        </w:rPr>
        <w:t>“imposibilidad</w:t>
      </w:r>
      <w:r w:rsidR="0082387F" w:rsidRPr="000971EE">
        <w:rPr>
          <w:rFonts w:ascii="Tahoma" w:eastAsia="Times New Roman" w:hAnsi="Tahoma" w:cs="Tahoma"/>
          <w:i/>
          <w:iCs/>
          <w:lang w:val="es-ES" w:eastAsia="es-MX"/>
        </w:rPr>
        <w:t xml:space="preserve"> de condena en costas</w:t>
      </w:r>
      <w:r w:rsidR="00BD4B51" w:rsidRPr="000971EE">
        <w:rPr>
          <w:rFonts w:ascii="Tahoma" w:eastAsia="Times New Roman" w:hAnsi="Tahoma" w:cs="Tahoma"/>
          <w:i/>
          <w:iCs/>
          <w:lang w:val="es-ES" w:eastAsia="es-MX"/>
        </w:rPr>
        <w:t>”</w:t>
      </w:r>
      <w:r w:rsidR="0082387F" w:rsidRPr="000971EE">
        <w:rPr>
          <w:rFonts w:ascii="Tahoma" w:eastAsia="Times New Roman" w:hAnsi="Tahoma" w:cs="Tahoma"/>
          <w:i/>
          <w:iCs/>
          <w:lang w:val="es-ES" w:eastAsia="es-MX"/>
        </w:rPr>
        <w:t>, “genérica”</w:t>
      </w:r>
      <w:r w:rsidR="00BD4B51" w:rsidRPr="000971EE">
        <w:rPr>
          <w:rFonts w:ascii="Tahoma" w:eastAsia="Times New Roman" w:hAnsi="Tahoma" w:cs="Tahoma"/>
          <w:i/>
          <w:iCs/>
          <w:lang w:val="es-ES" w:eastAsia="es-MX"/>
        </w:rPr>
        <w:t xml:space="preserve"> </w:t>
      </w:r>
      <w:r w:rsidR="0067108B" w:rsidRPr="000971EE">
        <w:rPr>
          <w:rFonts w:ascii="Tahoma" w:eastAsia="Times New Roman" w:hAnsi="Tahoma" w:cs="Tahoma"/>
          <w:i/>
          <w:iCs/>
          <w:lang w:val="es-ES" w:eastAsia="es-MX"/>
        </w:rPr>
        <w:t>y “declaratoria de otras excepciones”</w:t>
      </w:r>
      <w:r w:rsidR="00170FDE" w:rsidRPr="000971EE">
        <w:rPr>
          <w:rFonts w:ascii="Tahoma" w:eastAsia="Times New Roman" w:hAnsi="Tahoma" w:cs="Tahoma"/>
          <w:i/>
          <w:iCs/>
          <w:lang w:val="es-ES" w:eastAsia="es-MX"/>
        </w:rPr>
        <w:t xml:space="preserve">. </w:t>
      </w:r>
    </w:p>
    <w:p w14:paraId="1F34FEDE" w14:textId="77777777" w:rsidR="00485FA3" w:rsidRPr="000971EE" w:rsidRDefault="00485FA3" w:rsidP="000971EE">
      <w:pPr>
        <w:spacing w:before="0" w:beforeAutospacing="0" w:after="0" w:afterAutospacing="0" w:line="276" w:lineRule="auto"/>
        <w:ind w:firstLine="708"/>
        <w:rPr>
          <w:rFonts w:ascii="Tahoma" w:eastAsia="Times New Roman" w:hAnsi="Tahoma" w:cs="Tahoma"/>
          <w:bCs/>
          <w:lang w:val="es-ES" w:eastAsia="es-MX"/>
        </w:rPr>
      </w:pPr>
    </w:p>
    <w:p w14:paraId="7B37E659" w14:textId="10014ACE" w:rsidR="00B537F7" w:rsidRPr="000971EE" w:rsidRDefault="00B537F7" w:rsidP="000971EE">
      <w:pPr>
        <w:spacing w:before="0" w:beforeAutospacing="0" w:after="0" w:afterAutospacing="0" w:line="276" w:lineRule="auto"/>
        <w:ind w:firstLine="708"/>
        <w:contextualSpacing/>
        <w:rPr>
          <w:rFonts w:ascii="Tahoma" w:eastAsia="Times New Roman" w:hAnsi="Tahoma" w:cs="Tahoma"/>
          <w:lang w:val="es-ES" w:eastAsia="es-MX"/>
        </w:rPr>
      </w:pPr>
      <w:r w:rsidRPr="000971EE">
        <w:rPr>
          <w:rFonts w:ascii="Tahoma" w:eastAsia="Times New Roman" w:hAnsi="Tahoma" w:cs="Tahoma"/>
          <w:bCs/>
          <w:lang w:val="es-ES" w:eastAsia="es-MX"/>
        </w:rPr>
        <w:t xml:space="preserve">A su turno, </w:t>
      </w:r>
      <w:r w:rsidRPr="000971EE">
        <w:rPr>
          <w:rFonts w:ascii="Tahoma" w:eastAsia="Times New Roman" w:hAnsi="Tahoma" w:cs="Tahoma"/>
          <w:b/>
          <w:lang w:val="es-ES" w:eastAsia="es-MX"/>
        </w:rPr>
        <w:t xml:space="preserve">PROTECCIÓN S.A. </w:t>
      </w:r>
      <w:r w:rsidRPr="000971EE">
        <w:rPr>
          <w:rFonts w:ascii="Tahoma" w:hAnsi="Tahoma" w:cs="Tahoma"/>
        </w:rPr>
        <w:t xml:space="preserve">argumentó en su defensa que </w:t>
      </w:r>
      <w:r w:rsidR="00EA7273" w:rsidRPr="000971EE">
        <w:rPr>
          <w:rFonts w:ascii="Tahoma" w:hAnsi="Tahoma" w:cs="Tahoma"/>
        </w:rPr>
        <w:t>la voluntad de</w:t>
      </w:r>
      <w:r w:rsidR="000A6294" w:rsidRPr="000971EE">
        <w:rPr>
          <w:rFonts w:ascii="Tahoma" w:hAnsi="Tahoma" w:cs="Tahoma"/>
        </w:rPr>
        <w:t xml:space="preserve"> </w:t>
      </w:r>
      <w:r w:rsidR="00EA7273" w:rsidRPr="000971EE">
        <w:rPr>
          <w:rFonts w:ascii="Tahoma" w:hAnsi="Tahoma" w:cs="Tahoma"/>
        </w:rPr>
        <w:t>l</w:t>
      </w:r>
      <w:r w:rsidR="000A6294" w:rsidRPr="000971EE">
        <w:rPr>
          <w:rFonts w:ascii="Tahoma" w:hAnsi="Tahoma" w:cs="Tahoma"/>
        </w:rPr>
        <w:t>a</w:t>
      </w:r>
      <w:r w:rsidR="00EA7273" w:rsidRPr="000971EE">
        <w:rPr>
          <w:rFonts w:ascii="Tahoma" w:hAnsi="Tahoma" w:cs="Tahoma"/>
        </w:rPr>
        <w:t xml:space="preserve"> demandante de pertenecer al </w:t>
      </w:r>
      <w:proofErr w:type="spellStart"/>
      <w:r w:rsidR="00EA7273" w:rsidRPr="000971EE">
        <w:rPr>
          <w:rFonts w:ascii="Tahoma" w:hAnsi="Tahoma" w:cs="Tahoma"/>
        </w:rPr>
        <w:t>RAIS</w:t>
      </w:r>
      <w:proofErr w:type="spellEnd"/>
      <w:r w:rsidR="00EA7273" w:rsidRPr="000971EE">
        <w:rPr>
          <w:rFonts w:ascii="Tahoma" w:hAnsi="Tahoma" w:cs="Tahoma"/>
        </w:rPr>
        <w:t xml:space="preserve"> se evidencia en la circunstancia de no haber hecho uso de la posibilidad de retracto durante el periodo de gracia de los años 2003 y 2004</w:t>
      </w:r>
      <w:r w:rsidRPr="000971EE">
        <w:rPr>
          <w:rFonts w:ascii="Tahoma" w:eastAsia="Times New Roman" w:hAnsi="Tahoma" w:cs="Tahoma"/>
          <w:lang w:val="es-ES" w:eastAsia="es-MX"/>
        </w:rPr>
        <w:t xml:space="preserve">. En ese orden, formuló las excepciones que denominó </w:t>
      </w:r>
      <w:r w:rsidRPr="000971EE">
        <w:rPr>
          <w:rFonts w:ascii="Tahoma" w:eastAsia="Times New Roman" w:hAnsi="Tahoma" w:cs="Tahoma"/>
          <w:i/>
          <w:lang w:val="es-ES" w:eastAsia="es-MX"/>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y “excepción de mérito cuotas de administración”.</w:t>
      </w:r>
    </w:p>
    <w:p w14:paraId="76B52B33" w14:textId="77777777" w:rsidR="00DA7B90" w:rsidRPr="000971EE" w:rsidRDefault="00DA7B90" w:rsidP="000971EE">
      <w:pPr>
        <w:spacing w:before="0" w:beforeAutospacing="0" w:after="0" w:afterAutospacing="0" w:line="276" w:lineRule="auto"/>
        <w:ind w:firstLine="708"/>
        <w:contextualSpacing/>
        <w:rPr>
          <w:rFonts w:ascii="Tahoma" w:eastAsia="Times New Roman" w:hAnsi="Tahoma" w:cs="Tahoma"/>
          <w:b/>
          <w:lang w:val="es-ES" w:eastAsia="es-MX"/>
        </w:rPr>
      </w:pPr>
    </w:p>
    <w:p w14:paraId="0D04922D" w14:textId="77777777" w:rsidR="00DC4FE9" w:rsidRPr="000971EE" w:rsidRDefault="00DC4FE9" w:rsidP="000971EE">
      <w:pPr>
        <w:pStyle w:val="Prrafodelista"/>
        <w:numPr>
          <w:ilvl w:val="0"/>
          <w:numId w:val="1"/>
        </w:numPr>
        <w:spacing w:line="276" w:lineRule="auto"/>
        <w:ind w:left="426" w:hanging="426"/>
        <w:jc w:val="center"/>
        <w:rPr>
          <w:rFonts w:cs="Tahoma"/>
          <w:b/>
          <w:bCs/>
          <w:szCs w:val="24"/>
        </w:rPr>
      </w:pPr>
      <w:r w:rsidRPr="000971EE">
        <w:rPr>
          <w:rFonts w:cs="Tahoma"/>
          <w:b/>
          <w:bCs/>
          <w:szCs w:val="24"/>
        </w:rPr>
        <w:t>Sentencia de primera instancia</w:t>
      </w:r>
    </w:p>
    <w:p w14:paraId="5AD2A23A" w14:textId="77777777" w:rsidR="000B1501" w:rsidRPr="000971EE" w:rsidRDefault="000B1501" w:rsidP="000971EE">
      <w:pPr>
        <w:spacing w:before="0" w:beforeAutospacing="0" w:after="0" w:afterAutospacing="0" w:line="276" w:lineRule="auto"/>
        <w:contextualSpacing/>
        <w:rPr>
          <w:rFonts w:ascii="Tahoma" w:eastAsia="Calibri" w:hAnsi="Tahoma" w:cs="Tahoma"/>
          <w:lang w:val="es-ES"/>
        </w:rPr>
      </w:pPr>
    </w:p>
    <w:p w14:paraId="1F4F2C3D" w14:textId="1A75015D" w:rsidR="00A025C3" w:rsidRPr="000971EE" w:rsidRDefault="004F2ECB" w:rsidP="000971EE">
      <w:pPr>
        <w:spacing w:before="0" w:beforeAutospacing="0" w:after="0" w:afterAutospacing="0" w:line="276" w:lineRule="auto"/>
        <w:ind w:firstLine="426"/>
        <w:rPr>
          <w:rFonts w:ascii="Tahoma" w:hAnsi="Tahoma" w:cs="Tahoma"/>
        </w:rPr>
      </w:pPr>
      <w:r w:rsidRPr="000971EE">
        <w:rPr>
          <w:rFonts w:ascii="Tahoma" w:eastAsia="Calibri" w:hAnsi="Tahoma" w:cs="Tahoma"/>
          <w:lang w:val="es-ES"/>
        </w:rPr>
        <w:t>La jueza de primera instancia desestimó las excepciones propuestas</w:t>
      </w:r>
      <w:r w:rsidR="00033780" w:rsidRPr="000971EE">
        <w:rPr>
          <w:rFonts w:ascii="Tahoma" w:eastAsia="Calibri" w:hAnsi="Tahoma" w:cs="Tahoma"/>
          <w:lang w:val="es-ES"/>
        </w:rPr>
        <w:t>, y</w:t>
      </w:r>
      <w:r w:rsidRPr="000971EE">
        <w:rPr>
          <w:rFonts w:ascii="Tahoma" w:eastAsia="Calibri" w:hAnsi="Tahoma" w:cs="Tahoma"/>
          <w:lang w:val="es-ES"/>
        </w:rPr>
        <w:t xml:space="preserve"> </w:t>
      </w:r>
      <w:r w:rsidR="00D9233D" w:rsidRPr="000971EE">
        <w:rPr>
          <w:rFonts w:ascii="Tahoma" w:eastAsia="Calibri" w:hAnsi="Tahoma" w:cs="Tahoma"/>
          <w:lang w:val="es-ES"/>
        </w:rPr>
        <w:t xml:space="preserve">declaró la ineficacia del traslado que </w:t>
      </w:r>
      <w:r w:rsidR="00607298" w:rsidRPr="000971EE">
        <w:rPr>
          <w:rFonts w:ascii="Tahoma" w:hAnsi="Tahoma" w:cs="Tahoma"/>
          <w:bCs/>
        </w:rPr>
        <w:t>INÉS</w:t>
      </w:r>
      <w:r w:rsidR="000A6294" w:rsidRPr="000971EE">
        <w:rPr>
          <w:rFonts w:ascii="Tahoma" w:hAnsi="Tahoma" w:cs="Tahoma"/>
          <w:bCs/>
        </w:rPr>
        <w:t xml:space="preserve"> </w:t>
      </w:r>
      <w:proofErr w:type="spellStart"/>
      <w:r w:rsidR="000A6294" w:rsidRPr="000971EE">
        <w:rPr>
          <w:rFonts w:ascii="Tahoma" w:hAnsi="Tahoma" w:cs="Tahoma"/>
          <w:bCs/>
        </w:rPr>
        <w:t>HERCILIA</w:t>
      </w:r>
      <w:proofErr w:type="spellEnd"/>
      <w:r w:rsidR="000A6294" w:rsidRPr="000971EE">
        <w:rPr>
          <w:rFonts w:ascii="Tahoma" w:hAnsi="Tahoma" w:cs="Tahoma"/>
          <w:bCs/>
        </w:rPr>
        <w:t xml:space="preserve"> CORRALES LEIVA </w:t>
      </w:r>
      <w:r w:rsidR="00033780" w:rsidRPr="000971EE">
        <w:rPr>
          <w:rFonts w:ascii="Tahoma" w:eastAsia="Calibri" w:hAnsi="Tahoma" w:cs="Tahoma"/>
          <w:lang w:val="es-ES"/>
        </w:rPr>
        <w:t xml:space="preserve">efectuó al </w:t>
      </w:r>
      <w:proofErr w:type="spellStart"/>
      <w:r w:rsidR="00033780" w:rsidRPr="000971EE">
        <w:rPr>
          <w:rFonts w:ascii="Tahoma" w:eastAsia="Calibri" w:hAnsi="Tahoma" w:cs="Tahoma"/>
          <w:lang w:val="es-ES"/>
        </w:rPr>
        <w:t>RAIS</w:t>
      </w:r>
      <w:proofErr w:type="spellEnd"/>
      <w:r w:rsidR="00033780" w:rsidRPr="000971EE">
        <w:rPr>
          <w:rFonts w:ascii="Tahoma" w:eastAsia="Calibri" w:hAnsi="Tahoma" w:cs="Tahoma"/>
          <w:lang w:val="es-ES"/>
        </w:rPr>
        <w:t xml:space="preserve"> a través de</w:t>
      </w:r>
      <w:r w:rsidR="00B537F7" w:rsidRPr="000971EE">
        <w:rPr>
          <w:rFonts w:ascii="Tahoma" w:eastAsia="Calibri" w:hAnsi="Tahoma" w:cs="Tahoma"/>
          <w:lang w:val="es-ES"/>
        </w:rPr>
        <w:t xml:space="preserve"> PROTECCIÓN S.A.</w:t>
      </w:r>
      <w:r w:rsidR="00033780" w:rsidRPr="000971EE">
        <w:rPr>
          <w:rFonts w:ascii="Tahoma" w:eastAsia="Calibri" w:hAnsi="Tahoma" w:cs="Tahoma"/>
          <w:lang w:val="es-ES"/>
        </w:rPr>
        <w:t xml:space="preserve"> </w:t>
      </w:r>
      <w:r w:rsidR="000A6294" w:rsidRPr="000971EE">
        <w:rPr>
          <w:rFonts w:ascii="Tahoma" w:eastAsia="Calibri" w:hAnsi="Tahoma" w:cs="Tahoma"/>
          <w:lang w:val="es-ES"/>
        </w:rPr>
        <w:t>08 de octubre de 1997</w:t>
      </w:r>
      <w:r w:rsidR="00A925BF" w:rsidRPr="000971EE">
        <w:rPr>
          <w:rFonts w:ascii="Tahoma" w:eastAsia="Calibri" w:hAnsi="Tahoma" w:cs="Tahoma"/>
          <w:lang w:val="es-ES"/>
        </w:rPr>
        <w:t xml:space="preserve">, </w:t>
      </w:r>
      <w:r w:rsidR="00AB4C82" w:rsidRPr="000971EE">
        <w:rPr>
          <w:rFonts w:ascii="Tahoma" w:hAnsi="Tahoma" w:cs="Tahoma"/>
        </w:rPr>
        <w:t xml:space="preserve">y, en consecuencia, le ordenó a esta última AFP girar </w:t>
      </w:r>
      <w:r w:rsidR="00B13A96" w:rsidRPr="000971EE">
        <w:rPr>
          <w:rFonts w:ascii="Tahoma" w:hAnsi="Tahoma" w:cs="Tahoma"/>
        </w:rPr>
        <w:t xml:space="preserve">a </w:t>
      </w:r>
      <w:r w:rsidR="00B537F7" w:rsidRPr="000971EE">
        <w:rPr>
          <w:rFonts w:ascii="Tahoma" w:hAnsi="Tahoma" w:cs="Tahoma"/>
        </w:rPr>
        <w:t xml:space="preserve">COLPENSIONES </w:t>
      </w:r>
      <w:r w:rsidR="00B13A96" w:rsidRPr="000971EE">
        <w:rPr>
          <w:rFonts w:ascii="Tahoma" w:hAnsi="Tahoma" w:cs="Tahoma"/>
        </w:rPr>
        <w:t>todos los aportes que reposen en la cuenta de ahorro individual de</w:t>
      </w:r>
      <w:r w:rsidR="00DE00C6" w:rsidRPr="000971EE">
        <w:rPr>
          <w:rFonts w:ascii="Tahoma" w:hAnsi="Tahoma" w:cs="Tahoma"/>
        </w:rPr>
        <w:t>l</w:t>
      </w:r>
      <w:r w:rsidR="00B537F7" w:rsidRPr="000971EE">
        <w:rPr>
          <w:rFonts w:ascii="Tahoma" w:hAnsi="Tahoma" w:cs="Tahoma"/>
        </w:rPr>
        <w:t xml:space="preserve"> </w:t>
      </w:r>
      <w:r w:rsidR="00B13A96" w:rsidRPr="000971EE">
        <w:rPr>
          <w:rFonts w:ascii="Tahoma" w:hAnsi="Tahoma" w:cs="Tahoma"/>
        </w:rPr>
        <w:t xml:space="preserve"> actor, junto con los rendimientos financieros</w:t>
      </w:r>
      <w:r w:rsidR="00AB4C82" w:rsidRPr="000971EE">
        <w:rPr>
          <w:rFonts w:ascii="Tahoma" w:hAnsi="Tahoma" w:cs="Tahoma"/>
        </w:rPr>
        <w:t>, además de</w:t>
      </w:r>
      <w:r w:rsidR="00A025C3" w:rsidRPr="000971EE">
        <w:rPr>
          <w:rFonts w:ascii="Tahoma" w:hAnsi="Tahoma" w:cs="Tahoma"/>
        </w:rPr>
        <w:t xml:space="preserve"> restituir con cargo a sus propios recursos el valor que durante todo el tiempo de vinculación destin</w:t>
      </w:r>
      <w:r w:rsidR="0057126D" w:rsidRPr="000971EE">
        <w:rPr>
          <w:rFonts w:ascii="Tahoma" w:hAnsi="Tahoma" w:cs="Tahoma"/>
        </w:rPr>
        <w:t>ó</w:t>
      </w:r>
      <w:r w:rsidR="00A025C3" w:rsidRPr="000971EE">
        <w:rPr>
          <w:rFonts w:ascii="Tahoma" w:hAnsi="Tahoma" w:cs="Tahoma"/>
        </w:rPr>
        <w:t xml:space="preserve"> a financiar los gastos de administración, las primas que respaldan la garantía de pensión mínima y las primas de los seguros de invalidez y sobrevivientes, debidamente indexadas.</w:t>
      </w:r>
    </w:p>
    <w:p w14:paraId="5C1BE3FF" w14:textId="77777777" w:rsidR="00AB4C82" w:rsidRPr="000971EE" w:rsidRDefault="00AB4C82" w:rsidP="000971EE">
      <w:pPr>
        <w:spacing w:before="0" w:beforeAutospacing="0" w:after="0" w:afterAutospacing="0" w:line="276" w:lineRule="auto"/>
        <w:ind w:firstLine="426"/>
        <w:rPr>
          <w:rFonts w:ascii="Tahoma" w:hAnsi="Tahoma" w:cs="Tahoma"/>
        </w:rPr>
      </w:pPr>
    </w:p>
    <w:p w14:paraId="0E2EB9B5" w14:textId="61E49764" w:rsidR="00A025C3" w:rsidRPr="000971EE" w:rsidRDefault="00A025C3" w:rsidP="000971EE">
      <w:pPr>
        <w:widowControl w:val="0"/>
        <w:autoSpaceDE w:val="0"/>
        <w:autoSpaceDN w:val="0"/>
        <w:spacing w:before="0" w:beforeAutospacing="0" w:after="0" w:afterAutospacing="0" w:line="276" w:lineRule="auto"/>
        <w:contextualSpacing/>
        <w:rPr>
          <w:rFonts w:ascii="Tahoma" w:eastAsia="Times New Roman" w:hAnsi="Tahoma" w:cs="Tahoma"/>
          <w:lang w:val="es-ES" w:eastAsia="es-MX"/>
        </w:rPr>
      </w:pPr>
      <w:r w:rsidRPr="000971EE">
        <w:rPr>
          <w:rFonts w:ascii="Tahoma" w:eastAsia="Calibri" w:hAnsi="Tahoma" w:cs="Tahoma"/>
        </w:rPr>
        <w:t xml:space="preserve">Por otra parte, </w:t>
      </w:r>
      <w:r w:rsidRPr="000971EE">
        <w:rPr>
          <w:rFonts w:ascii="Tahoma" w:eastAsia="Times New Roman" w:hAnsi="Tahoma" w:cs="Tahoma"/>
          <w:lang w:val="es-ES" w:eastAsia="es-MX"/>
        </w:rPr>
        <w:t xml:space="preserve">dispuso comunicar a la Oficina de Bonos Pensionales del Ministerio de Hacienda y Crédito Público el contenido de la sentencia para que, en caso de haber emitido el bono pensional, proceda con la anulación del mismo. </w:t>
      </w:r>
    </w:p>
    <w:p w14:paraId="3197072F" w14:textId="77777777" w:rsidR="00A025C3" w:rsidRPr="000971EE" w:rsidRDefault="00A025C3" w:rsidP="000971EE">
      <w:pPr>
        <w:widowControl w:val="0"/>
        <w:autoSpaceDE w:val="0"/>
        <w:autoSpaceDN w:val="0"/>
        <w:spacing w:before="0" w:beforeAutospacing="0" w:after="0" w:afterAutospacing="0" w:line="276" w:lineRule="auto"/>
        <w:contextualSpacing/>
        <w:rPr>
          <w:rFonts w:ascii="Tahoma" w:eastAsia="Calibri" w:hAnsi="Tahoma" w:cs="Tahoma"/>
          <w:lang w:val="es-ES"/>
        </w:rPr>
      </w:pPr>
    </w:p>
    <w:p w14:paraId="09FB52EB" w14:textId="3A43B973" w:rsidR="00A025C3" w:rsidRPr="000971EE" w:rsidRDefault="00A025C3" w:rsidP="000971EE">
      <w:pPr>
        <w:widowControl w:val="0"/>
        <w:autoSpaceDE w:val="0"/>
        <w:autoSpaceDN w:val="0"/>
        <w:spacing w:before="0" w:beforeAutospacing="0" w:after="0" w:afterAutospacing="0" w:line="276" w:lineRule="auto"/>
        <w:contextualSpacing/>
        <w:rPr>
          <w:rFonts w:ascii="Tahoma" w:eastAsia="Calibri" w:hAnsi="Tahoma" w:cs="Tahoma"/>
          <w:lang w:val="es-MX"/>
        </w:rPr>
      </w:pPr>
      <w:r w:rsidRPr="000971EE">
        <w:rPr>
          <w:rFonts w:ascii="Tahoma" w:eastAsia="Calibri" w:hAnsi="Tahoma" w:cs="Tahoma"/>
          <w:lang w:val="es-ES"/>
        </w:rPr>
        <w:t>Finalmente, condenó en</w:t>
      </w:r>
      <w:r w:rsidRPr="000971EE">
        <w:rPr>
          <w:rFonts w:ascii="Tahoma" w:eastAsia="Calibri" w:hAnsi="Tahoma" w:cs="Tahoma"/>
          <w:lang w:val="es-MX"/>
        </w:rPr>
        <w:t xml:space="preserve"> costas procesales a </w:t>
      </w:r>
      <w:r w:rsidR="00B537F7" w:rsidRPr="000971EE">
        <w:rPr>
          <w:rFonts w:ascii="Tahoma" w:eastAsia="Calibri" w:hAnsi="Tahoma" w:cs="Tahoma"/>
          <w:lang w:val="es-MX"/>
        </w:rPr>
        <w:t>PROTECCIÓN</w:t>
      </w:r>
      <w:r w:rsidRPr="000971EE">
        <w:rPr>
          <w:rFonts w:ascii="Tahoma" w:eastAsia="Calibri" w:hAnsi="Tahoma" w:cs="Tahoma"/>
          <w:lang w:val="es-MX"/>
        </w:rPr>
        <w:t xml:space="preserve"> S.A</w:t>
      </w:r>
      <w:r w:rsidR="00607298">
        <w:rPr>
          <w:rFonts w:ascii="Tahoma" w:eastAsia="Calibri" w:hAnsi="Tahoma" w:cs="Tahoma"/>
          <w:lang w:val="es-MX"/>
        </w:rPr>
        <w:t>.</w:t>
      </w:r>
      <w:r w:rsidRPr="000971EE">
        <w:rPr>
          <w:rFonts w:ascii="Tahoma" w:eastAsia="Calibri" w:hAnsi="Tahoma" w:cs="Tahoma"/>
          <w:lang w:val="es-MX"/>
        </w:rPr>
        <w:t xml:space="preserve"> en favor de la demandante en un 100% de las causadas.</w:t>
      </w:r>
    </w:p>
    <w:p w14:paraId="28544E41" w14:textId="77777777" w:rsidR="00AB4C82" w:rsidRPr="000971EE" w:rsidRDefault="00AB4C82" w:rsidP="000971EE">
      <w:pPr>
        <w:spacing w:before="0" w:beforeAutospacing="0" w:after="0" w:afterAutospacing="0" w:line="276" w:lineRule="auto"/>
        <w:ind w:firstLine="426"/>
        <w:rPr>
          <w:rFonts w:ascii="Tahoma" w:eastAsia="Times New Roman" w:hAnsi="Tahoma" w:cs="Tahoma"/>
          <w:i/>
          <w:iCs/>
          <w:lang w:val="es-ES" w:eastAsia="es-MX"/>
        </w:rPr>
      </w:pPr>
    </w:p>
    <w:p w14:paraId="1B909134" w14:textId="55555588" w:rsidR="005137D0" w:rsidRPr="000971EE" w:rsidRDefault="005137D0" w:rsidP="000971EE">
      <w:pPr>
        <w:widowControl w:val="0"/>
        <w:autoSpaceDE w:val="0"/>
        <w:autoSpaceDN w:val="0"/>
        <w:spacing w:before="0" w:beforeAutospacing="0" w:after="0" w:afterAutospacing="0" w:line="276" w:lineRule="auto"/>
        <w:contextualSpacing/>
        <w:rPr>
          <w:rFonts w:ascii="Tahoma" w:eastAsia="Calibri" w:hAnsi="Tahoma" w:cs="Tahoma"/>
          <w:lang w:val="es-ES"/>
        </w:rPr>
      </w:pPr>
      <w:r w:rsidRPr="000971EE">
        <w:rPr>
          <w:rFonts w:ascii="Tahoma" w:eastAsia="Calibri" w:hAnsi="Tahoma" w:cs="Tahoma"/>
          <w:lang w:val="es-ES"/>
        </w:rPr>
        <w:t xml:space="preserve">Para llegar a tal determinación la </w:t>
      </w:r>
      <w:r w:rsidRPr="000971EE">
        <w:rPr>
          <w:rFonts w:ascii="Tahoma" w:eastAsia="Calibri" w:hAnsi="Tahoma" w:cs="Tahoma"/>
          <w:i/>
          <w:lang w:val="es-ES"/>
        </w:rPr>
        <w:t>a-quo</w:t>
      </w:r>
      <w:r w:rsidRPr="000971EE">
        <w:rPr>
          <w:rFonts w:ascii="Tahoma" w:eastAsia="Calibri" w:hAnsi="Tahoma" w:cs="Tahoma"/>
          <w:lang w:val="es-ES"/>
        </w:rPr>
        <w:t>, efectuó un recuento legal y jurisprudencial respecto del deber de información a cargo de las AFP, la cual, desde la misma creación de los fondos, debía ser clara, cierta, comprensible y oportuna sobre las características, condiciones, beneficios, diferencias, riesgos y consecuencias del cambio de régimen pensional para escoger objetivamente la mejor opción del mercado para sus expectativas pensionales</w:t>
      </w:r>
      <w:r w:rsidR="005E67E4" w:rsidRPr="000971EE">
        <w:rPr>
          <w:rFonts w:ascii="Tahoma" w:eastAsia="Calibri" w:hAnsi="Tahoma" w:cs="Tahoma"/>
          <w:lang w:val="es-ES"/>
        </w:rPr>
        <w:t>, con independencia de que sea el afiliado beneficiario o no del régimen de transición</w:t>
      </w:r>
      <w:r w:rsidRPr="000971EE">
        <w:rPr>
          <w:rFonts w:ascii="Tahoma" w:eastAsia="Calibri" w:hAnsi="Tahoma" w:cs="Tahoma"/>
          <w:lang w:val="es-ES"/>
        </w:rPr>
        <w:t>.</w:t>
      </w:r>
    </w:p>
    <w:p w14:paraId="141F2693" w14:textId="77777777" w:rsidR="005137D0" w:rsidRPr="000971EE" w:rsidRDefault="005137D0" w:rsidP="000971EE">
      <w:pPr>
        <w:widowControl w:val="0"/>
        <w:autoSpaceDE w:val="0"/>
        <w:autoSpaceDN w:val="0"/>
        <w:spacing w:before="0" w:beforeAutospacing="0" w:after="0" w:afterAutospacing="0" w:line="276" w:lineRule="auto"/>
        <w:contextualSpacing/>
        <w:rPr>
          <w:rFonts w:ascii="Tahoma" w:eastAsia="Calibri" w:hAnsi="Tahoma" w:cs="Tahoma"/>
          <w:lang w:val="es-ES"/>
        </w:rPr>
      </w:pPr>
    </w:p>
    <w:p w14:paraId="0A178F1A" w14:textId="6B160A8D" w:rsidR="005137D0" w:rsidRPr="000971EE" w:rsidRDefault="005137D0" w:rsidP="000971EE">
      <w:pPr>
        <w:widowControl w:val="0"/>
        <w:autoSpaceDE w:val="0"/>
        <w:autoSpaceDN w:val="0"/>
        <w:spacing w:before="0" w:beforeAutospacing="0" w:after="0" w:afterAutospacing="0" w:line="276" w:lineRule="auto"/>
        <w:contextualSpacing/>
        <w:rPr>
          <w:rFonts w:ascii="Tahoma" w:eastAsia="Calibri" w:hAnsi="Tahoma" w:cs="Tahoma"/>
          <w:lang w:val="es-MX"/>
        </w:rPr>
      </w:pPr>
      <w:r w:rsidRPr="000971EE">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w:t>
      </w:r>
      <w:r w:rsidR="00B537F7" w:rsidRPr="000971EE">
        <w:rPr>
          <w:rFonts w:ascii="Tahoma" w:eastAsia="Calibri" w:hAnsi="Tahoma" w:cs="Tahoma"/>
          <w:lang w:val="es-ES"/>
        </w:rPr>
        <w:t>PROTECCIÓN</w:t>
      </w:r>
      <w:r w:rsidR="00B22B62" w:rsidRPr="000971EE">
        <w:rPr>
          <w:rFonts w:ascii="Tahoma" w:eastAsia="Calibri" w:hAnsi="Tahoma" w:cs="Tahoma"/>
          <w:lang w:val="es-ES"/>
        </w:rPr>
        <w:t xml:space="preserve"> S.A. </w:t>
      </w:r>
      <w:r w:rsidRPr="000971EE">
        <w:rPr>
          <w:rFonts w:ascii="Tahoma" w:eastAsia="Calibri" w:hAnsi="Tahoma" w:cs="Tahoma"/>
          <w:lang w:val="es-ES"/>
        </w:rPr>
        <w:lastRenderedPageBreak/>
        <w:t>no logró demostrar esa exigencia para así exonerarse de las consecuencias derivadas de la declaratoria de ineficacia del traslado que realiz</w:t>
      </w:r>
      <w:r w:rsidR="00B537F7" w:rsidRPr="000971EE">
        <w:rPr>
          <w:rFonts w:ascii="Tahoma" w:eastAsia="Calibri" w:hAnsi="Tahoma" w:cs="Tahoma"/>
          <w:lang w:val="es-ES"/>
        </w:rPr>
        <w:t>ó</w:t>
      </w:r>
      <w:r w:rsidRPr="000971EE">
        <w:rPr>
          <w:rFonts w:ascii="Tahoma" w:eastAsia="Calibri" w:hAnsi="Tahoma" w:cs="Tahoma"/>
          <w:lang w:val="es-ES"/>
        </w:rPr>
        <w:t xml:space="preserve"> </w:t>
      </w:r>
      <w:r w:rsidR="00B537F7" w:rsidRPr="000971EE">
        <w:rPr>
          <w:rFonts w:ascii="Tahoma" w:eastAsia="Calibri" w:hAnsi="Tahoma" w:cs="Tahoma"/>
          <w:lang w:val="es-ES"/>
        </w:rPr>
        <w:t>l</w:t>
      </w:r>
      <w:r w:rsidR="00E14ABA" w:rsidRPr="000971EE">
        <w:rPr>
          <w:rFonts w:ascii="Tahoma" w:eastAsia="Calibri" w:hAnsi="Tahoma" w:cs="Tahoma"/>
          <w:lang w:val="es-ES"/>
        </w:rPr>
        <w:t>a</w:t>
      </w:r>
      <w:r w:rsidR="00B537F7" w:rsidRPr="000971EE">
        <w:rPr>
          <w:rFonts w:ascii="Tahoma" w:eastAsia="Calibri" w:hAnsi="Tahoma" w:cs="Tahoma"/>
          <w:lang w:val="es-ES"/>
        </w:rPr>
        <w:t xml:space="preserve"> </w:t>
      </w:r>
      <w:r w:rsidRPr="000971EE">
        <w:rPr>
          <w:rFonts w:ascii="Tahoma" w:eastAsia="Calibri" w:hAnsi="Tahoma" w:cs="Tahoma"/>
          <w:lang w:val="es-ES"/>
        </w:rPr>
        <w:t xml:space="preserve">demandante, puesto que del interrogatorio rendido por </w:t>
      </w:r>
      <w:r w:rsidR="00B537F7" w:rsidRPr="000971EE">
        <w:rPr>
          <w:rFonts w:ascii="Tahoma" w:eastAsia="Calibri" w:hAnsi="Tahoma" w:cs="Tahoma"/>
          <w:lang w:val="es-ES"/>
        </w:rPr>
        <w:t>l</w:t>
      </w:r>
      <w:r w:rsidR="001A0D93" w:rsidRPr="000971EE">
        <w:rPr>
          <w:rFonts w:ascii="Tahoma" w:eastAsia="Calibri" w:hAnsi="Tahoma" w:cs="Tahoma"/>
          <w:lang w:val="es-ES"/>
        </w:rPr>
        <w:t>a</w:t>
      </w:r>
      <w:r w:rsidR="00B537F7" w:rsidRPr="000971EE">
        <w:rPr>
          <w:rFonts w:ascii="Tahoma" w:eastAsia="Calibri" w:hAnsi="Tahoma" w:cs="Tahoma"/>
          <w:lang w:val="es-ES"/>
        </w:rPr>
        <w:t xml:space="preserve"> actor</w:t>
      </w:r>
      <w:r w:rsidR="001A0D93" w:rsidRPr="000971EE">
        <w:rPr>
          <w:rFonts w:ascii="Tahoma" w:eastAsia="Calibri" w:hAnsi="Tahoma" w:cs="Tahoma"/>
          <w:lang w:val="es-ES"/>
        </w:rPr>
        <w:t>a</w:t>
      </w:r>
      <w:r w:rsidRPr="000971EE">
        <w:rPr>
          <w:rFonts w:ascii="Tahoma" w:eastAsia="Calibri" w:hAnsi="Tahoma" w:cs="Tahoma"/>
          <w:lang w:val="es-ES"/>
        </w:rPr>
        <w:t xml:space="preserve"> no se obtuvo prueba de confesión de la que se pueda desprender que la AFP cumplió con su deber y, por otro lado, la documental allegada tampoco resulta suficiente para este propósito</w:t>
      </w:r>
      <w:r w:rsidR="003D20EB" w:rsidRPr="000971EE">
        <w:rPr>
          <w:rFonts w:ascii="Tahoma" w:eastAsia="Calibri" w:hAnsi="Tahoma" w:cs="Tahoma"/>
          <w:lang w:val="es-ES"/>
        </w:rPr>
        <w:t xml:space="preserve">, puesto que el formato de </w:t>
      </w:r>
      <w:proofErr w:type="spellStart"/>
      <w:r w:rsidR="003D20EB" w:rsidRPr="000971EE">
        <w:rPr>
          <w:rFonts w:ascii="Tahoma" w:eastAsia="Calibri" w:hAnsi="Tahoma" w:cs="Tahoma"/>
          <w:lang w:val="es-ES"/>
        </w:rPr>
        <w:t>reasesoría</w:t>
      </w:r>
      <w:proofErr w:type="spellEnd"/>
      <w:r w:rsidR="003D20EB" w:rsidRPr="000971EE">
        <w:rPr>
          <w:rFonts w:ascii="Tahoma" w:eastAsia="Calibri" w:hAnsi="Tahoma" w:cs="Tahoma"/>
          <w:lang w:val="es-ES"/>
        </w:rPr>
        <w:t xml:space="preserve"> no convalidó las irregularidades de la afiliación</w:t>
      </w:r>
      <w:r w:rsidRPr="000971EE">
        <w:rPr>
          <w:rFonts w:ascii="Tahoma" w:eastAsia="Calibri" w:hAnsi="Tahoma" w:cs="Tahoma"/>
          <w:lang w:val="es-ES"/>
        </w:rPr>
        <w:t>.</w:t>
      </w:r>
    </w:p>
    <w:p w14:paraId="340AFCD1" w14:textId="4C5B7B66" w:rsidR="001D328D" w:rsidRPr="000971EE" w:rsidRDefault="001D328D" w:rsidP="000971EE">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77777777" w:rsidR="00171926" w:rsidRPr="000971EE" w:rsidRDefault="00171926" w:rsidP="000971EE">
      <w:pPr>
        <w:widowControl w:val="0"/>
        <w:autoSpaceDE w:val="0"/>
        <w:autoSpaceDN w:val="0"/>
        <w:spacing w:before="0" w:beforeAutospacing="0" w:after="0" w:afterAutospacing="0" w:line="276" w:lineRule="auto"/>
        <w:contextualSpacing/>
        <w:jc w:val="center"/>
        <w:rPr>
          <w:rFonts w:ascii="Tahoma" w:eastAsia="Calibri" w:hAnsi="Tahoma" w:cs="Tahoma"/>
          <w:b/>
          <w:lang w:val="es-ES"/>
        </w:rPr>
      </w:pPr>
      <w:r w:rsidRPr="000971EE">
        <w:rPr>
          <w:rFonts w:ascii="Tahoma" w:eastAsia="Calibri" w:hAnsi="Tahoma" w:cs="Tahoma"/>
          <w:b/>
          <w:lang w:val="es-ES"/>
        </w:rPr>
        <w:t>3.</w:t>
      </w:r>
      <w:r w:rsidRPr="000971EE">
        <w:rPr>
          <w:rFonts w:ascii="Tahoma" w:eastAsia="Calibri" w:hAnsi="Tahoma" w:cs="Tahoma"/>
          <w:b/>
          <w:lang w:val="es-ES"/>
        </w:rPr>
        <w:tab/>
        <w:t>Recursos de apelación y procedencia de la consulta</w:t>
      </w:r>
    </w:p>
    <w:p w14:paraId="1BCF24FD" w14:textId="77777777" w:rsidR="00171926" w:rsidRPr="000971EE" w:rsidRDefault="00171926" w:rsidP="000971EE">
      <w:pPr>
        <w:widowControl w:val="0"/>
        <w:autoSpaceDE w:val="0"/>
        <w:autoSpaceDN w:val="0"/>
        <w:spacing w:before="0" w:beforeAutospacing="0" w:after="0" w:afterAutospacing="0" w:line="276" w:lineRule="auto"/>
        <w:contextualSpacing/>
        <w:rPr>
          <w:rFonts w:ascii="Tahoma" w:eastAsia="Calibri" w:hAnsi="Tahoma" w:cs="Tahoma"/>
          <w:lang w:val="es-ES"/>
        </w:rPr>
      </w:pPr>
    </w:p>
    <w:p w14:paraId="41DCE8E7" w14:textId="09B14897" w:rsidR="002F1B15" w:rsidRPr="000971EE" w:rsidRDefault="00824E27" w:rsidP="000971EE">
      <w:pPr>
        <w:spacing w:before="0" w:beforeAutospacing="0" w:after="0" w:afterAutospacing="0" w:line="276" w:lineRule="auto"/>
        <w:ind w:firstLine="708"/>
        <w:rPr>
          <w:rFonts w:ascii="Tahoma" w:eastAsia="Calibri" w:hAnsi="Tahoma" w:cs="Tahoma"/>
          <w:lang w:val="es-ES"/>
        </w:rPr>
      </w:pPr>
      <w:bookmarkStart w:id="3" w:name="_Hlk133392111"/>
      <w:r w:rsidRPr="000971EE">
        <w:rPr>
          <w:rFonts w:ascii="Tahoma" w:hAnsi="Tahoma" w:cs="Tahoma"/>
          <w:lang w:val="es-MX"/>
        </w:rPr>
        <w:t>La</w:t>
      </w:r>
      <w:r w:rsidR="00396892" w:rsidRPr="000971EE">
        <w:rPr>
          <w:rFonts w:ascii="Tahoma" w:hAnsi="Tahoma" w:cs="Tahoma"/>
          <w:b/>
          <w:bCs/>
          <w:lang w:val="es-ES"/>
        </w:rPr>
        <w:t xml:space="preserve"> </w:t>
      </w:r>
      <w:r w:rsidR="00954B1B" w:rsidRPr="000971EE">
        <w:rPr>
          <w:rFonts w:ascii="Tahoma" w:hAnsi="Tahoma" w:cs="Tahoma"/>
          <w:b/>
          <w:bCs/>
          <w:lang w:val="es-ES"/>
        </w:rPr>
        <w:t>ADMINISTRADORA COLOMBIANA DE PENSIONES</w:t>
      </w:r>
      <w:r w:rsidR="00396892" w:rsidRPr="000971EE">
        <w:rPr>
          <w:rFonts w:ascii="Tahoma" w:hAnsi="Tahoma" w:cs="Tahoma"/>
          <w:b/>
          <w:bCs/>
          <w:lang w:val="es-ES"/>
        </w:rPr>
        <w:t>-</w:t>
      </w:r>
      <w:r w:rsidR="00954B1B" w:rsidRPr="000971EE">
        <w:rPr>
          <w:rFonts w:ascii="Tahoma" w:hAnsi="Tahoma" w:cs="Tahoma"/>
          <w:b/>
          <w:bCs/>
          <w:lang w:val="es-ES"/>
        </w:rPr>
        <w:t>COLPENSIONES</w:t>
      </w:r>
      <w:r w:rsidR="00396892" w:rsidRPr="000971EE">
        <w:rPr>
          <w:rFonts w:ascii="Tahoma" w:hAnsi="Tahoma" w:cs="Tahoma"/>
          <w:lang w:val="es-ES"/>
        </w:rPr>
        <w:t xml:space="preserve"> </w:t>
      </w:r>
      <w:r w:rsidR="002F1B15" w:rsidRPr="000971EE">
        <w:rPr>
          <w:rFonts w:ascii="Tahoma" w:eastAsia="Calibri" w:hAnsi="Tahoma" w:cs="Tahoma"/>
          <w:lang w:val="es-ES"/>
        </w:rPr>
        <w:t xml:space="preserve">atacó la decisión de primera instancia argumentando que </w:t>
      </w:r>
      <w:r w:rsidR="00436DA5" w:rsidRPr="000971EE">
        <w:rPr>
          <w:rFonts w:ascii="Tahoma" w:eastAsia="Calibri" w:hAnsi="Tahoma" w:cs="Tahoma"/>
          <w:lang w:val="es-ES"/>
        </w:rPr>
        <w:t>e</w:t>
      </w:r>
      <w:r w:rsidR="00F63AB2" w:rsidRPr="000971EE">
        <w:rPr>
          <w:rFonts w:ascii="Tahoma" w:eastAsia="Calibri" w:hAnsi="Tahoma" w:cs="Tahoma"/>
          <w:lang w:val="es-ES"/>
        </w:rPr>
        <w:t xml:space="preserve">l demandante instaura la acción judicial en virtud del perjuicio económico que le va a ocasionar PROTECCIÓN S.A. en su mesada pensional, imponiéndosele a COLPENSIONES la carga de resarcir un daño que no causó, con lo cual se desconoce igualmente que </w:t>
      </w:r>
      <w:r w:rsidR="002F1B15" w:rsidRPr="000971EE">
        <w:rPr>
          <w:rFonts w:ascii="Tahoma" w:eastAsia="Calibri" w:hAnsi="Tahoma" w:cs="Tahoma"/>
          <w:lang w:val="es-ES"/>
        </w:rPr>
        <w:t>no puede recibirl</w:t>
      </w:r>
      <w:r w:rsidR="00F41349" w:rsidRPr="000971EE">
        <w:rPr>
          <w:rFonts w:ascii="Tahoma" w:eastAsia="Calibri" w:hAnsi="Tahoma" w:cs="Tahoma"/>
          <w:lang w:val="es-ES"/>
        </w:rPr>
        <w:t>a</w:t>
      </w:r>
      <w:r w:rsidR="002F1B15" w:rsidRPr="000971EE">
        <w:rPr>
          <w:rFonts w:ascii="Tahoma" w:eastAsia="Calibri" w:hAnsi="Tahoma" w:cs="Tahoma"/>
          <w:lang w:val="es-ES"/>
        </w:rPr>
        <w:t xml:space="preserve"> como su afiliad</w:t>
      </w:r>
      <w:r w:rsidR="00F41349" w:rsidRPr="000971EE">
        <w:rPr>
          <w:rFonts w:ascii="Tahoma" w:eastAsia="Calibri" w:hAnsi="Tahoma" w:cs="Tahoma"/>
          <w:lang w:val="es-ES"/>
        </w:rPr>
        <w:t>a</w:t>
      </w:r>
      <w:r w:rsidR="002F1B15" w:rsidRPr="000971EE">
        <w:rPr>
          <w:rFonts w:ascii="Tahoma" w:eastAsia="Calibri" w:hAnsi="Tahoma" w:cs="Tahoma"/>
          <w:lang w:val="es-ES"/>
        </w:rPr>
        <w:t xml:space="preserve"> al faltarle menos de 10 años para pensionarse</w:t>
      </w:r>
      <w:r w:rsidR="00F41349" w:rsidRPr="000971EE">
        <w:rPr>
          <w:rFonts w:ascii="Tahoma" w:eastAsia="Calibri" w:hAnsi="Tahoma" w:cs="Tahoma"/>
          <w:lang w:val="es-ES"/>
        </w:rPr>
        <w:t xml:space="preserve"> y a pesar de la </w:t>
      </w:r>
      <w:proofErr w:type="spellStart"/>
      <w:r w:rsidR="00F41349" w:rsidRPr="000971EE">
        <w:rPr>
          <w:rFonts w:ascii="Tahoma" w:eastAsia="Calibri" w:hAnsi="Tahoma" w:cs="Tahoma"/>
          <w:lang w:val="es-ES"/>
        </w:rPr>
        <w:t>reasesoría</w:t>
      </w:r>
      <w:proofErr w:type="spellEnd"/>
      <w:r w:rsidR="00F41349" w:rsidRPr="000971EE">
        <w:rPr>
          <w:rFonts w:ascii="Tahoma" w:eastAsia="Calibri" w:hAnsi="Tahoma" w:cs="Tahoma"/>
          <w:lang w:val="es-ES"/>
        </w:rPr>
        <w:t xml:space="preserve"> del año 2013, la actora ratificó su decisión de continuar afiliada</w:t>
      </w:r>
      <w:r w:rsidR="002F1B15" w:rsidRPr="000971EE">
        <w:rPr>
          <w:rFonts w:ascii="Tahoma" w:eastAsia="Calibri" w:hAnsi="Tahoma" w:cs="Tahoma"/>
          <w:lang w:val="es-ES"/>
        </w:rPr>
        <w:t xml:space="preserve">. </w:t>
      </w:r>
    </w:p>
    <w:p w14:paraId="0AF29563" w14:textId="77777777" w:rsidR="002F1B15" w:rsidRPr="000971EE" w:rsidRDefault="002F1B15" w:rsidP="000971EE">
      <w:pPr>
        <w:widowControl w:val="0"/>
        <w:autoSpaceDE w:val="0"/>
        <w:autoSpaceDN w:val="0"/>
        <w:adjustRightInd w:val="0"/>
        <w:spacing w:before="0" w:beforeAutospacing="0" w:after="0" w:afterAutospacing="0" w:line="276" w:lineRule="auto"/>
        <w:ind w:firstLine="0"/>
        <w:rPr>
          <w:rFonts w:ascii="Tahoma" w:hAnsi="Tahoma" w:cs="Tahoma"/>
        </w:rPr>
      </w:pPr>
    </w:p>
    <w:p w14:paraId="6C732B28" w14:textId="0103D442" w:rsidR="002F1B15" w:rsidRPr="000971EE" w:rsidRDefault="002F1B15" w:rsidP="000971EE">
      <w:pPr>
        <w:spacing w:before="0" w:beforeAutospacing="0" w:after="0" w:afterAutospacing="0" w:line="276" w:lineRule="auto"/>
        <w:ind w:firstLine="708"/>
        <w:rPr>
          <w:rFonts w:ascii="Tahoma" w:hAnsi="Tahoma" w:cs="Tahoma"/>
        </w:rPr>
      </w:pPr>
      <w:r w:rsidRPr="000971EE">
        <w:rPr>
          <w:rFonts w:ascii="Tahoma" w:hAnsi="Tahoma" w:cs="Tahoma"/>
        </w:rPr>
        <w:t xml:space="preserve">En cuanto al </w:t>
      </w:r>
      <w:r w:rsidRPr="000971EE">
        <w:rPr>
          <w:rFonts w:ascii="Tahoma" w:eastAsia="Calibri" w:hAnsi="Tahoma" w:cs="Tahoma"/>
          <w:lang w:val="es-ES"/>
        </w:rPr>
        <w:t>grado</w:t>
      </w:r>
      <w:r w:rsidRPr="000971EE">
        <w:rPr>
          <w:rFonts w:ascii="Tahoma" w:hAnsi="Tahoma" w:cs="Tahoma"/>
        </w:rPr>
        <w:t xml:space="preserve"> jurisdiccional de consulta, como quiera que la decisión de primer grado fue adversa a los intereses de Colpensiones, en esta instancia se admitió la consulta en favor de dicha entidad. </w:t>
      </w:r>
    </w:p>
    <w:bookmarkEnd w:id="3"/>
    <w:p w14:paraId="7F17FACF" w14:textId="77777777" w:rsidR="00915162" w:rsidRPr="000971EE" w:rsidRDefault="00915162" w:rsidP="000971EE">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0971EE" w:rsidRDefault="008C3C1E" w:rsidP="000971EE">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0971EE">
        <w:rPr>
          <w:rFonts w:eastAsia="Tahoma" w:cs="Tahoma"/>
          <w:b/>
          <w:bCs/>
          <w:szCs w:val="24"/>
          <w:lang w:val="es"/>
        </w:rPr>
        <w:t>Alegatos de conclusión</w:t>
      </w:r>
    </w:p>
    <w:p w14:paraId="1C15BA51" w14:textId="77777777" w:rsidR="008C3C1E" w:rsidRPr="000971EE" w:rsidRDefault="008C3C1E" w:rsidP="000971EE">
      <w:pPr>
        <w:spacing w:before="0" w:beforeAutospacing="0" w:after="0" w:afterAutospacing="0" w:line="276" w:lineRule="auto"/>
        <w:ind w:firstLine="708"/>
        <w:contextualSpacing/>
        <w:rPr>
          <w:rFonts w:ascii="Tahoma" w:eastAsia="Tahoma" w:hAnsi="Tahoma" w:cs="Tahoma"/>
        </w:rPr>
      </w:pPr>
    </w:p>
    <w:p w14:paraId="0466C90A" w14:textId="5C916E6D" w:rsidR="0F6B1BFE" w:rsidRPr="000971EE" w:rsidRDefault="0F6B1BFE" w:rsidP="000971EE">
      <w:pPr>
        <w:spacing w:before="0" w:beforeAutospacing="0" w:after="0" w:afterAutospacing="0" w:line="276" w:lineRule="auto"/>
        <w:ind w:firstLine="708"/>
        <w:contextualSpacing/>
        <w:rPr>
          <w:rFonts w:ascii="Tahoma" w:eastAsia="Tahoma" w:hAnsi="Tahoma" w:cs="Tahoma"/>
        </w:rPr>
      </w:pPr>
      <w:r w:rsidRPr="000971EE">
        <w:rPr>
          <w:rFonts w:ascii="Tahoma" w:eastAsia="Tahoma" w:hAnsi="Tahoma" w:cs="Tahoma"/>
          <w:color w:val="000000" w:themeColor="text1"/>
        </w:rPr>
        <w:t xml:space="preserve">Analizados los alegatos presentados por las demandadas, mismos que obran en el expediente digital y a los cuales nos remitimos por economía procesal en virtud del artículo 280 del </w:t>
      </w:r>
      <w:proofErr w:type="spellStart"/>
      <w:r w:rsidRPr="000971EE">
        <w:rPr>
          <w:rFonts w:ascii="Tahoma" w:eastAsia="Tahoma" w:hAnsi="Tahoma" w:cs="Tahoma"/>
          <w:color w:val="000000" w:themeColor="text1"/>
        </w:rPr>
        <w:t>C.G.P</w:t>
      </w:r>
      <w:proofErr w:type="spellEnd"/>
      <w:r w:rsidRPr="000971EE">
        <w:rPr>
          <w:rFonts w:ascii="Tahoma" w:eastAsia="Tahoma" w:hAnsi="Tahoma" w:cs="Tahoma"/>
          <w:color w:val="000000" w:themeColor="text1"/>
        </w:rPr>
        <w:t>., la Sala encuentra que los argumentos fácticos y jurídicos expresados concuerdan con los puntos objeto de discusión en esta instancia y se relacionan con el problema jurídico que se expresa más adelante.</w:t>
      </w:r>
    </w:p>
    <w:p w14:paraId="199D9E37" w14:textId="0DF0A419" w:rsidR="67F4B57C" w:rsidRPr="000971EE" w:rsidRDefault="67F4B57C" w:rsidP="000971EE">
      <w:pPr>
        <w:spacing w:before="0" w:beforeAutospacing="0" w:after="0" w:afterAutospacing="0" w:line="276" w:lineRule="auto"/>
        <w:ind w:firstLine="708"/>
        <w:contextualSpacing/>
        <w:rPr>
          <w:rFonts w:ascii="Tahoma" w:eastAsia="Tahoma" w:hAnsi="Tahoma" w:cs="Tahoma"/>
        </w:rPr>
      </w:pPr>
    </w:p>
    <w:p w14:paraId="13714DF5" w14:textId="77777777" w:rsidR="008C3C1E" w:rsidRPr="000971EE" w:rsidRDefault="008C3C1E" w:rsidP="000971EE">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0971EE">
        <w:rPr>
          <w:rFonts w:ascii="Tahoma" w:eastAsia="Tahoma" w:hAnsi="Tahoma" w:cs="Tahoma"/>
          <w:b/>
          <w:bCs/>
          <w:lang w:val="es"/>
        </w:rPr>
        <w:t>Problemas jurídicos por resolver</w:t>
      </w:r>
    </w:p>
    <w:p w14:paraId="7CC87BD5" w14:textId="77777777" w:rsidR="008C3C1E" w:rsidRPr="000971EE" w:rsidRDefault="008C3C1E" w:rsidP="000971EE">
      <w:pPr>
        <w:spacing w:before="0" w:beforeAutospacing="0" w:after="0" w:afterAutospacing="0" w:line="276" w:lineRule="auto"/>
        <w:ind w:firstLine="708"/>
        <w:contextualSpacing/>
        <w:rPr>
          <w:rFonts w:ascii="Tahoma" w:hAnsi="Tahoma" w:cs="Tahoma"/>
        </w:rPr>
      </w:pPr>
    </w:p>
    <w:p w14:paraId="32438454" w14:textId="77777777" w:rsidR="008C3C1E" w:rsidRPr="000971EE" w:rsidRDefault="008C3C1E" w:rsidP="000971EE">
      <w:pPr>
        <w:spacing w:before="0" w:beforeAutospacing="0" w:after="0" w:afterAutospacing="0" w:line="276" w:lineRule="auto"/>
        <w:ind w:firstLine="708"/>
        <w:contextualSpacing/>
        <w:rPr>
          <w:rFonts w:ascii="Tahoma" w:hAnsi="Tahoma" w:cs="Tahoma"/>
        </w:rPr>
      </w:pPr>
      <w:r w:rsidRPr="000971EE">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0971EE" w:rsidRDefault="008C3C1E" w:rsidP="000971EE">
      <w:pPr>
        <w:spacing w:before="0" w:beforeAutospacing="0" w:after="0" w:afterAutospacing="0" w:line="276" w:lineRule="auto"/>
        <w:ind w:firstLine="708"/>
        <w:contextualSpacing/>
        <w:rPr>
          <w:rFonts w:ascii="Tahoma" w:hAnsi="Tahoma" w:cs="Tahoma"/>
        </w:rPr>
      </w:pPr>
    </w:p>
    <w:p w14:paraId="0488D315" w14:textId="77777777" w:rsidR="008C3C1E" w:rsidRPr="000971EE" w:rsidRDefault="008C3C1E" w:rsidP="000971EE">
      <w:pPr>
        <w:numPr>
          <w:ilvl w:val="0"/>
          <w:numId w:val="7"/>
        </w:numPr>
        <w:spacing w:before="0" w:beforeAutospacing="0" w:after="0" w:afterAutospacing="0" w:line="276" w:lineRule="auto"/>
        <w:contextualSpacing/>
        <w:rPr>
          <w:rFonts w:ascii="Tahoma" w:hAnsi="Tahoma" w:cs="Tahoma"/>
        </w:rPr>
      </w:pPr>
      <w:r w:rsidRPr="000971EE">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0971EE" w:rsidRDefault="008C3C1E" w:rsidP="000971EE">
      <w:pPr>
        <w:spacing w:before="0" w:beforeAutospacing="0" w:after="0" w:afterAutospacing="0" w:line="276" w:lineRule="auto"/>
        <w:ind w:firstLine="708"/>
        <w:contextualSpacing/>
        <w:rPr>
          <w:rFonts w:ascii="Tahoma" w:hAnsi="Tahoma" w:cs="Tahoma"/>
        </w:rPr>
      </w:pPr>
      <w:r w:rsidRPr="000971EE">
        <w:rPr>
          <w:rFonts w:ascii="Tahoma" w:hAnsi="Tahoma" w:cs="Tahoma"/>
          <w:lang w:val="es"/>
        </w:rPr>
        <w:t xml:space="preserve"> </w:t>
      </w:r>
    </w:p>
    <w:p w14:paraId="47D63928" w14:textId="77777777" w:rsidR="008C3C1E" w:rsidRPr="000971EE" w:rsidRDefault="008C3C1E" w:rsidP="000971EE">
      <w:pPr>
        <w:numPr>
          <w:ilvl w:val="0"/>
          <w:numId w:val="7"/>
        </w:numPr>
        <w:spacing w:before="0" w:beforeAutospacing="0" w:after="0" w:afterAutospacing="0" w:line="276" w:lineRule="auto"/>
        <w:contextualSpacing/>
        <w:rPr>
          <w:rFonts w:ascii="Tahoma" w:hAnsi="Tahoma" w:cs="Tahoma"/>
        </w:rPr>
      </w:pPr>
      <w:r w:rsidRPr="000971EE">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0971EE" w:rsidRDefault="008C3C1E" w:rsidP="000971EE">
      <w:pPr>
        <w:spacing w:before="0" w:beforeAutospacing="0" w:after="0" w:afterAutospacing="0" w:line="276" w:lineRule="auto"/>
        <w:ind w:firstLine="708"/>
        <w:contextualSpacing/>
        <w:rPr>
          <w:rFonts w:ascii="Tahoma" w:hAnsi="Tahoma" w:cs="Tahoma"/>
        </w:rPr>
      </w:pPr>
      <w:r w:rsidRPr="000971EE">
        <w:rPr>
          <w:rFonts w:ascii="Tahoma" w:hAnsi="Tahoma" w:cs="Tahoma"/>
          <w:lang w:val="es"/>
        </w:rPr>
        <w:t xml:space="preserve"> </w:t>
      </w:r>
    </w:p>
    <w:p w14:paraId="5328C8BC" w14:textId="77777777" w:rsidR="008C3C1E" w:rsidRPr="000971EE" w:rsidRDefault="008C3C1E" w:rsidP="000971EE">
      <w:pPr>
        <w:numPr>
          <w:ilvl w:val="0"/>
          <w:numId w:val="7"/>
        </w:numPr>
        <w:spacing w:before="0" w:beforeAutospacing="0" w:after="0" w:afterAutospacing="0" w:line="276" w:lineRule="auto"/>
        <w:contextualSpacing/>
        <w:rPr>
          <w:rFonts w:ascii="Tahoma" w:hAnsi="Tahoma" w:cs="Tahoma"/>
        </w:rPr>
      </w:pPr>
      <w:r w:rsidRPr="000971EE">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0971EE" w:rsidRDefault="008C3C1E" w:rsidP="000971EE">
      <w:pPr>
        <w:spacing w:before="0" w:beforeAutospacing="0" w:after="0" w:afterAutospacing="0" w:line="276" w:lineRule="auto"/>
        <w:ind w:firstLine="708"/>
        <w:contextualSpacing/>
        <w:rPr>
          <w:rFonts w:ascii="Tahoma" w:hAnsi="Tahoma" w:cs="Tahoma"/>
        </w:rPr>
      </w:pPr>
      <w:r w:rsidRPr="000971EE">
        <w:rPr>
          <w:rFonts w:ascii="Tahoma" w:hAnsi="Tahoma" w:cs="Tahoma"/>
          <w:lang w:val="es"/>
        </w:rPr>
        <w:t xml:space="preserve"> </w:t>
      </w:r>
    </w:p>
    <w:p w14:paraId="30228269" w14:textId="7F07D305" w:rsidR="008C3C1E" w:rsidRPr="000971EE" w:rsidRDefault="008C3C1E" w:rsidP="000971EE">
      <w:pPr>
        <w:numPr>
          <w:ilvl w:val="0"/>
          <w:numId w:val="7"/>
        </w:numPr>
        <w:spacing w:before="0" w:beforeAutospacing="0" w:after="0" w:afterAutospacing="0" w:line="276" w:lineRule="auto"/>
        <w:contextualSpacing/>
        <w:rPr>
          <w:rFonts w:ascii="Tahoma" w:hAnsi="Tahoma" w:cs="Tahoma"/>
        </w:rPr>
      </w:pPr>
      <w:r w:rsidRPr="000971EE">
        <w:rPr>
          <w:rFonts w:ascii="Tahoma" w:hAnsi="Tahoma" w:cs="Tahoma"/>
          <w:lang w:val="es"/>
        </w:rPr>
        <w:lastRenderedPageBreak/>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0971EE" w:rsidRDefault="002D7247" w:rsidP="000971EE">
      <w:pPr>
        <w:pStyle w:val="Prrafodelista"/>
        <w:spacing w:line="276" w:lineRule="auto"/>
        <w:rPr>
          <w:rFonts w:cs="Tahoma"/>
          <w:szCs w:val="24"/>
        </w:rPr>
      </w:pPr>
    </w:p>
    <w:p w14:paraId="4D9FF29C" w14:textId="314E25D5" w:rsidR="009D0443" w:rsidRPr="000971EE" w:rsidRDefault="002D7247" w:rsidP="000971EE">
      <w:pPr>
        <w:pStyle w:val="Prrafodelista"/>
        <w:numPr>
          <w:ilvl w:val="0"/>
          <w:numId w:val="7"/>
        </w:numPr>
        <w:spacing w:line="276" w:lineRule="auto"/>
        <w:rPr>
          <w:rFonts w:cs="Tahoma"/>
          <w:szCs w:val="24"/>
        </w:rPr>
      </w:pPr>
      <w:r w:rsidRPr="000971EE">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217F5CD0" w14:textId="77777777" w:rsidR="00D35EF1" w:rsidRPr="000971EE" w:rsidRDefault="00D35EF1" w:rsidP="000971EE">
      <w:pPr>
        <w:pStyle w:val="Prrafodelista"/>
        <w:spacing w:line="276" w:lineRule="auto"/>
        <w:rPr>
          <w:rFonts w:cs="Tahoma"/>
          <w:szCs w:val="24"/>
        </w:rPr>
      </w:pPr>
    </w:p>
    <w:p w14:paraId="2C2D94BE" w14:textId="1124CFE0" w:rsidR="00D35EF1" w:rsidRPr="000971EE" w:rsidRDefault="00D35EF1" w:rsidP="000971EE">
      <w:pPr>
        <w:pStyle w:val="Prrafodelista"/>
        <w:numPr>
          <w:ilvl w:val="0"/>
          <w:numId w:val="7"/>
        </w:numPr>
        <w:spacing w:line="276" w:lineRule="auto"/>
        <w:rPr>
          <w:rFonts w:cs="Tahoma"/>
          <w:szCs w:val="24"/>
        </w:rPr>
      </w:pPr>
      <w:r w:rsidRPr="000971EE">
        <w:rPr>
          <w:rFonts w:eastAsia="Tahoma" w:cs="Tahoma"/>
          <w:szCs w:val="24"/>
          <w:lang w:eastAsia="es-CO"/>
        </w:rPr>
        <w:t>Analizar cuál es el precedente aplicable en la actualidad respecto de los actos de relacionamiento</w:t>
      </w:r>
      <w:r w:rsidR="009A31F7" w:rsidRPr="000971EE">
        <w:rPr>
          <w:rFonts w:eastAsia="Tahoma" w:cs="Tahoma"/>
          <w:szCs w:val="24"/>
          <w:lang w:eastAsia="es-CO"/>
        </w:rPr>
        <w:t xml:space="preserve">, incluida las </w:t>
      </w:r>
      <w:proofErr w:type="spellStart"/>
      <w:r w:rsidR="009A31F7" w:rsidRPr="000971EE">
        <w:rPr>
          <w:rFonts w:eastAsia="Tahoma" w:cs="Tahoma"/>
          <w:szCs w:val="24"/>
          <w:lang w:eastAsia="es-CO"/>
        </w:rPr>
        <w:t>reasesorías</w:t>
      </w:r>
      <w:proofErr w:type="spellEnd"/>
      <w:r w:rsidRPr="000971EE">
        <w:rPr>
          <w:rFonts w:cs="Tahoma"/>
          <w:szCs w:val="24"/>
        </w:rPr>
        <w:t xml:space="preserve">. </w:t>
      </w:r>
    </w:p>
    <w:p w14:paraId="6BB01091" w14:textId="77777777" w:rsidR="00D35EF1" w:rsidRPr="000971EE" w:rsidRDefault="00D35EF1" w:rsidP="000971EE">
      <w:pPr>
        <w:widowControl w:val="0"/>
        <w:autoSpaceDE w:val="0"/>
        <w:autoSpaceDN w:val="0"/>
        <w:adjustRightInd w:val="0"/>
        <w:spacing w:before="0" w:beforeAutospacing="0" w:after="0" w:afterAutospacing="0" w:line="276" w:lineRule="auto"/>
        <w:ind w:firstLine="284"/>
        <w:rPr>
          <w:rFonts w:ascii="Tahoma" w:hAnsi="Tahoma" w:cs="Tahoma"/>
          <w:lang w:val="es-ES"/>
        </w:rPr>
      </w:pPr>
    </w:p>
    <w:p w14:paraId="2E907F0A" w14:textId="3B01BAB9" w:rsidR="004B3947" w:rsidRPr="000971EE" w:rsidRDefault="004B3947" w:rsidP="000971EE">
      <w:pPr>
        <w:pStyle w:val="Prrafodelista"/>
        <w:numPr>
          <w:ilvl w:val="0"/>
          <w:numId w:val="7"/>
        </w:numPr>
        <w:spacing w:line="276" w:lineRule="auto"/>
        <w:rPr>
          <w:rFonts w:cs="Tahoma"/>
          <w:szCs w:val="24"/>
        </w:rPr>
      </w:pPr>
      <w:r w:rsidRPr="000971EE">
        <w:rPr>
          <w:rFonts w:cs="Tahoma"/>
          <w:szCs w:val="24"/>
          <w:lang w:val="es-ES"/>
        </w:rPr>
        <w:t>Establecer</w:t>
      </w:r>
      <w:r w:rsidR="005B2942" w:rsidRPr="000971EE">
        <w:rPr>
          <w:rFonts w:cs="Tahoma"/>
          <w:szCs w:val="24"/>
          <w:lang w:val="es-ES"/>
        </w:rPr>
        <w:t xml:space="preserve"> las consecuencias jurídicas de la declaratoria de la ineficacia del traslado respecto de </w:t>
      </w:r>
      <w:r w:rsidR="004D4683" w:rsidRPr="000971EE">
        <w:rPr>
          <w:rFonts w:cs="Tahoma"/>
          <w:szCs w:val="24"/>
          <w:lang w:val="es-ES"/>
        </w:rPr>
        <w:t>las administradoras</w:t>
      </w:r>
      <w:r w:rsidR="005B2942" w:rsidRPr="000971EE">
        <w:rPr>
          <w:rFonts w:cs="Tahoma"/>
          <w:szCs w:val="24"/>
          <w:lang w:val="es-ES"/>
        </w:rPr>
        <w:t xml:space="preserve"> de Fondos de Pensiones.</w:t>
      </w:r>
    </w:p>
    <w:p w14:paraId="56C6FE3A" w14:textId="77777777" w:rsidR="00915162" w:rsidRPr="000971EE" w:rsidRDefault="00915162" w:rsidP="000971EE">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0971EE" w:rsidRDefault="008C3C1E" w:rsidP="000971EE">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0971EE">
        <w:rPr>
          <w:rFonts w:ascii="Tahoma" w:eastAsia="Calibri" w:hAnsi="Tahoma" w:cs="Tahoma"/>
          <w:b/>
          <w:bCs/>
          <w:lang w:eastAsia="es-CO"/>
        </w:rPr>
        <w:t>Consideraciones</w:t>
      </w:r>
    </w:p>
    <w:p w14:paraId="18D92D98" w14:textId="5EB6CE86" w:rsidR="005B7733" w:rsidRPr="000971EE" w:rsidRDefault="005B7733" w:rsidP="000971EE">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6DDDFB2B" w14:textId="77777777" w:rsidR="009C0356" w:rsidRPr="00412A82"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77F998A7" w14:textId="77777777" w:rsidR="009C0356" w:rsidRPr="00412A82"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3D623E92"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7D074346"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AACC546"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roofErr w:type="spellStart"/>
      <w:r w:rsidRPr="00412A82">
        <w:rPr>
          <w:rFonts w:ascii="Tahoma" w:eastAsia="Calibri" w:hAnsi="Tahoma" w:cs="Tahoma"/>
          <w:bCs/>
          <w:lang w:eastAsia="es-CO"/>
        </w:rPr>
        <w:t>SL</w:t>
      </w:r>
      <w:proofErr w:type="spellEnd"/>
      <w:r w:rsidRPr="00412A82">
        <w:rPr>
          <w:rFonts w:ascii="Tahoma" w:eastAsia="Calibri" w:hAnsi="Tahoma" w:cs="Tahoma"/>
          <w:bCs/>
          <w:lang w:eastAsia="es-CO"/>
        </w:rPr>
        <w:t xml:space="preserve"> 31989 del 9 sep. 2008,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31314 9 sep. 2008,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33083 22 nov. 2011, </w:t>
      </w:r>
      <w:proofErr w:type="spellStart"/>
      <w:r w:rsidRPr="00412A82">
        <w:rPr>
          <w:rFonts w:ascii="Tahoma" w:eastAsia="Calibri" w:hAnsi="Tahoma" w:cs="Tahoma"/>
          <w:lang w:eastAsia="es-CO"/>
        </w:rPr>
        <w:t>SL12136</w:t>
      </w:r>
      <w:proofErr w:type="spellEnd"/>
      <w:r w:rsidRPr="00412A82">
        <w:rPr>
          <w:rFonts w:ascii="Tahoma" w:eastAsia="Calibri" w:hAnsi="Tahoma" w:cs="Tahoma"/>
          <w:lang w:eastAsia="es-CO"/>
        </w:rPr>
        <w:t xml:space="preserve">-2014, </w:t>
      </w:r>
      <w:proofErr w:type="spellStart"/>
      <w:r w:rsidRPr="00412A82">
        <w:rPr>
          <w:rFonts w:ascii="Tahoma" w:eastAsia="Calibri" w:hAnsi="Tahoma" w:cs="Tahoma"/>
          <w:lang w:eastAsia="es-CO"/>
        </w:rPr>
        <w:t>SL19447</w:t>
      </w:r>
      <w:proofErr w:type="spellEnd"/>
      <w:r w:rsidRPr="00412A82">
        <w:rPr>
          <w:rFonts w:ascii="Tahoma" w:eastAsia="Calibri" w:hAnsi="Tahoma" w:cs="Tahoma"/>
          <w:lang w:eastAsia="es-CO"/>
        </w:rPr>
        <w:t xml:space="preserve">-2017, </w:t>
      </w:r>
      <w:proofErr w:type="spellStart"/>
      <w:r w:rsidRPr="00412A82">
        <w:rPr>
          <w:rFonts w:ascii="Tahoma" w:eastAsia="Calibri" w:hAnsi="Tahoma" w:cs="Tahoma"/>
          <w:lang w:eastAsia="es-CO"/>
        </w:rPr>
        <w:t>SL4964</w:t>
      </w:r>
      <w:proofErr w:type="spellEnd"/>
      <w:r w:rsidRPr="00412A82">
        <w:rPr>
          <w:rFonts w:ascii="Tahoma" w:eastAsia="Calibri" w:hAnsi="Tahoma" w:cs="Tahoma"/>
          <w:lang w:eastAsia="es-CO"/>
        </w:rPr>
        <w:t xml:space="preserve">-2018, CSJ </w:t>
      </w:r>
      <w:proofErr w:type="spellStart"/>
      <w:r w:rsidRPr="00412A82">
        <w:rPr>
          <w:rFonts w:ascii="Tahoma" w:eastAsia="Calibri" w:hAnsi="Tahoma" w:cs="Tahoma"/>
          <w:lang w:eastAsia="es-CO"/>
        </w:rPr>
        <w:t>SL4989</w:t>
      </w:r>
      <w:proofErr w:type="spellEnd"/>
      <w:r w:rsidRPr="00412A82">
        <w:rPr>
          <w:rFonts w:ascii="Tahoma" w:eastAsia="Calibri" w:hAnsi="Tahoma" w:cs="Tahoma"/>
          <w:lang w:eastAsia="es-CO"/>
        </w:rPr>
        <w:t xml:space="preserve">-2018, </w:t>
      </w:r>
      <w:proofErr w:type="spellStart"/>
      <w:r w:rsidRPr="00412A82">
        <w:rPr>
          <w:rFonts w:ascii="Tahoma" w:eastAsia="Calibri" w:hAnsi="Tahoma" w:cs="Tahoma"/>
          <w:lang w:eastAsia="es-CO"/>
        </w:rPr>
        <w:t>SL1421</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SL1452</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SL1688</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SL1689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373 -2020, Sentencia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5462-2019, Sentencia </w:t>
      </w:r>
      <w:proofErr w:type="spellStart"/>
      <w:r w:rsidRPr="00412A82">
        <w:rPr>
          <w:rFonts w:ascii="Tahoma" w:eastAsia="Calibri" w:hAnsi="Tahoma" w:cs="Tahoma"/>
          <w:lang w:eastAsia="es-CO"/>
        </w:rPr>
        <w:t>SL149</w:t>
      </w:r>
      <w:proofErr w:type="spellEnd"/>
      <w:r w:rsidRPr="00412A82">
        <w:rPr>
          <w:rFonts w:ascii="Tahoma" w:eastAsia="Calibri" w:hAnsi="Tahoma" w:cs="Tahoma"/>
          <w:lang w:eastAsia="es-CO"/>
        </w:rPr>
        <w:t xml:space="preserve">-2020, Sentencia </w:t>
      </w:r>
      <w:proofErr w:type="spellStart"/>
      <w:r w:rsidRPr="00412A82">
        <w:rPr>
          <w:rFonts w:ascii="Tahoma" w:eastAsia="Calibri" w:hAnsi="Tahoma" w:cs="Tahoma"/>
          <w:lang w:eastAsia="es-CO"/>
        </w:rPr>
        <w:t>SL5533</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SL5144</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SL4937</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SL4426</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SL4343</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SL4856</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STP</w:t>
      </w:r>
      <w:proofErr w:type="spellEnd"/>
      <w:r w:rsidRPr="00412A82">
        <w:rPr>
          <w:rFonts w:ascii="Tahoma" w:eastAsia="Calibri" w:hAnsi="Tahoma" w:cs="Tahoma"/>
          <w:lang w:eastAsia="es-CO"/>
        </w:rPr>
        <w:t xml:space="preserve"> 2082-2019, Sentencia </w:t>
      </w:r>
      <w:proofErr w:type="spellStart"/>
      <w:r w:rsidRPr="00412A82">
        <w:rPr>
          <w:rFonts w:ascii="Tahoma" w:eastAsia="Calibri" w:hAnsi="Tahoma" w:cs="Tahoma"/>
          <w:lang w:eastAsia="es-CO"/>
        </w:rPr>
        <w:t>SL4360</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SL3852</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SL3749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SL3179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SL1838</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SL2817</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SL771</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SL4296</w:t>
      </w:r>
      <w:proofErr w:type="spellEnd"/>
      <w:r w:rsidRPr="00412A82">
        <w:rPr>
          <w:rFonts w:ascii="Tahoma" w:eastAsia="Calibri" w:hAnsi="Tahoma" w:cs="Tahoma"/>
          <w:lang w:eastAsia="es-CO"/>
        </w:rPr>
        <w:t xml:space="preserve">-2018, Sentencia </w:t>
      </w:r>
      <w:proofErr w:type="spellStart"/>
      <w:r w:rsidRPr="00412A82">
        <w:rPr>
          <w:rFonts w:ascii="Tahoma" w:eastAsia="Calibri" w:hAnsi="Tahoma" w:cs="Tahoma"/>
          <w:lang w:eastAsia="es-CO"/>
        </w:rPr>
        <w:t>SL2865</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SL2955</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SL2324</w:t>
      </w:r>
      <w:proofErr w:type="spellEnd"/>
      <w:r w:rsidRPr="00412A82">
        <w:rPr>
          <w:rFonts w:ascii="Tahoma" w:eastAsia="Calibri" w:hAnsi="Tahoma" w:cs="Tahoma"/>
          <w:lang w:eastAsia="es-CO"/>
        </w:rPr>
        <w:t>-2019.</w:t>
      </w:r>
    </w:p>
    <w:p w14:paraId="7118D72F"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1040E39"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73A28D20"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E0CFE75" w14:textId="77777777" w:rsidR="009C0356" w:rsidRPr="00412A82"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“El deber de información a cargo de las administradoras de fondos de pensiones: Un deber exigible desde su creación</w:t>
      </w:r>
      <w:r w:rsidRPr="00412A82">
        <w:rPr>
          <w:rFonts w:ascii="Tahoma" w:eastAsia="Calibri" w:hAnsi="Tahoma" w:cs="Tahoma"/>
          <w:b/>
          <w:iCs/>
          <w:vertAlign w:val="superscript"/>
          <w:lang w:eastAsia="es-CO"/>
        </w:rPr>
        <w:footnoteReference w:id="2"/>
      </w:r>
      <w:r w:rsidRPr="00412A82">
        <w:rPr>
          <w:rFonts w:ascii="Tahoma" w:eastAsia="Calibri" w:hAnsi="Tahoma" w:cs="Tahoma"/>
          <w:b/>
          <w:iCs/>
          <w:lang w:eastAsia="es-CO"/>
        </w:rPr>
        <w:t>”</w:t>
      </w:r>
    </w:p>
    <w:p w14:paraId="138AB5D5"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4B6E725D"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67262649" w14:textId="77777777" w:rsidR="009C0356" w:rsidRPr="00412A82"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D97A9D1" w14:textId="77777777" w:rsidR="009C0356" w:rsidRPr="00412A82" w:rsidRDefault="009C0356" w:rsidP="009C0356">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3"/>
      </w:r>
      <w:r w:rsidRPr="00412A82">
        <w:rPr>
          <w:rFonts w:eastAsia="Calibri" w:cs="Tahoma"/>
          <w:szCs w:val="24"/>
          <w:lang w:eastAsia="es-CO"/>
        </w:rPr>
        <w:t>, norma en la que se destaca la importancia de los principios de debida diligencia, transparencia e información cierta, suficiente y oportuna.</w:t>
      </w:r>
    </w:p>
    <w:p w14:paraId="7E5A94F5" w14:textId="77777777" w:rsidR="009C0356" w:rsidRPr="00412A82" w:rsidRDefault="009C0356" w:rsidP="009C0356">
      <w:pPr>
        <w:pStyle w:val="Prrafodelista"/>
        <w:widowControl w:val="0"/>
        <w:autoSpaceDE w:val="0"/>
        <w:autoSpaceDN w:val="0"/>
        <w:adjustRightInd w:val="0"/>
        <w:spacing w:line="276" w:lineRule="auto"/>
        <w:rPr>
          <w:rFonts w:eastAsia="Calibri" w:cs="Tahoma"/>
          <w:szCs w:val="24"/>
          <w:lang w:eastAsia="es-CO"/>
        </w:rPr>
      </w:pPr>
    </w:p>
    <w:p w14:paraId="741179A1" w14:textId="77777777" w:rsidR="009C0356" w:rsidRPr="00412A82" w:rsidRDefault="009C0356" w:rsidP="009C0356">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5D7414CA" w14:textId="77777777" w:rsidR="009C0356" w:rsidRPr="00412A82" w:rsidRDefault="009C0356" w:rsidP="009C0356">
      <w:pPr>
        <w:pStyle w:val="Prrafodelista"/>
        <w:spacing w:line="276" w:lineRule="auto"/>
        <w:rPr>
          <w:rFonts w:eastAsia="Calibri" w:cs="Tahoma"/>
          <w:szCs w:val="24"/>
          <w:lang w:eastAsia="es-CO"/>
        </w:rPr>
      </w:pPr>
    </w:p>
    <w:p w14:paraId="494E7A99" w14:textId="77777777" w:rsidR="009C0356" w:rsidRPr="00412A82" w:rsidRDefault="009C0356" w:rsidP="009C0356">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Dispone el artículo 114 de la Ley 100 de 1993, que los trabajadores y servidores públicos que se trasladen por primera vez del RPM al </w:t>
      </w:r>
      <w:proofErr w:type="spellStart"/>
      <w:r w:rsidRPr="00412A82">
        <w:rPr>
          <w:rFonts w:eastAsia="Calibri" w:cs="Tahoma"/>
          <w:szCs w:val="24"/>
          <w:lang w:eastAsia="es-CO"/>
        </w:rPr>
        <w:t>RAIS</w:t>
      </w:r>
      <w:proofErr w:type="spellEnd"/>
      <w:r w:rsidRPr="00412A82">
        <w:rPr>
          <w:rFonts w:eastAsia="Calibri" w:cs="Tahoma"/>
          <w:szCs w:val="24"/>
          <w:lang w:eastAsia="es-CO"/>
        </w:rPr>
        <w:t>, deberán presentar a la respectiva entidad administradora comunicación escrita en la que conste que la selección de dicho régimen se ha tomado de manera libre, espontánea y sin presiones.</w:t>
      </w:r>
    </w:p>
    <w:p w14:paraId="62C22B07" w14:textId="77777777" w:rsidR="009C0356" w:rsidRPr="00412A82" w:rsidRDefault="009C0356" w:rsidP="009C0356">
      <w:pPr>
        <w:pStyle w:val="Prrafodelista"/>
        <w:spacing w:line="276" w:lineRule="auto"/>
        <w:rPr>
          <w:rFonts w:eastAsia="Calibri" w:cs="Tahoma"/>
          <w:szCs w:val="24"/>
          <w:lang w:eastAsia="es-CO"/>
        </w:rPr>
      </w:pPr>
    </w:p>
    <w:p w14:paraId="4DF99784" w14:textId="77777777" w:rsidR="009C0356" w:rsidRPr="00412A82" w:rsidRDefault="009C0356" w:rsidP="009C0356">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412A82">
        <w:rPr>
          <w:rFonts w:eastAsia="Calibri" w:cs="Tahoma"/>
          <w:i/>
          <w:iCs/>
          <w:szCs w:val="24"/>
          <w:lang w:eastAsia="es-CO"/>
        </w:rPr>
        <w:t>“</w:t>
      </w:r>
      <w:r w:rsidRPr="009C0356">
        <w:rPr>
          <w:rFonts w:eastAsia="Calibri" w:cs="Tahoma"/>
          <w:i/>
          <w:iCs/>
          <w:sz w:val="22"/>
          <w:szCs w:val="24"/>
          <w:u w:val="single"/>
          <w:lang w:eastAsia="es-CO"/>
        </w:rPr>
        <w:t>dar cuenta de que documentaron clara y suficientemente los efectos que acarrea el cambio de régimen, so pena de declarar ineficaz ese tránsito</w:t>
      </w:r>
      <w:r w:rsidRPr="00412A82">
        <w:rPr>
          <w:rFonts w:eastAsia="Calibri" w:cs="Tahoma"/>
          <w:i/>
          <w:iCs/>
          <w:szCs w:val="24"/>
          <w:u w:val="single"/>
          <w:lang w:eastAsia="es-CO"/>
        </w:rPr>
        <w:t>.”</w:t>
      </w:r>
    </w:p>
    <w:p w14:paraId="7B3672F9" w14:textId="77777777" w:rsidR="009C0356" w:rsidRPr="00412A82" w:rsidRDefault="009C0356" w:rsidP="009C0356">
      <w:pPr>
        <w:pStyle w:val="Prrafodelista"/>
        <w:spacing w:line="276" w:lineRule="auto"/>
        <w:rPr>
          <w:rFonts w:eastAsia="Calibri" w:cs="Tahoma"/>
          <w:iCs/>
          <w:szCs w:val="24"/>
          <w:lang w:eastAsia="es-CO"/>
        </w:rPr>
      </w:pPr>
    </w:p>
    <w:p w14:paraId="72E5BA5B" w14:textId="77777777" w:rsidR="009C0356" w:rsidRPr="00412A82" w:rsidRDefault="009C0356" w:rsidP="009C0356">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722B37A8"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7F0318F2"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 xml:space="preserve">Dicho deber, como lo ha enseñado la Corte, es exigible desde las etapas previas </w:t>
      </w:r>
      <w:r w:rsidRPr="00412A82">
        <w:rPr>
          <w:rFonts w:ascii="Tahoma" w:eastAsia="Calibri" w:hAnsi="Tahoma" w:cs="Tahoma"/>
          <w:iCs/>
          <w:lang w:eastAsia="es-CO"/>
        </w:rPr>
        <w:lastRenderedPageBreak/>
        <w:t>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34E0F1ED"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34ADEE3C"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0F99452C"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5FF6681" w14:textId="77777777" w:rsidR="009C0356" w:rsidRPr="00412A82"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320C1B36"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57CB0E0"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6B9A3513"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9C0356" w:rsidRPr="001B705F" w14:paraId="7EE61AAB"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15F3007B"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26663BC9"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3B106456"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Contenido mínimo y alcance del deber de información</w:t>
            </w:r>
          </w:p>
        </w:tc>
      </w:tr>
      <w:tr w:rsidR="009C0356" w:rsidRPr="001B705F" w14:paraId="7B1180EE"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5C9A13BF"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1DF46985"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4480D2B5"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p>
          <w:p w14:paraId="1D2036DC"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 97, numeral </w:t>
            </w:r>
            <w:proofErr w:type="gramStart"/>
            <w:r w:rsidRPr="001B705F">
              <w:rPr>
                <w:rFonts w:ascii="Tahoma" w:eastAsia="Tahoma" w:hAnsi="Tahoma" w:cs="Tahoma"/>
                <w:i/>
                <w:iCs/>
                <w:lang w:eastAsia="es-MX"/>
              </w:rPr>
              <w:t>1.°</w:t>
            </w:r>
            <w:proofErr w:type="gramEnd"/>
            <w:r w:rsidRPr="001B705F">
              <w:rPr>
                <w:rFonts w:ascii="Tahoma" w:eastAsia="Tahoma" w:hAnsi="Tahoma" w:cs="Tahoma"/>
                <w:i/>
                <w:iCs/>
                <w:lang w:eastAsia="es-MX"/>
              </w:rPr>
              <w:t xml:space="preserve"> del Decreto 663 de 1993, modificado por el artículo 23 de la Ley 797 de 2003</w:t>
            </w:r>
          </w:p>
          <w:p w14:paraId="77E545DF"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p>
          <w:p w14:paraId="31B685CE"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Disposiciones constitucionales relativas al derecho a la información, no menoscabo de derechos laborales y autonomía </w:t>
            </w:r>
            <w:r w:rsidRPr="001B705F">
              <w:rPr>
                <w:rFonts w:ascii="Tahoma" w:eastAsia="Tahoma" w:hAnsi="Tahoma" w:cs="Tahoma"/>
                <w:i/>
                <w:iCs/>
                <w:lang w:eastAsia="es-MX"/>
              </w:rPr>
              <w:lastRenderedPageBreak/>
              <w:t>personal</w:t>
            </w:r>
          </w:p>
        </w:tc>
        <w:tc>
          <w:tcPr>
            <w:tcW w:w="3544" w:type="dxa"/>
            <w:tcBorders>
              <w:top w:val="single" w:sz="4" w:space="0" w:color="auto"/>
              <w:left w:val="single" w:sz="4" w:space="0" w:color="auto"/>
              <w:bottom w:val="single" w:sz="4" w:space="0" w:color="auto"/>
              <w:right w:val="single" w:sz="4" w:space="0" w:color="auto"/>
            </w:tcBorders>
            <w:hideMark/>
          </w:tcPr>
          <w:p w14:paraId="42380B2C"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lastRenderedPageBreak/>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9C0356" w:rsidRPr="001B705F" w14:paraId="02DFB56F"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698C2484"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4061D81C"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Artículo </w:t>
            </w:r>
            <w:proofErr w:type="gramStart"/>
            <w:r w:rsidRPr="001B705F">
              <w:rPr>
                <w:rFonts w:ascii="Tahoma" w:eastAsia="Tahoma" w:hAnsi="Tahoma" w:cs="Tahoma"/>
                <w:i/>
                <w:iCs/>
                <w:lang w:eastAsia="es-MX"/>
              </w:rPr>
              <w:t>3.°</w:t>
            </w:r>
            <w:proofErr w:type="gramEnd"/>
            <w:r w:rsidRPr="001B705F">
              <w:rPr>
                <w:rFonts w:ascii="Tahoma" w:eastAsia="Tahoma" w:hAnsi="Tahoma" w:cs="Tahoma"/>
                <w:i/>
                <w:iCs/>
                <w:lang w:eastAsia="es-MX"/>
              </w:rPr>
              <w:t>, literal c) de la Ley 1328 de 2009</w:t>
            </w:r>
          </w:p>
          <w:p w14:paraId="04AC8331"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p>
          <w:p w14:paraId="69319A2F"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2EF4DD6F"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9C0356" w:rsidRPr="001B705F" w14:paraId="0328EE93" w14:textId="77777777" w:rsidTr="00510AF2">
        <w:trPr>
          <w:trHeight w:val="397"/>
        </w:trPr>
        <w:tc>
          <w:tcPr>
            <w:tcW w:w="1985" w:type="dxa"/>
            <w:tcBorders>
              <w:top w:val="single" w:sz="4" w:space="0" w:color="auto"/>
              <w:left w:val="single" w:sz="4" w:space="0" w:color="auto"/>
              <w:bottom w:val="single" w:sz="4" w:space="0" w:color="auto"/>
              <w:right w:val="single" w:sz="4" w:space="0" w:color="auto"/>
            </w:tcBorders>
            <w:hideMark/>
          </w:tcPr>
          <w:p w14:paraId="5B400916"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42A97FD0"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7B9931D7"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p>
          <w:p w14:paraId="3F19F8CC"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Artículo </w:t>
            </w:r>
            <w:proofErr w:type="gramStart"/>
            <w:r w:rsidRPr="001B705F">
              <w:rPr>
                <w:rFonts w:ascii="Tahoma" w:eastAsia="Tahoma" w:hAnsi="Tahoma" w:cs="Tahoma"/>
                <w:i/>
                <w:iCs/>
                <w:lang w:eastAsia="es-MX"/>
              </w:rPr>
              <w:t>3.°</w:t>
            </w:r>
            <w:proofErr w:type="gramEnd"/>
            <w:r w:rsidRPr="001B705F">
              <w:rPr>
                <w:rFonts w:ascii="Tahoma" w:eastAsia="Tahoma" w:hAnsi="Tahoma" w:cs="Tahoma"/>
                <w:i/>
                <w:iCs/>
                <w:lang w:eastAsia="es-MX"/>
              </w:rPr>
              <w:t xml:space="preserve"> del Decreto 2071 de 2015</w:t>
            </w:r>
          </w:p>
          <w:p w14:paraId="626A6EF7"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p>
          <w:p w14:paraId="282FF72A"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5329BC48" w14:textId="77777777" w:rsidR="009C0356" w:rsidRPr="001B705F" w:rsidRDefault="009C0356" w:rsidP="00510AF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54553DC4"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52F632B"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65FC46BB"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1A32532C"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17AD6D4B"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3469376"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7593FF10"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9AD09EA"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0E622EA7" w14:textId="77777777" w:rsidR="009C0356" w:rsidRPr="00287F24"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7A46B92" w14:textId="77777777" w:rsidR="009C0356" w:rsidRPr="001B705F"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w:t>
      </w:r>
      <w:r w:rsidRPr="001B705F">
        <w:rPr>
          <w:rFonts w:ascii="Tahoma" w:eastAsia="Calibri" w:hAnsi="Tahoma" w:cs="Tahoma"/>
          <w:b/>
          <w:iCs/>
          <w:lang w:eastAsia="es-CO"/>
        </w:rPr>
        <w:lastRenderedPageBreak/>
        <w:t xml:space="preserve">es insuficiente – Necesidad de un consentimiento informado” </w:t>
      </w:r>
      <w:r w:rsidRPr="00AB4C1E">
        <w:rPr>
          <w:rFonts w:ascii="Tahoma" w:eastAsia="Calibri" w:hAnsi="Tahoma" w:cs="Tahoma"/>
          <w:b/>
          <w:iCs/>
          <w:vertAlign w:val="superscript"/>
          <w:lang w:eastAsia="es-CO"/>
        </w:rPr>
        <w:footnoteReference w:id="4"/>
      </w:r>
      <w:r w:rsidRPr="001B705F">
        <w:rPr>
          <w:rFonts w:ascii="Tahoma" w:eastAsia="Calibri" w:hAnsi="Tahoma" w:cs="Tahoma"/>
          <w:b/>
          <w:iCs/>
          <w:lang w:eastAsia="es-CO"/>
        </w:rPr>
        <w:t xml:space="preserve"> </w:t>
      </w:r>
    </w:p>
    <w:p w14:paraId="29BFB501" w14:textId="77777777" w:rsidR="009C0356" w:rsidRPr="00287F24"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A8FAF98" w14:textId="77777777" w:rsidR="009C0356" w:rsidRPr="00287F24"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355037F4" w14:textId="77777777" w:rsidR="009C0356" w:rsidRPr="00287F24"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17F6E65"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70BB01F7"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1474270"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La Sala considera desacertada esta tesis, en la medida que la firma del formulario, al igual que las afirmaciones consignadas en los formatos </w:t>
      </w:r>
      <w:proofErr w:type="spellStart"/>
      <w:r w:rsidRPr="00553FAE">
        <w:rPr>
          <w:rFonts w:ascii="Tahoma" w:eastAsia="Calibri" w:hAnsi="Tahoma" w:cs="Tahoma"/>
          <w:i/>
          <w:sz w:val="22"/>
          <w:lang w:eastAsia="es-CO"/>
        </w:rPr>
        <w:t>preimpresos</w:t>
      </w:r>
      <w:proofErr w:type="spellEnd"/>
      <w:r w:rsidRPr="00553FAE">
        <w:rPr>
          <w:rFonts w:ascii="Tahoma" w:eastAsia="Calibri" w:hAnsi="Tahoma" w:cs="Tahoma"/>
          <w:i/>
          <w:sz w:val="22"/>
          <w:lang w:eastAsia="es-CO"/>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35CC9722"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4CEC208"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0AF655BF"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74433A4"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Por tanto, hoy en el campo de la seguridad social, existe un verdadero e insoslayable deber de obtener un consentimiento informado (CSJ </w:t>
      </w:r>
      <w:proofErr w:type="spellStart"/>
      <w:r w:rsidRPr="00553FAE">
        <w:rPr>
          <w:rFonts w:ascii="Tahoma" w:eastAsia="Calibri" w:hAnsi="Tahoma" w:cs="Tahoma"/>
          <w:i/>
          <w:sz w:val="22"/>
          <w:lang w:eastAsia="es-CO"/>
        </w:rPr>
        <w:t>SL19447</w:t>
      </w:r>
      <w:proofErr w:type="spellEnd"/>
      <w:r w:rsidRPr="00553FAE">
        <w:rPr>
          <w:rFonts w:ascii="Tahoma" w:eastAsia="Calibri" w:hAnsi="Tahoma" w:cs="Tahoma"/>
          <w:i/>
          <w:sz w:val="22"/>
          <w:lang w:eastAsia="es-CO"/>
        </w:rPr>
        <w:t>-2017),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7E7DD757" w14:textId="77777777" w:rsidR="009C0356" w:rsidRPr="00287F24"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CBB30B9" w14:textId="77777777" w:rsidR="009C0356" w:rsidRPr="00287F24"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 xml:space="preserve">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w:t>
      </w:r>
      <w:proofErr w:type="spellStart"/>
      <w:r w:rsidRPr="00287F24">
        <w:rPr>
          <w:rFonts w:ascii="Tahoma" w:eastAsia="Calibri" w:hAnsi="Tahoma" w:cs="Tahoma"/>
          <w:bCs/>
          <w:lang w:eastAsia="es-CO"/>
        </w:rPr>
        <w:t>SL12136</w:t>
      </w:r>
      <w:proofErr w:type="spellEnd"/>
      <w:r w:rsidRPr="00287F24">
        <w:rPr>
          <w:rFonts w:ascii="Tahoma" w:eastAsia="Calibri" w:hAnsi="Tahoma" w:cs="Tahoma"/>
          <w:bCs/>
          <w:lang w:eastAsia="es-CO"/>
        </w:rPr>
        <w:t>-2014 en la que se dijo lo siguiente:</w:t>
      </w:r>
    </w:p>
    <w:p w14:paraId="7448F675" w14:textId="77777777" w:rsidR="009C0356" w:rsidRPr="00287F24"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2E23CAC2"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2E264FD1" w14:textId="77777777" w:rsidR="009C0356" w:rsidRPr="00D11B68"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0ED0C884" w14:textId="77777777" w:rsidR="009C0356" w:rsidRPr="00D11B68"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w:t>
      </w:r>
      <w:proofErr w:type="spellStart"/>
      <w:r w:rsidRPr="00D11B68">
        <w:rPr>
          <w:rFonts w:ascii="Tahoma" w:eastAsia="Calibri" w:hAnsi="Tahoma" w:cs="Tahoma"/>
          <w:b/>
          <w:bCs/>
          <w:lang w:eastAsia="es-CO"/>
        </w:rPr>
        <w:t>reasesorías</w:t>
      </w:r>
      <w:proofErr w:type="spellEnd"/>
      <w:r w:rsidRPr="00D11B68">
        <w:rPr>
          <w:rFonts w:ascii="Tahoma" w:eastAsia="Calibri" w:hAnsi="Tahoma" w:cs="Tahoma"/>
          <w:b/>
          <w:bCs/>
          <w:lang w:eastAsia="es-CO"/>
        </w:rPr>
        <w:t xml:space="preserve">,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w:t>
      </w:r>
      <w:r w:rsidRPr="00D11B68">
        <w:rPr>
          <w:rFonts w:ascii="Tahoma" w:eastAsia="Calibri" w:hAnsi="Tahoma" w:cs="Tahoma"/>
          <w:b/>
          <w:bCs/>
          <w:lang w:eastAsia="es-CO"/>
        </w:rPr>
        <w:lastRenderedPageBreak/>
        <w:t xml:space="preserve">ineficacia por la falta de información al momento del traslado al </w:t>
      </w:r>
      <w:proofErr w:type="spellStart"/>
      <w:r w:rsidRPr="00D11B68">
        <w:rPr>
          <w:rFonts w:ascii="Tahoma" w:eastAsia="Calibri" w:hAnsi="Tahoma" w:cs="Tahoma"/>
          <w:b/>
          <w:bCs/>
          <w:lang w:eastAsia="es-CO"/>
        </w:rPr>
        <w:t>RAIS</w:t>
      </w:r>
      <w:proofErr w:type="spellEnd"/>
      <w:r w:rsidRPr="00D11B68">
        <w:rPr>
          <w:rFonts w:ascii="Tahoma" w:eastAsia="Calibri" w:hAnsi="Tahoma" w:cs="Tahoma"/>
          <w:b/>
          <w:bCs/>
          <w:lang w:eastAsia="es-CO"/>
        </w:rPr>
        <w:t>.</w:t>
      </w:r>
    </w:p>
    <w:p w14:paraId="7AA91D48" w14:textId="77777777" w:rsidR="009C0356" w:rsidRPr="00D11B68" w:rsidRDefault="009C0356" w:rsidP="009C0356">
      <w:pPr>
        <w:pStyle w:val="Prrafodelista"/>
        <w:widowControl w:val="0"/>
        <w:autoSpaceDE w:val="0"/>
        <w:autoSpaceDN w:val="0"/>
        <w:adjustRightInd w:val="0"/>
        <w:spacing w:line="276" w:lineRule="auto"/>
        <w:ind w:left="1429"/>
        <w:rPr>
          <w:rFonts w:eastAsia="Calibri" w:cs="Tahoma"/>
          <w:b/>
          <w:bCs/>
          <w:szCs w:val="24"/>
          <w:lang w:eastAsia="es-CO"/>
        </w:rPr>
      </w:pPr>
    </w:p>
    <w:p w14:paraId="44D54F3D" w14:textId="77777777" w:rsidR="009C0356" w:rsidRPr="00D11B68" w:rsidRDefault="009C0356" w:rsidP="009C0356">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 xml:space="preserve">Además de lo anterior, ha precisado el máximo órgano de la jurisdicción ordinaria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9 sep. 2008, rad. 31989, CSJ </w:t>
      </w:r>
      <w:proofErr w:type="spellStart"/>
      <w:r w:rsidRPr="00D11B68">
        <w:rPr>
          <w:rFonts w:ascii="Tahoma" w:eastAsia="Calibri" w:hAnsi="Tahoma" w:cs="Tahoma"/>
          <w:bCs/>
          <w:lang w:eastAsia="es-CO"/>
        </w:rPr>
        <w:t>SL2877</w:t>
      </w:r>
      <w:proofErr w:type="spellEnd"/>
      <w:r w:rsidRPr="00D11B68">
        <w:rPr>
          <w:rFonts w:ascii="Tahoma" w:eastAsia="Calibri" w:hAnsi="Tahoma" w:cs="Tahoma"/>
          <w:bCs/>
          <w:lang w:eastAsia="es-CO"/>
        </w:rPr>
        <w:t xml:space="preserve">-2020, CSJ </w:t>
      </w:r>
      <w:proofErr w:type="spellStart"/>
      <w:r w:rsidRPr="00D11B68">
        <w:rPr>
          <w:rFonts w:ascii="Tahoma" w:eastAsia="Calibri" w:hAnsi="Tahoma" w:cs="Tahoma"/>
          <w:bCs/>
          <w:lang w:eastAsia="es-CO"/>
        </w:rPr>
        <w:t>SL1942</w:t>
      </w:r>
      <w:proofErr w:type="spellEnd"/>
      <w:r w:rsidRPr="00D11B68">
        <w:rPr>
          <w:rFonts w:ascii="Tahoma" w:eastAsia="Calibri" w:hAnsi="Tahoma" w:cs="Tahoma"/>
          <w:bCs/>
          <w:lang w:eastAsia="es-CO"/>
        </w:rPr>
        <w:t xml:space="preserve">-2021 y CSJ </w:t>
      </w:r>
      <w:proofErr w:type="spellStart"/>
      <w:r w:rsidRPr="00D11B68">
        <w:rPr>
          <w:rFonts w:ascii="Tahoma" w:eastAsia="Calibri" w:hAnsi="Tahoma" w:cs="Tahoma"/>
          <w:bCs/>
          <w:lang w:eastAsia="es-CO"/>
        </w:rPr>
        <w:t>SL1949</w:t>
      </w:r>
      <w:proofErr w:type="spellEnd"/>
      <w:r w:rsidRPr="00D11B68">
        <w:rPr>
          <w:rFonts w:ascii="Tahoma" w:eastAsia="Calibri" w:hAnsi="Tahoma" w:cs="Tahoma"/>
          <w:bCs/>
          <w:lang w:eastAsia="es-CO"/>
        </w:rPr>
        <w:t xml:space="preserve">-2021) que la suscripción de varios formularios de afiliación dentro del mismo </w:t>
      </w:r>
      <w:proofErr w:type="spellStart"/>
      <w:r w:rsidRPr="00D11B68">
        <w:rPr>
          <w:rFonts w:ascii="Tahoma" w:eastAsia="Calibri" w:hAnsi="Tahoma" w:cs="Tahoma"/>
          <w:bCs/>
          <w:lang w:eastAsia="es-CO"/>
        </w:rPr>
        <w:t>RAIS</w:t>
      </w:r>
      <w:proofErr w:type="spellEnd"/>
      <w:r w:rsidRPr="00D11B68">
        <w:rPr>
          <w:rFonts w:ascii="Tahoma" w:eastAsia="Calibri" w:hAnsi="Tahoma" w:cs="Tahoma"/>
          <w:bCs/>
          <w:lang w:eastAsia="es-CO"/>
        </w:rPr>
        <w:t xml:space="preserve">,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9 sep. 2008, rad. 31989 expuso:</w:t>
      </w:r>
    </w:p>
    <w:p w14:paraId="464DA935" w14:textId="77777777" w:rsidR="009C0356" w:rsidRPr="00D11B68"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2C612C20"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26E6813F" w14:textId="77777777" w:rsidR="009C0356" w:rsidRPr="00D11B68"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73F91B82" w14:textId="77777777" w:rsidR="009C0356" w:rsidRPr="00D11B68" w:rsidRDefault="009C0356" w:rsidP="009C0356">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 xml:space="preserve">En este orden de ideas, en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w:t>
      </w:r>
      <w:proofErr w:type="spellStart"/>
      <w:r w:rsidRPr="00D11B68">
        <w:rPr>
          <w:rFonts w:ascii="Tahoma" w:eastAsia="Calibri" w:hAnsi="Tahoma" w:cs="Tahoma"/>
          <w:bCs/>
          <w:lang w:eastAsia="es-CO"/>
        </w:rPr>
        <w:t>SL1926</w:t>
      </w:r>
      <w:proofErr w:type="spellEnd"/>
      <w:r w:rsidRPr="00D11B68">
        <w:rPr>
          <w:rFonts w:ascii="Tahoma" w:eastAsia="Calibri" w:hAnsi="Tahoma" w:cs="Tahoma"/>
          <w:bCs/>
          <w:lang w:eastAsia="es-CO"/>
        </w:rPr>
        <w:t>-2022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36A15153" w14:textId="77777777" w:rsidR="009C0356" w:rsidRPr="00D11B68"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5B9A3CF"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1DCE210E"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7D6DC4C"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El anterior criterio es el precedente vigente y en rigor de la Sala de Casación Laboral de esta Corte, y corrige cualquier otro que le sea contrario, en especial el condensado en las sentencias CSJ </w:t>
      </w:r>
      <w:proofErr w:type="spellStart"/>
      <w:r w:rsidRPr="00553FAE">
        <w:rPr>
          <w:rFonts w:ascii="Tahoma" w:eastAsia="Calibri" w:hAnsi="Tahoma" w:cs="Tahoma"/>
          <w:bCs/>
          <w:i/>
          <w:sz w:val="22"/>
          <w:lang w:val="es-ES" w:eastAsia="es-CO"/>
        </w:rPr>
        <w:t>SL3752</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SL4934</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SL1008</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SL1061</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SL2439</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SL2440</w:t>
      </w:r>
      <w:proofErr w:type="spellEnd"/>
      <w:r w:rsidRPr="00553FAE">
        <w:rPr>
          <w:rFonts w:ascii="Tahoma" w:eastAsia="Calibri" w:hAnsi="Tahoma" w:cs="Tahoma"/>
          <w:bCs/>
          <w:i/>
          <w:sz w:val="22"/>
          <w:lang w:val="es-ES" w:eastAsia="es-CO"/>
        </w:rPr>
        <w:t xml:space="preserve">-2021 y CSJ </w:t>
      </w:r>
      <w:proofErr w:type="spellStart"/>
      <w:r w:rsidRPr="00553FAE">
        <w:rPr>
          <w:rFonts w:ascii="Tahoma" w:eastAsia="Calibri" w:hAnsi="Tahoma" w:cs="Tahoma"/>
          <w:bCs/>
          <w:i/>
          <w:sz w:val="22"/>
          <w:lang w:val="es-ES" w:eastAsia="es-CO"/>
        </w:rPr>
        <w:t>SL2753</w:t>
      </w:r>
      <w:proofErr w:type="spellEnd"/>
      <w:r w:rsidRPr="00553FAE">
        <w:rPr>
          <w:rFonts w:ascii="Tahoma" w:eastAsia="Calibri" w:hAnsi="Tahoma" w:cs="Tahoma"/>
          <w:bCs/>
          <w:i/>
          <w:sz w:val="22"/>
          <w:lang w:val="es-ES" w:eastAsia="es-CO"/>
        </w:rPr>
        <w:t>-2021”.</w:t>
      </w:r>
    </w:p>
    <w:p w14:paraId="58CE0AA7" w14:textId="77777777" w:rsidR="009C0356" w:rsidRPr="00D11B68"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737B8799" w14:textId="77777777" w:rsidR="009C0356" w:rsidRPr="00D11B68" w:rsidRDefault="009C0356" w:rsidP="009C0356">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 xml:space="preserve">Posteriormente, la sentencia CSJ </w:t>
      </w:r>
      <w:proofErr w:type="spellStart"/>
      <w:r w:rsidRPr="00D11B68">
        <w:rPr>
          <w:rFonts w:ascii="Tahoma" w:eastAsia="Calibri" w:hAnsi="Tahoma" w:cs="Tahoma"/>
          <w:bCs/>
          <w:lang w:eastAsia="es-CO"/>
        </w:rPr>
        <w:t>SL1055</w:t>
      </w:r>
      <w:proofErr w:type="spellEnd"/>
      <w:r w:rsidRPr="00D11B68">
        <w:rPr>
          <w:rFonts w:ascii="Tahoma" w:eastAsia="Calibri" w:hAnsi="Tahoma" w:cs="Tahoma"/>
          <w:bCs/>
          <w:lang w:eastAsia="es-CO"/>
        </w:rPr>
        <w:t xml:space="preserve">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 xml:space="preserve">CSJ </w:t>
      </w:r>
      <w:proofErr w:type="spellStart"/>
      <w:r w:rsidRPr="00D11B68">
        <w:rPr>
          <w:rFonts w:ascii="Tahoma" w:eastAsia="Calibri" w:hAnsi="Tahoma" w:cs="Tahoma"/>
          <w:bCs/>
          <w:lang w:val="es-ES" w:eastAsia="es-CO"/>
        </w:rPr>
        <w:t>SL249</w:t>
      </w:r>
      <w:proofErr w:type="spellEnd"/>
      <w:r w:rsidRPr="00D11B68">
        <w:rPr>
          <w:rFonts w:ascii="Tahoma" w:eastAsia="Calibri" w:hAnsi="Tahoma" w:cs="Tahoma"/>
          <w:bCs/>
          <w:lang w:val="es-ES" w:eastAsia="es-CO"/>
        </w:rPr>
        <w:t xml:space="preserve">-2022 y </w:t>
      </w:r>
      <w:proofErr w:type="spellStart"/>
      <w:r w:rsidRPr="00D11B68">
        <w:rPr>
          <w:rFonts w:ascii="Tahoma" w:eastAsia="Calibri" w:hAnsi="Tahoma" w:cs="Tahoma"/>
          <w:bCs/>
          <w:lang w:val="es-ES" w:eastAsia="es-CO"/>
        </w:rPr>
        <w:t>SL259</w:t>
      </w:r>
      <w:proofErr w:type="spellEnd"/>
      <w:r w:rsidRPr="00D11B68">
        <w:rPr>
          <w:rFonts w:ascii="Tahoma" w:eastAsia="Calibri" w:hAnsi="Tahoma" w:cs="Tahoma"/>
          <w:bCs/>
          <w:lang w:val="es-ES" w:eastAsia="es-CO"/>
        </w:rPr>
        <w:t>-2022, y en su lugar ratificó:</w:t>
      </w:r>
    </w:p>
    <w:p w14:paraId="650DFE1A" w14:textId="77777777" w:rsidR="009C0356" w:rsidRPr="00D11B68"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4DA1FA8"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“los actos u omisiones posteriores del afiliado, bien sea porque se trasladó entre fondos privados o no retornó a prima media en las oportunidades legales previstas, no pueden validar el desacato legal que genera la ineficacia del acto jurídico del traslado de </w:t>
      </w:r>
      <w:r w:rsidRPr="00553FAE">
        <w:rPr>
          <w:rFonts w:ascii="Tahoma" w:eastAsia="Calibri" w:hAnsi="Tahoma" w:cs="Tahoma"/>
          <w:bCs/>
          <w:i/>
          <w:sz w:val="22"/>
          <w:lang w:val="es-ES" w:eastAsia="es-CO"/>
        </w:rPr>
        <w:lastRenderedPageBreak/>
        <w:t>régimen, precisamente porque al ser posteriores dejan intactos los hechos u omisiones que anteceden al acto jurídico ineficaz, el cual no puede sanearse como la nulidad”</w:t>
      </w:r>
    </w:p>
    <w:p w14:paraId="1EFD65AC" w14:textId="77777777" w:rsidR="009C0356" w:rsidRPr="00D11B68" w:rsidRDefault="009C0356" w:rsidP="009C0356">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7A3231B3" w14:textId="77777777" w:rsidR="009C0356" w:rsidRPr="00D11B68"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 xml:space="preserve">Igual cosa se ha predicado de las </w:t>
      </w:r>
      <w:proofErr w:type="spellStart"/>
      <w:r w:rsidRPr="00D11B68">
        <w:rPr>
          <w:rFonts w:ascii="Tahoma" w:eastAsia="Calibri" w:hAnsi="Tahoma" w:cs="Tahoma"/>
          <w:bCs/>
          <w:lang w:eastAsia="es-CO"/>
        </w:rPr>
        <w:t>reasesorías</w:t>
      </w:r>
      <w:proofErr w:type="spellEnd"/>
      <w:r w:rsidRPr="00D11B68">
        <w:rPr>
          <w:rFonts w:ascii="Tahoma" w:eastAsia="Calibri" w:hAnsi="Tahoma" w:cs="Tahoma"/>
          <w:bCs/>
          <w:lang w:eastAsia="es-CO"/>
        </w:rPr>
        <w:t xml:space="preserve">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w:t>
      </w:r>
      <w:proofErr w:type="spellStart"/>
      <w:r w:rsidRPr="00D11B68">
        <w:rPr>
          <w:rFonts w:ascii="Tahoma" w:eastAsia="Calibri" w:hAnsi="Tahoma" w:cs="Tahoma"/>
          <w:lang w:eastAsia="es-CO"/>
        </w:rPr>
        <w:t>SL</w:t>
      </w:r>
      <w:proofErr w:type="spellEnd"/>
      <w:r w:rsidRPr="00D11B68">
        <w:rPr>
          <w:rFonts w:ascii="Tahoma" w:eastAsia="Calibri" w:hAnsi="Tahoma" w:cs="Tahoma"/>
          <w:lang w:eastAsia="es-CO"/>
        </w:rPr>
        <w:t xml:space="preserve"> 1688-2019, así: </w:t>
      </w:r>
    </w:p>
    <w:p w14:paraId="72A9A566" w14:textId="77777777" w:rsidR="009C0356" w:rsidRPr="00D11B68"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713B202E"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“Ahora, si bien la AFP brindó a la actora una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044E74BC"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50E0F2B0"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primer término, porque el traslado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implicó la pérdida de los beneficios derivados de la transición al no contar la demandante con 15 años de cotización o servicios a 1 de abril de 1994. Es decir, así se hubiese trasladado la demandante al día siguiente de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de todas formas, ya había perdido la transición.</w:t>
      </w:r>
    </w:p>
    <w:p w14:paraId="60CB3216"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E4D6243"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29BF903D"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350D3D37"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otro lado, no es de recibo el planteo de Protección S.A., cuando sostiene que una vez realizó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Myriam Arroyave Henao no mostró interés en la ineficacia de la vinculación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al conservar su status de afiliada durante un tiempo, Se dice lo anterior ya que la sugerencia de Protección S.A. de regresar al </w:t>
      </w:r>
      <w:proofErr w:type="spellStart"/>
      <w:r w:rsidRPr="00553FAE">
        <w:rPr>
          <w:rFonts w:ascii="Tahoma" w:eastAsia="Calibri" w:hAnsi="Tahoma" w:cs="Tahoma"/>
          <w:bCs/>
          <w:i/>
          <w:sz w:val="22"/>
          <w:lang w:val="es-ES" w:eastAsia="es-CO"/>
        </w:rPr>
        <w:t>RPMPD</w:t>
      </w:r>
      <w:proofErr w:type="spellEnd"/>
      <w:r w:rsidRPr="00553FAE">
        <w:rPr>
          <w:rFonts w:ascii="Tahoma" w:eastAsia="Calibri" w:hAnsi="Tahoma" w:cs="Tahoma"/>
          <w:bCs/>
          <w:i/>
          <w:sz w:val="22"/>
          <w:lang w:val="es-ES" w:eastAsia="es-CO"/>
        </w:rPr>
        <w:t xml:space="preserve">, se produjo el 26 de noviembre de 2003, y el formulario para la nueva afiliación al </w:t>
      </w:r>
      <w:proofErr w:type="spellStart"/>
      <w:r w:rsidRPr="00553FAE">
        <w:rPr>
          <w:rFonts w:ascii="Tahoma" w:eastAsia="Calibri" w:hAnsi="Tahoma" w:cs="Tahoma"/>
          <w:bCs/>
          <w:i/>
          <w:sz w:val="22"/>
          <w:lang w:val="es-ES" w:eastAsia="es-CO"/>
        </w:rPr>
        <w:t>ISS</w:t>
      </w:r>
      <w:proofErr w:type="spellEnd"/>
      <w:r w:rsidRPr="00553FAE">
        <w:rPr>
          <w:rFonts w:ascii="Tahoma" w:eastAsia="Calibri" w:hAnsi="Tahoma" w:cs="Tahoma"/>
          <w:bCs/>
          <w:i/>
          <w:sz w:val="22"/>
          <w:lang w:val="es-ES" w:eastAsia="es-CO"/>
        </w:rPr>
        <w:t xml:space="preserve">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57F244A4" w14:textId="77777777" w:rsidR="009C0356" w:rsidRPr="00D11B68" w:rsidRDefault="009C0356" w:rsidP="009C0356">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0440235F" w14:textId="77777777" w:rsidR="009C0356" w:rsidRPr="00D11B68" w:rsidRDefault="009C0356" w:rsidP="009C0356">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4297 de 2022, la Sala laboral desde la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9 sep. 2008, rad. 31989 ha sostenido la siguiente regla de decisión respecto de los conocidos actos de relacionamiento: </w:t>
      </w:r>
    </w:p>
    <w:p w14:paraId="2B99942F" w14:textId="77777777" w:rsidR="009C0356" w:rsidRPr="00D11B68" w:rsidRDefault="009C0356" w:rsidP="009C0356">
      <w:pPr>
        <w:spacing w:before="0" w:beforeAutospacing="0" w:after="0" w:afterAutospacing="0" w:line="276" w:lineRule="auto"/>
        <w:ind w:firstLine="0"/>
        <w:contextualSpacing/>
        <w:rPr>
          <w:rFonts w:ascii="Tahoma" w:eastAsia="Calibri" w:hAnsi="Tahoma" w:cs="Tahoma"/>
          <w:iCs/>
          <w:lang w:val="es-ES"/>
        </w:rPr>
      </w:pPr>
    </w:p>
    <w:p w14:paraId="3DD68A0B"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6A7A9FF6" w14:textId="77777777" w:rsidR="009C0356" w:rsidRPr="00D11B68"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7D5783A5" w14:textId="77777777" w:rsidR="009C0356" w:rsidRPr="00D11B68" w:rsidRDefault="009C0356" w:rsidP="009C0356">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D11B68">
        <w:rPr>
          <w:rFonts w:ascii="Tahoma" w:eastAsia="Calibri" w:hAnsi="Tahoma" w:cs="Tahoma"/>
          <w:iCs/>
          <w:lang w:val="es-ES"/>
        </w:rPr>
        <w:lastRenderedPageBreak/>
        <w:t>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216244A2" w14:textId="77777777" w:rsidR="009C0356" w:rsidRPr="00D11B68" w:rsidRDefault="009C0356" w:rsidP="009C0356">
      <w:pPr>
        <w:spacing w:before="0" w:beforeAutospacing="0" w:after="0" w:afterAutospacing="0" w:line="276" w:lineRule="auto"/>
        <w:ind w:left="426" w:right="420" w:firstLine="0"/>
        <w:contextualSpacing/>
        <w:rPr>
          <w:rFonts w:ascii="Tahoma" w:eastAsia="Calibri" w:hAnsi="Tahoma" w:cs="Tahoma"/>
          <w:i/>
          <w:lang w:val="es-ES"/>
        </w:rPr>
      </w:pPr>
    </w:p>
    <w:p w14:paraId="51EFBFB6" w14:textId="77777777" w:rsidR="009C0356" w:rsidRPr="00553FAE"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w:t>
      </w:r>
      <w:proofErr w:type="spellStart"/>
      <w:r w:rsidRPr="00553FAE">
        <w:rPr>
          <w:rFonts w:ascii="Tahoma" w:eastAsia="Calibri" w:hAnsi="Tahoma" w:cs="Tahoma"/>
          <w:bCs/>
          <w:i/>
          <w:sz w:val="22"/>
          <w:lang w:val="es-ES" w:eastAsia="es-CO"/>
        </w:rPr>
        <w:t>Anzola</w:t>
      </w:r>
      <w:proofErr w:type="spellEnd"/>
      <w:r w:rsidRPr="00553FAE">
        <w:rPr>
          <w:rFonts w:ascii="Tahoma" w:eastAsia="Calibri" w:hAnsi="Tahoma" w:cs="Tahoma"/>
          <w:bCs/>
          <w:i/>
          <w:sz w:val="22"/>
          <w:lang w:val="es-ES" w:eastAsia="es-CO"/>
        </w:rPr>
        <w:t>”.</w:t>
      </w:r>
    </w:p>
    <w:p w14:paraId="759A802E" w14:textId="77777777" w:rsidR="009C0356" w:rsidRPr="001B705F" w:rsidRDefault="009C0356" w:rsidP="009C0356">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43346776" w14:textId="77777777" w:rsidR="009C0356" w:rsidRPr="00412A82"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“De la carga de la prueba – Inversión a favor del afiliado” </w:t>
      </w:r>
      <w:r w:rsidRPr="00AB4C1E">
        <w:rPr>
          <w:rFonts w:ascii="Tahoma" w:eastAsia="Calibri" w:hAnsi="Tahoma" w:cs="Tahoma"/>
          <w:b/>
          <w:iCs/>
          <w:vertAlign w:val="superscript"/>
          <w:lang w:eastAsia="es-CO"/>
        </w:rPr>
        <w:footnoteReference w:id="10"/>
      </w:r>
    </w:p>
    <w:p w14:paraId="4C71F25B" w14:textId="77777777" w:rsidR="009C0356" w:rsidRPr="00412A82"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4A6B7AC1"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185114F5" w14:textId="77777777" w:rsidR="009C0356" w:rsidRPr="001B705F"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99DC27B"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343AF3D4"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4A8CB54"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6A8D4202"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82A4787"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906E91A"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92942DE"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7EF70FDE"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728B3F4"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1F8C7EAB"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BE43697"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w:t>
      </w:r>
      <w:r w:rsidRPr="001B705F">
        <w:rPr>
          <w:rFonts w:ascii="Tahoma" w:eastAsia="Calibri" w:hAnsi="Tahoma" w:cs="Tahoma"/>
          <w:bCs/>
          <w:i/>
          <w:sz w:val="22"/>
          <w:lang w:val="es-ES" w:eastAsia="es-CO"/>
        </w:rPr>
        <w:lastRenderedPageBreak/>
        <w:t xml:space="preserve">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2D0F4235"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D6BAEC4"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671C61ED" w14:textId="77777777" w:rsidR="009C0356" w:rsidRPr="001B705F" w:rsidRDefault="009C0356" w:rsidP="009C0356">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6E5C14D" w14:textId="77777777" w:rsidR="009C0356" w:rsidRPr="00AB4C1E" w:rsidRDefault="009C0356" w:rsidP="009C0356">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 la ineficacia del traslado de régimen pensional.</w:t>
      </w:r>
    </w:p>
    <w:p w14:paraId="773578A4" w14:textId="77777777" w:rsidR="009C0356" w:rsidRPr="00412A82" w:rsidRDefault="009C0356" w:rsidP="009C0356">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59622B54"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w:t>
      </w:r>
      <w:proofErr w:type="spellStart"/>
      <w:r w:rsidRPr="001B705F">
        <w:rPr>
          <w:rFonts w:ascii="Tahoma" w:eastAsia="Calibri" w:hAnsi="Tahoma" w:cs="Tahoma"/>
          <w:lang w:eastAsia="es-CO"/>
        </w:rPr>
        <w:t>SL</w:t>
      </w:r>
      <w:proofErr w:type="spellEnd"/>
      <w:r w:rsidRPr="001B705F">
        <w:rPr>
          <w:rFonts w:ascii="Tahoma" w:eastAsia="Calibri" w:hAnsi="Tahoma" w:cs="Tahoma"/>
          <w:lang w:eastAsia="es-CO"/>
        </w:rPr>
        <w:t xml:space="preserve"> 4297-2022, </w:t>
      </w:r>
      <w:r w:rsidRPr="001B705F">
        <w:rPr>
          <w:rFonts w:ascii="Tahoma" w:eastAsia="Calibri" w:hAnsi="Tahoma" w:cs="Tahoma"/>
          <w:lang w:val="es-ES" w:eastAsia="es-CO"/>
        </w:rPr>
        <w:t xml:space="preserve">CSJ </w:t>
      </w:r>
      <w:proofErr w:type="spellStart"/>
      <w:r w:rsidRPr="001B705F">
        <w:rPr>
          <w:rFonts w:ascii="Tahoma" w:eastAsia="Calibri" w:hAnsi="Tahoma" w:cs="Tahoma"/>
          <w:lang w:val="es-ES" w:eastAsia="es-CO"/>
        </w:rPr>
        <w:t>SL3871</w:t>
      </w:r>
      <w:proofErr w:type="spellEnd"/>
      <w:r w:rsidRPr="001B705F">
        <w:rPr>
          <w:rFonts w:ascii="Tahoma" w:eastAsia="Calibri" w:hAnsi="Tahoma" w:cs="Tahoma"/>
          <w:lang w:val="es-ES" w:eastAsia="es-CO"/>
        </w:rPr>
        <w:t xml:space="preserve">-2021,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3611-2021, CSJ </w:t>
      </w:r>
      <w:proofErr w:type="spellStart"/>
      <w:r w:rsidRPr="001B705F">
        <w:rPr>
          <w:rFonts w:ascii="Tahoma" w:eastAsia="Calibri" w:hAnsi="Tahoma" w:cs="Tahoma"/>
          <w:lang w:val="es-ES" w:eastAsia="es-CO"/>
        </w:rPr>
        <w:t>SL3537</w:t>
      </w:r>
      <w:proofErr w:type="spellEnd"/>
      <w:r w:rsidRPr="001B705F">
        <w:rPr>
          <w:rFonts w:ascii="Tahoma" w:eastAsia="Calibri" w:hAnsi="Tahoma" w:cs="Tahoma"/>
          <w:lang w:val="es-ES" w:eastAsia="es-CO"/>
        </w:rPr>
        <w:t xml:space="preserve">-2021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26252A2E"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7ACFF96E"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17A0DF2F"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119EC90C"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proofErr w:type="spellStart"/>
      <w:r w:rsidRPr="001B705F">
        <w:rPr>
          <w:rFonts w:ascii="Tahoma" w:eastAsia="Calibri" w:hAnsi="Tahoma" w:cs="Tahoma"/>
          <w:lang w:val="es-ES" w:eastAsia="es-CO"/>
        </w:rPr>
        <w:t>SL1084</w:t>
      </w:r>
      <w:proofErr w:type="spellEnd"/>
      <w:r w:rsidRPr="001B705F">
        <w:rPr>
          <w:rFonts w:ascii="Tahoma" w:eastAsia="Calibri" w:hAnsi="Tahoma" w:cs="Tahoma"/>
          <w:lang w:val="es-ES" w:eastAsia="es-CO"/>
        </w:rPr>
        <w:t xml:space="preserve">-2023,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932-2023,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4297-2022, CSJ </w:t>
      </w:r>
      <w:proofErr w:type="spellStart"/>
      <w:r w:rsidRPr="001B705F">
        <w:rPr>
          <w:rFonts w:ascii="Tahoma" w:eastAsia="Calibri" w:hAnsi="Tahoma" w:cs="Tahoma"/>
          <w:lang w:val="es-ES" w:eastAsia="es-CO"/>
        </w:rPr>
        <w:t>SL3465</w:t>
      </w:r>
      <w:proofErr w:type="spellEnd"/>
      <w:r w:rsidRPr="001B705F">
        <w:rPr>
          <w:rFonts w:ascii="Tahoma" w:eastAsia="Calibri" w:hAnsi="Tahoma" w:cs="Tahoma"/>
          <w:lang w:val="es-ES" w:eastAsia="es-CO"/>
        </w:rPr>
        <w:t xml:space="preserve">-2022, CSJ </w:t>
      </w:r>
      <w:proofErr w:type="spellStart"/>
      <w:r w:rsidRPr="001B705F">
        <w:rPr>
          <w:rFonts w:ascii="Tahoma" w:eastAsia="Calibri" w:hAnsi="Tahoma" w:cs="Tahoma"/>
          <w:lang w:val="es-ES" w:eastAsia="es-CO"/>
        </w:rPr>
        <w:t>SL2229</w:t>
      </w:r>
      <w:proofErr w:type="spellEnd"/>
      <w:r w:rsidRPr="001B705F">
        <w:rPr>
          <w:rFonts w:ascii="Tahoma" w:eastAsia="Calibri" w:hAnsi="Tahoma" w:cs="Tahoma"/>
          <w:lang w:val="es-ES" w:eastAsia="es-CO"/>
        </w:rPr>
        <w:t xml:space="preserve">-2022 y CSJ </w:t>
      </w:r>
      <w:proofErr w:type="spellStart"/>
      <w:r w:rsidRPr="001B705F">
        <w:rPr>
          <w:rFonts w:ascii="Tahoma" w:eastAsia="Calibri" w:hAnsi="Tahoma" w:cs="Tahoma"/>
          <w:lang w:val="es-ES" w:eastAsia="es-CO"/>
        </w:rPr>
        <w:t>SL3188</w:t>
      </w:r>
      <w:proofErr w:type="spellEnd"/>
      <w:r w:rsidRPr="001B705F">
        <w:rPr>
          <w:rFonts w:ascii="Tahoma" w:eastAsia="Calibri" w:hAnsi="Tahoma" w:cs="Tahoma"/>
          <w:lang w:val="es-ES" w:eastAsia="es-CO"/>
        </w:rPr>
        <w:t xml:space="preserve">-2022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139382F7" w14:textId="77777777" w:rsidR="009C0356" w:rsidRPr="001B705F" w:rsidRDefault="009C0356" w:rsidP="009C0356">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1D13FAA6"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22837FA2"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9C42EB6" w14:textId="77777777" w:rsidR="009C0356" w:rsidRPr="001B705F" w:rsidRDefault="009C0356" w:rsidP="009C0356">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Asimismo, al momento de cumplirse esta orden, tales valores deberán aparecer discriminados con sus respectivos montos, junto con el detalle pormenorizado de los ciclos, </w:t>
      </w:r>
      <w:proofErr w:type="spellStart"/>
      <w:r w:rsidRPr="001B705F">
        <w:rPr>
          <w:rFonts w:ascii="Tahoma" w:eastAsia="Calibri" w:hAnsi="Tahoma" w:cs="Tahoma"/>
          <w:bCs/>
          <w:i/>
          <w:sz w:val="22"/>
          <w:lang w:val="es-ES" w:eastAsia="es-CO"/>
        </w:rPr>
        <w:t>IBC</w:t>
      </w:r>
      <w:proofErr w:type="spellEnd"/>
      <w:r w:rsidRPr="001B705F">
        <w:rPr>
          <w:rFonts w:ascii="Tahoma" w:eastAsia="Calibri" w:hAnsi="Tahoma" w:cs="Tahoma"/>
          <w:bCs/>
          <w:i/>
          <w:sz w:val="22"/>
          <w:lang w:val="es-ES" w:eastAsia="es-CO"/>
        </w:rPr>
        <w:t>, aportes y demás información relevante que los justifiquen”.</w:t>
      </w:r>
    </w:p>
    <w:p w14:paraId="30717061" w14:textId="2B6A3E2E" w:rsidR="7A0CB1B8" w:rsidRPr="000971EE" w:rsidRDefault="7A0CB1B8" w:rsidP="000971EE">
      <w:pPr>
        <w:widowControl w:val="0"/>
        <w:spacing w:before="0" w:beforeAutospacing="0" w:after="0" w:afterAutospacing="0" w:line="276" w:lineRule="auto"/>
        <w:ind w:left="708" w:firstLine="0"/>
        <w:rPr>
          <w:rFonts w:ascii="Tahoma" w:eastAsia="Calibri" w:hAnsi="Tahoma" w:cs="Tahoma"/>
          <w:i/>
          <w:iCs/>
          <w:lang w:val="es-ES" w:eastAsia="es-CO"/>
        </w:rPr>
      </w:pPr>
    </w:p>
    <w:p w14:paraId="374A8266" w14:textId="77777777" w:rsidR="008C3C1E" w:rsidRPr="000971EE" w:rsidRDefault="008C3C1E" w:rsidP="000971E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0971EE">
        <w:rPr>
          <w:rFonts w:ascii="Tahoma" w:eastAsia="Calibri" w:hAnsi="Tahoma" w:cs="Tahoma"/>
          <w:b/>
          <w:lang w:eastAsia="es-CO"/>
        </w:rPr>
        <w:lastRenderedPageBreak/>
        <w:t>Caso concreto</w:t>
      </w:r>
    </w:p>
    <w:p w14:paraId="40794418" w14:textId="77777777" w:rsidR="008C3C1E" w:rsidRPr="000971EE" w:rsidRDefault="008C3C1E" w:rsidP="000971E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19C7201D" w:rsidR="00DF6BCE" w:rsidRPr="000971EE" w:rsidRDefault="00DF6BCE"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 xml:space="preserve">Se pretende por esta vía ordinaria que se declare la </w:t>
      </w:r>
      <w:r w:rsidR="00E41090" w:rsidRPr="000971EE">
        <w:rPr>
          <w:rFonts w:ascii="Tahoma" w:eastAsia="Calibri" w:hAnsi="Tahoma" w:cs="Tahoma"/>
          <w:lang w:eastAsia="es-CO"/>
        </w:rPr>
        <w:t xml:space="preserve">ineficacia </w:t>
      </w:r>
      <w:r w:rsidRPr="000971EE">
        <w:rPr>
          <w:rFonts w:ascii="Tahoma" w:eastAsia="Calibri" w:hAnsi="Tahoma" w:cs="Tahoma"/>
          <w:lang w:eastAsia="es-CO"/>
        </w:rPr>
        <w:t xml:space="preserve">del traslado del régimen de prima media con prestación definida al de ahorro individual con solidaridad, que realizó </w:t>
      </w:r>
      <w:r w:rsidR="00612B91" w:rsidRPr="000971EE">
        <w:rPr>
          <w:rFonts w:ascii="Tahoma" w:eastAsia="Calibri" w:hAnsi="Tahoma" w:cs="Tahoma"/>
          <w:lang w:eastAsia="es-CO"/>
        </w:rPr>
        <w:t>e</w:t>
      </w:r>
      <w:r w:rsidRPr="000971EE">
        <w:rPr>
          <w:rFonts w:ascii="Tahoma" w:eastAsia="Calibri" w:hAnsi="Tahoma" w:cs="Tahoma"/>
          <w:lang w:eastAsia="es-CO"/>
        </w:rPr>
        <w:t xml:space="preserve">l actor a través </w:t>
      </w:r>
      <w:r w:rsidR="004B1E65" w:rsidRPr="000971EE">
        <w:rPr>
          <w:rFonts w:ascii="Tahoma" w:eastAsia="Calibri" w:hAnsi="Tahoma" w:cs="Tahoma"/>
          <w:lang w:eastAsia="es-CO"/>
        </w:rPr>
        <w:t>de</w:t>
      </w:r>
      <w:r w:rsidR="00627746" w:rsidRPr="000971EE">
        <w:rPr>
          <w:rFonts w:ascii="Tahoma" w:eastAsia="Calibri" w:hAnsi="Tahoma" w:cs="Tahoma"/>
          <w:lang w:eastAsia="es-CO"/>
        </w:rPr>
        <w:t xml:space="preserve"> </w:t>
      </w:r>
      <w:r w:rsidR="00F80E97" w:rsidRPr="000971EE">
        <w:rPr>
          <w:rFonts w:ascii="Tahoma" w:eastAsia="Calibri" w:hAnsi="Tahoma" w:cs="Tahoma"/>
          <w:lang w:eastAsia="es-CO"/>
        </w:rPr>
        <w:t>PROTECCIÓN</w:t>
      </w:r>
      <w:r w:rsidR="00824E27" w:rsidRPr="000971EE">
        <w:rPr>
          <w:rFonts w:ascii="Tahoma" w:eastAsia="Calibri" w:hAnsi="Tahoma" w:cs="Tahoma"/>
          <w:lang w:eastAsia="es-CO"/>
        </w:rPr>
        <w:t xml:space="preserve"> </w:t>
      </w:r>
      <w:r w:rsidR="00627746" w:rsidRPr="000971EE">
        <w:rPr>
          <w:rFonts w:ascii="Tahoma" w:eastAsia="Calibri" w:hAnsi="Tahoma" w:cs="Tahoma"/>
          <w:lang w:eastAsia="es-CO"/>
        </w:rPr>
        <w:t>S.A.</w:t>
      </w:r>
      <w:r w:rsidR="002204B1" w:rsidRPr="000971EE">
        <w:rPr>
          <w:rFonts w:ascii="Tahoma" w:eastAsia="Calibri" w:hAnsi="Tahoma" w:cs="Tahoma"/>
          <w:lang w:eastAsia="es-CO"/>
        </w:rPr>
        <w:t xml:space="preserve"> </w:t>
      </w:r>
      <w:r w:rsidR="00824E27" w:rsidRPr="000971EE">
        <w:rPr>
          <w:rFonts w:ascii="Tahoma" w:eastAsia="Calibri" w:hAnsi="Tahoma" w:cs="Tahoma"/>
          <w:lang w:eastAsia="es-CO"/>
        </w:rPr>
        <w:t xml:space="preserve">el </w:t>
      </w:r>
      <w:r w:rsidR="008A389B" w:rsidRPr="000971EE">
        <w:rPr>
          <w:rFonts w:ascii="Tahoma" w:eastAsia="Calibri" w:hAnsi="Tahoma" w:cs="Tahoma"/>
          <w:lang w:eastAsia="es-CO"/>
        </w:rPr>
        <w:t>08 de octubre de 1993</w:t>
      </w:r>
      <w:r w:rsidR="007C401D" w:rsidRPr="000971EE">
        <w:rPr>
          <w:rFonts w:ascii="Tahoma" w:eastAsia="Calibri" w:hAnsi="Tahoma" w:cs="Tahoma"/>
          <w:vertAlign w:val="superscript"/>
          <w:lang w:eastAsia="es-CO"/>
        </w:rPr>
        <w:footnoteReference w:id="11"/>
      </w:r>
      <w:r w:rsidR="00772573" w:rsidRPr="000971EE">
        <w:rPr>
          <w:rFonts w:ascii="Tahoma" w:eastAsia="Calibri" w:hAnsi="Tahoma" w:cs="Tahoma"/>
          <w:lang w:eastAsia="es-CO"/>
        </w:rPr>
        <w:t xml:space="preserve"> efectivo el 01 de diciembre de 1997</w:t>
      </w:r>
      <w:r w:rsidR="00686B8F" w:rsidRPr="000971EE">
        <w:rPr>
          <w:rFonts w:ascii="Tahoma" w:eastAsia="Calibri" w:hAnsi="Tahoma" w:cs="Tahoma"/>
          <w:lang w:eastAsia="es-CO"/>
        </w:rPr>
        <w:t xml:space="preserve">, </w:t>
      </w:r>
      <w:r w:rsidRPr="000971EE">
        <w:rPr>
          <w:rFonts w:ascii="Tahoma" w:eastAsia="Calibri" w:hAnsi="Tahoma" w:cs="Tahoma"/>
          <w:lang w:eastAsia="es-CO"/>
        </w:rPr>
        <w:t>dada la omisión de información clara y precisa, que ha debido brindarle la AFP a</w:t>
      </w:r>
      <w:r w:rsidR="00612B91" w:rsidRPr="000971EE">
        <w:rPr>
          <w:rFonts w:ascii="Tahoma" w:eastAsia="Calibri" w:hAnsi="Tahoma" w:cs="Tahoma"/>
          <w:lang w:eastAsia="es-CO"/>
        </w:rPr>
        <w:t xml:space="preserve">l demandante </w:t>
      </w:r>
      <w:r w:rsidRPr="000971EE">
        <w:rPr>
          <w:rFonts w:ascii="Tahoma" w:eastAsia="Calibri" w:hAnsi="Tahoma" w:cs="Tahoma"/>
          <w:lang w:eastAsia="es-CO"/>
        </w:rPr>
        <w:t>en orden a conocer las condiciones y consecuencias de migración de régimen</w:t>
      </w:r>
      <w:r w:rsidR="00627746" w:rsidRPr="000971EE">
        <w:rPr>
          <w:rFonts w:ascii="Tahoma" w:eastAsia="Calibri" w:hAnsi="Tahoma" w:cs="Tahoma"/>
          <w:lang w:eastAsia="es-CO"/>
        </w:rPr>
        <w:t>.</w:t>
      </w:r>
    </w:p>
    <w:p w14:paraId="7D698358" w14:textId="77777777" w:rsidR="00DF6BCE" w:rsidRPr="000971EE" w:rsidRDefault="00DF6BCE"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4695B511" w:rsidR="00DF6BCE" w:rsidRPr="000971EE" w:rsidRDefault="00DF6BCE"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al</w:t>
      </w:r>
      <w:r w:rsidR="00612B91" w:rsidRPr="000971EE">
        <w:rPr>
          <w:rFonts w:ascii="Tahoma" w:eastAsia="Calibri" w:hAnsi="Tahoma" w:cs="Tahoma"/>
          <w:lang w:eastAsia="es-CO"/>
        </w:rPr>
        <w:t xml:space="preserve"> </w:t>
      </w:r>
      <w:r w:rsidRPr="000971EE">
        <w:rPr>
          <w:rFonts w:ascii="Tahoma" w:eastAsia="Calibri" w:hAnsi="Tahoma" w:cs="Tahoma"/>
          <w:lang w:eastAsia="es-CO"/>
        </w:rPr>
        <w:t>afiliad</w:t>
      </w:r>
      <w:r w:rsidR="00612B91" w:rsidRPr="000971EE">
        <w:rPr>
          <w:rFonts w:ascii="Tahoma" w:eastAsia="Calibri" w:hAnsi="Tahoma" w:cs="Tahoma"/>
          <w:lang w:eastAsia="es-CO"/>
        </w:rPr>
        <w:t>o</w:t>
      </w:r>
      <w:r w:rsidRPr="000971EE">
        <w:rPr>
          <w:rFonts w:ascii="Tahoma" w:eastAsia="Calibri" w:hAnsi="Tahoma" w:cs="Tahoma"/>
          <w:lang w:eastAsia="es-CO"/>
        </w:rPr>
        <w:t>, acerca del impacto del cambio de régimen pensional.</w:t>
      </w:r>
    </w:p>
    <w:p w14:paraId="45363650" w14:textId="4BCE6252" w:rsidR="00627746" w:rsidRPr="000971EE" w:rsidRDefault="00627746"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37BB27" w14:textId="2C957B92" w:rsidR="00381DE1" w:rsidRPr="000971EE" w:rsidRDefault="00381DE1"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 xml:space="preserve">En realidad, mínimo la AFP tendría que haber dado la siguiente información: </w:t>
      </w:r>
      <w:r w:rsidRPr="000971EE">
        <w:rPr>
          <w:rFonts w:ascii="Tahoma" w:eastAsia="Calibri" w:hAnsi="Tahoma" w:cs="Tahoma"/>
          <w:i/>
          <w:lang w:eastAsia="es-CO"/>
        </w:rPr>
        <w:t xml:space="preserve">i) </w:t>
      </w:r>
      <w:r w:rsidRPr="000971EE">
        <w:rPr>
          <w:rFonts w:ascii="Tahoma" w:eastAsia="Calibri" w:hAnsi="Tahoma" w:cs="Tahoma"/>
          <w:lang w:eastAsia="es-CO"/>
        </w:rPr>
        <w:t xml:space="preserve">Que, dependiendo del capital, puede pensionarse anticipadamente, esto es, antes de la edad mínima para la pensión de vejez. </w:t>
      </w:r>
      <w:r w:rsidRPr="000971EE">
        <w:rPr>
          <w:rFonts w:ascii="Tahoma" w:eastAsia="Calibri" w:hAnsi="Tahoma" w:cs="Tahoma"/>
          <w:i/>
          <w:lang w:eastAsia="es-CO"/>
        </w:rPr>
        <w:t xml:space="preserve">ii) </w:t>
      </w:r>
      <w:r w:rsidRPr="000971EE">
        <w:rPr>
          <w:rFonts w:ascii="Tahoma" w:eastAsia="Calibri" w:hAnsi="Tahoma" w:cs="Tahoma"/>
          <w:lang w:eastAsia="es-CO"/>
        </w:rPr>
        <w:t xml:space="preserve">La posibilidad para sus herederos de hacerse a la devolución de saldos, en caso de que no existieran beneficiaros para la pensión de sobrevivientes. </w:t>
      </w:r>
      <w:r w:rsidRPr="000971EE">
        <w:rPr>
          <w:rFonts w:ascii="Tahoma" w:eastAsia="Calibri" w:hAnsi="Tahoma" w:cs="Tahoma"/>
          <w:i/>
          <w:lang w:eastAsia="es-CO"/>
        </w:rPr>
        <w:t xml:space="preserve">iii) </w:t>
      </w:r>
      <w:r w:rsidRPr="000971EE">
        <w:rPr>
          <w:rFonts w:ascii="Tahoma" w:eastAsia="Calibri" w:hAnsi="Tahoma" w:cs="Tahoma"/>
          <w:lang w:eastAsia="es-CO"/>
        </w:rPr>
        <w:t xml:space="preserve">La devolución total del saldo en caso de no alcanzar a reunir el total de los requisitos legales para optar al beneficio pensional. </w:t>
      </w:r>
      <w:r w:rsidRPr="000971EE">
        <w:rPr>
          <w:rFonts w:ascii="Tahoma" w:eastAsia="Calibri" w:hAnsi="Tahoma" w:cs="Tahoma"/>
          <w:i/>
          <w:lang w:eastAsia="es-CO"/>
        </w:rPr>
        <w:t xml:space="preserve">iv) </w:t>
      </w:r>
      <w:r w:rsidRPr="000971EE">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0971EE">
        <w:rPr>
          <w:rFonts w:ascii="Tahoma" w:eastAsia="Calibri" w:hAnsi="Tahoma" w:cs="Tahoma"/>
          <w:i/>
          <w:lang w:eastAsia="es-CO"/>
        </w:rPr>
        <w:t xml:space="preserve">v) </w:t>
      </w:r>
      <w:r w:rsidRPr="000971EE">
        <w:rPr>
          <w:rFonts w:ascii="Tahoma" w:eastAsia="Calibri" w:hAnsi="Tahoma" w:cs="Tahoma"/>
          <w:lang w:eastAsia="es-CO"/>
        </w:rPr>
        <w:t xml:space="preserve">La posibilidad de que el reconocimiento de la pensión de vejez, una vez reunido los requisitos, se haga pronto. </w:t>
      </w:r>
      <w:r w:rsidRPr="000971EE">
        <w:rPr>
          <w:rFonts w:ascii="Tahoma" w:eastAsia="Calibri" w:hAnsi="Tahoma" w:cs="Tahoma"/>
          <w:i/>
          <w:lang w:eastAsia="es-CO"/>
        </w:rPr>
        <w:t xml:space="preserve">vi) </w:t>
      </w:r>
      <w:r w:rsidRPr="000971EE">
        <w:rPr>
          <w:rFonts w:ascii="Tahoma" w:eastAsia="Calibri" w:hAnsi="Tahoma" w:cs="Tahoma"/>
          <w:lang w:eastAsia="es-CO"/>
        </w:rPr>
        <w:t xml:space="preserve">La posibilidad de que sus aportes se conviertan en patrimonio </w:t>
      </w:r>
      <w:proofErr w:type="spellStart"/>
      <w:r w:rsidRPr="000971EE">
        <w:rPr>
          <w:rFonts w:ascii="Tahoma" w:eastAsia="Calibri" w:hAnsi="Tahoma" w:cs="Tahoma"/>
          <w:lang w:eastAsia="es-CO"/>
        </w:rPr>
        <w:t>sucesoral</w:t>
      </w:r>
      <w:proofErr w:type="spellEnd"/>
      <w:r w:rsidRPr="000971EE">
        <w:rPr>
          <w:rFonts w:ascii="Tahoma" w:eastAsia="Calibri" w:hAnsi="Tahoma" w:cs="Tahoma"/>
          <w:lang w:eastAsia="es-CO"/>
        </w:rPr>
        <w:t xml:space="preserve"> en un caso dado. </w:t>
      </w:r>
      <w:r w:rsidRPr="000971EE">
        <w:rPr>
          <w:rFonts w:ascii="Tahoma" w:eastAsia="Calibri" w:hAnsi="Tahoma" w:cs="Tahoma"/>
          <w:i/>
          <w:lang w:eastAsia="es-CO"/>
        </w:rPr>
        <w:t xml:space="preserve">vii) </w:t>
      </w:r>
      <w:r w:rsidRPr="000971EE">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0971EE">
        <w:rPr>
          <w:rFonts w:ascii="Tahoma" w:eastAsia="Calibri" w:hAnsi="Tahoma" w:cs="Tahoma"/>
          <w:i/>
          <w:lang w:eastAsia="es-CO"/>
        </w:rPr>
        <w:t xml:space="preserve">viii) </w:t>
      </w:r>
      <w:r w:rsidRPr="000971EE">
        <w:rPr>
          <w:rFonts w:ascii="Tahoma" w:eastAsia="Calibri" w:hAnsi="Tahoma" w:cs="Tahoma"/>
          <w:lang w:eastAsia="es-CO"/>
        </w:rPr>
        <w:t xml:space="preserve">Los rendimientos financieros que le generen sus aportes abonados sobre el saldo de su cuenta de ahorro individual; y, </w:t>
      </w:r>
      <w:r w:rsidRPr="000971EE">
        <w:rPr>
          <w:rFonts w:ascii="Tahoma" w:eastAsia="Calibri" w:hAnsi="Tahoma" w:cs="Tahoma"/>
          <w:i/>
          <w:lang w:eastAsia="es-CO"/>
        </w:rPr>
        <w:t xml:space="preserve">ix) </w:t>
      </w:r>
      <w:r w:rsidRPr="000971EE">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w:t>
      </w:r>
      <w:proofErr w:type="spellStart"/>
      <w:r w:rsidRPr="000971EE">
        <w:rPr>
          <w:rFonts w:ascii="Tahoma" w:eastAsia="Calibri" w:hAnsi="Tahoma" w:cs="Tahoma"/>
          <w:lang w:eastAsia="es-CO"/>
        </w:rPr>
        <w:t>sucesoral</w:t>
      </w:r>
      <w:proofErr w:type="spellEnd"/>
      <w:r w:rsidRPr="000971EE">
        <w:rPr>
          <w:rFonts w:ascii="Tahoma" w:eastAsia="Calibri" w:hAnsi="Tahoma" w:cs="Tahoma"/>
          <w:lang w:eastAsia="es-CO"/>
        </w:rPr>
        <w:t xml:space="preserve">, pero le garantiza una pensión de por vida. La modalidad de </w:t>
      </w:r>
      <w:r w:rsidRPr="000971EE">
        <w:rPr>
          <w:rFonts w:ascii="Tahoma" w:eastAsia="Calibri" w:hAnsi="Tahoma" w:cs="Tahoma"/>
          <w:i/>
          <w:lang w:eastAsia="es-CO"/>
        </w:rPr>
        <w:t>retiro programado</w:t>
      </w:r>
      <w:r w:rsidRPr="000971EE">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7DB2600F" w14:textId="3F1C1F5A" w:rsidR="00627746" w:rsidRPr="000971EE" w:rsidRDefault="00627746"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1AAA2E" w14:textId="2250EDF7" w:rsidR="00627746" w:rsidRPr="000971EE" w:rsidRDefault="00627746" w:rsidP="000971EE">
      <w:pPr>
        <w:pStyle w:val="paragraph"/>
        <w:spacing w:before="0" w:beforeAutospacing="0" w:after="0" w:afterAutospacing="0" w:line="276" w:lineRule="auto"/>
        <w:ind w:firstLine="705"/>
        <w:jc w:val="both"/>
        <w:textAlignment w:val="baseline"/>
        <w:rPr>
          <w:rFonts w:ascii="Tahoma" w:hAnsi="Tahoma" w:cs="Tahoma"/>
        </w:rPr>
      </w:pPr>
      <w:r w:rsidRPr="000971EE">
        <w:rPr>
          <w:rStyle w:val="normaltextrun"/>
          <w:rFonts w:ascii="Tahoma" w:hAnsi="Tahoma" w:cs="Tahoma"/>
        </w:rPr>
        <w:t xml:space="preserve">La AFP convocada al proceso </w:t>
      </w:r>
      <w:r w:rsidRPr="000971EE">
        <w:rPr>
          <w:rStyle w:val="normaltextrun"/>
          <w:rFonts w:ascii="Tahoma" w:hAnsi="Tahoma" w:cs="Tahoma"/>
          <w:color w:val="000000"/>
        </w:rPr>
        <w:t xml:space="preserve">afirma en su contestación de la demanda que </w:t>
      </w:r>
      <w:r w:rsidR="00E14793" w:rsidRPr="000971EE">
        <w:rPr>
          <w:rStyle w:val="normaltextrun"/>
          <w:rFonts w:ascii="Tahoma" w:hAnsi="Tahoma" w:cs="Tahoma"/>
          <w:color w:val="000000"/>
        </w:rPr>
        <w:t>brindó</w:t>
      </w:r>
      <w:r w:rsidRPr="000971EE">
        <w:rPr>
          <w:rStyle w:val="normaltextrun"/>
          <w:rFonts w:ascii="Tahoma" w:hAnsi="Tahoma" w:cs="Tahoma"/>
          <w:color w:val="000000"/>
        </w:rPr>
        <w:t xml:space="preserve"> </w:t>
      </w:r>
      <w:r w:rsidRPr="000971EE">
        <w:rPr>
          <w:rStyle w:val="normaltextrun"/>
          <w:rFonts w:ascii="Tahoma" w:hAnsi="Tahoma" w:cs="Tahoma"/>
        </w:rPr>
        <w:t xml:space="preserve">a la parte demandante </w:t>
      </w:r>
      <w:r w:rsidRPr="000971EE">
        <w:rPr>
          <w:rStyle w:val="normaltextrun"/>
          <w:rFonts w:ascii="Tahoma" w:hAnsi="Tahoma" w:cs="Tahoma"/>
          <w:color w:val="000000"/>
        </w:rPr>
        <w:t xml:space="preserve">la </w:t>
      </w:r>
      <w:r w:rsidRPr="000971EE">
        <w:rPr>
          <w:rStyle w:val="normaltextrun"/>
          <w:rFonts w:ascii="Tahoma" w:hAnsi="Tahoma" w:cs="Tahoma"/>
        </w:rPr>
        <w:t xml:space="preserve">información seria y veraz que para la época era jurídicamente pertinente sin que se precise en qué consistió tal cosa. Ello sería suficiente para concluir, que efectivamente la información que recibió la parte actora fue insuficiente y sesgada al momento de hacer el traslado, pues como se vio en el </w:t>
      </w:r>
      <w:r w:rsidRPr="000971EE">
        <w:rPr>
          <w:rStyle w:val="normaltextrun"/>
          <w:rFonts w:ascii="Tahoma" w:hAnsi="Tahoma" w:cs="Tahoma"/>
        </w:rPr>
        <w:lastRenderedPageBreak/>
        <w:t>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r w:rsidRPr="000971EE">
        <w:rPr>
          <w:rStyle w:val="eop"/>
          <w:rFonts w:ascii="Tahoma" w:hAnsi="Tahoma" w:cs="Tahoma"/>
        </w:rPr>
        <w:t> </w:t>
      </w:r>
    </w:p>
    <w:p w14:paraId="246E33DC" w14:textId="77777777" w:rsidR="00627746" w:rsidRPr="000971EE" w:rsidRDefault="00627746"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AAC9E58" w14:textId="11262BE3" w:rsidR="00B03D79" w:rsidRPr="000971EE" w:rsidRDefault="00627746" w:rsidP="000971EE">
      <w:pPr>
        <w:spacing w:before="0" w:beforeAutospacing="0" w:after="0" w:afterAutospacing="0" w:line="276" w:lineRule="auto"/>
        <w:ind w:firstLine="708"/>
        <w:rPr>
          <w:rStyle w:val="normaltextrun"/>
          <w:rFonts w:ascii="Tahoma" w:hAnsi="Tahoma" w:cs="Tahoma"/>
          <w:color w:val="000000"/>
        </w:rPr>
      </w:pPr>
      <w:r w:rsidRPr="000971EE">
        <w:rPr>
          <w:rStyle w:val="normaltextrun"/>
          <w:rFonts w:ascii="Tahoma" w:hAnsi="Tahoma" w:cs="Tahoma"/>
        </w:rPr>
        <w:t xml:space="preserve">Ahora, lo cierto es que </w:t>
      </w:r>
      <w:r w:rsidR="00267472" w:rsidRPr="000971EE">
        <w:rPr>
          <w:rStyle w:val="normaltextrun"/>
          <w:rFonts w:ascii="Tahoma" w:hAnsi="Tahoma" w:cs="Tahoma"/>
        </w:rPr>
        <w:t>PROTECCIÓN</w:t>
      </w:r>
      <w:r w:rsidRPr="000971EE">
        <w:rPr>
          <w:rStyle w:val="normaltextrun"/>
          <w:rFonts w:ascii="Tahoma" w:hAnsi="Tahoma" w:cs="Tahoma"/>
        </w:rPr>
        <w:t xml:space="preserve"> S.A., como prueba del cumplimiento del deber de información, llam</w:t>
      </w:r>
      <w:r w:rsidR="0030376E" w:rsidRPr="000971EE">
        <w:rPr>
          <w:rStyle w:val="normaltextrun"/>
          <w:rFonts w:ascii="Tahoma" w:hAnsi="Tahoma" w:cs="Tahoma"/>
        </w:rPr>
        <w:t>ó</w:t>
      </w:r>
      <w:r w:rsidRPr="000971EE">
        <w:rPr>
          <w:rStyle w:val="normaltextrun"/>
          <w:rFonts w:ascii="Tahoma" w:hAnsi="Tahoma" w:cs="Tahoma"/>
        </w:rPr>
        <w:t xml:space="preserve"> a declarar a su contraparte procesal, sin embargo, una vez rendido el interrogatorio de parte, no se </w:t>
      </w:r>
      <w:r w:rsidRPr="000971EE">
        <w:rPr>
          <w:rStyle w:val="normaltextrun"/>
          <w:rFonts w:ascii="Tahoma" w:hAnsi="Tahoma" w:cs="Tahoma"/>
          <w:color w:val="000000"/>
        </w:rPr>
        <w:t>logró desvirtuar la poca información recibida por l</w:t>
      </w:r>
      <w:r w:rsidR="0017530B" w:rsidRPr="000971EE">
        <w:rPr>
          <w:rStyle w:val="normaltextrun"/>
          <w:rFonts w:ascii="Tahoma" w:hAnsi="Tahoma" w:cs="Tahoma"/>
          <w:color w:val="000000"/>
        </w:rPr>
        <w:t>a</w:t>
      </w:r>
      <w:r w:rsidRPr="000971EE">
        <w:rPr>
          <w:rStyle w:val="normaltextrun"/>
          <w:rFonts w:ascii="Tahoma" w:hAnsi="Tahoma" w:cs="Tahoma"/>
          <w:color w:val="000000"/>
        </w:rPr>
        <w:t xml:space="preserve"> promotor</w:t>
      </w:r>
      <w:r w:rsidR="0017530B" w:rsidRPr="000971EE">
        <w:rPr>
          <w:rStyle w:val="normaltextrun"/>
          <w:rFonts w:ascii="Tahoma" w:hAnsi="Tahoma" w:cs="Tahoma"/>
          <w:color w:val="000000"/>
        </w:rPr>
        <w:t>a</w:t>
      </w:r>
      <w:r w:rsidRPr="000971EE">
        <w:rPr>
          <w:rStyle w:val="normaltextrun"/>
          <w:rFonts w:ascii="Tahoma" w:hAnsi="Tahoma" w:cs="Tahoma"/>
          <w:color w:val="000000"/>
        </w:rPr>
        <w:t xml:space="preserve"> de la litis, puesto que est</w:t>
      </w:r>
      <w:r w:rsidR="009A31F7" w:rsidRPr="000971EE">
        <w:rPr>
          <w:rStyle w:val="normaltextrun"/>
          <w:rFonts w:ascii="Tahoma" w:hAnsi="Tahoma" w:cs="Tahoma"/>
          <w:color w:val="000000"/>
        </w:rPr>
        <w:t>a</w:t>
      </w:r>
      <w:r w:rsidR="00824E27" w:rsidRPr="000971EE">
        <w:rPr>
          <w:rStyle w:val="normaltextrun"/>
          <w:rFonts w:ascii="Tahoma" w:hAnsi="Tahoma" w:cs="Tahoma"/>
          <w:color w:val="000000"/>
        </w:rPr>
        <w:t>, sobre los pormenores que rodearon el traslado de régimen únicamente afirmó que</w:t>
      </w:r>
      <w:r w:rsidR="00612B91" w:rsidRPr="000971EE">
        <w:rPr>
          <w:rStyle w:val="normaltextrun"/>
          <w:rFonts w:ascii="Tahoma" w:hAnsi="Tahoma" w:cs="Tahoma"/>
          <w:color w:val="000000"/>
        </w:rPr>
        <w:t xml:space="preserve"> </w:t>
      </w:r>
      <w:r w:rsidR="009A31F7" w:rsidRPr="000971EE">
        <w:rPr>
          <w:rStyle w:val="normaltextrun"/>
          <w:rFonts w:ascii="Tahoma" w:hAnsi="Tahoma" w:cs="Tahoma"/>
          <w:color w:val="000000"/>
        </w:rPr>
        <w:t xml:space="preserve">a la empresa donde trabajaba fueron los asesores del fondo privada e hicieron </w:t>
      </w:r>
      <w:r w:rsidR="00F8040A" w:rsidRPr="000971EE">
        <w:rPr>
          <w:rStyle w:val="normaltextrun"/>
          <w:rFonts w:ascii="Tahoma" w:hAnsi="Tahoma" w:cs="Tahoma"/>
          <w:color w:val="000000"/>
        </w:rPr>
        <w:t xml:space="preserve">una reunión </w:t>
      </w:r>
      <w:r w:rsidR="009A31F7" w:rsidRPr="000971EE">
        <w:rPr>
          <w:rStyle w:val="normaltextrun"/>
          <w:rFonts w:ascii="Tahoma" w:hAnsi="Tahoma" w:cs="Tahoma"/>
          <w:color w:val="000000"/>
        </w:rPr>
        <w:t>donde les indicaron que trasladarse</w:t>
      </w:r>
      <w:r w:rsidR="00F8040A" w:rsidRPr="000971EE">
        <w:rPr>
          <w:rStyle w:val="normaltextrun"/>
          <w:rFonts w:ascii="Tahoma" w:hAnsi="Tahoma" w:cs="Tahoma"/>
          <w:color w:val="000000"/>
        </w:rPr>
        <w:t xml:space="preserve"> era una forma de asegurar la pensión porque el </w:t>
      </w:r>
      <w:proofErr w:type="spellStart"/>
      <w:r w:rsidR="00F8040A" w:rsidRPr="000971EE">
        <w:rPr>
          <w:rStyle w:val="normaltextrun"/>
          <w:rFonts w:ascii="Tahoma" w:hAnsi="Tahoma" w:cs="Tahoma"/>
          <w:color w:val="000000"/>
        </w:rPr>
        <w:t>ISS</w:t>
      </w:r>
      <w:proofErr w:type="spellEnd"/>
      <w:r w:rsidR="00F8040A" w:rsidRPr="000971EE">
        <w:rPr>
          <w:rStyle w:val="normaltextrun"/>
          <w:rFonts w:ascii="Tahoma" w:hAnsi="Tahoma" w:cs="Tahoma"/>
          <w:color w:val="000000"/>
        </w:rPr>
        <w:t xml:space="preserve"> se iba a acabar</w:t>
      </w:r>
      <w:r w:rsidR="009A31F7" w:rsidRPr="000971EE">
        <w:rPr>
          <w:rStyle w:val="normaltextrun"/>
          <w:rFonts w:ascii="Tahoma" w:hAnsi="Tahoma" w:cs="Tahoma"/>
          <w:color w:val="000000"/>
        </w:rPr>
        <w:t>, sin recibir más información al respecto, salvo que podía pasar sus aportes a sus herederos.</w:t>
      </w:r>
    </w:p>
    <w:p w14:paraId="2DF3E478" w14:textId="655E6516" w:rsidR="00115625" w:rsidRPr="000971EE" w:rsidRDefault="00115625" w:rsidP="000971EE">
      <w:pPr>
        <w:spacing w:before="0" w:beforeAutospacing="0" w:after="0" w:afterAutospacing="0" w:line="276" w:lineRule="auto"/>
        <w:ind w:firstLine="708"/>
        <w:rPr>
          <w:rStyle w:val="normaltextrun"/>
          <w:rFonts w:ascii="Tahoma" w:hAnsi="Tahoma" w:cs="Tahoma"/>
          <w:color w:val="000000"/>
        </w:rPr>
      </w:pPr>
    </w:p>
    <w:p w14:paraId="78E5D329" w14:textId="77777777" w:rsidR="00115625" w:rsidRPr="000971EE" w:rsidRDefault="00115625"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0971EE">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4ECBE540" w14:textId="77777777" w:rsidR="009A1801" w:rsidRPr="000971EE" w:rsidRDefault="009A1801"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A6B4498" w14:textId="240682BD" w:rsidR="009A1F82" w:rsidRPr="000971EE" w:rsidRDefault="00627746" w:rsidP="000971EE">
      <w:pPr>
        <w:widowControl w:val="0"/>
        <w:autoSpaceDE w:val="0"/>
        <w:autoSpaceDN w:val="0"/>
        <w:adjustRightInd w:val="0"/>
        <w:spacing w:before="0" w:beforeAutospacing="0" w:after="0" w:afterAutospacing="0" w:line="276" w:lineRule="auto"/>
        <w:ind w:firstLine="708"/>
        <w:rPr>
          <w:rStyle w:val="eop"/>
          <w:rFonts w:ascii="Tahoma" w:hAnsi="Tahoma" w:cs="Tahoma"/>
        </w:rPr>
      </w:pPr>
      <w:r w:rsidRPr="000971EE">
        <w:rPr>
          <w:rFonts w:ascii="Tahoma" w:eastAsia="Calibri" w:hAnsi="Tahoma" w:cs="Tahoma"/>
          <w:lang w:val="es-ES" w:eastAsia="es-CO"/>
        </w:rPr>
        <w:t xml:space="preserve">De lo expuesto, refulge como lo concluyó la jueza de instancia que la AFP convocada a juicio incumplió con la carga de la prueba que le asistía, esto es demostrar que el acto de traslado </w:t>
      </w:r>
      <w:r w:rsidR="00267472" w:rsidRPr="000971EE">
        <w:rPr>
          <w:rFonts w:ascii="Tahoma" w:eastAsia="Calibri" w:hAnsi="Tahoma" w:cs="Tahoma"/>
          <w:lang w:val="es-ES" w:eastAsia="es-CO"/>
        </w:rPr>
        <w:t>de la señora</w:t>
      </w:r>
      <w:r w:rsidR="00D37418" w:rsidRPr="000971EE">
        <w:rPr>
          <w:rFonts w:ascii="Tahoma" w:eastAsia="Calibri" w:hAnsi="Tahoma" w:cs="Tahoma"/>
          <w:lang w:val="es-ES" w:eastAsia="es-CO"/>
        </w:rPr>
        <w:t xml:space="preserve"> </w:t>
      </w:r>
      <w:r w:rsidR="00262481" w:rsidRPr="000971EE">
        <w:rPr>
          <w:rFonts w:ascii="Tahoma" w:eastAsia="Calibri" w:hAnsi="Tahoma" w:cs="Tahoma"/>
          <w:lang w:val="es-ES" w:eastAsia="es-CO"/>
        </w:rPr>
        <w:t>INÉS</w:t>
      </w:r>
      <w:r w:rsidR="0017530B" w:rsidRPr="000971EE">
        <w:rPr>
          <w:rFonts w:ascii="Tahoma" w:eastAsia="Calibri" w:hAnsi="Tahoma" w:cs="Tahoma"/>
          <w:lang w:val="es-ES" w:eastAsia="es-CO"/>
        </w:rPr>
        <w:t xml:space="preserve"> </w:t>
      </w:r>
      <w:proofErr w:type="spellStart"/>
      <w:r w:rsidR="0017530B" w:rsidRPr="000971EE">
        <w:rPr>
          <w:rFonts w:ascii="Tahoma" w:eastAsia="Calibri" w:hAnsi="Tahoma" w:cs="Tahoma"/>
          <w:lang w:val="es-ES" w:eastAsia="es-CO"/>
        </w:rPr>
        <w:t>HERCILIA</w:t>
      </w:r>
      <w:proofErr w:type="spellEnd"/>
      <w:r w:rsidR="0017530B" w:rsidRPr="000971EE">
        <w:rPr>
          <w:rFonts w:ascii="Tahoma" w:eastAsia="Calibri" w:hAnsi="Tahoma" w:cs="Tahoma"/>
          <w:lang w:val="es-ES" w:eastAsia="es-CO"/>
        </w:rPr>
        <w:t xml:space="preserve"> CORRALES LEIVA </w:t>
      </w:r>
      <w:r w:rsidRPr="000971EE">
        <w:rPr>
          <w:rFonts w:ascii="Tahoma" w:eastAsia="Calibri" w:hAnsi="Tahoma" w:cs="Tahoma"/>
          <w:lang w:val="es-ES" w:eastAsia="es-CO"/>
        </w:rPr>
        <w:t xml:space="preserve">estuvo precedido de información clara y precisa sobre las ventajas, desventajas y riesgos de cada régimen en los términos explicados, como quiera que </w:t>
      </w:r>
      <w:r w:rsidR="0030376E" w:rsidRPr="000971EE">
        <w:rPr>
          <w:rFonts w:ascii="Tahoma" w:eastAsia="Calibri" w:hAnsi="Tahoma" w:cs="Tahoma"/>
          <w:lang w:val="es-ES" w:eastAsia="es-CO"/>
        </w:rPr>
        <w:t>el</w:t>
      </w:r>
      <w:r w:rsidRPr="000971EE">
        <w:rPr>
          <w:rStyle w:val="normaltextrun"/>
          <w:rFonts w:ascii="Tahoma" w:hAnsi="Tahoma" w:cs="Tahoma"/>
          <w:color w:val="000000"/>
        </w:rPr>
        <w:t xml:space="preserve"> demandante jamás confesó que se le hubiere brindado una explicación pormenorizada e individualizada de los pros y contras de su determinación de cambiar de régimen o de las características entre uno u otro régimen, y, la documental aportada (</w:t>
      </w:r>
      <w:r w:rsidRPr="000971EE">
        <w:rPr>
          <w:rFonts w:ascii="Tahoma" w:eastAsia="Calibri" w:hAnsi="Tahoma" w:cs="Tahoma"/>
          <w:lang w:val="es-ES" w:eastAsia="es-CO"/>
        </w:rPr>
        <w:t xml:space="preserve">historias laborales, derechos de petición, y formulario de afiliación) </w:t>
      </w:r>
      <w:r w:rsidRPr="000971EE">
        <w:rPr>
          <w:rStyle w:val="normaltextrun"/>
          <w:rFonts w:ascii="Tahoma" w:hAnsi="Tahoma" w:cs="Tahoma"/>
          <w:color w:val="000000"/>
        </w:rPr>
        <w:t>no da cuenta de las circunstancias que rodearon el momento del traslado o de la información recibida por l</w:t>
      </w:r>
      <w:r w:rsidR="009A31F7" w:rsidRPr="000971EE">
        <w:rPr>
          <w:rStyle w:val="normaltextrun"/>
          <w:rFonts w:ascii="Tahoma" w:hAnsi="Tahoma" w:cs="Tahoma"/>
          <w:color w:val="000000"/>
        </w:rPr>
        <w:t>a</w:t>
      </w:r>
      <w:r w:rsidRPr="000971EE">
        <w:rPr>
          <w:rStyle w:val="normaltextrun"/>
          <w:rFonts w:ascii="Tahoma" w:hAnsi="Tahoma" w:cs="Tahoma"/>
          <w:color w:val="000000"/>
        </w:rPr>
        <w:t xml:space="preserve"> actor</w:t>
      </w:r>
      <w:r w:rsidR="009A31F7" w:rsidRPr="000971EE">
        <w:rPr>
          <w:rStyle w:val="normaltextrun"/>
          <w:rFonts w:ascii="Tahoma" w:hAnsi="Tahoma" w:cs="Tahoma"/>
          <w:color w:val="000000"/>
        </w:rPr>
        <w:t>a</w:t>
      </w:r>
      <w:r w:rsidRPr="000971EE">
        <w:rPr>
          <w:rStyle w:val="normaltextrun"/>
          <w:rFonts w:ascii="Tahoma" w:hAnsi="Tahoma" w:cs="Tahoma"/>
          <w:color w:val="000000"/>
        </w:rPr>
        <w:t>, que contrario a lo afirmado por las pasivas de la litis, se evidencia parcializada, sesgada e insuficiente para calificarse de informada.</w:t>
      </w:r>
      <w:r w:rsidRPr="000971EE">
        <w:rPr>
          <w:rStyle w:val="eop"/>
          <w:rFonts w:ascii="Tahoma" w:hAnsi="Tahoma" w:cs="Tahoma"/>
        </w:rPr>
        <w:t> </w:t>
      </w:r>
    </w:p>
    <w:p w14:paraId="608FEA0E" w14:textId="0C130E1B" w:rsidR="0017530B" w:rsidRPr="000971EE" w:rsidRDefault="0017530B"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5210CE51" w14:textId="517E122A" w:rsidR="0017530B" w:rsidRPr="000971EE" w:rsidRDefault="0017530B"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0971EE">
        <w:rPr>
          <w:rFonts w:ascii="Tahoma" w:eastAsia="Calibri" w:hAnsi="Tahoma" w:cs="Tahoma"/>
          <w:lang w:val="es-ES" w:eastAsia="es-CO"/>
        </w:rPr>
        <w:t xml:space="preserve">Ahora, si bien es cierto que fue aportado por la AFP constancia de </w:t>
      </w:r>
      <w:proofErr w:type="spellStart"/>
      <w:r w:rsidRPr="000971EE">
        <w:rPr>
          <w:rFonts w:ascii="Tahoma" w:eastAsia="Calibri" w:hAnsi="Tahoma" w:cs="Tahoma"/>
          <w:lang w:val="es-ES" w:eastAsia="es-CO"/>
        </w:rPr>
        <w:t>reasesoría</w:t>
      </w:r>
      <w:proofErr w:type="spellEnd"/>
      <w:r w:rsidRPr="000971EE">
        <w:rPr>
          <w:rFonts w:ascii="Tahoma" w:eastAsia="Calibri" w:hAnsi="Tahoma" w:cs="Tahoma"/>
          <w:lang w:val="es-ES" w:eastAsia="es-CO"/>
        </w:rPr>
        <w:t xml:space="preserve"> pensional, dicho formato no contiene la información brindada a la actora y, aunque se tuviera por cierto que para ese momento, 15 de marzo de 2013</w:t>
      </w:r>
      <w:r w:rsidRPr="000971EE">
        <w:rPr>
          <w:rStyle w:val="Refdenotaalpie"/>
          <w:rFonts w:ascii="Tahoma" w:eastAsia="Calibri" w:hAnsi="Tahoma" w:cs="Tahoma"/>
          <w:lang w:val="es-ES" w:eastAsia="es-CO"/>
        </w:rPr>
        <w:footnoteReference w:id="12"/>
      </w:r>
      <w:r w:rsidRPr="000971EE">
        <w:rPr>
          <w:rFonts w:ascii="Tahoma" w:eastAsia="Calibri" w:hAnsi="Tahoma" w:cs="Tahoma"/>
          <w:lang w:val="es-ES" w:eastAsia="es-CO"/>
        </w:rPr>
        <w:t>, a la actora se le ilustró en los términos exigidos por la jurisprudencia patria, ha sido reiterativa el Tribunal de cierre de esta especialidad al indicar que las asesorías posteriores no convalidan el traslado, máxime cuando en este caso se dio tan solo 2 días antes de que la actora cumplirá sus 47 años – nació el 17 de marzo de 1966-, fecha límite para retornar al RPM, por lo cual la información que se le hubiese dado, resultó abiertamente inoportuna</w:t>
      </w:r>
      <w:r w:rsidR="009A31F7" w:rsidRPr="000971EE">
        <w:rPr>
          <w:rFonts w:ascii="Tahoma" w:eastAsia="Calibri" w:hAnsi="Tahoma" w:cs="Tahoma"/>
          <w:lang w:val="es-ES" w:eastAsia="es-CO"/>
        </w:rPr>
        <w:t xml:space="preserve"> y, no le permitió tomar una decisión meditada sobre su futuro pensional</w:t>
      </w:r>
      <w:r w:rsidRPr="000971EE">
        <w:rPr>
          <w:rFonts w:ascii="Tahoma" w:eastAsia="Calibri" w:hAnsi="Tahoma" w:cs="Tahoma"/>
          <w:lang w:val="es-ES" w:eastAsia="es-CO"/>
        </w:rPr>
        <w:t xml:space="preserve">. </w:t>
      </w:r>
    </w:p>
    <w:p w14:paraId="7A7D0F9F" w14:textId="38F45A9F" w:rsidR="00D13436" w:rsidRPr="000971EE" w:rsidRDefault="00D13436"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79834F65" w:rsidR="004C3BFD" w:rsidRPr="000971EE" w:rsidRDefault="00B11483" w:rsidP="000971EE">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0971EE">
        <w:rPr>
          <w:rFonts w:ascii="Tahoma" w:eastAsia="Calibri" w:hAnsi="Tahoma" w:cs="Tahoma"/>
          <w:bCs/>
          <w:iCs/>
          <w:lang w:eastAsia="es-CO"/>
        </w:rPr>
        <w:t xml:space="preserve">Por otra parte, es improcedente acudir a la prohibición legal establecida en el </w:t>
      </w:r>
      <w:r w:rsidRPr="000971EE">
        <w:rPr>
          <w:rFonts w:ascii="Tahoma" w:eastAsia="Calibri" w:hAnsi="Tahoma" w:cs="Tahoma"/>
          <w:bCs/>
          <w:iCs/>
          <w:lang w:eastAsia="es-CO"/>
        </w:rPr>
        <w:lastRenderedPageBreak/>
        <w:t>literal e) del artículo 13 de la Ley 100 de 1993, modificado por el artículo 2º de la Ley 797 de 2003</w:t>
      </w:r>
      <w:r w:rsidRPr="000971EE">
        <w:rPr>
          <w:rFonts w:ascii="Tahoma" w:hAnsi="Tahoma" w:cs="Tahoma"/>
          <w:lang w:val="es-MX"/>
        </w:rPr>
        <w:t xml:space="preserve">, </w:t>
      </w:r>
      <w:r w:rsidRPr="000971EE">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0971EE">
        <w:rPr>
          <w:rFonts w:ascii="Tahoma" w:eastAsia="Calibri" w:hAnsi="Tahoma" w:cs="Tahoma"/>
          <w:iCs/>
          <w:lang w:eastAsia="es-CO"/>
        </w:rPr>
        <w:t>cosas al estado en que se encontraban, es decir, como si ello no hubiera ocurrido y, en este caso, dicha declaratoria de ineficacia de cambio de régimen pensional, conlleva al regreso automático de</w:t>
      </w:r>
      <w:r w:rsidR="00267472" w:rsidRPr="000971EE">
        <w:rPr>
          <w:rFonts w:ascii="Tahoma" w:eastAsia="Calibri" w:hAnsi="Tahoma" w:cs="Tahoma"/>
          <w:iCs/>
          <w:lang w:eastAsia="es-CO"/>
        </w:rPr>
        <w:t xml:space="preserve"> </w:t>
      </w:r>
      <w:r w:rsidRPr="000971EE">
        <w:rPr>
          <w:rFonts w:ascii="Tahoma" w:eastAsia="Calibri" w:hAnsi="Tahoma" w:cs="Tahoma"/>
          <w:iCs/>
          <w:lang w:eastAsia="es-CO"/>
        </w:rPr>
        <w:t>l</w:t>
      </w:r>
      <w:r w:rsidR="00267472" w:rsidRPr="000971EE">
        <w:rPr>
          <w:rFonts w:ascii="Tahoma" w:eastAsia="Calibri" w:hAnsi="Tahoma" w:cs="Tahoma"/>
          <w:iCs/>
          <w:lang w:eastAsia="es-CO"/>
        </w:rPr>
        <w:t>a</w:t>
      </w:r>
      <w:r w:rsidRPr="000971EE">
        <w:rPr>
          <w:rFonts w:ascii="Tahoma" w:eastAsia="Calibri" w:hAnsi="Tahoma" w:cs="Tahoma"/>
          <w:iCs/>
          <w:lang w:eastAsia="es-CO"/>
        </w:rPr>
        <w:t xml:space="preserve"> demandante al régimen solidario de prima media con prestación definida hoy administrado por Colpensiones, del cual ya hacía parte. </w:t>
      </w:r>
    </w:p>
    <w:p w14:paraId="7FEF9BC8" w14:textId="434218F2" w:rsidR="00D03C60" w:rsidRPr="000971EE" w:rsidRDefault="00D03C60" w:rsidP="000971EE">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5305E424" w:rsidR="00D03C60" w:rsidRPr="000971EE" w:rsidRDefault="00A206DB"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0971EE">
        <w:rPr>
          <w:rFonts w:ascii="Tahoma" w:eastAsia="Calibri" w:hAnsi="Tahoma" w:cs="Tahoma"/>
          <w:lang w:val="es-ES"/>
        </w:rPr>
        <w:t xml:space="preserve">Respecto </w:t>
      </w:r>
      <w:r w:rsidR="00D03C60" w:rsidRPr="000971EE">
        <w:rPr>
          <w:rFonts w:ascii="Tahoma" w:eastAsia="Calibri" w:hAnsi="Tahoma" w:cs="Tahoma"/>
          <w:lang w:val="es-ES"/>
        </w:rPr>
        <w:t>a</w:t>
      </w:r>
      <w:r w:rsidRPr="000971EE">
        <w:rPr>
          <w:rFonts w:ascii="Tahoma" w:eastAsia="Calibri" w:hAnsi="Tahoma" w:cs="Tahoma"/>
          <w:lang w:val="es-ES"/>
        </w:rPr>
        <w:t xml:space="preserve">l término de permanencia en el </w:t>
      </w:r>
      <w:proofErr w:type="spellStart"/>
      <w:r w:rsidRPr="000971EE">
        <w:rPr>
          <w:rFonts w:ascii="Tahoma" w:eastAsia="Calibri" w:hAnsi="Tahoma" w:cs="Tahoma"/>
          <w:lang w:val="es-ES"/>
        </w:rPr>
        <w:t>RAIS</w:t>
      </w:r>
      <w:proofErr w:type="spellEnd"/>
      <w:r w:rsidR="00F63AB2" w:rsidRPr="000971EE">
        <w:rPr>
          <w:rFonts w:ascii="Tahoma" w:eastAsia="Calibri" w:hAnsi="Tahoma" w:cs="Tahoma"/>
          <w:lang w:val="es-ES"/>
        </w:rPr>
        <w:t xml:space="preserve">, </w:t>
      </w:r>
      <w:r w:rsidR="00FE1D95" w:rsidRPr="000971EE">
        <w:rPr>
          <w:rFonts w:ascii="Tahoma" w:eastAsia="Calibri" w:hAnsi="Tahoma" w:cs="Tahoma"/>
          <w:lang w:val="es-ES"/>
        </w:rPr>
        <w:t>conforme</w:t>
      </w:r>
      <w:r w:rsidR="00D03C60" w:rsidRPr="000971EE">
        <w:rPr>
          <w:rFonts w:ascii="Tahoma" w:eastAsia="Calibri" w:hAnsi="Tahoma" w:cs="Tahoma"/>
          <w:lang w:val="es-ES"/>
        </w:rPr>
        <w:t xml:space="preserve"> precisó la Sala Laboral,</w:t>
      </w:r>
      <w:r w:rsidR="00D03C60" w:rsidRPr="000971EE">
        <w:rPr>
          <w:rFonts w:ascii="Tahoma" w:eastAsia="Calibri" w:hAnsi="Tahoma" w:cs="Tahoma"/>
          <w:i/>
          <w:iCs/>
          <w:lang w:val="es-ES"/>
        </w:rPr>
        <w:t xml:space="preserve"> “</w:t>
      </w:r>
      <w:r w:rsidR="00D03C60" w:rsidRPr="00607298">
        <w:rPr>
          <w:rFonts w:ascii="Tahoma" w:eastAsia="Calibri" w:hAnsi="Tahoma" w:cs="Tahoma"/>
          <w:i/>
          <w:iCs/>
          <w:sz w:val="22"/>
          <w:lang w:val="es-ES"/>
        </w:rPr>
        <w:t xml:space="preserve">el acto jurídico no se torna en eficaz </w:t>
      </w:r>
      <w:r w:rsidR="00147895" w:rsidRPr="00607298">
        <w:rPr>
          <w:rFonts w:ascii="Tahoma" w:eastAsia="Calibri" w:hAnsi="Tahoma" w:cs="Tahoma"/>
          <w:i/>
          <w:iCs/>
          <w:sz w:val="22"/>
          <w:lang w:val="es-ES"/>
        </w:rPr>
        <w:t>(</w:t>
      </w:r>
      <w:r w:rsidR="00D03C60" w:rsidRPr="00607298">
        <w:rPr>
          <w:rFonts w:ascii="Tahoma" w:eastAsia="Calibri" w:hAnsi="Tahoma" w:cs="Tahoma"/>
          <w:i/>
          <w:iCs/>
          <w:sz w:val="22"/>
          <w:lang w:val="es-ES"/>
        </w:rPr>
        <w:t>…</w:t>
      </w:r>
      <w:r w:rsidR="00147895" w:rsidRPr="00607298">
        <w:rPr>
          <w:rFonts w:ascii="Tahoma" w:eastAsia="Calibri" w:hAnsi="Tahoma" w:cs="Tahoma"/>
          <w:i/>
          <w:iCs/>
          <w:sz w:val="22"/>
          <w:lang w:val="es-ES"/>
        </w:rPr>
        <w:t>)</w:t>
      </w:r>
      <w:r w:rsidR="00D03C60" w:rsidRPr="00607298">
        <w:rPr>
          <w:rFonts w:ascii="Tahoma" w:eastAsia="Calibri" w:hAnsi="Tahoma" w:cs="Tahoma"/>
          <w:i/>
          <w:iCs/>
          <w:sz w:val="22"/>
          <w:lang w:val="es-ES"/>
        </w:rPr>
        <w:t xml:space="preserve"> porque el afiliado no haya expresado inconformidad alguna con el sistema habiendo permanecido en el mismo</w:t>
      </w:r>
      <w:r w:rsidR="007B5FF6" w:rsidRPr="000971EE">
        <w:rPr>
          <w:rFonts w:ascii="Tahoma" w:eastAsia="Calibri" w:hAnsi="Tahoma" w:cs="Tahoma"/>
          <w:i/>
          <w:iCs/>
          <w:lang w:val="es-ES"/>
        </w:rPr>
        <w:t xml:space="preserve">”, </w:t>
      </w:r>
      <w:r w:rsidR="007B5FF6" w:rsidRPr="000971EE">
        <w:rPr>
          <w:rFonts w:ascii="Tahoma" w:eastAsia="Calibri" w:hAnsi="Tahoma" w:cs="Tahoma"/>
          <w:lang w:val="es-ES"/>
        </w:rPr>
        <w:t>pues dicho</w:t>
      </w:r>
      <w:r w:rsidR="00147895" w:rsidRPr="000971EE">
        <w:rPr>
          <w:rFonts w:ascii="Tahoma" w:eastAsia="Calibri" w:hAnsi="Tahoma" w:cs="Tahoma"/>
          <w:lang w:val="es-ES"/>
        </w:rPr>
        <w:t>s</w:t>
      </w:r>
      <w:r w:rsidR="007B5FF6" w:rsidRPr="000971EE">
        <w:rPr>
          <w:rFonts w:ascii="Tahoma" w:eastAsia="Calibri" w:hAnsi="Tahoma" w:cs="Tahoma"/>
          <w:lang w:val="es-ES"/>
        </w:rPr>
        <w:t xml:space="preserve"> acto</w:t>
      </w:r>
      <w:r w:rsidR="00147895" w:rsidRPr="000971EE">
        <w:rPr>
          <w:rFonts w:ascii="Tahoma" w:eastAsia="Calibri" w:hAnsi="Tahoma" w:cs="Tahoma"/>
          <w:lang w:val="es-ES"/>
        </w:rPr>
        <w:t>s</w:t>
      </w:r>
      <w:r w:rsidR="007B5FF6" w:rsidRPr="000971EE">
        <w:rPr>
          <w:rFonts w:ascii="Tahoma" w:eastAsia="Calibri" w:hAnsi="Tahoma" w:cs="Tahoma"/>
          <w:lang w:val="es-ES"/>
        </w:rPr>
        <w:t xml:space="preserve"> no reemplazan o suplen la </w:t>
      </w:r>
      <w:r w:rsidR="007B5FF6" w:rsidRPr="000971EE">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0971EE">
        <w:rPr>
          <w:rFonts w:ascii="Tahoma" w:eastAsia="Calibri" w:hAnsi="Tahoma" w:cs="Tahoma"/>
          <w:lang w:val="es-ES"/>
        </w:rPr>
        <w:t>dado que</w:t>
      </w:r>
      <w:r w:rsidR="007B5FF6" w:rsidRPr="000971EE">
        <w:rPr>
          <w:rFonts w:ascii="Tahoma" w:eastAsia="Calibri" w:hAnsi="Tahoma" w:cs="Tahoma"/>
          <w:i/>
          <w:iCs/>
          <w:lang w:val="es-ES"/>
        </w:rPr>
        <w:t xml:space="preserve"> </w:t>
      </w:r>
      <w:r w:rsidR="00147895" w:rsidRPr="000971EE">
        <w:rPr>
          <w:rFonts w:ascii="Tahoma" w:eastAsia="Calibri" w:hAnsi="Tahoma" w:cs="Tahoma"/>
          <w:lang w:val="es-ES"/>
        </w:rPr>
        <w:t>l</w:t>
      </w:r>
      <w:r w:rsidR="007B5FF6" w:rsidRPr="000971EE">
        <w:rPr>
          <w:rFonts w:ascii="Tahoma" w:eastAsia="Calibri" w:hAnsi="Tahoma" w:cs="Tahoma"/>
          <w:lang w:val="es-ES"/>
        </w:rPr>
        <w:t>a oportunidad de información se juzga al momento del acto jurídico del traslado, no con posterioridad.</w:t>
      </w:r>
    </w:p>
    <w:p w14:paraId="7D034147" w14:textId="5534B10D" w:rsidR="2409BDE7" w:rsidRPr="000971EE" w:rsidRDefault="2409BDE7" w:rsidP="000971EE">
      <w:pPr>
        <w:widowControl w:val="0"/>
        <w:spacing w:before="0" w:beforeAutospacing="0" w:after="0" w:afterAutospacing="0" w:line="276" w:lineRule="auto"/>
        <w:ind w:firstLine="708"/>
        <w:rPr>
          <w:rFonts w:ascii="Tahoma" w:eastAsia="Calibri" w:hAnsi="Tahoma" w:cs="Tahoma"/>
          <w:lang w:val="es-ES"/>
        </w:rPr>
      </w:pPr>
    </w:p>
    <w:p w14:paraId="08409523" w14:textId="57AEB290" w:rsidR="0C259F62" w:rsidRPr="000971EE" w:rsidRDefault="0C259F62" w:rsidP="000971EE">
      <w:pPr>
        <w:pStyle w:val="paragraph"/>
        <w:spacing w:before="0" w:beforeAutospacing="0" w:after="0" w:afterAutospacing="0" w:line="276" w:lineRule="auto"/>
        <w:ind w:firstLine="705"/>
        <w:jc w:val="both"/>
        <w:rPr>
          <w:rFonts w:ascii="Tahoma" w:hAnsi="Tahoma" w:cs="Tahoma"/>
          <w:lang w:val="es-ES" w:eastAsia="es-ES"/>
        </w:rPr>
      </w:pPr>
      <w:r w:rsidRPr="000971EE">
        <w:rPr>
          <w:rFonts w:ascii="Tahoma" w:eastAsia="Tahoma" w:hAnsi="Tahoma" w:cs="Tahoma"/>
          <w:color w:val="000000" w:themeColor="text1"/>
        </w:rPr>
        <w:t>En este orden de ideas, se confirmará la declaratoria de la ineficacia del acto de afiliación sentado en primera instancia, debido a que la</w:t>
      </w:r>
      <w:r w:rsidRPr="000971EE">
        <w:rPr>
          <w:rFonts w:ascii="Tahoma" w:hAnsi="Tahoma" w:cs="Tahoma"/>
          <w:lang w:val="es-ES" w:eastAsia="es-ES"/>
        </w:rPr>
        <w:t xml:space="preserve"> AFP demandada no demostró el cumplimiento de su deber de información, lo que acarrea la ineficacia del traslado, como ya se explicó</w:t>
      </w:r>
      <w:r w:rsidR="004B46C7" w:rsidRPr="000971EE">
        <w:rPr>
          <w:rFonts w:ascii="Tahoma" w:hAnsi="Tahoma" w:cs="Tahoma"/>
          <w:lang w:val="es-ES" w:eastAsia="es-ES"/>
        </w:rPr>
        <w:t>.</w:t>
      </w:r>
    </w:p>
    <w:p w14:paraId="0333B2EF" w14:textId="77777777" w:rsidR="00B11483" w:rsidRPr="000971EE" w:rsidRDefault="00B11483" w:rsidP="000971EE">
      <w:pPr>
        <w:pStyle w:val="paragraph"/>
        <w:spacing w:before="0" w:beforeAutospacing="0" w:after="0" w:afterAutospacing="0" w:line="276" w:lineRule="auto"/>
        <w:ind w:firstLine="705"/>
        <w:jc w:val="both"/>
        <w:textAlignment w:val="baseline"/>
        <w:rPr>
          <w:rFonts w:ascii="Tahoma" w:hAnsi="Tahoma" w:cs="Tahoma"/>
        </w:rPr>
      </w:pPr>
    </w:p>
    <w:p w14:paraId="3C121417" w14:textId="386492CC" w:rsidR="00AA7670" w:rsidRPr="000971EE" w:rsidRDefault="00DF6BCE"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 xml:space="preserve">En cuanto a las condenas impartidas a cargo de </w:t>
      </w:r>
      <w:r w:rsidR="00627746" w:rsidRPr="000971EE">
        <w:rPr>
          <w:rFonts w:ascii="Tahoma" w:eastAsia="Calibri" w:hAnsi="Tahoma" w:cs="Tahoma"/>
          <w:lang w:eastAsia="es-CO"/>
        </w:rPr>
        <w:t xml:space="preserve">la </w:t>
      </w:r>
      <w:r w:rsidR="00D37418" w:rsidRPr="000971EE">
        <w:rPr>
          <w:rFonts w:ascii="Tahoma" w:eastAsia="Calibri" w:hAnsi="Tahoma" w:cs="Tahoma"/>
          <w:lang w:eastAsia="es-CO"/>
        </w:rPr>
        <w:t xml:space="preserve">AFP </w:t>
      </w:r>
      <w:r w:rsidR="00627746" w:rsidRPr="000971EE">
        <w:rPr>
          <w:rFonts w:ascii="Tahoma" w:eastAsia="Calibri" w:hAnsi="Tahoma" w:cs="Tahoma"/>
          <w:lang w:eastAsia="es-CO"/>
        </w:rPr>
        <w:t xml:space="preserve">demandada, </w:t>
      </w:r>
      <w:r w:rsidR="00210E9F" w:rsidRPr="000971EE">
        <w:rPr>
          <w:rFonts w:ascii="Tahoma" w:eastAsia="Calibri" w:hAnsi="Tahoma" w:cs="Tahoma"/>
          <w:lang w:eastAsia="es-CO"/>
        </w:rPr>
        <w:t>se dirá que</w:t>
      </w:r>
      <w:r w:rsidRPr="000971EE">
        <w:rPr>
          <w:rFonts w:ascii="Tahoma" w:eastAsia="Calibri" w:hAnsi="Tahoma" w:cs="Tahoma"/>
          <w:lang w:eastAsia="es-CO"/>
        </w:rPr>
        <w:t xml:space="preserve"> </w:t>
      </w:r>
      <w:r w:rsidR="00210E9F" w:rsidRPr="000971EE">
        <w:rPr>
          <w:rFonts w:ascii="Tahoma" w:eastAsia="Calibri" w:hAnsi="Tahoma" w:cs="Tahoma"/>
          <w:lang w:eastAsia="es-CO"/>
        </w:rPr>
        <w:t xml:space="preserve">en estricto acatamiento de las consecuencias previstas por la Corte Suprema de Justicia, entre otras, en las sentencias </w:t>
      </w:r>
      <w:r w:rsidR="00210E9F" w:rsidRPr="000971EE">
        <w:rPr>
          <w:rFonts w:ascii="Tahoma" w:eastAsia="Calibri" w:hAnsi="Tahoma" w:cs="Tahoma"/>
          <w:bCs/>
          <w:lang w:eastAsia="es-CO"/>
        </w:rPr>
        <w:t xml:space="preserve">CSJ </w:t>
      </w:r>
      <w:proofErr w:type="spellStart"/>
      <w:r w:rsidR="00210E9F" w:rsidRPr="000971EE">
        <w:rPr>
          <w:rFonts w:ascii="Tahoma" w:eastAsia="Calibri" w:hAnsi="Tahoma" w:cs="Tahoma"/>
          <w:lang w:val="es-ES" w:eastAsia="es-CO"/>
        </w:rPr>
        <w:t>SL1084</w:t>
      </w:r>
      <w:proofErr w:type="spellEnd"/>
      <w:r w:rsidR="00210E9F" w:rsidRPr="000971EE">
        <w:rPr>
          <w:rFonts w:ascii="Tahoma" w:eastAsia="Calibri" w:hAnsi="Tahoma" w:cs="Tahoma"/>
          <w:lang w:val="es-ES" w:eastAsia="es-CO"/>
        </w:rPr>
        <w:t xml:space="preserve">-2023, CSJ </w:t>
      </w:r>
      <w:proofErr w:type="spellStart"/>
      <w:r w:rsidR="00210E9F" w:rsidRPr="000971EE">
        <w:rPr>
          <w:rFonts w:ascii="Tahoma" w:eastAsia="Calibri" w:hAnsi="Tahoma" w:cs="Tahoma"/>
          <w:lang w:val="es-ES" w:eastAsia="es-CO"/>
        </w:rPr>
        <w:t>SL</w:t>
      </w:r>
      <w:proofErr w:type="spellEnd"/>
      <w:r w:rsidR="00210E9F" w:rsidRPr="000971EE">
        <w:rPr>
          <w:rFonts w:ascii="Tahoma" w:eastAsia="Calibri" w:hAnsi="Tahoma" w:cs="Tahoma"/>
          <w:lang w:val="es-ES" w:eastAsia="es-CO"/>
        </w:rPr>
        <w:t xml:space="preserve"> 932-2023, CSJ </w:t>
      </w:r>
      <w:proofErr w:type="spellStart"/>
      <w:r w:rsidR="00210E9F" w:rsidRPr="000971EE">
        <w:rPr>
          <w:rFonts w:ascii="Tahoma" w:eastAsia="Calibri" w:hAnsi="Tahoma" w:cs="Tahoma"/>
          <w:lang w:val="es-ES" w:eastAsia="es-CO"/>
        </w:rPr>
        <w:t>SL</w:t>
      </w:r>
      <w:proofErr w:type="spellEnd"/>
      <w:r w:rsidR="00210E9F" w:rsidRPr="000971EE">
        <w:rPr>
          <w:rFonts w:ascii="Tahoma" w:eastAsia="Calibri" w:hAnsi="Tahoma" w:cs="Tahoma"/>
          <w:lang w:val="es-ES" w:eastAsia="es-CO"/>
        </w:rPr>
        <w:t xml:space="preserve"> 4297-2022, </w:t>
      </w:r>
      <w:r w:rsidR="00210E9F" w:rsidRPr="000971EE">
        <w:rPr>
          <w:rFonts w:ascii="Tahoma" w:eastAsia="Calibri" w:hAnsi="Tahoma" w:cs="Tahoma"/>
          <w:bCs/>
          <w:lang w:val="es-ES" w:eastAsia="es-CO"/>
        </w:rPr>
        <w:t xml:space="preserve">CSJ </w:t>
      </w:r>
      <w:proofErr w:type="spellStart"/>
      <w:r w:rsidR="00210E9F" w:rsidRPr="000971EE">
        <w:rPr>
          <w:rFonts w:ascii="Tahoma" w:eastAsia="Calibri" w:hAnsi="Tahoma" w:cs="Tahoma"/>
          <w:bCs/>
          <w:lang w:val="es-ES" w:eastAsia="es-CO"/>
        </w:rPr>
        <w:t>SL3465</w:t>
      </w:r>
      <w:proofErr w:type="spellEnd"/>
      <w:r w:rsidR="00210E9F" w:rsidRPr="000971EE">
        <w:rPr>
          <w:rFonts w:ascii="Tahoma" w:eastAsia="Calibri" w:hAnsi="Tahoma" w:cs="Tahoma"/>
          <w:bCs/>
          <w:lang w:val="es-ES" w:eastAsia="es-CO"/>
        </w:rPr>
        <w:t xml:space="preserve">-2022, CSJ </w:t>
      </w:r>
      <w:proofErr w:type="spellStart"/>
      <w:r w:rsidR="00210E9F" w:rsidRPr="000971EE">
        <w:rPr>
          <w:rFonts w:ascii="Tahoma" w:eastAsia="Calibri" w:hAnsi="Tahoma" w:cs="Tahoma"/>
          <w:bCs/>
          <w:lang w:val="es-ES" w:eastAsia="es-CO"/>
        </w:rPr>
        <w:t>SL2229</w:t>
      </w:r>
      <w:proofErr w:type="spellEnd"/>
      <w:r w:rsidR="00210E9F" w:rsidRPr="000971EE">
        <w:rPr>
          <w:rFonts w:ascii="Tahoma" w:eastAsia="Calibri" w:hAnsi="Tahoma" w:cs="Tahoma"/>
          <w:bCs/>
          <w:lang w:val="es-ES" w:eastAsia="es-CO"/>
        </w:rPr>
        <w:t xml:space="preserve">-2022 y CSJ </w:t>
      </w:r>
      <w:proofErr w:type="spellStart"/>
      <w:r w:rsidR="00210E9F" w:rsidRPr="000971EE">
        <w:rPr>
          <w:rFonts w:ascii="Tahoma" w:eastAsia="Calibri" w:hAnsi="Tahoma" w:cs="Tahoma"/>
          <w:bCs/>
          <w:lang w:val="es-ES" w:eastAsia="es-CO"/>
        </w:rPr>
        <w:t>SL3188</w:t>
      </w:r>
      <w:proofErr w:type="spellEnd"/>
      <w:r w:rsidR="00210E9F" w:rsidRPr="000971EE">
        <w:rPr>
          <w:rFonts w:ascii="Tahoma" w:eastAsia="Calibri" w:hAnsi="Tahoma" w:cs="Tahoma"/>
          <w:bCs/>
          <w:lang w:val="es-ES" w:eastAsia="es-CO"/>
        </w:rPr>
        <w:t>-2022,</w:t>
      </w:r>
      <w:r w:rsidR="00210E9F" w:rsidRPr="000971EE">
        <w:rPr>
          <w:rFonts w:ascii="Tahoma" w:eastAsia="Calibri" w:hAnsi="Tahoma" w:cs="Tahoma"/>
          <w:b/>
          <w:bCs/>
          <w:lang w:val="es-ES" w:eastAsia="es-CO"/>
        </w:rPr>
        <w:t xml:space="preserve"> </w:t>
      </w:r>
      <w:r w:rsidR="00AA7670" w:rsidRPr="000971EE">
        <w:rPr>
          <w:rFonts w:ascii="Tahoma" w:eastAsia="Calibri" w:hAnsi="Tahoma" w:cs="Tahoma"/>
          <w:bCs/>
          <w:lang w:eastAsia="es-CO"/>
        </w:rPr>
        <w:t xml:space="preserve">previamente citadas, es su deber devolver a </w:t>
      </w:r>
      <w:r w:rsidR="0058212A" w:rsidRPr="000971EE">
        <w:rPr>
          <w:rFonts w:ascii="Tahoma" w:eastAsia="Calibri" w:hAnsi="Tahoma" w:cs="Tahoma"/>
          <w:bCs/>
          <w:lang w:eastAsia="es-CO"/>
        </w:rPr>
        <w:t xml:space="preserve">COLPENSIONES </w:t>
      </w:r>
      <w:r w:rsidR="00210E9F" w:rsidRPr="000971EE">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0971EE">
        <w:rPr>
          <w:rFonts w:ascii="Tahoma" w:eastAsia="Calibri" w:hAnsi="Tahoma" w:cs="Tahoma"/>
          <w:bCs/>
          <w:iCs/>
          <w:lang w:val="es-ES" w:eastAsia="es-CO"/>
        </w:rPr>
        <w:t xml:space="preserve">, </w:t>
      </w:r>
      <w:r w:rsidR="00AA7670" w:rsidRPr="000971EE">
        <w:rPr>
          <w:rFonts w:ascii="Tahoma" w:eastAsia="Calibri" w:hAnsi="Tahoma" w:cs="Tahoma"/>
          <w:lang w:eastAsia="es-CO"/>
        </w:rPr>
        <w:t>por lo que se confirmará la sentencia apelada frente a tal decisión.</w:t>
      </w:r>
    </w:p>
    <w:p w14:paraId="5D0896A8" w14:textId="2D888F36" w:rsidR="00AA7670" w:rsidRPr="000971EE" w:rsidRDefault="00AA7670"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0971EE" w:rsidRDefault="00AA7670" w:rsidP="000971E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Sin embargo, bajo las mismas premisas se adicionará la sentencia en el sentido de precisar</w:t>
      </w:r>
      <w:r w:rsidR="00F40834" w:rsidRPr="000971EE">
        <w:rPr>
          <w:rFonts w:ascii="Tahoma" w:eastAsia="Calibri" w:hAnsi="Tahoma" w:cs="Tahoma"/>
          <w:lang w:eastAsia="es-CO"/>
        </w:rPr>
        <w:t xml:space="preserve"> </w:t>
      </w:r>
      <w:r w:rsidRPr="000971EE">
        <w:rPr>
          <w:rFonts w:ascii="Tahoma" w:eastAsia="Calibri" w:hAnsi="Tahoma" w:cs="Tahoma"/>
          <w:lang w:eastAsia="es-CO"/>
        </w:rPr>
        <w:t xml:space="preserve">que al momento del cumplimiento de </w:t>
      </w:r>
      <w:r w:rsidR="00AB3BC3" w:rsidRPr="000971EE">
        <w:rPr>
          <w:rFonts w:ascii="Tahoma" w:eastAsia="Calibri" w:hAnsi="Tahoma" w:cs="Tahoma"/>
          <w:lang w:eastAsia="es-CO"/>
        </w:rPr>
        <w:t>las</w:t>
      </w:r>
      <w:r w:rsidRPr="000971EE">
        <w:rPr>
          <w:rFonts w:ascii="Tahoma" w:eastAsia="Calibri" w:hAnsi="Tahoma" w:cs="Tahoma"/>
          <w:lang w:eastAsia="es-CO"/>
        </w:rPr>
        <w:t xml:space="preserve"> orden</w:t>
      </w:r>
      <w:r w:rsidR="00AB3BC3" w:rsidRPr="000971EE">
        <w:rPr>
          <w:rFonts w:ascii="Tahoma" w:eastAsia="Calibri" w:hAnsi="Tahoma" w:cs="Tahoma"/>
          <w:lang w:eastAsia="es-CO"/>
        </w:rPr>
        <w:t>es</w:t>
      </w:r>
      <w:r w:rsidRPr="000971EE">
        <w:rPr>
          <w:rFonts w:ascii="Tahoma" w:eastAsia="Calibri" w:hAnsi="Tahoma" w:cs="Tahoma"/>
          <w:lang w:eastAsia="es-CO"/>
        </w:rPr>
        <w:t xml:space="preserve"> prevista</w:t>
      </w:r>
      <w:r w:rsidR="00AB3BC3" w:rsidRPr="000971EE">
        <w:rPr>
          <w:rFonts w:ascii="Tahoma" w:eastAsia="Calibri" w:hAnsi="Tahoma" w:cs="Tahoma"/>
          <w:lang w:eastAsia="es-CO"/>
        </w:rPr>
        <w:t>s</w:t>
      </w:r>
      <w:r w:rsidRPr="000971EE">
        <w:rPr>
          <w:rFonts w:ascii="Tahoma" w:eastAsia="Calibri" w:hAnsi="Tahoma" w:cs="Tahoma"/>
          <w:lang w:eastAsia="es-CO"/>
        </w:rPr>
        <w:t xml:space="preserve"> en el numeral segundo, literales a)</w:t>
      </w:r>
      <w:r w:rsidR="005E667E" w:rsidRPr="000971EE">
        <w:rPr>
          <w:rFonts w:ascii="Tahoma" w:eastAsia="Calibri" w:hAnsi="Tahoma" w:cs="Tahoma"/>
          <w:lang w:eastAsia="es-CO"/>
        </w:rPr>
        <w:t xml:space="preserve"> y b)</w:t>
      </w:r>
      <w:r w:rsidRPr="000971EE">
        <w:rPr>
          <w:rFonts w:ascii="Tahoma" w:eastAsia="Calibri" w:hAnsi="Tahoma" w:cs="Tahoma"/>
          <w:lang w:eastAsia="es-CO"/>
        </w:rPr>
        <w:t>, “</w:t>
      </w:r>
      <w:r w:rsidR="00210E9F" w:rsidRPr="00607298">
        <w:rPr>
          <w:rFonts w:ascii="Tahoma" w:eastAsia="Calibri" w:hAnsi="Tahoma" w:cs="Tahoma"/>
          <w:bCs/>
          <w:i/>
          <w:iCs/>
          <w:sz w:val="22"/>
          <w:lang w:val="es-ES" w:eastAsia="es-CO"/>
        </w:rPr>
        <w:t xml:space="preserve">tales valores deberán aparecer discriminados con sus respectivos montos, junto con el detalle pormenorizado de los ciclos, </w:t>
      </w:r>
      <w:proofErr w:type="spellStart"/>
      <w:r w:rsidR="00210E9F" w:rsidRPr="00607298">
        <w:rPr>
          <w:rFonts w:ascii="Tahoma" w:eastAsia="Calibri" w:hAnsi="Tahoma" w:cs="Tahoma"/>
          <w:bCs/>
          <w:i/>
          <w:iCs/>
          <w:sz w:val="22"/>
          <w:lang w:val="es-ES" w:eastAsia="es-CO"/>
        </w:rPr>
        <w:t>IBC</w:t>
      </w:r>
      <w:proofErr w:type="spellEnd"/>
      <w:r w:rsidR="00210E9F" w:rsidRPr="00607298">
        <w:rPr>
          <w:rFonts w:ascii="Tahoma" w:eastAsia="Calibri" w:hAnsi="Tahoma" w:cs="Tahoma"/>
          <w:bCs/>
          <w:i/>
          <w:iCs/>
          <w:sz w:val="22"/>
          <w:lang w:val="es-ES" w:eastAsia="es-CO"/>
        </w:rPr>
        <w:t>, aportes y demás información relevante que los justifiquen</w:t>
      </w:r>
      <w:r w:rsidR="00210E9F" w:rsidRPr="000971EE">
        <w:rPr>
          <w:rFonts w:ascii="Tahoma" w:eastAsia="Calibri" w:hAnsi="Tahoma" w:cs="Tahoma"/>
          <w:bCs/>
          <w:i/>
          <w:iCs/>
          <w:lang w:val="es-ES" w:eastAsia="es-CO"/>
        </w:rPr>
        <w:t>”.</w:t>
      </w:r>
    </w:p>
    <w:p w14:paraId="5C8B1F32" w14:textId="60389E26" w:rsidR="00F95A1D" w:rsidRPr="000971EE" w:rsidRDefault="00F95A1D" w:rsidP="000971EE">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09F13322" w14:textId="17407785" w:rsidR="00F66742" w:rsidRPr="000971EE" w:rsidRDefault="001923A4" w:rsidP="000971EE">
      <w:pPr>
        <w:pStyle w:val="paragraph"/>
        <w:spacing w:before="0" w:beforeAutospacing="0" w:after="0" w:afterAutospacing="0" w:line="276" w:lineRule="auto"/>
        <w:ind w:firstLine="705"/>
        <w:jc w:val="both"/>
        <w:textAlignment w:val="baseline"/>
        <w:rPr>
          <w:rFonts w:ascii="Tahoma" w:eastAsia="Calibri" w:hAnsi="Tahoma" w:cs="Tahoma"/>
          <w:lang w:eastAsia="es-CO"/>
        </w:rPr>
      </w:pPr>
      <w:r w:rsidRPr="000971EE">
        <w:rPr>
          <w:rStyle w:val="normaltextrun"/>
          <w:rFonts w:ascii="Tahoma" w:hAnsi="Tahoma" w:cs="Tahoma"/>
        </w:rPr>
        <w:t xml:space="preserve">Ahora, como la declaratoria de ineficacia trae como consecuencia que las cosas se reestablezcan al estado en el que se encontraban al momento del traslado de régimen, es pertinente confirmar la orden de comunicar la decisión adoptada en este asunto a la </w:t>
      </w:r>
      <w:proofErr w:type="spellStart"/>
      <w:r w:rsidRPr="000971EE">
        <w:rPr>
          <w:rStyle w:val="normaltextrun"/>
          <w:rFonts w:ascii="Tahoma" w:hAnsi="Tahoma" w:cs="Tahoma"/>
        </w:rPr>
        <w:t>OBP</w:t>
      </w:r>
      <w:proofErr w:type="spellEnd"/>
      <w:r w:rsidRPr="000971EE">
        <w:rPr>
          <w:rStyle w:val="normaltextrun"/>
          <w:rFonts w:ascii="Tahoma" w:hAnsi="Tahoma" w:cs="Tahoma"/>
        </w:rPr>
        <w:t xml:space="preserve"> del Ministerio de Hacienda y Crédito Público, para que, en caso de haber emitido el bono pensional, proceda con la anulación del mismo mediante trámite interno, aplicando lo previsto en el artículo 57 del Decreto 1748 de 1995, modificado </w:t>
      </w:r>
      <w:r w:rsidRPr="000971EE">
        <w:rPr>
          <w:rStyle w:val="normaltextrun"/>
          <w:rFonts w:ascii="Tahoma" w:hAnsi="Tahoma" w:cs="Tahoma"/>
        </w:rPr>
        <w:lastRenderedPageBreak/>
        <w:t>por el artículo 17 del Decreto 3798 de 2003 hoy recopilado en el Decreto 833 de 2016.</w:t>
      </w:r>
      <w:r w:rsidR="0058212A" w:rsidRPr="000971EE">
        <w:rPr>
          <w:rFonts w:ascii="Tahoma" w:eastAsia="Calibri" w:hAnsi="Tahoma" w:cs="Tahoma"/>
          <w:lang w:eastAsia="es-CO"/>
        </w:rPr>
        <w:t xml:space="preserve"> Ello en razón a que no existe dentro del plenario</w:t>
      </w:r>
      <w:r w:rsidR="00262481">
        <w:rPr>
          <w:rFonts w:ascii="Tahoma" w:eastAsia="Calibri" w:hAnsi="Tahoma" w:cs="Tahoma"/>
          <w:lang w:eastAsia="es-CO"/>
        </w:rPr>
        <w:t>,</w:t>
      </w:r>
      <w:r w:rsidR="0058212A" w:rsidRPr="000971EE">
        <w:rPr>
          <w:rFonts w:ascii="Tahoma" w:eastAsia="Calibri" w:hAnsi="Tahoma" w:cs="Tahoma"/>
          <w:lang w:eastAsia="es-CO"/>
        </w:rPr>
        <w:t xml:space="preserve"> prueba que acredite que el bono ha sido emitido y cancelado por parte de esa cartera ministerial y la actora no ha llegado a los 60 años, como para concluir que se efectuó la redención normal, por lo que no hay lugar a ordenar la devolución a cargo de la AFP, sino únicamente la anulación del título de deuda pública a cargo del Ministerio de Hacienda.</w:t>
      </w:r>
    </w:p>
    <w:p w14:paraId="57AC03D5" w14:textId="77777777" w:rsidR="0058212A" w:rsidRPr="000971EE" w:rsidRDefault="0058212A" w:rsidP="000971EE">
      <w:pPr>
        <w:pStyle w:val="paragraph"/>
        <w:spacing w:before="0" w:beforeAutospacing="0" w:after="0" w:afterAutospacing="0" w:line="276" w:lineRule="auto"/>
        <w:ind w:firstLine="705"/>
        <w:jc w:val="both"/>
        <w:textAlignment w:val="baseline"/>
        <w:rPr>
          <w:rFonts w:ascii="Tahoma" w:hAnsi="Tahoma" w:cs="Tahoma"/>
        </w:rPr>
      </w:pPr>
    </w:p>
    <w:p w14:paraId="540DEC20" w14:textId="5965AB5B" w:rsidR="00BA0474" w:rsidRPr="000971EE" w:rsidRDefault="00BA0474" w:rsidP="000971EE">
      <w:pPr>
        <w:spacing w:before="0" w:beforeAutospacing="0" w:after="0" w:afterAutospacing="0" w:line="276" w:lineRule="auto"/>
        <w:ind w:firstLine="708"/>
        <w:rPr>
          <w:rFonts w:ascii="Tahoma" w:eastAsia="Calibri" w:hAnsi="Tahoma" w:cs="Tahoma"/>
          <w:lang w:eastAsia="es-CO"/>
        </w:rPr>
      </w:pPr>
      <w:r w:rsidRPr="000971EE">
        <w:rPr>
          <w:rFonts w:ascii="Tahoma" w:eastAsia="Calibri" w:hAnsi="Tahoma" w:cs="Tahoma"/>
          <w:lang w:eastAsia="es-CO"/>
        </w:rPr>
        <w:t xml:space="preserve">Ante el fracaso del recurso de apelación, de conformidad con el artículo 365 del </w:t>
      </w:r>
      <w:proofErr w:type="spellStart"/>
      <w:r w:rsidRPr="000971EE">
        <w:rPr>
          <w:rFonts w:ascii="Tahoma" w:eastAsia="Calibri" w:hAnsi="Tahoma" w:cs="Tahoma"/>
          <w:lang w:eastAsia="es-CO"/>
        </w:rPr>
        <w:t>CGP</w:t>
      </w:r>
      <w:proofErr w:type="spellEnd"/>
      <w:r w:rsidRPr="000971EE">
        <w:rPr>
          <w:rFonts w:ascii="Tahoma" w:eastAsia="Calibri" w:hAnsi="Tahoma" w:cs="Tahoma"/>
          <w:lang w:eastAsia="es-CO"/>
        </w:rPr>
        <w:t xml:space="preserve">, se condenará en costas procesales </w:t>
      </w:r>
      <w:r w:rsidR="00272767" w:rsidRPr="000971EE">
        <w:rPr>
          <w:rFonts w:ascii="Tahoma" w:eastAsia="Calibri" w:hAnsi="Tahoma" w:cs="Tahoma"/>
          <w:lang w:eastAsia="es-CO"/>
        </w:rPr>
        <w:t xml:space="preserve">de segunda instancia </w:t>
      </w:r>
      <w:r w:rsidRPr="000971EE">
        <w:rPr>
          <w:rFonts w:ascii="Tahoma" w:eastAsia="Calibri" w:hAnsi="Tahoma" w:cs="Tahoma"/>
          <w:lang w:eastAsia="es-CO"/>
        </w:rPr>
        <w:t xml:space="preserve">a </w:t>
      </w:r>
      <w:r w:rsidR="00DC3893" w:rsidRPr="000971EE">
        <w:rPr>
          <w:rFonts w:ascii="Tahoma" w:eastAsia="Calibri" w:hAnsi="Tahoma" w:cs="Tahoma"/>
          <w:lang w:eastAsia="es-CO"/>
        </w:rPr>
        <w:t xml:space="preserve">la recurrente </w:t>
      </w:r>
      <w:r w:rsidR="0090694C" w:rsidRPr="000971EE">
        <w:rPr>
          <w:rFonts w:ascii="Tahoma" w:eastAsia="Calibri" w:hAnsi="Tahoma" w:cs="Tahoma"/>
          <w:lang w:eastAsia="es-CO"/>
        </w:rPr>
        <w:t>en</w:t>
      </w:r>
      <w:r w:rsidRPr="000971EE">
        <w:rPr>
          <w:rFonts w:ascii="Tahoma" w:eastAsia="Calibri" w:hAnsi="Tahoma" w:cs="Tahoma"/>
          <w:lang w:eastAsia="es-CO"/>
        </w:rPr>
        <w:t xml:space="preserve"> favor de la parte actora, las cuales se liquidarán por la secretaría del juzgado de origen.</w:t>
      </w:r>
    </w:p>
    <w:p w14:paraId="180F9CBD" w14:textId="77777777" w:rsidR="008C3C1E" w:rsidRPr="000971EE" w:rsidRDefault="008C3C1E" w:rsidP="000971EE">
      <w:pPr>
        <w:spacing w:before="0" w:beforeAutospacing="0" w:after="0" w:afterAutospacing="0" w:line="276" w:lineRule="auto"/>
        <w:ind w:firstLine="284"/>
        <w:rPr>
          <w:rFonts w:ascii="Tahoma" w:eastAsia="Tahoma" w:hAnsi="Tahoma" w:cs="Tahoma"/>
          <w:lang w:eastAsia="es-CO"/>
        </w:rPr>
      </w:pPr>
    </w:p>
    <w:p w14:paraId="29FCCA0A" w14:textId="77777777" w:rsidR="008C3C1E" w:rsidRPr="000971EE" w:rsidRDefault="008C3C1E" w:rsidP="000971EE">
      <w:pPr>
        <w:spacing w:before="0" w:beforeAutospacing="0" w:after="0" w:afterAutospacing="0" w:line="276" w:lineRule="auto"/>
        <w:ind w:firstLine="708"/>
        <w:rPr>
          <w:rFonts w:ascii="Tahoma" w:eastAsia="Tahoma" w:hAnsi="Tahoma" w:cs="Tahoma"/>
          <w:lang w:eastAsia="es-CO"/>
        </w:rPr>
      </w:pPr>
      <w:r w:rsidRPr="000971EE">
        <w:rPr>
          <w:rFonts w:ascii="Tahoma" w:eastAsia="Tahoma" w:hAnsi="Tahoma" w:cs="Tahoma"/>
          <w:lang w:eastAsia="es-CO"/>
        </w:rPr>
        <w:t xml:space="preserve">En mérito de lo expuesto, el </w:t>
      </w:r>
      <w:r w:rsidRPr="000971EE">
        <w:rPr>
          <w:rFonts w:ascii="Tahoma" w:eastAsia="Tahoma" w:hAnsi="Tahoma" w:cs="Tahoma"/>
          <w:b/>
          <w:bCs/>
          <w:lang w:eastAsia="es-CO"/>
        </w:rPr>
        <w:t>Tribunal Superior del Distrito Judicial de Pereira - Risaralda, Sala Primera de Decisión Laboral,</w:t>
      </w:r>
      <w:r w:rsidRPr="000971EE">
        <w:rPr>
          <w:rFonts w:ascii="Tahoma" w:eastAsia="Tahoma" w:hAnsi="Tahoma" w:cs="Tahoma"/>
          <w:lang w:eastAsia="es-CO"/>
        </w:rPr>
        <w:t xml:space="preserve"> administrando justicia en nombre de la República y por autoridad de la ley,</w:t>
      </w:r>
    </w:p>
    <w:p w14:paraId="61DFB121" w14:textId="77777777" w:rsidR="008C3C1E" w:rsidRPr="000971EE" w:rsidRDefault="008C3C1E" w:rsidP="000971EE">
      <w:pPr>
        <w:spacing w:before="0" w:beforeAutospacing="0" w:after="0" w:afterAutospacing="0" w:line="276" w:lineRule="auto"/>
        <w:ind w:firstLine="644"/>
        <w:rPr>
          <w:rFonts w:ascii="Tahoma" w:eastAsia="Tahoma" w:hAnsi="Tahoma" w:cs="Tahoma"/>
          <w:lang w:eastAsia="es-CO"/>
        </w:rPr>
      </w:pPr>
      <w:r w:rsidRPr="000971EE">
        <w:rPr>
          <w:rFonts w:ascii="Tahoma" w:eastAsia="Tahoma" w:hAnsi="Tahoma" w:cs="Tahoma"/>
          <w:lang w:eastAsia="es-CO"/>
        </w:rPr>
        <w:t xml:space="preserve"> </w:t>
      </w:r>
    </w:p>
    <w:p w14:paraId="5D9B3479" w14:textId="77777777" w:rsidR="008C3C1E" w:rsidRPr="000971EE" w:rsidRDefault="008C3C1E" w:rsidP="000971EE">
      <w:pPr>
        <w:spacing w:before="0" w:beforeAutospacing="0" w:after="0" w:afterAutospacing="0" w:line="276" w:lineRule="auto"/>
        <w:ind w:firstLine="284"/>
        <w:jc w:val="center"/>
        <w:rPr>
          <w:rFonts w:ascii="Tahoma" w:eastAsia="Tahoma" w:hAnsi="Tahoma" w:cs="Tahoma"/>
          <w:lang w:eastAsia="es-CO"/>
        </w:rPr>
      </w:pPr>
      <w:r w:rsidRPr="000971EE">
        <w:rPr>
          <w:rFonts w:ascii="Tahoma" w:eastAsia="Tahoma" w:hAnsi="Tahoma" w:cs="Tahoma"/>
          <w:b/>
          <w:bCs/>
          <w:lang w:eastAsia="es-CO"/>
        </w:rPr>
        <w:t>RESUELVE</w:t>
      </w:r>
    </w:p>
    <w:p w14:paraId="0E17455F" w14:textId="77777777" w:rsidR="005314C7" w:rsidRPr="000971EE" w:rsidRDefault="008C3C1E" w:rsidP="000971EE">
      <w:pPr>
        <w:spacing w:before="0" w:beforeAutospacing="0" w:after="0" w:afterAutospacing="0" w:line="276" w:lineRule="auto"/>
        <w:ind w:firstLine="0"/>
        <w:jc w:val="center"/>
        <w:rPr>
          <w:rFonts w:ascii="Tahoma" w:eastAsia="Tahoma" w:hAnsi="Tahoma" w:cs="Tahoma"/>
          <w:lang w:eastAsia="es-CO"/>
        </w:rPr>
      </w:pPr>
      <w:r w:rsidRPr="000971EE">
        <w:rPr>
          <w:rFonts w:ascii="Tahoma" w:eastAsia="Tahoma" w:hAnsi="Tahoma" w:cs="Tahoma"/>
          <w:b/>
          <w:bCs/>
          <w:lang w:eastAsia="es-CO"/>
        </w:rPr>
        <w:t xml:space="preserve"> </w:t>
      </w:r>
    </w:p>
    <w:p w14:paraId="4587A5F1" w14:textId="14DDDDBC" w:rsidR="001923A4" w:rsidRPr="000971EE" w:rsidRDefault="008C3C1E" w:rsidP="000971EE">
      <w:pPr>
        <w:spacing w:before="0" w:beforeAutospacing="0" w:after="0" w:afterAutospacing="0" w:line="276" w:lineRule="auto"/>
        <w:ind w:firstLine="708"/>
        <w:contextualSpacing/>
        <w:rPr>
          <w:rFonts w:ascii="Tahoma" w:hAnsi="Tahoma" w:cs="Tahoma"/>
          <w:b/>
          <w:bCs/>
        </w:rPr>
      </w:pPr>
      <w:r w:rsidRPr="000971EE">
        <w:rPr>
          <w:rFonts w:ascii="Tahoma" w:eastAsia="Times New Roman" w:hAnsi="Tahoma" w:cs="Tahoma"/>
          <w:b/>
          <w:bCs/>
          <w:lang w:eastAsia="es-CO"/>
        </w:rPr>
        <w:t xml:space="preserve">PRIMERO: </w:t>
      </w:r>
      <w:r w:rsidRPr="000971EE">
        <w:rPr>
          <w:rFonts w:ascii="Tahoma" w:eastAsia="Times New Roman" w:hAnsi="Tahoma" w:cs="Tahoma"/>
          <w:lang w:eastAsia="es-CO"/>
        </w:rPr>
        <w:t> </w:t>
      </w:r>
      <w:r w:rsidR="005314C7" w:rsidRPr="000971EE">
        <w:rPr>
          <w:rFonts w:ascii="Tahoma" w:eastAsia="Tahoma" w:hAnsi="Tahoma" w:cs="Tahoma"/>
          <w:b/>
          <w:bCs/>
          <w:lang w:eastAsia="es-CO"/>
        </w:rPr>
        <w:t xml:space="preserve"> </w:t>
      </w:r>
      <w:r w:rsidR="001923A4" w:rsidRPr="000971EE">
        <w:rPr>
          <w:rFonts w:ascii="Tahoma" w:eastAsia="Tahoma" w:hAnsi="Tahoma" w:cs="Tahoma"/>
          <w:b/>
          <w:bCs/>
          <w:lang w:eastAsia="es-CO"/>
        </w:rPr>
        <w:t xml:space="preserve">ADICIONAR </w:t>
      </w:r>
      <w:r w:rsidR="001923A4" w:rsidRPr="000971EE">
        <w:rPr>
          <w:rFonts w:ascii="Tahoma" w:eastAsia="Tahoma" w:hAnsi="Tahoma" w:cs="Tahoma"/>
          <w:lang w:eastAsia="es-CO"/>
        </w:rPr>
        <w:t xml:space="preserve">el numeral segundo de la sentencia proferida por el Juzgado Primero Laboral del Circuito de Pereira el </w:t>
      </w:r>
      <w:r w:rsidR="00846A2C" w:rsidRPr="000971EE">
        <w:rPr>
          <w:rFonts w:ascii="Tahoma" w:eastAsia="Tahoma" w:hAnsi="Tahoma" w:cs="Tahoma"/>
          <w:lang w:eastAsia="es-CO"/>
        </w:rPr>
        <w:t>0</w:t>
      </w:r>
      <w:r w:rsidR="008A389B" w:rsidRPr="000971EE">
        <w:rPr>
          <w:rFonts w:ascii="Tahoma" w:eastAsia="Tahoma" w:hAnsi="Tahoma" w:cs="Tahoma"/>
          <w:lang w:eastAsia="es-CO"/>
        </w:rPr>
        <w:t>4</w:t>
      </w:r>
      <w:r w:rsidR="00846A2C" w:rsidRPr="000971EE">
        <w:rPr>
          <w:rFonts w:ascii="Tahoma" w:eastAsia="Tahoma" w:hAnsi="Tahoma" w:cs="Tahoma"/>
          <w:lang w:eastAsia="es-CO"/>
        </w:rPr>
        <w:t xml:space="preserve"> de </w:t>
      </w:r>
      <w:r w:rsidR="008A389B" w:rsidRPr="000971EE">
        <w:rPr>
          <w:rFonts w:ascii="Tahoma" w:eastAsia="Tahoma" w:hAnsi="Tahoma" w:cs="Tahoma"/>
          <w:lang w:eastAsia="es-CO"/>
        </w:rPr>
        <w:t>agosto</w:t>
      </w:r>
      <w:r w:rsidR="001923A4" w:rsidRPr="000971EE">
        <w:rPr>
          <w:rFonts w:ascii="Tahoma" w:eastAsia="Tahoma" w:hAnsi="Tahoma" w:cs="Tahoma"/>
          <w:lang w:eastAsia="es-CO"/>
        </w:rPr>
        <w:t xml:space="preserve"> de 2023, dentro del proceso ordinario laboral promovido por </w:t>
      </w:r>
      <w:r w:rsidR="00262481" w:rsidRPr="000971EE">
        <w:rPr>
          <w:rFonts w:ascii="Tahoma" w:hAnsi="Tahoma" w:cs="Tahoma"/>
          <w:b/>
          <w:bCs/>
        </w:rPr>
        <w:t>INÉS</w:t>
      </w:r>
      <w:r w:rsidR="008A389B" w:rsidRPr="000971EE">
        <w:rPr>
          <w:rFonts w:ascii="Tahoma" w:hAnsi="Tahoma" w:cs="Tahoma"/>
          <w:b/>
          <w:bCs/>
        </w:rPr>
        <w:t xml:space="preserve"> </w:t>
      </w:r>
      <w:proofErr w:type="spellStart"/>
      <w:r w:rsidR="008A389B" w:rsidRPr="000971EE">
        <w:rPr>
          <w:rFonts w:ascii="Tahoma" w:hAnsi="Tahoma" w:cs="Tahoma"/>
          <w:b/>
          <w:bCs/>
        </w:rPr>
        <w:t>HERCILIA</w:t>
      </w:r>
      <w:proofErr w:type="spellEnd"/>
      <w:r w:rsidR="008A389B" w:rsidRPr="000971EE">
        <w:rPr>
          <w:rFonts w:ascii="Tahoma" w:hAnsi="Tahoma" w:cs="Tahoma"/>
          <w:b/>
          <w:bCs/>
        </w:rPr>
        <w:t xml:space="preserve"> CORRALES LEIVA </w:t>
      </w:r>
      <w:r w:rsidR="001923A4" w:rsidRPr="000971EE">
        <w:rPr>
          <w:rFonts w:ascii="Tahoma" w:hAnsi="Tahoma" w:cs="Tahoma"/>
        </w:rPr>
        <w:t>en contra de la</w:t>
      </w:r>
      <w:r w:rsidR="001923A4" w:rsidRPr="000971EE">
        <w:rPr>
          <w:rFonts w:ascii="Tahoma" w:hAnsi="Tahoma" w:cs="Tahoma"/>
          <w:b/>
          <w:bCs/>
        </w:rPr>
        <w:t xml:space="preserve"> </w:t>
      </w:r>
      <w:r w:rsidR="00846A2C" w:rsidRPr="000971EE">
        <w:rPr>
          <w:rFonts w:ascii="Tahoma" w:hAnsi="Tahoma" w:cs="Tahoma"/>
          <w:b/>
          <w:bCs/>
        </w:rPr>
        <w:t xml:space="preserve">ADMINISTRADORA COLOMBIANA DE PENSIONES – COLPENSIONES </w:t>
      </w:r>
      <w:r w:rsidR="001923A4" w:rsidRPr="000971EE">
        <w:rPr>
          <w:rFonts w:ascii="Tahoma" w:hAnsi="Tahoma" w:cs="Tahoma"/>
          <w:bCs/>
        </w:rPr>
        <w:t>y</w:t>
      </w:r>
      <w:r w:rsidR="001923A4" w:rsidRPr="000971EE">
        <w:rPr>
          <w:rFonts w:ascii="Tahoma" w:hAnsi="Tahoma" w:cs="Tahoma"/>
          <w:b/>
          <w:bCs/>
        </w:rPr>
        <w:t xml:space="preserve"> </w:t>
      </w:r>
      <w:r w:rsidR="00846A2C" w:rsidRPr="000971EE">
        <w:rPr>
          <w:rFonts w:ascii="Tahoma" w:hAnsi="Tahoma" w:cs="Tahoma"/>
          <w:bCs/>
        </w:rPr>
        <w:t>la</w:t>
      </w:r>
      <w:r w:rsidR="00846A2C" w:rsidRPr="000971EE">
        <w:rPr>
          <w:rFonts w:ascii="Tahoma" w:hAnsi="Tahoma" w:cs="Tahoma"/>
          <w:b/>
          <w:bCs/>
        </w:rPr>
        <w:t xml:space="preserve"> ADMINISTRADORA DE FONDOS DE PENSIONES Y CESANTÍAS PROTECCIÓN S.A. </w:t>
      </w:r>
      <w:r w:rsidR="007D1776" w:rsidRPr="000971EE">
        <w:rPr>
          <w:rFonts w:ascii="Tahoma" w:eastAsia="Tahoma" w:hAnsi="Tahoma" w:cs="Tahoma"/>
          <w:lang w:eastAsia="es-ES"/>
        </w:rPr>
        <w:t>e</w:t>
      </w:r>
      <w:r w:rsidR="001923A4" w:rsidRPr="000971EE">
        <w:rPr>
          <w:rFonts w:ascii="Tahoma" w:hAnsi="Tahoma" w:cs="Tahoma"/>
        </w:rPr>
        <w:t xml:space="preserve">n el siguiente sentido: </w:t>
      </w:r>
    </w:p>
    <w:p w14:paraId="7FF5F9C5" w14:textId="77777777" w:rsidR="001923A4" w:rsidRPr="000971EE" w:rsidRDefault="001923A4" w:rsidP="000971EE">
      <w:pPr>
        <w:spacing w:before="0" w:beforeAutospacing="0" w:after="0" w:afterAutospacing="0" w:line="276" w:lineRule="auto"/>
        <w:ind w:firstLine="708"/>
        <w:contextualSpacing/>
        <w:rPr>
          <w:rFonts w:ascii="Tahoma" w:hAnsi="Tahoma" w:cs="Tahoma"/>
          <w:bCs/>
        </w:rPr>
      </w:pPr>
    </w:p>
    <w:p w14:paraId="1A7BF800" w14:textId="1A98E8CC" w:rsidR="001923A4" w:rsidRPr="000971EE" w:rsidRDefault="001923A4" w:rsidP="00607298">
      <w:pPr>
        <w:spacing w:before="0" w:beforeAutospacing="0" w:after="0" w:afterAutospacing="0" w:line="276" w:lineRule="auto"/>
        <w:ind w:left="426" w:right="420" w:firstLine="0"/>
        <w:rPr>
          <w:rFonts w:ascii="Tahoma" w:hAnsi="Tahoma" w:cs="Tahoma"/>
          <w:bCs/>
          <w:i/>
          <w:iCs/>
          <w:lang w:val="es-ES"/>
        </w:rPr>
      </w:pPr>
      <w:r w:rsidRPr="000971EE">
        <w:rPr>
          <w:rFonts w:ascii="Tahoma" w:hAnsi="Tahoma" w:cs="Tahoma"/>
          <w:bCs/>
          <w:i/>
          <w:iCs/>
          <w:lang w:val="es-ES"/>
        </w:rPr>
        <w:t>“</w:t>
      </w:r>
      <w:r w:rsidR="00607298">
        <w:rPr>
          <w:rFonts w:ascii="Tahoma" w:hAnsi="Tahoma" w:cs="Tahoma"/>
          <w:bCs/>
          <w:i/>
          <w:iCs/>
          <w:lang w:val="es-ES"/>
        </w:rPr>
        <w:t>A</w:t>
      </w:r>
      <w:r w:rsidRPr="000971EE">
        <w:rPr>
          <w:rFonts w:ascii="Tahoma" w:hAnsi="Tahoma" w:cs="Tahoma"/>
          <w:bCs/>
          <w:i/>
          <w:iCs/>
          <w:lang w:val="es-ES"/>
        </w:rPr>
        <w:t xml:space="preserve">l momento de cumplirse la orden prevista en </w:t>
      </w:r>
      <w:r w:rsidR="00846A2C" w:rsidRPr="000971EE">
        <w:rPr>
          <w:rFonts w:ascii="Tahoma" w:hAnsi="Tahoma" w:cs="Tahoma"/>
          <w:bCs/>
          <w:i/>
          <w:iCs/>
          <w:lang w:val="es-ES"/>
        </w:rPr>
        <w:t>e</w:t>
      </w:r>
      <w:r w:rsidRPr="000971EE">
        <w:rPr>
          <w:rFonts w:ascii="Tahoma" w:hAnsi="Tahoma" w:cs="Tahoma"/>
          <w:bCs/>
          <w:i/>
          <w:iCs/>
          <w:lang w:val="es-ES"/>
        </w:rPr>
        <w:t xml:space="preserve">l numeral tercero, tales valores deberán aparecer discriminados con sus respectivos montos, junto con el detalle pormenorizado de los ciclos, </w:t>
      </w:r>
      <w:proofErr w:type="spellStart"/>
      <w:r w:rsidRPr="000971EE">
        <w:rPr>
          <w:rFonts w:ascii="Tahoma" w:hAnsi="Tahoma" w:cs="Tahoma"/>
          <w:bCs/>
          <w:i/>
          <w:iCs/>
          <w:lang w:val="es-ES"/>
        </w:rPr>
        <w:t>IBC</w:t>
      </w:r>
      <w:proofErr w:type="spellEnd"/>
      <w:r w:rsidRPr="000971EE">
        <w:rPr>
          <w:rFonts w:ascii="Tahoma" w:hAnsi="Tahoma" w:cs="Tahoma"/>
          <w:bCs/>
          <w:i/>
          <w:iCs/>
          <w:lang w:val="es-ES"/>
        </w:rPr>
        <w:t>, aportes y demás información relevante que los justifiquen”.</w:t>
      </w:r>
    </w:p>
    <w:p w14:paraId="6EB60E6D" w14:textId="21CFEA09" w:rsidR="00D61C3D" w:rsidRPr="000971EE" w:rsidRDefault="00D61C3D" w:rsidP="000971EE">
      <w:pPr>
        <w:spacing w:before="0" w:beforeAutospacing="0" w:after="0" w:afterAutospacing="0" w:line="276" w:lineRule="auto"/>
        <w:ind w:firstLine="708"/>
        <w:rPr>
          <w:rFonts w:ascii="Tahoma" w:eastAsia="Tahoma" w:hAnsi="Tahoma" w:cs="Tahoma"/>
          <w:b/>
          <w:bCs/>
          <w:lang w:eastAsia="es-CO"/>
        </w:rPr>
      </w:pPr>
    </w:p>
    <w:p w14:paraId="1B0B640E" w14:textId="61EB9401" w:rsidR="002068B1" w:rsidRPr="000971EE" w:rsidRDefault="00846A2C" w:rsidP="000971EE">
      <w:pPr>
        <w:spacing w:before="0" w:beforeAutospacing="0" w:after="0" w:afterAutospacing="0" w:line="276" w:lineRule="auto"/>
        <w:ind w:firstLine="708"/>
        <w:rPr>
          <w:rFonts w:ascii="Tahoma" w:hAnsi="Tahoma" w:cs="Tahoma"/>
          <w:bCs/>
          <w:i/>
          <w:iCs/>
          <w:lang w:val="es-ES"/>
        </w:rPr>
      </w:pPr>
      <w:r w:rsidRPr="000971EE">
        <w:rPr>
          <w:rFonts w:ascii="Tahoma" w:eastAsia="Tahoma" w:hAnsi="Tahoma" w:cs="Tahoma"/>
          <w:b/>
          <w:bCs/>
          <w:lang w:eastAsia="es-CO"/>
        </w:rPr>
        <w:t>SEGUNDO</w:t>
      </w:r>
      <w:r w:rsidR="00D61C3D" w:rsidRPr="000971EE">
        <w:rPr>
          <w:rFonts w:ascii="Tahoma" w:eastAsia="Tahoma" w:hAnsi="Tahoma" w:cs="Tahoma"/>
          <w:b/>
          <w:bCs/>
          <w:lang w:eastAsia="es-CO"/>
        </w:rPr>
        <w:t xml:space="preserve">: </w:t>
      </w:r>
      <w:r w:rsidR="001923A4" w:rsidRPr="000971EE">
        <w:rPr>
          <w:rFonts w:ascii="Tahoma" w:eastAsia="Tahoma" w:hAnsi="Tahoma" w:cs="Tahoma"/>
          <w:b/>
          <w:bCs/>
          <w:lang w:eastAsia="es-CO"/>
        </w:rPr>
        <w:t>CONFIRMAR</w:t>
      </w:r>
      <w:r w:rsidR="001923A4" w:rsidRPr="000971EE">
        <w:rPr>
          <w:rFonts w:ascii="Tahoma" w:eastAsia="Tahoma" w:hAnsi="Tahoma" w:cs="Tahoma"/>
          <w:bCs/>
          <w:lang w:eastAsia="es-CO"/>
        </w:rPr>
        <w:t xml:space="preserve"> en todo lo demás la sentencia recurrida y consultada.</w:t>
      </w:r>
    </w:p>
    <w:p w14:paraId="40520F45" w14:textId="6902881D" w:rsidR="00D61C3D" w:rsidRPr="000971EE" w:rsidRDefault="00D61C3D" w:rsidP="000971EE">
      <w:pPr>
        <w:spacing w:before="0" w:beforeAutospacing="0" w:after="0" w:afterAutospacing="0" w:line="276" w:lineRule="auto"/>
        <w:ind w:firstLine="708"/>
        <w:rPr>
          <w:rFonts w:ascii="Tahoma" w:eastAsia="Tahoma" w:hAnsi="Tahoma" w:cs="Tahoma"/>
          <w:bCs/>
          <w:lang w:eastAsia="es-CO"/>
        </w:rPr>
      </w:pPr>
    </w:p>
    <w:p w14:paraId="212CAFCE" w14:textId="1DB62C23" w:rsidR="002068B1" w:rsidRPr="000971EE" w:rsidRDefault="00846A2C" w:rsidP="000971EE">
      <w:pPr>
        <w:spacing w:before="0" w:beforeAutospacing="0" w:after="0" w:afterAutospacing="0" w:line="276" w:lineRule="auto"/>
        <w:ind w:firstLine="708"/>
        <w:rPr>
          <w:rFonts w:ascii="Tahoma" w:eastAsia="Tahoma" w:hAnsi="Tahoma" w:cs="Tahoma"/>
          <w:bCs/>
          <w:lang w:eastAsia="es-CO"/>
        </w:rPr>
      </w:pPr>
      <w:r w:rsidRPr="000971EE">
        <w:rPr>
          <w:rFonts w:ascii="Tahoma" w:eastAsia="Tahoma" w:hAnsi="Tahoma" w:cs="Tahoma"/>
          <w:b/>
          <w:bCs/>
          <w:lang w:eastAsia="es-CO"/>
        </w:rPr>
        <w:t>TERCERO</w:t>
      </w:r>
      <w:r w:rsidR="00D61C3D" w:rsidRPr="000971EE">
        <w:rPr>
          <w:rFonts w:ascii="Tahoma" w:eastAsia="Tahoma" w:hAnsi="Tahoma" w:cs="Tahoma"/>
          <w:b/>
          <w:bCs/>
          <w:lang w:eastAsia="es-CO"/>
        </w:rPr>
        <w:t xml:space="preserve">: </w:t>
      </w:r>
      <w:r w:rsidR="001923A4" w:rsidRPr="000971EE">
        <w:rPr>
          <w:rFonts w:ascii="Tahoma" w:eastAsia="Tahoma" w:hAnsi="Tahoma" w:cs="Tahoma"/>
          <w:b/>
          <w:bCs/>
          <w:lang w:eastAsia="es-CO"/>
        </w:rPr>
        <w:t>CONDENAR</w:t>
      </w:r>
      <w:r w:rsidR="001923A4" w:rsidRPr="000971EE">
        <w:rPr>
          <w:rFonts w:ascii="Tahoma" w:eastAsia="Tahoma" w:hAnsi="Tahoma" w:cs="Tahoma"/>
          <w:lang w:eastAsia="es-CO"/>
        </w:rPr>
        <w:t xml:space="preserve"> en costas de segunda instancia a </w:t>
      </w:r>
      <w:r w:rsidR="001923A4" w:rsidRPr="000971EE">
        <w:rPr>
          <w:rFonts w:ascii="Tahoma" w:eastAsia="Tahoma" w:hAnsi="Tahoma" w:cs="Tahoma"/>
          <w:b/>
          <w:bCs/>
          <w:lang w:eastAsia="es-MX"/>
        </w:rPr>
        <w:t xml:space="preserve">la Administradora Colombiana de Pensiones – Colpensiones </w:t>
      </w:r>
      <w:r w:rsidR="001923A4" w:rsidRPr="000971EE">
        <w:rPr>
          <w:rFonts w:ascii="Tahoma" w:eastAsia="Tahoma" w:hAnsi="Tahoma" w:cs="Tahoma"/>
          <w:lang w:eastAsia="es-CO"/>
        </w:rPr>
        <w:t>a favor de la parte demandante. Liquídense por la secretaría del juzgado de origen.</w:t>
      </w:r>
    </w:p>
    <w:p w14:paraId="3792EEBE" w14:textId="77777777" w:rsidR="000971EE" w:rsidRPr="006F0341" w:rsidRDefault="000971EE" w:rsidP="000971EE">
      <w:pPr>
        <w:spacing w:before="0" w:beforeAutospacing="0" w:after="0" w:afterAutospacing="0" w:line="276" w:lineRule="auto"/>
        <w:ind w:firstLine="0"/>
        <w:rPr>
          <w:rFonts w:ascii="Tahoma" w:eastAsia="Calibri" w:hAnsi="Tahoma" w:cs="Tahoma"/>
        </w:rPr>
      </w:pPr>
      <w:bookmarkStart w:id="7" w:name="_Hlk126574973"/>
    </w:p>
    <w:p w14:paraId="1ADDBB27" w14:textId="77777777" w:rsidR="000971EE" w:rsidRPr="006F0341" w:rsidRDefault="000971EE" w:rsidP="000971EE">
      <w:pPr>
        <w:spacing w:before="0" w:beforeAutospacing="0" w:after="0" w:afterAutospacing="0" w:line="276" w:lineRule="auto"/>
        <w:ind w:firstLine="0"/>
        <w:jc w:val="center"/>
        <w:rPr>
          <w:rFonts w:ascii="Tahoma" w:eastAsia="Tahoma" w:hAnsi="Tahoma" w:cs="Tahoma"/>
          <w:b/>
          <w:bCs/>
        </w:rPr>
      </w:pPr>
      <w:r w:rsidRPr="006F0341">
        <w:rPr>
          <w:rFonts w:ascii="Tahoma" w:eastAsia="Tahoma" w:hAnsi="Tahoma" w:cs="Tahoma"/>
          <w:b/>
          <w:bCs/>
        </w:rPr>
        <w:t>NOTIFÍQUESE Y CÚMPLASE</w:t>
      </w:r>
    </w:p>
    <w:p w14:paraId="47618FA0" w14:textId="77777777" w:rsidR="000971EE" w:rsidRPr="006F0341" w:rsidRDefault="000971EE" w:rsidP="000971EE">
      <w:pPr>
        <w:spacing w:before="0" w:beforeAutospacing="0" w:after="0" w:afterAutospacing="0" w:line="276" w:lineRule="auto"/>
        <w:ind w:firstLine="0"/>
        <w:rPr>
          <w:rFonts w:ascii="Tahoma" w:eastAsia="Calibri" w:hAnsi="Tahoma" w:cs="Tahoma"/>
        </w:rPr>
      </w:pPr>
      <w:r w:rsidRPr="006F0341">
        <w:rPr>
          <w:rFonts w:ascii="Tahoma" w:eastAsia="Calibri" w:hAnsi="Tahoma" w:cs="Tahoma"/>
        </w:rPr>
        <w:t xml:space="preserve"> </w:t>
      </w:r>
    </w:p>
    <w:p w14:paraId="04CFB968" w14:textId="77777777" w:rsidR="000971EE" w:rsidRPr="006F0341" w:rsidRDefault="000971EE" w:rsidP="000971EE">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F0341">
        <w:rPr>
          <w:rFonts w:ascii="Tahoma" w:eastAsia="Times New Roman" w:hAnsi="Tahoma" w:cs="Tahoma"/>
          <w:lang w:val="es-ES" w:eastAsia="es-ES"/>
        </w:rPr>
        <w:tab/>
        <w:t>La Magistrada ponente,</w:t>
      </w:r>
    </w:p>
    <w:p w14:paraId="30087AD0" w14:textId="77777777" w:rsidR="000971EE" w:rsidRPr="006F0341" w:rsidRDefault="000971EE" w:rsidP="000971EE">
      <w:pPr>
        <w:spacing w:before="0" w:beforeAutospacing="0" w:after="0" w:afterAutospacing="0" w:line="276" w:lineRule="auto"/>
        <w:ind w:firstLine="0"/>
        <w:jc w:val="left"/>
        <w:rPr>
          <w:rFonts w:ascii="Tahoma" w:eastAsia="Times New Roman" w:hAnsi="Tahoma" w:cs="Tahoma"/>
          <w:lang w:val="es-ES" w:eastAsia="es-ES"/>
        </w:rPr>
      </w:pPr>
    </w:p>
    <w:p w14:paraId="505C4199" w14:textId="77777777" w:rsidR="000971EE" w:rsidRPr="006F0341" w:rsidRDefault="000971EE" w:rsidP="000971EE">
      <w:pPr>
        <w:spacing w:before="0" w:beforeAutospacing="0" w:after="0" w:afterAutospacing="0" w:line="276" w:lineRule="auto"/>
        <w:ind w:firstLine="0"/>
        <w:jc w:val="left"/>
        <w:rPr>
          <w:rFonts w:ascii="Tahoma" w:eastAsia="Times New Roman" w:hAnsi="Tahoma" w:cs="Tahoma"/>
          <w:lang w:val="es-ES" w:eastAsia="es-ES"/>
        </w:rPr>
      </w:pPr>
    </w:p>
    <w:p w14:paraId="7E4D61B8" w14:textId="77777777" w:rsidR="000971EE" w:rsidRPr="006F0341" w:rsidRDefault="000971EE" w:rsidP="000971EE">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F0341">
        <w:rPr>
          <w:rFonts w:ascii="Tahoma" w:eastAsia="Times New Roman" w:hAnsi="Tahoma" w:cs="Tahoma"/>
          <w:b/>
          <w:bCs/>
          <w:lang w:val="es-ES" w:eastAsia="es-ES"/>
        </w:rPr>
        <w:t>ANA LUCÍA CAICEDO CALDERÓN</w:t>
      </w:r>
    </w:p>
    <w:p w14:paraId="79AAD98F" w14:textId="77777777" w:rsidR="000971EE" w:rsidRPr="006F0341" w:rsidRDefault="000971EE" w:rsidP="000971EE">
      <w:pPr>
        <w:spacing w:before="0" w:beforeAutospacing="0" w:after="0" w:afterAutospacing="0" w:line="276" w:lineRule="auto"/>
        <w:ind w:firstLine="0"/>
        <w:jc w:val="left"/>
        <w:rPr>
          <w:rFonts w:ascii="Tahoma" w:eastAsia="Times New Roman" w:hAnsi="Tahoma" w:cs="Tahoma"/>
          <w:lang w:val="es-ES" w:eastAsia="es-ES"/>
        </w:rPr>
      </w:pPr>
    </w:p>
    <w:p w14:paraId="2A693DC2" w14:textId="77777777" w:rsidR="000971EE" w:rsidRPr="006F0341" w:rsidRDefault="000971EE" w:rsidP="000971EE">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6F0341">
        <w:rPr>
          <w:rFonts w:ascii="Tahoma" w:eastAsia="Times New Roman" w:hAnsi="Tahoma" w:cs="Tahoma"/>
          <w:lang w:val="es-ES" w:eastAsia="es-ES"/>
        </w:rPr>
        <w:t>La Magistrada y el Magistrado,</w:t>
      </w:r>
    </w:p>
    <w:p w14:paraId="22730A3A" w14:textId="77777777" w:rsidR="000971EE" w:rsidRPr="006F0341" w:rsidRDefault="000971EE" w:rsidP="000971EE">
      <w:pPr>
        <w:spacing w:before="0" w:beforeAutospacing="0" w:after="0" w:afterAutospacing="0" w:line="276" w:lineRule="auto"/>
        <w:ind w:firstLine="0"/>
        <w:jc w:val="left"/>
        <w:rPr>
          <w:rFonts w:ascii="Tahoma" w:eastAsia="Times New Roman" w:hAnsi="Tahoma" w:cs="Tahoma"/>
          <w:lang w:val="es-ES" w:eastAsia="es-ES"/>
        </w:rPr>
      </w:pPr>
    </w:p>
    <w:p w14:paraId="325C293D" w14:textId="77777777" w:rsidR="000971EE" w:rsidRPr="006F0341" w:rsidRDefault="000971EE" w:rsidP="000971EE">
      <w:pPr>
        <w:spacing w:before="0" w:beforeAutospacing="0" w:after="0" w:afterAutospacing="0" w:line="276" w:lineRule="auto"/>
        <w:ind w:firstLine="0"/>
        <w:jc w:val="left"/>
        <w:rPr>
          <w:rFonts w:ascii="Tahoma" w:eastAsia="Times New Roman" w:hAnsi="Tahoma" w:cs="Tahoma"/>
          <w:lang w:val="es-ES" w:eastAsia="es-ES"/>
        </w:rPr>
      </w:pPr>
    </w:p>
    <w:p w14:paraId="14A6DEA8" w14:textId="77777777" w:rsidR="000971EE" w:rsidRPr="006F0341" w:rsidRDefault="000971EE" w:rsidP="000971EE">
      <w:pPr>
        <w:spacing w:before="0" w:beforeAutospacing="0" w:after="0" w:afterAutospacing="0" w:line="276" w:lineRule="auto"/>
        <w:ind w:firstLine="0"/>
        <w:rPr>
          <w:rFonts w:ascii="Tahoma" w:eastAsia="Calibri" w:hAnsi="Tahoma" w:cs="Tahoma"/>
          <w:lang w:val="es-ES"/>
        </w:rPr>
      </w:pPr>
      <w:r w:rsidRPr="006F0341">
        <w:rPr>
          <w:rFonts w:ascii="Tahoma" w:eastAsia="Times New Roman" w:hAnsi="Tahoma" w:cs="Tahoma"/>
          <w:b/>
          <w:bCs/>
          <w:lang w:val="es-ES" w:eastAsia="es-ES"/>
        </w:rPr>
        <w:t>OLGA LUCÍA HOYOS SEPÚLVEDA</w:t>
      </w:r>
      <w:r w:rsidRPr="006F0341">
        <w:rPr>
          <w:rFonts w:ascii="Tahoma" w:eastAsia="Times New Roman" w:hAnsi="Tahoma" w:cs="Tahoma"/>
          <w:b/>
          <w:bCs/>
          <w:lang w:val="es-ES" w:eastAsia="es-ES"/>
        </w:rPr>
        <w:tab/>
      </w:r>
      <w:r w:rsidRPr="006F0341">
        <w:rPr>
          <w:rFonts w:ascii="Tahoma" w:eastAsia="Times New Roman" w:hAnsi="Tahoma" w:cs="Tahoma"/>
          <w:b/>
          <w:bCs/>
          <w:lang w:val="es-ES" w:eastAsia="es-ES"/>
        </w:rPr>
        <w:tab/>
        <w:t xml:space="preserve">GERMÁN DARÍO </w:t>
      </w:r>
      <w:proofErr w:type="spellStart"/>
      <w:r w:rsidRPr="006F0341">
        <w:rPr>
          <w:rFonts w:ascii="Tahoma" w:eastAsia="Times New Roman" w:hAnsi="Tahoma" w:cs="Tahoma"/>
          <w:b/>
          <w:bCs/>
          <w:lang w:val="es-ES" w:eastAsia="es-ES"/>
        </w:rPr>
        <w:t>GÓEZ</w:t>
      </w:r>
      <w:proofErr w:type="spellEnd"/>
      <w:r w:rsidRPr="006F0341">
        <w:rPr>
          <w:rFonts w:ascii="Tahoma" w:eastAsia="Times New Roman" w:hAnsi="Tahoma" w:cs="Tahoma"/>
          <w:b/>
          <w:bCs/>
          <w:lang w:val="es-ES" w:eastAsia="es-ES"/>
        </w:rPr>
        <w:t xml:space="preserve"> </w:t>
      </w:r>
      <w:proofErr w:type="spellStart"/>
      <w:r w:rsidRPr="006F0341">
        <w:rPr>
          <w:rFonts w:ascii="Tahoma" w:eastAsia="Times New Roman" w:hAnsi="Tahoma" w:cs="Tahoma"/>
          <w:b/>
          <w:bCs/>
          <w:lang w:val="es-ES" w:eastAsia="es-ES"/>
        </w:rPr>
        <w:t>VINASCO</w:t>
      </w:r>
      <w:bookmarkEnd w:id="7"/>
      <w:bookmarkEnd w:id="8"/>
      <w:proofErr w:type="spellEnd"/>
    </w:p>
    <w:p w14:paraId="3E8401B6" w14:textId="0EA64A34" w:rsidR="000F1CB4" w:rsidRPr="000971EE" w:rsidRDefault="000971EE" w:rsidP="000971EE">
      <w:pPr>
        <w:spacing w:before="0" w:beforeAutospacing="0" w:after="0" w:afterAutospacing="0" w:line="276" w:lineRule="auto"/>
        <w:ind w:firstLine="0"/>
        <w:rPr>
          <w:rFonts w:ascii="Tahoma" w:eastAsia="Tahoma" w:hAnsi="Tahoma" w:cs="Tahoma"/>
          <w:bCs/>
          <w:lang w:val="es-ES"/>
        </w:rPr>
      </w:pPr>
      <w:r>
        <w:rPr>
          <w:rFonts w:ascii="Tahoma" w:eastAsia="Tahoma" w:hAnsi="Tahoma" w:cs="Tahoma"/>
          <w:bCs/>
          <w:lang w:val="es-ES"/>
        </w:rPr>
        <w:t>Ausencia justificada</w:t>
      </w:r>
    </w:p>
    <w:sectPr w:rsidR="000F1CB4" w:rsidRPr="000971EE" w:rsidSect="00262481">
      <w:headerReference w:type="default" r:id="rId11"/>
      <w:footerReference w:type="even" r:id="rId12"/>
      <w:footerReference w:type="default" r:id="rId13"/>
      <w:footerReference w:type="first" r:id="rId14"/>
      <w:pgSz w:w="12242" w:h="18722" w:code="258"/>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3CF695" w16cex:dateUtc="2023-09-21T13:31:25.856Z"/>
  <w16cex:commentExtensible w16cex:durableId="5392780A" w16cex:dateUtc="2023-10-18T13:59:31.379Z"/>
  <w16cex:commentExtensible w16cex:durableId="24F20115" w16cex:dateUtc="2023-10-19T20:39:32.596Z"/>
  <w16cex:commentExtensible w16cex:durableId="1D46526A" w16cex:dateUtc="2023-11-21T16:48:59.444Z"/>
  <w16cex:commentExtensible w16cex:durableId="434685F0" w16cex:dateUtc="2023-12-07T15:51:57.769Z"/>
  <w16cex:commentExtensible w16cex:durableId="18371443" w16cex:dateUtc="2023-12-13T19:27:39.764Z"/>
</w16cex:commentsExtensible>
</file>

<file path=word/commentsIds.xml><?xml version="1.0" encoding="utf-8"?>
<w16cid:commentsIds xmlns:mc="http://schemas.openxmlformats.org/markup-compatibility/2006" xmlns:w16cid="http://schemas.microsoft.com/office/word/2016/wordml/cid" mc:Ignorable="w16cid">
  <w16cid:commentId w16cid:paraId="6697D1B6" w16cid:durableId="434685F0"/>
  <w16cid:commentId w16cid:paraId="2704D096" w16cid:durableId="183714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B8B6" w14:textId="77777777" w:rsidR="00160D01" w:rsidRDefault="00160D01" w:rsidP="00995B6C">
      <w:pPr>
        <w:spacing w:before="0" w:after="0" w:line="240" w:lineRule="auto"/>
      </w:pPr>
      <w:r>
        <w:separator/>
      </w:r>
    </w:p>
  </w:endnote>
  <w:endnote w:type="continuationSeparator" w:id="0">
    <w:p w14:paraId="5C867DEA" w14:textId="77777777" w:rsidR="00160D01" w:rsidRDefault="00160D01" w:rsidP="00995B6C">
      <w:pPr>
        <w:spacing w:before="0" w:after="0" w:line="240" w:lineRule="auto"/>
      </w:pPr>
      <w:r>
        <w:continuationSeparator/>
      </w:r>
    </w:p>
  </w:endnote>
  <w:endnote w:type="continuationNotice" w:id="1">
    <w:p w14:paraId="4C2112C5" w14:textId="77777777" w:rsidR="00160D01" w:rsidRDefault="00160D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8C0E8A" w:rsidRDefault="008C0E8A"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8C0E8A" w:rsidRDefault="008C0E8A"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5AC85508" w:rsidR="008C0E8A" w:rsidRPr="004B1076" w:rsidRDefault="008C0E8A" w:rsidP="004B1076">
        <w:pPr>
          <w:framePr w:wrap="none" w:vAnchor="text" w:hAnchor="margin" w:xAlign="right" w:y="1"/>
          <w:tabs>
            <w:tab w:val="left" w:pos="0"/>
          </w:tabs>
          <w:spacing w:before="0" w:beforeAutospacing="0" w:after="0" w:afterAutospacing="0" w:line="240" w:lineRule="auto"/>
          <w:ind w:firstLine="0"/>
          <w:jc w:val="left"/>
          <w:rPr>
            <w:rFonts w:ascii="Arial" w:hAnsi="Arial" w:cs="Arial"/>
            <w:color w:val="000000"/>
            <w:sz w:val="18"/>
            <w:szCs w:val="18"/>
          </w:rPr>
        </w:pPr>
        <w:r w:rsidRPr="004B1076">
          <w:rPr>
            <w:rFonts w:ascii="Arial" w:hAnsi="Arial" w:cs="Arial"/>
            <w:color w:val="000000"/>
            <w:sz w:val="18"/>
            <w:szCs w:val="18"/>
          </w:rPr>
          <w:fldChar w:fldCharType="begin"/>
        </w:r>
        <w:r w:rsidRPr="004B1076">
          <w:rPr>
            <w:rFonts w:ascii="Arial" w:hAnsi="Arial" w:cs="Arial"/>
            <w:color w:val="000000"/>
            <w:sz w:val="18"/>
            <w:szCs w:val="18"/>
          </w:rPr>
          <w:instrText xml:space="preserve"> PAGE </w:instrText>
        </w:r>
        <w:r w:rsidRPr="004B1076">
          <w:rPr>
            <w:rFonts w:ascii="Arial" w:hAnsi="Arial" w:cs="Arial"/>
            <w:color w:val="000000"/>
            <w:sz w:val="18"/>
            <w:szCs w:val="18"/>
          </w:rPr>
          <w:fldChar w:fldCharType="separate"/>
        </w:r>
        <w:r w:rsidR="00262481">
          <w:rPr>
            <w:rFonts w:ascii="Arial" w:hAnsi="Arial" w:cs="Arial"/>
            <w:noProof/>
            <w:color w:val="000000"/>
            <w:sz w:val="18"/>
            <w:szCs w:val="18"/>
          </w:rPr>
          <w:t>2</w:t>
        </w:r>
        <w:r w:rsidRPr="004B1076">
          <w:rPr>
            <w:rFonts w:ascii="Arial" w:hAnsi="Arial" w:cs="Arial"/>
            <w:color w:val="000000"/>
            <w:sz w:val="18"/>
            <w:szCs w:val="18"/>
          </w:rPr>
          <w:fldChar w:fldCharType="end"/>
        </w:r>
      </w:p>
    </w:sdtContent>
  </w:sdt>
  <w:p w14:paraId="79A44826" w14:textId="77777777" w:rsidR="008C0E8A" w:rsidRPr="004B1076" w:rsidRDefault="008C0E8A" w:rsidP="004B107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8C0E8A" w14:paraId="0A783C66" w14:textId="77777777" w:rsidTr="4D67EAA0">
      <w:trPr>
        <w:trHeight w:val="300"/>
      </w:trPr>
      <w:tc>
        <w:tcPr>
          <w:tcW w:w="2945" w:type="dxa"/>
        </w:tcPr>
        <w:p w14:paraId="0DB812B7" w14:textId="543CD6A8" w:rsidR="008C0E8A" w:rsidRDefault="008C0E8A" w:rsidP="4D67EAA0">
          <w:pPr>
            <w:pStyle w:val="Encabezado"/>
            <w:ind w:left="-115"/>
            <w:jc w:val="left"/>
          </w:pPr>
        </w:p>
      </w:tc>
      <w:tc>
        <w:tcPr>
          <w:tcW w:w="2945" w:type="dxa"/>
        </w:tcPr>
        <w:p w14:paraId="43AF7A34" w14:textId="71DB13CC" w:rsidR="008C0E8A" w:rsidRDefault="008C0E8A" w:rsidP="4D67EAA0">
          <w:pPr>
            <w:pStyle w:val="Encabezado"/>
            <w:jc w:val="center"/>
          </w:pPr>
        </w:p>
      </w:tc>
      <w:tc>
        <w:tcPr>
          <w:tcW w:w="2945" w:type="dxa"/>
        </w:tcPr>
        <w:p w14:paraId="422454DF" w14:textId="7F755E42" w:rsidR="008C0E8A" w:rsidRDefault="008C0E8A" w:rsidP="4D67EAA0">
          <w:pPr>
            <w:pStyle w:val="Encabezado"/>
            <w:ind w:right="-115"/>
            <w:jc w:val="right"/>
          </w:pPr>
        </w:p>
      </w:tc>
    </w:tr>
  </w:tbl>
  <w:p w14:paraId="433898FD" w14:textId="22D1B73D" w:rsidR="008C0E8A" w:rsidRDefault="008C0E8A"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6FC6" w14:textId="77777777" w:rsidR="00160D01" w:rsidRDefault="00160D01" w:rsidP="00995B6C">
      <w:pPr>
        <w:spacing w:before="0" w:after="0" w:line="240" w:lineRule="auto"/>
      </w:pPr>
      <w:r>
        <w:separator/>
      </w:r>
    </w:p>
  </w:footnote>
  <w:footnote w:type="continuationSeparator" w:id="0">
    <w:p w14:paraId="35896CBA" w14:textId="77777777" w:rsidR="00160D01" w:rsidRDefault="00160D01" w:rsidP="00995B6C">
      <w:pPr>
        <w:spacing w:before="0" w:after="0" w:line="240" w:lineRule="auto"/>
      </w:pPr>
      <w:r>
        <w:continuationSeparator/>
      </w:r>
    </w:p>
  </w:footnote>
  <w:footnote w:type="continuationNotice" w:id="1">
    <w:p w14:paraId="1302F138" w14:textId="77777777" w:rsidR="00160D01" w:rsidRDefault="00160D01">
      <w:pPr>
        <w:spacing w:before="0" w:after="0" w:line="240" w:lineRule="auto"/>
      </w:pPr>
    </w:p>
  </w:footnote>
  <w:footnote w:id="2">
    <w:p w14:paraId="6640D32F" w14:textId="7E421982"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Título tomado de la sentencia del 8 de mayo de 2019</w:t>
      </w:r>
      <w:r w:rsidR="004B1076" w:rsidRPr="004B1076">
        <w:rPr>
          <w:rFonts w:ascii="Arial" w:hAnsi="Arial" w:cs="Arial"/>
          <w:sz w:val="18"/>
          <w:szCs w:val="18"/>
        </w:rPr>
        <w:t xml:space="preserve">, </w:t>
      </w:r>
      <w:proofErr w:type="spellStart"/>
      <w:r w:rsidRPr="004B1076">
        <w:rPr>
          <w:rFonts w:ascii="Arial" w:hAnsi="Arial" w:cs="Arial"/>
          <w:sz w:val="18"/>
          <w:szCs w:val="18"/>
        </w:rPr>
        <w:t>SL1688</w:t>
      </w:r>
      <w:proofErr w:type="spellEnd"/>
      <w:r w:rsidRPr="004B1076">
        <w:rPr>
          <w:rFonts w:ascii="Arial" w:hAnsi="Arial" w:cs="Arial"/>
          <w:sz w:val="18"/>
          <w:szCs w:val="18"/>
        </w:rPr>
        <w:t>-2019, Radicado 68838, con Ponencia de la Dra. Clara Cecilia Dueñas Quevedo</w:t>
      </w:r>
    </w:p>
  </w:footnote>
  <w:footnote w:id="3">
    <w:p w14:paraId="5FF28E76"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Estatuto Orgánico del Sistema Financiero </w:t>
      </w:r>
    </w:p>
  </w:footnote>
  <w:footnote w:id="4">
    <w:p w14:paraId="77501D48"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Título tomado de la sentencia del 8 de mayo de </w:t>
      </w:r>
      <w:proofErr w:type="spellStart"/>
      <w:r w:rsidRPr="004B1076">
        <w:rPr>
          <w:rFonts w:ascii="Arial" w:hAnsi="Arial" w:cs="Arial"/>
          <w:sz w:val="18"/>
          <w:szCs w:val="18"/>
        </w:rPr>
        <w:t>2019SL</w:t>
      </w:r>
      <w:proofErr w:type="spellEnd"/>
      <w:r w:rsidRPr="004B1076">
        <w:rPr>
          <w:rFonts w:ascii="Arial" w:hAnsi="Arial" w:cs="Arial"/>
          <w:sz w:val="18"/>
          <w:szCs w:val="18"/>
        </w:rPr>
        <w:t xml:space="preserve"> 1688-2019, Radicado 68838, con Ponencia de la Dra. Clara Cecilia Dueñas Quevedo</w:t>
      </w:r>
    </w:p>
  </w:footnote>
  <w:footnote w:id="5">
    <w:p w14:paraId="578039E2"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Corte Suprema de Justicia- Sala Laboral, sentencia </w:t>
      </w:r>
      <w:proofErr w:type="spellStart"/>
      <w:r w:rsidRPr="004B1076">
        <w:rPr>
          <w:rFonts w:ascii="Arial" w:hAnsi="Arial" w:cs="Arial"/>
          <w:sz w:val="18"/>
          <w:szCs w:val="18"/>
        </w:rPr>
        <w:t>SL5688</w:t>
      </w:r>
      <w:proofErr w:type="spellEnd"/>
      <w:r w:rsidRPr="004B1076">
        <w:rPr>
          <w:rFonts w:ascii="Arial" w:hAnsi="Arial" w:cs="Arial"/>
          <w:sz w:val="18"/>
          <w:szCs w:val="18"/>
        </w:rPr>
        <w:t xml:space="preserve"> de 2021, rad. 83576 del 6 de octubre de 2021. </w:t>
      </w:r>
      <w:proofErr w:type="spellStart"/>
      <w:r w:rsidRPr="004B1076">
        <w:rPr>
          <w:rFonts w:ascii="Arial" w:hAnsi="Arial" w:cs="Arial"/>
          <w:sz w:val="18"/>
          <w:szCs w:val="18"/>
        </w:rPr>
        <w:t>M.P</w:t>
      </w:r>
      <w:proofErr w:type="spellEnd"/>
      <w:r w:rsidRPr="004B1076">
        <w:rPr>
          <w:rFonts w:ascii="Arial" w:hAnsi="Arial" w:cs="Arial"/>
          <w:sz w:val="18"/>
          <w:szCs w:val="18"/>
        </w:rPr>
        <w:t xml:space="preserve">. Iván Mauricio </w:t>
      </w:r>
      <w:proofErr w:type="spellStart"/>
      <w:r w:rsidRPr="004B1076">
        <w:rPr>
          <w:rFonts w:ascii="Arial" w:hAnsi="Arial" w:cs="Arial"/>
          <w:sz w:val="18"/>
          <w:szCs w:val="18"/>
        </w:rPr>
        <w:t>Lenis</w:t>
      </w:r>
      <w:proofErr w:type="spellEnd"/>
      <w:r w:rsidRPr="004B1076">
        <w:rPr>
          <w:rFonts w:ascii="Arial" w:hAnsi="Arial" w:cs="Arial"/>
          <w:sz w:val="18"/>
          <w:szCs w:val="18"/>
        </w:rPr>
        <w:t xml:space="preserve"> Gómez.</w:t>
      </w:r>
    </w:p>
  </w:footnote>
  <w:footnote w:id="6">
    <w:p w14:paraId="6D396E23"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w:t>
      </w:r>
      <w:r w:rsidRPr="004B1076">
        <w:rPr>
          <w:rFonts w:ascii="Arial" w:hAnsi="Arial" w:cs="Arial"/>
          <w:sz w:val="18"/>
          <w:szCs w:val="18"/>
          <w:lang w:val="es-CO"/>
        </w:rPr>
        <w:t xml:space="preserve">Corte Suprema de Justicia- Sala Laboral, sentencia </w:t>
      </w:r>
      <w:proofErr w:type="spellStart"/>
      <w:r w:rsidRPr="004B1076">
        <w:rPr>
          <w:rFonts w:ascii="Arial" w:hAnsi="Arial" w:cs="Arial"/>
          <w:sz w:val="18"/>
          <w:szCs w:val="18"/>
          <w:lang w:val="es-CO"/>
        </w:rPr>
        <w:t>SL5686</w:t>
      </w:r>
      <w:proofErr w:type="spellEnd"/>
      <w:r w:rsidRPr="004B1076">
        <w:rPr>
          <w:rFonts w:ascii="Arial" w:hAnsi="Arial" w:cs="Arial"/>
          <w:sz w:val="18"/>
          <w:szCs w:val="18"/>
          <w:lang w:val="es-CO"/>
        </w:rPr>
        <w:t xml:space="preserve"> de 2021, rad. 82139 del 6 de octubre de 2021. </w:t>
      </w:r>
      <w:proofErr w:type="spellStart"/>
      <w:r w:rsidRPr="004B1076">
        <w:rPr>
          <w:rFonts w:ascii="Arial" w:hAnsi="Arial" w:cs="Arial"/>
          <w:sz w:val="18"/>
          <w:szCs w:val="18"/>
          <w:lang w:val="es-CO"/>
        </w:rPr>
        <w:t>M.P</w:t>
      </w:r>
      <w:proofErr w:type="spellEnd"/>
      <w:r w:rsidRPr="004B1076">
        <w:rPr>
          <w:rFonts w:ascii="Arial" w:hAnsi="Arial" w:cs="Arial"/>
          <w:sz w:val="18"/>
          <w:szCs w:val="18"/>
          <w:lang w:val="es-CO"/>
        </w:rPr>
        <w:t xml:space="preserve">. Iván Mauricio </w:t>
      </w:r>
      <w:proofErr w:type="spellStart"/>
      <w:r w:rsidRPr="004B1076">
        <w:rPr>
          <w:rFonts w:ascii="Arial" w:hAnsi="Arial" w:cs="Arial"/>
          <w:sz w:val="18"/>
          <w:szCs w:val="18"/>
          <w:lang w:val="es-CO"/>
        </w:rPr>
        <w:t>Lenis</w:t>
      </w:r>
      <w:proofErr w:type="spellEnd"/>
      <w:r w:rsidRPr="004B1076">
        <w:rPr>
          <w:rFonts w:ascii="Arial" w:hAnsi="Arial" w:cs="Arial"/>
          <w:sz w:val="18"/>
          <w:szCs w:val="18"/>
          <w:lang w:val="es-CO"/>
        </w:rPr>
        <w:t xml:space="preserve"> Gómez.</w:t>
      </w:r>
    </w:p>
  </w:footnote>
  <w:footnote w:id="7">
    <w:p w14:paraId="4F432927"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w:t>
      </w:r>
      <w:r w:rsidRPr="004B1076">
        <w:rPr>
          <w:rFonts w:ascii="Arial" w:hAnsi="Arial" w:cs="Arial"/>
          <w:sz w:val="18"/>
          <w:szCs w:val="18"/>
          <w:lang w:val="es-CO"/>
        </w:rPr>
        <w:t xml:space="preserve">Corte Suprema de Justicia- Sala Laboral, sentencia </w:t>
      </w:r>
      <w:proofErr w:type="spellStart"/>
      <w:r w:rsidRPr="004B1076">
        <w:rPr>
          <w:rFonts w:ascii="Arial" w:hAnsi="Arial" w:cs="Arial"/>
          <w:sz w:val="18"/>
          <w:szCs w:val="18"/>
          <w:lang w:val="es-CO"/>
        </w:rPr>
        <w:t>SL1926</w:t>
      </w:r>
      <w:proofErr w:type="spellEnd"/>
      <w:r w:rsidRPr="004B1076">
        <w:rPr>
          <w:rFonts w:ascii="Arial" w:hAnsi="Arial" w:cs="Arial"/>
          <w:sz w:val="18"/>
          <w:szCs w:val="18"/>
          <w:lang w:val="es-CO"/>
        </w:rPr>
        <w:t xml:space="preserve"> de 2022, rad. 89920 del 27 de abril de 2022. </w:t>
      </w:r>
      <w:proofErr w:type="spellStart"/>
      <w:r w:rsidRPr="004B1076">
        <w:rPr>
          <w:rFonts w:ascii="Arial" w:hAnsi="Arial" w:cs="Arial"/>
          <w:sz w:val="18"/>
          <w:szCs w:val="18"/>
          <w:lang w:val="es-CO"/>
        </w:rPr>
        <w:t>M.P</w:t>
      </w:r>
      <w:proofErr w:type="spellEnd"/>
      <w:r w:rsidRPr="004B1076">
        <w:rPr>
          <w:rFonts w:ascii="Arial" w:hAnsi="Arial" w:cs="Arial"/>
          <w:sz w:val="18"/>
          <w:szCs w:val="18"/>
          <w:lang w:val="es-CO"/>
        </w:rPr>
        <w:t>. Omar Ángel Mejía Amador.</w:t>
      </w:r>
    </w:p>
  </w:footnote>
  <w:footnote w:id="8">
    <w:p w14:paraId="5E8EA17F"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w:t>
      </w:r>
      <w:r w:rsidRPr="004B1076">
        <w:rPr>
          <w:rFonts w:ascii="Arial" w:hAnsi="Arial" w:cs="Arial"/>
          <w:sz w:val="18"/>
          <w:szCs w:val="18"/>
          <w:lang w:val="es-CO"/>
        </w:rPr>
        <w:t xml:space="preserve">Corte Suprema de Justicia- Sala Laboral, sentencia </w:t>
      </w:r>
      <w:proofErr w:type="spellStart"/>
      <w:r w:rsidRPr="004B1076">
        <w:rPr>
          <w:rFonts w:ascii="Arial" w:hAnsi="Arial" w:cs="Arial"/>
          <w:sz w:val="18"/>
          <w:szCs w:val="18"/>
          <w:lang w:val="es-CO"/>
        </w:rPr>
        <w:t>SL1055</w:t>
      </w:r>
      <w:proofErr w:type="spellEnd"/>
      <w:r w:rsidRPr="004B1076">
        <w:rPr>
          <w:rFonts w:ascii="Arial" w:hAnsi="Arial" w:cs="Arial"/>
          <w:sz w:val="18"/>
          <w:szCs w:val="18"/>
          <w:lang w:val="es-CO"/>
        </w:rPr>
        <w:t xml:space="preserve"> de 2022, rad. 87911 del 2 de marzo de 2022. </w:t>
      </w:r>
      <w:proofErr w:type="spellStart"/>
      <w:r w:rsidRPr="004B1076">
        <w:rPr>
          <w:rFonts w:ascii="Arial" w:hAnsi="Arial" w:cs="Arial"/>
          <w:sz w:val="18"/>
          <w:szCs w:val="18"/>
          <w:lang w:val="es-CO"/>
        </w:rPr>
        <w:t>M.P</w:t>
      </w:r>
      <w:proofErr w:type="spellEnd"/>
      <w:r w:rsidRPr="004B1076">
        <w:rPr>
          <w:rFonts w:ascii="Arial" w:hAnsi="Arial" w:cs="Arial"/>
          <w:sz w:val="18"/>
          <w:szCs w:val="18"/>
          <w:lang w:val="es-CO"/>
        </w:rPr>
        <w:t xml:space="preserve">. Iván Mauricio </w:t>
      </w:r>
      <w:proofErr w:type="spellStart"/>
      <w:r w:rsidRPr="004B1076">
        <w:rPr>
          <w:rFonts w:ascii="Arial" w:hAnsi="Arial" w:cs="Arial"/>
          <w:sz w:val="18"/>
          <w:szCs w:val="18"/>
          <w:lang w:val="es-CO"/>
        </w:rPr>
        <w:t>Lenis</w:t>
      </w:r>
      <w:proofErr w:type="spellEnd"/>
      <w:r w:rsidRPr="004B1076">
        <w:rPr>
          <w:rFonts w:ascii="Arial" w:hAnsi="Arial" w:cs="Arial"/>
          <w:sz w:val="18"/>
          <w:szCs w:val="18"/>
          <w:lang w:val="es-CO"/>
        </w:rPr>
        <w:t xml:space="preserve"> Gómez.</w:t>
      </w:r>
    </w:p>
  </w:footnote>
  <w:footnote w:id="9">
    <w:p w14:paraId="20D6674C"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Corte Suprema de Justicia- Sala Laboral, sentencia </w:t>
      </w:r>
      <w:proofErr w:type="spellStart"/>
      <w:r w:rsidRPr="004B1076">
        <w:rPr>
          <w:rFonts w:ascii="Arial" w:hAnsi="Arial" w:cs="Arial"/>
          <w:sz w:val="18"/>
          <w:szCs w:val="18"/>
        </w:rPr>
        <w:t>SL</w:t>
      </w:r>
      <w:proofErr w:type="spellEnd"/>
      <w:r w:rsidRPr="004B1076">
        <w:rPr>
          <w:rFonts w:ascii="Arial" w:hAnsi="Arial" w:cs="Arial"/>
          <w:sz w:val="18"/>
          <w:szCs w:val="18"/>
        </w:rPr>
        <w:t xml:space="preserve"> 1618-2022, radicado 87821 del 4 de mayo de 2022, </w:t>
      </w:r>
      <w:proofErr w:type="spellStart"/>
      <w:r w:rsidRPr="004B1076">
        <w:rPr>
          <w:rFonts w:ascii="Arial" w:hAnsi="Arial" w:cs="Arial"/>
          <w:sz w:val="18"/>
          <w:szCs w:val="18"/>
        </w:rPr>
        <w:t>M.P</w:t>
      </w:r>
      <w:proofErr w:type="spellEnd"/>
      <w:r w:rsidRPr="004B1076">
        <w:rPr>
          <w:rFonts w:ascii="Arial" w:hAnsi="Arial" w:cs="Arial"/>
          <w:sz w:val="18"/>
          <w:szCs w:val="18"/>
        </w:rPr>
        <w:t>. Gerardo Botero Zuluaga.</w:t>
      </w:r>
    </w:p>
  </w:footnote>
  <w:footnote w:id="10">
    <w:p w14:paraId="5C458023" w14:textId="77777777" w:rsidR="009C0356" w:rsidRPr="004B1076" w:rsidRDefault="009C0356"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Ibídem</w:t>
      </w:r>
    </w:p>
  </w:footnote>
  <w:footnote w:id="11">
    <w:p w14:paraId="5A4B5433" w14:textId="43795EDF" w:rsidR="008C0E8A" w:rsidRPr="004B1076" w:rsidRDefault="008C0E8A" w:rsidP="004B1076">
      <w:pPr>
        <w:pStyle w:val="Textonotapie"/>
        <w:ind w:firstLine="0"/>
        <w:rPr>
          <w:rFonts w:ascii="Arial" w:hAnsi="Arial" w:cs="Arial"/>
          <w:sz w:val="18"/>
          <w:szCs w:val="18"/>
        </w:rPr>
      </w:pPr>
      <w:r w:rsidRPr="004B1076">
        <w:rPr>
          <w:rStyle w:val="Refdenotaalpie"/>
          <w:rFonts w:ascii="Arial" w:hAnsi="Arial" w:cs="Arial"/>
          <w:sz w:val="18"/>
          <w:szCs w:val="18"/>
        </w:rPr>
        <w:footnoteRef/>
      </w:r>
      <w:r w:rsidRPr="004B1076">
        <w:rPr>
          <w:rFonts w:ascii="Arial" w:hAnsi="Arial" w:cs="Arial"/>
          <w:sz w:val="18"/>
          <w:szCs w:val="18"/>
        </w:rPr>
        <w:t xml:space="preserve"> Archivo </w:t>
      </w:r>
      <w:r w:rsidR="00267472" w:rsidRPr="004B1076">
        <w:rPr>
          <w:rFonts w:ascii="Arial" w:hAnsi="Arial" w:cs="Arial"/>
          <w:sz w:val="18"/>
          <w:szCs w:val="18"/>
        </w:rPr>
        <w:t>1</w:t>
      </w:r>
      <w:r w:rsidR="0017530B" w:rsidRPr="004B1076">
        <w:rPr>
          <w:rFonts w:ascii="Arial" w:hAnsi="Arial" w:cs="Arial"/>
          <w:sz w:val="18"/>
          <w:szCs w:val="18"/>
        </w:rPr>
        <w:t>2</w:t>
      </w:r>
      <w:r w:rsidR="00627746" w:rsidRPr="004B1076">
        <w:rPr>
          <w:rFonts w:ascii="Arial" w:hAnsi="Arial" w:cs="Arial"/>
          <w:sz w:val="18"/>
          <w:szCs w:val="18"/>
        </w:rPr>
        <w:t>,</w:t>
      </w:r>
      <w:r w:rsidRPr="004B1076">
        <w:rPr>
          <w:rFonts w:ascii="Arial" w:hAnsi="Arial" w:cs="Arial"/>
          <w:sz w:val="18"/>
          <w:szCs w:val="18"/>
        </w:rPr>
        <w:t xml:space="preserve"> </w:t>
      </w:r>
      <w:r w:rsidR="00A64521" w:rsidRPr="004B1076">
        <w:rPr>
          <w:rFonts w:ascii="Arial" w:hAnsi="Arial" w:cs="Arial"/>
          <w:sz w:val="18"/>
          <w:szCs w:val="18"/>
        </w:rPr>
        <w:t xml:space="preserve">página </w:t>
      </w:r>
      <w:r w:rsidR="00267472" w:rsidRPr="004B1076">
        <w:rPr>
          <w:rFonts w:ascii="Arial" w:hAnsi="Arial" w:cs="Arial"/>
          <w:sz w:val="18"/>
          <w:szCs w:val="18"/>
        </w:rPr>
        <w:t>4</w:t>
      </w:r>
      <w:r w:rsidR="0017530B" w:rsidRPr="004B1076">
        <w:rPr>
          <w:rFonts w:ascii="Arial" w:hAnsi="Arial" w:cs="Arial"/>
          <w:sz w:val="18"/>
          <w:szCs w:val="18"/>
        </w:rPr>
        <w:t>3</w:t>
      </w:r>
      <w:r w:rsidR="00A64521" w:rsidRPr="004B1076">
        <w:rPr>
          <w:rFonts w:ascii="Arial" w:hAnsi="Arial" w:cs="Arial"/>
          <w:sz w:val="18"/>
          <w:szCs w:val="18"/>
        </w:rPr>
        <w:t xml:space="preserve">, </w:t>
      </w:r>
      <w:r w:rsidRPr="004B1076">
        <w:rPr>
          <w:rFonts w:ascii="Arial" w:hAnsi="Arial" w:cs="Arial"/>
          <w:sz w:val="18"/>
          <w:szCs w:val="18"/>
        </w:rPr>
        <w:t>cuaderno de primera instancia.</w:t>
      </w:r>
    </w:p>
  </w:footnote>
  <w:footnote w:id="12">
    <w:p w14:paraId="7DDC21F1" w14:textId="638749BF" w:rsidR="0017530B" w:rsidRPr="004B1076" w:rsidRDefault="0017530B" w:rsidP="004B1076">
      <w:pPr>
        <w:pStyle w:val="Textonotapie"/>
        <w:ind w:firstLine="0"/>
        <w:rPr>
          <w:rFonts w:ascii="Arial" w:hAnsi="Arial" w:cs="Arial"/>
          <w:sz w:val="18"/>
          <w:szCs w:val="18"/>
          <w:lang w:val="es-MX"/>
        </w:rPr>
      </w:pPr>
      <w:r w:rsidRPr="004B1076">
        <w:rPr>
          <w:rStyle w:val="Refdenotaalpie"/>
          <w:rFonts w:ascii="Arial" w:hAnsi="Arial" w:cs="Arial"/>
          <w:sz w:val="18"/>
          <w:szCs w:val="18"/>
        </w:rPr>
        <w:footnoteRef/>
      </w:r>
      <w:r w:rsidRPr="004B1076">
        <w:rPr>
          <w:rFonts w:ascii="Arial" w:hAnsi="Arial" w:cs="Arial"/>
          <w:sz w:val="18"/>
          <w:szCs w:val="18"/>
        </w:rPr>
        <w:t xml:space="preserve"> </w:t>
      </w:r>
      <w:r w:rsidRPr="004B1076">
        <w:rPr>
          <w:rFonts w:ascii="Arial" w:hAnsi="Arial" w:cs="Arial"/>
          <w:sz w:val="18"/>
          <w:szCs w:val="18"/>
          <w:lang w:val="es-MX"/>
        </w:rPr>
        <w:t>Archivo 12, página 44,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0774C975" w:rsidR="008C0E8A" w:rsidRPr="004B1076" w:rsidRDefault="008C0E8A" w:rsidP="004B107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4B1076">
      <w:rPr>
        <w:rFonts w:ascii="Arial" w:hAnsi="Arial" w:cs="Arial"/>
        <w:color w:val="000000"/>
        <w:sz w:val="18"/>
        <w:szCs w:val="18"/>
      </w:rPr>
      <w:t>Radicación No.:</w:t>
    </w:r>
    <w:r w:rsidR="004B1076">
      <w:rPr>
        <w:rFonts w:ascii="Arial" w:hAnsi="Arial" w:cs="Arial"/>
        <w:color w:val="000000"/>
        <w:sz w:val="18"/>
        <w:szCs w:val="18"/>
      </w:rPr>
      <w:tab/>
    </w:r>
    <w:r w:rsidRPr="004B1076">
      <w:rPr>
        <w:rFonts w:ascii="Arial" w:hAnsi="Arial" w:cs="Arial"/>
        <w:color w:val="000000"/>
        <w:sz w:val="18"/>
        <w:szCs w:val="18"/>
      </w:rPr>
      <w:t>66001-31-05-00</w:t>
    </w:r>
    <w:r w:rsidR="00A226C9" w:rsidRPr="004B1076">
      <w:rPr>
        <w:rFonts w:ascii="Arial" w:hAnsi="Arial" w:cs="Arial"/>
        <w:color w:val="000000"/>
        <w:sz w:val="18"/>
        <w:szCs w:val="18"/>
      </w:rPr>
      <w:t>1</w:t>
    </w:r>
    <w:r w:rsidRPr="004B1076">
      <w:rPr>
        <w:rFonts w:ascii="Arial" w:hAnsi="Arial" w:cs="Arial"/>
        <w:color w:val="000000"/>
        <w:sz w:val="18"/>
        <w:szCs w:val="18"/>
      </w:rPr>
      <w:t>-202</w:t>
    </w:r>
    <w:r w:rsidR="00355125" w:rsidRPr="004B1076">
      <w:rPr>
        <w:rFonts w:ascii="Arial" w:hAnsi="Arial" w:cs="Arial"/>
        <w:color w:val="000000"/>
        <w:sz w:val="18"/>
        <w:szCs w:val="18"/>
      </w:rPr>
      <w:t>2</w:t>
    </w:r>
    <w:r w:rsidRPr="004B1076">
      <w:rPr>
        <w:rFonts w:ascii="Arial" w:hAnsi="Arial" w:cs="Arial"/>
        <w:color w:val="000000"/>
        <w:sz w:val="18"/>
        <w:szCs w:val="18"/>
      </w:rPr>
      <w:t>-0</w:t>
    </w:r>
    <w:r w:rsidR="00355125" w:rsidRPr="004B1076">
      <w:rPr>
        <w:rFonts w:ascii="Arial" w:hAnsi="Arial" w:cs="Arial"/>
        <w:color w:val="000000"/>
        <w:sz w:val="18"/>
        <w:szCs w:val="18"/>
      </w:rPr>
      <w:t>0048</w:t>
    </w:r>
    <w:r w:rsidRPr="004B1076">
      <w:rPr>
        <w:rFonts w:ascii="Arial" w:hAnsi="Arial" w:cs="Arial"/>
        <w:color w:val="000000"/>
        <w:sz w:val="18"/>
        <w:szCs w:val="18"/>
      </w:rPr>
      <w:t>-01</w:t>
    </w:r>
  </w:p>
  <w:p w14:paraId="69C179D2" w14:textId="50750811" w:rsidR="008C0E8A" w:rsidRPr="004B1076" w:rsidRDefault="008C0E8A" w:rsidP="004B107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4B1076">
      <w:rPr>
        <w:rFonts w:ascii="Arial" w:hAnsi="Arial" w:cs="Arial"/>
        <w:color w:val="000000"/>
        <w:sz w:val="18"/>
        <w:szCs w:val="18"/>
      </w:rPr>
      <w:t>Demandante:</w:t>
    </w:r>
    <w:r w:rsidR="004B1076">
      <w:rPr>
        <w:rFonts w:ascii="Arial" w:hAnsi="Arial" w:cs="Arial"/>
        <w:color w:val="000000"/>
        <w:sz w:val="18"/>
        <w:szCs w:val="18"/>
      </w:rPr>
      <w:tab/>
    </w:r>
    <w:r w:rsidR="00355125" w:rsidRPr="004B1076">
      <w:rPr>
        <w:rFonts w:ascii="Arial" w:hAnsi="Arial" w:cs="Arial"/>
        <w:color w:val="000000"/>
        <w:sz w:val="18"/>
        <w:szCs w:val="18"/>
      </w:rPr>
      <w:t xml:space="preserve">Inés </w:t>
    </w:r>
    <w:proofErr w:type="spellStart"/>
    <w:r w:rsidR="00355125" w:rsidRPr="004B1076">
      <w:rPr>
        <w:rFonts w:ascii="Arial" w:hAnsi="Arial" w:cs="Arial"/>
        <w:color w:val="000000"/>
        <w:sz w:val="18"/>
        <w:szCs w:val="18"/>
      </w:rPr>
      <w:t>Hercilia</w:t>
    </w:r>
    <w:proofErr w:type="spellEnd"/>
    <w:r w:rsidR="00355125" w:rsidRPr="004B1076">
      <w:rPr>
        <w:rFonts w:ascii="Arial" w:hAnsi="Arial" w:cs="Arial"/>
        <w:color w:val="000000"/>
        <w:sz w:val="18"/>
        <w:szCs w:val="18"/>
      </w:rPr>
      <w:t xml:space="preserve"> Corrales Leiva</w:t>
    </w:r>
  </w:p>
  <w:p w14:paraId="3DB9B54B" w14:textId="4E05D48E" w:rsidR="008C0E8A" w:rsidRPr="004B1076" w:rsidRDefault="008C0E8A" w:rsidP="004B1076">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4B1076">
      <w:rPr>
        <w:rFonts w:ascii="Arial" w:hAnsi="Arial" w:cs="Arial"/>
        <w:color w:val="000000"/>
        <w:sz w:val="18"/>
        <w:szCs w:val="18"/>
      </w:rPr>
      <w:t>Demandado:</w:t>
    </w:r>
    <w:r w:rsidR="004B1076">
      <w:rPr>
        <w:rFonts w:ascii="Arial" w:hAnsi="Arial" w:cs="Arial"/>
        <w:color w:val="000000"/>
        <w:sz w:val="18"/>
        <w:szCs w:val="18"/>
      </w:rPr>
      <w:tab/>
    </w:r>
    <w:r w:rsidRPr="004B1076">
      <w:rPr>
        <w:rFonts w:ascii="Arial" w:hAnsi="Arial" w:cs="Arial"/>
        <w:color w:val="000000"/>
        <w:sz w:val="18"/>
        <w:szCs w:val="18"/>
      </w:rPr>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4"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7BD8"/>
    <w:rsid w:val="0001710B"/>
    <w:rsid w:val="00017163"/>
    <w:rsid w:val="00017A74"/>
    <w:rsid w:val="00027B24"/>
    <w:rsid w:val="000331FD"/>
    <w:rsid w:val="00033780"/>
    <w:rsid w:val="00033F28"/>
    <w:rsid w:val="00034097"/>
    <w:rsid w:val="00034571"/>
    <w:rsid w:val="00034673"/>
    <w:rsid w:val="000444DA"/>
    <w:rsid w:val="00044B3D"/>
    <w:rsid w:val="00045326"/>
    <w:rsid w:val="000459B3"/>
    <w:rsid w:val="000507B6"/>
    <w:rsid w:val="000546A7"/>
    <w:rsid w:val="00062953"/>
    <w:rsid w:val="000645D4"/>
    <w:rsid w:val="00070883"/>
    <w:rsid w:val="00072EFB"/>
    <w:rsid w:val="00073E27"/>
    <w:rsid w:val="000760C5"/>
    <w:rsid w:val="00081E34"/>
    <w:rsid w:val="000824F3"/>
    <w:rsid w:val="00082CB2"/>
    <w:rsid w:val="00084EE9"/>
    <w:rsid w:val="00090ACD"/>
    <w:rsid w:val="0009599F"/>
    <w:rsid w:val="00096385"/>
    <w:rsid w:val="000971EE"/>
    <w:rsid w:val="000A0C58"/>
    <w:rsid w:val="000A2289"/>
    <w:rsid w:val="000A27E2"/>
    <w:rsid w:val="000A2CE5"/>
    <w:rsid w:val="000A6294"/>
    <w:rsid w:val="000A70BA"/>
    <w:rsid w:val="000A7489"/>
    <w:rsid w:val="000B1501"/>
    <w:rsid w:val="000B200D"/>
    <w:rsid w:val="000B5B6D"/>
    <w:rsid w:val="000B5F9F"/>
    <w:rsid w:val="000C5FE0"/>
    <w:rsid w:val="000C6F41"/>
    <w:rsid w:val="000D1243"/>
    <w:rsid w:val="000D14EA"/>
    <w:rsid w:val="000D430D"/>
    <w:rsid w:val="000D60BA"/>
    <w:rsid w:val="000E1D8A"/>
    <w:rsid w:val="000E3CEA"/>
    <w:rsid w:val="000E4C41"/>
    <w:rsid w:val="000E4F34"/>
    <w:rsid w:val="000E594B"/>
    <w:rsid w:val="000E6459"/>
    <w:rsid w:val="000F1CB4"/>
    <w:rsid w:val="000F1F8F"/>
    <w:rsid w:val="000F2CC2"/>
    <w:rsid w:val="000F35A1"/>
    <w:rsid w:val="000F7063"/>
    <w:rsid w:val="00100F91"/>
    <w:rsid w:val="00105FF0"/>
    <w:rsid w:val="00107BD1"/>
    <w:rsid w:val="001102E5"/>
    <w:rsid w:val="00110515"/>
    <w:rsid w:val="001119A0"/>
    <w:rsid w:val="0011550A"/>
    <w:rsid w:val="00115625"/>
    <w:rsid w:val="001206E4"/>
    <w:rsid w:val="0012076B"/>
    <w:rsid w:val="0012208C"/>
    <w:rsid w:val="0012505F"/>
    <w:rsid w:val="00125170"/>
    <w:rsid w:val="00127CEA"/>
    <w:rsid w:val="001300D4"/>
    <w:rsid w:val="00130143"/>
    <w:rsid w:val="00130244"/>
    <w:rsid w:val="001313E7"/>
    <w:rsid w:val="00133625"/>
    <w:rsid w:val="00142E00"/>
    <w:rsid w:val="0014343A"/>
    <w:rsid w:val="00143B39"/>
    <w:rsid w:val="00143CD9"/>
    <w:rsid w:val="00144783"/>
    <w:rsid w:val="001466BC"/>
    <w:rsid w:val="001477E0"/>
    <w:rsid w:val="00147895"/>
    <w:rsid w:val="00151161"/>
    <w:rsid w:val="00151506"/>
    <w:rsid w:val="00152848"/>
    <w:rsid w:val="00160D01"/>
    <w:rsid w:val="0016235B"/>
    <w:rsid w:val="00163E17"/>
    <w:rsid w:val="00165276"/>
    <w:rsid w:val="0016609B"/>
    <w:rsid w:val="00166C53"/>
    <w:rsid w:val="001673F5"/>
    <w:rsid w:val="001701D0"/>
    <w:rsid w:val="00170FDE"/>
    <w:rsid w:val="00171201"/>
    <w:rsid w:val="00171926"/>
    <w:rsid w:val="0017530B"/>
    <w:rsid w:val="00175C84"/>
    <w:rsid w:val="001765AD"/>
    <w:rsid w:val="00180774"/>
    <w:rsid w:val="00183FB2"/>
    <w:rsid w:val="001846F2"/>
    <w:rsid w:val="00186623"/>
    <w:rsid w:val="00191CB5"/>
    <w:rsid w:val="001923A4"/>
    <w:rsid w:val="00195393"/>
    <w:rsid w:val="00197066"/>
    <w:rsid w:val="001A0D93"/>
    <w:rsid w:val="001A3F6D"/>
    <w:rsid w:val="001A5772"/>
    <w:rsid w:val="001A6EDD"/>
    <w:rsid w:val="001A7745"/>
    <w:rsid w:val="001A7E99"/>
    <w:rsid w:val="001B0963"/>
    <w:rsid w:val="001B0CFE"/>
    <w:rsid w:val="001B1009"/>
    <w:rsid w:val="001B1529"/>
    <w:rsid w:val="001B2720"/>
    <w:rsid w:val="001B4D98"/>
    <w:rsid w:val="001B6913"/>
    <w:rsid w:val="001C013A"/>
    <w:rsid w:val="001C2E75"/>
    <w:rsid w:val="001D0140"/>
    <w:rsid w:val="001D2E8F"/>
    <w:rsid w:val="001D313A"/>
    <w:rsid w:val="001D328D"/>
    <w:rsid w:val="001D48B0"/>
    <w:rsid w:val="001D5400"/>
    <w:rsid w:val="001E171B"/>
    <w:rsid w:val="001E289D"/>
    <w:rsid w:val="002001A7"/>
    <w:rsid w:val="00203303"/>
    <w:rsid w:val="00203CE4"/>
    <w:rsid w:val="0020420B"/>
    <w:rsid w:val="00205CDA"/>
    <w:rsid w:val="0020674E"/>
    <w:rsid w:val="002068B1"/>
    <w:rsid w:val="002108CA"/>
    <w:rsid w:val="00210E9F"/>
    <w:rsid w:val="00211049"/>
    <w:rsid w:val="002202D0"/>
    <w:rsid w:val="002204B1"/>
    <w:rsid w:val="00222F99"/>
    <w:rsid w:val="0022640C"/>
    <w:rsid w:val="00234B72"/>
    <w:rsid w:val="00235AF2"/>
    <w:rsid w:val="00236A5E"/>
    <w:rsid w:val="002372A5"/>
    <w:rsid w:val="0024011A"/>
    <w:rsid w:val="00242839"/>
    <w:rsid w:val="00245563"/>
    <w:rsid w:val="002465C3"/>
    <w:rsid w:val="0024770B"/>
    <w:rsid w:val="00253941"/>
    <w:rsid w:val="00254F97"/>
    <w:rsid w:val="00255DF3"/>
    <w:rsid w:val="00256E1A"/>
    <w:rsid w:val="00262481"/>
    <w:rsid w:val="00267472"/>
    <w:rsid w:val="00270931"/>
    <w:rsid w:val="00271095"/>
    <w:rsid w:val="0027225F"/>
    <w:rsid w:val="00272767"/>
    <w:rsid w:val="00273A36"/>
    <w:rsid w:val="00274C26"/>
    <w:rsid w:val="00274D15"/>
    <w:rsid w:val="002776BD"/>
    <w:rsid w:val="0028109A"/>
    <w:rsid w:val="00281848"/>
    <w:rsid w:val="0029235B"/>
    <w:rsid w:val="00293E32"/>
    <w:rsid w:val="00294B2C"/>
    <w:rsid w:val="00295F84"/>
    <w:rsid w:val="002978EA"/>
    <w:rsid w:val="002A05AE"/>
    <w:rsid w:val="002A1F68"/>
    <w:rsid w:val="002A22A3"/>
    <w:rsid w:val="002A2894"/>
    <w:rsid w:val="002B0268"/>
    <w:rsid w:val="002B600F"/>
    <w:rsid w:val="002B6AAF"/>
    <w:rsid w:val="002B723F"/>
    <w:rsid w:val="002B7BDD"/>
    <w:rsid w:val="002C0454"/>
    <w:rsid w:val="002C10D6"/>
    <w:rsid w:val="002C1473"/>
    <w:rsid w:val="002C3206"/>
    <w:rsid w:val="002C36F5"/>
    <w:rsid w:val="002C387F"/>
    <w:rsid w:val="002C3DD4"/>
    <w:rsid w:val="002C5827"/>
    <w:rsid w:val="002C5B1F"/>
    <w:rsid w:val="002C6290"/>
    <w:rsid w:val="002C6AA0"/>
    <w:rsid w:val="002D17D1"/>
    <w:rsid w:val="002D4640"/>
    <w:rsid w:val="002D4C61"/>
    <w:rsid w:val="002D580B"/>
    <w:rsid w:val="002D5FE7"/>
    <w:rsid w:val="002D7247"/>
    <w:rsid w:val="002E07F2"/>
    <w:rsid w:val="002E35B4"/>
    <w:rsid w:val="002E4FED"/>
    <w:rsid w:val="002F1507"/>
    <w:rsid w:val="002F1B15"/>
    <w:rsid w:val="002F2D15"/>
    <w:rsid w:val="002F38CC"/>
    <w:rsid w:val="002F4CFB"/>
    <w:rsid w:val="002F59E9"/>
    <w:rsid w:val="002F72A0"/>
    <w:rsid w:val="002F7EFF"/>
    <w:rsid w:val="00300336"/>
    <w:rsid w:val="00302B34"/>
    <w:rsid w:val="00302D47"/>
    <w:rsid w:val="0030376E"/>
    <w:rsid w:val="003056C7"/>
    <w:rsid w:val="00305BFF"/>
    <w:rsid w:val="0031083E"/>
    <w:rsid w:val="00311CE6"/>
    <w:rsid w:val="00316049"/>
    <w:rsid w:val="00316347"/>
    <w:rsid w:val="00317D80"/>
    <w:rsid w:val="003203F3"/>
    <w:rsid w:val="00322322"/>
    <w:rsid w:val="00322A29"/>
    <w:rsid w:val="00325B8D"/>
    <w:rsid w:val="00325F7E"/>
    <w:rsid w:val="00327553"/>
    <w:rsid w:val="00327729"/>
    <w:rsid w:val="00327B34"/>
    <w:rsid w:val="003336AE"/>
    <w:rsid w:val="0033550D"/>
    <w:rsid w:val="00336942"/>
    <w:rsid w:val="00340DBE"/>
    <w:rsid w:val="00341542"/>
    <w:rsid w:val="0034269B"/>
    <w:rsid w:val="00344AC8"/>
    <w:rsid w:val="00347A17"/>
    <w:rsid w:val="00350133"/>
    <w:rsid w:val="0035308B"/>
    <w:rsid w:val="0035393D"/>
    <w:rsid w:val="00355125"/>
    <w:rsid w:val="0035588E"/>
    <w:rsid w:val="003637EB"/>
    <w:rsid w:val="0036662C"/>
    <w:rsid w:val="003706D2"/>
    <w:rsid w:val="0037135C"/>
    <w:rsid w:val="00372AF9"/>
    <w:rsid w:val="00372F91"/>
    <w:rsid w:val="0037650A"/>
    <w:rsid w:val="003809E3"/>
    <w:rsid w:val="00381DE1"/>
    <w:rsid w:val="003850D8"/>
    <w:rsid w:val="0038595F"/>
    <w:rsid w:val="00390F5B"/>
    <w:rsid w:val="003926FE"/>
    <w:rsid w:val="003937CC"/>
    <w:rsid w:val="00396892"/>
    <w:rsid w:val="00397F39"/>
    <w:rsid w:val="003A3B50"/>
    <w:rsid w:val="003A5818"/>
    <w:rsid w:val="003B1C8B"/>
    <w:rsid w:val="003B23EA"/>
    <w:rsid w:val="003B6848"/>
    <w:rsid w:val="003C1751"/>
    <w:rsid w:val="003C1968"/>
    <w:rsid w:val="003C2FDB"/>
    <w:rsid w:val="003D20EB"/>
    <w:rsid w:val="003D37AE"/>
    <w:rsid w:val="003D3C04"/>
    <w:rsid w:val="003D50A8"/>
    <w:rsid w:val="003E03AF"/>
    <w:rsid w:val="003E0BE1"/>
    <w:rsid w:val="003E12D1"/>
    <w:rsid w:val="003E180E"/>
    <w:rsid w:val="003E36E9"/>
    <w:rsid w:val="003E4235"/>
    <w:rsid w:val="003E604A"/>
    <w:rsid w:val="003F0F66"/>
    <w:rsid w:val="00400192"/>
    <w:rsid w:val="00400B5C"/>
    <w:rsid w:val="00400CB5"/>
    <w:rsid w:val="00403C9A"/>
    <w:rsid w:val="00404F96"/>
    <w:rsid w:val="004054C1"/>
    <w:rsid w:val="0040599D"/>
    <w:rsid w:val="004126ED"/>
    <w:rsid w:val="00412EA9"/>
    <w:rsid w:val="004137B9"/>
    <w:rsid w:val="00413E58"/>
    <w:rsid w:val="004147BB"/>
    <w:rsid w:val="00415842"/>
    <w:rsid w:val="0041683E"/>
    <w:rsid w:val="00416DEC"/>
    <w:rsid w:val="00417EE5"/>
    <w:rsid w:val="00420ABB"/>
    <w:rsid w:val="00422EB9"/>
    <w:rsid w:val="0042586E"/>
    <w:rsid w:val="00425AC5"/>
    <w:rsid w:val="00427DB9"/>
    <w:rsid w:val="004303F5"/>
    <w:rsid w:val="0043633F"/>
    <w:rsid w:val="00436606"/>
    <w:rsid w:val="00436A5C"/>
    <w:rsid w:val="00436DA5"/>
    <w:rsid w:val="004373AC"/>
    <w:rsid w:val="00445BEF"/>
    <w:rsid w:val="00446F95"/>
    <w:rsid w:val="00450915"/>
    <w:rsid w:val="00450F40"/>
    <w:rsid w:val="00455FC7"/>
    <w:rsid w:val="00456466"/>
    <w:rsid w:val="00461563"/>
    <w:rsid w:val="00465A34"/>
    <w:rsid w:val="00470887"/>
    <w:rsid w:val="004708F9"/>
    <w:rsid w:val="00473B12"/>
    <w:rsid w:val="00474168"/>
    <w:rsid w:val="00477831"/>
    <w:rsid w:val="00480F74"/>
    <w:rsid w:val="0048199C"/>
    <w:rsid w:val="00482FD3"/>
    <w:rsid w:val="0048475E"/>
    <w:rsid w:val="0048481C"/>
    <w:rsid w:val="00485FA3"/>
    <w:rsid w:val="00491ED6"/>
    <w:rsid w:val="004922E4"/>
    <w:rsid w:val="00493A3A"/>
    <w:rsid w:val="004953FE"/>
    <w:rsid w:val="004954EF"/>
    <w:rsid w:val="0049601E"/>
    <w:rsid w:val="004976E1"/>
    <w:rsid w:val="004A74BD"/>
    <w:rsid w:val="004B05CC"/>
    <w:rsid w:val="004B1076"/>
    <w:rsid w:val="004B1E65"/>
    <w:rsid w:val="004B1F24"/>
    <w:rsid w:val="004B3947"/>
    <w:rsid w:val="004B46C7"/>
    <w:rsid w:val="004B58AC"/>
    <w:rsid w:val="004B5E90"/>
    <w:rsid w:val="004B68DD"/>
    <w:rsid w:val="004B6909"/>
    <w:rsid w:val="004B6EE9"/>
    <w:rsid w:val="004C3BFD"/>
    <w:rsid w:val="004C426A"/>
    <w:rsid w:val="004C6A80"/>
    <w:rsid w:val="004C6AA1"/>
    <w:rsid w:val="004D0651"/>
    <w:rsid w:val="004D17F8"/>
    <w:rsid w:val="004D2220"/>
    <w:rsid w:val="004D28B1"/>
    <w:rsid w:val="004D4683"/>
    <w:rsid w:val="004D4784"/>
    <w:rsid w:val="004D56A5"/>
    <w:rsid w:val="004E0E50"/>
    <w:rsid w:val="004E3F52"/>
    <w:rsid w:val="004E515E"/>
    <w:rsid w:val="004E6ED3"/>
    <w:rsid w:val="004F06DE"/>
    <w:rsid w:val="004F0854"/>
    <w:rsid w:val="004F15AB"/>
    <w:rsid w:val="004F1747"/>
    <w:rsid w:val="004F2ECB"/>
    <w:rsid w:val="004F3CA6"/>
    <w:rsid w:val="004F3E96"/>
    <w:rsid w:val="004F4328"/>
    <w:rsid w:val="004F5AD3"/>
    <w:rsid w:val="004F643D"/>
    <w:rsid w:val="0050278F"/>
    <w:rsid w:val="00510D63"/>
    <w:rsid w:val="005137D0"/>
    <w:rsid w:val="005137E3"/>
    <w:rsid w:val="0051458A"/>
    <w:rsid w:val="00514801"/>
    <w:rsid w:val="00520A60"/>
    <w:rsid w:val="005219F8"/>
    <w:rsid w:val="00521B2E"/>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358D"/>
    <w:rsid w:val="00545AAB"/>
    <w:rsid w:val="0055171A"/>
    <w:rsid w:val="00556A73"/>
    <w:rsid w:val="00560E88"/>
    <w:rsid w:val="005652FE"/>
    <w:rsid w:val="00565675"/>
    <w:rsid w:val="0057028D"/>
    <w:rsid w:val="00570590"/>
    <w:rsid w:val="0057126D"/>
    <w:rsid w:val="00571558"/>
    <w:rsid w:val="00571C08"/>
    <w:rsid w:val="0057307A"/>
    <w:rsid w:val="00576D00"/>
    <w:rsid w:val="00576F86"/>
    <w:rsid w:val="00581726"/>
    <w:rsid w:val="00581B7C"/>
    <w:rsid w:val="0058212A"/>
    <w:rsid w:val="00585C8B"/>
    <w:rsid w:val="00592977"/>
    <w:rsid w:val="0059616A"/>
    <w:rsid w:val="005962E4"/>
    <w:rsid w:val="0059688C"/>
    <w:rsid w:val="005974D6"/>
    <w:rsid w:val="005B2937"/>
    <w:rsid w:val="005B2942"/>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E67E4"/>
    <w:rsid w:val="005F15A6"/>
    <w:rsid w:val="005F637F"/>
    <w:rsid w:val="00601795"/>
    <w:rsid w:val="00602610"/>
    <w:rsid w:val="006048C5"/>
    <w:rsid w:val="006068ED"/>
    <w:rsid w:val="00606D80"/>
    <w:rsid w:val="00607298"/>
    <w:rsid w:val="006103AC"/>
    <w:rsid w:val="00611B57"/>
    <w:rsid w:val="00612B91"/>
    <w:rsid w:val="00612CB4"/>
    <w:rsid w:val="00613BC1"/>
    <w:rsid w:val="00616657"/>
    <w:rsid w:val="00617E08"/>
    <w:rsid w:val="006215B4"/>
    <w:rsid w:val="006227D1"/>
    <w:rsid w:val="00623AEF"/>
    <w:rsid w:val="006240C7"/>
    <w:rsid w:val="0062667E"/>
    <w:rsid w:val="00627746"/>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1BEA"/>
    <w:rsid w:val="00666129"/>
    <w:rsid w:val="006667C1"/>
    <w:rsid w:val="0067108B"/>
    <w:rsid w:val="0067188F"/>
    <w:rsid w:val="0067372B"/>
    <w:rsid w:val="006740DF"/>
    <w:rsid w:val="00675500"/>
    <w:rsid w:val="0067683A"/>
    <w:rsid w:val="00676A11"/>
    <w:rsid w:val="00681A5A"/>
    <w:rsid w:val="006835BE"/>
    <w:rsid w:val="0068639A"/>
    <w:rsid w:val="00686B8F"/>
    <w:rsid w:val="00690465"/>
    <w:rsid w:val="00690A06"/>
    <w:rsid w:val="00690B32"/>
    <w:rsid w:val="00692257"/>
    <w:rsid w:val="00693343"/>
    <w:rsid w:val="0069601C"/>
    <w:rsid w:val="0069711B"/>
    <w:rsid w:val="00697273"/>
    <w:rsid w:val="006A0C84"/>
    <w:rsid w:val="006A2ECC"/>
    <w:rsid w:val="006A7C15"/>
    <w:rsid w:val="006B15C1"/>
    <w:rsid w:val="006B2CCE"/>
    <w:rsid w:val="006B2E64"/>
    <w:rsid w:val="006B4A72"/>
    <w:rsid w:val="006B6D69"/>
    <w:rsid w:val="006B70EF"/>
    <w:rsid w:val="006C00B2"/>
    <w:rsid w:val="006C1120"/>
    <w:rsid w:val="006C1E3C"/>
    <w:rsid w:val="006C487F"/>
    <w:rsid w:val="006C4E21"/>
    <w:rsid w:val="006C5C75"/>
    <w:rsid w:val="006C608D"/>
    <w:rsid w:val="006C74D7"/>
    <w:rsid w:val="006D15C5"/>
    <w:rsid w:val="006D1EC4"/>
    <w:rsid w:val="006D3E69"/>
    <w:rsid w:val="006D5967"/>
    <w:rsid w:val="006E0C88"/>
    <w:rsid w:val="006E4D99"/>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3C37"/>
    <w:rsid w:val="007373D2"/>
    <w:rsid w:val="00740928"/>
    <w:rsid w:val="00741A38"/>
    <w:rsid w:val="007425C2"/>
    <w:rsid w:val="007456E0"/>
    <w:rsid w:val="007508AB"/>
    <w:rsid w:val="00752050"/>
    <w:rsid w:val="007524CE"/>
    <w:rsid w:val="00752B36"/>
    <w:rsid w:val="0075338A"/>
    <w:rsid w:val="00754F0E"/>
    <w:rsid w:val="00755044"/>
    <w:rsid w:val="0075558B"/>
    <w:rsid w:val="00755EAA"/>
    <w:rsid w:val="007606C0"/>
    <w:rsid w:val="00761A18"/>
    <w:rsid w:val="00764731"/>
    <w:rsid w:val="007658C1"/>
    <w:rsid w:val="00767B5D"/>
    <w:rsid w:val="007709EC"/>
    <w:rsid w:val="00772573"/>
    <w:rsid w:val="0077264A"/>
    <w:rsid w:val="00775F75"/>
    <w:rsid w:val="007775BD"/>
    <w:rsid w:val="007819A0"/>
    <w:rsid w:val="00790D44"/>
    <w:rsid w:val="0079124C"/>
    <w:rsid w:val="00794286"/>
    <w:rsid w:val="00797E8D"/>
    <w:rsid w:val="007A1026"/>
    <w:rsid w:val="007A442D"/>
    <w:rsid w:val="007A67AA"/>
    <w:rsid w:val="007A6F6A"/>
    <w:rsid w:val="007A72A4"/>
    <w:rsid w:val="007B0E9F"/>
    <w:rsid w:val="007B482B"/>
    <w:rsid w:val="007B5D33"/>
    <w:rsid w:val="007B5FF6"/>
    <w:rsid w:val="007C033C"/>
    <w:rsid w:val="007C1C6D"/>
    <w:rsid w:val="007C21F9"/>
    <w:rsid w:val="007C3FE3"/>
    <w:rsid w:val="007C401D"/>
    <w:rsid w:val="007C46B4"/>
    <w:rsid w:val="007C46E1"/>
    <w:rsid w:val="007C54BF"/>
    <w:rsid w:val="007C7A2B"/>
    <w:rsid w:val="007D14D8"/>
    <w:rsid w:val="007D1776"/>
    <w:rsid w:val="007D1B2A"/>
    <w:rsid w:val="007D44F0"/>
    <w:rsid w:val="007D50B2"/>
    <w:rsid w:val="007D50D1"/>
    <w:rsid w:val="007E0805"/>
    <w:rsid w:val="007E44E3"/>
    <w:rsid w:val="007E6666"/>
    <w:rsid w:val="007F183E"/>
    <w:rsid w:val="007F19A6"/>
    <w:rsid w:val="007F31BD"/>
    <w:rsid w:val="007F3C1E"/>
    <w:rsid w:val="007F5C1B"/>
    <w:rsid w:val="007F729D"/>
    <w:rsid w:val="00801065"/>
    <w:rsid w:val="00804AFF"/>
    <w:rsid w:val="00805B61"/>
    <w:rsid w:val="008138D6"/>
    <w:rsid w:val="008143EF"/>
    <w:rsid w:val="008144F8"/>
    <w:rsid w:val="00815762"/>
    <w:rsid w:val="00816B8E"/>
    <w:rsid w:val="00820001"/>
    <w:rsid w:val="00820314"/>
    <w:rsid w:val="0082038E"/>
    <w:rsid w:val="00822D69"/>
    <w:rsid w:val="0082387F"/>
    <w:rsid w:val="00824E27"/>
    <w:rsid w:val="008271CF"/>
    <w:rsid w:val="0083083D"/>
    <w:rsid w:val="008316DF"/>
    <w:rsid w:val="00833E73"/>
    <w:rsid w:val="0083594B"/>
    <w:rsid w:val="00836227"/>
    <w:rsid w:val="00837814"/>
    <w:rsid w:val="00840845"/>
    <w:rsid w:val="00840B6B"/>
    <w:rsid w:val="00841EA8"/>
    <w:rsid w:val="00846A2C"/>
    <w:rsid w:val="00850E9D"/>
    <w:rsid w:val="0085116D"/>
    <w:rsid w:val="00852FE8"/>
    <w:rsid w:val="00856A74"/>
    <w:rsid w:val="008600A8"/>
    <w:rsid w:val="008627DF"/>
    <w:rsid w:val="0086282F"/>
    <w:rsid w:val="008672CA"/>
    <w:rsid w:val="00870063"/>
    <w:rsid w:val="00870C82"/>
    <w:rsid w:val="00871C6B"/>
    <w:rsid w:val="00884ED0"/>
    <w:rsid w:val="0088572E"/>
    <w:rsid w:val="0088737B"/>
    <w:rsid w:val="0089481D"/>
    <w:rsid w:val="00894D1F"/>
    <w:rsid w:val="008A0E6F"/>
    <w:rsid w:val="008A27C4"/>
    <w:rsid w:val="008A2E19"/>
    <w:rsid w:val="008A389B"/>
    <w:rsid w:val="008A7187"/>
    <w:rsid w:val="008B0000"/>
    <w:rsid w:val="008B0CA0"/>
    <w:rsid w:val="008C0E8A"/>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370A"/>
    <w:rsid w:val="008F6C15"/>
    <w:rsid w:val="00900CD2"/>
    <w:rsid w:val="00901D3D"/>
    <w:rsid w:val="009032DF"/>
    <w:rsid w:val="00903CF2"/>
    <w:rsid w:val="00905218"/>
    <w:rsid w:val="0090694C"/>
    <w:rsid w:val="00911938"/>
    <w:rsid w:val="00914BF4"/>
    <w:rsid w:val="00915162"/>
    <w:rsid w:val="009154B5"/>
    <w:rsid w:val="00923579"/>
    <w:rsid w:val="00923AD1"/>
    <w:rsid w:val="00924B50"/>
    <w:rsid w:val="00924F14"/>
    <w:rsid w:val="009251C1"/>
    <w:rsid w:val="009259F0"/>
    <w:rsid w:val="00926ADF"/>
    <w:rsid w:val="009279BF"/>
    <w:rsid w:val="00933F64"/>
    <w:rsid w:val="00935D48"/>
    <w:rsid w:val="00936BC2"/>
    <w:rsid w:val="00937351"/>
    <w:rsid w:val="00940750"/>
    <w:rsid w:val="00941DAF"/>
    <w:rsid w:val="00941E62"/>
    <w:rsid w:val="00947821"/>
    <w:rsid w:val="00954B1B"/>
    <w:rsid w:val="00956A7D"/>
    <w:rsid w:val="00957A8D"/>
    <w:rsid w:val="0096257A"/>
    <w:rsid w:val="00964AFF"/>
    <w:rsid w:val="00966B5D"/>
    <w:rsid w:val="00972764"/>
    <w:rsid w:val="00983218"/>
    <w:rsid w:val="00985905"/>
    <w:rsid w:val="00986C7A"/>
    <w:rsid w:val="00987B06"/>
    <w:rsid w:val="00995B6C"/>
    <w:rsid w:val="00996A8F"/>
    <w:rsid w:val="009A0B83"/>
    <w:rsid w:val="009A1801"/>
    <w:rsid w:val="009A1F82"/>
    <w:rsid w:val="009A31F7"/>
    <w:rsid w:val="009B06E9"/>
    <w:rsid w:val="009B3CE5"/>
    <w:rsid w:val="009B558C"/>
    <w:rsid w:val="009B5B8F"/>
    <w:rsid w:val="009C0356"/>
    <w:rsid w:val="009C055D"/>
    <w:rsid w:val="009C2005"/>
    <w:rsid w:val="009C3DFC"/>
    <w:rsid w:val="009D0443"/>
    <w:rsid w:val="009D24AE"/>
    <w:rsid w:val="009D38FF"/>
    <w:rsid w:val="009D6364"/>
    <w:rsid w:val="009E064F"/>
    <w:rsid w:val="009E17B1"/>
    <w:rsid w:val="009E20D3"/>
    <w:rsid w:val="009E25ED"/>
    <w:rsid w:val="009E4E4B"/>
    <w:rsid w:val="009F319E"/>
    <w:rsid w:val="009F4B2E"/>
    <w:rsid w:val="009F52C8"/>
    <w:rsid w:val="00A025C3"/>
    <w:rsid w:val="00A03007"/>
    <w:rsid w:val="00A0409F"/>
    <w:rsid w:val="00A05225"/>
    <w:rsid w:val="00A05A16"/>
    <w:rsid w:val="00A206DB"/>
    <w:rsid w:val="00A2196C"/>
    <w:rsid w:val="00A223F1"/>
    <w:rsid w:val="00A226C9"/>
    <w:rsid w:val="00A23352"/>
    <w:rsid w:val="00A25C76"/>
    <w:rsid w:val="00A260F6"/>
    <w:rsid w:val="00A27D8A"/>
    <w:rsid w:val="00A3299A"/>
    <w:rsid w:val="00A33188"/>
    <w:rsid w:val="00A33FC5"/>
    <w:rsid w:val="00A36906"/>
    <w:rsid w:val="00A40324"/>
    <w:rsid w:val="00A40704"/>
    <w:rsid w:val="00A43090"/>
    <w:rsid w:val="00A4522C"/>
    <w:rsid w:val="00A4598D"/>
    <w:rsid w:val="00A502E1"/>
    <w:rsid w:val="00A51230"/>
    <w:rsid w:val="00A545BA"/>
    <w:rsid w:val="00A54EBF"/>
    <w:rsid w:val="00A5787D"/>
    <w:rsid w:val="00A57987"/>
    <w:rsid w:val="00A57B89"/>
    <w:rsid w:val="00A57CD0"/>
    <w:rsid w:val="00A64263"/>
    <w:rsid w:val="00A64521"/>
    <w:rsid w:val="00A656AB"/>
    <w:rsid w:val="00A70802"/>
    <w:rsid w:val="00A71F4B"/>
    <w:rsid w:val="00A72952"/>
    <w:rsid w:val="00A729FB"/>
    <w:rsid w:val="00A75448"/>
    <w:rsid w:val="00A76DB4"/>
    <w:rsid w:val="00A809A2"/>
    <w:rsid w:val="00A8112D"/>
    <w:rsid w:val="00A81358"/>
    <w:rsid w:val="00A81C61"/>
    <w:rsid w:val="00A82E64"/>
    <w:rsid w:val="00A83239"/>
    <w:rsid w:val="00A83E58"/>
    <w:rsid w:val="00A84DED"/>
    <w:rsid w:val="00A8510D"/>
    <w:rsid w:val="00A871A4"/>
    <w:rsid w:val="00A91753"/>
    <w:rsid w:val="00A9227D"/>
    <w:rsid w:val="00A925BF"/>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4C82"/>
    <w:rsid w:val="00AB721F"/>
    <w:rsid w:val="00AB753C"/>
    <w:rsid w:val="00AB7DA5"/>
    <w:rsid w:val="00AC22DC"/>
    <w:rsid w:val="00AC7B70"/>
    <w:rsid w:val="00AD0B5E"/>
    <w:rsid w:val="00AD1ACE"/>
    <w:rsid w:val="00AD3B13"/>
    <w:rsid w:val="00AD4CEA"/>
    <w:rsid w:val="00AD520E"/>
    <w:rsid w:val="00AE3C74"/>
    <w:rsid w:val="00AE476D"/>
    <w:rsid w:val="00AE53B3"/>
    <w:rsid w:val="00AE7318"/>
    <w:rsid w:val="00AE7C89"/>
    <w:rsid w:val="00AF0B1B"/>
    <w:rsid w:val="00AF34B3"/>
    <w:rsid w:val="00AF7EE4"/>
    <w:rsid w:val="00B00DBA"/>
    <w:rsid w:val="00B02314"/>
    <w:rsid w:val="00B03D79"/>
    <w:rsid w:val="00B059D5"/>
    <w:rsid w:val="00B061E0"/>
    <w:rsid w:val="00B066F2"/>
    <w:rsid w:val="00B113DC"/>
    <w:rsid w:val="00B11483"/>
    <w:rsid w:val="00B121C3"/>
    <w:rsid w:val="00B13502"/>
    <w:rsid w:val="00B13A96"/>
    <w:rsid w:val="00B13F05"/>
    <w:rsid w:val="00B173E6"/>
    <w:rsid w:val="00B22B62"/>
    <w:rsid w:val="00B23300"/>
    <w:rsid w:val="00B2391B"/>
    <w:rsid w:val="00B24AB7"/>
    <w:rsid w:val="00B24FB1"/>
    <w:rsid w:val="00B30F16"/>
    <w:rsid w:val="00B378CD"/>
    <w:rsid w:val="00B37E2D"/>
    <w:rsid w:val="00B45091"/>
    <w:rsid w:val="00B5083D"/>
    <w:rsid w:val="00B50E30"/>
    <w:rsid w:val="00B51703"/>
    <w:rsid w:val="00B519CA"/>
    <w:rsid w:val="00B52510"/>
    <w:rsid w:val="00B534BA"/>
    <w:rsid w:val="00B537F7"/>
    <w:rsid w:val="00B54FE4"/>
    <w:rsid w:val="00B66113"/>
    <w:rsid w:val="00B72005"/>
    <w:rsid w:val="00B72058"/>
    <w:rsid w:val="00B72AA5"/>
    <w:rsid w:val="00B73C88"/>
    <w:rsid w:val="00B749E3"/>
    <w:rsid w:val="00B7718D"/>
    <w:rsid w:val="00B81A29"/>
    <w:rsid w:val="00B81DEB"/>
    <w:rsid w:val="00B827C3"/>
    <w:rsid w:val="00B85898"/>
    <w:rsid w:val="00B86367"/>
    <w:rsid w:val="00B86A09"/>
    <w:rsid w:val="00B90029"/>
    <w:rsid w:val="00B91B8D"/>
    <w:rsid w:val="00B92B87"/>
    <w:rsid w:val="00B92B8B"/>
    <w:rsid w:val="00B93249"/>
    <w:rsid w:val="00B942DA"/>
    <w:rsid w:val="00BA0131"/>
    <w:rsid w:val="00BA0474"/>
    <w:rsid w:val="00BA0956"/>
    <w:rsid w:val="00BA2E95"/>
    <w:rsid w:val="00BA4401"/>
    <w:rsid w:val="00BA653D"/>
    <w:rsid w:val="00BA7C80"/>
    <w:rsid w:val="00BB0D41"/>
    <w:rsid w:val="00BB1DB7"/>
    <w:rsid w:val="00BC3163"/>
    <w:rsid w:val="00BC3805"/>
    <w:rsid w:val="00BC6A96"/>
    <w:rsid w:val="00BD14AE"/>
    <w:rsid w:val="00BD4B51"/>
    <w:rsid w:val="00BD4CD3"/>
    <w:rsid w:val="00BD51C3"/>
    <w:rsid w:val="00BD5CDD"/>
    <w:rsid w:val="00BD6855"/>
    <w:rsid w:val="00BE09FC"/>
    <w:rsid w:val="00BE1CC5"/>
    <w:rsid w:val="00BE3906"/>
    <w:rsid w:val="00BE461D"/>
    <w:rsid w:val="00BF1E78"/>
    <w:rsid w:val="00BF4D88"/>
    <w:rsid w:val="00BF5A14"/>
    <w:rsid w:val="00C02FA6"/>
    <w:rsid w:val="00C04666"/>
    <w:rsid w:val="00C06396"/>
    <w:rsid w:val="00C10434"/>
    <w:rsid w:val="00C113E7"/>
    <w:rsid w:val="00C1254D"/>
    <w:rsid w:val="00C144BD"/>
    <w:rsid w:val="00C22063"/>
    <w:rsid w:val="00C230A3"/>
    <w:rsid w:val="00C235FC"/>
    <w:rsid w:val="00C303A6"/>
    <w:rsid w:val="00C304D2"/>
    <w:rsid w:val="00C33937"/>
    <w:rsid w:val="00C35AB1"/>
    <w:rsid w:val="00C4188C"/>
    <w:rsid w:val="00C41934"/>
    <w:rsid w:val="00C43BAA"/>
    <w:rsid w:val="00C47BC0"/>
    <w:rsid w:val="00C517F7"/>
    <w:rsid w:val="00C51F84"/>
    <w:rsid w:val="00C524FF"/>
    <w:rsid w:val="00C548D3"/>
    <w:rsid w:val="00C5612C"/>
    <w:rsid w:val="00C5716B"/>
    <w:rsid w:val="00C60DBB"/>
    <w:rsid w:val="00C632F7"/>
    <w:rsid w:val="00C6543D"/>
    <w:rsid w:val="00C67F0B"/>
    <w:rsid w:val="00C72652"/>
    <w:rsid w:val="00C73CC7"/>
    <w:rsid w:val="00C73E8A"/>
    <w:rsid w:val="00C74A57"/>
    <w:rsid w:val="00C75273"/>
    <w:rsid w:val="00C76F9E"/>
    <w:rsid w:val="00C85183"/>
    <w:rsid w:val="00C85BE8"/>
    <w:rsid w:val="00C86637"/>
    <w:rsid w:val="00C93F61"/>
    <w:rsid w:val="00C94E60"/>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0496"/>
    <w:rsid w:val="00CE258E"/>
    <w:rsid w:val="00CE3240"/>
    <w:rsid w:val="00CE7D5D"/>
    <w:rsid w:val="00CF3BA8"/>
    <w:rsid w:val="00CF5E98"/>
    <w:rsid w:val="00D013E8"/>
    <w:rsid w:val="00D02D0C"/>
    <w:rsid w:val="00D03C60"/>
    <w:rsid w:val="00D0472B"/>
    <w:rsid w:val="00D05A41"/>
    <w:rsid w:val="00D05FDE"/>
    <w:rsid w:val="00D06B04"/>
    <w:rsid w:val="00D06E72"/>
    <w:rsid w:val="00D13436"/>
    <w:rsid w:val="00D13DD7"/>
    <w:rsid w:val="00D15F2C"/>
    <w:rsid w:val="00D16764"/>
    <w:rsid w:val="00D16BB6"/>
    <w:rsid w:val="00D17726"/>
    <w:rsid w:val="00D21B62"/>
    <w:rsid w:val="00D2332B"/>
    <w:rsid w:val="00D2454B"/>
    <w:rsid w:val="00D25D49"/>
    <w:rsid w:val="00D26C4D"/>
    <w:rsid w:val="00D2776E"/>
    <w:rsid w:val="00D315B6"/>
    <w:rsid w:val="00D3173E"/>
    <w:rsid w:val="00D31E1D"/>
    <w:rsid w:val="00D357C6"/>
    <w:rsid w:val="00D35BAA"/>
    <w:rsid w:val="00D35EF1"/>
    <w:rsid w:val="00D37418"/>
    <w:rsid w:val="00D41D6B"/>
    <w:rsid w:val="00D434F0"/>
    <w:rsid w:val="00D47EFA"/>
    <w:rsid w:val="00D5010B"/>
    <w:rsid w:val="00D52474"/>
    <w:rsid w:val="00D52D84"/>
    <w:rsid w:val="00D53084"/>
    <w:rsid w:val="00D57605"/>
    <w:rsid w:val="00D61C3D"/>
    <w:rsid w:val="00D6424A"/>
    <w:rsid w:val="00D6592E"/>
    <w:rsid w:val="00D659BA"/>
    <w:rsid w:val="00D66047"/>
    <w:rsid w:val="00D70237"/>
    <w:rsid w:val="00D70DC2"/>
    <w:rsid w:val="00D71180"/>
    <w:rsid w:val="00D723B5"/>
    <w:rsid w:val="00D75044"/>
    <w:rsid w:val="00D8073B"/>
    <w:rsid w:val="00D82621"/>
    <w:rsid w:val="00D8698F"/>
    <w:rsid w:val="00D871AF"/>
    <w:rsid w:val="00D90708"/>
    <w:rsid w:val="00D90815"/>
    <w:rsid w:val="00D90922"/>
    <w:rsid w:val="00D90A0F"/>
    <w:rsid w:val="00D9233D"/>
    <w:rsid w:val="00D94536"/>
    <w:rsid w:val="00D945FF"/>
    <w:rsid w:val="00D97B21"/>
    <w:rsid w:val="00DA36D0"/>
    <w:rsid w:val="00DA425B"/>
    <w:rsid w:val="00DA78EF"/>
    <w:rsid w:val="00DA7B90"/>
    <w:rsid w:val="00DB13A5"/>
    <w:rsid w:val="00DB20BF"/>
    <w:rsid w:val="00DB644B"/>
    <w:rsid w:val="00DB6467"/>
    <w:rsid w:val="00DB67CB"/>
    <w:rsid w:val="00DB7096"/>
    <w:rsid w:val="00DC0191"/>
    <w:rsid w:val="00DC1689"/>
    <w:rsid w:val="00DC1DC8"/>
    <w:rsid w:val="00DC1F37"/>
    <w:rsid w:val="00DC2687"/>
    <w:rsid w:val="00DC3893"/>
    <w:rsid w:val="00DC4163"/>
    <w:rsid w:val="00DC4FE9"/>
    <w:rsid w:val="00DD02EB"/>
    <w:rsid w:val="00DD1404"/>
    <w:rsid w:val="00DD3A7A"/>
    <w:rsid w:val="00DD6E41"/>
    <w:rsid w:val="00DE00C6"/>
    <w:rsid w:val="00DE0C90"/>
    <w:rsid w:val="00DE45BF"/>
    <w:rsid w:val="00DE4750"/>
    <w:rsid w:val="00DE7704"/>
    <w:rsid w:val="00DF09AB"/>
    <w:rsid w:val="00DF3345"/>
    <w:rsid w:val="00DF57A6"/>
    <w:rsid w:val="00DF6108"/>
    <w:rsid w:val="00DF6BCE"/>
    <w:rsid w:val="00DF7558"/>
    <w:rsid w:val="00E021A1"/>
    <w:rsid w:val="00E108AB"/>
    <w:rsid w:val="00E11D51"/>
    <w:rsid w:val="00E13385"/>
    <w:rsid w:val="00E14793"/>
    <w:rsid w:val="00E14A2F"/>
    <w:rsid w:val="00E14ABA"/>
    <w:rsid w:val="00E164F4"/>
    <w:rsid w:val="00E20EAD"/>
    <w:rsid w:val="00E210BB"/>
    <w:rsid w:val="00E21A29"/>
    <w:rsid w:val="00E25485"/>
    <w:rsid w:val="00E27BBF"/>
    <w:rsid w:val="00E31687"/>
    <w:rsid w:val="00E31791"/>
    <w:rsid w:val="00E31CB4"/>
    <w:rsid w:val="00E32F06"/>
    <w:rsid w:val="00E343FC"/>
    <w:rsid w:val="00E41090"/>
    <w:rsid w:val="00E45B03"/>
    <w:rsid w:val="00E47799"/>
    <w:rsid w:val="00E47F63"/>
    <w:rsid w:val="00E51830"/>
    <w:rsid w:val="00E56D09"/>
    <w:rsid w:val="00E60429"/>
    <w:rsid w:val="00E60AFE"/>
    <w:rsid w:val="00E61397"/>
    <w:rsid w:val="00E63E36"/>
    <w:rsid w:val="00E667D1"/>
    <w:rsid w:val="00E66C6F"/>
    <w:rsid w:val="00E7133F"/>
    <w:rsid w:val="00E71489"/>
    <w:rsid w:val="00E722C8"/>
    <w:rsid w:val="00E72E01"/>
    <w:rsid w:val="00E83024"/>
    <w:rsid w:val="00E8322E"/>
    <w:rsid w:val="00E90F0C"/>
    <w:rsid w:val="00E91145"/>
    <w:rsid w:val="00EA2ACE"/>
    <w:rsid w:val="00EA5201"/>
    <w:rsid w:val="00EA7273"/>
    <w:rsid w:val="00EA77CF"/>
    <w:rsid w:val="00EB0A71"/>
    <w:rsid w:val="00EB2E1C"/>
    <w:rsid w:val="00EB6177"/>
    <w:rsid w:val="00EB7DC9"/>
    <w:rsid w:val="00EC071E"/>
    <w:rsid w:val="00EC3469"/>
    <w:rsid w:val="00EC367B"/>
    <w:rsid w:val="00EC75E3"/>
    <w:rsid w:val="00ED009D"/>
    <w:rsid w:val="00ED1178"/>
    <w:rsid w:val="00ED1A9A"/>
    <w:rsid w:val="00ED3AA1"/>
    <w:rsid w:val="00ED5727"/>
    <w:rsid w:val="00ED7027"/>
    <w:rsid w:val="00EE0537"/>
    <w:rsid w:val="00EE54A1"/>
    <w:rsid w:val="00EF2220"/>
    <w:rsid w:val="00EF2A53"/>
    <w:rsid w:val="00EF3761"/>
    <w:rsid w:val="00F00F4C"/>
    <w:rsid w:val="00F01167"/>
    <w:rsid w:val="00F0203A"/>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320C8"/>
    <w:rsid w:val="00F40834"/>
    <w:rsid w:val="00F41349"/>
    <w:rsid w:val="00F41B44"/>
    <w:rsid w:val="00F41F1E"/>
    <w:rsid w:val="00F459EE"/>
    <w:rsid w:val="00F52E13"/>
    <w:rsid w:val="00F55B70"/>
    <w:rsid w:val="00F569CD"/>
    <w:rsid w:val="00F60E07"/>
    <w:rsid w:val="00F61FC4"/>
    <w:rsid w:val="00F63AB2"/>
    <w:rsid w:val="00F65786"/>
    <w:rsid w:val="00F666F7"/>
    <w:rsid w:val="00F66742"/>
    <w:rsid w:val="00F77A20"/>
    <w:rsid w:val="00F8040A"/>
    <w:rsid w:val="00F80431"/>
    <w:rsid w:val="00F80DA9"/>
    <w:rsid w:val="00F80E97"/>
    <w:rsid w:val="00F84686"/>
    <w:rsid w:val="00F84C72"/>
    <w:rsid w:val="00F872E5"/>
    <w:rsid w:val="00F90380"/>
    <w:rsid w:val="00F91236"/>
    <w:rsid w:val="00F91341"/>
    <w:rsid w:val="00F93069"/>
    <w:rsid w:val="00F95A1D"/>
    <w:rsid w:val="00FA263F"/>
    <w:rsid w:val="00FA2880"/>
    <w:rsid w:val="00FA43ED"/>
    <w:rsid w:val="00FA5E08"/>
    <w:rsid w:val="00FB30A5"/>
    <w:rsid w:val="00FC0797"/>
    <w:rsid w:val="00FC23E2"/>
    <w:rsid w:val="00FC32E2"/>
    <w:rsid w:val="00FC55D5"/>
    <w:rsid w:val="00FD0B7D"/>
    <w:rsid w:val="00FD1410"/>
    <w:rsid w:val="00FD2A60"/>
    <w:rsid w:val="00FD34A0"/>
    <w:rsid w:val="00FD50BB"/>
    <w:rsid w:val="00FD552F"/>
    <w:rsid w:val="00FD5936"/>
    <w:rsid w:val="00FE1BD0"/>
    <w:rsid w:val="00FE1D95"/>
    <w:rsid w:val="00FE1FD8"/>
    <w:rsid w:val="00FE256F"/>
    <w:rsid w:val="00FE41AD"/>
    <w:rsid w:val="00FE42EF"/>
    <w:rsid w:val="00FE5D31"/>
    <w:rsid w:val="00FE60A7"/>
    <w:rsid w:val="00FF4335"/>
    <w:rsid w:val="00FF4450"/>
    <w:rsid w:val="015263DB"/>
    <w:rsid w:val="0153A9EF"/>
    <w:rsid w:val="02ECE21D"/>
    <w:rsid w:val="05387B7E"/>
    <w:rsid w:val="05E33921"/>
    <w:rsid w:val="06A50892"/>
    <w:rsid w:val="07A35D77"/>
    <w:rsid w:val="0A49816E"/>
    <w:rsid w:val="0C1AD354"/>
    <w:rsid w:val="0C259F62"/>
    <w:rsid w:val="0E16E7D9"/>
    <w:rsid w:val="0E37B9D5"/>
    <w:rsid w:val="0EF6471A"/>
    <w:rsid w:val="0EFD4862"/>
    <w:rsid w:val="0F6B1BFE"/>
    <w:rsid w:val="0FE51C1C"/>
    <w:rsid w:val="1247E002"/>
    <w:rsid w:val="12B80C2A"/>
    <w:rsid w:val="12DC0084"/>
    <w:rsid w:val="1406239B"/>
    <w:rsid w:val="145D0480"/>
    <w:rsid w:val="1529E1A2"/>
    <w:rsid w:val="162CED81"/>
    <w:rsid w:val="1664DF89"/>
    <w:rsid w:val="17AD865B"/>
    <w:rsid w:val="18C577A9"/>
    <w:rsid w:val="1A613CE9"/>
    <w:rsid w:val="1A7BFE60"/>
    <w:rsid w:val="1BFD186B"/>
    <w:rsid w:val="1C0ACF39"/>
    <w:rsid w:val="1C6CD292"/>
    <w:rsid w:val="1C8D541C"/>
    <w:rsid w:val="1D9682B2"/>
    <w:rsid w:val="1DA6A107"/>
    <w:rsid w:val="1E412411"/>
    <w:rsid w:val="1EAAB64D"/>
    <w:rsid w:val="21BC18A8"/>
    <w:rsid w:val="220824DE"/>
    <w:rsid w:val="22503012"/>
    <w:rsid w:val="23E45356"/>
    <w:rsid w:val="2409BDE7"/>
    <w:rsid w:val="269EB5EE"/>
    <w:rsid w:val="26D3DBD3"/>
    <w:rsid w:val="26DEDCFC"/>
    <w:rsid w:val="27DEB239"/>
    <w:rsid w:val="29322D3D"/>
    <w:rsid w:val="2A97DD4F"/>
    <w:rsid w:val="2C69CDFF"/>
    <w:rsid w:val="2DA14D41"/>
    <w:rsid w:val="2E4DD0E1"/>
    <w:rsid w:val="2FB294D4"/>
    <w:rsid w:val="335D184F"/>
    <w:rsid w:val="34E71ADA"/>
    <w:rsid w:val="35347CD6"/>
    <w:rsid w:val="355F9300"/>
    <w:rsid w:val="35C20C01"/>
    <w:rsid w:val="375EAD0A"/>
    <w:rsid w:val="39E3CDEE"/>
    <w:rsid w:val="3D3B5FC7"/>
    <w:rsid w:val="3E3D7346"/>
    <w:rsid w:val="3FBF8011"/>
    <w:rsid w:val="3FE48B45"/>
    <w:rsid w:val="41C48E0F"/>
    <w:rsid w:val="41FF6609"/>
    <w:rsid w:val="42C0A97D"/>
    <w:rsid w:val="446CEAFD"/>
    <w:rsid w:val="46A53D0C"/>
    <w:rsid w:val="48FB7EE8"/>
    <w:rsid w:val="49015746"/>
    <w:rsid w:val="491E79D5"/>
    <w:rsid w:val="498CCB22"/>
    <w:rsid w:val="49BF90B4"/>
    <w:rsid w:val="4B863B84"/>
    <w:rsid w:val="4D67EAA0"/>
    <w:rsid w:val="4D6BCB15"/>
    <w:rsid w:val="4DD99805"/>
    <w:rsid w:val="4F530606"/>
    <w:rsid w:val="509BBBC3"/>
    <w:rsid w:val="51245DF1"/>
    <w:rsid w:val="52D30946"/>
    <w:rsid w:val="539E19F5"/>
    <w:rsid w:val="53AB62B5"/>
    <w:rsid w:val="54BA298A"/>
    <w:rsid w:val="57FC14FD"/>
    <w:rsid w:val="59E08DDC"/>
    <w:rsid w:val="5C7245DD"/>
    <w:rsid w:val="5EB2F752"/>
    <w:rsid w:val="5EC234A1"/>
    <w:rsid w:val="5EC42C50"/>
    <w:rsid w:val="5FC950FC"/>
    <w:rsid w:val="6027D28C"/>
    <w:rsid w:val="61662496"/>
    <w:rsid w:val="62940743"/>
    <w:rsid w:val="632838B8"/>
    <w:rsid w:val="6331FFC0"/>
    <w:rsid w:val="63540131"/>
    <w:rsid w:val="64134D97"/>
    <w:rsid w:val="6528CB05"/>
    <w:rsid w:val="661DDC2A"/>
    <w:rsid w:val="67AFFA6E"/>
    <w:rsid w:val="67F4B57C"/>
    <w:rsid w:val="681B3A00"/>
    <w:rsid w:val="6A32A919"/>
    <w:rsid w:val="6BAD83E9"/>
    <w:rsid w:val="6BBA8F5A"/>
    <w:rsid w:val="6C412201"/>
    <w:rsid w:val="6CAC5338"/>
    <w:rsid w:val="6CE98AB3"/>
    <w:rsid w:val="6EF64CEE"/>
    <w:rsid w:val="6FDA2B63"/>
    <w:rsid w:val="7044D1E9"/>
    <w:rsid w:val="71A55C91"/>
    <w:rsid w:val="72099D1A"/>
    <w:rsid w:val="724283EE"/>
    <w:rsid w:val="7402EBF0"/>
    <w:rsid w:val="74CA6B1E"/>
    <w:rsid w:val="75158886"/>
    <w:rsid w:val="75637524"/>
    <w:rsid w:val="76647A80"/>
    <w:rsid w:val="7A0CB1B8"/>
    <w:rsid w:val="7AEFA0EF"/>
    <w:rsid w:val="7BF353A9"/>
    <w:rsid w:val="7C1A6994"/>
    <w:rsid w:val="7D8E74BD"/>
    <w:rsid w:val="7D9D1F42"/>
    <w:rsid w:val="7E62F03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CE0496"/>
    <w:pPr>
      <w:spacing w:before="0" w:after="0" w:line="240" w:lineRule="auto"/>
    </w:pPr>
  </w:style>
  <w:style w:type="table" w:styleId="Tabladecuadrcula4-nfasis1">
    <w:name w:val="Grid Table 4 Accent 1"/>
    <w:basedOn w:val="Tablanormal"/>
    <w:uiPriority w:val="49"/>
    <w:rsid w:val="003A58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rsid w:val="009C0356"/>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65957462">
      <w:bodyDiv w:val="1"/>
      <w:marLeft w:val="0"/>
      <w:marRight w:val="0"/>
      <w:marTop w:val="0"/>
      <w:marBottom w:val="0"/>
      <w:divBdr>
        <w:top w:val="none" w:sz="0" w:space="0" w:color="auto"/>
        <w:left w:val="none" w:sz="0" w:space="0" w:color="auto"/>
        <w:bottom w:val="none" w:sz="0" w:space="0" w:color="auto"/>
        <w:right w:val="none" w:sz="0" w:space="0" w:color="auto"/>
      </w:divBdr>
    </w:div>
    <w:div w:id="236869267">
      <w:bodyDiv w:val="1"/>
      <w:marLeft w:val="0"/>
      <w:marRight w:val="0"/>
      <w:marTop w:val="0"/>
      <w:marBottom w:val="0"/>
      <w:divBdr>
        <w:top w:val="none" w:sz="0" w:space="0" w:color="auto"/>
        <w:left w:val="none" w:sz="0" w:space="0" w:color="auto"/>
        <w:bottom w:val="none" w:sz="0" w:space="0" w:color="auto"/>
        <w:right w:val="none" w:sz="0" w:space="0" w:color="auto"/>
      </w:divBdr>
    </w:div>
    <w:div w:id="275523368">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2051051">
      <w:bodyDiv w:val="1"/>
      <w:marLeft w:val="0"/>
      <w:marRight w:val="0"/>
      <w:marTop w:val="0"/>
      <w:marBottom w:val="0"/>
      <w:divBdr>
        <w:top w:val="none" w:sz="0" w:space="0" w:color="auto"/>
        <w:left w:val="none" w:sz="0" w:space="0" w:color="auto"/>
        <w:bottom w:val="none" w:sz="0" w:space="0" w:color="auto"/>
        <w:right w:val="none" w:sz="0" w:space="0" w:color="auto"/>
      </w:divBdr>
    </w:div>
    <w:div w:id="421411621">
      <w:bodyDiv w:val="1"/>
      <w:marLeft w:val="0"/>
      <w:marRight w:val="0"/>
      <w:marTop w:val="0"/>
      <w:marBottom w:val="0"/>
      <w:divBdr>
        <w:top w:val="none" w:sz="0" w:space="0" w:color="auto"/>
        <w:left w:val="none" w:sz="0" w:space="0" w:color="auto"/>
        <w:bottom w:val="none" w:sz="0" w:space="0" w:color="auto"/>
        <w:right w:val="none" w:sz="0" w:space="0" w:color="auto"/>
      </w:divBdr>
    </w:div>
    <w:div w:id="422452958">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259936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1973026">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77222979">
      <w:bodyDiv w:val="1"/>
      <w:marLeft w:val="0"/>
      <w:marRight w:val="0"/>
      <w:marTop w:val="0"/>
      <w:marBottom w:val="0"/>
      <w:divBdr>
        <w:top w:val="none" w:sz="0" w:space="0" w:color="auto"/>
        <w:left w:val="none" w:sz="0" w:space="0" w:color="auto"/>
        <w:bottom w:val="none" w:sz="0" w:space="0" w:color="auto"/>
        <w:right w:val="none" w:sz="0" w:space="0" w:color="auto"/>
      </w:divBdr>
    </w:div>
    <w:div w:id="1093472544">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7797828">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35328585">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49952548">
      <w:bodyDiv w:val="1"/>
      <w:marLeft w:val="0"/>
      <w:marRight w:val="0"/>
      <w:marTop w:val="0"/>
      <w:marBottom w:val="0"/>
      <w:divBdr>
        <w:top w:val="none" w:sz="0" w:space="0" w:color="auto"/>
        <w:left w:val="none" w:sz="0" w:space="0" w:color="auto"/>
        <w:bottom w:val="none" w:sz="0" w:space="0" w:color="auto"/>
        <w:right w:val="none" w:sz="0" w:space="0" w:color="auto"/>
      </w:divBdr>
    </w:div>
    <w:div w:id="186570705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5412678">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88381406">
      <w:bodyDiv w:val="1"/>
      <w:marLeft w:val="0"/>
      <w:marRight w:val="0"/>
      <w:marTop w:val="0"/>
      <w:marBottom w:val="0"/>
      <w:divBdr>
        <w:top w:val="none" w:sz="0" w:space="0" w:color="auto"/>
        <w:left w:val="none" w:sz="0" w:space="0" w:color="auto"/>
        <w:bottom w:val="none" w:sz="0" w:space="0" w:color="auto"/>
        <w:right w:val="none" w:sz="0" w:space="0" w:color="auto"/>
      </w:divBdr>
    </w:div>
    <w:div w:id="2123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ef9b9cd6d490419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fc108d36bdbf47eb"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7DF2-A67C-4974-B193-537C82D8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DFA3AAC7-988E-4D4A-B3C7-C9ECB55B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7494</Words>
  <Characters>42718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8</cp:revision>
  <dcterms:created xsi:type="dcterms:W3CDTF">2023-12-06T13:55:00Z</dcterms:created>
  <dcterms:modified xsi:type="dcterms:W3CDTF">2024-02-19T13:32:00Z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