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440F" w14:textId="3E4391DD" w:rsidR="00164C44" w:rsidRPr="005D4170" w:rsidRDefault="005D4170" w:rsidP="00164C44">
      <w:pPr>
        <w:pStyle w:val="Textoindependiente"/>
        <w:jc w:val="both"/>
        <w:rPr>
          <w:rFonts w:ascii="Arial" w:hAnsi="Arial" w:cs="Arial"/>
          <w:b/>
          <w:sz w:val="20"/>
          <w:szCs w:val="24"/>
        </w:rPr>
      </w:pPr>
      <w:r>
        <w:rPr>
          <w:rFonts w:ascii="Arial" w:hAnsi="Arial" w:cs="Arial"/>
          <w:b/>
          <w:sz w:val="20"/>
          <w:szCs w:val="24"/>
        </w:rPr>
        <w:t>RESOLUCIÓN DE CONTRATO / MEDIDAS CAUTELARES / APELACIÓN / SUSTENTACIÓN</w:t>
      </w:r>
    </w:p>
    <w:p w14:paraId="7925E45D" w14:textId="45FED038" w:rsidR="00164C44" w:rsidRPr="005D4170" w:rsidRDefault="005D4170" w:rsidP="005D4170">
      <w:pPr>
        <w:pStyle w:val="Textoindependiente"/>
        <w:jc w:val="both"/>
        <w:rPr>
          <w:rFonts w:ascii="Arial" w:hAnsi="Arial" w:cs="Arial"/>
          <w:sz w:val="20"/>
          <w:szCs w:val="24"/>
        </w:rPr>
      </w:pPr>
      <w:r>
        <w:rPr>
          <w:rFonts w:ascii="Arial" w:hAnsi="Arial" w:cs="Arial"/>
          <w:sz w:val="20"/>
          <w:szCs w:val="24"/>
        </w:rPr>
        <w:t xml:space="preserve">… </w:t>
      </w:r>
      <w:r w:rsidRPr="005D4170">
        <w:rPr>
          <w:rFonts w:ascii="Arial" w:hAnsi="Arial" w:cs="Arial"/>
          <w:sz w:val="20"/>
          <w:szCs w:val="24"/>
        </w:rPr>
        <w:t>si se quisiera ser estricto se llegaría a la deserción del recurso, porque en realidad no se advierte una verdadera sustentación, carga que es necesario acatar, si con ella lo que se busca es poner al descubierto cuál fue la equivocación del juez el emitir su providencia. Y se señala la deficiencia, porque el juzgado negó la medida por no estar previsto el embargo de remanentes dentro de los procesos declarativos, sino para los ejecutivos y sobre ese particular nada se discute. Lo único que se menciona escuetamente contra el proveído es que es una oportunidad para salvaguardar los intereses de la demandante, pero sin aducir cuál fue el dislate en que incurrió el funcionario.</w:t>
      </w:r>
    </w:p>
    <w:p w14:paraId="3DB6B9B9" w14:textId="77777777" w:rsidR="00164C44" w:rsidRPr="005D4170" w:rsidRDefault="00164C44" w:rsidP="00164C44">
      <w:pPr>
        <w:pStyle w:val="Textoindependiente"/>
        <w:jc w:val="both"/>
        <w:rPr>
          <w:rFonts w:ascii="Arial" w:hAnsi="Arial" w:cs="Arial"/>
          <w:sz w:val="20"/>
          <w:szCs w:val="24"/>
        </w:rPr>
      </w:pPr>
    </w:p>
    <w:p w14:paraId="1A672035" w14:textId="5ABCA1BD" w:rsidR="005D4170" w:rsidRPr="005D4170" w:rsidRDefault="005D4170" w:rsidP="005D4170">
      <w:pPr>
        <w:pStyle w:val="Textoindependiente"/>
        <w:jc w:val="both"/>
        <w:rPr>
          <w:rFonts w:ascii="Arial" w:hAnsi="Arial" w:cs="Arial"/>
          <w:b/>
          <w:sz w:val="20"/>
          <w:szCs w:val="24"/>
        </w:rPr>
      </w:pPr>
      <w:r>
        <w:rPr>
          <w:rFonts w:ascii="Arial" w:hAnsi="Arial" w:cs="Arial"/>
          <w:b/>
          <w:sz w:val="20"/>
          <w:szCs w:val="24"/>
        </w:rPr>
        <w:t xml:space="preserve">RESOLUCIÓN DE CONTRATO / MEDIDAS CAUTELARES / </w:t>
      </w:r>
      <w:r w:rsidR="00F96320">
        <w:rPr>
          <w:rFonts w:ascii="Arial" w:hAnsi="Arial" w:cs="Arial"/>
          <w:b/>
          <w:sz w:val="20"/>
          <w:szCs w:val="24"/>
        </w:rPr>
        <w:t>NOMINADAS E INNOMINADAS</w:t>
      </w:r>
    </w:p>
    <w:p w14:paraId="25FFC474" w14:textId="5462EA2F" w:rsidR="00164C44" w:rsidRPr="00F96320" w:rsidRDefault="00F96320" w:rsidP="00F96320">
      <w:pPr>
        <w:pStyle w:val="Textoindependiente"/>
        <w:jc w:val="both"/>
        <w:rPr>
          <w:rFonts w:ascii="Arial" w:hAnsi="Arial" w:cs="Arial"/>
          <w:sz w:val="20"/>
          <w:szCs w:val="24"/>
        </w:rPr>
      </w:pPr>
      <w:r>
        <w:rPr>
          <w:rFonts w:ascii="Arial" w:hAnsi="Arial" w:cs="Arial"/>
          <w:sz w:val="20"/>
          <w:szCs w:val="24"/>
        </w:rPr>
        <w:t xml:space="preserve">… </w:t>
      </w:r>
      <w:r w:rsidRPr="00F96320">
        <w:rPr>
          <w:rFonts w:ascii="Arial" w:hAnsi="Arial" w:cs="Arial"/>
          <w:sz w:val="20"/>
          <w:szCs w:val="24"/>
        </w:rPr>
        <w:t xml:space="preserve">al tratarse de un embargo de remanentes, como bien lo destacó el juzgado, se trata de una medida cautelar del primer tipo, en cuanto está expresamente prevista en la ley, concretamente, en el artículo 466 del </w:t>
      </w:r>
      <w:proofErr w:type="spellStart"/>
      <w:r w:rsidRPr="00F96320">
        <w:rPr>
          <w:rFonts w:ascii="Arial" w:hAnsi="Arial" w:cs="Arial"/>
          <w:sz w:val="20"/>
          <w:szCs w:val="24"/>
        </w:rPr>
        <w:t>CGP</w:t>
      </w:r>
      <w:proofErr w:type="spellEnd"/>
      <w:r w:rsidRPr="00F96320">
        <w:rPr>
          <w:rFonts w:ascii="Arial" w:hAnsi="Arial" w:cs="Arial"/>
          <w:sz w:val="20"/>
          <w:szCs w:val="24"/>
        </w:rPr>
        <w:t>, norma especial para el proceso ejecutivo, no para los procesos declarativos. Y es que, dando por superadas esas inconsistencias y asumiendo que lo que el impugnante quiere decir es que la medida procede como innominada, bueno es decirlo, una de las novedades que trajo el nuevo estatuto procesal, fue la introducción para los procesos declarativos de las que han recibido esa denominación, que, a diferencia de las nominadas, no están específicamente señaladas, pues si lo estuvieran perderían tal connotación, distinción que es importante, porque al momento de decretar unas y otras el ejercicio del juez es distinto.</w:t>
      </w:r>
    </w:p>
    <w:p w14:paraId="60204C3D" w14:textId="77777777" w:rsidR="00164C44" w:rsidRPr="005D4170" w:rsidRDefault="00164C44" w:rsidP="00164C44">
      <w:pPr>
        <w:pStyle w:val="Textoindependiente"/>
        <w:jc w:val="both"/>
        <w:rPr>
          <w:rFonts w:ascii="Arial" w:hAnsi="Arial" w:cs="Arial"/>
          <w:sz w:val="20"/>
          <w:szCs w:val="24"/>
        </w:rPr>
      </w:pPr>
    </w:p>
    <w:p w14:paraId="69C9DF20" w14:textId="5B0909C2" w:rsidR="00F96320" w:rsidRPr="005D4170" w:rsidRDefault="00F96320" w:rsidP="00F96320">
      <w:pPr>
        <w:pStyle w:val="Textoindependiente"/>
        <w:jc w:val="both"/>
        <w:rPr>
          <w:rFonts w:ascii="Arial" w:hAnsi="Arial" w:cs="Arial"/>
          <w:b/>
          <w:sz w:val="20"/>
          <w:szCs w:val="24"/>
        </w:rPr>
      </w:pPr>
      <w:r>
        <w:rPr>
          <w:rFonts w:ascii="Arial" w:hAnsi="Arial" w:cs="Arial"/>
          <w:b/>
          <w:sz w:val="20"/>
          <w:szCs w:val="24"/>
        </w:rPr>
        <w:t>MEDIDAS CAUTELARES / NOMINADAS E INNOMINADAS</w:t>
      </w:r>
      <w:r>
        <w:rPr>
          <w:rFonts w:ascii="Arial" w:hAnsi="Arial" w:cs="Arial"/>
          <w:b/>
          <w:sz w:val="20"/>
          <w:szCs w:val="24"/>
        </w:rPr>
        <w:t xml:space="preserve"> / </w:t>
      </w:r>
      <w:r w:rsidR="0026401A">
        <w:rPr>
          <w:rFonts w:ascii="Arial" w:hAnsi="Arial" w:cs="Arial"/>
          <w:b/>
          <w:sz w:val="20"/>
          <w:szCs w:val="24"/>
        </w:rPr>
        <w:t>DIFERENCIAS</w:t>
      </w:r>
    </w:p>
    <w:p w14:paraId="52199F8B" w14:textId="632AA689" w:rsidR="00164C44" w:rsidRPr="00F96320" w:rsidRDefault="00F96320" w:rsidP="00F96320">
      <w:pPr>
        <w:pStyle w:val="Textoindependiente"/>
        <w:jc w:val="both"/>
        <w:rPr>
          <w:rFonts w:ascii="Arial" w:hAnsi="Arial" w:cs="Arial"/>
          <w:sz w:val="20"/>
          <w:szCs w:val="24"/>
        </w:rPr>
      </w:pPr>
      <w:r>
        <w:rPr>
          <w:rFonts w:ascii="Arial" w:hAnsi="Arial" w:cs="Arial"/>
          <w:sz w:val="20"/>
          <w:szCs w:val="24"/>
        </w:rPr>
        <w:t>…</w:t>
      </w:r>
      <w:r w:rsidRPr="00F96320">
        <w:rPr>
          <w:rFonts w:ascii="Arial" w:hAnsi="Arial" w:cs="Arial"/>
          <w:sz w:val="20"/>
          <w:szCs w:val="24"/>
        </w:rPr>
        <w:t xml:space="preserve"> mientras que en las nominadas es el legislador el que, desde su consagración ha previsto la apariencia del buen derecho, el peligro de la mora, la legitimación, la necesidad, la proporcionalidad, la efectividad. (tal el caso de la inscripción de la demanda, el embargo, el secuestro), en las innominadas, por serlo, debe el juez, con esmero, empezar por dilucidar si se da cada una de estas condiciones para que pueda ordenarla.</w:t>
      </w:r>
    </w:p>
    <w:p w14:paraId="78FB12C8" w14:textId="77777777" w:rsidR="00164C44" w:rsidRPr="005D4170" w:rsidRDefault="00164C44" w:rsidP="00164C44">
      <w:pPr>
        <w:pStyle w:val="Textoindependiente"/>
        <w:jc w:val="both"/>
        <w:rPr>
          <w:rFonts w:ascii="Arial" w:hAnsi="Arial" w:cs="Arial"/>
          <w:sz w:val="20"/>
          <w:szCs w:val="24"/>
        </w:rPr>
      </w:pPr>
    </w:p>
    <w:p w14:paraId="530C6C9B" w14:textId="77777777" w:rsidR="00164C44" w:rsidRPr="005D4170" w:rsidRDefault="00164C44" w:rsidP="00164C44">
      <w:pPr>
        <w:pStyle w:val="Textoindependiente"/>
        <w:jc w:val="both"/>
        <w:rPr>
          <w:rFonts w:ascii="Arial" w:hAnsi="Arial" w:cs="Arial"/>
          <w:sz w:val="20"/>
          <w:szCs w:val="24"/>
        </w:rPr>
      </w:pPr>
    </w:p>
    <w:p w14:paraId="1EAF4A28" w14:textId="77777777" w:rsidR="00164C44" w:rsidRPr="005D4170" w:rsidRDefault="00164C44" w:rsidP="00164C44">
      <w:pPr>
        <w:pStyle w:val="Textoindependiente"/>
        <w:jc w:val="both"/>
        <w:rPr>
          <w:rFonts w:ascii="Arial" w:hAnsi="Arial" w:cs="Arial"/>
          <w:sz w:val="20"/>
          <w:szCs w:val="24"/>
        </w:rPr>
      </w:pPr>
    </w:p>
    <w:p w14:paraId="45BC9DD3" w14:textId="77777777" w:rsidR="00164C44" w:rsidRPr="007C2138" w:rsidRDefault="00164C44" w:rsidP="00164C44">
      <w:pPr>
        <w:pStyle w:val="Textoindependiente"/>
        <w:spacing w:line="276" w:lineRule="auto"/>
        <w:jc w:val="center"/>
        <w:rPr>
          <w:rFonts w:ascii="Gadugi" w:hAnsi="Gadugi"/>
          <w:sz w:val="24"/>
          <w:szCs w:val="24"/>
        </w:rPr>
      </w:pPr>
      <w:r w:rsidRPr="007C2138">
        <w:rPr>
          <w:rFonts w:ascii="Gadugi" w:hAnsi="Gadugi"/>
          <w:noProof/>
          <w:sz w:val="24"/>
          <w:szCs w:val="24"/>
          <w:lang w:val="en-US"/>
        </w:rPr>
        <w:drawing>
          <wp:inline distT="0" distB="0" distL="0" distR="0" wp14:anchorId="046427AC" wp14:editId="1152AF9A">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6FFF7174" w14:textId="77777777" w:rsidR="00164C44" w:rsidRPr="007C2138" w:rsidRDefault="00164C44" w:rsidP="00164C44">
      <w:pPr>
        <w:pStyle w:val="Ttulo1"/>
        <w:tabs>
          <w:tab w:val="left" w:pos="993"/>
        </w:tabs>
        <w:spacing w:line="276" w:lineRule="auto"/>
        <w:ind w:left="720" w:right="909"/>
        <w:jc w:val="center"/>
        <w:rPr>
          <w:rFonts w:ascii="Gadugi" w:hAnsi="Gadugi"/>
          <w:sz w:val="24"/>
          <w:szCs w:val="24"/>
        </w:rPr>
      </w:pPr>
      <w:r w:rsidRPr="007C2138">
        <w:rPr>
          <w:rFonts w:ascii="Gadugi" w:hAnsi="Gadugi"/>
          <w:w w:val="115"/>
          <w:sz w:val="24"/>
          <w:szCs w:val="24"/>
        </w:rPr>
        <w:tab/>
        <w:t>TRIBUNAL</w:t>
      </w:r>
      <w:r w:rsidRPr="007C2138">
        <w:rPr>
          <w:rFonts w:ascii="Gadugi" w:hAnsi="Gadugi"/>
          <w:spacing w:val="30"/>
          <w:w w:val="115"/>
          <w:sz w:val="24"/>
          <w:szCs w:val="24"/>
        </w:rPr>
        <w:t xml:space="preserve"> </w:t>
      </w:r>
      <w:r w:rsidRPr="007C2138">
        <w:rPr>
          <w:rFonts w:ascii="Gadugi" w:hAnsi="Gadugi"/>
          <w:w w:val="115"/>
          <w:sz w:val="24"/>
          <w:szCs w:val="24"/>
        </w:rPr>
        <w:t>SUPERIOR</w:t>
      </w:r>
      <w:r w:rsidRPr="007C2138">
        <w:rPr>
          <w:rFonts w:ascii="Gadugi" w:hAnsi="Gadugi"/>
          <w:spacing w:val="34"/>
          <w:w w:val="115"/>
          <w:sz w:val="24"/>
          <w:szCs w:val="24"/>
        </w:rPr>
        <w:t xml:space="preserve"> </w:t>
      </w:r>
      <w:r w:rsidRPr="007C2138">
        <w:rPr>
          <w:rFonts w:ascii="Gadugi" w:hAnsi="Gadugi"/>
          <w:w w:val="115"/>
          <w:sz w:val="24"/>
          <w:szCs w:val="24"/>
        </w:rPr>
        <w:t>DEL</w:t>
      </w:r>
      <w:r w:rsidRPr="007C2138">
        <w:rPr>
          <w:rFonts w:ascii="Gadugi" w:hAnsi="Gadugi"/>
          <w:spacing w:val="34"/>
          <w:w w:val="115"/>
          <w:sz w:val="24"/>
          <w:szCs w:val="24"/>
        </w:rPr>
        <w:t xml:space="preserve"> </w:t>
      </w:r>
      <w:r w:rsidRPr="007C2138">
        <w:rPr>
          <w:rFonts w:ascii="Gadugi" w:hAnsi="Gadugi"/>
          <w:w w:val="115"/>
          <w:sz w:val="24"/>
          <w:szCs w:val="24"/>
        </w:rPr>
        <w:t>DISTRITO</w:t>
      </w:r>
      <w:r w:rsidRPr="007C2138">
        <w:rPr>
          <w:rFonts w:ascii="Gadugi" w:hAnsi="Gadugi"/>
          <w:spacing w:val="32"/>
          <w:w w:val="115"/>
          <w:sz w:val="24"/>
          <w:szCs w:val="24"/>
        </w:rPr>
        <w:t xml:space="preserve"> </w:t>
      </w:r>
      <w:r w:rsidRPr="007C2138">
        <w:rPr>
          <w:rFonts w:ascii="Gadugi" w:hAnsi="Gadugi"/>
          <w:w w:val="115"/>
          <w:sz w:val="24"/>
          <w:szCs w:val="24"/>
        </w:rPr>
        <w:t>JUDICIAL</w:t>
      </w:r>
      <w:r w:rsidRPr="007C2138">
        <w:rPr>
          <w:rFonts w:ascii="Gadugi" w:hAnsi="Gadugi"/>
          <w:spacing w:val="-68"/>
          <w:w w:val="115"/>
          <w:sz w:val="24"/>
          <w:szCs w:val="24"/>
        </w:rPr>
        <w:t xml:space="preserve"> </w:t>
      </w:r>
      <w:r w:rsidRPr="007C2138">
        <w:rPr>
          <w:rFonts w:ascii="Gadugi" w:hAnsi="Gadugi"/>
          <w:w w:val="115"/>
          <w:sz w:val="24"/>
          <w:szCs w:val="24"/>
        </w:rPr>
        <w:t>PEREIRA</w:t>
      </w:r>
    </w:p>
    <w:p w14:paraId="35B06C1F" w14:textId="77777777" w:rsidR="00164C44" w:rsidRPr="007C2138" w:rsidRDefault="00164C44" w:rsidP="00164C44">
      <w:pPr>
        <w:tabs>
          <w:tab w:val="left" w:pos="993"/>
        </w:tabs>
        <w:spacing w:line="276" w:lineRule="auto"/>
        <w:ind w:right="906"/>
        <w:jc w:val="center"/>
        <w:rPr>
          <w:rFonts w:ascii="Gadugi" w:hAnsi="Gadugi"/>
          <w:b/>
          <w:sz w:val="24"/>
          <w:szCs w:val="24"/>
        </w:rPr>
      </w:pPr>
      <w:r w:rsidRPr="007C2138">
        <w:rPr>
          <w:rFonts w:ascii="Gadugi" w:hAnsi="Gadugi"/>
          <w:b/>
          <w:w w:val="115"/>
          <w:sz w:val="24"/>
          <w:szCs w:val="24"/>
        </w:rPr>
        <w:tab/>
        <w:t>SALA</w:t>
      </w:r>
      <w:r w:rsidRPr="007C2138">
        <w:rPr>
          <w:rFonts w:ascii="Gadugi" w:hAnsi="Gadugi"/>
          <w:b/>
          <w:spacing w:val="25"/>
          <w:w w:val="115"/>
          <w:sz w:val="24"/>
          <w:szCs w:val="24"/>
        </w:rPr>
        <w:t xml:space="preserve"> </w:t>
      </w:r>
      <w:r w:rsidRPr="007C2138">
        <w:rPr>
          <w:rFonts w:ascii="Gadugi" w:hAnsi="Gadugi"/>
          <w:b/>
          <w:w w:val="115"/>
          <w:sz w:val="24"/>
          <w:szCs w:val="24"/>
        </w:rPr>
        <w:t>CIVIL-FAMILIA</w:t>
      </w:r>
    </w:p>
    <w:p w14:paraId="4C30BA34" w14:textId="77777777" w:rsidR="00164C44" w:rsidRPr="007C2138" w:rsidRDefault="00164C44" w:rsidP="00164C44">
      <w:pPr>
        <w:pStyle w:val="Textoindependiente"/>
        <w:tabs>
          <w:tab w:val="left" w:pos="3647"/>
        </w:tabs>
        <w:spacing w:line="276" w:lineRule="auto"/>
        <w:ind w:left="1803" w:right="858"/>
        <w:rPr>
          <w:rFonts w:ascii="Gadugi" w:hAnsi="Gadugi"/>
          <w:sz w:val="24"/>
          <w:szCs w:val="24"/>
        </w:rPr>
      </w:pPr>
    </w:p>
    <w:p w14:paraId="78944725" w14:textId="70E1A4C0" w:rsidR="00D54F3C" w:rsidRPr="00164C44" w:rsidRDefault="00CA0678" w:rsidP="00164C44">
      <w:pPr>
        <w:pStyle w:val="Textoindependiente"/>
        <w:tabs>
          <w:tab w:val="left" w:pos="3647"/>
        </w:tabs>
        <w:spacing w:line="276" w:lineRule="auto"/>
        <w:ind w:right="-2"/>
        <w:jc w:val="center"/>
        <w:rPr>
          <w:rFonts w:ascii="Gadugi" w:hAnsi="Gadugi"/>
          <w:b/>
          <w:bCs/>
          <w:sz w:val="24"/>
          <w:szCs w:val="24"/>
        </w:rPr>
      </w:pPr>
      <w:r w:rsidRPr="00164C44">
        <w:rPr>
          <w:rFonts w:ascii="Gadugi" w:hAnsi="Gadugi"/>
          <w:b/>
          <w:bCs/>
          <w:sz w:val="24"/>
          <w:szCs w:val="24"/>
        </w:rPr>
        <w:t>AC-</w:t>
      </w:r>
      <w:r w:rsidR="00FE3635" w:rsidRPr="00164C44">
        <w:rPr>
          <w:rFonts w:ascii="Gadugi" w:hAnsi="Gadugi"/>
          <w:b/>
          <w:bCs/>
          <w:sz w:val="24"/>
          <w:szCs w:val="24"/>
        </w:rPr>
        <w:t>0154-</w:t>
      </w:r>
      <w:r w:rsidRPr="00164C44">
        <w:rPr>
          <w:rFonts w:ascii="Gadugi" w:hAnsi="Gadugi"/>
          <w:b/>
          <w:bCs/>
          <w:sz w:val="24"/>
          <w:szCs w:val="24"/>
        </w:rPr>
        <w:t>2023</w:t>
      </w:r>
    </w:p>
    <w:p w14:paraId="3BD545EA" w14:textId="77777777" w:rsidR="00164C44" w:rsidRDefault="00164C44" w:rsidP="00164C44">
      <w:pPr>
        <w:tabs>
          <w:tab w:val="left" w:pos="3686"/>
          <w:tab w:val="left" w:pos="4536"/>
        </w:tabs>
        <w:jc w:val="center"/>
        <w:rPr>
          <w:rFonts w:ascii="Gadugi" w:hAnsi="Gadugi"/>
          <w:sz w:val="24"/>
          <w:szCs w:val="24"/>
        </w:rPr>
      </w:pPr>
    </w:p>
    <w:p w14:paraId="57E5A12E" w14:textId="177698EC" w:rsidR="00164C44" w:rsidRPr="00A1410F" w:rsidRDefault="00164C44" w:rsidP="00164C44">
      <w:pPr>
        <w:tabs>
          <w:tab w:val="left" w:pos="3686"/>
          <w:tab w:val="left" w:pos="4536"/>
        </w:tabs>
        <w:jc w:val="center"/>
        <w:rPr>
          <w:rFonts w:ascii="Gadugi" w:hAnsi="Gadugi"/>
          <w:sz w:val="24"/>
          <w:szCs w:val="24"/>
        </w:rPr>
      </w:pPr>
      <w:r w:rsidRPr="00A1410F">
        <w:rPr>
          <w:rFonts w:ascii="Gadugi" w:hAnsi="Gadugi"/>
          <w:sz w:val="24"/>
          <w:szCs w:val="24"/>
        </w:rPr>
        <w:t xml:space="preserve">Magistrado Ponente: </w:t>
      </w:r>
      <w:r w:rsidRPr="00BE79D8">
        <w:rPr>
          <w:rFonts w:ascii="Gadugi" w:hAnsi="Gadugi"/>
          <w:b/>
          <w:sz w:val="24"/>
          <w:szCs w:val="24"/>
        </w:rPr>
        <w:t>Jaime Alberto Saraza Naranjo</w:t>
      </w:r>
    </w:p>
    <w:p w14:paraId="1499929A" w14:textId="77777777" w:rsidR="00CA0678" w:rsidRPr="00164C44" w:rsidRDefault="00CA0678" w:rsidP="00164C44">
      <w:pPr>
        <w:pStyle w:val="Textoindependiente"/>
        <w:spacing w:line="276" w:lineRule="auto"/>
        <w:rPr>
          <w:rFonts w:ascii="Gadugi" w:hAnsi="Gadugi"/>
          <w:sz w:val="24"/>
          <w:szCs w:val="24"/>
        </w:rPr>
      </w:pPr>
    </w:p>
    <w:p w14:paraId="248C5169" w14:textId="5F9C2119" w:rsidR="002B0EE7" w:rsidRPr="00164C44" w:rsidRDefault="00161D60" w:rsidP="00164C44">
      <w:pPr>
        <w:pStyle w:val="Textoindependiente"/>
        <w:tabs>
          <w:tab w:val="left" w:pos="2977"/>
        </w:tabs>
        <w:ind w:left="1134"/>
        <w:rPr>
          <w:rFonts w:ascii="Gadugi" w:hAnsi="Gadugi"/>
          <w:sz w:val="22"/>
          <w:szCs w:val="24"/>
        </w:rPr>
      </w:pPr>
      <w:r w:rsidRPr="00164C44">
        <w:rPr>
          <w:rFonts w:ascii="Gadugi" w:hAnsi="Gadugi"/>
          <w:sz w:val="22"/>
          <w:szCs w:val="24"/>
        </w:rPr>
        <w:t>Expediente</w:t>
      </w:r>
      <w:r w:rsidRPr="00164C44">
        <w:rPr>
          <w:rFonts w:ascii="Gadugi" w:hAnsi="Gadugi"/>
          <w:sz w:val="22"/>
          <w:szCs w:val="24"/>
        </w:rPr>
        <w:tab/>
      </w:r>
      <w:r w:rsidR="002B0EE7" w:rsidRPr="00164C44">
        <w:rPr>
          <w:rFonts w:ascii="Gadugi" w:eastAsia="Times New Roman" w:hAnsi="Gadugi" w:cs="Calibri"/>
          <w:color w:val="000000"/>
          <w:sz w:val="22"/>
          <w:szCs w:val="24"/>
          <w:lang w:val="es-CO" w:eastAsia="es-CO"/>
        </w:rPr>
        <w:t>66</w:t>
      </w:r>
      <w:r w:rsidR="004B5585" w:rsidRPr="00164C44">
        <w:rPr>
          <w:rFonts w:ascii="Gadugi" w:eastAsia="Times New Roman" w:hAnsi="Gadugi" w:cs="Calibri"/>
          <w:color w:val="000000"/>
          <w:sz w:val="22"/>
          <w:szCs w:val="24"/>
          <w:lang w:val="es-CO" w:eastAsia="es-CO"/>
        </w:rPr>
        <w:t>170</w:t>
      </w:r>
      <w:r w:rsidR="00CB399B" w:rsidRPr="00164C44">
        <w:rPr>
          <w:rFonts w:ascii="Gadugi" w:eastAsia="Times New Roman" w:hAnsi="Gadugi" w:cs="Calibri"/>
          <w:color w:val="000000"/>
          <w:sz w:val="22"/>
          <w:szCs w:val="24"/>
          <w:lang w:val="es-CO" w:eastAsia="es-CO"/>
        </w:rPr>
        <w:t>3103001</w:t>
      </w:r>
      <w:r w:rsidR="002B0EE7" w:rsidRPr="00164C44">
        <w:rPr>
          <w:rFonts w:ascii="Gadugi" w:eastAsia="Times New Roman" w:hAnsi="Gadugi" w:cs="Calibri"/>
          <w:color w:val="000000"/>
          <w:sz w:val="22"/>
          <w:szCs w:val="24"/>
          <w:lang w:val="es-CO" w:eastAsia="es-CO"/>
        </w:rPr>
        <w:t>202</w:t>
      </w:r>
      <w:r w:rsidR="00CB399B" w:rsidRPr="00164C44">
        <w:rPr>
          <w:rFonts w:ascii="Gadugi" w:eastAsia="Times New Roman" w:hAnsi="Gadugi" w:cs="Calibri"/>
          <w:color w:val="000000"/>
          <w:sz w:val="22"/>
          <w:szCs w:val="24"/>
          <w:lang w:val="es-CO" w:eastAsia="es-CO"/>
        </w:rPr>
        <w:t>3</w:t>
      </w:r>
      <w:r w:rsidR="002B0EE7" w:rsidRPr="00164C44">
        <w:rPr>
          <w:rFonts w:ascii="Gadugi" w:eastAsia="Times New Roman" w:hAnsi="Gadugi" w:cs="Calibri"/>
          <w:color w:val="000000"/>
          <w:sz w:val="22"/>
          <w:szCs w:val="24"/>
          <w:lang w:val="es-CO" w:eastAsia="es-CO"/>
        </w:rPr>
        <w:t>00</w:t>
      </w:r>
      <w:r w:rsidR="00CB399B" w:rsidRPr="00164C44">
        <w:rPr>
          <w:rFonts w:ascii="Gadugi" w:eastAsia="Times New Roman" w:hAnsi="Gadugi" w:cs="Calibri"/>
          <w:color w:val="000000"/>
          <w:sz w:val="22"/>
          <w:szCs w:val="24"/>
          <w:lang w:val="es-CO" w:eastAsia="es-CO"/>
        </w:rPr>
        <w:t>044</w:t>
      </w:r>
      <w:r w:rsidR="002B0EE7" w:rsidRPr="00164C44">
        <w:rPr>
          <w:rFonts w:ascii="Gadugi" w:eastAsia="Times New Roman" w:hAnsi="Gadugi" w:cs="Calibri"/>
          <w:color w:val="000000"/>
          <w:sz w:val="22"/>
          <w:szCs w:val="24"/>
          <w:lang w:val="es-CO" w:eastAsia="es-CO"/>
        </w:rPr>
        <w:t>0</w:t>
      </w:r>
      <w:r w:rsidR="0057307C" w:rsidRPr="00164C44">
        <w:rPr>
          <w:rFonts w:ascii="Gadugi" w:eastAsia="Times New Roman" w:hAnsi="Gadugi" w:cs="Calibri"/>
          <w:color w:val="000000"/>
          <w:sz w:val="22"/>
          <w:szCs w:val="24"/>
          <w:lang w:val="es-CO" w:eastAsia="es-CO"/>
        </w:rPr>
        <w:t>1</w:t>
      </w:r>
    </w:p>
    <w:p w14:paraId="7CE3DDF5" w14:textId="3430A23D" w:rsidR="00A07C04" w:rsidRPr="00164C44" w:rsidRDefault="00161D60" w:rsidP="00164C44">
      <w:pPr>
        <w:pStyle w:val="Textoindependiente"/>
        <w:tabs>
          <w:tab w:val="left" w:pos="2977"/>
          <w:tab w:val="left" w:pos="3647"/>
        </w:tabs>
        <w:ind w:left="1134"/>
        <w:rPr>
          <w:rFonts w:ascii="Gadugi" w:hAnsi="Gadugi"/>
          <w:sz w:val="22"/>
          <w:szCs w:val="24"/>
        </w:rPr>
      </w:pPr>
      <w:r w:rsidRPr="00164C44">
        <w:rPr>
          <w:rFonts w:ascii="Gadugi" w:hAnsi="Gadugi"/>
          <w:sz w:val="22"/>
          <w:szCs w:val="24"/>
        </w:rPr>
        <w:t>Proceso:</w:t>
      </w:r>
      <w:r w:rsidRPr="00164C44">
        <w:rPr>
          <w:rFonts w:ascii="Gadugi" w:hAnsi="Gadugi"/>
          <w:sz w:val="22"/>
          <w:szCs w:val="24"/>
        </w:rPr>
        <w:tab/>
      </w:r>
      <w:r w:rsidR="00235DB7" w:rsidRPr="00164C44">
        <w:rPr>
          <w:rFonts w:ascii="Gadugi" w:hAnsi="Gadugi"/>
          <w:sz w:val="22"/>
          <w:szCs w:val="24"/>
        </w:rPr>
        <w:t>Verbal – resolución de contrato</w:t>
      </w:r>
    </w:p>
    <w:p w14:paraId="581FC934" w14:textId="48CCDBE5" w:rsidR="0079197A" w:rsidRPr="00164C44" w:rsidRDefault="00765FD1" w:rsidP="00164C44">
      <w:pPr>
        <w:pStyle w:val="Textoindependiente"/>
        <w:tabs>
          <w:tab w:val="left" w:pos="2977"/>
          <w:tab w:val="left" w:pos="3647"/>
        </w:tabs>
        <w:ind w:left="1134"/>
        <w:rPr>
          <w:rFonts w:ascii="Gadugi" w:hAnsi="Gadugi"/>
          <w:sz w:val="22"/>
          <w:szCs w:val="24"/>
        </w:rPr>
      </w:pPr>
      <w:r w:rsidRPr="00164C44">
        <w:rPr>
          <w:rFonts w:ascii="Gadugi" w:hAnsi="Gadugi"/>
          <w:sz w:val="22"/>
          <w:szCs w:val="24"/>
        </w:rPr>
        <w:t>Tema:</w:t>
      </w:r>
      <w:r w:rsidR="00161D60" w:rsidRPr="00164C44">
        <w:rPr>
          <w:rFonts w:ascii="Gadugi" w:hAnsi="Gadugi"/>
          <w:sz w:val="22"/>
          <w:szCs w:val="24"/>
        </w:rPr>
        <w:tab/>
      </w:r>
      <w:r w:rsidR="001D5382" w:rsidRPr="00164C44">
        <w:rPr>
          <w:rFonts w:ascii="Gadugi" w:hAnsi="Gadugi"/>
          <w:sz w:val="22"/>
          <w:szCs w:val="24"/>
        </w:rPr>
        <w:t>Remanentes – medida innominada</w:t>
      </w:r>
    </w:p>
    <w:p w14:paraId="13155A28" w14:textId="761CC2F2" w:rsidR="00751CF3" w:rsidRPr="00164C44" w:rsidRDefault="00161D60" w:rsidP="00164C44">
      <w:pPr>
        <w:pStyle w:val="Textoindependiente"/>
        <w:tabs>
          <w:tab w:val="left" w:pos="2977"/>
          <w:tab w:val="left" w:pos="3647"/>
        </w:tabs>
        <w:ind w:left="1134"/>
        <w:rPr>
          <w:rFonts w:ascii="Gadugi" w:hAnsi="Gadugi"/>
          <w:spacing w:val="14"/>
          <w:sz w:val="22"/>
          <w:szCs w:val="24"/>
        </w:rPr>
      </w:pPr>
      <w:r w:rsidRPr="00164C44">
        <w:rPr>
          <w:rFonts w:ascii="Gadugi" w:hAnsi="Gadugi"/>
          <w:sz w:val="22"/>
          <w:szCs w:val="24"/>
        </w:rPr>
        <w:t>Demandante:</w:t>
      </w:r>
      <w:r w:rsidRPr="00164C44">
        <w:rPr>
          <w:rFonts w:ascii="Gadugi" w:hAnsi="Gadugi"/>
          <w:spacing w:val="14"/>
          <w:sz w:val="22"/>
          <w:szCs w:val="24"/>
        </w:rPr>
        <w:t xml:space="preserve"> </w:t>
      </w:r>
      <w:r w:rsidR="00D51AC8" w:rsidRPr="00164C44">
        <w:rPr>
          <w:rFonts w:ascii="Gadugi" w:hAnsi="Gadugi"/>
          <w:spacing w:val="14"/>
          <w:sz w:val="22"/>
          <w:szCs w:val="24"/>
        </w:rPr>
        <w:tab/>
      </w:r>
      <w:r w:rsidR="001D5382" w:rsidRPr="00164C44">
        <w:rPr>
          <w:rFonts w:ascii="Gadugi" w:hAnsi="Gadugi"/>
          <w:spacing w:val="14"/>
          <w:sz w:val="22"/>
          <w:szCs w:val="24"/>
        </w:rPr>
        <w:t>Mar Azul Construcciones de Colombia</w:t>
      </w:r>
      <w:r w:rsidR="00E80032" w:rsidRPr="00164C44">
        <w:rPr>
          <w:rFonts w:ascii="Gadugi" w:hAnsi="Gadugi"/>
          <w:spacing w:val="14"/>
          <w:sz w:val="22"/>
          <w:szCs w:val="24"/>
        </w:rPr>
        <w:t xml:space="preserve"> </w:t>
      </w:r>
      <w:proofErr w:type="spellStart"/>
      <w:r w:rsidR="00E80032" w:rsidRPr="00164C44">
        <w:rPr>
          <w:rFonts w:ascii="Gadugi" w:hAnsi="Gadugi"/>
          <w:spacing w:val="14"/>
          <w:sz w:val="22"/>
          <w:szCs w:val="24"/>
        </w:rPr>
        <w:t>SAS</w:t>
      </w:r>
      <w:proofErr w:type="spellEnd"/>
    </w:p>
    <w:p w14:paraId="3BD19866" w14:textId="2341A646" w:rsidR="00A07C04" w:rsidRPr="00164C44" w:rsidRDefault="00161D60" w:rsidP="00164C44">
      <w:pPr>
        <w:pStyle w:val="Textoindependiente"/>
        <w:tabs>
          <w:tab w:val="left" w:pos="2977"/>
          <w:tab w:val="left" w:pos="3647"/>
          <w:tab w:val="left" w:pos="8647"/>
        </w:tabs>
        <w:ind w:left="1134"/>
        <w:rPr>
          <w:rFonts w:ascii="Gadugi" w:hAnsi="Gadugi"/>
          <w:sz w:val="24"/>
          <w:szCs w:val="24"/>
        </w:rPr>
      </w:pPr>
      <w:r w:rsidRPr="00164C44">
        <w:rPr>
          <w:rFonts w:ascii="Gadugi" w:hAnsi="Gadugi"/>
          <w:sz w:val="22"/>
          <w:szCs w:val="24"/>
        </w:rPr>
        <w:t>Demandado:</w:t>
      </w:r>
      <w:r w:rsidRPr="00164C44">
        <w:rPr>
          <w:rFonts w:ascii="Gadugi" w:hAnsi="Gadugi"/>
          <w:sz w:val="22"/>
          <w:szCs w:val="24"/>
        </w:rPr>
        <w:tab/>
      </w:r>
      <w:r w:rsidR="00794B8F" w:rsidRPr="00164C44">
        <w:rPr>
          <w:rFonts w:ascii="Gadugi" w:hAnsi="Gadugi"/>
          <w:sz w:val="22"/>
          <w:szCs w:val="24"/>
        </w:rPr>
        <w:t xml:space="preserve">Constructora Camambú </w:t>
      </w:r>
      <w:proofErr w:type="spellStart"/>
      <w:r w:rsidR="00794B8F" w:rsidRPr="00164C44">
        <w:rPr>
          <w:rFonts w:ascii="Gadugi" w:hAnsi="Gadugi"/>
          <w:sz w:val="22"/>
          <w:szCs w:val="24"/>
        </w:rPr>
        <w:t>SAS</w:t>
      </w:r>
      <w:proofErr w:type="spellEnd"/>
    </w:p>
    <w:p w14:paraId="20F5AD59" w14:textId="77777777" w:rsidR="00881884" w:rsidRPr="00164C44" w:rsidRDefault="00881884" w:rsidP="00164C44">
      <w:pPr>
        <w:pStyle w:val="Textoindependiente"/>
        <w:tabs>
          <w:tab w:val="left" w:pos="3261"/>
          <w:tab w:val="left" w:pos="3647"/>
        </w:tabs>
        <w:spacing w:line="276" w:lineRule="auto"/>
        <w:ind w:left="1803" w:right="391" w:firstLine="1560"/>
        <w:rPr>
          <w:rFonts w:ascii="Gadugi" w:hAnsi="Gadugi"/>
          <w:sz w:val="24"/>
          <w:szCs w:val="24"/>
        </w:rPr>
      </w:pPr>
    </w:p>
    <w:p w14:paraId="21A4C53B" w14:textId="44A5A4CA" w:rsidR="00765FD1" w:rsidRDefault="00765FD1" w:rsidP="00164C44">
      <w:pPr>
        <w:pStyle w:val="Textoindependiente"/>
        <w:spacing w:line="276" w:lineRule="auto"/>
        <w:rPr>
          <w:rFonts w:ascii="Gadugi" w:hAnsi="Gadugi"/>
          <w:sz w:val="24"/>
          <w:szCs w:val="24"/>
        </w:rPr>
      </w:pPr>
    </w:p>
    <w:p w14:paraId="21AFA2BD" w14:textId="6FA75607" w:rsidR="006D24AF" w:rsidRPr="00164C44" w:rsidRDefault="006D24AF" w:rsidP="006D24AF">
      <w:pPr>
        <w:pStyle w:val="Textoindependiente"/>
        <w:spacing w:line="276" w:lineRule="auto"/>
        <w:jc w:val="center"/>
        <w:rPr>
          <w:rFonts w:ascii="Gadugi" w:hAnsi="Gadugi"/>
          <w:sz w:val="24"/>
          <w:szCs w:val="24"/>
        </w:rPr>
      </w:pPr>
      <w:r>
        <w:rPr>
          <w:rFonts w:ascii="Gadugi" w:hAnsi="Gadugi" w:cs="Arial"/>
          <w:b/>
          <w:bCs/>
          <w:smallCaps/>
          <w:sz w:val="24"/>
          <w:szCs w:val="24"/>
          <w:lang w:val="es-CO"/>
        </w:rPr>
        <w:t>ONCE (11) DE DICIEMBRE DE DOS MIL VEINTITRÉS (2023)</w:t>
      </w:r>
    </w:p>
    <w:p w14:paraId="031971CC" w14:textId="77777777" w:rsidR="006D24AF" w:rsidRDefault="006D24AF" w:rsidP="00164C44">
      <w:pPr>
        <w:pStyle w:val="Textoindependiente"/>
        <w:tabs>
          <w:tab w:val="left" w:pos="284"/>
        </w:tabs>
        <w:spacing w:line="276" w:lineRule="auto"/>
        <w:ind w:right="115"/>
        <w:jc w:val="both"/>
        <w:rPr>
          <w:rFonts w:ascii="Gadugi" w:hAnsi="Gadugi"/>
          <w:sz w:val="24"/>
          <w:szCs w:val="24"/>
        </w:rPr>
      </w:pPr>
    </w:p>
    <w:p w14:paraId="4293E4F0" w14:textId="6CF4B6E5" w:rsidR="0005625C" w:rsidRPr="00164C44" w:rsidRDefault="00161D60" w:rsidP="00164C44">
      <w:pPr>
        <w:pStyle w:val="Textoindependiente"/>
        <w:tabs>
          <w:tab w:val="left" w:pos="284"/>
        </w:tabs>
        <w:spacing w:line="276" w:lineRule="auto"/>
        <w:ind w:right="115"/>
        <w:jc w:val="both"/>
        <w:rPr>
          <w:rFonts w:ascii="Gadugi" w:hAnsi="Gadugi"/>
          <w:b/>
          <w:bCs/>
          <w:spacing w:val="-3"/>
          <w:sz w:val="24"/>
          <w:szCs w:val="24"/>
        </w:rPr>
      </w:pPr>
      <w:r w:rsidRPr="00164C44">
        <w:rPr>
          <w:rFonts w:ascii="Gadugi" w:hAnsi="Gadugi"/>
          <w:sz w:val="24"/>
          <w:szCs w:val="24"/>
        </w:rPr>
        <w:t>Resuelve</w:t>
      </w:r>
      <w:r w:rsidRPr="00164C44">
        <w:rPr>
          <w:rFonts w:ascii="Gadugi" w:hAnsi="Gadugi"/>
          <w:spacing w:val="1"/>
          <w:sz w:val="24"/>
          <w:szCs w:val="24"/>
        </w:rPr>
        <w:t xml:space="preserve"> </w:t>
      </w:r>
      <w:r w:rsidRPr="00164C44">
        <w:rPr>
          <w:rFonts w:ascii="Gadugi" w:hAnsi="Gadugi"/>
          <w:sz w:val="24"/>
          <w:szCs w:val="24"/>
        </w:rPr>
        <w:t>esta</w:t>
      </w:r>
      <w:r w:rsidRPr="00164C44">
        <w:rPr>
          <w:rFonts w:ascii="Gadugi" w:hAnsi="Gadugi"/>
          <w:spacing w:val="1"/>
          <w:sz w:val="24"/>
          <w:szCs w:val="24"/>
        </w:rPr>
        <w:t xml:space="preserve"> </w:t>
      </w:r>
      <w:r w:rsidRPr="00164C44">
        <w:rPr>
          <w:rFonts w:ascii="Gadugi" w:hAnsi="Gadugi"/>
          <w:sz w:val="24"/>
          <w:szCs w:val="24"/>
        </w:rPr>
        <w:t>Sala</w:t>
      </w:r>
      <w:r w:rsidRPr="00164C44">
        <w:rPr>
          <w:rFonts w:ascii="Gadugi" w:hAnsi="Gadugi"/>
          <w:spacing w:val="1"/>
          <w:sz w:val="24"/>
          <w:szCs w:val="24"/>
        </w:rPr>
        <w:t xml:space="preserve"> </w:t>
      </w:r>
      <w:r w:rsidR="00765FD1" w:rsidRPr="00164C44">
        <w:rPr>
          <w:rFonts w:ascii="Gadugi" w:hAnsi="Gadugi"/>
          <w:spacing w:val="1"/>
          <w:sz w:val="24"/>
          <w:szCs w:val="24"/>
        </w:rPr>
        <w:t>u</w:t>
      </w:r>
      <w:r w:rsidRPr="00164C44">
        <w:rPr>
          <w:rFonts w:ascii="Gadugi" w:hAnsi="Gadugi"/>
          <w:sz w:val="24"/>
          <w:szCs w:val="24"/>
        </w:rPr>
        <w:t>nitaria</w:t>
      </w:r>
      <w:r w:rsidRPr="00164C44">
        <w:rPr>
          <w:rFonts w:ascii="Gadugi" w:hAnsi="Gadugi"/>
          <w:spacing w:val="1"/>
          <w:sz w:val="24"/>
          <w:szCs w:val="24"/>
        </w:rPr>
        <w:t xml:space="preserve"> </w:t>
      </w:r>
      <w:r w:rsidRPr="00164C44">
        <w:rPr>
          <w:rFonts w:ascii="Gadugi" w:hAnsi="Gadugi"/>
          <w:sz w:val="24"/>
          <w:szCs w:val="24"/>
        </w:rPr>
        <w:t>el</w:t>
      </w:r>
      <w:r w:rsidRPr="00164C44">
        <w:rPr>
          <w:rFonts w:ascii="Gadugi" w:hAnsi="Gadugi"/>
          <w:spacing w:val="1"/>
          <w:sz w:val="24"/>
          <w:szCs w:val="24"/>
        </w:rPr>
        <w:t xml:space="preserve"> </w:t>
      </w:r>
      <w:r w:rsidRPr="00164C44">
        <w:rPr>
          <w:rFonts w:ascii="Gadugi" w:hAnsi="Gadugi"/>
          <w:sz w:val="24"/>
          <w:szCs w:val="24"/>
        </w:rPr>
        <w:t>recurso</w:t>
      </w:r>
      <w:r w:rsidRPr="00164C44">
        <w:rPr>
          <w:rFonts w:ascii="Gadugi" w:hAnsi="Gadugi"/>
          <w:spacing w:val="1"/>
          <w:sz w:val="24"/>
          <w:szCs w:val="24"/>
        </w:rPr>
        <w:t xml:space="preserve"> </w:t>
      </w:r>
      <w:r w:rsidRPr="00164C44">
        <w:rPr>
          <w:rFonts w:ascii="Gadugi" w:hAnsi="Gadugi"/>
          <w:sz w:val="24"/>
          <w:szCs w:val="24"/>
        </w:rPr>
        <w:t>de</w:t>
      </w:r>
      <w:r w:rsidRPr="00164C44">
        <w:rPr>
          <w:rFonts w:ascii="Gadugi" w:hAnsi="Gadugi"/>
          <w:spacing w:val="1"/>
          <w:sz w:val="24"/>
          <w:szCs w:val="24"/>
        </w:rPr>
        <w:t xml:space="preserve"> </w:t>
      </w:r>
      <w:r w:rsidRPr="00164C44">
        <w:rPr>
          <w:rFonts w:ascii="Gadugi" w:hAnsi="Gadugi"/>
          <w:sz w:val="24"/>
          <w:szCs w:val="24"/>
        </w:rPr>
        <w:t>apelación</w:t>
      </w:r>
      <w:r w:rsidRPr="00164C44">
        <w:rPr>
          <w:rFonts w:ascii="Gadugi" w:hAnsi="Gadugi"/>
          <w:spacing w:val="1"/>
          <w:sz w:val="24"/>
          <w:szCs w:val="24"/>
        </w:rPr>
        <w:t xml:space="preserve"> </w:t>
      </w:r>
      <w:r w:rsidRPr="00164C44">
        <w:rPr>
          <w:rFonts w:ascii="Gadugi" w:hAnsi="Gadugi"/>
          <w:sz w:val="24"/>
          <w:szCs w:val="24"/>
        </w:rPr>
        <w:t>que</w:t>
      </w:r>
      <w:r w:rsidRPr="00164C44">
        <w:rPr>
          <w:rFonts w:ascii="Gadugi" w:hAnsi="Gadugi"/>
          <w:spacing w:val="1"/>
          <w:sz w:val="24"/>
          <w:szCs w:val="24"/>
        </w:rPr>
        <w:t xml:space="preserve"> </w:t>
      </w:r>
      <w:r w:rsidRPr="00164C44">
        <w:rPr>
          <w:rFonts w:ascii="Gadugi" w:hAnsi="Gadugi"/>
          <w:sz w:val="24"/>
          <w:szCs w:val="24"/>
        </w:rPr>
        <w:t>la</w:t>
      </w:r>
      <w:r w:rsidRPr="00164C44">
        <w:rPr>
          <w:rFonts w:ascii="Gadugi" w:hAnsi="Gadugi"/>
          <w:spacing w:val="1"/>
          <w:sz w:val="24"/>
          <w:szCs w:val="24"/>
        </w:rPr>
        <w:t xml:space="preserve"> </w:t>
      </w:r>
      <w:r w:rsidRPr="00164C44">
        <w:rPr>
          <w:rFonts w:ascii="Gadugi" w:hAnsi="Gadugi"/>
          <w:sz w:val="24"/>
          <w:szCs w:val="24"/>
        </w:rPr>
        <w:t>parte</w:t>
      </w:r>
      <w:r w:rsidRPr="00164C44">
        <w:rPr>
          <w:rFonts w:ascii="Gadugi" w:hAnsi="Gadugi"/>
          <w:spacing w:val="1"/>
          <w:sz w:val="24"/>
          <w:szCs w:val="24"/>
        </w:rPr>
        <w:t xml:space="preserve"> </w:t>
      </w:r>
      <w:r w:rsidR="00124E4A" w:rsidRPr="00164C44">
        <w:rPr>
          <w:rFonts w:ascii="Gadugi" w:hAnsi="Gadugi"/>
          <w:sz w:val="24"/>
          <w:szCs w:val="24"/>
        </w:rPr>
        <w:t>demandante interpuso</w:t>
      </w:r>
      <w:r w:rsidRPr="00164C44">
        <w:rPr>
          <w:rFonts w:ascii="Gadugi" w:hAnsi="Gadugi"/>
          <w:sz w:val="24"/>
          <w:szCs w:val="24"/>
        </w:rPr>
        <w:t xml:space="preserve"> contra el auto del</w:t>
      </w:r>
      <w:r w:rsidRPr="00164C44">
        <w:rPr>
          <w:rFonts w:ascii="Gadugi" w:hAnsi="Gadugi"/>
          <w:spacing w:val="1"/>
          <w:sz w:val="24"/>
          <w:szCs w:val="24"/>
        </w:rPr>
        <w:t xml:space="preserve"> </w:t>
      </w:r>
      <w:r w:rsidR="00124E4A" w:rsidRPr="00164C44">
        <w:rPr>
          <w:rFonts w:ascii="Gadugi" w:hAnsi="Gadugi"/>
          <w:spacing w:val="1"/>
          <w:sz w:val="24"/>
          <w:szCs w:val="24"/>
        </w:rPr>
        <w:t xml:space="preserve">16 de agosto </w:t>
      </w:r>
      <w:r w:rsidR="0044654C" w:rsidRPr="00164C44">
        <w:rPr>
          <w:rFonts w:ascii="Gadugi" w:hAnsi="Gadugi"/>
          <w:sz w:val="24"/>
          <w:szCs w:val="24"/>
        </w:rPr>
        <w:t xml:space="preserve">de 2023, </w:t>
      </w:r>
      <w:r w:rsidRPr="00164C44">
        <w:rPr>
          <w:rFonts w:ascii="Gadugi" w:hAnsi="Gadugi"/>
          <w:sz w:val="24"/>
          <w:szCs w:val="24"/>
        </w:rPr>
        <w:t>proferido</w:t>
      </w:r>
      <w:r w:rsidRPr="00164C44">
        <w:rPr>
          <w:rFonts w:ascii="Gadugi" w:hAnsi="Gadugi"/>
          <w:spacing w:val="-5"/>
          <w:sz w:val="24"/>
          <w:szCs w:val="24"/>
        </w:rPr>
        <w:t xml:space="preserve"> </w:t>
      </w:r>
      <w:r w:rsidRPr="00164C44">
        <w:rPr>
          <w:rFonts w:ascii="Gadugi" w:hAnsi="Gadugi"/>
          <w:sz w:val="24"/>
          <w:szCs w:val="24"/>
        </w:rPr>
        <w:t>por</w:t>
      </w:r>
      <w:r w:rsidRPr="00164C44">
        <w:rPr>
          <w:rFonts w:ascii="Gadugi" w:hAnsi="Gadugi"/>
          <w:spacing w:val="-6"/>
          <w:sz w:val="24"/>
          <w:szCs w:val="24"/>
        </w:rPr>
        <w:t xml:space="preserve"> </w:t>
      </w:r>
      <w:r w:rsidRPr="00164C44">
        <w:rPr>
          <w:rFonts w:ascii="Gadugi" w:hAnsi="Gadugi"/>
          <w:sz w:val="24"/>
          <w:szCs w:val="24"/>
        </w:rPr>
        <w:t>el</w:t>
      </w:r>
      <w:r w:rsidRPr="00164C44">
        <w:rPr>
          <w:rFonts w:ascii="Gadugi" w:hAnsi="Gadugi"/>
          <w:spacing w:val="-6"/>
          <w:sz w:val="24"/>
          <w:szCs w:val="24"/>
        </w:rPr>
        <w:t xml:space="preserve"> </w:t>
      </w:r>
      <w:r w:rsidRPr="00164C44">
        <w:rPr>
          <w:rFonts w:ascii="Gadugi" w:hAnsi="Gadugi"/>
          <w:sz w:val="24"/>
          <w:szCs w:val="24"/>
        </w:rPr>
        <w:t>Juzgado</w:t>
      </w:r>
      <w:r w:rsidRPr="00164C44">
        <w:rPr>
          <w:rFonts w:ascii="Gadugi" w:hAnsi="Gadugi"/>
          <w:spacing w:val="-3"/>
          <w:sz w:val="24"/>
          <w:szCs w:val="24"/>
        </w:rPr>
        <w:t xml:space="preserve"> </w:t>
      </w:r>
      <w:r w:rsidR="00EA1772" w:rsidRPr="00164C44">
        <w:rPr>
          <w:rFonts w:ascii="Gadugi" w:hAnsi="Gadugi"/>
          <w:spacing w:val="-3"/>
          <w:sz w:val="24"/>
          <w:szCs w:val="24"/>
        </w:rPr>
        <w:t>Civil del C</w:t>
      </w:r>
      <w:r w:rsidR="00863E2D" w:rsidRPr="00164C44">
        <w:rPr>
          <w:rFonts w:ascii="Gadugi" w:hAnsi="Gadugi"/>
          <w:spacing w:val="-3"/>
          <w:sz w:val="24"/>
          <w:szCs w:val="24"/>
        </w:rPr>
        <w:t>ircuito de Dosquebradas</w:t>
      </w:r>
      <w:r w:rsidR="00C83469" w:rsidRPr="00164C44">
        <w:rPr>
          <w:rFonts w:ascii="Gadugi" w:hAnsi="Gadugi"/>
          <w:spacing w:val="-3"/>
          <w:sz w:val="24"/>
          <w:szCs w:val="24"/>
        </w:rPr>
        <w:t xml:space="preserve"> </w:t>
      </w:r>
      <w:r w:rsidR="00CB70F3" w:rsidRPr="00164C44">
        <w:rPr>
          <w:rFonts w:ascii="Gadugi" w:hAnsi="Gadugi"/>
          <w:spacing w:val="-3"/>
          <w:sz w:val="24"/>
          <w:szCs w:val="24"/>
        </w:rPr>
        <w:t xml:space="preserve">en este proceso </w:t>
      </w:r>
      <w:r w:rsidR="00794B8F" w:rsidRPr="00164C44">
        <w:rPr>
          <w:rFonts w:ascii="Gadugi" w:hAnsi="Gadugi"/>
          <w:spacing w:val="-3"/>
          <w:sz w:val="24"/>
          <w:szCs w:val="24"/>
        </w:rPr>
        <w:t xml:space="preserve">tendiente a la </w:t>
      </w:r>
      <w:r w:rsidR="00794B8F" w:rsidRPr="00C24221">
        <w:rPr>
          <w:rFonts w:ascii="Gadugi" w:hAnsi="Gadugi"/>
          <w:b/>
          <w:spacing w:val="-3"/>
          <w:sz w:val="24"/>
          <w:szCs w:val="24"/>
        </w:rPr>
        <w:t>resolución de un contrato</w:t>
      </w:r>
      <w:r w:rsidR="00794B8F" w:rsidRPr="00164C44">
        <w:rPr>
          <w:rFonts w:ascii="Gadugi" w:hAnsi="Gadugi"/>
          <w:spacing w:val="-3"/>
          <w:sz w:val="24"/>
          <w:szCs w:val="24"/>
        </w:rPr>
        <w:t xml:space="preserve"> iniciado por </w:t>
      </w:r>
      <w:r w:rsidR="0039736C" w:rsidRPr="00164C44">
        <w:rPr>
          <w:rFonts w:ascii="Gadugi" w:hAnsi="Gadugi"/>
          <w:b/>
          <w:bCs/>
          <w:spacing w:val="-3"/>
          <w:sz w:val="24"/>
          <w:szCs w:val="24"/>
        </w:rPr>
        <w:t xml:space="preserve">Mar Azul Construcciones de Colombia </w:t>
      </w:r>
      <w:proofErr w:type="spellStart"/>
      <w:r w:rsidR="0039736C" w:rsidRPr="00164C44">
        <w:rPr>
          <w:rFonts w:ascii="Gadugi" w:hAnsi="Gadugi"/>
          <w:b/>
          <w:bCs/>
          <w:spacing w:val="-3"/>
          <w:sz w:val="24"/>
          <w:szCs w:val="24"/>
        </w:rPr>
        <w:t>SAS</w:t>
      </w:r>
      <w:proofErr w:type="spellEnd"/>
      <w:r w:rsidR="0039736C" w:rsidRPr="00164C44">
        <w:rPr>
          <w:rFonts w:ascii="Gadugi" w:hAnsi="Gadugi"/>
          <w:b/>
          <w:bCs/>
          <w:spacing w:val="-3"/>
          <w:sz w:val="24"/>
          <w:szCs w:val="24"/>
        </w:rPr>
        <w:t xml:space="preserve"> </w:t>
      </w:r>
      <w:r w:rsidR="0005625C" w:rsidRPr="00164C44">
        <w:rPr>
          <w:rFonts w:ascii="Gadugi" w:hAnsi="Gadugi"/>
          <w:spacing w:val="-3"/>
          <w:sz w:val="24"/>
          <w:szCs w:val="24"/>
        </w:rPr>
        <w:t xml:space="preserve">frente a </w:t>
      </w:r>
      <w:r w:rsidR="0039736C" w:rsidRPr="00164C44">
        <w:rPr>
          <w:rFonts w:ascii="Gadugi" w:hAnsi="Gadugi"/>
          <w:b/>
          <w:bCs/>
          <w:spacing w:val="-3"/>
          <w:sz w:val="24"/>
          <w:szCs w:val="24"/>
        </w:rPr>
        <w:t xml:space="preserve">Constructora Camambú </w:t>
      </w:r>
      <w:proofErr w:type="spellStart"/>
      <w:r w:rsidR="0039736C" w:rsidRPr="00164C44">
        <w:rPr>
          <w:rFonts w:ascii="Gadugi" w:hAnsi="Gadugi"/>
          <w:b/>
          <w:bCs/>
          <w:spacing w:val="-3"/>
          <w:sz w:val="24"/>
          <w:szCs w:val="24"/>
        </w:rPr>
        <w:t>SAS</w:t>
      </w:r>
      <w:proofErr w:type="spellEnd"/>
      <w:r w:rsidR="007135AB" w:rsidRPr="00164C44">
        <w:rPr>
          <w:rFonts w:ascii="Gadugi" w:hAnsi="Gadugi"/>
          <w:b/>
          <w:bCs/>
          <w:spacing w:val="-3"/>
          <w:sz w:val="24"/>
          <w:szCs w:val="24"/>
        </w:rPr>
        <w:t xml:space="preserve">. </w:t>
      </w:r>
    </w:p>
    <w:p w14:paraId="4AA101F7" w14:textId="77777777" w:rsidR="0005625C" w:rsidRPr="00164C44" w:rsidRDefault="0005625C" w:rsidP="00164C44">
      <w:pPr>
        <w:pStyle w:val="Textoindependiente"/>
        <w:tabs>
          <w:tab w:val="left" w:pos="284"/>
        </w:tabs>
        <w:spacing w:line="276" w:lineRule="auto"/>
        <w:ind w:right="115"/>
        <w:jc w:val="both"/>
        <w:rPr>
          <w:rFonts w:ascii="Gadugi" w:hAnsi="Gadugi"/>
          <w:b/>
          <w:bCs/>
          <w:spacing w:val="-3"/>
          <w:sz w:val="24"/>
          <w:szCs w:val="24"/>
        </w:rPr>
      </w:pPr>
    </w:p>
    <w:p w14:paraId="5268DEC1" w14:textId="15F9BF1E" w:rsidR="00A07C04" w:rsidRPr="00164C44" w:rsidRDefault="00164C44" w:rsidP="00164C44">
      <w:pPr>
        <w:pStyle w:val="Ttulo1"/>
        <w:numPr>
          <w:ilvl w:val="0"/>
          <w:numId w:val="2"/>
        </w:numPr>
        <w:tabs>
          <w:tab w:val="left" w:pos="284"/>
        </w:tabs>
        <w:spacing w:line="276" w:lineRule="auto"/>
        <w:ind w:left="0" w:firstLine="0"/>
        <w:rPr>
          <w:rFonts w:ascii="Gadugi" w:hAnsi="Gadugi"/>
          <w:sz w:val="24"/>
          <w:szCs w:val="24"/>
        </w:rPr>
      </w:pPr>
      <w:r w:rsidRPr="00164C44">
        <w:rPr>
          <w:rFonts w:ascii="Gadugi" w:hAnsi="Gadugi"/>
          <w:sz w:val="24"/>
          <w:szCs w:val="24"/>
        </w:rPr>
        <w:lastRenderedPageBreak/>
        <w:t>ANTECEDENTES</w:t>
      </w:r>
    </w:p>
    <w:p w14:paraId="1C36764B" w14:textId="77777777" w:rsidR="00A07C04" w:rsidRPr="00164C44" w:rsidRDefault="00A07C04" w:rsidP="00164C44">
      <w:pPr>
        <w:pStyle w:val="Textoindependiente"/>
        <w:tabs>
          <w:tab w:val="left" w:pos="284"/>
        </w:tabs>
        <w:spacing w:line="276" w:lineRule="auto"/>
        <w:rPr>
          <w:rFonts w:ascii="Gadugi" w:hAnsi="Gadugi"/>
          <w:b/>
          <w:sz w:val="24"/>
          <w:szCs w:val="24"/>
        </w:rPr>
      </w:pPr>
    </w:p>
    <w:p w14:paraId="2DB11169" w14:textId="67DA04BB" w:rsidR="00C83469" w:rsidRPr="00164C44" w:rsidRDefault="009D51E4" w:rsidP="00164C44">
      <w:pPr>
        <w:pStyle w:val="Textoindependiente"/>
        <w:tabs>
          <w:tab w:val="left" w:pos="284"/>
        </w:tabs>
        <w:spacing w:line="276" w:lineRule="auto"/>
        <w:jc w:val="both"/>
        <w:rPr>
          <w:rFonts w:ascii="Gadugi" w:hAnsi="Gadugi"/>
          <w:bCs/>
          <w:sz w:val="24"/>
          <w:szCs w:val="24"/>
          <w:lang w:val="es-MX"/>
        </w:rPr>
      </w:pPr>
      <w:r w:rsidRPr="00164C44">
        <w:rPr>
          <w:rFonts w:ascii="Gadugi" w:hAnsi="Gadugi"/>
          <w:bCs/>
          <w:sz w:val="24"/>
          <w:szCs w:val="24"/>
          <w:lang w:val="es-MX"/>
        </w:rPr>
        <w:t xml:space="preserve">La sociedad </w:t>
      </w:r>
      <w:r w:rsidR="00132A38" w:rsidRPr="00164C44">
        <w:rPr>
          <w:rFonts w:ascii="Gadugi" w:hAnsi="Gadugi"/>
          <w:bCs/>
          <w:sz w:val="24"/>
          <w:szCs w:val="24"/>
          <w:lang w:val="es-MX"/>
        </w:rPr>
        <w:t xml:space="preserve">Mar Azul Construcciones </w:t>
      </w:r>
      <w:proofErr w:type="spellStart"/>
      <w:r w:rsidR="00132A38" w:rsidRPr="00164C44">
        <w:rPr>
          <w:rFonts w:ascii="Gadugi" w:hAnsi="Gadugi"/>
          <w:bCs/>
          <w:sz w:val="24"/>
          <w:szCs w:val="24"/>
          <w:lang w:val="es-MX"/>
        </w:rPr>
        <w:t>SAS</w:t>
      </w:r>
      <w:proofErr w:type="spellEnd"/>
      <w:r w:rsidR="00132A38" w:rsidRPr="00164C44">
        <w:rPr>
          <w:rFonts w:ascii="Gadugi" w:hAnsi="Gadugi"/>
          <w:bCs/>
          <w:sz w:val="24"/>
          <w:szCs w:val="24"/>
          <w:lang w:val="es-MX"/>
        </w:rPr>
        <w:t xml:space="preserve"> </w:t>
      </w:r>
      <w:r w:rsidR="00E24841" w:rsidRPr="00164C44">
        <w:rPr>
          <w:rFonts w:ascii="Gadugi" w:hAnsi="Gadugi"/>
          <w:bCs/>
          <w:sz w:val="24"/>
          <w:szCs w:val="24"/>
          <w:lang w:val="es-MX"/>
        </w:rPr>
        <w:t xml:space="preserve">promovió demanda contra la </w:t>
      </w:r>
      <w:r w:rsidR="00132A38" w:rsidRPr="00164C44">
        <w:rPr>
          <w:rFonts w:ascii="Gadugi" w:hAnsi="Gadugi"/>
          <w:bCs/>
          <w:sz w:val="24"/>
          <w:szCs w:val="24"/>
          <w:lang w:val="es-MX"/>
        </w:rPr>
        <w:t xml:space="preserve">Constructora Camambú </w:t>
      </w:r>
      <w:proofErr w:type="spellStart"/>
      <w:r w:rsidR="00132A38" w:rsidRPr="00164C44">
        <w:rPr>
          <w:rFonts w:ascii="Gadugi" w:hAnsi="Gadugi"/>
          <w:bCs/>
          <w:sz w:val="24"/>
          <w:szCs w:val="24"/>
          <w:lang w:val="es-MX"/>
        </w:rPr>
        <w:t>SAS</w:t>
      </w:r>
      <w:proofErr w:type="spellEnd"/>
      <w:r w:rsidR="00132A38" w:rsidRPr="00164C44">
        <w:rPr>
          <w:rFonts w:ascii="Gadugi" w:hAnsi="Gadugi"/>
          <w:bCs/>
          <w:sz w:val="24"/>
          <w:szCs w:val="24"/>
          <w:lang w:val="es-MX"/>
        </w:rPr>
        <w:t xml:space="preserve"> </w:t>
      </w:r>
      <w:r w:rsidR="00E24841" w:rsidRPr="00164C44">
        <w:rPr>
          <w:rFonts w:ascii="Gadugi" w:hAnsi="Gadugi"/>
          <w:bCs/>
          <w:sz w:val="24"/>
          <w:szCs w:val="24"/>
          <w:lang w:val="es-MX"/>
        </w:rPr>
        <w:t>con el fin de qu</w:t>
      </w:r>
      <w:r w:rsidR="00132A38" w:rsidRPr="00164C44">
        <w:rPr>
          <w:rFonts w:ascii="Gadugi" w:hAnsi="Gadugi"/>
          <w:bCs/>
          <w:sz w:val="24"/>
          <w:szCs w:val="24"/>
          <w:lang w:val="es-MX"/>
        </w:rPr>
        <w:t>e</w:t>
      </w:r>
      <w:r w:rsidR="00E24841" w:rsidRPr="00164C44">
        <w:rPr>
          <w:rFonts w:ascii="Gadugi" w:hAnsi="Gadugi"/>
          <w:bCs/>
          <w:sz w:val="24"/>
          <w:szCs w:val="24"/>
          <w:lang w:val="es-MX"/>
        </w:rPr>
        <w:t xml:space="preserve"> se declare resuelto</w:t>
      </w:r>
      <w:r w:rsidR="00254AA7" w:rsidRPr="00164C44">
        <w:rPr>
          <w:rFonts w:ascii="Gadugi" w:hAnsi="Gadugi"/>
          <w:bCs/>
          <w:sz w:val="24"/>
          <w:szCs w:val="24"/>
          <w:lang w:val="es-MX"/>
        </w:rPr>
        <w:t xml:space="preserve"> el contrato de obra civil 001 suscrito el </w:t>
      </w:r>
      <w:r w:rsidR="0010740E" w:rsidRPr="00164C44">
        <w:rPr>
          <w:rFonts w:ascii="Gadugi" w:hAnsi="Gadugi"/>
          <w:bCs/>
          <w:sz w:val="24"/>
          <w:szCs w:val="24"/>
          <w:lang w:val="es-MX"/>
        </w:rPr>
        <w:t xml:space="preserve">1 de julio de </w:t>
      </w:r>
      <w:r w:rsidR="00254AA7" w:rsidRPr="00164C44">
        <w:rPr>
          <w:rFonts w:ascii="Gadugi" w:hAnsi="Gadugi"/>
          <w:bCs/>
          <w:sz w:val="24"/>
          <w:szCs w:val="24"/>
          <w:lang w:val="es-MX"/>
        </w:rPr>
        <w:t>2020</w:t>
      </w:r>
      <w:r w:rsidR="00DC4CDB" w:rsidRPr="00164C44">
        <w:rPr>
          <w:rFonts w:ascii="Gadugi" w:hAnsi="Gadugi"/>
          <w:bCs/>
          <w:sz w:val="24"/>
          <w:szCs w:val="24"/>
          <w:lang w:val="es-MX"/>
        </w:rPr>
        <w:t xml:space="preserve">, y que </w:t>
      </w:r>
      <w:r w:rsidR="00132A38" w:rsidRPr="00164C44">
        <w:rPr>
          <w:rFonts w:ascii="Gadugi" w:hAnsi="Gadugi"/>
          <w:bCs/>
          <w:sz w:val="24"/>
          <w:szCs w:val="24"/>
          <w:lang w:val="es-MX"/>
        </w:rPr>
        <w:t xml:space="preserve">se </w:t>
      </w:r>
      <w:r w:rsidR="00DC4CDB" w:rsidRPr="00164C44">
        <w:rPr>
          <w:rFonts w:ascii="Gadugi" w:hAnsi="Gadugi"/>
          <w:bCs/>
          <w:sz w:val="24"/>
          <w:szCs w:val="24"/>
          <w:lang w:val="es-MX"/>
        </w:rPr>
        <w:t>le condene a</w:t>
      </w:r>
      <w:r w:rsidR="00132A38" w:rsidRPr="00164C44">
        <w:rPr>
          <w:rFonts w:ascii="Gadugi" w:hAnsi="Gadugi"/>
          <w:bCs/>
          <w:sz w:val="24"/>
          <w:szCs w:val="24"/>
          <w:lang w:val="es-MX"/>
        </w:rPr>
        <w:t xml:space="preserve"> </w:t>
      </w:r>
      <w:r w:rsidR="00DC4CDB" w:rsidRPr="00164C44">
        <w:rPr>
          <w:rFonts w:ascii="Gadugi" w:hAnsi="Gadugi"/>
          <w:bCs/>
          <w:sz w:val="24"/>
          <w:szCs w:val="24"/>
          <w:lang w:val="es-MX"/>
        </w:rPr>
        <w:t>pagar el valor de una cláusula a título de sanción pecuniaria</w:t>
      </w:r>
      <w:r w:rsidR="00132A38" w:rsidRPr="00164C44">
        <w:rPr>
          <w:rFonts w:ascii="Gadugi" w:hAnsi="Gadugi"/>
          <w:bCs/>
          <w:sz w:val="24"/>
          <w:szCs w:val="24"/>
          <w:lang w:val="es-MX"/>
        </w:rPr>
        <w:t xml:space="preserve"> y otras </w:t>
      </w:r>
      <w:r w:rsidR="009E3BA2" w:rsidRPr="00164C44">
        <w:rPr>
          <w:rFonts w:ascii="Gadugi" w:hAnsi="Gadugi"/>
          <w:bCs/>
          <w:sz w:val="24"/>
          <w:szCs w:val="24"/>
          <w:lang w:val="es-MX"/>
        </w:rPr>
        <w:t>indemnizaciones</w:t>
      </w:r>
      <w:r w:rsidR="002D18E9" w:rsidRPr="00164C44">
        <w:rPr>
          <w:rFonts w:ascii="Gadugi" w:hAnsi="Gadugi"/>
          <w:bCs/>
          <w:sz w:val="24"/>
          <w:szCs w:val="24"/>
          <w:lang w:val="es-MX"/>
        </w:rPr>
        <w:t>.</w:t>
      </w:r>
    </w:p>
    <w:p w14:paraId="22217C5B" w14:textId="77777777" w:rsidR="001A72DB" w:rsidRPr="00164C44" w:rsidRDefault="001A72DB" w:rsidP="00164C44">
      <w:pPr>
        <w:pStyle w:val="Textoindependiente"/>
        <w:tabs>
          <w:tab w:val="left" w:pos="284"/>
        </w:tabs>
        <w:spacing w:line="276" w:lineRule="auto"/>
        <w:jc w:val="both"/>
        <w:rPr>
          <w:rFonts w:ascii="Gadugi" w:hAnsi="Gadugi"/>
          <w:bCs/>
          <w:sz w:val="24"/>
          <w:szCs w:val="24"/>
          <w:lang w:val="es-MX"/>
        </w:rPr>
      </w:pPr>
    </w:p>
    <w:p w14:paraId="22CE21E7" w14:textId="60F9EF5E" w:rsidR="002D18E9" w:rsidRPr="00164C44" w:rsidRDefault="001A72DB" w:rsidP="00164C44">
      <w:pPr>
        <w:pStyle w:val="Textoindependiente"/>
        <w:tabs>
          <w:tab w:val="left" w:pos="284"/>
        </w:tabs>
        <w:spacing w:line="276" w:lineRule="auto"/>
        <w:jc w:val="both"/>
        <w:rPr>
          <w:rFonts w:ascii="Gadugi" w:hAnsi="Gadugi"/>
          <w:bCs/>
          <w:sz w:val="24"/>
          <w:szCs w:val="24"/>
          <w:lang w:val="es-MX"/>
        </w:rPr>
      </w:pPr>
      <w:r w:rsidRPr="00164C44">
        <w:rPr>
          <w:rFonts w:ascii="Gadugi" w:hAnsi="Gadugi"/>
          <w:bCs/>
          <w:sz w:val="24"/>
          <w:szCs w:val="24"/>
          <w:lang w:val="es-MX"/>
        </w:rPr>
        <w:t>Avanzado el trámite</w:t>
      </w:r>
      <w:r w:rsidR="00A67CD7" w:rsidRPr="00164C44">
        <w:rPr>
          <w:rFonts w:ascii="Gadugi" w:hAnsi="Gadugi"/>
          <w:bCs/>
          <w:sz w:val="24"/>
          <w:szCs w:val="24"/>
          <w:lang w:val="es-MX"/>
        </w:rPr>
        <w:t>,</w:t>
      </w:r>
      <w:r w:rsidR="003A377E" w:rsidRPr="00164C44">
        <w:rPr>
          <w:rFonts w:ascii="Gadugi" w:hAnsi="Gadugi"/>
          <w:bCs/>
          <w:sz w:val="24"/>
          <w:szCs w:val="24"/>
          <w:lang w:val="es-MX"/>
        </w:rPr>
        <w:t xml:space="preserve"> en el escrito del 31</w:t>
      </w:r>
      <w:r w:rsidR="00132A38" w:rsidRPr="00164C44">
        <w:rPr>
          <w:rFonts w:ascii="Gadugi" w:hAnsi="Gadugi"/>
          <w:bCs/>
          <w:sz w:val="24"/>
          <w:szCs w:val="24"/>
          <w:lang w:val="es-MX"/>
        </w:rPr>
        <w:t xml:space="preserve"> de julio de </w:t>
      </w:r>
      <w:r w:rsidR="00A67CD7" w:rsidRPr="00164C44">
        <w:rPr>
          <w:rFonts w:ascii="Gadugi" w:hAnsi="Gadugi"/>
          <w:bCs/>
          <w:sz w:val="24"/>
          <w:szCs w:val="24"/>
          <w:lang w:val="es-MX"/>
        </w:rPr>
        <w:t xml:space="preserve">2023 la demandante solicitó, </w:t>
      </w:r>
      <w:r w:rsidR="00BC4FE3" w:rsidRPr="00164C44">
        <w:rPr>
          <w:rFonts w:ascii="Gadugi" w:hAnsi="Gadugi"/>
          <w:bCs/>
          <w:sz w:val="24"/>
          <w:szCs w:val="24"/>
          <w:lang w:val="es-MX"/>
        </w:rPr>
        <w:t>como medida cautelar</w:t>
      </w:r>
      <w:r w:rsidR="00A67CD7" w:rsidRPr="00164C44">
        <w:rPr>
          <w:rFonts w:ascii="Gadugi" w:hAnsi="Gadugi"/>
          <w:bCs/>
          <w:sz w:val="24"/>
          <w:szCs w:val="24"/>
          <w:lang w:val="es-MX"/>
        </w:rPr>
        <w:t>,</w:t>
      </w:r>
      <w:r w:rsidR="00BC4FE3" w:rsidRPr="00164C44">
        <w:rPr>
          <w:rFonts w:ascii="Gadugi" w:hAnsi="Gadugi"/>
          <w:bCs/>
          <w:sz w:val="24"/>
          <w:szCs w:val="24"/>
          <w:lang w:val="es-MX"/>
        </w:rPr>
        <w:t xml:space="preserve"> que se decretara el embargo </w:t>
      </w:r>
      <w:r w:rsidR="00A67CD7" w:rsidRPr="00164C44">
        <w:rPr>
          <w:rFonts w:ascii="Gadugi" w:hAnsi="Gadugi"/>
          <w:bCs/>
          <w:sz w:val="24"/>
          <w:szCs w:val="24"/>
          <w:lang w:val="es-MX"/>
        </w:rPr>
        <w:t xml:space="preserve">y </w:t>
      </w:r>
      <w:r w:rsidR="00BC4FE3" w:rsidRPr="00164C44">
        <w:rPr>
          <w:rFonts w:ascii="Gadugi" w:hAnsi="Gadugi"/>
          <w:bCs/>
          <w:sz w:val="24"/>
          <w:szCs w:val="24"/>
          <w:lang w:val="es-MX"/>
        </w:rPr>
        <w:t xml:space="preserve">secuestro del remanente o de los bienes que se llegaran a desembargar o de los títulos de depósito judicial a favor de la sociedad </w:t>
      </w:r>
      <w:r w:rsidR="00A67CD7" w:rsidRPr="00164C44">
        <w:rPr>
          <w:rFonts w:ascii="Gadugi" w:hAnsi="Gadugi"/>
          <w:bCs/>
          <w:sz w:val="24"/>
          <w:szCs w:val="24"/>
          <w:lang w:val="es-MX"/>
        </w:rPr>
        <w:t>demandada</w:t>
      </w:r>
      <w:r w:rsidR="001E331F" w:rsidRPr="00164C44">
        <w:rPr>
          <w:rFonts w:ascii="Gadugi" w:hAnsi="Gadugi"/>
          <w:bCs/>
          <w:sz w:val="24"/>
          <w:szCs w:val="24"/>
          <w:lang w:val="es-MX"/>
        </w:rPr>
        <w:t xml:space="preserve"> en el proceso ejecutivo con radicado 20220036500 qu</w:t>
      </w:r>
      <w:r w:rsidR="00A67CD7" w:rsidRPr="00164C44">
        <w:rPr>
          <w:rFonts w:ascii="Gadugi" w:hAnsi="Gadugi"/>
          <w:bCs/>
          <w:sz w:val="24"/>
          <w:szCs w:val="24"/>
          <w:lang w:val="es-MX"/>
        </w:rPr>
        <w:t xml:space="preserve">e </w:t>
      </w:r>
      <w:r w:rsidR="00B649A4" w:rsidRPr="00164C44">
        <w:rPr>
          <w:rFonts w:ascii="Gadugi" w:hAnsi="Gadugi"/>
          <w:bCs/>
          <w:sz w:val="24"/>
          <w:szCs w:val="24"/>
          <w:lang w:val="es-MX"/>
        </w:rPr>
        <w:t xml:space="preserve">la misma demandante adelanta </w:t>
      </w:r>
      <w:r w:rsidR="001E331F" w:rsidRPr="00164C44">
        <w:rPr>
          <w:rFonts w:ascii="Gadugi" w:hAnsi="Gadugi"/>
          <w:bCs/>
          <w:sz w:val="24"/>
          <w:szCs w:val="24"/>
          <w:lang w:val="es-MX"/>
        </w:rPr>
        <w:t>contra esa empresa</w:t>
      </w:r>
      <w:r w:rsidR="007F4DD0" w:rsidRPr="00164C44">
        <w:rPr>
          <w:rFonts w:ascii="Gadugi" w:hAnsi="Gadugi"/>
          <w:bCs/>
          <w:sz w:val="24"/>
          <w:szCs w:val="24"/>
          <w:lang w:val="es-MX"/>
        </w:rPr>
        <w:t>, con sustento en el literal c</w:t>
      </w:r>
      <w:r w:rsidR="00B649A4" w:rsidRPr="00164C44">
        <w:rPr>
          <w:rFonts w:ascii="Gadugi" w:hAnsi="Gadugi"/>
          <w:bCs/>
          <w:sz w:val="24"/>
          <w:szCs w:val="24"/>
          <w:lang w:val="es-MX"/>
        </w:rPr>
        <w:t>)</w:t>
      </w:r>
      <w:r w:rsidR="007F4DD0" w:rsidRPr="00164C44">
        <w:rPr>
          <w:rFonts w:ascii="Gadugi" w:hAnsi="Gadugi"/>
          <w:bCs/>
          <w:sz w:val="24"/>
          <w:szCs w:val="24"/>
          <w:lang w:val="es-MX"/>
        </w:rPr>
        <w:t xml:space="preserve"> del numeral </w:t>
      </w:r>
      <w:r w:rsidR="00B649A4" w:rsidRPr="00164C44">
        <w:rPr>
          <w:rFonts w:ascii="Gadugi" w:hAnsi="Gadugi"/>
          <w:bCs/>
          <w:sz w:val="24"/>
          <w:szCs w:val="24"/>
          <w:lang w:val="es-MX"/>
        </w:rPr>
        <w:t>1</w:t>
      </w:r>
      <w:r w:rsidR="007F4DD0" w:rsidRPr="00164C44">
        <w:rPr>
          <w:rFonts w:ascii="Gadugi" w:hAnsi="Gadugi"/>
          <w:bCs/>
          <w:sz w:val="24"/>
          <w:szCs w:val="24"/>
          <w:lang w:val="es-MX"/>
        </w:rPr>
        <w:t xml:space="preserve"> del artículo 590 del </w:t>
      </w:r>
      <w:r w:rsidR="00B649A4" w:rsidRPr="00164C44">
        <w:rPr>
          <w:rFonts w:ascii="Gadugi" w:hAnsi="Gadugi"/>
          <w:bCs/>
          <w:sz w:val="24"/>
          <w:szCs w:val="24"/>
          <w:lang w:val="es-MX"/>
        </w:rPr>
        <w:t>Código General del Proceso</w:t>
      </w:r>
      <w:r w:rsidR="0022476A" w:rsidRPr="00164C44">
        <w:rPr>
          <w:rFonts w:ascii="Gadugi" w:hAnsi="Gadugi"/>
          <w:bCs/>
          <w:sz w:val="24"/>
          <w:szCs w:val="24"/>
          <w:lang w:val="es-MX"/>
        </w:rPr>
        <w:t xml:space="preserve">. </w:t>
      </w:r>
      <w:r w:rsidR="004E1E1E" w:rsidRPr="00164C44">
        <w:rPr>
          <w:rFonts w:ascii="Gadugi" w:hAnsi="Gadugi"/>
          <w:bCs/>
          <w:sz w:val="24"/>
          <w:szCs w:val="24"/>
          <w:lang w:val="es-MX"/>
        </w:rPr>
        <w:t>Termina su escrito diciendo</w:t>
      </w:r>
      <w:r w:rsidR="00AC1E9E" w:rsidRPr="00164C44">
        <w:rPr>
          <w:rFonts w:ascii="Gadugi" w:hAnsi="Gadugi"/>
          <w:bCs/>
          <w:sz w:val="24"/>
          <w:szCs w:val="24"/>
          <w:lang w:val="es-MX"/>
        </w:rPr>
        <w:t xml:space="preserve"> </w:t>
      </w:r>
      <w:r w:rsidR="00B649A4" w:rsidRPr="00164C44">
        <w:rPr>
          <w:rFonts w:ascii="Gadugi" w:hAnsi="Gadugi"/>
          <w:bCs/>
          <w:sz w:val="24"/>
          <w:szCs w:val="24"/>
          <w:lang w:val="es-MX"/>
        </w:rPr>
        <w:t xml:space="preserve">que </w:t>
      </w:r>
      <w:r w:rsidR="00AC1E9E" w:rsidRPr="00164C44">
        <w:rPr>
          <w:rFonts w:ascii="Gadugi" w:hAnsi="Gadugi"/>
          <w:bCs/>
          <w:sz w:val="24"/>
          <w:szCs w:val="24"/>
          <w:lang w:val="es-MX"/>
        </w:rPr>
        <w:t xml:space="preserve">esta medida </w:t>
      </w:r>
      <w:r w:rsidR="003112DC" w:rsidRPr="00164C44">
        <w:rPr>
          <w:rFonts w:ascii="Gadugi" w:hAnsi="Gadugi"/>
          <w:bCs/>
          <w:i/>
          <w:iCs/>
          <w:sz w:val="24"/>
          <w:szCs w:val="24"/>
          <w:lang w:val="es-MX"/>
        </w:rPr>
        <w:t>“</w:t>
      </w:r>
      <w:r w:rsidR="00AC1E9E" w:rsidRPr="00164C44">
        <w:rPr>
          <w:rFonts w:ascii="Gadugi" w:hAnsi="Gadugi"/>
          <w:bCs/>
          <w:i/>
          <w:iCs/>
          <w:sz w:val="24"/>
          <w:szCs w:val="24"/>
          <w:lang w:val="es-MX"/>
        </w:rPr>
        <w:t>nominada o innominada</w:t>
      </w:r>
      <w:r w:rsidR="003112DC" w:rsidRPr="00164C44">
        <w:rPr>
          <w:rFonts w:ascii="Gadugi" w:hAnsi="Gadugi"/>
          <w:bCs/>
          <w:i/>
          <w:iCs/>
          <w:sz w:val="24"/>
          <w:szCs w:val="24"/>
          <w:lang w:val="es-MX"/>
        </w:rPr>
        <w:t>”</w:t>
      </w:r>
      <w:r w:rsidR="003D5007" w:rsidRPr="00164C44">
        <w:rPr>
          <w:rFonts w:ascii="Gadugi" w:hAnsi="Gadugi"/>
          <w:bCs/>
          <w:sz w:val="24"/>
          <w:szCs w:val="24"/>
          <w:lang w:val="es-MX"/>
        </w:rPr>
        <w:t xml:space="preserve"> se solicita como instrumento para evitar un perjuicio irremediable y cierto en las finanzas que se le puedan causar a la demandante como consecuencia de la insolvencia económica de la parte de </w:t>
      </w:r>
      <w:r w:rsidR="00337558" w:rsidRPr="00164C44">
        <w:rPr>
          <w:rFonts w:ascii="Gadugi" w:hAnsi="Gadugi"/>
          <w:bCs/>
          <w:sz w:val="24"/>
          <w:szCs w:val="24"/>
          <w:lang w:val="es-MX"/>
        </w:rPr>
        <w:t>“</w:t>
      </w:r>
      <w:r w:rsidR="003D5007" w:rsidRPr="00164C44">
        <w:rPr>
          <w:rFonts w:ascii="Gadugi" w:hAnsi="Gadugi"/>
          <w:bCs/>
          <w:i/>
          <w:iCs/>
          <w:sz w:val="24"/>
          <w:szCs w:val="24"/>
          <w:lang w:val="es-MX"/>
        </w:rPr>
        <w:t>ejecutada</w:t>
      </w:r>
      <w:r w:rsidR="00337558" w:rsidRPr="00164C44">
        <w:rPr>
          <w:rFonts w:ascii="Gadugi" w:hAnsi="Gadugi"/>
          <w:bCs/>
          <w:i/>
          <w:iCs/>
          <w:sz w:val="24"/>
          <w:szCs w:val="24"/>
          <w:lang w:val="es-MX"/>
        </w:rPr>
        <w:t>”</w:t>
      </w:r>
      <w:r w:rsidR="00334F7C" w:rsidRPr="00164C44">
        <w:rPr>
          <w:rFonts w:ascii="Gadugi" w:hAnsi="Gadugi"/>
          <w:bCs/>
          <w:sz w:val="24"/>
          <w:szCs w:val="24"/>
          <w:lang w:val="es-MX"/>
        </w:rPr>
        <w:t>.</w:t>
      </w:r>
    </w:p>
    <w:p w14:paraId="13D4785E" w14:textId="77777777" w:rsidR="00334F7C" w:rsidRPr="00164C44" w:rsidRDefault="00334F7C" w:rsidP="00164C44">
      <w:pPr>
        <w:pStyle w:val="Textoindependiente"/>
        <w:tabs>
          <w:tab w:val="left" w:pos="284"/>
        </w:tabs>
        <w:spacing w:line="276" w:lineRule="auto"/>
        <w:jc w:val="both"/>
        <w:rPr>
          <w:rFonts w:ascii="Gadugi" w:hAnsi="Gadugi"/>
          <w:bCs/>
          <w:sz w:val="24"/>
          <w:szCs w:val="24"/>
          <w:lang w:val="es-MX"/>
        </w:rPr>
      </w:pPr>
    </w:p>
    <w:p w14:paraId="67B7DF69" w14:textId="14F18561" w:rsidR="00334F7C" w:rsidRPr="00164C44" w:rsidRDefault="003D56DD" w:rsidP="00164C44">
      <w:pPr>
        <w:pStyle w:val="Textoindependiente"/>
        <w:tabs>
          <w:tab w:val="left" w:pos="284"/>
        </w:tabs>
        <w:spacing w:line="276" w:lineRule="auto"/>
        <w:jc w:val="both"/>
        <w:rPr>
          <w:rFonts w:ascii="Gadugi" w:hAnsi="Gadugi"/>
          <w:bCs/>
          <w:sz w:val="24"/>
          <w:szCs w:val="24"/>
          <w:lang w:val="es-MX"/>
        </w:rPr>
      </w:pPr>
      <w:r w:rsidRPr="00164C44">
        <w:rPr>
          <w:rFonts w:ascii="Gadugi" w:hAnsi="Gadugi"/>
          <w:bCs/>
          <w:sz w:val="24"/>
          <w:szCs w:val="24"/>
          <w:lang w:val="es-MX"/>
        </w:rPr>
        <w:t>El auto</w:t>
      </w:r>
      <w:r w:rsidR="00ED4F64" w:rsidRPr="00164C44">
        <w:rPr>
          <w:rFonts w:ascii="Gadugi" w:hAnsi="Gadugi"/>
          <w:bCs/>
          <w:sz w:val="24"/>
          <w:szCs w:val="24"/>
          <w:lang w:val="es-MX"/>
        </w:rPr>
        <w:t xml:space="preserve"> del 16</w:t>
      </w:r>
      <w:r w:rsidR="00337558" w:rsidRPr="00164C44">
        <w:rPr>
          <w:rFonts w:ascii="Gadugi" w:hAnsi="Gadugi"/>
          <w:bCs/>
          <w:sz w:val="24"/>
          <w:szCs w:val="24"/>
          <w:lang w:val="es-MX"/>
        </w:rPr>
        <w:t xml:space="preserve"> de agosto de 2023, el juzgado </w:t>
      </w:r>
      <w:r w:rsidR="00ED4F64" w:rsidRPr="00164C44">
        <w:rPr>
          <w:rFonts w:ascii="Gadugi" w:hAnsi="Gadugi"/>
          <w:bCs/>
          <w:sz w:val="24"/>
          <w:szCs w:val="24"/>
          <w:lang w:val="es-MX"/>
        </w:rPr>
        <w:t>negó la medida</w:t>
      </w:r>
      <w:r w:rsidR="00337558" w:rsidRPr="00164C44">
        <w:rPr>
          <w:rFonts w:ascii="Gadugi" w:hAnsi="Gadugi"/>
          <w:bCs/>
          <w:sz w:val="24"/>
          <w:szCs w:val="24"/>
          <w:lang w:val="es-MX"/>
        </w:rPr>
        <w:t>,</w:t>
      </w:r>
      <w:r w:rsidR="00ED4F64" w:rsidRPr="00164C44">
        <w:rPr>
          <w:rFonts w:ascii="Gadugi" w:hAnsi="Gadugi"/>
          <w:bCs/>
          <w:sz w:val="24"/>
          <w:szCs w:val="24"/>
          <w:lang w:val="es-MX"/>
        </w:rPr>
        <w:t xml:space="preserve"> por cuanto ella sólo procede en los procesos ejecutivos.</w:t>
      </w:r>
    </w:p>
    <w:p w14:paraId="7C7BC481" w14:textId="77777777" w:rsidR="00ED4F64" w:rsidRPr="00164C44" w:rsidRDefault="00ED4F64" w:rsidP="00164C44">
      <w:pPr>
        <w:pStyle w:val="Textoindependiente"/>
        <w:tabs>
          <w:tab w:val="left" w:pos="284"/>
        </w:tabs>
        <w:spacing w:line="276" w:lineRule="auto"/>
        <w:jc w:val="both"/>
        <w:rPr>
          <w:rFonts w:ascii="Gadugi" w:hAnsi="Gadugi"/>
          <w:bCs/>
          <w:sz w:val="24"/>
          <w:szCs w:val="24"/>
          <w:lang w:val="es-MX"/>
        </w:rPr>
      </w:pPr>
    </w:p>
    <w:p w14:paraId="61ED01AE" w14:textId="4206A437" w:rsidR="00132A38" w:rsidRPr="00164C44" w:rsidRDefault="00ED4F64" w:rsidP="00164C44">
      <w:pPr>
        <w:spacing w:line="276" w:lineRule="auto"/>
        <w:jc w:val="both"/>
        <w:rPr>
          <w:rFonts w:ascii="Gadugi" w:eastAsia="Times New Roman" w:hAnsi="Gadugi" w:cs="Arial"/>
          <w:bCs/>
          <w:sz w:val="24"/>
          <w:szCs w:val="24"/>
          <w:lang w:eastAsia="es-ES"/>
        </w:rPr>
      </w:pPr>
      <w:r w:rsidRPr="00164C44">
        <w:rPr>
          <w:rFonts w:ascii="Gadugi" w:hAnsi="Gadugi"/>
          <w:bCs/>
          <w:sz w:val="24"/>
          <w:szCs w:val="24"/>
          <w:lang w:val="es-MX"/>
        </w:rPr>
        <w:t>Contra</w:t>
      </w:r>
      <w:r w:rsidR="007660CD" w:rsidRPr="00164C44">
        <w:rPr>
          <w:rFonts w:ascii="Gadugi" w:hAnsi="Gadugi"/>
          <w:bCs/>
          <w:sz w:val="24"/>
          <w:szCs w:val="24"/>
          <w:lang w:val="es-MX"/>
        </w:rPr>
        <w:t xml:space="preserve"> esa decisión interpuso recurso de reposición y en subsidio apelación la demandante </w:t>
      </w:r>
      <w:r w:rsidR="00FA389F" w:rsidRPr="00164C44">
        <w:rPr>
          <w:rFonts w:ascii="Gadugi" w:hAnsi="Gadugi"/>
          <w:bCs/>
          <w:sz w:val="24"/>
          <w:szCs w:val="24"/>
          <w:lang w:val="es-MX"/>
        </w:rPr>
        <w:t>con el simple argumento de que se trata de una oportunidad pa</w:t>
      </w:r>
      <w:r w:rsidR="00FF2F10" w:rsidRPr="00164C44">
        <w:rPr>
          <w:rFonts w:ascii="Gadugi" w:hAnsi="Gadugi"/>
          <w:bCs/>
          <w:sz w:val="24"/>
          <w:szCs w:val="24"/>
          <w:lang w:val="es-MX"/>
        </w:rPr>
        <w:t>r</w:t>
      </w:r>
      <w:r w:rsidR="00FA389F" w:rsidRPr="00164C44">
        <w:rPr>
          <w:rFonts w:ascii="Gadugi" w:hAnsi="Gadugi"/>
          <w:bCs/>
          <w:sz w:val="24"/>
          <w:szCs w:val="24"/>
          <w:lang w:val="es-MX"/>
        </w:rPr>
        <w:t xml:space="preserve">a salvaguardar </w:t>
      </w:r>
      <w:r w:rsidR="00FF2F10" w:rsidRPr="00164C44">
        <w:rPr>
          <w:rFonts w:ascii="Gadugi" w:hAnsi="Gadugi"/>
          <w:bCs/>
          <w:sz w:val="24"/>
          <w:szCs w:val="24"/>
          <w:lang w:val="es-MX"/>
        </w:rPr>
        <w:t>sus intereses. A partir de ahí, en su escrito del 23 de agosto,</w:t>
      </w:r>
      <w:r w:rsidR="003F690D" w:rsidRPr="00164C44">
        <w:rPr>
          <w:rFonts w:ascii="Gadugi" w:hAnsi="Gadugi"/>
          <w:bCs/>
          <w:sz w:val="24"/>
          <w:szCs w:val="24"/>
          <w:lang w:val="es-MX"/>
        </w:rPr>
        <w:t xml:space="preserve"> </w:t>
      </w:r>
      <w:r w:rsidR="00163B34" w:rsidRPr="00164C44">
        <w:rPr>
          <w:rFonts w:ascii="Gadugi" w:hAnsi="Gadugi"/>
          <w:bCs/>
          <w:sz w:val="24"/>
          <w:szCs w:val="24"/>
          <w:lang w:val="es-MX"/>
        </w:rPr>
        <w:t xml:space="preserve">el apoderado trae lo que parece ser una </w:t>
      </w:r>
      <w:r w:rsidR="002C3576" w:rsidRPr="00164C44">
        <w:rPr>
          <w:rFonts w:ascii="Gadugi" w:hAnsi="Gadugi"/>
          <w:bCs/>
          <w:sz w:val="24"/>
          <w:szCs w:val="24"/>
          <w:lang w:val="es-MX"/>
        </w:rPr>
        <w:t>transcripción parcial</w:t>
      </w:r>
      <w:r w:rsidR="00163B34" w:rsidRPr="00164C44">
        <w:rPr>
          <w:rFonts w:ascii="Gadugi" w:hAnsi="Gadugi"/>
          <w:bCs/>
          <w:sz w:val="24"/>
          <w:szCs w:val="24"/>
          <w:lang w:val="es-MX"/>
        </w:rPr>
        <w:t>, porque no lo dijo ni citó la fuente</w:t>
      </w:r>
      <w:r w:rsidR="00337558" w:rsidRPr="00164C44">
        <w:rPr>
          <w:rFonts w:ascii="Gadugi" w:hAnsi="Gadugi"/>
          <w:bCs/>
          <w:sz w:val="24"/>
          <w:szCs w:val="24"/>
          <w:lang w:val="es-MX"/>
        </w:rPr>
        <w:t xml:space="preserve"> debiendo hacerlo</w:t>
      </w:r>
      <w:r w:rsidR="00163B34" w:rsidRPr="00164C44">
        <w:rPr>
          <w:rFonts w:ascii="Gadugi" w:hAnsi="Gadugi"/>
          <w:bCs/>
          <w:sz w:val="24"/>
          <w:szCs w:val="24"/>
          <w:lang w:val="es-MX"/>
        </w:rPr>
        <w:t xml:space="preserve">, de la sentencia </w:t>
      </w:r>
      <w:proofErr w:type="spellStart"/>
      <w:r w:rsidR="00132A38" w:rsidRPr="00164C44">
        <w:rPr>
          <w:rFonts w:ascii="Gadugi" w:eastAsia="Times New Roman" w:hAnsi="Gadugi" w:cs="Arial"/>
          <w:bCs/>
          <w:sz w:val="24"/>
          <w:szCs w:val="24"/>
          <w:lang w:eastAsia="es-ES"/>
        </w:rPr>
        <w:t>STC3917</w:t>
      </w:r>
      <w:proofErr w:type="spellEnd"/>
      <w:r w:rsidR="00132A38" w:rsidRPr="00164C44">
        <w:rPr>
          <w:rFonts w:ascii="Gadugi" w:eastAsia="Times New Roman" w:hAnsi="Gadugi" w:cs="Arial"/>
          <w:bCs/>
          <w:sz w:val="24"/>
          <w:szCs w:val="24"/>
          <w:lang w:eastAsia="es-ES"/>
        </w:rPr>
        <w:t>-2020</w:t>
      </w:r>
      <w:r w:rsidR="0014597A" w:rsidRPr="00164C44">
        <w:rPr>
          <w:rFonts w:ascii="Gadugi" w:eastAsia="Times New Roman" w:hAnsi="Gadugi" w:cs="Arial"/>
          <w:bCs/>
          <w:sz w:val="24"/>
          <w:szCs w:val="24"/>
          <w:lang w:eastAsia="es-ES"/>
        </w:rPr>
        <w:t xml:space="preserve">. </w:t>
      </w:r>
    </w:p>
    <w:p w14:paraId="0A46215F" w14:textId="5C6655F6" w:rsidR="00132A38" w:rsidRPr="00164C44" w:rsidRDefault="00132A38" w:rsidP="00164C44">
      <w:pPr>
        <w:pStyle w:val="Textoindependiente"/>
        <w:tabs>
          <w:tab w:val="left" w:pos="284"/>
        </w:tabs>
        <w:spacing w:line="276" w:lineRule="auto"/>
        <w:rPr>
          <w:rFonts w:ascii="Gadugi" w:hAnsi="Gadugi"/>
          <w:b/>
          <w:sz w:val="24"/>
          <w:szCs w:val="24"/>
          <w:lang w:val="es-MX"/>
        </w:rPr>
      </w:pPr>
    </w:p>
    <w:p w14:paraId="235EE0AA" w14:textId="1BF0D9CF" w:rsidR="002D18E9" w:rsidRPr="00164C44" w:rsidRDefault="0014597A" w:rsidP="00164C44">
      <w:pPr>
        <w:pStyle w:val="Textoindependiente"/>
        <w:tabs>
          <w:tab w:val="left" w:pos="284"/>
        </w:tabs>
        <w:spacing w:line="276" w:lineRule="auto"/>
        <w:jc w:val="both"/>
        <w:rPr>
          <w:rFonts w:ascii="Gadugi" w:hAnsi="Gadugi"/>
          <w:bCs/>
          <w:sz w:val="24"/>
          <w:szCs w:val="24"/>
          <w:lang w:val="es-MX"/>
        </w:rPr>
      </w:pPr>
      <w:r w:rsidRPr="00164C44">
        <w:rPr>
          <w:rFonts w:ascii="Gadugi" w:hAnsi="Gadugi"/>
          <w:bCs/>
          <w:sz w:val="24"/>
          <w:szCs w:val="24"/>
          <w:lang w:val="es-MX"/>
        </w:rPr>
        <w:t xml:space="preserve">El despacho resolvió la reposición con auto del 30 de agosto siguiente, </w:t>
      </w:r>
      <w:r w:rsidR="006C7446" w:rsidRPr="00164C44">
        <w:rPr>
          <w:rFonts w:ascii="Gadugi" w:hAnsi="Gadugi"/>
          <w:bCs/>
          <w:sz w:val="24"/>
          <w:szCs w:val="24"/>
          <w:lang w:val="es-MX"/>
        </w:rPr>
        <w:t>en el que hizo ver que la sentencia que sirve de soporte a</w:t>
      </w:r>
      <w:r w:rsidR="00914760" w:rsidRPr="00164C44">
        <w:rPr>
          <w:rFonts w:ascii="Gadugi" w:hAnsi="Gadugi"/>
          <w:bCs/>
          <w:sz w:val="24"/>
          <w:szCs w:val="24"/>
          <w:lang w:val="es-MX"/>
        </w:rPr>
        <w:t xml:space="preserve"> las </w:t>
      </w:r>
      <w:r w:rsidR="0010740E" w:rsidRPr="00164C44">
        <w:rPr>
          <w:rFonts w:ascii="Gadugi" w:hAnsi="Gadugi"/>
          <w:bCs/>
          <w:sz w:val="24"/>
          <w:szCs w:val="24"/>
          <w:lang w:val="es-MX"/>
        </w:rPr>
        <w:t>i</w:t>
      </w:r>
      <w:r w:rsidR="00914760" w:rsidRPr="00164C44">
        <w:rPr>
          <w:rFonts w:ascii="Gadugi" w:hAnsi="Gadugi"/>
          <w:bCs/>
          <w:sz w:val="24"/>
          <w:szCs w:val="24"/>
          <w:lang w:val="es-MX"/>
        </w:rPr>
        <w:t>mpugnaciones se refiere a las medidas cautelares en los procesos declarativos</w:t>
      </w:r>
      <w:r w:rsidR="00B211F3" w:rsidRPr="00164C44">
        <w:rPr>
          <w:rFonts w:ascii="Gadugi" w:hAnsi="Gadugi"/>
          <w:bCs/>
          <w:sz w:val="24"/>
          <w:szCs w:val="24"/>
          <w:lang w:val="es-MX"/>
        </w:rPr>
        <w:t xml:space="preserve"> y </w:t>
      </w:r>
      <w:r w:rsidR="00CC7EAB" w:rsidRPr="00164C44">
        <w:rPr>
          <w:rFonts w:ascii="Gadugi" w:hAnsi="Gadugi"/>
          <w:bCs/>
          <w:sz w:val="24"/>
          <w:szCs w:val="24"/>
          <w:lang w:val="es-MX"/>
        </w:rPr>
        <w:t xml:space="preserve">como el de ahora es un verbal, no caben las que son propias de los procesos ejecutivos. </w:t>
      </w:r>
      <w:r w:rsidR="007D48F9" w:rsidRPr="00164C44">
        <w:rPr>
          <w:rFonts w:ascii="Gadugi" w:hAnsi="Gadugi"/>
          <w:bCs/>
          <w:sz w:val="24"/>
          <w:szCs w:val="24"/>
          <w:lang w:val="es-MX"/>
        </w:rPr>
        <w:t xml:space="preserve">No repuso y concedió la </w:t>
      </w:r>
      <w:r w:rsidR="0010740E" w:rsidRPr="00164C44">
        <w:rPr>
          <w:rFonts w:ascii="Gadugi" w:hAnsi="Gadugi"/>
          <w:bCs/>
          <w:sz w:val="24"/>
          <w:szCs w:val="24"/>
          <w:lang w:val="es-MX"/>
        </w:rPr>
        <w:t>apelación.</w:t>
      </w:r>
    </w:p>
    <w:p w14:paraId="773A42F9" w14:textId="77777777" w:rsidR="007D48F9" w:rsidRPr="00164C44" w:rsidRDefault="007D48F9" w:rsidP="00164C44">
      <w:pPr>
        <w:pStyle w:val="Textoindependiente"/>
        <w:tabs>
          <w:tab w:val="left" w:pos="284"/>
        </w:tabs>
        <w:spacing w:line="276" w:lineRule="auto"/>
        <w:rPr>
          <w:rFonts w:ascii="Gadugi" w:hAnsi="Gadugi"/>
          <w:bCs/>
          <w:sz w:val="24"/>
          <w:szCs w:val="24"/>
          <w:lang w:val="es-MX"/>
        </w:rPr>
      </w:pPr>
    </w:p>
    <w:p w14:paraId="4EFC2737" w14:textId="4BF25C95" w:rsidR="007D48F9" w:rsidRPr="00164C44" w:rsidRDefault="0010740E" w:rsidP="00164C44">
      <w:pPr>
        <w:pStyle w:val="Textoindependiente"/>
        <w:numPr>
          <w:ilvl w:val="0"/>
          <w:numId w:val="2"/>
        </w:numPr>
        <w:tabs>
          <w:tab w:val="left" w:pos="284"/>
        </w:tabs>
        <w:spacing w:line="276" w:lineRule="auto"/>
        <w:ind w:left="0" w:firstLine="0"/>
        <w:rPr>
          <w:rFonts w:ascii="Gadugi" w:hAnsi="Gadugi"/>
          <w:b/>
          <w:sz w:val="24"/>
          <w:szCs w:val="24"/>
        </w:rPr>
      </w:pPr>
      <w:r w:rsidRPr="00164C44">
        <w:rPr>
          <w:rFonts w:ascii="Gadugi" w:hAnsi="Gadugi"/>
          <w:b/>
          <w:sz w:val="24"/>
          <w:szCs w:val="24"/>
          <w:lang w:val="es-MX"/>
        </w:rPr>
        <w:t xml:space="preserve"> </w:t>
      </w:r>
      <w:r w:rsidR="00164C44" w:rsidRPr="00164C44">
        <w:rPr>
          <w:rFonts w:ascii="Gadugi" w:hAnsi="Gadugi"/>
          <w:b/>
          <w:sz w:val="24"/>
          <w:szCs w:val="24"/>
          <w:lang w:val="es-MX"/>
        </w:rPr>
        <w:t>CONSIDERACIONES</w:t>
      </w:r>
    </w:p>
    <w:p w14:paraId="0480CF85" w14:textId="77777777" w:rsidR="0095359A" w:rsidRPr="00164C44" w:rsidRDefault="0095359A" w:rsidP="00164C44">
      <w:pPr>
        <w:pStyle w:val="Textoindependiente"/>
        <w:tabs>
          <w:tab w:val="left" w:pos="284"/>
        </w:tabs>
        <w:spacing w:line="276" w:lineRule="auto"/>
        <w:rPr>
          <w:rFonts w:ascii="Gadugi" w:hAnsi="Gadugi"/>
          <w:bCs/>
          <w:sz w:val="24"/>
          <w:szCs w:val="24"/>
          <w:lang w:val="es-MX"/>
        </w:rPr>
      </w:pPr>
    </w:p>
    <w:p w14:paraId="47BF44B2" w14:textId="0ED59E78" w:rsidR="00A07C04" w:rsidRDefault="00161D60" w:rsidP="00164C44">
      <w:pPr>
        <w:pStyle w:val="Prrafodelista"/>
        <w:numPr>
          <w:ilvl w:val="1"/>
          <w:numId w:val="2"/>
        </w:numPr>
        <w:tabs>
          <w:tab w:val="left" w:pos="567"/>
        </w:tabs>
        <w:spacing w:line="276" w:lineRule="auto"/>
        <w:ind w:left="0" w:right="116" w:firstLine="0"/>
        <w:rPr>
          <w:rFonts w:ascii="Gadugi" w:hAnsi="Gadugi"/>
          <w:sz w:val="24"/>
          <w:szCs w:val="24"/>
        </w:rPr>
      </w:pPr>
      <w:r w:rsidRPr="00164C44">
        <w:rPr>
          <w:rFonts w:ascii="Gadugi" w:hAnsi="Gadugi"/>
          <w:sz w:val="24"/>
          <w:szCs w:val="24"/>
        </w:rPr>
        <w:t>Esta Sala unitaria es competente para decidir sobre el recurso, en</w:t>
      </w:r>
      <w:r w:rsidRPr="00164C44">
        <w:rPr>
          <w:rFonts w:ascii="Gadugi" w:hAnsi="Gadugi"/>
          <w:spacing w:val="1"/>
          <w:sz w:val="24"/>
          <w:szCs w:val="24"/>
        </w:rPr>
        <w:t xml:space="preserve"> </w:t>
      </w:r>
      <w:r w:rsidRPr="00164C44">
        <w:rPr>
          <w:rFonts w:ascii="Gadugi" w:hAnsi="Gadugi"/>
          <w:sz w:val="24"/>
          <w:szCs w:val="24"/>
        </w:rPr>
        <w:t>atención</w:t>
      </w:r>
      <w:r w:rsidRPr="00164C44">
        <w:rPr>
          <w:rFonts w:ascii="Gadugi" w:hAnsi="Gadugi"/>
          <w:spacing w:val="-2"/>
          <w:sz w:val="24"/>
          <w:szCs w:val="24"/>
        </w:rPr>
        <w:t xml:space="preserve"> </w:t>
      </w:r>
      <w:r w:rsidRPr="00164C44">
        <w:rPr>
          <w:rFonts w:ascii="Gadugi" w:hAnsi="Gadugi"/>
          <w:sz w:val="24"/>
          <w:szCs w:val="24"/>
        </w:rPr>
        <w:t>a lo reglado por</w:t>
      </w:r>
      <w:r w:rsidRPr="00164C44">
        <w:rPr>
          <w:rFonts w:ascii="Gadugi" w:hAnsi="Gadugi"/>
          <w:spacing w:val="-1"/>
          <w:sz w:val="24"/>
          <w:szCs w:val="24"/>
        </w:rPr>
        <w:t xml:space="preserve"> </w:t>
      </w:r>
      <w:r w:rsidR="007D5408" w:rsidRPr="00164C44">
        <w:rPr>
          <w:rFonts w:ascii="Gadugi" w:hAnsi="Gadugi"/>
          <w:spacing w:val="-1"/>
          <w:sz w:val="24"/>
          <w:szCs w:val="24"/>
        </w:rPr>
        <w:t xml:space="preserve">los artículos 31 y </w:t>
      </w:r>
      <w:r w:rsidRPr="00164C44">
        <w:rPr>
          <w:rFonts w:ascii="Gadugi" w:hAnsi="Gadugi"/>
          <w:sz w:val="24"/>
          <w:szCs w:val="24"/>
        </w:rPr>
        <w:t>35</w:t>
      </w:r>
      <w:r w:rsidRPr="00164C44">
        <w:rPr>
          <w:rFonts w:ascii="Gadugi" w:hAnsi="Gadugi"/>
          <w:spacing w:val="-3"/>
          <w:sz w:val="24"/>
          <w:szCs w:val="24"/>
        </w:rPr>
        <w:t xml:space="preserve"> </w:t>
      </w:r>
      <w:r w:rsidRPr="00164C44">
        <w:rPr>
          <w:rFonts w:ascii="Gadugi" w:hAnsi="Gadugi"/>
          <w:sz w:val="24"/>
          <w:szCs w:val="24"/>
        </w:rPr>
        <w:t xml:space="preserve">del </w:t>
      </w:r>
      <w:proofErr w:type="spellStart"/>
      <w:r w:rsidRPr="00164C44">
        <w:rPr>
          <w:rFonts w:ascii="Gadugi" w:hAnsi="Gadugi"/>
          <w:sz w:val="24"/>
          <w:szCs w:val="24"/>
        </w:rPr>
        <w:t>C.G.P</w:t>
      </w:r>
      <w:proofErr w:type="spellEnd"/>
      <w:r w:rsidRPr="00164C44">
        <w:rPr>
          <w:rFonts w:ascii="Gadugi" w:hAnsi="Gadugi"/>
          <w:sz w:val="24"/>
          <w:szCs w:val="24"/>
        </w:rPr>
        <w:t>.</w:t>
      </w:r>
    </w:p>
    <w:p w14:paraId="342D2DCC" w14:textId="77777777" w:rsidR="009631B5" w:rsidRPr="00164C44" w:rsidRDefault="009631B5" w:rsidP="009631B5">
      <w:pPr>
        <w:pStyle w:val="Prrafodelista"/>
        <w:tabs>
          <w:tab w:val="left" w:pos="567"/>
        </w:tabs>
        <w:spacing w:line="276" w:lineRule="auto"/>
        <w:ind w:left="0" w:right="116"/>
        <w:rPr>
          <w:rFonts w:ascii="Gadugi" w:hAnsi="Gadugi"/>
          <w:sz w:val="24"/>
          <w:szCs w:val="24"/>
        </w:rPr>
      </w:pPr>
    </w:p>
    <w:p w14:paraId="1CA93992" w14:textId="07783632" w:rsidR="00A07C04" w:rsidRPr="00164C44" w:rsidRDefault="00161D60" w:rsidP="00164C44">
      <w:pPr>
        <w:pStyle w:val="Textoindependiente"/>
        <w:tabs>
          <w:tab w:val="left" w:pos="567"/>
        </w:tabs>
        <w:spacing w:line="276" w:lineRule="auto"/>
        <w:ind w:right="117"/>
        <w:jc w:val="both"/>
        <w:rPr>
          <w:rFonts w:ascii="Gadugi" w:hAnsi="Gadugi"/>
          <w:sz w:val="24"/>
          <w:szCs w:val="24"/>
        </w:rPr>
      </w:pPr>
      <w:r w:rsidRPr="00164C44">
        <w:rPr>
          <w:rFonts w:ascii="Gadugi" w:hAnsi="Gadugi"/>
          <w:sz w:val="24"/>
          <w:szCs w:val="24"/>
        </w:rPr>
        <w:t xml:space="preserve">Además, la alzada es procedente, </w:t>
      </w:r>
      <w:r w:rsidR="007D5408" w:rsidRPr="00164C44">
        <w:rPr>
          <w:rFonts w:ascii="Gadugi" w:hAnsi="Gadugi"/>
          <w:sz w:val="24"/>
          <w:szCs w:val="24"/>
        </w:rPr>
        <w:t xml:space="preserve">de acuerdo con lo previsto </w:t>
      </w:r>
      <w:r w:rsidRPr="00164C44">
        <w:rPr>
          <w:rFonts w:ascii="Gadugi" w:hAnsi="Gadugi"/>
          <w:sz w:val="24"/>
          <w:szCs w:val="24"/>
        </w:rPr>
        <w:t xml:space="preserve">en el numeral </w:t>
      </w:r>
      <w:r w:rsidR="005C690F" w:rsidRPr="00164C44">
        <w:rPr>
          <w:rFonts w:ascii="Gadugi" w:hAnsi="Gadugi"/>
          <w:sz w:val="24"/>
          <w:szCs w:val="24"/>
        </w:rPr>
        <w:t>8</w:t>
      </w:r>
      <w:r w:rsidRPr="00164C44">
        <w:rPr>
          <w:rFonts w:ascii="Gadugi" w:hAnsi="Gadugi"/>
          <w:sz w:val="24"/>
          <w:szCs w:val="24"/>
        </w:rPr>
        <w:t xml:space="preserve"> del</w:t>
      </w:r>
      <w:r w:rsidRPr="00164C44">
        <w:rPr>
          <w:rFonts w:ascii="Gadugi" w:hAnsi="Gadugi"/>
          <w:spacing w:val="1"/>
          <w:sz w:val="24"/>
          <w:szCs w:val="24"/>
        </w:rPr>
        <w:t xml:space="preserve"> </w:t>
      </w:r>
      <w:r w:rsidRPr="00164C44">
        <w:rPr>
          <w:rFonts w:ascii="Gadugi" w:hAnsi="Gadugi"/>
          <w:sz w:val="24"/>
          <w:szCs w:val="24"/>
        </w:rPr>
        <w:t xml:space="preserve">artículo 321 </w:t>
      </w:r>
      <w:proofErr w:type="spellStart"/>
      <w:r w:rsidR="00011C4F" w:rsidRPr="00164C44">
        <w:rPr>
          <w:rFonts w:ascii="Gadugi" w:hAnsi="Gadugi"/>
          <w:sz w:val="24"/>
          <w:szCs w:val="24"/>
        </w:rPr>
        <w:t>ibidem</w:t>
      </w:r>
      <w:proofErr w:type="spellEnd"/>
      <w:r w:rsidRPr="00164C44">
        <w:rPr>
          <w:rFonts w:ascii="Gadugi" w:hAnsi="Gadugi"/>
          <w:sz w:val="24"/>
          <w:szCs w:val="24"/>
        </w:rPr>
        <w:t xml:space="preserve">; </w:t>
      </w:r>
      <w:r w:rsidR="00EC662D" w:rsidRPr="00164C44">
        <w:rPr>
          <w:rFonts w:ascii="Gadugi" w:hAnsi="Gadugi"/>
          <w:sz w:val="24"/>
          <w:szCs w:val="24"/>
        </w:rPr>
        <w:t xml:space="preserve">la demandante </w:t>
      </w:r>
      <w:r w:rsidRPr="00164C44">
        <w:rPr>
          <w:rFonts w:ascii="Gadugi" w:hAnsi="Gadugi"/>
          <w:sz w:val="24"/>
          <w:szCs w:val="24"/>
        </w:rPr>
        <w:t>está legitimad</w:t>
      </w:r>
      <w:r w:rsidR="00EC662D" w:rsidRPr="00164C44">
        <w:rPr>
          <w:rFonts w:ascii="Gadugi" w:hAnsi="Gadugi"/>
          <w:sz w:val="24"/>
          <w:szCs w:val="24"/>
        </w:rPr>
        <w:t>a</w:t>
      </w:r>
      <w:r w:rsidRPr="00164C44">
        <w:rPr>
          <w:rFonts w:ascii="Gadugi" w:hAnsi="Gadugi"/>
          <w:sz w:val="24"/>
          <w:szCs w:val="24"/>
        </w:rPr>
        <w:t xml:space="preserve"> para interponerlo,</w:t>
      </w:r>
      <w:r w:rsidRPr="00164C44">
        <w:rPr>
          <w:rFonts w:ascii="Gadugi" w:hAnsi="Gadugi"/>
          <w:spacing w:val="1"/>
          <w:sz w:val="24"/>
          <w:szCs w:val="24"/>
        </w:rPr>
        <w:t xml:space="preserve"> </w:t>
      </w:r>
      <w:r w:rsidRPr="00164C44">
        <w:rPr>
          <w:rFonts w:ascii="Gadugi" w:hAnsi="Gadugi"/>
          <w:sz w:val="24"/>
          <w:szCs w:val="24"/>
        </w:rPr>
        <w:t>pues la decisión le causa agravio, y lo hizo dentro del término legal,</w:t>
      </w:r>
      <w:r w:rsidRPr="00164C44">
        <w:rPr>
          <w:rFonts w:ascii="Gadugi" w:hAnsi="Gadugi"/>
          <w:spacing w:val="1"/>
          <w:sz w:val="24"/>
          <w:szCs w:val="24"/>
        </w:rPr>
        <w:t xml:space="preserve"> </w:t>
      </w:r>
      <w:r w:rsidRPr="00164C44">
        <w:rPr>
          <w:rFonts w:ascii="Gadugi" w:hAnsi="Gadugi"/>
          <w:sz w:val="24"/>
          <w:szCs w:val="24"/>
        </w:rPr>
        <w:t>durante</w:t>
      </w:r>
      <w:r w:rsidRPr="00164C44">
        <w:rPr>
          <w:rFonts w:ascii="Gadugi" w:hAnsi="Gadugi"/>
          <w:spacing w:val="-1"/>
          <w:sz w:val="24"/>
          <w:szCs w:val="24"/>
        </w:rPr>
        <w:t xml:space="preserve"> </w:t>
      </w:r>
      <w:r w:rsidRPr="00164C44">
        <w:rPr>
          <w:rFonts w:ascii="Gadugi" w:hAnsi="Gadugi"/>
          <w:sz w:val="24"/>
          <w:szCs w:val="24"/>
        </w:rPr>
        <w:t>el</w:t>
      </w:r>
      <w:r w:rsidRPr="00164C44">
        <w:rPr>
          <w:rFonts w:ascii="Gadugi" w:hAnsi="Gadugi"/>
          <w:spacing w:val="-1"/>
          <w:sz w:val="24"/>
          <w:szCs w:val="24"/>
        </w:rPr>
        <w:t xml:space="preserve"> </w:t>
      </w:r>
      <w:r w:rsidRPr="00164C44">
        <w:rPr>
          <w:rFonts w:ascii="Gadugi" w:hAnsi="Gadugi"/>
          <w:sz w:val="24"/>
          <w:szCs w:val="24"/>
        </w:rPr>
        <w:t>cual</w:t>
      </w:r>
      <w:r w:rsidRPr="00164C44">
        <w:rPr>
          <w:rFonts w:ascii="Gadugi" w:hAnsi="Gadugi"/>
          <w:spacing w:val="-1"/>
          <w:sz w:val="24"/>
          <w:szCs w:val="24"/>
        </w:rPr>
        <w:t xml:space="preserve"> </w:t>
      </w:r>
      <w:r w:rsidR="00EC662D" w:rsidRPr="00164C44">
        <w:rPr>
          <w:rFonts w:ascii="Gadugi" w:hAnsi="Gadugi"/>
          <w:spacing w:val="-1"/>
          <w:sz w:val="24"/>
          <w:szCs w:val="24"/>
        </w:rPr>
        <w:t>dijo sustentarlo</w:t>
      </w:r>
      <w:r w:rsidRPr="00164C44">
        <w:rPr>
          <w:rFonts w:ascii="Gadugi" w:hAnsi="Gadugi"/>
          <w:sz w:val="24"/>
          <w:szCs w:val="24"/>
        </w:rPr>
        <w:t>.</w:t>
      </w:r>
    </w:p>
    <w:p w14:paraId="29C3CB85" w14:textId="77777777" w:rsidR="0010740E" w:rsidRPr="00164C44" w:rsidRDefault="0010740E" w:rsidP="00164C44">
      <w:pPr>
        <w:pStyle w:val="Textoindependiente"/>
        <w:tabs>
          <w:tab w:val="left" w:pos="567"/>
        </w:tabs>
        <w:spacing w:line="276" w:lineRule="auto"/>
        <w:ind w:right="117"/>
        <w:jc w:val="both"/>
        <w:rPr>
          <w:rFonts w:ascii="Gadugi" w:hAnsi="Gadugi"/>
          <w:sz w:val="24"/>
          <w:szCs w:val="24"/>
        </w:rPr>
      </w:pPr>
    </w:p>
    <w:p w14:paraId="514E1299" w14:textId="2A689933" w:rsidR="00063235" w:rsidRPr="00164C44" w:rsidRDefault="00161D60" w:rsidP="00164C44">
      <w:pPr>
        <w:pStyle w:val="Prrafodelista"/>
        <w:numPr>
          <w:ilvl w:val="1"/>
          <w:numId w:val="2"/>
        </w:numPr>
        <w:tabs>
          <w:tab w:val="left" w:pos="386"/>
          <w:tab w:val="left" w:pos="567"/>
        </w:tabs>
        <w:spacing w:line="276" w:lineRule="auto"/>
        <w:ind w:left="0" w:right="115" w:firstLine="0"/>
        <w:rPr>
          <w:rFonts w:ascii="Gadugi" w:hAnsi="Gadugi"/>
          <w:spacing w:val="1"/>
          <w:sz w:val="24"/>
          <w:szCs w:val="24"/>
        </w:rPr>
      </w:pPr>
      <w:r w:rsidRPr="00164C44">
        <w:rPr>
          <w:rFonts w:ascii="Gadugi" w:hAnsi="Gadugi"/>
          <w:sz w:val="24"/>
          <w:szCs w:val="24"/>
        </w:rPr>
        <w:t>Corresponde dilucidar si se confirma el auto protestado que</w:t>
      </w:r>
      <w:r w:rsidR="00971EB4" w:rsidRPr="00164C44">
        <w:rPr>
          <w:rFonts w:ascii="Gadugi" w:hAnsi="Gadugi"/>
          <w:sz w:val="24"/>
          <w:szCs w:val="24"/>
        </w:rPr>
        <w:t xml:space="preserve"> negó el </w:t>
      </w:r>
      <w:r w:rsidR="00EC662D" w:rsidRPr="00164C44">
        <w:rPr>
          <w:rFonts w:ascii="Gadugi" w:hAnsi="Gadugi"/>
          <w:sz w:val="24"/>
          <w:szCs w:val="24"/>
        </w:rPr>
        <w:t xml:space="preserve">decreto de una medida cautelar consisten en el embargo de remanentes, </w:t>
      </w:r>
      <w:r w:rsidR="00A557BD" w:rsidRPr="00164C44">
        <w:rPr>
          <w:rFonts w:ascii="Gadugi" w:hAnsi="Gadugi"/>
          <w:sz w:val="24"/>
          <w:szCs w:val="24"/>
        </w:rPr>
        <w:t xml:space="preserve">o </w:t>
      </w:r>
      <w:r w:rsidR="00AD4306" w:rsidRPr="00164C44">
        <w:rPr>
          <w:rFonts w:ascii="Gadugi" w:hAnsi="Gadugi"/>
          <w:sz w:val="24"/>
          <w:szCs w:val="24"/>
        </w:rPr>
        <w:t>se</w:t>
      </w:r>
      <w:r w:rsidRPr="00164C44">
        <w:rPr>
          <w:rFonts w:ascii="Gadugi" w:hAnsi="Gadugi"/>
          <w:sz w:val="24"/>
          <w:szCs w:val="24"/>
        </w:rPr>
        <w:t xml:space="preserve"> revoca,</w:t>
      </w:r>
      <w:r w:rsidRPr="00164C44">
        <w:rPr>
          <w:rFonts w:ascii="Gadugi" w:hAnsi="Gadugi"/>
          <w:spacing w:val="1"/>
          <w:sz w:val="24"/>
          <w:szCs w:val="24"/>
        </w:rPr>
        <w:t xml:space="preserve"> </w:t>
      </w:r>
      <w:r w:rsidRPr="00164C44">
        <w:rPr>
          <w:rFonts w:ascii="Gadugi" w:hAnsi="Gadugi"/>
          <w:sz w:val="24"/>
          <w:szCs w:val="24"/>
        </w:rPr>
        <w:t>como</w:t>
      </w:r>
      <w:r w:rsidRPr="00164C44">
        <w:rPr>
          <w:rFonts w:ascii="Gadugi" w:hAnsi="Gadugi"/>
          <w:spacing w:val="1"/>
          <w:sz w:val="24"/>
          <w:szCs w:val="24"/>
        </w:rPr>
        <w:t xml:space="preserve"> </w:t>
      </w:r>
      <w:r w:rsidRPr="00164C44">
        <w:rPr>
          <w:rFonts w:ascii="Gadugi" w:hAnsi="Gadugi"/>
          <w:sz w:val="24"/>
          <w:szCs w:val="24"/>
        </w:rPr>
        <w:lastRenderedPageBreak/>
        <w:t>quiere</w:t>
      </w:r>
      <w:r w:rsidRPr="00164C44">
        <w:rPr>
          <w:rFonts w:ascii="Gadugi" w:hAnsi="Gadugi"/>
          <w:spacing w:val="1"/>
          <w:sz w:val="24"/>
          <w:szCs w:val="24"/>
        </w:rPr>
        <w:t xml:space="preserve"> </w:t>
      </w:r>
      <w:r w:rsidR="007D5408" w:rsidRPr="00164C44">
        <w:rPr>
          <w:rFonts w:ascii="Gadugi" w:hAnsi="Gadugi"/>
          <w:spacing w:val="1"/>
          <w:sz w:val="24"/>
          <w:szCs w:val="24"/>
        </w:rPr>
        <w:t xml:space="preserve">el </w:t>
      </w:r>
      <w:r w:rsidRPr="00164C44">
        <w:rPr>
          <w:rFonts w:ascii="Gadugi" w:hAnsi="Gadugi"/>
          <w:sz w:val="24"/>
          <w:szCs w:val="24"/>
        </w:rPr>
        <w:t>recurrente,</w:t>
      </w:r>
      <w:r w:rsidRPr="00164C44">
        <w:rPr>
          <w:rFonts w:ascii="Gadugi" w:hAnsi="Gadugi"/>
          <w:spacing w:val="1"/>
          <w:sz w:val="24"/>
          <w:szCs w:val="24"/>
        </w:rPr>
        <w:t xml:space="preserve"> </w:t>
      </w:r>
      <w:r w:rsidRPr="00164C44">
        <w:rPr>
          <w:rFonts w:ascii="Gadugi" w:hAnsi="Gadugi"/>
          <w:sz w:val="24"/>
          <w:szCs w:val="24"/>
        </w:rPr>
        <w:t>pues,</w:t>
      </w:r>
      <w:r w:rsidRPr="00164C44">
        <w:rPr>
          <w:rFonts w:ascii="Gadugi" w:hAnsi="Gadugi"/>
          <w:spacing w:val="1"/>
          <w:sz w:val="24"/>
          <w:szCs w:val="24"/>
        </w:rPr>
        <w:t xml:space="preserve"> </w:t>
      </w:r>
      <w:r w:rsidRPr="00164C44">
        <w:rPr>
          <w:rFonts w:ascii="Gadugi" w:hAnsi="Gadugi"/>
          <w:sz w:val="24"/>
          <w:szCs w:val="24"/>
        </w:rPr>
        <w:t>en</w:t>
      </w:r>
      <w:r w:rsidRPr="00164C44">
        <w:rPr>
          <w:rFonts w:ascii="Gadugi" w:hAnsi="Gadugi"/>
          <w:spacing w:val="1"/>
          <w:sz w:val="24"/>
          <w:szCs w:val="24"/>
        </w:rPr>
        <w:t xml:space="preserve"> </w:t>
      </w:r>
      <w:r w:rsidRPr="00164C44">
        <w:rPr>
          <w:rFonts w:ascii="Gadugi" w:hAnsi="Gadugi"/>
          <w:sz w:val="24"/>
          <w:szCs w:val="24"/>
        </w:rPr>
        <w:t>su</w:t>
      </w:r>
      <w:r w:rsidRPr="00164C44">
        <w:rPr>
          <w:rFonts w:ascii="Gadugi" w:hAnsi="Gadugi"/>
          <w:spacing w:val="1"/>
          <w:sz w:val="24"/>
          <w:szCs w:val="24"/>
        </w:rPr>
        <w:t xml:space="preserve"> </w:t>
      </w:r>
      <w:r w:rsidRPr="00164C44">
        <w:rPr>
          <w:rFonts w:ascii="Gadugi" w:hAnsi="Gadugi"/>
          <w:sz w:val="24"/>
          <w:szCs w:val="24"/>
        </w:rPr>
        <w:t>sentir,</w:t>
      </w:r>
      <w:r w:rsidRPr="00164C44">
        <w:rPr>
          <w:rFonts w:ascii="Gadugi" w:hAnsi="Gadugi"/>
          <w:spacing w:val="1"/>
          <w:sz w:val="24"/>
          <w:szCs w:val="24"/>
        </w:rPr>
        <w:t xml:space="preserve"> </w:t>
      </w:r>
      <w:r w:rsidR="00EC662D" w:rsidRPr="00164C44">
        <w:rPr>
          <w:rFonts w:ascii="Gadugi" w:hAnsi="Gadugi"/>
          <w:spacing w:val="1"/>
          <w:sz w:val="24"/>
          <w:szCs w:val="24"/>
        </w:rPr>
        <w:t xml:space="preserve">es necesaria para asegurar sus derechos. </w:t>
      </w:r>
    </w:p>
    <w:p w14:paraId="2017E904" w14:textId="77777777" w:rsidR="00EC662D" w:rsidRPr="00164C44" w:rsidRDefault="00EC662D" w:rsidP="00164C44">
      <w:pPr>
        <w:pStyle w:val="Prrafodelista"/>
        <w:tabs>
          <w:tab w:val="left" w:pos="386"/>
          <w:tab w:val="left" w:pos="567"/>
        </w:tabs>
        <w:spacing w:line="276" w:lineRule="auto"/>
        <w:ind w:left="0" w:right="115"/>
        <w:rPr>
          <w:rFonts w:ascii="Gadugi" w:hAnsi="Gadugi"/>
          <w:spacing w:val="1"/>
          <w:sz w:val="24"/>
          <w:szCs w:val="24"/>
        </w:rPr>
      </w:pPr>
    </w:p>
    <w:p w14:paraId="2DB553FC" w14:textId="05F49AC1" w:rsidR="00063235" w:rsidRPr="00164C44" w:rsidRDefault="00063235" w:rsidP="00164C44">
      <w:pPr>
        <w:pStyle w:val="Prrafodelista"/>
        <w:tabs>
          <w:tab w:val="left" w:pos="386"/>
          <w:tab w:val="left" w:pos="567"/>
        </w:tabs>
        <w:spacing w:line="276" w:lineRule="auto"/>
        <w:ind w:left="0" w:right="115"/>
        <w:rPr>
          <w:rFonts w:ascii="Gadugi" w:hAnsi="Gadugi"/>
          <w:spacing w:val="1"/>
          <w:sz w:val="24"/>
          <w:szCs w:val="24"/>
        </w:rPr>
      </w:pPr>
      <w:r w:rsidRPr="00164C44">
        <w:rPr>
          <w:rFonts w:ascii="Gadugi" w:hAnsi="Gadugi"/>
          <w:spacing w:val="1"/>
          <w:sz w:val="24"/>
          <w:szCs w:val="24"/>
        </w:rPr>
        <w:t>Se anticipa que el auto será confirmado, por cuanto</w:t>
      </w:r>
      <w:r w:rsidR="00A4568F" w:rsidRPr="00164C44">
        <w:rPr>
          <w:rFonts w:ascii="Gadugi" w:hAnsi="Gadugi"/>
          <w:spacing w:val="1"/>
          <w:sz w:val="24"/>
          <w:szCs w:val="24"/>
        </w:rPr>
        <w:t xml:space="preserve"> la medida solicitada escapa a la regulación de los procesos declarativos. </w:t>
      </w:r>
    </w:p>
    <w:p w14:paraId="21C34C9A" w14:textId="77777777" w:rsidR="00063235" w:rsidRPr="00164C44" w:rsidRDefault="00063235" w:rsidP="00164C44">
      <w:pPr>
        <w:pStyle w:val="Prrafodelista"/>
        <w:tabs>
          <w:tab w:val="left" w:pos="386"/>
          <w:tab w:val="left" w:pos="567"/>
        </w:tabs>
        <w:spacing w:line="276" w:lineRule="auto"/>
        <w:ind w:left="0" w:right="115"/>
        <w:rPr>
          <w:rFonts w:ascii="Gadugi" w:hAnsi="Gadugi"/>
          <w:spacing w:val="1"/>
          <w:sz w:val="24"/>
          <w:szCs w:val="24"/>
        </w:rPr>
      </w:pPr>
    </w:p>
    <w:p w14:paraId="5BDB8376" w14:textId="77777777" w:rsidR="00DE1F02" w:rsidRPr="00164C44" w:rsidRDefault="00412EF0" w:rsidP="00164C44">
      <w:pPr>
        <w:pStyle w:val="Prrafodelista"/>
        <w:numPr>
          <w:ilvl w:val="1"/>
          <w:numId w:val="2"/>
        </w:numPr>
        <w:tabs>
          <w:tab w:val="left" w:pos="386"/>
          <w:tab w:val="left" w:pos="567"/>
        </w:tabs>
        <w:spacing w:line="276" w:lineRule="auto"/>
        <w:ind w:left="0" w:right="115" w:firstLine="0"/>
        <w:rPr>
          <w:rFonts w:ascii="Gadugi" w:hAnsi="Gadugi"/>
          <w:sz w:val="24"/>
          <w:szCs w:val="24"/>
        </w:rPr>
      </w:pPr>
      <w:r w:rsidRPr="00164C44">
        <w:rPr>
          <w:rFonts w:ascii="Gadugi" w:hAnsi="Gadugi"/>
          <w:spacing w:val="1"/>
          <w:sz w:val="24"/>
          <w:szCs w:val="24"/>
        </w:rPr>
        <w:t>Para arribar a esta conclusión, sirven los siguientes razona</w:t>
      </w:r>
      <w:r w:rsidR="00DE1F02" w:rsidRPr="00164C44">
        <w:rPr>
          <w:rFonts w:ascii="Gadugi" w:hAnsi="Gadugi"/>
          <w:spacing w:val="1"/>
          <w:sz w:val="24"/>
          <w:szCs w:val="24"/>
        </w:rPr>
        <w:t xml:space="preserve">mientos: </w:t>
      </w:r>
    </w:p>
    <w:p w14:paraId="64F2263A" w14:textId="77777777" w:rsidR="00DE1F02" w:rsidRPr="00164C44" w:rsidRDefault="00DE1F02" w:rsidP="00164C44">
      <w:pPr>
        <w:pStyle w:val="Prrafodelista"/>
        <w:tabs>
          <w:tab w:val="left" w:pos="386"/>
          <w:tab w:val="left" w:pos="567"/>
        </w:tabs>
        <w:spacing w:line="276" w:lineRule="auto"/>
        <w:ind w:left="0" w:right="115"/>
        <w:rPr>
          <w:rFonts w:ascii="Gadugi" w:hAnsi="Gadugi"/>
          <w:sz w:val="24"/>
          <w:szCs w:val="24"/>
        </w:rPr>
      </w:pPr>
    </w:p>
    <w:p w14:paraId="1DF044D5" w14:textId="1BDCD94A" w:rsidR="00477819" w:rsidRPr="00164C44" w:rsidRDefault="00341A0C"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 xml:space="preserve">En primer lugar, </w:t>
      </w:r>
      <w:r w:rsidR="00477819" w:rsidRPr="00164C44">
        <w:rPr>
          <w:rFonts w:ascii="Gadugi" w:hAnsi="Gadugi"/>
          <w:sz w:val="24"/>
          <w:szCs w:val="24"/>
        </w:rPr>
        <w:t>si se quisiera ser estricto</w:t>
      </w:r>
      <w:r w:rsidR="000C624D" w:rsidRPr="00164C44">
        <w:rPr>
          <w:rFonts w:ascii="Gadugi" w:hAnsi="Gadugi"/>
          <w:sz w:val="24"/>
          <w:szCs w:val="24"/>
        </w:rPr>
        <w:t xml:space="preserve"> se </w:t>
      </w:r>
      <w:r w:rsidR="00477819" w:rsidRPr="00164C44">
        <w:rPr>
          <w:rFonts w:ascii="Gadugi" w:hAnsi="Gadugi"/>
          <w:sz w:val="24"/>
          <w:szCs w:val="24"/>
        </w:rPr>
        <w:t>lle</w:t>
      </w:r>
      <w:r w:rsidR="000C624D" w:rsidRPr="00164C44">
        <w:rPr>
          <w:rFonts w:ascii="Gadugi" w:hAnsi="Gadugi"/>
          <w:sz w:val="24"/>
          <w:szCs w:val="24"/>
        </w:rPr>
        <w:t>g</w:t>
      </w:r>
      <w:r w:rsidR="00477819" w:rsidRPr="00164C44">
        <w:rPr>
          <w:rFonts w:ascii="Gadugi" w:hAnsi="Gadugi"/>
          <w:sz w:val="24"/>
          <w:szCs w:val="24"/>
        </w:rPr>
        <w:t>aría a la deserción del re</w:t>
      </w:r>
      <w:r w:rsidR="000F526B" w:rsidRPr="00164C44">
        <w:rPr>
          <w:rFonts w:ascii="Gadugi" w:hAnsi="Gadugi"/>
          <w:sz w:val="24"/>
          <w:szCs w:val="24"/>
        </w:rPr>
        <w:t>c</w:t>
      </w:r>
      <w:r w:rsidR="00477819" w:rsidRPr="00164C44">
        <w:rPr>
          <w:rFonts w:ascii="Gadugi" w:hAnsi="Gadugi"/>
          <w:sz w:val="24"/>
          <w:szCs w:val="24"/>
        </w:rPr>
        <w:t xml:space="preserve">urso, </w:t>
      </w:r>
      <w:r w:rsidR="000C624D" w:rsidRPr="00164C44">
        <w:rPr>
          <w:rFonts w:ascii="Gadugi" w:hAnsi="Gadugi"/>
          <w:sz w:val="24"/>
          <w:szCs w:val="24"/>
        </w:rPr>
        <w:t xml:space="preserve">porque </w:t>
      </w:r>
      <w:r w:rsidR="000F526B" w:rsidRPr="00164C44">
        <w:rPr>
          <w:rFonts w:ascii="Gadugi" w:hAnsi="Gadugi"/>
          <w:sz w:val="24"/>
          <w:szCs w:val="24"/>
        </w:rPr>
        <w:t xml:space="preserve">en realidad no se advierte una verdadera sustentación, carga que es necesario acatar, si con ella lo que se busca es poner al descubierto cuál fue la equivocación del juez el emitir su providencia. Y se señala la deficiencia, porque el juzgado negó la medida por </w:t>
      </w:r>
      <w:r w:rsidR="00671893" w:rsidRPr="00164C44">
        <w:rPr>
          <w:rFonts w:ascii="Gadugi" w:hAnsi="Gadugi"/>
          <w:sz w:val="24"/>
          <w:szCs w:val="24"/>
        </w:rPr>
        <w:t>no estar previsto el embargo de remanentes dentro de</w:t>
      </w:r>
      <w:r w:rsidR="000C624D" w:rsidRPr="00164C44">
        <w:rPr>
          <w:rFonts w:ascii="Gadugi" w:hAnsi="Gadugi"/>
          <w:sz w:val="24"/>
          <w:szCs w:val="24"/>
        </w:rPr>
        <w:t xml:space="preserve"> </w:t>
      </w:r>
      <w:r w:rsidR="00671893" w:rsidRPr="00164C44">
        <w:rPr>
          <w:rFonts w:ascii="Gadugi" w:hAnsi="Gadugi"/>
          <w:sz w:val="24"/>
          <w:szCs w:val="24"/>
        </w:rPr>
        <w:t xml:space="preserve">los procesos declarativos, sino para los ejecutivos y sobre ese particular nada se discute. Lo único que se </w:t>
      </w:r>
      <w:r w:rsidR="006A2DD5" w:rsidRPr="00164C44">
        <w:rPr>
          <w:rFonts w:ascii="Gadugi" w:hAnsi="Gadugi"/>
          <w:sz w:val="24"/>
          <w:szCs w:val="24"/>
        </w:rPr>
        <w:t>menciona</w:t>
      </w:r>
      <w:r w:rsidR="00671893" w:rsidRPr="00164C44">
        <w:rPr>
          <w:rFonts w:ascii="Gadugi" w:hAnsi="Gadugi"/>
          <w:sz w:val="24"/>
          <w:szCs w:val="24"/>
        </w:rPr>
        <w:t xml:space="preserve"> escuetamente contra el proveído es que es una oportunidad para salvaguardar los intereses de la </w:t>
      </w:r>
      <w:r w:rsidR="004E4069" w:rsidRPr="00164C44">
        <w:rPr>
          <w:rFonts w:ascii="Gadugi" w:hAnsi="Gadugi"/>
          <w:sz w:val="24"/>
          <w:szCs w:val="24"/>
        </w:rPr>
        <w:t>demandante</w:t>
      </w:r>
      <w:r w:rsidR="00671893" w:rsidRPr="00164C44">
        <w:rPr>
          <w:rFonts w:ascii="Gadugi" w:hAnsi="Gadugi"/>
          <w:sz w:val="24"/>
          <w:szCs w:val="24"/>
        </w:rPr>
        <w:t xml:space="preserve">, pero sin </w:t>
      </w:r>
      <w:r w:rsidR="004E4069" w:rsidRPr="00164C44">
        <w:rPr>
          <w:rFonts w:ascii="Gadugi" w:hAnsi="Gadugi"/>
          <w:sz w:val="24"/>
          <w:szCs w:val="24"/>
        </w:rPr>
        <w:t xml:space="preserve">aducir cuál fue el dislate en que incurrió el funcionario. </w:t>
      </w:r>
    </w:p>
    <w:p w14:paraId="770D85F2" w14:textId="77777777" w:rsidR="004E4069" w:rsidRPr="00164C44" w:rsidRDefault="004E4069" w:rsidP="00164C44">
      <w:pPr>
        <w:pStyle w:val="Prrafodelista"/>
        <w:tabs>
          <w:tab w:val="left" w:pos="386"/>
          <w:tab w:val="left" w:pos="567"/>
        </w:tabs>
        <w:spacing w:line="276" w:lineRule="auto"/>
        <w:ind w:left="0" w:right="115"/>
        <w:rPr>
          <w:rFonts w:ascii="Gadugi" w:hAnsi="Gadugi"/>
          <w:sz w:val="24"/>
          <w:szCs w:val="24"/>
        </w:rPr>
      </w:pPr>
    </w:p>
    <w:p w14:paraId="77F51EA6" w14:textId="1D8CDDE7" w:rsidR="004E4069" w:rsidRPr="00164C44" w:rsidRDefault="004E4069"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 xml:space="preserve">Por supuesto que la sola cita que se trajo </w:t>
      </w:r>
      <w:r w:rsidR="00DE5A2E" w:rsidRPr="00164C44">
        <w:rPr>
          <w:rFonts w:ascii="Gadugi" w:hAnsi="Gadugi"/>
          <w:sz w:val="24"/>
          <w:szCs w:val="24"/>
        </w:rPr>
        <w:t xml:space="preserve">de una providencia de la Corte Suprema, según entiende esta Sala, porque no se indicó la fuente, </w:t>
      </w:r>
      <w:r w:rsidR="0004114F" w:rsidRPr="00164C44">
        <w:rPr>
          <w:rFonts w:ascii="Gadugi" w:hAnsi="Gadugi"/>
          <w:sz w:val="24"/>
          <w:szCs w:val="24"/>
        </w:rPr>
        <w:t xml:space="preserve">es insuficiente para superar esa carga, menos aun cuando, según se dirá más adelante, tal </w:t>
      </w:r>
      <w:r w:rsidR="00341A0C" w:rsidRPr="00164C44">
        <w:rPr>
          <w:rFonts w:ascii="Gadugi" w:hAnsi="Gadugi"/>
          <w:sz w:val="24"/>
          <w:szCs w:val="24"/>
        </w:rPr>
        <w:t xml:space="preserve">decisión lo que hace es ratificar la posición del juzgado. </w:t>
      </w:r>
    </w:p>
    <w:p w14:paraId="03DC44E8" w14:textId="77777777" w:rsidR="004E4069" w:rsidRPr="00164C44" w:rsidRDefault="004E4069" w:rsidP="00164C44">
      <w:pPr>
        <w:pStyle w:val="Prrafodelista"/>
        <w:tabs>
          <w:tab w:val="left" w:pos="386"/>
          <w:tab w:val="left" w:pos="567"/>
        </w:tabs>
        <w:spacing w:line="276" w:lineRule="auto"/>
        <w:ind w:left="0" w:right="115"/>
        <w:rPr>
          <w:rFonts w:ascii="Gadugi" w:hAnsi="Gadugi"/>
          <w:sz w:val="24"/>
          <w:szCs w:val="24"/>
        </w:rPr>
      </w:pPr>
    </w:p>
    <w:p w14:paraId="7670FFAF" w14:textId="0BE63649" w:rsidR="008D0B83" w:rsidRPr="00164C44" w:rsidRDefault="006A2DD5"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En segundo término, e</w:t>
      </w:r>
      <w:r w:rsidR="00DE1F02" w:rsidRPr="00164C44">
        <w:rPr>
          <w:rFonts w:ascii="Gadugi" w:hAnsi="Gadugi"/>
          <w:sz w:val="24"/>
          <w:szCs w:val="24"/>
        </w:rPr>
        <w:t xml:space="preserve">l mismo apoderado judicial de la demandante sigue sin tener claro si la medida que está solicitando es nominada o innominada, así se percibe, tanto del escrito en que la </w:t>
      </w:r>
      <w:r w:rsidR="008D0B83" w:rsidRPr="00164C44">
        <w:rPr>
          <w:rFonts w:ascii="Gadugi" w:hAnsi="Gadugi"/>
          <w:sz w:val="24"/>
          <w:szCs w:val="24"/>
        </w:rPr>
        <w:t xml:space="preserve">impetró, como del que sustenta sus recursos. </w:t>
      </w:r>
    </w:p>
    <w:p w14:paraId="76C770DE" w14:textId="77777777" w:rsidR="008D0B83" w:rsidRPr="00164C44" w:rsidRDefault="008D0B83" w:rsidP="00164C44">
      <w:pPr>
        <w:pStyle w:val="Prrafodelista"/>
        <w:tabs>
          <w:tab w:val="left" w:pos="386"/>
          <w:tab w:val="left" w:pos="567"/>
        </w:tabs>
        <w:spacing w:line="276" w:lineRule="auto"/>
        <w:ind w:left="0" w:right="115"/>
        <w:rPr>
          <w:rFonts w:ascii="Gadugi" w:hAnsi="Gadugi"/>
          <w:sz w:val="24"/>
          <w:szCs w:val="24"/>
        </w:rPr>
      </w:pPr>
    </w:p>
    <w:p w14:paraId="25ACBFB6" w14:textId="77777777" w:rsidR="00CC7B2B" w:rsidRPr="00164C44" w:rsidRDefault="008D0B83"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 xml:space="preserve">Por supuesto, al tratarse de un embargo de remanentes, </w:t>
      </w:r>
      <w:r w:rsidR="00903844" w:rsidRPr="00164C44">
        <w:rPr>
          <w:rFonts w:ascii="Gadugi" w:hAnsi="Gadugi"/>
          <w:sz w:val="24"/>
          <w:szCs w:val="24"/>
        </w:rPr>
        <w:t xml:space="preserve">como bien lo destacó el juzgado, se trata de una medida cautelar del </w:t>
      </w:r>
      <w:r w:rsidR="00CC7B2B" w:rsidRPr="00164C44">
        <w:rPr>
          <w:rFonts w:ascii="Gadugi" w:hAnsi="Gadugi"/>
          <w:sz w:val="24"/>
          <w:szCs w:val="24"/>
        </w:rPr>
        <w:t xml:space="preserve">primer tipo, en cuanto está expresamente prevista en la ley, concretamente, en el artículo 466 del </w:t>
      </w:r>
      <w:proofErr w:type="spellStart"/>
      <w:r w:rsidR="00CC7B2B" w:rsidRPr="00164C44">
        <w:rPr>
          <w:rFonts w:ascii="Gadugi" w:hAnsi="Gadugi"/>
          <w:sz w:val="24"/>
          <w:szCs w:val="24"/>
        </w:rPr>
        <w:t>CGP</w:t>
      </w:r>
      <w:proofErr w:type="spellEnd"/>
      <w:r w:rsidR="00CC7B2B" w:rsidRPr="00164C44">
        <w:rPr>
          <w:rFonts w:ascii="Gadugi" w:hAnsi="Gadugi"/>
          <w:sz w:val="24"/>
          <w:szCs w:val="24"/>
        </w:rPr>
        <w:t xml:space="preserve">, norma especial para el proceso ejecutivo, no para los procesos declarativos. </w:t>
      </w:r>
    </w:p>
    <w:p w14:paraId="075AEF5A" w14:textId="77777777" w:rsidR="00CC7B2B" w:rsidRPr="00164C44" w:rsidRDefault="00CC7B2B" w:rsidP="00164C44">
      <w:pPr>
        <w:pStyle w:val="Prrafodelista"/>
        <w:tabs>
          <w:tab w:val="left" w:pos="386"/>
          <w:tab w:val="left" w:pos="567"/>
        </w:tabs>
        <w:spacing w:line="276" w:lineRule="auto"/>
        <w:ind w:left="0" w:right="115"/>
        <w:rPr>
          <w:rFonts w:ascii="Gadugi" w:hAnsi="Gadugi"/>
          <w:sz w:val="24"/>
          <w:szCs w:val="24"/>
        </w:rPr>
      </w:pPr>
    </w:p>
    <w:p w14:paraId="6CA44DC4" w14:textId="77777777" w:rsidR="008D1874" w:rsidRPr="00164C44" w:rsidRDefault="005C6C81"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 xml:space="preserve">Y es que, </w:t>
      </w:r>
      <w:r w:rsidR="002E4341" w:rsidRPr="00164C44">
        <w:rPr>
          <w:rFonts w:ascii="Gadugi" w:hAnsi="Gadugi"/>
          <w:sz w:val="24"/>
          <w:szCs w:val="24"/>
        </w:rPr>
        <w:t xml:space="preserve">dando por superadas esas inconsistencias y </w:t>
      </w:r>
      <w:r w:rsidR="00813D3F" w:rsidRPr="00164C44">
        <w:rPr>
          <w:rFonts w:ascii="Gadugi" w:hAnsi="Gadugi"/>
          <w:sz w:val="24"/>
          <w:szCs w:val="24"/>
        </w:rPr>
        <w:t xml:space="preserve">asumiendo que lo que el impugnante quiere decir es que la medida procede como innominada, </w:t>
      </w:r>
      <w:r w:rsidRPr="00164C44">
        <w:rPr>
          <w:rFonts w:ascii="Gadugi" w:hAnsi="Gadugi"/>
          <w:sz w:val="24"/>
          <w:szCs w:val="24"/>
        </w:rPr>
        <w:t xml:space="preserve">bueno es decirlo, una de las novedades que trajo el nuevo estatuto procesal, fue la introducción para los procesos declarativos de las que han </w:t>
      </w:r>
      <w:r w:rsidR="008D1874" w:rsidRPr="00164C44">
        <w:rPr>
          <w:rFonts w:ascii="Gadugi" w:hAnsi="Gadugi"/>
          <w:sz w:val="24"/>
          <w:szCs w:val="24"/>
        </w:rPr>
        <w:t>recibido esa denominación, que</w:t>
      </w:r>
      <w:r w:rsidRPr="00164C44">
        <w:rPr>
          <w:rFonts w:ascii="Gadugi" w:hAnsi="Gadugi"/>
          <w:sz w:val="24"/>
          <w:szCs w:val="24"/>
        </w:rPr>
        <w:t xml:space="preserve">, a diferencia de las </w:t>
      </w:r>
      <w:r w:rsidR="008D1874" w:rsidRPr="00164C44">
        <w:rPr>
          <w:rFonts w:ascii="Gadugi" w:hAnsi="Gadugi"/>
          <w:sz w:val="24"/>
          <w:szCs w:val="24"/>
        </w:rPr>
        <w:t xml:space="preserve">nominadas, </w:t>
      </w:r>
      <w:r w:rsidRPr="00164C44">
        <w:rPr>
          <w:rFonts w:ascii="Gadugi" w:hAnsi="Gadugi"/>
          <w:sz w:val="24"/>
          <w:szCs w:val="24"/>
        </w:rPr>
        <w:t>no están específicamente señaladas, pues si</w:t>
      </w:r>
      <w:r w:rsidR="008D1874" w:rsidRPr="00164C44">
        <w:rPr>
          <w:rFonts w:ascii="Gadugi" w:hAnsi="Gadugi"/>
          <w:sz w:val="24"/>
          <w:szCs w:val="24"/>
        </w:rPr>
        <w:t xml:space="preserve"> </w:t>
      </w:r>
      <w:r w:rsidRPr="00164C44">
        <w:rPr>
          <w:rFonts w:ascii="Gadugi" w:hAnsi="Gadugi"/>
          <w:sz w:val="24"/>
          <w:szCs w:val="24"/>
        </w:rPr>
        <w:t xml:space="preserve">lo estuvieran perderían tal connotación, distinción que es importante, porque </w:t>
      </w:r>
      <w:r w:rsidR="003177DB" w:rsidRPr="00164C44">
        <w:rPr>
          <w:rFonts w:ascii="Gadugi" w:hAnsi="Gadugi"/>
          <w:sz w:val="24"/>
          <w:szCs w:val="24"/>
        </w:rPr>
        <w:t xml:space="preserve">al momento de decretar unas y otras el ejercicio del juez es distinto. </w:t>
      </w:r>
    </w:p>
    <w:p w14:paraId="507A1F45" w14:textId="77777777" w:rsidR="008D1874" w:rsidRPr="00164C44" w:rsidRDefault="008D1874" w:rsidP="00164C44">
      <w:pPr>
        <w:pStyle w:val="Prrafodelista"/>
        <w:tabs>
          <w:tab w:val="left" w:pos="386"/>
          <w:tab w:val="left" w:pos="567"/>
        </w:tabs>
        <w:spacing w:line="276" w:lineRule="auto"/>
        <w:ind w:left="0" w:right="115"/>
        <w:rPr>
          <w:rFonts w:ascii="Gadugi" w:hAnsi="Gadugi"/>
          <w:sz w:val="24"/>
          <w:szCs w:val="24"/>
        </w:rPr>
      </w:pPr>
    </w:p>
    <w:p w14:paraId="49C5F9E1" w14:textId="3B932295" w:rsidR="000C510C" w:rsidRPr="00164C44" w:rsidRDefault="008D1874"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En efecto, m</w:t>
      </w:r>
      <w:r w:rsidR="003177DB" w:rsidRPr="00164C44">
        <w:rPr>
          <w:rFonts w:ascii="Gadugi" w:hAnsi="Gadugi"/>
          <w:sz w:val="24"/>
          <w:szCs w:val="24"/>
        </w:rPr>
        <w:t>ientras que en las nominadas es el legislador el que, desde su con</w:t>
      </w:r>
      <w:r w:rsidR="003410AC" w:rsidRPr="00164C44">
        <w:rPr>
          <w:rFonts w:ascii="Gadugi" w:hAnsi="Gadugi"/>
          <w:sz w:val="24"/>
          <w:szCs w:val="24"/>
        </w:rPr>
        <w:t>sagración ha previsto la apariencia del buen derecho, el peligro de la mora, la legitimación, la necesidad, la proporcionalidad</w:t>
      </w:r>
      <w:r w:rsidR="00D856A1" w:rsidRPr="00164C44">
        <w:rPr>
          <w:rFonts w:ascii="Gadugi" w:hAnsi="Gadugi"/>
          <w:sz w:val="24"/>
          <w:szCs w:val="24"/>
        </w:rPr>
        <w:t xml:space="preserve">, la efectividad. </w:t>
      </w:r>
      <w:r w:rsidR="00D13C56" w:rsidRPr="00164C44">
        <w:rPr>
          <w:rFonts w:ascii="Gadugi" w:hAnsi="Gadugi"/>
          <w:sz w:val="24"/>
          <w:szCs w:val="24"/>
        </w:rPr>
        <w:t>(t</w:t>
      </w:r>
      <w:r w:rsidR="00D856A1" w:rsidRPr="00164C44">
        <w:rPr>
          <w:rFonts w:ascii="Gadugi" w:hAnsi="Gadugi"/>
          <w:sz w:val="24"/>
          <w:szCs w:val="24"/>
        </w:rPr>
        <w:t xml:space="preserve">al el caso de la </w:t>
      </w:r>
      <w:r w:rsidR="00D856A1" w:rsidRPr="00164C44">
        <w:rPr>
          <w:rFonts w:ascii="Gadugi" w:hAnsi="Gadugi"/>
          <w:sz w:val="24"/>
          <w:szCs w:val="24"/>
        </w:rPr>
        <w:lastRenderedPageBreak/>
        <w:t>inscripción de la demanda, el embargo, el secuestro</w:t>
      </w:r>
      <w:r w:rsidR="00D13C56" w:rsidRPr="00164C44">
        <w:rPr>
          <w:rFonts w:ascii="Gadugi" w:hAnsi="Gadugi"/>
          <w:sz w:val="24"/>
          <w:szCs w:val="24"/>
        </w:rPr>
        <w:t>)</w:t>
      </w:r>
      <w:r w:rsidR="00D856A1" w:rsidRPr="00164C44">
        <w:rPr>
          <w:rFonts w:ascii="Gadugi" w:hAnsi="Gadugi"/>
          <w:sz w:val="24"/>
          <w:szCs w:val="24"/>
        </w:rPr>
        <w:t>,</w:t>
      </w:r>
      <w:r w:rsidR="00D13C56" w:rsidRPr="00164C44">
        <w:rPr>
          <w:rFonts w:ascii="Gadugi" w:hAnsi="Gadugi"/>
          <w:sz w:val="24"/>
          <w:szCs w:val="24"/>
        </w:rPr>
        <w:t xml:space="preserve"> en las innominadas, por serlo, debe el juez, con esmero, empezar por d</w:t>
      </w:r>
      <w:r w:rsidR="000C510C" w:rsidRPr="00164C44">
        <w:rPr>
          <w:rFonts w:ascii="Gadugi" w:hAnsi="Gadugi"/>
          <w:sz w:val="24"/>
          <w:szCs w:val="24"/>
        </w:rPr>
        <w:t xml:space="preserve">ilucidar si se da cada una de estas condiciones para que pueda ordenarla. </w:t>
      </w:r>
    </w:p>
    <w:p w14:paraId="3312AAB1" w14:textId="77777777" w:rsidR="00164C44" w:rsidRDefault="00164C44" w:rsidP="00164C44">
      <w:pPr>
        <w:pStyle w:val="Prrafodelista"/>
        <w:tabs>
          <w:tab w:val="left" w:pos="386"/>
          <w:tab w:val="left" w:pos="567"/>
        </w:tabs>
        <w:spacing w:line="276" w:lineRule="auto"/>
        <w:ind w:left="0" w:right="115"/>
        <w:rPr>
          <w:rFonts w:ascii="Gadugi" w:hAnsi="Gadugi"/>
          <w:sz w:val="24"/>
          <w:szCs w:val="24"/>
        </w:rPr>
      </w:pPr>
    </w:p>
    <w:p w14:paraId="1458E3E1" w14:textId="476CC6C7" w:rsidR="00117869" w:rsidRPr="00164C44" w:rsidRDefault="000C510C"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t>De tiempo atrás</w:t>
      </w:r>
      <w:r w:rsidR="005126F1" w:rsidRPr="00164C44">
        <w:rPr>
          <w:rStyle w:val="Refdenotaalpie"/>
          <w:rFonts w:ascii="Gadugi" w:hAnsi="Gadugi"/>
          <w:sz w:val="24"/>
          <w:szCs w:val="24"/>
        </w:rPr>
        <w:footnoteReference w:id="1"/>
      </w:r>
      <w:r w:rsidRPr="00164C44">
        <w:rPr>
          <w:rFonts w:ascii="Gadugi" w:hAnsi="Gadugi"/>
          <w:sz w:val="24"/>
          <w:szCs w:val="24"/>
        </w:rPr>
        <w:t xml:space="preserve">, esta Sala hizo énfasis en la distinción señalada y viene sosteniendo que no puede hacerse pasar por innominada </w:t>
      </w:r>
      <w:r w:rsidR="00117869" w:rsidRPr="00164C44">
        <w:rPr>
          <w:rFonts w:ascii="Gadugi" w:hAnsi="Gadugi"/>
          <w:sz w:val="24"/>
          <w:szCs w:val="24"/>
        </w:rPr>
        <w:t>una medida nominada, porque ello implicaría tergiversar su verdadera naturaleza. Se explicó entonces</w:t>
      </w:r>
      <w:r w:rsidR="00EE2105" w:rsidRPr="00164C44">
        <w:rPr>
          <w:rFonts w:ascii="Gadugi" w:hAnsi="Gadugi"/>
          <w:sz w:val="24"/>
          <w:szCs w:val="24"/>
        </w:rPr>
        <w:t xml:space="preserve">, en un asunto que además guarda similitud con el actual, pues también allí se pedía en un proceso declarativo un embargo de remanentes, </w:t>
      </w:r>
      <w:r w:rsidR="00117869" w:rsidRPr="00164C44">
        <w:rPr>
          <w:rFonts w:ascii="Gadugi" w:hAnsi="Gadugi"/>
          <w:sz w:val="24"/>
          <w:szCs w:val="24"/>
        </w:rPr>
        <w:t xml:space="preserve">que: </w:t>
      </w:r>
    </w:p>
    <w:p w14:paraId="0DDE8513" w14:textId="77777777" w:rsidR="00477819" w:rsidRPr="00164C44" w:rsidRDefault="00477819" w:rsidP="00164C44">
      <w:pPr>
        <w:pStyle w:val="Prrafodelista"/>
        <w:tabs>
          <w:tab w:val="left" w:pos="386"/>
          <w:tab w:val="left" w:pos="567"/>
        </w:tabs>
        <w:spacing w:line="276" w:lineRule="auto"/>
        <w:ind w:left="567" w:right="565"/>
        <w:rPr>
          <w:rFonts w:ascii="Gadugi" w:hAnsi="Gadugi"/>
          <w:i/>
          <w:iCs/>
          <w:sz w:val="24"/>
          <w:szCs w:val="24"/>
        </w:rPr>
      </w:pPr>
    </w:p>
    <w:p w14:paraId="766DE117"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Se empieza por recordar que </w:t>
      </w:r>
      <w:r w:rsidRPr="005C1F45">
        <w:rPr>
          <w:rFonts w:ascii="Gadugi" w:eastAsia="Times New Roman" w:hAnsi="Gadugi"/>
          <w:i/>
          <w:iCs/>
          <w:szCs w:val="24"/>
          <w:lang w:eastAsia="es-ES"/>
        </w:rPr>
        <w:t>cuando de medidas cautelares se trata, campea</w:t>
      </w:r>
      <w:r w:rsidRPr="005C1F45">
        <w:rPr>
          <w:rFonts w:ascii="Gadugi" w:eastAsia="Times New Roman" w:hAnsi="Gadugi"/>
          <w:i/>
          <w:iCs/>
          <w:szCs w:val="24"/>
          <w:lang w:val="es-419" w:eastAsia="es-ES"/>
        </w:rPr>
        <w:t xml:space="preserve"> la regla de la </w:t>
      </w:r>
      <w:proofErr w:type="spellStart"/>
      <w:r w:rsidRPr="005C1F45">
        <w:rPr>
          <w:rFonts w:ascii="Gadugi" w:eastAsia="Times New Roman" w:hAnsi="Gadugi"/>
          <w:i/>
          <w:iCs/>
          <w:szCs w:val="24"/>
          <w:lang w:val="es-419" w:eastAsia="es-ES"/>
        </w:rPr>
        <w:t>taxatividad</w:t>
      </w:r>
      <w:proofErr w:type="spellEnd"/>
      <w:r w:rsidRPr="005C1F45">
        <w:rPr>
          <w:rFonts w:ascii="Gadugi" w:eastAsia="Times New Roman" w:hAnsi="Gadugi"/>
          <w:i/>
          <w:iCs/>
          <w:szCs w:val="24"/>
          <w:lang w:val="es-419" w:eastAsia="es-ES"/>
        </w:rPr>
        <w:t>. E</w:t>
      </w:r>
      <w:r w:rsidRPr="005C1F45">
        <w:rPr>
          <w:rFonts w:ascii="Gadugi" w:eastAsia="Times New Roman" w:hAnsi="Gadugi"/>
          <w:i/>
          <w:iCs/>
          <w:szCs w:val="24"/>
          <w:lang w:eastAsia="es-ES"/>
        </w:rPr>
        <w:t xml:space="preserve">n otras palabras, para decretar una medida cautelar, el juez debe verificar que esté indicada en las normas generales, o autorizada para el proceso especial en </w:t>
      </w:r>
      <w:r w:rsidRPr="005C1F45">
        <w:rPr>
          <w:rFonts w:ascii="Gadugi" w:eastAsia="Times New Roman" w:hAnsi="Gadugi"/>
          <w:i/>
          <w:iCs/>
          <w:szCs w:val="24"/>
          <w:lang w:val="es-419" w:eastAsia="es-ES"/>
        </w:rPr>
        <w:t xml:space="preserve">el </w:t>
      </w:r>
      <w:r w:rsidRPr="005C1F45">
        <w:rPr>
          <w:rFonts w:ascii="Gadugi" w:eastAsia="Times New Roman" w:hAnsi="Gadugi"/>
          <w:i/>
          <w:iCs/>
          <w:szCs w:val="24"/>
          <w:lang w:eastAsia="es-ES"/>
        </w:rPr>
        <w:t xml:space="preserve">que se pide, de lo contrario no puede acceder a la solicitud, porque sería </w:t>
      </w:r>
      <w:r w:rsidRPr="005C1F45">
        <w:rPr>
          <w:rFonts w:ascii="Gadugi" w:eastAsia="Times New Roman" w:hAnsi="Gadugi"/>
          <w:i/>
          <w:iCs/>
          <w:szCs w:val="24"/>
          <w:lang w:val="es-419" w:eastAsia="es-ES"/>
        </w:rPr>
        <w:t xml:space="preserve">trastocar la especificidad que le es propia. </w:t>
      </w:r>
    </w:p>
    <w:p w14:paraId="7061339A" w14:textId="77777777" w:rsidR="00477819" w:rsidRPr="005C1F45" w:rsidRDefault="00477819" w:rsidP="005C1F45">
      <w:pPr>
        <w:ind w:left="426" w:right="428"/>
        <w:jc w:val="both"/>
        <w:rPr>
          <w:rFonts w:ascii="Gadugi" w:eastAsia="Times New Roman" w:hAnsi="Gadugi"/>
          <w:i/>
          <w:iCs/>
          <w:szCs w:val="24"/>
          <w:lang w:val="es-419" w:eastAsia="es-ES"/>
        </w:rPr>
      </w:pPr>
    </w:p>
    <w:p w14:paraId="5C058BB6" w14:textId="77777777" w:rsidR="00477819" w:rsidRPr="005C1F45" w:rsidRDefault="00477819" w:rsidP="005C1F45">
      <w:pPr>
        <w:ind w:left="426" w:right="428"/>
        <w:jc w:val="both"/>
        <w:rPr>
          <w:rFonts w:ascii="Gadugi" w:eastAsia="Times New Roman" w:hAnsi="Gadugi"/>
          <w:i/>
          <w:iCs/>
          <w:szCs w:val="24"/>
          <w:lang w:eastAsia="es-ES"/>
        </w:rPr>
      </w:pPr>
      <w:r w:rsidRPr="005C1F45">
        <w:rPr>
          <w:rFonts w:ascii="Gadugi" w:eastAsia="Times New Roman" w:hAnsi="Gadugi"/>
          <w:i/>
          <w:iCs/>
          <w:szCs w:val="24"/>
          <w:lang w:val="es-419" w:eastAsia="es-ES"/>
        </w:rPr>
        <w:t xml:space="preserve">Regla que incluye a las ahora llamadas medidas innominadas, en la medida en que ellas están reguladas para específicos casos, como los procesos declarativos, genéricamente, de acuerdo con el literal c) de la regla 1 del artículo 590 del </w:t>
      </w:r>
      <w:proofErr w:type="spellStart"/>
      <w:r w:rsidRPr="005C1F45">
        <w:rPr>
          <w:rFonts w:ascii="Gadugi" w:eastAsia="Times New Roman" w:hAnsi="Gadugi"/>
          <w:i/>
          <w:iCs/>
          <w:szCs w:val="24"/>
          <w:lang w:val="es-419" w:eastAsia="es-ES"/>
        </w:rPr>
        <w:t>CGP</w:t>
      </w:r>
      <w:proofErr w:type="spellEnd"/>
      <w:r w:rsidRPr="005C1F45">
        <w:rPr>
          <w:rFonts w:ascii="Gadugi" w:eastAsia="Times New Roman" w:hAnsi="Gadugi"/>
          <w:i/>
          <w:iCs/>
          <w:szCs w:val="24"/>
          <w:lang w:val="es-419" w:eastAsia="es-ES"/>
        </w:rPr>
        <w:t xml:space="preserve">; o en particular para los posesorios (art. 377), la interdicción de persona con discapacidad mental absoluta (art. 586-6), los asuntos de familia (art. 598-5-f), para citar algunos ejemplos. </w:t>
      </w:r>
    </w:p>
    <w:p w14:paraId="5BCDAD31" w14:textId="77777777" w:rsidR="00477819" w:rsidRPr="005C1F45" w:rsidRDefault="00477819" w:rsidP="005C1F45">
      <w:pPr>
        <w:ind w:left="426" w:right="428"/>
        <w:jc w:val="both"/>
        <w:rPr>
          <w:rFonts w:ascii="Gadugi" w:eastAsia="Times New Roman" w:hAnsi="Gadugi"/>
          <w:i/>
          <w:iCs/>
          <w:szCs w:val="24"/>
          <w:lang w:eastAsia="es-ES"/>
        </w:rPr>
      </w:pPr>
    </w:p>
    <w:p w14:paraId="7C7A161A"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Tiene dicho la doctrina que las medidas cautelares: </w:t>
      </w:r>
    </w:p>
    <w:p w14:paraId="72AED376" w14:textId="77777777" w:rsidR="00477819" w:rsidRPr="005C1F45" w:rsidRDefault="00477819" w:rsidP="005C1F45">
      <w:pPr>
        <w:ind w:left="426" w:right="428"/>
        <w:jc w:val="both"/>
        <w:rPr>
          <w:rFonts w:ascii="Gadugi" w:eastAsia="Times New Roman" w:hAnsi="Gadugi"/>
          <w:i/>
          <w:iCs/>
          <w:szCs w:val="24"/>
          <w:lang w:eastAsia="es-ES"/>
        </w:rPr>
      </w:pPr>
    </w:p>
    <w:p w14:paraId="37F344FD" w14:textId="77777777" w:rsidR="00477819" w:rsidRPr="005C1F45" w:rsidRDefault="00477819" w:rsidP="005C1F45">
      <w:pPr>
        <w:ind w:left="426" w:right="428"/>
        <w:jc w:val="both"/>
        <w:rPr>
          <w:rFonts w:ascii="Gadugi" w:eastAsia="Times New Roman" w:hAnsi="Gadugi"/>
          <w:i/>
          <w:iCs/>
          <w:szCs w:val="24"/>
          <w:lang w:eastAsia="es-ES"/>
        </w:rPr>
      </w:pPr>
      <w:r w:rsidRPr="005C1F45">
        <w:rPr>
          <w:rFonts w:ascii="Gadugi" w:eastAsia="Times New Roman" w:hAnsi="Gadugi"/>
          <w:i/>
          <w:iCs/>
          <w:szCs w:val="24"/>
          <w:lang w:eastAsia="es-ES"/>
        </w:rPr>
        <w:t>Deben estar predeterminadas en la ley, porque la codificación se encarga no sólo (sic) de tipificarlas sino de señalar el proceso dentro del cual proceden, requisito que no se puede confundir con el de que sean o no nominativas, porque también en el evento de que se permitan las medidas cautelares que el juez estime pertinentes opera la predeterminación, entendida en el sentido de que siempre una norma debe contemplarlas de antemano.</w:t>
      </w:r>
    </w:p>
    <w:p w14:paraId="0AAA5FC7" w14:textId="77777777" w:rsidR="00477819" w:rsidRPr="005C1F45" w:rsidRDefault="00477819" w:rsidP="005C1F45">
      <w:pPr>
        <w:ind w:left="426" w:right="428"/>
        <w:jc w:val="both"/>
        <w:rPr>
          <w:rFonts w:ascii="Gadugi" w:eastAsia="Times New Roman" w:hAnsi="Gadugi"/>
          <w:i/>
          <w:iCs/>
          <w:szCs w:val="24"/>
          <w:lang w:eastAsia="es-ES"/>
        </w:rPr>
      </w:pPr>
    </w:p>
    <w:p w14:paraId="4528FBCE" w14:textId="4A9C1976" w:rsidR="00477819" w:rsidRPr="005C1F45" w:rsidRDefault="00477819" w:rsidP="005C1F45">
      <w:pPr>
        <w:ind w:left="426" w:right="428"/>
        <w:jc w:val="both"/>
        <w:rPr>
          <w:rFonts w:ascii="Gadugi" w:eastAsia="Times New Roman" w:hAnsi="Gadugi"/>
          <w:i/>
          <w:iCs/>
          <w:szCs w:val="24"/>
          <w:lang w:eastAsia="es-ES"/>
        </w:rPr>
      </w:pPr>
      <w:r w:rsidRPr="005C1F45">
        <w:rPr>
          <w:rFonts w:ascii="Gadugi" w:eastAsia="Times New Roman" w:hAnsi="Gadugi"/>
          <w:i/>
          <w:iCs/>
          <w:szCs w:val="24"/>
          <w:lang w:eastAsia="es-ES"/>
        </w:rPr>
        <w:t>En suma, entiendo este requisito como la necesidad de que una norma consagre y autorice al juez para decretar de oficio o a solicitud de parte una medida cautelar, de manera que en todos los eventos en lo que la ley contempla medidas cautelares innominadas también se cumple esta exigencia, solo que el juez puede de acuerdo con las particularidades del específico caso señalar la que estime procedente, no solo de las nominadas en la ley.</w:t>
      </w:r>
      <w:r w:rsidRPr="005C1F45">
        <w:rPr>
          <w:rFonts w:ascii="Gadugi" w:eastAsia="Times New Roman" w:hAnsi="Gadugi"/>
          <w:i/>
          <w:iCs/>
          <w:szCs w:val="24"/>
          <w:vertAlign w:val="superscript"/>
          <w:lang w:eastAsia="es-ES"/>
        </w:rPr>
        <w:footnoteReference w:id="2"/>
      </w:r>
      <w:r w:rsidRPr="005C1F45">
        <w:rPr>
          <w:rFonts w:ascii="Gadugi" w:eastAsia="Times New Roman" w:hAnsi="Gadugi"/>
          <w:i/>
          <w:iCs/>
          <w:szCs w:val="24"/>
          <w:lang w:eastAsia="es-ES"/>
        </w:rPr>
        <w:t xml:space="preserve">  </w:t>
      </w:r>
    </w:p>
    <w:p w14:paraId="5050F59C" w14:textId="77777777" w:rsidR="00477819" w:rsidRPr="005C1F45" w:rsidRDefault="00477819" w:rsidP="005C1F45">
      <w:pPr>
        <w:ind w:left="426" w:right="428"/>
        <w:jc w:val="both"/>
        <w:rPr>
          <w:rFonts w:ascii="Gadugi" w:eastAsia="Times New Roman" w:hAnsi="Gadugi"/>
          <w:i/>
          <w:iCs/>
          <w:szCs w:val="24"/>
          <w:lang w:eastAsia="es-ES"/>
        </w:rPr>
      </w:pPr>
    </w:p>
    <w:p w14:paraId="4CEB5177"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Se trata en este caso de un proceso declarativo; de ello no hay duda. Por ende, sería susceptible, en principio, del decreto de medidas cautelares innominadas. La cuestión es que, tales medidas, de su propia denominación se deduce, son aquellas que no aparecen identificadas en la ley procesal, es decir, que se apartan de las medidas nominadas que la legislación establece para cada asunto en particular, esto es, el embargo y secuestro en los ejecutivos, la inscripción de la demanda y el secuestro de bienes muebles no sujetos a registro en los declarativos, la suspensión provisional en </w:t>
      </w:r>
      <w:r w:rsidRPr="005C1F45">
        <w:rPr>
          <w:rFonts w:ascii="Gadugi" w:eastAsia="Times New Roman" w:hAnsi="Gadugi"/>
          <w:i/>
          <w:iCs/>
          <w:szCs w:val="24"/>
          <w:lang w:val="es-419" w:eastAsia="es-ES"/>
        </w:rPr>
        <w:lastRenderedPageBreak/>
        <w:t xml:space="preserve">los procesos de impugnación de actos de asambleas, juntas directivas o de socios, la guarda y aposición de sellos, el embargo y secuestro en los procesos de sucesión, también para traer unos ejemplos. </w:t>
      </w:r>
    </w:p>
    <w:p w14:paraId="7AA11C5E" w14:textId="77777777" w:rsidR="00477819" w:rsidRPr="005C1F45" w:rsidRDefault="00477819" w:rsidP="005C1F45">
      <w:pPr>
        <w:ind w:left="426" w:right="428"/>
        <w:jc w:val="both"/>
        <w:rPr>
          <w:rFonts w:ascii="Gadugi" w:eastAsia="Times New Roman" w:hAnsi="Gadugi"/>
          <w:i/>
          <w:iCs/>
          <w:szCs w:val="24"/>
          <w:lang w:val="es-419" w:eastAsia="es-ES"/>
        </w:rPr>
      </w:pPr>
    </w:p>
    <w:p w14:paraId="11CA2FB2"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Dicho de otra manera, unas son las medidas nominadas y otras las innominadas que, por serlo, no tienen un específico desarrollo normativo, sino que dependen de que el juez verifique las condiciones de que trata el aludido literal c) de la regla 1ª del artículo 590 del estatuto procesal. </w:t>
      </w:r>
    </w:p>
    <w:p w14:paraId="149488B9" w14:textId="77777777" w:rsidR="00477819" w:rsidRPr="005C1F45" w:rsidRDefault="00477819" w:rsidP="005C1F45">
      <w:pPr>
        <w:ind w:left="426" w:right="428"/>
        <w:jc w:val="both"/>
        <w:rPr>
          <w:rFonts w:ascii="Gadugi" w:eastAsia="Times New Roman" w:hAnsi="Gadugi"/>
          <w:i/>
          <w:iCs/>
          <w:szCs w:val="24"/>
          <w:lang w:val="es-419" w:eastAsia="es-ES"/>
        </w:rPr>
      </w:pPr>
    </w:p>
    <w:p w14:paraId="214DD882"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Si no fuera de esta manera, ningún sentido tendría la distinción que el mismo legislador hace entre las medidas nominadas y aquellas otras que el juez pueda decretar en determinados asuntos. Hubiera bastado que el artículo 590 dijera que en los procesos podría decretarse cualquier medida que el juez estimara razonable, siempre que cumpliera las mentadas exigencias; así, en los ejecutivos podría hablarse de inscripción de la demanda, en tanto </w:t>
      </w:r>
      <w:proofErr w:type="gramStart"/>
      <w:r w:rsidRPr="005C1F45">
        <w:rPr>
          <w:rFonts w:ascii="Gadugi" w:eastAsia="Times New Roman" w:hAnsi="Gadugi"/>
          <w:i/>
          <w:iCs/>
          <w:szCs w:val="24"/>
          <w:lang w:val="es-419" w:eastAsia="es-ES"/>
        </w:rPr>
        <w:t>que</w:t>
      </w:r>
      <w:proofErr w:type="gramEnd"/>
      <w:r w:rsidRPr="005C1F45">
        <w:rPr>
          <w:rFonts w:ascii="Gadugi" w:eastAsia="Times New Roman" w:hAnsi="Gadugi"/>
          <w:i/>
          <w:iCs/>
          <w:szCs w:val="24"/>
          <w:lang w:val="es-419" w:eastAsia="es-ES"/>
        </w:rPr>
        <w:t xml:space="preserve"> en los declarativos de embargo y secuestro de inmuebles, de manera indiscriminada. </w:t>
      </w:r>
    </w:p>
    <w:p w14:paraId="4277A8A7" w14:textId="77777777" w:rsidR="00477819" w:rsidRPr="005C1F45" w:rsidRDefault="00477819" w:rsidP="005C1F45">
      <w:pPr>
        <w:ind w:left="426" w:right="428"/>
        <w:jc w:val="both"/>
        <w:rPr>
          <w:rFonts w:ascii="Gadugi" w:eastAsia="Times New Roman" w:hAnsi="Gadugi"/>
          <w:i/>
          <w:iCs/>
          <w:szCs w:val="24"/>
          <w:lang w:val="es-419" w:eastAsia="es-ES"/>
        </w:rPr>
      </w:pPr>
    </w:p>
    <w:p w14:paraId="038DD5B4"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 xml:space="preserve">Pero no fue así, el </w:t>
      </w:r>
      <w:proofErr w:type="spellStart"/>
      <w:r w:rsidRPr="005C1F45">
        <w:rPr>
          <w:rFonts w:ascii="Gadugi" w:eastAsia="Times New Roman" w:hAnsi="Gadugi"/>
          <w:i/>
          <w:iCs/>
          <w:szCs w:val="24"/>
          <w:lang w:val="es-419" w:eastAsia="es-ES"/>
        </w:rPr>
        <w:t>CGP</w:t>
      </w:r>
      <w:proofErr w:type="spellEnd"/>
      <w:r w:rsidRPr="005C1F45">
        <w:rPr>
          <w:rFonts w:ascii="Gadugi" w:eastAsia="Times New Roman" w:hAnsi="Gadugi"/>
          <w:i/>
          <w:iCs/>
          <w:szCs w:val="24"/>
          <w:lang w:val="es-419" w:eastAsia="es-ES"/>
        </w:rPr>
        <w:t xml:space="preserve"> deslindó unas de otras y, por tanto, siguiendo esa regla de la </w:t>
      </w:r>
      <w:proofErr w:type="spellStart"/>
      <w:r w:rsidRPr="005C1F45">
        <w:rPr>
          <w:rFonts w:ascii="Gadugi" w:eastAsia="Times New Roman" w:hAnsi="Gadugi"/>
          <w:i/>
          <w:iCs/>
          <w:szCs w:val="24"/>
          <w:lang w:val="es-419" w:eastAsia="es-ES"/>
        </w:rPr>
        <w:t>taxatividad</w:t>
      </w:r>
      <w:proofErr w:type="spellEnd"/>
      <w:r w:rsidRPr="005C1F45">
        <w:rPr>
          <w:rFonts w:ascii="Gadugi" w:eastAsia="Times New Roman" w:hAnsi="Gadugi"/>
          <w:i/>
          <w:iCs/>
          <w:szCs w:val="24"/>
          <w:lang w:val="es-419" w:eastAsia="es-ES"/>
        </w:rPr>
        <w:t xml:space="preserve">, la medidas cautelares innominadas, serán aquellas que, en criterio del juez, se ajusten a las condiciones de legitimación, existencia de amenaza o vulneración del derecho, apariencia de buen derecho, necesidad, efectividad, proporcionalidad y legitimación, siempre que sean distintas a las nominadas, que por su naturaleza, ya llevan insertos tales requerimientos, lo que indica que el juez ningún análisis debe realizar sobre ellos. </w:t>
      </w:r>
    </w:p>
    <w:p w14:paraId="734C155B" w14:textId="77777777" w:rsidR="00477819" w:rsidRPr="005C1F45" w:rsidRDefault="00477819" w:rsidP="005C1F45">
      <w:pPr>
        <w:ind w:left="426" w:right="428"/>
        <w:jc w:val="both"/>
        <w:rPr>
          <w:rFonts w:ascii="Gadugi" w:eastAsia="Times New Roman" w:hAnsi="Gadugi"/>
          <w:i/>
          <w:iCs/>
          <w:szCs w:val="24"/>
          <w:lang w:val="es-419" w:eastAsia="es-ES"/>
        </w:rPr>
      </w:pPr>
    </w:p>
    <w:p w14:paraId="48DC4263" w14:textId="77777777" w:rsidR="00477819" w:rsidRPr="005C1F45" w:rsidRDefault="00477819" w:rsidP="005C1F45">
      <w:pPr>
        <w:ind w:left="426" w:right="428"/>
        <w:jc w:val="both"/>
        <w:rPr>
          <w:rFonts w:ascii="Gadugi" w:eastAsia="Times New Roman" w:hAnsi="Gadugi"/>
          <w:i/>
          <w:iCs/>
          <w:szCs w:val="24"/>
          <w:lang w:val="es-CO" w:eastAsia="es-ES"/>
        </w:rPr>
      </w:pPr>
      <w:r w:rsidRPr="005C1F45">
        <w:rPr>
          <w:rFonts w:ascii="Gadugi" w:eastAsia="Times New Roman" w:hAnsi="Gadugi"/>
          <w:i/>
          <w:iCs/>
          <w:szCs w:val="24"/>
          <w:lang w:val="es-419" w:eastAsia="es-ES"/>
        </w:rPr>
        <w:t xml:space="preserve">Si se traslada esta idea al caso concreto, que, se repite, corresponde a un asunto </w:t>
      </w:r>
      <w:r w:rsidRPr="005C1F45">
        <w:rPr>
          <w:rFonts w:ascii="Gadugi" w:eastAsia="Times New Roman" w:hAnsi="Gadugi"/>
          <w:i/>
          <w:iCs/>
          <w:szCs w:val="24"/>
          <w:lang w:val="es-CO" w:eastAsia="es-ES"/>
        </w:rPr>
        <w:t>verbal de responsabilidad civil extracontractual</w:t>
      </w:r>
      <w:r w:rsidRPr="005C1F45">
        <w:rPr>
          <w:rFonts w:ascii="Gadugi" w:eastAsia="Times New Roman" w:hAnsi="Gadugi"/>
          <w:i/>
          <w:iCs/>
          <w:szCs w:val="24"/>
          <w:lang w:val="es-419" w:eastAsia="es-ES"/>
        </w:rPr>
        <w:t xml:space="preserve">, podría en él tener cabida </w:t>
      </w:r>
      <w:r w:rsidRPr="005C1F45">
        <w:rPr>
          <w:rFonts w:ascii="Gadugi" w:eastAsia="Times New Roman" w:hAnsi="Gadugi"/>
          <w:i/>
          <w:iCs/>
          <w:szCs w:val="24"/>
          <w:lang w:val="es-CO" w:eastAsia="es-ES"/>
        </w:rPr>
        <w:t>la medida de inscripción de la demanda</w:t>
      </w:r>
      <w:r w:rsidRPr="005C1F45">
        <w:rPr>
          <w:rFonts w:ascii="Gadugi" w:eastAsia="Times New Roman" w:hAnsi="Gadugi"/>
          <w:i/>
          <w:iCs/>
          <w:szCs w:val="24"/>
          <w:lang w:val="es-419" w:eastAsia="es-ES"/>
        </w:rPr>
        <w:t xml:space="preserve">, ninguna otra nominada, y, además, cualquier </w:t>
      </w:r>
      <w:r w:rsidRPr="005C1F45">
        <w:rPr>
          <w:rFonts w:ascii="Gadugi" w:eastAsia="Times New Roman" w:hAnsi="Gadugi"/>
          <w:i/>
          <w:iCs/>
          <w:szCs w:val="24"/>
          <w:lang w:val="es-CO" w:eastAsia="es-ES"/>
        </w:rPr>
        <w:t>innominada que el juez considere</w:t>
      </w:r>
      <w:r w:rsidRPr="005C1F45">
        <w:rPr>
          <w:rFonts w:ascii="Gadugi" w:eastAsia="Times New Roman" w:hAnsi="Gadugi"/>
          <w:i/>
          <w:iCs/>
          <w:szCs w:val="24"/>
          <w:lang w:val="es-419" w:eastAsia="es-ES"/>
        </w:rPr>
        <w:t xml:space="preserve"> pertinente, siempre que, se insiste en ello, </w:t>
      </w:r>
      <w:r w:rsidRPr="005C1F45">
        <w:rPr>
          <w:rFonts w:ascii="Gadugi" w:eastAsia="Times New Roman" w:hAnsi="Gadugi"/>
          <w:i/>
          <w:iCs/>
          <w:szCs w:val="24"/>
          <w:lang w:val="es-CO" w:eastAsia="es-ES"/>
        </w:rPr>
        <w:t xml:space="preserve">no </w:t>
      </w:r>
      <w:r w:rsidRPr="005C1F45">
        <w:rPr>
          <w:rFonts w:ascii="Gadugi" w:eastAsia="Times New Roman" w:hAnsi="Gadugi"/>
          <w:i/>
          <w:iCs/>
          <w:szCs w:val="24"/>
          <w:lang w:val="es-419" w:eastAsia="es-ES"/>
        </w:rPr>
        <w:t xml:space="preserve">sea una de aquellas que el estatuto procesal tipifica para otro proceso en especial. </w:t>
      </w:r>
    </w:p>
    <w:p w14:paraId="44EBB365" w14:textId="77777777" w:rsidR="00477819" w:rsidRPr="005C1F45" w:rsidRDefault="00477819" w:rsidP="005C1F45">
      <w:pPr>
        <w:ind w:left="426" w:right="428"/>
        <w:jc w:val="both"/>
        <w:rPr>
          <w:rFonts w:ascii="Gadugi" w:eastAsia="Times New Roman" w:hAnsi="Gadugi"/>
          <w:i/>
          <w:iCs/>
          <w:szCs w:val="24"/>
          <w:lang w:val="es-CO" w:eastAsia="es-ES"/>
        </w:rPr>
      </w:pPr>
    </w:p>
    <w:p w14:paraId="214E04F5" w14:textId="5C3CE839" w:rsidR="00477819" w:rsidRPr="005C1F45" w:rsidRDefault="00477819" w:rsidP="005C1F45">
      <w:pPr>
        <w:ind w:left="426" w:right="428"/>
        <w:jc w:val="both"/>
        <w:rPr>
          <w:rFonts w:ascii="Gadugi" w:eastAsia="Times New Roman" w:hAnsi="Gadugi"/>
          <w:i/>
          <w:iCs/>
          <w:szCs w:val="24"/>
          <w:lang w:val="es-CO" w:eastAsia="es-ES"/>
        </w:rPr>
      </w:pPr>
      <w:r w:rsidRPr="005C1F45">
        <w:rPr>
          <w:rFonts w:ascii="Gadugi" w:eastAsia="Times New Roman" w:hAnsi="Gadugi"/>
          <w:i/>
          <w:iCs/>
          <w:szCs w:val="24"/>
          <w:lang w:val="es-419" w:eastAsia="es-ES"/>
        </w:rPr>
        <w:t>Es que, cuando el</w:t>
      </w:r>
      <w:r w:rsidRPr="005C1F45">
        <w:rPr>
          <w:rFonts w:ascii="Gadugi" w:eastAsia="Times New Roman" w:hAnsi="Gadugi"/>
          <w:i/>
          <w:iCs/>
          <w:szCs w:val="24"/>
          <w:lang w:val="es-CO" w:eastAsia="es-ES"/>
        </w:rPr>
        <w:t xml:space="preserve"> Código General del Proceso en el literal c) del artículo 590</w:t>
      </w:r>
      <w:r w:rsidRPr="005C1F45">
        <w:rPr>
          <w:rFonts w:ascii="Gadugi" w:eastAsia="Times New Roman" w:hAnsi="Gadugi"/>
          <w:i/>
          <w:iCs/>
          <w:szCs w:val="24"/>
          <w:lang w:val="es-419" w:eastAsia="es-ES"/>
        </w:rPr>
        <w:t>,</w:t>
      </w:r>
      <w:r w:rsidRPr="005C1F45">
        <w:rPr>
          <w:rFonts w:ascii="Gadugi" w:eastAsia="Times New Roman" w:hAnsi="Gadugi"/>
          <w:i/>
          <w:iCs/>
          <w:szCs w:val="24"/>
          <w:lang w:val="es-CO" w:eastAsia="es-ES"/>
        </w:rPr>
        <w:t xml:space="preserve"> autorizó al juez para ordenar “cualquier otra medida” que encuentre razonable, diferente a las reguladas en la ley, </w:t>
      </w:r>
      <w:r w:rsidRPr="005C1F45">
        <w:rPr>
          <w:rFonts w:ascii="Gadugi" w:eastAsia="Times New Roman" w:hAnsi="Gadugi"/>
          <w:i/>
          <w:iCs/>
          <w:szCs w:val="24"/>
          <w:lang w:val="es-419" w:eastAsia="es-ES"/>
        </w:rPr>
        <w:t xml:space="preserve">tuvo como finalidad </w:t>
      </w:r>
      <w:r w:rsidRPr="005C1F45">
        <w:rPr>
          <w:rFonts w:ascii="Gadugi" w:eastAsia="Times New Roman" w:hAnsi="Gadugi"/>
          <w:i/>
          <w:iCs/>
          <w:szCs w:val="24"/>
          <w:lang w:val="es-CO" w:eastAsia="es-ES"/>
        </w:rPr>
        <w:t xml:space="preserve">ampliar el campo de las cautelas en los procesos declarativos a las que no se encuentren </w:t>
      </w:r>
      <w:r w:rsidRPr="005C1F45">
        <w:rPr>
          <w:rFonts w:ascii="Gadugi" w:eastAsia="Times New Roman" w:hAnsi="Gadugi"/>
          <w:i/>
          <w:iCs/>
          <w:szCs w:val="24"/>
          <w:lang w:val="es-419" w:eastAsia="es-ES"/>
        </w:rPr>
        <w:t xml:space="preserve">bautizadas para los mismos procesos declarativos o para otros específicamente, para la cabal protección del derecho sustancial que se reclama. </w:t>
      </w:r>
    </w:p>
    <w:p w14:paraId="4920E79F" w14:textId="77777777" w:rsidR="00477819" w:rsidRPr="005C1F45" w:rsidRDefault="00477819" w:rsidP="005C1F45">
      <w:pPr>
        <w:ind w:left="426" w:right="428"/>
        <w:jc w:val="both"/>
        <w:rPr>
          <w:rFonts w:ascii="Gadugi" w:eastAsia="Times New Roman" w:hAnsi="Gadugi"/>
          <w:i/>
          <w:iCs/>
          <w:szCs w:val="24"/>
          <w:lang w:val="es-CO" w:eastAsia="es-ES"/>
        </w:rPr>
      </w:pPr>
    </w:p>
    <w:p w14:paraId="0E629695" w14:textId="77777777"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Pues bien, lo que aquí se pide</w:t>
      </w:r>
      <w:r w:rsidRPr="005C1F45">
        <w:rPr>
          <w:rFonts w:ascii="Gadugi" w:eastAsia="Times New Roman" w:hAnsi="Gadugi"/>
          <w:i/>
          <w:iCs/>
          <w:szCs w:val="24"/>
          <w:lang w:val="es-CO" w:eastAsia="es-ES"/>
        </w:rPr>
        <w:t xml:space="preserve"> es el embargo de remanentes en dos procesos ejecutivos, uno singular y otro hipotecario, </w:t>
      </w:r>
      <w:r w:rsidRPr="005C1F45">
        <w:rPr>
          <w:rFonts w:ascii="Gadugi" w:eastAsia="Times New Roman" w:hAnsi="Gadugi"/>
          <w:i/>
          <w:iCs/>
          <w:szCs w:val="24"/>
          <w:lang w:val="es-419" w:eastAsia="es-ES"/>
        </w:rPr>
        <w:t xml:space="preserve">medida que es de aplicación restrictiva para </w:t>
      </w:r>
      <w:r w:rsidRPr="005C1F45">
        <w:rPr>
          <w:rFonts w:ascii="Gadugi" w:eastAsia="Times New Roman" w:hAnsi="Gadugi"/>
          <w:i/>
          <w:iCs/>
          <w:szCs w:val="24"/>
          <w:lang w:val="es-CO" w:eastAsia="es-ES"/>
        </w:rPr>
        <w:t xml:space="preserve">esa clase de procesos, </w:t>
      </w:r>
      <w:r w:rsidRPr="005C1F45">
        <w:rPr>
          <w:rFonts w:ascii="Gadugi" w:eastAsia="Times New Roman" w:hAnsi="Gadugi"/>
          <w:i/>
          <w:iCs/>
          <w:szCs w:val="24"/>
          <w:lang w:val="es-419" w:eastAsia="es-ES"/>
        </w:rPr>
        <w:t xml:space="preserve">según lo regula </w:t>
      </w:r>
      <w:r w:rsidRPr="005C1F45">
        <w:rPr>
          <w:rFonts w:ascii="Gadugi" w:eastAsia="Times New Roman" w:hAnsi="Gadugi"/>
          <w:i/>
          <w:iCs/>
          <w:szCs w:val="24"/>
          <w:lang w:val="es-CO" w:eastAsia="es-ES"/>
        </w:rPr>
        <w:t xml:space="preserve">expresamente el artículo 466 del </w:t>
      </w:r>
      <w:proofErr w:type="spellStart"/>
      <w:r w:rsidRPr="005C1F45">
        <w:rPr>
          <w:rFonts w:ascii="Gadugi" w:eastAsia="Times New Roman" w:hAnsi="Gadugi"/>
          <w:i/>
          <w:iCs/>
          <w:szCs w:val="24"/>
          <w:lang w:val="es-CO" w:eastAsia="es-ES"/>
        </w:rPr>
        <w:t>CGP</w:t>
      </w:r>
      <w:proofErr w:type="spellEnd"/>
      <w:r w:rsidRPr="005C1F45">
        <w:rPr>
          <w:rFonts w:ascii="Gadugi" w:eastAsia="Times New Roman" w:hAnsi="Gadugi"/>
          <w:i/>
          <w:iCs/>
          <w:szCs w:val="24"/>
          <w:lang w:val="es-CO" w:eastAsia="es-ES"/>
        </w:rPr>
        <w:t xml:space="preserve">, </w:t>
      </w:r>
      <w:r w:rsidRPr="005C1F45">
        <w:rPr>
          <w:rFonts w:ascii="Gadugi" w:eastAsia="Times New Roman" w:hAnsi="Gadugi"/>
          <w:i/>
          <w:iCs/>
          <w:szCs w:val="24"/>
          <w:lang w:val="es-419" w:eastAsia="es-ES"/>
        </w:rPr>
        <w:t xml:space="preserve">por lo que no se le puede dar la connotación de una innominada, con visos de poder ser aplicada a todo tipo de procesos declarativos. </w:t>
      </w:r>
    </w:p>
    <w:p w14:paraId="618B4D86" w14:textId="77777777" w:rsidR="005C1F45" w:rsidRDefault="005C1F45" w:rsidP="005C1F45">
      <w:pPr>
        <w:ind w:left="426" w:right="428"/>
        <w:jc w:val="both"/>
        <w:rPr>
          <w:rFonts w:ascii="Gadugi" w:eastAsia="Times New Roman" w:hAnsi="Gadugi"/>
          <w:i/>
          <w:iCs/>
          <w:szCs w:val="24"/>
          <w:lang w:val="es-419" w:eastAsia="es-ES"/>
        </w:rPr>
      </w:pPr>
    </w:p>
    <w:p w14:paraId="2760E4BE" w14:textId="20A7D461" w:rsidR="00477819" w:rsidRPr="005C1F45" w:rsidRDefault="00477819" w:rsidP="005C1F45">
      <w:pPr>
        <w:ind w:left="426" w:right="428"/>
        <w:jc w:val="both"/>
        <w:rPr>
          <w:rFonts w:ascii="Gadugi" w:eastAsia="Times New Roman" w:hAnsi="Gadugi"/>
          <w:i/>
          <w:iCs/>
          <w:szCs w:val="24"/>
          <w:lang w:val="es-419" w:eastAsia="es-ES"/>
        </w:rPr>
      </w:pPr>
      <w:r w:rsidRPr="005C1F45">
        <w:rPr>
          <w:rFonts w:ascii="Gadugi" w:eastAsia="Times New Roman" w:hAnsi="Gadugi"/>
          <w:i/>
          <w:iCs/>
          <w:szCs w:val="24"/>
          <w:lang w:val="es-419" w:eastAsia="es-ES"/>
        </w:rPr>
        <w:t>Recuérdese, adicionalmente, que el mismo inciso segundo del literal b) del artículo 590, establece que el embargo y secuestro de bienes, en los casos de responsabilidad civil extracontractual, podrán recaer sobre los bienes cuya inscripción de la demanda se logró desde el comienzo, o sobre los demás que al momento de la ejecución se denuncien, siempre y cuando se haya obtenido sentencia favorable de primera instancia para el demandante, lo cual, evidentemente, no ha ocurrido. Fácil se ve, que proceden ya en la fase de ejecución, no en la de conocimiento.</w:t>
      </w:r>
    </w:p>
    <w:p w14:paraId="53482E1A" w14:textId="56B7FD73" w:rsidR="00117869" w:rsidRPr="00164C44" w:rsidRDefault="00117869" w:rsidP="00164C44">
      <w:pPr>
        <w:pStyle w:val="Prrafodelista"/>
        <w:tabs>
          <w:tab w:val="left" w:pos="386"/>
          <w:tab w:val="left" w:pos="567"/>
        </w:tabs>
        <w:spacing w:line="276" w:lineRule="auto"/>
        <w:ind w:left="0" w:right="115"/>
        <w:rPr>
          <w:rFonts w:ascii="Gadugi" w:hAnsi="Gadugi"/>
          <w:sz w:val="24"/>
          <w:szCs w:val="24"/>
        </w:rPr>
      </w:pPr>
    </w:p>
    <w:p w14:paraId="5F36217A" w14:textId="3E9D5036" w:rsidR="006F5A96" w:rsidRPr="00164C44" w:rsidRDefault="006F5A96" w:rsidP="00164C44">
      <w:pPr>
        <w:pStyle w:val="Prrafodelista"/>
        <w:tabs>
          <w:tab w:val="left" w:pos="386"/>
          <w:tab w:val="left" w:pos="567"/>
        </w:tabs>
        <w:spacing w:line="276" w:lineRule="auto"/>
        <w:ind w:left="0" w:right="115"/>
        <w:rPr>
          <w:rFonts w:ascii="Gadugi" w:hAnsi="Gadugi"/>
          <w:sz w:val="24"/>
          <w:szCs w:val="24"/>
        </w:rPr>
      </w:pPr>
      <w:r w:rsidRPr="00164C44">
        <w:rPr>
          <w:rFonts w:ascii="Gadugi" w:hAnsi="Gadugi"/>
          <w:sz w:val="24"/>
          <w:szCs w:val="24"/>
        </w:rPr>
        <w:lastRenderedPageBreak/>
        <w:t>Valga anot</w:t>
      </w:r>
      <w:bookmarkStart w:id="0" w:name="_GoBack"/>
      <w:bookmarkEnd w:id="0"/>
      <w:r w:rsidRPr="00164C44">
        <w:rPr>
          <w:rFonts w:ascii="Gadugi" w:hAnsi="Gadugi"/>
          <w:sz w:val="24"/>
          <w:szCs w:val="24"/>
        </w:rPr>
        <w:t>ar que esto último aplica</w:t>
      </w:r>
      <w:r w:rsidR="00202C9D" w:rsidRPr="00164C44">
        <w:rPr>
          <w:rFonts w:ascii="Gadugi" w:hAnsi="Gadugi"/>
          <w:sz w:val="24"/>
          <w:szCs w:val="24"/>
        </w:rPr>
        <w:t xml:space="preserve"> también en el caso de la responsabilidad contractual, como aquí ocurre. </w:t>
      </w:r>
    </w:p>
    <w:p w14:paraId="0C080C30" w14:textId="77777777" w:rsidR="00202C9D" w:rsidRPr="00164C44" w:rsidRDefault="00202C9D" w:rsidP="00164C44">
      <w:pPr>
        <w:pStyle w:val="Prrafodelista"/>
        <w:tabs>
          <w:tab w:val="left" w:pos="386"/>
          <w:tab w:val="left" w:pos="567"/>
        </w:tabs>
        <w:spacing w:line="276" w:lineRule="auto"/>
        <w:ind w:left="0" w:right="115"/>
        <w:rPr>
          <w:rFonts w:ascii="Gadugi" w:hAnsi="Gadugi"/>
          <w:sz w:val="24"/>
          <w:szCs w:val="24"/>
        </w:rPr>
      </w:pPr>
    </w:p>
    <w:p w14:paraId="6EBAD1FD" w14:textId="15F59DEF" w:rsidR="006F5A96" w:rsidRPr="00164C44" w:rsidRDefault="00202C9D" w:rsidP="00164C44">
      <w:pPr>
        <w:pStyle w:val="Prrafodelista"/>
        <w:numPr>
          <w:ilvl w:val="1"/>
          <w:numId w:val="2"/>
        </w:numPr>
        <w:tabs>
          <w:tab w:val="left" w:pos="386"/>
          <w:tab w:val="left" w:pos="567"/>
        </w:tabs>
        <w:spacing w:line="276" w:lineRule="auto"/>
        <w:ind w:left="0" w:right="115" w:firstLine="0"/>
        <w:rPr>
          <w:rFonts w:ascii="Gadugi" w:hAnsi="Gadugi"/>
          <w:sz w:val="24"/>
          <w:szCs w:val="24"/>
        </w:rPr>
      </w:pPr>
      <w:r w:rsidRPr="00164C44">
        <w:rPr>
          <w:rFonts w:ascii="Gadugi" w:hAnsi="Gadugi"/>
          <w:sz w:val="24"/>
          <w:szCs w:val="24"/>
        </w:rPr>
        <w:t xml:space="preserve">Lo dicho, entonces, le da la razón al juez de </w:t>
      </w:r>
      <w:r w:rsidR="00014326" w:rsidRPr="00164C44">
        <w:rPr>
          <w:rFonts w:ascii="Gadugi" w:hAnsi="Gadugi"/>
          <w:sz w:val="24"/>
          <w:szCs w:val="24"/>
        </w:rPr>
        <w:t>primer grado</w:t>
      </w:r>
      <w:r w:rsidRPr="00164C44">
        <w:rPr>
          <w:rFonts w:ascii="Gadugi" w:hAnsi="Gadugi"/>
          <w:sz w:val="24"/>
          <w:szCs w:val="24"/>
        </w:rPr>
        <w:t xml:space="preserve">, sin que la sentencia que </w:t>
      </w:r>
      <w:r w:rsidR="0008172F" w:rsidRPr="00164C44">
        <w:rPr>
          <w:rFonts w:ascii="Gadugi" w:hAnsi="Gadugi"/>
          <w:sz w:val="24"/>
          <w:szCs w:val="24"/>
        </w:rPr>
        <w:t>t</w:t>
      </w:r>
      <w:r w:rsidRPr="00164C44">
        <w:rPr>
          <w:rFonts w:ascii="Gadugi" w:hAnsi="Gadugi"/>
          <w:sz w:val="24"/>
          <w:szCs w:val="24"/>
        </w:rPr>
        <w:t>rae a colación el recurrente pueda hacer variar las cosas, pues, precisamente, de su lectura emerge la clara distinción que hace la Corte, reiterada luego en otra decisión de tutela</w:t>
      </w:r>
      <w:r w:rsidR="0008172F" w:rsidRPr="00164C44">
        <w:rPr>
          <w:rFonts w:ascii="Gadugi" w:hAnsi="Gadugi"/>
          <w:sz w:val="24"/>
          <w:szCs w:val="24"/>
        </w:rPr>
        <w:t xml:space="preserve">, la </w:t>
      </w:r>
      <w:proofErr w:type="spellStart"/>
      <w:r w:rsidR="0008172F" w:rsidRPr="00164C44">
        <w:rPr>
          <w:rFonts w:ascii="Gadugi" w:hAnsi="Gadugi"/>
          <w:sz w:val="24"/>
          <w:szCs w:val="24"/>
        </w:rPr>
        <w:t>STC4557</w:t>
      </w:r>
      <w:proofErr w:type="spellEnd"/>
      <w:r w:rsidR="0008172F" w:rsidRPr="00164C44">
        <w:rPr>
          <w:rFonts w:ascii="Gadugi" w:hAnsi="Gadugi"/>
          <w:sz w:val="24"/>
          <w:szCs w:val="24"/>
        </w:rPr>
        <w:t>-2021, entre las medidas nominadas y las innominadas</w:t>
      </w:r>
      <w:r w:rsidR="001C5751" w:rsidRPr="00164C44">
        <w:rPr>
          <w:rFonts w:ascii="Gadugi" w:hAnsi="Gadugi"/>
          <w:sz w:val="24"/>
          <w:szCs w:val="24"/>
        </w:rPr>
        <w:t>.</w:t>
      </w:r>
    </w:p>
    <w:p w14:paraId="6B2305C7" w14:textId="77777777" w:rsidR="001C5751" w:rsidRPr="00164C44" w:rsidRDefault="001C5751" w:rsidP="00164C44">
      <w:pPr>
        <w:tabs>
          <w:tab w:val="left" w:pos="386"/>
          <w:tab w:val="left" w:pos="567"/>
        </w:tabs>
        <w:spacing w:line="276" w:lineRule="auto"/>
        <w:ind w:right="115"/>
        <w:rPr>
          <w:rFonts w:ascii="Gadugi" w:hAnsi="Gadugi"/>
          <w:sz w:val="24"/>
          <w:szCs w:val="24"/>
        </w:rPr>
      </w:pPr>
    </w:p>
    <w:p w14:paraId="04DA5F8F" w14:textId="724CBD5F" w:rsidR="001C5751" w:rsidRPr="00164C44" w:rsidRDefault="008B4504" w:rsidP="00164C44">
      <w:pPr>
        <w:tabs>
          <w:tab w:val="left" w:pos="386"/>
          <w:tab w:val="left" w:pos="567"/>
        </w:tabs>
        <w:spacing w:line="276" w:lineRule="auto"/>
        <w:ind w:right="115"/>
        <w:jc w:val="both"/>
        <w:rPr>
          <w:rFonts w:ascii="Gadugi" w:hAnsi="Gadugi"/>
          <w:sz w:val="24"/>
          <w:szCs w:val="24"/>
        </w:rPr>
      </w:pPr>
      <w:r w:rsidRPr="00164C44">
        <w:rPr>
          <w:rFonts w:ascii="Gadugi" w:hAnsi="Gadugi"/>
          <w:sz w:val="24"/>
          <w:szCs w:val="24"/>
        </w:rPr>
        <w:t>Por cierto</w:t>
      </w:r>
      <w:r w:rsidR="00D86BAB" w:rsidRPr="00164C44">
        <w:rPr>
          <w:rFonts w:ascii="Gadugi" w:hAnsi="Gadugi"/>
          <w:sz w:val="24"/>
          <w:szCs w:val="24"/>
        </w:rPr>
        <w:t>,</w:t>
      </w:r>
      <w:r w:rsidRPr="00164C44">
        <w:rPr>
          <w:rFonts w:ascii="Gadugi" w:hAnsi="Gadugi"/>
          <w:sz w:val="24"/>
          <w:szCs w:val="24"/>
        </w:rPr>
        <w:t xml:space="preserve"> con lo que acaba de </w:t>
      </w:r>
      <w:r w:rsidR="00D459C9" w:rsidRPr="00164C44">
        <w:rPr>
          <w:rFonts w:ascii="Gadugi" w:hAnsi="Gadugi"/>
          <w:sz w:val="24"/>
          <w:szCs w:val="24"/>
        </w:rPr>
        <w:t>señalarse</w:t>
      </w:r>
      <w:r w:rsidRPr="00164C44">
        <w:rPr>
          <w:rFonts w:ascii="Gadugi" w:hAnsi="Gadugi"/>
          <w:sz w:val="24"/>
          <w:szCs w:val="24"/>
        </w:rPr>
        <w:t>, abierto está el camino para que la demandante recurra a las medida</w:t>
      </w:r>
      <w:r w:rsidR="001E30AD" w:rsidRPr="00164C44">
        <w:rPr>
          <w:rFonts w:ascii="Gadugi" w:hAnsi="Gadugi"/>
          <w:sz w:val="24"/>
          <w:szCs w:val="24"/>
        </w:rPr>
        <w:t>s</w:t>
      </w:r>
      <w:r w:rsidRPr="00164C44">
        <w:rPr>
          <w:rFonts w:ascii="Gadugi" w:hAnsi="Gadugi"/>
          <w:sz w:val="24"/>
          <w:szCs w:val="24"/>
        </w:rPr>
        <w:t xml:space="preserve"> cautelares nominadas previstas en el artículo 590</w:t>
      </w:r>
      <w:r w:rsidR="00D459C9" w:rsidRPr="00164C44">
        <w:rPr>
          <w:rFonts w:ascii="Gadugi" w:hAnsi="Gadugi"/>
          <w:sz w:val="24"/>
          <w:szCs w:val="24"/>
        </w:rPr>
        <w:t xml:space="preserve"> del </w:t>
      </w:r>
      <w:proofErr w:type="spellStart"/>
      <w:r w:rsidR="00D459C9" w:rsidRPr="00164C44">
        <w:rPr>
          <w:rFonts w:ascii="Gadugi" w:hAnsi="Gadugi"/>
          <w:sz w:val="24"/>
          <w:szCs w:val="24"/>
        </w:rPr>
        <w:t>CGP</w:t>
      </w:r>
      <w:proofErr w:type="spellEnd"/>
      <w:r w:rsidR="00D459C9" w:rsidRPr="00164C44">
        <w:rPr>
          <w:rFonts w:ascii="Gadugi" w:hAnsi="Gadugi"/>
          <w:sz w:val="24"/>
          <w:szCs w:val="24"/>
        </w:rPr>
        <w:t>, sin perjuicio</w:t>
      </w:r>
      <w:r w:rsidR="00383569" w:rsidRPr="00164C44">
        <w:rPr>
          <w:rFonts w:ascii="Gadugi" w:hAnsi="Gadugi"/>
          <w:sz w:val="24"/>
          <w:szCs w:val="24"/>
        </w:rPr>
        <w:t xml:space="preserve">, además, </w:t>
      </w:r>
      <w:r w:rsidR="00D459C9" w:rsidRPr="00164C44">
        <w:rPr>
          <w:rFonts w:ascii="Gadugi" w:hAnsi="Gadugi"/>
          <w:sz w:val="24"/>
          <w:szCs w:val="24"/>
        </w:rPr>
        <w:t>de que, si de una innominada se trata, exprese cuál puede ser, diferente</w:t>
      </w:r>
      <w:r w:rsidR="0010740E" w:rsidRPr="00164C44">
        <w:rPr>
          <w:rFonts w:ascii="Gadugi" w:hAnsi="Gadugi"/>
          <w:sz w:val="24"/>
          <w:szCs w:val="24"/>
        </w:rPr>
        <w:t>,</w:t>
      </w:r>
      <w:r w:rsidR="00D459C9" w:rsidRPr="00164C44">
        <w:rPr>
          <w:rFonts w:ascii="Gadugi" w:hAnsi="Gadugi"/>
          <w:sz w:val="24"/>
          <w:szCs w:val="24"/>
        </w:rPr>
        <w:t xml:space="preserve"> eso sí</w:t>
      </w:r>
      <w:r w:rsidR="0010740E" w:rsidRPr="00164C44">
        <w:rPr>
          <w:rFonts w:ascii="Gadugi" w:hAnsi="Gadugi"/>
          <w:sz w:val="24"/>
          <w:szCs w:val="24"/>
        </w:rPr>
        <w:t>,</w:t>
      </w:r>
      <w:r w:rsidR="00D459C9" w:rsidRPr="00164C44">
        <w:rPr>
          <w:rFonts w:ascii="Gadugi" w:hAnsi="Gadugi"/>
          <w:sz w:val="24"/>
          <w:szCs w:val="24"/>
        </w:rPr>
        <w:t xml:space="preserve"> a las nominadas previstas para casos específicos. </w:t>
      </w:r>
    </w:p>
    <w:p w14:paraId="0414BF7A" w14:textId="77777777" w:rsidR="00D459C9" w:rsidRPr="00164C44" w:rsidRDefault="00D459C9" w:rsidP="00164C44">
      <w:pPr>
        <w:tabs>
          <w:tab w:val="left" w:pos="386"/>
          <w:tab w:val="left" w:pos="567"/>
        </w:tabs>
        <w:spacing w:line="276" w:lineRule="auto"/>
        <w:ind w:right="115"/>
        <w:rPr>
          <w:rFonts w:ascii="Gadugi" w:hAnsi="Gadugi"/>
          <w:sz w:val="24"/>
          <w:szCs w:val="24"/>
        </w:rPr>
      </w:pPr>
    </w:p>
    <w:p w14:paraId="70EAD0D3" w14:textId="77777777" w:rsidR="00EC6A50" w:rsidRPr="00164C44" w:rsidRDefault="00D86BAB" w:rsidP="00164C44">
      <w:pPr>
        <w:pStyle w:val="Prrafodelista"/>
        <w:numPr>
          <w:ilvl w:val="1"/>
          <w:numId w:val="2"/>
        </w:numPr>
        <w:tabs>
          <w:tab w:val="left" w:pos="567"/>
        </w:tabs>
        <w:spacing w:line="276" w:lineRule="auto"/>
        <w:ind w:left="0" w:right="115" w:firstLine="0"/>
        <w:rPr>
          <w:rFonts w:ascii="Gadugi" w:hAnsi="Gadugi"/>
          <w:sz w:val="24"/>
          <w:szCs w:val="24"/>
        </w:rPr>
      </w:pPr>
      <w:r w:rsidRPr="00164C44">
        <w:rPr>
          <w:rFonts w:ascii="Gadugi" w:hAnsi="Gadugi"/>
          <w:sz w:val="24"/>
          <w:szCs w:val="24"/>
        </w:rPr>
        <w:t>Se</w:t>
      </w:r>
      <w:r w:rsidR="00FD2AEE" w:rsidRPr="00164C44">
        <w:rPr>
          <w:rFonts w:ascii="Gadugi" w:hAnsi="Gadugi"/>
          <w:sz w:val="24"/>
          <w:szCs w:val="24"/>
        </w:rPr>
        <w:t xml:space="preserve"> prohijará</w:t>
      </w:r>
      <w:r w:rsidR="00EC6A50" w:rsidRPr="00164C44">
        <w:rPr>
          <w:rFonts w:ascii="Gadugi" w:hAnsi="Gadugi"/>
          <w:sz w:val="24"/>
          <w:szCs w:val="24"/>
        </w:rPr>
        <w:t xml:space="preserve">, en consecuencia, </w:t>
      </w:r>
      <w:r w:rsidR="00FD2AEE" w:rsidRPr="00164C44">
        <w:rPr>
          <w:rFonts w:ascii="Gadugi" w:hAnsi="Gadugi"/>
          <w:sz w:val="24"/>
          <w:szCs w:val="24"/>
        </w:rPr>
        <w:t>el auto atacado</w:t>
      </w:r>
      <w:r w:rsidR="00EC6A50" w:rsidRPr="00164C44">
        <w:rPr>
          <w:rFonts w:ascii="Gadugi" w:hAnsi="Gadugi"/>
          <w:sz w:val="24"/>
          <w:szCs w:val="24"/>
        </w:rPr>
        <w:t xml:space="preserve">. </w:t>
      </w:r>
    </w:p>
    <w:p w14:paraId="7E0EB7B4" w14:textId="77777777" w:rsidR="00EC6A50" w:rsidRPr="00164C44" w:rsidRDefault="00EC6A50" w:rsidP="00164C44">
      <w:pPr>
        <w:pStyle w:val="Prrafodelista"/>
        <w:tabs>
          <w:tab w:val="left" w:pos="567"/>
        </w:tabs>
        <w:spacing w:line="276" w:lineRule="auto"/>
        <w:ind w:left="0" w:right="115"/>
        <w:rPr>
          <w:rFonts w:ascii="Gadugi" w:hAnsi="Gadugi"/>
          <w:sz w:val="24"/>
          <w:szCs w:val="24"/>
        </w:rPr>
      </w:pPr>
    </w:p>
    <w:p w14:paraId="4E57C1D2" w14:textId="7CAD6B68" w:rsidR="007A3B9E" w:rsidRPr="00164C44" w:rsidRDefault="00EC6A50" w:rsidP="00164C44">
      <w:pPr>
        <w:pStyle w:val="Prrafodelista"/>
        <w:tabs>
          <w:tab w:val="left" w:pos="567"/>
        </w:tabs>
        <w:spacing w:line="276" w:lineRule="auto"/>
        <w:ind w:left="0" w:right="115"/>
        <w:rPr>
          <w:rFonts w:ascii="Gadugi" w:hAnsi="Gadugi"/>
          <w:sz w:val="24"/>
          <w:szCs w:val="24"/>
        </w:rPr>
      </w:pPr>
      <w:r w:rsidRPr="00164C44">
        <w:rPr>
          <w:rFonts w:ascii="Gadugi" w:hAnsi="Gadugi"/>
          <w:sz w:val="24"/>
          <w:szCs w:val="24"/>
        </w:rPr>
        <w:t xml:space="preserve">Como el recurso fracasa, en los términos del artículo 365-1 del </w:t>
      </w:r>
      <w:proofErr w:type="spellStart"/>
      <w:r w:rsidRPr="00164C44">
        <w:rPr>
          <w:rFonts w:ascii="Gadugi" w:hAnsi="Gadugi"/>
          <w:sz w:val="24"/>
          <w:szCs w:val="24"/>
        </w:rPr>
        <w:t>CGP</w:t>
      </w:r>
      <w:proofErr w:type="spellEnd"/>
      <w:r w:rsidRPr="00164C44">
        <w:rPr>
          <w:rFonts w:ascii="Gadugi" w:hAnsi="Gadugi"/>
          <w:sz w:val="24"/>
          <w:szCs w:val="24"/>
        </w:rPr>
        <w:t xml:space="preserve"> las costas en esta sede serán a cargo de la recurrente y a favor de la demandada. Ellas se liquidarán ante el juzgado de primer</w:t>
      </w:r>
      <w:r w:rsidR="005D6806" w:rsidRPr="00164C44">
        <w:rPr>
          <w:rFonts w:ascii="Gadugi" w:hAnsi="Gadugi"/>
          <w:sz w:val="24"/>
          <w:szCs w:val="24"/>
        </w:rPr>
        <w:t xml:space="preserve">a instancia, siguiendo las reglas del artículo 366 </w:t>
      </w:r>
      <w:proofErr w:type="spellStart"/>
      <w:r w:rsidR="005D6806" w:rsidRPr="00164C44">
        <w:rPr>
          <w:rFonts w:ascii="Gadugi" w:hAnsi="Gadugi"/>
          <w:sz w:val="24"/>
          <w:szCs w:val="24"/>
        </w:rPr>
        <w:t>ibidem</w:t>
      </w:r>
      <w:proofErr w:type="spellEnd"/>
      <w:r w:rsidR="005D6806" w:rsidRPr="00164C44">
        <w:rPr>
          <w:rFonts w:ascii="Gadugi" w:hAnsi="Gadugi"/>
          <w:sz w:val="24"/>
          <w:szCs w:val="24"/>
        </w:rPr>
        <w:t xml:space="preserve">. Para tal fin, en auto separado se señalarán las agencias en derecho. </w:t>
      </w:r>
    </w:p>
    <w:p w14:paraId="03AB2E93" w14:textId="77777777" w:rsidR="007A3B9E" w:rsidRPr="00164C44" w:rsidRDefault="007A3B9E" w:rsidP="00164C44">
      <w:pPr>
        <w:tabs>
          <w:tab w:val="left" w:pos="567"/>
        </w:tabs>
        <w:spacing w:line="276" w:lineRule="auto"/>
        <w:ind w:right="115"/>
        <w:rPr>
          <w:rFonts w:ascii="Gadugi" w:hAnsi="Gadugi"/>
          <w:b/>
          <w:bCs/>
          <w:sz w:val="24"/>
          <w:szCs w:val="24"/>
        </w:rPr>
      </w:pPr>
    </w:p>
    <w:p w14:paraId="2BF95369" w14:textId="50887D5D" w:rsidR="007A3B9E" w:rsidRPr="00164C44" w:rsidRDefault="00164C44" w:rsidP="00164C44">
      <w:pPr>
        <w:pStyle w:val="Prrafodelista"/>
        <w:numPr>
          <w:ilvl w:val="0"/>
          <w:numId w:val="2"/>
        </w:numPr>
        <w:tabs>
          <w:tab w:val="left" w:pos="426"/>
        </w:tabs>
        <w:spacing w:line="276" w:lineRule="auto"/>
        <w:ind w:left="0" w:right="115" w:firstLine="0"/>
        <w:rPr>
          <w:rFonts w:ascii="Gadugi" w:hAnsi="Gadugi"/>
          <w:sz w:val="24"/>
          <w:szCs w:val="24"/>
        </w:rPr>
      </w:pPr>
      <w:r w:rsidRPr="00164C44">
        <w:rPr>
          <w:rFonts w:ascii="Gadugi" w:hAnsi="Gadugi"/>
          <w:b/>
          <w:bCs/>
          <w:sz w:val="24"/>
          <w:szCs w:val="24"/>
        </w:rPr>
        <w:t>DECISIÓN</w:t>
      </w:r>
      <w:r w:rsidRPr="00164C44">
        <w:rPr>
          <w:rFonts w:ascii="Gadugi" w:hAnsi="Gadugi"/>
          <w:sz w:val="24"/>
          <w:szCs w:val="24"/>
        </w:rPr>
        <w:t xml:space="preserve"> </w:t>
      </w:r>
    </w:p>
    <w:p w14:paraId="5DAC5451" w14:textId="77777777" w:rsidR="004E0981" w:rsidRPr="00164C44" w:rsidRDefault="004E0981" w:rsidP="00164C44">
      <w:pPr>
        <w:pStyle w:val="Textoindependiente"/>
        <w:tabs>
          <w:tab w:val="left" w:pos="426"/>
        </w:tabs>
        <w:spacing w:line="276" w:lineRule="auto"/>
        <w:rPr>
          <w:rFonts w:ascii="Gadugi" w:hAnsi="Gadugi"/>
          <w:sz w:val="24"/>
          <w:szCs w:val="24"/>
        </w:rPr>
      </w:pPr>
    </w:p>
    <w:p w14:paraId="1E2E1669" w14:textId="77777777" w:rsidR="00B000EA" w:rsidRPr="00164C44" w:rsidRDefault="00161D60" w:rsidP="00164C44">
      <w:pPr>
        <w:pStyle w:val="Textoindependiente"/>
        <w:tabs>
          <w:tab w:val="left" w:pos="284"/>
        </w:tabs>
        <w:spacing w:line="276" w:lineRule="auto"/>
        <w:ind w:right="115"/>
        <w:jc w:val="both"/>
        <w:rPr>
          <w:rFonts w:ascii="Gadugi" w:hAnsi="Gadugi"/>
          <w:b/>
          <w:bCs/>
          <w:spacing w:val="-3"/>
          <w:sz w:val="24"/>
          <w:szCs w:val="24"/>
        </w:rPr>
      </w:pPr>
      <w:r w:rsidRPr="00164C44">
        <w:rPr>
          <w:rFonts w:ascii="Gadugi" w:hAnsi="Gadugi"/>
          <w:sz w:val="24"/>
          <w:szCs w:val="24"/>
        </w:rPr>
        <w:t>En</w:t>
      </w:r>
      <w:r w:rsidRPr="00164C44">
        <w:rPr>
          <w:rFonts w:ascii="Gadugi" w:hAnsi="Gadugi"/>
          <w:spacing w:val="1"/>
          <w:sz w:val="24"/>
          <w:szCs w:val="24"/>
        </w:rPr>
        <w:t xml:space="preserve"> </w:t>
      </w:r>
      <w:r w:rsidRPr="00164C44">
        <w:rPr>
          <w:rFonts w:ascii="Gadugi" w:hAnsi="Gadugi"/>
          <w:sz w:val="24"/>
          <w:szCs w:val="24"/>
        </w:rPr>
        <w:t>armonía</w:t>
      </w:r>
      <w:r w:rsidRPr="00164C44">
        <w:rPr>
          <w:rFonts w:ascii="Gadugi" w:hAnsi="Gadugi"/>
          <w:spacing w:val="1"/>
          <w:sz w:val="24"/>
          <w:szCs w:val="24"/>
        </w:rPr>
        <w:t xml:space="preserve"> </w:t>
      </w:r>
      <w:r w:rsidRPr="00164C44">
        <w:rPr>
          <w:rFonts w:ascii="Gadugi" w:hAnsi="Gadugi"/>
          <w:sz w:val="24"/>
          <w:szCs w:val="24"/>
        </w:rPr>
        <w:t>con</w:t>
      </w:r>
      <w:r w:rsidRPr="00164C44">
        <w:rPr>
          <w:rFonts w:ascii="Gadugi" w:hAnsi="Gadugi"/>
          <w:spacing w:val="1"/>
          <w:sz w:val="24"/>
          <w:szCs w:val="24"/>
        </w:rPr>
        <w:t xml:space="preserve"> </w:t>
      </w:r>
      <w:r w:rsidRPr="00164C44">
        <w:rPr>
          <w:rFonts w:ascii="Gadugi" w:hAnsi="Gadugi"/>
          <w:sz w:val="24"/>
          <w:szCs w:val="24"/>
        </w:rPr>
        <w:t>lo</w:t>
      </w:r>
      <w:r w:rsidRPr="00164C44">
        <w:rPr>
          <w:rFonts w:ascii="Gadugi" w:hAnsi="Gadugi"/>
          <w:spacing w:val="1"/>
          <w:sz w:val="24"/>
          <w:szCs w:val="24"/>
        </w:rPr>
        <w:t xml:space="preserve"> </w:t>
      </w:r>
      <w:r w:rsidRPr="00164C44">
        <w:rPr>
          <w:rFonts w:ascii="Gadugi" w:hAnsi="Gadugi"/>
          <w:sz w:val="24"/>
          <w:szCs w:val="24"/>
        </w:rPr>
        <w:t>expuesto,</w:t>
      </w:r>
      <w:r w:rsidRPr="00164C44">
        <w:rPr>
          <w:rFonts w:ascii="Gadugi" w:hAnsi="Gadugi"/>
          <w:spacing w:val="1"/>
          <w:sz w:val="24"/>
          <w:szCs w:val="24"/>
        </w:rPr>
        <w:t xml:space="preserve"> </w:t>
      </w:r>
      <w:r w:rsidRPr="00164C44">
        <w:rPr>
          <w:rFonts w:ascii="Gadugi" w:hAnsi="Gadugi"/>
          <w:sz w:val="24"/>
          <w:szCs w:val="24"/>
        </w:rPr>
        <w:t>esta</w:t>
      </w:r>
      <w:r w:rsidRPr="00164C44">
        <w:rPr>
          <w:rFonts w:ascii="Gadugi" w:hAnsi="Gadugi"/>
          <w:spacing w:val="1"/>
          <w:sz w:val="24"/>
          <w:szCs w:val="24"/>
        </w:rPr>
        <w:t xml:space="preserve"> </w:t>
      </w:r>
      <w:r w:rsidRPr="00164C44">
        <w:rPr>
          <w:rFonts w:ascii="Gadugi" w:hAnsi="Gadugi"/>
          <w:sz w:val="24"/>
          <w:szCs w:val="24"/>
        </w:rPr>
        <w:t>Sala</w:t>
      </w:r>
      <w:r w:rsidRPr="00164C44">
        <w:rPr>
          <w:rFonts w:ascii="Gadugi" w:hAnsi="Gadugi"/>
          <w:spacing w:val="1"/>
          <w:sz w:val="24"/>
          <w:szCs w:val="24"/>
        </w:rPr>
        <w:t xml:space="preserve"> </w:t>
      </w:r>
      <w:r w:rsidRPr="00164C44">
        <w:rPr>
          <w:rFonts w:ascii="Gadugi" w:hAnsi="Gadugi"/>
          <w:sz w:val="24"/>
          <w:szCs w:val="24"/>
        </w:rPr>
        <w:t>Unitaria</w:t>
      </w:r>
      <w:r w:rsidRPr="00164C44">
        <w:rPr>
          <w:rFonts w:ascii="Gadugi" w:hAnsi="Gadugi"/>
          <w:spacing w:val="1"/>
          <w:sz w:val="24"/>
          <w:szCs w:val="24"/>
        </w:rPr>
        <w:t xml:space="preserve"> </w:t>
      </w:r>
      <w:r w:rsidRPr="00164C44">
        <w:rPr>
          <w:rFonts w:ascii="Gadugi" w:hAnsi="Gadugi"/>
          <w:sz w:val="24"/>
          <w:szCs w:val="24"/>
        </w:rPr>
        <w:t>Civil-Familia</w:t>
      </w:r>
      <w:r w:rsidRPr="00164C44">
        <w:rPr>
          <w:rFonts w:ascii="Gadugi" w:hAnsi="Gadugi"/>
          <w:spacing w:val="1"/>
          <w:sz w:val="24"/>
          <w:szCs w:val="24"/>
        </w:rPr>
        <w:t xml:space="preserve"> </w:t>
      </w:r>
      <w:r w:rsidRPr="00164C44">
        <w:rPr>
          <w:rFonts w:ascii="Gadugi" w:hAnsi="Gadugi"/>
          <w:sz w:val="24"/>
          <w:szCs w:val="24"/>
        </w:rPr>
        <w:t>del</w:t>
      </w:r>
      <w:r w:rsidRPr="00164C44">
        <w:rPr>
          <w:rFonts w:ascii="Gadugi" w:hAnsi="Gadugi"/>
          <w:spacing w:val="1"/>
          <w:sz w:val="24"/>
          <w:szCs w:val="24"/>
        </w:rPr>
        <w:t xml:space="preserve"> </w:t>
      </w:r>
      <w:r w:rsidRPr="00164C44">
        <w:rPr>
          <w:rFonts w:ascii="Gadugi" w:hAnsi="Gadugi"/>
          <w:sz w:val="24"/>
          <w:szCs w:val="24"/>
        </w:rPr>
        <w:t>Tribunal</w:t>
      </w:r>
      <w:r w:rsidRPr="00164C44">
        <w:rPr>
          <w:rFonts w:ascii="Gadugi" w:hAnsi="Gadugi"/>
          <w:spacing w:val="-15"/>
          <w:sz w:val="24"/>
          <w:szCs w:val="24"/>
        </w:rPr>
        <w:t xml:space="preserve"> </w:t>
      </w:r>
      <w:r w:rsidRPr="00164C44">
        <w:rPr>
          <w:rFonts w:ascii="Gadugi" w:hAnsi="Gadugi"/>
          <w:sz w:val="24"/>
          <w:szCs w:val="24"/>
        </w:rPr>
        <w:t>Superior</w:t>
      </w:r>
      <w:r w:rsidRPr="00164C44">
        <w:rPr>
          <w:rFonts w:ascii="Gadugi" w:hAnsi="Gadugi"/>
          <w:spacing w:val="-14"/>
          <w:sz w:val="24"/>
          <w:szCs w:val="24"/>
        </w:rPr>
        <w:t xml:space="preserve"> </w:t>
      </w:r>
      <w:r w:rsidRPr="00164C44">
        <w:rPr>
          <w:rFonts w:ascii="Gadugi" w:hAnsi="Gadugi"/>
          <w:sz w:val="24"/>
          <w:szCs w:val="24"/>
        </w:rPr>
        <w:t>de</w:t>
      </w:r>
      <w:r w:rsidRPr="00164C44">
        <w:rPr>
          <w:rFonts w:ascii="Gadugi" w:hAnsi="Gadugi"/>
          <w:spacing w:val="-13"/>
          <w:sz w:val="24"/>
          <w:szCs w:val="24"/>
        </w:rPr>
        <w:t xml:space="preserve"> </w:t>
      </w:r>
      <w:r w:rsidRPr="00164C44">
        <w:rPr>
          <w:rFonts w:ascii="Gadugi" w:hAnsi="Gadugi"/>
          <w:sz w:val="24"/>
          <w:szCs w:val="24"/>
        </w:rPr>
        <w:t>Pereira,</w:t>
      </w:r>
      <w:r w:rsidRPr="00164C44">
        <w:rPr>
          <w:rFonts w:ascii="Gadugi" w:hAnsi="Gadugi"/>
          <w:spacing w:val="-12"/>
          <w:sz w:val="24"/>
          <w:szCs w:val="24"/>
        </w:rPr>
        <w:t xml:space="preserve"> </w:t>
      </w:r>
      <w:r w:rsidRPr="00164C44">
        <w:rPr>
          <w:rFonts w:ascii="Gadugi" w:hAnsi="Gadugi"/>
          <w:b/>
          <w:sz w:val="24"/>
          <w:szCs w:val="24"/>
        </w:rPr>
        <w:t>CONFIRMA</w:t>
      </w:r>
      <w:r w:rsidRPr="00164C44">
        <w:rPr>
          <w:rFonts w:ascii="Gadugi" w:hAnsi="Gadugi"/>
          <w:b/>
          <w:spacing w:val="-15"/>
          <w:sz w:val="24"/>
          <w:szCs w:val="24"/>
        </w:rPr>
        <w:t xml:space="preserve"> </w:t>
      </w:r>
      <w:r w:rsidR="00B000EA" w:rsidRPr="00164C44">
        <w:rPr>
          <w:rFonts w:ascii="Gadugi" w:hAnsi="Gadugi"/>
          <w:sz w:val="24"/>
          <w:szCs w:val="24"/>
        </w:rPr>
        <w:t>el auto del</w:t>
      </w:r>
      <w:r w:rsidR="00B000EA" w:rsidRPr="00164C44">
        <w:rPr>
          <w:rFonts w:ascii="Gadugi" w:hAnsi="Gadugi"/>
          <w:spacing w:val="1"/>
          <w:sz w:val="24"/>
          <w:szCs w:val="24"/>
        </w:rPr>
        <w:t xml:space="preserve"> 16 de agosto </w:t>
      </w:r>
      <w:r w:rsidR="00B000EA" w:rsidRPr="00164C44">
        <w:rPr>
          <w:rFonts w:ascii="Gadugi" w:hAnsi="Gadugi"/>
          <w:sz w:val="24"/>
          <w:szCs w:val="24"/>
        </w:rPr>
        <w:t>de 2023, proferido</w:t>
      </w:r>
      <w:r w:rsidR="00B000EA" w:rsidRPr="00164C44">
        <w:rPr>
          <w:rFonts w:ascii="Gadugi" w:hAnsi="Gadugi"/>
          <w:spacing w:val="-5"/>
          <w:sz w:val="24"/>
          <w:szCs w:val="24"/>
        </w:rPr>
        <w:t xml:space="preserve"> </w:t>
      </w:r>
      <w:r w:rsidR="00B000EA" w:rsidRPr="00164C44">
        <w:rPr>
          <w:rFonts w:ascii="Gadugi" w:hAnsi="Gadugi"/>
          <w:sz w:val="24"/>
          <w:szCs w:val="24"/>
        </w:rPr>
        <w:t>por</w:t>
      </w:r>
      <w:r w:rsidR="00B000EA" w:rsidRPr="00164C44">
        <w:rPr>
          <w:rFonts w:ascii="Gadugi" w:hAnsi="Gadugi"/>
          <w:spacing w:val="-6"/>
          <w:sz w:val="24"/>
          <w:szCs w:val="24"/>
        </w:rPr>
        <w:t xml:space="preserve"> </w:t>
      </w:r>
      <w:r w:rsidR="00B000EA" w:rsidRPr="00164C44">
        <w:rPr>
          <w:rFonts w:ascii="Gadugi" w:hAnsi="Gadugi"/>
          <w:sz w:val="24"/>
          <w:szCs w:val="24"/>
        </w:rPr>
        <w:t>el</w:t>
      </w:r>
      <w:r w:rsidR="00B000EA" w:rsidRPr="00164C44">
        <w:rPr>
          <w:rFonts w:ascii="Gadugi" w:hAnsi="Gadugi"/>
          <w:spacing w:val="-6"/>
          <w:sz w:val="24"/>
          <w:szCs w:val="24"/>
        </w:rPr>
        <w:t xml:space="preserve"> </w:t>
      </w:r>
      <w:r w:rsidR="00B000EA" w:rsidRPr="00164C44">
        <w:rPr>
          <w:rFonts w:ascii="Gadugi" w:hAnsi="Gadugi"/>
          <w:sz w:val="24"/>
          <w:szCs w:val="24"/>
        </w:rPr>
        <w:t>Juzgado</w:t>
      </w:r>
      <w:r w:rsidR="00B000EA" w:rsidRPr="00164C44">
        <w:rPr>
          <w:rFonts w:ascii="Gadugi" w:hAnsi="Gadugi"/>
          <w:spacing w:val="-3"/>
          <w:sz w:val="24"/>
          <w:szCs w:val="24"/>
        </w:rPr>
        <w:t xml:space="preserve"> Civil del Circuito de Dosquebradas en este proceso tendiente a la resolución de un contrato iniciado por </w:t>
      </w:r>
      <w:r w:rsidR="00B000EA" w:rsidRPr="00164C44">
        <w:rPr>
          <w:rFonts w:ascii="Gadugi" w:hAnsi="Gadugi"/>
          <w:b/>
          <w:bCs/>
          <w:spacing w:val="-3"/>
          <w:sz w:val="24"/>
          <w:szCs w:val="24"/>
        </w:rPr>
        <w:t xml:space="preserve">Mar Azul Construcciones de Colombia </w:t>
      </w:r>
      <w:proofErr w:type="spellStart"/>
      <w:r w:rsidR="00B000EA" w:rsidRPr="00164C44">
        <w:rPr>
          <w:rFonts w:ascii="Gadugi" w:hAnsi="Gadugi"/>
          <w:b/>
          <w:bCs/>
          <w:spacing w:val="-3"/>
          <w:sz w:val="24"/>
          <w:szCs w:val="24"/>
        </w:rPr>
        <w:t>SAS</w:t>
      </w:r>
      <w:proofErr w:type="spellEnd"/>
      <w:r w:rsidR="00B000EA" w:rsidRPr="00164C44">
        <w:rPr>
          <w:rFonts w:ascii="Gadugi" w:hAnsi="Gadugi"/>
          <w:b/>
          <w:bCs/>
          <w:spacing w:val="-3"/>
          <w:sz w:val="24"/>
          <w:szCs w:val="24"/>
        </w:rPr>
        <w:t xml:space="preserve"> </w:t>
      </w:r>
      <w:r w:rsidR="00B000EA" w:rsidRPr="00164C44">
        <w:rPr>
          <w:rFonts w:ascii="Gadugi" w:hAnsi="Gadugi"/>
          <w:spacing w:val="-3"/>
          <w:sz w:val="24"/>
          <w:szCs w:val="24"/>
        </w:rPr>
        <w:t xml:space="preserve">frente a </w:t>
      </w:r>
      <w:r w:rsidR="00B000EA" w:rsidRPr="00164C44">
        <w:rPr>
          <w:rFonts w:ascii="Gadugi" w:hAnsi="Gadugi"/>
          <w:b/>
          <w:bCs/>
          <w:spacing w:val="-3"/>
          <w:sz w:val="24"/>
          <w:szCs w:val="24"/>
        </w:rPr>
        <w:t xml:space="preserve">Constructora Camambú </w:t>
      </w:r>
      <w:proofErr w:type="spellStart"/>
      <w:r w:rsidR="00B000EA" w:rsidRPr="00164C44">
        <w:rPr>
          <w:rFonts w:ascii="Gadugi" w:hAnsi="Gadugi"/>
          <w:b/>
          <w:bCs/>
          <w:spacing w:val="-3"/>
          <w:sz w:val="24"/>
          <w:szCs w:val="24"/>
        </w:rPr>
        <w:t>SAS</w:t>
      </w:r>
      <w:proofErr w:type="spellEnd"/>
      <w:r w:rsidR="00B000EA" w:rsidRPr="00164C44">
        <w:rPr>
          <w:rFonts w:ascii="Gadugi" w:hAnsi="Gadugi"/>
          <w:b/>
          <w:bCs/>
          <w:spacing w:val="-3"/>
          <w:sz w:val="24"/>
          <w:szCs w:val="24"/>
        </w:rPr>
        <w:t xml:space="preserve">. </w:t>
      </w:r>
    </w:p>
    <w:p w14:paraId="3B248783" w14:textId="77777777" w:rsidR="007A3B9E" w:rsidRPr="00164C44" w:rsidRDefault="007A3B9E" w:rsidP="00164C44">
      <w:pPr>
        <w:pStyle w:val="Textoindependiente"/>
        <w:spacing w:line="276" w:lineRule="auto"/>
        <w:ind w:right="115"/>
        <w:jc w:val="both"/>
        <w:rPr>
          <w:rFonts w:ascii="Gadugi" w:hAnsi="Gadugi"/>
          <w:sz w:val="24"/>
          <w:szCs w:val="24"/>
        </w:rPr>
      </w:pPr>
    </w:p>
    <w:p w14:paraId="2968C489" w14:textId="231A59E3" w:rsidR="004E0981" w:rsidRPr="00164C44" w:rsidRDefault="00FE3635" w:rsidP="00164C44">
      <w:pPr>
        <w:pStyle w:val="Textoindependiente"/>
        <w:spacing w:line="276" w:lineRule="auto"/>
        <w:ind w:right="115"/>
        <w:jc w:val="both"/>
        <w:rPr>
          <w:rFonts w:ascii="Gadugi" w:hAnsi="Gadugi"/>
          <w:spacing w:val="1"/>
          <w:sz w:val="24"/>
          <w:szCs w:val="24"/>
        </w:rPr>
      </w:pPr>
      <w:r w:rsidRPr="00164C44">
        <w:rPr>
          <w:rFonts w:ascii="Gadugi" w:hAnsi="Gadugi"/>
          <w:sz w:val="24"/>
          <w:szCs w:val="24"/>
        </w:rPr>
        <w:t>Costas a cargo de la recurrente y a favor de la demandada.</w:t>
      </w:r>
    </w:p>
    <w:p w14:paraId="2005B1C5" w14:textId="77777777" w:rsidR="00164C44" w:rsidRPr="007C2138" w:rsidRDefault="00164C44" w:rsidP="00164C44">
      <w:pPr>
        <w:pStyle w:val="Textoindependiente"/>
        <w:spacing w:line="276" w:lineRule="auto"/>
        <w:ind w:right="115"/>
        <w:jc w:val="both"/>
        <w:rPr>
          <w:rFonts w:ascii="Gadugi" w:hAnsi="Gadugi"/>
          <w:spacing w:val="1"/>
          <w:sz w:val="24"/>
          <w:szCs w:val="24"/>
        </w:rPr>
      </w:pPr>
    </w:p>
    <w:p w14:paraId="15818871" w14:textId="77777777" w:rsidR="00164C44" w:rsidRPr="007C2138" w:rsidRDefault="00164C44" w:rsidP="00164C44">
      <w:pPr>
        <w:pStyle w:val="Textoindependiente"/>
        <w:spacing w:line="276" w:lineRule="auto"/>
        <w:ind w:right="115"/>
        <w:jc w:val="both"/>
        <w:rPr>
          <w:rFonts w:ascii="Gadugi" w:hAnsi="Gadugi"/>
          <w:sz w:val="24"/>
          <w:szCs w:val="24"/>
        </w:rPr>
      </w:pPr>
      <w:r w:rsidRPr="007C2138">
        <w:rPr>
          <w:rFonts w:ascii="Gadugi" w:hAnsi="Gadugi"/>
          <w:sz w:val="24"/>
          <w:szCs w:val="24"/>
        </w:rPr>
        <w:t>Notifíquese</w:t>
      </w:r>
    </w:p>
    <w:p w14:paraId="255C2188" w14:textId="77777777" w:rsidR="00164C44" w:rsidRDefault="00164C44" w:rsidP="00164C44">
      <w:pPr>
        <w:tabs>
          <w:tab w:val="left" w:pos="426"/>
        </w:tabs>
        <w:spacing w:line="276" w:lineRule="auto"/>
        <w:ind w:right="115"/>
        <w:jc w:val="both"/>
        <w:rPr>
          <w:rFonts w:ascii="Gadugi" w:hAnsi="Gadugi"/>
          <w:sz w:val="24"/>
          <w:szCs w:val="24"/>
        </w:rPr>
      </w:pPr>
    </w:p>
    <w:p w14:paraId="5A7F2703" w14:textId="77777777" w:rsidR="00164C44" w:rsidRPr="000D1F02" w:rsidRDefault="00164C44" w:rsidP="00164C44">
      <w:pPr>
        <w:tabs>
          <w:tab w:val="left" w:pos="426"/>
        </w:tabs>
        <w:spacing w:line="276" w:lineRule="auto"/>
        <w:ind w:right="115"/>
        <w:jc w:val="both"/>
        <w:rPr>
          <w:rFonts w:ascii="Gadugi" w:hAnsi="Gadugi"/>
          <w:sz w:val="24"/>
          <w:szCs w:val="24"/>
        </w:rPr>
      </w:pPr>
    </w:p>
    <w:p w14:paraId="5B08784D" w14:textId="77777777" w:rsidR="00164C44" w:rsidRPr="000D1F02" w:rsidRDefault="00164C44" w:rsidP="00164C44">
      <w:pPr>
        <w:tabs>
          <w:tab w:val="left" w:pos="426"/>
        </w:tabs>
        <w:spacing w:line="276" w:lineRule="auto"/>
        <w:ind w:right="115"/>
        <w:jc w:val="both"/>
        <w:rPr>
          <w:rFonts w:ascii="Gadugi" w:hAnsi="Gadugi"/>
          <w:sz w:val="24"/>
          <w:szCs w:val="24"/>
        </w:rPr>
      </w:pPr>
    </w:p>
    <w:p w14:paraId="6EFC167C" w14:textId="77777777" w:rsidR="00164C44" w:rsidRPr="000D1F02" w:rsidRDefault="00164C44" w:rsidP="00164C44">
      <w:pPr>
        <w:tabs>
          <w:tab w:val="left" w:pos="426"/>
        </w:tabs>
        <w:spacing w:line="276" w:lineRule="auto"/>
        <w:ind w:right="115"/>
        <w:jc w:val="both"/>
        <w:rPr>
          <w:rFonts w:ascii="Gadugi" w:hAnsi="Gadugi"/>
          <w:b/>
          <w:sz w:val="24"/>
          <w:szCs w:val="24"/>
        </w:rPr>
      </w:pPr>
      <w:r w:rsidRPr="000D1F02">
        <w:rPr>
          <w:rFonts w:ascii="Gadugi" w:hAnsi="Gadugi"/>
          <w:b/>
          <w:sz w:val="24"/>
          <w:szCs w:val="24"/>
        </w:rPr>
        <w:t xml:space="preserve">JAIME ALBERTO SARAZA NARANJO </w:t>
      </w:r>
    </w:p>
    <w:p w14:paraId="2CA68721" w14:textId="164DD6D4" w:rsidR="00A07C04" w:rsidRPr="00164C44" w:rsidRDefault="00164C44" w:rsidP="00164C44">
      <w:pPr>
        <w:spacing w:line="276" w:lineRule="auto"/>
        <w:ind w:right="115"/>
        <w:jc w:val="both"/>
        <w:rPr>
          <w:rFonts w:ascii="Gadugi" w:hAnsi="Gadugi"/>
          <w:sz w:val="24"/>
          <w:szCs w:val="24"/>
        </w:rPr>
      </w:pPr>
      <w:r w:rsidRPr="000D1F02">
        <w:rPr>
          <w:rFonts w:ascii="Gadugi" w:hAnsi="Gadugi"/>
          <w:sz w:val="24"/>
          <w:szCs w:val="24"/>
        </w:rPr>
        <w:t>Magistrado</w:t>
      </w:r>
    </w:p>
    <w:sectPr w:rsidR="00A07C04" w:rsidRPr="00164C44" w:rsidSect="00164C44">
      <w:footerReference w:type="default" r:id="rId12"/>
      <w:pgSz w:w="12250" w:h="18730" w:code="258"/>
      <w:pgMar w:top="1871" w:right="1304" w:bottom="1304" w:left="1871"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C33FB" w14:textId="77777777" w:rsidR="00BF0DAF" w:rsidRDefault="00BF0DAF">
      <w:r>
        <w:separator/>
      </w:r>
    </w:p>
  </w:endnote>
  <w:endnote w:type="continuationSeparator" w:id="0">
    <w:p w14:paraId="51B52E89" w14:textId="77777777" w:rsidR="00BF0DAF" w:rsidRDefault="00BF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49770"/>
      <w:docPartObj>
        <w:docPartGallery w:val="Page Numbers (Bottom of Page)"/>
        <w:docPartUnique/>
      </w:docPartObj>
    </w:sdtPr>
    <w:sdtEndPr/>
    <w:sdtContent>
      <w:p w14:paraId="2F3A07E4" w14:textId="3610AACC" w:rsidR="0010740E" w:rsidRDefault="0010740E">
        <w:pPr>
          <w:pStyle w:val="Piedepgina"/>
          <w:jc w:val="right"/>
        </w:pPr>
        <w:r>
          <w:fldChar w:fldCharType="begin"/>
        </w:r>
        <w:r>
          <w:instrText>PAGE   \* MERGEFORMAT</w:instrText>
        </w:r>
        <w:r>
          <w:fldChar w:fldCharType="separate"/>
        </w:r>
        <w:r w:rsidR="0026401A">
          <w:rPr>
            <w:noProof/>
          </w:rPr>
          <w:t>6</w:t>
        </w:r>
        <w:r>
          <w:fldChar w:fldCharType="end"/>
        </w:r>
      </w:p>
    </w:sdtContent>
  </w:sdt>
  <w:p w14:paraId="19B758BD" w14:textId="77777777" w:rsidR="0010740E" w:rsidRDefault="001074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07AA" w14:textId="77777777" w:rsidR="00BF0DAF" w:rsidRDefault="00BF0DAF">
      <w:r>
        <w:separator/>
      </w:r>
    </w:p>
  </w:footnote>
  <w:footnote w:type="continuationSeparator" w:id="0">
    <w:p w14:paraId="7D153DC4" w14:textId="77777777" w:rsidR="00BF0DAF" w:rsidRDefault="00BF0DAF">
      <w:r>
        <w:continuationSeparator/>
      </w:r>
    </w:p>
  </w:footnote>
  <w:footnote w:id="1">
    <w:p w14:paraId="1FE2944B" w14:textId="016F4132" w:rsidR="005126F1" w:rsidRPr="005C1F45" w:rsidRDefault="005126F1" w:rsidP="005C1F45">
      <w:pPr>
        <w:jc w:val="both"/>
        <w:rPr>
          <w:rFonts w:ascii="Arial" w:hAnsi="Arial" w:cs="Arial"/>
          <w:sz w:val="18"/>
          <w:szCs w:val="18"/>
        </w:rPr>
      </w:pPr>
      <w:r w:rsidRPr="005C1F45">
        <w:rPr>
          <w:rStyle w:val="Refdenotaalpie"/>
          <w:rFonts w:ascii="Arial" w:hAnsi="Arial" w:cs="Arial"/>
          <w:sz w:val="18"/>
          <w:szCs w:val="18"/>
        </w:rPr>
        <w:footnoteRef/>
      </w:r>
      <w:r w:rsidRPr="005C1F45">
        <w:rPr>
          <w:rFonts w:ascii="Arial" w:hAnsi="Arial" w:cs="Arial"/>
          <w:sz w:val="18"/>
          <w:szCs w:val="18"/>
        </w:rPr>
        <w:t xml:space="preserve"> Tribunal Superior de Pereira, Sala Civil Familia, auto del 4 de mayo de 2018, radicado</w:t>
      </w:r>
      <w:r w:rsidR="00136B08" w:rsidRPr="005C1F45">
        <w:rPr>
          <w:rFonts w:ascii="Arial" w:hAnsi="Arial" w:cs="Arial"/>
          <w:sz w:val="18"/>
          <w:szCs w:val="18"/>
        </w:rPr>
        <w:t xml:space="preserve"> </w:t>
      </w:r>
      <w:r w:rsidRPr="005C1F45">
        <w:rPr>
          <w:rFonts w:ascii="Arial" w:eastAsia="Times New Roman" w:hAnsi="Arial" w:cs="Arial"/>
          <w:sz w:val="18"/>
          <w:szCs w:val="18"/>
          <w:lang w:val="es-MX" w:eastAsia="es-ES"/>
        </w:rPr>
        <w:t>66170-31-03-001-2017-00062-02</w:t>
      </w:r>
    </w:p>
  </w:footnote>
  <w:footnote w:id="2">
    <w:p w14:paraId="4B341148" w14:textId="566D7C61" w:rsidR="00477819" w:rsidRPr="00B32596" w:rsidRDefault="00477819" w:rsidP="005C1F45">
      <w:pPr>
        <w:pStyle w:val="Textonotapie"/>
        <w:jc w:val="both"/>
        <w:rPr>
          <w:rFonts w:ascii="Agency FB" w:hAnsi="Agency FB"/>
          <w:sz w:val="24"/>
          <w:szCs w:val="24"/>
          <w:lang w:val="es-CO"/>
        </w:rPr>
      </w:pPr>
      <w:r w:rsidRPr="005C1F45">
        <w:rPr>
          <w:rStyle w:val="Refdenotaalpie"/>
          <w:rFonts w:ascii="Arial" w:hAnsi="Arial" w:cs="Arial"/>
          <w:sz w:val="18"/>
          <w:szCs w:val="18"/>
        </w:rPr>
        <w:footnoteRef/>
      </w:r>
      <w:r w:rsidRPr="005C1F45">
        <w:rPr>
          <w:rFonts w:ascii="Arial" w:hAnsi="Arial" w:cs="Arial"/>
          <w:sz w:val="18"/>
          <w:szCs w:val="18"/>
        </w:rPr>
        <w:t xml:space="preserve"> </w:t>
      </w:r>
      <w:r w:rsidR="005C1F45" w:rsidRPr="005C1F45">
        <w:rPr>
          <w:rFonts w:ascii="Arial" w:hAnsi="Arial" w:cs="Arial"/>
          <w:sz w:val="18"/>
          <w:szCs w:val="18"/>
        </w:rPr>
        <w:t>LÓPEZ</w:t>
      </w:r>
      <w:r w:rsidRPr="005C1F45">
        <w:rPr>
          <w:rFonts w:ascii="Arial" w:hAnsi="Arial" w:cs="Arial"/>
          <w:sz w:val="18"/>
          <w:szCs w:val="18"/>
        </w:rPr>
        <w:t xml:space="preserve"> BLANCO, Hernán Fabio. Código General del Proceso. Parte General. </w:t>
      </w:r>
      <w:proofErr w:type="spellStart"/>
      <w:r w:rsidRPr="005C1F45">
        <w:rPr>
          <w:rFonts w:ascii="Arial" w:hAnsi="Arial" w:cs="Arial"/>
          <w:sz w:val="18"/>
          <w:szCs w:val="18"/>
        </w:rPr>
        <w:t>DUPRE</w:t>
      </w:r>
      <w:proofErr w:type="spellEnd"/>
      <w:r w:rsidRPr="005C1F45">
        <w:rPr>
          <w:rFonts w:ascii="Arial" w:hAnsi="Arial" w:cs="Arial"/>
          <w:sz w:val="18"/>
          <w:szCs w:val="18"/>
        </w:rPr>
        <w:t xml:space="preserve"> Editores. Bogotá. 2016. </w:t>
      </w:r>
      <w:r w:rsidRPr="005C1F45">
        <w:rPr>
          <w:rFonts w:ascii="Arial" w:hAnsi="Arial" w:cs="Arial"/>
          <w:sz w:val="18"/>
          <w:szCs w:val="18"/>
          <w:lang w:val="es-CO"/>
        </w:rPr>
        <w:t>Pág. 1077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70970"/>
    <w:multiLevelType w:val="multilevel"/>
    <w:tmpl w:val="9060160E"/>
    <w:lvl w:ilvl="0">
      <w:start w:val="1"/>
      <w:numFmt w:val="decimal"/>
      <w:lvlText w:val="%1."/>
      <w:lvlJc w:val="left"/>
      <w:pPr>
        <w:ind w:left="462" w:hanging="360"/>
      </w:pPr>
      <w:rPr>
        <w:rFonts w:hint="default"/>
        <w:b/>
        <w:bCs/>
      </w:rPr>
    </w:lvl>
    <w:lvl w:ilvl="1">
      <w:start w:val="1"/>
      <w:numFmt w:val="decimal"/>
      <w:isLgl/>
      <w:lvlText w:val="%1.%2."/>
      <w:lvlJc w:val="left"/>
      <w:pPr>
        <w:ind w:left="822" w:hanging="720"/>
      </w:pPr>
      <w:rPr>
        <w:rFonts w:hint="default"/>
        <w:i w:val="0"/>
        <w:iCs/>
      </w:rPr>
    </w:lvl>
    <w:lvl w:ilvl="2">
      <w:start w:val="1"/>
      <w:numFmt w:val="decimal"/>
      <w:isLgl/>
      <w:lvlText w:val="%1.%2.%3."/>
      <w:lvlJc w:val="left"/>
      <w:pPr>
        <w:ind w:left="1182" w:hanging="1080"/>
      </w:pPr>
      <w:rPr>
        <w:rFonts w:hint="default"/>
      </w:rPr>
    </w:lvl>
    <w:lvl w:ilvl="3">
      <w:start w:val="1"/>
      <w:numFmt w:val="decimal"/>
      <w:isLgl/>
      <w:lvlText w:val="%1.%2.%3.%4."/>
      <w:lvlJc w:val="left"/>
      <w:pPr>
        <w:ind w:left="1542" w:hanging="1440"/>
      </w:pPr>
      <w:rPr>
        <w:rFonts w:hint="default"/>
      </w:rPr>
    </w:lvl>
    <w:lvl w:ilvl="4">
      <w:start w:val="1"/>
      <w:numFmt w:val="decimal"/>
      <w:isLgl/>
      <w:lvlText w:val="%1.%2.%3.%4.%5."/>
      <w:lvlJc w:val="left"/>
      <w:pPr>
        <w:ind w:left="1902" w:hanging="1800"/>
      </w:pPr>
      <w:rPr>
        <w:rFonts w:hint="default"/>
      </w:rPr>
    </w:lvl>
    <w:lvl w:ilvl="5">
      <w:start w:val="1"/>
      <w:numFmt w:val="decimal"/>
      <w:isLgl/>
      <w:lvlText w:val="%1.%2.%3.%4.%5.%6."/>
      <w:lvlJc w:val="left"/>
      <w:pPr>
        <w:ind w:left="1902" w:hanging="1800"/>
      </w:pPr>
      <w:rPr>
        <w:rFonts w:hint="default"/>
      </w:rPr>
    </w:lvl>
    <w:lvl w:ilvl="6">
      <w:start w:val="1"/>
      <w:numFmt w:val="decimal"/>
      <w:isLgl/>
      <w:lvlText w:val="%1.%2.%3.%4.%5.%6.%7."/>
      <w:lvlJc w:val="left"/>
      <w:pPr>
        <w:ind w:left="2262" w:hanging="2160"/>
      </w:pPr>
      <w:rPr>
        <w:rFonts w:hint="default"/>
      </w:rPr>
    </w:lvl>
    <w:lvl w:ilvl="7">
      <w:start w:val="1"/>
      <w:numFmt w:val="decimal"/>
      <w:isLgl/>
      <w:lvlText w:val="%1.%2.%3.%4.%5.%6.%7.%8."/>
      <w:lvlJc w:val="left"/>
      <w:pPr>
        <w:ind w:left="2622" w:hanging="2520"/>
      </w:pPr>
      <w:rPr>
        <w:rFonts w:hint="default"/>
      </w:rPr>
    </w:lvl>
    <w:lvl w:ilvl="8">
      <w:start w:val="1"/>
      <w:numFmt w:val="decimal"/>
      <w:isLgl/>
      <w:lvlText w:val="%1.%2.%3.%4.%5.%6.%7.%8.%9."/>
      <w:lvlJc w:val="left"/>
      <w:pPr>
        <w:ind w:left="2982" w:hanging="2880"/>
      </w:pPr>
      <w:rPr>
        <w:rFonts w:hint="default"/>
      </w:rPr>
    </w:lvl>
  </w:abstractNum>
  <w:abstractNum w:abstractNumId="1" w15:restartNumberingAfterBreak="0">
    <w:nsid w:val="7D5458C6"/>
    <w:multiLevelType w:val="multilevel"/>
    <w:tmpl w:val="B9B0417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F7D28AD"/>
    <w:multiLevelType w:val="hybridMultilevel"/>
    <w:tmpl w:val="50F4258C"/>
    <w:lvl w:ilvl="0" w:tplc="BEECE45E">
      <w:start w:val="1"/>
      <w:numFmt w:val="decimal"/>
      <w:lvlText w:val="%1."/>
      <w:lvlJc w:val="left"/>
      <w:pPr>
        <w:ind w:left="102" w:hanging="284"/>
      </w:pPr>
      <w:rPr>
        <w:rFonts w:ascii="Georgia" w:eastAsia="Georgia" w:hAnsi="Georgia" w:cs="Georgia" w:hint="default"/>
        <w:spacing w:val="-1"/>
        <w:w w:val="100"/>
        <w:sz w:val="28"/>
        <w:szCs w:val="28"/>
        <w:lang w:val="es-ES" w:eastAsia="en-US" w:bidi="ar-SA"/>
      </w:rPr>
    </w:lvl>
    <w:lvl w:ilvl="1" w:tplc="66F2CD38">
      <w:numFmt w:val="bullet"/>
      <w:lvlText w:val="•"/>
      <w:lvlJc w:val="left"/>
      <w:pPr>
        <w:ind w:left="996" w:hanging="284"/>
      </w:pPr>
      <w:rPr>
        <w:rFonts w:hint="default"/>
        <w:lang w:val="es-ES" w:eastAsia="en-US" w:bidi="ar-SA"/>
      </w:rPr>
    </w:lvl>
    <w:lvl w:ilvl="2" w:tplc="886AAFCA">
      <w:numFmt w:val="bullet"/>
      <w:lvlText w:val="•"/>
      <w:lvlJc w:val="left"/>
      <w:pPr>
        <w:ind w:left="1892" w:hanging="284"/>
      </w:pPr>
      <w:rPr>
        <w:rFonts w:hint="default"/>
        <w:lang w:val="es-ES" w:eastAsia="en-US" w:bidi="ar-SA"/>
      </w:rPr>
    </w:lvl>
    <w:lvl w:ilvl="3" w:tplc="60ECAB44">
      <w:numFmt w:val="bullet"/>
      <w:lvlText w:val="•"/>
      <w:lvlJc w:val="left"/>
      <w:pPr>
        <w:ind w:left="2788" w:hanging="284"/>
      </w:pPr>
      <w:rPr>
        <w:rFonts w:hint="default"/>
        <w:lang w:val="es-ES" w:eastAsia="en-US" w:bidi="ar-SA"/>
      </w:rPr>
    </w:lvl>
    <w:lvl w:ilvl="4" w:tplc="FBD0DF04">
      <w:numFmt w:val="bullet"/>
      <w:lvlText w:val="•"/>
      <w:lvlJc w:val="left"/>
      <w:pPr>
        <w:ind w:left="3684" w:hanging="284"/>
      </w:pPr>
      <w:rPr>
        <w:rFonts w:hint="default"/>
        <w:lang w:val="es-ES" w:eastAsia="en-US" w:bidi="ar-SA"/>
      </w:rPr>
    </w:lvl>
    <w:lvl w:ilvl="5" w:tplc="3782FF90">
      <w:numFmt w:val="bullet"/>
      <w:lvlText w:val="•"/>
      <w:lvlJc w:val="left"/>
      <w:pPr>
        <w:ind w:left="4581" w:hanging="284"/>
      </w:pPr>
      <w:rPr>
        <w:rFonts w:hint="default"/>
        <w:lang w:val="es-ES" w:eastAsia="en-US" w:bidi="ar-SA"/>
      </w:rPr>
    </w:lvl>
    <w:lvl w:ilvl="6" w:tplc="EE3AE06C">
      <w:numFmt w:val="bullet"/>
      <w:lvlText w:val="•"/>
      <w:lvlJc w:val="left"/>
      <w:pPr>
        <w:ind w:left="5477" w:hanging="284"/>
      </w:pPr>
      <w:rPr>
        <w:rFonts w:hint="default"/>
        <w:lang w:val="es-ES" w:eastAsia="en-US" w:bidi="ar-SA"/>
      </w:rPr>
    </w:lvl>
    <w:lvl w:ilvl="7" w:tplc="514C6616">
      <w:numFmt w:val="bullet"/>
      <w:lvlText w:val="•"/>
      <w:lvlJc w:val="left"/>
      <w:pPr>
        <w:ind w:left="6373" w:hanging="284"/>
      </w:pPr>
      <w:rPr>
        <w:rFonts w:hint="default"/>
        <w:lang w:val="es-ES" w:eastAsia="en-US" w:bidi="ar-SA"/>
      </w:rPr>
    </w:lvl>
    <w:lvl w:ilvl="8" w:tplc="F0DEF650">
      <w:numFmt w:val="bullet"/>
      <w:lvlText w:val="•"/>
      <w:lvlJc w:val="left"/>
      <w:pPr>
        <w:ind w:left="7269" w:hanging="284"/>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04"/>
    <w:rsid w:val="0001177A"/>
    <w:rsid w:val="00011C4F"/>
    <w:rsid w:val="00014326"/>
    <w:rsid w:val="0004114F"/>
    <w:rsid w:val="00050652"/>
    <w:rsid w:val="0005209F"/>
    <w:rsid w:val="00055A57"/>
    <w:rsid w:val="0005625C"/>
    <w:rsid w:val="00063235"/>
    <w:rsid w:val="000741D1"/>
    <w:rsid w:val="0008172F"/>
    <w:rsid w:val="000A72DD"/>
    <w:rsid w:val="000C510C"/>
    <w:rsid w:val="000C624D"/>
    <w:rsid w:val="000F526B"/>
    <w:rsid w:val="000F6A36"/>
    <w:rsid w:val="0010740E"/>
    <w:rsid w:val="001104FE"/>
    <w:rsid w:val="00111267"/>
    <w:rsid w:val="00117869"/>
    <w:rsid w:val="00124E4A"/>
    <w:rsid w:val="00132A38"/>
    <w:rsid w:val="00136B08"/>
    <w:rsid w:val="00141D10"/>
    <w:rsid w:val="0014597A"/>
    <w:rsid w:val="00161D60"/>
    <w:rsid w:val="00163B34"/>
    <w:rsid w:val="00164C44"/>
    <w:rsid w:val="00185001"/>
    <w:rsid w:val="00190D14"/>
    <w:rsid w:val="0019334C"/>
    <w:rsid w:val="001A72DB"/>
    <w:rsid w:val="001B2277"/>
    <w:rsid w:val="001C5751"/>
    <w:rsid w:val="001D5382"/>
    <w:rsid w:val="001E30AD"/>
    <w:rsid w:val="001E331F"/>
    <w:rsid w:val="001F359B"/>
    <w:rsid w:val="00202C9D"/>
    <w:rsid w:val="0022476A"/>
    <w:rsid w:val="00235DB7"/>
    <w:rsid w:val="00243591"/>
    <w:rsid w:val="00243ACA"/>
    <w:rsid w:val="00252F6D"/>
    <w:rsid w:val="00254AA7"/>
    <w:rsid w:val="0026401A"/>
    <w:rsid w:val="00281F89"/>
    <w:rsid w:val="00286A5F"/>
    <w:rsid w:val="002B0EE7"/>
    <w:rsid w:val="002B4638"/>
    <w:rsid w:val="002C0B2F"/>
    <w:rsid w:val="002C2705"/>
    <w:rsid w:val="002C3576"/>
    <w:rsid w:val="002D18E9"/>
    <w:rsid w:val="002D456C"/>
    <w:rsid w:val="002E4341"/>
    <w:rsid w:val="002E7B43"/>
    <w:rsid w:val="003112DC"/>
    <w:rsid w:val="003177DB"/>
    <w:rsid w:val="0033037B"/>
    <w:rsid w:val="003307AF"/>
    <w:rsid w:val="00331AFF"/>
    <w:rsid w:val="00334F7C"/>
    <w:rsid w:val="00337558"/>
    <w:rsid w:val="003410AC"/>
    <w:rsid w:val="00341A0C"/>
    <w:rsid w:val="003734D5"/>
    <w:rsid w:val="00383569"/>
    <w:rsid w:val="003853FA"/>
    <w:rsid w:val="0039736C"/>
    <w:rsid w:val="003A377E"/>
    <w:rsid w:val="003D5007"/>
    <w:rsid w:val="003D56DD"/>
    <w:rsid w:val="003E001A"/>
    <w:rsid w:val="003F690D"/>
    <w:rsid w:val="00402966"/>
    <w:rsid w:val="00406EF2"/>
    <w:rsid w:val="00412EF0"/>
    <w:rsid w:val="00424F5D"/>
    <w:rsid w:val="00427266"/>
    <w:rsid w:val="00431102"/>
    <w:rsid w:val="0044131E"/>
    <w:rsid w:val="0044654C"/>
    <w:rsid w:val="004724E6"/>
    <w:rsid w:val="00477819"/>
    <w:rsid w:val="0048647F"/>
    <w:rsid w:val="004A7F28"/>
    <w:rsid w:val="004B5585"/>
    <w:rsid w:val="004E0981"/>
    <w:rsid w:val="004E1E1E"/>
    <w:rsid w:val="004E4069"/>
    <w:rsid w:val="00506E14"/>
    <w:rsid w:val="005126F1"/>
    <w:rsid w:val="00552736"/>
    <w:rsid w:val="00564794"/>
    <w:rsid w:val="00570748"/>
    <w:rsid w:val="0057307C"/>
    <w:rsid w:val="005772BF"/>
    <w:rsid w:val="00582514"/>
    <w:rsid w:val="005B5856"/>
    <w:rsid w:val="005C1F45"/>
    <w:rsid w:val="005C4A02"/>
    <w:rsid w:val="005C690F"/>
    <w:rsid w:val="005C6C81"/>
    <w:rsid w:val="005D4170"/>
    <w:rsid w:val="005D6806"/>
    <w:rsid w:val="005F39FD"/>
    <w:rsid w:val="0062130E"/>
    <w:rsid w:val="0062544A"/>
    <w:rsid w:val="00646704"/>
    <w:rsid w:val="00670831"/>
    <w:rsid w:val="00671893"/>
    <w:rsid w:val="006A1352"/>
    <w:rsid w:val="006A2DD5"/>
    <w:rsid w:val="006B37F2"/>
    <w:rsid w:val="006B69A8"/>
    <w:rsid w:val="006C7446"/>
    <w:rsid w:val="006D24AF"/>
    <w:rsid w:val="006D6D72"/>
    <w:rsid w:val="006F5A96"/>
    <w:rsid w:val="007120E5"/>
    <w:rsid w:val="007135AB"/>
    <w:rsid w:val="00744869"/>
    <w:rsid w:val="00751CF3"/>
    <w:rsid w:val="00762763"/>
    <w:rsid w:val="00765FD1"/>
    <w:rsid w:val="007660CD"/>
    <w:rsid w:val="00766887"/>
    <w:rsid w:val="00766FDD"/>
    <w:rsid w:val="0079197A"/>
    <w:rsid w:val="00794B8F"/>
    <w:rsid w:val="007A3B9E"/>
    <w:rsid w:val="007D48F9"/>
    <w:rsid w:val="007D5408"/>
    <w:rsid w:val="007D64B4"/>
    <w:rsid w:val="007E4F6B"/>
    <w:rsid w:val="007F3DDA"/>
    <w:rsid w:val="007F4DD0"/>
    <w:rsid w:val="007F77CF"/>
    <w:rsid w:val="00813D3F"/>
    <w:rsid w:val="00855600"/>
    <w:rsid w:val="00863E2D"/>
    <w:rsid w:val="0087273E"/>
    <w:rsid w:val="00881884"/>
    <w:rsid w:val="0089286A"/>
    <w:rsid w:val="00897BA2"/>
    <w:rsid w:val="008B4504"/>
    <w:rsid w:val="008C5138"/>
    <w:rsid w:val="008D0B83"/>
    <w:rsid w:val="008D1874"/>
    <w:rsid w:val="008D355A"/>
    <w:rsid w:val="008E2226"/>
    <w:rsid w:val="008F1FAD"/>
    <w:rsid w:val="00903844"/>
    <w:rsid w:val="00914760"/>
    <w:rsid w:val="009321B8"/>
    <w:rsid w:val="00941E71"/>
    <w:rsid w:val="0095359A"/>
    <w:rsid w:val="009631B5"/>
    <w:rsid w:val="00971EB4"/>
    <w:rsid w:val="009B6411"/>
    <w:rsid w:val="009C5F80"/>
    <w:rsid w:val="009D51E4"/>
    <w:rsid w:val="009E3BA2"/>
    <w:rsid w:val="00A07C04"/>
    <w:rsid w:val="00A34D8E"/>
    <w:rsid w:val="00A4568F"/>
    <w:rsid w:val="00A557BD"/>
    <w:rsid w:val="00A67CD7"/>
    <w:rsid w:val="00A71585"/>
    <w:rsid w:val="00A737E5"/>
    <w:rsid w:val="00AC1E9E"/>
    <w:rsid w:val="00AC3A74"/>
    <w:rsid w:val="00AD4306"/>
    <w:rsid w:val="00AE4CEB"/>
    <w:rsid w:val="00B000EA"/>
    <w:rsid w:val="00B07755"/>
    <w:rsid w:val="00B211F3"/>
    <w:rsid w:val="00B551B8"/>
    <w:rsid w:val="00B579E4"/>
    <w:rsid w:val="00B649A4"/>
    <w:rsid w:val="00BC4FE3"/>
    <w:rsid w:val="00BF0DAF"/>
    <w:rsid w:val="00C07C8D"/>
    <w:rsid w:val="00C13C9C"/>
    <w:rsid w:val="00C24221"/>
    <w:rsid w:val="00C42C28"/>
    <w:rsid w:val="00C42C4A"/>
    <w:rsid w:val="00C83469"/>
    <w:rsid w:val="00CA0678"/>
    <w:rsid w:val="00CA0956"/>
    <w:rsid w:val="00CB399B"/>
    <w:rsid w:val="00CB70F3"/>
    <w:rsid w:val="00CC7B2B"/>
    <w:rsid w:val="00CC7EAB"/>
    <w:rsid w:val="00CD608E"/>
    <w:rsid w:val="00CF0A65"/>
    <w:rsid w:val="00D13C56"/>
    <w:rsid w:val="00D404FC"/>
    <w:rsid w:val="00D42764"/>
    <w:rsid w:val="00D459C9"/>
    <w:rsid w:val="00D51AC8"/>
    <w:rsid w:val="00D543B8"/>
    <w:rsid w:val="00D54F3C"/>
    <w:rsid w:val="00D740D9"/>
    <w:rsid w:val="00D856A1"/>
    <w:rsid w:val="00D86BAB"/>
    <w:rsid w:val="00D904F1"/>
    <w:rsid w:val="00DA1ECD"/>
    <w:rsid w:val="00DA31CC"/>
    <w:rsid w:val="00DA777B"/>
    <w:rsid w:val="00DB0DF0"/>
    <w:rsid w:val="00DC4CDB"/>
    <w:rsid w:val="00DC5D21"/>
    <w:rsid w:val="00DE1F02"/>
    <w:rsid w:val="00DE5A2E"/>
    <w:rsid w:val="00DF04DA"/>
    <w:rsid w:val="00E0196C"/>
    <w:rsid w:val="00E14854"/>
    <w:rsid w:val="00E24841"/>
    <w:rsid w:val="00E354CC"/>
    <w:rsid w:val="00E538AF"/>
    <w:rsid w:val="00E80032"/>
    <w:rsid w:val="00E95C04"/>
    <w:rsid w:val="00EA1772"/>
    <w:rsid w:val="00EB3763"/>
    <w:rsid w:val="00EC662D"/>
    <w:rsid w:val="00EC6A50"/>
    <w:rsid w:val="00ED4F64"/>
    <w:rsid w:val="00EE2105"/>
    <w:rsid w:val="00F040AA"/>
    <w:rsid w:val="00F05567"/>
    <w:rsid w:val="00F16E87"/>
    <w:rsid w:val="00F31EDE"/>
    <w:rsid w:val="00F41D4D"/>
    <w:rsid w:val="00F702E3"/>
    <w:rsid w:val="00F73637"/>
    <w:rsid w:val="00F91D98"/>
    <w:rsid w:val="00F96320"/>
    <w:rsid w:val="00FA389F"/>
    <w:rsid w:val="00FB1CA8"/>
    <w:rsid w:val="00FD2AEE"/>
    <w:rsid w:val="00FE3635"/>
    <w:rsid w:val="00FF2F10"/>
    <w:rsid w:val="00FF4C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86D99"/>
  <w15:docId w15:val="{94E4930C-513C-49A1-BBA9-5E8A4F9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lang w:val="es-ES"/>
    </w:rPr>
  </w:style>
  <w:style w:type="paragraph" w:styleId="Ttulo1">
    <w:name w:val="heading 1"/>
    <w:basedOn w:val="Normal"/>
    <w:link w:val="Ttulo1Car"/>
    <w:uiPriority w:val="9"/>
    <w:qFormat/>
    <w:pPr>
      <w:ind w:left="102"/>
      <w:outlineLvl w:val="0"/>
    </w:pPr>
    <w:rPr>
      <w:rFonts w:ascii="Cambria" w:eastAsia="Cambria" w:hAnsi="Cambria" w:cs="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8"/>
      <w:szCs w:val="28"/>
    </w:rPr>
  </w:style>
  <w:style w:type="paragraph" w:styleId="Prrafodelista">
    <w:name w:val="List Paragraph"/>
    <w:basedOn w:val="Normal"/>
    <w:uiPriority w:val="1"/>
    <w:qFormat/>
    <w:pPr>
      <w:ind w:left="102" w:right="117"/>
      <w:jc w:val="both"/>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243591"/>
    <w:rPr>
      <w:rFonts w:ascii="Cambria" w:eastAsia="Cambria" w:hAnsi="Cambria" w:cs="Cambria"/>
      <w:b/>
      <w:bCs/>
      <w:sz w:val="28"/>
      <w:szCs w:val="28"/>
      <w:lang w:val="es-ES"/>
    </w:rPr>
  </w:style>
  <w:style w:type="character" w:customStyle="1" w:styleId="TextoindependienteCar">
    <w:name w:val="Texto independiente Car"/>
    <w:basedOn w:val="Fuentedeprrafopredeter"/>
    <w:link w:val="Textoindependiente"/>
    <w:uiPriority w:val="1"/>
    <w:rsid w:val="00243591"/>
    <w:rPr>
      <w:rFonts w:ascii="Georgia" w:eastAsia="Georgia" w:hAnsi="Georgia" w:cs="Georgia"/>
      <w:sz w:val="28"/>
      <w:szCs w:val="28"/>
      <w:lang w:val="es-ES"/>
    </w:rPr>
  </w:style>
  <w:style w:type="paragraph" w:styleId="Textonotapie">
    <w:name w:val="footnote text"/>
    <w:basedOn w:val="Normal"/>
    <w:link w:val="TextonotapieCar"/>
    <w:semiHidden/>
    <w:unhideWhenUsed/>
    <w:rsid w:val="00941E71"/>
    <w:rPr>
      <w:sz w:val="20"/>
      <w:szCs w:val="20"/>
    </w:rPr>
  </w:style>
  <w:style w:type="character" w:customStyle="1" w:styleId="TextonotapieCar">
    <w:name w:val="Texto nota pie Car"/>
    <w:basedOn w:val="Fuentedeprrafopredeter"/>
    <w:link w:val="Textonotapie"/>
    <w:semiHidden/>
    <w:rsid w:val="00941E71"/>
    <w:rPr>
      <w:rFonts w:ascii="Georgia" w:eastAsia="Georgia" w:hAnsi="Georgia" w:cs="Georgia"/>
      <w:sz w:val="20"/>
      <w:szCs w:val="20"/>
      <w:lang w:val="es-ES"/>
    </w:rPr>
  </w:style>
  <w:style w:type="character" w:styleId="Refdenotaalpie">
    <w:name w:val="footnote reference"/>
    <w:basedOn w:val="Fuentedeprrafopredeter"/>
    <w:semiHidden/>
    <w:unhideWhenUsed/>
    <w:rsid w:val="00941E71"/>
    <w:rPr>
      <w:vertAlign w:val="superscript"/>
    </w:rPr>
  </w:style>
  <w:style w:type="paragraph" w:styleId="Encabezado">
    <w:name w:val="header"/>
    <w:basedOn w:val="Normal"/>
    <w:link w:val="EncabezadoCar"/>
    <w:uiPriority w:val="99"/>
    <w:unhideWhenUsed/>
    <w:rsid w:val="0010740E"/>
    <w:pPr>
      <w:tabs>
        <w:tab w:val="center" w:pos="4419"/>
        <w:tab w:val="right" w:pos="8838"/>
      </w:tabs>
    </w:pPr>
  </w:style>
  <w:style w:type="character" w:customStyle="1" w:styleId="EncabezadoCar">
    <w:name w:val="Encabezado Car"/>
    <w:basedOn w:val="Fuentedeprrafopredeter"/>
    <w:link w:val="Encabezado"/>
    <w:uiPriority w:val="99"/>
    <w:rsid w:val="0010740E"/>
    <w:rPr>
      <w:rFonts w:ascii="Georgia" w:eastAsia="Georgia" w:hAnsi="Georgia" w:cs="Georgia"/>
      <w:lang w:val="es-ES"/>
    </w:rPr>
  </w:style>
  <w:style w:type="paragraph" w:styleId="Piedepgina">
    <w:name w:val="footer"/>
    <w:basedOn w:val="Normal"/>
    <w:link w:val="PiedepginaCar"/>
    <w:uiPriority w:val="99"/>
    <w:unhideWhenUsed/>
    <w:rsid w:val="0010740E"/>
    <w:pPr>
      <w:tabs>
        <w:tab w:val="center" w:pos="4419"/>
        <w:tab w:val="right" w:pos="8838"/>
      </w:tabs>
    </w:pPr>
  </w:style>
  <w:style w:type="character" w:customStyle="1" w:styleId="PiedepginaCar">
    <w:name w:val="Pie de página Car"/>
    <w:basedOn w:val="Fuentedeprrafopredeter"/>
    <w:link w:val="Piedepgina"/>
    <w:uiPriority w:val="99"/>
    <w:rsid w:val="0010740E"/>
    <w:rPr>
      <w:rFonts w:ascii="Georgia" w:eastAsia="Georgia" w:hAnsi="Georgia" w:cs="Georg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15" ma:contentTypeDescription="Crear nuevo documento." ma:contentTypeScope="" ma:versionID="71e8ce2996f1032db6d466bdf3d94e30">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a12ef200a9a70a89de408691e94ad04c"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099792c6-f27b-4e16-90a0-038589a113ab}" ma:internalName="TaxCatchAll" ma:showField="CatchAllData" ma:web="9845f4ef-a5bd-4dbd-ab8f-e69291a39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45f4ef-a5bd-4dbd-ab8f-e69291a39b0c" xsi:nil="true"/>
    <lcf76f155ced4ddcb4097134ff3c332f xmlns="930c81f1-e9ca-4bc6-a442-7e43bfe258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DFBB-B580-4EA4-8203-6DA57B6963F3}">
  <ds:schemaRefs>
    <ds:schemaRef ds:uri="http://schemas.microsoft.com/sharepoint/v3/contenttype/forms"/>
  </ds:schemaRefs>
</ds:datastoreItem>
</file>

<file path=customXml/itemProps2.xml><?xml version="1.0" encoding="utf-8"?>
<ds:datastoreItem xmlns:ds="http://schemas.openxmlformats.org/officeDocument/2006/customXml" ds:itemID="{33F7089C-D204-4A6A-9A69-5484F4DF5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EC8A3-0801-4BE5-99FB-71428F56593D}">
  <ds:schemaRefs>
    <ds:schemaRef ds:uri="http://schemas.microsoft.com/office/2006/metadata/properties"/>
    <ds:schemaRef ds:uri="http://schemas.microsoft.com/office/infopath/2007/PartnerControls"/>
    <ds:schemaRef ds:uri="9845f4ef-a5bd-4dbd-ab8f-e69291a39b0c"/>
    <ds:schemaRef ds:uri="930c81f1-e9ca-4bc6-a442-7e43bfe25841"/>
  </ds:schemaRefs>
</ds:datastoreItem>
</file>

<file path=customXml/itemProps4.xml><?xml version="1.0" encoding="utf-8"?>
<ds:datastoreItem xmlns:ds="http://schemas.openxmlformats.org/officeDocument/2006/customXml" ds:itemID="{D1AE4717-2211-4602-AA70-41855A73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2366</Words>
  <Characters>13491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jasana</dc:creator>
  <cp:lastModifiedBy>samsung</cp:lastModifiedBy>
  <cp:revision>6</cp:revision>
  <dcterms:created xsi:type="dcterms:W3CDTF">2023-12-11T14:14:00Z</dcterms:created>
  <dcterms:modified xsi:type="dcterms:W3CDTF">2024-02-09T13:32:00Z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2023-12-08T00:00:00Z</vt:filetime>
  </property>
  <property fmtid="{D5CDD505-2E9C-101B-9397-08002B2CF9AE}" pid="5" name="ContentTypeId">
    <vt:lpwstr>0x01010050D3CA8A8F104B46A609B35E2806C01D</vt:lpwstr>
  </property>
</Properties>
</file>