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8C9FC" w14:textId="5225664C" w:rsidR="00E1241B" w:rsidRPr="002E76F5" w:rsidRDefault="002E76F5" w:rsidP="00E1241B">
      <w:pPr>
        <w:widowControl w:val="0"/>
        <w:autoSpaceDE w:val="0"/>
        <w:autoSpaceDN w:val="0"/>
        <w:spacing w:line="240" w:lineRule="auto"/>
        <w:jc w:val="both"/>
        <w:rPr>
          <w:rFonts w:eastAsia="Georgia"/>
          <w:b/>
          <w:sz w:val="20"/>
          <w:szCs w:val="24"/>
          <w:lang w:val="es-ES" w:eastAsia="en-US"/>
        </w:rPr>
      </w:pPr>
      <w:r w:rsidRPr="002E76F5">
        <w:rPr>
          <w:rFonts w:eastAsia="Georgia"/>
          <w:b/>
          <w:sz w:val="20"/>
          <w:szCs w:val="24"/>
          <w:lang w:val="es-ES" w:eastAsia="en-US"/>
        </w:rPr>
        <w:t>PRESCRIPCIÓN / FORMA DE ADQUIRIR EL DERECHO DE DOMINIO / EL</w:t>
      </w:r>
      <w:bookmarkStart w:id="0" w:name="_GoBack"/>
      <w:bookmarkEnd w:id="0"/>
      <w:r w:rsidRPr="002E76F5">
        <w:rPr>
          <w:rFonts w:eastAsia="Georgia"/>
          <w:b/>
          <w:sz w:val="20"/>
          <w:szCs w:val="24"/>
          <w:lang w:val="es-ES" w:eastAsia="en-US"/>
        </w:rPr>
        <w:t>EMENTOS</w:t>
      </w:r>
    </w:p>
    <w:p w14:paraId="56499E57" w14:textId="71277429" w:rsidR="00E1241B" w:rsidRPr="002E76F5" w:rsidRDefault="002E76F5" w:rsidP="002E76F5">
      <w:pPr>
        <w:widowControl w:val="0"/>
        <w:autoSpaceDE w:val="0"/>
        <w:autoSpaceDN w:val="0"/>
        <w:spacing w:line="240" w:lineRule="auto"/>
        <w:jc w:val="both"/>
        <w:rPr>
          <w:rFonts w:eastAsia="Georgia"/>
          <w:sz w:val="20"/>
          <w:szCs w:val="24"/>
          <w:lang w:val="es-ES" w:eastAsia="en-US"/>
        </w:rPr>
      </w:pPr>
      <w:r w:rsidRPr="002E76F5">
        <w:rPr>
          <w:rFonts w:eastAsia="Georgia"/>
          <w:sz w:val="20"/>
          <w:szCs w:val="24"/>
          <w:lang w:val="es-ES" w:eastAsia="en-US"/>
        </w:rPr>
        <w:t>… el derecho real de dominio, a términos del artículo 673 del Código Civil, se puede adquirir por los modos de la ocupación, la accesión, la tradición, la sucesión por causa de muerte y la prescripción. Esta última modalidad es extintiva o adquisitiva; y la adquisitiva, a su vez, ordinaria o extraordinaria (art. 2527 ib.). La usucapión, según el artículo 2518 del Código Civil, impone para su prosperidad la satisfacción de unos elementos, a saber: (i) la posesión que detente quien desea ganar una cosa corporal, mueble o inmueble, ajena, susceptible de adquirir por ese modo; (ii) el transcurso del tiempo en las condiciones señaladas en la ley; y (iii) que la aludida posesión sea pública, pacífica e ininterrumpida…</w:t>
      </w:r>
    </w:p>
    <w:p w14:paraId="614C489E" w14:textId="77777777" w:rsidR="00E1241B" w:rsidRPr="002E76F5" w:rsidRDefault="00E1241B" w:rsidP="00E1241B">
      <w:pPr>
        <w:widowControl w:val="0"/>
        <w:autoSpaceDE w:val="0"/>
        <w:autoSpaceDN w:val="0"/>
        <w:spacing w:line="240" w:lineRule="auto"/>
        <w:jc w:val="both"/>
        <w:rPr>
          <w:rFonts w:eastAsia="Georgia"/>
          <w:sz w:val="20"/>
          <w:szCs w:val="24"/>
          <w:lang w:val="es-ES" w:eastAsia="en-US"/>
        </w:rPr>
      </w:pPr>
    </w:p>
    <w:p w14:paraId="4D75603E" w14:textId="72ECBB75" w:rsidR="002E76F5" w:rsidRPr="002E76F5" w:rsidRDefault="002E76F5" w:rsidP="002E76F5">
      <w:pPr>
        <w:widowControl w:val="0"/>
        <w:autoSpaceDE w:val="0"/>
        <w:autoSpaceDN w:val="0"/>
        <w:spacing w:line="240" w:lineRule="auto"/>
        <w:jc w:val="both"/>
        <w:rPr>
          <w:rFonts w:eastAsia="Georgia"/>
          <w:b/>
          <w:sz w:val="20"/>
          <w:szCs w:val="24"/>
          <w:lang w:val="es-ES" w:eastAsia="en-US"/>
        </w:rPr>
      </w:pPr>
      <w:r w:rsidRPr="002E76F5">
        <w:rPr>
          <w:rFonts w:eastAsia="Georgia"/>
          <w:b/>
          <w:sz w:val="20"/>
          <w:szCs w:val="24"/>
          <w:lang w:val="es-ES" w:eastAsia="en-US"/>
        </w:rPr>
        <w:t xml:space="preserve">PRESCRIPCIÓN </w:t>
      </w:r>
      <w:r w:rsidR="00A62EBA">
        <w:rPr>
          <w:rFonts w:eastAsia="Georgia"/>
          <w:b/>
          <w:sz w:val="20"/>
          <w:szCs w:val="24"/>
          <w:lang w:val="es-ES" w:eastAsia="en-US"/>
        </w:rPr>
        <w:t xml:space="preserve">ADQUISITIVA </w:t>
      </w:r>
      <w:r w:rsidRPr="002E76F5">
        <w:rPr>
          <w:rFonts w:eastAsia="Georgia"/>
          <w:b/>
          <w:sz w:val="20"/>
          <w:szCs w:val="24"/>
          <w:lang w:val="es-ES" w:eastAsia="en-US"/>
        </w:rPr>
        <w:t xml:space="preserve">/ </w:t>
      </w:r>
      <w:r w:rsidR="00A62EBA">
        <w:rPr>
          <w:rFonts w:eastAsia="Georgia"/>
          <w:b/>
          <w:sz w:val="20"/>
          <w:szCs w:val="24"/>
          <w:lang w:val="es-ES" w:eastAsia="en-US"/>
        </w:rPr>
        <w:t>POSESIÓN /</w:t>
      </w:r>
      <w:r w:rsidR="00C660D9">
        <w:rPr>
          <w:rFonts w:eastAsia="Georgia"/>
          <w:b/>
          <w:sz w:val="20"/>
          <w:szCs w:val="24"/>
          <w:lang w:val="es-ES" w:eastAsia="en-US"/>
        </w:rPr>
        <w:t xml:space="preserve"> DEFINICIÓN /</w:t>
      </w:r>
      <w:r w:rsidR="00A62EBA">
        <w:rPr>
          <w:rFonts w:eastAsia="Georgia"/>
          <w:b/>
          <w:sz w:val="20"/>
          <w:szCs w:val="24"/>
          <w:lang w:val="es-ES" w:eastAsia="en-US"/>
        </w:rPr>
        <w:t xml:space="preserve"> REQUISITOS</w:t>
      </w:r>
    </w:p>
    <w:p w14:paraId="468ACD82" w14:textId="3DF075C6" w:rsidR="00E1241B" w:rsidRPr="00A62EBA" w:rsidRDefault="00A62EBA" w:rsidP="00A62EBA">
      <w:pPr>
        <w:widowControl w:val="0"/>
        <w:autoSpaceDE w:val="0"/>
        <w:autoSpaceDN w:val="0"/>
        <w:spacing w:line="240" w:lineRule="auto"/>
        <w:jc w:val="both"/>
        <w:rPr>
          <w:rFonts w:eastAsia="Georgia"/>
          <w:sz w:val="20"/>
          <w:szCs w:val="24"/>
          <w:lang w:val="es-ES" w:eastAsia="en-US"/>
        </w:rPr>
      </w:pPr>
      <w:r w:rsidRPr="00A62EBA">
        <w:rPr>
          <w:rFonts w:eastAsia="Georgia"/>
          <w:sz w:val="20"/>
          <w:szCs w:val="24"/>
          <w:lang w:val="es-ES" w:eastAsia="en-US"/>
        </w:rPr>
        <w:t>Y cuando de posesión se habla, el artículo 762 del mismo estatuto prescribe que ella es la tenencia de una cosa determinada con ánimo de señor y dueño y entraña una presunción de dominio. Es decir, que son dos requisitos los que se deben cumplir para reputarse como poseedor: uno material y otro volitivo; el primero referido a la detentación de la cosa por sí o por interpuesta persona; y el segundo a la manifiesta intención de comportarse respecto de ella como el verdadero dueño.</w:t>
      </w:r>
    </w:p>
    <w:p w14:paraId="55FAD495" w14:textId="77777777" w:rsidR="00E1241B" w:rsidRPr="002E76F5" w:rsidRDefault="00E1241B" w:rsidP="00E1241B">
      <w:pPr>
        <w:widowControl w:val="0"/>
        <w:autoSpaceDE w:val="0"/>
        <w:autoSpaceDN w:val="0"/>
        <w:spacing w:line="240" w:lineRule="auto"/>
        <w:jc w:val="both"/>
        <w:rPr>
          <w:rFonts w:eastAsia="Georgia"/>
          <w:sz w:val="20"/>
          <w:szCs w:val="24"/>
          <w:lang w:val="es-ES" w:eastAsia="en-US"/>
        </w:rPr>
      </w:pPr>
    </w:p>
    <w:p w14:paraId="3A7B58C1" w14:textId="20E2797A" w:rsidR="00A62EBA" w:rsidRPr="002E76F5" w:rsidRDefault="00A62EBA" w:rsidP="00A62EBA">
      <w:pPr>
        <w:widowControl w:val="0"/>
        <w:autoSpaceDE w:val="0"/>
        <w:autoSpaceDN w:val="0"/>
        <w:spacing w:line="240" w:lineRule="auto"/>
        <w:jc w:val="both"/>
        <w:rPr>
          <w:rFonts w:eastAsia="Georgia"/>
          <w:b/>
          <w:sz w:val="20"/>
          <w:szCs w:val="24"/>
          <w:lang w:val="es-ES" w:eastAsia="en-US"/>
        </w:rPr>
      </w:pPr>
      <w:r w:rsidRPr="002E76F5">
        <w:rPr>
          <w:rFonts w:eastAsia="Georgia"/>
          <w:b/>
          <w:sz w:val="20"/>
          <w:szCs w:val="24"/>
          <w:lang w:val="es-ES" w:eastAsia="en-US"/>
        </w:rPr>
        <w:t xml:space="preserve">PRESCRIPCIÓN </w:t>
      </w:r>
      <w:r>
        <w:rPr>
          <w:rFonts w:eastAsia="Georgia"/>
          <w:b/>
          <w:sz w:val="20"/>
          <w:szCs w:val="24"/>
          <w:lang w:val="es-ES" w:eastAsia="en-US"/>
        </w:rPr>
        <w:t xml:space="preserve">ADQUISITIVA </w:t>
      </w:r>
      <w:r w:rsidRPr="002E76F5">
        <w:rPr>
          <w:rFonts w:eastAsia="Georgia"/>
          <w:b/>
          <w:sz w:val="20"/>
          <w:szCs w:val="24"/>
          <w:lang w:val="es-ES" w:eastAsia="en-US"/>
        </w:rPr>
        <w:t xml:space="preserve">/ </w:t>
      </w:r>
      <w:r w:rsidR="007B29A3">
        <w:rPr>
          <w:rFonts w:eastAsia="Georgia"/>
          <w:b/>
          <w:sz w:val="20"/>
          <w:szCs w:val="24"/>
          <w:lang w:val="es-ES" w:eastAsia="en-US"/>
        </w:rPr>
        <w:t xml:space="preserve">TENENCIA / </w:t>
      </w:r>
      <w:proofErr w:type="spellStart"/>
      <w:r w:rsidR="007B29A3">
        <w:rPr>
          <w:rFonts w:eastAsia="Georgia"/>
          <w:b/>
          <w:sz w:val="20"/>
          <w:szCs w:val="24"/>
          <w:lang w:val="es-ES" w:eastAsia="en-US"/>
        </w:rPr>
        <w:t>INTERVERSIÓN</w:t>
      </w:r>
      <w:proofErr w:type="spellEnd"/>
      <w:r w:rsidR="007B29A3">
        <w:rPr>
          <w:rFonts w:eastAsia="Georgia"/>
          <w:b/>
          <w:sz w:val="20"/>
          <w:szCs w:val="24"/>
          <w:lang w:val="es-ES" w:eastAsia="en-US"/>
        </w:rPr>
        <w:t xml:space="preserve"> EN </w:t>
      </w:r>
      <w:r>
        <w:rPr>
          <w:rFonts w:eastAsia="Georgia"/>
          <w:b/>
          <w:sz w:val="20"/>
          <w:szCs w:val="24"/>
          <w:lang w:val="es-ES" w:eastAsia="en-US"/>
        </w:rPr>
        <w:t>POSESI</w:t>
      </w:r>
      <w:r w:rsidR="007B29A3">
        <w:rPr>
          <w:rFonts w:eastAsia="Georgia"/>
          <w:b/>
          <w:sz w:val="20"/>
          <w:szCs w:val="24"/>
          <w:lang w:val="es-ES" w:eastAsia="en-US"/>
        </w:rPr>
        <w:t>ÓN</w:t>
      </w:r>
    </w:p>
    <w:p w14:paraId="12BA4899" w14:textId="3C4C9782" w:rsidR="00E1241B" w:rsidRDefault="007B29A3" w:rsidP="004A48DD">
      <w:pPr>
        <w:widowControl w:val="0"/>
        <w:autoSpaceDE w:val="0"/>
        <w:autoSpaceDN w:val="0"/>
        <w:spacing w:line="240" w:lineRule="auto"/>
        <w:jc w:val="both"/>
        <w:rPr>
          <w:rFonts w:eastAsia="Georgia"/>
          <w:sz w:val="20"/>
          <w:szCs w:val="24"/>
          <w:lang w:val="es-ES" w:eastAsia="en-US"/>
        </w:rPr>
      </w:pPr>
      <w:r w:rsidRPr="007B29A3">
        <w:rPr>
          <w:rFonts w:eastAsia="Georgia"/>
          <w:sz w:val="20"/>
          <w:szCs w:val="24"/>
          <w:lang w:val="es-ES" w:eastAsia="en-US"/>
        </w:rPr>
        <w:t xml:space="preserve">Ahora bien, regula el artículo 777 del C. Civil que “El simple lapso de tiempo no muda la mera tenencia en posesión”, por ello, quien asume la tenencia de una cosa con la aquiescencia de su propietario o como heredero, conservará esa misma condición sin consideración al tiempo que haya transcurrido desde cuando le fue entregada, salvo que se produzca la </w:t>
      </w:r>
      <w:proofErr w:type="spellStart"/>
      <w:r w:rsidRPr="007B29A3">
        <w:rPr>
          <w:rFonts w:eastAsia="Georgia"/>
          <w:sz w:val="20"/>
          <w:szCs w:val="24"/>
          <w:lang w:val="es-ES" w:eastAsia="en-US"/>
        </w:rPr>
        <w:t>interversión</w:t>
      </w:r>
      <w:proofErr w:type="spellEnd"/>
      <w:r w:rsidRPr="007B29A3">
        <w:rPr>
          <w:rFonts w:eastAsia="Georgia"/>
          <w:sz w:val="20"/>
          <w:szCs w:val="24"/>
          <w:lang w:val="es-ES" w:eastAsia="en-US"/>
        </w:rPr>
        <w:t xml:space="preserve"> de la misma a la de verdadero poseedor, caso en el cual tiene que quedar plenamente establecido que, en un momento dado, se rebeló contra el dueño o los demás herederos e hizo manifiesta su intención de considerarse tal</w:t>
      </w:r>
      <w:r>
        <w:rPr>
          <w:rFonts w:eastAsia="Georgia"/>
          <w:sz w:val="20"/>
          <w:szCs w:val="24"/>
          <w:lang w:val="es-ES" w:eastAsia="en-US"/>
        </w:rPr>
        <w:t>…</w:t>
      </w:r>
      <w:r w:rsidR="004A48DD">
        <w:rPr>
          <w:rFonts w:eastAsia="Georgia"/>
          <w:sz w:val="20"/>
          <w:szCs w:val="24"/>
          <w:lang w:val="es-ES" w:eastAsia="en-US"/>
        </w:rPr>
        <w:t xml:space="preserve"> </w:t>
      </w:r>
      <w:r w:rsidR="004A48DD" w:rsidRPr="004A48DD">
        <w:rPr>
          <w:rFonts w:eastAsia="Georgia"/>
          <w:sz w:val="20"/>
          <w:szCs w:val="24"/>
          <w:lang w:val="es-ES" w:eastAsia="en-US"/>
        </w:rPr>
        <w:t xml:space="preserve">Recordó la Sala de Casación Civil de la Corte Suprema de Justicia, en la sentencia </w:t>
      </w:r>
      <w:proofErr w:type="spellStart"/>
      <w:r w:rsidR="004A48DD" w:rsidRPr="004A48DD">
        <w:rPr>
          <w:rFonts w:eastAsia="Georgia"/>
          <w:sz w:val="20"/>
          <w:szCs w:val="24"/>
          <w:lang w:val="es-ES" w:eastAsia="en-US"/>
        </w:rPr>
        <w:t>SC973</w:t>
      </w:r>
      <w:proofErr w:type="spellEnd"/>
      <w:r w:rsidR="004A48DD" w:rsidRPr="004A48DD">
        <w:rPr>
          <w:rFonts w:eastAsia="Georgia"/>
          <w:sz w:val="20"/>
          <w:szCs w:val="24"/>
          <w:lang w:val="es-ES" w:eastAsia="en-US"/>
        </w:rPr>
        <w:t>-2021, en pu</w:t>
      </w:r>
      <w:r w:rsidR="004A48DD">
        <w:rPr>
          <w:rFonts w:eastAsia="Georgia"/>
          <w:sz w:val="20"/>
          <w:szCs w:val="24"/>
          <w:lang w:val="es-ES" w:eastAsia="en-US"/>
        </w:rPr>
        <w:t xml:space="preserve">nto a dicha </w:t>
      </w:r>
      <w:proofErr w:type="spellStart"/>
      <w:r w:rsidR="004A48DD">
        <w:rPr>
          <w:rFonts w:eastAsia="Georgia"/>
          <w:sz w:val="20"/>
          <w:szCs w:val="24"/>
          <w:lang w:val="es-ES" w:eastAsia="en-US"/>
        </w:rPr>
        <w:t>interversión</w:t>
      </w:r>
      <w:proofErr w:type="spellEnd"/>
      <w:r w:rsidR="004A48DD">
        <w:rPr>
          <w:rFonts w:eastAsia="Georgia"/>
          <w:sz w:val="20"/>
          <w:szCs w:val="24"/>
          <w:lang w:val="es-ES" w:eastAsia="en-US"/>
        </w:rPr>
        <w:t>, que: “</w:t>
      </w:r>
      <w:r w:rsidR="004A48DD" w:rsidRPr="004A48DD">
        <w:rPr>
          <w:rFonts w:eastAsia="Georgia"/>
          <w:sz w:val="20"/>
          <w:szCs w:val="24"/>
          <w:lang w:val="es-ES" w:eastAsia="en-US"/>
        </w:rPr>
        <w:t>Tal detentación difiere de la posesión de la herencia en la medida en que con ocasión del fallecimiento del causante sus herederos adquieren la propiedad de los bienes de la sucesión sobre la universalidad del patrimonio del causante, pero no el dominio singular respecto de cada uno de ellos</w:t>
      </w:r>
      <w:r w:rsidR="004A48DD">
        <w:rPr>
          <w:rFonts w:eastAsia="Georgia"/>
          <w:sz w:val="20"/>
          <w:szCs w:val="24"/>
          <w:lang w:val="es-ES" w:eastAsia="en-US"/>
        </w:rPr>
        <w:t>…”</w:t>
      </w:r>
    </w:p>
    <w:p w14:paraId="5B269BBF" w14:textId="63DC0797" w:rsidR="007B29A3" w:rsidRDefault="007B29A3" w:rsidP="00E1241B">
      <w:pPr>
        <w:widowControl w:val="0"/>
        <w:autoSpaceDE w:val="0"/>
        <w:autoSpaceDN w:val="0"/>
        <w:spacing w:line="240" w:lineRule="auto"/>
        <w:jc w:val="both"/>
        <w:rPr>
          <w:rFonts w:eastAsia="Georgia"/>
          <w:sz w:val="20"/>
          <w:szCs w:val="24"/>
          <w:lang w:val="es-ES" w:eastAsia="en-US"/>
        </w:rPr>
      </w:pPr>
    </w:p>
    <w:p w14:paraId="18D8B0AC" w14:textId="50E81E06" w:rsidR="007B29A3" w:rsidRPr="002E76F5" w:rsidRDefault="007B29A3" w:rsidP="007B29A3">
      <w:pPr>
        <w:widowControl w:val="0"/>
        <w:autoSpaceDE w:val="0"/>
        <w:autoSpaceDN w:val="0"/>
        <w:spacing w:line="240" w:lineRule="auto"/>
        <w:jc w:val="both"/>
        <w:rPr>
          <w:rFonts w:eastAsia="Georgia"/>
          <w:b/>
          <w:sz w:val="20"/>
          <w:szCs w:val="24"/>
          <w:lang w:val="es-ES" w:eastAsia="en-US"/>
        </w:rPr>
      </w:pPr>
      <w:r w:rsidRPr="002E76F5">
        <w:rPr>
          <w:rFonts w:eastAsia="Georgia"/>
          <w:b/>
          <w:sz w:val="20"/>
          <w:szCs w:val="24"/>
          <w:lang w:val="es-ES" w:eastAsia="en-US"/>
        </w:rPr>
        <w:t xml:space="preserve">PRESCRIPCIÓN </w:t>
      </w:r>
      <w:r>
        <w:rPr>
          <w:rFonts w:eastAsia="Georgia"/>
          <w:b/>
          <w:sz w:val="20"/>
          <w:szCs w:val="24"/>
          <w:lang w:val="es-ES" w:eastAsia="en-US"/>
        </w:rPr>
        <w:t xml:space="preserve">ADQUISITIVA </w:t>
      </w:r>
      <w:r w:rsidRPr="002E76F5">
        <w:rPr>
          <w:rFonts w:eastAsia="Georgia"/>
          <w:b/>
          <w:sz w:val="20"/>
          <w:szCs w:val="24"/>
          <w:lang w:val="es-ES" w:eastAsia="en-US"/>
        </w:rPr>
        <w:t xml:space="preserve">/ </w:t>
      </w:r>
      <w:proofErr w:type="spellStart"/>
      <w:r w:rsidR="007136C1">
        <w:rPr>
          <w:rFonts w:eastAsia="Georgia"/>
          <w:b/>
          <w:sz w:val="20"/>
          <w:szCs w:val="24"/>
          <w:lang w:val="es-ES" w:eastAsia="en-US"/>
        </w:rPr>
        <w:t>INTERVERSIÓN</w:t>
      </w:r>
      <w:proofErr w:type="spellEnd"/>
      <w:r w:rsidR="007136C1">
        <w:rPr>
          <w:rFonts w:eastAsia="Georgia"/>
          <w:b/>
          <w:sz w:val="20"/>
          <w:szCs w:val="24"/>
          <w:lang w:val="es-ES" w:eastAsia="en-US"/>
        </w:rPr>
        <w:t xml:space="preserve"> DE </w:t>
      </w:r>
      <w:r>
        <w:rPr>
          <w:rFonts w:eastAsia="Georgia"/>
          <w:b/>
          <w:sz w:val="20"/>
          <w:szCs w:val="24"/>
          <w:lang w:val="es-ES" w:eastAsia="en-US"/>
        </w:rPr>
        <w:t>TENE</w:t>
      </w:r>
      <w:r w:rsidR="007136C1">
        <w:rPr>
          <w:rFonts w:eastAsia="Georgia"/>
          <w:b/>
          <w:sz w:val="20"/>
          <w:szCs w:val="24"/>
          <w:lang w:val="es-ES" w:eastAsia="en-US"/>
        </w:rPr>
        <w:t xml:space="preserve">DOR </w:t>
      </w:r>
      <w:r w:rsidR="00C660D9">
        <w:rPr>
          <w:rFonts w:eastAsia="Georgia"/>
          <w:b/>
          <w:sz w:val="20"/>
          <w:szCs w:val="24"/>
          <w:lang w:val="es-ES" w:eastAsia="en-US"/>
        </w:rPr>
        <w:t>A</w:t>
      </w:r>
      <w:r w:rsidR="007136C1">
        <w:rPr>
          <w:rFonts w:eastAsia="Georgia"/>
          <w:b/>
          <w:sz w:val="20"/>
          <w:szCs w:val="24"/>
          <w:lang w:val="es-ES" w:eastAsia="en-US"/>
        </w:rPr>
        <w:t xml:space="preserve"> POSEEDOR / CARGA PROBATORIA</w:t>
      </w:r>
    </w:p>
    <w:p w14:paraId="0B1C04B9" w14:textId="4FA2795E" w:rsidR="007B29A3" w:rsidRPr="004A48DD" w:rsidRDefault="004A48DD" w:rsidP="004A48DD">
      <w:pPr>
        <w:widowControl w:val="0"/>
        <w:autoSpaceDE w:val="0"/>
        <w:autoSpaceDN w:val="0"/>
        <w:spacing w:line="240" w:lineRule="auto"/>
        <w:jc w:val="both"/>
        <w:rPr>
          <w:rFonts w:eastAsia="Georgia"/>
          <w:sz w:val="20"/>
          <w:szCs w:val="24"/>
          <w:lang w:val="es-ES" w:eastAsia="en-US"/>
        </w:rPr>
      </w:pPr>
      <w:r w:rsidRPr="004A48DD">
        <w:rPr>
          <w:rFonts w:eastAsia="Georgia"/>
          <w:sz w:val="20"/>
          <w:szCs w:val="24"/>
          <w:lang w:val="es-ES" w:eastAsia="en-US"/>
        </w:rPr>
        <w:t xml:space="preserve">En síntesis, deferida una herencia, cuando un heredero pretende adquirir por prescripción un bien que pertenece a la masa </w:t>
      </w:r>
      <w:proofErr w:type="spellStart"/>
      <w:r w:rsidRPr="004A48DD">
        <w:rPr>
          <w:rFonts w:eastAsia="Georgia"/>
          <w:sz w:val="20"/>
          <w:szCs w:val="24"/>
          <w:lang w:val="es-ES" w:eastAsia="en-US"/>
        </w:rPr>
        <w:t>sucesoral</w:t>
      </w:r>
      <w:proofErr w:type="spellEnd"/>
      <w:r w:rsidRPr="004A48DD">
        <w:rPr>
          <w:rFonts w:eastAsia="Georgia"/>
          <w:sz w:val="20"/>
          <w:szCs w:val="24"/>
          <w:lang w:val="es-ES" w:eastAsia="en-US"/>
        </w:rPr>
        <w:t xml:space="preserve"> como poseedor material y no en calidad de sucesor del causante, está llamado a acreditar, por un lado, la posesión que ejerce y, por el otro, el momento en que se originó esa relación material respecto del bien.</w:t>
      </w:r>
    </w:p>
    <w:p w14:paraId="3802CB93" w14:textId="77777777" w:rsidR="00E1241B" w:rsidRPr="002E76F5" w:rsidRDefault="00E1241B" w:rsidP="00E1241B">
      <w:pPr>
        <w:widowControl w:val="0"/>
        <w:autoSpaceDE w:val="0"/>
        <w:autoSpaceDN w:val="0"/>
        <w:spacing w:line="240" w:lineRule="auto"/>
        <w:jc w:val="both"/>
        <w:rPr>
          <w:rFonts w:eastAsia="Georgia"/>
          <w:sz w:val="20"/>
          <w:szCs w:val="24"/>
          <w:lang w:val="es-ES" w:eastAsia="en-US"/>
        </w:rPr>
      </w:pPr>
    </w:p>
    <w:p w14:paraId="5E4892AE" w14:textId="77777777" w:rsidR="00E1241B" w:rsidRPr="002E76F5" w:rsidRDefault="00E1241B" w:rsidP="00E1241B">
      <w:pPr>
        <w:widowControl w:val="0"/>
        <w:autoSpaceDE w:val="0"/>
        <w:autoSpaceDN w:val="0"/>
        <w:spacing w:line="240" w:lineRule="auto"/>
        <w:jc w:val="both"/>
        <w:rPr>
          <w:rFonts w:eastAsia="Georgia"/>
          <w:sz w:val="20"/>
          <w:szCs w:val="24"/>
          <w:lang w:val="es-ES" w:eastAsia="en-US"/>
        </w:rPr>
      </w:pPr>
    </w:p>
    <w:p w14:paraId="212FF39B" w14:textId="77777777" w:rsidR="00E1241B" w:rsidRPr="002E76F5" w:rsidRDefault="00E1241B" w:rsidP="00E1241B">
      <w:pPr>
        <w:widowControl w:val="0"/>
        <w:autoSpaceDE w:val="0"/>
        <w:autoSpaceDN w:val="0"/>
        <w:spacing w:line="240" w:lineRule="auto"/>
        <w:jc w:val="both"/>
        <w:rPr>
          <w:rFonts w:eastAsia="Georgia"/>
          <w:sz w:val="20"/>
          <w:szCs w:val="24"/>
          <w:lang w:val="es-ES" w:eastAsia="en-US"/>
        </w:rPr>
      </w:pPr>
    </w:p>
    <w:p w14:paraId="47A14558" w14:textId="77777777" w:rsidR="00E1241B" w:rsidRPr="000C472B" w:rsidRDefault="00E1241B" w:rsidP="00E1241B">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4CDEAB8A" wp14:editId="15679CEF">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10EE181D" w14:textId="77777777" w:rsidR="00E1241B" w:rsidRPr="000C472B" w:rsidRDefault="00E1241B" w:rsidP="00E1241B">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191FCD88" w14:textId="77777777" w:rsidR="00E1241B" w:rsidRPr="000C472B" w:rsidRDefault="00E1241B" w:rsidP="00E1241B">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741C8856" w14:textId="77777777" w:rsidR="00E1241B" w:rsidRPr="000C472B" w:rsidRDefault="00E1241B" w:rsidP="00E1241B">
      <w:pPr>
        <w:widowControl w:val="0"/>
        <w:tabs>
          <w:tab w:val="left" w:pos="3647"/>
        </w:tabs>
        <w:autoSpaceDE w:val="0"/>
        <w:autoSpaceDN w:val="0"/>
        <w:ind w:right="858"/>
        <w:rPr>
          <w:rFonts w:ascii="Gadugi" w:eastAsia="Georgia" w:hAnsi="Gadugi" w:cs="Georgia"/>
          <w:sz w:val="24"/>
          <w:szCs w:val="24"/>
          <w:lang w:val="es-ES" w:eastAsia="en-US"/>
        </w:rPr>
      </w:pPr>
    </w:p>
    <w:p w14:paraId="05A73259" w14:textId="78AC5AAC" w:rsidR="00E1241B" w:rsidRPr="000C472B" w:rsidRDefault="00E1241B" w:rsidP="00E1241B">
      <w:pPr>
        <w:widowControl w:val="0"/>
        <w:autoSpaceDE w:val="0"/>
        <w:autoSpaceDN w:val="0"/>
        <w:jc w:val="center"/>
        <w:rPr>
          <w:rFonts w:ascii="Gadugi" w:eastAsia="Georgia" w:hAnsi="Gadugi" w:cs="Georgia"/>
          <w:sz w:val="24"/>
          <w:szCs w:val="24"/>
          <w:lang w:val="es-ES" w:eastAsia="en-US"/>
        </w:rPr>
      </w:pPr>
      <w:r w:rsidRPr="00E1241B">
        <w:rPr>
          <w:rFonts w:ascii="Gadugi" w:eastAsia="Georgia" w:hAnsi="Gadugi" w:cs="Georgia"/>
          <w:b/>
          <w:bCs/>
          <w:sz w:val="24"/>
          <w:szCs w:val="24"/>
          <w:lang w:val="es-ES" w:eastAsia="en-US"/>
        </w:rPr>
        <w:t>SC-0046-2023</w:t>
      </w:r>
    </w:p>
    <w:p w14:paraId="7A433168" w14:textId="77777777" w:rsidR="00E1241B" w:rsidRPr="000C472B" w:rsidRDefault="00E1241B" w:rsidP="00E1241B">
      <w:pPr>
        <w:widowControl w:val="0"/>
        <w:autoSpaceDE w:val="0"/>
        <w:autoSpaceDN w:val="0"/>
        <w:ind w:firstLine="1843"/>
        <w:rPr>
          <w:rFonts w:ascii="Gadugi" w:eastAsia="Georgia" w:hAnsi="Gadugi" w:cs="Georgia"/>
          <w:sz w:val="24"/>
          <w:szCs w:val="24"/>
          <w:lang w:val="es-ES" w:eastAsia="en-US"/>
        </w:rPr>
      </w:pPr>
    </w:p>
    <w:p w14:paraId="7ECB6202" w14:textId="77777777" w:rsidR="00E1241B" w:rsidRPr="000C472B" w:rsidRDefault="00E1241B" w:rsidP="00E1241B">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5B7BD10C" w14:textId="77777777" w:rsidR="00E1241B" w:rsidRPr="004E6C5C" w:rsidRDefault="00E1241B" w:rsidP="00E1241B">
      <w:pPr>
        <w:tabs>
          <w:tab w:val="left" w:pos="3261"/>
        </w:tabs>
        <w:ind w:firstLine="1701"/>
        <w:jc w:val="both"/>
        <w:rPr>
          <w:rFonts w:ascii="Gadugi" w:eastAsia="Georgia" w:hAnsi="Gadugi" w:cs="Georgia"/>
          <w:b/>
          <w:sz w:val="24"/>
          <w:szCs w:val="24"/>
        </w:rPr>
      </w:pPr>
    </w:p>
    <w:p w14:paraId="380FAFF9" w14:textId="77777777" w:rsidR="00E1241B" w:rsidRPr="00E1241B" w:rsidRDefault="00E1241B" w:rsidP="00E1241B">
      <w:pPr>
        <w:tabs>
          <w:tab w:val="left" w:pos="3686"/>
          <w:tab w:val="left" w:pos="4536"/>
        </w:tabs>
        <w:ind w:firstLine="1701"/>
        <w:jc w:val="both"/>
        <w:rPr>
          <w:rFonts w:ascii="Gadugi" w:eastAsia="Georgia" w:hAnsi="Gadugi" w:cs="Georgia"/>
          <w:sz w:val="24"/>
          <w:szCs w:val="24"/>
        </w:rPr>
      </w:pPr>
    </w:p>
    <w:p w14:paraId="36F56F5A" w14:textId="5118D052" w:rsidR="005F705E" w:rsidRPr="0002052C" w:rsidRDefault="005F705E" w:rsidP="0002052C">
      <w:pPr>
        <w:tabs>
          <w:tab w:val="left" w:pos="3402"/>
          <w:tab w:val="left" w:pos="3686"/>
        </w:tabs>
        <w:overflowPunct w:val="0"/>
        <w:autoSpaceDE w:val="0"/>
        <w:autoSpaceDN w:val="0"/>
        <w:adjustRightInd w:val="0"/>
        <w:spacing w:line="240" w:lineRule="auto"/>
        <w:ind w:left="708" w:firstLine="708"/>
        <w:jc w:val="both"/>
        <w:textAlignment w:val="baseline"/>
        <w:rPr>
          <w:rFonts w:ascii="Gadugi" w:eastAsia="Times New Roman" w:hAnsi="Gadugi"/>
          <w:szCs w:val="24"/>
          <w:lang w:eastAsia="es-ES"/>
        </w:rPr>
      </w:pPr>
      <w:r w:rsidRPr="0002052C">
        <w:rPr>
          <w:rFonts w:ascii="Gadugi" w:eastAsia="Times New Roman" w:hAnsi="Gadugi"/>
          <w:szCs w:val="24"/>
          <w:lang w:eastAsia="es-ES"/>
        </w:rPr>
        <w:t>Asunto</w:t>
      </w:r>
      <w:r w:rsidRPr="0002052C">
        <w:rPr>
          <w:rFonts w:ascii="Gadugi" w:eastAsia="Times New Roman" w:hAnsi="Gadugi"/>
          <w:szCs w:val="24"/>
          <w:lang w:eastAsia="es-ES"/>
        </w:rPr>
        <w:tab/>
        <w:t xml:space="preserve">Sentencia </w:t>
      </w:r>
      <w:r w:rsidR="00DD69D0" w:rsidRPr="0002052C">
        <w:rPr>
          <w:rFonts w:ascii="Gadugi" w:eastAsia="Times New Roman" w:hAnsi="Gadugi"/>
          <w:szCs w:val="24"/>
          <w:lang w:eastAsia="es-ES"/>
        </w:rPr>
        <w:t xml:space="preserve">verbal de pertenencia </w:t>
      </w:r>
    </w:p>
    <w:p w14:paraId="00BDA797" w14:textId="0F99AA6E" w:rsidR="005F705E" w:rsidRPr="0002052C" w:rsidRDefault="00DD69D0" w:rsidP="0002052C">
      <w:pPr>
        <w:tabs>
          <w:tab w:val="left" w:pos="3402"/>
        </w:tabs>
        <w:overflowPunct w:val="0"/>
        <w:autoSpaceDE w:val="0"/>
        <w:autoSpaceDN w:val="0"/>
        <w:adjustRightInd w:val="0"/>
        <w:spacing w:line="240" w:lineRule="auto"/>
        <w:ind w:left="708" w:firstLine="708"/>
        <w:jc w:val="both"/>
        <w:textAlignment w:val="baseline"/>
        <w:rPr>
          <w:rFonts w:ascii="Gadugi" w:eastAsia="Times New Roman" w:hAnsi="Gadugi"/>
          <w:szCs w:val="24"/>
          <w:lang w:eastAsia="es-ES"/>
        </w:rPr>
      </w:pPr>
      <w:r w:rsidRPr="0002052C">
        <w:rPr>
          <w:rFonts w:ascii="Gadugi" w:eastAsia="Times New Roman" w:hAnsi="Gadugi"/>
          <w:szCs w:val="24"/>
          <w:lang w:eastAsia="es-ES"/>
        </w:rPr>
        <w:t>Demandante</w:t>
      </w:r>
      <w:r w:rsidR="005F705E" w:rsidRPr="0002052C">
        <w:rPr>
          <w:rFonts w:ascii="Gadugi" w:eastAsia="Times New Roman" w:hAnsi="Gadugi"/>
          <w:szCs w:val="24"/>
          <w:lang w:eastAsia="es-ES"/>
        </w:rPr>
        <w:tab/>
      </w:r>
      <w:r w:rsidR="007A2E35" w:rsidRPr="0002052C">
        <w:rPr>
          <w:rFonts w:ascii="Gadugi" w:eastAsia="Times New Roman" w:hAnsi="Gadugi"/>
          <w:szCs w:val="24"/>
          <w:lang w:eastAsia="es-ES"/>
        </w:rPr>
        <w:t>D</w:t>
      </w:r>
      <w:r w:rsidR="007646A2" w:rsidRPr="0002052C">
        <w:rPr>
          <w:rFonts w:ascii="Gadugi" w:eastAsia="Times New Roman" w:hAnsi="Gadugi"/>
          <w:szCs w:val="24"/>
          <w:lang w:eastAsia="es-ES"/>
        </w:rPr>
        <w:t>iego López Serna</w:t>
      </w:r>
      <w:r w:rsidR="007A2E35" w:rsidRPr="0002052C">
        <w:rPr>
          <w:rFonts w:ascii="Gadugi" w:eastAsia="Times New Roman" w:hAnsi="Gadugi"/>
          <w:szCs w:val="24"/>
          <w:lang w:eastAsia="es-ES"/>
        </w:rPr>
        <w:t xml:space="preserve"> </w:t>
      </w:r>
    </w:p>
    <w:p w14:paraId="541CEA2B" w14:textId="5890F9ED" w:rsidR="007A2E35" w:rsidRPr="0002052C" w:rsidRDefault="00DD69D0" w:rsidP="0002052C">
      <w:pPr>
        <w:tabs>
          <w:tab w:val="left" w:pos="3402"/>
          <w:tab w:val="left" w:pos="3686"/>
          <w:tab w:val="left" w:pos="3969"/>
        </w:tabs>
        <w:overflowPunct w:val="0"/>
        <w:autoSpaceDE w:val="0"/>
        <w:autoSpaceDN w:val="0"/>
        <w:adjustRightInd w:val="0"/>
        <w:spacing w:line="240" w:lineRule="auto"/>
        <w:ind w:left="3402" w:hanging="1986"/>
        <w:jc w:val="both"/>
        <w:textAlignment w:val="baseline"/>
        <w:rPr>
          <w:rFonts w:ascii="Gadugi" w:eastAsia="Times New Roman" w:hAnsi="Gadugi"/>
          <w:szCs w:val="24"/>
          <w:lang w:val="es-MX" w:eastAsia="es-ES"/>
        </w:rPr>
      </w:pPr>
      <w:r w:rsidRPr="0002052C">
        <w:rPr>
          <w:rFonts w:ascii="Gadugi" w:eastAsia="Times New Roman" w:hAnsi="Gadugi"/>
          <w:szCs w:val="24"/>
          <w:lang w:val="es-MX" w:eastAsia="es-ES"/>
        </w:rPr>
        <w:t>Demandado</w:t>
      </w:r>
      <w:r w:rsidR="007A2E35" w:rsidRPr="0002052C">
        <w:rPr>
          <w:rFonts w:ascii="Gadugi" w:eastAsia="Times New Roman" w:hAnsi="Gadugi"/>
          <w:szCs w:val="24"/>
          <w:lang w:val="es-MX" w:eastAsia="es-ES"/>
        </w:rPr>
        <w:t>s</w:t>
      </w:r>
      <w:r w:rsidR="005F705E" w:rsidRPr="0002052C">
        <w:rPr>
          <w:rFonts w:ascii="Gadugi" w:eastAsia="Times New Roman" w:hAnsi="Gadugi"/>
          <w:szCs w:val="24"/>
          <w:lang w:val="es-MX" w:eastAsia="es-ES"/>
        </w:rPr>
        <w:tab/>
      </w:r>
      <w:r w:rsidR="007646A2" w:rsidRPr="0002052C">
        <w:rPr>
          <w:rFonts w:ascii="Gadugi" w:eastAsia="Times New Roman" w:hAnsi="Gadugi"/>
          <w:szCs w:val="24"/>
          <w:lang w:val="es-MX" w:eastAsia="es-ES"/>
        </w:rPr>
        <w:t xml:space="preserve">Herederos determinados de Pastora López </w:t>
      </w:r>
      <w:proofErr w:type="spellStart"/>
      <w:r w:rsidR="007646A2" w:rsidRPr="0002052C">
        <w:rPr>
          <w:rFonts w:ascii="Gadugi" w:eastAsia="Times New Roman" w:hAnsi="Gadugi"/>
          <w:szCs w:val="24"/>
          <w:lang w:val="es-MX" w:eastAsia="es-ES"/>
        </w:rPr>
        <w:t>López</w:t>
      </w:r>
      <w:proofErr w:type="spellEnd"/>
      <w:r w:rsidR="007646A2" w:rsidRPr="0002052C">
        <w:rPr>
          <w:rFonts w:ascii="Gadugi" w:eastAsia="Times New Roman" w:hAnsi="Gadugi"/>
          <w:szCs w:val="24"/>
          <w:lang w:val="es-MX" w:eastAsia="es-ES"/>
        </w:rPr>
        <w:t xml:space="preserve"> y otros </w:t>
      </w:r>
    </w:p>
    <w:p w14:paraId="1E64C78E" w14:textId="19612C98" w:rsidR="005F705E" w:rsidRPr="0002052C" w:rsidRDefault="005F705E" w:rsidP="0002052C">
      <w:pPr>
        <w:tabs>
          <w:tab w:val="left" w:pos="3402"/>
          <w:tab w:val="left" w:pos="3828"/>
          <w:tab w:val="left" w:pos="3969"/>
        </w:tabs>
        <w:overflowPunct w:val="0"/>
        <w:autoSpaceDE w:val="0"/>
        <w:autoSpaceDN w:val="0"/>
        <w:adjustRightInd w:val="0"/>
        <w:spacing w:line="240" w:lineRule="auto"/>
        <w:ind w:left="3402" w:hanging="1986"/>
        <w:jc w:val="both"/>
        <w:textAlignment w:val="baseline"/>
        <w:rPr>
          <w:rFonts w:ascii="Gadugi" w:eastAsia="Times New Roman" w:hAnsi="Gadugi"/>
          <w:szCs w:val="24"/>
          <w:lang w:eastAsia="es-ES"/>
        </w:rPr>
      </w:pPr>
      <w:r w:rsidRPr="0002052C">
        <w:rPr>
          <w:rFonts w:ascii="Gadugi" w:eastAsia="Times New Roman" w:hAnsi="Gadugi"/>
          <w:szCs w:val="24"/>
          <w:lang w:val="es-MX" w:eastAsia="es-ES"/>
        </w:rPr>
        <w:t>Procedencia</w:t>
      </w:r>
      <w:r w:rsidRPr="0002052C">
        <w:rPr>
          <w:rFonts w:ascii="Gadugi" w:eastAsia="Times New Roman" w:hAnsi="Gadugi"/>
          <w:szCs w:val="24"/>
          <w:lang w:val="es-MX" w:eastAsia="es-ES"/>
        </w:rPr>
        <w:tab/>
      </w:r>
      <w:r w:rsidRPr="0002052C">
        <w:rPr>
          <w:rFonts w:ascii="Gadugi" w:eastAsia="Times New Roman" w:hAnsi="Gadugi"/>
          <w:szCs w:val="24"/>
          <w:lang w:eastAsia="es-ES"/>
        </w:rPr>
        <w:t xml:space="preserve">Juzgado Civil del Circuito </w:t>
      </w:r>
      <w:r w:rsidR="00DD69D0" w:rsidRPr="0002052C">
        <w:rPr>
          <w:rFonts w:ascii="Gadugi" w:eastAsia="Times New Roman" w:hAnsi="Gadugi"/>
          <w:szCs w:val="24"/>
          <w:lang w:eastAsia="es-ES"/>
        </w:rPr>
        <w:t>de Santa Rosa de</w:t>
      </w:r>
      <w:r w:rsidR="00183C10" w:rsidRPr="0002052C">
        <w:rPr>
          <w:rFonts w:ascii="Gadugi" w:eastAsia="Times New Roman" w:hAnsi="Gadugi"/>
          <w:szCs w:val="24"/>
          <w:lang w:eastAsia="es-ES"/>
        </w:rPr>
        <w:t xml:space="preserve"> </w:t>
      </w:r>
      <w:r w:rsidR="00DD69D0" w:rsidRPr="0002052C">
        <w:rPr>
          <w:rFonts w:ascii="Gadugi" w:eastAsia="Times New Roman" w:hAnsi="Gadugi"/>
          <w:szCs w:val="24"/>
          <w:lang w:eastAsia="es-ES"/>
        </w:rPr>
        <w:t xml:space="preserve">Cabal </w:t>
      </w:r>
    </w:p>
    <w:p w14:paraId="1B4844CA" w14:textId="2E1BFF4E" w:rsidR="005F705E" w:rsidRPr="0002052C" w:rsidRDefault="005F705E" w:rsidP="0002052C">
      <w:pPr>
        <w:tabs>
          <w:tab w:val="left" w:pos="3402"/>
          <w:tab w:val="left" w:pos="3828"/>
          <w:tab w:val="left" w:pos="3969"/>
        </w:tabs>
        <w:overflowPunct w:val="0"/>
        <w:autoSpaceDE w:val="0"/>
        <w:autoSpaceDN w:val="0"/>
        <w:adjustRightInd w:val="0"/>
        <w:spacing w:line="240" w:lineRule="auto"/>
        <w:ind w:left="708" w:firstLine="708"/>
        <w:jc w:val="both"/>
        <w:textAlignment w:val="baseline"/>
        <w:rPr>
          <w:rFonts w:ascii="Gadugi" w:eastAsia="Times New Roman" w:hAnsi="Gadugi"/>
          <w:szCs w:val="24"/>
          <w:lang w:eastAsia="es-ES"/>
        </w:rPr>
      </w:pPr>
      <w:r w:rsidRPr="0002052C">
        <w:rPr>
          <w:rFonts w:ascii="Gadugi" w:eastAsia="Times New Roman" w:hAnsi="Gadugi"/>
          <w:szCs w:val="24"/>
          <w:lang w:val="es-MX" w:eastAsia="es-ES"/>
        </w:rPr>
        <w:t>Radicación</w:t>
      </w:r>
      <w:r w:rsidR="0002052C">
        <w:rPr>
          <w:rFonts w:ascii="Gadugi" w:eastAsia="Times New Roman" w:hAnsi="Gadugi"/>
          <w:szCs w:val="24"/>
          <w:lang w:val="es-MX" w:eastAsia="es-ES"/>
        </w:rPr>
        <w:tab/>
      </w:r>
      <w:r w:rsidRPr="0002052C">
        <w:rPr>
          <w:rFonts w:ascii="Gadugi" w:eastAsia="Times New Roman" w:hAnsi="Gadugi"/>
          <w:szCs w:val="24"/>
          <w:lang w:eastAsia="es-ES"/>
        </w:rPr>
        <w:t>66</w:t>
      </w:r>
      <w:r w:rsidR="00DD69D0" w:rsidRPr="0002052C">
        <w:rPr>
          <w:rFonts w:ascii="Gadugi" w:eastAsia="Times New Roman" w:hAnsi="Gadugi"/>
          <w:szCs w:val="24"/>
          <w:lang w:eastAsia="es-ES"/>
        </w:rPr>
        <w:t>682</w:t>
      </w:r>
      <w:r w:rsidRPr="0002052C">
        <w:rPr>
          <w:rFonts w:ascii="Gadugi" w:eastAsia="Times New Roman" w:hAnsi="Gadugi"/>
          <w:szCs w:val="24"/>
          <w:lang w:eastAsia="es-ES"/>
        </w:rPr>
        <w:t>31</w:t>
      </w:r>
      <w:r w:rsidR="007646A2" w:rsidRPr="0002052C">
        <w:rPr>
          <w:rFonts w:ascii="Gadugi" w:eastAsia="Times New Roman" w:hAnsi="Gadugi"/>
          <w:szCs w:val="24"/>
          <w:lang w:eastAsia="es-ES"/>
        </w:rPr>
        <w:t>030012018</w:t>
      </w:r>
      <w:r w:rsidRPr="0002052C">
        <w:rPr>
          <w:rFonts w:ascii="Gadugi" w:eastAsia="Times New Roman" w:hAnsi="Gadugi"/>
          <w:szCs w:val="24"/>
          <w:lang w:eastAsia="es-ES"/>
        </w:rPr>
        <w:t>00</w:t>
      </w:r>
      <w:r w:rsidR="007646A2" w:rsidRPr="0002052C">
        <w:rPr>
          <w:rFonts w:ascii="Gadugi" w:eastAsia="Times New Roman" w:hAnsi="Gadugi"/>
          <w:szCs w:val="24"/>
          <w:lang w:eastAsia="es-ES"/>
        </w:rPr>
        <w:t>33102</w:t>
      </w:r>
    </w:p>
    <w:p w14:paraId="3E83C7AF" w14:textId="229DDAFD" w:rsidR="005F705E" w:rsidRPr="0002052C" w:rsidRDefault="009427D7" w:rsidP="0002052C">
      <w:pPr>
        <w:tabs>
          <w:tab w:val="left" w:pos="3402"/>
        </w:tabs>
        <w:overflowPunct w:val="0"/>
        <w:autoSpaceDE w:val="0"/>
        <w:autoSpaceDN w:val="0"/>
        <w:adjustRightInd w:val="0"/>
        <w:spacing w:line="240" w:lineRule="auto"/>
        <w:ind w:left="3402" w:hanging="1986"/>
        <w:jc w:val="both"/>
        <w:textAlignment w:val="baseline"/>
        <w:rPr>
          <w:rFonts w:ascii="Gadugi" w:eastAsia="Times New Roman" w:hAnsi="Gadugi"/>
          <w:szCs w:val="24"/>
          <w:lang w:eastAsia="es-ES"/>
        </w:rPr>
      </w:pPr>
      <w:r w:rsidRPr="0002052C">
        <w:rPr>
          <w:rFonts w:ascii="Gadugi" w:eastAsia="Times New Roman" w:hAnsi="Gadugi"/>
          <w:szCs w:val="24"/>
          <w:lang w:eastAsia="es-ES"/>
        </w:rPr>
        <w:t>Temas</w:t>
      </w:r>
      <w:r w:rsidR="0002052C">
        <w:rPr>
          <w:rFonts w:ascii="Gadugi" w:eastAsia="Times New Roman" w:hAnsi="Gadugi"/>
          <w:szCs w:val="24"/>
          <w:lang w:eastAsia="es-ES"/>
        </w:rPr>
        <w:tab/>
      </w:r>
      <w:r w:rsidR="007646A2" w:rsidRPr="0002052C">
        <w:rPr>
          <w:rFonts w:ascii="Gadugi" w:eastAsia="Times New Roman" w:hAnsi="Gadugi"/>
          <w:szCs w:val="24"/>
          <w:lang w:eastAsia="es-ES"/>
        </w:rPr>
        <w:t xml:space="preserve">Prescripción adquisitiva de dominio </w:t>
      </w:r>
      <w:r w:rsidRPr="0002052C">
        <w:rPr>
          <w:rFonts w:ascii="Gadugi" w:eastAsia="Times New Roman" w:hAnsi="Gadugi"/>
          <w:szCs w:val="24"/>
          <w:lang w:eastAsia="es-ES"/>
        </w:rPr>
        <w:t>–</w:t>
      </w:r>
      <w:r w:rsidR="007646A2" w:rsidRPr="0002052C">
        <w:rPr>
          <w:rFonts w:ascii="Gadugi" w:eastAsia="Times New Roman" w:hAnsi="Gadugi"/>
          <w:szCs w:val="24"/>
          <w:lang w:eastAsia="es-ES"/>
        </w:rPr>
        <w:t xml:space="preserve"> </w:t>
      </w:r>
      <w:r w:rsidRPr="0002052C">
        <w:rPr>
          <w:rFonts w:ascii="Gadugi" w:eastAsia="Times New Roman" w:hAnsi="Gadugi"/>
          <w:szCs w:val="24"/>
          <w:lang w:eastAsia="es-ES"/>
        </w:rPr>
        <w:t xml:space="preserve">heredero - </w:t>
      </w:r>
      <w:proofErr w:type="spellStart"/>
      <w:r w:rsidR="005F705E" w:rsidRPr="0002052C">
        <w:rPr>
          <w:rFonts w:ascii="Gadugi" w:eastAsia="Times New Roman" w:hAnsi="Gadugi"/>
          <w:szCs w:val="24"/>
          <w:lang w:eastAsia="es-ES"/>
        </w:rPr>
        <w:t>I</w:t>
      </w:r>
      <w:r w:rsidR="007646A2" w:rsidRPr="0002052C">
        <w:rPr>
          <w:rFonts w:ascii="Gadugi" w:eastAsia="Times New Roman" w:hAnsi="Gadugi"/>
          <w:szCs w:val="24"/>
          <w:lang w:eastAsia="es-ES"/>
        </w:rPr>
        <w:t>nterve</w:t>
      </w:r>
      <w:r w:rsidR="00183C10" w:rsidRPr="0002052C">
        <w:rPr>
          <w:rFonts w:ascii="Gadugi" w:eastAsia="Times New Roman" w:hAnsi="Gadugi"/>
          <w:szCs w:val="24"/>
          <w:lang w:eastAsia="es-ES"/>
        </w:rPr>
        <w:t>rsión</w:t>
      </w:r>
      <w:proofErr w:type="spellEnd"/>
    </w:p>
    <w:p w14:paraId="1C71C678" w14:textId="5BE55522" w:rsidR="005F705E" w:rsidRDefault="005F705E" w:rsidP="0002052C">
      <w:pPr>
        <w:tabs>
          <w:tab w:val="left" w:pos="3402"/>
          <w:tab w:val="left" w:pos="3969"/>
        </w:tabs>
        <w:overflowPunct w:val="0"/>
        <w:autoSpaceDE w:val="0"/>
        <w:autoSpaceDN w:val="0"/>
        <w:adjustRightInd w:val="0"/>
        <w:spacing w:line="240" w:lineRule="auto"/>
        <w:ind w:left="696" w:firstLine="720"/>
        <w:jc w:val="both"/>
        <w:textAlignment w:val="baseline"/>
        <w:rPr>
          <w:rFonts w:ascii="Gadugi" w:eastAsia="Times New Roman" w:hAnsi="Gadugi"/>
          <w:szCs w:val="24"/>
          <w:lang w:eastAsia="es-ES"/>
        </w:rPr>
      </w:pPr>
      <w:r w:rsidRPr="0002052C">
        <w:rPr>
          <w:rFonts w:ascii="Gadugi" w:eastAsia="Times New Roman" w:hAnsi="Gadugi"/>
          <w:szCs w:val="24"/>
          <w:lang w:eastAsia="es-ES"/>
        </w:rPr>
        <w:t>Acta número</w:t>
      </w:r>
      <w:r w:rsidR="0002052C">
        <w:rPr>
          <w:rFonts w:ascii="Gadugi" w:eastAsia="Times New Roman" w:hAnsi="Gadugi"/>
          <w:szCs w:val="24"/>
          <w:lang w:eastAsia="es-ES"/>
        </w:rPr>
        <w:tab/>
      </w:r>
      <w:r w:rsidR="00872752" w:rsidRPr="0002052C">
        <w:rPr>
          <w:rFonts w:ascii="Gadugi" w:eastAsia="Times New Roman" w:hAnsi="Gadugi"/>
          <w:szCs w:val="24"/>
          <w:lang w:eastAsia="es-ES"/>
        </w:rPr>
        <w:t>610 del 21 de noviembre de 2023</w:t>
      </w:r>
    </w:p>
    <w:p w14:paraId="07FFD6DE" w14:textId="0164C7B5" w:rsidR="0002052C" w:rsidRPr="0002052C" w:rsidRDefault="0002052C" w:rsidP="0002052C">
      <w:pPr>
        <w:tabs>
          <w:tab w:val="left" w:pos="3686"/>
          <w:tab w:val="left" w:pos="4536"/>
        </w:tabs>
        <w:jc w:val="both"/>
        <w:rPr>
          <w:rFonts w:ascii="Gadugi" w:eastAsia="Gadugi" w:hAnsi="Gadugi" w:cs="Gadugi"/>
          <w:sz w:val="24"/>
          <w:szCs w:val="24"/>
        </w:rPr>
      </w:pPr>
    </w:p>
    <w:p w14:paraId="124E1CA9" w14:textId="77777777" w:rsidR="0002052C" w:rsidRPr="0002052C" w:rsidRDefault="0002052C" w:rsidP="0002052C">
      <w:pPr>
        <w:tabs>
          <w:tab w:val="left" w:pos="3686"/>
          <w:tab w:val="left" w:pos="4536"/>
        </w:tabs>
        <w:jc w:val="both"/>
        <w:rPr>
          <w:rFonts w:ascii="Gadugi" w:eastAsia="Gadugi" w:hAnsi="Gadugi" w:cs="Gadugi"/>
          <w:sz w:val="24"/>
          <w:szCs w:val="24"/>
        </w:rPr>
      </w:pPr>
    </w:p>
    <w:p w14:paraId="08BE1D30" w14:textId="18FF2875" w:rsidR="005F705E" w:rsidRPr="00E1241B" w:rsidRDefault="00872752" w:rsidP="00CB04BC">
      <w:pPr>
        <w:overflowPunct w:val="0"/>
        <w:autoSpaceDE w:val="0"/>
        <w:autoSpaceDN w:val="0"/>
        <w:adjustRightInd w:val="0"/>
        <w:jc w:val="center"/>
        <w:textAlignment w:val="baseline"/>
        <w:rPr>
          <w:rFonts w:ascii="Gadugi" w:eastAsia="Times New Roman" w:hAnsi="Gadugi"/>
          <w:b/>
          <w:bCs/>
          <w:sz w:val="24"/>
          <w:szCs w:val="24"/>
          <w:lang w:eastAsia="es-ES"/>
        </w:rPr>
      </w:pPr>
      <w:r w:rsidRPr="00E1241B">
        <w:rPr>
          <w:rFonts w:ascii="Gadugi" w:eastAsia="Times New Roman" w:hAnsi="Gadugi"/>
          <w:b/>
          <w:bCs/>
          <w:smallCaps/>
          <w:sz w:val="24"/>
          <w:szCs w:val="24"/>
          <w:lang w:eastAsia="es-ES"/>
        </w:rPr>
        <w:t xml:space="preserve">VEINTIUNO </w:t>
      </w:r>
      <w:r w:rsidR="005F705E" w:rsidRPr="00E1241B">
        <w:rPr>
          <w:rFonts w:ascii="Gadugi" w:eastAsia="Times New Roman" w:hAnsi="Gadugi"/>
          <w:b/>
          <w:bCs/>
          <w:smallCaps/>
          <w:sz w:val="24"/>
          <w:szCs w:val="24"/>
          <w:lang w:eastAsia="es-ES"/>
        </w:rPr>
        <w:t>(</w:t>
      </w:r>
      <w:r w:rsidRPr="00E1241B">
        <w:rPr>
          <w:rFonts w:ascii="Gadugi" w:eastAsia="Times New Roman" w:hAnsi="Gadugi"/>
          <w:b/>
          <w:bCs/>
          <w:smallCaps/>
          <w:sz w:val="24"/>
          <w:szCs w:val="24"/>
          <w:lang w:eastAsia="es-ES"/>
        </w:rPr>
        <w:t>21</w:t>
      </w:r>
      <w:r w:rsidR="00DD69D0" w:rsidRPr="00E1241B">
        <w:rPr>
          <w:rFonts w:ascii="Gadugi" w:eastAsia="Times New Roman" w:hAnsi="Gadugi"/>
          <w:b/>
          <w:bCs/>
          <w:smallCaps/>
          <w:sz w:val="24"/>
          <w:szCs w:val="24"/>
          <w:lang w:eastAsia="es-ES"/>
        </w:rPr>
        <w:t xml:space="preserve">) DE </w:t>
      </w:r>
      <w:r w:rsidRPr="00E1241B">
        <w:rPr>
          <w:rFonts w:ascii="Gadugi" w:eastAsia="Times New Roman" w:hAnsi="Gadugi"/>
          <w:b/>
          <w:bCs/>
          <w:smallCaps/>
          <w:sz w:val="24"/>
          <w:szCs w:val="24"/>
          <w:lang w:eastAsia="es-ES"/>
        </w:rPr>
        <w:t>NOVIEMBRE</w:t>
      </w:r>
      <w:r w:rsidR="005F705E" w:rsidRPr="00E1241B">
        <w:rPr>
          <w:rFonts w:ascii="Gadugi" w:eastAsia="Times New Roman" w:hAnsi="Gadugi"/>
          <w:b/>
          <w:bCs/>
          <w:smallCaps/>
          <w:sz w:val="24"/>
          <w:szCs w:val="24"/>
          <w:lang w:eastAsia="es-ES"/>
        </w:rPr>
        <w:t xml:space="preserve"> DE DOS MIL VEINTITRÉS (2023)</w:t>
      </w:r>
    </w:p>
    <w:p w14:paraId="5C21413C" w14:textId="235AD5D7" w:rsidR="00020018" w:rsidRPr="00E1241B" w:rsidRDefault="00020018" w:rsidP="00E1241B">
      <w:pPr>
        <w:tabs>
          <w:tab w:val="left" w:pos="3686"/>
          <w:tab w:val="left" w:pos="4536"/>
        </w:tabs>
        <w:jc w:val="both"/>
        <w:rPr>
          <w:rFonts w:ascii="Gadugi" w:eastAsia="Gadugi" w:hAnsi="Gadugi" w:cs="Gadugi"/>
          <w:sz w:val="24"/>
          <w:szCs w:val="24"/>
        </w:rPr>
      </w:pPr>
    </w:p>
    <w:p w14:paraId="02D07098" w14:textId="2E8CB918" w:rsidR="00020018" w:rsidRPr="00E1241B" w:rsidRDefault="00BA7917" w:rsidP="00E1241B">
      <w:pPr>
        <w:tabs>
          <w:tab w:val="left" w:pos="3686"/>
          <w:tab w:val="left" w:pos="4536"/>
        </w:tabs>
        <w:jc w:val="both"/>
        <w:rPr>
          <w:rFonts w:ascii="Gadugi" w:eastAsia="Gadugi" w:hAnsi="Gadugi" w:cs="Gadugi"/>
          <w:b/>
          <w:sz w:val="24"/>
          <w:szCs w:val="24"/>
        </w:rPr>
      </w:pPr>
      <w:r w:rsidRPr="00E1241B">
        <w:rPr>
          <w:rFonts w:ascii="Gadugi" w:eastAsia="Gadugi" w:hAnsi="Gadugi" w:cs="Gadugi"/>
          <w:sz w:val="24"/>
          <w:szCs w:val="24"/>
        </w:rPr>
        <w:t xml:space="preserve">Resuelve la Sala el recurso de apelación interpuesto por los demandados </w:t>
      </w:r>
      <w:r w:rsidRPr="00E1241B">
        <w:rPr>
          <w:rFonts w:ascii="Gadugi" w:eastAsia="Gadugi" w:hAnsi="Gadugi" w:cs="Gadugi"/>
          <w:b/>
          <w:sz w:val="24"/>
          <w:szCs w:val="24"/>
        </w:rPr>
        <w:t>Javier Hermógenes López Serna</w:t>
      </w:r>
      <w:r w:rsidR="00DF210F" w:rsidRPr="00E1241B">
        <w:rPr>
          <w:rFonts w:ascii="Gadugi" w:eastAsia="Gadugi" w:hAnsi="Gadugi" w:cs="Gadugi"/>
          <w:sz w:val="24"/>
          <w:szCs w:val="24"/>
        </w:rPr>
        <w:t>,</w:t>
      </w:r>
      <w:r w:rsidRPr="00E1241B">
        <w:rPr>
          <w:rFonts w:ascii="Gadugi" w:eastAsia="Gadugi" w:hAnsi="Gadugi" w:cs="Gadugi"/>
          <w:sz w:val="24"/>
          <w:szCs w:val="24"/>
        </w:rPr>
        <w:t xml:space="preserve"> </w:t>
      </w:r>
      <w:r w:rsidRPr="00E1241B">
        <w:rPr>
          <w:rFonts w:ascii="Gadugi" w:eastAsia="Gadugi" w:hAnsi="Gadugi" w:cs="Gadugi"/>
          <w:b/>
          <w:sz w:val="24"/>
          <w:szCs w:val="24"/>
        </w:rPr>
        <w:t>Colombia López Serna de Holguín</w:t>
      </w:r>
      <w:r w:rsidR="00DF210F" w:rsidRPr="00E1241B">
        <w:rPr>
          <w:rFonts w:ascii="Gadugi" w:eastAsia="Gadugi" w:hAnsi="Gadugi" w:cs="Gadugi"/>
          <w:sz w:val="24"/>
          <w:szCs w:val="24"/>
        </w:rPr>
        <w:t xml:space="preserve"> y </w:t>
      </w:r>
      <w:r w:rsidR="00DF210F" w:rsidRPr="00E1241B">
        <w:rPr>
          <w:rFonts w:ascii="Gadugi" w:eastAsia="Gadugi" w:hAnsi="Gadugi" w:cs="Gadugi"/>
          <w:b/>
          <w:sz w:val="24"/>
          <w:szCs w:val="24"/>
        </w:rPr>
        <w:t>Virginia López Salazar</w:t>
      </w:r>
      <w:r w:rsidRPr="00E1241B">
        <w:rPr>
          <w:rFonts w:ascii="Gadugi" w:eastAsia="Gadugi" w:hAnsi="Gadugi" w:cs="Gadugi"/>
          <w:sz w:val="24"/>
          <w:szCs w:val="24"/>
        </w:rPr>
        <w:t xml:space="preserve">, contra la sentencia proferida por el Juzgado Civil del Circuito de Santa Rosa de Cabal - Risaralda, el 27 de octubre de 2022, en este proceso declarativo </w:t>
      </w:r>
      <w:r w:rsidR="00183C10" w:rsidRPr="00E1241B">
        <w:rPr>
          <w:rFonts w:ascii="Gadugi" w:eastAsia="Gadugi" w:hAnsi="Gadugi" w:cs="Gadugi"/>
          <w:sz w:val="24"/>
          <w:szCs w:val="24"/>
        </w:rPr>
        <w:t xml:space="preserve">de </w:t>
      </w:r>
      <w:r w:rsidR="00183C10" w:rsidRPr="00CB04BC">
        <w:rPr>
          <w:rFonts w:ascii="Gadugi" w:eastAsia="Gadugi" w:hAnsi="Gadugi" w:cs="Gadugi"/>
          <w:b/>
          <w:sz w:val="24"/>
          <w:szCs w:val="24"/>
        </w:rPr>
        <w:t>pertenencia</w:t>
      </w:r>
      <w:r w:rsidR="00183C10" w:rsidRPr="00E1241B">
        <w:rPr>
          <w:rFonts w:ascii="Gadugi" w:eastAsia="Gadugi" w:hAnsi="Gadugi" w:cs="Gadugi"/>
          <w:sz w:val="24"/>
          <w:szCs w:val="24"/>
        </w:rPr>
        <w:t xml:space="preserve"> </w:t>
      </w:r>
      <w:r w:rsidRPr="00E1241B">
        <w:rPr>
          <w:rFonts w:ascii="Gadugi" w:eastAsia="Gadugi" w:hAnsi="Gadugi" w:cs="Gadugi"/>
          <w:sz w:val="24"/>
          <w:szCs w:val="24"/>
        </w:rPr>
        <w:t xml:space="preserve">promovido por </w:t>
      </w:r>
      <w:r w:rsidRPr="00E1241B">
        <w:rPr>
          <w:rFonts w:ascii="Gadugi" w:eastAsia="Gadugi" w:hAnsi="Gadugi" w:cs="Gadugi"/>
          <w:b/>
          <w:sz w:val="24"/>
          <w:szCs w:val="24"/>
        </w:rPr>
        <w:t xml:space="preserve">Diego López Serna </w:t>
      </w:r>
      <w:r w:rsidR="00183C10" w:rsidRPr="00E1241B">
        <w:rPr>
          <w:rFonts w:ascii="Gadugi" w:eastAsia="Gadugi" w:hAnsi="Gadugi" w:cs="Gadugi"/>
          <w:sz w:val="24"/>
          <w:szCs w:val="24"/>
        </w:rPr>
        <w:t>frente</w:t>
      </w:r>
      <w:r w:rsidR="00183C10" w:rsidRPr="00E1241B">
        <w:rPr>
          <w:rFonts w:ascii="Gadugi" w:eastAsia="Gadugi" w:hAnsi="Gadugi" w:cs="Gadugi"/>
          <w:b/>
          <w:sz w:val="24"/>
          <w:szCs w:val="24"/>
        </w:rPr>
        <w:t xml:space="preserve"> </w:t>
      </w:r>
      <w:r w:rsidR="00183C10" w:rsidRPr="00E1241B">
        <w:rPr>
          <w:rFonts w:ascii="Gadugi" w:eastAsia="Gadugi" w:hAnsi="Gadugi" w:cs="Gadugi"/>
          <w:sz w:val="24"/>
          <w:szCs w:val="24"/>
        </w:rPr>
        <w:t>a los</w:t>
      </w:r>
      <w:r w:rsidR="00183C10" w:rsidRPr="00E1241B">
        <w:rPr>
          <w:rFonts w:ascii="Gadugi" w:eastAsia="Gadugi" w:hAnsi="Gadugi" w:cs="Gadugi"/>
          <w:b/>
          <w:sz w:val="24"/>
          <w:szCs w:val="24"/>
        </w:rPr>
        <w:t xml:space="preserve"> </w:t>
      </w:r>
      <w:r w:rsidRPr="00E1241B">
        <w:rPr>
          <w:rFonts w:ascii="Gadugi" w:eastAsia="Gadugi" w:hAnsi="Gadugi" w:cs="Gadugi"/>
          <w:sz w:val="24"/>
          <w:szCs w:val="24"/>
        </w:rPr>
        <w:t xml:space="preserve">herederos indeterminados y determinados de </w:t>
      </w:r>
      <w:r w:rsidRPr="00E1241B">
        <w:rPr>
          <w:rFonts w:ascii="Gadugi" w:eastAsia="Gadugi" w:hAnsi="Gadugi" w:cs="Gadugi"/>
          <w:b/>
          <w:sz w:val="24"/>
          <w:szCs w:val="24"/>
          <w:highlight w:val="white"/>
        </w:rPr>
        <w:t xml:space="preserve">Pastora López </w:t>
      </w:r>
      <w:proofErr w:type="spellStart"/>
      <w:r w:rsidRPr="00E1241B">
        <w:rPr>
          <w:rFonts w:ascii="Gadugi" w:eastAsia="Gadugi" w:hAnsi="Gadugi" w:cs="Gadugi"/>
          <w:b/>
          <w:sz w:val="24"/>
          <w:szCs w:val="24"/>
          <w:highlight w:val="white"/>
        </w:rPr>
        <w:t>López</w:t>
      </w:r>
      <w:proofErr w:type="spellEnd"/>
      <w:r w:rsidRPr="00E1241B">
        <w:rPr>
          <w:rFonts w:ascii="Gadugi" w:eastAsia="Gadugi" w:hAnsi="Gadugi" w:cs="Gadugi"/>
          <w:b/>
          <w:sz w:val="24"/>
          <w:szCs w:val="24"/>
          <w:highlight w:val="white"/>
        </w:rPr>
        <w:t>, Virginia, Gustavo, María Cristina y María Esperanza López Salazar; Guillermo, Norma Cecilia, Silvia</w:t>
      </w:r>
      <w:r w:rsidR="00DF210F" w:rsidRPr="00E1241B">
        <w:rPr>
          <w:rFonts w:ascii="Gadugi" w:eastAsia="Gadugi" w:hAnsi="Gadugi" w:cs="Gadugi"/>
          <w:b/>
          <w:sz w:val="24"/>
          <w:szCs w:val="24"/>
          <w:highlight w:val="white"/>
        </w:rPr>
        <w:t>, Javier Hermógenes, Colombia</w:t>
      </w:r>
      <w:r w:rsidRPr="00E1241B">
        <w:rPr>
          <w:rFonts w:ascii="Gadugi" w:eastAsia="Gadugi" w:hAnsi="Gadugi" w:cs="Gadugi"/>
          <w:b/>
          <w:sz w:val="24"/>
          <w:szCs w:val="24"/>
          <w:highlight w:val="white"/>
        </w:rPr>
        <w:t xml:space="preserve"> y Blanca Victoria López Serna; Germán, Jaime y Mario López Valencia </w:t>
      </w:r>
      <w:r w:rsidRPr="00E1241B">
        <w:rPr>
          <w:rFonts w:ascii="Gadugi" w:eastAsia="Gadugi" w:hAnsi="Gadugi" w:cs="Gadugi"/>
          <w:sz w:val="24"/>
          <w:szCs w:val="24"/>
          <w:highlight w:val="white"/>
        </w:rPr>
        <w:t>(Sucedido procesalmente por Julián López Londoño, Isabel Cristina López Londoño, Luis Carlos López Valencia y Diana Isabel López Valencia)</w:t>
      </w:r>
      <w:r w:rsidRPr="00E1241B">
        <w:rPr>
          <w:rFonts w:ascii="Gadugi" w:eastAsia="Gadugi" w:hAnsi="Gadugi" w:cs="Gadugi"/>
          <w:b/>
          <w:sz w:val="24"/>
          <w:szCs w:val="24"/>
          <w:highlight w:val="white"/>
        </w:rPr>
        <w:t xml:space="preserve">, Sebastián, María del Pilar, Natalia y Pablo Andrés Posada López, </w:t>
      </w:r>
      <w:r w:rsidRPr="00E1241B">
        <w:rPr>
          <w:rFonts w:ascii="Gadugi" w:eastAsia="Gadugi" w:hAnsi="Gadugi" w:cs="Gadugi"/>
          <w:sz w:val="24"/>
          <w:szCs w:val="24"/>
          <w:highlight w:val="white"/>
        </w:rPr>
        <w:t>como herederos de</w:t>
      </w:r>
      <w:r w:rsidRPr="00E1241B">
        <w:rPr>
          <w:rFonts w:ascii="Gadugi" w:eastAsia="Gadugi" w:hAnsi="Gadugi" w:cs="Gadugi"/>
          <w:b/>
          <w:sz w:val="24"/>
          <w:szCs w:val="24"/>
          <w:highlight w:val="white"/>
        </w:rPr>
        <w:t xml:space="preserve"> María Lucía del Pilar López de Posada, </w:t>
      </w:r>
      <w:r w:rsidRPr="00E1241B">
        <w:rPr>
          <w:rFonts w:ascii="Gadugi" w:eastAsia="Gadugi" w:hAnsi="Gadugi" w:cs="Gadugi"/>
          <w:sz w:val="24"/>
          <w:szCs w:val="24"/>
          <w:highlight w:val="white"/>
        </w:rPr>
        <w:t>los herederos indeterminados de esta y de</w:t>
      </w:r>
      <w:r w:rsidRPr="00E1241B">
        <w:rPr>
          <w:rFonts w:ascii="Gadugi" w:eastAsia="Gadugi" w:hAnsi="Gadugi" w:cs="Gadugi"/>
          <w:b/>
          <w:sz w:val="24"/>
          <w:szCs w:val="24"/>
          <w:highlight w:val="white"/>
        </w:rPr>
        <w:t xml:space="preserve"> Joaquín Orlando López Valencia </w:t>
      </w:r>
      <w:r w:rsidRPr="00E1241B">
        <w:rPr>
          <w:rFonts w:ascii="Gadugi" w:eastAsia="Gadugi" w:hAnsi="Gadugi" w:cs="Gadugi"/>
          <w:sz w:val="24"/>
          <w:szCs w:val="24"/>
          <w:highlight w:val="white"/>
        </w:rPr>
        <w:t>y de</w:t>
      </w:r>
      <w:r w:rsidRPr="00E1241B">
        <w:rPr>
          <w:rFonts w:ascii="Gadugi" w:eastAsia="Gadugi" w:hAnsi="Gadugi" w:cs="Gadugi"/>
          <w:b/>
          <w:sz w:val="24"/>
          <w:szCs w:val="24"/>
          <w:highlight w:val="white"/>
        </w:rPr>
        <w:t xml:space="preserve"> Pascual López </w:t>
      </w:r>
      <w:proofErr w:type="spellStart"/>
      <w:r w:rsidRPr="00E1241B">
        <w:rPr>
          <w:rFonts w:ascii="Gadugi" w:eastAsia="Gadugi" w:hAnsi="Gadugi" w:cs="Gadugi"/>
          <w:b/>
          <w:sz w:val="24"/>
          <w:szCs w:val="24"/>
          <w:highlight w:val="white"/>
        </w:rPr>
        <w:t>López</w:t>
      </w:r>
      <w:proofErr w:type="spellEnd"/>
      <w:r w:rsidRPr="00E1241B">
        <w:rPr>
          <w:rFonts w:ascii="Gadugi" w:eastAsia="Gadugi" w:hAnsi="Gadugi" w:cs="Gadugi"/>
          <w:b/>
          <w:sz w:val="24"/>
          <w:szCs w:val="24"/>
          <w:highlight w:val="white"/>
        </w:rPr>
        <w:t xml:space="preserve">, </w:t>
      </w:r>
      <w:r w:rsidRPr="00E1241B">
        <w:rPr>
          <w:rFonts w:ascii="Gadugi" w:eastAsia="Gadugi" w:hAnsi="Gadugi" w:cs="Gadugi"/>
          <w:sz w:val="24"/>
          <w:szCs w:val="24"/>
          <w:highlight w:val="white"/>
        </w:rPr>
        <w:t>los apelantes y las personas indeterminadas que se creyeran con derecho para acudir al proceso</w:t>
      </w:r>
      <w:r w:rsidRPr="00E1241B">
        <w:rPr>
          <w:rFonts w:ascii="Gadugi" w:eastAsia="Gadugi" w:hAnsi="Gadugi" w:cs="Gadugi"/>
          <w:sz w:val="24"/>
          <w:szCs w:val="24"/>
        </w:rPr>
        <w:t xml:space="preserve">. </w:t>
      </w:r>
    </w:p>
    <w:p w14:paraId="117C29E0" w14:textId="77777777" w:rsidR="00020018" w:rsidRPr="00E1241B" w:rsidRDefault="00020018" w:rsidP="00E1241B">
      <w:pPr>
        <w:tabs>
          <w:tab w:val="left" w:pos="3686"/>
          <w:tab w:val="left" w:pos="4536"/>
        </w:tabs>
        <w:jc w:val="both"/>
        <w:rPr>
          <w:rFonts w:ascii="Gadugi" w:eastAsia="Gadugi" w:hAnsi="Gadugi" w:cs="Gadugi"/>
          <w:sz w:val="24"/>
          <w:szCs w:val="24"/>
        </w:rPr>
      </w:pPr>
    </w:p>
    <w:p w14:paraId="635F21C2" w14:textId="592375BD" w:rsidR="00020018" w:rsidRPr="00E1241B" w:rsidRDefault="00190351" w:rsidP="00E1241B">
      <w:pPr>
        <w:numPr>
          <w:ilvl w:val="0"/>
          <w:numId w:val="2"/>
        </w:numPr>
        <w:pBdr>
          <w:top w:val="nil"/>
          <w:left w:val="nil"/>
          <w:bottom w:val="nil"/>
          <w:right w:val="nil"/>
          <w:between w:val="nil"/>
        </w:pBdr>
        <w:tabs>
          <w:tab w:val="left" w:pos="426"/>
          <w:tab w:val="left" w:pos="3686"/>
          <w:tab w:val="left" w:pos="4536"/>
        </w:tabs>
        <w:ind w:left="0" w:firstLine="0"/>
        <w:jc w:val="both"/>
        <w:rPr>
          <w:rFonts w:ascii="Gadugi" w:eastAsia="Gadugi" w:hAnsi="Gadugi" w:cs="Gadugi"/>
          <w:b/>
          <w:bCs/>
          <w:color w:val="000000"/>
          <w:sz w:val="24"/>
          <w:szCs w:val="24"/>
        </w:rPr>
      </w:pPr>
      <w:r w:rsidRPr="00E1241B">
        <w:rPr>
          <w:rFonts w:ascii="Gadugi" w:eastAsia="Gadugi" w:hAnsi="Gadugi" w:cs="Gadugi"/>
          <w:b/>
          <w:bCs/>
          <w:color w:val="000000" w:themeColor="text1"/>
          <w:sz w:val="24"/>
          <w:szCs w:val="24"/>
        </w:rPr>
        <w:t>ANTECEDENTES</w:t>
      </w:r>
    </w:p>
    <w:p w14:paraId="539F06D6" w14:textId="77777777" w:rsidR="00020018" w:rsidRPr="00E1241B" w:rsidRDefault="00020018" w:rsidP="00E1241B">
      <w:pPr>
        <w:tabs>
          <w:tab w:val="left" w:pos="3686"/>
          <w:tab w:val="left" w:pos="4536"/>
        </w:tabs>
        <w:rPr>
          <w:rFonts w:ascii="Gadugi" w:eastAsia="Gadugi" w:hAnsi="Gadugi" w:cs="Gadugi"/>
          <w:b/>
          <w:sz w:val="24"/>
          <w:szCs w:val="24"/>
        </w:rPr>
      </w:pPr>
    </w:p>
    <w:p w14:paraId="16D62725" w14:textId="77777777"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
          <w:bCs/>
          <w:sz w:val="24"/>
          <w:szCs w:val="24"/>
          <w:u w:val="single"/>
        </w:rPr>
      </w:pPr>
      <w:r w:rsidRPr="00E1241B">
        <w:rPr>
          <w:rFonts w:ascii="Gadugi" w:eastAsia="Gadugi" w:hAnsi="Gadugi" w:cs="Gadugi"/>
          <w:b/>
          <w:bCs/>
          <w:sz w:val="24"/>
          <w:szCs w:val="24"/>
        </w:rPr>
        <w:t xml:space="preserve">1.1. </w:t>
      </w:r>
      <w:r w:rsidRPr="00E1241B">
        <w:rPr>
          <w:rFonts w:ascii="Gadugi" w:eastAsia="Gadugi" w:hAnsi="Gadugi" w:cs="Gadugi"/>
          <w:b/>
          <w:bCs/>
          <w:color w:val="000000"/>
          <w:sz w:val="24"/>
          <w:szCs w:val="24"/>
        </w:rPr>
        <w:t xml:space="preserve"> Hechos</w:t>
      </w:r>
      <w:r w:rsidRPr="00E1241B">
        <w:rPr>
          <w:rFonts w:ascii="Gadugi" w:eastAsia="Gadugi" w:hAnsi="Gadugi" w:cs="Gadugi"/>
          <w:color w:val="000000"/>
          <w:sz w:val="24"/>
          <w:szCs w:val="24"/>
          <w:vertAlign w:val="superscript"/>
        </w:rPr>
        <w:footnoteReference w:id="2"/>
      </w:r>
    </w:p>
    <w:p w14:paraId="30A88365" w14:textId="77777777" w:rsidR="00020018" w:rsidRPr="00E1241B" w:rsidRDefault="00020018" w:rsidP="00E1241B">
      <w:pPr>
        <w:pBdr>
          <w:top w:val="nil"/>
          <w:left w:val="nil"/>
          <w:bottom w:val="nil"/>
          <w:right w:val="nil"/>
          <w:between w:val="nil"/>
        </w:pBdr>
        <w:tabs>
          <w:tab w:val="left" w:pos="3686"/>
          <w:tab w:val="left" w:pos="4536"/>
        </w:tabs>
        <w:rPr>
          <w:rFonts w:ascii="Gadugi" w:eastAsia="Gadugi" w:hAnsi="Gadugi" w:cs="Gadugi"/>
          <w:sz w:val="24"/>
          <w:szCs w:val="24"/>
        </w:rPr>
      </w:pPr>
    </w:p>
    <w:p w14:paraId="5F4880DB" w14:textId="4AE1636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La demanda relata que el dominio pleno del predio situado en la carrera 14, entre las calles 9 A y 10, número 9-44 de Santa Rosa de Cabal, identificado con la matrícula inmobiliaria número 296-59447, </w:t>
      </w:r>
      <w:r w:rsidR="00DF210F" w:rsidRPr="00E1241B">
        <w:rPr>
          <w:rFonts w:ascii="Gadugi" w:eastAsia="Gadugi" w:hAnsi="Gadugi" w:cs="Gadugi"/>
          <w:sz w:val="24"/>
          <w:szCs w:val="24"/>
        </w:rPr>
        <w:t>objeto del presente proceso</w:t>
      </w:r>
      <w:r w:rsidRPr="00E1241B">
        <w:rPr>
          <w:rFonts w:ascii="Gadugi" w:eastAsia="Gadugi" w:hAnsi="Gadugi" w:cs="Gadugi"/>
          <w:sz w:val="24"/>
          <w:szCs w:val="24"/>
        </w:rPr>
        <w:t xml:space="preserve">, fue adquirido por la señora Pastora López </w:t>
      </w:r>
      <w:proofErr w:type="spellStart"/>
      <w:r w:rsidRPr="00E1241B">
        <w:rPr>
          <w:rFonts w:ascii="Gadugi" w:eastAsia="Gadugi" w:hAnsi="Gadugi" w:cs="Gadugi"/>
          <w:sz w:val="24"/>
          <w:szCs w:val="24"/>
        </w:rPr>
        <w:t>López</w:t>
      </w:r>
      <w:proofErr w:type="spellEnd"/>
      <w:r w:rsidRPr="00E1241B">
        <w:rPr>
          <w:rFonts w:ascii="Gadugi" w:eastAsia="Gadugi" w:hAnsi="Gadugi" w:cs="Gadugi"/>
          <w:sz w:val="24"/>
          <w:szCs w:val="24"/>
        </w:rPr>
        <w:t xml:space="preserve"> mediante </w:t>
      </w:r>
      <w:r w:rsidR="00DF210F" w:rsidRPr="00E1241B">
        <w:rPr>
          <w:rFonts w:ascii="Gadugi" w:eastAsia="Gadugi" w:hAnsi="Gadugi" w:cs="Gadugi"/>
          <w:sz w:val="24"/>
          <w:szCs w:val="24"/>
        </w:rPr>
        <w:t xml:space="preserve">la acción de pertenencia por </w:t>
      </w:r>
      <w:r w:rsidRPr="00E1241B">
        <w:rPr>
          <w:rFonts w:ascii="Gadugi" w:eastAsia="Gadugi" w:hAnsi="Gadugi" w:cs="Gadugi"/>
          <w:sz w:val="24"/>
          <w:szCs w:val="24"/>
        </w:rPr>
        <w:t>prescripción extraordinaria adquisitiva</w:t>
      </w:r>
      <w:r w:rsidR="00DF210F" w:rsidRPr="00E1241B">
        <w:rPr>
          <w:rFonts w:ascii="Gadugi" w:eastAsia="Gadugi" w:hAnsi="Gadugi" w:cs="Gadugi"/>
          <w:sz w:val="24"/>
          <w:szCs w:val="24"/>
        </w:rPr>
        <w:t xml:space="preserve"> de dominio</w:t>
      </w:r>
      <w:r w:rsidRPr="00E1241B">
        <w:rPr>
          <w:rFonts w:ascii="Gadugi" w:eastAsia="Gadugi" w:hAnsi="Gadugi" w:cs="Gadugi"/>
          <w:sz w:val="24"/>
          <w:szCs w:val="24"/>
        </w:rPr>
        <w:t>, según sentencia emitida el 22 de octubre de 2001 por el Juzgado Civil del Circuito de Santa Rosa de Cabal.</w:t>
      </w:r>
    </w:p>
    <w:p w14:paraId="7B8442C6"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C029161" w14:textId="5B474F6C" w:rsidR="000F3DC3" w:rsidRPr="00E1241B" w:rsidRDefault="0080711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w:t>
      </w:r>
      <w:r w:rsidR="000F3DC3" w:rsidRPr="00E1241B">
        <w:rPr>
          <w:rFonts w:ascii="Gadugi" w:eastAsia="Gadugi" w:hAnsi="Gadugi" w:cs="Gadugi"/>
          <w:sz w:val="24"/>
          <w:szCs w:val="24"/>
        </w:rPr>
        <w:t xml:space="preserve">l demandante se mudó a esta propiedad a mediados de 1998 junto </w:t>
      </w:r>
      <w:r w:rsidR="00720875" w:rsidRPr="00E1241B">
        <w:rPr>
          <w:rFonts w:ascii="Gadugi" w:eastAsia="Gadugi" w:hAnsi="Gadugi" w:cs="Gadugi"/>
          <w:sz w:val="24"/>
          <w:szCs w:val="24"/>
        </w:rPr>
        <w:t>con</w:t>
      </w:r>
      <w:r w:rsidR="000F3DC3" w:rsidRPr="00E1241B">
        <w:rPr>
          <w:rFonts w:ascii="Gadugi" w:eastAsia="Gadugi" w:hAnsi="Gadugi" w:cs="Gadugi"/>
          <w:sz w:val="24"/>
          <w:szCs w:val="24"/>
        </w:rPr>
        <w:t xml:space="preserve"> su esposa y sus dos hijos por invitación de la señora </w:t>
      </w:r>
      <w:r w:rsidRPr="00E1241B">
        <w:rPr>
          <w:rFonts w:ascii="Gadugi" w:eastAsia="Gadugi" w:hAnsi="Gadugi" w:cs="Gadugi"/>
          <w:sz w:val="24"/>
          <w:szCs w:val="24"/>
        </w:rPr>
        <w:t xml:space="preserve">López </w:t>
      </w:r>
      <w:proofErr w:type="spellStart"/>
      <w:r w:rsidRPr="00E1241B">
        <w:rPr>
          <w:rFonts w:ascii="Gadugi" w:eastAsia="Gadugi" w:hAnsi="Gadugi" w:cs="Gadugi"/>
          <w:sz w:val="24"/>
          <w:szCs w:val="24"/>
        </w:rPr>
        <w:t>López</w:t>
      </w:r>
      <w:proofErr w:type="spellEnd"/>
      <w:r w:rsidR="000F3DC3" w:rsidRPr="00E1241B">
        <w:rPr>
          <w:rFonts w:ascii="Gadugi" w:eastAsia="Gadugi" w:hAnsi="Gadugi" w:cs="Gadugi"/>
          <w:sz w:val="24"/>
          <w:szCs w:val="24"/>
        </w:rPr>
        <w:t>, con el propósito de brindarle cuidados, compañía y colaboración en el manejo y mantenimiento del terreno</w:t>
      </w:r>
      <w:r w:rsidR="00DF210F" w:rsidRPr="00E1241B">
        <w:rPr>
          <w:rFonts w:ascii="Gadugi" w:eastAsia="Gadugi" w:hAnsi="Gadugi" w:cs="Gadugi"/>
          <w:sz w:val="24"/>
          <w:szCs w:val="24"/>
        </w:rPr>
        <w:t xml:space="preserve"> y</w:t>
      </w:r>
      <w:r w:rsidR="006E0297" w:rsidRPr="00E1241B">
        <w:rPr>
          <w:rFonts w:ascii="Gadugi" w:eastAsia="Gadugi" w:hAnsi="Gadugi" w:cs="Gadugi"/>
          <w:sz w:val="24"/>
          <w:szCs w:val="24"/>
        </w:rPr>
        <w:t xml:space="preserve">, </w:t>
      </w:r>
      <w:r w:rsidR="000F3DC3" w:rsidRPr="00E1241B">
        <w:rPr>
          <w:rFonts w:ascii="Gadugi" w:eastAsia="Gadugi" w:hAnsi="Gadugi" w:cs="Gadugi"/>
          <w:sz w:val="24"/>
          <w:szCs w:val="24"/>
        </w:rPr>
        <w:t xml:space="preserve">a partir de enero de 2001, </w:t>
      </w:r>
      <w:r w:rsidR="006E0297" w:rsidRPr="00E1241B">
        <w:rPr>
          <w:rFonts w:ascii="Gadugi" w:eastAsia="Gadugi" w:hAnsi="Gadugi" w:cs="Gadugi"/>
          <w:sz w:val="24"/>
          <w:szCs w:val="24"/>
        </w:rPr>
        <w:t xml:space="preserve">ella le </w:t>
      </w:r>
      <w:r w:rsidR="000F3DC3" w:rsidRPr="00E1241B">
        <w:rPr>
          <w:rFonts w:ascii="Gadugi" w:eastAsia="Gadugi" w:hAnsi="Gadugi" w:cs="Gadugi"/>
          <w:sz w:val="24"/>
          <w:szCs w:val="24"/>
        </w:rPr>
        <w:t>expresó su intención de transferir la propiedad a su nombre.</w:t>
      </w:r>
    </w:p>
    <w:p w14:paraId="298FFC00"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3C3439A" w14:textId="6CCD05DE" w:rsidR="000F3DC3" w:rsidRPr="00E1241B" w:rsidRDefault="00DF21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Se agrega que </w:t>
      </w:r>
      <w:r w:rsidR="000F3DC3" w:rsidRPr="00E1241B">
        <w:rPr>
          <w:rFonts w:ascii="Gadugi" w:eastAsia="Gadugi" w:hAnsi="Gadugi" w:cs="Gadugi"/>
          <w:sz w:val="24"/>
          <w:szCs w:val="24"/>
        </w:rPr>
        <w:t>después de la mencionada sentencia de prescripción, tanto el demandante como la señora Pastora López intentaron llevar a cabo la transferencia de dominio en la</w:t>
      </w:r>
      <w:r w:rsidRPr="00E1241B">
        <w:rPr>
          <w:rFonts w:ascii="Gadugi" w:eastAsia="Gadugi" w:hAnsi="Gadugi" w:cs="Gadugi"/>
          <w:sz w:val="24"/>
          <w:szCs w:val="24"/>
        </w:rPr>
        <w:t xml:space="preserve"> Notaría de Santa Rosa de Cabal, sin embargo,</w:t>
      </w:r>
      <w:r w:rsidR="000F3DC3" w:rsidRPr="00E1241B">
        <w:rPr>
          <w:rFonts w:ascii="Gadugi" w:eastAsia="Gadugi" w:hAnsi="Gadugi" w:cs="Gadugi"/>
          <w:sz w:val="24"/>
          <w:szCs w:val="24"/>
        </w:rPr>
        <w:t xml:space="preserve"> el notario rechazó la solicitud debido a la avanzada edad y las afecciones de salud de la señora Pastora. No obstante, fue a partir de este momento que el señor Diego López asumió el papel de propietario del </w:t>
      </w:r>
      <w:r w:rsidR="00045E0E" w:rsidRPr="00E1241B">
        <w:rPr>
          <w:rFonts w:ascii="Gadugi" w:eastAsia="Gadugi" w:hAnsi="Gadugi" w:cs="Gadugi"/>
          <w:sz w:val="24"/>
          <w:szCs w:val="24"/>
        </w:rPr>
        <w:t>bien</w:t>
      </w:r>
      <w:r w:rsidR="000F3DC3" w:rsidRPr="00E1241B">
        <w:rPr>
          <w:rFonts w:ascii="Gadugi" w:eastAsia="Gadugi" w:hAnsi="Gadugi" w:cs="Gadugi"/>
          <w:sz w:val="24"/>
          <w:szCs w:val="24"/>
        </w:rPr>
        <w:t xml:space="preserve">, realizando mejoras, reparaciones y mantenimiento en la casa y el </w:t>
      </w:r>
      <w:r w:rsidR="000F3DC3" w:rsidRPr="00E1241B">
        <w:rPr>
          <w:rFonts w:ascii="Gadugi" w:eastAsia="Gadugi" w:hAnsi="Gadugi" w:cs="Gadugi"/>
          <w:sz w:val="24"/>
          <w:szCs w:val="24"/>
        </w:rPr>
        <w:lastRenderedPageBreak/>
        <w:t>terre</w:t>
      </w:r>
      <w:r w:rsidRPr="00E1241B">
        <w:rPr>
          <w:rFonts w:ascii="Gadugi" w:eastAsia="Gadugi" w:hAnsi="Gadugi" w:cs="Gadugi"/>
          <w:sz w:val="24"/>
          <w:szCs w:val="24"/>
        </w:rPr>
        <w:t>no, así como cambiando el titular</w:t>
      </w:r>
      <w:r w:rsidR="000F3DC3" w:rsidRPr="00E1241B">
        <w:rPr>
          <w:rFonts w:ascii="Gadugi" w:eastAsia="Gadugi" w:hAnsi="Gadugi" w:cs="Gadugi"/>
          <w:sz w:val="24"/>
          <w:szCs w:val="24"/>
        </w:rPr>
        <w:t xml:space="preserve"> de los servicios públicos de energía y agua, e instalando gas domiciliario y servicio de televisión por cable.</w:t>
      </w:r>
    </w:p>
    <w:p w14:paraId="450515E1"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F2535A6"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El 24 de noviembre de 2002, la señora Pastora López falleció, y en julio de 2003, Mario López Valencia, primo del demandante, informó sobre la existencia de un testamento en el que la señora Pastora designó a ambos como herederos universales de sus bienes, asignando un 60% a Mario López y un 40% al demandante.</w:t>
      </w:r>
    </w:p>
    <w:p w14:paraId="01880424"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F951902" w14:textId="23132B35"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El señor Diego López Serna rechazó la validez del testamento, alegando que ha ejercido la posesión del terreno</w:t>
      </w:r>
      <w:r w:rsidR="006E0297" w:rsidRPr="00E1241B">
        <w:rPr>
          <w:rFonts w:ascii="Gadugi" w:eastAsia="Gadugi" w:hAnsi="Gadugi" w:cs="Gadugi"/>
          <w:sz w:val="24"/>
          <w:szCs w:val="24"/>
        </w:rPr>
        <w:t xml:space="preserve">. </w:t>
      </w:r>
      <w:r w:rsidR="00DF210F" w:rsidRPr="00E1241B">
        <w:rPr>
          <w:rFonts w:ascii="Gadugi" w:eastAsia="Gadugi" w:hAnsi="Gadugi" w:cs="Gadugi"/>
          <w:sz w:val="24"/>
          <w:szCs w:val="24"/>
        </w:rPr>
        <w:t xml:space="preserve">Finalmente, se </w:t>
      </w:r>
      <w:r w:rsidR="00B65724" w:rsidRPr="00E1241B">
        <w:rPr>
          <w:rFonts w:ascii="Gadugi" w:eastAsia="Gadugi" w:hAnsi="Gadugi" w:cs="Gadugi"/>
          <w:sz w:val="24"/>
          <w:szCs w:val="24"/>
        </w:rPr>
        <w:t xml:space="preserve">indica que </w:t>
      </w:r>
      <w:r w:rsidRPr="00E1241B">
        <w:rPr>
          <w:rFonts w:ascii="Gadugi" w:eastAsia="Gadugi" w:hAnsi="Gadugi" w:cs="Gadugi"/>
          <w:sz w:val="24"/>
          <w:szCs w:val="24"/>
        </w:rPr>
        <w:t xml:space="preserve">Mario López </w:t>
      </w:r>
      <w:r w:rsidR="006E0297" w:rsidRPr="00E1241B">
        <w:rPr>
          <w:rFonts w:ascii="Gadugi" w:eastAsia="Gadugi" w:hAnsi="Gadugi" w:cs="Gadugi"/>
          <w:sz w:val="24"/>
          <w:szCs w:val="24"/>
        </w:rPr>
        <w:t xml:space="preserve">habitó allí </w:t>
      </w:r>
      <w:r w:rsidR="00B65724" w:rsidRPr="00E1241B">
        <w:rPr>
          <w:rFonts w:ascii="Gadugi" w:eastAsia="Gadugi" w:hAnsi="Gadugi" w:cs="Gadugi"/>
          <w:sz w:val="24"/>
          <w:szCs w:val="24"/>
        </w:rPr>
        <w:t>durante 7 meses</w:t>
      </w:r>
      <w:r w:rsidR="00496AE2" w:rsidRPr="00E1241B">
        <w:rPr>
          <w:rFonts w:ascii="Gadugi" w:eastAsia="Gadugi" w:hAnsi="Gadugi" w:cs="Gadugi"/>
          <w:sz w:val="24"/>
          <w:szCs w:val="24"/>
        </w:rPr>
        <w:t xml:space="preserve"> (julio de 2003 a febrero 2004)</w:t>
      </w:r>
      <w:r w:rsidR="00496AE2" w:rsidRPr="00E1241B">
        <w:rPr>
          <w:rStyle w:val="Refdenotaalpie"/>
          <w:rFonts w:ascii="Gadugi" w:eastAsia="Gadugi" w:hAnsi="Gadugi" w:cs="Gadugi"/>
          <w:sz w:val="24"/>
          <w:szCs w:val="24"/>
        </w:rPr>
        <w:footnoteReference w:id="3"/>
      </w:r>
      <w:r w:rsidR="006E0297" w:rsidRPr="00E1241B">
        <w:rPr>
          <w:rFonts w:ascii="Gadugi" w:eastAsia="Gadugi" w:hAnsi="Gadugi" w:cs="Gadugi"/>
          <w:sz w:val="24"/>
          <w:szCs w:val="24"/>
        </w:rPr>
        <w:t xml:space="preserve">, </w:t>
      </w:r>
      <w:r w:rsidRPr="00E1241B">
        <w:rPr>
          <w:rFonts w:ascii="Gadugi" w:eastAsia="Gadugi" w:hAnsi="Gadugi" w:cs="Gadugi"/>
          <w:sz w:val="24"/>
          <w:szCs w:val="24"/>
        </w:rPr>
        <w:t xml:space="preserve">hasta que el </w:t>
      </w:r>
      <w:r w:rsidR="00B65724" w:rsidRPr="00E1241B">
        <w:rPr>
          <w:rFonts w:ascii="Gadugi" w:eastAsia="Gadugi" w:hAnsi="Gadugi" w:cs="Gadugi"/>
          <w:sz w:val="24"/>
          <w:szCs w:val="24"/>
        </w:rPr>
        <w:t xml:space="preserve">aquí </w:t>
      </w:r>
      <w:r w:rsidRPr="00E1241B">
        <w:rPr>
          <w:rFonts w:ascii="Gadugi" w:eastAsia="Gadugi" w:hAnsi="Gadugi" w:cs="Gadugi"/>
          <w:sz w:val="24"/>
          <w:szCs w:val="24"/>
        </w:rPr>
        <w:t>demandante lo expulsó debido a su falta de pago de servicios públicos.</w:t>
      </w:r>
    </w:p>
    <w:p w14:paraId="1EFB0350" w14:textId="4344889A"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EBAE330" w14:textId="1D29964C"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r w:rsidRPr="00E1241B">
        <w:rPr>
          <w:rFonts w:ascii="Gadugi" w:eastAsia="Gadugi" w:hAnsi="Gadugi" w:cs="Gadugi"/>
          <w:b/>
          <w:sz w:val="24"/>
          <w:szCs w:val="24"/>
        </w:rPr>
        <w:t xml:space="preserve">1.2. </w:t>
      </w:r>
      <w:r w:rsidR="006E0297" w:rsidRPr="00E1241B">
        <w:rPr>
          <w:rFonts w:ascii="Gadugi" w:eastAsia="Gadugi" w:hAnsi="Gadugi" w:cs="Gadugi"/>
          <w:b/>
          <w:sz w:val="24"/>
          <w:szCs w:val="24"/>
        </w:rPr>
        <w:t>Pretensiones</w:t>
      </w:r>
      <w:r w:rsidRPr="00E1241B">
        <w:rPr>
          <w:rFonts w:ascii="Gadugi" w:eastAsia="Gadugi" w:hAnsi="Gadugi" w:cs="Gadugi"/>
          <w:sz w:val="24"/>
          <w:szCs w:val="24"/>
          <w:vertAlign w:val="superscript"/>
        </w:rPr>
        <w:footnoteReference w:id="4"/>
      </w:r>
    </w:p>
    <w:p w14:paraId="02AA7B16"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p>
    <w:p w14:paraId="6140BBE1" w14:textId="260727E8"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Con apoyo en lo relatado pidió que se declare que adquirió por el modo de la prescripción extraordinaria adquisitiva de dominio el inmueble ya señalado y</w:t>
      </w:r>
      <w:r w:rsidR="006E0297" w:rsidRPr="00E1241B">
        <w:rPr>
          <w:rFonts w:ascii="Gadugi" w:eastAsia="Gadugi" w:hAnsi="Gadugi" w:cs="Gadugi"/>
          <w:sz w:val="24"/>
          <w:szCs w:val="24"/>
        </w:rPr>
        <w:t>,</w:t>
      </w:r>
      <w:r w:rsidRPr="00E1241B">
        <w:rPr>
          <w:rFonts w:ascii="Gadugi" w:eastAsia="Gadugi" w:hAnsi="Gadugi" w:cs="Gadugi"/>
          <w:sz w:val="24"/>
          <w:szCs w:val="24"/>
        </w:rPr>
        <w:t xml:space="preserve"> como consecuencia, se ordene la inscripción en la oficina de registro respectiva y se condene en costas a los demandados. </w:t>
      </w:r>
    </w:p>
    <w:p w14:paraId="69F91ED4" w14:textId="77777777" w:rsidR="006E0297" w:rsidRPr="00E1241B" w:rsidRDefault="006E029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1304287" w14:textId="4850241E"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r w:rsidRPr="00E1241B">
        <w:rPr>
          <w:rFonts w:ascii="Gadugi" w:eastAsia="Gadugi" w:hAnsi="Gadugi" w:cs="Gadugi"/>
          <w:b/>
          <w:sz w:val="24"/>
          <w:szCs w:val="24"/>
        </w:rPr>
        <w:t xml:space="preserve">1.3. </w:t>
      </w:r>
      <w:r w:rsidR="006E0297" w:rsidRPr="00E1241B">
        <w:rPr>
          <w:rFonts w:ascii="Gadugi" w:eastAsia="Gadugi" w:hAnsi="Gadugi" w:cs="Gadugi"/>
          <w:b/>
          <w:sz w:val="24"/>
          <w:szCs w:val="24"/>
        </w:rPr>
        <w:t xml:space="preserve">Trámite </w:t>
      </w:r>
    </w:p>
    <w:p w14:paraId="0374F08A"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p>
    <w:p w14:paraId="383C9A27" w14:textId="781D8C08"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Admitida la demanda</w:t>
      </w:r>
      <w:r w:rsidRPr="00E1241B">
        <w:rPr>
          <w:rFonts w:ascii="Gadugi" w:eastAsia="Gadugi" w:hAnsi="Gadugi" w:cs="Gadugi"/>
          <w:sz w:val="24"/>
          <w:szCs w:val="24"/>
          <w:vertAlign w:val="superscript"/>
        </w:rPr>
        <w:footnoteReference w:id="5"/>
      </w:r>
      <w:r w:rsidRPr="00E1241B">
        <w:rPr>
          <w:rFonts w:ascii="Gadugi" w:eastAsia="Gadugi" w:hAnsi="Gadugi" w:cs="Gadugi"/>
          <w:sz w:val="24"/>
          <w:szCs w:val="24"/>
        </w:rPr>
        <w:t xml:space="preserve"> se le imprimió el trámite correspondiente incluyendo </w:t>
      </w:r>
      <w:r w:rsidR="006E0297" w:rsidRPr="00E1241B">
        <w:rPr>
          <w:rFonts w:ascii="Gadugi" w:eastAsia="Gadugi" w:hAnsi="Gadugi" w:cs="Gadugi"/>
          <w:sz w:val="24"/>
          <w:szCs w:val="24"/>
        </w:rPr>
        <w:t xml:space="preserve">la </w:t>
      </w:r>
      <w:r w:rsidRPr="00E1241B">
        <w:rPr>
          <w:rFonts w:ascii="Gadugi" w:eastAsia="Gadugi" w:hAnsi="Gadugi" w:cs="Gadugi"/>
          <w:sz w:val="24"/>
          <w:szCs w:val="24"/>
        </w:rPr>
        <w:t xml:space="preserve">citación de los herederos determinados e indeterminados de la señora Pastora López </w:t>
      </w:r>
      <w:proofErr w:type="spellStart"/>
      <w:r w:rsidRPr="00E1241B">
        <w:rPr>
          <w:rFonts w:ascii="Gadugi" w:eastAsia="Gadugi" w:hAnsi="Gadugi" w:cs="Gadugi"/>
          <w:sz w:val="24"/>
          <w:szCs w:val="24"/>
        </w:rPr>
        <w:t>López</w:t>
      </w:r>
      <w:proofErr w:type="spellEnd"/>
      <w:r w:rsidRPr="00E1241B">
        <w:rPr>
          <w:rFonts w:ascii="Gadugi" w:eastAsia="Gadugi" w:hAnsi="Gadugi" w:cs="Gadugi"/>
          <w:sz w:val="24"/>
          <w:szCs w:val="24"/>
        </w:rPr>
        <w:t xml:space="preserve">.  </w:t>
      </w:r>
    </w:p>
    <w:p w14:paraId="07F2909B"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D7CDB45" w14:textId="6AB69654"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Tras el fallecimiento del señor Mario López Valencia,</w:t>
      </w:r>
      <w:r w:rsidRPr="00E1241B">
        <w:rPr>
          <w:rFonts w:ascii="Gadugi" w:eastAsia="Gadugi" w:hAnsi="Gadugi" w:cs="Gadugi"/>
          <w:sz w:val="24"/>
          <w:szCs w:val="24"/>
          <w:vertAlign w:val="superscript"/>
        </w:rPr>
        <w:footnoteReference w:id="6"/>
      </w:r>
      <w:r w:rsidR="00B65724" w:rsidRPr="00E1241B">
        <w:rPr>
          <w:rFonts w:ascii="Gadugi" w:eastAsia="Gadugi" w:hAnsi="Gadugi" w:cs="Gadugi"/>
          <w:sz w:val="24"/>
          <w:szCs w:val="24"/>
        </w:rPr>
        <w:t xml:space="preserve">, acudieron </w:t>
      </w:r>
      <w:r w:rsidRPr="00E1241B">
        <w:rPr>
          <w:rFonts w:ascii="Gadugi" w:eastAsia="Gadugi" w:hAnsi="Gadugi" w:cs="Gadugi"/>
          <w:sz w:val="24"/>
          <w:szCs w:val="24"/>
        </w:rPr>
        <w:t>sus herederos Julián e Isabel Cristina López Londoño, Luis Carlos y Diana Isabel López Valencia</w:t>
      </w:r>
      <w:r w:rsidR="00B65724" w:rsidRPr="00E1241B">
        <w:rPr>
          <w:rFonts w:ascii="Gadugi" w:eastAsia="Gadugi" w:hAnsi="Gadugi" w:cs="Gadugi"/>
          <w:sz w:val="24"/>
          <w:szCs w:val="24"/>
        </w:rPr>
        <w:t xml:space="preserve">, quienes </w:t>
      </w:r>
      <w:r w:rsidRPr="00E1241B">
        <w:rPr>
          <w:rFonts w:ascii="Gadugi" w:eastAsia="Gadugi" w:hAnsi="Gadugi" w:cs="Gadugi"/>
          <w:sz w:val="24"/>
          <w:szCs w:val="24"/>
        </w:rPr>
        <w:t>fueron representados por curador ad litem.</w:t>
      </w:r>
      <w:r w:rsidRPr="00E1241B">
        <w:rPr>
          <w:rFonts w:ascii="Gadugi" w:eastAsia="Gadugi" w:hAnsi="Gadugi" w:cs="Gadugi"/>
          <w:sz w:val="24"/>
          <w:szCs w:val="24"/>
          <w:vertAlign w:val="superscript"/>
        </w:rPr>
        <w:footnoteReference w:id="7"/>
      </w:r>
    </w:p>
    <w:p w14:paraId="39F4DD81"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E5A0D3E" w14:textId="48A057FC" w:rsidR="006C4857" w:rsidRPr="00E1241B" w:rsidRDefault="00B6572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Contestaron</w:t>
      </w:r>
      <w:r w:rsidR="006C4857" w:rsidRPr="00E1241B">
        <w:rPr>
          <w:rFonts w:ascii="Gadugi" w:eastAsia="Gadugi" w:hAnsi="Gadugi" w:cs="Gadugi"/>
          <w:sz w:val="24"/>
          <w:szCs w:val="24"/>
        </w:rPr>
        <w:t xml:space="preserve"> la demanda Javier Hermógenes López Serna</w:t>
      </w:r>
      <w:r w:rsidRPr="00E1241B">
        <w:rPr>
          <w:rFonts w:ascii="Gadugi" w:eastAsia="Gadugi" w:hAnsi="Gadugi" w:cs="Gadugi"/>
          <w:sz w:val="24"/>
          <w:szCs w:val="24"/>
        </w:rPr>
        <w:t>,</w:t>
      </w:r>
      <w:r w:rsidR="006C4857" w:rsidRPr="00E1241B">
        <w:rPr>
          <w:rFonts w:ascii="Gadugi" w:eastAsia="Gadugi" w:hAnsi="Gadugi" w:cs="Gadugi"/>
          <w:sz w:val="24"/>
          <w:szCs w:val="24"/>
        </w:rPr>
        <w:t xml:space="preserve"> Colombia López Serna de Holguín </w:t>
      </w:r>
      <w:r w:rsidRPr="00E1241B">
        <w:rPr>
          <w:rFonts w:ascii="Gadugi" w:eastAsia="Gadugi" w:hAnsi="Gadugi" w:cs="Gadugi"/>
          <w:sz w:val="24"/>
          <w:szCs w:val="24"/>
        </w:rPr>
        <w:t xml:space="preserve">y Virginia López Salazar </w:t>
      </w:r>
      <w:r w:rsidR="00496AE2" w:rsidRPr="00E1241B">
        <w:rPr>
          <w:rFonts w:ascii="Gadugi" w:eastAsia="Gadugi" w:hAnsi="Gadugi" w:cs="Gadugi"/>
          <w:sz w:val="24"/>
          <w:szCs w:val="24"/>
        </w:rPr>
        <w:t xml:space="preserve">por conducto </w:t>
      </w:r>
      <w:r w:rsidR="006C4857" w:rsidRPr="00E1241B">
        <w:rPr>
          <w:rFonts w:ascii="Gadugi" w:eastAsia="Gadugi" w:hAnsi="Gadugi" w:cs="Gadugi"/>
          <w:sz w:val="24"/>
          <w:szCs w:val="24"/>
        </w:rPr>
        <w:t>de apoderado judicial</w:t>
      </w:r>
      <w:r w:rsidRPr="00E1241B">
        <w:rPr>
          <w:rFonts w:ascii="Gadugi" w:eastAsia="Gadugi" w:hAnsi="Gadugi" w:cs="Gadugi"/>
          <w:sz w:val="24"/>
          <w:szCs w:val="24"/>
        </w:rPr>
        <w:t xml:space="preserve"> común</w:t>
      </w:r>
      <w:r w:rsidRPr="00E1241B">
        <w:rPr>
          <w:rStyle w:val="Refdenotaalpie"/>
          <w:rFonts w:ascii="Gadugi" w:eastAsia="Gadugi" w:hAnsi="Gadugi" w:cs="Gadugi"/>
          <w:sz w:val="24"/>
          <w:szCs w:val="24"/>
        </w:rPr>
        <w:footnoteReference w:id="8"/>
      </w:r>
      <w:r w:rsidR="00532D1E" w:rsidRPr="00E1241B">
        <w:rPr>
          <w:rFonts w:ascii="Gadugi" w:eastAsia="Gadugi" w:hAnsi="Gadugi" w:cs="Gadugi"/>
          <w:sz w:val="24"/>
          <w:szCs w:val="24"/>
        </w:rPr>
        <w:t xml:space="preserve">. Se pronunciaron sobre </w:t>
      </w:r>
      <w:r w:rsidR="006C4857" w:rsidRPr="00E1241B">
        <w:rPr>
          <w:rFonts w:ascii="Gadugi" w:eastAsia="Gadugi" w:hAnsi="Gadugi" w:cs="Gadugi"/>
          <w:sz w:val="24"/>
          <w:szCs w:val="24"/>
        </w:rPr>
        <w:t xml:space="preserve">los hechos, </w:t>
      </w:r>
      <w:r w:rsidR="00532D1E" w:rsidRPr="00E1241B">
        <w:rPr>
          <w:rFonts w:ascii="Gadugi" w:eastAsia="Gadugi" w:hAnsi="Gadugi" w:cs="Gadugi"/>
          <w:sz w:val="24"/>
          <w:szCs w:val="24"/>
        </w:rPr>
        <w:t xml:space="preserve">opugnaron las pretensiones, dado que no se aportó el </w:t>
      </w:r>
      <w:r w:rsidR="006C4857" w:rsidRPr="00E1241B">
        <w:rPr>
          <w:rFonts w:ascii="Gadugi" w:eastAsia="Gadugi" w:hAnsi="Gadugi" w:cs="Gadugi"/>
          <w:sz w:val="24"/>
          <w:szCs w:val="24"/>
        </w:rPr>
        <w:t>certificado especial expedido por el Registrador de Instrumentos Públicos</w:t>
      </w:r>
      <w:r w:rsidR="008A70F3" w:rsidRPr="00E1241B">
        <w:rPr>
          <w:rStyle w:val="Refdenotaalpie"/>
          <w:rFonts w:ascii="Gadugi" w:eastAsia="Gadugi" w:hAnsi="Gadugi" w:cs="Gadugi"/>
          <w:sz w:val="24"/>
          <w:szCs w:val="24"/>
        </w:rPr>
        <w:footnoteReference w:id="9"/>
      </w:r>
      <w:r w:rsidR="004C3C09" w:rsidRPr="00E1241B">
        <w:rPr>
          <w:rFonts w:ascii="Gadugi" w:eastAsia="Gadugi" w:hAnsi="Gadugi" w:cs="Gadugi"/>
          <w:sz w:val="24"/>
          <w:szCs w:val="24"/>
        </w:rPr>
        <w:t xml:space="preserve"> y present</w:t>
      </w:r>
      <w:r w:rsidR="00496AE2" w:rsidRPr="00E1241B">
        <w:rPr>
          <w:rFonts w:ascii="Gadugi" w:eastAsia="Gadugi" w:hAnsi="Gadugi" w:cs="Gadugi"/>
          <w:sz w:val="24"/>
          <w:szCs w:val="24"/>
        </w:rPr>
        <w:t>aron</w:t>
      </w:r>
      <w:r w:rsidR="004C3C09" w:rsidRPr="00E1241B">
        <w:rPr>
          <w:rFonts w:ascii="Gadugi" w:eastAsia="Gadugi" w:hAnsi="Gadugi" w:cs="Gadugi"/>
          <w:sz w:val="24"/>
          <w:szCs w:val="24"/>
        </w:rPr>
        <w:t xml:space="preserve"> las excepciones </w:t>
      </w:r>
      <w:r w:rsidR="00D1676D" w:rsidRPr="00E1241B">
        <w:rPr>
          <w:rFonts w:ascii="Gadugi" w:eastAsia="Gadugi" w:hAnsi="Gadugi" w:cs="Gadugi"/>
          <w:sz w:val="24"/>
          <w:szCs w:val="24"/>
        </w:rPr>
        <w:t xml:space="preserve">previas </w:t>
      </w:r>
      <w:r w:rsidR="00E00F88" w:rsidRPr="00E1241B">
        <w:rPr>
          <w:rFonts w:ascii="Gadugi" w:eastAsia="Gadugi" w:hAnsi="Gadugi" w:cs="Gadugi"/>
          <w:sz w:val="24"/>
          <w:szCs w:val="24"/>
        </w:rPr>
        <w:t xml:space="preserve">de </w:t>
      </w:r>
      <w:r w:rsidR="004C3C09" w:rsidRPr="00E1241B">
        <w:rPr>
          <w:rFonts w:ascii="Gadugi" w:eastAsia="Gadugi" w:hAnsi="Gadugi" w:cs="Gadugi"/>
          <w:sz w:val="24"/>
          <w:szCs w:val="24"/>
        </w:rPr>
        <w:t>“</w:t>
      </w:r>
      <w:r w:rsidR="004C3C09" w:rsidRPr="00E1241B">
        <w:rPr>
          <w:rFonts w:ascii="Gadugi" w:eastAsia="Gadugi" w:hAnsi="Gadugi" w:cs="Gadugi"/>
          <w:i/>
          <w:sz w:val="24"/>
          <w:szCs w:val="24"/>
        </w:rPr>
        <w:t>ineptitud de la demanda por falta de requisitos formales</w:t>
      </w:r>
      <w:r w:rsidR="004C3C09" w:rsidRPr="00E1241B">
        <w:rPr>
          <w:rFonts w:ascii="Gadugi" w:eastAsia="Gadugi" w:hAnsi="Gadugi" w:cs="Gadugi"/>
          <w:sz w:val="24"/>
          <w:szCs w:val="24"/>
        </w:rPr>
        <w:t>” y “</w:t>
      </w:r>
      <w:r w:rsidR="004C3C09" w:rsidRPr="00E1241B">
        <w:rPr>
          <w:rFonts w:ascii="Gadugi" w:eastAsia="Gadugi" w:hAnsi="Gadugi" w:cs="Gadugi"/>
          <w:i/>
          <w:sz w:val="24"/>
          <w:szCs w:val="24"/>
        </w:rPr>
        <w:t>no haberse presentado prueba de la calidad de heredero</w:t>
      </w:r>
      <w:r w:rsidR="004C3C09" w:rsidRPr="00E1241B">
        <w:rPr>
          <w:rFonts w:ascii="Gadugi" w:eastAsia="Gadugi" w:hAnsi="Gadugi" w:cs="Gadugi"/>
          <w:sz w:val="24"/>
          <w:szCs w:val="24"/>
        </w:rPr>
        <w:t>”</w:t>
      </w:r>
      <w:r w:rsidR="008A70F3" w:rsidRPr="00E1241B">
        <w:rPr>
          <w:rStyle w:val="Refdenotaalpie"/>
          <w:rFonts w:ascii="Gadugi" w:eastAsia="Gadugi" w:hAnsi="Gadugi" w:cs="Gadugi"/>
          <w:sz w:val="24"/>
          <w:szCs w:val="24"/>
        </w:rPr>
        <w:footnoteReference w:id="10"/>
      </w:r>
    </w:p>
    <w:p w14:paraId="6C3DCD87" w14:textId="109C59D1" w:rsidR="008462CD" w:rsidRPr="00E1241B" w:rsidRDefault="008462C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129ED1C" w14:textId="18E5E1C7" w:rsidR="00D1676D" w:rsidRDefault="00D1676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lastRenderedPageBreak/>
        <w:t>Mario López Valencia</w:t>
      </w:r>
      <w:r w:rsidR="00B65724" w:rsidRPr="00E1241B">
        <w:rPr>
          <w:rFonts w:ascii="Gadugi" w:eastAsia="Gadugi" w:hAnsi="Gadugi" w:cs="Gadugi"/>
          <w:sz w:val="24"/>
          <w:szCs w:val="24"/>
        </w:rPr>
        <w:t xml:space="preserve">, por conducto de su apoderado judicial, </w:t>
      </w:r>
      <w:r w:rsidRPr="00E1241B">
        <w:rPr>
          <w:rFonts w:ascii="Gadugi" w:eastAsia="Gadugi" w:hAnsi="Gadugi" w:cs="Gadugi"/>
          <w:sz w:val="24"/>
          <w:szCs w:val="24"/>
        </w:rPr>
        <w:t>contestó la demanda</w:t>
      </w:r>
      <w:r w:rsidR="00532D1E" w:rsidRPr="00E1241B">
        <w:rPr>
          <w:rFonts w:ascii="Gadugi" w:eastAsia="Gadugi" w:hAnsi="Gadugi" w:cs="Gadugi"/>
          <w:sz w:val="24"/>
          <w:szCs w:val="24"/>
        </w:rPr>
        <w:t>. Aludió a los hechos, resistió las pretensiones</w:t>
      </w:r>
      <w:r w:rsidR="00893AED" w:rsidRPr="00E1241B">
        <w:rPr>
          <w:rStyle w:val="Refdenotaalpie"/>
          <w:rFonts w:ascii="Gadugi" w:eastAsia="Gadugi" w:hAnsi="Gadugi" w:cs="Gadugi"/>
          <w:sz w:val="24"/>
          <w:szCs w:val="24"/>
        </w:rPr>
        <w:footnoteReference w:id="11"/>
      </w:r>
      <w:r w:rsidR="006A2069" w:rsidRPr="00E1241B">
        <w:rPr>
          <w:rFonts w:ascii="Gadugi" w:eastAsia="Gadugi" w:hAnsi="Gadugi" w:cs="Gadugi"/>
          <w:sz w:val="24"/>
          <w:szCs w:val="24"/>
        </w:rPr>
        <w:t xml:space="preserve"> y propuso como excepciones previas </w:t>
      </w:r>
      <w:r w:rsidR="00532D1E" w:rsidRPr="00E1241B">
        <w:rPr>
          <w:rFonts w:ascii="Gadugi" w:eastAsia="Gadugi" w:hAnsi="Gadugi" w:cs="Gadugi"/>
          <w:sz w:val="24"/>
          <w:szCs w:val="24"/>
        </w:rPr>
        <w:t xml:space="preserve">las de </w:t>
      </w:r>
      <w:r w:rsidR="006A2069" w:rsidRPr="00E1241B">
        <w:rPr>
          <w:rFonts w:ascii="Gadugi" w:eastAsia="Gadugi" w:hAnsi="Gadugi" w:cs="Gadugi"/>
          <w:sz w:val="24"/>
          <w:szCs w:val="24"/>
        </w:rPr>
        <w:t>“</w:t>
      </w:r>
      <w:r w:rsidR="006A2069" w:rsidRPr="00E1241B">
        <w:rPr>
          <w:rFonts w:ascii="Gadugi" w:eastAsia="Gadugi" w:hAnsi="Gadugi" w:cs="Gadugi"/>
          <w:i/>
          <w:sz w:val="24"/>
          <w:szCs w:val="24"/>
        </w:rPr>
        <w:t>Compromiso</w:t>
      </w:r>
      <w:r w:rsidR="006A2069" w:rsidRPr="00E1241B">
        <w:rPr>
          <w:rFonts w:ascii="Gadugi" w:eastAsia="Gadugi" w:hAnsi="Gadugi" w:cs="Gadugi"/>
          <w:sz w:val="24"/>
          <w:szCs w:val="24"/>
        </w:rPr>
        <w:t>”, “</w:t>
      </w:r>
      <w:r w:rsidR="006A2069" w:rsidRPr="00E1241B">
        <w:rPr>
          <w:rFonts w:ascii="Gadugi" w:eastAsia="Gadugi" w:hAnsi="Gadugi" w:cs="Gadugi"/>
          <w:i/>
          <w:sz w:val="24"/>
          <w:szCs w:val="24"/>
        </w:rPr>
        <w:t>inexistencia del demandado</w:t>
      </w:r>
      <w:r w:rsidR="006A2069" w:rsidRPr="00E1241B">
        <w:rPr>
          <w:rFonts w:ascii="Gadugi" w:eastAsia="Gadugi" w:hAnsi="Gadugi" w:cs="Gadugi"/>
          <w:sz w:val="24"/>
          <w:szCs w:val="24"/>
        </w:rPr>
        <w:t>” y “</w:t>
      </w:r>
      <w:r w:rsidR="006A2069" w:rsidRPr="00E1241B">
        <w:rPr>
          <w:rFonts w:ascii="Gadugi" w:eastAsia="Gadugi" w:hAnsi="Gadugi" w:cs="Gadugi"/>
          <w:i/>
          <w:sz w:val="24"/>
          <w:szCs w:val="24"/>
        </w:rPr>
        <w:t>no comprender la demanda a todos los litisconsortes necesarios</w:t>
      </w:r>
      <w:r w:rsidR="008462CD" w:rsidRPr="00E1241B">
        <w:rPr>
          <w:rFonts w:ascii="Gadugi" w:eastAsia="Gadugi" w:hAnsi="Gadugi" w:cs="Gadugi"/>
          <w:sz w:val="24"/>
          <w:szCs w:val="24"/>
        </w:rPr>
        <w:t>.</w:t>
      </w:r>
      <w:r w:rsidR="006A2069" w:rsidRPr="00E1241B">
        <w:rPr>
          <w:rFonts w:ascii="Gadugi" w:eastAsia="Gadugi" w:hAnsi="Gadugi" w:cs="Gadugi"/>
          <w:sz w:val="24"/>
          <w:szCs w:val="24"/>
        </w:rPr>
        <w:t>”</w:t>
      </w:r>
      <w:r w:rsidR="006A2069" w:rsidRPr="00E1241B">
        <w:rPr>
          <w:rStyle w:val="Refdenotaalpie"/>
          <w:rFonts w:ascii="Gadugi" w:eastAsia="Gadugi" w:hAnsi="Gadugi" w:cs="Gadugi"/>
          <w:sz w:val="24"/>
          <w:szCs w:val="24"/>
        </w:rPr>
        <w:footnoteReference w:id="12"/>
      </w:r>
      <w:r w:rsidR="006A2069" w:rsidRPr="00E1241B">
        <w:rPr>
          <w:rFonts w:ascii="Gadugi" w:eastAsia="Gadugi" w:hAnsi="Gadugi" w:cs="Gadugi"/>
          <w:sz w:val="24"/>
          <w:szCs w:val="24"/>
        </w:rPr>
        <w:t xml:space="preserve"> </w:t>
      </w:r>
      <w:r w:rsidRPr="00E1241B">
        <w:rPr>
          <w:rFonts w:ascii="Gadugi" w:eastAsia="Gadugi" w:hAnsi="Gadugi" w:cs="Gadugi"/>
          <w:sz w:val="24"/>
          <w:szCs w:val="24"/>
        </w:rPr>
        <w:t xml:space="preserve"> </w:t>
      </w:r>
    </w:p>
    <w:p w14:paraId="46135247" w14:textId="77777777" w:rsidR="00190351" w:rsidRPr="00E1241B" w:rsidRDefault="0019035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A4B6574" w14:textId="45FA8F84" w:rsidR="00A2146A" w:rsidRPr="00E1241B" w:rsidRDefault="0003662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L</w:t>
      </w:r>
      <w:r w:rsidR="003423A9" w:rsidRPr="00E1241B">
        <w:rPr>
          <w:rFonts w:ascii="Gadugi" w:eastAsia="Gadugi" w:hAnsi="Gadugi" w:cs="Gadugi"/>
          <w:sz w:val="24"/>
          <w:szCs w:val="24"/>
        </w:rPr>
        <w:t xml:space="preserve">as </w:t>
      </w:r>
      <w:r w:rsidR="00DF7A3B" w:rsidRPr="00E1241B">
        <w:rPr>
          <w:rFonts w:ascii="Gadugi" w:eastAsia="Gadugi" w:hAnsi="Gadugi" w:cs="Gadugi"/>
          <w:sz w:val="24"/>
          <w:szCs w:val="24"/>
        </w:rPr>
        <w:t xml:space="preserve">excepciones previas fueron </w:t>
      </w:r>
      <w:r w:rsidRPr="00E1241B">
        <w:rPr>
          <w:rFonts w:ascii="Gadugi" w:eastAsia="Gadugi" w:hAnsi="Gadugi" w:cs="Gadugi"/>
          <w:sz w:val="24"/>
          <w:szCs w:val="24"/>
        </w:rPr>
        <w:t xml:space="preserve">resueltas con </w:t>
      </w:r>
      <w:r w:rsidR="003423A9" w:rsidRPr="00E1241B">
        <w:rPr>
          <w:rFonts w:ascii="Gadugi" w:eastAsia="Gadugi" w:hAnsi="Gadugi" w:cs="Gadugi"/>
          <w:sz w:val="24"/>
          <w:szCs w:val="24"/>
        </w:rPr>
        <w:t>auto del 28 de julio de 2020</w:t>
      </w:r>
      <w:r w:rsidR="0039535F" w:rsidRPr="00E1241B">
        <w:rPr>
          <w:rStyle w:val="Refdenotaalpie"/>
          <w:rFonts w:ascii="Gadugi" w:eastAsia="Gadugi" w:hAnsi="Gadugi" w:cs="Gadugi"/>
          <w:sz w:val="24"/>
          <w:szCs w:val="24"/>
        </w:rPr>
        <w:footnoteReference w:id="13"/>
      </w:r>
      <w:r w:rsidR="00DF7A3B" w:rsidRPr="00E1241B">
        <w:rPr>
          <w:rFonts w:ascii="Gadugi" w:eastAsia="Gadugi" w:hAnsi="Gadugi" w:cs="Gadugi"/>
          <w:sz w:val="24"/>
          <w:szCs w:val="24"/>
        </w:rPr>
        <w:t xml:space="preserve">. </w:t>
      </w:r>
      <w:r w:rsidRPr="00E1241B">
        <w:rPr>
          <w:rFonts w:ascii="Gadugi" w:eastAsia="Gadugi" w:hAnsi="Gadugi" w:cs="Gadugi"/>
          <w:sz w:val="24"/>
          <w:szCs w:val="24"/>
        </w:rPr>
        <w:t>La de ineptitud formal de la demanda fracasó, no solo porque con ella se acompañó el certificado de tradición que da cuenta de quiénes son titulares de derechos reales sobre el bien, sino, porque se trajo el especial que reclamaban los demandados. La de no haberse aportado la prueba de la calidad de los demandados, también se despachó desfavorablemente, porque con la demanda se allegaron los registros respectivos; también la que se denominó “</w:t>
      </w:r>
      <w:r w:rsidRPr="00E1241B">
        <w:rPr>
          <w:rFonts w:ascii="Gadugi" w:eastAsia="Gadugi" w:hAnsi="Gadugi" w:cs="Gadugi"/>
          <w:i/>
          <w:sz w:val="24"/>
          <w:szCs w:val="24"/>
        </w:rPr>
        <w:t>compromiso</w:t>
      </w:r>
      <w:r w:rsidRPr="00E1241B">
        <w:rPr>
          <w:rFonts w:ascii="Gadugi" w:eastAsia="Gadugi" w:hAnsi="Gadugi" w:cs="Gadugi"/>
          <w:sz w:val="24"/>
          <w:szCs w:val="24"/>
        </w:rPr>
        <w:t>” y la de inexistencia</w:t>
      </w:r>
      <w:r w:rsidR="00F160BC" w:rsidRPr="00E1241B">
        <w:rPr>
          <w:rFonts w:ascii="Gadugi" w:eastAsia="Gadugi" w:hAnsi="Gadugi" w:cs="Gadugi"/>
          <w:sz w:val="24"/>
          <w:szCs w:val="24"/>
        </w:rPr>
        <w:t xml:space="preserve">. </w:t>
      </w:r>
      <w:r w:rsidR="009616CB" w:rsidRPr="00E1241B">
        <w:rPr>
          <w:rFonts w:ascii="Gadugi" w:eastAsia="Gadugi" w:hAnsi="Gadugi" w:cs="Gadugi"/>
          <w:sz w:val="24"/>
          <w:szCs w:val="24"/>
        </w:rPr>
        <w:t xml:space="preserve">En cuanto a la de </w:t>
      </w:r>
      <w:r w:rsidR="005103E7" w:rsidRPr="00E1241B">
        <w:rPr>
          <w:rFonts w:ascii="Gadugi" w:eastAsia="Gadugi" w:hAnsi="Gadugi" w:cs="Gadugi"/>
          <w:sz w:val="24"/>
          <w:szCs w:val="24"/>
        </w:rPr>
        <w:t>indebida integración del contradictorio, dispuso conceder un término a las partes para allegar los registros civiles</w:t>
      </w:r>
      <w:r w:rsidR="00A2146A" w:rsidRPr="00E1241B">
        <w:rPr>
          <w:rFonts w:ascii="Gadugi" w:eastAsia="Gadugi" w:hAnsi="Gadugi" w:cs="Gadugi"/>
          <w:sz w:val="24"/>
          <w:szCs w:val="24"/>
        </w:rPr>
        <w:t xml:space="preserve"> que permitieran acreditar la calidad de herederos de los demandados. </w:t>
      </w:r>
      <w:r w:rsidR="00CF43AD" w:rsidRPr="00E1241B">
        <w:rPr>
          <w:rFonts w:ascii="Gadugi" w:eastAsia="Gadugi" w:hAnsi="Gadugi" w:cs="Gadugi"/>
          <w:sz w:val="24"/>
          <w:szCs w:val="24"/>
        </w:rPr>
        <w:t>Allegados, y al resolver un recurso de reposición, tuvo por saneado el defecto relacionado con esa prueba</w:t>
      </w:r>
      <w:r w:rsidR="007D3F8C" w:rsidRPr="00E1241B">
        <w:rPr>
          <w:rStyle w:val="Refdenotaalpie"/>
          <w:rFonts w:ascii="Gadugi" w:eastAsia="Gadugi" w:hAnsi="Gadugi" w:cs="Gadugi"/>
          <w:sz w:val="24"/>
          <w:szCs w:val="24"/>
        </w:rPr>
        <w:footnoteReference w:id="14"/>
      </w:r>
      <w:r w:rsidR="00AD035D" w:rsidRPr="00E1241B">
        <w:rPr>
          <w:rFonts w:ascii="Gadugi" w:eastAsia="Gadugi" w:hAnsi="Gadugi" w:cs="Gadugi"/>
          <w:sz w:val="24"/>
          <w:szCs w:val="24"/>
        </w:rPr>
        <w:t>.</w:t>
      </w:r>
    </w:p>
    <w:p w14:paraId="4D76768D" w14:textId="77777777" w:rsidR="00A2146A" w:rsidRPr="00E1241B" w:rsidRDefault="00A2146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D66CF02" w14:textId="7C9E907A" w:rsidR="00020018" w:rsidRDefault="001F6000"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El curador</w:t>
      </w:r>
      <w:r w:rsidR="003D0D08" w:rsidRPr="00E1241B">
        <w:rPr>
          <w:rFonts w:ascii="Gadugi" w:eastAsia="Gadugi" w:hAnsi="Gadugi" w:cs="Gadugi"/>
          <w:sz w:val="24"/>
          <w:szCs w:val="24"/>
        </w:rPr>
        <w:t xml:space="preserve"> ad litem de María Esperanza López Salazar, Germán López Valencia, Jaime López Valencia, Silvia López Serna, Clara Inés López Salazar y los herederos indeterminados del causante Joaquín Orlando López Valencia</w:t>
      </w:r>
      <w:r w:rsidRPr="00E1241B">
        <w:rPr>
          <w:rFonts w:ascii="Gadugi" w:eastAsia="Gadugi" w:hAnsi="Gadugi" w:cs="Gadugi"/>
          <w:sz w:val="24"/>
          <w:szCs w:val="24"/>
        </w:rPr>
        <w:t xml:space="preserve"> y </w:t>
      </w:r>
      <w:r w:rsidR="003D0D08" w:rsidRPr="00E1241B">
        <w:rPr>
          <w:rFonts w:ascii="Gadugi" w:eastAsia="Gadugi" w:hAnsi="Gadugi" w:cs="Gadugi"/>
          <w:sz w:val="24"/>
          <w:szCs w:val="24"/>
        </w:rPr>
        <w:t>que se creyeran con derechos sobre el bien inmueble a usucapir, se</w:t>
      </w:r>
      <w:r w:rsidR="00EC6577" w:rsidRPr="00E1241B">
        <w:rPr>
          <w:rFonts w:ascii="Gadugi" w:eastAsia="Gadugi" w:hAnsi="Gadugi" w:cs="Gadugi"/>
          <w:sz w:val="24"/>
          <w:szCs w:val="24"/>
        </w:rPr>
        <w:t xml:space="preserve"> pronunció sobre los hechos y las </w:t>
      </w:r>
      <w:r w:rsidR="00EE6D27" w:rsidRPr="00E1241B">
        <w:rPr>
          <w:rFonts w:ascii="Gadugi" w:eastAsia="Gadugi" w:hAnsi="Gadugi" w:cs="Gadugi"/>
          <w:sz w:val="24"/>
          <w:szCs w:val="24"/>
        </w:rPr>
        <w:t xml:space="preserve">pretensiones; además, </w:t>
      </w:r>
      <w:r w:rsidR="003D0D08" w:rsidRPr="00E1241B">
        <w:rPr>
          <w:rFonts w:ascii="Gadugi" w:eastAsia="Gadugi" w:hAnsi="Gadugi" w:cs="Gadugi"/>
          <w:sz w:val="24"/>
          <w:szCs w:val="24"/>
        </w:rPr>
        <w:t xml:space="preserve"> propuso la excepción de</w:t>
      </w:r>
      <w:r w:rsidR="00EE6D27" w:rsidRPr="00E1241B">
        <w:rPr>
          <w:rFonts w:ascii="Gadugi" w:eastAsia="Gadugi" w:hAnsi="Gadugi" w:cs="Gadugi"/>
          <w:sz w:val="24"/>
          <w:szCs w:val="24"/>
        </w:rPr>
        <w:t>nominada</w:t>
      </w:r>
      <w:r w:rsidR="003D0D08" w:rsidRPr="00E1241B">
        <w:rPr>
          <w:rFonts w:ascii="Gadugi" w:eastAsia="Gadugi" w:hAnsi="Gadugi" w:cs="Gadugi"/>
          <w:sz w:val="24"/>
          <w:szCs w:val="24"/>
        </w:rPr>
        <w:t xml:space="preserve"> “</w:t>
      </w:r>
      <w:r w:rsidR="003D0D08" w:rsidRPr="00E1241B">
        <w:rPr>
          <w:rFonts w:ascii="Gadugi" w:eastAsia="Gadugi" w:hAnsi="Gadugi" w:cs="Gadugi"/>
          <w:i/>
          <w:iCs/>
          <w:sz w:val="24"/>
          <w:szCs w:val="24"/>
        </w:rPr>
        <w:t>improcedencia de usucapir por falta de tiempo requerido para usucapir</w:t>
      </w:r>
      <w:r w:rsidR="003D0D08" w:rsidRPr="00E1241B">
        <w:rPr>
          <w:rFonts w:ascii="Gadugi" w:eastAsia="Gadugi" w:hAnsi="Gadugi" w:cs="Gadugi"/>
          <w:sz w:val="24"/>
          <w:szCs w:val="24"/>
        </w:rPr>
        <w:t>”</w:t>
      </w:r>
      <w:r w:rsidR="003D0D08" w:rsidRPr="00E1241B">
        <w:rPr>
          <w:rFonts w:ascii="Gadugi" w:eastAsia="Gadugi" w:hAnsi="Gadugi" w:cs="Gadugi"/>
          <w:sz w:val="24"/>
          <w:szCs w:val="24"/>
          <w:vertAlign w:val="superscript"/>
        </w:rPr>
        <w:footnoteReference w:id="15"/>
      </w:r>
      <w:r w:rsidR="003D0D08" w:rsidRPr="00E1241B">
        <w:rPr>
          <w:rFonts w:ascii="Gadugi" w:eastAsia="Gadugi" w:hAnsi="Gadugi" w:cs="Gadugi"/>
          <w:sz w:val="24"/>
          <w:szCs w:val="24"/>
        </w:rPr>
        <w:t xml:space="preserve"> </w:t>
      </w:r>
      <w:r w:rsidR="00FB6369" w:rsidRPr="00E1241B">
        <w:rPr>
          <w:rFonts w:ascii="Gadugi" w:eastAsia="Gadugi" w:hAnsi="Gadugi" w:cs="Gadugi"/>
          <w:sz w:val="24"/>
          <w:szCs w:val="24"/>
        </w:rPr>
        <w:t xml:space="preserve">. Igual planteamiento hizo al </w:t>
      </w:r>
      <w:r w:rsidR="00496AE2" w:rsidRPr="00E1241B">
        <w:rPr>
          <w:rFonts w:ascii="Gadugi" w:eastAsia="Gadugi" w:hAnsi="Gadugi" w:cs="Gadugi"/>
          <w:sz w:val="24"/>
          <w:szCs w:val="24"/>
        </w:rPr>
        <w:t>responder</w:t>
      </w:r>
      <w:r w:rsidR="003D0D08" w:rsidRPr="00E1241B">
        <w:rPr>
          <w:rFonts w:ascii="Gadugi" w:eastAsia="Gadugi" w:hAnsi="Gadugi" w:cs="Gadugi"/>
          <w:sz w:val="24"/>
          <w:szCs w:val="24"/>
        </w:rPr>
        <w:t xml:space="preserve"> la demanda en representación de los herederos indeterminados del causante Pascual López </w:t>
      </w:r>
      <w:proofErr w:type="spellStart"/>
      <w:r w:rsidR="003D0D08" w:rsidRPr="00E1241B">
        <w:rPr>
          <w:rFonts w:ascii="Gadugi" w:eastAsia="Gadugi" w:hAnsi="Gadugi" w:cs="Gadugi"/>
          <w:sz w:val="24"/>
          <w:szCs w:val="24"/>
        </w:rPr>
        <w:t>López</w:t>
      </w:r>
      <w:proofErr w:type="spellEnd"/>
      <w:r w:rsidR="003D0D08" w:rsidRPr="00E1241B">
        <w:rPr>
          <w:rFonts w:ascii="Gadugi" w:eastAsia="Gadugi" w:hAnsi="Gadugi" w:cs="Gadugi"/>
          <w:sz w:val="24"/>
          <w:szCs w:val="24"/>
          <w:vertAlign w:val="superscript"/>
        </w:rPr>
        <w:footnoteReference w:id="16"/>
      </w:r>
      <w:r w:rsidR="00FB6369" w:rsidRPr="00E1241B">
        <w:rPr>
          <w:rFonts w:ascii="Gadugi" w:eastAsia="Gadugi" w:hAnsi="Gadugi" w:cs="Gadugi"/>
          <w:sz w:val="24"/>
          <w:szCs w:val="24"/>
        </w:rPr>
        <w:t>.</w:t>
      </w:r>
    </w:p>
    <w:p w14:paraId="6A199B71" w14:textId="77777777" w:rsidR="00190351" w:rsidRPr="00E1241B" w:rsidRDefault="0019035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28C95CC" w14:textId="57082973"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Cs/>
          <w:sz w:val="24"/>
          <w:szCs w:val="24"/>
        </w:rPr>
      </w:pPr>
      <w:r w:rsidRPr="00E1241B">
        <w:rPr>
          <w:rFonts w:ascii="Gadugi" w:eastAsia="Gadugi" w:hAnsi="Gadugi" w:cs="Gadugi"/>
          <w:b/>
          <w:sz w:val="24"/>
          <w:szCs w:val="24"/>
        </w:rPr>
        <w:t>1.5.</w:t>
      </w:r>
      <w:r w:rsidR="005C1657" w:rsidRPr="00E1241B">
        <w:rPr>
          <w:rFonts w:ascii="Gadugi" w:eastAsia="Gadugi" w:hAnsi="Gadugi" w:cs="Gadugi"/>
          <w:b/>
          <w:sz w:val="24"/>
          <w:szCs w:val="24"/>
        </w:rPr>
        <w:t xml:space="preserve"> </w:t>
      </w:r>
      <w:r w:rsidR="00F82740" w:rsidRPr="00E1241B">
        <w:rPr>
          <w:rFonts w:ascii="Gadugi" w:eastAsia="Gadugi" w:hAnsi="Gadugi" w:cs="Gadugi"/>
          <w:b/>
          <w:sz w:val="24"/>
          <w:szCs w:val="24"/>
        </w:rPr>
        <w:t>Sentencia de primera instancia</w:t>
      </w:r>
      <w:r w:rsidR="00F001E1" w:rsidRPr="00E1241B">
        <w:rPr>
          <w:rStyle w:val="Refdenotaalpie"/>
          <w:rFonts w:ascii="Gadugi" w:eastAsia="Gadugi" w:hAnsi="Gadugi" w:cs="Gadugi"/>
          <w:bCs/>
          <w:sz w:val="24"/>
          <w:szCs w:val="24"/>
        </w:rPr>
        <w:footnoteReference w:id="17"/>
      </w:r>
    </w:p>
    <w:p w14:paraId="465BAD78"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p>
    <w:p w14:paraId="08977BAE" w14:textId="609E5839" w:rsidR="009E12A3" w:rsidRPr="00E1241B" w:rsidRDefault="00E37E5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El ju</w:t>
      </w:r>
      <w:r w:rsidR="00B97D7B" w:rsidRPr="00E1241B">
        <w:rPr>
          <w:rFonts w:ascii="Gadugi" w:eastAsia="Gadugi" w:hAnsi="Gadugi" w:cs="Gadugi"/>
          <w:sz w:val="24"/>
          <w:szCs w:val="24"/>
        </w:rPr>
        <w:t>zgado</w:t>
      </w:r>
      <w:r w:rsidR="009E12A3" w:rsidRPr="00E1241B">
        <w:rPr>
          <w:rFonts w:ascii="Gadugi" w:eastAsia="Gadugi" w:hAnsi="Gadugi" w:cs="Gadugi"/>
          <w:sz w:val="24"/>
          <w:szCs w:val="24"/>
        </w:rPr>
        <w:t xml:space="preserve"> declaró fracasadas las excepciones propuestas, la tacha por sospecha y que pertenece a</w:t>
      </w:r>
      <w:r w:rsidR="00D44731" w:rsidRPr="00E1241B">
        <w:rPr>
          <w:rFonts w:ascii="Gadugi" w:eastAsia="Gadugi" w:hAnsi="Gadugi" w:cs="Gadugi"/>
          <w:sz w:val="24"/>
          <w:szCs w:val="24"/>
        </w:rPr>
        <w:t xml:space="preserve"> Diego López Serna el </w:t>
      </w:r>
      <w:r w:rsidR="009E12A3" w:rsidRPr="00E1241B">
        <w:rPr>
          <w:rFonts w:ascii="Gadugi" w:eastAsia="Gadugi" w:hAnsi="Gadugi" w:cs="Gadugi"/>
          <w:sz w:val="24"/>
          <w:szCs w:val="24"/>
        </w:rPr>
        <w:t>dominio pleno y absoluto</w:t>
      </w:r>
      <w:r w:rsidR="00D44731" w:rsidRPr="00E1241B">
        <w:rPr>
          <w:rFonts w:ascii="Gadugi" w:eastAsia="Gadugi" w:hAnsi="Gadugi" w:cs="Gadugi"/>
          <w:sz w:val="24"/>
          <w:szCs w:val="24"/>
        </w:rPr>
        <w:t xml:space="preserve"> del </w:t>
      </w:r>
      <w:r w:rsidR="00B97D7B" w:rsidRPr="00E1241B">
        <w:rPr>
          <w:rFonts w:ascii="Gadugi" w:eastAsia="Gadugi" w:hAnsi="Gadugi" w:cs="Gadugi"/>
          <w:sz w:val="24"/>
          <w:szCs w:val="24"/>
        </w:rPr>
        <w:t>inmueble</w:t>
      </w:r>
      <w:r w:rsidR="00D44731" w:rsidRPr="00E1241B">
        <w:rPr>
          <w:rFonts w:ascii="Gadugi" w:eastAsia="Gadugi" w:hAnsi="Gadugi" w:cs="Gadugi"/>
          <w:sz w:val="24"/>
          <w:szCs w:val="24"/>
        </w:rPr>
        <w:t xml:space="preserve"> en litigio por haberlo adquirido por prescripción adquisitiva</w:t>
      </w:r>
      <w:r w:rsidR="00AB4E44" w:rsidRPr="00E1241B">
        <w:rPr>
          <w:rFonts w:ascii="Gadugi" w:eastAsia="Gadugi" w:hAnsi="Gadugi" w:cs="Gadugi"/>
          <w:sz w:val="24"/>
          <w:szCs w:val="24"/>
        </w:rPr>
        <w:t xml:space="preserve">. </w:t>
      </w:r>
      <w:r w:rsidR="009E12A3" w:rsidRPr="00E1241B">
        <w:rPr>
          <w:rFonts w:ascii="Gadugi" w:eastAsia="Gadugi" w:hAnsi="Gadugi" w:cs="Gadugi"/>
          <w:sz w:val="24"/>
          <w:szCs w:val="24"/>
        </w:rPr>
        <w:t xml:space="preserve"> </w:t>
      </w:r>
    </w:p>
    <w:p w14:paraId="10C7B07D" w14:textId="77777777" w:rsidR="009E12A3" w:rsidRPr="00E1241B" w:rsidRDefault="009E12A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4B5FF03" w14:textId="2D69B65E" w:rsidR="00020018" w:rsidRPr="00E1241B" w:rsidRDefault="00B97D7B"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Luego se aludirá a los fundamentos. </w:t>
      </w:r>
    </w:p>
    <w:p w14:paraId="6DAE98CA" w14:textId="77777777" w:rsidR="00B97D7B" w:rsidRPr="00E1241B" w:rsidRDefault="00B97D7B"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81C38F0" w14:textId="3524BAC2" w:rsidR="00AE658E"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r w:rsidRPr="00E1241B">
        <w:rPr>
          <w:rFonts w:ascii="Gadugi" w:eastAsia="Gadugi" w:hAnsi="Gadugi" w:cs="Gadugi"/>
          <w:b/>
          <w:sz w:val="24"/>
          <w:szCs w:val="24"/>
        </w:rPr>
        <w:t>1.6.</w:t>
      </w:r>
      <w:r w:rsidRPr="00E1241B">
        <w:rPr>
          <w:rFonts w:ascii="Gadugi" w:eastAsia="Gadugi" w:hAnsi="Gadugi" w:cs="Gadugi"/>
          <w:sz w:val="24"/>
          <w:szCs w:val="24"/>
        </w:rPr>
        <w:t xml:space="preserve"> </w:t>
      </w:r>
      <w:r w:rsidR="00B97D7B" w:rsidRPr="00E1241B">
        <w:rPr>
          <w:rFonts w:ascii="Gadugi" w:eastAsia="Gadugi" w:hAnsi="Gadugi" w:cs="Gadugi"/>
          <w:b/>
          <w:bCs/>
          <w:sz w:val="24"/>
          <w:szCs w:val="24"/>
        </w:rPr>
        <w:t>Apelación</w:t>
      </w:r>
      <w:r w:rsidR="00397A4E" w:rsidRPr="00E1241B">
        <w:rPr>
          <w:rFonts w:ascii="Gadugi" w:eastAsia="Gadugi" w:hAnsi="Gadugi" w:cs="Gadugi"/>
          <w:b/>
          <w:sz w:val="24"/>
          <w:szCs w:val="24"/>
        </w:rPr>
        <w:t xml:space="preserve"> </w:t>
      </w:r>
    </w:p>
    <w:p w14:paraId="2B322B1C" w14:textId="77777777" w:rsidR="00AE658E" w:rsidRPr="00E1241B" w:rsidRDefault="00AE658E" w:rsidP="00E1241B">
      <w:pPr>
        <w:pBdr>
          <w:top w:val="nil"/>
          <w:left w:val="nil"/>
          <w:bottom w:val="nil"/>
          <w:right w:val="nil"/>
          <w:between w:val="nil"/>
        </w:pBdr>
        <w:tabs>
          <w:tab w:val="left" w:pos="3686"/>
          <w:tab w:val="left" w:pos="4536"/>
        </w:tabs>
        <w:jc w:val="both"/>
        <w:rPr>
          <w:rFonts w:ascii="Gadugi" w:eastAsia="Gadugi" w:hAnsi="Gadugi" w:cs="Gadugi"/>
          <w:b/>
          <w:sz w:val="24"/>
          <w:szCs w:val="24"/>
        </w:rPr>
      </w:pPr>
    </w:p>
    <w:p w14:paraId="4791C8E7" w14:textId="6FA72141" w:rsidR="00914FAA" w:rsidRPr="00E1241B" w:rsidRDefault="00B27F3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lastRenderedPageBreak/>
        <w:t>R</w:t>
      </w:r>
      <w:r w:rsidR="00BA7917" w:rsidRPr="00E1241B">
        <w:rPr>
          <w:rFonts w:ascii="Gadugi" w:eastAsia="Gadugi" w:hAnsi="Gadugi" w:cs="Gadugi"/>
          <w:sz w:val="24"/>
          <w:szCs w:val="24"/>
        </w:rPr>
        <w:t>ecurri</w:t>
      </w:r>
      <w:r w:rsidR="00F001E1" w:rsidRPr="00E1241B">
        <w:rPr>
          <w:rFonts w:ascii="Gadugi" w:eastAsia="Gadugi" w:hAnsi="Gadugi" w:cs="Gadugi"/>
          <w:sz w:val="24"/>
          <w:szCs w:val="24"/>
        </w:rPr>
        <w:t xml:space="preserve">ó </w:t>
      </w:r>
      <w:r w:rsidR="00BA7917" w:rsidRPr="00E1241B">
        <w:rPr>
          <w:rFonts w:ascii="Gadugi" w:eastAsia="Gadugi" w:hAnsi="Gadugi" w:cs="Gadugi"/>
          <w:sz w:val="24"/>
          <w:szCs w:val="24"/>
        </w:rPr>
        <w:t xml:space="preserve">el </w:t>
      </w:r>
      <w:r w:rsidR="00F001E1" w:rsidRPr="00E1241B">
        <w:rPr>
          <w:rFonts w:ascii="Gadugi" w:eastAsia="Gadugi" w:hAnsi="Gadugi" w:cs="Gadugi"/>
          <w:sz w:val="24"/>
          <w:szCs w:val="24"/>
        </w:rPr>
        <w:t>apoderado judicial de Javier Hermógenes López Serna (QEPD), Colombia López Serna</w:t>
      </w:r>
      <w:r w:rsidR="00E1088D" w:rsidRPr="00E1241B">
        <w:rPr>
          <w:rFonts w:ascii="Gadugi" w:eastAsia="Gadugi" w:hAnsi="Gadugi" w:cs="Gadugi"/>
          <w:sz w:val="24"/>
          <w:szCs w:val="24"/>
        </w:rPr>
        <w:t xml:space="preserve"> de Holguín y Virginia López Salazar</w:t>
      </w:r>
      <w:r w:rsidR="00B52EE0" w:rsidRPr="00E1241B">
        <w:rPr>
          <w:rFonts w:ascii="Gadugi" w:eastAsia="Gadugi" w:hAnsi="Gadugi" w:cs="Gadugi"/>
          <w:sz w:val="24"/>
          <w:szCs w:val="24"/>
        </w:rPr>
        <w:t xml:space="preserve"> y </w:t>
      </w:r>
      <w:r w:rsidR="00AF1CE3" w:rsidRPr="00E1241B">
        <w:rPr>
          <w:rFonts w:ascii="Gadugi" w:eastAsia="Gadugi" w:hAnsi="Gadugi" w:cs="Gadugi"/>
          <w:sz w:val="24"/>
          <w:szCs w:val="24"/>
        </w:rPr>
        <w:t>presentó sus reparos</w:t>
      </w:r>
      <w:r w:rsidR="00AF1CE3" w:rsidRPr="00E1241B">
        <w:rPr>
          <w:rStyle w:val="Refdenotaalpie"/>
          <w:rFonts w:ascii="Gadugi" w:eastAsia="Gadugi" w:hAnsi="Gadugi" w:cs="Gadugi"/>
          <w:b/>
          <w:sz w:val="24"/>
          <w:szCs w:val="24"/>
        </w:rPr>
        <w:footnoteReference w:id="18"/>
      </w:r>
      <w:r w:rsidR="00914FAA" w:rsidRPr="00E1241B">
        <w:rPr>
          <w:rFonts w:ascii="Gadugi" w:eastAsia="Gadugi" w:hAnsi="Gadugi" w:cs="Gadugi"/>
          <w:sz w:val="24"/>
          <w:szCs w:val="24"/>
        </w:rPr>
        <w:t xml:space="preserve"> y los reprodujo en esta instancia como sustentación</w:t>
      </w:r>
      <w:r w:rsidR="00914FAA" w:rsidRPr="00E1241B">
        <w:rPr>
          <w:rStyle w:val="Refdenotaalpie"/>
          <w:rFonts w:ascii="Gadugi" w:eastAsia="Gadugi" w:hAnsi="Gadugi" w:cs="Gadugi"/>
          <w:sz w:val="24"/>
          <w:szCs w:val="24"/>
        </w:rPr>
        <w:footnoteReference w:id="19"/>
      </w:r>
      <w:r w:rsidR="00914FAA" w:rsidRPr="00E1241B">
        <w:rPr>
          <w:rFonts w:ascii="Gadugi" w:eastAsia="Gadugi" w:hAnsi="Gadugi" w:cs="Gadugi"/>
          <w:sz w:val="24"/>
          <w:szCs w:val="24"/>
        </w:rPr>
        <w:t>.</w:t>
      </w:r>
    </w:p>
    <w:p w14:paraId="60EFCE78" w14:textId="77777777" w:rsidR="00F7428F" w:rsidRPr="00E1241B" w:rsidRDefault="00F7428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70D7C4A" w14:textId="783B46A4" w:rsidR="00F7428F" w:rsidRPr="00E1241B" w:rsidRDefault="00F7428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También adelante se </w:t>
      </w:r>
      <w:r w:rsidR="0005240F" w:rsidRPr="00E1241B">
        <w:rPr>
          <w:rFonts w:ascii="Gadugi" w:eastAsia="Gadugi" w:hAnsi="Gadugi" w:cs="Gadugi"/>
          <w:sz w:val="24"/>
          <w:szCs w:val="24"/>
        </w:rPr>
        <w:t xml:space="preserve">hará mención de ellos. </w:t>
      </w:r>
    </w:p>
    <w:p w14:paraId="429C76C0" w14:textId="3ED51DA9" w:rsidR="00914FAA" w:rsidRPr="00E1241B" w:rsidRDefault="00914FA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528D47FF" w14:textId="43549F8E"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b/>
          <w:bCs/>
          <w:sz w:val="24"/>
          <w:szCs w:val="24"/>
        </w:rPr>
      </w:pPr>
      <w:r w:rsidRPr="00E1241B">
        <w:rPr>
          <w:rFonts w:ascii="Gadugi" w:eastAsia="Gadugi" w:hAnsi="Gadugi" w:cs="Gadugi"/>
          <w:b/>
          <w:bCs/>
          <w:sz w:val="24"/>
          <w:szCs w:val="24"/>
        </w:rPr>
        <w:t>2.</w:t>
      </w:r>
      <w:r w:rsidR="00B73487" w:rsidRPr="00E1241B">
        <w:rPr>
          <w:rFonts w:ascii="Gadugi" w:eastAsia="Gadugi" w:hAnsi="Gadugi" w:cs="Gadugi"/>
          <w:b/>
          <w:bCs/>
          <w:sz w:val="24"/>
          <w:szCs w:val="24"/>
        </w:rPr>
        <w:t xml:space="preserve"> </w:t>
      </w:r>
      <w:r w:rsidR="00190351" w:rsidRPr="00E1241B">
        <w:rPr>
          <w:rFonts w:ascii="Gadugi" w:eastAsia="Gadugi" w:hAnsi="Gadugi" w:cs="Gadugi"/>
          <w:b/>
          <w:bCs/>
          <w:sz w:val="24"/>
          <w:szCs w:val="24"/>
        </w:rPr>
        <w:t>CONSIDERACIONES</w:t>
      </w:r>
    </w:p>
    <w:p w14:paraId="110FE392"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80B9DDB" w14:textId="7FBD90A6" w:rsidR="00020018" w:rsidRPr="00E1241B" w:rsidRDefault="00B7348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2.1. Los presupuestos procesales en este asunto concurren</w:t>
      </w:r>
      <w:r w:rsidR="00045E0E" w:rsidRPr="00E1241B">
        <w:rPr>
          <w:rFonts w:ascii="Gadugi" w:eastAsia="Gadugi" w:hAnsi="Gadugi" w:cs="Gadugi"/>
          <w:sz w:val="24"/>
          <w:szCs w:val="24"/>
        </w:rPr>
        <w:t>,</w:t>
      </w:r>
      <w:r w:rsidRPr="00E1241B">
        <w:rPr>
          <w:rFonts w:ascii="Gadugi" w:eastAsia="Gadugi" w:hAnsi="Gadugi" w:cs="Gadugi"/>
          <w:sz w:val="24"/>
          <w:szCs w:val="24"/>
        </w:rPr>
        <w:t xml:space="preserve"> y no se advierte causal de nulidad que pueda dar al traste con la actuación</w:t>
      </w:r>
      <w:r w:rsidR="00045E0E" w:rsidRPr="00E1241B">
        <w:rPr>
          <w:rFonts w:ascii="Gadugi" w:eastAsia="Gadugi" w:hAnsi="Gadugi" w:cs="Gadugi"/>
          <w:sz w:val="24"/>
          <w:szCs w:val="24"/>
        </w:rPr>
        <w:t xml:space="preserve">; por lo tanto, </w:t>
      </w:r>
      <w:r w:rsidRPr="00E1241B">
        <w:rPr>
          <w:rFonts w:ascii="Gadugi" w:eastAsia="Gadugi" w:hAnsi="Gadugi" w:cs="Gadugi"/>
          <w:sz w:val="24"/>
          <w:szCs w:val="24"/>
        </w:rPr>
        <w:t xml:space="preserve">la decisión </w:t>
      </w:r>
      <w:r w:rsidR="00045E0E" w:rsidRPr="00E1241B">
        <w:rPr>
          <w:rFonts w:ascii="Gadugi" w:eastAsia="Gadugi" w:hAnsi="Gadugi" w:cs="Gadugi"/>
          <w:sz w:val="24"/>
          <w:szCs w:val="24"/>
        </w:rPr>
        <w:t>a</w:t>
      </w:r>
      <w:r w:rsidR="00190351">
        <w:rPr>
          <w:rFonts w:ascii="Gadugi" w:eastAsia="Gadugi" w:hAnsi="Gadugi" w:cs="Gadugi"/>
          <w:sz w:val="24"/>
          <w:szCs w:val="24"/>
        </w:rPr>
        <w:t xml:space="preserve"> adoptar será de fondo.</w:t>
      </w:r>
    </w:p>
    <w:p w14:paraId="2C43B762"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51B7805C" w14:textId="467D5150"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Incluso el de demanda en forma, lo que se afirma, porque uno de los puntos de disenso de los apelantes guarda relación con ello, en cuanto dicen que al expediente no se arrimó el certificado del registrador de que trata el artículo 375 del CGP, que debe ser especial y en los términos de la Ley 1579 de 2012.</w:t>
      </w:r>
    </w:p>
    <w:p w14:paraId="483B262C"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B6B5A75" w14:textId="6ADE642A"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Valga decir que ese asunto fue zanjado con la resolución de las excepciones previas, y con mayor énfasis, en el auto del 21 de agosto de 2020</w:t>
      </w:r>
      <w:r w:rsidRPr="00E1241B">
        <w:rPr>
          <w:rStyle w:val="Refdenotaalpie"/>
          <w:rFonts w:ascii="Gadugi" w:eastAsia="Gadugi" w:hAnsi="Gadugi" w:cs="Gadugi"/>
          <w:sz w:val="24"/>
          <w:szCs w:val="24"/>
        </w:rPr>
        <w:footnoteReference w:id="20"/>
      </w:r>
      <w:r w:rsidRPr="00E1241B">
        <w:rPr>
          <w:rFonts w:ascii="Gadugi" w:eastAsia="Gadugi" w:hAnsi="Gadugi" w:cs="Gadugi"/>
          <w:sz w:val="24"/>
          <w:szCs w:val="24"/>
        </w:rPr>
        <w:t>, en el que se abordó la cuestión a la luz de lo dicho por la Sala de Casación Civil de la Corte Suprema de Justicia en la sentencia STC15887 de 2017 que el mismo recurrente citaba</w:t>
      </w:r>
      <w:r w:rsidR="00CC6723" w:rsidRPr="00E1241B">
        <w:rPr>
          <w:rFonts w:ascii="Gadugi" w:eastAsia="Gadugi" w:hAnsi="Gadugi" w:cs="Gadugi"/>
          <w:sz w:val="24"/>
          <w:szCs w:val="24"/>
        </w:rPr>
        <w:t xml:space="preserve">; en ella </w:t>
      </w:r>
      <w:r w:rsidRPr="00E1241B">
        <w:rPr>
          <w:rFonts w:ascii="Gadugi" w:eastAsia="Gadugi" w:hAnsi="Gadugi" w:cs="Gadugi"/>
          <w:sz w:val="24"/>
          <w:szCs w:val="24"/>
        </w:rPr>
        <w:t xml:space="preserve">se recordó que a una demanda de esta estirpe, para cumplir el mandato del artículo 375 del CGP., basta aportar el certificado de tradición del inmueble, con la nota de quién sea el actual titular del derecho real, pues solo si ello ofrece algún motivo de duda debe acudirse a otro especial. </w:t>
      </w:r>
    </w:p>
    <w:p w14:paraId="607A2C9E"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A0E9BD0"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Malgun Gothic" w:hAnsi="Gadugi" w:cs="Estrangelo Edessa"/>
          <w:sz w:val="24"/>
          <w:szCs w:val="24"/>
        </w:rPr>
      </w:pPr>
      <w:r w:rsidRPr="00E1241B">
        <w:rPr>
          <w:rFonts w:ascii="Gadugi" w:eastAsia="Gadugi" w:hAnsi="Gadugi" w:cs="Gadugi"/>
          <w:sz w:val="24"/>
          <w:szCs w:val="24"/>
        </w:rPr>
        <w:t xml:space="preserve">Ese criterio no es novedoso en esta Sala. De hecho, en providencia del 9 de julio de 2019, adoptada en audiencia en el proceso con radicación </w:t>
      </w:r>
      <w:r w:rsidRPr="00E1241B">
        <w:rPr>
          <w:rFonts w:ascii="Gadugi" w:eastAsia="Malgun Gothic" w:hAnsi="Gadugi" w:cs="Estrangelo Edessa"/>
          <w:sz w:val="24"/>
          <w:szCs w:val="24"/>
        </w:rPr>
        <w:t xml:space="preserve">66170310300120150013503, se dijo: </w:t>
      </w:r>
    </w:p>
    <w:p w14:paraId="2D7C626A"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Malgun Gothic" w:hAnsi="Gadugi" w:cs="Estrangelo Edessa"/>
          <w:sz w:val="24"/>
          <w:szCs w:val="24"/>
        </w:rPr>
      </w:pPr>
    </w:p>
    <w:p w14:paraId="17D84CE9" w14:textId="77777777" w:rsidR="00624DD5" w:rsidRPr="00E1241B" w:rsidRDefault="00624DD5" w:rsidP="00E1241B">
      <w:pPr>
        <w:tabs>
          <w:tab w:val="left" w:pos="284"/>
        </w:tabs>
        <w:jc w:val="both"/>
        <w:rPr>
          <w:rFonts w:ascii="Gadugi" w:hAnsi="Gadugi"/>
          <w:sz w:val="24"/>
          <w:szCs w:val="24"/>
          <w:shd w:val="clear" w:color="auto" w:fill="FFFFFF"/>
        </w:rPr>
      </w:pPr>
      <w:r w:rsidRPr="00E1241B">
        <w:rPr>
          <w:rFonts w:ascii="Gadugi" w:hAnsi="Gadugi"/>
          <w:sz w:val="24"/>
          <w:szCs w:val="24"/>
          <w:shd w:val="clear" w:color="auto" w:fill="FFFFFF"/>
        </w:rPr>
        <w:t>Y si acaso, equivocadamente, se estimó indispensable un certificado especial porque las certificaciones del cartulario incumplían su propósito y no daban fe sobre las personas que figuran como titulares de derechos sobre el inmueble, nuevamente, y a manera de colofón, recuerda la Sala, como en anteriores oportunidades lo ha hecho</w:t>
      </w:r>
      <w:r w:rsidRPr="00E1241B">
        <w:rPr>
          <w:rStyle w:val="Refdenotaalpie"/>
          <w:rFonts w:ascii="Gadugi" w:hAnsi="Gadugi"/>
          <w:sz w:val="24"/>
          <w:szCs w:val="24"/>
          <w:shd w:val="clear" w:color="auto" w:fill="FFFFFF"/>
        </w:rPr>
        <w:footnoteReference w:id="21"/>
      </w:r>
      <w:r w:rsidRPr="00E1241B">
        <w:rPr>
          <w:rFonts w:ascii="Gadugi" w:hAnsi="Gadugi"/>
          <w:sz w:val="24"/>
          <w:szCs w:val="24"/>
          <w:shd w:val="clear" w:color="auto" w:fill="FFFFFF"/>
          <w:vertAlign w:val="superscript"/>
        </w:rPr>
        <w:t>-</w:t>
      </w:r>
      <w:r w:rsidRPr="00E1241B">
        <w:rPr>
          <w:rStyle w:val="Refdenotaalpie"/>
          <w:rFonts w:ascii="Gadugi" w:hAnsi="Gadugi"/>
          <w:sz w:val="24"/>
          <w:szCs w:val="24"/>
          <w:shd w:val="clear" w:color="auto" w:fill="FFFFFF"/>
        </w:rPr>
        <w:footnoteReference w:id="22"/>
      </w:r>
      <w:r w:rsidRPr="00E1241B">
        <w:rPr>
          <w:rFonts w:ascii="Gadugi" w:hAnsi="Gadugi"/>
          <w:sz w:val="24"/>
          <w:szCs w:val="24"/>
          <w:shd w:val="clear" w:color="auto" w:fill="FFFFFF"/>
        </w:rPr>
        <w:t>, que un certificado de tradición de matrícula inmobiliaria satisface todos los presupuestos que, de acuerdo con la doctrina, constituyen el pilar de información relevante, esto es, conocer quiénes son esos titulares, con lo cual se cumple el cometido de conformar adecuadamente el contradictorio</w:t>
      </w:r>
    </w:p>
    <w:p w14:paraId="600B364C" w14:textId="77777777" w:rsidR="00624DD5" w:rsidRPr="00E1241B" w:rsidRDefault="00624DD5" w:rsidP="00E1241B">
      <w:pPr>
        <w:tabs>
          <w:tab w:val="left" w:pos="284"/>
        </w:tabs>
        <w:ind w:left="567" w:right="618"/>
        <w:jc w:val="both"/>
        <w:rPr>
          <w:rFonts w:ascii="Gadugi" w:hAnsi="Gadugi"/>
          <w:sz w:val="24"/>
          <w:szCs w:val="24"/>
          <w:shd w:val="clear" w:color="auto" w:fill="FFFFFF"/>
        </w:rPr>
      </w:pPr>
    </w:p>
    <w:p w14:paraId="292EEF88" w14:textId="77777777" w:rsidR="00624DD5" w:rsidRPr="00E1241B" w:rsidRDefault="00624DD5" w:rsidP="00E1241B">
      <w:pPr>
        <w:tabs>
          <w:tab w:val="left" w:pos="284"/>
        </w:tabs>
        <w:jc w:val="both"/>
        <w:rPr>
          <w:rFonts w:ascii="Gadugi" w:hAnsi="Gadugi"/>
          <w:sz w:val="24"/>
          <w:szCs w:val="24"/>
          <w:shd w:val="clear" w:color="auto" w:fill="FFFFFF"/>
        </w:rPr>
      </w:pPr>
      <w:r w:rsidRPr="00E1241B">
        <w:rPr>
          <w:rFonts w:ascii="Gadugi" w:hAnsi="Gadugi"/>
          <w:sz w:val="24"/>
          <w:szCs w:val="24"/>
          <w:shd w:val="clear" w:color="auto" w:fill="FFFFFF"/>
        </w:rPr>
        <w:lastRenderedPageBreak/>
        <w:t>Situación que variaría si existieran dudas sobre el derecho real de dominio o estuviese en discusión, por ejemplo, por una falsa tradición, o cuando el inmueble no está matriculado, o cuando estándolo no aparece un titular concreto de derechos reales, eventos en los cuales sí es menester un certificado especial y diferente en el que el registrador dé cuenta sobre la verdadera situación del inmueble, situaciones que en el caso concreto no se presentan.</w:t>
      </w:r>
    </w:p>
    <w:p w14:paraId="117576D9" w14:textId="5419D6C0" w:rsidR="3AECD52B" w:rsidRPr="00E1241B" w:rsidRDefault="3AECD52B" w:rsidP="00E1241B">
      <w:pPr>
        <w:tabs>
          <w:tab w:val="left" w:pos="284"/>
        </w:tabs>
        <w:ind w:left="567" w:right="618"/>
        <w:jc w:val="both"/>
        <w:rPr>
          <w:rFonts w:ascii="Gadugi" w:hAnsi="Gadugi"/>
          <w:sz w:val="24"/>
          <w:szCs w:val="24"/>
        </w:rPr>
      </w:pPr>
    </w:p>
    <w:p w14:paraId="2F269BDE"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Luego de lo cual, en esa providencia, se trajo como refuerzo aquella decisión de tutela STC15887-2017 que con tino le sirvió de apoyo a la funcionaria para descartar la excepción previa propuesta. </w:t>
      </w:r>
    </w:p>
    <w:p w14:paraId="7736532F" w14:textId="77777777" w:rsidR="00624DD5" w:rsidRPr="00E1241B" w:rsidRDefault="00624DD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E48016D" w14:textId="6DA02683" w:rsidR="00624DD5" w:rsidRPr="00E1241B" w:rsidRDefault="00CC672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Y si acaso esto fuera poco, </w:t>
      </w:r>
      <w:r w:rsidR="00BE2D98" w:rsidRPr="00E1241B">
        <w:rPr>
          <w:rFonts w:ascii="Gadugi" w:eastAsia="Gadugi" w:hAnsi="Gadugi" w:cs="Gadugi"/>
          <w:sz w:val="24"/>
          <w:szCs w:val="24"/>
        </w:rPr>
        <w:t xml:space="preserve">basta señalar que </w:t>
      </w:r>
      <w:r w:rsidR="005D473E" w:rsidRPr="00E1241B">
        <w:rPr>
          <w:rFonts w:ascii="Gadugi" w:eastAsia="Gadugi" w:hAnsi="Gadugi" w:cs="Gadugi"/>
          <w:sz w:val="24"/>
          <w:szCs w:val="24"/>
        </w:rPr>
        <w:t xml:space="preserve">el demandante, al descorrer el traslado de las excepciones previas propuestas, trajo el certificado </w:t>
      </w:r>
      <w:r w:rsidR="0056276C" w:rsidRPr="00E1241B">
        <w:rPr>
          <w:rFonts w:ascii="Gadugi" w:eastAsia="Gadugi" w:hAnsi="Gadugi" w:cs="Gadugi"/>
          <w:sz w:val="24"/>
          <w:szCs w:val="24"/>
        </w:rPr>
        <w:t>especial</w:t>
      </w:r>
      <w:r w:rsidR="0020052B" w:rsidRPr="00E1241B">
        <w:rPr>
          <w:rStyle w:val="Refdenotaalpie"/>
          <w:rFonts w:ascii="Gadugi" w:eastAsia="Gadugi" w:hAnsi="Gadugi" w:cs="Gadugi"/>
          <w:sz w:val="24"/>
          <w:szCs w:val="24"/>
        </w:rPr>
        <w:footnoteReference w:id="23"/>
      </w:r>
      <w:r w:rsidR="0056276C" w:rsidRPr="00E1241B">
        <w:rPr>
          <w:rFonts w:ascii="Gadugi" w:eastAsia="Gadugi" w:hAnsi="Gadugi" w:cs="Gadugi"/>
          <w:sz w:val="24"/>
          <w:szCs w:val="24"/>
        </w:rPr>
        <w:t xml:space="preserve">, </w:t>
      </w:r>
      <w:r w:rsidR="005D473E" w:rsidRPr="00E1241B">
        <w:rPr>
          <w:rFonts w:ascii="Gadugi" w:eastAsia="Gadugi" w:hAnsi="Gadugi" w:cs="Gadugi"/>
          <w:sz w:val="24"/>
          <w:szCs w:val="24"/>
        </w:rPr>
        <w:t>expedido por la Registradora</w:t>
      </w:r>
      <w:r w:rsidR="0056276C" w:rsidRPr="00E1241B">
        <w:rPr>
          <w:rFonts w:ascii="Gadugi" w:eastAsia="Gadugi" w:hAnsi="Gadugi" w:cs="Gadugi"/>
          <w:sz w:val="24"/>
          <w:szCs w:val="24"/>
        </w:rPr>
        <w:t xml:space="preserve"> Seccional de la Oficina de Registro de Instrumentos Públicos de Santa Rosa de Cabal, </w:t>
      </w:r>
      <w:r w:rsidR="00C616B7" w:rsidRPr="00E1241B">
        <w:rPr>
          <w:rFonts w:ascii="Gadugi" w:eastAsia="Gadugi" w:hAnsi="Gadugi" w:cs="Gadugi"/>
          <w:sz w:val="24"/>
          <w:szCs w:val="24"/>
        </w:rPr>
        <w:t xml:space="preserve">relacionado con el inmueble de matrícula 296-59447, que </w:t>
      </w:r>
      <w:r w:rsidR="001646A9" w:rsidRPr="00E1241B">
        <w:rPr>
          <w:rFonts w:ascii="Gadugi" w:eastAsia="Gadugi" w:hAnsi="Gadugi" w:cs="Gadugi"/>
          <w:sz w:val="24"/>
          <w:szCs w:val="24"/>
        </w:rPr>
        <w:t xml:space="preserve">da cuenta de la titularidad del derecho real de dominio en cabeza de la señora Pastora López </w:t>
      </w:r>
      <w:proofErr w:type="spellStart"/>
      <w:r w:rsidR="001646A9" w:rsidRPr="00E1241B">
        <w:rPr>
          <w:rFonts w:ascii="Gadugi" w:eastAsia="Gadugi" w:hAnsi="Gadugi" w:cs="Gadugi"/>
          <w:sz w:val="24"/>
          <w:szCs w:val="24"/>
        </w:rPr>
        <w:t>López</w:t>
      </w:r>
      <w:proofErr w:type="spellEnd"/>
      <w:r w:rsidR="0020052B" w:rsidRPr="00E1241B">
        <w:rPr>
          <w:rFonts w:ascii="Gadugi" w:eastAsia="Gadugi" w:hAnsi="Gadugi" w:cs="Gadugi"/>
          <w:sz w:val="24"/>
          <w:szCs w:val="24"/>
        </w:rPr>
        <w:t>, suficiente para superar cualquier discusión</w:t>
      </w:r>
      <w:r w:rsidR="00AE0906" w:rsidRPr="00E1241B">
        <w:rPr>
          <w:rFonts w:ascii="Gadugi" w:eastAsia="Gadugi" w:hAnsi="Gadugi" w:cs="Gadugi"/>
          <w:sz w:val="24"/>
          <w:szCs w:val="24"/>
        </w:rPr>
        <w:t xml:space="preserve">. </w:t>
      </w:r>
    </w:p>
    <w:p w14:paraId="33F257D1" w14:textId="731FB9E0" w:rsidR="00AE0906" w:rsidRPr="00E1241B" w:rsidRDefault="00AE090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32AB51F" w14:textId="26D227DA" w:rsidR="00AE0906" w:rsidRPr="00E1241B" w:rsidRDefault="00AE090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Por ello, ese motivo de reparo no puede salir avante. </w:t>
      </w:r>
    </w:p>
    <w:p w14:paraId="10B3AAE3"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B8FE1B1" w14:textId="1DCD0C0E" w:rsidR="003406CF"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2.2.</w:t>
      </w:r>
      <w:r w:rsidR="00270092" w:rsidRPr="00E1241B">
        <w:rPr>
          <w:rFonts w:ascii="Gadugi" w:eastAsia="Gadugi" w:hAnsi="Gadugi" w:cs="Gadugi"/>
          <w:sz w:val="24"/>
          <w:szCs w:val="24"/>
        </w:rPr>
        <w:t xml:space="preserve"> La</w:t>
      </w:r>
      <w:r w:rsidR="00045E0E" w:rsidRPr="00E1241B">
        <w:rPr>
          <w:rFonts w:ascii="Gadugi" w:eastAsia="Gadugi" w:hAnsi="Gadugi" w:cs="Gadugi"/>
          <w:sz w:val="24"/>
          <w:szCs w:val="24"/>
        </w:rPr>
        <w:t xml:space="preserve"> legitimación en la causa no merece reparo alguno, </w:t>
      </w:r>
      <w:r w:rsidR="00270092" w:rsidRPr="00E1241B">
        <w:rPr>
          <w:rFonts w:ascii="Gadugi" w:eastAsia="Gadugi" w:hAnsi="Gadugi" w:cs="Gadugi"/>
          <w:sz w:val="24"/>
          <w:szCs w:val="24"/>
        </w:rPr>
        <w:t>puesto</w:t>
      </w:r>
      <w:r w:rsidR="00AE0906" w:rsidRPr="00E1241B">
        <w:rPr>
          <w:rFonts w:ascii="Gadugi" w:eastAsia="Gadugi" w:hAnsi="Gadugi" w:cs="Gadugi"/>
          <w:sz w:val="24"/>
          <w:szCs w:val="24"/>
        </w:rPr>
        <w:t xml:space="preserve"> que</w:t>
      </w:r>
      <w:r w:rsidR="00DB2DC1" w:rsidRPr="00E1241B">
        <w:rPr>
          <w:rFonts w:ascii="Gadugi" w:eastAsia="Gadugi" w:hAnsi="Gadugi" w:cs="Gadugi"/>
          <w:sz w:val="24"/>
          <w:szCs w:val="24"/>
        </w:rPr>
        <w:t xml:space="preserve">, al tratarse de un proceso de pertenencia, </w:t>
      </w:r>
      <w:r w:rsidR="00270092" w:rsidRPr="00E1241B">
        <w:rPr>
          <w:rFonts w:ascii="Gadugi" w:eastAsia="Gadugi" w:hAnsi="Gadugi" w:cs="Gadugi"/>
          <w:sz w:val="24"/>
          <w:szCs w:val="24"/>
        </w:rPr>
        <w:t xml:space="preserve">por activa </w:t>
      </w:r>
      <w:r w:rsidR="00045E0E" w:rsidRPr="00E1241B">
        <w:rPr>
          <w:rFonts w:ascii="Gadugi" w:eastAsia="Gadugi" w:hAnsi="Gadugi" w:cs="Gadugi"/>
          <w:sz w:val="24"/>
          <w:szCs w:val="24"/>
        </w:rPr>
        <w:t xml:space="preserve">se </w:t>
      </w:r>
      <w:r w:rsidR="0077655B" w:rsidRPr="00E1241B">
        <w:rPr>
          <w:rFonts w:ascii="Gadugi" w:eastAsia="Gadugi" w:hAnsi="Gadugi" w:cs="Gadugi"/>
          <w:sz w:val="24"/>
          <w:szCs w:val="24"/>
        </w:rPr>
        <w:t>aduce la posesión en cabeza del demandante</w:t>
      </w:r>
      <w:r w:rsidR="00DB2DC1" w:rsidRPr="00E1241B">
        <w:rPr>
          <w:rFonts w:ascii="Gadugi" w:eastAsia="Gadugi" w:hAnsi="Gadugi" w:cs="Gadugi"/>
          <w:sz w:val="24"/>
          <w:szCs w:val="24"/>
        </w:rPr>
        <w:t xml:space="preserve"> que, como se dirá, la tenía; en tanto que la </w:t>
      </w:r>
      <w:r w:rsidR="00045E0E" w:rsidRPr="00E1241B">
        <w:rPr>
          <w:rFonts w:ascii="Gadugi" w:eastAsia="Gadugi" w:hAnsi="Gadugi" w:cs="Gadugi"/>
          <w:sz w:val="24"/>
          <w:szCs w:val="24"/>
        </w:rPr>
        <w:t xml:space="preserve">propiedad del inmueble identificado con la matrícula inmobiliaria número 296-59447 </w:t>
      </w:r>
      <w:r w:rsidR="0077655B" w:rsidRPr="00E1241B">
        <w:rPr>
          <w:rFonts w:ascii="Gadugi" w:eastAsia="Gadugi" w:hAnsi="Gadugi" w:cs="Gadugi"/>
          <w:sz w:val="24"/>
          <w:szCs w:val="24"/>
        </w:rPr>
        <w:t>recaía</w:t>
      </w:r>
      <w:r w:rsidR="00045E0E" w:rsidRPr="00E1241B">
        <w:rPr>
          <w:rFonts w:ascii="Gadugi" w:eastAsia="Gadugi" w:hAnsi="Gadugi" w:cs="Gadugi"/>
          <w:sz w:val="24"/>
          <w:szCs w:val="24"/>
        </w:rPr>
        <w:t xml:space="preserve"> </w:t>
      </w:r>
      <w:r w:rsidR="0077655B" w:rsidRPr="00E1241B">
        <w:rPr>
          <w:rFonts w:ascii="Gadugi" w:eastAsia="Gadugi" w:hAnsi="Gadugi" w:cs="Gadugi"/>
          <w:sz w:val="24"/>
          <w:szCs w:val="24"/>
        </w:rPr>
        <w:t>en la</w:t>
      </w:r>
      <w:r w:rsidR="00045E0E" w:rsidRPr="00E1241B">
        <w:rPr>
          <w:rFonts w:ascii="Gadugi" w:eastAsia="Gadugi" w:hAnsi="Gadugi" w:cs="Gadugi"/>
          <w:sz w:val="24"/>
          <w:szCs w:val="24"/>
        </w:rPr>
        <w:t xml:space="preserve"> señora Pastora López </w:t>
      </w:r>
      <w:proofErr w:type="spellStart"/>
      <w:r w:rsidR="00045E0E" w:rsidRPr="00E1241B">
        <w:rPr>
          <w:rFonts w:ascii="Gadugi" w:eastAsia="Gadugi" w:hAnsi="Gadugi" w:cs="Gadugi"/>
          <w:sz w:val="24"/>
          <w:szCs w:val="24"/>
        </w:rPr>
        <w:t>López</w:t>
      </w:r>
      <w:proofErr w:type="spellEnd"/>
      <w:r w:rsidR="00045E0E" w:rsidRPr="00E1241B">
        <w:rPr>
          <w:rFonts w:ascii="Gadugi" w:eastAsia="Gadugi" w:hAnsi="Gadugi" w:cs="Gadugi"/>
          <w:sz w:val="24"/>
          <w:szCs w:val="24"/>
        </w:rPr>
        <w:t xml:space="preserve">, </w:t>
      </w:r>
      <w:r w:rsidR="0077655B" w:rsidRPr="00E1241B">
        <w:rPr>
          <w:rFonts w:ascii="Gadugi" w:eastAsia="Gadugi" w:hAnsi="Gadugi" w:cs="Gadugi"/>
          <w:sz w:val="24"/>
          <w:szCs w:val="24"/>
        </w:rPr>
        <w:t xml:space="preserve">quien, a su vez, </w:t>
      </w:r>
      <w:r w:rsidR="00045E0E" w:rsidRPr="00E1241B">
        <w:rPr>
          <w:rFonts w:ascii="Gadugi" w:eastAsia="Gadugi" w:hAnsi="Gadugi" w:cs="Gadugi"/>
          <w:sz w:val="24"/>
          <w:szCs w:val="24"/>
        </w:rPr>
        <w:t xml:space="preserve">adquirido </w:t>
      </w:r>
      <w:r w:rsidR="00DB18CF" w:rsidRPr="00E1241B">
        <w:rPr>
          <w:rFonts w:ascii="Gadugi" w:eastAsia="Gadugi" w:hAnsi="Gadugi" w:cs="Gadugi"/>
          <w:sz w:val="24"/>
          <w:szCs w:val="24"/>
        </w:rPr>
        <w:t>por prescripción adquisitiva de dominio</w:t>
      </w:r>
      <w:r w:rsidR="00045E0E" w:rsidRPr="00E1241B">
        <w:rPr>
          <w:rFonts w:ascii="Gadugi" w:eastAsia="Gadugi" w:hAnsi="Gadugi" w:cs="Gadugi"/>
          <w:sz w:val="24"/>
          <w:szCs w:val="24"/>
        </w:rPr>
        <w:t>,</w:t>
      </w:r>
      <w:r w:rsidR="00DB18CF" w:rsidRPr="00E1241B">
        <w:rPr>
          <w:rFonts w:ascii="Gadugi" w:eastAsia="Gadugi" w:hAnsi="Gadugi" w:cs="Gadugi"/>
          <w:sz w:val="24"/>
          <w:szCs w:val="24"/>
        </w:rPr>
        <w:t xml:space="preserve"> </w:t>
      </w:r>
      <w:r w:rsidR="00F42286" w:rsidRPr="00E1241B">
        <w:rPr>
          <w:rFonts w:ascii="Gadugi" w:eastAsia="Gadugi" w:hAnsi="Gadugi" w:cs="Gadugi"/>
          <w:sz w:val="24"/>
          <w:szCs w:val="24"/>
        </w:rPr>
        <w:t xml:space="preserve">según </w:t>
      </w:r>
      <w:r w:rsidR="00DB18CF" w:rsidRPr="00E1241B">
        <w:rPr>
          <w:rFonts w:ascii="Gadugi" w:eastAsia="Gadugi" w:hAnsi="Gadugi" w:cs="Gadugi"/>
          <w:sz w:val="24"/>
          <w:szCs w:val="24"/>
        </w:rPr>
        <w:t xml:space="preserve">sentencia </w:t>
      </w:r>
      <w:r w:rsidR="00045E0E" w:rsidRPr="00E1241B">
        <w:rPr>
          <w:rFonts w:ascii="Gadugi" w:eastAsia="Gadugi" w:hAnsi="Gadugi" w:cs="Gadugi"/>
          <w:sz w:val="24"/>
          <w:szCs w:val="24"/>
        </w:rPr>
        <w:t>d</w:t>
      </w:r>
      <w:r w:rsidR="00DB18CF" w:rsidRPr="00E1241B">
        <w:rPr>
          <w:rFonts w:ascii="Gadugi" w:eastAsia="Gadugi" w:hAnsi="Gadugi" w:cs="Gadugi"/>
          <w:sz w:val="24"/>
          <w:szCs w:val="24"/>
        </w:rPr>
        <w:t>el 22 de octubre de 2001</w:t>
      </w:r>
      <w:r w:rsidR="00DB18CF" w:rsidRPr="00E1241B">
        <w:rPr>
          <w:rStyle w:val="Refdenotaalpie"/>
          <w:rFonts w:ascii="Gadugi" w:eastAsia="Gadugi" w:hAnsi="Gadugi" w:cs="Gadugi"/>
          <w:sz w:val="24"/>
          <w:szCs w:val="24"/>
        </w:rPr>
        <w:footnoteReference w:id="24"/>
      </w:r>
      <w:r w:rsidR="00227788" w:rsidRPr="00E1241B">
        <w:rPr>
          <w:rFonts w:ascii="Gadugi" w:eastAsia="Gadugi" w:hAnsi="Gadugi" w:cs="Gadugi"/>
          <w:sz w:val="24"/>
          <w:szCs w:val="24"/>
        </w:rPr>
        <w:t xml:space="preserve"> y aquí fueron vinculados sus herederos determinados e indeterminados. </w:t>
      </w:r>
    </w:p>
    <w:p w14:paraId="09738AA2" w14:textId="77777777" w:rsidR="00F7651E" w:rsidRPr="00E1241B" w:rsidRDefault="00F7651E"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356BA64" w14:textId="77777777" w:rsidR="0072225A"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En </w:t>
      </w:r>
      <w:r w:rsidR="00E04346" w:rsidRPr="00E1241B">
        <w:rPr>
          <w:rFonts w:ascii="Gadugi" w:eastAsia="Gadugi" w:hAnsi="Gadugi" w:cs="Gadugi"/>
          <w:sz w:val="24"/>
          <w:szCs w:val="24"/>
        </w:rPr>
        <w:t xml:space="preserve">efecto, </w:t>
      </w:r>
      <w:r w:rsidR="00BE4CE7" w:rsidRPr="00E1241B">
        <w:rPr>
          <w:rFonts w:ascii="Gadugi" w:eastAsia="Gadugi" w:hAnsi="Gadugi" w:cs="Gadugi"/>
          <w:sz w:val="24"/>
          <w:szCs w:val="24"/>
        </w:rPr>
        <w:t xml:space="preserve">inicialmente la demanda se dirigió en contra de los herederos Virginia López Salazar, Javier Hermógenes López Serna, </w:t>
      </w:r>
      <w:r w:rsidR="00BB0F1A" w:rsidRPr="00E1241B">
        <w:rPr>
          <w:rFonts w:ascii="Gadugi" w:eastAsia="Gadugi" w:hAnsi="Gadugi" w:cs="Gadugi"/>
          <w:sz w:val="24"/>
          <w:szCs w:val="24"/>
        </w:rPr>
        <w:t xml:space="preserve">Guillermo López Serna, Colombia López Serna, </w:t>
      </w:r>
      <w:r w:rsidR="00BE4CE7" w:rsidRPr="00E1241B">
        <w:rPr>
          <w:rFonts w:ascii="Gadugi" w:eastAsia="Gadugi" w:hAnsi="Gadugi" w:cs="Gadugi"/>
          <w:sz w:val="24"/>
          <w:szCs w:val="24"/>
        </w:rPr>
        <w:t>Blanca Victoria López Serna, María Lucía del Pilar López Salazar</w:t>
      </w:r>
      <w:r w:rsidR="00180EE3" w:rsidRPr="00E1241B">
        <w:rPr>
          <w:rFonts w:ascii="Gadugi" w:eastAsia="Gadugi" w:hAnsi="Gadugi" w:cs="Gadugi"/>
          <w:sz w:val="24"/>
          <w:szCs w:val="24"/>
        </w:rPr>
        <w:t xml:space="preserve"> y</w:t>
      </w:r>
      <w:r w:rsidR="00BE4CE7" w:rsidRPr="00E1241B">
        <w:rPr>
          <w:rFonts w:ascii="Gadugi" w:eastAsia="Gadugi" w:hAnsi="Gadugi" w:cs="Gadugi"/>
          <w:sz w:val="24"/>
          <w:szCs w:val="24"/>
        </w:rPr>
        <w:t xml:space="preserve"> Mario López Valencia, </w:t>
      </w:r>
      <w:r w:rsidR="00FA7332" w:rsidRPr="00E1241B">
        <w:rPr>
          <w:rFonts w:ascii="Gadugi" w:eastAsia="Gadugi" w:hAnsi="Gadugi" w:cs="Gadugi"/>
          <w:sz w:val="24"/>
          <w:szCs w:val="24"/>
        </w:rPr>
        <w:t>según se demuestra con los respectivos registros civiles de nacimiento</w:t>
      </w:r>
      <w:r w:rsidR="00182E90" w:rsidRPr="00E1241B">
        <w:rPr>
          <w:rFonts w:ascii="Gadugi" w:eastAsia="Gadugi" w:hAnsi="Gadugi" w:cs="Gadugi"/>
          <w:sz w:val="24"/>
          <w:szCs w:val="24"/>
        </w:rPr>
        <w:t xml:space="preserve"> adjuntos al libelo</w:t>
      </w:r>
      <w:r w:rsidR="00FA7332" w:rsidRPr="00E1241B">
        <w:rPr>
          <w:rStyle w:val="Refdenotaalpie"/>
          <w:rFonts w:ascii="Gadugi" w:eastAsia="Gadugi" w:hAnsi="Gadugi" w:cs="Gadugi"/>
          <w:sz w:val="24"/>
          <w:szCs w:val="24"/>
        </w:rPr>
        <w:footnoteReference w:id="25"/>
      </w:r>
      <w:r w:rsidR="0072225A" w:rsidRPr="00E1241B">
        <w:rPr>
          <w:rFonts w:ascii="Gadugi" w:eastAsia="Gadugi" w:hAnsi="Gadugi" w:cs="Gadugi"/>
          <w:sz w:val="24"/>
          <w:szCs w:val="24"/>
        </w:rPr>
        <w:t>.</w:t>
      </w:r>
    </w:p>
    <w:p w14:paraId="5FC9F548" w14:textId="77777777" w:rsidR="00AE0906" w:rsidRPr="00E1241B" w:rsidRDefault="00AE090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AEBE798" w14:textId="5E5436DF" w:rsidR="00936111" w:rsidRPr="00E1241B" w:rsidRDefault="0064512C"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Luego de que se conoció el fallecimiento de la señora María Lucía del Pilar López Salazar </w:t>
      </w:r>
      <w:r w:rsidR="00243712" w:rsidRPr="00E1241B">
        <w:rPr>
          <w:rFonts w:ascii="Gadugi" w:eastAsia="Gadugi" w:hAnsi="Gadugi" w:cs="Gadugi"/>
          <w:sz w:val="24"/>
          <w:szCs w:val="24"/>
        </w:rPr>
        <w:t>(</w:t>
      </w:r>
      <w:r w:rsidRPr="00E1241B">
        <w:rPr>
          <w:rFonts w:ascii="Gadugi" w:eastAsia="Gadugi" w:hAnsi="Gadugi" w:cs="Gadugi"/>
          <w:sz w:val="24"/>
          <w:szCs w:val="24"/>
        </w:rPr>
        <w:t>como figura en su registro civil de nacimiento</w:t>
      </w:r>
      <w:r w:rsidRPr="00E1241B">
        <w:rPr>
          <w:rStyle w:val="Refdenotaalpie"/>
          <w:rFonts w:ascii="Gadugi" w:eastAsia="Gadugi" w:hAnsi="Gadugi" w:cs="Gadugi"/>
          <w:sz w:val="24"/>
          <w:szCs w:val="24"/>
        </w:rPr>
        <w:footnoteReference w:id="26"/>
      </w:r>
      <w:r w:rsidR="00243712" w:rsidRPr="00E1241B">
        <w:rPr>
          <w:rFonts w:ascii="Gadugi" w:eastAsia="Gadugi" w:hAnsi="Gadugi" w:cs="Gadugi"/>
          <w:sz w:val="24"/>
          <w:szCs w:val="24"/>
        </w:rPr>
        <w:t>)</w:t>
      </w:r>
      <w:r w:rsidRPr="00E1241B">
        <w:rPr>
          <w:rFonts w:ascii="Gadugi" w:eastAsia="Gadugi" w:hAnsi="Gadugi" w:cs="Gadugi"/>
          <w:sz w:val="24"/>
          <w:szCs w:val="24"/>
        </w:rPr>
        <w:t xml:space="preserve"> o María Lucía del Pilar López de Posada </w:t>
      </w:r>
      <w:r w:rsidR="009C5C8E" w:rsidRPr="00E1241B">
        <w:rPr>
          <w:rFonts w:ascii="Gadugi" w:eastAsia="Gadugi" w:hAnsi="Gadugi" w:cs="Gadugi"/>
          <w:sz w:val="24"/>
          <w:szCs w:val="24"/>
        </w:rPr>
        <w:t>(según figura</w:t>
      </w:r>
      <w:r w:rsidRPr="00E1241B">
        <w:rPr>
          <w:rFonts w:ascii="Gadugi" w:eastAsia="Gadugi" w:hAnsi="Gadugi" w:cs="Gadugi"/>
          <w:sz w:val="24"/>
          <w:szCs w:val="24"/>
        </w:rPr>
        <w:t xml:space="preserve"> en su registro civil de defunción</w:t>
      </w:r>
      <w:r w:rsidRPr="00E1241B">
        <w:rPr>
          <w:rStyle w:val="Refdenotaalpie"/>
          <w:rFonts w:ascii="Gadugi" w:eastAsia="Gadugi" w:hAnsi="Gadugi" w:cs="Gadugi"/>
          <w:sz w:val="24"/>
          <w:szCs w:val="24"/>
        </w:rPr>
        <w:footnoteReference w:id="27"/>
      </w:r>
      <w:r w:rsidRPr="00E1241B">
        <w:rPr>
          <w:rFonts w:ascii="Gadugi" w:eastAsia="Gadugi" w:hAnsi="Gadugi" w:cs="Gadugi"/>
          <w:sz w:val="24"/>
          <w:szCs w:val="24"/>
          <w:vertAlign w:val="superscript"/>
        </w:rPr>
        <w:t>-</w:t>
      </w:r>
      <w:r w:rsidRPr="00E1241B">
        <w:rPr>
          <w:rStyle w:val="Refdenotaalpie"/>
          <w:rFonts w:ascii="Gadugi" w:eastAsia="Gadugi" w:hAnsi="Gadugi" w:cs="Gadugi"/>
          <w:sz w:val="24"/>
          <w:szCs w:val="24"/>
        </w:rPr>
        <w:footnoteReference w:id="28"/>
      </w:r>
      <w:r w:rsidR="009C5C8E" w:rsidRPr="00E1241B">
        <w:rPr>
          <w:rFonts w:ascii="Gadugi" w:eastAsia="Gadugi" w:hAnsi="Gadugi" w:cs="Gadugi"/>
          <w:sz w:val="24"/>
          <w:szCs w:val="24"/>
        </w:rPr>
        <w:t xml:space="preserve">) </w:t>
      </w:r>
      <w:r w:rsidRPr="00E1241B">
        <w:rPr>
          <w:rFonts w:ascii="Gadugi" w:eastAsia="Gadugi" w:hAnsi="Gadugi" w:cs="Gadugi"/>
          <w:sz w:val="24"/>
          <w:szCs w:val="24"/>
        </w:rPr>
        <w:t>se vincularon a</w:t>
      </w:r>
      <w:r w:rsidR="00CC221D" w:rsidRPr="00E1241B">
        <w:rPr>
          <w:rFonts w:ascii="Gadugi" w:eastAsia="Gadugi" w:hAnsi="Gadugi" w:cs="Gadugi"/>
          <w:sz w:val="24"/>
          <w:szCs w:val="24"/>
        </w:rPr>
        <w:t xml:space="preserve"> </w:t>
      </w:r>
      <w:r w:rsidRPr="00E1241B">
        <w:rPr>
          <w:rFonts w:ascii="Gadugi" w:eastAsia="Gadugi" w:hAnsi="Gadugi" w:cs="Gadugi"/>
          <w:sz w:val="24"/>
          <w:szCs w:val="24"/>
        </w:rPr>
        <w:t>l</w:t>
      </w:r>
      <w:r w:rsidR="00CC221D" w:rsidRPr="00E1241B">
        <w:rPr>
          <w:rFonts w:ascii="Gadugi" w:eastAsia="Gadugi" w:hAnsi="Gadugi" w:cs="Gadugi"/>
          <w:sz w:val="24"/>
          <w:szCs w:val="24"/>
        </w:rPr>
        <w:t>a</w:t>
      </w:r>
      <w:r w:rsidRPr="00E1241B">
        <w:rPr>
          <w:rFonts w:ascii="Gadugi" w:eastAsia="Gadugi" w:hAnsi="Gadugi" w:cs="Gadugi"/>
          <w:sz w:val="24"/>
          <w:szCs w:val="24"/>
        </w:rPr>
        <w:t xml:space="preserve"> </w:t>
      </w:r>
      <w:r w:rsidR="00CC221D" w:rsidRPr="00E1241B">
        <w:rPr>
          <w:rFonts w:ascii="Gadugi" w:eastAsia="Gadugi" w:hAnsi="Gadugi" w:cs="Gadugi"/>
          <w:sz w:val="24"/>
          <w:szCs w:val="24"/>
        </w:rPr>
        <w:t xml:space="preserve">litis </w:t>
      </w:r>
      <w:r w:rsidRPr="00E1241B">
        <w:rPr>
          <w:rFonts w:ascii="Gadugi" w:eastAsia="Gadugi" w:hAnsi="Gadugi" w:cs="Gadugi"/>
          <w:sz w:val="24"/>
          <w:szCs w:val="24"/>
        </w:rPr>
        <w:t xml:space="preserve">sus </w:t>
      </w:r>
      <w:r w:rsidRPr="00E1241B">
        <w:rPr>
          <w:rFonts w:ascii="Gadugi" w:eastAsia="Gadugi" w:hAnsi="Gadugi" w:cs="Gadugi"/>
          <w:sz w:val="24"/>
          <w:szCs w:val="24"/>
        </w:rPr>
        <w:lastRenderedPageBreak/>
        <w:t>herederos</w:t>
      </w:r>
      <w:r w:rsidR="007B6184" w:rsidRPr="00E1241B">
        <w:rPr>
          <w:rStyle w:val="Refdenotaalpie"/>
          <w:rFonts w:ascii="Gadugi" w:eastAsia="Gadugi" w:hAnsi="Gadugi" w:cs="Gadugi"/>
          <w:sz w:val="24"/>
          <w:szCs w:val="24"/>
        </w:rPr>
        <w:footnoteReference w:id="29"/>
      </w:r>
      <w:r w:rsidRPr="00E1241B">
        <w:rPr>
          <w:rFonts w:ascii="Gadugi" w:eastAsia="Gadugi" w:hAnsi="Gadugi" w:cs="Gadugi"/>
          <w:sz w:val="24"/>
          <w:szCs w:val="24"/>
        </w:rPr>
        <w:t xml:space="preserve"> </w:t>
      </w:r>
      <w:r w:rsidR="00CC221D" w:rsidRPr="00E1241B">
        <w:rPr>
          <w:rFonts w:ascii="Gadugi" w:eastAsia="Gadugi" w:hAnsi="Gadugi" w:cs="Gadugi"/>
          <w:sz w:val="24"/>
          <w:szCs w:val="24"/>
        </w:rPr>
        <w:t xml:space="preserve">Sebastián, Natalia, Pablo Andrés y María del Pilar </w:t>
      </w:r>
      <w:r w:rsidR="00443744" w:rsidRPr="00E1241B">
        <w:rPr>
          <w:rFonts w:ascii="Gadugi" w:eastAsia="Gadugi" w:hAnsi="Gadugi" w:cs="Gadugi"/>
          <w:sz w:val="24"/>
          <w:szCs w:val="24"/>
        </w:rPr>
        <w:t>P</w:t>
      </w:r>
      <w:r w:rsidR="00CC221D" w:rsidRPr="00E1241B">
        <w:rPr>
          <w:rFonts w:ascii="Gadugi" w:eastAsia="Gadugi" w:hAnsi="Gadugi" w:cs="Gadugi"/>
          <w:sz w:val="24"/>
          <w:szCs w:val="24"/>
        </w:rPr>
        <w:t>osada López</w:t>
      </w:r>
      <w:r w:rsidR="00CC221D" w:rsidRPr="00E1241B">
        <w:rPr>
          <w:rStyle w:val="Refdenotaalpie"/>
          <w:rFonts w:ascii="Gadugi" w:eastAsia="Gadugi" w:hAnsi="Gadugi" w:cs="Gadugi"/>
          <w:sz w:val="24"/>
          <w:szCs w:val="24"/>
        </w:rPr>
        <w:footnoteReference w:id="30"/>
      </w:r>
      <w:r w:rsidR="00EE7F7C" w:rsidRPr="00E1241B">
        <w:rPr>
          <w:rFonts w:ascii="Gadugi" w:eastAsia="Gadugi" w:hAnsi="Gadugi" w:cs="Gadugi"/>
          <w:sz w:val="24"/>
          <w:szCs w:val="24"/>
        </w:rPr>
        <w:t>.</w:t>
      </w:r>
      <w:r w:rsidR="00443744" w:rsidRPr="00E1241B">
        <w:rPr>
          <w:rFonts w:ascii="Gadugi" w:eastAsia="Gadugi" w:hAnsi="Gadugi" w:cs="Gadugi"/>
          <w:sz w:val="24"/>
          <w:szCs w:val="24"/>
        </w:rPr>
        <w:t xml:space="preserve"> Al mismo tiempo se vincul</w:t>
      </w:r>
      <w:r w:rsidR="002F340F" w:rsidRPr="00E1241B">
        <w:rPr>
          <w:rFonts w:ascii="Gadugi" w:eastAsia="Gadugi" w:hAnsi="Gadugi" w:cs="Gadugi"/>
          <w:sz w:val="24"/>
          <w:szCs w:val="24"/>
        </w:rPr>
        <w:t>ó a</w:t>
      </w:r>
      <w:r w:rsidR="00443744" w:rsidRPr="00E1241B">
        <w:rPr>
          <w:rFonts w:ascii="Gadugi" w:eastAsia="Gadugi" w:hAnsi="Gadugi" w:cs="Gadugi"/>
          <w:sz w:val="24"/>
          <w:szCs w:val="24"/>
        </w:rPr>
        <w:t xml:space="preserve"> María Cristina, Gustavo Alberto, Norma Cecilia y María Esperanza López Salazar y Germán</w:t>
      </w:r>
      <w:r w:rsidR="001C273E" w:rsidRPr="00E1241B">
        <w:rPr>
          <w:rFonts w:ascii="Gadugi" w:eastAsia="Gadugi" w:hAnsi="Gadugi" w:cs="Gadugi"/>
          <w:sz w:val="24"/>
          <w:szCs w:val="24"/>
        </w:rPr>
        <w:t xml:space="preserve">, Jaime </w:t>
      </w:r>
      <w:r w:rsidR="00B72FD1" w:rsidRPr="00E1241B">
        <w:rPr>
          <w:rFonts w:ascii="Gadugi" w:eastAsia="Gadugi" w:hAnsi="Gadugi" w:cs="Gadugi"/>
          <w:sz w:val="24"/>
          <w:szCs w:val="24"/>
        </w:rPr>
        <w:t xml:space="preserve">y Joaquín Orlando </w:t>
      </w:r>
      <w:r w:rsidR="001C273E" w:rsidRPr="00E1241B">
        <w:rPr>
          <w:rFonts w:ascii="Gadugi" w:eastAsia="Gadugi" w:hAnsi="Gadugi" w:cs="Gadugi"/>
          <w:sz w:val="24"/>
          <w:szCs w:val="24"/>
        </w:rPr>
        <w:t>López Valencia</w:t>
      </w:r>
      <w:r w:rsidR="00B72FD1" w:rsidRPr="00E1241B">
        <w:rPr>
          <w:rFonts w:ascii="Gadugi" w:eastAsia="Gadugi" w:hAnsi="Gadugi" w:cs="Gadugi"/>
          <w:sz w:val="24"/>
          <w:szCs w:val="24"/>
        </w:rPr>
        <w:t xml:space="preserve"> </w:t>
      </w:r>
      <w:r w:rsidR="001E4720" w:rsidRPr="00E1241B">
        <w:rPr>
          <w:rFonts w:ascii="Gadugi" w:eastAsia="Gadugi" w:hAnsi="Gadugi" w:cs="Gadugi"/>
          <w:sz w:val="24"/>
          <w:szCs w:val="24"/>
        </w:rPr>
        <w:t>(</w:t>
      </w:r>
      <w:r w:rsidR="00B72FD1" w:rsidRPr="00E1241B">
        <w:rPr>
          <w:rFonts w:ascii="Gadugi" w:eastAsia="Gadugi" w:hAnsi="Gadugi" w:cs="Gadugi"/>
          <w:sz w:val="24"/>
          <w:szCs w:val="24"/>
        </w:rPr>
        <w:t>de quien se conoció posteriormente que había fallecido</w:t>
      </w:r>
      <w:r w:rsidR="00B72FD1" w:rsidRPr="00E1241B">
        <w:rPr>
          <w:rStyle w:val="Refdenotaalpie"/>
          <w:rFonts w:ascii="Gadugi" w:eastAsia="Gadugi" w:hAnsi="Gadugi" w:cs="Gadugi"/>
          <w:sz w:val="24"/>
          <w:szCs w:val="24"/>
        </w:rPr>
        <w:footnoteReference w:id="31"/>
      </w:r>
      <w:r w:rsidR="001E4720" w:rsidRPr="00E1241B">
        <w:rPr>
          <w:rFonts w:ascii="Gadugi" w:eastAsia="Gadugi" w:hAnsi="Gadugi" w:cs="Gadugi"/>
          <w:sz w:val="24"/>
          <w:szCs w:val="24"/>
        </w:rPr>
        <w:t xml:space="preserve">), </w:t>
      </w:r>
      <w:r w:rsidR="00B72FD1" w:rsidRPr="00E1241B">
        <w:rPr>
          <w:rFonts w:ascii="Gadugi" w:eastAsia="Gadugi" w:hAnsi="Gadugi" w:cs="Gadugi"/>
          <w:sz w:val="24"/>
          <w:szCs w:val="24"/>
        </w:rPr>
        <w:t xml:space="preserve"> </w:t>
      </w:r>
      <w:r w:rsidR="001C273E" w:rsidRPr="00E1241B">
        <w:rPr>
          <w:rFonts w:ascii="Gadugi" w:eastAsia="Gadugi" w:hAnsi="Gadugi" w:cs="Gadugi"/>
          <w:sz w:val="24"/>
          <w:szCs w:val="24"/>
        </w:rPr>
        <w:t>Silvia y Norma Cecilia López Serna</w:t>
      </w:r>
      <w:r w:rsidR="00443744" w:rsidRPr="00E1241B">
        <w:rPr>
          <w:rStyle w:val="Refdenotaalpie"/>
          <w:rFonts w:ascii="Gadugi" w:eastAsia="Gadugi" w:hAnsi="Gadugi" w:cs="Gadugi"/>
          <w:sz w:val="24"/>
          <w:szCs w:val="24"/>
        </w:rPr>
        <w:footnoteReference w:id="32"/>
      </w:r>
      <w:r w:rsidR="00F33723" w:rsidRPr="00E1241B">
        <w:rPr>
          <w:rFonts w:ascii="Gadugi" w:eastAsia="Gadugi" w:hAnsi="Gadugi" w:cs="Gadugi"/>
          <w:sz w:val="24"/>
          <w:szCs w:val="24"/>
        </w:rPr>
        <w:t xml:space="preserve"> </w:t>
      </w:r>
      <w:r w:rsidR="001E4720" w:rsidRPr="00E1241B">
        <w:rPr>
          <w:rFonts w:ascii="Gadugi" w:eastAsia="Gadugi" w:hAnsi="Gadugi" w:cs="Gadugi"/>
          <w:sz w:val="24"/>
          <w:szCs w:val="24"/>
        </w:rPr>
        <w:t xml:space="preserve">y </w:t>
      </w:r>
      <w:r w:rsidR="00F33723" w:rsidRPr="00E1241B">
        <w:rPr>
          <w:rFonts w:ascii="Gadugi" w:eastAsia="Gadugi" w:hAnsi="Gadugi" w:cs="Gadugi"/>
          <w:sz w:val="24"/>
          <w:szCs w:val="24"/>
        </w:rPr>
        <w:t xml:space="preserve">los herederos indeterminados de Pascual López </w:t>
      </w:r>
      <w:proofErr w:type="spellStart"/>
      <w:r w:rsidR="00F33723" w:rsidRPr="00E1241B">
        <w:rPr>
          <w:rFonts w:ascii="Gadugi" w:eastAsia="Gadugi" w:hAnsi="Gadugi" w:cs="Gadugi"/>
          <w:sz w:val="24"/>
          <w:szCs w:val="24"/>
        </w:rPr>
        <w:t>López</w:t>
      </w:r>
      <w:proofErr w:type="spellEnd"/>
      <w:r w:rsidR="00F33723" w:rsidRPr="00E1241B">
        <w:rPr>
          <w:rStyle w:val="Refdenotaalpie"/>
          <w:rFonts w:ascii="Gadugi" w:eastAsia="Gadugi" w:hAnsi="Gadugi" w:cs="Gadugi"/>
          <w:sz w:val="24"/>
          <w:szCs w:val="24"/>
        </w:rPr>
        <w:footnoteReference w:id="33"/>
      </w:r>
      <w:r w:rsidR="00573D98" w:rsidRPr="00E1241B">
        <w:rPr>
          <w:rFonts w:ascii="Gadugi" w:eastAsia="Gadugi" w:hAnsi="Gadugi" w:cs="Gadugi"/>
          <w:sz w:val="24"/>
          <w:szCs w:val="24"/>
        </w:rPr>
        <w:t>.</w:t>
      </w:r>
      <w:r w:rsidR="00CC221D" w:rsidRPr="00E1241B">
        <w:rPr>
          <w:rFonts w:ascii="Gadugi" w:eastAsia="Gadugi" w:hAnsi="Gadugi" w:cs="Gadugi"/>
          <w:sz w:val="24"/>
          <w:szCs w:val="24"/>
        </w:rPr>
        <w:t xml:space="preserve"> </w:t>
      </w:r>
    </w:p>
    <w:p w14:paraId="61F2A370" w14:textId="77777777" w:rsidR="00936111" w:rsidRPr="00E1241B" w:rsidRDefault="0093611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F088148" w14:textId="3442C4E3" w:rsidR="002F340F" w:rsidRPr="00E1241B" w:rsidRDefault="002F34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Tras conocerse el deceso de los señores Javier Hermógenes López Serna</w:t>
      </w:r>
      <w:r w:rsidRPr="00E1241B">
        <w:rPr>
          <w:rStyle w:val="Refdenotaalpie"/>
          <w:rFonts w:ascii="Gadugi" w:eastAsia="Gadugi" w:hAnsi="Gadugi" w:cs="Gadugi"/>
          <w:sz w:val="24"/>
          <w:szCs w:val="24"/>
        </w:rPr>
        <w:footnoteReference w:id="34"/>
      </w:r>
      <w:r w:rsidRPr="00E1241B">
        <w:rPr>
          <w:rFonts w:ascii="Gadugi" w:eastAsia="Gadugi" w:hAnsi="Gadugi" w:cs="Gadugi"/>
          <w:sz w:val="24"/>
          <w:szCs w:val="24"/>
        </w:rPr>
        <w:t xml:space="preserve"> y de </w:t>
      </w:r>
      <w:r w:rsidR="007244D7" w:rsidRPr="00E1241B">
        <w:rPr>
          <w:rFonts w:ascii="Gadugi" w:eastAsia="Gadugi" w:hAnsi="Gadugi" w:cs="Gadugi"/>
          <w:sz w:val="24"/>
          <w:szCs w:val="24"/>
        </w:rPr>
        <w:t>Mario López Valencia</w:t>
      </w:r>
      <w:r w:rsidR="00781AA0" w:rsidRPr="00E1241B">
        <w:rPr>
          <w:rFonts w:ascii="Gadugi" w:eastAsia="Gadugi" w:hAnsi="Gadugi" w:cs="Gadugi"/>
          <w:sz w:val="24"/>
          <w:szCs w:val="24"/>
        </w:rPr>
        <w:t>,</w:t>
      </w:r>
      <w:r w:rsidR="007244D7" w:rsidRPr="00E1241B">
        <w:rPr>
          <w:rFonts w:ascii="Gadugi" w:eastAsia="Gadugi" w:hAnsi="Gadugi" w:cs="Gadugi"/>
          <w:sz w:val="24"/>
          <w:szCs w:val="24"/>
        </w:rPr>
        <w:t xml:space="preserve"> </w:t>
      </w:r>
      <w:r w:rsidR="007F19DE" w:rsidRPr="00E1241B">
        <w:rPr>
          <w:rFonts w:ascii="Gadugi" w:eastAsia="Gadugi" w:hAnsi="Gadugi" w:cs="Gadugi"/>
          <w:sz w:val="24"/>
          <w:szCs w:val="24"/>
        </w:rPr>
        <w:t>por auto del 3 de diciembre de 2021 se decretó la interrupción del proceso,</w:t>
      </w:r>
      <w:r w:rsidR="007F19DE" w:rsidRPr="00E1241B">
        <w:rPr>
          <w:rStyle w:val="Refdenotaalpie"/>
          <w:rFonts w:ascii="Gadugi" w:eastAsia="Gadugi" w:hAnsi="Gadugi" w:cs="Gadugi"/>
          <w:sz w:val="24"/>
          <w:szCs w:val="24"/>
        </w:rPr>
        <w:footnoteReference w:id="35"/>
      </w:r>
      <w:r w:rsidR="00781AA0" w:rsidRPr="00E1241B">
        <w:rPr>
          <w:rFonts w:ascii="Gadugi" w:eastAsia="Gadugi" w:hAnsi="Gadugi" w:cs="Gadugi"/>
          <w:sz w:val="24"/>
          <w:szCs w:val="24"/>
        </w:rPr>
        <w:t xml:space="preserve"> </w:t>
      </w:r>
      <w:r w:rsidR="00FA7332" w:rsidRPr="00E1241B">
        <w:rPr>
          <w:rFonts w:ascii="Gadugi" w:eastAsia="Gadugi" w:hAnsi="Gadugi" w:cs="Gadugi"/>
          <w:sz w:val="24"/>
          <w:szCs w:val="24"/>
        </w:rPr>
        <w:t xml:space="preserve">hasta cuando se le </w:t>
      </w:r>
      <w:r w:rsidR="00781AA0" w:rsidRPr="00E1241B">
        <w:rPr>
          <w:rFonts w:ascii="Gadugi" w:eastAsia="Gadugi" w:hAnsi="Gadugi" w:cs="Gadugi"/>
          <w:sz w:val="24"/>
          <w:szCs w:val="24"/>
        </w:rPr>
        <w:t>design</w:t>
      </w:r>
      <w:r w:rsidR="00FA7332" w:rsidRPr="00E1241B">
        <w:rPr>
          <w:rFonts w:ascii="Gadugi" w:eastAsia="Gadugi" w:hAnsi="Gadugi" w:cs="Gadugi"/>
          <w:sz w:val="24"/>
          <w:szCs w:val="24"/>
        </w:rPr>
        <w:t xml:space="preserve">ó </w:t>
      </w:r>
      <w:r w:rsidR="00781AA0" w:rsidRPr="00E1241B">
        <w:rPr>
          <w:rFonts w:ascii="Gadugi" w:eastAsia="Gadugi" w:hAnsi="Gadugi" w:cs="Gadugi"/>
          <w:sz w:val="24"/>
          <w:szCs w:val="24"/>
        </w:rPr>
        <w:t xml:space="preserve">curador ad litem a los herederos determinados del señor López Valencia, </w:t>
      </w:r>
      <w:r w:rsidR="007F19DE" w:rsidRPr="00E1241B">
        <w:rPr>
          <w:rFonts w:ascii="Gadugi" w:eastAsia="Gadugi" w:hAnsi="Gadugi" w:cs="Gadugi"/>
          <w:sz w:val="24"/>
          <w:szCs w:val="24"/>
        </w:rPr>
        <w:t>ellos fueron, Julián e Isabel Cristina López Londoño, Luis Carlos y Diana Isabel López Valencia</w:t>
      </w:r>
      <w:r w:rsidR="00781AA0" w:rsidRPr="00E1241B">
        <w:rPr>
          <w:rFonts w:ascii="Gadugi" w:eastAsia="Gadugi" w:hAnsi="Gadugi" w:cs="Gadugi"/>
          <w:sz w:val="24"/>
          <w:szCs w:val="24"/>
        </w:rPr>
        <w:t xml:space="preserve">. </w:t>
      </w:r>
    </w:p>
    <w:p w14:paraId="03E16F2F"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CA73B82" w14:textId="65D3C6F0" w:rsidR="00EB43A7"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2.3.</w:t>
      </w:r>
      <w:r w:rsidR="00EB43A7" w:rsidRPr="00E1241B">
        <w:rPr>
          <w:rFonts w:ascii="Gadugi" w:eastAsia="Gadugi" w:hAnsi="Gadugi" w:cs="Gadugi"/>
          <w:sz w:val="24"/>
          <w:szCs w:val="24"/>
        </w:rPr>
        <w:t xml:space="preserve"> </w:t>
      </w:r>
      <w:r w:rsidR="0019321D" w:rsidRPr="00E1241B">
        <w:rPr>
          <w:rFonts w:ascii="Gadugi" w:eastAsia="Gadugi" w:hAnsi="Gadugi" w:cs="Gadugi"/>
          <w:sz w:val="24"/>
          <w:szCs w:val="24"/>
        </w:rPr>
        <w:t>El</w:t>
      </w:r>
      <w:r w:rsidR="00045E0E" w:rsidRPr="00E1241B">
        <w:rPr>
          <w:rFonts w:ascii="Gadugi" w:eastAsia="Gadugi" w:hAnsi="Gadugi" w:cs="Gadugi"/>
          <w:sz w:val="24"/>
          <w:szCs w:val="24"/>
        </w:rPr>
        <w:t xml:space="preserve"> problema que debe resolver la Sala</w:t>
      </w:r>
      <w:r w:rsidR="0019321D" w:rsidRPr="00E1241B">
        <w:rPr>
          <w:rFonts w:ascii="Gadugi" w:eastAsia="Gadugi" w:hAnsi="Gadugi" w:cs="Gadugi"/>
          <w:sz w:val="24"/>
          <w:szCs w:val="24"/>
        </w:rPr>
        <w:t xml:space="preserve"> radica en determinar s</w:t>
      </w:r>
      <w:r w:rsidR="00E05D54" w:rsidRPr="00E1241B">
        <w:rPr>
          <w:rFonts w:ascii="Gadugi" w:eastAsia="Gadugi" w:hAnsi="Gadugi" w:cs="Gadugi"/>
          <w:sz w:val="24"/>
          <w:szCs w:val="24"/>
        </w:rPr>
        <w:t>i confirma el fallo de primera instancia que declaró el dominio en cabeza del demandante; o si la revoca, como piden algunos de los demandados</w:t>
      </w:r>
      <w:r w:rsidR="00045E0E" w:rsidRPr="00E1241B">
        <w:rPr>
          <w:rFonts w:ascii="Gadugi" w:eastAsia="Gadugi" w:hAnsi="Gadugi" w:cs="Gadugi"/>
          <w:sz w:val="24"/>
          <w:szCs w:val="24"/>
        </w:rPr>
        <w:t>,</w:t>
      </w:r>
      <w:r w:rsidR="00E05D54" w:rsidRPr="00E1241B">
        <w:rPr>
          <w:rFonts w:ascii="Gadugi" w:eastAsia="Gadugi" w:hAnsi="Gadugi" w:cs="Gadugi"/>
          <w:sz w:val="24"/>
          <w:szCs w:val="24"/>
        </w:rPr>
        <w:t xml:space="preserve"> porque no están dados los presupuestos de la </w:t>
      </w:r>
      <w:r w:rsidR="00570C3E" w:rsidRPr="00E1241B">
        <w:rPr>
          <w:rFonts w:ascii="Gadugi" w:eastAsia="Gadugi" w:hAnsi="Gadugi" w:cs="Gadugi"/>
          <w:sz w:val="24"/>
          <w:szCs w:val="24"/>
        </w:rPr>
        <w:t xml:space="preserve">prescripción adquisitiva, particularmente, el tiempo de la posesión. </w:t>
      </w:r>
    </w:p>
    <w:p w14:paraId="140D8912" w14:textId="77777777" w:rsidR="00F93CCE" w:rsidRPr="00E1241B" w:rsidRDefault="00F93CCE"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3688FE7" w14:textId="37D9396E" w:rsidR="00132487" w:rsidRPr="00E1241B" w:rsidRDefault="00132487" w:rsidP="00E1241B">
      <w:pPr>
        <w:tabs>
          <w:tab w:val="left" w:pos="284"/>
        </w:tabs>
        <w:jc w:val="both"/>
        <w:rPr>
          <w:rFonts w:ascii="Gadugi" w:hAnsi="Gadugi"/>
          <w:sz w:val="24"/>
          <w:szCs w:val="24"/>
          <w:lang w:val="es-ES"/>
        </w:rPr>
      </w:pPr>
      <w:r w:rsidRPr="00E1241B">
        <w:rPr>
          <w:rFonts w:ascii="Gadugi" w:eastAsia="Georgia" w:hAnsi="Gadugi" w:cs="Georgia"/>
          <w:sz w:val="24"/>
          <w:szCs w:val="24"/>
        </w:rPr>
        <w:t xml:space="preserve">2.4. Para definir la cuestión se recuerda que, </w:t>
      </w:r>
      <w:r w:rsidRPr="00E1241B">
        <w:rPr>
          <w:rFonts w:ascii="Gadugi" w:hAnsi="Gadugi"/>
          <w:sz w:val="24"/>
          <w:szCs w:val="24"/>
          <w:lang w:val="es-ES"/>
        </w:rPr>
        <w:t>producto de la redacción del artículo 328 del CGP, el sendero</w:t>
      </w:r>
      <w:r w:rsidRPr="00E1241B">
        <w:rPr>
          <w:rFonts w:ascii="Gadugi" w:hAnsi="Gadugi"/>
          <w:spacing w:val="1"/>
          <w:sz w:val="24"/>
          <w:szCs w:val="24"/>
          <w:lang w:val="es-ES"/>
        </w:rPr>
        <w:t xml:space="preserve"> </w:t>
      </w:r>
      <w:r w:rsidRPr="00E1241B">
        <w:rPr>
          <w:rFonts w:ascii="Gadugi" w:hAnsi="Gadugi"/>
          <w:sz w:val="24"/>
          <w:szCs w:val="24"/>
          <w:lang w:val="es-ES"/>
        </w:rPr>
        <w:t>que</w:t>
      </w:r>
      <w:r w:rsidRPr="00E1241B">
        <w:rPr>
          <w:rFonts w:ascii="Gadugi" w:hAnsi="Gadugi"/>
          <w:spacing w:val="-10"/>
          <w:sz w:val="24"/>
          <w:szCs w:val="24"/>
          <w:lang w:val="es-ES"/>
        </w:rPr>
        <w:t xml:space="preserve"> </w:t>
      </w:r>
      <w:r w:rsidRPr="00E1241B">
        <w:rPr>
          <w:rFonts w:ascii="Gadugi" w:hAnsi="Gadugi"/>
          <w:sz w:val="24"/>
          <w:szCs w:val="24"/>
          <w:lang w:val="es-ES"/>
        </w:rPr>
        <w:t>traza</w:t>
      </w:r>
      <w:r w:rsidRPr="00E1241B">
        <w:rPr>
          <w:rFonts w:ascii="Gadugi" w:hAnsi="Gadugi"/>
          <w:spacing w:val="-10"/>
          <w:sz w:val="24"/>
          <w:szCs w:val="24"/>
          <w:lang w:val="es-ES"/>
        </w:rPr>
        <w:t xml:space="preserve"> </w:t>
      </w:r>
      <w:r w:rsidRPr="00E1241B">
        <w:rPr>
          <w:rFonts w:ascii="Gadugi" w:hAnsi="Gadugi"/>
          <w:sz w:val="24"/>
          <w:szCs w:val="24"/>
          <w:lang w:val="es-ES"/>
        </w:rPr>
        <w:t>la</w:t>
      </w:r>
      <w:r w:rsidRPr="00E1241B">
        <w:rPr>
          <w:rFonts w:ascii="Gadugi" w:hAnsi="Gadugi"/>
          <w:spacing w:val="-8"/>
          <w:sz w:val="24"/>
          <w:szCs w:val="24"/>
          <w:lang w:val="es-ES"/>
        </w:rPr>
        <w:t xml:space="preserve"> </w:t>
      </w:r>
      <w:r w:rsidRPr="00E1241B">
        <w:rPr>
          <w:rFonts w:ascii="Gadugi" w:hAnsi="Gadugi"/>
          <w:sz w:val="24"/>
          <w:szCs w:val="24"/>
          <w:lang w:val="es-ES"/>
        </w:rPr>
        <w:t>competencia</w:t>
      </w:r>
      <w:r w:rsidRPr="00E1241B">
        <w:rPr>
          <w:rFonts w:ascii="Gadugi" w:hAnsi="Gadugi"/>
          <w:spacing w:val="-9"/>
          <w:sz w:val="24"/>
          <w:szCs w:val="24"/>
          <w:lang w:val="es-ES"/>
        </w:rPr>
        <w:t xml:space="preserve"> </w:t>
      </w:r>
      <w:r w:rsidRPr="00E1241B">
        <w:rPr>
          <w:rFonts w:ascii="Gadugi" w:hAnsi="Gadugi"/>
          <w:sz w:val="24"/>
          <w:szCs w:val="24"/>
          <w:lang w:val="es-ES"/>
        </w:rPr>
        <w:t>del</w:t>
      </w:r>
      <w:r w:rsidRPr="00E1241B">
        <w:rPr>
          <w:rFonts w:ascii="Gadugi" w:hAnsi="Gadugi"/>
          <w:spacing w:val="-9"/>
          <w:sz w:val="24"/>
          <w:szCs w:val="24"/>
          <w:lang w:val="es-ES"/>
        </w:rPr>
        <w:t xml:space="preserve"> </w:t>
      </w:r>
      <w:r w:rsidRPr="00E1241B">
        <w:rPr>
          <w:rFonts w:ascii="Gadugi" w:hAnsi="Gadugi"/>
          <w:sz w:val="24"/>
          <w:szCs w:val="24"/>
          <w:lang w:val="es-ES"/>
        </w:rPr>
        <w:t>superior</w:t>
      </w:r>
      <w:r w:rsidRPr="00E1241B">
        <w:rPr>
          <w:rFonts w:ascii="Gadugi" w:hAnsi="Gadugi"/>
          <w:spacing w:val="-7"/>
          <w:sz w:val="24"/>
          <w:szCs w:val="24"/>
          <w:lang w:val="es-ES"/>
        </w:rPr>
        <w:t xml:space="preserve"> </w:t>
      </w:r>
      <w:r w:rsidRPr="00E1241B">
        <w:rPr>
          <w:rFonts w:ascii="Gadugi" w:hAnsi="Gadugi"/>
          <w:sz w:val="24"/>
          <w:szCs w:val="24"/>
          <w:lang w:val="es-ES"/>
        </w:rPr>
        <w:t>está</w:t>
      </w:r>
      <w:r w:rsidRPr="00E1241B">
        <w:rPr>
          <w:rFonts w:ascii="Gadugi" w:hAnsi="Gadugi"/>
          <w:spacing w:val="-9"/>
          <w:sz w:val="24"/>
          <w:szCs w:val="24"/>
          <w:lang w:val="es-ES"/>
        </w:rPr>
        <w:t xml:space="preserve"> </w:t>
      </w:r>
      <w:r w:rsidRPr="00E1241B">
        <w:rPr>
          <w:rFonts w:ascii="Gadugi" w:hAnsi="Gadugi"/>
          <w:sz w:val="24"/>
          <w:szCs w:val="24"/>
          <w:lang w:val="es-ES"/>
        </w:rPr>
        <w:t>dado</w:t>
      </w:r>
      <w:r w:rsidRPr="00E1241B">
        <w:rPr>
          <w:rFonts w:ascii="Gadugi" w:hAnsi="Gadugi"/>
          <w:spacing w:val="-10"/>
          <w:sz w:val="24"/>
          <w:szCs w:val="24"/>
          <w:lang w:val="es-ES"/>
        </w:rPr>
        <w:t xml:space="preserve"> </w:t>
      </w:r>
      <w:r w:rsidRPr="00E1241B">
        <w:rPr>
          <w:rFonts w:ascii="Gadugi" w:hAnsi="Gadugi"/>
          <w:sz w:val="24"/>
          <w:szCs w:val="24"/>
          <w:lang w:val="es-ES"/>
        </w:rPr>
        <w:t>por</w:t>
      </w:r>
      <w:r w:rsidRPr="00E1241B">
        <w:rPr>
          <w:rFonts w:ascii="Gadugi" w:hAnsi="Gadugi"/>
          <w:spacing w:val="-9"/>
          <w:sz w:val="24"/>
          <w:szCs w:val="24"/>
          <w:lang w:val="es-ES"/>
        </w:rPr>
        <w:t xml:space="preserve"> </w:t>
      </w:r>
      <w:r w:rsidRPr="00E1241B">
        <w:rPr>
          <w:rFonts w:ascii="Gadugi" w:hAnsi="Gadugi"/>
          <w:sz w:val="24"/>
          <w:szCs w:val="24"/>
          <w:lang w:val="es-ES"/>
        </w:rPr>
        <w:t>aquellos</w:t>
      </w:r>
      <w:r w:rsidRPr="00E1241B">
        <w:rPr>
          <w:rFonts w:ascii="Gadugi" w:hAnsi="Gadugi"/>
          <w:spacing w:val="-8"/>
          <w:sz w:val="24"/>
          <w:szCs w:val="24"/>
          <w:lang w:val="es-ES"/>
        </w:rPr>
        <w:t xml:space="preserve"> </w:t>
      </w:r>
      <w:r w:rsidRPr="00E1241B">
        <w:rPr>
          <w:rFonts w:ascii="Gadugi" w:hAnsi="Gadugi"/>
          <w:sz w:val="24"/>
          <w:szCs w:val="24"/>
          <w:lang w:val="es-ES"/>
        </w:rPr>
        <w:t>aspectos</w:t>
      </w:r>
      <w:r w:rsidRPr="00E1241B">
        <w:rPr>
          <w:rFonts w:ascii="Gadugi" w:hAnsi="Gadugi"/>
          <w:spacing w:val="-9"/>
          <w:sz w:val="24"/>
          <w:szCs w:val="24"/>
          <w:lang w:val="es-ES"/>
        </w:rPr>
        <w:t xml:space="preserve"> </w:t>
      </w:r>
      <w:r w:rsidRPr="00E1241B">
        <w:rPr>
          <w:rFonts w:ascii="Gadugi" w:hAnsi="Gadugi"/>
          <w:sz w:val="24"/>
          <w:szCs w:val="24"/>
          <w:lang w:val="es-ES"/>
        </w:rPr>
        <w:t>que fueron objeto</w:t>
      </w:r>
      <w:r w:rsidRPr="00E1241B">
        <w:rPr>
          <w:rFonts w:ascii="Gadugi" w:hAnsi="Gadugi"/>
          <w:spacing w:val="-3"/>
          <w:sz w:val="24"/>
          <w:szCs w:val="24"/>
          <w:lang w:val="es-ES"/>
        </w:rPr>
        <w:t xml:space="preserve"> </w:t>
      </w:r>
      <w:r w:rsidRPr="00E1241B">
        <w:rPr>
          <w:rFonts w:ascii="Gadugi" w:hAnsi="Gadugi"/>
          <w:sz w:val="24"/>
          <w:szCs w:val="24"/>
          <w:lang w:val="es-ES"/>
        </w:rPr>
        <w:t>de</w:t>
      </w:r>
      <w:r w:rsidRPr="00E1241B">
        <w:rPr>
          <w:rFonts w:ascii="Gadugi" w:hAnsi="Gadugi"/>
          <w:spacing w:val="-6"/>
          <w:sz w:val="24"/>
          <w:szCs w:val="24"/>
          <w:lang w:val="es-ES"/>
        </w:rPr>
        <w:t xml:space="preserve"> </w:t>
      </w:r>
      <w:r w:rsidRPr="00E1241B">
        <w:rPr>
          <w:rFonts w:ascii="Gadugi" w:hAnsi="Gadugi"/>
          <w:sz w:val="24"/>
          <w:szCs w:val="24"/>
          <w:lang w:val="es-ES"/>
        </w:rPr>
        <w:t>impugnación,</w:t>
      </w:r>
      <w:r w:rsidRPr="00E1241B">
        <w:rPr>
          <w:rFonts w:ascii="Gadugi" w:hAnsi="Gadugi"/>
          <w:spacing w:val="-3"/>
          <w:sz w:val="24"/>
          <w:szCs w:val="24"/>
          <w:lang w:val="es-ES"/>
        </w:rPr>
        <w:t xml:space="preserve"> </w:t>
      </w:r>
      <w:r w:rsidRPr="00E1241B">
        <w:rPr>
          <w:rFonts w:ascii="Gadugi" w:hAnsi="Gadugi"/>
          <w:sz w:val="24"/>
          <w:szCs w:val="24"/>
          <w:lang w:val="es-ES"/>
        </w:rPr>
        <w:t>sin</w:t>
      </w:r>
      <w:r w:rsidRPr="00E1241B">
        <w:rPr>
          <w:rFonts w:ascii="Gadugi" w:hAnsi="Gadugi"/>
          <w:spacing w:val="-5"/>
          <w:sz w:val="24"/>
          <w:szCs w:val="24"/>
          <w:lang w:val="es-ES"/>
        </w:rPr>
        <w:t xml:space="preserve"> </w:t>
      </w:r>
      <w:r w:rsidRPr="00E1241B">
        <w:rPr>
          <w:rFonts w:ascii="Gadugi" w:hAnsi="Gadugi"/>
          <w:sz w:val="24"/>
          <w:szCs w:val="24"/>
          <w:lang w:val="es-ES"/>
        </w:rPr>
        <w:t>perjuicio</w:t>
      </w:r>
      <w:r w:rsidRPr="00E1241B">
        <w:rPr>
          <w:rFonts w:ascii="Gadugi" w:hAnsi="Gadugi"/>
          <w:spacing w:val="-3"/>
          <w:sz w:val="24"/>
          <w:szCs w:val="24"/>
          <w:lang w:val="es-ES"/>
        </w:rPr>
        <w:t xml:space="preserve"> </w:t>
      </w:r>
      <w:r w:rsidRPr="00E1241B">
        <w:rPr>
          <w:rFonts w:ascii="Gadugi" w:hAnsi="Gadugi"/>
          <w:sz w:val="24"/>
          <w:szCs w:val="24"/>
          <w:lang w:val="es-ES"/>
        </w:rPr>
        <w:t>de</w:t>
      </w:r>
      <w:r w:rsidRPr="00E1241B">
        <w:rPr>
          <w:rFonts w:ascii="Gadugi" w:hAnsi="Gadugi"/>
          <w:spacing w:val="-4"/>
          <w:sz w:val="24"/>
          <w:szCs w:val="24"/>
          <w:lang w:val="es-ES"/>
        </w:rPr>
        <w:t xml:space="preserve"> </w:t>
      </w:r>
      <w:r w:rsidRPr="00E1241B">
        <w:rPr>
          <w:rFonts w:ascii="Gadugi" w:hAnsi="Gadugi"/>
          <w:sz w:val="24"/>
          <w:szCs w:val="24"/>
          <w:lang w:val="es-ES"/>
        </w:rPr>
        <w:t>algunas</w:t>
      </w:r>
      <w:r w:rsidRPr="00E1241B">
        <w:rPr>
          <w:rFonts w:ascii="Gadugi" w:hAnsi="Gadugi"/>
          <w:spacing w:val="-3"/>
          <w:sz w:val="24"/>
          <w:szCs w:val="24"/>
          <w:lang w:val="es-ES"/>
        </w:rPr>
        <w:t xml:space="preserve"> </w:t>
      </w:r>
      <w:r w:rsidRPr="00E1241B">
        <w:rPr>
          <w:rFonts w:ascii="Gadugi" w:hAnsi="Gadugi"/>
          <w:sz w:val="24"/>
          <w:szCs w:val="24"/>
          <w:lang w:val="es-ES"/>
        </w:rPr>
        <w:t>situaciones</w:t>
      </w:r>
      <w:r w:rsidRPr="00E1241B">
        <w:rPr>
          <w:rFonts w:ascii="Gadugi" w:hAnsi="Gadugi"/>
          <w:spacing w:val="-4"/>
          <w:sz w:val="24"/>
          <w:szCs w:val="24"/>
          <w:lang w:val="es-ES"/>
        </w:rPr>
        <w:t xml:space="preserve"> </w:t>
      </w:r>
      <w:r w:rsidRPr="00E1241B">
        <w:rPr>
          <w:rFonts w:ascii="Gadugi" w:hAnsi="Gadugi"/>
          <w:sz w:val="24"/>
          <w:szCs w:val="24"/>
          <w:lang w:val="es-ES"/>
        </w:rPr>
        <w:t>que permiten decidir de oficio (legitimación en la causa, prestaciones mutuas,</w:t>
      </w:r>
      <w:r w:rsidRPr="00E1241B">
        <w:rPr>
          <w:rFonts w:ascii="Gadugi" w:hAnsi="Gadugi"/>
          <w:spacing w:val="1"/>
          <w:sz w:val="24"/>
          <w:szCs w:val="24"/>
          <w:lang w:val="es-ES"/>
        </w:rPr>
        <w:t xml:space="preserve"> </w:t>
      </w:r>
      <w:r w:rsidRPr="00E1241B">
        <w:rPr>
          <w:rFonts w:ascii="Gadugi" w:hAnsi="Gadugi"/>
          <w:sz w:val="24"/>
          <w:szCs w:val="24"/>
          <w:lang w:val="es-ES"/>
        </w:rPr>
        <w:t>asuntos relacionados con la familia, las costas procesales, título ejecutivo, por ejemplo). Es lo</w:t>
      </w:r>
      <w:r w:rsidRPr="00E1241B">
        <w:rPr>
          <w:rFonts w:ascii="Gadugi" w:hAnsi="Gadugi"/>
          <w:spacing w:val="-2"/>
          <w:sz w:val="24"/>
          <w:szCs w:val="24"/>
          <w:lang w:val="es-ES"/>
        </w:rPr>
        <w:t xml:space="preserve"> </w:t>
      </w:r>
      <w:r w:rsidRPr="00E1241B">
        <w:rPr>
          <w:rFonts w:ascii="Gadugi" w:hAnsi="Gadugi"/>
          <w:sz w:val="24"/>
          <w:szCs w:val="24"/>
          <w:lang w:val="es-ES"/>
        </w:rPr>
        <w:t>que</w:t>
      </w:r>
      <w:r w:rsidRPr="00E1241B">
        <w:rPr>
          <w:rFonts w:ascii="Gadugi" w:hAnsi="Gadugi"/>
          <w:spacing w:val="-4"/>
          <w:sz w:val="24"/>
          <w:szCs w:val="24"/>
          <w:lang w:val="es-ES"/>
        </w:rPr>
        <w:t xml:space="preserve"> </w:t>
      </w:r>
      <w:r w:rsidRPr="00E1241B">
        <w:rPr>
          <w:rFonts w:ascii="Gadugi" w:hAnsi="Gadugi"/>
          <w:sz w:val="24"/>
          <w:szCs w:val="24"/>
          <w:lang w:val="es-ES"/>
        </w:rPr>
        <w:t>se</w:t>
      </w:r>
      <w:r w:rsidRPr="00E1241B">
        <w:rPr>
          <w:rFonts w:ascii="Gadugi" w:hAnsi="Gadugi"/>
          <w:spacing w:val="-4"/>
          <w:sz w:val="24"/>
          <w:szCs w:val="24"/>
          <w:lang w:val="es-ES"/>
        </w:rPr>
        <w:t xml:space="preserve"> </w:t>
      </w:r>
      <w:r w:rsidRPr="00E1241B">
        <w:rPr>
          <w:rFonts w:ascii="Gadugi" w:hAnsi="Gadugi"/>
          <w:sz w:val="24"/>
          <w:szCs w:val="24"/>
          <w:lang w:val="es-ES"/>
        </w:rPr>
        <w:t>ha</w:t>
      </w:r>
      <w:r w:rsidRPr="00E1241B">
        <w:rPr>
          <w:rFonts w:ascii="Gadugi" w:hAnsi="Gadugi"/>
          <w:spacing w:val="-6"/>
          <w:sz w:val="24"/>
          <w:szCs w:val="24"/>
          <w:lang w:val="es-ES"/>
        </w:rPr>
        <w:t xml:space="preserve"> </w:t>
      </w:r>
      <w:r w:rsidRPr="00E1241B">
        <w:rPr>
          <w:rFonts w:ascii="Gadugi" w:hAnsi="Gadugi"/>
          <w:sz w:val="24"/>
          <w:szCs w:val="24"/>
          <w:lang w:val="es-ES"/>
        </w:rPr>
        <w:t>dado</w:t>
      </w:r>
      <w:r w:rsidRPr="00E1241B">
        <w:rPr>
          <w:rFonts w:ascii="Gadugi" w:hAnsi="Gadugi"/>
          <w:spacing w:val="-4"/>
          <w:sz w:val="24"/>
          <w:szCs w:val="24"/>
          <w:lang w:val="es-ES"/>
        </w:rPr>
        <w:t xml:space="preserve"> </w:t>
      </w:r>
      <w:r w:rsidRPr="00E1241B">
        <w:rPr>
          <w:rFonts w:ascii="Gadugi" w:hAnsi="Gadugi"/>
          <w:sz w:val="24"/>
          <w:szCs w:val="24"/>
          <w:lang w:val="es-ES"/>
        </w:rPr>
        <w:t>en</w:t>
      </w:r>
      <w:r w:rsidRPr="00E1241B">
        <w:rPr>
          <w:rFonts w:ascii="Gadugi" w:hAnsi="Gadugi"/>
          <w:spacing w:val="-4"/>
          <w:sz w:val="24"/>
          <w:szCs w:val="24"/>
          <w:lang w:val="es-ES"/>
        </w:rPr>
        <w:t xml:space="preserve"> </w:t>
      </w:r>
      <w:r w:rsidRPr="00E1241B">
        <w:rPr>
          <w:rFonts w:ascii="Gadugi" w:hAnsi="Gadugi"/>
          <w:sz w:val="24"/>
          <w:szCs w:val="24"/>
          <w:lang w:val="es-ES"/>
        </w:rPr>
        <w:t>denominar</w:t>
      </w:r>
      <w:r w:rsidRPr="00E1241B">
        <w:rPr>
          <w:rFonts w:ascii="Gadugi" w:hAnsi="Gadugi"/>
          <w:spacing w:val="-3"/>
          <w:sz w:val="24"/>
          <w:szCs w:val="24"/>
          <w:lang w:val="es-ES"/>
        </w:rPr>
        <w:t xml:space="preserve"> </w:t>
      </w:r>
      <w:r w:rsidRPr="00E1241B">
        <w:rPr>
          <w:rFonts w:ascii="Gadugi" w:hAnsi="Gadugi"/>
          <w:sz w:val="24"/>
          <w:szCs w:val="24"/>
          <w:lang w:val="es-ES"/>
        </w:rPr>
        <w:t>la</w:t>
      </w:r>
      <w:r w:rsidRPr="00E1241B">
        <w:rPr>
          <w:rFonts w:ascii="Gadugi" w:hAnsi="Gadugi"/>
          <w:spacing w:val="-4"/>
          <w:sz w:val="24"/>
          <w:szCs w:val="24"/>
          <w:lang w:val="es-ES"/>
        </w:rPr>
        <w:t xml:space="preserve"> </w:t>
      </w:r>
      <w:r w:rsidRPr="00E1241B">
        <w:rPr>
          <w:rFonts w:ascii="Gadugi" w:hAnsi="Gadugi"/>
          <w:sz w:val="24"/>
          <w:szCs w:val="24"/>
          <w:lang w:val="es-ES"/>
        </w:rPr>
        <w:t>pretensión</w:t>
      </w:r>
      <w:r w:rsidRPr="00E1241B">
        <w:rPr>
          <w:rFonts w:ascii="Gadugi" w:hAnsi="Gadugi"/>
          <w:spacing w:val="-1"/>
          <w:sz w:val="24"/>
          <w:szCs w:val="24"/>
          <w:lang w:val="es-ES"/>
        </w:rPr>
        <w:t xml:space="preserve"> </w:t>
      </w:r>
      <w:r w:rsidRPr="00E1241B">
        <w:rPr>
          <w:rFonts w:ascii="Gadugi" w:hAnsi="Gadugi"/>
          <w:sz w:val="24"/>
          <w:szCs w:val="24"/>
          <w:lang w:val="es-ES"/>
        </w:rPr>
        <w:t>impugnaticia,</w:t>
      </w:r>
      <w:r w:rsidRPr="00E1241B">
        <w:rPr>
          <w:rFonts w:ascii="Gadugi" w:hAnsi="Gadugi"/>
          <w:spacing w:val="-1"/>
          <w:sz w:val="24"/>
          <w:szCs w:val="24"/>
          <w:lang w:val="es-ES"/>
        </w:rPr>
        <w:t xml:space="preserve"> </w:t>
      </w:r>
      <w:r w:rsidRPr="00E1241B">
        <w:rPr>
          <w:rFonts w:ascii="Gadugi" w:hAnsi="Gadugi"/>
          <w:sz w:val="24"/>
          <w:szCs w:val="24"/>
          <w:lang w:val="es-ES"/>
        </w:rPr>
        <w:t>como</w:t>
      </w:r>
      <w:r w:rsidRPr="00E1241B">
        <w:rPr>
          <w:rFonts w:ascii="Gadugi" w:hAnsi="Gadugi"/>
          <w:spacing w:val="-4"/>
          <w:sz w:val="24"/>
          <w:szCs w:val="24"/>
          <w:lang w:val="es-ES"/>
        </w:rPr>
        <w:t xml:space="preserve"> </w:t>
      </w:r>
      <w:r w:rsidRPr="00E1241B">
        <w:rPr>
          <w:rFonts w:ascii="Gadugi" w:hAnsi="Gadugi"/>
          <w:sz w:val="24"/>
          <w:szCs w:val="24"/>
          <w:lang w:val="es-ES"/>
        </w:rPr>
        <w:t>ha</w:t>
      </w:r>
      <w:r w:rsidRPr="00E1241B">
        <w:rPr>
          <w:rFonts w:ascii="Gadugi" w:hAnsi="Gadugi"/>
          <w:spacing w:val="-5"/>
          <w:sz w:val="24"/>
          <w:szCs w:val="24"/>
          <w:lang w:val="es-ES"/>
        </w:rPr>
        <w:t xml:space="preserve"> </w:t>
      </w:r>
      <w:r w:rsidRPr="00E1241B">
        <w:rPr>
          <w:rFonts w:ascii="Gadugi" w:hAnsi="Gadugi"/>
          <w:sz w:val="24"/>
          <w:szCs w:val="24"/>
          <w:lang w:val="es-ES"/>
        </w:rPr>
        <w:t>sido reconocido por esta Sala de tiempo atrás</w:t>
      </w:r>
      <w:r w:rsidRPr="00E1241B">
        <w:rPr>
          <w:rStyle w:val="Refdenotaalpie"/>
          <w:rFonts w:ascii="Gadugi" w:hAnsi="Gadugi"/>
          <w:sz w:val="24"/>
          <w:szCs w:val="24"/>
          <w:lang w:val="es-ES"/>
        </w:rPr>
        <w:footnoteReference w:id="36"/>
      </w:r>
      <w:r w:rsidRPr="00E1241B">
        <w:rPr>
          <w:rFonts w:ascii="Gadugi" w:hAnsi="Gadugi"/>
          <w:spacing w:val="1"/>
          <w:position w:val="9"/>
          <w:sz w:val="24"/>
          <w:szCs w:val="24"/>
          <w:lang w:val="es-ES"/>
        </w:rPr>
        <w:t xml:space="preserve"> </w:t>
      </w:r>
      <w:r w:rsidRPr="00E1241B">
        <w:rPr>
          <w:rFonts w:ascii="Gadugi" w:hAnsi="Gadugi"/>
          <w:sz w:val="24"/>
          <w:szCs w:val="24"/>
          <w:lang w:val="es-ES"/>
        </w:rPr>
        <w:t>y lo han reiterado otras</w:t>
      </w:r>
      <w:r w:rsidRPr="00E1241B">
        <w:rPr>
          <w:rStyle w:val="Refdenotaalpie"/>
          <w:rFonts w:ascii="Gadugi" w:hAnsi="Gadugi"/>
          <w:sz w:val="24"/>
          <w:szCs w:val="24"/>
          <w:lang w:val="es-ES"/>
        </w:rPr>
        <w:footnoteReference w:id="37"/>
      </w:r>
      <w:r w:rsidRPr="00E1241B">
        <w:rPr>
          <w:rFonts w:ascii="Gadugi" w:hAnsi="Gadugi"/>
          <w:sz w:val="24"/>
          <w:szCs w:val="24"/>
          <w:lang w:val="es-ES"/>
        </w:rPr>
        <w:t>, con</w:t>
      </w:r>
      <w:r w:rsidRPr="00E1241B">
        <w:rPr>
          <w:rFonts w:ascii="Gadugi" w:hAnsi="Gadugi"/>
          <w:spacing w:val="1"/>
          <w:sz w:val="24"/>
          <w:szCs w:val="24"/>
          <w:lang w:val="es-ES"/>
        </w:rPr>
        <w:t xml:space="preserve"> </w:t>
      </w:r>
      <w:r w:rsidRPr="00E1241B">
        <w:rPr>
          <w:rFonts w:ascii="Gadugi" w:hAnsi="Gadugi"/>
          <w:sz w:val="24"/>
          <w:szCs w:val="24"/>
          <w:lang w:val="es-ES"/>
        </w:rPr>
        <w:t>soporte en decisiones de la Corte, unas de tutela</w:t>
      </w:r>
      <w:r w:rsidRPr="00E1241B">
        <w:rPr>
          <w:rFonts w:ascii="Gadugi" w:hAnsi="Gadugi"/>
          <w:sz w:val="24"/>
          <w:szCs w:val="24"/>
          <w:vertAlign w:val="superscript"/>
          <w:lang w:val="es-ES"/>
        </w:rPr>
        <w:footnoteReference w:id="38"/>
      </w:r>
      <w:r w:rsidRPr="00E1241B">
        <w:rPr>
          <w:rFonts w:ascii="Gadugi" w:hAnsi="Gadugi"/>
          <w:sz w:val="24"/>
          <w:szCs w:val="24"/>
          <w:lang w:val="es-ES"/>
        </w:rPr>
        <w:t>, que se acogen como</w:t>
      </w:r>
      <w:r w:rsidRPr="00E1241B">
        <w:rPr>
          <w:rFonts w:ascii="Gadugi" w:hAnsi="Gadugi"/>
          <w:spacing w:val="1"/>
          <w:sz w:val="24"/>
          <w:szCs w:val="24"/>
          <w:lang w:val="es-ES"/>
        </w:rPr>
        <w:t xml:space="preserve"> </w:t>
      </w:r>
      <w:r w:rsidRPr="00E1241B">
        <w:rPr>
          <w:rFonts w:ascii="Gadugi" w:hAnsi="Gadugi"/>
          <w:sz w:val="24"/>
          <w:szCs w:val="24"/>
          <w:lang w:val="es-ES"/>
        </w:rPr>
        <w:t>criterio</w:t>
      </w:r>
      <w:r w:rsidRPr="00E1241B">
        <w:rPr>
          <w:rFonts w:ascii="Gadugi" w:hAnsi="Gadugi"/>
          <w:spacing w:val="-1"/>
          <w:sz w:val="24"/>
          <w:szCs w:val="24"/>
          <w:lang w:val="es-ES"/>
        </w:rPr>
        <w:t xml:space="preserve"> </w:t>
      </w:r>
      <w:r w:rsidRPr="00E1241B">
        <w:rPr>
          <w:rFonts w:ascii="Gadugi" w:hAnsi="Gadugi"/>
          <w:sz w:val="24"/>
          <w:szCs w:val="24"/>
          <w:lang w:val="es-ES"/>
        </w:rPr>
        <w:t>auxiliar,</w:t>
      </w:r>
      <w:r w:rsidRPr="00E1241B">
        <w:rPr>
          <w:rFonts w:ascii="Gadugi" w:hAnsi="Gadugi"/>
          <w:spacing w:val="1"/>
          <w:sz w:val="24"/>
          <w:szCs w:val="24"/>
          <w:lang w:val="es-ES"/>
        </w:rPr>
        <w:t xml:space="preserve"> </w:t>
      </w:r>
      <w:r w:rsidRPr="00E1241B">
        <w:rPr>
          <w:rFonts w:ascii="Gadugi" w:hAnsi="Gadugi"/>
          <w:sz w:val="24"/>
          <w:szCs w:val="24"/>
          <w:lang w:val="es-ES"/>
        </w:rPr>
        <w:t>y</w:t>
      </w:r>
      <w:r w:rsidRPr="00E1241B">
        <w:rPr>
          <w:rFonts w:ascii="Gadugi" w:hAnsi="Gadugi"/>
          <w:spacing w:val="-2"/>
          <w:sz w:val="24"/>
          <w:szCs w:val="24"/>
          <w:lang w:val="es-ES"/>
        </w:rPr>
        <w:t xml:space="preserve"> </w:t>
      </w:r>
      <w:r w:rsidRPr="00E1241B">
        <w:rPr>
          <w:rFonts w:ascii="Gadugi" w:hAnsi="Gadugi"/>
          <w:sz w:val="24"/>
          <w:szCs w:val="24"/>
          <w:lang w:val="es-ES"/>
        </w:rPr>
        <w:t>otras de casación</w:t>
      </w:r>
      <w:r w:rsidRPr="00E1241B">
        <w:rPr>
          <w:rFonts w:ascii="Gadugi" w:hAnsi="Gadugi"/>
          <w:sz w:val="24"/>
          <w:szCs w:val="24"/>
          <w:vertAlign w:val="superscript"/>
          <w:lang w:val="es-ES"/>
        </w:rPr>
        <w:footnoteReference w:id="39"/>
      </w:r>
      <w:r w:rsidRPr="00E1241B">
        <w:rPr>
          <w:rFonts w:ascii="Gadugi" w:hAnsi="Gadugi"/>
          <w:sz w:val="24"/>
          <w:szCs w:val="24"/>
          <w:lang w:val="es-ES"/>
        </w:rPr>
        <w:t xml:space="preserve">. </w:t>
      </w:r>
    </w:p>
    <w:p w14:paraId="5D65316F" w14:textId="77777777" w:rsidR="00132487" w:rsidRPr="00E1241B" w:rsidRDefault="00132487" w:rsidP="00E1241B">
      <w:pPr>
        <w:tabs>
          <w:tab w:val="left" w:pos="284"/>
        </w:tabs>
        <w:jc w:val="both"/>
        <w:rPr>
          <w:rFonts w:ascii="Gadugi" w:hAnsi="Gadugi"/>
          <w:sz w:val="24"/>
          <w:szCs w:val="24"/>
          <w:lang w:val="es-ES"/>
        </w:rPr>
      </w:pPr>
    </w:p>
    <w:p w14:paraId="050D3EC6" w14:textId="5C5F008C" w:rsidR="00F316DF" w:rsidRPr="00E1241B" w:rsidRDefault="00132487" w:rsidP="00E1241B">
      <w:pPr>
        <w:tabs>
          <w:tab w:val="left" w:pos="284"/>
        </w:tabs>
        <w:jc w:val="both"/>
        <w:rPr>
          <w:rFonts w:ascii="Gadugi" w:eastAsia="Gadugi" w:hAnsi="Gadugi" w:cs="Gadugi"/>
          <w:sz w:val="24"/>
          <w:szCs w:val="24"/>
          <w:vertAlign w:val="superscript"/>
        </w:rPr>
      </w:pPr>
      <w:r w:rsidRPr="00E1241B">
        <w:rPr>
          <w:rFonts w:ascii="Gadugi" w:hAnsi="Gadugi"/>
          <w:sz w:val="24"/>
          <w:szCs w:val="24"/>
          <w:lang w:val="es-ES"/>
        </w:rPr>
        <w:t xml:space="preserve">De ahí que la Sala se ocupará exclusivamente de lo que es motivo de disenso y desde </w:t>
      </w:r>
      <w:r w:rsidR="00F316DF" w:rsidRPr="00E1241B">
        <w:rPr>
          <w:rFonts w:ascii="Gadugi" w:eastAsia="Gadugi" w:hAnsi="Gadugi" w:cs="Gadugi"/>
          <w:sz w:val="24"/>
          <w:szCs w:val="24"/>
        </w:rPr>
        <w:t xml:space="preserve">ya advierte que se prohijará el fallo, pues ninguno de los reparos formulados tiene visos de prosperidad, como quiera que lo atinente al certificado del registrador es tema ya superado y, en todo caso, se </w:t>
      </w:r>
      <w:r w:rsidR="0004716A" w:rsidRPr="00E1241B">
        <w:rPr>
          <w:rFonts w:ascii="Gadugi" w:eastAsia="Gadugi" w:hAnsi="Gadugi" w:cs="Gadugi"/>
          <w:sz w:val="24"/>
          <w:szCs w:val="24"/>
        </w:rPr>
        <w:t>aportó uno especial</w:t>
      </w:r>
      <w:r w:rsidR="00556C5A" w:rsidRPr="00E1241B">
        <w:rPr>
          <w:rFonts w:ascii="Gadugi" w:eastAsia="Gadugi" w:hAnsi="Gadugi" w:cs="Gadugi"/>
          <w:sz w:val="24"/>
          <w:szCs w:val="24"/>
        </w:rPr>
        <w:t>, según se dijo</w:t>
      </w:r>
      <w:r w:rsidR="0004716A" w:rsidRPr="00E1241B">
        <w:rPr>
          <w:rFonts w:ascii="Gadugi" w:eastAsia="Gadugi" w:hAnsi="Gadugi" w:cs="Gadugi"/>
          <w:sz w:val="24"/>
          <w:szCs w:val="24"/>
        </w:rPr>
        <w:t xml:space="preserve">; </w:t>
      </w:r>
      <w:proofErr w:type="gramStart"/>
      <w:r w:rsidR="0004716A" w:rsidRPr="00E1241B">
        <w:rPr>
          <w:rFonts w:ascii="Gadugi" w:eastAsia="Gadugi" w:hAnsi="Gadugi" w:cs="Gadugi"/>
          <w:sz w:val="24"/>
          <w:szCs w:val="24"/>
        </w:rPr>
        <w:t>y</w:t>
      </w:r>
      <w:proofErr w:type="gramEnd"/>
      <w:r w:rsidR="0004716A" w:rsidRPr="00E1241B">
        <w:rPr>
          <w:rFonts w:ascii="Gadugi" w:eastAsia="Gadugi" w:hAnsi="Gadugi" w:cs="Gadugi"/>
          <w:sz w:val="24"/>
          <w:szCs w:val="24"/>
        </w:rPr>
        <w:t xml:space="preserve"> además, se logró establecer que, respecto del demandante, concurren todos los elementos propios de la usucapión. </w:t>
      </w:r>
    </w:p>
    <w:p w14:paraId="7B65A238" w14:textId="77777777" w:rsidR="00F316DF" w:rsidRPr="00E1241B" w:rsidRDefault="00F316D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D91A311" w14:textId="5114F26F" w:rsidR="00FB79F9"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w:t>
      </w:r>
      <w:r w:rsidR="00132487" w:rsidRPr="00E1241B">
        <w:rPr>
          <w:rFonts w:ascii="Gadugi" w:eastAsia="Gadugi" w:hAnsi="Gadugi" w:cs="Gadugi"/>
          <w:sz w:val="24"/>
          <w:szCs w:val="24"/>
        </w:rPr>
        <w:t>5</w:t>
      </w:r>
      <w:r w:rsidRPr="00E1241B">
        <w:rPr>
          <w:rFonts w:ascii="Gadugi" w:eastAsia="Gadugi" w:hAnsi="Gadugi" w:cs="Gadugi"/>
          <w:sz w:val="24"/>
          <w:szCs w:val="24"/>
        </w:rPr>
        <w:t>.</w:t>
      </w:r>
      <w:r w:rsidR="000D2BBD" w:rsidRPr="00E1241B">
        <w:rPr>
          <w:rFonts w:ascii="Gadugi" w:eastAsia="Gadugi" w:hAnsi="Gadugi" w:cs="Gadugi"/>
          <w:sz w:val="24"/>
          <w:szCs w:val="24"/>
        </w:rPr>
        <w:t xml:space="preserve"> </w:t>
      </w:r>
      <w:r w:rsidR="00FB79F9" w:rsidRPr="00E1241B">
        <w:rPr>
          <w:rFonts w:ascii="Gadugi" w:eastAsia="Gadugi" w:hAnsi="Gadugi" w:cs="Gadugi"/>
          <w:sz w:val="24"/>
          <w:szCs w:val="24"/>
        </w:rPr>
        <w:t xml:space="preserve">Se </w:t>
      </w:r>
      <w:r w:rsidR="6E2DA06D" w:rsidRPr="00E1241B">
        <w:rPr>
          <w:rFonts w:ascii="Gadugi" w:eastAsia="Gadugi" w:hAnsi="Gadugi" w:cs="Gadugi"/>
          <w:sz w:val="24"/>
          <w:szCs w:val="24"/>
        </w:rPr>
        <w:t xml:space="preserve">memora </w:t>
      </w:r>
      <w:r w:rsidR="00FB79F9" w:rsidRPr="00E1241B">
        <w:rPr>
          <w:rFonts w:ascii="Gadugi" w:eastAsia="Gadugi" w:hAnsi="Gadugi" w:cs="Gadugi"/>
          <w:sz w:val="24"/>
          <w:szCs w:val="24"/>
        </w:rPr>
        <w:t xml:space="preserve">que la sentencia de primera instancia fue favorable al prescribiente, ya que la funcionaria </w:t>
      </w:r>
      <w:r w:rsidR="006A07B9" w:rsidRPr="00E1241B">
        <w:rPr>
          <w:rFonts w:ascii="Gadugi" w:eastAsia="Gadugi" w:hAnsi="Gadugi" w:cs="Gadugi"/>
          <w:sz w:val="24"/>
          <w:szCs w:val="24"/>
        </w:rPr>
        <w:t xml:space="preserve">halló que </w:t>
      </w:r>
      <w:r w:rsidR="00FB79F9" w:rsidRPr="00E1241B">
        <w:rPr>
          <w:rFonts w:ascii="Gadugi" w:eastAsia="Gadugi" w:hAnsi="Gadugi" w:cs="Gadugi"/>
          <w:sz w:val="24"/>
          <w:szCs w:val="24"/>
        </w:rPr>
        <w:t>acredit</w:t>
      </w:r>
      <w:r w:rsidR="006A07B9" w:rsidRPr="00E1241B">
        <w:rPr>
          <w:rFonts w:ascii="Gadugi" w:eastAsia="Gadugi" w:hAnsi="Gadugi" w:cs="Gadugi"/>
          <w:sz w:val="24"/>
          <w:szCs w:val="24"/>
        </w:rPr>
        <w:t>ó</w:t>
      </w:r>
      <w:r w:rsidR="00FB79F9" w:rsidRPr="00E1241B">
        <w:rPr>
          <w:rFonts w:ascii="Gadugi" w:eastAsia="Gadugi" w:hAnsi="Gadugi" w:cs="Gadugi"/>
          <w:sz w:val="24"/>
          <w:szCs w:val="24"/>
        </w:rPr>
        <w:t xml:space="preserve"> la posesión que alega, conforme al tiempo y </w:t>
      </w:r>
      <w:r w:rsidR="00FB79F9" w:rsidRPr="00E1241B">
        <w:rPr>
          <w:rFonts w:ascii="Gadugi" w:eastAsia="Gadugi" w:hAnsi="Gadugi" w:cs="Gadugi"/>
          <w:sz w:val="24"/>
          <w:szCs w:val="24"/>
        </w:rPr>
        <w:lastRenderedPageBreak/>
        <w:t>modo definidos en la ley. Indicó que la posesión que el demandante ejercía en calidad de heredero cambió a una posesión exclusiva después de que el coheredero</w:t>
      </w:r>
      <w:r w:rsidR="006A07B9" w:rsidRPr="00E1241B">
        <w:rPr>
          <w:rFonts w:ascii="Gadugi" w:eastAsia="Gadugi" w:hAnsi="Gadugi" w:cs="Gadugi"/>
          <w:sz w:val="24"/>
          <w:szCs w:val="24"/>
        </w:rPr>
        <w:t xml:space="preserve"> Mario López Valencia</w:t>
      </w:r>
      <w:r w:rsidR="00FB79F9" w:rsidRPr="00E1241B">
        <w:rPr>
          <w:rFonts w:ascii="Gadugi" w:eastAsia="Gadugi" w:hAnsi="Gadugi" w:cs="Gadugi"/>
          <w:sz w:val="24"/>
          <w:szCs w:val="24"/>
        </w:rPr>
        <w:t xml:space="preserve"> abandonara el bien en el año 2004. A partir de ese momento, el demandante comenzó a realizar actos de señor y dueño, desconociendo a los otros coherederos.</w:t>
      </w:r>
    </w:p>
    <w:p w14:paraId="12225D25" w14:textId="77777777" w:rsidR="00AE0906" w:rsidRPr="00E1241B" w:rsidRDefault="00AE090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D2861CF" w14:textId="38EEF10A" w:rsidR="00452056" w:rsidRPr="00E1241B" w:rsidRDefault="005E5C1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2.6. Los embates que se proponen contra el fallo son dos: (i) </w:t>
      </w:r>
      <w:r w:rsidR="00645BED" w:rsidRPr="00E1241B">
        <w:rPr>
          <w:rFonts w:ascii="Gadugi" w:eastAsia="Gadugi" w:hAnsi="Gadugi" w:cs="Gadugi"/>
          <w:sz w:val="24"/>
          <w:szCs w:val="24"/>
        </w:rPr>
        <w:t xml:space="preserve">que al expediente no se arrimó el certificado del registrador </w:t>
      </w:r>
      <w:r w:rsidR="00AD74F1" w:rsidRPr="00E1241B">
        <w:rPr>
          <w:rFonts w:ascii="Gadugi" w:eastAsia="Gadugi" w:hAnsi="Gadugi" w:cs="Gadugi"/>
          <w:sz w:val="24"/>
          <w:szCs w:val="24"/>
        </w:rPr>
        <w:t xml:space="preserve">de que trata el artículo 375 del CGP, que debe ser especial y en los términos de la </w:t>
      </w:r>
      <w:r w:rsidR="00D713D6" w:rsidRPr="00E1241B">
        <w:rPr>
          <w:rFonts w:ascii="Gadugi" w:eastAsia="Gadugi" w:hAnsi="Gadugi" w:cs="Gadugi"/>
          <w:sz w:val="24"/>
          <w:szCs w:val="24"/>
        </w:rPr>
        <w:t xml:space="preserve">Ley 1579 de 2012. </w:t>
      </w:r>
      <w:r w:rsidR="00BF3602" w:rsidRPr="00E1241B">
        <w:rPr>
          <w:rFonts w:ascii="Gadugi" w:eastAsia="Gadugi" w:hAnsi="Gadugi" w:cs="Gadugi"/>
          <w:sz w:val="24"/>
          <w:szCs w:val="24"/>
        </w:rPr>
        <w:t xml:space="preserve">Y (ii) que no es cierto, como se afirma en la providencia, que Diego López Serna hubiese </w:t>
      </w:r>
      <w:r w:rsidR="00633E59" w:rsidRPr="00E1241B">
        <w:rPr>
          <w:rFonts w:ascii="Gadugi" w:eastAsia="Gadugi" w:hAnsi="Gadugi" w:cs="Gadugi"/>
          <w:sz w:val="24"/>
          <w:szCs w:val="24"/>
        </w:rPr>
        <w:t>acreditado su posesión exclusiva desde e</w:t>
      </w:r>
      <w:r w:rsidR="007E2323" w:rsidRPr="00E1241B">
        <w:rPr>
          <w:rFonts w:ascii="Gadugi" w:eastAsia="Gadugi" w:hAnsi="Gadugi" w:cs="Gadugi"/>
          <w:sz w:val="24"/>
          <w:szCs w:val="24"/>
        </w:rPr>
        <w:t>l</w:t>
      </w:r>
      <w:r w:rsidR="00633E59" w:rsidRPr="00E1241B">
        <w:rPr>
          <w:rFonts w:ascii="Gadugi" w:eastAsia="Gadugi" w:hAnsi="Gadugi" w:cs="Gadugi"/>
          <w:sz w:val="24"/>
          <w:szCs w:val="24"/>
        </w:rPr>
        <w:t xml:space="preserve"> </w:t>
      </w:r>
      <w:r w:rsidR="007E2323" w:rsidRPr="00E1241B">
        <w:rPr>
          <w:rFonts w:ascii="Gadugi" w:eastAsia="Gadugi" w:hAnsi="Gadugi" w:cs="Gadugi"/>
          <w:sz w:val="24"/>
          <w:szCs w:val="24"/>
        </w:rPr>
        <w:t xml:space="preserve">año 2004, pues, de un lado, Colombia López Serna, una vez falleció su tía, quiso ingresar al inmueble, pero </w:t>
      </w:r>
      <w:r w:rsidR="00452056" w:rsidRPr="00E1241B">
        <w:rPr>
          <w:rFonts w:ascii="Gadugi" w:eastAsia="Gadugi" w:hAnsi="Gadugi" w:cs="Gadugi"/>
          <w:sz w:val="24"/>
          <w:szCs w:val="24"/>
        </w:rPr>
        <w:t xml:space="preserve">Diego le negó el acceso; y del otro, siempre ha poseído como heredero, lo que hizo en compañía de Mario López Valencia. </w:t>
      </w:r>
      <w:r w:rsidR="00D9381A" w:rsidRPr="00E1241B">
        <w:rPr>
          <w:rFonts w:ascii="Gadugi" w:eastAsia="Gadugi" w:hAnsi="Gadugi" w:cs="Gadugi"/>
          <w:sz w:val="24"/>
          <w:szCs w:val="24"/>
        </w:rPr>
        <w:t xml:space="preserve">Tan claro es, que reconoció dominio ajeno al </w:t>
      </w:r>
      <w:r w:rsidR="00A36DE7" w:rsidRPr="00E1241B">
        <w:rPr>
          <w:rFonts w:ascii="Gadugi" w:eastAsia="Gadugi" w:hAnsi="Gadugi" w:cs="Gadugi"/>
          <w:sz w:val="24"/>
          <w:szCs w:val="24"/>
        </w:rPr>
        <w:t xml:space="preserve">autenticar unos poderes en los años </w:t>
      </w:r>
      <w:r w:rsidR="00EC428C" w:rsidRPr="00E1241B">
        <w:rPr>
          <w:rFonts w:ascii="Gadugi" w:eastAsia="Gadugi" w:hAnsi="Gadugi" w:cs="Gadugi"/>
          <w:sz w:val="24"/>
          <w:szCs w:val="24"/>
        </w:rPr>
        <w:t xml:space="preserve">2013 y 2015 para llevar a cabo la sucesión de la causante Pastora López </w:t>
      </w:r>
      <w:proofErr w:type="spellStart"/>
      <w:r w:rsidR="00EC428C" w:rsidRPr="00E1241B">
        <w:rPr>
          <w:rFonts w:ascii="Gadugi" w:eastAsia="Gadugi" w:hAnsi="Gadugi" w:cs="Gadugi"/>
          <w:sz w:val="24"/>
          <w:szCs w:val="24"/>
        </w:rPr>
        <w:t>López</w:t>
      </w:r>
      <w:proofErr w:type="spellEnd"/>
      <w:r w:rsidR="00850A01" w:rsidRPr="00E1241B">
        <w:rPr>
          <w:rFonts w:ascii="Gadugi" w:eastAsia="Gadugi" w:hAnsi="Gadugi" w:cs="Gadugi"/>
          <w:sz w:val="24"/>
          <w:szCs w:val="24"/>
        </w:rPr>
        <w:t xml:space="preserve">. Además, </w:t>
      </w:r>
      <w:r w:rsidR="008051DB" w:rsidRPr="00E1241B">
        <w:rPr>
          <w:rFonts w:ascii="Gadugi" w:eastAsia="Gadugi" w:hAnsi="Gadugi" w:cs="Gadugi"/>
          <w:sz w:val="24"/>
          <w:szCs w:val="24"/>
        </w:rPr>
        <w:t xml:space="preserve">Mario López Valencia, al contestar la demanda, dijo que él había puesto algunas mejoras en el inmueble, al paso que Virginia y Colombia López señalaron que </w:t>
      </w:r>
      <w:r w:rsidR="00D57C18" w:rsidRPr="00E1241B">
        <w:rPr>
          <w:rFonts w:ascii="Gadugi" w:eastAsia="Gadugi" w:hAnsi="Gadugi" w:cs="Gadugi"/>
          <w:sz w:val="24"/>
          <w:szCs w:val="24"/>
        </w:rPr>
        <w:t xml:space="preserve">aportaron dineros para los gastos de conservación y mantenimiento del </w:t>
      </w:r>
      <w:r w:rsidR="00B24BEC" w:rsidRPr="00E1241B">
        <w:rPr>
          <w:rFonts w:ascii="Gadugi" w:eastAsia="Gadugi" w:hAnsi="Gadugi" w:cs="Gadugi"/>
          <w:sz w:val="24"/>
          <w:szCs w:val="24"/>
        </w:rPr>
        <w:t>mismo. Concluyen, entonces, que la interversión no pudo darse en esa época y hasta la fecha de promoción de la demanda no había transcurrido</w:t>
      </w:r>
      <w:r w:rsidR="00AD57B6" w:rsidRPr="00E1241B">
        <w:rPr>
          <w:rFonts w:ascii="Gadugi" w:eastAsia="Gadugi" w:hAnsi="Gadugi" w:cs="Gadugi"/>
          <w:sz w:val="24"/>
          <w:szCs w:val="24"/>
        </w:rPr>
        <w:t xml:space="preserve"> el tiempo suficiente para ganar por prescripción. </w:t>
      </w:r>
    </w:p>
    <w:p w14:paraId="16CCD2B7" w14:textId="77777777" w:rsidR="00AD57B6" w:rsidRPr="00E1241B" w:rsidRDefault="00AD57B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5CA2CF4F" w14:textId="6130C6F2" w:rsidR="00F13C8A" w:rsidRPr="00E1241B" w:rsidRDefault="00D1276E"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2.7. La primera crítica fracas</w:t>
      </w:r>
      <w:r w:rsidR="00797D9D" w:rsidRPr="00E1241B">
        <w:rPr>
          <w:rFonts w:ascii="Gadugi" w:eastAsia="Gadugi" w:hAnsi="Gadugi" w:cs="Gadugi"/>
          <w:sz w:val="24"/>
          <w:szCs w:val="24"/>
        </w:rPr>
        <w:t>a</w:t>
      </w:r>
      <w:r w:rsidR="00556C5A" w:rsidRPr="00E1241B">
        <w:rPr>
          <w:rFonts w:ascii="Gadugi" w:eastAsia="Gadugi" w:hAnsi="Gadugi" w:cs="Gadugi"/>
          <w:sz w:val="24"/>
          <w:szCs w:val="24"/>
        </w:rPr>
        <w:t xml:space="preserve">, como ya está </w:t>
      </w:r>
      <w:r w:rsidR="00AE0906" w:rsidRPr="00E1241B">
        <w:rPr>
          <w:rFonts w:ascii="Gadugi" w:eastAsia="Gadugi" w:hAnsi="Gadugi" w:cs="Gadugi"/>
          <w:sz w:val="24"/>
          <w:szCs w:val="24"/>
        </w:rPr>
        <w:t>señalado</w:t>
      </w:r>
      <w:r w:rsidR="00556C5A" w:rsidRPr="00E1241B">
        <w:rPr>
          <w:rFonts w:ascii="Gadugi" w:eastAsia="Gadugi" w:hAnsi="Gadugi" w:cs="Gadugi"/>
          <w:sz w:val="24"/>
          <w:szCs w:val="24"/>
        </w:rPr>
        <w:t xml:space="preserve">, </w:t>
      </w:r>
      <w:r w:rsidR="00DD34B4" w:rsidRPr="00E1241B">
        <w:rPr>
          <w:rFonts w:ascii="Gadugi" w:eastAsia="Gadugi" w:hAnsi="Gadugi" w:cs="Gadugi"/>
          <w:sz w:val="24"/>
          <w:szCs w:val="24"/>
        </w:rPr>
        <w:t xml:space="preserve">no solo porque el certificado inicialmente allegado era suficiente, sino, porque luego se aportó el especial que el recurrente echa de menos, tal como se explicó al </w:t>
      </w:r>
      <w:r w:rsidR="00F13C8A" w:rsidRPr="00E1241B">
        <w:rPr>
          <w:rFonts w:ascii="Gadugi" w:eastAsia="Gadugi" w:hAnsi="Gadugi" w:cs="Gadugi"/>
          <w:sz w:val="24"/>
          <w:szCs w:val="24"/>
        </w:rPr>
        <w:t xml:space="preserve">dar por superados los presupuestos procesales. </w:t>
      </w:r>
    </w:p>
    <w:p w14:paraId="7C2BDEF3" w14:textId="77777777" w:rsidR="00F13C8A" w:rsidRPr="00E1241B" w:rsidRDefault="00F13C8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139EB46" w14:textId="32407D8A" w:rsidR="00D11E04" w:rsidRPr="00E1241B" w:rsidRDefault="00F13C8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2.8. Y la segunda también</w:t>
      </w:r>
      <w:r w:rsidR="0088366D" w:rsidRPr="00E1241B">
        <w:rPr>
          <w:rFonts w:ascii="Gadugi" w:eastAsia="Gadugi" w:hAnsi="Gadugi" w:cs="Gadugi"/>
          <w:sz w:val="24"/>
          <w:szCs w:val="24"/>
        </w:rPr>
        <w:t xml:space="preserve"> decae</w:t>
      </w:r>
      <w:r w:rsidRPr="00E1241B">
        <w:rPr>
          <w:rFonts w:ascii="Gadugi" w:eastAsia="Gadugi" w:hAnsi="Gadugi" w:cs="Gadugi"/>
          <w:sz w:val="24"/>
          <w:szCs w:val="24"/>
        </w:rPr>
        <w:t xml:space="preserve">. </w:t>
      </w:r>
    </w:p>
    <w:p w14:paraId="2761C9F0" w14:textId="77777777" w:rsidR="00FB79F9" w:rsidRPr="00E1241B" w:rsidRDefault="00FB79F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C8627F7" w14:textId="08A4EDC9" w:rsidR="001C7442" w:rsidRPr="00E1241B" w:rsidRDefault="00AE090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Se recuerda que </w:t>
      </w:r>
      <w:r w:rsidR="001C7442" w:rsidRPr="00E1241B">
        <w:rPr>
          <w:rFonts w:ascii="Gadugi" w:eastAsia="Gadugi" w:hAnsi="Gadugi" w:cs="Gadugi"/>
          <w:bCs/>
          <w:sz w:val="24"/>
          <w:szCs w:val="24"/>
        </w:rPr>
        <w:t>el derecho real de dominio</w:t>
      </w:r>
      <w:r w:rsidRPr="00E1241B">
        <w:rPr>
          <w:rFonts w:ascii="Gadugi" w:eastAsia="Gadugi" w:hAnsi="Gadugi" w:cs="Gadugi"/>
          <w:bCs/>
          <w:sz w:val="24"/>
          <w:szCs w:val="24"/>
        </w:rPr>
        <w:t>,</w:t>
      </w:r>
      <w:r w:rsidR="001C7442" w:rsidRPr="00E1241B">
        <w:rPr>
          <w:rFonts w:ascii="Gadugi" w:eastAsia="Gadugi" w:hAnsi="Gadugi" w:cs="Gadugi"/>
          <w:sz w:val="24"/>
          <w:szCs w:val="24"/>
        </w:rPr>
        <w:t xml:space="preserve"> a términos del artículo 673 del Código Civil</w:t>
      </w:r>
      <w:r w:rsidRPr="00E1241B">
        <w:rPr>
          <w:rFonts w:ascii="Gadugi" w:eastAsia="Gadugi" w:hAnsi="Gadugi" w:cs="Gadugi"/>
          <w:sz w:val="24"/>
          <w:szCs w:val="24"/>
        </w:rPr>
        <w:t>,</w:t>
      </w:r>
      <w:r w:rsidR="001C7442" w:rsidRPr="00E1241B">
        <w:rPr>
          <w:rFonts w:ascii="Gadugi" w:eastAsia="Gadugi" w:hAnsi="Gadugi" w:cs="Gadugi"/>
          <w:sz w:val="24"/>
          <w:szCs w:val="24"/>
        </w:rPr>
        <w:t xml:space="preserve"> se puede adquirir por los modos de la ocupación, la accesión, la tradición, la sucesión por causa de muerte y la prescripción. Esta última modalidad es extintiva o adquisitiva; y la adquisitiva, a su vez, ordinaria o extraordinaria (art. 2527 ib.).</w:t>
      </w:r>
    </w:p>
    <w:p w14:paraId="5299D0D0" w14:textId="77777777" w:rsidR="001C7442" w:rsidRPr="00E1241B" w:rsidRDefault="001C744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E7A4DDC" w14:textId="1828B1C5" w:rsidR="00050A7F" w:rsidRPr="00E1241B" w:rsidRDefault="001C7442"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419"/>
        </w:rPr>
      </w:pPr>
      <w:r w:rsidRPr="00E1241B">
        <w:rPr>
          <w:rFonts w:ascii="Gadugi" w:eastAsia="Gadugi" w:hAnsi="Gadugi" w:cs="Gadugi"/>
          <w:sz w:val="24"/>
          <w:szCs w:val="24"/>
        </w:rPr>
        <w:t>La usucapión,</w:t>
      </w:r>
      <w:r w:rsidR="00A22CFB" w:rsidRPr="00E1241B">
        <w:rPr>
          <w:rFonts w:ascii="Gadugi" w:eastAsia="Gadugi" w:hAnsi="Gadugi" w:cs="Gadugi"/>
          <w:sz w:val="24"/>
          <w:szCs w:val="24"/>
        </w:rPr>
        <w:t xml:space="preserve"> </w:t>
      </w:r>
      <w:r w:rsidR="00050A7F" w:rsidRPr="00E1241B">
        <w:rPr>
          <w:rFonts w:ascii="Gadugi" w:eastAsia="Gadugi" w:hAnsi="Gadugi" w:cs="Gadugi"/>
          <w:sz w:val="24"/>
          <w:szCs w:val="24"/>
          <w:lang w:val="es-ES"/>
        </w:rPr>
        <w:t>según el artículo 2518 del Código Civil, impone para su prosperidad la satisfacción de unos elementos, a saber: (i) la posesión que detente quien desea ganar una cosa corporal, mueble o inmueble, ajena, susceptible de adquirir por ese modo; (ii) el transcurso del tiempo en las condiciones señaladas en la ley; y (iii) que la aludida posesión sea pública, pacífica e ininterrumpida, sin perjuicio de lo que adelante se dir</w:t>
      </w:r>
      <w:r w:rsidR="002E76F5">
        <w:rPr>
          <w:rFonts w:ascii="Gadugi" w:eastAsia="Gadugi" w:hAnsi="Gadugi" w:cs="Gadugi"/>
          <w:sz w:val="24"/>
          <w:szCs w:val="24"/>
          <w:lang w:val="es-ES"/>
        </w:rPr>
        <w:t>á</w:t>
      </w:r>
      <w:r w:rsidR="00050A7F" w:rsidRPr="00E1241B">
        <w:rPr>
          <w:rFonts w:ascii="Gadugi" w:eastAsia="Gadugi" w:hAnsi="Gadugi" w:cs="Gadugi"/>
          <w:sz w:val="24"/>
          <w:szCs w:val="24"/>
          <w:lang w:val="es-419"/>
        </w:rPr>
        <w:t xml:space="preserve"> sobre la regular e irregular. </w:t>
      </w:r>
    </w:p>
    <w:p w14:paraId="677F1806" w14:textId="5509B6FB" w:rsidR="00020018" w:rsidRPr="002E76F5"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419"/>
        </w:rPr>
      </w:pPr>
    </w:p>
    <w:p w14:paraId="1D644235" w14:textId="77777777"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b/>
          <w:sz w:val="24"/>
          <w:szCs w:val="24"/>
          <w:lang w:val="es-419"/>
        </w:rPr>
      </w:pPr>
      <w:r w:rsidRPr="00E1241B">
        <w:rPr>
          <w:rFonts w:ascii="Gadugi" w:eastAsia="Gadugi" w:hAnsi="Gadugi" w:cs="Gadugi"/>
          <w:sz w:val="24"/>
          <w:szCs w:val="24"/>
          <w:lang w:val="es-419"/>
        </w:rPr>
        <w:t xml:space="preserve">Así lo ha señalado la jurisprudencia. En lo más reciente de la Sala de Casación Civil de la Corte Suprema, se trae a colación la sentencia SC19903-2017, del 29 de noviembre </w:t>
      </w:r>
      <w:r w:rsidRPr="00E1241B">
        <w:rPr>
          <w:rFonts w:ascii="Gadugi" w:eastAsia="Gadugi" w:hAnsi="Gadugi" w:cs="Gadugi"/>
          <w:sz w:val="24"/>
          <w:szCs w:val="24"/>
          <w:lang w:val="es-419"/>
        </w:rPr>
        <w:lastRenderedPageBreak/>
        <w:t xml:space="preserve">de 2017, radicado 73268-31-03-002-2011-00145-01, con ponencia del Magistrado Luis Armando Tolosa Villabona, en la que sintetizó tales exigencias y agregó sobre la perentoriedad de que la tenencia material de una cosa con ánimo de señor y dueño surja libre de cualquier incertidumbre. Sobre esto último, dijo allí la alta Corporación: </w:t>
      </w:r>
    </w:p>
    <w:p w14:paraId="2A4CB343" w14:textId="77777777"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MX"/>
        </w:rPr>
      </w:pPr>
    </w:p>
    <w:p w14:paraId="5B85DA2B" w14:textId="77777777" w:rsidR="00243B86" w:rsidRPr="00A62EBA" w:rsidRDefault="00243B86" w:rsidP="00A62EBA">
      <w:pPr>
        <w:pBdr>
          <w:top w:val="nil"/>
          <w:left w:val="nil"/>
          <w:bottom w:val="nil"/>
          <w:right w:val="nil"/>
          <w:between w:val="nil"/>
        </w:pBdr>
        <w:spacing w:line="240" w:lineRule="auto"/>
        <w:ind w:left="426" w:right="420"/>
        <w:jc w:val="both"/>
        <w:rPr>
          <w:rFonts w:ascii="Gadugi" w:eastAsia="Gadugi" w:hAnsi="Gadugi" w:cs="Gadugi"/>
          <w:i/>
          <w:iCs/>
          <w:szCs w:val="24"/>
          <w:lang w:val="es-ES"/>
        </w:rPr>
      </w:pPr>
      <w:r w:rsidRPr="00A62EBA">
        <w:rPr>
          <w:rFonts w:ascii="Gadugi" w:eastAsia="Gadugi" w:hAnsi="Gadugi" w:cs="Gadugi"/>
          <w:i/>
          <w:iCs/>
          <w:szCs w:val="24"/>
          <w:lang w:val="es-ES"/>
        </w:rPr>
        <w:t xml:space="preserve">Si la posesión material, por tanto, es equívoca o ambigua, no puede fundar una declaración de pertenencia, por las consecuencias que semejante decisión comporta, pues de aceptarse la ambigüedad llevaría a admitir que el ordenamiento permite alterar el derecho de dominio, así respecto de la relación posesoria medie la duda o dosis de incertidumbre. Por esto, para hablar de desposesión del dueño y privación de su derecho, el contacto material de la cosa con quien pretende serlo, aduciendo real o presuntamente “animus </w:t>
      </w:r>
      <w:proofErr w:type="spellStart"/>
      <w:r w:rsidRPr="00A62EBA">
        <w:rPr>
          <w:rFonts w:ascii="Gadugi" w:eastAsia="Gadugi" w:hAnsi="Gadugi" w:cs="Gadugi"/>
          <w:i/>
          <w:iCs/>
          <w:szCs w:val="24"/>
          <w:lang w:val="es-ES"/>
        </w:rPr>
        <w:t>domini</w:t>
      </w:r>
      <w:proofErr w:type="spellEnd"/>
      <w:r w:rsidRPr="00A62EBA">
        <w:rPr>
          <w:rFonts w:ascii="Gadugi" w:eastAsia="Gadugi" w:hAnsi="Gadugi" w:cs="Gadugi"/>
          <w:i/>
          <w:iCs/>
          <w:szCs w:val="24"/>
          <w:lang w:val="es-ES"/>
        </w:rPr>
        <w:t xml:space="preserve"> rem </w:t>
      </w:r>
      <w:proofErr w:type="spellStart"/>
      <w:r w:rsidRPr="00A62EBA">
        <w:rPr>
          <w:rFonts w:ascii="Gadugi" w:eastAsia="Gadugi" w:hAnsi="Gadugi" w:cs="Gadugi"/>
          <w:i/>
          <w:iCs/>
          <w:szCs w:val="24"/>
          <w:lang w:val="es-ES"/>
        </w:rPr>
        <w:t>sibi</w:t>
      </w:r>
      <w:proofErr w:type="spellEnd"/>
      <w:r w:rsidRPr="00A62EBA">
        <w:rPr>
          <w:rFonts w:ascii="Gadugi" w:eastAsia="Gadugi" w:hAnsi="Gadugi" w:cs="Gadugi"/>
          <w:i/>
          <w:iCs/>
          <w:szCs w:val="24"/>
          <w:lang w:val="es-ES"/>
        </w:rPr>
        <w:t xml:space="preserve"> </w:t>
      </w:r>
      <w:proofErr w:type="spellStart"/>
      <w:r w:rsidRPr="00A62EBA">
        <w:rPr>
          <w:rFonts w:ascii="Gadugi" w:eastAsia="Gadugi" w:hAnsi="Gadugi" w:cs="Gadugi"/>
          <w:i/>
          <w:iCs/>
          <w:szCs w:val="24"/>
          <w:lang w:val="es-ES"/>
        </w:rPr>
        <w:t>habendi</w:t>
      </w:r>
      <w:proofErr w:type="spellEnd"/>
      <w:r w:rsidRPr="00A62EBA">
        <w:rPr>
          <w:rFonts w:ascii="Gadugi" w:eastAsia="Gadugi" w:hAnsi="Gadugi" w:cs="Gadugi"/>
          <w:i/>
          <w:iCs/>
          <w:szCs w:val="24"/>
          <w:lang w:val="es-ES"/>
        </w:rPr>
        <w:t>” (</w:t>
      </w:r>
      <w:r w:rsidRPr="00A62EBA">
        <w:rPr>
          <w:rFonts w:ascii="Gadugi" w:eastAsia="Gadugi" w:hAnsi="Gadugi" w:cs="Gadugi"/>
          <w:i/>
          <w:iCs/>
          <w:szCs w:val="24"/>
        </w:rPr>
        <w:t>Ánimo de quedarse con la cosa</w:t>
      </w:r>
      <w:r w:rsidRPr="00A62EBA">
        <w:rPr>
          <w:rFonts w:ascii="Gadugi" w:eastAsia="Gadugi" w:hAnsi="Gadugi" w:cs="Gadugi"/>
          <w:i/>
          <w:iCs/>
          <w:szCs w:val="24"/>
          <w:lang w:val="es-ES"/>
        </w:rPr>
        <w:t xml:space="preserve">), requiere que sea cierto y claro, sin resquicio para la zozobra; que la posesión sea pública, pacífica e ininterrumpida. </w:t>
      </w:r>
    </w:p>
    <w:p w14:paraId="390F92BE" w14:textId="77777777"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ES"/>
        </w:rPr>
      </w:pPr>
    </w:p>
    <w:p w14:paraId="257D44D0" w14:textId="1FC4B9B3"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419"/>
        </w:rPr>
      </w:pPr>
      <w:r w:rsidRPr="00E1241B">
        <w:rPr>
          <w:rFonts w:ascii="Gadugi" w:eastAsia="Gadugi" w:hAnsi="Gadugi" w:cs="Gadugi"/>
          <w:sz w:val="24"/>
          <w:szCs w:val="24"/>
          <w:lang w:val="es-419"/>
        </w:rPr>
        <w:t>Y cuando de posesión se habla, el artículo 762 del mismo estatuto prescribe que ella es la tenencia de una cosa determinada co</w:t>
      </w:r>
      <w:r w:rsidR="00415D0A" w:rsidRPr="00E1241B">
        <w:rPr>
          <w:rFonts w:ascii="Gadugi" w:eastAsia="Gadugi" w:hAnsi="Gadugi" w:cs="Gadugi"/>
          <w:sz w:val="24"/>
          <w:szCs w:val="24"/>
          <w:lang w:val="es-419"/>
        </w:rPr>
        <w:t>n ánimo de señor y</w:t>
      </w:r>
      <w:r w:rsidRPr="00E1241B">
        <w:rPr>
          <w:rFonts w:ascii="Gadugi" w:eastAsia="Gadugi" w:hAnsi="Gadugi" w:cs="Gadugi"/>
          <w:sz w:val="24"/>
          <w:szCs w:val="24"/>
          <w:lang w:val="es-419"/>
        </w:rPr>
        <w:t xml:space="preserve"> dueño y entraña una presunción de dominio. Es decir, que son dos requisitos los que se deben cumplir para reputarse como poseedor: uno material y otro volitivo; el primero referido a la detentación de la cosa por sí o por interpuesta persona; y el segundo a la manifiesta intención de comportarse respecto de ella como el verdadero dueño. </w:t>
      </w:r>
    </w:p>
    <w:p w14:paraId="51C5A578" w14:textId="77777777"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419"/>
        </w:rPr>
      </w:pPr>
    </w:p>
    <w:p w14:paraId="2669D87E" w14:textId="0C0D5914"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lang w:val="es-419"/>
        </w:rPr>
      </w:pPr>
      <w:r w:rsidRPr="00E1241B">
        <w:rPr>
          <w:rFonts w:ascii="Gadugi" w:eastAsia="Gadugi" w:hAnsi="Gadugi" w:cs="Gadugi"/>
          <w:sz w:val="24"/>
          <w:szCs w:val="24"/>
          <w:lang w:val="es-419"/>
        </w:rPr>
        <w:t>Ahora bien, regula el artículo 777 del C. Civil que “</w:t>
      </w:r>
      <w:r w:rsidRPr="001D6A78">
        <w:rPr>
          <w:rFonts w:ascii="Gadugi" w:eastAsia="Gadugi" w:hAnsi="Gadugi" w:cs="Gadugi"/>
          <w:i/>
          <w:iCs/>
          <w:szCs w:val="24"/>
          <w:lang w:val="es-419"/>
        </w:rPr>
        <w:t>El simple lapso de tiempo no muda la mera tenencia en posesión</w:t>
      </w:r>
      <w:r w:rsidRPr="00E1241B">
        <w:rPr>
          <w:rFonts w:ascii="Gadugi" w:eastAsia="Gadugi" w:hAnsi="Gadugi" w:cs="Gadugi"/>
          <w:i/>
          <w:iCs/>
          <w:sz w:val="24"/>
          <w:szCs w:val="24"/>
          <w:lang w:val="es-419"/>
        </w:rPr>
        <w:t>”</w:t>
      </w:r>
      <w:r w:rsidRPr="00E1241B">
        <w:rPr>
          <w:rFonts w:ascii="Gadugi" w:eastAsia="Gadugi" w:hAnsi="Gadugi" w:cs="Gadugi"/>
          <w:sz w:val="24"/>
          <w:szCs w:val="24"/>
          <w:lang w:val="es-419"/>
        </w:rPr>
        <w:t>, por ello, quien asume la tenencia de una cosa con la aquiescencia de su propietario</w:t>
      </w:r>
      <w:r w:rsidR="0090797C" w:rsidRPr="00E1241B">
        <w:rPr>
          <w:rFonts w:ascii="Gadugi" w:eastAsia="Gadugi" w:hAnsi="Gadugi" w:cs="Gadugi"/>
          <w:sz w:val="24"/>
          <w:szCs w:val="24"/>
          <w:lang w:val="es-419"/>
        </w:rPr>
        <w:t xml:space="preserve"> o como heredero</w:t>
      </w:r>
      <w:r w:rsidRPr="00E1241B">
        <w:rPr>
          <w:rFonts w:ascii="Gadugi" w:eastAsia="Gadugi" w:hAnsi="Gadugi" w:cs="Gadugi"/>
          <w:sz w:val="24"/>
          <w:szCs w:val="24"/>
          <w:lang w:val="es-419"/>
        </w:rPr>
        <w:t>, conservará esa misma condición sin consideración al tiempo que haya transcurrido desde cuando le fue entregada, salvo</w:t>
      </w:r>
      <w:r w:rsidR="00AE0906" w:rsidRPr="00E1241B">
        <w:rPr>
          <w:rFonts w:ascii="Gadugi" w:eastAsia="Gadugi" w:hAnsi="Gadugi" w:cs="Gadugi"/>
          <w:sz w:val="24"/>
          <w:szCs w:val="24"/>
          <w:lang w:val="es-419"/>
        </w:rPr>
        <w:t xml:space="preserve"> </w:t>
      </w:r>
      <w:r w:rsidRPr="00E1241B">
        <w:rPr>
          <w:rFonts w:ascii="Gadugi" w:eastAsia="Gadugi" w:hAnsi="Gadugi" w:cs="Gadugi"/>
          <w:sz w:val="24"/>
          <w:szCs w:val="24"/>
          <w:lang w:val="es-419"/>
        </w:rPr>
        <w:t>que se produzca la interversión de la misma a la de verdadero poseedor, caso en el cual tiene que quedar plenamente establecido que, en un momento dado, se rebeló contra el dueño</w:t>
      </w:r>
      <w:r w:rsidR="0090797C" w:rsidRPr="00E1241B">
        <w:rPr>
          <w:rFonts w:ascii="Gadugi" w:eastAsia="Gadugi" w:hAnsi="Gadugi" w:cs="Gadugi"/>
          <w:sz w:val="24"/>
          <w:szCs w:val="24"/>
          <w:lang w:val="es-419"/>
        </w:rPr>
        <w:t xml:space="preserve"> o los </w:t>
      </w:r>
      <w:r w:rsidR="0088366D" w:rsidRPr="00E1241B">
        <w:rPr>
          <w:rFonts w:ascii="Gadugi" w:eastAsia="Gadugi" w:hAnsi="Gadugi" w:cs="Gadugi"/>
          <w:sz w:val="24"/>
          <w:szCs w:val="24"/>
          <w:lang w:val="es-419"/>
        </w:rPr>
        <w:t xml:space="preserve">demás </w:t>
      </w:r>
      <w:r w:rsidR="0090797C" w:rsidRPr="00E1241B">
        <w:rPr>
          <w:rFonts w:ascii="Gadugi" w:eastAsia="Gadugi" w:hAnsi="Gadugi" w:cs="Gadugi"/>
          <w:sz w:val="24"/>
          <w:szCs w:val="24"/>
          <w:lang w:val="es-419"/>
        </w:rPr>
        <w:t>herederos</w:t>
      </w:r>
      <w:r w:rsidRPr="00E1241B">
        <w:rPr>
          <w:rFonts w:ascii="Gadugi" w:eastAsia="Gadugi" w:hAnsi="Gadugi" w:cs="Gadugi"/>
          <w:sz w:val="24"/>
          <w:szCs w:val="24"/>
          <w:lang w:val="es-419"/>
        </w:rPr>
        <w:t xml:space="preserve"> e hizo manifiesta su intención de considerarse tal, porque empezó a ejecutar actos que denotan esa nueva situación y ponen de manifiesto el elemento volitivo señalado. Sobra decir que, cuando así ocurre, al demandante en un proceso de esta estirpe le incumbe probar dos cosas: que hubo tal modificación y cuándo se produjo, pues solo a partir de allí es que puede contabilizarse el término para una eventual usucapión.</w:t>
      </w:r>
    </w:p>
    <w:p w14:paraId="7D21C569" w14:textId="77777777" w:rsidR="00243B86" w:rsidRPr="00E1241B" w:rsidRDefault="00243B8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D89125E" w14:textId="37B03775" w:rsidR="00ED10AE" w:rsidRPr="00E1241B" w:rsidRDefault="0088366D" w:rsidP="00E1241B">
      <w:pPr>
        <w:pBdr>
          <w:top w:val="nil"/>
          <w:left w:val="nil"/>
          <w:bottom w:val="nil"/>
          <w:right w:val="nil"/>
          <w:between w:val="nil"/>
        </w:pBdr>
        <w:tabs>
          <w:tab w:val="left" w:pos="3686"/>
          <w:tab w:val="left" w:pos="4536"/>
        </w:tabs>
        <w:jc w:val="both"/>
        <w:rPr>
          <w:rFonts w:ascii="Gadugi" w:hAnsi="Gadugi" w:cs="Estrangelo Edessa"/>
          <w:sz w:val="24"/>
          <w:szCs w:val="24"/>
        </w:rPr>
      </w:pPr>
      <w:r w:rsidRPr="00E1241B">
        <w:rPr>
          <w:rFonts w:ascii="Gadugi" w:eastAsia="Gadugi" w:hAnsi="Gadugi" w:cs="Gadugi"/>
          <w:sz w:val="24"/>
          <w:szCs w:val="24"/>
        </w:rPr>
        <w:t xml:space="preserve">Recordó la Sala de Casación Civil de la Corte </w:t>
      </w:r>
      <w:r w:rsidR="00111B22" w:rsidRPr="00E1241B">
        <w:rPr>
          <w:rFonts w:ascii="Gadugi" w:eastAsia="Gadugi" w:hAnsi="Gadugi" w:cs="Gadugi"/>
          <w:sz w:val="24"/>
          <w:szCs w:val="24"/>
        </w:rPr>
        <w:t>Suprema de Justicia</w:t>
      </w:r>
      <w:r w:rsidRPr="00E1241B">
        <w:rPr>
          <w:rFonts w:ascii="Gadugi" w:eastAsia="Gadugi" w:hAnsi="Gadugi" w:cs="Gadugi"/>
          <w:sz w:val="24"/>
          <w:szCs w:val="24"/>
        </w:rPr>
        <w:t xml:space="preserve">, en la </w:t>
      </w:r>
      <w:r w:rsidR="007B29A3" w:rsidRPr="00E1241B">
        <w:rPr>
          <w:rFonts w:ascii="Gadugi" w:eastAsia="Gadugi" w:hAnsi="Gadugi" w:cs="Gadugi"/>
          <w:sz w:val="24"/>
          <w:szCs w:val="24"/>
        </w:rPr>
        <w:t xml:space="preserve">sentencia </w:t>
      </w:r>
      <w:proofErr w:type="spellStart"/>
      <w:r w:rsidR="007B29A3" w:rsidRPr="00E1241B">
        <w:rPr>
          <w:rFonts w:ascii="Gadugi" w:eastAsia="Gadugi" w:hAnsi="Gadugi" w:cs="Gadugi"/>
          <w:sz w:val="24"/>
          <w:szCs w:val="24"/>
        </w:rPr>
        <w:t>SC</w:t>
      </w:r>
      <w:r w:rsidR="00ED10AE" w:rsidRPr="00E1241B">
        <w:rPr>
          <w:rFonts w:ascii="Gadugi" w:hAnsi="Gadugi" w:cs="Estrangelo Edessa"/>
          <w:bCs/>
          <w:sz w:val="24"/>
          <w:szCs w:val="24"/>
        </w:rPr>
        <w:t>973</w:t>
      </w:r>
      <w:proofErr w:type="spellEnd"/>
      <w:r w:rsidR="00ED10AE" w:rsidRPr="00E1241B">
        <w:rPr>
          <w:rFonts w:ascii="Gadugi" w:hAnsi="Gadugi" w:cs="Estrangelo Edessa"/>
          <w:bCs/>
          <w:sz w:val="24"/>
          <w:szCs w:val="24"/>
        </w:rPr>
        <w:t>-2021</w:t>
      </w:r>
      <w:r w:rsidRPr="00E1241B">
        <w:rPr>
          <w:rFonts w:ascii="Gadugi" w:hAnsi="Gadugi" w:cs="Estrangelo Edessa"/>
          <w:sz w:val="24"/>
          <w:szCs w:val="24"/>
        </w:rPr>
        <w:t xml:space="preserve">, en punto a dicha interversión, que: </w:t>
      </w:r>
    </w:p>
    <w:p w14:paraId="7DD9D2EB" w14:textId="77777777" w:rsidR="000B6162" w:rsidRPr="00E1241B" w:rsidRDefault="000B616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00586C6" w14:textId="77777777" w:rsidR="00EF7278" w:rsidRPr="00190351" w:rsidRDefault="00EF7278" w:rsidP="00190351">
      <w:pPr>
        <w:spacing w:line="240" w:lineRule="auto"/>
        <w:ind w:left="426" w:right="420"/>
        <w:contextualSpacing/>
        <w:jc w:val="both"/>
        <w:rPr>
          <w:rFonts w:ascii="Gadugi" w:hAnsi="Gadugi"/>
          <w:szCs w:val="24"/>
        </w:rPr>
      </w:pPr>
      <w:r w:rsidRPr="00190351">
        <w:rPr>
          <w:rFonts w:ascii="Gadugi" w:hAnsi="Gadugi"/>
          <w:szCs w:val="24"/>
        </w:rPr>
        <w:t>Tal detentación difiere de la posesión de la herencia en la medida en que con ocasión del fallecimiento del causante sus herederos adquieren la propiedad de los bienes de la sucesión sobre la universalidad del patrimonio del causante, pero no el dominio singular respecto de cada uno de ellos, el que sólo logran cuando se liquida la herencia y se adjudican los bienes correspondientes.</w:t>
      </w:r>
    </w:p>
    <w:p w14:paraId="5F103544" w14:textId="77777777" w:rsidR="00EF7278" w:rsidRPr="00190351" w:rsidRDefault="00EF7278" w:rsidP="00190351">
      <w:pPr>
        <w:spacing w:line="240" w:lineRule="auto"/>
        <w:ind w:left="426" w:right="420"/>
        <w:contextualSpacing/>
        <w:jc w:val="both"/>
        <w:rPr>
          <w:rFonts w:ascii="Gadugi" w:hAnsi="Gadugi"/>
          <w:szCs w:val="24"/>
        </w:rPr>
      </w:pPr>
    </w:p>
    <w:p w14:paraId="0BD85BA8" w14:textId="77777777" w:rsidR="00EF7278" w:rsidRPr="00190351" w:rsidRDefault="00EF7278" w:rsidP="00190351">
      <w:pPr>
        <w:spacing w:line="240" w:lineRule="auto"/>
        <w:ind w:left="426" w:right="420"/>
        <w:contextualSpacing/>
        <w:jc w:val="both"/>
        <w:rPr>
          <w:rFonts w:ascii="Gadugi" w:hAnsi="Gadugi"/>
          <w:szCs w:val="24"/>
        </w:rPr>
      </w:pPr>
      <w:r w:rsidRPr="00190351">
        <w:rPr>
          <w:rFonts w:ascii="Gadugi" w:hAnsi="Gadugi"/>
          <w:szCs w:val="24"/>
        </w:rPr>
        <w:t xml:space="preserve">En otros términos, la posesión es una situación de hecho que se compone de dos elementos: el ánimo y el cuerpo, pero tratándose de la posesión de la herencia, estos </w:t>
      </w:r>
      <w:r w:rsidRPr="00190351">
        <w:rPr>
          <w:rFonts w:ascii="Gadugi" w:hAnsi="Gadugi"/>
          <w:szCs w:val="24"/>
        </w:rPr>
        <w:lastRenderedPageBreak/>
        <w:t xml:space="preserve">principios no actúan, pues el heredero adquiere su posesión de pleno derecho (arts. 757, 783 y 1013 del C.C.), aunque él mismo lo ignore y no tenga las cosas en su poder, lo que puede excluir el </w:t>
      </w:r>
      <w:r w:rsidRPr="00190351">
        <w:rPr>
          <w:rFonts w:ascii="Gadugi" w:hAnsi="Gadugi"/>
          <w:i/>
          <w:iCs/>
          <w:szCs w:val="24"/>
        </w:rPr>
        <w:t>animus</w:t>
      </w:r>
      <w:r w:rsidRPr="00190351">
        <w:rPr>
          <w:rFonts w:ascii="Gadugi" w:hAnsi="Gadugi"/>
          <w:szCs w:val="24"/>
        </w:rPr>
        <w:t xml:space="preserve"> y el </w:t>
      </w:r>
      <w:r w:rsidRPr="00190351">
        <w:rPr>
          <w:rFonts w:ascii="Gadugi" w:hAnsi="Gadugi"/>
          <w:i/>
          <w:iCs/>
          <w:szCs w:val="24"/>
        </w:rPr>
        <w:t>corpus</w:t>
      </w:r>
      <w:r w:rsidRPr="00190351">
        <w:rPr>
          <w:rFonts w:ascii="Gadugi" w:hAnsi="Gadugi"/>
          <w:szCs w:val="24"/>
        </w:rPr>
        <w:t>.</w:t>
      </w:r>
    </w:p>
    <w:p w14:paraId="0640E95E" w14:textId="77777777" w:rsidR="00EF7278" w:rsidRPr="00190351" w:rsidRDefault="00EF7278" w:rsidP="00190351">
      <w:pPr>
        <w:spacing w:line="240" w:lineRule="auto"/>
        <w:ind w:left="426" w:right="420"/>
        <w:contextualSpacing/>
        <w:jc w:val="both"/>
        <w:rPr>
          <w:rFonts w:ascii="Gadugi" w:hAnsi="Gadugi"/>
          <w:szCs w:val="24"/>
        </w:rPr>
      </w:pPr>
    </w:p>
    <w:p w14:paraId="03456A82" w14:textId="64871420" w:rsidR="00EF7278" w:rsidRPr="00190351" w:rsidRDefault="00EF7278" w:rsidP="00190351">
      <w:pPr>
        <w:spacing w:line="240" w:lineRule="auto"/>
        <w:ind w:left="426" w:right="420"/>
        <w:contextualSpacing/>
        <w:jc w:val="both"/>
        <w:rPr>
          <w:rFonts w:ascii="Gadugi" w:hAnsi="Gadugi"/>
          <w:szCs w:val="24"/>
        </w:rPr>
      </w:pPr>
      <w:r w:rsidRPr="00190351">
        <w:rPr>
          <w:rFonts w:ascii="Gadugi" w:hAnsi="Gadugi"/>
          <w:szCs w:val="24"/>
        </w:rPr>
        <w:t>De allí que la posesión de la herencia no valga para usucapir en razón a que «</w:t>
      </w:r>
      <w:r w:rsidRPr="00190351">
        <w:rPr>
          <w:rFonts w:ascii="Gadugi" w:hAnsi="Gadugi"/>
          <w:i/>
          <w:iCs/>
          <w:spacing w:val="-3"/>
          <w:szCs w:val="24"/>
        </w:rPr>
        <w:t>la posesión que sirve para la adquisición del dominio de un bien herencial por parte de un heredero, es la posesión material común, esto es, la posesión de propietario, la cual debe aparecer en forma nítida o exacta, es decir, como posesión propia en forma inequívoca, pacífica y pública. Porque generalmente un heredero que, en virtud de la posesión legal, llega a obtener posteriormente la posesión material de un bien herencial, se presume que lo posee como heredero, esto es, que lo detenta con ánimo de heredero, pues no es más que una manifestación y reafirmación de su derecho de herencia en uno o varios bienes herenciales. Luego, si este heredero pretende usucapir ese bien herencial alegando otra clase de posesión material, como lo es la llamada posesión material común o posesión de dueño o propietario sobre cosas singulares, que implica la existencia de ánimo de propietario o poseedor y relación material sobre una cosa singular, debe aparecer en forma muy clara la interversión del título, es decir,  la mutación o cambio inequívoco, pacífico y público de la  posesión material hereditaria o de bienes herenciales,  por la de la posesión material común - (de poseedor o dueño), porque, se repite, sólo ésta es la que le permite adquirir por prescripción el mencionado bien</w:t>
      </w:r>
      <w:r w:rsidRPr="00190351">
        <w:rPr>
          <w:rFonts w:ascii="Gadugi" w:hAnsi="Gadugi"/>
          <w:spacing w:val="-3"/>
          <w:szCs w:val="24"/>
        </w:rPr>
        <w:t>.» (CSJ S-025 de 1997, rad. 4843).</w:t>
      </w:r>
    </w:p>
    <w:p w14:paraId="1913A8EA" w14:textId="77777777" w:rsidR="00EF7278" w:rsidRPr="00190351" w:rsidRDefault="00EF7278" w:rsidP="00190351">
      <w:pPr>
        <w:spacing w:line="240" w:lineRule="auto"/>
        <w:ind w:left="426" w:right="420"/>
        <w:contextualSpacing/>
        <w:jc w:val="both"/>
        <w:rPr>
          <w:rFonts w:ascii="Gadugi" w:hAnsi="Gadugi"/>
          <w:szCs w:val="24"/>
        </w:rPr>
      </w:pPr>
    </w:p>
    <w:p w14:paraId="2243C884" w14:textId="2D1BF109" w:rsidR="00EF7278" w:rsidRPr="00190351" w:rsidRDefault="00EF7278" w:rsidP="00190351">
      <w:pPr>
        <w:spacing w:line="240" w:lineRule="auto"/>
        <w:ind w:left="426" w:right="420"/>
        <w:contextualSpacing/>
        <w:jc w:val="both"/>
        <w:rPr>
          <w:rFonts w:ascii="Gadugi" w:hAnsi="Gadugi"/>
          <w:szCs w:val="24"/>
        </w:rPr>
      </w:pPr>
      <w:r w:rsidRPr="00190351">
        <w:rPr>
          <w:rFonts w:ascii="Gadugi" w:hAnsi="Gadugi"/>
          <w:szCs w:val="24"/>
        </w:rPr>
        <w:t>Esto obedece a que, como esta Corporación lo consideró en la sentencia en cita, «</w:t>
      </w:r>
      <w:r w:rsidRPr="00190351">
        <w:rPr>
          <w:rFonts w:ascii="Gadugi" w:hAnsi="Gadugi"/>
          <w:i/>
          <w:iCs/>
          <w:spacing w:val="-3"/>
          <w:szCs w:val="24"/>
        </w:rPr>
        <w:t xml:space="preserve">el derecho real de herencia, que recae sobre la universalidad hereditaria llamada herencia, si bien no conlleva que su titular pueda ejercer el dominio sobre cada uno de los bienes que la componen, no es menos cierto que encierra la facultad de llegarlo a obtener mediante su adjudicación en la sentencia que aprueba la partición. Luego, para establecer la relación hereditaria inicial resulta preciso tener presente que desde el momento en que al heredero le es deferida la herencia entra en posesión legal de ella, tal y como lo preceptúa el artículo 757 del Código </w:t>
      </w:r>
      <w:proofErr w:type="gramStart"/>
      <w:r w:rsidRPr="00190351">
        <w:rPr>
          <w:rFonts w:ascii="Gadugi" w:hAnsi="Gadugi"/>
          <w:i/>
          <w:iCs/>
          <w:spacing w:val="-3"/>
          <w:szCs w:val="24"/>
        </w:rPr>
        <w:t>Civil;  posesión</w:t>
      </w:r>
      <w:proofErr w:type="gramEnd"/>
      <w:r w:rsidRPr="00190351">
        <w:rPr>
          <w:rFonts w:ascii="Gadugi" w:hAnsi="Gadugi"/>
          <w:i/>
          <w:iCs/>
          <w:spacing w:val="-3"/>
          <w:szCs w:val="24"/>
        </w:rPr>
        <w:t xml:space="preserve"> legal de la herencia, que, debido a establecimiento legal,  se da de pleno derecho, aunque no concurran en el heredero ni el animus, ni el corpus. (…) Pero lo mismo no puede afirmarse de otras distintas situaciones jurídicas de detentación de cosas herenciales, que no obedecen al ejercicio de la calidad de heredero, las que, por no ser normales ni ajustarse al desarrollo general mencionado, necesitan demostrarse. Luego, si el heredero, alega haber ganado la propiedad por prescripción de un bien que corresponde a la masa sucesoral, debe probar que lo posee, en forma inequívoca, pública y pacíficamente, no como heredero y sucesor del difunto, sino que lo ha poseído para sí, como dueño único, sin reconocer dominio ajeno, ejerciendo como señor y dueño exclusivo actos de goce y transformación de la cosa.»</w:t>
      </w:r>
      <w:r w:rsidRPr="00190351">
        <w:rPr>
          <w:rFonts w:ascii="Gadugi" w:hAnsi="Gadugi"/>
          <w:spacing w:val="-3"/>
          <w:szCs w:val="24"/>
        </w:rPr>
        <w:t xml:space="preserve"> (CSJ S-025 de 1997, rad. 4843).</w:t>
      </w:r>
    </w:p>
    <w:p w14:paraId="72A70D26" w14:textId="77777777" w:rsidR="000B6162" w:rsidRPr="00E1241B" w:rsidRDefault="000B616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E3CB334" w14:textId="562E47A3" w:rsidR="00983C05" w:rsidRPr="00E1241B" w:rsidRDefault="0088366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En síntesis, deferida una herencia, </w:t>
      </w:r>
      <w:r w:rsidR="00983C05" w:rsidRPr="00E1241B">
        <w:rPr>
          <w:rFonts w:ascii="Gadugi" w:eastAsia="Gadugi" w:hAnsi="Gadugi" w:cs="Gadugi"/>
          <w:sz w:val="24"/>
          <w:szCs w:val="24"/>
        </w:rPr>
        <w:t xml:space="preserve">cuando un heredero pretende adquirir por prescripción un bien que pertenece a la masa sucesoral </w:t>
      </w:r>
      <w:r w:rsidRPr="00E1241B">
        <w:rPr>
          <w:rFonts w:ascii="Gadugi" w:eastAsia="Gadugi" w:hAnsi="Gadugi" w:cs="Gadugi"/>
          <w:sz w:val="24"/>
          <w:szCs w:val="24"/>
        </w:rPr>
        <w:t xml:space="preserve">como poseedor material y no </w:t>
      </w:r>
      <w:r w:rsidR="00983C05" w:rsidRPr="00E1241B">
        <w:rPr>
          <w:rFonts w:ascii="Gadugi" w:eastAsia="Gadugi" w:hAnsi="Gadugi" w:cs="Gadugi"/>
          <w:sz w:val="24"/>
          <w:szCs w:val="24"/>
        </w:rPr>
        <w:t xml:space="preserve">en calidad de sucesor del causante, </w:t>
      </w:r>
      <w:r w:rsidRPr="00E1241B">
        <w:rPr>
          <w:rFonts w:ascii="Gadugi" w:eastAsia="Gadugi" w:hAnsi="Gadugi" w:cs="Gadugi"/>
          <w:sz w:val="24"/>
          <w:szCs w:val="24"/>
        </w:rPr>
        <w:t xml:space="preserve">está llamado a acreditar, por un lado, la posesión que ejerce y, por el otro, </w:t>
      </w:r>
      <w:r w:rsidR="00983C05" w:rsidRPr="00E1241B">
        <w:rPr>
          <w:rFonts w:ascii="Gadugi" w:eastAsia="Gadugi" w:hAnsi="Gadugi" w:cs="Gadugi"/>
          <w:sz w:val="24"/>
          <w:szCs w:val="24"/>
        </w:rPr>
        <w:t xml:space="preserve">el momento en que se originó </w:t>
      </w:r>
      <w:r w:rsidRPr="00E1241B">
        <w:rPr>
          <w:rFonts w:ascii="Gadugi" w:eastAsia="Gadugi" w:hAnsi="Gadugi" w:cs="Gadugi"/>
          <w:sz w:val="24"/>
          <w:szCs w:val="24"/>
        </w:rPr>
        <w:t xml:space="preserve">esa relación material respecto del bien. </w:t>
      </w:r>
    </w:p>
    <w:p w14:paraId="774B2D35" w14:textId="77777777" w:rsidR="00983C05" w:rsidRPr="00E1241B" w:rsidRDefault="00983C0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3AA738A" w14:textId="2C929984" w:rsidR="00532378" w:rsidRPr="00E1241B" w:rsidRDefault="00C0124C"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2.</w:t>
      </w:r>
      <w:r w:rsidR="0088366D" w:rsidRPr="00E1241B">
        <w:rPr>
          <w:rFonts w:ascii="Gadugi" w:eastAsia="Gadugi" w:hAnsi="Gadugi" w:cs="Gadugi"/>
          <w:sz w:val="24"/>
          <w:szCs w:val="24"/>
        </w:rPr>
        <w:t>9</w:t>
      </w:r>
      <w:r w:rsidRPr="00E1241B">
        <w:rPr>
          <w:rFonts w:ascii="Gadugi" w:eastAsia="Gadugi" w:hAnsi="Gadugi" w:cs="Gadugi"/>
          <w:sz w:val="24"/>
          <w:szCs w:val="24"/>
        </w:rPr>
        <w:t xml:space="preserve">. </w:t>
      </w:r>
      <w:r w:rsidR="008F21EF" w:rsidRPr="00E1241B">
        <w:rPr>
          <w:rFonts w:ascii="Gadugi" w:eastAsia="Gadugi" w:hAnsi="Gadugi" w:cs="Gadugi"/>
          <w:sz w:val="24"/>
          <w:szCs w:val="24"/>
        </w:rPr>
        <w:t>Descendiendo al caso concreto</w:t>
      </w:r>
      <w:r w:rsidR="00532378" w:rsidRPr="00E1241B">
        <w:rPr>
          <w:rFonts w:ascii="Gadugi" w:eastAsia="Gadugi" w:hAnsi="Gadugi" w:cs="Gadugi"/>
          <w:sz w:val="24"/>
          <w:szCs w:val="24"/>
        </w:rPr>
        <w:t xml:space="preserve"> se tiene que la demanda versa sobre el inmueble </w:t>
      </w:r>
      <w:r w:rsidR="0088366D" w:rsidRPr="00E1241B">
        <w:rPr>
          <w:rFonts w:ascii="Gadugi" w:eastAsia="Gadugi" w:hAnsi="Gadugi" w:cs="Gadugi"/>
          <w:sz w:val="24"/>
          <w:szCs w:val="24"/>
        </w:rPr>
        <w:t xml:space="preserve">de </w:t>
      </w:r>
      <w:r w:rsidR="00532378" w:rsidRPr="00E1241B">
        <w:rPr>
          <w:rFonts w:ascii="Gadugi" w:eastAsia="Gadugi" w:hAnsi="Gadugi" w:cs="Gadugi"/>
          <w:sz w:val="24"/>
          <w:szCs w:val="24"/>
        </w:rPr>
        <w:t>matrícula inmobiliaria 296-59447 de la Oficina de Registro de Instrumentos Públicos de Santa Rosa de Cabal</w:t>
      </w:r>
      <w:r w:rsidR="0088366D" w:rsidRPr="00E1241B">
        <w:rPr>
          <w:rFonts w:ascii="Gadugi" w:eastAsia="Gadugi" w:hAnsi="Gadugi" w:cs="Gadugi"/>
          <w:sz w:val="24"/>
          <w:szCs w:val="24"/>
        </w:rPr>
        <w:t>, u</w:t>
      </w:r>
      <w:r w:rsidR="00FF1086" w:rsidRPr="00E1241B">
        <w:rPr>
          <w:rFonts w:ascii="Gadugi" w:eastAsia="Gadugi" w:hAnsi="Gadugi" w:cs="Gadugi"/>
          <w:sz w:val="24"/>
          <w:szCs w:val="24"/>
        </w:rPr>
        <w:t>bicado e</w:t>
      </w:r>
      <w:r w:rsidR="0088366D" w:rsidRPr="00E1241B">
        <w:rPr>
          <w:rFonts w:ascii="Gadugi" w:eastAsia="Gadugi" w:hAnsi="Gadugi" w:cs="Gadugi"/>
          <w:sz w:val="24"/>
          <w:szCs w:val="24"/>
        </w:rPr>
        <w:t>n la carrera 14</w:t>
      </w:r>
      <w:r w:rsidR="00AE630F" w:rsidRPr="00E1241B">
        <w:rPr>
          <w:rFonts w:ascii="Gadugi" w:eastAsia="Gadugi" w:hAnsi="Gadugi" w:cs="Gadugi"/>
          <w:sz w:val="24"/>
          <w:szCs w:val="24"/>
        </w:rPr>
        <w:t xml:space="preserve"> No. 9-44 de ese municipio, </w:t>
      </w:r>
      <w:r w:rsidR="00C11035" w:rsidRPr="00E1241B">
        <w:rPr>
          <w:rFonts w:ascii="Gadugi" w:eastAsia="Gadugi" w:hAnsi="Gadugi" w:cs="Gadugi"/>
          <w:sz w:val="24"/>
          <w:szCs w:val="24"/>
        </w:rPr>
        <w:t xml:space="preserve">que, según </w:t>
      </w:r>
      <w:r w:rsidR="00C11035" w:rsidRPr="00E1241B">
        <w:rPr>
          <w:rFonts w:ascii="Gadugi" w:eastAsia="Gadugi" w:hAnsi="Gadugi" w:cs="Gadugi"/>
          <w:sz w:val="24"/>
          <w:szCs w:val="24"/>
        </w:rPr>
        <w:lastRenderedPageBreak/>
        <w:t>revela el certificado allegado</w:t>
      </w:r>
      <w:r w:rsidR="00C11035" w:rsidRPr="00E1241B">
        <w:rPr>
          <w:rStyle w:val="Refdenotaalpie"/>
          <w:rFonts w:ascii="Gadugi" w:eastAsia="Gadugi" w:hAnsi="Gadugi" w:cs="Gadugi"/>
          <w:sz w:val="24"/>
          <w:szCs w:val="24"/>
        </w:rPr>
        <w:footnoteReference w:id="40"/>
      </w:r>
      <w:r w:rsidR="00AE630F" w:rsidRPr="00E1241B">
        <w:rPr>
          <w:rFonts w:ascii="Gadugi" w:eastAsia="Gadugi" w:hAnsi="Gadugi" w:cs="Gadugi"/>
          <w:sz w:val="24"/>
          <w:szCs w:val="24"/>
        </w:rPr>
        <w:t xml:space="preserve">, tenía como </w:t>
      </w:r>
      <w:r w:rsidR="00C11035" w:rsidRPr="00E1241B">
        <w:rPr>
          <w:rFonts w:ascii="Gadugi" w:eastAsia="Gadugi" w:hAnsi="Gadugi" w:cs="Gadugi"/>
          <w:sz w:val="24"/>
          <w:szCs w:val="24"/>
        </w:rPr>
        <w:t xml:space="preserve">propietaria a Pastora López </w:t>
      </w:r>
      <w:proofErr w:type="spellStart"/>
      <w:r w:rsidR="00C11035" w:rsidRPr="00E1241B">
        <w:rPr>
          <w:rFonts w:ascii="Gadugi" w:eastAsia="Gadugi" w:hAnsi="Gadugi" w:cs="Gadugi"/>
          <w:sz w:val="24"/>
          <w:szCs w:val="24"/>
        </w:rPr>
        <w:t>López</w:t>
      </w:r>
      <w:proofErr w:type="spellEnd"/>
      <w:r w:rsidR="00C11035" w:rsidRPr="00E1241B">
        <w:rPr>
          <w:rFonts w:ascii="Gadugi" w:eastAsia="Gadugi" w:hAnsi="Gadugi" w:cs="Gadugi"/>
          <w:sz w:val="24"/>
          <w:szCs w:val="24"/>
        </w:rPr>
        <w:t>, qu</w:t>
      </w:r>
      <w:r w:rsidR="00AE630F" w:rsidRPr="00E1241B">
        <w:rPr>
          <w:rFonts w:ascii="Gadugi" w:eastAsia="Gadugi" w:hAnsi="Gadugi" w:cs="Gadugi"/>
          <w:sz w:val="24"/>
          <w:szCs w:val="24"/>
        </w:rPr>
        <w:t xml:space="preserve">ien lo adquirió igualmente por el modo de la prescripción. Es decir, se trata de un bien, determinado, y susceptible de ser adquirido por este modo. </w:t>
      </w:r>
    </w:p>
    <w:p w14:paraId="48BF080B" w14:textId="7FBFD778" w:rsidR="3AECD52B" w:rsidRPr="00E1241B" w:rsidRDefault="3AECD52B"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20F1FD9" w14:textId="77777777" w:rsidR="00AE630F" w:rsidRPr="00E1241B" w:rsidRDefault="00AE63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Como se anotó, el Juzgado dio por demostrada la posesión del demandante, con exclusión de los demás herederos, desde el año 2004, por lo que, para cuando se promovió la demanda, en el año 2018 había transcurrido el término para ganar por prescripción. </w:t>
      </w:r>
    </w:p>
    <w:p w14:paraId="04C75691" w14:textId="77777777" w:rsidR="00AE630F" w:rsidRPr="00E1241B" w:rsidRDefault="00AE63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F3415DB" w14:textId="2AA50EDE" w:rsidR="00AE630F" w:rsidRPr="00E1241B" w:rsidRDefault="00AE63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Los codemandados refutan esa conclusión, </w:t>
      </w:r>
      <w:r w:rsidR="00F10B57" w:rsidRPr="00E1241B">
        <w:rPr>
          <w:rFonts w:ascii="Gadugi" w:eastAsia="Gadugi" w:hAnsi="Gadugi" w:cs="Gadugi"/>
          <w:sz w:val="24"/>
          <w:szCs w:val="24"/>
        </w:rPr>
        <w:t xml:space="preserve">ya </w:t>
      </w:r>
      <w:r w:rsidRPr="00E1241B">
        <w:rPr>
          <w:rFonts w:ascii="Gadugi" w:eastAsia="Gadugi" w:hAnsi="Gadugi" w:cs="Gadugi"/>
          <w:sz w:val="24"/>
          <w:szCs w:val="24"/>
        </w:rPr>
        <w:t xml:space="preserve">porque Colombia López quiso ingresar al inmueble pero el demandante se lo prohibió; bien, porque tal posesión fue en compañía de Mario López Valencia </w:t>
      </w:r>
      <w:proofErr w:type="spellStart"/>
      <w:r w:rsidRPr="00E1241B">
        <w:rPr>
          <w:rFonts w:ascii="Gadugi" w:eastAsia="Gadugi" w:hAnsi="Gadugi" w:cs="Gadugi"/>
          <w:sz w:val="24"/>
          <w:szCs w:val="24"/>
        </w:rPr>
        <w:t>quen</w:t>
      </w:r>
      <w:proofErr w:type="spellEnd"/>
      <w:r w:rsidRPr="00E1241B">
        <w:rPr>
          <w:rFonts w:ascii="Gadugi" w:eastAsia="Gadugi" w:hAnsi="Gadugi" w:cs="Gadugi"/>
          <w:sz w:val="24"/>
          <w:szCs w:val="24"/>
        </w:rPr>
        <w:t xml:space="preserve">, además, dijo al contestar la demanda que había plantado unas mejoras; </w:t>
      </w:r>
      <w:r w:rsidR="00F10B57" w:rsidRPr="00E1241B">
        <w:rPr>
          <w:rFonts w:ascii="Gadugi" w:eastAsia="Gadugi" w:hAnsi="Gadugi" w:cs="Gadugi"/>
          <w:sz w:val="24"/>
          <w:szCs w:val="24"/>
        </w:rPr>
        <w:t>ora</w:t>
      </w:r>
      <w:r w:rsidRPr="00E1241B">
        <w:rPr>
          <w:rFonts w:ascii="Gadugi" w:eastAsia="Gadugi" w:hAnsi="Gadugi" w:cs="Gadugi"/>
          <w:sz w:val="24"/>
          <w:szCs w:val="24"/>
        </w:rPr>
        <w:t xml:space="preserve"> porque el señor Diego López reconoció dominio ajeno al otorgar unos poderes  en los años 2013 y 2015 para que se adelantara la sucesión de Pastora López; </w:t>
      </w:r>
      <w:r w:rsidR="00F10B57" w:rsidRPr="00E1241B">
        <w:rPr>
          <w:rFonts w:ascii="Gadugi" w:eastAsia="Gadugi" w:hAnsi="Gadugi" w:cs="Gadugi"/>
          <w:sz w:val="24"/>
          <w:szCs w:val="24"/>
        </w:rPr>
        <w:t xml:space="preserve">o </w:t>
      </w:r>
      <w:r w:rsidRPr="00E1241B">
        <w:rPr>
          <w:rFonts w:ascii="Gadugi" w:eastAsia="Gadugi" w:hAnsi="Gadugi" w:cs="Gadugi"/>
          <w:sz w:val="24"/>
          <w:szCs w:val="24"/>
        </w:rPr>
        <w:t>finalmente, porque Virginia y Colombia López aportaron dineros para gastos de conservación y mantenimiento del inmueble.</w:t>
      </w:r>
    </w:p>
    <w:p w14:paraId="089FA1F9" w14:textId="00D2E23E" w:rsidR="00AE630F" w:rsidRPr="00E1241B" w:rsidRDefault="00AE63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267C5D3" w14:textId="61E84000" w:rsidR="00AE630F" w:rsidRPr="00E1241B" w:rsidRDefault="00AE630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Sin embargo, nada de ello tiene asidero probatorio. </w:t>
      </w:r>
    </w:p>
    <w:p w14:paraId="4C0566FD" w14:textId="77777777" w:rsidR="00F10B57" w:rsidRPr="00E1241B" w:rsidRDefault="00F10B5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B91C632" w14:textId="1DDE6446" w:rsidR="000837D6" w:rsidRPr="00E1241B" w:rsidRDefault="000837D6" w:rsidP="00E1241B">
      <w:pP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Partamos del interrogatorio que absolvió el demandante</w:t>
      </w:r>
      <w:r w:rsidR="0CBFC48C" w:rsidRPr="00E1241B">
        <w:rPr>
          <w:rFonts w:ascii="Gadugi" w:eastAsia="Gadugi" w:hAnsi="Gadugi" w:cs="Gadugi"/>
          <w:sz w:val="24"/>
          <w:szCs w:val="24"/>
        </w:rPr>
        <w:t xml:space="preserve">. </w:t>
      </w:r>
    </w:p>
    <w:p w14:paraId="08224B3D" w14:textId="7082AAFE" w:rsidR="37E984FC" w:rsidRPr="00E1241B" w:rsidRDefault="37E984FC" w:rsidP="00E1241B">
      <w:pPr>
        <w:tabs>
          <w:tab w:val="left" w:pos="3686"/>
          <w:tab w:val="left" w:pos="4536"/>
        </w:tabs>
        <w:jc w:val="both"/>
        <w:rPr>
          <w:rFonts w:ascii="Gadugi" w:eastAsia="Gadugi" w:hAnsi="Gadugi" w:cs="Gadugi"/>
          <w:sz w:val="24"/>
          <w:szCs w:val="24"/>
        </w:rPr>
      </w:pPr>
    </w:p>
    <w:p w14:paraId="62134547" w14:textId="48332D3C" w:rsidR="000837D6" w:rsidRPr="00E1241B" w:rsidRDefault="0CBFC48C" w:rsidP="00E1241B">
      <w:pP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Pero, antes, debe precisarse que el CGP </w:t>
      </w:r>
      <w:r w:rsidR="7DED22D3" w:rsidRPr="00E1241B">
        <w:rPr>
          <w:rFonts w:ascii="Gadugi" w:eastAsia="Gadugi" w:hAnsi="Gadugi" w:cs="Gadugi"/>
          <w:sz w:val="24"/>
          <w:szCs w:val="24"/>
        </w:rPr>
        <w:t>le dio vida propia a la declaración de parte como medio de prueba (art. 165</w:t>
      </w:r>
      <w:r w:rsidR="32FF42FC" w:rsidRPr="00E1241B">
        <w:rPr>
          <w:rFonts w:ascii="Gadugi" w:eastAsia="Gadugi" w:hAnsi="Gadugi" w:cs="Gadugi"/>
          <w:sz w:val="24"/>
          <w:szCs w:val="24"/>
        </w:rPr>
        <w:t xml:space="preserve"> y 191), antes refundida </w:t>
      </w:r>
      <w:r w:rsidR="68802BCE" w:rsidRPr="00E1241B">
        <w:rPr>
          <w:rFonts w:ascii="Gadugi" w:eastAsia="Gadugi" w:hAnsi="Gadugi" w:cs="Gadugi"/>
          <w:sz w:val="24"/>
          <w:szCs w:val="24"/>
        </w:rPr>
        <w:t xml:space="preserve">en las normas del Código de Procedimiento Civil y desconocida por la mayoría de la doctrina y la jurisprudencia. </w:t>
      </w:r>
      <w:r w:rsidR="12CEB759" w:rsidRPr="00E1241B">
        <w:rPr>
          <w:rFonts w:ascii="Gadugi" w:eastAsia="Gadugi" w:hAnsi="Gadugi" w:cs="Gadugi"/>
          <w:sz w:val="24"/>
          <w:szCs w:val="24"/>
        </w:rPr>
        <w:t>Esta Colegiatura ha venido re</w:t>
      </w:r>
      <w:r w:rsidR="35314677" w:rsidRPr="00E1241B">
        <w:rPr>
          <w:rFonts w:ascii="Gadugi" w:eastAsia="Gadugi" w:hAnsi="Gadugi" w:cs="Gadugi"/>
          <w:sz w:val="24"/>
          <w:szCs w:val="24"/>
        </w:rPr>
        <w:t>s</w:t>
      </w:r>
      <w:r w:rsidR="12CEB759" w:rsidRPr="00E1241B">
        <w:rPr>
          <w:rFonts w:ascii="Gadugi" w:eastAsia="Gadugi" w:hAnsi="Gadugi" w:cs="Gadugi"/>
          <w:sz w:val="24"/>
          <w:szCs w:val="24"/>
        </w:rPr>
        <w:t>altando su importancia en el nuevo escenario procesal</w:t>
      </w:r>
      <w:r w:rsidR="000837D6" w:rsidRPr="00E1241B">
        <w:rPr>
          <w:rFonts w:ascii="Gadugi" w:eastAsia="Gadugi" w:hAnsi="Gadugi" w:cs="Gadugi"/>
          <w:sz w:val="24"/>
          <w:szCs w:val="24"/>
          <w:vertAlign w:val="superscript"/>
        </w:rPr>
        <w:footnoteReference w:id="41"/>
      </w:r>
      <w:r w:rsidR="12CEB759" w:rsidRPr="00E1241B">
        <w:rPr>
          <w:rFonts w:ascii="Gadugi" w:eastAsia="Gadugi" w:hAnsi="Gadugi" w:cs="Gadugi"/>
          <w:sz w:val="24"/>
          <w:szCs w:val="24"/>
        </w:rPr>
        <w:t xml:space="preserve"> y así se recordó recientemente, en la sentencia </w:t>
      </w:r>
      <w:r w:rsidR="3B97DCDB" w:rsidRPr="00E1241B">
        <w:rPr>
          <w:rFonts w:ascii="Gadugi" w:eastAsia="Gadugi" w:hAnsi="Gadugi" w:cs="Gadugi"/>
          <w:sz w:val="24"/>
          <w:szCs w:val="24"/>
        </w:rPr>
        <w:t xml:space="preserve">SC-0042-2023, en la que se </w:t>
      </w:r>
      <w:r w:rsidR="00222461" w:rsidRPr="00E1241B">
        <w:rPr>
          <w:rFonts w:ascii="Gadugi" w:eastAsia="Gadugi" w:hAnsi="Gadugi" w:cs="Gadugi"/>
          <w:sz w:val="24"/>
          <w:szCs w:val="24"/>
        </w:rPr>
        <w:t xml:space="preserve">precisó que </w:t>
      </w:r>
      <w:r w:rsidR="4728BF56" w:rsidRPr="00E1241B">
        <w:rPr>
          <w:rFonts w:ascii="Gadugi" w:eastAsia="Gadugi" w:hAnsi="Gadugi" w:cs="Gadugi"/>
          <w:sz w:val="24"/>
          <w:szCs w:val="24"/>
        </w:rPr>
        <w:t>el interrogatorio de parte sirve al propósito de lograr una confesión o una declaración de parte</w:t>
      </w:r>
      <w:r w:rsidR="1A858230" w:rsidRPr="00E1241B">
        <w:rPr>
          <w:rFonts w:ascii="Gadugi" w:eastAsia="Gadugi" w:hAnsi="Gadugi" w:cs="Gadugi"/>
          <w:sz w:val="24"/>
          <w:szCs w:val="24"/>
        </w:rPr>
        <w:t>, así que, pasando por la doctrina nacional, señaló ese fallo</w:t>
      </w:r>
      <w:r w:rsidR="00222461" w:rsidRPr="00E1241B">
        <w:rPr>
          <w:rFonts w:ascii="Gadugi" w:eastAsia="Gadugi" w:hAnsi="Gadugi" w:cs="Gadugi"/>
          <w:sz w:val="24"/>
          <w:szCs w:val="24"/>
        </w:rPr>
        <w:t xml:space="preserve">, sobre la prueba y su valoración, </w:t>
      </w:r>
      <w:r w:rsidR="1A858230" w:rsidRPr="00E1241B">
        <w:rPr>
          <w:rFonts w:ascii="Gadugi" w:eastAsia="Gadugi" w:hAnsi="Gadugi" w:cs="Gadugi"/>
          <w:sz w:val="24"/>
          <w:szCs w:val="24"/>
        </w:rPr>
        <w:t xml:space="preserve">que: </w:t>
      </w:r>
    </w:p>
    <w:p w14:paraId="1361A73D" w14:textId="3D12B2DB" w:rsidR="000837D6" w:rsidRPr="00E1241B" w:rsidRDefault="0CBFC48C" w:rsidP="00E1241B">
      <w:pPr>
        <w:ind w:left="720" w:right="720"/>
        <w:jc w:val="both"/>
        <w:rPr>
          <w:rFonts w:ascii="Gadugi" w:hAnsi="Gadugi"/>
          <w:sz w:val="24"/>
          <w:szCs w:val="24"/>
        </w:rPr>
      </w:pPr>
      <w:r w:rsidRPr="00E1241B">
        <w:rPr>
          <w:rFonts w:ascii="Gadugi" w:eastAsia="Georgia" w:hAnsi="Gadugi" w:cs="Georgia"/>
          <w:sz w:val="24"/>
          <w:szCs w:val="24"/>
          <w:lang w:val="es"/>
        </w:rPr>
        <w:t xml:space="preserve"> </w:t>
      </w:r>
    </w:p>
    <w:p w14:paraId="2408B9BE" w14:textId="7CCBB812" w:rsidR="000837D6" w:rsidRPr="00190351" w:rsidRDefault="0CBFC48C" w:rsidP="00190351">
      <w:pPr>
        <w:spacing w:line="240" w:lineRule="auto"/>
        <w:ind w:left="426" w:right="420"/>
        <w:jc w:val="both"/>
        <w:rPr>
          <w:rFonts w:ascii="Gadugi" w:eastAsia="Georgia" w:hAnsi="Gadugi" w:cs="Georgia"/>
          <w:szCs w:val="24"/>
          <w:lang w:val="es"/>
        </w:rPr>
      </w:pPr>
      <w:r w:rsidRPr="00190351">
        <w:rPr>
          <w:rFonts w:ascii="Gadugi" w:eastAsia="Georgia" w:hAnsi="Gadugi" w:cs="Georgia"/>
          <w:szCs w:val="24"/>
          <w:lang w:val="es"/>
        </w:rPr>
        <w:t>La CSJ en sede de tutela en 2021 y 2022, ha avalado la predicada tesis. Con claridad así puede extraerse del siguiente pasaje, el prohijamiento en comento: “</w:t>
      </w:r>
      <w:r w:rsidRPr="00190351">
        <w:rPr>
          <w:rFonts w:ascii="Gadugi" w:eastAsia="Georgia" w:hAnsi="Gadugi" w:cs="Georgia"/>
          <w:i/>
          <w:iCs/>
          <w:szCs w:val="24"/>
          <w:lang w:val="es"/>
        </w:rPr>
        <w:t xml:space="preserve">En primer lugar, en la sentencia referida se descartó tener como prueba la declaración de la parte demandada, al determinar que no tiene validez porque «la parte no pude fabricar su propia prueba», </w:t>
      </w:r>
      <w:r w:rsidRPr="00190351">
        <w:rPr>
          <w:rFonts w:ascii="Gadugi" w:eastAsia="Georgia" w:hAnsi="Gadugi" w:cs="Georgia"/>
          <w:b/>
          <w:bCs/>
          <w:i/>
          <w:iCs/>
          <w:szCs w:val="24"/>
          <w:lang w:val="es"/>
        </w:rPr>
        <w:t>lo que desconoce lo reglado al respecto por el Código General del Proceso.</w:t>
      </w:r>
      <w:r w:rsidRPr="00190351">
        <w:rPr>
          <w:rFonts w:ascii="Gadugi" w:eastAsia="Georgia" w:hAnsi="Gadugi" w:cs="Georgia"/>
          <w:i/>
          <w:iCs/>
          <w:szCs w:val="24"/>
          <w:lang w:val="es"/>
        </w:rPr>
        <w:t>”.</w:t>
      </w:r>
      <w:r w:rsidRPr="00190351">
        <w:rPr>
          <w:rFonts w:ascii="Gadugi" w:eastAsia="Georgia" w:hAnsi="Gadugi" w:cs="Georgia"/>
          <w:szCs w:val="24"/>
          <w:lang w:val="es"/>
        </w:rPr>
        <w:t xml:space="preserve"> La negrilla es de esta Sala.</w:t>
      </w:r>
    </w:p>
    <w:p w14:paraId="5DFCE0E5" w14:textId="3DCDB34B" w:rsidR="000837D6" w:rsidRPr="00190351" w:rsidRDefault="0CBFC48C" w:rsidP="00190351">
      <w:pPr>
        <w:spacing w:line="240" w:lineRule="auto"/>
        <w:ind w:left="426" w:right="420"/>
        <w:jc w:val="both"/>
        <w:rPr>
          <w:rFonts w:ascii="Gadugi" w:eastAsia="Georgia" w:hAnsi="Gadugi" w:cs="Georgia"/>
          <w:szCs w:val="24"/>
          <w:lang w:val="es"/>
        </w:rPr>
      </w:pPr>
      <w:r w:rsidRPr="00190351">
        <w:rPr>
          <w:rFonts w:ascii="Gadugi" w:eastAsia="Georgia" w:hAnsi="Gadugi" w:cs="Georgia"/>
          <w:szCs w:val="24"/>
          <w:lang w:val="es"/>
        </w:rPr>
        <w:t xml:space="preserve"> </w:t>
      </w:r>
    </w:p>
    <w:p w14:paraId="5DE76847" w14:textId="06C9F1AD" w:rsidR="000837D6" w:rsidRPr="00190351" w:rsidRDefault="0CBFC48C" w:rsidP="00190351">
      <w:pPr>
        <w:tabs>
          <w:tab w:val="left" w:pos="851"/>
        </w:tabs>
        <w:spacing w:line="240" w:lineRule="auto"/>
        <w:ind w:left="426" w:right="420"/>
        <w:jc w:val="both"/>
        <w:rPr>
          <w:rFonts w:ascii="Gadugi" w:eastAsia="Georgia" w:hAnsi="Gadugi" w:cs="Georgia"/>
          <w:szCs w:val="24"/>
          <w:lang w:val="es"/>
        </w:rPr>
      </w:pPr>
      <w:r w:rsidRPr="00190351">
        <w:rPr>
          <w:rFonts w:ascii="Gadugi" w:eastAsia="Georgia" w:hAnsi="Gadugi" w:cs="Georgia"/>
          <w:szCs w:val="24"/>
          <w:lang w:val="es"/>
        </w:rPr>
        <w:t>Ahora, sobre la respectiva ponderación, estima esta instancia revisora que debe ceñirse a los postulados aplicables al testimonio, puesto que el artículo 191, CGP, dispone: “</w:t>
      </w:r>
      <w:r w:rsidRPr="00190351">
        <w:rPr>
          <w:rFonts w:ascii="Gadugi" w:eastAsia="Georgia" w:hAnsi="Gadugi" w:cs="Georgia"/>
          <w:i/>
          <w:iCs/>
          <w:szCs w:val="24"/>
          <w:lang w:val="es"/>
        </w:rPr>
        <w:t>La simple declaración de parte se valorará por el juez de acuerdo con las reglas generales de apreciación de las pruebas.</w:t>
      </w:r>
      <w:r w:rsidRPr="00190351">
        <w:rPr>
          <w:rFonts w:ascii="Gadugi" w:eastAsia="Georgia" w:hAnsi="Gadugi" w:cs="Georgia"/>
          <w:szCs w:val="24"/>
          <w:lang w:val="es"/>
        </w:rPr>
        <w:t xml:space="preserve">”, y esa versión constituye en sentido </w:t>
      </w:r>
      <w:r w:rsidRPr="00190351">
        <w:rPr>
          <w:rFonts w:ascii="Gadugi" w:eastAsia="Georgia" w:hAnsi="Gadugi" w:cs="Georgia"/>
          <w:szCs w:val="24"/>
          <w:lang w:val="es"/>
        </w:rPr>
        <w:lastRenderedPageBreak/>
        <w:t xml:space="preserve">amplio un testimonio, como entendiera desde tiempo atrás el maestro </w:t>
      </w:r>
      <w:proofErr w:type="spellStart"/>
      <w:r w:rsidRPr="00190351">
        <w:rPr>
          <w:rFonts w:ascii="Gadugi" w:eastAsia="Georgia" w:hAnsi="Gadugi" w:cs="Georgia"/>
          <w:szCs w:val="24"/>
          <w:lang w:val="es"/>
        </w:rPr>
        <w:t>Devis</w:t>
      </w:r>
      <w:proofErr w:type="spellEnd"/>
      <w:r w:rsidRPr="00190351">
        <w:rPr>
          <w:rFonts w:ascii="Gadugi" w:eastAsia="Georgia" w:hAnsi="Gadugi" w:cs="Georgia"/>
          <w:szCs w:val="24"/>
          <w:lang w:val="es"/>
        </w:rPr>
        <w:t xml:space="preserve"> </w:t>
      </w:r>
      <w:proofErr w:type="spellStart"/>
      <w:r w:rsidRPr="00190351">
        <w:rPr>
          <w:rFonts w:ascii="Gadugi" w:eastAsia="Georgia" w:hAnsi="Gadugi" w:cs="Georgia"/>
          <w:szCs w:val="24"/>
          <w:lang w:val="es"/>
        </w:rPr>
        <w:t>Echandía</w:t>
      </w:r>
      <w:proofErr w:type="spellEnd"/>
      <w:r w:rsidR="00222461" w:rsidRPr="00190351">
        <w:rPr>
          <w:rStyle w:val="Refdenotaalpie"/>
          <w:rFonts w:ascii="Gadugi" w:eastAsia="Georgia" w:hAnsi="Gadugi" w:cs="Georgia"/>
          <w:szCs w:val="24"/>
          <w:lang w:val="es"/>
        </w:rPr>
        <w:footnoteReference w:id="42"/>
      </w:r>
      <w:r w:rsidRPr="00190351">
        <w:rPr>
          <w:rFonts w:ascii="Gadugi" w:eastAsia="Georgia" w:hAnsi="Gadugi" w:cs="Georgia"/>
          <w:szCs w:val="24"/>
          <w:lang w:val="es"/>
        </w:rPr>
        <w:t>, en parecer hoy patrocinado por los profesores López Martínez</w:t>
      </w:r>
      <w:r w:rsidR="00222461" w:rsidRPr="00190351">
        <w:rPr>
          <w:rStyle w:val="Refdenotaalpie"/>
          <w:rFonts w:ascii="Gadugi" w:eastAsia="Georgia" w:hAnsi="Gadugi" w:cs="Georgia"/>
          <w:szCs w:val="24"/>
          <w:lang w:val="es"/>
        </w:rPr>
        <w:footnoteReference w:id="43"/>
      </w:r>
      <w:r w:rsidRPr="00190351">
        <w:rPr>
          <w:rFonts w:ascii="Gadugi" w:eastAsia="Georgia" w:hAnsi="Gadugi" w:cs="Georgia"/>
          <w:szCs w:val="24"/>
          <w:lang w:val="es"/>
        </w:rPr>
        <w:t xml:space="preserve"> y Álvarez Gómez</w:t>
      </w:r>
      <w:r w:rsidR="00222461" w:rsidRPr="00190351">
        <w:rPr>
          <w:rStyle w:val="Refdenotaalpie"/>
          <w:rFonts w:ascii="Gadugi" w:eastAsia="Georgia" w:hAnsi="Gadugi" w:cs="Georgia"/>
          <w:szCs w:val="24"/>
          <w:lang w:val="es"/>
        </w:rPr>
        <w:footnoteReference w:id="44"/>
      </w:r>
      <w:r w:rsidRPr="00190351">
        <w:rPr>
          <w:rFonts w:ascii="Gadugi" w:eastAsia="Georgia" w:hAnsi="Gadugi" w:cs="Georgia"/>
          <w:szCs w:val="24"/>
          <w:lang w:val="es"/>
        </w:rPr>
        <w:t>, que por supuesto acoge este Tribunal. En reciente decisión de tutela (Criterio auxiliar), la CSJ (2022)</w:t>
      </w:r>
      <w:r w:rsidR="00133CA2" w:rsidRPr="00190351">
        <w:rPr>
          <w:rStyle w:val="Refdenotaalpie"/>
          <w:rFonts w:ascii="Gadugi" w:eastAsia="Georgia" w:hAnsi="Gadugi" w:cs="Georgia"/>
          <w:szCs w:val="24"/>
          <w:lang w:val="es"/>
        </w:rPr>
        <w:footnoteReference w:id="45"/>
      </w:r>
      <w:r w:rsidRPr="00190351">
        <w:rPr>
          <w:rFonts w:ascii="Gadugi" w:eastAsia="Georgia" w:hAnsi="Gadugi" w:cs="Georgia"/>
          <w:szCs w:val="24"/>
          <w:lang w:val="es"/>
        </w:rPr>
        <w:t>, prohijó este mismo parecer.</w:t>
      </w:r>
    </w:p>
    <w:p w14:paraId="63BEDA0D" w14:textId="4707551A" w:rsidR="000837D6" w:rsidRPr="00E1241B" w:rsidRDefault="000837D6" w:rsidP="00E1241B">
      <w:pPr>
        <w:ind w:left="567" w:right="618"/>
        <w:jc w:val="both"/>
        <w:rPr>
          <w:rFonts w:ascii="Gadugi" w:hAnsi="Gadugi"/>
          <w:sz w:val="24"/>
          <w:szCs w:val="24"/>
        </w:rPr>
      </w:pPr>
    </w:p>
    <w:p w14:paraId="6B2015B1" w14:textId="2F664458" w:rsidR="000837D6" w:rsidRPr="00E1241B" w:rsidRDefault="00133CA2"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Pues bien, de la versión rendida por el demandante, </w:t>
      </w:r>
      <w:r w:rsidR="000837D6" w:rsidRPr="00E1241B">
        <w:rPr>
          <w:rFonts w:ascii="Gadugi" w:eastAsia="Gadugi" w:hAnsi="Gadugi" w:cs="Gadugi"/>
          <w:sz w:val="24"/>
          <w:szCs w:val="24"/>
        </w:rPr>
        <w:t>el juzgado dedujo que</w:t>
      </w:r>
      <w:r w:rsidRPr="00E1241B">
        <w:rPr>
          <w:rFonts w:ascii="Gadugi" w:eastAsia="Gadugi" w:hAnsi="Gadugi" w:cs="Gadugi"/>
          <w:sz w:val="24"/>
          <w:szCs w:val="24"/>
        </w:rPr>
        <w:t>,</w:t>
      </w:r>
      <w:r w:rsidR="000837D6" w:rsidRPr="00E1241B">
        <w:rPr>
          <w:rFonts w:ascii="Gadugi" w:eastAsia="Gadugi" w:hAnsi="Gadugi" w:cs="Gadugi"/>
          <w:sz w:val="24"/>
          <w:szCs w:val="24"/>
        </w:rPr>
        <w:t xml:space="preserve"> una vez falleció Pastora López</w:t>
      </w:r>
      <w:r w:rsidRPr="00E1241B">
        <w:rPr>
          <w:rFonts w:ascii="Gadugi" w:eastAsia="Gadugi" w:hAnsi="Gadugi" w:cs="Gadugi"/>
          <w:sz w:val="24"/>
          <w:szCs w:val="24"/>
        </w:rPr>
        <w:t>,</w:t>
      </w:r>
      <w:r w:rsidR="000837D6" w:rsidRPr="00E1241B">
        <w:rPr>
          <w:rFonts w:ascii="Gadugi" w:eastAsia="Gadugi" w:hAnsi="Gadugi" w:cs="Gadugi"/>
          <w:sz w:val="24"/>
          <w:szCs w:val="24"/>
        </w:rPr>
        <w:t xml:space="preserve"> la posesión sobre el inmueble fue compartida por él con el señor Mario López Valencia, ya que a la pregunta que se le hizo sobre la estadía de este último allí, dijo que “</w:t>
      </w:r>
      <w:r w:rsidR="000837D6" w:rsidRPr="00A008FD">
        <w:rPr>
          <w:rFonts w:ascii="Gadugi" w:eastAsia="Gadugi" w:hAnsi="Gadugi" w:cs="Gadugi"/>
          <w:i/>
          <w:iCs/>
          <w:szCs w:val="24"/>
        </w:rPr>
        <w:t>Mario vivía tres años antes de morir la tía Pastora (…)  después de que murió Pastora él vivió 16 o 17 meses (…) él vivía ahí porque la compañera sentimental de él lo había echado de la casa, entonces le fue a pedir el favor a Pastora de que lo dejara vivir allí y se fue a vivir allá mientras se organizaba…</w:t>
      </w:r>
      <w:r w:rsidR="001D6A78">
        <w:rPr>
          <w:rFonts w:ascii="Gadugi" w:eastAsia="Gadugi" w:hAnsi="Gadugi" w:cs="Gadugi"/>
          <w:i/>
          <w:iCs/>
          <w:sz w:val="24"/>
          <w:szCs w:val="24"/>
        </w:rPr>
        <w:t xml:space="preserve">” </w:t>
      </w:r>
      <w:r w:rsidR="000837D6" w:rsidRPr="00E1241B">
        <w:rPr>
          <w:rStyle w:val="Refdenotaalpie"/>
          <w:rFonts w:ascii="Gadugi" w:eastAsia="Gadugi" w:hAnsi="Gadugi" w:cs="Gadugi"/>
          <w:sz w:val="24"/>
          <w:szCs w:val="24"/>
        </w:rPr>
        <w:footnoteReference w:id="46"/>
      </w:r>
      <w:r w:rsidR="000837D6" w:rsidRPr="00E1241B">
        <w:rPr>
          <w:rFonts w:ascii="Gadugi" w:eastAsia="Gadugi" w:hAnsi="Gadugi" w:cs="Gadugi"/>
          <w:i/>
          <w:iCs/>
          <w:sz w:val="24"/>
          <w:szCs w:val="24"/>
        </w:rPr>
        <w:t xml:space="preserve">. </w:t>
      </w:r>
      <w:r w:rsidR="000837D6" w:rsidRPr="00E1241B">
        <w:rPr>
          <w:rFonts w:ascii="Gadugi" w:eastAsia="Gadugi" w:hAnsi="Gadugi" w:cs="Gadugi"/>
          <w:sz w:val="24"/>
          <w:szCs w:val="24"/>
        </w:rPr>
        <w:t xml:space="preserve">Sin embargo, fue enfático en señalar que la causante, meses antes de su muerte le manifestó que esa casa sería de él, por lo que empezó a ejercer actos de señorío sobre el bien, sin tener en cuenta a los demás herederos. </w:t>
      </w:r>
    </w:p>
    <w:p w14:paraId="25E71629" w14:textId="174F1054" w:rsidR="3AECD52B" w:rsidRPr="00E1241B" w:rsidRDefault="3AECD52B"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83F1E9F" w14:textId="2D8ABC03" w:rsidR="00DD7B91" w:rsidRPr="00E1241B" w:rsidRDefault="00682CDF"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Por su parte, </w:t>
      </w:r>
      <w:r w:rsidR="00844BA9" w:rsidRPr="00E1241B">
        <w:rPr>
          <w:rFonts w:ascii="Gadugi" w:eastAsia="Gadugi" w:hAnsi="Gadugi" w:cs="Gadugi"/>
          <w:sz w:val="24"/>
          <w:szCs w:val="24"/>
        </w:rPr>
        <w:t>l</w:t>
      </w:r>
      <w:r w:rsidR="00E4351D" w:rsidRPr="00E1241B">
        <w:rPr>
          <w:rFonts w:ascii="Gadugi" w:eastAsia="Gadugi" w:hAnsi="Gadugi" w:cs="Gadugi"/>
          <w:sz w:val="24"/>
          <w:szCs w:val="24"/>
        </w:rPr>
        <w:t>a señora Virginia López Salazar</w:t>
      </w:r>
      <w:r w:rsidR="008462CA" w:rsidRPr="00E1241B">
        <w:rPr>
          <w:rFonts w:ascii="Gadugi" w:eastAsia="Gadugi" w:hAnsi="Gadugi" w:cs="Gadugi"/>
          <w:sz w:val="24"/>
          <w:szCs w:val="24"/>
        </w:rPr>
        <w:t>,</w:t>
      </w:r>
      <w:r w:rsidR="00377215" w:rsidRPr="00E1241B">
        <w:rPr>
          <w:rStyle w:val="Refdenotaalpie"/>
          <w:rFonts w:ascii="Gadugi" w:eastAsia="Gadugi" w:hAnsi="Gadugi" w:cs="Gadugi"/>
          <w:sz w:val="24"/>
          <w:szCs w:val="24"/>
        </w:rPr>
        <w:footnoteReference w:id="47"/>
      </w:r>
      <w:r w:rsidR="008462CA" w:rsidRPr="00E1241B">
        <w:rPr>
          <w:rFonts w:ascii="Gadugi" w:eastAsia="Gadugi" w:hAnsi="Gadugi" w:cs="Gadugi"/>
          <w:sz w:val="24"/>
          <w:szCs w:val="24"/>
        </w:rPr>
        <w:t xml:space="preserve"> codemandada,</w:t>
      </w:r>
      <w:r w:rsidR="00E4351D" w:rsidRPr="00E1241B">
        <w:rPr>
          <w:rFonts w:ascii="Gadugi" w:eastAsia="Gadugi" w:hAnsi="Gadugi" w:cs="Gadugi"/>
          <w:sz w:val="24"/>
          <w:szCs w:val="24"/>
        </w:rPr>
        <w:t xml:space="preserve"> </w:t>
      </w:r>
      <w:r w:rsidR="00A1548D" w:rsidRPr="00E1241B">
        <w:rPr>
          <w:rFonts w:ascii="Gadugi" w:eastAsia="Gadugi" w:hAnsi="Gadugi" w:cs="Gadugi"/>
          <w:sz w:val="24"/>
          <w:szCs w:val="24"/>
        </w:rPr>
        <w:t xml:space="preserve">rindió </w:t>
      </w:r>
      <w:r w:rsidR="00377215" w:rsidRPr="00E1241B">
        <w:rPr>
          <w:rFonts w:ascii="Gadugi" w:eastAsia="Gadugi" w:hAnsi="Gadugi" w:cs="Gadugi"/>
          <w:sz w:val="24"/>
          <w:szCs w:val="24"/>
        </w:rPr>
        <w:t xml:space="preserve">interrogatorio sobre unos hechos que no tenía muy claros; especialmente, no recordaba ni siquiera con mediana exactitud el año de fallecimiento de la causante, </w:t>
      </w:r>
      <w:r w:rsidR="00DD7B91" w:rsidRPr="00E1241B">
        <w:rPr>
          <w:rFonts w:ascii="Gadugi" w:eastAsia="Gadugi" w:hAnsi="Gadugi" w:cs="Gadugi"/>
          <w:sz w:val="24"/>
          <w:szCs w:val="24"/>
        </w:rPr>
        <w:t>tampoco</w:t>
      </w:r>
      <w:r w:rsidR="00377215" w:rsidRPr="00E1241B">
        <w:rPr>
          <w:rFonts w:ascii="Gadugi" w:eastAsia="Gadugi" w:hAnsi="Gadugi" w:cs="Gadugi"/>
          <w:sz w:val="24"/>
          <w:szCs w:val="24"/>
        </w:rPr>
        <w:t xml:space="preserve"> la época en la que Mario López había abandonado la propiedad objeto del litigio. Sobre lo primero, dijo: </w:t>
      </w:r>
      <w:r w:rsidR="003D0D56" w:rsidRPr="00E1241B">
        <w:rPr>
          <w:rFonts w:ascii="Gadugi" w:eastAsia="Gadugi" w:hAnsi="Gadugi" w:cs="Gadugi"/>
          <w:i/>
          <w:iCs/>
          <w:sz w:val="24"/>
          <w:szCs w:val="24"/>
        </w:rPr>
        <w:t xml:space="preserve">Pastora murió por ahí en el 2001, 2002 </w:t>
      </w:r>
      <w:r w:rsidR="003D0D56" w:rsidRPr="00E1241B">
        <w:rPr>
          <w:rFonts w:ascii="Gadugi" w:eastAsia="Gadugi" w:hAnsi="Gadugi" w:cs="Gadugi"/>
          <w:sz w:val="24"/>
          <w:szCs w:val="24"/>
        </w:rPr>
        <w:t xml:space="preserve">y sobre lo segundo, expuso: </w:t>
      </w:r>
      <w:r w:rsidR="003D0D56" w:rsidRPr="00E1241B">
        <w:rPr>
          <w:rFonts w:ascii="Gadugi" w:eastAsia="Gadugi" w:hAnsi="Gadugi" w:cs="Gadugi"/>
          <w:i/>
          <w:iCs/>
          <w:sz w:val="24"/>
          <w:szCs w:val="24"/>
        </w:rPr>
        <w:t xml:space="preserve">por ahí hasta el año 2008. </w:t>
      </w:r>
      <w:r w:rsidR="00377215" w:rsidRPr="00E1241B">
        <w:rPr>
          <w:rFonts w:ascii="Gadugi" w:eastAsia="Gadugi" w:hAnsi="Gadugi" w:cs="Gadugi"/>
          <w:sz w:val="24"/>
          <w:szCs w:val="24"/>
        </w:rPr>
        <w:t xml:space="preserve">Pese a lo anterior, se puede rescatar de sus manifestaciones que, </w:t>
      </w:r>
      <w:r w:rsidR="00E4351D" w:rsidRPr="00E1241B">
        <w:rPr>
          <w:rFonts w:ascii="Gadugi" w:eastAsia="Gadugi" w:hAnsi="Gadugi" w:cs="Gadugi"/>
          <w:sz w:val="24"/>
          <w:szCs w:val="24"/>
        </w:rPr>
        <w:t xml:space="preserve">la última vez que </w:t>
      </w:r>
      <w:r w:rsidR="00377215" w:rsidRPr="00E1241B">
        <w:rPr>
          <w:rFonts w:ascii="Gadugi" w:eastAsia="Gadugi" w:hAnsi="Gadugi" w:cs="Gadugi"/>
          <w:sz w:val="24"/>
          <w:szCs w:val="24"/>
        </w:rPr>
        <w:t xml:space="preserve">visitó la </w:t>
      </w:r>
      <w:r w:rsidR="00E4351D" w:rsidRPr="00E1241B">
        <w:rPr>
          <w:rFonts w:ascii="Gadugi" w:eastAsia="Gadugi" w:hAnsi="Gadugi" w:cs="Gadugi"/>
          <w:sz w:val="24"/>
          <w:szCs w:val="24"/>
        </w:rPr>
        <w:t xml:space="preserve">vivienda </w:t>
      </w:r>
      <w:r w:rsidR="00377215" w:rsidRPr="00E1241B">
        <w:rPr>
          <w:rFonts w:ascii="Gadugi" w:eastAsia="Gadugi" w:hAnsi="Gadugi" w:cs="Gadugi"/>
          <w:sz w:val="24"/>
          <w:szCs w:val="24"/>
        </w:rPr>
        <w:t xml:space="preserve">fue </w:t>
      </w:r>
      <w:r w:rsidR="00DD7B91" w:rsidRPr="00E1241B">
        <w:rPr>
          <w:rFonts w:ascii="Gadugi" w:eastAsia="Gadugi" w:hAnsi="Gadugi" w:cs="Gadugi"/>
          <w:sz w:val="24"/>
          <w:szCs w:val="24"/>
        </w:rPr>
        <w:t>en vida de su tía Pastora</w:t>
      </w:r>
      <w:r w:rsidR="00377215" w:rsidRPr="00E1241B">
        <w:rPr>
          <w:rFonts w:ascii="Gadugi" w:eastAsia="Gadugi" w:hAnsi="Gadugi" w:cs="Gadugi"/>
          <w:sz w:val="24"/>
          <w:szCs w:val="24"/>
        </w:rPr>
        <w:t xml:space="preserve"> y ante pregunta de si había regresado </w:t>
      </w:r>
      <w:r w:rsidR="00DD7B91" w:rsidRPr="00E1241B">
        <w:rPr>
          <w:rFonts w:ascii="Gadugi" w:eastAsia="Gadugi" w:hAnsi="Gadugi" w:cs="Gadugi"/>
          <w:sz w:val="24"/>
          <w:szCs w:val="24"/>
        </w:rPr>
        <w:t xml:space="preserve">con </w:t>
      </w:r>
      <w:r w:rsidR="00377215" w:rsidRPr="00E1241B">
        <w:rPr>
          <w:rFonts w:ascii="Gadugi" w:eastAsia="Gadugi" w:hAnsi="Gadugi" w:cs="Gadugi"/>
          <w:sz w:val="24"/>
          <w:szCs w:val="24"/>
        </w:rPr>
        <w:t>posterior</w:t>
      </w:r>
      <w:r w:rsidR="00DD7B91" w:rsidRPr="00E1241B">
        <w:rPr>
          <w:rFonts w:ascii="Gadugi" w:eastAsia="Gadugi" w:hAnsi="Gadugi" w:cs="Gadugi"/>
          <w:sz w:val="24"/>
          <w:szCs w:val="24"/>
        </w:rPr>
        <w:t>idad</w:t>
      </w:r>
      <w:r w:rsidR="00377215" w:rsidRPr="00E1241B">
        <w:rPr>
          <w:rFonts w:ascii="Gadugi" w:eastAsia="Gadugi" w:hAnsi="Gadugi" w:cs="Gadugi"/>
          <w:sz w:val="24"/>
          <w:szCs w:val="24"/>
        </w:rPr>
        <w:t xml:space="preserve"> a la muerte de ella, respondió</w:t>
      </w:r>
      <w:r w:rsidR="00DD7B91" w:rsidRPr="00E1241B">
        <w:rPr>
          <w:rFonts w:ascii="Gadugi" w:eastAsia="Gadugi" w:hAnsi="Gadugi" w:cs="Gadugi"/>
          <w:sz w:val="24"/>
          <w:szCs w:val="24"/>
        </w:rPr>
        <w:t xml:space="preserve"> que no. </w:t>
      </w:r>
    </w:p>
    <w:p w14:paraId="3E5B96C2" w14:textId="77777777" w:rsidR="00DD7B91" w:rsidRPr="00E1241B" w:rsidRDefault="00DD7B9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06F1AB1" w14:textId="0D31C4B3" w:rsidR="004B57D4" w:rsidRPr="00E1241B" w:rsidRDefault="0096582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Reconoció que cuando Pastora falleció Diego ya residía en la propiedad y que las disputas</w:t>
      </w:r>
      <w:r w:rsidRPr="00E1241B">
        <w:rPr>
          <w:rStyle w:val="Refdenotaalpie"/>
          <w:rFonts w:ascii="Gadugi" w:eastAsia="Gadugi" w:hAnsi="Gadugi" w:cs="Gadugi"/>
          <w:sz w:val="24"/>
          <w:szCs w:val="24"/>
        </w:rPr>
        <w:footnoteReference w:id="48"/>
      </w:r>
      <w:r w:rsidRPr="00E1241B">
        <w:rPr>
          <w:rFonts w:ascii="Gadugi" w:eastAsia="Gadugi" w:hAnsi="Gadugi" w:cs="Gadugi"/>
          <w:sz w:val="24"/>
          <w:szCs w:val="24"/>
        </w:rPr>
        <w:t xml:space="preserve"> se presentaron en vida de </w:t>
      </w:r>
      <w:r w:rsidR="003468B0" w:rsidRPr="00E1241B">
        <w:rPr>
          <w:rFonts w:ascii="Gadugi" w:eastAsia="Gadugi" w:hAnsi="Gadugi" w:cs="Gadugi"/>
          <w:sz w:val="24"/>
          <w:szCs w:val="24"/>
        </w:rPr>
        <w:t xml:space="preserve">aquélla </w:t>
      </w:r>
      <w:r w:rsidRPr="00E1241B">
        <w:rPr>
          <w:rFonts w:ascii="Gadugi" w:eastAsia="Gadugi" w:hAnsi="Gadugi" w:cs="Gadugi"/>
          <w:sz w:val="24"/>
          <w:szCs w:val="24"/>
        </w:rPr>
        <w:t xml:space="preserve">cuando </w:t>
      </w:r>
      <w:r w:rsidR="003468B0" w:rsidRPr="00E1241B">
        <w:rPr>
          <w:rFonts w:ascii="Gadugi" w:eastAsia="Gadugi" w:hAnsi="Gadugi" w:cs="Gadugi"/>
          <w:sz w:val="24"/>
          <w:szCs w:val="24"/>
        </w:rPr>
        <w:t xml:space="preserve">hizo escrituras para cederle </w:t>
      </w:r>
      <w:r w:rsidRPr="00E1241B">
        <w:rPr>
          <w:rFonts w:ascii="Gadugi" w:eastAsia="Gadugi" w:hAnsi="Gadugi" w:cs="Gadugi"/>
          <w:sz w:val="24"/>
          <w:szCs w:val="24"/>
        </w:rPr>
        <w:t>la casa a</w:t>
      </w:r>
      <w:r w:rsidR="003468B0" w:rsidRPr="00E1241B">
        <w:rPr>
          <w:rFonts w:ascii="Gadugi" w:eastAsia="Gadugi" w:hAnsi="Gadugi" w:cs="Gadugi"/>
          <w:sz w:val="24"/>
          <w:szCs w:val="24"/>
        </w:rPr>
        <w:t xml:space="preserve">l demandante y a Mario López, presuntas </w:t>
      </w:r>
      <w:r w:rsidR="00DD7B91" w:rsidRPr="00E1241B">
        <w:rPr>
          <w:rFonts w:ascii="Gadugi" w:eastAsia="Gadugi" w:hAnsi="Gadugi" w:cs="Gadugi"/>
          <w:sz w:val="24"/>
          <w:szCs w:val="24"/>
        </w:rPr>
        <w:t xml:space="preserve">reyertas </w:t>
      </w:r>
      <w:r w:rsidR="003468B0" w:rsidRPr="00E1241B">
        <w:rPr>
          <w:rFonts w:ascii="Gadugi" w:eastAsia="Gadugi" w:hAnsi="Gadugi" w:cs="Gadugi"/>
          <w:sz w:val="24"/>
          <w:szCs w:val="24"/>
        </w:rPr>
        <w:t>que</w:t>
      </w:r>
      <w:r w:rsidR="00DD7B91" w:rsidRPr="00E1241B">
        <w:rPr>
          <w:rFonts w:ascii="Gadugi" w:eastAsia="Gadugi" w:hAnsi="Gadugi" w:cs="Gadugi"/>
          <w:sz w:val="24"/>
          <w:szCs w:val="24"/>
        </w:rPr>
        <w:t>,</w:t>
      </w:r>
      <w:r w:rsidR="003468B0" w:rsidRPr="00E1241B">
        <w:rPr>
          <w:rFonts w:ascii="Gadugi" w:eastAsia="Gadugi" w:hAnsi="Gadugi" w:cs="Gadugi"/>
          <w:sz w:val="24"/>
          <w:szCs w:val="24"/>
        </w:rPr>
        <w:t xml:space="preserve"> asegura la declarante</w:t>
      </w:r>
      <w:r w:rsidR="00DD7B91" w:rsidRPr="00E1241B">
        <w:rPr>
          <w:rFonts w:ascii="Gadugi" w:eastAsia="Gadugi" w:hAnsi="Gadugi" w:cs="Gadugi"/>
          <w:sz w:val="24"/>
          <w:szCs w:val="24"/>
        </w:rPr>
        <w:t>,</w:t>
      </w:r>
      <w:r w:rsidR="003468B0" w:rsidRPr="00E1241B">
        <w:rPr>
          <w:rFonts w:ascii="Gadugi" w:eastAsia="Gadugi" w:hAnsi="Gadugi" w:cs="Gadugi"/>
          <w:sz w:val="24"/>
          <w:szCs w:val="24"/>
        </w:rPr>
        <w:t xml:space="preserve"> se prolongaron después de la muerte de Pastora</w:t>
      </w:r>
      <w:r w:rsidR="00DD7B91" w:rsidRPr="00E1241B">
        <w:rPr>
          <w:rFonts w:ascii="Gadugi" w:eastAsia="Gadugi" w:hAnsi="Gadugi" w:cs="Gadugi"/>
          <w:sz w:val="24"/>
          <w:szCs w:val="24"/>
        </w:rPr>
        <w:t>,</w:t>
      </w:r>
      <w:r w:rsidR="003468B0" w:rsidRPr="00E1241B">
        <w:rPr>
          <w:rFonts w:ascii="Gadugi" w:eastAsia="Gadugi" w:hAnsi="Gadugi" w:cs="Gadugi"/>
          <w:sz w:val="24"/>
          <w:szCs w:val="24"/>
        </w:rPr>
        <w:t xml:space="preserve"> porque ambos </w:t>
      </w:r>
      <w:r w:rsidR="00DD7B91" w:rsidRPr="00E1241B">
        <w:rPr>
          <w:rFonts w:ascii="Gadugi" w:eastAsia="Gadugi" w:hAnsi="Gadugi" w:cs="Gadugi"/>
          <w:sz w:val="24"/>
          <w:szCs w:val="24"/>
        </w:rPr>
        <w:t>presentaron una</w:t>
      </w:r>
      <w:r w:rsidR="003468B0" w:rsidRPr="00E1241B">
        <w:rPr>
          <w:rFonts w:ascii="Gadugi" w:eastAsia="Gadugi" w:hAnsi="Gadugi" w:cs="Gadugi"/>
          <w:sz w:val="24"/>
          <w:szCs w:val="24"/>
        </w:rPr>
        <w:t xml:space="preserve"> demanda</w:t>
      </w:r>
      <w:r w:rsidR="00DD7B91" w:rsidRPr="00E1241B">
        <w:rPr>
          <w:rFonts w:ascii="Gadugi" w:eastAsia="Gadugi" w:hAnsi="Gadugi" w:cs="Gadugi"/>
          <w:sz w:val="24"/>
          <w:szCs w:val="24"/>
        </w:rPr>
        <w:t xml:space="preserve">. </w:t>
      </w:r>
      <w:r w:rsidR="00901CBE" w:rsidRPr="00E1241B">
        <w:rPr>
          <w:rFonts w:ascii="Gadugi" w:eastAsia="Gadugi" w:hAnsi="Gadugi" w:cs="Gadugi"/>
          <w:sz w:val="24"/>
          <w:szCs w:val="24"/>
        </w:rPr>
        <w:t xml:space="preserve">Recordó </w:t>
      </w:r>
      <w:r w:rsidR="00A612FB" w:rsidRPr="00E1241B">
        <w:rPr>
          <w:rFonts w:ascii="Gadugi" w:eastAsia="Gadugi" w:hAnsi="Gadugi" w:cs="Gadugi"/>
          <w:sz w:val="24"/>
          <w:szCs w:val="24"/>
        </w:rPr>
        <w:t>que:</w:t>
      </w:r>
      <w:r w:rsidR="003468B0" w:rsidRPr="00E1241B">
        <w:rPr>
          <w:rFonts w:ascii="Gadugi" w:eastAsia="Gadugi" w:hAnsi="Gadugi" w:cs="Gadugi"/>
          <w:sz w:val="24"/>
          <w:szCs w:val="24"/>
        </w:rPr>
        <w:t xml:space="preserve"> “</w:t>
      </w:r>
      <w:r w:rsidR="003468B0" w:rsidRPr="00A008FD">
        <w:rPr>
          <w:rFonts w:ascii="Gadugi" w:eastAsia="Gadugi" w:hAnsi="Gadugi" w:cs="Gadugi"/>
          <w:i/>
          <w:iCs/>
          <w:szCs w:val="24"/>
        </w:rPr>
        <w:t xml:space="preserve">se dio plata a Mario para hacer todas las diligencias… la de los juzgados…  </w:t>
      </w:r>
      <w:r w:rsidR="00A612FB" w:rsidRPr="00A008FD">
        <w:rPr>
          <w:rFonts w:ascii="Gadugi" w:eastAsia="Gadugi" w:hAnsi="Gadugi" w:cs="Gadugi"/>
          <w:i/>
          <w:iCs/>
          <w:szCs w:val="24"/>
        </w:rPr>
        <w:t>vino a pedir plata y s</w:t>
      </w:r>
      <w:r w:rsidR="003468B0" w:rsidRPr="00A008FD">
        <w:rPr>
          <w:rFonts w:ascii="Gadugi" w:eastAsia="Gadugi" w:hAnsi="Gadugi" w:cs="Gadugi"/>
          <w:i/>
          <w:iCs/>
          <w:szCs w:val="24"/>
        </w:rPr>
        <w:t xml:space="preserve">e recogió plata entre toda la familia… </w:t>
      </w:r>
      <w:r w:rsidR="00A612FB" w:rsidRPr="00A008FD">
        <w:rPr>
          <w:rFonts w:ascii="Gadugi" w:eastAsia="Gadugi" w:hAnsi="Gadugi" w:cs="Gadugi"/>
          <w:i/>
          <w:iCs/>
          <w:szCs w:val="24"/>
        </w:rPr>
        <w:t xml:space="preserve">yo sé que </w:t>
      </w:r>
      <w:r w:rsidR="003468B0" w:rsidRPr="00A008FD">
        <w:rPr>
          <w:rFonts w:ascii="Gadugi" w:eastAsia="Gadugi" w:hAnsi="Gadugi" w:cs="Gadugi"/>
          <w:i/>
          <w:iCs/>
          <w:szCs w:val="24"/>
        </w:rPr>
        <w:t xml:space="preserve">hermanos y primos, todo el mundo colaboró… </w:t>
      </w:r>
      <w:r w:rsidR="00A612FB" w:rsidRPr="00A008FD">
        <w:rPr>
          <w:rFonts w:ascii="Gadugi" w:eastAsia="Gadugi" w:hAnsi="Gadugi" w:cs="Gadugi"/>
          <w:i/>
          <w:iCs/>
          <w:szCs w:val="24"/>
        </w:rPr>
        <w:t>para hacer las vueltas de que esa casa no era de Diego, sino que se le había concedido el favor de vivir allá… pero que no se le diera la casa a él, ni a Mario ni a ninguno</w:t>
      </w:r>
      <w:r w:rsidR="003468B0" w:rsidRPr="00E1241B">
        <w:rPr>
          <w:rFonts w:ascii="Gadugi" w:eastAsia="Gadugi" w:hAnsi="Gadugi" w:cs="Gadugi"/>
          <w:sz w:val="24"/>
          <w:szCs w:val="24"/>
        </w:rPr>
        <w:t>”</w:t>
      </w:r>
      <w:r w:rsidR="003468B0" w:rsidRPr="00E1241B">
        <w:rPr>
          <w:rStyle w:val="Refdenotaalpie"/>
          <w:rFonts w:ascii="Gadugi" w:eastAsia="Gadugi" w:hAnsi="Gadugi" w:cs="Gadugi"/>
          <w:sz w:val="24"/>
          <w:szCs w:val="24"/>
        </w:rPr>
        <w:footnoteReference w:id="49"/>
      </w:r>
      <w:r w:rsidR="003468B0" w:rsidRPr="00E1241B">
        <w:rPr>
          <w:rFonts w:ascii="Gadugi" w:eastAsia="Gadugi" w:hAnsi="Gadugi" w:cs="Gadugi"/>
          <w:sz w:val="24"/>
          <w:szCs w:val="24"/>
        </w:rPr>
        <w:t xml:space="preserve"> </w:t>
      </w:r>
      <w:r w:rsidR="00A612FB" w:rsidRPr="00E1241B">
        <w:rPr>
          <w:rFonts w:ascii="Gadugi" w:eastAsia="Gadugi" w:hAnsi="Gadugi" w:cs="Gadugi"/>
          <w:sz w:val="24"/>
          <w:szCs w:val="24"/>
        </w:rPr>
        <w:t>y seguidamente confirmó, cuando se le indagó en qu</w:t>
      </w:r>
      <w:r w:rsidR="00901CBE" w:rsidRPr="00E1241B">
        <w:rPr>
          <w:rFonts w:ascii="Gadugi" w:eastAsia="Gadugi" w:hAnsi="Gadugi" w:cs="Gadugi"/>
          <w:sz w:val="24"/>
          <w:szCs w:val="24"/>
        </w:rPr>
        <w:t>é</w:t>
      </w:r>
      <w:r w:rsidR="00A612FB" w:rsidRPr="00E1241B">
        <w:rPr>
          <w:rFonts w:ascii="Gadugi" w:eastAsia="Gadugi" w:hAnsi="Gadugi" w:cs="Gadugi"/>
          <w:sz w:val="24"/>
          <w:szCs w:val="24"/>
        </w:rPr>
        <w:t xml:space="preserve"> había terminado esa gestión, toda vez que, los poderes reflejaban un trámite diferente, </w:t>
      </w:r>
      <w:r w:rsidR="00901CBE" w:rsidRPr="00E1241B">
        <w:rPr>
          <w:rFonts w:ascii="Gadugi" w:eastAsia="Gadugi" w:hAnsi="Gadugi" w:cs="Gadugi"/>
          <w:sz w:val="24"/>
          <w:szCs w:val="24"/>
        </w:rPr>
        <w:t>que</w:t>
      </w:r>
      <w:r w:rsidR="00A612FB" w:rsidRPr="00E1241B">
        <w:rPr>
          <w:rFonts w:ascii="Gadugi" w:eastAsia="Gadugi" w:hAnsi="Gadugi" w:cs="Gadugi"/>
          <w:sz w:val="24"/>
          <w:szCs w:val="24"/>
        </w:rPr>
        <w:t xml:space="preserve"> “</w:t>
      </w:r>
      <w:r w:rsidR="00A612FB" w:rsidRPr="00A008FD">
        <w:rPr>
          <w:rFonts w:ascii="Gadugi" w:eastAsia="Gadugi" w:hAnsi="Gadugi" w:cs="Gadugi"/>
          <w:i/>
          <w:iCs/>
          <w:szCs w:val="24"/>
        </w:rPr>
        <w:t>como dijo Diego, Mario era muy mentiroso</w:t>
      </w:r>
      <w:r w:rsidR="00A612FB" w:rsidRPr="00E1241B">
        <w:rPr>
          <w:rFonts w:ascii="Gadugi" w:eastAsia="Gadugi" w:hAnsi="Gadugi" w:cs="Gadugi"/>
          <w:sz w:val="24"/>
          <w:szCs w:val="24"/>
        </w:rPr>
        <w:t xml:space="preserve">”. </w:t>
      </w:r>
      <w:r w:rsidR="003D0D56" w:rsidRPr="00E1241B">
        <w:rPr>
          <w:rFonts w:ascii="Gadugi" w:eastAsia="Gadugi" w:hAnsi="Gadugi" w:cs="Gadugi"/>
          <w:sz w:val="24"/>
          <w:szCs w:val="24"/>
        </w:rPr>
        <w:t xml:space="preserve">Ante el cuestionamiento sobre </w:t>
      </w:r>
      <w:r w:rsidR="00B6508D" w:rsidRPr="00E1241B">
        <w:rPr>
          <w:rFonts w:ascii="Gadugi" w:eastAsia="Gadugi" w:hAnsi="Gadugi" w:cs="Gadugi"/>
          <w:sz w:val="24"/>
          <w:szCs w:val="24"/>
        </w:rPr>
        <w:t xml:space="preserve">quien es la persona </w:t>
      </w:r>
      <w:r w:rsidR="00B6508D" w:rsidRPr="00E1241B">
        <w:rPr>
          <w:rFonts w:ascii="Gadugi" w:eastAsia="Gadugi" w:hAnsi="Gadugi" w:cs="Gadugi"/>
          <w:sz w:val="24"/>
          <w:szCs w:val="24"/>
        </w:rPr>
        <w:lastRenderedPageBreak/>
        <w:t>encargada del mantenimiento de la propiedad en litigio, manifestó</w:t>
      </w:r>
      <w:r w:rsidR="00901CBE" w:rsidRPr="00E1241B">
        <w:rPr>
          <w:rFonts w:ascii="Gadugi" w:eastAsia="Gadugi" w:hAnsi="Gadugi" w:cs="Gadugi"/>
          <w:sz w:val="24"/>
          <w:szCs w:val="24"/>
        </w:rPr>
        <w:t xml:space="preserve"> “</w:t>
      </w:r>
      <w:r w:rsidR="00901CBE" w:rsidRPr="00A008FD">
        <w:rPr>
          <w:rFonts w:ascii="Gadugi" w:eastAsia="Gadugi" w:hAnsi="Gadugi" w:cs="Gadugi"/>
          <w:szCs w:val="24"/>
        </w:rPr>
        <w:t>…</w:t>
      </w:r>
      <w:r w:rsidR="00A008FD" w:rsidRPr="00A008FD">
        <w:rPr>
          <w:rFonts w:ascii="Gadugi" w:eastAsia="Gadugi" w:hAnsi="Gadugi" w:cs="Gadugi"/>
          <w:szCs w:val="24"/>
        </w:rPr>
        <w:t xml:space="preserve"> </w:t>
      </w:r>
      <w:r w:rsidR="00B6508D" w:rsidRPr="00A008FD">
        <w:rPr>
          <w:rFonts w:ascii="Gadugi" w:eastAsia="Gadugi" w:hAnsi="Gadugi" w:cs="Gadugi"/>
          <w:i/>
          <w:iCs/>
          <w:szCs w:val="24"/>
        </w:rPr>
        <w:t>pienso que Diego</w:t>
      </w:r>
      <w:r w:rsidR="00901CBE" w:rsidRPr="00E1241B">
        <w:rPr>
          <w:rFonts w:ascii="Gadugi" w:eastAsia="Gadugi" w:hAnsi="Gadugi" w:cs="Gadugi"/>
          <w:i/>
          <w:iCs/>
          <w:sz w:val="24"/>
          <w:szCs w:val="24"/>
        </w:rPr>
        <w:t>”</w:t>
      </w:r>
      <w:r w:rsidR="00901CBE" w:rsidRPr="00E1241B">
        <w:rPr>
          <w:rFonts w:ascii="Gadugi" w:eastAsia="Gadugi" w:hAnsi="Gadugi" w:cs="Gadugi"/>
          <w:sz w:val="24"/>
          <w:szCs w:val="24"/>
        </w:rPr>
        <w:t>;</w:t>
      </w:r>
      <w:r w:rsidR="00B6508D" w:rsidRPr="00E1241B">
        <w:rPr>
          <w:rFonts w:ascii="Gadugi" w:eastAsia="Gadugi" w:hAnsi="Gadugi" w:cs="Gadugi"/>
          <w:i/>
          <w:iCs/>
          <w:sz w:val="24"/>
          <w:szCs w:val="24"/>
        </w:rPr>
        <w:t xml:space="preserve"> </w:t>
      </w:r>
      <w:r w:rsidR="00B6508D" w:rsidRPr="00E1241B">
        <w:rPr>
          <w:rFonts w:ascii="Gadugi" w:eastAsia="Gadugi" w:hAnsi="Gadugi" w:cs="Gadugi"/>
          <w:sz w:val="24"/>
          <w:szCs w:val="24"/>
        </w:rPr>
        <w:t xml:space="preserve">y, cuando se le </w:t>
      </w:r>
      <w:r w:rsidR="00901CBE" w:rsidRPr="00E1241B">
        <w:rPr>
          <w:rFonts w:ascii="Gadugi" w:eastAsia="Gadugi" w:hAnsi="Gadugi" w:cs="Gadugi"/>
          <w:sz w:val="24"/>
          <w:szCs w:val="24"/>
        </w:rPr>
        <w:t xml:space="preserve">indagó si </w:t>
      </w:r>
      <w:r w:rsidR="00B6508D" w:rsidRPr="00E1241B">
        <w:rPr>
          <w:rFonts w:ascii="Gadugi" w:eastAsia="Gadugi" w:hAnsi="Gadugi" w:cs="Gadugi"/>
          <w:sz w:val="24"/>
          <w:szCs w:val="24"/>
        </w:rPr>
        <w:t xml:space="preserve">el demandante </w:t>
      </w:r>
      <w:r w:rsidR="003D0D56" w:rsidRPr="00E1241B">
        <w:rPr>
          <w:rFonts w:ascii="Gadugi" w:eastAsia="Gadugi" w:hAnsi="Gadugi" w:cs="Gadugi"/>
          <w:sz w:val="24"/>
          <w:szCs w:val="24"/>
        </w:rPr>
        <w:t>le</w:t>
      </w:r>
      <w:r w:rsidR="00B6508D" w:rsidRPr="00E1241B">
        <w:rPr>
          <w:rFonts w:ascii="Gadugi" w:eastAsia="Gadugi" w:hAnsi="Gadugi" w:cs="Gadugi"/>
          <w:sz w:val="24"/>
          <w:szCs w:val="24"/>
        </w:rPr>
        <w:t>s</w:t>
      </w:r>
      <w:r w:rsidR="003D0D56" w:rsidRPr="00E1241B">
        <w:rPr>
          <w:rFonts w:ascii="Gadugi" w:eastAsia="Gadugi" w:hAnsi="Gadugi" w:cs="Gadugi"/>
          <w:sz w:val="24"/>
          <w:szCs w:val="24"/>
        </w:rPr>
        <w:t xml:space="preserve"> rinde cuentas como herederos, o recauda dinero para mejoras o si se les ha rendido cuentas cuando ha estado arrendado, </w:t>
      </w:r>
      <w:r w:rsidR="00901CBE" w:rsidRPr="00E1241B">
        <w:rPr>
          <w:rFonts w:ascii="Gadugi" w:eastAsia="Gadugi" w:hAnsi="Gadugi" w:cs="Gadugi"/>
          <w:sz w:val="24"/>
          <w:szCs w:val="24"/>
        </w:rPr>
        <w:t>categóricamente dijo que “</w:t>
      </w:r>
      <w:r w:rsidR="00B6508D" w:rsidRPr="00A008FD">
        <w:rPr>
          <w:rFonts w:ascii="Gadugi" w:eastAsia="Gadugi" w:hAnsi="Gadugi" w:cs="Gadugi"/>
          <w:i/>
          <w:iCs/>
          <w:szCs w:val="24"/>
        </w:rPr>
        <w:t>nunca</w:t>
      </w:r>
      <w:r w:rsidR="00901CBE" w:rsidRPr="00E1241B">
        <w:rPr>
          <w:rFonts w:ascii="Gadugi" w:eastAsia="Gadugi" w:hAnsi="Gadugi" w:cs="Gadugi"/>
          <w:i/>
          <w:iCs/>
          <w:sz w:val="24"/>
          <w:szCs w:val="24"/>
        </w:rPr>
        <w:t>”</w:t>
      </w:r>
      <w:r w:rsidR="00A612FB" w:rsidRPr="00E1241B">
        <w:rPr>
          <w:rStyle w:val="Refdenotaalpie"/>
          <w:rFonts w:ascii="Gadugi" w:eastAsia="Gadugi" w:hAnsi="Gadugi" w:cs="Gadugi"/>
          <w:sz w:val="24"/>
          <w:szCs w:val="24"/>
        </w:rPr>
        <w:footnoteReference w:id="50"/>
      </w:r>
      <w:r w:rsidR="2C8D1D39" w:rsidRPr="00E1241B">
        <w:rPr>
          <w:rFonts w:ascii="Gadugi" w:eastAsia="Gadugi" w:hAnsi="Gadugi" w:cs="Gadugi"/>
          <w:sz w:val="24"/>
          <w:szCs w:val="24"/>
        </w:rPr>
        <w:t xml:space="preserve">. </w:t>
      </w:r>
      <w:r w:rsidR="00B6508D" w:rsidRPr="00E1241B">
        <w:rPr>
          <w:rFonts w:ascii="Gadugi" w:eastAsia="Gadugi" w:hAnsi="Gadugi" w:cs="Gadugi"/>
          <w:sz w:val="24"/>
          <w:szCs w:val="24"/>
        </w:rPr>
        <w:t xml:space="preserve">Seguidamente, agregó que, </w:t>
      </w:r>
      <w:r w:rsidR="00901CBE" w:rsidRPr="00E1241B">
        <w:rPr>
          <w:rFonts w:ascii="Gadugi" w:eastAsia="Gadugi" w:hAnsi="Gadugi" w:cs="Gadugi"/>
          <w:sz w:val="24"/>
          <w:szCs w:val="24"/>
        </w:rPr>
        <w:t xml:space="preserve">desconoce si </w:t>
      </w:r>
      <w:r w:rsidR="00B6508D" w:rsidRPr="00E1241B">
        <w:rPr>
          <w:rFonts w:ascii="Gadugi" w:eastAsia="Gadugi" w:hAnsi="Gadugi" w:cs="Gadugi"/>
          <w:sz w:val="24"/>
          <w:szCs w:val="24"/>
        </w:rPr>
        <w:t xml:space="preserve">Mario le </w:t>
      </w:r>
      <w:r w:rsidR="00901CBE" w:rsidRPr="00E1241B">
        <w:rPr>
          <w:rFonts w:ascii="Gadugi" w:eastAsia="Gadugi" w:hAnsi="Gadugi" w:cs="Gadugi"/>
          <w:sz w:val="24"/>
          <w:szCs w:val="24"/>
        </w:rPr>
        <w:t>plantó</w:t>
      </w:r>
      <w:r w:rsidR="00B6508D" w:rsidRPr="00E1241B">
        <w:rPr>
          <w:rFonts w:ascii="Gadugi" w:eastAsia="Gadugi" w:hAnsi="Gadugi" w:cs="Gadugi"/>
          <w:sz w:val="24"/>
          <w:szCs w:val="24"/>
        </w:rPr>
        <w:t xml:space="preserve"> mejoras a la casa.</w:t>
      </w:r>
      <w:r w:rsidR="00D06853" w:rsidRPr="00E1241B">
        <w:rPr>
          <w:rStyle w:val="Refdenotaalpie"/>
          <w:rFonts w:ascii="Gadugi" w:eastAsia="Gadugi" w:hAnsi="Gadugi" w:cs="Gadugi"/>
          <w:sz w:val="24"/>
          <w:szCs w:val="24"/>
        </w:rPr>
        <w:footnoteReference w:id="51"/>
      </w:r>
    </w:p>
    <w:p w14:paraId="760B08B7" w14:textId="77777777" w:rsidR="00FF1086" w:rsidRPr="00E1241B" w:rsidRDefault="00FF108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2F1E175" w14:textId="77777777" w:rsidR="00901CBE" w:rsidRPr="00E1241B" w:rsidRDefault="00901CBE" w:rsidP="00E1241B">
      <w:pPr>
        <w:pBdr>
          <w:top w:val="nil"/>
          <w:left w:val="nil"/>
          <w:bottom w:val="nil"/>
          <w:right w:val="nil"/>
          <w:between w:val="nil"/>
        </w:pBdr>
        <w:tabs>
          <w:tab w:val="left" w:pos="3686"/>
          <w:tab w:val="left" w:pos="4536"/>
        </w:tabs>
        <w:jc w:val="both"/>
        <w:rPr>
          <w:rFonts w:ascii="Gadugi" w:eastAsia="Gadugi" w:hAnsi="Gadugi" w:cs="Gadugi"/>
          <w:iCs/>
          <w:sz w:val="24"/>
          <w:szCs w:val="24"/>
        </w:rPr>
      </w:pPr>
      <w:r w:rsidRPr="00E1241B">
        <w:rPr>
          <w:rFonts w:ascii="Gadugi" w:eastAsia="Gadugi" w:hAnsi="Gadugi" w:cs="Gadugi"/>
          <w:sz w:val="24"/>
          <w:szCs w:val="24"/>
        </w:rPr>
        <w:t xml:space="preserve">Y </w:t>
      </w:r>
      <w:r w:rsidR="00441796" w:rsidRPr="00E1241B">
        <w:rPr>
          <w:rFonts w:ascii="Gadugi" w:eastAsia="Gadugi" w:hAnsi="Gadugi" w:cs="Gadugi"/>
          <w:sz w:val="24"/>
          <w:szCs w:val="24"/>
        </w:rPr>
        <w:t xml:space="preserve">Colombia López, aunque muchos aspectos no los tenía claros y se encontraba acompañada por un tercero que la apoyaba en algunas respuestas, se extrae </w:t>
      </w:r>
      <w:r w:rsidRPr="00E1241B">
        <w:rPr>
          <w:rFonts w:ascii="Gadugi" w:eastAsia="Gadugi" w:hAnsi="Gadugi" w:cs="Gadugi"/>
          <w:sz w:val="24"/>
          <w:szCs w:val="24"/>
        </w:rPr>
        <w:t xml:space="preserve">de sus dichos </w:t>
      </w:r>
      <w:r w:rsidR="00441796" w:rsidRPr="00E1241B">
        <w:rPr>
          <w:rFonts w:ascii="Gadugi" w:eastAsia="Gadugi" w:hAnsi="Gadugi" w:cs="Gadugi"/>
          <w:sz w:val="24"/>
          <w:szCs w:val="24"/>
        </w:rPr>
        <w:t>lo siguiente</w:t>
      </w:r>
      <w:r w:rsidRPr="00E1241B">
        <w:rPr>
          <w:rFonts w:ascii="Gadugi" w:eastAsia="Gadugi" w:hAnsi="Gadugi" w:cs="Gadugi"/>
          <w:sz w:val="24"/>
          <w:szCs w:val="24"/>
        </w:rPr>
        <w:t>: a</w:t>
      </w:r>
      <w:r w:rsidR="00441796" w:rsidRPr="00E1241B">
        <w:rPr>
          <w:rFonts w:ascii="Gadugi" w:eastAsia="Gadugi" w:hAnsi="Gadugi" w:cs="Gadugi"/>
          <w:sz w:val="24"/>
          <w:szCs w:val="24"/>
        </w:rPr>
        <w:t xml:space="preserve">nte el cuestionamiento sobre el tiempo que lleva sin visitar la propiedad en litigio, manifestó: </w:t>
      </w:r>
      <w:r w:rsidRPr="00E1241B">
        <w:rPr>
          <w:rFonts w:ascii="Gadugi" w:eastAsia="Gadugi" w:hAnsi="Gadugi" w:cs="Gadugi"/>
          <w:sz w:val="24"/>
          <w:szCs w:val="24"/>
        </w:rPr>
        <w:t>“</w:t>
      </w:r>
      <w:r w:rsidR="00441796" w:rsidRPr="00A008FD">
        <w:rPr>
          <w:rFonts w:ascii="Gadugi" w:eastAsia="Gadugi" w:hAnsi="Gadugi" w:cs="Gadugi"/>
          <w:i/>
          <w:iCs/>
          <w:szCs w:val="24"/>
        </w:rPr>
        <w:t>hace muchos años, por ahí unos diez años, porque un día Diego decidió no volver a dejarlas entrar (…) ya había muerto la tía Pastora, (…) recién muerta mi tía</w:t>
      </w:r>
      <w:r w:rsidRPr="00E1241B">
        <w:rPr>
          <w:rFonts w:ascii="Gadugi" w:eastAsia="Gadugi" w:hAnsi="Gadugi" w:cs="Gadugi"/>
          <w:i/>
          <w:iCs/>
          <w:sz w:val="24"/>
          <w:szCs w:val="24"/>
        </w:rPr>
        <w:t>”</w:t>
      </w:r>
      <w:r w:rsidR="00441796" w:rsidRPr="00E1241B">
        <w:rPr>
          <w:rFonts w:ascii="Gadugi" w:eastAsia="Gadugi" w:hAnsi="Gadugi" w:cs="Gadugi"/>
          <w:i/>
          <w:iCs/>
          <w:sz w:val="24"/>
          <w:szCs w:val="24"/>
        </w:rPr>
        <w:t xml:space="preserve">. </w:t>
      </w:r>
      <w:r w:rsidRPr="00E1241B">
        <w:rPr>
          <w:rFonts w:ascii="Gadugi" w:eastAsia="Gadugi" w:hAnsi="Gadugi" w:cs="Gadugi"/>
          <w:iCs/>
          <w:sz w:val="24"/>
          <w:szCs w:val="24"/>
        </w:rPr>
        <w:t>Preguntada por</w:t>
      </w:r>
      <w:r w:rsidRPr="00E1241B">
        <w:rPr>
          <w:rFonts w:ascii="Gadugi" w:eastAsia="Gadugi" w:hAnsi="Gadugi" w:cs="Gadugi"/>
          <w:i/>
          <w:iCs/>
          <w:sz w:val="24"/>
          <w:szCs w:val="24"/>
        </w:rPr>
        <w:t xml:space="preserve"> </w:t>
      </w:r>
      <w:r w:rsidR="00441796" w:rsidRPr="00E1241B">
        <w:rPr>
          <w:rFonts w:ascii="Gadugi" w:eastAsia="Gadugi" w:hAnsi="Gadugi" w:cs="Gadugi"/>
          <w:sz w:val="24"/>
          <w:szCs w:val="24"/>
        </w:rPr>
        <w:t xml:space="preserve">el tiempo que Mario residió en el predio contestó </w:t>
      </w:r>
      <w:r w:rsidRPr="00E1241B">
        <w:rPr>
          <w:rFonts w:ascii="Gadugi" w:eastAsia="Gadugi" w:hAnsi="Gadugi" w:cs="Gadugi"/>
          <w:sz w:val="24"/>
          <w:szCs w:val="24"/>
        </w:rPr>
        <w:t>“</w:t>
      </w:r>
      <w:r w:rsidR="00441796" w:rsidRPr="00A008FD">
        <w:rPr>
          <w:rFonts w:ascii="Gadugi" w:eastAsia="Gadugi" w:hAnsi="Gadugi" w:cs="Gadugi"/>
          <w:i/>
          <w:iCs/>
          <w:szCs w:val="24"/>
        </w:rPr>
        <w:t xml:space="preserve">yo creo que vivió unos diez años… sí, me acuerdo </w:t>
      </w:r>
      <w:r w:rsidR="00A402A9" w:rsidRPr="00A008FD">
        <w:rPr>
          <w:rFonts w:ascii="Gadugi" w:eastAsia="Gadugi" w:hAnsi="Gadugi" w:cs="Gadugi"/>
          <w:i/>
          <w:iCs/>
          <w:szCs w:val="24"/>
        </w:rPr>
        <w:t>de que</w:t>
      </w:r>
      <w:r w:rsidR="00441796" w:rsidRPr="00A008FD">
        <w:rPr>
          <w:rFonts w:ascii="Gadugi" w:eastAsia="Gadugi" w:hAnsi="Gadugi" w:cs="Gadugi"/>
          <w:i/>
          <w:iCs/>
          <w:szCs w:val="24"/>
        </w:rPr>
        <w:t xml:space="preserve"> vivió diez años ahí… vivió hasta el 2002 o 2008, más o menos</w:t>
      </w:r>
      <w:r w:rsidRPr="00E1241B">
        <w:rPr>
          <w:rFonts w:ascii="Gadugi" w:eastAsia="Gadugi" w:hAnsi="Gadugi" w:cs="Gadugi"/>
          <w:i/>
          <w:iCs/>
          <w:sz w:val="24"/>
          <w:szCs w:val="24"/>
        </w:rPr>
        <w:t>”</w:t>
      </w:r>
      <w:r w:rsidR="00441796" w:rsidRPr="00E1241B">
        <w:rPr>
          <w:rFonts w:ascii="Gadugi" w:eastAsia="Gadugi" w:hAnsi="Gadugi" w:cs="Gadugi"/>
          <w:i/>
          <w:iCs/>
          <w:sz w:val="24"/>
          <w:szCs w:val="24"/>
        </w:rPr>
        <w:t xml:space="preserve">, </w:t>
      </w:r>
      <w:r w:rsidR="00441796" w:rsidRPr="00E1241B">
        <w:rPr>
          <w:rFonts w:ascii="Gadugi" w:eastAsia="Gadugi" w:hAnsi="Gadugi" w:cs="Gadugi"/>
          <w:sz w:val="24"/>
          <w:szCs w:val="24"/>
        </w:rPr>
        <w:t>cuando se le advirtió sobre este lapso tan ampl</w:t>
      </w:r>
      <w:r w:rsidRPr="00E1241B">
        <w:rPr>
          <w:rFonts w:ascii="Gadugi" w:eastAsia="Gadugi" w:hAnsi="Gadugi" w:cs="Gadugi"/>
          <w:sz w:val="24"/>
          <w:szCs w:val="24"/>
        </w:rPr>
        <w:t>i</w:t>
      </w:r>
      <w:r w:rsidR="00441796" w:rsidRPr="00E1241B">
        <w:rPr>
          <w:rFonts w:ascii="Gadugi" w:eastAsia="Gadugi" w:hAnsi="Gadugi" w:cs="Gadugi"/>
          <w:sz w:val="24"/>
          <w:szCs w:val="24"/>
        </w:rPr>
        <w:t>o intentó evadir la respuesta</w:t>
      </w:r>
      <w:r w:rsidR="00A402A9" w:rsidRPr="00E1241B">
        <w:rPr>
          <w:rFonts w:ascii="Gadugi" w:eastAsia="Gadugi" w:hAnsi="Gadugi" w:cs="Gadugi"/>
          <w:sz w:val="24"/>
          <w:szCs w:val="24"/>
        </w:rPr>
        <w:t xml:space="preserve"> concreta. </w:t>
      </w:r>
      <w:r w:rsidRPr="00E1241B">
        <w:rPr>
          <w:rFonts w:ascii="Gadugi" w:eastAsia="Gadugi" w:hAnsi="Gadugi" w:cs="Gadugi"/>
          <w:sz w:val="24"/>
          <w:szCs w:val="24"/>
        </w:rPr>
        <w:t xml:space="preserve">Se le preguntó por </w:t>
      </w:r>
      <w:r w:rsidR="00A402A9" w:rsidRPr="00E1241B">
        <w:rPr>
          <w:rFonts w:ascii="Gadugi" w:eastAsia="Gadugi" w:hAnsi="Gadugi" w:cs="Gadugi"/>
          <w:sz w:val="24"/>
          <w:szCs w:val="24"/>
        </w:rPr>
        <w:t xml:space="preserve">el tiempo que Diego López </w:t>
      </w:r>
      <w:r w:rsidRPr="00E1241B">
        <w:rPr>
          <w:rFonts w:ascii="Gadugi" w:eastAsia="Gadugi" w:hAnsi="Gadugi" w:cs="Gadugi"/>
          <w:sz w:val="24"/>
          <w:szCs w:val="24"/>
        </w:rPr>
        <w:t xml:space="preserve">lleva viviendo </w:t>
      </w:r>
      <w:r w:rsidR="00A402A9" w:rsidRPr="00E1241B">
        <w:rPr>
          <w:rFonts w:ascii="Gadugi" w:eastAsia="Gadugi" w:hAnsi="Gadugi" w:cs="Gadugi"/>
          <w:sz w:val="24"/>
          <w:szCs w:val="24"/>
        </w:rPr>
        <w:t>en la propiedad</w:t>
      </w:r>
      <w:r w:rsidRPr="00E1241B">
        <w:rPr>
          <w:rFonts w:ascii="Gadugi" w:eastAsia="Gadugi" w:hAnsi="Gadugi" w:cs="Gadugi"/>
          <w:sz w:val="24"/>
          <w:szCs w:val="24"/>
        </w:rPr>
        <w:t xml:space="preserve"> y señaló </w:t>
      </w:r>
      <w:r w:rsidR="00A402A9" w:rsidRPr="00E1241B">
        <w:rPr>
          <w:rFonts w:ascii="Gadugi" w:eastAsia="Gadugi" w:hAnsi="Gadugi" w:cs="Gadugi"/>
          <w:sz w:val="24"/>
          <w:szCs w:val="24"/>
        </w:rPr>
        <w:t xml:space="preserve">que </w:t>
      </w:r>
      <w:r w:rsidRPr="00E1241B">
        <w:rPr>
          <w:rFonts w:ascii="Gadugi" w:eastAsia="Gadugi" w:hAnsi="Gadugi" w:cs="Gadugi"/>
          <w:sz w:val="24"/>
          <w:szCs w:val="24"/>
        </w:rPr>
        <w:t>“</w:t>
      </w:r>
      <w:r w:rsidR="00A402A9" w:rsidRPr="00A008FD">
        <w:rPr>
          <w:rFonts w:ascii="Gadugi" w:eastAsia="Gadugi" w:hAnsi="Gadugi" w:cs="Gadugi"/>
          <w:i/>
          <w:iCs/>
          <w:szCs w:val="24"/>
        </w:rPr>
        <w:t>Diego vive desde, 10 años viviendo ahí (…)</w:t>
      </w:r>
      <w:r w:rsidRPr="00E1241B">
        <w:rPr>
          <w:rFonts w:ascii="Gadugi" w:eastAsia="Gadugi" w:hAnsi="Gadugi" w:cs="Gadugi"/>
          <w:i/>
          <w:iCs/>
          <w:sz w:val="24"/>
          <w:szCs w:val="24"/>
        </w:rPr>
        <w:t>”</w:t>
      </w:r>
      <w:r w:rsidR="00A402A9" w:rsidRPr="00E1241B">
        <w:rPr>
          <w:rFonts w:ascii="Gadugi" w:eastAsia="Gadugi" w:hAnsi="Gadugi" w:cs="Gadugi"/>
          <w:i/>
          <w:iCs/>
          <w:sz w:val="24"/>
          <w:szCs w:val="24"/>
        </w:rPr>
        <w:t xml:space="preserve"> </w:t>
      </w:r>
      <w:r w:rsidRPr="00E1241B">
        <w:rPr>
          <w:rFonts w:ascii="Gadugi" w:eastAsia="Gadugi" w:hAnsi="Gadugi" w:cs="Gadugi"/>
          <w:iCs/>
          <w:sz w:val="24"/>
          <w:szCs w:val="24"/>
        </w:rPr>
        <w:t xml:space="preserve">pero ratificó que para cuando Pastora murió él ya vivía allí y se quedó en ese lugar con Mario. </w:t>
      </w:r>
    </w:p>
    <w:p w14:paraId="46B99828" w14:textId="77777777" w:rsidR="00A402A9" w:rsidRPr="00E1241B" w:rsidRDefault="00A402A9" w:rsidP="00E1241B">
      <w:pPr>
        <w:pBdr>
          <w:top w:val="nil"/>
          <w:left w:val="nil"/>
          <w:bottom w:val="nil"/>
          <w:right w:val="nil"/>
          <w:between w:val="nil"/>
        </w:pBdr>
        <w:tabs>
          <w:tab w:val="left" w:pos="3686"/>
          <w:tab w:val="left" w:pos="4536"/>
        </w:tabs>
        <w:jc w:val="both"/>
        <w:rPr>
          <w:rFonts w:ascii="Gadugi" w:eastAsia="Gadugi" w:hAnsi="Gadugi" w:cs="Gadugi"/>
          <w:i/>
          <w:iCs/>
          <w:sz w:val="24"/>
          <w:szCs w:val="24"/>
        </w:rPr>
      </w:pPr>
    </w:p>
    <w:p w14:paraId="408A5A65" w14:textId="6911CC50" w:rsidR="00B6508D" w:rsidRPr="00E1241B" w:rsidRDefault="00A402A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Indicó que Diego les pedía dinero para el mantenimiento de la propiedad, pero no record</w:t>
      </w:r>
      <w:r w:rsidR="00DA2039" w:rsidRPr="00E1241B">
        <w:rPr>
          <w:rFonts w:ascii="Gadugi" w:eastAsia="Gadugi" w:hAnsi="Gadugi" w:cs="Gadugi"/>
          <w:sz w:val="24"/>
          <w:szCs w:val="24"/>
        </w:rPr>
        <w:t>ó</w:t>
      </w:r>
      <w:r w:rsidRPr="00E1241B">
        <w:rPr>
          <w:rFonts w:ascii="Gadugi" w:eastAsia="Gadugi" w:hAnsi="Gadugi" w:cs="Gadugi"/>
          <w:sz w:val="24"/>
          <w:szCs w:val="24"/>
        </w:rPr>
        <w:t xml:space="preserve"> cuando fue la última vez que eso sucedió y agregó que no les r</w:t>
      </w:r>
      <w:r w:rsidR="00DA2039" w:rsidRPr="00E1241B">
        <w:rPr>
          <w:rFonts w:ascii="Gadugi" w:eastAsia="Gadugi" w:hAnsi="Gadugi" w:cs="Gadugi"/>
          <w:sz w:val="24"/>
          <w:szCs w:val="24"/>
        </w:rPr>
        <w:t>inde cuentas.</w:t>
      </w:r>
      <w:r w:rsidRPr="00E1241B">
        <w:rPr>
          <w:rFonts w:ascii="Gadugi" w:eastAsia="Gadugi" w:hAnsi="Gadugi" w:cs="Gadugi"/>
          <w:sz w:val="24"/>
          <w:szCs w:val="24"/>
        </w:rPr>
        <w:t xml:space="preserve"> </w:t>
      </w:r>
    </w:p>
    <w:p w14:paraId="103FA62E" w14:textId="77777777" w:rsidR="00B6508D" w:rsidRPr="00E1241B" w:rsidRDefault="00B6508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D842098" w14:textId="1FE3D0C0" w:rsidR="00B6508D" w:rsidRPr="00E1241B" w:rsidRDefault="00B6508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Es relevante mencionar que tanto Virginia, como Colombia López, demandadas en el presente asunto, admiten al unísono que el demandante ha residido en la propiedad desde la época en que estaba viva la señora Pastora López y después de su fallecimiento</w:t>
      </w:r>
      <w:r w:rsidR="00F10B57" w:rsidRPr="00E1241B">
        <w:rPr>
          <w:rFonts w:ascii="Gadugi" w:eastAsia="Gadugi" w:hAnsi="Gadugi" w:cs="Gadugi"/>
          <w:sz w:val="24"/>
          <w:szCs w:val="24"/>
        </w:rPr>
        <w:t>;</w:t>
      </w:r>
      <w:r w:rsidRPr="00E1241B">
        <w:rPr>
          <w:rFonts w:ascii="Gadugi" w:eastAsia="Gadugi" w:hAnsi="Gadugi" w:cs="Gadugi"/>
          <w:sz w:val="24"/>
          <w:szCs w:val="24"/>
        </w:rPr>
        <w:t xml:space="preserve"> además, que no regresaron al predio y que Diego López se encarga del mantenimiento de la propiedad sin rendir cuentas a nadie.</w:t>
      </w:r>
    </w:p>
    <w:p w14:paraId="15B9D3CA" w14:textId="14FEA2B5" w:rsidR="00DA2039" w:rsidRPr="00E1241B" w:rsidRDefault="00DA203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7B4C7AF" w14:textId="01CC2208" w:rsidR="00DA2039" w:rsidRPr="00E1241B" w:rsidRDefault="00DA203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Y esa manifestación que se hace en la réplica acerca de que Colombia quiso entrar al inmueble en alguna oportunidad y Diego se lo impidió, lo que hace es poner de presente que él estaba ejerciendo actos</w:t>
      </w:r>
      <w:r w:rsidR="00F10B57" w:rsidRPr="00E1241B">
        <w:rPr>
          <w:rFonts w:ascii="Gadugi" w:eastAsia="Gadugi" w:hAnsi="Gadugi" w:cs="Gadugi"/>
          <w:sz w:val="24"/>
          <w:szCs w:val="24"/>
        </w:rPr>
        <w:t>,</w:t>
      </w:r>
      <w:r w:rsidRPr="00E1241B">
        <w:rPr>
          <w:rFonts w:ascii="Gadugi" w:eastAsia="Gadugi" w:hAnsi="Gadugi" w:cs="Gadugi"/>
          <w:sz w:val="24"/>
          <w:szCs w:val="24"/>
        </w:rPr>
        <w:t xml:space="preserve"> no de simple heredero, sino de señor y dueño, desconociendo con ello los derechos de los demás.  </w:t>
      </w:r>
    </w:p>
    <w:p w14:paraId="68C56FEB" w14:textId="77777777" w:rsidR="00A1548D" w:rsidRPr="00E1241B" w:rsidRDefault="00A1548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F530953" w14:textId="0ABED1F0" w:rsidR="00D6641F" w:rsidRPr="00E1241B" w:rsidRDefault="004B57D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Ahora, </w:t>
      </w:r>
      <w:r w:rsidR="00DA2039" w:rsidRPr="00E1241B">
        <w:rPr>
          <w:rFonts w:ascii="Gadugi" w:eastAsia="Gadugi" w:hAnsi="Gadugi" w:cs="Gadugi"/>
          <w:sz w:val="24"/>
          <w:szCs w:val="24"/>
        </w:rPr>
        <w:t xml:space="preserve">se escucharon varios testimonios. </w:t>
      </w:r>
      <w:r w:rsidR="00D06853" w:rsidRPr="00E1241B">
        <w:rPr>
          <w:rFonts w:ascii="Gadugi" w:eastAsia="Gadugi" w:hAnsi="Gadugi" w:cs="Gadugi"/>
          <w:sz w:val="24"/>
          <w:szCs w:val="24"/>
        </w:rPr>
        <w:t>José Wilmer Ramírez Quinter</w:t>
      </w:r>
      <w:r w:rsidR="00DA2039" w:rsidRPr="00E1241B">
        <w:rPr>
          <w:rFonts w:ascii="Gadugi" w:eastAsia="Gadugi" w:hAnsi="Gadugi" w:cs="Gadugi"/>
          <w:sz w:val="24"/>
          <w:szCs w:val="24"/>
        </w:rPr>
        <w:t>o</w:t>
      </w:r>
      <w:r w:rsidR="00D06853" w:rsidRPr="00E1241B">
        <w:rPr>
          <w:rStyle w:val="Refdenotaalpie"/>
          <w:rFonts w:ascii="Gadugi" w:eastAsia="Gadugi" w:hAnsi="Gadugi" w:cs="Gadugi"/>
          <w:sz w:val="24"/>
          <w:szCs w:val="24"/>
        </w:rPr>
        <w:footnoteReference w:id="52"/>
      </w:r>
      <w:r w:rsidR="00D06853" w:rsidRPr="00E1241B">
        <w:rPr>
          <w:rFonts w:ascii="Gadugi" w:eastAsia="Gadugi" w:hAnsi="Gadugi" w:cs="Gadugi"/>
          <w:sz w:val="24"/>
          <w:szCs w:val="24"/>
        </w:rPr>
        <w:t xml:space="preserve"> </w:t>
      </w:r>
      <w:r w:rsidR="001A216D" w:rsidRPr="00E1241B">
        <w:rPr>
          <w:rFonts w:ascii="Gadugi" w:eastAsia="Gadugi" w:hAnsi="Gadugi" w:cs="Gadugi"/>
          <w:sz w:val="24"/>
          <w:szCs w:val="24"/>
        </w:rPr>
        <w:t>contó que conoce la propiedad objeto de litigio</w:t>
      </w:r>
      <w:r w:rsidR="00DA2039" w:rsidRPr="00E1241B">
        <w:rPr>
          <w:rFonts w:ascii="Gadugi" w:eastAsia="Gadugi" w:hAnsi="Gadugi" w:cs="Gadugi"/>
          <w:sz w:val="24"/>
          <w:szCs w:val="24"/>
        </w:rPr>
        <w:t>,</w:t>
      </w:r>
      <w:r w:rsidR="001A216D" w:rsidRPr="00E1241B">
        <w:rPr>
          <w:rFonts w:ascii="Gadugi" w:eastAsia="Gadugi" w:hAnsi="Gadugi" w:cs="Gadugi"/>
          <w:sz w:val="24"/>
          <w:szCs w:val="24"/>
        </w:rPr>
        <w:t xml:space="preserve"> porque es </w:t>
      </w:r>
      <w:r w:rsidR="001A216D" w:rsidRPr="00E1241B">
        <w:rPr>
          <w:rFonts w:ascii="Gadugi" w:eastAsia="Gadugi" w:hAnsi="Gadugi" w:cs="Gadugi"/>
          <w:i/>
          <w:iCs/>
          <w:sz w:val="24"/>
          <w:szCs w:val="24"/>
        </w:rPr>
        <w:t xml:space="preserve">amigo del hijo de don Diego, Diego León, hace mucho tiempo cuando él vivía para abajo, entonces nos hicimos amigos y una vez me invitó a la casa del papá y la mamá entonces allá nos presentó y entablamos amistad y yo seguí yendo allá a hacer visita (…) eso fue entre 2009 y 2010, </w:t>
      </w:r>
      <w:r w:rsidR="001A216D" w:rsidRPr="00E1241B">
        <w:rPr>
          <w:rFonts w:ascii="Gadugi" w:eastAsia="Gadugi" w:hAnsi="Gadugi" w:cs="Gadugi"/>
          <w:sz w:val="24"/>
          <w:szCs w:val="24"/>
        </w:rPr>
        <w:t xml:space="preserve">situación que recuerda porque una nieta había nacido por esa época, primos de Diego León. Y recordó que allí vivía el demandante con su familia y la última vez que visitó el predio, Diego López aún estaba allí. Dijo que ha visto al demandante haciendo </w:t>
      </w:r>
      <w:r w:rsidR="001A216D" w:rsidRPr="00E1241B">
        <w:rPr>
          <w:rFonts w:ascii="Gadugi" w:eastAsia="Gadugi" w:hAnsi="Gadugi" w:cs="Gadugi"/>
          <w:sz w:val="24"/>
          <w:szCs w:val="24"/>
        </w:rPr>
        <w:lastRenderedPageBreak/>
        <w:t xml:space="preserve">mantenimientos al predio y </w:t>
      </w:r>
      <w:r w:rsidR="00C55505" w:rsidRPr="00E1241B">
        <w:rPr>
          <w:rFonts w:ascii="Gadugi" w:eastAsia="Gadugi" w:hAnsi="Gadugi" w:cs="Gadugi"/>
          <w:sz w:val="24"/>
          <w:szCs w:val="24"/>
        </w:rPr>
        <w:t>le consta</w:t>
      </w:r>
      <w:r w:rsidR="00DA2039" w:rsidRPr="00E1241B">
        <w:rPr>
          <w:rFonts w:ascii="Gadugi" w:eastAsia="Gadugi" w:hAnsi="Gadugi" w:cs="Gadugi"/>
          <w:sz w:val="24"/>
          <w:szCs w:val="24"/>
        </w:rPr>
        <w:t>,</w:t>
      </w:r>
      <w:r w:rsidR="00C55505" w:rsidRPr="00E1241B">
        <w:rPr>
          <w:rFonts w:ascii="Gadugi" w:eastAsia="Gadugi" w:hAnsi="Gadugi" w:cs="Gadugi"/>
          <w:sz w:val="24"/>
          <w:szCs w:val="24"/>
        </w:rPr>
        <w:t xml:space="preserve"> </w:t>
      </w:r>
      <w:r w:rsidR="001A216D" w:rsidRPr="00E1241B">
        <w:rPr>
          <w:rFonts w:ascii="Gadugi" w:eastAsia="Gadugi" w:hAnsi="Gadugi" w:cs="Gadugi"/>
          <w:sz w:val="24"/>
          <w:szCs w:val="24"/>
        </w:rPr>
        <w:t>porque</w:t>
      </w:r>
      <w:r w:rsidR="00DA2039" w:rsidRPr="00E1241B">
        <w:rPr>
          <w:rFonts w:ascii="Gadugi" w:eastAsia="Gadugi" w:hAnsi="Gadugi" w:cs="Gadugi"/>
          <w:sz w:val="24"/>
          <w:szCs w:val="24"/>
        </w:rPr>
        <w:t xml:space="preserve">, además, </w:t>
      </w:r>
      <w:r w:rsidR="001A216D" w:rsidRPr="00E1241B">
        <w:rPr>
          <w:rFonts w:ascii="Gadugi" w:eastAsia="Gadugi" w:hAnsi="Gadugi" w:cs="Gadugi"/>
          <w:sz w:val="24"/>
          <w:szCs w:val="24"/>
        </w:rPr>
        <w:t xml:space="preserve">le ha prestado dinero para ello. </w:t>
      </w:r>
      <w:r w:rsidR="00C55505" w:rsidRPr="00E1241B">
        <w:rPr>
          <w:rFonts w:ascii="Gadugi" w:eastAsia="Gadugi" w:hAnsi="Gadugi" w:cs="Gadugi"/>
          <w:sz w:val="24"/>
          <w:szCs w:val="24"/>
        </w:rPr>
        <w:t xml:space="preserve">Conoce que no les pide plata a otras personas para el mantenimiento de la vivienda y que no le rinde cuentas a nadie. </w:t>
      </w:r>
    </w:p>
    <w:p w14:paraId="48B7519A" w14:textId="77777777" w:rsidR="00C55505" w:rsidRPr="00E1241B" w:rsidRDefault="00C5550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997A8E7" w14:textId="0E34D4D8" w:rsidR="00C55505" w:rsidRPr="00E1241B" w:rsidRDefault="00C5550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Cesar Augusto Rodas Blandón</w:t>
      </w:r>
      <w:r w:rsidR="0098676D" w:rsidRPr="00E1241B">
        <w:rPr>
          <w:rStyle w:val="Refdenotaalpie"/>
          <w:rFonts w:ascii="Gadugi" w:eastAsia="Gadugi" w:hAnsi="Gadugi" w:cs="Gadugi"/>
          <w:sz w:val="24"/>
          <w:szCs w:val="24"/>
        </w:rPr>
        <w:footnoteReference w:id="53"/>
      </w:r>
      <w:r w:rsidRPr="00E1241B">
        <w:rPr>
          <w:rFonts w:ascii="Gadugi" w:eastAsia="Gadugi" w:hAnsi="Gadugi" w:cs="Gadugi"/>
          <w:sz w:val="24"/>
          <w:szCs w:val="24"/>
        </w:rPr>
        <w:t xml:space="preserve">, indicó que conoce </w:t>
      </w:r>
      <w:r w:rsidR="00DA2039" w:rsidRPr="00E1241B">
        <w:rPr>
          <w:rFonts w:ascii="Gadugi" w:eastAsia="Gadugi" w:hAnsi="Gadugi" w:cs="Gadugi"/>
          <w:sz w:val="24"/>
          <w:szCs w:val="24"/>
        </w:rPr>
        <w:t xml:space="preserve">al demandante </w:t>
      </w:r>
      <w:r w:rsidRPr="00E1241B">
        <w:rPr>
          <w:rFonts w:ascii="Gadugi" w:eastAsia="Gadugi" w:hAnsi="Gadugi" w:cs="Gadugi"/>
          <w:sz w:val="24"/>
          <w:szCs w:val="24"/>
        </w:rPr>
        <w:t xml:space="preserve">desde </w:t>
      </w:r>
      <w:r w:rsidR="00DA2039" w:rsidRPr="00E1241B">
        <w:rPr>
          <w:rFonts w:ascii="Gadugi" w:eastAsia="Gadugi" w:hAnsi="Gadugi" w:cs="Gadugi"/>
          <w:sz w:val="24"/>
          <w:szCs w:val="24"/>
        </w:rPr>
        <w:t>el 2007, aproximadamente</w:t>
      </w:r>
      <w:r w:rsidRPr="00E1241B">
        <w:rPr>
          <w:rFonts w:ascii="Gadugi" w:eastAsia="Gadugi" w:hAnsi="Gadugi" w:cs="Gadugi"/>
          <w:sz w:val="24"/>
          <w:szCs w:val="24"/>
        </w:rPr>
        <w:t>, y en el 2008 visitó por primera vez la propiedad que se discute</w:t>
      </w:r>
      <w:r w:rsidR="00A119F5" w:rsidRPr="00E1241B">
        <w:rPr>
          <w:rFonts w:ascii="Gadugi" w:eastAsia="Gadugi" w:hAnsi="Gadugi" w:cs="Gadugi"/>
          <w:sz w:val="24"/>
          <w:szCs w:val="24"/>
        </w:rPr>
        <w:t xml:space="preserve">; al indagársele por las personas que habitaban la casa para esa época dijo: </w:t>
      </w:r>
      <w:r w:rsidR="00DA2039" w:rsidRPr="00E1241B">
        <w:rPr>
          <w:rFonts w:ascii="Gadugi" w:eastAsia="Gadugi" w:hAnsi="Gadugi" w:cs="Gadugi"/>
          <w:sz w:val="24"/>
          <w:szCs w:val="24"/>
        </w:rPr>
        <w:t>“</w:t>
      </w:r>
      <w:r w:rsidR="00A119F5" w:rsidRPr="00A008FD">
        <w:rPr>
          <w:rFonts w:ascii="Gadugi" w:eastAsia="Gadugi" w:hAnsi="Gadugi" w:cs="Gadugi"/>
          <w:i/>
          <w:iCs/>
          <w:szCs w:val="24"/>
        </w:rPr>
        <w:t xml:space="preserve">La habitaba don </w:t>
      </w:r>
      <w:r w:rsidRPr="00A008FD">
        <w:rPr>
          <w:rFonts w:ascii="Gadugi" w:eastAsia="Gadugi" w:hAnsi="Gadugi" w:cs="Gadugi"/>
          <w:i/>
          <w:iCs/>
          <w:szCs w:val="24"/>
        </w:rPr>
        <w:t xml:space="preserve">Diego López con su </w:t>
      </w:r>
      <w:r w:rsidR="00A119F5" w:rsidRPr="00A008FD">
        <w:rPr>
          <w:rFonts w:ascii="Gadugi" w:eastAsia="Gadugi" w:hAnsi="Gadugi" w:cs="Gadugi"/>
          <w:i/>
          <w:iCs/>
          <w:szCs w:val="24"/>
        </w:rPr>
        <w:t xml:space="preserve">señora y los hijos </w:t>
      </w:r>
      <w:r w:rsidR="00A119F5" w:rsidRPr="00A008FD">
        <w:rPr>
          <w:rFonts w:ascii="Gadugi" w:eastAsia="Gadugi" w:hAnsi="Gadugi" w:cs="Gadugi"/>
          <w:szCs w:val="24"/>
        </w:rPr>
        <w:t>(…)</w:t>
      </w:r>
      <w:r w:rsidR="00DA2039" w:rsidRPr="00E1241B">
        <w:rPr>
          <w:rFonts w:ascii="Gadugi" w:eastAsia="Gadugi" w:hAnsi="Gadugi" w:cs="Gadugi"/>
          <w:sz w:val="24"/>
          <w:szCs w:val="24"/>
        </w:rPr>
        <w:t>”</w:t>
      </w:r>
      <w:r w:rsidR="00A119F5" w:rsidRPr="00E1241B">
        <w:rPr>
          <w:rFonts w:ascii="Gadugi" w:eastAsia="Gadugi" w:hAnsi="Gadugi" w:cs="Gadugi"/>
          <w:i/>
          <w:iCs/>
          <w:sz w:val="24"/>
          <w:szCs w:val="24"/>
        </w:rPr>
        <w:t xml:space="preserve">. </w:t>
      </w:r>
      <w:r w:rsidR="00A119F5" w:rsidRPr="00E1241B">
        <w:rPr>
          <w:rFonts w:ascii="Gadugi" w:eastAsia="Gadugi" w:hAnsi="Gadugi" w:cs="Gadugi"/>
          <w:sz w:val="24"/>
          <w:szCs w:val="24"/>
        </w:rPr>
        <w:t>Indicó que conocía a Mario López</w:t>
      </w:r>
      <w:r w:rsidR="00DA2039" w:rsidRPr="00E1241B">
        <w:rPr>
          <w:rFonts w:ascii="Gadugi" w:eastAsia="Gadugi" w:hAnsi="Gadugi" w:cs="Gadugi"/>
          <w:sz w:val="24"/>
          <w:szCs w:val="24"/>
        </w:rPr>
        <w:t>,</w:t>
      </w:r>
      <w:r w:rsidR="00A119F5" w:rsidRPr="00E1241B">
        <w:rPr>
          <w:rFonts w:ascii="Gadugi" w:eastAsia="Gadugi" w:hAnsi="Gadugi" w:cs="Gadugi"/>
          <w:sz w:val="24"/>
          <w:szCs w:val="24"/>
        </w:rPr>
        <w:t xml:space="preserve"> pero cuando visitó en el 2008 el predio él no se encontraba allí. </w:t>
      </w:r>
      <w:r w:rsidR="0098676D" w:rsidRPr="00E1241B">
        <w:rPr>
          <w:rFonts w:ascii="Gadugi" w:eastAsia="Gadugi" w:hAnsi="Gadugi" w:cs="Gadugi"/>
          <w:sz w:val="24"/>
          <w:szCs w:val="24"/>
        </w:rPr>
        <w:t xml:space="preserve">Señaló que le consta que el demandante es quien le hace mantenimiento a la vivienda, conoció que había contratado unas personas para arreglar el cableado de la energía y canaletas y que no les pide plata a los familiares, sino que él dispone de su pensión para tales cosas, y que no le rinde cuentas a nadie. Y las mejoras que le hace al inmueble </w:t>
      </w:r>
      <w:r w:rsidR="3A8B1996" w:rsidRPr="00E1241B">
        <w:rPr>
          <w:rFonts w:ascii="Gadugi" w:eastAsia="Gadugi" w:hAnsi="Gadugi" w:cs="Gadugi"/>
          <w:sz w:val="24"/>
          <w:szCs w:val="24"/>
        </w:rPr>
        <w:t xml:space="preserve">consisten en </w:t>
      </w:r>
      <w:r w:rsidR="0098676D" w:rsidRPr="00E1241B">
        <w:rPr>
          <w:rFonts w:ascii="Gadugi" w:eastAsia="Gadugi" w:hAnsi="Gadugi" w:cs="Gadugi"/>
          <w:sz w:val="24"/>
          <w:szCs w:val="24"/>
        </w:rPr>
        <w:t xml:space="preserve">cambio de tuberías, tejas, pintura y ha sembrado frutas. </w:t>
      </w:r>
    </w:p>
    <w:p w14:paraId="77E56CFB" w14:textId="77777777" w:rsidR="0098676D" w:rsidRPr="00E1241B" w:rsidRDefault="0098676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67395E3" w14:textId="5855C2B4" w:rsidR="000B7E6A" w:rsidRPr="00E1241B" w:rsidRDefault="0098676D"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Diego León López Zapata</w:t>
      </w:r>
      <w:r w:rsidRPr="00E1241B">
        <w:rPr>
          <w:rStyle w:val="Refdenotaalpie"/>
          <w:rFonts w:ascii="Gadugi" w:eastAsia="Gadugi" w:hAnsi="Gadugi" w:cs="Gadugi"/>
          <w:sz w:val="24"/>
          <w:szCs w:val="24"/>
        </w:rPr>
        <w:footnoteReference w:id="54"/>
      </w:r>
      <w:r w:rsidR="000B7E6A" w:rsidRPr="00E1241B">
        <w:rPr>
          <w:rFonts w:ascii="Gadugi" w:eastAsia="Gadugi" w:hAnsi="Gadugi" w:cs="Gadugi"/>
          <w:sz w:val="24"/>
          <w:szCs w:val="24"/>
        </w:rPr>
        <w:t xml:space="preserve">, </w:t>
      </w:r>
      <w:r w:rsidR="00DA2039" w:rsidRPr="00E1241B">
        <w:rPr>
          <w:rFonts w:ascii="Gadugi" w:eastAsia="Gadugi" w:hAnsi="Gadugi" w:cs="Gadugi"/>
          <w:sz w:val="24"/>
          <w:szCs w:val="24"/>
        </w:rPr>
        <w:t>dijo sobre la residencia del demandante en el inmueble que “</w:t>
      </w:r>
      <w:r w:rsidR="000B7E6A" w:rsidRPr="00A008FD">
        <w:rPr>
          <w:rFonts w:ascii="Gadugi" w:eastAsia="Gadugi" w:hAnsi="Gadugi" w:cs="Gadugi"/>
          <w:i/>
          <w:iCs/>
          <w:szCs w:val="24"/>
        </w:rPr>
        <w:t xml:space="preserve">más o menos que yo tenga así conocimiento, el 2000, 2001 más o menos, aproximadamente (…) nosotros estábamos viviendo en el barrio la hermosa, cuando nosotros recién venimos de Medellín, estábamos recién venidos de Medellín, </w:t>
      </w:r>
      <w:r w:rsidR="000B7E6A" w:rsidRPr="00A008FD">
        <w:rPr>
          <w:rFonts w:ascii="Gadugi" w:eastAsia="Gadugi" w:hAnsi="Gadugi" w:cs="Gadugi"/>
          <w:szCs w:val="24"/>
        </w:rPr>
        <w:t>agregó que llegaron</w:t>
      </w:r>
      <w:r w:rsidR="000B7E6A" w:rsidRPr="00A008FD">
        <w:rPr>
          <w:rFonts w:ascii="Gadugi" w:eastAsia="Gadugi" w:hAnsi="Gadugi" w:cs="Gadugi"/>
          <w:i/>
          <w:iCs/>
          <w:szCs w:val="24"/>
        </w:rPr>
        <w:t xml:space="preserve"> </w:t>
      </w:r>
      <w:r w:rsidR="000B7E6A" w:rsidRPr="00A008FD">
        <w:rPr>
          <w:rFonts w:ascii="Gadugi" w:eastAsia="Gadugi" w:hAnsi="Gadugi" w:cs="Gadugi"/>
          <w:szCs w:val="24"/>
        </w:rPr>
        <w:t xml:space="preserve">a la casa </w:t>
      </w:r>
      <w:r w:rsidR="000B7E6A" w:rsidRPr="00A008FD">
        <w:rPr>
          <w:rFonts w:ascii="Gadugi" w:eastAsia="Gadugi" w:hAnsi="Gadugi" w:cs="Gadugi"/>
          <w:i/>
          <w:iCs/>
          <w:szCs w:val="24"/>
        </w:rPr>
        <w:t>debido a que la tía de mi papá estaba muy viejita y ella pues no podía vivir sola (…) Pastora López, entonces por quebrantamientos de salud de la señora Pastora López, ella vivía solita, los mismos familiares de mi papá le pidieron el favor a mi papá, de que pues él era el sobrino y no tenía donde vivir, que por</w:t>
      </w:r>
      <w:r w:rsidR="4CB6787E" w:rsidRPr="00A008FD">
        <w:rPr>
          <w:rFonts w:ascii="Gadugi" w:eastAsia="Gadugi" w:hAnsi="Gadugi" w:cs="Gadugi"/>
          <w:i/>
          <w:iCs/>
          <w:szCs w:val="24"/>
        </w:rPr>
        <w:t xml:space="preserve"> </w:t>
      </w:r>
      <w:r w:rsidR="000B7E6A" w:rsidRPr="00A008FD">
        <w:rPr>
          <w:rFonts w:ascii="Gadugi" w:eastAsia="Gadugi" w:hAnsi="Gadugi" w:cs="Gadugi"/>
          <w:i/>
          <w:iCs/>
          <w:szCs w:val="24"/>
        </w:rPr>
        <w:t>qu</w:t>
      </w:r>
      <w:r w:rsidR="56E5C4F4" w:rsidRPr="00A008FD">
        <w:rPr>
          <w:rFonts w:ascii="Gadugi" w:eastAsia="Gadugi" w:hAnsi="Gadugi" w:cs="Gadugi"/>
          <w:i/>
          <w:iCs/>
          <w:szCs w:val="24"/>
        </w:rPr>
        <w:t>é</w:t>
      </w:r>
      <w:r w:rsidR="000B7E6A" w:rsidRPr="00A008FD">
        <w:rPr>
          <w:rFonts w:ascii="Gadugi" w:eastAsia="Gadugi" w:hAnsi="Gadugi" w:cs="Gadugi"/>
          <w:i/>
          <w:iCs/>
          <w:szCs w:val="24"/>
        </w:rPr>
        <w:t xml:space="preserve"> no tomaba la decisión de quitarse un arriendo de encima y de gastos de la casa de nosotros como hogar y se fuera a estar pendiente de la tía de él y de </w:t>
      </w:r>
      <w:r w:rsidR="00920DF4" w:rsidRPr="00A008FD">
        <w:rPr>
          <w:rFonts w:ascii="Gadugi" w:eastAsia="Gadugi" w:hAnsi="Gadugi" w:cs="Gadugi"/>
          <w:i/>
          <w:iCs/>
          <w:szCs w:val="24"/>
        </w:rPr>
        <w:t xml:space="preserve">todo lo que ella necesitara con respecto a </w:t>
      </w:r>
      <w:r w:rsidR="000B7E6A" w:rsidRPr="00A008FD">
        <w:rPr>
          <w:rFonts w:ascii="Gadugi" w:eastAsia="Gadugi" w:hAnsi="Gadugi" w:cs="Gadugi"/>
          <w:i/>
          <w:iCs/>
          <w:szCs w:val="24"/>
        </w:rPr>
        <w:t xml:space="preserve">la casa y </w:t>
      </w:r>
      <w:r w:rsidR="00920DF4" w:rsidRPr="00A008FD">
        <w:rPr>
          <w:rFonts w:ascii="Gadugi" w:eastAsia="Gadugi" w:hAnsi="Gadugi" w:cs="Gadugi"/>
          <w:i/>
          <w:iCs/>
          <w:szCs w:val="24"/>
        </w:rPr>
        <w:t>a</w:t>
      </w:r>
      <w:r w:rsidR="000B7E6A" w:rsidRPr="00A008FD">
        <w:rPr>
          <w:rFonts w:ascii="Gadugi" w:eastAsia="Gadugi" w:hAnsi="Gadugi" w:cs="Gadugi"/>
          <w:i/>
          <w:iCs/>
          <w:szCs w:val="24"/>
        </w:rPr>
        <w:t>l mantenimiento</w:t>
      </w:r>
      <w:r w:rsidR="00920DF4" w:rsidRPr="00A008FD">
        <w:rPr>
          <w:rFonts w:ascii="Gadugi" w:eastAsia="Gadugi" w:hAnsi="Gadugi" w:cs="Gadugi"/>
          <w:i/>
          <w:iCs/>
          <w:szCs w:val="24"/>
        </w:rPr>
        <w:t xml:space="preserve"> de lo de la casa</w:t>
      </w:r>
      <w:r w:rsidR="00A008FD">
        <w:rPr>
          <w:rFonts w:ascii="Gadugi" w:eastAsia="Gadugi" w:hAnsi="Gadugi" w:cs="Gadugi"/>
          <w:i/>
          <w:iCs/>
          <w:sz w:val="24"/>
          <w:szCs w:val="24"/>
        </w:rPr>
        <w:t>”</w:t>
      </w:r>
      <w:r w:rsidR="00920DF4" w:rsidRPr="00E1241B">
        <w:rPr>
          <w:rFonts w:ascii="Gadugi" w:eastAsia="Gadugi" w:hAnsi="Gadugi" w:cs="Gadugi"/>
          <w:i/>
          <w:iCs/>
          <w:sz w:val="24"/>
          <w:szCs w:val="24"/>
        </w:rPr>
        <w:t>.</w:t>
      </w:r>
      <w:r w:rsidRPr="00E1241B">
        <w:rPr>
          <w:rFonts w:ascii="Gadugi" w:eastAsia="Gadugi" w:hAnsi="Gadugi" w:cs="Gadugi"/>
          <w:sz w:val="24"/>
          <w:szCs w:val="24"/>
        </w:rPr>
        <w:t xml:space="preserve"> </w:t>
      </w:r>
    </w:p>
    <w:p w14:paraId="7DFFC598" w14:textId="77777777" w:rsidR="000B7E6A" w:rsidRPr="00E1241B" w:rsidRDefault="000B7E6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79EFD3B" w14:textId="363B3E07" w:rsidR="0098676D" w:rsidRPr="00E1241B" w:rsidRDefault="00790F9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Señaló que Mario López llegó al tiempo a la propiedad</w:t>
      </w:r>
      <w:r w:rsidR="00DA2039" w:rsidRPr="00E1241B">
        <w:rPr>
          <w:rFonts w:ascii="Gadugi" w:eastAsia="Gadugi" w:hAnsi="Gadugi" w:cs="Gadugi"/>
          <w:sz w:val="24"/>
          <w:szCs w:val="24"/>
        </w:rPr>
        <w:t>,</w:t>
      </w:r>
      <w:r w:rsidRPr="00E1241B">
        <w:rPr>
          <w:rFonts w:ascii="Gadugi" w:eastAsia="Gadugi" w:hAnsi="Gadugi" w:cs="Gadugi"/>
          <w:sz w:val="24"/>
          <w:szCs w:val="24"/>
        </w:rPr>
        <w:t xml:space="preserve"> porque se había separado de la esposa y se quedó </w:t>
      </w:r>
      <w:r w:rsidR="00DA2039" w:rsidRPr="00E1241B">
        <w:rPr>
          <w:rFonts w:ascii="Gadugi" w:eastAsia="Gadugi" w:hAnsi="Gadugi" w:cs="Gadugi"/>
          <w:sz w:val="24"/>
          <w:szCs w:val="24"/>
        </w:rPr>
        <w:t>“</w:t>
      </w:r>
      <w:r w:rsidRPr="001A0C0B">
        <w:rPr>
          <w:rFonts w:ascii="Gadugi" w:eastAsia="Gadugi" w:hAnsi="Gadugi" w:cs="Gadugi"/>
          <w:i/>
          <w:iCs/>
          <w:szCs w:val="24"/>
        </w:rPr>
        <w:t>un año larguito, yo le pongo un año cuatro meses, seis meses, y de ahí en adelante ya desocupó la casa</w:t>
      </w:r>
      <w:r w:rsidR="00DA2039" w:rsidRPr="00E1241B">
        <w:rPr>
          <w:rFonts w:ascii="Gadugi" w:eastAsia="Gadugi" w:hAnsi="Gadugi" w:cs="Gadugi"/>
          <w:i/>
          <w:iCs/>
          <w:sz w:val="24"/>
          <w:szCs w:val="24"/>
        </w:rPr>
        <w:t>”</w:t>
      </w:r>
      <w:r w:rsidRPr="00E1241B">
        <w:rPr>
          <w:rFonts w:ascii="Gadugi" w:eastAsia="Gadugi" w:hAnsi="Gadugi" w:cs="Gadugi"/>
          <w:i/>
          <w:iCs/>
          <w:sz w:val="24"/>
          <w:szCs w:val="24"/>
        </w:rPr>
        <w:t xml:space="preserve"> </w:t>
      </w:r>
      <w:r w:rsidRPr="00E1241B">
        <w:rPr>
          <w:rFonts w:ascii="Gadugi" w:eastAsia="Gadugi" w:hAnsi="Gadugi" w:cs="Gadugi"/>
          <w:sz w:val="24"/>
          <w:szCs w:val="24"/>
        </w:rPr>
        <w:t xml:space="preserve">por la falta de pago de los servicios públicos, no regresó ni dejó sus bienes. Aseguró que ningún otro familiar le ha disputado la propiedad del bien, y después de la muerte de la señora Pastora ninguno de ellos se ha presentado. El mantenimiento del bien lo hace el demandante con sus propios recursos o </w:t>
      </w:r>
      <w:r w:rsidR="00DA2039" w:rsidRPr="00E1241B">
        <w:rPr>
          <w:rFonts w:ascii="Gadugi" w:eastAsia="Gadugi" w:hAnsi="Gadugi" w:cs="Gadugi"/>
          <w:sz w:val="24"/>
          <w:szCs w:val="24"/>
        </w:rPr>
        <w:t xml:space="preserve">con </w:t>
      </w:r>
      <w:r w:rsidRPr="00E1241B">
        <w:rPr>
          <w:rFonts w:ascii="Gadugi" w:eastAsia="Gadugi" w:hAnsi="Gadugi" w:cs="Gadugi"/>
          <w:sz w:val="24"/>
          <w:szCs w:val="24"/>
        </w:rPr>
        <w:t>lo que él le puede ayudar, cubre los servicios públicos, no le pide plata los familiares para arreglos de la casa ni les rinde cuentas a demás familiares.</w:t>
      </w:r>
    </w:p>
    <w:p w14:paraId="7C6B873D" w14:textId="77777777" w:rsidR="00790F96" w:rsidRPr="00E1241B" w:rsidRDefault="00790F9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A81674D" w14:textId="11988B17" w:rsidR="00DE505C" w:rsidRPr="00E1241B" w:rsidRDefault="00790F96"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Finalmente, José Norbey Salgado López</w:t>
      </w:r>
      <w:r w:rsidRPr="00E1241B">
        <w:rPr>
          <w:rStyle w:val="Refdenotaalpie"/>
          <w:rFonts w:ascii="Gadugi" w:eastAsia="Gadugi" w:hAnsi="Gadugi" w:cs="Gadugi"/>
          <w:sz w:val="24"/>
          <w:szCs w:val="24"/>
        </w:rPr>
        <w:footnoteReference w:id="55"/>
      </w:r>
      <w:r w:rsidRPr="00E1241B">
        <w:rPr>
          <w:rFonts w:ascii="Gadugi" w:eastAsia="Gadugi" w:hAnsi="Gadugi" w:cs="Gadugi"/>
          <w:sz w:val="24"/>
          <w:szCs w:val="24"/>
        </w:rPr>
        <w:t xml:space="preserve"> no es mucho lo que aporta al esclarecimiento de los hechos, </w:t>
      </w:r>
      <w:r w:rsidR="00DE505C" w:rsidRPr="00E1241B">
        <w:rPr>
          <w:rFonts w:ascii="Gadugi" w:eastAsia="Gadugi" w:hAnsi="Gadugi" w:cs="Gadugi"/>
          <w:sz w:val="24"/>
          <w:szCs w:val="24"/>
        </w:rPr>
        <w:t xml:space="preserve">sin embargo, se rescata que conoció al demandante desde el año 2010 aproximadamente, que conoce la propiedad en disputa y que allí reside el demandante con su esposa y sus hijos. Indicó que le consta que Diego López es quien le hace el mantenimiento a la propiedad, ha visto que le hace aseo a la casa, a los patios, arregla </w:t>
      </w:r>
      <w:r w:rsidR="00DE505C" w:rsidRPr="00E1241B">
        <w:rPr>
          <w:rFonts w:ascii="Gadugi" w:eastAsia="Gadugi" w:hAnsi="Gadugi" w:cs="Gadugi"/>
          <w:sz w:val="24"/>
          <w:szCs w:val="24"/>
        </w:rPr>
        <w:lastRenderedPageBreak/>
        <w:t xml:space="preserve">el piso o las tejas y que las mejoras son los arreglos que le hace y que no les pide plata a familiares para esas cosas ni rinde cuentas a </w:t>
      </w:r>
      <w:r w:rsidR="004B57D4" w:rsidRPr="00E1241B">
        <w:rPr>
          <w:rFonts w:ascii="Gadugi" w:eastAsia="Gadugi" w:hAnsi="Gadugi" w:cs="Gadugi"/>
          <w:sz w:val="24"/>
          <w:szCs w:val="24"/>
        </w:rPr>
        <w:t>nadie</w:t>
      </w:r>
      <w:r w:rsidR="00DE505C" w:rsidRPr="00E1241B">
        <w:rPr>
          <w:rFonts w:ascii="Gadugi" w:eastAsia="Gadugi" w:hAnsi="Gadugi" w:cs="Gadugi"/>
          <w:sz w:val="24"/>
          <w:szCs w:val="24"/>
        </w:rPr>
        <w:t>.</w:t>
      </w:r>
    </w:p>
    <w:p w14:paraId="7925F9F9" w14:textId="77777777" w:rsidR="00E93FA0" w:rsidRPr="00E1241B" w:rsidRDefault="00E93FA0"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50792C5" w14:textId="168F245F" w:rsidR="003E362A" w:rsidRPr="00E1241B" w:rsidRDefault="003E362A" w:rsidP="00E1241B">
      <w:pPr>
        <w:pBdr>
          <w:top w:val="nil"/>
          <w:left w:val="nil"/>
          <w:bottom w:val="nil"/>
          <w:right w:val="nil"/>
          <w:between w:val="nil"/>
        </w:pBdr>
        <w:tabs>
          <w:tab w:val="left" w:pos="3686"/>
          <w:tab w:val="left" w:pos="4536"/>
        </w:tabs>
        <w:jc w:val="both"/>
        <w:rPr>
          <w:rFonts w:ascii="Gadugi" w:eastAsia="Gadugi" w:hAnsi="Gadugi" w:cs="Gadugi"/>
          <w:i/>
          <w:iCs/>
          <w:sz w:val="24"/>
          <w:szCs w:val="24"/>
        </w:rPr>
      </w:pPr>
      <w:r w:rsidRPr="00E1241B">
        <w:rPr>
          <w:rFonts w:ascii="Gadugi" w:eastAsia="Gadugi" w:hAnsi="Gadugi" w:cs="Gadugi"/>
          <w:sz w:val="24"/>
          <w:szCs w:val="24"/>
        </w:rPr>
        <w:t>De los testimonios de oficio tomados en la inspección judicial del predio, no fue mucho lo que se obtuvo para esclarecer el caso</w:t>
      </w:r>
      <w:r w:rsidR="00F10B57" w:rsidRPr="00E1241B">
        <w:rPr>
          <w:rFonts w:ascii="Gadugi" w:eastAsia="Gadugi" w:hAnsi="Gadugi" w:cs="Gadugi"/>
          <w:sz w:val="24"/>
          <w:szCs w:val="24"/>
        </w:rPr>
        <w:t xml:space="preserve"> del dicho de </w:t>
      </w:r>
      <w:r w:rsidRPr="00E1241B">
        <w:rPr>
          <w:rFonts w:ascii="Gadugi" w:eastAsia="Gadugi" w:hAnsi="Gadugi" w:cs="Gadugi"/>
          <w:sz w:val="24"/>
          <w:szCs w:val="24"/>
        </w:rPr>
        <w:t xml:space="preserve">Harvey </w:t>
      </w:r>
      <w:proofErr w:type="spellStart"/>
      <w:r w:rsidRPr="00E1241B">
        <w:rPr>
          <w:rFonts w:ascii="Gadugi" w:eastAsia="Gadugi" w:hAnsi="Gadugi" w:cs="Gadugi"/>
          <w:sz w:val="24"/>
          <w:szCs w:val="24"/>
        </w:rPr>
        <w:t>Esneider</w:t>
      </w:r>
      <w:proofErr w:type="spellEnd"/>
      <w:r w:rsidRPr="00E1241B">
        <w:rPr>
          <w:rFonts w:ascii="Gadugi" w:eastAsia="Gadugi" w:hAnsi="Gadugi" w:cs="Gadugi"/>
          <w:sz w:val="24"/>
          <w:szCs w:val="24"/>
        </w:rPr>
        <w:t xml:space="preserve"> López Zapata, hijo del demandante, no aportó nada</w:t>
      </w:r>
      <w:r w:rsidR="00F10B57" w:rsidRPr="00E1241B">
        <w:rPr>
          <w:rFonts w:ascii="Gadugi" w:eastAsia="Gadugi" w:hAnsi="Gadugi" w:cs="Gadugi"/>
          <w:sz w:val="24"/>
          <w:szCs w:val="24"/>
        </w:rPr>
        <w:t xml:space="preserve">. Por su lado, </w:t>
      </w:r>
      <w:r w:rsidRPr="00E1241B">
        <w:rPr>
          <w:rFonts w:ascii="Gadugi" w:eastAsia="Gadugi" w:hAnsi="Gadugi" w:cs="Gadugi"/>
          <w:sz w:val="24"/>
          <w:szCs w:val="24"/>
        </w:rPr>
        <w:t>Gloria Cecilia Zapata dijo</w:t>
      </w:r>
      <w:r w:rsidRPr="00E1241B">
        <w:rPr>
          <w:rStyle w:val="Refdenotaalpie"/>
          <w:rFonts w:ascii="Gadugi" w:eastAsia="Gadugi" w:hAnsi="Gadugi" w:cs="Gadugi"/>
          <w:sz w:val="24"/>
          <w:szCs w:val="24"/>
        </w:rPr>
        <w:footnoteReference w:id="56"/>
      </w:r>
      <w:r w:rsidRPr="00E1241B">
        <w:rPr>
          <w:rFonts w:ascii="Gadugi" w:eastAsia="Gadugi" w:hAnsi="Gadugi" w:cs="Gadugi"/>
          <w:sz w:val="24"/>
          <w:szCs w:val="24"/>
        </w:rPr>
        <w:t xml:space="preserve"> </w:t>
      </w:r>
      <w:r w:rsidR="00F10B57" w:rsidRPr="00E1241B">
        <w:rPr>
          <w:rFonts w:ascii="Gadugi" w:eastAsia="Gadugi" w:hAnsi="Gadugi" w:cs="Gadugi"/>
          <w:sz w:val="24"/>
          <w:szCs w:val="24"/>
        </w:rPr>
        <w:t xml:space="preserve">que </w:t>
      </w:r>
      <w:r w:rsidR="00DA2039" w:rsidRPr="00E1241B">
        <w:rPr>
          <w:rFonts w:ascii="Gadugi" w:eastAsia="Gadugi" w:hAnsi="Gadugi" w:cs="Gadugi"/>
          <w:sz w:val="24"/>
          <w:szCs w:val="24"/>
        </w:rPr>
        <w:t>“</w:t>
      </w:r>
      <w:r w:rsidRPr="001A0C0B">
        <w:rPr>
          <w:rFonts w:ascii="Gadugi" w:eastAsia="Gadugi" w:hAnsi="Gadugi" w:cs="Gadugi"/>
          <w:i/>
          <w:iCs/>
          <w:szCs w:val="24"/>
        </w:rPr>
        <w:t>nosotros hemos estado aquí</w:t>
      </w:r>
      <w:r w:rsidR="00181CCF" w:rsidRPr="001A0C0B">
        <w:rPr>
          <w:rFonts w:ascii="Gadugi" w:eastAsia="Gadugi" w:hAnsi="Gadugi" w:cs="Gadugi"/>
          <w:i/>
          <w:iCs/>
          <w:szCs w:val="24"/>
        </w:rPr>
        <w:t xml:space="preserve"> hace 23 años</w:t>
      </w:r>
      <w:r w:rsidRPr="001A0C0B">
        <w:rPr>
          <w:rFonts w:ascii="Gadugi" w:eastAsia="Gadugi" w:hAnsi="Gadugi" w:cs="Gadugi"/>
          <w:i/>
          <w:iCs/>
          <w:szCs w:val="24"/>
        </w:rPr>
        <w:t>,</w:t>
      </w:r>
      <w:r w:rsidR="00181CCF" w:rsidRPr="001A0C0B">
        <w:rPr>
          <w:rFonts w:ascii="Gadugi" w:eastAsia="Gadugi" w:hAnsi="Gadugi" w:cs="Gadugi"/>
          <w:i/>
          <w:iCs/>
          <w:szCs w:val="24"/>
        </w:rPr>
        <w:t xml:space="preserve"> a él le toca desyerbar el solar, a él lo que pasa es que a él me le dio un derrame cerebral, me le dio </w:t>
      </w:r>
      <w:proofErr w:type="spellStart"/>
      <w:r w:rsidR="00181CCF" w:rsidRPr="001A0C0B">
        <w:rPr>
          <w:rFonts w:ascii="Gadugi" w:eastAsia="Gadugi" w:hAnsi="Gadugi" w:cs="Gadugi"/>
          <w:i/>
          <w:iCs/>
          <w:szCs w:val="24"/>
        </w:rPr>
        <w:t>covid</w:t>
      </w:r>
      <w:proofErr w:type="spellEnd"/>
      <w:r w:rsidR="00181CCF" w:rsidRPr="001A0C0B">
        <w:rPr>
          <w:rFonts w:ascii="Gadugi" w:eastAsia="Gadugi" w:hAnsi="Gadugi" w:cs="Gadugi"/>
          <w:i/>
          <w:iCs/>
          <w:szCs w:val="24"/>
        </w:rPr>
        <w:t>, me le dio un aneurisma por culpa de los problemas que ha habido aquí</w:t>
      </w:r>
      <w:r w:rsidR="00DA2039" w:rsidRPr="00E1241B">
        <w:rPr>
          <w:rFonts w:ascii="Gadugi" w:eastAsia="Gadugi" w:hAnsi="Gadugi" w:cs="Gadugi"/>
          <w:i/>
          <w:iCs/>
          <w:sz w:val="24"/>
          <w:szCs w:val="24"/>
        </w:rPr>
        <w:t>”</w:t>
      </w:r>
      <w:r w:rsidR="00181CCF" w:rsidRPr="00E1241B">
        <w:rPr>
          <w:rFonts w:ascii="Gadugi" w:eastAsia="Gadugi" w:hAnsi="Gadugi" w:cs="Gadugi"/>
          <w:i/>
          <w:iCs/>
          <w:sz w:val="24"/>
          <w:szCs w:val="24"/>
        </w:rPr>
        <w:t xml:space="preserve">; </w:t>
      </w:r>
      <w:r w:rsidR="00181CCF" w:rsidRPr="00E1241B">
        <w:rPr>
          <w:rFonts w:ascii="Gadugi" w:eastAsia="Gadugi" w:hAnsi="Gadugi" w:cs="Gadugi"/>
          <w:sz w:val="24"/>
          <w:szCs w:val="24"/>
        </w:rPr>
        <w:t>aclaró que las disputas no son por el predio sino intrafamiliares con el hijo. Cuando se le indagó por las mejoras hechas en el predio por el señor Diego López, expuso que le consta</w:t>
      </w:r>
      <w:r w:rsidR="00DA2039" w:rsidRPr="00E1241B">
        <w:rPr>
          <w:rFonts w:ascii="Gadugi" w:eastAsia="Gadugi" w:hAnsi="Gadugi" w:cs="Gadugi"/>
          <w:sz w:val="24"/>
          <w:szCs w:val="24"/>
        </w:rPr>
        <w:t xml:space="preserve"> que “</w:t>
      </w:r>
      <w:r w:rsidR="00181CCF" w:rsidRPr="001A0C0B">
        <w:rPr>
          <w:rFonts w:ascii="Gadugi" w:eastAsia="Gadugi" w:hAnsi="Gadugi" w:cs="Gadugi"/>
          <w:i/>
          <w:iCs/>
          <w:szCs w:val="24"/>
        </w:rPr>
        <w:t>le toca cambiar tablas del piso, le toca cambiar vigas, le toca arreglar el techo… yo misma le he ayudado también a desyerbar, le he ayudado a arreglar esto aquí, él es el encargado de todo, paga servicios, paga agua, paga luz y paga gas, y el predial</w:t>
      </w:r>
      <w:r w:rsidR="001A0C0B">
        <w:rPr>
          <w:rFonts w:ascii="Gadugi" w:eastAsia="Gadugi" w:hAnsi="Gadugi" w:cs="Gadugi"/>
          <w:i/>
          <w:iCs/>
          <w:sz w:val="24"/>
          <w:szCs w:val="24"/>
        </w:rPr>
        <w:t>”</w:t>
      </w:r>
      <w:r w:rsidR="00181CCF" w:rsidRPr="00E1241B">
        <w:rPr>
          <w:rFonts w:ascii="Gadugi" w:eastAsia="Gadugi" w:hAnsi="Gadugi" w:cs="Gadugi"/>
          <w:i/>
          <w:iCs/>
          <w:sz w:val="24"/>
          <w:szCs w:val="24"/>
        </w:rPr>
        <w:t xml:space="preserve">. </w:t>
      </w:r>
      <w:r w:rsidR="00181CCF" w:rsidRPr="00E1241B">
        <w:rPr>
          <w:rFonts w:ascii="Gadugi" w:eastAsia="Gadugi" w:hAnsi="Gadugi" w:cs="Gadugi"/>
          <w:sz w:val="24"/>
          <w:szCs w:val="24"/>
        </w:rPr>
        <w:t xml:space="preserve">Sobre Mario López, indicó que </w:t>
      </w:r>
      <w:r w:rsidR="00DA2039" w:rsidRPr="00E1241B">
        <w:rPr>
          <w:rFonts w:ascii="Gadugi" w:eastAsia="Gadugi" w:hAnsi="Gadugi" w:cs="Gadugi"/>
          <w:sz w:val="24"/>
          <w:szCs w:val="24"/>
        </w:rPr>
        <w:t>“</w:t>
      </w:r>
      <w:r w:rsidR="00181CCF" w:rsidRPr="001A0C0B">
        <w:rPr>
          <w:rFonts w:ascii="Gadugi" w:eastAsia="Gadugi" w:hAnsi="Gadugi" w:cs="Gadugi"/>
          <w:i/>
          <w:iCs/>
          <w:szCs w:val="24"/>
        </w:rPr>
        <w:t>se fue por no ayudar a pagar los servicios</w:t>
      </w:r>
      <w:r w:rsidR="00DA2039" w:rsidRPr="00E1241B">
        <w:rPr>
          <w:rFonts w:ascii="Gadugi" w:eastAsia="Gadugi" w:hAnsi="Gadugi" w:cs="Gadugi"/>
          <w:i/>
          <w:iCs/>
          <w:sz w:val="24"/>
          <w:szCs w:val="24"/>
        </w:rPr>
        <w:t>”</w:t>
      </w:r>
      <w:r w:rsidR="00181CCF" w:rsidRPr="00E1241B">
        <w:rPr>
          <w:rFonts w:ascii="Gadugi" w:eastAsia="Gadugi" w:hAnsi="Gadugi" w:cs="Gadugi"/>
          <w:i/>
          <w:iCs/>
          <w:sz w:val="24"/>
          <w:szCs w:val="24"/>
        </w:rPr>
        <w:t xml:space="preserve">.   </w:t>
      </w:r>
    </w:p>
    <w:p w14:paraId="36C29F0B" w14:textId="77777777" w:rsidR="00065F06" w:rsidRPr="00E1241B" w:rsidRDefault="00065F06" w:rsidP="00E1241B">
      <w:pPr>
        <w:pBdr>
          <w:top w:val="nil"/>
          <w:left w:val="nil"/>
          <w:bottom w:val="nil"/>
          <w:right w:val="nil"/>
          <w:between w:val="nil"/>
        </w:pBdr>
        <w:tabs>
          <w:tab w:val="left" w:pos="3686"/>
          <w:tab w:val="left" w:pos="4536"/>
        </w:tabs>
        <w:jc w:val="both"/>
        <w:rPr>
          <w:rFonts w:ascii="Gadugi" w:eastAsia="Gadugi" w:hAnsi="Gadugi" w:cs="Gadugi"/>
          <w:i/>
          <w:iCs/>
          <w:sz w:val="24"/>
          <w:szCs w:val="24"/>
        </w:rPr>
      </w:pPr>
    </w:p>
    <w:p w14:paraId="7C66D495" w14:textId="46B82790" w:rsidR="00682CDF" w:rsidRPr="00E1241B" w:rsidRDefault="004B57D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Todo esto, aunado a las pruebas documentales allegadas al plenario, como actos </w:t>
      </w:r>
      <w:r w:rsidR="00682CDF" w:rsidRPr="00E1241B">
        <w:rPr>
          <w:rFonts w:ascii="Gadugi" w:eastAsia="Gadugi" w:hAnsi="Gadugi" w:cs="Gadugi"/>
          <w:sz w:val="24"/>
          <w:szCs w:val="24"/>
        </w:rPr>
        <w:t>dispositivos del demandante</w:t>
      </w:r>
      <w:r w:rsidRPr="00E1241B">
        <w:rPr>
          <w:rFonts w:ascii="Gadugi" w:eastAsia="Gadugi" w:hAnsi="Gadugi" w:cs="Gadugi"/>
          <w:sz w:val="24"/>
          <w:szCs w:val="24"/>
        </w:rPr>
        <w:t xml:space="preserve">, entre ellos, </w:t>
      </w:r>
      <w:r w:rsidR="00682CDF" w:rsidRPr="00E1241B">
        <w:rPr>
          <w:rFonts w:ascii="Gadugi" w:eastAsia="Gadugi" w:hAnsi="Gadugi" w:cs="Gadugi"/>
          <w:sz w:val="24"/>
          <w:szCs w:val="24"/>
        </w:rPr>
        <w:t>los contratos de arrendamiento traídos al proceso</w:t>
      </w:r>
      <w:r w:rsidR="00682CDF" w:rsidRPr="00E1241B">
        <w:rPr>
          <w:rStyle w:val="Refdenotaalpie"/>
          <w:rFonts w:ascii="Gadugi" w:eastAsia="Gadugi" w:hAnsi="Gadugi" w:cs="Gadugi"/>
          <w:sz w:val="24"/>
          <w:szCs w:val="24"/>
        </w:rPr>
        <w:footnoteReference w:id="57"/>
      </w:r>
      <w:r w:rsidR="00682CDF" w:rsidRPr="00E1241B">
        <w:rPr>
          <w:rFonts w:ascii="Gadugi" w:eastAsia="Gadugi" w:hAnsi="Gadugi" w:cs="Gadugi"/>
          <w:sz w:val="24"/>
          <w:szCs w:val="24"/>
        </w:rPr>
        <w:t xml:space="preserve"> donde figura como arrendador de una habitación y de una bodega, respectivamente, ubicados en la carrera 14 #9-38 y 9-44 de Santa Rosa de Cabal, el cambio de suscriptor de los servicios públicos de energía</w:t>
      </w:r>
      <w:r w:rsidR="00682CDF" w:rsidRPr="00E1241B">
        <w:rPr>
          <w:rStyle w:val="Refdenotaalpie"/>
          <w:rFonts w:ascii="Gadugi" w:eastAsia="Gadugi" w:hAnsi="Gadugi" w:cs="Gadugi"/>
          <w:sz w:val="24"/>
          <w:szCs w:val="24"/>
        </w:rPr>
        <w:footnoteReference w:id="58"/>
      </w:r>
      <w:r w:rsidR="00682CDF" w:rsidRPr="00E1241B">
        <w:rPr>
          <w:rFonts w:ascii="Gadugi" w:eastAsia="Gadugi" w:hAnsi="Gadugi" w:cs="Gadugi"/>
          <w:sz w:val="24"/>
          <w:szCs w:val="24"/>
        </w:rPr>
        <w:t xml:space="preserve"> acueducto, alcantarillado y aseo</w:t>
      </w:r>
      <w:r w:rsidR="00682CDF" w:rsidRPr="00E1241B">
        <w:rPr>
          <w:rStyle w:val="Refdenotaalpie"/>
          <w:rFonts w:ascii="Gadugi" w:eastAsia="Gadugi" w:hAnsi="Gadugi" w:cs="Gadugi"/>
          <w:sz w:val="24"/>
          <w:szCs w:val="24"/>
        </w:rPr>
        <w:footnoteReference w:id="59"/>
      </w:r>
      <w:r w:rsidR="00682CDF" w:rsidRPr="00E1241B">
        <w:rPr>
          <w:rFonts w:ascii="Gadugi" w:eastAsia="Gadugi" w:hAnsi="Gadugi" w:cs="Gadugi"/>
          <w:sz w:val="24"/>
          <w:szCs w:val="24"/>
        </w:rPr>
        <w:t xml:space="preserve"> gas domiciliario</w:t>
      </w:r>
      <w:r w:rsidR="00682CDF" w:rsidRPr="00E1241B">
        <w:rPr>
          <w:rStyle w:val="Refdenotaalpie"/>
          <w:rFonts w:ascii="Gadugi" w:eastAsia="Gadugi" w:hAnsi="Gadugi" w:cs="Gadugi"/>
          <w:sz w:val="24"/>
          <w:szCs w:val="24"/>
        </w:rPr>
        <w:footnoteReference w:id="60"/>
      </w:r>
      <w:r w:rsidR="00682CDF" w:rsidRPr="00E1241B">
        <w:rPr>
          <w:rFonts w:ascii="Gadugi" w:eastAsia="Gadugi" w:hAnsi="Gadugi" w:cs="Gadugi"/>
          <w:sz w:val="24"/>
          <w:szCs w:val="24"/>
        </w:rPr>
        <w:t xml:space="preserve"> y el trámite de prescripción de la acción de cobro por concepto de impuesto predial de las vigencias fiscales 2004-2012</w:t>
      </w:r>
      <w:r w:rsidR="00682CDF" w:rsidRPr="00E1241B">
        <w:rPr>
          <w:rStyle w:val="Refdenotaalpie"/>
          <w:rFonts w:ascii="Gadugi" w:eastAsia="Gadugi" w:hAnsi="Gadugi" w:cs="Gadugi"/>
          <w:sz w:val="24"/>
          <w:szCs w:val="24"/>
        </w:rPr>
        <w:footnoteReference w:id="61"/>
      </w:r>
      <w:r w:rsidR="00B648EC" w:rsidRPr="00E1241B">
        <w:rPr>
          <w:rFonts w:ascii="Gadugi" w:eastAsia="Gadugi" w:hAnsi="Gadugi" w:cs="Gadugi"/>
          <w:sz w:val="24"/>
          <w:szCs w:val="24"/>
        </w:rPr>
        <w:t xml:space="preserve">, el </w:t>
      </w:r>
      <w:r w:rsidR="00682CDF" w:rsidRPr="00E1241B">
        <w:rPr>
          <w:rFonts w:ascii="Gadugi" w:eastAsia="Gadugi" w:hAnsi="Gadugi" w:cs="Gadugi"/>
          <w:sz w:val="24"/>
          <w:szCs w:val="24"/>
        </w:rPr>
        <w:t xml:space="preserve"> pago de impuesto predial del año 2018 y demás documentos, como trámites para el pago diferido de servicios públicos y compra de artículos de ferretería</w:t>
      </w:r>
      <w:r w:rsidRPr="00E1241B">
        <w:rPr>
          <w:rFonts w:ascii="Gadugi" w:eastAsia="Gadugi" w:hAnsi="Gadugi" w:cs="Gadugi"/>
          <w:sz w:val="24"/>
          <w:szCs w:val="24"/>
        </w:rPr>
        <w:t xml:space="preserve">, dan </w:t>
      </w:r>
      <w:r w:rsidR="00065F06" w:rsidRPr="00E1241B">
        <w:rPr>
          <w:rFonts w:ascii="Gadugi" w:eastAsia="Gadugi" w:hAnsi="Gadugi" w:cs="Gadugi"/>
          <w:sz w:val="24"/>
          <w:szCs w:val="24"/>
        </w:rPr>
        <w:t xml:space="preserve">cuenta de </w:t>
      </w:r>
      <w:r w:rsidRPr="00E1241B">
        <w:rPr>
          <w:rFonts w:ascii="Gadugi" w:eastAsia="Gadugi" w:hAnsi="Gadugi" w:cs="Gadugi"/>
          <w:sz w:val="24"/>
          <w:szCs w:val="24"/>
        </w:rPr>
        <w:t xml:space="preserve">la posesión tranquila, pacífica, sin reconocer dominio de ninguno de los </w:t>
      </w:r>
      <w:r w:rsidR="00B648EC" w:rsidRPr="00E1241B">
        <w:rPr>
          <w:rFonts w:ascii="Gadugi" w:eastAsia="Gadugi" w:hAnsi="Gadugi" w:cs="Gadugi"/>
          <w:sz w:val="24"/>
          <w:szCs w:val="24"/>
        </w:rPr>
        <w:t xml:space="preserve">otros </w:t>
      </w:r>
      <w:r w:rsidRPr="00E1241B">
        <w:rPr>
          <w:rFonts w:ascii="Gadugi" w:eastAsia="Gadugi" w:hAnsi="Gadugi" w:cs="Gadugi"/>
          <w:sz w:val="24"/>
          <w:szCs w:val="24"/>
        </w:rPr>
        <w:t>herederos</w:t>
      </w:r>
      <w:r w:rsidR="00065F06" w:rsidRPr="00E1241B">
        <w:rPr>
          <w:rFonts w:ascii="Gadugi" w:eastAsia="Gadugi" w:hAnsi="Gadugi" w:cs="Gadugi"/>
          <w:sz w:val="24"/>
          <w:szCs w:val="24"/>
        </w:rPr>
        <w:t xml:space="preserve"> en cabeza del demandante.</w:t>
      </w:r>
    </w:p>
    <w:p w14:paraId="0AC09CD3" w14:textId="66EAD109" w:rsidR="00C76099" w:rsidRPr="00E1241B" w:rsidRDefault="00C7609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540D0602" w14:textId="66985FC8" w:rsidR="00FB79F9" w:rsidRPr="00E1241B" w:rsidRDefault="00B648EC"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Confirma todo ello la conclusión del juzgado acerca de la posesión en cabeza del demandante, con sustracción de los derechos de los otros herederos, sobre un bien determinado, de manera pública y</w:t>
      </w:r>
      <w:r w:rsidR="00FB79F9" w:rsidRPr="00E1241B">
        <w:rPr>
          <w:rFonts w:ascii="Gadugi" w:eastAsia="Gadugi" w:hAnsi="Gadugi" w:cs="Gadugi"/>
          <w:sz w:val="24"/>
          <w:szCs w:val="24"/>
        </w:rPr>
        <w:t xml:space="preserve"> pacífica</w:t>
      </w:r>
      <w:r w:rsidRPr="00E1241B">
        <w:rPr>
          <w:rFonts w:ascii="Gadugi" w:eastAsia="Gadugi" w:hAnsi="Gadugi" w:cs="Gadugi"/>
          <w:sz w:val="24"/>
          <w:szCs w:val="24"/>
        </w:rPr>
        <w:t>.</w:t>
      </w:r>
      <w:r w:rsidR="004B57D4" w:rsidRPr="00E1241B">
        <w:rPr>
          <w:rFonts w:ascii="Gadugi" w:eastAsia="Gadugi" w:hAnsi="Gadugi" w:cs="Gadugi"/>
          <w:sz w:val="24"/>
          <w:szCs w:val="24"/>
        </w:rPr>
        <w:t xml:space="preserve"> </w:t>
      </w:r>
      <w:r w:rsidR="00FB79F9" w:rsidRPr="00E1241B">
        <w:rPr>
          <w:rFonts w:ascii="Gadugi" w:eastAsia="Gadugi" w:hAnsi="Gadugi" w:cs="Gadugi"/>
          <w:sz w:val="24"/>
          <w:szCs w:val="24"/>
        </w:rPr>
        <w:t xml:space="preserve">La evidencia presentada </w:t>
      </w:r>
      <w:r w:rsidRPr="00E1241B">
        <w:rPr>
          <w:rFonts w:ascii="Gadugi" w:eastAsia="Gadugi" w:hAnsi="Gadugi" w:cs="Gadugi"/>
          <w:sz w:val="24"/>
          <w:szCs w:val="24"/>
        </w:rPr>
        <w:t xml:space="preserve">muestra que tal relación </w:t>
      </w:r>
      <w:r w:rsidR="00FB79F9" w:rsidRPr="00E1241B">
        <w:rPr>
          <w:rFonts w:ascii="Gadugi" w:eastAsia="Gadugi" w:hAnsi="Gadugi" w:cs="Gadugi"/>
          <w:sz w:val="24"/>
          <w:szCs w:val="24"/>
        </w:rPr>
        <w:t>poses</w:t>
      </w:r>
      <w:r w:rsidRPr="00E1241B">
        <w:rPr>
          <w:rFonts w:ascii="Gadugi" w:eastAsia="Gadugi" w:hAnsi="Gadugi" w:cs="Gadugi"/>
          <w:sz w:val="24"/>
          <w:szCs w:val="24"/>
        </w:rPr>
        <w:t xml:space="preserve">oria no </w:t>
      </w:r>
      <w:r w:rsidR="00FB79F9" w:rsidRPr="00E1241B">
        <w:rPr>
          <w:rFonts w:ascii="Gadugi" w:eastAsia="Gadugi" w:hAnsi="Gadugi" w:cs="Gadugi"/>
          <w:sz w:val="24"/>
          <w:szCs w:val="24"/>
        </w:rPr>
        <w:t xml:space="preserve">fue en calidad de </w:t>
      </w:r>
      <w:r w:rsidRPr="00E1241B">
        <w:rPr>
          <w:rFonts w:ascii="Gadugi" w:eastAsia="Gadugi" w:hAnsi="Gadugi" w:cs="Gadugi"/>
          <w:sz w:val="24"/>
          <w:szCs w:val="24"/>
        </w:rPr>
        <w:t xml:space="preserve">simple heredero, </w:t>
      </w:r>
      <w:r w:rsidR="00FB79F9" w:rsidRPr="00E1241B">
        <w:rPr>
          <w:rFonts w:ascii="Gadugi" w:eastAsia="Gadugi" w:hAnsi="Gadugi" w:cs="Gadugi"/>
          <w:sz w:val="24"/>
          <w:szCs w:val="24"/>
        </w:rPr>
        <w:t xml:space="preserve">sino que la </w:t>
      </w:r>
      <w:r w:rsidRPr="00E1241B">
        <w:rPr>
          <w:rFonts w:ascii="Gadugi" w:eastAsia="Gadugi" w:hAnsi="Gadugi" w:cs="Gadugi"/>
          <w:sz w:val="24"/>
          <w:szCs w:val="24"/>
        </w:rPr>
        <w:t xml:space="preserve">ha mantenido </w:t>
      </w:r>
      <w:r w:rsidR="00FB79F9" w:rsidRPr="00E1241B">
        <w:rPr>
          <w:rFonts w:ascii="Gadugi" w:eastAsia="Gadugi" w:hAnsi="Gadugi" w:cs="Gadugi"/>
          <w:sz w:val="24"/>
          <w:szCs w:val="24"/>
        </w:rPr>
        <w:t xml:space="preserve">para sí como </w:t>
      </w:r>
      <w:r w:rsidRPr="00E1241B">
        <w:rPr>
          <w:rFonts w:ascii="Gadugi" w:eastAsia="Gadugi" w:hAnsi="Gadugi" w:cs="Gadugi"/>
          <w:sz w:val="24"/>
          <w:szCs w:val="24"/>
        </w:rPr>
        <w:t xml:space="preserve">verdadero dueño, </w:t>
      </w:r>
      <w:r w:rsidR="00FB79F9" w:rsidRPr="00E1241B">
        <w:rPr>
          <w:rFonts w:ascii="Gadugi" w:eastAsia="Gadugi" w:hAnsi="Gadugi" w:cs="Gadugi"/>
          <w:sz w:val="24"/>
          <w:szCs w:val="24"/>
        </w:rPr>
        <w:t>sin reconocer dominio ajeno</w:t>
      </w:r>
      <w:r w:rsidRPr="00E1241B">
        <w:rPr>
          <w:rFonts w:ascii="Gadugi" w:eastAsia="Gadugi" w:hAnsi="Gadugi" w:cs="Gadugi"/>
          <w:sz w:val="24"/>
          <w:szCs w:val="24"/>
        </w:rPr>
        <w:t xml:space="preserve"> y </w:t>
      </w:r>
      <w:r w:rsidR="00FB79F9" w:rsidRPr="00E1241B">
        <w:rPr>
          <w:rFonts w:ascii="Gadugi" w:eastAsia="Gadugi" w:hAnsi="Gadugi" w:cs="Gadugi"/>
          <w:sz w:val="24"/>
          <w:szCs w:val="24"/>
        </w:rPr>
        <w:t>realizando actos dispositivos para su disfrute y transformación</w:t>
      </w:r>
      <w:r w:rsidRPr="00E1241B">
        <w:rPr>
          <w:rFonts w:ascii="Gadugi" w:eastAsia="Gadugi" w:hAnsi="Gadugi" w:cs="Gadugi"/>
          <w:sz w:val="24"/>
          <w:szCs w:val="24"/>
        </w:rPr>
        <w:t xml:space="preserve"> en esa calidad. </w:t>
      </w:r>
    </w:p>
    <w:p w14:paraId="639D9F7F" w14:textId="77777777" w:rsidR="00FB79F9" w:rsidRPr="00E1241B" w:rsidRDefault="00FB79F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AC51557" w14:textId="77777777" w:rsidR="00B648EC" w:rsidRPr="00E1241B" w:rsidRDefault="00B648EC"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Por supuesto que lo relevante aquí es </w:t>
      </w:r>
      <w:r w:rsidR="00590359" w:rsidRPr="00E1241B">
        <w:rPr>
          <w:rFonts w:ascii="Gadugi" w:eastAsia="Gadugi" w:hAnsi="Gadugi" w:cs="Gadugi"/>
          <w:sz w:val="24"/>
          <w:szCs w:val="24"/>
        </w:rPr>
        <w:t xml:space="preserve">establecer el momento en que se </w:t>
      </w:r>
      <w:r w:rsidRPr="00E1241B">
        <w:rPr>
          <w:rFonts w:ascii="Gadugi" w:eastAsia="Gadugi" w:hAnsi="Gadugi" w:cs="Gadugi"/>
          <w:sz w:val="24"/>
          <w:szCs w:val="24"/>
        </w:rPr>
        <w:t xml:space="preserve">produjo la </w:t>
      </w:r>
      <w:r w:rsidR="00590359" w:rsidRPr="00E1241B">
        <w:rPr>
          <w:rFonts w:ascii="Gadugi" w:eastAsia="Gadugi" w:hAnsi="Gadugi" w:cs="Gadugi"/>
          <w:sz w:val="24"/>
          <w:szCs w:val="24"/>
        </w:rPr>
        <w:t xml:space="preserve">interversión </w:t>
      </w:r>
      <w:r w:rsidR="00FB79F9" w:rsidRPr="00E1241B">
        <w:rPr>
          <w:rFonts w:ascii="Gadugi" w:eastAsia="Gadugi" w:hAnsi="Gadugi" w:cs="Gadugi"/>
          <w:sz w:val="24"/>
          <w:szCs w:val="24"/>
        </w:rPr>
        <w:t>para calcular el tiempo de posesión</w:t>
      </w:r>
      <w:r w:rsidRPr="00E1241B">
        <w:rPr>
          <w:rFonts w:ascii="Gadugi" w:eastAsia="Gadugi" w:hAnsi="Gadugi" w:cs="Gadugi"/>
          <w:sz w:val="24"/>
          <w:szCs w:val="24"/>
        </w:rPr>
        <w:t xml:space="preserve">. </w:t>
      </w:r>
      <w:r w:rsidR="00FB79F9" w:rsidRPr="00E1241B">
        <w:rPr>
          <w:rFonts w:ascii="Gadugi" w:eastAsia="Gadugi" w:hAnsi="Gadugi" w:cs="Gadugi"/>
          <w:sz w:val="24"/>
          <w:szCs w:val="24"/>
        </w:rPr>
        <w:t>Este cambio se produjo en el año 2004</w:t>
      </w:r>
      <w:r w:rsidRPr="00E1241B">
        <w:rPr>
          <w:rFonts w:ascii="Gadugi" w:eastAsia="Gadugi" w:hAnsi="Gadugi" w:cs="Gadugi"/>
          <w:sz w:val="24"/>
          <w:szCs w:val="24"/>
        </w:rPr>
        <w:t>, como se sostuvo en primera instancia. Así se concluye, por las siguientes razones:</w:t>
      </w:r>
    </w:p>
    <w:p w14:paraId="2DE59F06" w14:textId="77777777" w:rsidR="00B648EC" w:rsidRPr="00E1241B" w:rsidRDefault="00B648EC"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01DA116" w14:textId="51A6291B" w:rsidR="009D7B51" w:rsidRPr="00E1241B" w:rsidRDefault="00FB79F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Según la declaración de Diego López, para el momento del fallecimiento de la señora Pastora López </w:t>
      </w:r>
      <w:proofErr w:type="spellStart"/>
      <w:r w:rsidRPr="00E1241B">
        <w:rPr>
          <w:rFonts w:ascii="Gadugi" w:eastAsia="Gadugi" w:hAnsi="Gadugi" w:cs="Gadugi"/>
          <w:sz w:val="24"/>
          <w:szCs w:val="24"/>
        </w:rPr>
        <w:t>López</w:t>
      </w:r>
      <w:proofErr w:type="spellEnd"/>
      <w:r w:rsidRPr="00E1241B">
        <w:rPr>
          <w:rFonts w:ascii="Gadugi" w:eastAsia="Gadugi" w:hAnsi="Gadugi" w:cs="Gadugi"/>
          <w:sz w:val="24"/>
          <w:szCs w:val="24"/>
        </w:rPr>
        <w:t>, Mario López Valencia ya residía en el predio con el permiso de la difunta</w:t>
      </w:r>
      <w:r w:rsidR="00B648EC" w:rsidRPr="00E1241B">
        <w:rPr>
          <w:rFonts w:ascii="Gadugi" w:eastAsia="Gadugi" w:hAnsi="Gadugi" w:cs="Gadugi"/>
          <w:sz w:val="24"/>
          <w:szCs w:val="24"/>
        </w:rPr>
        <w:t xml:space="preserve"> y permaneció allí </w:t>
      </w:r>
      <w:r w:rsidRPr="00E1241B">
        <w:rPr>
          <w:rFonts w:ascii="Gadugi" w:eastAsia="Gadugi" w:hAnsi="Gadugi" w:cs="Gadugi"/>
          <w:sz w:val="24"/>
          <w:szCs w:val="24"/>
        </w:rPr>
        <w:t>aproximadamente 16 o 17 meses</w:t>
      </w:r>
      <w:r w:rsidR="00B648EC" w:rsidRPr="00E1241B">
        <w:rPr>
          <w:rFonts w:ascii="Gadugi" w:eastAsia="Gadugi" w:hAnsi="Gadugi" w:cs="Gadugi"/>
          <w:sz w:val="24"/>
          <w:szCs w:val="24"/>
        </w:rPr>
        <w:t>.</w:t>
      </w:r>
      <w:r w:rsidR="00AC7B74" w:rsidRPr="00E1241B">
        <w:rPr>
          <w:rFonts w:ascii="Gadugi" w:eastAsia="Gadugi" w:hAnsi="Gadugi" w:cs="Gadugi"/>
          <w:sz w:val="24"/>
          <w:szCs w:val="24"/>
        </w:rPr>
        <w:t xml:space="preserve"> Por </w:t>
      </w:r>
      <w:r w:rsidRPr="00E1241B">
        <w:rPr>
          <w:rFonts w:ascii="Gadugi" w:eastAsia="Gadugi" w:hAnsi="Gadugi" w:cs="Gadugi"/>
          <w:sz w:val="24"/>
          <w:szCs w:val="24"/>
        </w:rPr>
        <w:t>tanto, si el fallecimiento de Pastora ocurrió el 24 de noviembre de 2002</w:t>
      </w:r>
      <w:r w:rsidR="009D7B51" w:rsidRPr="00E1241B">
        <w:rPr>
          <w:rStyle w:val="Refdenotaalpie"/>
          <w:rFonts w:ascii="Gadugi" w:eastAsia="Gadugi" w:hAnsi="Gadugi" w:cs="Gadugi"/>
          <w:sz w:val="24"/>
          <w:szCs w:val="24"/>
        </w:rPr>
        <w:footnoteReference w:id="62"/>
      </w:r>
      <w:r w:rsidR="009D7B51" w:rsidRPr="00E1241B">
        <w:rPr>
          <w:rFonts w:ascii="Gadugi" w:eastAsia="Gadugi" w:hAnsi="Gadugi" w:cs="Gadugi"/>
          <w:sz w:val="24"/>
          <w:szCs w:val="24"/>
        </w:rPr>
        <w:t xml:space="preserve"> </w:t>
      </w:r>
      <w:r w:rsidR="00B648EC" w:rsidRPr="00E1241B">
        <w:rPr>
          <w:rFonts w:ascii="Gadugi" w:eastAsia="Gadugi" w:hAnsi="Gadugi" w:cs="Gadugi"/>
          <w:sz w:val="24"/>
          <w:szCs w:val="24"/>
        </w:rPr>
        <w:t xml:space="preserve">es fácil concluir que </w:t>
      </w:r>
      <w:r w:rsidRPr="00E1241B">
        <w:rPr>
          <w:rFonts w:ascii="Gadugi" w:eastAsia="Gadugi" w:hAnsi="Gadugi" w:cs="Gadugi"/>
          <w:sz w:val="24"/>
          <w:szCs w:val="24"/>
        </w:rPr>
        <w:t>los 17 meses mencionados se completarían e</w:t>
      </w:r>
      <w:r w:rsidR="00B648EC" w:rsidRPr="00E1241B">
        <w:rPr>
          <w:rFonts w:ascii="Gadugi" w:eastAsia="Gadugi" w:hAnsi="Gadugi" w:cs="Gadugi"/>
          <w:sz w:val="24"/>
          <w:szCs w:val="24"/>
        </w:rPr>
        <w:t xml:space="preserve">n el mes de abril de </w:t>
      </w:r>
      <w:r w:rsidRPr="00E1241B">
        <w:rPr>
          <w:rFonts w:ascii="Gadugi" w:eastAsia="Gadugi" w:hAnsi="Gadugi" w:cs="Gadugi"/>
          <w:sz w:val="24"/>
          <w:szCs w:val="24"/>
        </w:rPr>
        <w:t>2004.</w:t>
      </w:r>
    </w:p>
    <w:p w14:paraId="691E2A9B" w14:textId="77777777" w:rsidR="00FB79F9" w:rsidRPr="00E1241B" w:rsidRDefault="00FB79F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B245D00" w14:textId="24495F66" w:rsidR="009D7B51" w:rsidRPr="00E1241B" w:rsidRDefault="009D7B51"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Diego León López Zapata al respecto indicó que, luego de que falleció la señora Pastora López </w:t>
      </w:r>
      <w:proofErr w:type="spellStart"/>
      <w:r w:rsidRPr="00E1241B">
        <w:rPr>
          <w:rFonts w:ascii="Gadugi" w:eastAsia="Gadugi" w:hAnsi="Gadugi" w:cs="Gadugi"/>
          <w:sz w:val="24"/>
          <w:szCs w:val="24"/>
        </w:rPr>
        <w:t>López</w:t>
      </w:r>
      <w:proofErr w:type="spellEnd"/>
      <w:r w:rsidRPr="00E1241B">
        <w:rPr>
          <w:rFonts w:ascii="Gadugi" w:eastAsia="Gadugi" w:hAnsi="Gadugi" w:cs="Gadugi"/>
          <w:sz w:val="24"/>
          <w:szCs w:val="24"/>
        </w:rPr>
        <w:t>, Mario López Valencia residió en la propiedad alrededor de un año y cuatro o seis meses más</w:t>
      </w:r>
      <w:r w:rsidRPr="00E1241B">
        <w:rPr>
          <w:rStyle w:val="Refdenotaalpie"/>
          <w:rFonts w:ascii="Gadugi" w:eastAsia="Gadugi" w:hAnsi="Gadugi" w:cs="Gadugi"/>
          <w:sz w:val="24"/>
          <w:szCs w:val="24"/>
        </w:rPr>
        <w:footnoteReference w:id="63"/>
      </w:r>
      <w:r w:rsidR="00B648EC" w:rsidRPr="00E1241B">
        <w:rPr>
          <w:rFonts w:ascii="Gadugi" w:eastAsia="Gadugi" w:hAnsi="Gadugi" w:cs="Gadugi"/>
          <w:sz w:val="24"/>
          <w:szCs w:val="24"/>
        </w:rPr>
        <w:t>, es decir, por esa época de</w:t>
      </w:r>
      <w:r w:rsidR="00AC7B74" w:rsidRPr="00E1241B">
        <w:rPr>
          <w:rFonts w:ascii="Gadugi" w:eastAsia="Gadugi" w:hAnsi="Gadugi" w:cs="Gadugi"/>
          <w:sz w:val="24"/>
          <w:szCs w:val="24"/>
        </w:rPr>
        <w:t xml:space="preserve"> abril o mayo</w:t>
      </w:r>
      <w:r w:rsidR="00FE0E64" w:rsidRPr="00E1241B">
        <w:rPr>
          <w:rFonts w:ascii="Gadugi" w:eastAsia="Gadugi" w:hAnsi="Gadugi" w:cs="Gadugi"/>
          <w:sz w:val="24"/>
          <w:szCs w:val="24"/>
        </w:rPr>
        <w:t xml:space="preserve"> del año 2004 aproximadamente. </w:t>
      </w:r>
    </w:p>
    <w:p w14:paraId="62E03669" w14:textId="77777777" w:rsidR="00FE0E64" w:rsidRPr="00E1241B" w:rsidRDefault="00FE0E6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7474BC13" w14:textId="1652C03B" w:rsidR="00FE0E64" w:rsidRPr="00E1241B" w:rsidRDefault="00FE0E6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Adicional a lo anterior, el señor Diego López aparece como suscriptor del servicio de energía desde marzo de 2001 según oficio de la CHEC (página 51, C-01PrimeraInstancia, C-01CuadernoPrincipal), del servicio de gas domiciliario desde el año 2003 (pág. 86, ibidem) y desde el año 2009 el servicio de agua, acueducto y alcantarillado (página 83, ibidem). </w:t>
      </w:r>
    </w:p>
    <w:p w14:paraId="58D2EA52" w14:textId="3D602973" w:rsidR="00FE0E64" w:rsidRPr="00E1241B" w:rsidRDefault="00FE0E6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33555D4C" w14:textId="77777777" w:rsidR="004F17D0" w:rsidRPr="00E1241B" w:rsidRDefault="004B05E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Por otro lado, </w:t>
      </w:r>
      <w:r w:rsidR="00FE0E64" w:rsidRPr="00E1241B">
        <w:rPr>
          <w:rFonts w:ascii="Gadugi" w:eastAsia="Gadugi" w:hAnsi="Gadugi" w:cs="Gadugi"/>
          <w:sz w:val="24"/>
          <w:szCs w:val="24"/>
        </w:rPr>
        <w:t>el argumento de que el demandante reconoc</w:t>
      </w:r>
      <w:r w:rsidR="004F17D0" w:rsidRPr="00E1241B">
        <w:rPr>
          <w:rFonts w:ascii="Gadugi" w:eastAsia="Gadugi" w:hAnsi="Gadugi" w:cs="Gadugi"/>
          <w:sz w:val="24"/>
          <w:szCs w:val="24"/>
        </w:rPr>
        <w:t xml:space="preserve">ió su posesión de mero heredero hasta el año 2015, debido a </w:t>
      </w:r>
      <w:r w:rsidR="00E941B9" w:rsidRPr="00E1241B">
        <w:rPr>
          <w:rFonts w:ascii="Gadugi" w:eastAsia="Gadugi" w:hAnsi="Gadugi" w:cs="Gadugi"/>
          <w:sz w:val="24"/>
          <w:szCs w:val="24"/>
        </w:rPr>
        <w:t xml:space="preserve">los </w:t>
      </w:r>
      <w:r w:rsidR="00FE0E64" w:rsidRPr="00E1241B">
        <w:rPr>
          <w:rFonts w:ascii="Gadugi" w:eastAsia="Gadugi" w:hAnsi="Gadugi" w:cs="Gadugi"/>
          <w:sz w:val="24"/>
          <w:szCs w:val="24"/>
        </w:rPr>
        <w:t>poderes suscri</w:t>
      </w:r>
      <w:r w:rsidR="00E941B9" w:rsidRPr="00E1241B">
        <w:rPr>
          <w:rFonts w:ascii="Gadugi" w:eastAsia="Gadugi" w:hAnsi="Gadugi" w:cs="Gadugi"/>
          <w:sz w:val="24"/>
          <w:szCs w:val="24"/>
        </w:rPr>
        <w:t>tos</w:t>
      </w:r>
      <w:r w:rsidR="00FE0E64" w:rsidRPr="00E1241B">
        <w:rPr>
          <w:rFonts w:ascii="Gadugi" w:eastAsia="Gadugi" w:hAnsi="Gadugi" w:cs="Gadugi"/>
          <w:sz w:val="24"/>
          <w:szCs w:val="24"/>
        </w:rPr>
        <w:t xml:space="preserve"> para adelantar un proceso de </w:t>
      </w:r>
      <w:r w:rsidR="004F17D0" w:rsidRPr="00E1241B">
        <w:rPr>
          <w:rFonts w:ascii="Gadugi" w:eastAsia="Gadugi" w:hAnsi="Gadugi" w:cs="Gadugi"/>
          <w:sz w:val="24"/>
          <w:szCs w:val="24"/>
        </w:rPr>
        <w:t>pertenencia y otro de sucesión, se</w:t>
      </w:r>
      <w:r w:rsidR="00FE0E64" w:rsidRPr="00E1241B">
        <w:rPr>
          <w:rFonts w:ascii="Gadugi" w:eastAsia="Gadugi" w:hAnsi="Gadugi" w:cs="Gadugi"/>
          <w:sz w:val="24"/>
          <w:szCs w:val="24"/>
        </w:rPr>
        <w:t xml:space="preserve"> queda sin piso</w:t>
      </w:r>
      <w:r w:rsidR="004F17D0" w:rsidRPr="00E1241B">
        <w:rPr>
          <w:rFonts w:ascii="Gadugi" w:eastAsia="Gadugi" w:hAnsi="Gadugi" w:cs="Gadugi"/>
          <w:sz w:val="24"/>
          <w:szCs w:val="24"/>
        </w:rPr>
        <w:t xml:space="preserve">, como se concluyó en primera instancia. </w:t>
      </w:r>
    </w:p>
    <w:p w14:paraId="42EE3858" w14:textId="77777777" w:rsidR="004F17D0" w:rsidRPr="00E1241B" w:rsidRDefault="004F17D0"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01E46D95" w14:textId="4564FC62" w:rsidR="00FE0E64" w:rsidRPr="00E1241B" w:rsidRDefault="004F17D0"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Cuando Diego López fue interrogado sobre ese aspecto, </w:t>
      </w:r>
      <w:r w:rsidR="00FE0E64" w:rsidRPr="00E1241B">
        <w:rPr>
          <w:rFonts w:ascii="Gadugi" w:eastAsia="Gadugi" w:hAnsi="Gadugi" w:cs="Gadugi"/>
          <w:sz w:val="24"/>
          <w:szCs w:val="24"/>
        </w:rPr>
        <w:t>manifestó que fue engañado</w:t>
      </w:r>
      <w:r w:rsidR="004C49B3" w:rsidRPr="00E1241B">
        <w:rPr>
          <w:rFonts w:ascii="Gadugi" w:eastAsia="Gadugi" w:hAnsi="Gadugi" w:cs="Gadugi"/>
          <w:sz w:val="24"/>
          <w:szCs w:val="24"/>
        </w:rPr>
        <w:t xml:space="preserve"> para firmar los poderes</w:t>
      </w:r>
      <w:r w:rsidR="00FE0E64" w:rsidRPr="00E1241B">
        <w:rPr>
          <w:rFonts w:ascii="Gadugi" w:eastAsia="Gadugi" w:hAnsi="Gadugi" w:cs="Gadugi"/>
          <w:sz w:val="24"/>
          <w:szCs w:val="24"/>
        </w:rPr>
        <w:t>, confiado de que su familiar conocía de trámites legales y que apostaría por dejarl</w:t>
      </w:r>
      <w:r w:rsidR="004C49B3" w:rsidRPr="00E1241B">
        <w:rPr>
          <w:rFonts w:ascii="Gadugi" w:eastAsia="Gadugi" w:hAnsi="Gadugi" w:cs="Gadugi"/>
          <w:sz w:val="24"/>
          <w:szCs w:val="24"/>
        </w:rPr>
        <w:t>e</w:t>
      </w:r>
      <w:r w:rsidR="00FE0E64" w:rsidRPr="00E1241B">
        <w:rPr>
          <w:rFonts w:ascii="Gadugi" w:eastAsia="Gadugi" w:hAnsi="Gadugi" w:cs="Gadugi"/>
          <w:sz w:val="24"/>
          <w:szCs w:val="24"/>
        </w:rPr>
        <w:t xml:space="preserve"> la vivienda </w:t>
      </w:r>
      <w:r w:rsidR="004C49B3" w:rsidRPr="00E1241B">
        <w:rPr>
          <w:rFonts w:ascii="Gadugi" w:eastAsia="Gadugi" w:hAnsi="Gadugi" w:cs="Gadugi"/>
          <w:sz w:val="24"/>
          <w:szCs w:val="24"/>
        </w:rPr>
        <w:t xml:space="preserve">a su nombre. Valga decir, que de las cosas más </w:t>
      </w:r>
      <w:r w:rsidR="00E941B9" w:rsidRPr="00E1241B">
        <w:rPr>
          <w:rFonts w:ascii="Gadugi" w:eastAsia="Gadugi" w:hAnsi="Gadugi" w:cs="Gadugi"/>
          <w:sz w:val="24"/>
          <w:szCs w:val="24"/>
        </w:rPr>
        <w:t xml:space="preserve">claras </w:t>
      </w:r>
      <w:r w:rsidR="004C49B3" w:rsidRPr="00E1241B">
        <w:rPr>
          <w:rFonts w:ascii="Gadugi" w:eastAsia="Gadugi" w:hAnsi="Gadugi" w:cs="Gadugi"/>
          <w:sz w:val="24"/>
          <w:szCs w:val="24"/>
        </w:rPr>
        <w:t xml:space="preserve">que manifestó la señora Virginia López en su declaración, fue que Mario López les pidió dinero para adelantar unos trámites judiciales con el fin de que la propiedad no quedara en manos de Diego sino de todos los herederos, para luego repuntar, al conocer que ese no era el trámite que se estaba adelantando, de que </w:t>
      </w:r>
      <w:r w:rsidRPr="00E1241B">
        <w:rPr>
          <w:rFonts w:ascii="Gadugi" w:eastAsia="Gadugi" w:hAnsi="Gadugi" w:cs="Gadugi"/>
          <w:sz w:val="24"/>
          <w:szCs w:val="24"/>
        </w:rPr>
        <w:t>“</w:t>
      </w:r>
      <w:r w:rsidR="004C49B3" w:rsidRPr="001A0C0B">
        <w:rPr>
          <w:rFonts w:ascii="Gadugi" w:eastAsia="Gadugi" w:hAnsi="Gadugi" w:cs="Gadugi"/>
          <w:i/>
          <w:iCs/>
          <w:szCs w:val="24"/>
        </w:rPr>
        <w:t>Mario</w:t>
      </w:r>
      <w:r w:rsidR="004C49B3" w:rsidRPr="001A0C0B">
        <w:rPr>
          <w:rFonts w:ascii="Gadugi" w:eastAsia="Gadugi" w:hAnsi="Gadugi" w:cs="Gadugi"/>
          <w:szCs w:val="24"/>
        </w:rPr>
        <w:t xml:space="preserve"> </w:t>
      </w:r>
      <w:r w:rsidR="004C49B3" w:rsidRPr="001A0C0B">
        <w:rPr>
          <w:rFonts w:ascii="Gadugi" w:eastAsia="Gadugi" w:hAnsi="Gadugi" w:cs="Gadugi"/>
          <w:i/>
          <w:iCs/>
          <w:szCs w:val="24"/>
        </w:rPr>
        <w:t>era muy mentiroso</w:t>
      </w:r>
      <w:r w:rsidRPr="00E1241B">
        <w:rPr>
          <w:rFonts w:ascii="Gadugi" w:eastAsia="Gadugi" w:hAnsi="Gadugi" w:cs="Gadugi"/>
          <w:i/>
          <w:iCs/>
          <w:sz w:val="24"/>
          <w:szCs w:val="24"/>
        </w:rPr>
        <w:t>”</w:t>
      </w:r>
      <w:r w:rsidR="004C49B3" w:rsidRPr="00E1241B">
        <w:rPr>
          <w:rFonts w:ascii="Gadugi" w:eastAsia="Gadugi" w:hAnsi="Gadugi" w:cs="Gadugi"/>
          <w:i/>
          <w:iCs/>
          <w:sz w:val="24"/>
          <w:szCs w:val="24"/>
        </w:rPr>
        <w:t xml:space="preserve">. </w:t>
      </w:r>
    </w:p>
    <w:p w14:paraId="38DF48A1" w14:textId="77777777" w:rsidR="004C49B3" w:rsidRPr="00E1241B" w:rsidRDefault="004C49B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E945CB4" w14:textId="35F0D0A5" w:rsidR="001F3A65" w:rsidRPr="00E1241B" w:rsidRDefault="0053097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Es más, </w:t>
      </w:r>
      <w:r w:rsidR="004F17D0" w:rsidRPr="00E1241B">
        <w:rPr>
          <w:rFonts w:ascii="Gadugi" w:eastAsia="Gadugi" w:hAnsi="Gadugi" w:cs="Gadugi"/>
          <w:sz w:val="24"/>
          <w:szCs w:val="24"/>
        </w:rPr>
        <w:t xml:space="preserve">está acreditado que, </w:t>
      </w:r>
      <w:r w:rsidRPr="00E1241B">
        <w:rPr>
          <w:rFonts w:ascii="Gadugi" w:eastAsia="Gadugi" w:hAnsi="Gadugi" w:cs="Gadugi"/>
          <w:sz w:val="24"/>
          <w:szCs w:val="24"/>
        </w:rPr>
        <w:t xml:space="preserve">cuando </w:t>
      </w:r>
      <w:r w:rsidR="004C49B3" w:rsidRPr="00E1241B">
        <w:rPr>
          <w:rFonts w:ascii="Gadugi" w:eastAsia="Gadugi" w:hAnsi="Gadugi" w:cs="Gadugi"/>
          <w:sz w:val="24"/>
          <w:szCs w:val="24"/>
        </w:rPr>
        <w:t xml:space="preserve">Diego López se enteró de la existencia de un proceso de pertenencia que se adelantaba en el despacho de </w:t>
      </w:r>
      <w:r w:rsidRPr="00E1241B">
        <w:rPr>
          <w:rFonts w:ascii="Gadugi" w:eastAsia="Gadugi" w:hAnsi="Gadugi" w:cs="Gadugi"/>
          <w:sz w:val="24"/>
          <w:szCs w:val="24"/>
        </w:rPr>
        <w:t xml:space="preserve">primera </w:t>
      </w:r>
      <w:r w:rsidR="004C49B3" w:rsidRPr="00E1241B">
        <w:rPr>
          <w:rFonts w:ascii="Gadugi" w:eastAsia="Gadugi" w:hAnsi="Gadugi" w:cs="Gadugi"/>
          <w:sz w:val="24"/>
          <w:szCs w:val="24"/>
        </w:rPr>
        <w:t>instancia</w:t>
      </w:r>
      <w:r w:rsidR="004F17D0" w:rsidRPr="00E1241B">
        <w:rPr>
          <w:rFonts w:ascii="Gadugi" w:eastAsia="Gadugi" w:hAnsi="Gadugi" w:cs="Gadugi"/>
          <w:sz w:val="24"/>
          <w:szCs w:val="24"/>
        </w:rPr>
        <w:t xml:space="preserve">, radicado al número </w:t>
      </w:r>
      <w:r w:rsidR="004C49B3" w:rsidRPr="00E1241B">
        <w:rPr>
          <w:rFonts w:ascii="Gadugi" w:eastAsia="Gadugi" w:hAnsi="Gadugi" w:cs="Gadugi"/>
          <w:sz w:val="24"/>
          <w:szCs w:val="24"/>
        </w:rPr>
        <w:t xml:space="preserve">2015-201, bajo la gravedad de juramento </w:t>
      </w:r>
      <w:r w:rsidR="004F17D0" w:rsidRPr="00E1241B">
        <w:rPr>
          <w:rFonts w:ascii="Gadugi" w:eastAsia="Gadugi" w:hAnsi="Gadugi" w:cs="Gadugi"/>
          <w:sz w:val="24"/>
          <w:szCs w:val="24"/>
        </w:rPr>
        <w:t xml:space="preserve">y con un memorial suscrito por él, </w:t>
      </w:r>
      <w:r w:rsidR="004C49B3" w:rsidRPr="00E1241B">
        <w:rPr>
          <w:rFonts w:ascii="Gadugi" w:eastAsia="Gadugi" w:hAnsi="Gadugi" w:cs="Gadugi"/>
          <w:sz w:val="24"/>
          <w:szCs w:val="24"/>
        </w:rPr>
        <w:t xml:space="preserve">el 9 de noviembre de 2015, alertó al </w:t>
      </w:r>
      <w:r w:rsidR="004F17D0" w:rsidRPr="00E1241B">
        <w:rPr>
          <w:rFonts w:ascii="Gadugi" w:eastAsia="Gadugi" w:hAnsi="Gadugi" w:cs="Gadugi"/>
          <w:sz w:val="24"/>
          <w:szCs w:val="24"/>
        </w:rPr>
        <w:t xml:space="preserve">despacho judicial acerca de </w:t>
      </w:r>
      <w:r w:rsidR="004C49B3" w:rsidRPr="00E1241B">
        <w:rPr>
          <w:rFonts w:ascii="Gadugi" w:eastAsia="Gadugi" w:hAnsi="Gadugi" w:cs="Gadugi"/>
          <w:sz w:val="24"/>
          <w:szCs w:val="24"/>
        </w:rPr>
        <w:t>que Mario López no ejerc</w:t>
      </w:r>
      <w:r w:rsidR="00D42EE7" w:rsidRPr="00E1241B">
        <w:rPr>
          <w:rFonts w:ascii="Gadugi" w:eastAsia="Gadugi" w:hAnsi="Gadugi" w:cs="Gadugi"/>
          <w:sz w:val="24"/>
          <w:szCs w:val="24"/>
        </w:rPr>
        <w:t>ía</w:t>
      </w:r>
      <w:r w:rsidR="004C49B3" w:rsidRPr="00E1241B">
        <w:rPr>
          <w:rFonts w:ascii="Gadugi" w:eastAsia="Gadugi" w:hAnsi="Gadugi" w:cs="Gadugi"/>
          <w:sz w:val="24"/>
          <w:szCs w:val="24"/>
        </w:rPr>
        <w:t xml:space="preserve"> la posesión que asegura</w:t>
      </w:r>
      <w:r w:rsidR="004F17D0" w:rsidRPr="00E1241B">
        <w:rPr>
          <w:rFonts w:ascii="Gadugi" w:eastAsia="Gadugi" w:hAnsi="Gadugi" w:cs="Gadugi"/>
          <w:sz w:val="24"/>
          <w:szCs w:val="24"/>
        </w:rPr>
        <w:t>ba</w:t>
      </w:r>
      <w:r w:rsidR="004C49B3" w:rsidRPr="00E1241B">
        <w:rPr>
          <w:rFonts w:ascii="Gadugi" w:eastAsia="Gadugi" w:hAnsi="Gadugi" w:cs="Gadugi"/>
          <w:sz w:val="24"/>
          <w:szCs w:val="24"/>
        </w:rPr>
        <w:t xml:space="preserve"> sobre el bien y de que los testigos anunciados en la demanda no eran conocedores de la situación</w:t>
      </w:r>
      <w:r w:rsidR="00AD1879" w:rsidRPr="00E1241B">
        <w:rPr>
          <w:rFonts w:ascii="Gadugi" w:eastAsia="Gadugi" w:hAnsi="Gadugi" w:cs="Gadugi"/>
          <w:sz w:val="24"/>
          <w:szCs w:val="24"/>
        </w:rPr>
        <w:t xml:space="preserve"> </w:t>
      </w:r>
      <w:r w:rsidR="004C49B3" w:rsidRPr="00E1241B">
        <w:rPr>
          <w:rFonts w:ascii="Gadugi" w:eastAsia="Gadugi" w:hAnsi="Gadugi" w:cs="Gadugi"/>
          <w:sz w:val="24"/>
          <w:szCs w:val="24"/>
        </w:rPr>
        <w:t xml:space="preserve">(págs. 275 y 276, ibidem). </w:t>
      </w:r>
    </w:p>
    <w:p w14:paraId="1B6AE41B" w14:textId="77777777" w:rsidR="001F3A65" w:rsidRPr="00E1241B" w:rsidRDefault="001F3A6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5C1F9A03" w14:textId="5A757EC9" w:rsidR="001F3A65" w:rsidRPr="00E1241B" w:rsidRDefault="004F17D0"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lastRenderedPageBreak/>
        <w:t xml:space="preserve">Se destaca que </w:t>
      </w:r>
      <w:r w:rsidR="00D42EE7" w:rsidRPr="00E1241B">
        <w:rPr>
          <w:rFonts w:ascii="Gadugi" w:eastAsia="Gadugi" w:hAnsi="Gadugi" w:cs="Gadugi"/>
          <w:sz w:val="24"/>
          <w:szCs w:val="24"/>
        </w:rPr>
        <w:t xml:space="preserve">del </w:t>
      </w:r>
      <w:r w:rsidR="00A1548D" w:rsidRPr="00E1241B">
        <w:rPr>
          <w:rFonts w:ascii="Gadugi" w:eastAsia="Gadugi" w:hAnsi="Gadugi" w:cs="Gadugi"/>
          <w:sz w:val="24"/>
          <w:szCs w:val="24"/>
        </w:rPr>
        <w:t xml:space="preserve">citado </w:t>
      </w:r>
      <w:r w:rsidR="00D42EE7" w:rsidRPr="00E1241B">
        <w:rPr>
          <w:rFonts w:ascii="Gadugi" w:eastAsia="Gadugi" w:hAnsi="Gadugi" w:cs="Gadugi"/>
          <w:sz w:val="24"/>
          <w:szCs w:val="24"/>
        </w:rPr>
        <w:t xml:space="preserve">proceso </w:t>
      </w:r>
      <w:r w:rsidR="00A1548D" w:rsidRPr="00E1241B">
        <w:rPr>
          <w:rFonts w:ascii="Gadugi" w:eastAsia="Gadugi" w:hAnsi="Gadugi" w:cs="Gadugi"/>
          <w:sz w:val="24"/>
          <w:szCs w:val="24"/>
        </w:rPr>
        <w:t xml:space="preserve">en el plenario existe constancia </w:t>
      </w:r>
      <w:r w:rsidRPr="00E1241B">
        <w:rPr>
          <w:rFonts w:ascii="Gadugi" w:eastAsia="Gadugi" w:hAnsi="Gadugi" w:cs="Gadugi"/>
          <w:sz w:val="24"/>
          <w:szCs w:val="24"/>
        </w:rPr>
        <w:t xml:space="preserve">de </w:t>
      </w:r>
      <w:r w:rsidR="00A1548D" w:rsidRPr="00E1241B">
        <w:rPr>
          <w:rFonts w:ascii="Gadugi" w:eastAsia="Gadugi" w:hAnsi="Gadugi" w:cs="Gadugi"/>
          <w:sz w:val="24"/>
          <w:szCs w:val="24"/>
        </w:rPr>
        <w:t xml:space="preserve">que fue inadmitido </w:t>
      </w:r>
      <w:r w:rsidR="009F2CA1" w:rsidRPr="00E1241B">
        <w:rPr>
          <w:rFonts w:ascii="Gadugi" w:eastAsia="Gadugi" w:hAnsi="Gadugi" w:cs="Gadugi"/>
          <w:sz w:val="24"/>
          <w:szCs w:val="24"/>
        </w:rPr>
        <w:t>mediante providencia del 21 de septiembre de 2021</w:t>
      </w:r>
      <w:r w:rsidR="009F2CA1" w:rsidRPr="00E1241B">
        <w:rPr>
          <w:rStyle w:val="Refdenotaalpie"/>
          <w:rFonts w:ascii="Gadugi" w:eastAsia="Gadugi" w:hAnsi="Gadugi" w:cs="Gadugi"/>
          <w:sz w:val="24"/>
          <w:szCs w:val="24"/>
        </w:rPr>
        <w:footnoteReference w:id="64"/>
      </w:r>
      <w:r w:rsidR="009F2CA1" w:rsidRPr="00E1241B">
        <w:rPr>
          <w:rFonts w:ascii="Gadugi" w:eastAsia="Gadugi" w:hAnsi="Gadugi" w:cs="Gadugi"/>
          <w:sz w:val="24"/>
          <w:szCs w:val="24"/>
        </w:rPr>
        <w:t>, y según dicho del actor</w:t>
      </w:r>
      <w:r w:rsidR="00C94694" w:rsidRPr="00E1241B">
        <w:rPr>
          <w:rFonts w:ascii="Gadugi" w:eastAsia="Gadugi" w:hAnsi="Gadugi" w:cs="Gadugi"/>
          <w:sz w:val="24"/>
          <w:szCs w:val="24"/>
        </w:rPr>
        <w:t xml:space="preserve"> en interrogatorio de parte anticipado</w:t>
      </w:r>
      <w:r w:rsidR="001F3A65" w:rsidRPr="00E1241B">
        <w:rPr>
          <w:rFonts w:ascii="Gadugi" w:eastAsia="Gadugi" w:hAnsi="Gadugi" w:cs="Gadugi"/>
          <w:sz w:val="24"/>
          <w:szCs w:val="24"/>
        </w:rPr>
        <w:t xml:space="preserve"> de fecha </w:t>
      </w:r>
      <w:r w:rsidR="00E26640" w:rsidRPr="00E1241B">
        <w:rPr>
          <w:rFonts w:ascii="Gadugi" w:eastAsia="Gadugi" w:hAnsi="Gadugi" w:cs="Gadugi"/>
          <w:sz w:val="24"/>
          <w:szCs w:val="24"/>
        </w:rPr>
        <w:t>30 de marzo de 2017</w:t>
      </w:r>
      <w:r w:rsidR="00E26640" w:rsidRPr="00E1241B">
        <w:rPr>
          <w:rStyle w:val="Refdenotaalpie"/>
          <w:rFonts w:ascii="Gadugi" w:eastAsia="Gadugi" w:hAnsi="Gadugi" w:cs="Gadugi"/>
          <w:sz w:val="24"/>
          <w:szCs w:val="24"/>
        </w:rPr>
        <w:footnoteReference w:id="65"/>
      </w:r>
      <w:r w:rsidR="009F2CA1" w:rsidRPr="00E1241B">
        <w:rPr>
          <w:rFonts w:ascii="Gadugi" w:eastAsia="Gadugi" w:hAnsi="Gadugi" w:cs="Gadugi"/>
          <w:sz w:val="24"/>
          <w:szCs w:val="24"/>
        </w:rPr>
        <w:t>,</w:t>
      </w:r>
      <w:r w:rsidR="00E26640" w:rsidRPr="00E1241B">
        <w:rPr>
          <w:rFonts w:ascii="Gadugi" w:eastAsia="Gadugi" w:hAnsi="Gadugi" w:cs="Gadugi"/>
          <w:sz w:val="24"/>
          <w:szCs w:val="24"/>
        </w:rPr>
        <w:t xml:space="preserve"> prueba allegada por la parte demandada,</w:t>
      </w:r>
      <w:r w:rsidR="00C94694" w:rsidRPr="00E1241B">
        <w:rPr>
          <w:rFonts w:ascii="Gadugi" w:eastAsia="Gadugi" w:hAnsi="Gadugi" w:cs="Gadugi"/>
          <w:sz w:val="24"/>
          <w:szCs w:val="24"/>
        </w:rPr>
        <w:t xml:space="preserve"> exp</w:t>
      </w:r>
      <w:r w:rsidRPr="00E1241B">
        <w:rPr>
          <w:rFonts w:ascii="Gadugi" w:eastAsia="Gadugi" w:hAnsi="Gadugi" w:cs="Gadugi"/>
          <w:sz w:val="24"/>
          <w:szCs w:val="24"/>
        </w:rPr>
        <w:t>uso</w:t>
      </w:r>
      <w:r w:rsidR="00C94694" w:rsidRPr="00E1241B">
        <w:rPr>
          <w:rFonts w:ascii="Gadugi" w:eastAsia="Gadugi" w:hAnsi="Gadugi" w:cs="Gadugi"/>
          <w:sz w:val="24"/>
          <w:szCs w:val="24"/>
        </w:rPr>
        <w:t xml:space="preserve"> respecto </w:t>
      </w:r>
      <w:r w:rsidRPr="00E1241B">
        <w:rPr>
          <w:rFonts w:ascii="Gadugi" w:eastAsia="Gadugi" w:hAnsi="Gadugi" w:cs="Gadugi"/>
          <w:sz w:val="24"/>
          <w:szCs w:val="24"/>
        </w:rPr>
        <w:t>de</w:t>
      </w:r>
      <w:r w:rsidR="00C94694" w:rsidRPr="00E1241B">
        <w:rPr>
          <w:rFonts w:ascii="Gadugi" w:eastAsia="Gadugi" w:hAnsi="Gadugi" w:cs="Gadugi"/>
          <w:sz w:val="24"/>
          <w:szCs w:val="24"/>
        </w:rPr>
        <w:t xml:space="preserve"> los procesos de sucesión y pertenencia que “</w:t>
      </w:r>
      <w:r w:rsidR="00C94694" w:rsidRPr="001A0C0B">
        <w:rPr>
          <w:rFonts w:ascii="Gadugi" w:eastAsia="Gadugi" w:hAnsi="Gadugi" w:cs="Gadugi"/>
          <w:i/>
          <w:iCs/>
          <w:szCs w:val="24"/>
        </w:rPr>
        <w:t>Es verdad que existió dicho poder; luego yo hice presencia en el Juzgado del Circuito para revisar dicho proceso, donde al revisarlo me di cuenta de todas las mentiras que all</w:t>
      </w:r>
      <w:r w:rsidRPr="001A0C0B">
        <w:rPr>
          <w:rFonts w:ascii="Gadugi" w:eastAsia="Gadugi" w:hAnsi="Gadugi" w:cs="Gadugi"/>
          <w:i/>
          <w:iCs/>
          <w:szCs w:val="24"/>
        </w:rPr>
        <w:t>í</w:t>
      </w:r>
      <w:r w:rsidR="00C94694" w:rsidRPr="001A0C0B">
        <w:rPr>
          <w:rFonts w:ascii="Gadugi" w:eastAsia="Gadugi" w:hAnsi="Gadugi" w:cs="Gadugi"/>
          <w:i/>
          <w:iCs/>
          <w:szCs w:val="24"/>
        </w:rPr>
        <w:t xml:space="preserve"> trataba el señor </w:t>
      </w:r>
      <w:r w:rsidRPr="001A0C0B">
        <w:rPr>
          <w:rFonts w:ascii="Gadugi" w:eastAsia="Gadugi" w:hAnsi="Gadugi" w:cs="Gadugi"/>
          <w:i/>
          <w:iCs/>
          <w:szCs w:val="24"/>
        </w:rPr>
        <w:t>Mario López Valencia</w:t>
      </w:r>
      <w:r w:rsidR="00C94694" w:rsidRPr="001A0C0B">
        <w:rPr>
          <w:rFonts w:ascii="Gadugi" w:eastAsia="Gadugi" w:hAnsi="Gadugi" w:cs="Gadugi"/>
          <w:i/>
          <w:iCs/>
          <w:szCs w:val="24"/>
        </w:rPr>
        <w:t>. Más aún, utilizando testigos falsos</w:t>
      </w:r>
      <w:r w:rsidRPr="001A0C0B">
        <w:rPr>
          <w:rFonts w:ascii="Gadugi" w:eastAsia="Gadugi" w:hAnsi="Gadugi" w:cs="Gadugi"/>
          <w:i/>
          <w:iCs/>
          <w:szCs w:val="24"/>
        </w:rPr>
        <w:t>.</w:t>
      </w:r>
      <w:r w:rsidR="00C94694" w:rsidRPr="001A0C0B">
        <w:rPr>
          <w:rFonts w:ascii="Gadugi" w:eastAsia="Gadugi" w:hAnsi="Gadugi" w:cs="Gadugi"/>
          <w:i/>
          <w:iCs/>
          <w:szCs w:val="24"/>
        </w:rPr>
        <w:t xml:space="preserve"> Testigos que nunca conocieron a </w:t>
      </w:r>
      <w:r w:rsidRPr="001A0C0B">
        <w:rPr>
          <w:rFonts w:ascii="Gadugi" w:eastAsia="Gadugi" w:hAnsi="Gadugi" w:cs="Gadugi"/>
          <w:i/>
          <w:iCs/>
          <w:szCs w:val="24"/>
        </w:rPr>
        <w:t xml:space="preserve">Pastora López </w:t>
      </w:r>
      <w:proofErr w:type="spellStart"/>
      <w:r w:rsidRPr="001A0C0B">
        <w:rPr>
          <w:rFonts w:ascii="Gadugi" w:eastAsia="Gadugi" w:hAnsi="Gadugi" w:cs="Gadugi"/>
          <w:i/>
          <w:iCs/>
          <w:szCs w:val="24"/>
        </w:rPr>
        <w:t>López</w:t>
      </w:r>
      <w:proofErr w:type="spellEnd"/>
      <w:r w:rsidRPr="001A0C0B">
        <w:rPr>
          <w:rFonts w:ascii="Gadugi" w:eastAsia="Gadugi" w:hAnsi="Gadugi" w:cs="Gadugi"/>
          <w:i/>
          <w:iCs/>
          <w:szCs w:val="24"/>
        </w:rPr>
        <w:t xml:space="preserve"> </w:t>
      </w:r>
      <w:r w:rsidR="00C94694" w:rsidRPr="001A0C0B">
        <w:rPr>
          <w:rFonts w:ascii="Gadugi" w:eastAsia="Gadugi" w:hAnsi="Gadugi" w:cs="Gadugi"/>
          <w:i/>
          <w:iCs/>
          <w:szCs w:val="24"/>
        </w:rPr>
        <w:t xml:space="preserve">y mucho menos de lo que dentro de esta casa sucedía. Por tal motivo me dirigí por escrito a la correspondiente Juez del Circuito de Santa Rosa, para ponerla en conocimiento las anomalías que se presentaban en dicho proceso y advertirle del posible </w:t>
      </w:r>
      <w:r w:rsidRPr="001A0C0B">
        <w:rPr>
          <w:rFonts w:ascii="Gadugi" w:eastAsia="Gadugi" w:hAnsi="Gadugi" w:cs="Gadugi"/>
          <w:i/>
          <w:iCs/>
          <w:szCs w:val="24"/>
        </w:rPr>
        <w:t xml:space="preserve">fraude procesal </w:t>
      </w:r>
      <w:r w:rsidR="00C94694" w:rsidRPr="001A0C0B">
        <w:rPr>
          <w:rFonts w:ascii="Gadugi" w:eastAsia="Gadugi" w:hAnsi="Gadugi" w:cs="Gadugi"/>
          <w:i/>
          <w:iCs/>
          <w:szCs w:val="24"/>
        </w:rPr>
        <w:t>que allí se estaba presentando. La Juez lo llamó a él por intermedio de su abogado y él no se hizo presente; motivo por el cual el Juzgado determinó archivar el proce</w:t>
      </w:r>
      <w:r w:rsidR="001F3A65" w:rsidRPr="001A0C0B">
        <w:rPr>
          <w:rFonts w:ascii="Gadugi" w:eastAsia="Gadugi" w:hAnsi="Gadugi" w:cs="Gadugi"/>
          <w:i/>
          <w:iCs/>
          <w:szCs w:val="24"/>
        </w:rPr>
        <w:t>so por desistimiento tácito</w:t>
      </w:r>
      <w:r w:rsidR="001F3A65" w:rsidRPr="001A0C0B">
        <w:rPr>
          <w:rFonts w:ascii="Gadugi" w:eastAsia="Gadugi" w:hAnsi="Gadugi" w:cs="Gadugi"/>
          <w:szCs w:val="24"/>
        </w:rPr>
        <w:t>.</w:t>
      </w:r>
      <w:r w:rsidRPr="001A0C0B">
        <w:rPr>
          <w:rFonts w:ascii="Gadugi" w:eastAsia="Gadugi" w:hAnsi="Gadugi" w:cs="Gadugi"/>
          <w:sz w:val="24"/>
          <w:szCs w:val="24"/>
        </w:rPr>
        <w:t>”</w:t>
      </w:r>
      <w:r w:rsidR="001F3A65" w:rsidRPr="001A0C0B">
        <w:rPr>
          <w:rFonts w:ascii="Gadugi" w:eastAsia="Gadugi" w:hAnsi="Gadugi" w:cs="Gadugi"/>
          <w:sz w:val="24"/>
          <w:szCs w:val="24"/>
        </w:rPr>
        <w:t xml:space="preserve"> </w:t>
      </w:r>
      <w:r w:rsidR="0060485A" w:rsidRPr="001A0C0B">
        <w:rPr>
          <w:rFonts w:ascii="Gadugi" w:eastAsia="Gadugi" w:hAnsi="Gadugi" w:cs="Gadugi"/>
          <w:sz w:val="24"/>
          <w:szCs w:val="24"/>
        </w:rPr>
        <w:t xml:space="preserve">Se le preguntó allí si, en compañía de Mario, decidieron no adelantar la sucesión de Pastora, porque se podría adquirir el bien por prescripción, y contestó </w:t>
      </w:r>
      <w:r w:rsidR="0060485A" w:rsidRPr="001A0C0B">
        <w:rPr>
          <w:rFonts w:ascii="Gadugi" w:eastAsia="Gadugi" w:hAnsi="Gadugi" w:cs="Gadugi"/>
          <w:i/>
          <w:iCs/>
          <w:sz w:val="24"/>
          <w:szCs w:val="24"/>
        </w:rPr>
        <w:t>“</w:t>
      </w:r>
      <w:r w:rsidR="001F3A65" w:rsidRPr="001A0C0B">
        <w:rPr>
          <w:rFonts w:ascii="Gadugi" w:eastAsia="Gadugi" w:hAnsi="Gadugi" w:cs="Gadugi"/>
          <w:i/>
          <w:iCs/>
          <w:szCs w:val="24"/>
        </w:rPr>
        <w:t>En parte es cierto y aclaro: Yo tomé dicha determinación, ya que soy la persona que realmente he venido ejerciendo la posesión del inmueble que ocupo, en forma tranquila y pacífica, con mi señora y mis hijos y por eso yo soy quien pago todos los servicios públicos, nadie me aporta o colabora para eso; soy quien hace las reparaciones y mantenimiento de la casa sin ayuda de nadie y el impuesto predial. Por eso no continué en el proceso de pertenencia</w:t>
      </w:r>
      <w:r w:rsidR="001F3A65" w:rsidRPr="00E1241B">
        <w:rPr>
          <w:rFonts w:ascii="Gadugi" w:eastAsia="Gadugi" w:hAnsi="Gadugi" w:cs="Gadugi"/>
          <w:sz w:val="24"/>
          <w:szCs w:val="24"/>
        </w:rPr>
        <w:t>.”</w:t>
      </w:r>
      <w:r w:rsidR="001F3A65" w:rsidRPr="00E1241B">
        <w:rPr>
          <w:rStyle w:val="Refdenotaalpie"/>
          <w:rFonts w:ascii="Gadugi" w:eastAsia="Gadugi" w:hAnsi="Gadugi" w:cs="Gadugi"/>
          <w:sz w:val="24"/>
          <w:szCs w:val="24"/>
        </w:rPr>
        <w:footnoteReference w:id="66"/>
      </w:r>
    </w:p>
    <w:p w14:paraId="7B21DBD9" w14:textId="77777777" w:rsidR="001F3A65" w:rsidRPr="00E1241B" w:rsidRDefault="001F3A6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CED98C0" w14:textId="70A8C026" w:rsidR="004C49B3" w:rsidRPr="00E1241B" w:rsidRDefault="001F3A65"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Así que, en realidad, dichos procesos no </w:t>
      </w:r>
      <w:r w:rsidR="0060485A" w:rsidRPr="00E1241B">
        <w:rPr>
          <w:rFonts w:ascii="Gadugi" w:eastAsia="Gadugi" w:hAnsi="Gadugi" w:cs="Gadugi"/>
          <w:sz w:val="24"/>
          <w:szCs w:val="24"/>
        </w:rPr>
        <w:t xml:space="preserve">se adelantaron, </w:t>
      </w:r>
      <w:r w:rsidRPr="00E1241B">
        <w:rPr>
          <w:rFonts w:ascii="Gadugi" w:eastAsia="Gadugi" w:hAnsi="Gadugi" w:cs="Gadugi"/>
          <w:sz w:val="24"/>
          <w:szCs w:val="24"/>
        </w:rPr>
        <w:t>tan</w:t>
      </w:r>
      <w:r w:rsidR="0060485A" w:rsidRPr="00E1241B">
        <w:rPr>
          <w:rFonts w:ascii="Gadugi" w:eastAsia="Gadugi" w:hAnsi="Gadugi" w:cs="Gadugi"/>
          <w:sz w:val="24"/>
          <w:szCs w:val="24"/>
        </w:rPr>
        <w:t>to</w:t>
      </w:r>
      <w:r w:rsidRPr="00E1241B">
        <w:rPr>
          <w:rFonts w:ascii="Gadugi" w:eastAsia="Gadugi" w:hAnsi="Gadugi" w:cs="Gadugi"/>
          <w:sz w:val="24"/>
          <w:szCs w:val="24"/>
        </w:rPr>
        <w:t xml:space="preserve"> así que </w:t>
      </w:r>
      <w:r w:rsidR="0060485A" w:rsidRPr="00E1241B">
        <w:rPr>
          <w:rFonts w:ascii="Gadugi" w:eastAsia="Gadugi" w:hAnsi="Gadugi" w:cs="Gadugi"/>
          <w:sz w:val="24"/>
          <w:szCs w:val="24"/>
        </w:rPr>
        <w:t xml:space="preserve">al </w:t>
      </w:r>
      <w:r w:rsidRPr="00E1241B">
        <w:rPr>
          <w:rFonts w:ascii="Gadugi" w:eastAsia="Gadugi" w:hAnsi="Gadugi" w:cs="Gadugi"/>
          <w:sz w:val="24"/>
          <w:szCs w:val="24"/>
        </w:rPr>
        <w:t>observa</w:t>
      </w:r>
      <w:r w:rsidR="0060485A" w:rsidRPr="00E1241B">
        <w:rPr>
          <w:rFonts w:ascii="Gadugi" w:eastAsia="Gadugi" w:hAnsi="Gadugi" w:cs="Gadugi"/>
          <w:sz w:val="24"/>
          <w:szCs w:val="24"/>
        </w:rPr>
        <w:t>r</w:t>
      </w:r>
      <w:r w:rsidRPr="00E1241B">
        <w:rPr>
          <w:rFonts w:ascii="Gadugi" w:eastAsia="Gadugi" w:hAnsi="Gadugi" w:cs="Gadugi"/>
          <w:sz w:val="24"/>
          <w:szCs w:val="24"/>
        </w:rPr>
        <w:t xml:space="preserve"> </w:t>
      </w:r>
      <w:r w:rsidR="00184E6B" w:rsidRPr="00E1241B">
        <w:rPr>
          <w:rFonts w:ascii="Gadugi" w:eastAsia="Gadugi" w:hAnsi="Gadugi" w:cs="Gadugi"/>
          <w:sz w:val="24"/>
          <w:szCs w:val="24"/>
        </w:rPr>
        <w:t xml:space="preserve">el certificado de tradición del inmueble objeto del presente litigio, solo existe </w:t>
      </w:r>
      <w:r w:rsidR="005836EA" w:rsidRPr="00E1241B">
        <w:rPr>
          <w:rFonts w:ascii="Gadugi" w:eastAsia="Gadugi" w:hAnsi="Gadugi" w:cs="Gadugi"/>
          <w:sz w:val="24"/>
          <w:szCs w:val="24"/>
        </w:rPr>
        <w:t xml:space="preserve">como </w:t>
      </w:r>
      <w:r w:rsidR="00184E6B" w:rsidRPr="00E1241B">
        <w:rPr>
          <w:rFonts w:ascii="Gadugi" w:eastAsia="Gadugi" w:hAnsi="Gadugi" w:cs="Gadugi"/>
          <w:sz w:val="24"/>
          <w:szCs w:val="24"/>
        </w:rPr>
        <w:t xml:space="preserve">medida cautelar </w:t>
      </w:r>
      <w:r w:rsidR="005836EA" w:rsidRPr="00E1241B">
        <w:rPr>
          <w:rFonts w:ascii="Gadugi" w:eastAsia="Gadugi" w:hAnsi="Gadugi" w:cs="Gadugi"/>
          <w:sz w:val="24"/>
          <w:szCs w:val="24"/>
        </w:rPr>
        <w:t xml:space="preserve">la </w:t>
      </w:r>
      <w:r w:rsidR="0060485A" w:rsidRPr="00E1241B">
        <w:rPr>
          <w:rFonts w:ascii="Gadugi" w:eastAsia="Gadugi" w:hAnsi="Gadugi" w:cs="Gadugi"/>
          <w:sz w:val="24"/>
          <w:szCs w:val="24"/>
        </w:rPr>
        <w:t xml:space="preserve">inscripción de la </w:t>
      </w:r>
      <w:r w:rsidR="005836EA" w:rsidRPr="00E1241B">
        <w:rPr>
          <w:rFonts w:ascii="Gadugi" w:eastAsia="Gadugi" w:hAnsi="Gadugi" w:cs="Gadugi"/>
          <w:sz w:val="24"/>
          <w:szCs w:val="24"/>
        </w:rPr>
        <w:t>presente demanda</w:t>
      </w:r>
      <w:r w:rsidR="005836EA" w:rsidRPr="00E1241B">
        <w:rPr>
          <w:rStyle w:val="Refdenotaalpie"/>
          <w:rFonts w:ascii="Gadugi" w:eastAsia="Gadugi" w:hAnsi="Gadugi" w:cs="Gadugi"/>
          <w:sz w:val="24"/>
          <w:szCs w:val="24"/>
        </w:rPr>
        <w:footnoteReference w:id="67"/>
      </w:r>
      <w:r w:rsidR="005836EA" w:rsidRPr="00E1241B">
        <w:rPr>
          <w:rFonts w:ascii="Gadugi" w:eastAsia="Gadugi" w:hAnsi="Gadugi" w:cs="Gadugi"/>
          <w:sz w:val="24"/>
          <w:szCs w:val="24"/>
        </w:rPr>
        <w:t xml:space="preserve">, </w:t>
      </w:r>
      <w:r w:rsidR="00A1548D" w:rsidRPr="00E1241B">
        <w:rPr>
          <w:rFonts w:ascii="Gadugi" w:eastAsia="Gadugi" w:hAnsi="Gadugi" w:cs="Gadugi"/>
          <w:sz w:val="24"/>
          <w:szCs w:val="24"/>
        </w:rPr>
        <w:t xml:space="preserve">sin que las partes alegaran </w:t>
      </w:r>
      <w:r w:rsidR="00D42EE7" w:rsidRPr="00E1241B">
        <w:rPr>
          <w:rFonts w:ascii="Gadugi" w:eastAsia="Gadugi" w:hAnsi="Gadugi" w:cs="Gadugi"/>
          <w:sz w:val="24"/>
          <w:szCs w:val="24"/>
        </w:rPr>
        <w:t xml:space="preserve">la existencia de otro proceso vigente </w:t>
      </w:r>
      <w:r w:rsidR="00A1548D" w:rsidRPr="00E1241B">
        <w:rPr>
          <w:rFonts w:ascii="Gadugi" w:eastAsia="Gadugi" w:hAnsi="Gadugi" w:cs="Gadugi"/>
          <w:sz w:val="24"/>
          <w:szCs w:val="24"/>
        </w:rPr>
        <w:t>por la misma causa</w:t>
      </w:r>
      <w:r w:rsidR="0060485A" w:rsidRPr="00E1241B">
        <w:rPr>
          <w:rFonts w:ascii="Gadugi" w:eastAsia="Gadugi" w:hAnsi="Gadugi" w:cs="Gadugi"/>
          <w:sz w:val="24"/>
          <w:szCs w:val="24"/>
        </w:rPr>
        <w:t xml:space="preserve">. Por tanto, el solo hecho de otorgar aquellos poderes, es insuficiente para entender que el demandante renunció a su condición de poseedor, o que nunca la tuvo hasta el año 2015, cuando él mismo acudió al juzgado para señalar que aquella otra demanda de pertenencia estaba fundada en hechos falsos, que se querían soportar con el testimonio de personas que no conocían de la verdadera situación. Es obvio que allí, contrario a lo que aduce el recurrente, no se estaba </w:t>
      </w:r>
      <w:r w:rsidR="00770AD6" w:rsidRPr="00E1241B">
        <w:rPr>
          <w:rFonts w:ascii="Gadugi" w:eastAsia="Gadugi" w:hAnsi="Gadugi" w:cs="Gadugi"/>
          <w:sz w:val="24"/>
          <w:szCs w:val="24"/>
        </w:rPr>
        <w:t xml:space="preserve">reconociendo dominio </w:t>
      </w:r>
      <w:r w:rsidR="0060485A" w:rsidRPr="00E1241B">
        <w:rPr>
          <w:rFonts w:ascii="Gadugi" w:eastAsia="Gadugi" w:hAnsi="Gadugi" w:cs="Gadugi"/>
          <w:sz w:val="24"/>
          <w:szCs w:val="24"/>
        </w:rPr>
        <w:t xml:space="preserve">ajeno, más bien, lo que hizo fue ratificar su intención de considerarse único dueño y señor del inmueble. </w:t>
      </w:r>
    </w:p>
    <w:p w14:paraId="4B94A9AD" w14:textId="77777777" w:rsidR="00FE0E64" w:rsidRPr="00E1241B" w:rsidRDefault="00FE0E64"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6E9CB6BC" w14:textId="6F8847F9" w:rsidR="0060485A" w:rsidRPr="00E1241B" w:rsidRDefault="0060485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2.10. </w:t>
      </w:r>
      <w:r w:rsidR="00AD1879" w:rsidRPr="00E1241B">
        <w:rPr>
          <w:rFonts w:ascii="Gadugi" w:eastAsia="Gadugi" w:hAnsi="Gadugi" w:cs="Gadugi"/>
          <w:sz w:val="24"/>
          <w:szCs w:val="24"/>
        </w:rPr>
        <w:t xml:space="preserve">Se quedan sin sustento, entonces, los específicos reproches que se le hicieron a la decisión de primer grado, con lo que los argumentos de la funcionaria se mantienen, en la medida en que </w:t>
      </w:r>
      <w:r w:rsidRPr="00E1241B">
        <w:rPr>
          <w:rFonts w:ascii="Gadugi" w:eastAsia="Gadugi" w:hAnsi="Gadugi" w:cs="Gadugi"/>
          <w:sz w:val="24"/>
          <w:szCs w:val="24"/>
        </w:rPr>
        <w:t xml:space="preserve">concluyó que la </w:t>
      </w:r>
      <w:r w:rsidR="00AD1879" w:rsidRPr="00E1241B">
        <w:rPr>
          <w:rFonts w:ascii="Gadugi" w:eastAsia="Gadugi" w:hAnsi="Gadugi" w:cs="Gadugi"/>
          <w:sz w:val="24"/>
          <w:szCs w:val="24"/>
        </w:rPr>
        <w:t xml:space="preserve">interversión de la posesión </w:t>
      </w:r>
      <w:r w:rsidRPr="00E1241B">
        <w:rPr>
          <w:rFonts w:ascii="Gadugi" w:eastAsia="Gadugi" w:hAnsi="Gadugi" w:cs="Gadugi"/>
          <w:sz w:val="24"/>
          <w:szCs w:val="24"/>
        </w:rPr>
        <w:t>del ahora demandante</w:t>
      </w:r>
      <w:r w:rsidR="00AD1879" w:rsidRPr="00E1241B">
        <w:rPr>
          <w:rFonts w:ascii="Gadugi" w:eastAsia="Gadugi" w:hAnsi="Gadugi" w:cs="Gadugi"/>
          <w:sz w:val="24"/>
          <w:szCs w:val="24"/>
        </w:rPr>
        <w:t xml:space="preserve"> se produjo, para poner una fecha concreta, desde el mes de mayo de 2004, es decir, </w:t>
      </w:r>
      <w:r w:rsidRPr="00E1241B">
        <w:rPr>
          <w:rFonts w:ascii="Gadugi" w:eastAsia="Gadugi" w:hAnsi="Gadugi" w:cs="Gadugi"/>
          <w:sz w:val="24"/>
          <w:szCs w:val="24"/>
        </w:rPr>
        <w:t xml:space="preserve">que </w:t>
      </w:r>
      <w:r w:rsidR="00AD1879" w:rsidRPr="00E1241B">
        <w:rPr>
          <w:rFonts w:ascii="Gadugi" w:eastAsia="Gadugi" w:hAnsi="Gadugi" w:cs="Gadugi"/>
          <w:sz w:val="24"/>
          <w:szCs w:val="24"/>
        </w:rPr>
        <w:t>excedi</w:t>
      </w:r>
      <w:r w:rsidR="1CD7F323" w:rsidRPr="00E1241B">
        <w:rPr>
          <w:rFonts w:ascii="Gadugi" w:eastAsia="Gadugi" w:hAnsi="Gadugi" w:cs="Gadugi"/>
          <w:sz w:val="24"/>
          <w:szCs w:val="24"/>
        </w:rPr>
        <w:t>ó</w:t>
      </w:r>
      <w:r w:rsidR="00AD1879" w:rsidRPr="00E1241B">
        <w:rPr>
          <w:rFonts w:ascii="Gadugi" w:eastAsia="Gadugi" w:hAnsi="Gadugi" w:cs="Gadugi"/>
          <w:sz w:val="24"/>
          <w:szCs w:val="24"/>
        </w:rPr>
        <w:t xml:space="preserve"> con creces los diez años que demanda la norma. Así que las pretensiones de la demanda estaban llamadas a prosperar</w:t>
      </w:r>
      <w:r w:rsidRPr="00E1241B">
        <w:rPr>
          <w:rFonts w:ascii="Gadugi" w:eastAsia="Gadugi" w:hAnsi="Gadugi" w:cs="Gadugi"/>
          <w:sz w:val="24"/>
          <w:szCs w:val="24"/>
        </w:rPr>
        <w:t xml:space="preserve">. </w:t>
      </w:r>
    </w:p>
    <w:p w14:paraId="6881FF37" w14:textId="77777777" w:rsidR="0060485A" w:rsidRPr="00E1241B" w:rsidRDefault="0060485A"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2438E6F2" w14:textId="032E42B9" w:rsidR="00AD1879" w:rsidRPr="00E1241B" w:rsidRDefault="00AD1879"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lastRenderedPageBreak/>
        <w:t>Por tanto, se confirmará el fallo protestado y se condenará en costas de segunda instancia a los demandados</w:t>
      </w:r>
      <w:r w:rsidR="005836EA" w:rsidRPr="00E1241B">
        <w:rPr>
          <w:rFonts w:ascii="Gadugi" w:eastAsia="Gadugi" w:hAnsi="Gadugi" w:cs="Gadugi"/>
          <w:sz w:val="24"/>
          <w:szCs w:val="24"/>
        </w:rPr>
        <w:t xml:space="preserve"> recurrentes</w:t>
      </w:r>
      <w:r w:rsidRPr="00E1241B">
        <w:rPr>
          <w:rFonts w:ascii="Gadugi" w:eastAsia="Gadugi" w:hAnsi="Gadugi" w:cs="Gadugi"/>
          <w:sz w:val="24"/>
          <w:szCs w:val="24"/>
        </w:rPr>
        <w:t xml:space="preserve"> a favor del demandante. Ellas se liquidarán de manera concentrada ante el juez de primer grado, siguiendo las reglas del artículo 366 del CGP. Para el efecto, en providencia separada, se fijarán las agencias en derecho.</w:t>
      </w:r>
    </w:p>
    <w:p w14:paraId="30759BB0" w14:textId="77777777" w:rsidR="000E49E7" w:rsidRPr="00E1241B" w:rsidRDefault="000E49E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429C854A" w14:textId="1F999598" w:rsidR="00020018" w:rsidRPr="00E1241B" w:rsidRDefault="001D6A7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Pr>
          <w:rFonts w:ascii="Gadugi" w:eastAsia="Gadugi" w:hAnsi="Gadugi" w:cs="Gadugi"/>
          <w:b/>
          <w:sz w:val="24"/>
          <w:szCs w:val="24"/>
        </w:rPr>
        <w:t>3</w:t>
      </w:r>
      <w:r w:rsidR="00AD1879" w:rsidRPr="00E1241B">
        <w:rPr>
          <w:rFonts w:ascii="Gadugi" w:eastAsia="Gadugi" w:hAnsi="Gadugi" w:cs="Gadugi"/>
          <w:b/>
          <w:sz w:val="24"/>
          <w:szCs w:val="24"/>
        </w:rPr>
        <w:t>. DECISION</w:t>
      </w:r>
    </w:p>
    <w:p w14:paraId="18EEAC98" w14:textId="77777777" w:rsidR="00020018" w:rsidRPr="00E1241B" w:rsidRDefault="00020018" w:rsidP="00E1241B">
      <w:pPr>
        <w:pBdr>
          <w:top w:val="nil"/>
          <w:left w:val="nil"/>
          <w:bottom w:val="nil"/>
          <w:right w:val="nil"/>
          <w:between w:val="nil"/>
        </w:pBdr>
        <w:tabs>
          <w:tab w:val="left" w:pos="3686"/>
          <w:tab w:val="left" w:pos="4536"/>
        </w:tabs>
        <w:jc w:val="both"/>
        <w:rPr>
          <w:rFonts w:ascii="Gadugi" w:eastAsia="Gadugi" w:hAnsi="Gadugi" w:cs="Gadugi"/>
          <w:sz w:val="24"/>
          <w:szCs w:val="24"/>
        </w:rPr>
      </w:pPr>
      <w:bookmarkStart w:id="1" w:name="_heading=h.30j0zll" w:colFirst="0" w:colLast="0"/>
      <w:bookmarkEnd w:id="1"/>
    </w:p>
    <w:p w14:paraId="596226FF" w14:textId="05681F5E" w:rsidR="00020018" w:rsidRPr="00E1241B" w:rsidRDefault="00BA7917"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En armonía con lo discurrido, esta Sala Civil-Familia del Tribunal Superior de Pereira, administrando justicia en nombre de la República, y por autoridad de la Ley, </w:t>
      </w:r>
      <w:r w:rsidRPr="00E1241B">
        <w:rPr>
          <w:rFonts w:ascii="Gadugi" w:eastAsia="Gadugi" w:hAnsi="Gadugi" w:cs="Gadugi"/>
          <w:b/>
          <w:sz w:val="24"/>
          <w:szCs w:val="24"/>
        </w:rPr>
        <w:t xml:space="preserve">CONFIRMA </w:t>
      </w:r>
      <w:r w:rsidRPr="00E1241B">
        <w:rPr>
          <w:rFonts w:ascii="Gadugi" w:eastAsia="Gadugi" w:hAnsi="Gadugi" w:cs="Gadugi"/>
          <w:sz w:val="24"/>
          <w:szCs w:val="24"/>
        </w:rPr>
        <w:t xml:space="preserve">la sentencia </w:t>
      </w:r>
      <w:r w:rsidR="000F3DC3" w:rsidRPr="00E1241B">
        <w:rPr>
          <w:rFonts w:ascii="Gadugi" w:eastAsia="Gadugi" w:hAnsi="Gadugi" w:cs="Gadugi"/>
          <w:sz w:val="24"/>
          <w:szCs w:val="24"/>
        </w:rPr>
        <w:t xml:space="preserve">proferida por el Juzgado Civil del Circuito de Santa Rosa de Cabal - Risaralda, el 27 de octubre de 2022, en este proceso declarativo verbal de </w:t>
      </w:r>
      <w:r w:rsidR="000F3DC3" w:rsidRPr="00E1241B">
        <w:rPr>
          <w:rFonts w:ascii="Gadugi" w:eastAsia="Gadugi" w:hAnsi="Gadugi" w:cs="Gadugi"/>
          <w:b/>
          <w:sz w:val="24"/>
          <w:szCs w:val="24"/>
        </w:rPr>
        <w:t xml:space="preserve">Pertenencia por Prescripción Extraordinaria Adquisitiva de Dominio </w:t>
      </w:r>
      <w:r w:rsidR="000F3DC3" w:rsidRPr="00E1241B">
        <w:rPr>
          <w:rFonts w:ascii="Gadugi" w:eastAsia="Gadugi" w:hAnsi="Gadugi" w:cs="Gadugi"/>
          <w:sz w:val="24"/>
          <w:szCs w:val="24"/>
        </w:rPr>
        <w:t xml:space="preserve">promovido por </w:t>
      </w:r>
      <w:r w:rsidR="000F3DC3" w:rsidRPr="00E1241B">
        <w:rPr>
          <w:rFonts w:ascii="Gadugi" w:eastAsia="Gadugi" w:hAnsi="Gadugi" w:cs="Gadugi"/>
          <w:b/>
          <w:sz w:val="24"/>
          <w:szCs w:val="24"/>
        </w:rPr>
        <w:t xml:space="preserve">Diego López Serna </w:t>
      </w:r>
      <w:r w:rsidR="000F3DC3" w:rsidRPr="00E1241B">
        <w:rPr>
          <w:rFonts w:ascii="Gadugi" w:eastAsia="Gadugi" w:hAnsi="Gadugi" w:cs="Gadugi"/>
          <w:sz w:val="24"/>
          <w:szCs w:val="24"/>
        </w:rPr>
        <w:t xml:space="preserve">en contra de los herederos indeterminados y determinados de </w:t>
      </w:r>
      <w:r w:rsidR="000F3DC3" w:rsidRPr="00E1241B">
        <w:rPr>
          <w:rFonts w:ascii="Gadugi" w:eastAsia="Gadugi" w:hAnsi="Gadugi" w:cs="Gadugi"/>
          <w:b/>
          <w:sz w:val="24"/>
          <w:szCs w:val="24"/>
          <w:highlight w:val="white"/>
        </w:rPr>
        <w:t xml:space="preserve">Pastora López </w:t>
      </w:r>
      <w:proofErr w:type="spellStart"/>
      <w:r w:rsidR="000F3DC3" w:rsidRPr="00E1241B">
        <w:rPr>
          <w:rFonts w:ascii="Gadugi" w:eastAsia="Gadugi" w:hAnsi="Gadugi" w:cs="Gadugi"/>
          <w:b/>
          <w:sz w:val="24"/>
          <w:szCs w:val="24"/>
          <w:highlight w:val="white"/>
        </w:rPr>
        <w:t>López</w:t>
      </w:r>
      <w:proofErr w:type="spellEnd"/>
      <w:r w:rsidR="000F3DC3" w:rsidRPr="00E1241B">
        <w:rPr>
          <w:rFonts w:ascii="Gadugi" w:eastAsia="Gadugi" w:hAnsi="Gadugi" w:cs="Gadugi"/>
          <w:b/>
          <w:sz w:val="24"/>
          <w:szCs w:val="24"/>
          <w:highlight w:val="white"/>
        </w:rPr>
        <w:t xml:space="preserve">, Virginia, Gustavo, María Cristina y María Esperanza López Salazar; Guillermo, Norma Cecilia, Silvia y Blanca Victoria López Serna; Germán, Jaime y Mario López Valencia (Sucedido procesalmente por Julián López Londoño, Isabel Cristina López Londoño, Luis Carlos López Valencia y Diana Isabel López Valencia), Sebastián, María del Pilar, Natalia y Pablo Andrés Posada López, como herederos de María Lucía del Pilar López de Posada, los herederos indeterminados de esta y de Joaquín Orlando López Valencia y de Pascual López </w:t>
      </w:r>
      <w:proofErr w:type="spellStart"/>
      <w:r w:rsidR="000F3DC3" w:rsidRPr="00E1241B">
        <w:rPr>
          <w:rFonts w:ascii="Gadugi" w:eastAsia="Gadugi" w:hAnsi="Gadugi" w:cs="Gadugi"/>
          <w:b/>
          <w:sz w:val="24"/>
          <w:szCs w:val="24"/>
          <w:highlight w:val="white"/>
        </w:rPr>
        <w:t>López</w:t>
      </w:r>
      <w:proofErr w:type="spellEnd"/>
      <w:r w:rsidR="000F3DC3" w:rsidRPr="00E1241B">
        <w:rPr>
          <w:rFonts w:ascii="Gadugi" w:eastAsia="Gadugi" w:hAnsi="Gadugi" w:cs="Gadugi"/>
          <w:b/>
          <w:sz w:val="24"/>
          <w:szCs w:val="24"/>
          <w:highlight w:val="white"/>
        </w:rPr>
        <w:t xml:space="preserve">, los apelantes </w:t>
      </w:r>
      <w:r w:rsidR="000F3DC3" w:rsidRPr="00E1241B">
        <w:rPr>
          <w:rFonts w:ascii="Gadugi" w:eastAsia="Gadugi" w:hAnsi="Gadugi" w:cs="Gadugi"/>
          <w:sz w:val="24"/>
          <w:szCs w:val="24"/>
          <w:highlight w:val="white"/>
        </w:rPr>
        <w:t>y las personas indeterminadas que se creyeran con derecho para acudir al proceso</w:t>
      </w:r>
      <w:r w:rsidR="000F3DC3" w:rsidRPr="00E1241B">
        <w:rPr>
          <w:rFonts w:ascii="Gadugi" w:eastAsia="Gadugi" w:hAnsi="Gadugi" w:cs="Gadugi"/>
          <w:sz w:val="24"/>
          <w:szCs w:val="24"/>
        </w:rPr>
        <w:t>.</w:t>
      </w:r>
    </w:p>
    <w:p w14:paraId="2BBB0EE9" w14:textId="77777777" w:rsidR="000F3DC3"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p>
    <w:p w14:paraId="10ADCE89" w14:textId="59DC98FB" w:rsidR="00020018" w:rsidRPr="00E1241B" w:rsidRDefault="000F3DC3" w:rsidP="00E1241B">
      <w:pPr>
        <w:pBdr>
          <w:top w:val="nil"/>
          <w:left w:val="nil"/>
          <w:bottom w:val="nil"/>
          <w:right w:val="nil"/>
          <w:between w:val="nil"/>
        </w:pBdr>
        <w:tabs>
          <w:tab w:val="left" w:pos="3686"/>
          <w:tab w:val="left" w:pos="4536"/>
        </w:tabs>
        <w:jc w:val="both"/>
        <w:rPr>
          <w:rFonts w:ascii="Gadugi" w:eastAsia="Gadugi" w:hAnsi="Gadugi" w:cs="Gadugi"/>
          <w:sz w:val="24"/>
          <w:szCs w:val="24"/>
        </w:rPr>
      </w:pPr>
      <w:r w:rsidRPr="00E1241B">
        <w:rPr>
          <w:rFonts w:ascii="Gadugi" w:eastAsia="Gadugi" w:hAnsi="Gadugi" w:cs="Gadugi"/>
          <w:sz w:val="24"/>
          <w:szCs w:val="24"/>
        </w:rPr>
        <w:t xml:space="preserve">Costas de segunda instancia a cargo de los demandados </w:t>
      </w:r>
      <w:r w:rsidR="005836EA" w:rsidRPr="00E1241B">
        <w:rPr>
          <w:rFonts w:ascii="Gadugi" w:eastAsia="Gadugi" w:hAnsi="Gadugi" w:cs="Gadugi"/>
          <w:sz w:val="24"/>
          <w:szCs w:val="24"/>
        </w:rPr>
        <w:t xml:space="preserve">recurrentes </w:t>
      </w:r>
      <w:r w:rsidRPr="00E1241B">
        <w:rPr>
          <w:rFonts w:ascii="Gadugi" w:eastAsia="Gadugi" w:hAnsi="Gadugi" w:cs="Gadugi"/>
          <w:sz w:val="24"/>
          <w:szCs w:val="24"/>
        </w:rPr>
        <w:t>y a favor del demandante.</w:t>
      </w:r>
    </w:p>
    <w:p w14:paraId="66BFD71B" w14:textId="77777777" w:rsidR="00E1241B" w:rsidRPr="000C472B" w:rsidRDefault="00E1241B" w:rsidP="00E1241B">
      <w:pPr>
        <w:jc w:val="both"/>
        <w:rPr>
          <w:rFonts w:ascii="Gadugi" w:eastAsia="Georgia" w:hAnsi="Gadugi" w:cs="Georgia"/>
          <w:bCs/>
          <w:sz w:val="24"/>
          <w:szCs w:val="24"/>
        </w:rPr>
      </w:pPr>
    </w:p>
    <w:p w14:paraId="68AC024B" w14:textId="77777777" w:rsidR="00E1241B" w:rsidRPr="000C472B" w:rsidRDefault="00E1241B" w:rsidP="00E1241B">
      <w:pPr>
        <w:jc w:val="both"/>
        <w:rPr>
          <w:rFonts w:ascii="Gadugi" w:eastAsia="Georgia" w:hAnsi="Gadugi" w:cs="Georgia"/>
          <w:bCs/>
          <w:sz w:val="24"/>
          <w:szCs w:val="24"/>
        </w:rPr>
      </w:pPr>
      <w:r w:rsidRPr="000C472B">
        <w:rPr>
          <w:rFonts w:ascii="Gadugi" w:eastAsia="Georgia" w:hAnsi="Gadugi" w:cs="Georgia"/>
          <w:bCs/>
          <w:sz w:val="24"/>
          <w:szCs w:val="24"/>
        </w:rPr>
        <w:t>Notifíquese,</w:t>
      </w:r>
    </w:p>
    <w:p w14:paraId="29E0EF22"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3542B6CE"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r w:rsidRPr="000C472B">
        <w:rPr>
          <w:rFonts w:ascii="Gadugi" w:eastAsia="Malgun Gothic" w:hAnsi="Gadugi" w:cs="Estrangelo Edessa"/>
          <w:sz w:val="24"/>
          <w:szCs w:val="24"/>
          <w:lang w:eastAsia="en-US"/>
        </w:rPr>
        <w:tab/>
        <w:t xml:space="preserve">Los Magistrados, </w:t>
      </w:r>
    </w:p>
    <w:p w14:paraId="5B6BD34D"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52962257"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572C7BDA" w14:textId="77777777" w:rsidR="00E1241B" w:rsidRPr="000C472B" w:rsidRDefault="00E1241B" w:rsidP="00E1241B">
      <w:pPr>
        <w:ind w:left="993" w:firstLine="708"/>
        <w:jc w:val="both"/>
        <w:rPr>
          <w:rFonts w:ascii="Gadugi" w:eastAsia="Malgun Gothic" w:hAnsi="Gadugi" w:cs="Estrangelo Edessa"/>
          <w:b/>
          <w:bCs/>
          <w:sz w:val="24"/>
          <w:szCs w:val="24"/>
          <w:lang w:eastAsia="en-US"/>
        </w:rPr>
      </w:pPr>
      <w:r w:rsidRPr="000C472B">
        <w:rPr>
          <w:rFonts w:ascii="Gadugi" w:eastAsia="Malgun Gothic" w:hAnsi="Gadugi" w:cs="Estrangelo Edessa"/>
          <w:b/>
          <w:bCs/>
          <w:sz w:val="24"/>
          <w:szCs w:val="24"/>
          <w:lang w:eastAsia="en-US"/>
        </w:rPr>
        <w:t>JAIME ALBERTO SARAZA NARANJO</w:t>
      </w:r>
    </w:p>
    <w:p w14:paraId="60985154"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7902C830"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7AC6C70E" w14:textId="3C5031DC" w:rsidR="00E1241B" w:rsidRDefault="00E1241B" w:rsidP="00E1241B">
      <w:pPr>
        <w:ind w:left="993" w:firstLine="708"/>
        <w:jc w:val="both"/>
        <w:rPr>
          <w:rFonts w:ascii="Gadugi" w:eastAsia="Malgun Gothic" w:hAnsi="Gadugi" w:cs="Estrangelo Edessa"/>
          <w:b/>
          <w:bCs/>
          <w:sz w:val="24"/>
          <w:szCs w:val="24"/>
          <w:lang w:eastAsia="en-US"/>
        </w:rPr>
      </w:pPr>
      <w:r w:rsidRPr="000C472B">
        <w:rPr>
          <w:rFonts w:ascii="Gadugi" w:eastAsia="Malgun Gothic" w:hAnsi="Gadugi" w:cs="Estrangelo Edessa"/>
          <w:b/>
          <w:bCs/>
          <w:sz w:val="24"/>
          <w:szCs w:val="24"/>
          <w:lang w:eastAsia="en-US"/>
        </w:rPr>
        <w:t>CARLOS MAURICIO GARCÍA BARAJAS</w:t>
      </w:r>
    </w:p>
    <w:p w14:paraId="6B959BFC" w14:textId="3BE3B91B" w:rsidR="00E1241B" w:rsidRPr="00E1241B" w:rsidRDefault="00E1241B" w:rsidP="00E1241B">
      <w:pPr>
        <w:ind w:left="993" w:firstLine="708"/>
        <w:jc w:val="both"/>
        <w:rPr>
          <w:rFonts w:ascii="Gadugi" w:eastAsia="Malgun Gothic" w:hAnsi="Gadugi" w:cs="Estrangelo Edessa"/>
          <w:bCs/>
          <w:sz w:val="24"/>
          <w:szCs w:val="24"/>
          <w:lang w:eastAsia="en-US"/>
        </w:rPr>
      </w:pPr>
      <w:r>
        <w:rPr>
          <w:rFonts w:ascii="Gadugi" w:eastAsia="Malgun Gothic" w:hAnsi="Gadugi" w:cs="Estrangelo Edessa"/>
          <w:bCs/>
          <w:sz w:val="24"/>
          <w:szCs w:val="24"/>
          <w:lang w:eastAsia="en-US"/>
        </w:rPr>
        <w:t>Ausencia justificada</w:t>
      </w:r>
    </w:p>
    <w:p w14:paraId="4BCBCDB3"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649F3347" w14:textId="77777777" w:rsidR="00E1241B" w:rsidRPr="000C472B" w:rsidRDefault="00E1241B" w:rsidP="00E1241B">
      <w:pPr>
        <w:tabs>
          <w:tab w:val="left" w:pos="1701"/>
          <w:tab w:val="left" w:pos="2127"/>
          <w:tab w:val="left" w:pos="2977"/>
        </w:tabs>
        <w:jc w:val="both"/>
        <w:rPr>
          <w:rFonts w:ascii="Gadugi" w:eastAsia="Malgun Gothic" w:hAnsi="Gadugi" w:cs="Estrangelo Edessa"/>
          <w:sz w:val="24"/>
          <w:szCs w:val="24"/>
          <w:lang w:eastAsia="en-US"/>
        </w:rPr>
      </w:pPr>
    </w:p>
    <w:p w14:paraId="208E0C91" w14:textId="1EE5D3C9" w:rsidR="00020018" w:rsidRPr="00E1241B" w:rsidRDefault="00E1241B" w:rsidP="00E1241B">
      <w:pPr>
        <w:ind w:left="993" w:firstLine="708"/>
        <w:jc w:val="both"/>
        <w:rPr>
          <w:rFonts w:ascii="Gadugi" w:eastAsia="Malgun Gothic" w:hAnsi="Gadugi" w:cs="Estrangelo Edessa"/>
          <w:bCs/>
          <w:sz w:val="24"/>
          <w:szCs w:val="24"/>
          <w:lang w:eastAsia="en-US"/>
        </w:rPr>
      </w:pPr>
      <w:proofErr w:type="spellStart"/>
      <w:r w:rsidRPr="000C472B">
        <w:rPr>
          <w:rFonts w:ascii="Gadugi" w:eastAsia="Malgun Gothic" w:hAnsi="Gadugi" w:cs="Estrangelo Edessa"/>
          <w:b/>
          <w:bCs/>
          <w:sz w:val="24"/>
          <w:szCs w:val="24"/>
          <w:lang w:eastAsia="en-US"/>
        </w:rPr>
        <w:t>DUBERNEY</w:t>
      </w:r>
      <w:proofErr w:type="spellEnd"/>
      <w:r w:rsidRPr="000C472B">
        <w:rPr>
          <w:rFonts w:ascii="Gadugi" w:eastAsia="Malgun Gothic" w:hAnsi="Gadugi" w:cs="Estrangelo Edessa"/>
          <w:b/>
          <w:bCs/>
          <w:sz w:val="24"/>
          <w:szCs w:val="24"/>
          <w:lang w:eastAsia="en-US"/>
        </w:rPr>
        <w:t xml:space="preserve"> GRISALES HERRERA</w:t>
      </w:r>
    </w:p>
    <w:sectPr w:rsidR="00020018" w:rsidRPr="00E1241B" w:rsidSect="007136C1">
      <w:footerReference w:type="default" r:id="rId13"/>
      <w:pgSz w:w="12242" w:h="18722" w:code="258"/>
      <w:pgMar w:top="1814" w:right="1304" w:bottom="1191" w:left="1871" w:header="567" w:footer="567"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B44DF0" w16cex:dateUtc="2023-11-20T13:33:24.135Z"/>
  <w16cex:commentExtensible w16cex:durableId="46ED5BB1" w16cex:dateUtc="2023-11-21T15:25:02.50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491D" w14:textId="77777777" w:rsidR="00C12DC7" w:rsidRDefault="00C12DC7">
      <w:pPr>
        <w:spacing w:line="240" w:lineRule="auto"/>
      </w:pPr>
      <w:r>
        <w:separator/>
      </w:r>
    </w:p>
  </w:endnote>
  <w:endnote w:type="continuationSeparator" w:id="0">
    <w:p w14:paraId="263595A1" w14:textId="77777777" w:rsidR="00C12DC7" w:rsidRDefault="00C12DC7">
      <w:pPr>
        <w:spacing w:line="240" w:lineRule="auto"/>
      </w:pPr>
      <w:r>
        <w:continuationSeparator/>
      </w:r>
    </w:p>
  </w:endnote>
  <w:endnote w:type="continuationNotice" w:id="1">
    <w:p w14:paraId="292E16F2" w14:textId="77777777" w:rsidR="00C12DC7" w:rsidRDefault="00C12D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852261"/>
      <w:docPartObj>
        <w:docPartGallery w:val="Page Numbers (Bottom of Page)"/>
        <w:docPartUnique/>
      </w:docPartObj>
    </w:sdtPr>
    <w:sdtEndPr/>
    <w:sdtContent>
      <w:p w14:paraId="14907021" w14:textId="760FC5F4" w:rsidR="009B3006" w:rsidRDefault="009B3006">
        <w:pPr>
          <w:pStyle w:val="Piedepgina"/>
          <w:jc w:val="right"/>
        </w:pPr>
        <w:r>
          <w:fldChar w:fldCharType="begin"/>
        </w:r>
        <w:r>
          <w:instrText>PAGE   \* MERGEFORMAT</w:instrText>
        </w:r>
        <w:r>
          <w:fldChar w:fldCharType="separate"/>
        </w:r>
        <w:r w:rsidR="00C660D9" w:rsidRPr="00C660D9">
          <w:rPr>
            <w:noProof/>
            <w:lang w:val="es-ES"/>
          </w:rPr>
          <w:t>18</w:t>
        </w:r>
        <w:r>
          <w:fldChar w:fldCharType="end"/>
        </w:r>
      </w:p>
    </w:sdtContent>
  </w:sdt>
  <w:p w14:paraId="70135CA1" w14:textId="77777777" w:rsidR="009B3006" w:rsidRDefault="009B30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1821F" w14:textId="77777777" w:rsidR="00C12DC7" w:rsidRDefault="00C12DC7">
      <w:pPr>
        <w:spacing w:line="240" w:lineRule="auto"/>
      </w:pPr>
      <w:r>
        <w:separator/>
      </w:r>
    </w:p>
  </w:footnote>
  <w:footnote w:type="continuationSeparator" w:id="0">
    <w:p w14:paraId="06425D2D" w14:textId="77777777" w:rsidR="00C12DC7" w:rsidRDefault="00C12DC7">
      <w:pPr>
        <w:spacing w:line="240" w:lineRule="auto"/>
      </w:pPr>
      <w:r>
        <w:continuationSeparator/>
      </w:r>
    </w:p>
  </w:footnote>
  <w:footnote w:type="continuationNotice" w:id="1">
    <w:p w14:paraId="1FBDE2B7" w14:textId="77777777" w:rsidR="00C12DC7" w:rsidRDefault="00C12DC7">
      <w:pPr>
        <w:spacing w:line="240" w:lineRule="auto"/>
      </w:pPr>
    </w:p>
  </w:footnote>
  <w:footnote w:id="2">
    <w:p w14:paraId="6AE9F02C" w14:textId="77777777"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w:t>
      </w:r>
      <w:proofErr w:type="spellStart"/>
      <w:r w:rsidRPr="001D6A78">
        <w:rPr>
          <w:color w:val="000000"/>
          <w:sz w:val="18"/>
          <w:szCs w:val="18"/>
        </w:rPr>
        <w:t>01PrimeraInstancia</w:t>
      </w:r>
      <w:proofErr w:type="spellEnd"/>
      <w:r w:rsidRPr="001D6A78">
        <w:rPr>
          <w:color w:val="000000"/>
          <w:sz w:val="18"/>
          <w:szCs w:val="18"/>
        </w:rPr>
        <w:t xml:space="preserve">, </w:t>
      </w:r>
      <w:proofErr w:type="spellStart"/>
      <w:r w:rsidRPr="001D6A78">
        <w:rPr>
          <w:color w:val="000000"/>
          <w:sz w:val="18"/>
          <w:szCs w:val="18"/>
        </w:rPr>
        <w:t>01CuadernoPrincipal</w:t>
      </w:r>
      <w:proofErr w:type="spellEnd"/>
      <w:r w:rsidRPr="001D6A78">
        <w:rPr>
          <w:color w:val="000000"/>
          <w:sz w:val="18"/>
          <w:szCs w:val="18"/>
        </w:rPr>
        <w:t xml:space="preserve">, </w:t>
      </w:r>
      <w:proofErr w:type="spellStart"/>
      <w:r w:rsidRPr="001D6A78">
        <w:rPr>
          <w:color w:val="000000"/>
          <w:sz w:val="18"/>
          <w:szCs w:val="18"/>
        </w:rPr>
        <w:t>arch</w:t>
      </w:r>
      <w:proofErr w:type="spellEnd"/>
      <w:r w:rsidRPr="001D6A78">
        <w:rPr>
          <w:color w:val="000000"/>
          <w:sz w:val="18"/>
          <w:szCs w:val="18"/>
        </w:rPr>
        <w:t xml:space="preserve">. 01, págs. 140 – 146.  </w:t>
      </w:r>
      <w:r w:rsidRPr="001D6A78">
        <w:rPr>
          <w:sz w:val="18"/>
          <w:szCs w:val="18"/>
        </w:rPr>
        <w:t xml:space="preserve"> </w:t>
      </w:r>
    </w:p>
  </w:footnote>
  <w:footnote w:id="3">
    <w:p w14:paraId="7630F076" w14:textId="74731F33"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Ibídem., archivo 01, pág. 143, hechos 21 y 22 de la demanda</w:t>
      </w:r>
    </w:p>
  </w:footnote>
  <w:footnote w:id="4">
    <w:p w14:paraId="2BAFB89A" w14:textId="77777777"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sz w:val="18"/>
          <w:szCs w:val="18"/>
        </w:rPr>
        <w:t xml:space="preserve"> </w:t>
      </w:r>
      <w:proofErr w:type="spellStart"/>
      <w:r w:rsidRPr="001D6A78">
        <w:rPr>
          <w:color w:val="000000"/>
          <w:sz w:val="18"/>
          <w:szCs w:val="18"/>
        </w:rPr>
        <w:t>01PrimeraInstancia</w:t>
      </w:r>
      <w:proofErr w:type="spellEnd"/>
      <w:r w:rsidRPr="001D6A78">
        <w:rPr>
          <w:color w:val="000000"/>
          <w:sz w:val="18"/>
          <w:szCs w:val="18"/>
        </w:rPr>
        <w:t xml:space="preserve">, </w:t>
      </w:r>
      <w:proofErr w:type="spellStart"/>
      <w:r w:rsidRPr="001D6A78">
        <w:rPr>
          <w:color w:val="000000"/>
          <w:sz w:val="18"/>
          <w:szCs w:val="18"/>
        </w:rPr>
        <w:t>01CuadernoPrincipal</w:t>
      </w:r>
      <w:proofErr w:type="spellEnd"/>
      <w:r w:rsidRPr="001D6A78">
        <w:rPr>
          <w:color w:val="000000"/>
          <w:sz w:val="18"/>
          <w:szCs w:val="18"/>
        </w:rPr>
        <w:t xml:space="preserve">, </w:t>
      </w:r>
      <w:proofErr w:type="spellStart"/>
      <w:r w:rsidRPr="001D6A78">
        <w:rPr>
          <w:color w:val="000000"/>
          <w:sz w:val="18"/>
          <w:szCs w:val="18"/>
        </w:rPr>
        <w:t>arch</w:t>
      </w:r>
      <w:proofErr w:type="spellEnd"/>
      <w:r w:rsidRPr="001D6A78">
        <w:rPr>
          <w:color w:val="000000"/>
          <w:sz w:val="18"/>
          <w:szCs w:val="18"/>
        </w:rPr>
        <w:t xml:space="preserve">. 01, pág. 146.  </w:t>
      </w:r>
      <w:r w:rsidRPr="001D6A78">
        <w:rPr>
          <w:sz w:val="18"/>
          <w:szCs w:val="18"/>
        </w:rPr>
        <w:t xml:space="preserve"> </w:t>
      </w:r>
    </w:p>
  </w:footnote>
  <w:footnote w:id="5">
    <w:p w14:paraId="0F49C616" w14:textId="411BCA52"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Ibídem., págs. 165 y 166 </w:t>
      </w:r>
    </w:p>
  </w:footnote>
  <w:footnote w:id="6">
    <w:p w14:paraId="21AE09AC" w14:textId="64101538"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Ib., arch. 53 </w:t>
      </w:r>
    </w:p>
  </w:footnote>
  <w:footnote w:id="7">
    <w:p w14:paraId="2CB5D823" w14:textId="46D40DDF"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Ib., arch. 63 </w:t>
      </w:r>
    </w:p>
  </w:footnote>
  <w:footnote w:id="8">
    <w:p w14:paraId="4C76324A" w14:textId="41F2613F" w:rsidR="00AE0906" w:rsidRPr="001D6A78" w:rsidRDefault="00AE0906"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w:t>
      </w:r>
      <w:proofErr w:type="spellStart"/>
      <w:r w:rsidRPr="001D6A78">
        <w:rPr>
          <w:sz w:val="18"/>
          <w:szCs w:val="18"/>
        </w:rPr>
        <w:t>01PrimeraInstancia</w:t>
      </w:r>
      <w:proofErr w:type="spellEnd"/>
      <w:r w:rsidRPr="001D6A78">
        <w:rPr>
          <w:sz w:val="18"/>
          <w:szCs w:val="18"/>
        </w:rPr>
        <w:t>, C-</w:t>
      </w:r>
      <w:proofErr w:type="spellStart"/>
      <w:r w:rsidRPr="001D6A78">
        <w:rPr>
          <w:sz w:val="18"/>
          <w:szCs w:val="18"/>
        </w:rPr>
        <w:t>01Principal</w:t>
      </w:r>
      <w:proofErr w:type="spellEnd"/>
      <w:r w:rsidRPr="001D6A78">
        <w:rPr>
          <w:sz w:val="18"/>
          <w:szCs w:val="18"/>
        </w:rPr>
        <w:t xml:space="preserve">, </w:t>
      </w:r>
      <w:proofErr w:type="spellStart"/>
      <w:r w:rsidRPr="001D6A78">
        <w:rPr>
          <w:sz w:val="18"/>
          <w:szCs w:val="18"/>
        </w:rPr>
        <w:t>arch</w:t>
      </w:r>
      <w:proofErr w:type="spellEnd"/>
      <w:r w:rsidRPr="001D6A78">
        <w:rPr>
          <w:sz w:val="18"/>
          <w:szCs w:val="18"/>
        </w:rPr>
        <w:t>. 01, págs. 219 – 223 – Ibídem., arch. 01, págs. 314 – 318.</w:t>
      </w:r>
    </w:p>
  </w:footnote>
  <w:footnote w:id="9">
    <w:p w14:paraId="47C12230" w14:textId="2C31AE99"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Ibídem., págs. 219 – 223. </w:t>
      </w:r>
    </w:p>
  </w:footnote>
  <w:footnote w:id="10">
    <w:p w14:paraId="73E30A56" w14:textId="53A93783"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C-01PrimeraInstancia, C-02CuadernoExcepcionesPrevias, págs. 3 – 4 – Ibídem., págs. 7 – 8</w:t>
      </w:r>
    </w:p>
  </w:footnote>
  <w:footnote w:id="11">
    <w:p w14:paraId="67ED2363" w14:textId="196E1E94"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C-</w:t>
      </w:r>
      <w:proofErr w:type="spellStart"/>
      <w:r w:rsidRPr="001D6A78">
        <w:rPr>
          <w:sz w:val="18"/>
          <w:szCs w:val="18"/>
        </w:rPr>
        <w:t>01PrimeraInstancia</w:t>
      </w:r>
      <w:proofErr w:type="spellEnd"/>
      <w:r w:rsidRPr="001D6A78">
        <w:rPr>
          <w:sz w:val="18"/>
          <w:szCs w:val="18"/>
        </w:rPr>
        <w:t>, C-</w:t>
      </w:r>
      <w:proofErr w:type="spellStart"/>
      <w:r w:rsidRPr="001D6A78">
        <w:rPr>
          <w:sz w:val="18"/>
          <w:szCs w:val="18"/>
        </w:rPr>
        <w:t>01Principal</w:t>
      </w:r>
      <w:proofErr w:type="spellEnd"/>
      <w:r w:rsidRPr="001D6A78">
        <w:rPr>
          <w:sz w:val="18"/>
          <w:szCs w:val="18"/>
        </w:rPr>
        <w:t xml:space="preserve">, </w:t>
      </w:r>
      <w:proofErr w:type="spellStart"/>
      <w:r w:rsidRPr="001D6A78">
        <w:rPr>
          <w:sz w:val="18"/>
          <w:szCs w:val="18"/>
        </w:rPr>
        <w:t>arch</w:t>
      </w:r>
      <w:proofErr w:type="spellEnd"/>
      <w:r w:rsidRPr="001D6A78">
        <w:rPr>
          <w:sz w:val="18"/>
          <w:szCs w:val="18"/>
        </w:rPr>
        <w:t xml:space="preserve">. 01, págs. 290 – 304 </w:t>
      </w:r>
    </w:p>
  </w:footnote>
  <w:footnote w:id="12">
    <w:p w14:paraId="6FCBB37A" w14:textId="34668A77"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01PrimeraInstancia, C-02CuadernoExcepcionesPrevias, págs. 5 - 6</w:t>
      </w:r>
    </w:p>
  </w:footnote>
  <w:footnote w:id="13">
    <w:p w14:paraId="305BA22B" w14:textId="3C55D773"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 xml:space="preserve">01PrimeraInstancia, </w:t>
      </w:r>
      <w:proofErr w:type="gramStart"/>
      <w:r w:rsidRPr="001D6A78">
        <w:rPr>
          <w:sz w:val="18"/>
          <w:szCs w:val="18"/>
          <w:lang w:val="es-ES"/>
        </w:rPr>
        <w:t>02.CuadernoExcepcionesPrevias</w:t>
      </w:r>
      <w:proofErr w:type="gramEnd"/>
      <w:r w:rsidRPr="001D6A78">
        <w:rPr>
          <w:sz w:val="18"/>
          <w:szCs w:val="18"/>
          <w:lang w:val="es-ES"/>
        </w:rPr>
        <w:t>, 01CuadernoDeExcepcionesPrevias, p. 16</w:t>
      </w:r>
    </w:p>
  </w:footnote>
  <w:footnote w:id="14">
    <w:p w14:paraId="5750E83D" w14:textId="2DF23A91"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 xml:space="preserve">01PrimeraInstancia, </w:t>
      </w:r>
      <w:proofErr w:type="gramStart"/>
      <w:r w:rsidRPr="001D6A78">
        <w:rPr>
          <w:sz w:val="18"/>
          <w:szCs w:val="18"/>
          <w:lang w:val="es-ES"/>
        </w:rPr>
        <w:t>02.CuadernoExcepcionesPrevias</w:t>
      </w:r>
      <w:proofErr w:type="gramEnd"/>
      <w:r w:rsidRPr="001D6A78">
        <w:rPr>
          <w:sz w:val="18"/>
          <w:szCs w:val="18"/>
          <w:lang w:val="es-ES"/>
        </w:rPr>
        <w:t>, 08.ResuelveRecursoDeReposición, p. 7</w:t>
      </w:r>
    </w:p>
  </w:footnote>
  <w:footnote w:id="15">
    <w:p w14:paraId="57318996" w14:textId="790D2483"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w:t>
      </w:r>
      <w:r w:rsidRPr="001D6A78">
        <w:rPr>
          <w:sz w:val="18"/>
          <w:szCs w:val="18"/>
        </w:rPr>
        <w:t xml:space="preserve">C-01PrimeraInstancia, C-01Principal, </w:t>
      </w:r>
      <w:r w:rsidRPr="001D6A78">
        <w:rPr>
          <w:color w:val="000000"/>
          <w:sz w:val="18"/>
          <w:szCs w:val="18"/>
        </w:rPr>
        <w:t xml:space="preserve">23ContestacionCurador </w:t>
      </w:r>
    </w:p>
  </w:footnote>
  <w:footnote w:id="16">
    <w:p w14:paraId="2278154A" w14:textId="0E2A479F" w:rsidR="00AE0906" w:rsidRPr="001D6A78" w:rsidRDefault="00AE0906" w:rsidP="001D6A78">
      <w:pPr>
        <w:pBdr>
          <w:top w:val="nil"/>
          <w:left w:val="nil"/>
          <w:bottom w:val="nil"/>
          <w:right w:val="nil"/>
          <w:between w:val="nil"/>
        </w:pBdr>
        <w:spacing w:line="240" w:lineRule="auto"/>
        <w:jc w:val="both"/>
        <w:rPr>
          <w:color w:val="000000"/>
          <w:sz w:val="18"/>
          <w:szCs w:val="18"/>
        </w:rPr>
      </w:pPr>
      <w:r w:rsidRPr="001D6A78">
        <w:rPr>
          <w:sz w:val="18"/>
          <w:szCs w:val="18"/>
          <w:vertAlign w:val="superscript"/>
        </w:rPr>
        <w:footnoteRef/>
      </w:r>
      <w:r w:rsidRPr="001D6A78">
        <w:rPr>
          <w:color w:val="000000"/>
          <w:sz w:val="18"/>
          <w:szCs w:val="18"/>
        </w:rPr>
        <w:t xml:space="preserve"> Ibídem., 42ContestacionDemanda </w:t>
      </w:r>
    </w:p>
  </w:footnote>
  <w:footnote w:id="17">
    <w:p w14:paraId="40A04739" w14:textId="4920241A"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 Arch. 75 </w:t>
      </w:r>
    </w:p>
  </w:footnote>
  <w:footnote w:id="18">
    <w:p w14:paraId="4E1F4B22" w14:textId="77777777"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C-</w:t>
      </w:r>
      <w:proofErr w:type="spellStart"/>
      <w:r w:rsidRPr="001D6A78">
        <w:rPr>
          <w:sz w:val="18"/>
          <w:szCs w:val="18"/>
          <w:lang w:val="es-ES"/>
        </w:rPr>
        <w:t>01PrimeraInstancia</w:t>
      </w:r>
      <w:proofErr w:type="spellEnd"/>
      <w:r w:rsidRPr="001D6A78">
        <w:rPr>
          <w:sz w:val="18"/>
          <w:szCs w:val="18"/>
          <w:lang w:val="es-ES"/>
        </w:rPr>
        <w:t>, C-</w:t>
      </w:r>
      <w:proofErr w:type="spellStart"/>
      <w:r w:rsidRPr="001D6A78">
        <w:rPr>
          <w:sz w:val="18"/>
          <w:szCs w:val="18"/>
          <w:lang w:val="es-ES"/>
        </w:rPr>
        <w:t>01CuadernoPrincipal</w:t>
      </w:r>
      <w:proofErr w:type="spellEnd"/>
      <w:r w:rsidRPr="001D6A78">
        <w:rPr>
          <w:sz w:val="18"/>
          <w:szCs w:val="18"/>
          <w:lang w:val="es-ES"/>
        </w:rPr>
        <w:t xml:space="preserve">, </w:t>
      </w:r>
      <w:proofErr w:type="spellStart"/>
      <w:r w:rsidRPr="001D6A78">
        <w:rPr>
          <w:sz w:val="18"/>
          <w:szCs w:val="18"/>
          <w:lang w:val="es-ES"/>
        </w:rPr>
        <w:t>arch</w:t>
      </w:r>
      <w:proofErr w:type="spellEnd"/>
      <w:r w:rsidRPr="001D6A78">
        <w:rPr>
          <w:sz w:val="18"/>
          <w:szCs w:val="18"/>
          <w:lang w:val="es-ES"/>
        </w:rPr>
        <w:t xml:space="preserve">. 78. </w:t>
      </w:r>
    </w:p>
  </w:footnote>
  <w:footnote w:id="19">
    <w:p w14:paraId="10DFAAC6" w14:textId="77777777"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C-</w:t>
      </w:r>
      <w:proofErr w:type="spellStart"/>
      <w:r w:rsidRPr="001D6A78">
        <w:rPr>
          <w:sz w:val="18"/>
          <w:szCs w:val="18"/>
          <w:lang w:val="es-ES"/>
        </w:rPr>
        <w:t>02SegundaInstancia</w:t>
      </w:r>
      <w:proofErr w:type="spellEnd"/>
      <w:r w:rsidRPr="001D6A78">
        <w:rPr>
          <w:sz w:val="18"/>
          <w:szCs w:val="18"/>
          <w:lang w:val="es-ES"/>
        </w:rPr>
        <w:t>, C-</w:t>
      </w:r>
      <w:proofErr w:type="spellStart"/>
      <w:r w:rsidRPr="001D6A78">
        <w:rPr>
          <w:sz w:val="18"/>
          <w:szCs w:val="18"/>
          <w:lang w:val="es-ES"/>
        </w:rPr>
        <w:t>02C5ApelSentencia</w:t>
      </w:r>
      <w:proofErr w:type="spellEnd"/>
      <w:r w:rsidRPr="001D6A78">
        <w:rPr>
          <w:sz w:val="18"/>
          <w:szCs w:val="18"/>
          <w:lang w:val="es-ES"/>
        </w:rPr>
        <w:t xml:space="preserve">, </w:t>
      </w:r>
      <w:proofErr w:type="spellStart"/>
      <w:r w:rsidRPr="001D6A78">
        <w:rPr>
          <w:sz w:val="18"/>
          <w:szCs w:val="18"/>
          <w:lang w:val="es-ES"/>
        </w:rPr>
        <w:t>arch</w:t>
      </w:r>
      <w:proofErr w:type="spellEnd"/>
      <w:r w:rsidRPr="001D6A78">
        <w:rPr>
          <w:sz w:val="18"/>
          <w:szCs w:val="18"/>
          <w:lang w:val="es-ES"/>
        </w:rPr>
        <w:t>. 07.</w:t>
      </w:r>
    </w:p>
  </w:footnote>
  <w:footnote w:id="20">
    <w:p w14:paraId="7A223379" w14:textId="77777777" w:rsidR="00AE0906" w:rsidRPr="001D6A78" w:rsidRDefault="00AE0906"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01PrimeraInstancia, </w:t>
      </w:r>
      <w:proofErr w:type="gramStart"/>
      <w:r w:rsidRPr="001D6A78">
        <w:rPr>
          <w:sz w:val="18"/>
          <w:szCs w:val="18"/>
          <w:lang w:val="es-MX"/>
        </w:rPr>
        <w:t>02.cuadernoExcepcionesPrevias</w:t>
      </w:r>
      <w:proofErr w:type="gramEnd"/>
      <w:r w:rsidRPr="001D6A78">
        <w:rPr>
          <w:sz w:val="18"/>
          <w:szCs w:val="18"/>
          <w:lang w:val="es-MX"/>
        </w:rPr>
        <w:t>, 08ResuelveRecursoDeReposicion</w:t>
      </w:r>
    </w:p>
  </w:footnote>
  <w:footnote w:id="21">
    <w:p w14:paraId="0D1D9D79" w14:textId="77777777"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TSP. SCF. Auto del 4 de diciembre del 2012 rad. 2010-00243-01 M.P. Jaime Alberto Saraza Naranjo.</w:t>
      </w:r>
    </w:p>
  </w:footnote>
  <w:footnote w:id="22">
    <w:p w14:paraId="442EEFD1" w14:textId="77777777"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TSP. SCF Auto de agosto 29 de 2012, expediente 2012-00039-01 M.P. Jaime Alberto Saraza Naranjo.</w:t>
      </w:r>
    </w:p>
  </w:footnote>
  <w:footnote w:id="23">
    <w:p w14:paraId="37070B41" w14:textId="23E96F53"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C01PrimeraInstancia, 02CuadernoExcepcionesPrevias, 01Cuaderno, 01CuadernoExcepcionesPrevias, p. 10</w:t>
      </w:r>
    </w:p>
  </w:footnote>
  <w:footnote w:id="24">
    <w:p w14:paraId="5A33DA40" w14:textId="694A1054"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w:t>
      </w:r>
      <w:r w:rsidRPr="001D6A78">
        <w:rPr>
          <w:sz w:val="18"/>
          <w:szCs w:val="18"/>
          <w:lang w:val="es-ES"/>
        </w:rPr>
        <w:t>C-01PrimeraInstancia, C-01CuadernoPrincipal, págs. 52 – 63.</w:t>
      </w:r>
    </w:p>
  </w:footnote>
  <w:footnote w:id="25">
    <w:p w14:paraId="5D8E202B" w14:textId="5C7F73CE"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Ibídem., </w:t>
      </w:r>
      <w:r w:rsidRPr="001D6A78">
        <w:rPr>
          <w:sz w:val="18"/>
          <w:szCs w:val="18"/>
          <w:lang w:val="es-ES"/>
        </w:rPr>
        <w:t xml:space="preserve">Págs. 15-30 </w:t>
      </w:r>
    </w:p>
  </w:footnote>
  <w:footnote w:id="26">
    <w:p w14:paraId="3488E1ED" w14:textId="43A539C2"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 xml:space="preserve">Pág. 25  </w:t>
      </w:r>
    </w:p>
  </w:footnote>
  <w:footnote w:id="27">
    <w:p w14:paraId="324AEC7E" w14:textId="28710C83"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 xml:space="preserve">Pág. 311 </w:t>
      </w:r>
    </w:p>
  </w:footnote>
  <w:footnote w:id="28">
    <w:p w14:paraId="53DBF86A" w14:textId="4484CC2A"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 xml:space="preserve">Pág. 362 </w:t>
      </w:r>
    </w:p>
  </w:footnote>
  <w:footnote w:id="29">
    <w:p w14:paraId="18C12ADC" w14:textId="10C2B3B8"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Págs. 368 - 376</w:t>
      </w:r>
    </w:p>
  </w:footnote>
  <w:footnote w:id="30">
    <w:p w14:paraId="419DA198" w14:textId="5E4F29D9"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Pág. 404 </w:t>
      </w:r>
    </w:p>
  </w:footnote>
  <w:footnote w:id="31">
    <w:p w14:paraId="347CD290" w14:textId="17006EFE"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01PrimeraInstancia, C-01CuadernoPrincipal, archivo 11</w:t>
      </w:r>
    </w:p>
  </w:footnote>
  <w:footnote w:id="32">
    <w:p w14:paraId="7A50E5F4" w14:textId="41B38072"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01PrimeraInstancia, C-01CuadernoPrincipal, archivo 02</w:t>
      </w:r>
    </w:p>
  </w:footnote>
  <w:footnote w:id="33">
    <w:p w14:paraId="630C193D" w14:textId="0F13D95E"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w:t>
      </w:r>
      <w:proofErr w:type="spellStart"/>
      <w:r w:rsidRPr="001D6A78">
        <w:rPr>
          <w:sz w:val="18"/>
          <w:szCs w:val="18"/>
          <w:lang w:val="es-ES"/>
        </w:rPr>
        <w:t>bídem</w:t>
      </w:r>
      <w:proofErr w:type="spellEnd"/>
      <w:r w:rsidRPr="001D6A78">
        <w:rPr>
          <w:sz w:val="18"/>
          <w:szCs w:val="18"/>
          <w:lang w:val="es-ES"/>
        </w:rPr>
        <w:t>., archivo 36</w:t>
      </w:r>
    </w:p>
  </w:footnote>
  <w:footnote w:id="34">
    <w:p w14:paraId="792FCFA3" w14:textId="38837E50"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w:t>
      </w:r>
      <w:proofErr w:type="spellStart"/>
      <w:r w:rsidRPr="001D6A78">
        <w:rPr>
          <w:sz w:val="18"/>
          <w:szCs w:val="18"/>
          <w:lang w:val="es-ES"/>
        </w:rPr>
        <w:t>bídem</w:t>
      </w:r>
      <w:proofErr w:type="spellEnd"/>
      <w:r w:rsidRPr="001D6A78">
        <w:rPr>
          <w:sz w:val="18"/>
          <w:szCs w:val="18"/>
          <w:lang w:val="es-ES"/>
        </w:rPr>
        <w:t xml:space="preserve">., archivo 67 </w:t>
      </w:r>
    </w:p>
  </w:footnote>
  <w:footnote w:id="35">
    <w:p w14:paraId="13B9A9C9" w14:textId="2C6D7B02"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Arch. 56</w:t>
      </w:r>
    </w:p>
  </w:footnote>
  <w:footnote w:id="36">
    <w:p w14:paraId="729A2AD6" w14:textId="77777777" w:rsidR="00AE0906" w:rsidRPr="001D6A78" w:rsidRDefault="00AE0906" w:rsidP="001D6A78">
      <w:pPr>
        <w:pStyle w:val="Textonotapie"/>
        <w:jc w:val="both"/>
        <w:rPr>
          <w:sz w:val="18"/>
          <w:szCs w:val="18"/>
        </w:rPr>
      </w:pPr>
      <w:r w:rsidRPr="001D6A78">
        <w:rPr>
          <w:rStyle w:val="Refdenotaalpie"/>
          <w:sz w:val="18"/>
          <w:szCs w:val="18"/>
          <w:lang w:val="es-ES"/>
        </w:rPr>
        <w:footnoteRef/>
      </w:r>
      <w:r w:rsidRPr="001D6A78">
        <w:rPr>
          <w:sz w:val="18"/>
          <w:szCs w:val="18"/>
          <w:lang w:val="es-ES"/>
        </w:rPr>
        <w:t xml:space="preserve"> </w:t>
      </w:r>
      <w:r w:rsidRPr="001D6A78">
        <w:rPr>
          <w:sz w:val="18"/>
          <w:szCs w:val="18"/>
        </w:rPr>
        <w:t>Sentencia del 19 de junio de 2018, radicado 2011-00193-01</w:t>
      </w:r>
    </w:p>
  </w:footnote>
  <w:footnote w:id="37">
    <w:p w14:paraId="1F6A3646" w14:textId="77777777" w:rsidR="00AE0906" w:rsidRPr="001D6A78" w:rsidRDefault="00AE0906" w:rsidP="001D6A78">
      <w:pPr>
        <w:pStyle w:val="Textonotapie"/>
        <w:jc w:val="both"/>
        <w:rPr>
          <w:sz w:val="18"/>
          <w:szCs w:val="18"/>
        </w:rPr>
      </w:pPr>
      <w:r w:rsidRPr="001D6A78">
        <w:rPr>
          <w:rStyle w:val="Refdenotaalpie"/>
          <w:sz w:val="18"/>
          <w:szCs w:val="18"/>
          <w:lang w:val="es-ES"/>
        </w:rPr>
        <w:footnoteRef/>
      </w:r>
      <w:r w:rsidRPr="001D6A78">
        <w:rPr>
          <w:sz w:val="18"/>
          <w:szCs w:val="18"/>
          <w:lang w:val="es-ES"/>
        </w:rPr>
        <w:t xml:space="preserve"> </w:t>
      </w:r>
      <w:r w:rsidRPr="001D6A78">
        <w:rPr>
          <w:sz w:val="18"/>
          <w:szCs w:val="18"/>
        </w:rPr>
        <w:t xml:space="preserve">Sentencia de 19 de junio de 2020, radicado 2019-00046-01, </w:t>
      </w:r>
      <w:proofErr w:type="spellStart"/>
      <w:r w:rsidRPr="001D6A78">
        <w:rPr>
          <w:sz w:val="18"/>
          <w:szCs w:val="18"/>
        </w:rPr>
        <w:t>M.P</w:t>
      </w:r>
      <w:proofErr w:type="spellEnd"/>
      <w:r w:rsidRPr="001D6A78">
        <w:rPr>
          <w:sz w:val="18"/>
          <w:szCs w:val="18"/>
        </w:rPr>
        <w:t xml:space="preserve">. </w:t>
      </w:r>
      <w:proofErr w:type="spellStart"/>
      <w:r w:rsidRPr="001D6A78">
        <w:rPr>
          <w:sz w:val="18"/>
          <w:szCs w:val="18"/>
        </w:rPr>
        <w:t>Duberney</w:t>
      </w:r>
      <w:proofErr w:type="spellEnd"/>
      <w:r w:rsidRPr="001D6A78">
        <w:rPr>
          <w:sz w:val="18"/>
          <w:szCs w:val="18"/>
        </w:rPr>
        <w:t xml:space="preserve"> Grisales Herrera</w:t>
      </w:r>
    </w:p>
  </w:footnote>
  <w:footnote w:id="38">
    <w:p w14:paraId="48B0EFE0" w14:textId="77777777" w:rsidR="00AE0906" w:rsidRPr="001D6A78" w:rsidRDefault="00AE0906" w:rsidP="001D6A78">
      <w:pPr>
        <w:pStyle w:val="Textonotapie"/>
        <w:jc w:val="both"/>
        <w:rPr>
          <w:sz w:val="18"/>
          <w:szCs w:val="18"/>
          <w:lang w:val="es-419"/>
        </w:rPr>
      </w:pPr>
      <w:r w:rsidRPr="001D6A78">
        <w:rPr>
          <w:rStyle w:val="Refdenotaalpie"/>
          <w:sz w:val="18"/>
          <w:szCs w:val="18"/>
          <w:lang w:val="es-ES"/>
        </w:rPr>
        <w:footnoteRef/>
      </w:r>
      <w:r w:rsidRPr="001D6A78">
        <w:rPr>
          <w:sz w:val="18"/>
          <w:szCs w:val="18"/>
          <w:lang w:val="es-ES"/>
        </w:rPr>
        <w:t xml:space="preserve"> STC9587-2017, STC15273-2019, STC11328-2019 y STC100-2019.</w:t>
      </w:r>
    </w:p>
  </w:footnote>
  <w:footnote w:id="39">
    <w:p w14:paraId="46EF330D" w14:textId="77777777" w:rsidR="00AE0906" w:rsidRPr="001D6A78" w:rsidRDefault="00AE0906" w:rsidP="001D6A78">
      <w:pPr>
        <w:pStyle w:val="Textonotapie"/>
        <w:jc w:val="both"/>
        <w:rPr>
          <w:sz w:val="18"/>
          <w:szCs w:val="18"/>
          <w:lang w:val="es-419"/>
        </w:rPr>
      </w:pPr>
      <w:r w:rsidRPr="001D6A78">
        <w:rPr>
          <w:rStyle w:val="Refdenotaalpie"/>
          <w:sz w:val="18"/>
          <w:szCs w:val="18"/>
          <w:lang w:val="es-ES"/>
        </w:rPr>
        <w:footnoteRef/>
      </w:r>
      <w:r w:rsidRPr="001D6A78">
        <w:rPr>
          <w:sz w:val="18"/>
          <w:szCs w:val="18"/>
          <w:lang w:val="es-ES"/>
        </w:rPr>
        <w:t xml:space="preserve"> SC2351-2019</w:t>
      </w:r>
    </w:p>
  </w:footnote>
  <w:footnote w:id="40">
    <w:p w14:paraId="10758C82" w14:textId="4A3D4E3F"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01PrimeraInstancia, C-01CuadernoPrincipal, págs. 136-137 </w:t>
      </w:r>
    </w:p>
  </w:footnote>
  <w:footnote w:id="41">
    <w:p w14:paraId="0EEC7F22" w14:textId="53CFD4B0" w:rsidR="3AECD52B" w:rsidRPr="001D6A78" w:rsidRDefault="3AECD52B" w:rsidP="001D6A78">
      <w:pPr>
        <w:spacing w:line="240" w:lineRule="auto"/>
        <w:ind w:right="51"/>
        <w:jc w:val="both"/>
        <w:rPr>
          <w:sz w:val="18"/>
          <w:szCs w:val="18"/>
        </w:rPr>
      </w:pPr>
      <w:r w:rsidRPr="001D6A78">
        <w:rPr>
          <w:sz w:val="18"/>
          <w:szCs w:val="18"/>
          <w:vertAlign w:val="superscript"/>
        </w:rPr>
        <w:footnoteRef/>
      </w:r>
      <w:r w:rsidR="13CCD1E8" w:rsidRPr="001D6A78">
        <w:rPr>
          <w:sz w:val="18"/>
          <w:szCs w:val="18"/>
        </w:rPr>
        <w:t xml:space="preserve"> Por ejemplo, en la sentencia del </w:t>
      </w:r>
      <w:r w:rsidR="13CCD1E8" w:rsidRPr="001D6A78">
        <w:rPr>
          <w:rFonts w:eastAsia="Segoe UI"/>
          <w:sz w:val="18"/>
          <w:szCs w:val="18"/>
        </w:rPr>
        <w:t xml:space="preserve">31-08-2018, radicado 2016-00818-01. MP. </w:t>
      </w:r>
      <w:proofErr w:type="spellStart"/>
      <w:r w:rsidR="13CCD1E8" w:rsidRPr="001D6A78">
        <w:rPr>
          <w:rFonts w:eastAsia="Segoe UI"/>
          <w:sz w:val="18"/>
          <w:szCs w:val="18"/>
        </w:rPr>
        <w:t>Duberney</w:t>
      </w:r>
      <w:proofErr w:type="spellEnd"/>
      <w:r w:rsidR="13CCD1E8" w:rsidRPr="001D6A78">
        <w:rPr>
          <w:rFonts w:eastAsia="Segoe UI"/>
          <w:sz w:val="18"/>
          <w:szCs w:val="18"/>
        </w:rPr>
        <w:t xml:space="preserve"> Grisales Herrera, y más recientemente, en las sentencias </w:t>
      </w:r>
      <w:r w:rsidR="13CCD1E8" w:rsidRPr="001D6A78">
        <w:rPr>
          <w:rFonts w:eastAsia="Century"/>
          <w:sz w:val="18"/>
          <w:szCs w:val="18"/>
        </w:rPr>
        <w:t>SF-0002-2023;</w:t>
      </w:r>
      <w:r w:rsidR="13CCD1E8" w:rsidRPr="001D6A78">
        <w:rPr>
          <w:rFonts w:eastAsia="Century"/>
          <w:sz w:val="18"/>
          <w:szCs w:val="18"/>
          <w:lang w:val="es"/>
        </w:rPr>
        <w:t xml:space="preserve"> SF-0012-2022.</w:t>
      </w:r>
    </w:p>
    <w:p w14:paraId="40B9AD45" w14:textId="4498C030" w:rsidR="3AECD52B" w:rsidRPr="001D6A78" w:rsidRDefault="3AECD52B" w:rsidP="001D6A78">
      <w:pPr>
        <w:spacing w:line="240" w:lineRule="auto"/>
        <w:jc w:val="both"/>
        <w:rPr>
          <w:sz w:val="18"/>
          <w:szCs w:val="18"/>
        </w:rPr>
      </w:pPr>
    </w:p>
  </w:footnote>
  <w:footnote w:id="42">
    <w:p w14:paraId="6330BA67" w14:textId="22AF9098" w:rsidR="00222461" w:rsidRPr="001D6A78" w:rsidRDefault="00222461"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w:t>
      </w:r>
      <w:proofErr w:type="spellStart"/>
      <w:r w:rsidRPr="001D6A78">
        <w:rPr>
          <w:rFonts w:eastAsia="Georgia"/>
          <w:sz w:val="18"/>
          <w:szCs w:val="18"/>
        </w:rPr>
        <w:t>DEVIS</w:t>
      </w:r>
      <w:proofErr w:type="spellEnd"/>
      <w:r w:rsidRPr="001D6A78">
        <w:rPr>
          <w:rFonts w:eastAsia="Georgia"/>
          <w:sz w:val="18"/>
          <w:szCs w:val="18"/>
        </w:rPr>
        <w:t xml:space="preserve"> E, Hernando. Ob. cit., p.484.</w:t>
      </w:r>
    </w:p>
  </w:footnote>
  <w:footnote w:id="43">
    <w:p w14:paraId="43237F7F" w14:textId="768AEAFA" w:rsidR="00222461" w:rsidRPr="001D6A78" w:rsidRDefault="00222461"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w:t>
      </w:r>
      <w:r w:rsidR="00133CA2" w:rsidRPr="001D6A78">
        <w:rPr>
          <w:rFonts w:eastAsia="Georgia"/>
          <w:sz w:val="18"/>
          <w:szCs w:val="18"/>
          <w:lang w:val="es"/>
        </w:rPr>
        <w:t>Instituto Colombiano de Derecho Procesal</w:t>
      </w:r>
      <w:r w:rsidRPr="001D6A78">
        <w:rPr>
          <w:rFonts w:eastAsia="Georgia"/>
          <w:sz w:val="18"/>
          <w:szCs w:val="18"/>
          <w:lang w:val="es"/>
        </w:rPr>
        <w:t xml:space="preserve">. </w:t>
      </w:r>
      <w:r w:rsidRPr="001D6A78">
        <w:rPr>
          <w:rFonts w:eastAsia="Georgia"/>
          <w:sz w:val="18"/>
          <w:szCs w:val="18"/>
        </w:rPr>
        <w:t>XXXVII Congreso de derecho procesal, Medellín, Adriana López M., ob. cit.</w:t>
      </w:r>
    </w:p>
  </w:footnote>
  <w:footnote w:id="44">
    <w:p w14:paraId="74CD8CEA" w14:textId="6684FF1A" w:rsidR="00222461" w:rsidRPr="001D6A78" w:rsidRDefault="00222461"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w:t>
      </w:r>
      <w:r w:rsidR="00133CA2" w:rsidRPr="001D6A78">
        <w:rPr>
          <w:rFonts w:eastAsia="Georgia"/>
          <w:sz w:val="18"/>
          <w:szCs w:val="18"/>
          <w:lang w:val="es"/>
        </w:rPr>
        <w:t xml:space="preserve">Instituto Colombiano de Derecho Procesal. </w:t>
      </w:r>
      <w:r w:rsidR="00133CA2" w:rsidRPr="001D6A78">
        <w:rPr>
          <w:rFonts w:eastAsia="Georgia"/>
          <w:sz w:val="18"/>
          <w:szCs w:val="18"/>
        </w:rPr>
        <w:t xml:space="preserve">XXXVII Congreso de derecho procesal, Medellín, ob. cit. y </w:t>
      </w:r>
      <w:r w:rsidR="00133CA2" w:rsidRPr="001D6A78">
        <w:rPr>
          <w:rFonts w:eastAsia="Georgia"/>
          <w:sz w:val="18"/>
          <w:szCs w:val="18"/>
          <w:lang w:val="es"/>
        </w:rPr>
        <w:t>ÁLVAREZ G., Marco A. Ensayos sobre el Código General del Proceso,</w:t>
      </w:r>
      <w:r w:rsidR="00133CA2" w:rsidRPr="001D6A78">
        <w:rPr>
          <w:rFonts w:eastAsia="Georgia"/>
          <w:sz w:val="18"/>
          <w:szCs w:val="18"/>
        </w:rPr>
        <w:t xml:space="preserve"> volumen III, medios probatorios, Bogotá DC, Temis SA, </w:t>
      </w:r>
      <w:r w:rsidR="00133CA2" w:rsidRPr="001D6A78">
        <w:rPr>
          <w:rFonts w:eastAsia="Georgia"/>
          <w:sz w:val="18"/>
          <w:szCs w:val="18"/>
          <w:lang w:val="es"/>
        </w:rPr>
        <w:t>2017, p.16.</w:t>
      </w:r>
    </w:p>
  </w:footnote>
  <w:footnote w:id="45">
    <w:p w14:paraId="0C492BFA" w14:textId="430F52A6" w:rsidR="00133CA2" w:rsidRPr="001D6A78" w:rsidRDefault="00133CA2" w:rsidP="001D6A78">
      <w:pPr>
        <w:pStyle w:val="Textonotapie"/>
        <w:jc w:val="both"/>
        <w:rPr>
          <w:sz w:val="18"/>
          <w:szCs w:val="18"/>
          <w:lang w:val="es-MX"/>
        </w:rPr>
      </w:pPr>
      <w:r w:rsidRPr="001D6A78">
        <w:rPr>
          <w:rStyle w:val="Refdenotaalpie"/>
          <w:sz w:val="18"/>
          <w:szCs w:val="18"/>
        </w:rPr>
        <w:footnoteRef/>
      </w:r>
      <w:r w:rsidRPr="001D6A78">
        <w:rPr>
          <w:sz w:val="18"/>
          <w:szCs w:val="18"/>
        </w:rPr>
        <w:t xml:space="preserve"> </w:t>
      </w:r>
      <w:r w:rsidRPr="001D6A78">
        <w:rPr>
          <w:rFonts w:eastAsia="Georgia"/>
          <w:sz w:val="18"/>
          <w:szCs w:val="18"/>
          <w:lang w:val="es"/>
        </w:rPr>
        <w:t>CSJ. STC-13366-2021 y STC-9197-2022.</w:t>
      </w:r>
    </w:p>
  </w:footnote>
  <w:footnote w:id="46">
    <w:p w14:paraId="2ED214C7" w14:textId="77777777" w:rsidR="000837D6" w:rsidRPr="001D6A78" w:rsidRDefault="000837D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proofErr w:type="spellStart"/>
      <w:r w:rsidRPr="001D6A78">
        <w:rPr>
          <w:sz w:val="18"/>
          <w:szCs w:val="18"/>
          <w:lang w:val="es-ES"/>
        </w:rPr>
        <w:t>01PrimeraInstancia</w:t>
      </w:r>
      <w:proofErr w:type="spellEnd"/>
      <w:r w:rsidRPr="001D6A78">
        <w:rPr>
          <w:sz w:val="18"/>
          <w:szCs w:val="18"/>
          <w:lang w:val="es-ES"/>
        </w:rPr>
        <w:t>, C-</w:t>
      </w:r>
      <w:proofErr w:type="spellStart"/>
      <w:r w:rsidRPr="001D6A78">
        <w:rPr>
          <w:sz w:val="18"/>
          <w:szCs w:val="18"/>
          <w:lang w:val="es-ES"/>
        </w:rPr>
        <w:t>01CuadernoPrincipal</w:t>
      </w:r>
      <w:proofErr w:type="spellEnd"/>
      <w:r w:rsidRPr="001D6A78">
        <w:rPr>
          <w:sz w:val="18"/>
          <w:szCs w:val="18"/>
          <w:lang w:val="es-ES"/>
        </w:rPr>
        <w:t xml:space="preserve">, </w:t>
      </w:r>
      <w:proofErr w:type="spellStart"/>
      <w:r w:rsidRPr="001D6A78">
        <w:rPr>
          <w:sz w:val="18"/>
          <w:szCs w:val="18"/>
          <w:lang w:val="es-ES"/>
        </w:rPr>
        <w:t>arch</w:t>
      </w:r>
      <w:proofErr w:type="spellEnd"/>
      <w:r w:rsidRPr="001D6A78">
        <w:rPr>
          <w:sz w:val="18"/>
          <w:szCs w:val="18"/>
          <w:lang w:val="es-ES"/>
        </w:rPr>
        <w:t xml:space="preserve">. 75, enlace parte2.  </w:t>
      </w:r>
    </w:p>
  </w:footnote>
  <w:footnote w:id="47">
    <w:p w14:paraId="4D6A8881" w14:textId="30C4E185"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enlace parte 2, minuto 32:40, archivo 75</w:t>
      </w:r>
    </w:p>
  </w:footnote>
  <w:footnote w:id="48">
    <w:p w14:paraId="1A677227" w14:textId="50AB79B1"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Ibídem., m</w:t>
      </w:r>
      <w:proofErr w:type="spellStart"/>
      <w:r w:rsidRPr="001D6A78">
        <w:rPr>
          <w:sz w:val="18"/>
          <w:szCs w:val="18"/>
          <w:lang w:val="es-ES"/>
        </w:rPr>
        <w:t>inuto</w:t>
      </w:r>
      <w:proofErr w:type="spellEnd"/>
      <w:r w:rsidRPr="001D6A78">
        <w:rPr>
          <w:sz w:val="18"/>
          <w:szCs w:val="18"/>
          <w:lang w:val="es-ES"/>
        </w:rPr>
        <w:t xml:space="preserve"> 36:40 </w:t>
      </w:r>
    </w:p>
  </w:footnote>
  <w:footnote w:id="49">
    <w:p w14:paraId="563AA4B7" w14:textId="5F1BA7DE"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m</w:t>
      </w:r>
      <w:proofErr w:type="spellStart"/>
      <w:r w:rsidRPr="001D6A78">
        <w:rPr>
          <w:sz w:val="18"/>
          <w:szCs w:val="18"/>
          <w:lang w:val="es-ES"/>
        </w:rPr>
        <w:t>inuto</w:t>
      </w:r>
      <w:proofErr w:type="spellEnd"/>
      <w:r w:rsidRPr="001D6A78">
        <w:rPr>
          <w:sz w:val="18"/>
          <w:szCs w:val="18"/>
          <w:lang w:val="es-ES"/>
        </w:rPr>
        <w:t xml:space="preserve"> 38:26 </w:t>
      </w:r>
    </w:p>
  </w:footnote>
  <w:footnote w:id="50">
    <w:p w14:paraId="7F5C94A9" w14:textId="7D207A57"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enlace parte 3, minuto </w:t>
      </w:r>
      <w:r w:rsidRPr="001D6A78">
        <w:rPr>
          <w:sz w:val="18"/>
          <w:szCs w:val="18"/>
          <w:lang w:val="es-ES"/>
        </w:rPr>
        <w:t xml:space="preserve">41:15, archivo 75 </w:t>
      </w:r>
    </w:p>
  </w:footnote>
  <w:footnote w:id="51">
    <w:p w14:paraId="5E4DAAEF" w14:textId="3154E67F"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Ib., </w:t>
      </w:r>
      <w:r w:rsidRPr="001D6A78">
        <w:rPr>
          <w:sz w:val="18"/>
          <w:szCs w:val="18"/>
          <w:lang w:val="es-ES"/>
        </w:rPr>
        <w:t xml:space="preserve">Minuto 10:30 </w:t>
      </w:r>
    </w:p>
  </w:footnote>
  <w:footnote w:id="52">
    <w:p w14:paraId="49750965" w14:textId="49C556EB"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01PrimeraInstancia, C-01CuadernoPrincipal, enlace parte 4, archivo 75</w:t>
      </w:r>
    </w:p>
  </w:footnote>
  <w:footnote w:id="53">
    <w:p w14:paraId="578EFB9D" w14:textId="1B7C06C5"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01PrimeraInstancia, C-01CuadernoPrincipal, enlace parte 5, archivo 75.</w:t>
      </w:r>
    </w:p>
  </w:footnote>
  <w:footnote w:id="54">
    <w:p w14:paraId="5D4AC7DA" w14:textId="2F99D999"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enlace parte 6, archivo 75</w:t>
      </w:r>
    </w:p>
  </w:footnote>
  <w:footnote w:id="55">
    <w:p w14:paraId="44402CFF" w14:textId="69FAC9FF"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Arch. 75, enlace parte 7.</w:t>
      </w:r>
    </w:p>
  </w:footnote>
  <w:footnote w:id="56">
    <w:p w14:paraId="6BE1E44B" w14:textId="0CA41C05"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 arch. 77, minuto 10:34. </w:t>
      </w:r>
    </w:p>
  </w:footnote>
  <w:footnote w:id="57">
    <w:p w14:paraId="0FF6581C" w14:textId="129BCCF6"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01PrimeraInstancia, C-01CuadernoPrincipal, págs. 35-49</w:t>
      </w:r>
    </w:p>
  </w:footnote>
  <w:footnote w:id="58">
    <w:p w14:paraId="789EE6F0" w14:textId="5B242097"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Ibídem., Pág. 51 </w:t>
      </w:r>
    </w:p>
  </w:footnote>
  <w:footnote w:id="59">
    <w:p w14:paraId="030E6AF2" w14:textId="7F15FD4F"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 Pág. 83 </w:t>
      </w:r>
    </w:p>
  </w:footnote>
  <w:footnote w:id="60">
    <w:p w14:paraId="5B296CCD" w14:textId="763F3FB5"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 Pág. 86 </w:t>
      </w:r>
    </w:p>
  </w:footnote>
  <w:footnote w:id="61">
    <w:p w14:paraId="5F3FD8BA" w14:textId="2A71C384"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 Págs. 91-97 </w:t>
      </w:r>
    </w:p>
  </w:footnote>
  <w:footnote w:id="62">
    <w:p w14:paraId="6879C74F" w14:textId="2EBDBD2D"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w:t>
      </w:r>
      <w:r w:rsidRPr="001D6A78">
        <w:rPr>
          <w:sz w:val="18"/>
          <w:szCs w:val="18"/>
          <w:lang w:val="es-ES"/>
        </w:rPr>
        <w:t xml:space="preserve">Pág. 29, </w:t>
      </w:r>
      <w:r w:rsidRPr="001D6A78">
        <w:rPr>
          <w:sz w:val="18"/>
          <w:szCs w:val="18"/>
        </w:rPr>
        <w:t xml:space="preserve">Arch. 01. </w:t>
      </w:r>
    </w:p>
  </w:footnote>
  <w:footnote w:id="63">
    <w:p w14:paraId="1F46F479" w14:textId="383461E6"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01PrimeraInstancia, C-01CuadernoPrincipal, </w:t>
      </w:r>
      <w:r w:rsidRPr="001D6A78">
        <w:rPr>
          <w:sz w:val="18"/>
          <w:szCs w:val="18"/>
          <w:lang w:val="es-ES"/>
        </w:rPr>
        <w:t>Minuto 09:20, a</w:t>
      </w:r>
      <w:proofErr w:type="spellStart"/>
      <w:r w:rsidRPr="001D6A78">
        <w:rPr>
          <w:sz w:val="18"/>
          <w:szCs w:val="18"/>
        </w:rPr>
        <w:t>rch</w:t>
      </w:r>
      <w:proofErr w:type="spellEnd"/>
      <w:r w:rsidRPr="001D6A78">
        <w:rPr>
          <w:sz w:val="18"/>
          <w:szCs w:val="18"/>
        </w:rPr>
        <w:t>. 75, enlace parte 6.</w:t>
      </w:r>
    </w:p>
  </w:footnote>
  <w:footnote w:id="64">
    <w:p w14:paraId="587095B8" w14:textId="0CDEC4E2" w:rsidR="00AE0906" w:rsidRPr="001D6A78" w:rsidRDefault="00AE0906" w:rsidP="001D6A78">
      <w:pPr>
        <w:pStyle w:val="Textonotapie"/>
        <w:jc w:val="both"/>
        <w:rPr>
          <w:sz w:val="18"/>
          <w:szCs w:val="18"/>
        </w:rPr>
      </w:pPr>
      <w:r w:rsidRPr="001D6A78">
        <w:rPr>
          <w:rStyle w:val="Refdenotaalpie"/>
          <w:sz w:val="18"/>
          <w:szCs w:val="18"/>
        </w:rPr>
        <w:footnoteRef/>
      </w:r>
      <w:r w:rsidRPr="001D6A78">
        <w:rPr>
          <w:sz w:val="18"/>
          <w:szCs w:val="18"/>
        </w:rPr>
        <w:t xml:space="preserve"> ibidem., Pág. 282 </w:t>
      </w:r>
    </w:p>
  </w:footnote>
  <w:footnote w:id="65">
    <w:p w14:paraId="474BD43C" w14:textId="3250A429"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Ib. Pág. 246</w:t>
      </w:r>
    </w:p>
  </w:footnote>
  <w:footnote w:id="66">
    <w:p w14:paraId="7CAAE7F4" w14:textId="7101370C"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lang w:val="es-ES"/>
        </w:rPr>
        <w:t xml:space="preserve"> 01PrimeraInstancia, C-01CuadernoPrincipal, Págs. 251 y 252</w:t>
      </w:r>
    </w:p>
  </w:footnote>
  <w:footnote w:id="67">
    <w:p w14:paraId="5C0366A0" w14:textId="105C4B9D" w:rsidR="00AE0906" w:rsidRPr="001D6A78" w:rsidRDefault="00AE0906" w:rsidP="001D6A78">
      <w:pPr>
        <w:pStyle w:val="Textonotapie"/>
        <w:jc w:val="both"/>
        <w:rPr>
          <w:sz w:val="18"/>
          <w:szCs w:val="18"/>
          <w:lang w:val="es-ES"/>
        </w:rPr>
      </w:pPr>
      <w:r w:rsidRPr="001D6A78">
        <w:rPr>
          <w:rStyle w:val="Refdenotaalpie"/>
          <w:sz w:val="18"/>
          <w:szCs w:val="18"/>
        </w:rPr>
        <w:footnoteRef/>
      </w:r>
      <w:r w:rsidRPr="001D6A78">
        <w:rPr>
          <w:sz w:val="18"/>
          <w:szCs w:val="18"/>
        </w:rPr>
        <w:t xml:space="preserve"> </w:t>
      </w:r>
      <w:r w:rsidRPr="001D6A78">
        <w:rPr>
          <w:sz w:val="18"/>
          <w:szCs w:val="18"/>
          <w:lang w:val="es-ES"/>
        </w:rPr>
        <w:t>Ibídem., pág. 191 y 192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A53"/>
    <w:multiLevelType w:val="multilevel"/>
    <w:tmpl w:val="678AB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9A5F4B"/>
    <w:multiLevelType w:val="multilevel"/>
    <w:tmpl w:val="F118C57A"/>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E75141"/>
    <w:multiLevelType w:val="multilevel"/>
    <w:tmpl w:val="E040A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18"/>
    <w:rsid w:val="000042A4"/>
    <w:rsid w:val="00004C7B"/>
    <w:rsid w:val="00020018"/>
    <w:rsid w:val="0002052C"/>
    <w:rsid w:val="00036629"/>
    <w:rsid w:val="000408D7"/>
    <w:rsid w:val="00040D91"/>
    <w:rsid w:val="00045E0E"/>
    <w:rsid w:val="0004716A"/>
    <w:rsid w:val="00050A7F"/>
    <w:rsid w:val="0005240F"/>
    <w:rsid w:val="00065F06"/>
    <w:rsid w:val="00073DF6"/>
    <w:rsid w:val="000837D6"/>
    <w:rsid w:val="000B5EDA"/>
    <w:rsid w:val="000B6162"/>
    <w:rsid w:val="000B7E6A"/>
    <w:rsid w:val="000D2BBD"/>
    <w:rsid w:val="000E49E7"/>
    <w:rsid w:val="000E7B3C"/>
    <w:rsid w:val="000F3DC3"/>
    <w:rsid w:val="000F5115"/>
    <w:rsid w:val="000F7536"/>
    <w:rsid w:val="00111B22"/>
    <w:rsid w:val="00127358"/>
    <w:rsid w:val="00130DE8"/>
    <w:rsid w:val="00132487"/>
    <w:rsid w:val="00133CA2"/>
    <w:rsid w:val="00154F0F"/>
    <w:rsid w:val="00160044"/>
    <w:rsid w:val="001646A9"/>
    <w:rsid w:val="00164747"/>
    <w:rsid w:val="00180EE3"/>
    <w:rsid w:val="00181CCF"/>
    <w:rsid w:val="00182E90"/>
    <w:rsid w:val="00183C10"/>
    <w:rsid w:val="00184E6B"/>
    <w:rsid w:val="00190351"/>
    <w:rsid w:val="0019321D"/>
    <w:rsid w:val="001959BC"/>
    <w:rsid w:val="001A0C0B"/>
    <w:rsid w:val="001A216D"/>
    <w:rsid w:val="001A2A6F"/>
    <w:rsid w:val="001C273E"/>
    <w:rsid w:val="001C7442"/>
    <w:rsid w:val="001D1AC5"/>
    <w:rsid w:val="001D6A78"/>
    <w:rsid w:val="001E4501"/>
    <w:rsid w:val="001E4720"/>
    <w:rsid w:val="001E7468"/>
    <w:rsid w:val="001F2177"/>
    <w:rsid w:val="001F3A65"/>
    <w:rsid w:val="001F6000"/>
    <w:rsid w:val="0020052B"/>
    <w:rsid w:val="00202566"/>
    <w:rsid w:val="00202CB1"/>
    <w:rsid w:val="00213E61"/>
    <w:rsid w:val="00222461"/>
    <w:rsid w:val="00227788"/>
    <w:rsid w:val="00242BC9"/>
    <w:rsid w:val="00243712"/>
    <w:rsid w:val="00243B86"/>
    <w:rsid w:val="00251A24"/>
    <w:rsid w:val="00270092"/>
    <w:rsid w:val="0028136D"/>
    <w:rsid w:val="002A4942"/>
    <w:rsid w:val="002E76F5"/>
    <w:rsid w:val="002F340F"/>
    <w:rsid w:val="002F5D8B"/>
    <w:rsid w:val="003406CF"/>
    <w:rsid w:val="003423A9"/>
    <w:rsid w:val="003468B0"/>
    <w:rsid w:val="00356773"/>
    <w:rsid w:val="00373C91"/>
    <w:rsid w:val="00377215"/>
    <w:rsid w:val="0039535F"/>
    <w:rsid w:val="00397A4E"/>
    <w:rsid w:val="00397D56"/>
    <w:rsid w:val="003B44DC"/>
    <w:rsid w:val="003C2605"/>
    <w:rsid w:val="003C64FD"/>
    <w:rsid w:val="003C7ACF"/>
    <w:rsid w:val="003D0D08"/>
    <w:rsid w:val="003D0D56"/>
    <w:rsid w:val="003D79C7"/>
    <w:rsid w:val="003E2064"/>
    <w:rsid w:val="003E362A"/>
    <w:rsid w:val="003F6AA7"/>
    <w:rsid w:val="00404723"/>
    <w:rsid w:val="00405138"/>
    <w:rsid w:val="00415D0A"/>
    <w:rsid w:val="004246C2"/>
    <w:rsid w:val="00424E1E"/>
    <w:rsid w:val="00441796"/>
    <w:rsid w:val="00443744"/>
    <w:rsid w:val="00452056"/>
    <w:rsid w:val="00474327"/>
    <w:rsid w:val="00493539"/>
    <w:rsid w:val="00496AE2"/>
    <w:rsid w:val="004A48DD"/>
    <w:rsid w:val="004B05EA"/>
    <w:rsid w:val="004B0C24"/>
    <w:rsid w:val="004B2A60"/>
    <w:rsid w:val="004B3A48"/>
    <w:rsid w:val="004B57D4"/>
    <w:rsid w:val="004C295C"/>
    <w:rsid w:val="004C3C09"/>
    <w:rsid w:val="004C49B3"/>
    <w:rsid w:val="004F17D0"/>
    <w:rsid w:val="005103E7"/>
    <w:rsid w:val="00522B9C"/>
    <w:rsid w:val="00530975"/>
    <w:rsid w:val="005317D9"/>
    <w:rsid w:val="00532378"/>
    <w:rsid w:val="00532D1E"/>
    <w:rsid w:val="0053355C"/>
    <w:rsid w:val="0055121E"/>
    <w:rsid w:val="00556C5A"/>
    <w:rsid w:val="0056276C"/>
    <w:rsid w:val="0057088D"/>
    <w:rsid w:val="00570C3E"/>
    <w:rsid w:val="00573D98"/>
    <w:rsid w:val="005836EA"/>
    <w:rsid w:val="00585F4B"/>
    <w:rsid w:val="00590359"/>
    <w:rsid w:val="005A49C1"/>
    <w:rsid w:val="005A7E94"/>
    <w:rsid w:val="005C1657"/>
    <w:rsid w:val="005C736F"/>
    <w:rsid w:val="005D473E"/>
    <w:rsid w:val="005D71AF"/>
    <w:rsid w:val="005E5C12"/>
    <w:rsid w:val="005F705E"/>
    <w:rsid w:val="0060485A"/>
    <w:rsid w:val="00613D3D"/>
    <w:rsid w:val="00622BEB"/>
    <w:rsid w:val="00624DD5"/>
    <w:rsid w:val="00633ABB"/>
    <w:rsid w:val="00633E59"/>
    <w:rsid w:val="00636C52"/>
    <w:rsid w:val="00642889"/>
    <w:rsid w:val="0064512C"/>
    <w:rsid w:val="00645BED"/>
    <w:rsid w:val="00646BC8"/>
    <w:rsid w:val="0066024B"/>
    <w:rsid w:val="00682CDF"/>
    <w:rsid w:val="006846B8"/>
    <w:rsid w:val="00691CA6"/>
    <w:rsid w:val="006A07B9"/>
    <w:rsid w:val="006A0E2D"/>
    <w:rsid w:val="006A1DBD"/>
    <w:rsid w:val="006A2069"/>
    <w:rsid w:val="006B2EF5"/>
    <w:rsid w:val="006C2AE8"/>
    <w:rsid w:val="006C4561"/>
    <w:rsid w:val="006C4857"/>
    <w:rsid w:val="006D1CBA"/>
    <w:rsid w:val="006D4487"/>
    <w:rsid w:val="006E0297"/>
    <w:rsid w:val="00711F4F"/>
    <w:rsid w:val="007136C1"/>
    <w:rsid w:val="00720875"/>
    <w:rsid w:val="0072225A"/>
    <w:rsid w:val="007244D7"/>
    <w:rsid w:val="00724B6E"/>
    <w:rsid w:val="007646A2"/>
    <w:rsid w:val="00770AD6"/>
    <w:rsid w:val="0077655B"/>
    <w:rsid w:val="00781AA0"/>
    <w:rsid w:val="007835E7"/>
    <w:rsid w:val="00785785"/>
    <w:rsid w:val="00790F96"/>
    <w:rsid w:val="00797D9D"/>
    <w:rsid w:val="007A2E35"/>
    <w:rsid w:val="007B195D"/>
    <w:rsid w:val="007B29A3"/>
    <w:rsid w:val="007B6184"/>
    <w:rsid w:val="007C0B4B"/>
    <w:rsid w:val="007D045A"/>
    <w:rsid w:val="007D10C3"/>
    <w:rsid w:val="007D3F8C"/>
    <w:rsid w:val="007E2323"/>
    <w:rsid w:val="007F19DE"/>
    <w:rsid w:val="008051DB"/>
    <w:rsid w:val="00807112"/>
    <w:rsid w:val="00815C57"/>
    <w:rsid w:val="008164E4"/>
    <w:rsid w:val="008222D6"/>
    <w:rsid w:val="00836FFC"/>
    <w:rsid w:val="00844BA9"/>
    <w:rsid w:val="0084577B"/>
    <w:rsid w:val="008462CA"/>
    <w:rsid w:val="008462CD"/>
    <w:rsid w:val="0084796F"/>
    <w:rsid w:val="00850A01"/>
    <w:rsid w:val="008526A2"/>
    <w:rsid w:val="00862B7C"/>
    <w:rsid w:val="00863399"/>
    <w:rsid w:val="00872752"/>
    <w:rsid w:val="0088366D"/>
    <w:rsid w:val="00893AED"/>
    <w:rsid w:val="00894CC5"/>
    <w:rsid w:val="008A70F3"/>
    <w:rsid w:val="008F21EF"/>
    <w:rsid w:val="00901CBE"/>
    <w:rsid w:val="0090797C"/>
    <w:rsid w:val="00914FAA"/>
    <w:rsid w:val="00920DF4"/>
    <w:rsid w:val="00923904"/>
    <w:rsid w:val="00936111"/>
    <w:rsid w:val="009427D7"/>
    <w:rsid w:val="009616CB"/>
    <w:rsid w:val="00965829"/>
    <w:rsid w:val="009754C5"/>
    <w:rsid w:val="00983C05"/>
    <w:rsid w:val="0098676D"/>
    <w:rsid w:val="00997BA4"/>
    <w:rsid w:val="009A07DA"/>
    <w:rsid w:val="009A58DA"/>
    <w:rsid w:val="009A7B20"/>
    <w:rsid w:val="009B25B0"/>
    <w:rsid w:val="009B3006"/>
    <w:rsid w:val="009B5442"/>
    <w:rsid w:val="009C597F"/>
    <w:rsid w:val="009C5C8E"/>
    <w:rsid w:val="009D1A77"/>
    <w:rsid w:val="009D7B51"/>
    <w:rsid w:val="009E12A3"/>
    <w:rsid w:val="009E35D9"/>
    <w:rsid w:val="009F2CA1"/>
    <w:rsid w:val="00A008FD"/>
    <w:rsid w:val="00A03F23"/>
    <w:rsid w:val="00A10351"/>
    <w:rsid w:val="00A119F5"/>
    <w:rsid w:val="00A1548D"/>
    <w:rsid w:val="00A15523"/>
    <w:rsid w:val="00A2146A"/>
    <w:rsid w:val="00A2245D"/>
    <w:rsid w:val="00A22CFB"/>
    <w:rsid w:val="00A24DFA"/>
    <w:rsid w:val="00A36DE7"/>
    <w:rsid w:val="00A402A9"/>
    <w:rsid w:val="00A43FBF"/>
    <w:rsid w:val="00A612FB"/>
    <w:rsid w:val="00A62EBA"/>
    <w:rsid w:val="00A721AF"/>
    <w:rsid w:val="00A7480A"/>
    <w:rsid w:val="00AB4E44"/>
    <w:rsid w:val="00AC7B74"/>
    <w:rsid w:val="00AD035D"/>
    <w:rsid w:val="00AD1879"/>
    <w:rsid w:val="00AD26C0"/>
    <w:rsid w:val="00AD57B6"/>
    <w:rsid w:val="00AD74F1"/>
    <w:rsid w:val="00AE0906"/>
    <w:rsid w:val="00AE20A5"/>
    <w:rsid w:val="00AE630F"/>
    <w:rsid w:val="00AE658E"/>
    <w:rsid w:val="00AE70C8"/>
    <w:rsid w:val="00AF1CE3"/>
    <w:rsid w:val="00AF2C85"/>
    <w:rsid w:val="00B24BEC"/>
    <w:rsid w:val="00B27F36"/>
    <w:rsid w:val="00B4133E"/>
    <w:rsid w:val="00B52EE0"/>
    <w:rsid w:val="00B648EC"/>
    <w:rsid w:val="00B6508D"/>
    <w:rsid w:val="00B65724"/>
    <w:rsid w:val="00B72FD1"/>
    <w:rsid w:val="00B73487"/>
    <w:rsid w:val="00B8068F"/>
    <w:rsid w:val="00B912B8"/>
    <w:rsid w:val="00B9673B"/>
    <w:rsid w:val="00B97D7B"/>
    <w:rsid w:val="00BA7917"/>
    <w:rsid w:val="00BB0F1A"/>
    <w:rsid w:val="00BE2D98"/>
    <w:rsid w:val="00BE4CE7"/>
    <w:rsid w:val="00BF3602"/>
    <w:rsid w:val="00BF7650"/>
    <w:rsid w:val="00C0124C"/>
    <w:rsid w:val="00C020F6"/>
    <w:rsid w:val="00C11035"/>
    <w:rsid w:val="00C12192"/>
    <w:rsid w:val="00C12DC7"/>
    <w:rsid w:val="00C12E09"/>
    <w:rsid w:val="00C211F6"/>
    <w:rsid w:val="00C21513"/>
    <w:rsid w:val="00C30D5D"/>
    <w:rsid w:val="00C46F42"/>
    <w:rsid w:val="00C526B8"/>
    <w:rsid w:val="00C55505"/>
    <w:rsid w:val="00C60EB0"/>
    <w:rsid w:val="00C616B7"/>
    <w:rsid w:val="00C63AB3"/>
    <w:rsid w:val="00C64869"/>
    <w:rsid w:val="00C660D9"/>
    <w:rsid w:val="00C67DC2"/>
    <w:rsid w:val="00C75DFF"/>
    <w:rsid w:val="00C76099"/>
    <w:rsid w:val="00C94694"/>
    <w:rsid w:val="00CA2A5A"/>
    <w:rsid w:val="00CB04BC"/>
    <w:rsid w:val="00CB3464"/>
    <w:rsid w:val="00CB4A86"/>
    <w:rsid w:val="00CC221D"/>
    <w:rsid w:val="00CC6723"/>
    <w:rsid w:val="00CF43AD"/>
    <w:rsid w:val="00D06853"/>
    <w:rsid w:val="00D11E04"/>
    <w:rsid w:val="00D1276E"/>
    <w:rsid w:val="00D1676D"/>
    <w:rsid w:val="00D26CF3"/>
    <w:rsid w:val="00D42EE7"/>
    <w:rsid w:val="00D437DA"/>
    <w:rsid w:val="00D44731"/>
    <w:rsid w:val="00D53FC4"/>
    <w:rsid w:val="00D57C18"/>
    <w:rsid w:val="00D6641F"/>
    <w:rsid w:val="00D66981"/>
    <w:rsid w:val="00D713D6"/>
    <w:rsid w:val="00D72B48"/>
    <w:rsid w:val="00D87E73"/>
    <w:rsid w:val="00D87EC4"/>
    <w:rsid w:val="00D91654"/>
    <w:rsid w:val="00D933E6"/>
    <w:rsid w:val="00D9381A"/>
    <w:rsid w:val="00D940DA"/>
    <w:rsid w:val="00DA2039"/>
    <w:rsid w:val="00DA4794"/>
    <w:rsid w:val="00DB18CF"/>
    <w:rsid w:val="00DB2DC1"/>
    <w:rsid w:val="00DD34B4"/>
    <w:rsid w:val="00DD69D0"/>
    <w:rsid w:val="00DD7B91"/>
    <w:rsid w:val="00DE505C"/>
    <w:rsid w:val="00DE7D3A"/>
    <w:rsid w:val="00DF210F"/>
    <w:rsid w:val="00DF7A3B"/>
    <w:rsid w:val="00E00F88"/>
    <w:rsid w:val="00E02A5A"/>
    <w:rsid w:val="00E04346"/>
    <w:rsid w:val="00E05D54"/>
    <w:rsid w:val="00E1088D"/>
    <w:rsid w:val="00E1241B"/>
    <w:rsid w:val="00E26640"/>
    <w:rsid w:val="00E3670A"/>
    <w:rsid w:val="00E37E51"/>
    <w:rsid w:val="00E4351D"/>
    <w:rsid w:val="00E610C7"/>
    <w:rsid w:val="00E63633"/>
    <w:rsid w:val="00E665C2"/>
    <w:rsid w:val="00E77609"/>
    <w:rsid w:val="00E93FA0"/>
    <w:rsid w:val="00E941B9"/>
    <w:rsid w:val="00EB43A7"/>
    <w:rsid w:val="00EB5398"/>
    <w:rsid w:val="00EC428C"/>
    <w:rsid w:val="00EC6577"/>
    <w:rsid w:val="00ED10AE"/>
    <w:rsid w:val="00EE2D07"/>
    <w:rsid w:val="00EE6D27"/>
    <w:rsid w:val="00EE7F7C"/>
    <w:rsid w:val="00EF7278"/>
    <w:rsid w:val="00F001E1"/>
    <w:rsid w:val="00F10B57"/>
    <w:rsid w:val="00F13C8A"/>
    <w:rsid w:val="00F141BB"/>
    <w:rsid w:val="00F160BC"/>
    <w:rsid w:val="00F316DF"/>
    <w:rsid w:val="00F33723"/>
    <w:rsid w:val="00F42286"/>
    <w:rsid w:val="00F42D33"/>
    <w:rsid w:val="00F6185C"/>
    <w:rsid w:val="00F7428F"/>
    <w:rsid w:val="00F7651E"/>
    <w:rsid w:val="00F81077"/>
    <w:rsid w:val="00F82740"/>
    <w:rsid w:val="00F93CCE"/>
    <w:rsid w:val="00F97D02"/>
    <w:rsid w:val="00FA48F0"/>
    <w:rsid w:val="00FA7332"/>
    <w:rsid w:val="00FB6369"/>
    <w:rsid w:val="00FB79F9"/>
    <w:rsid w:val="00FE0E64"/>
    <w:rsid w:val="00FF1086"/>
    <w:rsid w:val="00FF19AF"/>
    <w:rsid w:val="01EE8813"/>
    <w:rsid w:val="03B04686"/>
    <w:rsid w:val="04F95E24"/>
    <w:rsid w:val="063E6547"/>
    <w:rsid w:val="0C947E6E"/>
    <w:rsid w:val="0CBFC48C"/>
    <w:rsid w:val="0CFF450A"/>
    <w:rsid w:val="0EA46E4F"/>
    <w:rsid w:val="101603B5"/>
    <w:rsid w:val="11DC0F11"/>
    <w:rsid w:val="12CEB759"/>
    <w:rsid w:val="13CCD1E8"/>
    <w:rsid w:val="142A37EA"/>
    <w:rsid w:val="16209B23"/>
    <w:rsid w:val="16AF8034"/>
    <w:rsid w:val="184B5095"/>
    <w:rsid w:val="1A858230"/>
    <w:rsid w:val="1CD7F323"/>
    <w:rsid w:val="219AC78D"/>
    <w:rsid w:val="268AF77A"/>
    <w:rsid w:val="2AADA45B"/>
    <w:rsid w:val="2C8D1D39"/>
    <w:rsid w:val="32FF42FC"/>
    <w:rsid w:val="35314677"/>
    <w:rsid w:val="37E984FC"/>
    <w:rsid w:val="3A8B1996"/>
    <w:rsid w:val="3AECD52B"/>
    <w:rsid w:val="3AF5F0A6"/>
    <w:rsid w:val="3B97DCDB"/>
    <w:rsid w:val="3C1DA187"/>
    <w:rsid w:val="404FEB10"/>
    <w:rsid w:val="4728BF56"/>
    <w:rsid w:val="4CB6787E"/>
    <w:rsid w:val="5140A970"/>
    <w:rsid w:val="5396C9C8"/>
    <w:rsid w:val="55641F9F"/>
    <w:rsid w:val="56E5C4F4"/>
    <w:rsid w:val="59ECE2EF"/>
    <w:rsid w:val="5B88B350"/>
    <w:rsid w:val="5C377F54"/>
    <w:rsid w:val="613DA4DD"/>
    <w:rsid w:val="6169B45B"/>
    <w:rsid w:val="6206C82E"/>
    <w:rsid w:val="674772FD"/>
    <w:rsid w:val="681E0124"/>
    <w:rsid w:val="68802BCE"/>
    <w:rsid w:val="6A61BD7D"/>
    <w:rsid w:val="6BA6C4A0"/>
    <w:rsid w:val="6E2DA06D"/>
    <w:rsid w:val="702531F2"/>
    <w:rsid w:val="70D7CAB7"/>
    <w:rsid w:val="72160624"/>
    <w:rsid w:val="72F7868E"/>
    <w:rsid w:val="778C1780"/>
    <w:rsid w:val="779BBF3D"/>
    <w:rsid w:val="77CAF7B1"/>
    <w:rsid w:val="7A51D431"/>
    <w:rsid w:val="7C17DF8D"/>
    <w:rsid w:val="7DED22D3"/>
    <w:rsid w:val="7EA772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AF56"/>
  <w15:docId w15:val="{70BB2B67-9870-49F6-9B9D-127E9DB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B8"/>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rsid w:val="006D0C08"/>
    <w:rPr>
      <w:sz w:val="20"/>
      <w:szCs w:val="20"/>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Refdenotaalpie2"/>
    <w:uiPriority w:val="99"/>
    <w:unhideWhenUsed/>
    <w:qFormat/>
    <w:rsid w:val="006D0C08"/>
    <w:rPr>
      <w:vertAlign w:val="superscript"/>
    </w:rPr>
  </w:style>
  <w:style w:type="paragraph" w:styleId="Prrafodelista">
    <w:name w:val="List Paragraph"/>
    <w:basedOn w:val="Normal"/>
    <w:link w:val="PrrafodelistaCar"/>
    <w:uiPriority w:val="34"/>
    <w:qFormat/>
    <w:rsid w:val="00694AF9"/>
    <w:pPr>
      <w:ind w:left="720"/>
      <w:contextualSpacing/>
    </w:pPr>
  </w:style>
  <w:style w:type="paragraph" w:customStyle="1" w:styleId="Refdenotaalpie2">
    <w:name w:val="Ref. de nota al pie2"/>
    <w:aliases w:val="Nota de pie,Pie de pagina"/>
    <w:basedOn w:val="Normal"/>
    <w:link w:val="Refdenotaalpie"/>
    <w:uiPriority w:val="99"/>
    <w:rsid w:val="00EB675D"/>
    <w:pPr>
      <w:spacing w:after="160" w:line="240" w:lineRule="exact"/>
    </w:pPr>
    <w:rPr>
      <w:vertAlign w:val="superscript"/>
    </w:rPr>
  </w:style>
  <w:style w:type="character" w:customStyle="1" w:styleId="normaltextrun">
    <w:name w:val="normaltextrun"/>
    <w:basedOn w:val="Fuentedeprrafopredeter"/>
    <w:rsid w:val="00B54D9D"/>
  </w:style>
  <w:style w:type="character" w:customStyle="1" w:styleId="PrrafodelistaCar">
    <w:name w:val="Párrafo de lista Car"/>
    <w:link w:val="Prrafodelista"/>
    <w:uiPriority w:val="34"/>
    <w:rsid w:val="00B54D9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07EE5"/>
    <w:rPr>
      <w:b/>
      <w:bCs/>
    </w:rPr>
  </w:style>
  <w:style w:type="character" w:customStyle="1" w:styleId="AsuntodelcomentarioCar">
    <w:name w:val="Asunto del comentario Car"/>
    <w:basedOn w:val="TextocomentarioCar"/>
    <w:link w:val="Asuntodelcomentario"/>
    <w:uiPriority w:val="99"/>
    <w:semiHidden/>
    <w:rsid w:val="00307EE5"/>
    <w:rPr>
      <w:b/>
      <w:bCs/>
      <w:sz w:val="20"/>
      <w:szCs w:val="20"/>
    </w:rPr>
  </w:style>
  <w:style w:type="paragraph" w:styleId="Textodeglobo">
    <w:name w:val="Balloon Text"/>
    <w:basedOn w:val="Normal"/>
    <w:link w:val="TextodegloboCar"/>
    <w:uiPriority w:val="99"/>
    <w:semiHidden/>
    <w:unhideWhenUsed/>
    <w:rsid w:val="00653AF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AF2"/>
    <w:rPr>
      <w:rFonts w:ascii="Segoe UI" w:hAnsi="Segoe UI" w:cs="Segoe UI"/>
      <w:sz w:val="18"/>
      <w:szCs w:val="18"/>
    </w:rPr>
  </w:style>
  <w:style w:type="paragraph" w:styleId="Encabezado">
    <w:name w:val="header"/>
    <w:basedOn w:val="Normal"/>
    <w:link w:val="EncabezadoCar"/>
    <w:uiPriority w:val="99"/>
    <w:unhideWhenUsed/>
    <w:rsid w:val="00C526B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526B8"/>
  </w:style>
  <w:style w:type="paragraph" w:styleId="Piedepgina">
    <w:name w:val="footer"/>
    <w:basedOn w:val="Normal"/>
    <w:link w:val="PiedepginaCar"/>
    <w:uiPriority w:val="99"/>
    <w:unhideWhenUsed/>
    <w:rsid w:val="00C526B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526B8"/>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3877">
      <w:bodyDiv w:val="1"/>
      <w:marLeft w:val="0"/>
      <w:marRight w:val="0"/>
      <w:marTop w:val="0"/>
      <w:marBottom w:val="0"/>
      <w:divBdr>
        <w:top w:val="none" w:sz="0" w:space="0" w:color="auto"/>
        <w:left w:val="none" w:sz="0" w:space="0" w:color="auto"/>
        <w:bottom w:val="none" w:sz="0" w:space="0" w:color="auto"/>
        <w:right w:val="none" w:sz="0" w:space="0" w:color="auto"/>
      </w:divBdr>
    </w:div>
    <w:div w:id="204800886">
      <w:bodyDiv w:val="1"/>
      <w:marLeft w:val="0"/>
      <w:marRight w:val="0"/>
      <w:marTop w:val="0"/>
      <w:marBottom w:val="0"/>
      <w:divBdr>
        <w:top w:val="none" w:sz="0" w:space="0" w:color="auto"/>
        <w:left w:val="none" w:sz="0" w:space="0" w:color="auto"/>
        <w:bottom w:val="none" w:sz="0" w:space="0" w:color="auto"/>
        <w:right w:val="none" w:sz="0" w:space="0" w:color="auto"/>
      </w:divBdr>
    </w:div>
    <w:div w:id="373501310">
      <w:bodyDiv w:val="1"/>
      <w:marLeft w:val="0"/>
      <w:marRight w:val="0"/>
      <w:marTop w:val="0"/>
      <w:marBottom w:val="0"/>
      <w:divBdr>
        <w:top w:val="none" w:sz="0" w:space="0" w:color="auto"/>
        <w:left w:val="none" w:sz="0" w:space="0" w:color="auto"/>
        <w:bottom w:val="none" w:sz="0" w:space="0" w:color="auto"/>
        <w:right w:val="none" w:sz="0" w:space="0" w:color="auto"/>
      </w:divBdr>
    </w:div>
    <w:div w:id="711853973">
      <w:bodyDiv w:val="1"/>
      <w:marLeft w:val="0"/>
      <w:marRight w:val="0"/>
      <w:marTop w:val="0"/>
      <w:marBottom w:val="0"/>
      <w:divBdr>
        <w:top w:val="none" w:sz="0" w:space="0" w:color="auto"/>
        <w:left w:val="none" w:sz="0" w:space="0" w:color="auto"/>
        <w:bottom w:val="none" w:sz="0" w:space="0" w:color="auto"/>
        <w:right w:val="none" w:sz="0" w:space="0" w:color="auto"/>
      </w:divBdr>
    </w:div>
    <w:div w:id="849296248">
      <w:bodyDiv w:val="1"/>
      <w:marLeft w:val="0"/>
      <w:marRight w:val="0"/>
      <w:marTop w:val="0"/>
      <w:marBottom w:val="0"/>
      <w:divBdr>
        <w:top w:val="none" w:sz="0" w:space="0" w:color="auto"/>
        <w:left w:val="none" w:sz="0" w:space="0" w:color="auto"/>
        <w:bottom w:val="none" w:sz="0" w:space="0" w:color="auto"/>
        <w:right w:val="none" w:sz="0" w:space="0" w:color="auto"/>
      </w:divBdr>
    </w:div>
    <w:div w:id="867064536">
      <w:bodyDiv w:val="1"/>
      <w:marLeft w:val="0"/>
      <w:marRight w:val="0"/>
      <w:marTop w:val="0"/>
      <w:marBottom w:val="0"/>
      <w:divBdr>
        <w:top w:val="none" w:sz="0" w:space="0" w:color="auto"/>
        <w:left w:val="none" w:sz="0" w:space="0" w:color="auto"/>
        <w:bottom w:val="none" w:sz="0" w:space="0" w:color="auto"/>
        <w:right w:val="none" w:sz="0" w:space="0" w:color="auto"/>
      </w:divBdr>
    </w:div>
    <w:div w:id="1010983255">
      <w:bodyDiv w:val="1"/>
      <w:marLeft w:val="0"/>
      <w:marRight w:val="0"/>
      <w:marTop w:val="0"/>
      <w:marBottom w:val="0"/>
      <w:divBdr>
        <w:top w:val="none" w:sz="0" w:space="0" w:color="auto"/>
        <w:left w:val="none" w:sz="0" w:space="0" w:color="auto"/>
        <w:bottom w:val="none" w:sz="0" w:space="0" w:color="auto"/>
        <w:right w:val="none" w:sz="0" w:space="0" w:color="auto"/>
      </w:divBdr>
    </w:div>
    <w:div w:id="1439981506">
      <w:bodyDiv w:val="1"/>
      <w:marLeft w:val="0"/>
      <w:marRight w:val="0"/>
      <w:marTop w:val="0"/>
      <w:marBottom w:val="0"/>
      <w:divBdr>
        <w:top w:val="none" w:sz="0" w:space="0" w:color="auto"/>
        <w:left w:val="none" w:sz="0" w:space="0" w:color="auto"/>
        <w:bottom w:val="none" w:sz="0" w:space="0" w:color="auto"/>
        <w:right w:val="none" w:sz="0" w:space="0" w:color="auto"/>
      </w:divBdr>
    </w:div>
    <w:div w:id="1451626263">
      <w:bodyDiv w:val="1"/>
      <w:marLeft w:val="0"/>
      <w:marRight w:val="0"/>
      <w:marTop w:val="0"/>
      <w:marBottom w:val="0"/>
      <w:divBdr>
        <w:top w:val="none" w:sz="0" w:space="0" w:color="auto"/>
        <w:left w:val="none" w:sz="0" w:space="0" w:color="auto"/>
        <w:bottom w:val="none" w:sz="0" w:space="0" w:color="auto"/>
        <w:right w:val="none" w:sz="0" w:space="0" w:color="auto"/>
      </w:divBdr>
    </w:div>
    <w:div w:id="206598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2b66f5e4768f4d7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YYR57v+WcPPtu7UuXdAXvM29YQ==">CgMxLjAyCWguMzBqMHpsbDgAciExWXZ5VGF5bVJvRkNUdlYxc2pTcnBpOFQxU0ZsTi02em4=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A35C-DF0E-442A-8E10-B676C7750621}">
  <ds:schemaRefs>
    <ds:schemaRef ds:uri="http://schemas.microsoft.com/sharepoint/v3/contenttype/forms"/>
  </ds:schemaRefs>
</ds:datastoreItem>
</file>

<file path=customXml/itemProps2.xml><?xml version="1.0" encoding="utf-8"?>
<ds:datastoreItem xmlns:ds="http://schemas.openxmlformats.org/officeDocument/2006/customXml" ds:itemID="{7251ED7B-61C9-42CE-8CD5-C0FDED914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8912307-8464-4BFC-810F-813DC5DEE8B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5.xml><?xml version="1.0" encoding="utf-8"?>
<ds:datastoreItem xmlns:ds="http://schemas.openxmlformats.org/officeDocument/2006/customXml" ds:itemID="{7CBE4EC4-573D-4EED-9759-8BF3BEDB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7087</Words>
  <Characters>40396</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5</cp:revision>
  <dcterms:created xsi:type="dcterms:W3CDTF">2023-11-21T18:23:00Z</dcterms:created>
  <dcterms:modified xsi:type="dcterms:W3CDTF">2024-02-08T19:11:00Z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