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1C7F1" w14:textId="46FFD5C8" w:rsidR="00AC4310" w:rsidRPr="00FF50F1" w:rsidRDefault="00FF50F1" w:rsidP="00AC4310">
      <w:pPr>
        <w:widowControl w:val="0"/>
        <w:autoSpaceDE w:val="0"/>
        <w:autoSpaceDN w:val="0"/>
        <w:spacing w:line="240" w:lineRule="auto"/>
        <w:jc w:val="both"/>
        <w:rPr>
          <w:rFonts w:eastAsia="Georgia"/>
          <w:b/>
          <w:sz w:val="20"/>
          <w:szCs w:val="24"/>
          <w:lang w:val="es-ES" w:eastAsia="en-US"/>
        </w:rPr>
      </w:pPr>
      <w:bookmarkStart w:id="0" w:name="_GoBack"/>
      <w:bookmarkEnd w:id="0"/>
      <w:r>
        <w:rPr>
          <w:rFonts w:eastAsia="Georgia"/>
          <w:b/>
          <w:sz w:val="20"/>
          <w:szCs w:val="24"/>
          <w:lang w:val="es-ES" w:eastAsia="en-US"/>
        </w:rPr>
        <w:t>SENTENCIA ANTICIPADA / PROCEDENCIA / APELACIÓN / DECISIÓN POR SENTENCIA O AUTO</w:t>
      </w:r>
    </w:p>
    <w:p w14:paraId="33802BEA" w14:textId="719B0883" w:rsidR="00AC4310" w:rsidRPr="00EF0F30" w:rsidRDefault="00FF50F1" w:rsidP="00FF50F1">
      <w:pPr>
        <w:widowControl w:val="0"/>
        <w:autoSpaceDE w:val="0"/>
        <w:autoSpaceDN w:val="0"/>
        <w:spacing w:line="240" w:lineRule="auto"/>
        <w:jc w:val="both"/>
        <w:rPr>
          <w:rFonts w:eastAsia="Georgia"/>
          <w:sz w:val="20"/>
          <w:szCs w:val="24"/>
          <w:lang w:val="es-ES" w:eastAsia="en-US"/>
        </w:rPr>
      </w:pPr>
      <w:r>
        <w:rPr>
          <w:rFonts w:eastAsia="Georgia"/>
          <w:sz w:val="20"/>
          <w:szCs w:val="24"/>
          <w:lang w:val="es-ES" w:eastAsia="en-US"/>
        </w:rPr>
        <w:t xml:space="preserve">… </w:t>
      </w:r>
      <w:r w:rsidRPr="00FF50F1">
        <w:rPr>
          <w:rFonts w:eastAsia="Georgia"/>
          <w:sz w:val="20"/>
          <w:szCs w:val="24"/>
          <w:lang w:val="es-ES" w:eastAsia="en-US"/>
        </w:rPr>
        <w:t>diríase, en principio, que cuando el juez de primer grado profiere sentencia anticipada, en aplicación del artículo 278 del mismo estatuto, la resolución en segunda instancia corresponderá a la Sala de Decisión. Sin embargo, eso no es siempre así, pues una es la situación si se va a confirmar ese fallo y otra si se va a revocar. Y esto, porque el artículo 278 citado, señala con claridad que, ante la cosa juzgada, la transacción, la caducidad, la prescripción extintiva y la carencia de legitimación en la causa, es deber del juez dictar sentencia anticipada en cualquier etapa del proce</w:t>
      </w:r>
      <w:r w:rsidR="004D12F5">
        <w:rPr>
          <w:rFonts w:eastAsia="Georgia"/>
          <w:sz w:val="20"/>
          <w:szCs w:val="24"/>
          <w:lang w:val="es-ES" w:eastAsia="en-US"/>
        </w:rPr>
        <w:t>so en que se hallen demostradas</w:t>
      </w:r>
      <w:r w:rsidRPr="00FF50F1">
        <w:rPr>
          <w:rFonts w:eastAsia="Georgia"/>
          <w:sz w:val="20"/>
          <w:szCs w:val="24"/>
          <w:lang w:val="es-ES" w:eastAsia="en-US"/>
        </w:rPr>
        <w:t xml:space="preserve"> </w:t>
      </w:r>
    </w:p>
    <w:p w14:paraId="57216ECC" w14:textId="77777777" w:rsidR="00AC4310" w:rsidRPr="00EF0F30" w:rsidRDefault="00AC4310" w:rsidP="00AC4310">
      <w:pPr>
        <w:widowControl w:val="0"/>
        <w:autoSpaceDE w:val="0"/>
        <w:autoSpaceDN w:val="0"/>
        <w:spacing w:line="240" w:lineRule="auto"/>
        <w:jc w:val="both"/>
        <w:rPr>
          <w:rFonts w:eastAsia="Georgia"/>
          <w:sz w:val="20"/>
          <w:szCs w:val="24"/>
          <w:lang w:val="es-ES" w:eastAsia="en-US"/>
        </w:rPr>
      </w:pPr>
    </w:p>
    <w:p w14:paraId="56E97F14" w14:textId="6EC1F770" w:rsidR="00FF50F1" w:rsidRPr="00FF50F1" w:rsidRDefault="00FF50F1" w:rsidP="00FF50F1">
      <w:pPr>
        <w:widowControl w:val="0"/>
        <w:autoSpaceDE w:val="0"/>
        <w:autoSpaceDN w:val="0"/>
        <w:spacing w:line="240" w:lineRule="auto"/>
        <w:jc w:val="both"/>
        <w:rPr>
          <w:rFonts w:eastAsia="Georgia"/>
          <w:b/>
          <w:sz w:val="20"/>
          <w:szCs w:val="24"/>
          <w:lang w:val="es-ES" w:eastAsia="en-US"/>
        </w:rPr>
      </w:pPr>
      <w:r>
        <w:rPr>
          <w:rFonts w:eastAsia="Georgia"/>
          <w:b/>
          <w:sz w:val="20"/>
          <w:szCs w:val="24"/>
          <w:lang w:val="es-ES" w:eastAsia="en-US"/>
        </w:rPr>
        <w:t xml:space="preserve">SENTENCIA ANTICIPADA / PROCEDENCIA / </w:t>
      </w:r>
      <w:r w:rsidR="00081593">
        <w:rPr>
          <w:rFonts w:eastAsia="Georgia"/>
          <w:b/>
          <w:sz w:val="20"/>
          <w:szCs w:val="24"/>
          <w:lang w:val="es-ES" w:eastAsia="en-US"/>
        </w:rPr>
        <w:t>LEGITIMACIÓN EN LA CAUSA / SI ESTÁ DEFINIDA Y NO EN DISCUSIÓN</w:t>
      </w:r>
    </w:p>
    <w:p w14:paraId="67FC73A6" w14:textId="0BC27441" w:rsidR="00AC4310" w:rsidRPr="00EF0F30" w:rsidRDefault="004D12F5" w:rsidP="00AC4310">
      <w:pPr>
        <w:widowControl w:val="0"/>
        <w:autoSpaceDE w:val="0"/>
        <w:autoSpaceDN w:val="0"/>
        <w:spacing w:line="240" w:lineRule="auto"/>
        <w:jc w:val="both"/>
        <w:rPr>
          <w:rFonts w:eastAsia="Georgia"/>
          <w:sz w:val="20"/>
          <w:szCs w:val="24"/>
          <w:lang w:val="es-ES" w:eastAsia="en-US"/>
        </w:rPr>
      </w:pPr>
      <w:r>
        <w:rPr>
          <w:rFonts w:eastAsia="Georgia"/>
          <w:sz w:val="20"/>
          <w:szCs w:val="24"/>
          <w:lang w:val="es-ES" w:eastAsia="en-US"/>
        </w:rPr>
        <w:t xml:space="preserve">… </w:t>
      </w:r>
      <w:r w:rsidRPr="00FF50F1">
        <w:rPr>
          <w:rFonts w:eastAsia="Georgia"/>
          <w:sz w:val="20"/>
          <w:szCs w:val="24"/>
          <w:lang w:val="es-ES" w:eastAsia="en-US"/>
        </w:rPr>
        <w:t>esta modalidad de sentencia solo tiene cabida cuando se hallen estructuradas, de lo contrario, será menester ir hasta la etapa final y en la sentencia normal declararlas no probadas.</w:t>
      </w:r>
      <w:r>
        <w:rPr>
          <w:rFonts w:eastAsia="Georgia"/>
          <w:sz w:val="20"/>
          <w:szCs w:val="24"/>
          <w:lang w:val="es-ES" w:eastAsia="en-US"/>
        </w:rPr>
        <w:t xml:space="preserve"> (…) </w:t>
      </w:r>
      <w:r w:rsidRPr="004D12F5">
        <w:rPr>
          <w:rFonts w:eastAsia="Georgia"/>
          <w:sz w:val="20"/>
          <w:szCs w:val="24"/>
          <w:lang w:val="es-ES" w:eastAsia="en-US"/>
        </w:rPr>
        <w:t>Eso se traduce en que, si el superior, cuando se apela la sentencia anticipada que declara una de aquellas excepciones, observa que la misma no se ha estructurado para ese momento, tiene qué revocar y, por tanto, se tendrá por no demostrada. En consecuencia, esa decisión no podrá consistir en una sentencia, sino en un auto. Lo anterior, porque, a fuerza de insistir, solo adquirirá la categoría de sentencia la providencia que la tenga por acreditada.</w:t>
      </w:r>
      <w:r w:rsidR="00ED24EF" w:rsidRPr="00EF0F30">
        <w:rPr>
          <w:rFonts w:eastAsia="Georgia"/>
          <w:sz w:val="20"/>
          <w:szCs w:val="24"/>
          <w:lang w:val="es-ES" w:eastAsia="en-US"/>
        </w:rPr>
        <w:t xml:space="preserve"> </w:t>
      </w:r>
    </w:p>
    <w:p w14:paraId="5AED95AC" w14:textId="77777777" w:rsidR="00AC4310" w:rsidRPr="00EF0F30" w:rsidRDefault="00AC4310" w:rsidP="00AC4310">
      <w:pPr>
        <w:widowControl w:val="0"/>
        <w:autoSpaceDE w:val="0"/>
        <w:autoSpaceDN w:val="0"/>
        <w:spacing w:line="240" w:lineRule="auto"/>
        <w:jc w:val="both"/>
        <w:rPr>
          <w:rFonts w:eastAsia="Georgia"/>
          <w:sz w:val="20"/>
          <w:szCs w:val="24"/>
          <w:lang w:val="es-ES" w:eastAsia="en-US"/>
        </w:rPr>
      </w:pPr>
    </w:p>
    <w:p w14:paraId="6793D6AD" w14:textId="77777777" w:rsidR="00AC4310" w:rsidRPr="00EF0F30" w:rsidRDefault="00AC4310" w:rsidP="00AC4310">
      <w:pPr>
        <w:widowControl w:val="0"/>
        <w:autoSpaceDE w:val="0"/>
        <w:autoSpaceDN w:val="0"/>
        <w:spacing w:line="240" w:lineRule="auto"/>
        <w:jc w:val="both"/>
        <w:rPr>
          <w:rFonts w:eastAsia="Georgia"/>
          <w:sz w:val="20"/>
          <w:szCs w:val="24"/>
          <w:lang w:val="es-ES" w:eastAsia="en-US"/>
        </w:rPr>
      </w:pPr>
    </w:p>
    <w:p w14:paraId="2D9F99F8" w14:textId="77777777" w:rsidR="00AC4310" w:rsidRPr="00EF0F30" w:rsidRDefault="00AC4310" w:rsidP="00AC4310">
      <w:pPr>
        <w:widowControl w:val="0"/>
        <w:autoSpaceDE w:val="0"/>
        <w:autoSpaceDN w:val="0"/>
        <w:spacing w:line="240" w:lineRule="auto"/>
        <w:jc w:val="both"/>
        <w:rPr>
          <w:rFonts w:eastAsia="Georgia"/>
          <w:sz w:val="20"/>
          <w:szCs w:val="24"/>
          <w:lang w:val="es-ES" w:eastAsia="en-US"/>
        </w:rPr>
      </w:pPr>
    </w:p>
    <w:p w14:paraId="5EE280E1" w14:textId="77777777" w:rsidR="00AC4310" w:rsidRPr="000C472B" w:rsidRDefault="00AC4310" w:rsidP="00AC4310">
      <w:pPr>
        <w:widowControl w:val="0"/>
        <w:autoSpaceDE w:val="0"/>
        <w:autoSpaceDN w:val="0"/>
        <w:jc w:val="center"/>
        <w:rPr>
          <w:rFonts w:ascii="Gadugi" w:eastAsia="Georgia" w:hAnsi="Gadugi" w:cs="Georgia"/>
          <w:sz w:val="24"/>
          <w:szCs w:val="24"/>
          <w:lang w:val="es-ES" w:eastAsia="en-US"/>
        </w:rPr>
      </w:pPr>
      <w:r w:rsidRPr="000C472B">
        <w:rPr>
          <w:rFonts w:ascii="Gadugi" w:eastAsia="Georgia" w:hAnsi="Gadugi" w:cs="Georgia"/>
          <w:noProof/>
          <w:sz w:val="24"/>
          <w:szCs w:val="24"/>
          <w:lang w:val="en-US" w:eastAsia="en-US"/>
        </w:rPr>
        <w:drawing>
          <wp:inline distT="0" distB="0" distL="0" distR="0" wp14:anchorId="050D3EDE" wp14:editId="68316E76">
            <wp:extent cx="602729" cy="579120"/>
            <wp:effectExtent l="0" t="0" r="0" b="0"/>
            <wp:docPr id="2" name="image1.jpeg"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Un dibujo de una cara feliz&#10;&#10;Descripción generada automáticamente con confianza baja"/>
                    <pic:cNvPicPr/>
                  </pic:nvPicPr>
                  <pic:blipFill>
                    <a:blip r:embed="rId12" cstate="print"/>
                    <a:stretch>
                      <a:fillRect/>
                    </a:stretch>
                  </pic:blipFill>
                  <pic:spPr>
                    <a:xfrm>
                      <a:off x="0" y="0"/>
                      <a:ext cx="602729" cy="579120"/>
                    </a:xfrm>
                    <a:prstGeom prst="rect">
                      <a:avLst/>
                    </a:prstGeom>
                  </pic:spPr>
                </pic:pic>
              </a:graphicData>
            </a:graphic>
          </wp:inline>
        </w:drawing>
      </w:r>
    </w:p>
    <w:p w14:paraId="32772403" w14:textId="77777777" w:rsidR="00AC4310" w:rsidRPr="000C472B" w:rsidRDefault="00AC4310" w:rsidP="00AC4310">
      <w:pPr>
        <w:widowControl w:val="0"/>
        <w:autoSpaceDE w:val="0"/>
        <w:autoSpaceDN w:val="0"/>
        <w:ind w:right="-5"/>
        <w:jc w:val="center"/>
        <w:outlineLvl w:val="0"/>
        <w:rPr>
          <w:rFonts w:ascii="Gadugi" w:eastAsia="Cambria" w:hAnsi="Gadugi" w:cs="Cambria"/>
          <w:b/>
          <w:bCs/>
          <w:sz w:val="24"/>
          <w:szCs w:val="24"/>
          <w:lang w:val="es-ES" w:eastAsia="en-US"/>
        </w:rPr>
      </w:pPr>
      <w:r w:rsidRPr="000C472B">
        <w:rPr>
          <w:rFonts w:ascii="Gadugi" w:eastAsia="Cambria" w:hAnsi="Gadugi" w:cs="Cambria"/>
          <w:b/>
          <w:bCs/>
          <w:w w:val="115"/>
          <w:sz w:val="24"/>
          <w:szCs w:val="24"/>
          <w:lang w:val="es-ES" w:eastAsia="en-US"/>
        </w:rPr>
        <w:t>TRIBUNAL</w:t>
      </w:r>
      <w:r w:rsidRPr="000C472B">
        <w:rPr>
          <w:rFonts w:ascii="Gadugi" w:eastAsia="Cambria" w:hAnsi="Gadugi" w:cs="Cambria"/>
          <w:b/>
          <w:bCs/>
          <w:spacing w:val="30"/>
          <w:w w:val="115"/>
          <w:sz w:val="24"/>
          <w:szCs w:val="24"/>
          <w:lang w:val="es-ES" w:eastAsia="en-US"/>
        </w:rPr>
        <w:t xml:space="preserve"> </w:t>
      </w:r>
      <w:r w:rsidRPr="000C472B">
        <w:rPr>
          <w:rFonts w:ascii="Gadugi" w:eastAsia="Cambria" w:hAnsi="Gadugi" w:cs="Cambria"/>
          <w:b/>
          <w:bCs/>
          <w:w w:val="115"/>
          <w:sz w:val="24"/>
          <w:szCs w:val="24"/>
          <w:lang w:val="es-ES" w:eastAsia="en-US"/>
        </w:rPr>
        <w:t>SUPERIOR</w:t>
      </w:r>
      <w:r w:rsidRPr="000C472B">
        <w:rPr>
          <w:rFonts w:ascii="Gadugi" w:eastAsia="Cambria" w:hAnsi="Gadugi" w:cs="Cambria"/>
          <w:b/>
          <w:bCs/>
          <w:spacing w:val="34"/>
          <w:w w:val="115"/>
          <w:sz w:val="24"/>
          <w:szCs w:val="24"/>
          <w:lang w:val="es-ES" w:eastAsia="en-US"/>
        </w:rPr>
        <w:t xml:space="preserve"> </w:t>
      </w:r>
      <w:r w:rsidRPr="000C472B">
        <w:rPr>
          <w:rFonts w:ascii="Gadugi" w:eastAsia="Cambria" w:hAnsi="Gadugi" w:cs="Cambria"/>
          <w:b/>
          <w:bCs/>
          <w:w w:val="115"/>
          <w:sz w:val="24"/>
          <w:szCs w:val="24"/>
          <w:lang w:val="es-ES" w:eastAsia="en-US"/>
        </w:rPr>
        <w:t>DEL</w:t>
      </w:r>
      <w:r w:rsidRPr="000C472B">
        <w:rPr>
          <w:rFonts w:ascii="Gadugi" w:eastAsia="Cambria" w:hAnsi="Gadugi" w:cs="Cambria"/>
          <w:b/>
          <w:bCs/>
          <w:spacing w:val="34"/>
          <w:w w:val="115"/>
          <w:sz w:val="24"/>
          <w:szCs w:val="24"/>
          <w:lang w:val="es-ES" w:eastAsia="en-US"/>
        </w:rPr>
        <w:t xml:space="preserve"> </w:t>
      </w:r>
      <w:r w:rsidRPr="000C472B">
        <w:rPr>
          <w:rFonts w:ascii="Gadugi" w:eastAsia="Cambria" w:hAnsi="Gadugi" w:cs="Cambria"/>
          <w:b/>
          <w:bCs/>
          <w:w w:val="115"/>
          <w:sz w:val="24"/>
          <w:szCs w:val="24"/>
          <w:lang w:val="es-ES" w:eastAsia="en-US"/>
        </w:rPr>
        <w:t>DISTRITO</w:t>
      </w:r>
      <w:r w:rsidRPr="000C472B">
        <w:rPr>
          <w:rFonts w:ascii="Gadugi" w:eastAsia="Cambria" w:hAnsi="Gadugi" w:cs="Cambria"/>
          <w:b/>
          <w:bCs/>
          <w:spacing w:val="32"/>
          <w:w w:val="115"/>
          <w:sz w:val="24"/>
          <w:szCs w:val="24"/>
          <w:lang w:val="es-ES" w:eastAsia="en-US"/>
        </w:rPr>
        <w:t xml:space="preserve"> </w:t>
      </w:r>
      <w:r w:rsidRPr="000C472B">
        <w:rPr>
          <w:rFonts w:ascii="Gadugi" w:eastAsia="Cambria" w:hAnsi="Gadugi" w:cs="Cambria"/>
          <w:b/>
          <w:bCs/>
          <w:w w:val="115"/>
          <w:sz w:val="24"/>
          <w:szCs w:val="24"/>
          <w:lang w:val="es-ES" w:eastAsia="en-US"/>
        </w:rPr>
        <w:t>JUDICIAL</w:t>
      </w:r>
      <w:r w:rsidRPr="000C472B">
        <w:rPr>
          <w:rFonts w:ascii="Gadugi" w:eastAsia="Cambria" w:hAnsi="Gadugi" w:cs="Cambria"/>
          <w:b/>
          <w:bCs/>
          <w:spacing w:val="-68"/>
          <w:w w:val="115"/>
          <w:sz w:val="24"/>
          <w:szCs w:val="24"/>
          <w:lang w:val="es-ES" w:eastAsia="en-US"/>
        </w:rPr>
        <w:t xml:space="preserve"> </w:t>
      </w:r>
      <w:r w:rsidRPr="000C472B">
        <w:rPr>
          <w:rFonts w:ascii="Gadugi" w:eastAsia="Cambria" w:hAnsi="Gadugi" w:cs="Cambria"/>
          <w:b/>
          <w:bCs/>
          <w:w w:val="115"/>
          <w:sz w:val="24"/>
          <w:szCs w:val="24"/>
          <w:lang w:val="es-ES" w:eastAsia="en-US"/>
        </w:rPr>
        <w:t>PEREIRA</w:t>
      </w:r>
    </w:p>
    <w:p w14:paraId="1FAD4CA0" w14:textId="77777777" w:rsidR="00AC4310" w:rsidRPr="000C472B" w:rsidRDefault="00AC4310" w:rsidP="00AC4310">
      <w:pPr>
        <w:widowControl w:val="0"/>
        <w:autoSpaceDE w:val="0"/>
        <w:autoSpaceDN w:val="0"/>
        <w:ind w:right="-5"/>
        <w:jc w:val="center"/>
        <w:rPr>
          <w:rFonts w:ascii="Gadugi" w:eastAsia="Georgia" w:hAnsi="Gadugi" w:cs="Georgia"/>
          <w:b/>
          <w:sz w:val="24"/>
          <w:szCs w:val="24"/>
          <w:lang w:val="es-ES" w:eastAsia="en-US"/>
        </w:rPr>
      </w:pPr>
      <w:r w:rsidRPr="000C472B">
        <w:rPr>
          <w:rFonts w:ascii="Gadugi" w:eastAsia="Georgia" w:hAnsi="Gadugi" w:cs="Georgia"/>
          <w:b/>
          <w:w w:val="115"/>
          <w:sz w:val="24"/>
          <w:szCs w:val="24"/>
          <w:lang w:val="es-ES" w:eastAsia="en-US"/>
        </w:rPr>
        <w:t>SALA</w:t>
      </w:r>
      <w:r w:rsidRPr="000C472B">
        <w:rPr>
          <w:rFonts w:ascii="Gadugi" w:eastAsia="Georgia" w:hAnsi="Gadugi" w:cs="Georgia"/>
          <w:b/>
          <w:spacing w:val="25"/>
          <w:w w:val="115"/>
          <w:sz w:val="24"/>
          <w:szCs w:val="24"/>
          <w:lang w:val="es-ES" w:eastAsia="en-US"/>
        </w:rPr>
        <w:t xml:space="preserve"> </w:t>
      </w:r>
      <w:r w:rsidRPr="000C472B">
        <w:rPr>
          <w:rFonts w:ascii="Gadugi" w:eastAsia="Georgia" w:hAnsi="Gadugi" w:cs="Georgia"/>
          <w:b/>
          <w:w w:val="115"/>
          <w:sz w:val="24"/>
          <w:szCs w:val="24"/>
          <w:lang w:val="es-ES" w:eastAsia="en-US"/>
        </w:rPr>
        <w:t>CIVIL-FAMILIA</w:t>
      </w:r>
    </w:p>
    <w:p w14:paraId="56615F2E" w14:textId="77777777" w:rsidR="00AC4310" w:rsidRPr="000C472B" w:rsidRDefault="00AC4310" w:rsidP="00AC4310">
      <w:pPr>
        <w:widowControl w:val="0"/>
        <w:tabs>
          <w:tab w:val="left" w:pos="3647"/>
        </w:tabs>
        <w:autoSpaceDE w:val="0"/>
        <w:autoSpaceDN w:val="0"/>
        <w:ind w:right="858"/>
        <w:rPr>
          <w:rFonts w:ascii="Gadugi" w:eastAsia="Georgia" w:hAnsi="Gadugi" w:cs="Georgia"/>
          <w:sz w:val="24"/>
          <w:szCs w:val="24"/>
          <w:lang w:val="es-ES" w:eastAsia="en-US"/>
        </w:rPr>
      </w:pPr>
    </w:p>
    <w:p w14:paraId="708D455E" w14:textId="36021079" w:rsidR="00AC4310" w:rsidRPr="000C472B" w:rsidRDefault="00AC4310" w:rsidP="00AC4310">
      <w:pPr>
        <w:widowControl w:val="0"/>
        <w:autoSpaceDE w:val="0"/>
        <w:autoSpaceDN w:val="0"/>
        <w:jc w:val="center"/>
        <w:rPr>
          <w:rFonts w:ascii="Gadugi" w:eastAsia="Georgia" w:hAnsi="Gadugi" w:cs="Georgia"/>
          <w:sz w:val="24"/>
          <w:szCs w:val="24"/>
          <w:lang w:val="es-ES" w:eastAsia="en-US"/>
        </w:rPr>
      </w:pPr>
      <w:r w:rsidRPr="00AC4310">
        <w:rPr>
          <w:rFonts w:ascii="Gadugi" w:eastAsia="Georgia" w:hAnsi="Gadugi" w:cs="Georgia"/>
          <w:b/>
          <w:bCs/>
          <w:sz w:val="24"/>
          <w:szCs w:val="24"/>
          <w:lang w:val="es-ES" w:eastAsia="en-US"/>
        </w:rPr>
        <w:t>AC-0110-2023</w:t>
      </w:r>
    </w:p>
    <w:p w14:paraId="76AB294C" w14:textId="77777777" w:rsidR="00AC4310" w:rsidRPr="000C472B" w:rsidRDefault="00AC4310" w:rsidP="00AC4310">
      <w:pPr>
        <w:widowControl w:val="0"/>
        <w:autoSpaceDE w:val="0"/>
        <w:autoSpaceDN w:val="0"/>
        <w:ind w:firstLine="1843"/>
        <w:rPr>
          <w:rFonts w:ascii="Gadugi" w:eastAsia="Georgia" w:hAnsi="Gadugi" w:cs="Georgia"/>
          <w:sz w:val="24"/>
          <w:szCs w:val="24"/>
          <w:lang w:val="es-ES" w:eastAsia="en-US"/>
        </w:rPr>
      </w:pPr>
    </w:p>
    <w:p w14:paraId="1F5C3615" w14:textId="77777777" w:rsidR="00AC4310" w:rsidRPr="000C472B" w:rsidRDefault="00AC4310" w:rsidP="00AC4310">
      <w:pPr>
        <w:widowControl w:val="0"/>
        <w:tabs>
          <w:tab w:val="left" w:pos="3686"/>
          <w:tab w:val="left" w:pos="4536"/>
        </w:tabs>
        <w:autoSpaceDE w:val="0"/>
        <w:autoSpaceDN w:val="0"/>
        <w:spacing w:line="240" w:lineRule="auto"/>
        <w:jc w:val="center"/>
        <w:rPr>
          <w:rFonts w:ascii="Gadugi" w:eastAsia="Georgia" w:hAnsi="Gadugi" w:cs="Georgia"/>
          <w:sz w:val="24"/>
          <w:szCs w:val="24"/>
          <w:lang w:val="es-ES" w:eastAsia="en-US"/>
        </w:rPr>
      </w:pPr>
      <w:r w:rsidRPr="000C472B">
        <w:rPr>
          <w:rFonts w:ascii="Gadugi" w:eastAsia="Georgia" w:hAnsi="Gadugi" w:cs="Georgia"/>
          <w:sz w:val="24"/>
          <w:szCs w:val="24"/>
          <w:lang w:val="es-ES" w:eastAsia="en-US"/>
        </w:rPr>
        <w:t xml:space="preserve">Magistrado Ponente: </w:t>
      </w:r>
      <w:r w:rsidRPr="000C472B">
        <w:rPr>
          <w:rFonts w:ascii="Gadugi" w:eastAsia="Georgia" w:hAnsi="Gadugi" w:cs="Georgia"/>
          <w:b/>
          <w:sz w:val="24"/>
          <w:szCs w:val="24"/>
          <w:lang w:val="es-ES" w:eastAsia="en-US"/>
        </w:rPr>
        <w:t>Jaime Alberto Saraza Naranjo</w:t>
      </w:r>
    </w:p>
    <w:p w14:paraId="2F9385A4" w14:textId="77777777" w:rsidR="00AC4310" w:rsidRPr="004E6C5C" w:rsidRDefault="00AC4310" w:rsidP="00AC4310">
      <w:pPr>
        <w:tabs>
          <w:tab w:val="left" w:pos="3261"/>
        </w:tabs>
        <w:ind w:firstLine="1701"/>
        <w:jc w:val="both"/>
        <w:rPr>
          <w:rFonts w:ascii="Gadugi" w:eastAsia="Georgia" w:hAnsi="Gadugi" w:cs="Georgia"/>
          <w:b/>
          <w:sz w:val="24"/>
          <w:szCs w:val="24"/>
        </w:rPr>
      </w:pPr>
    </w:p>
    <w:p w14:paraId="497ABF64" w14:textId="77777777" w:rsidR="00AC4310" w:rsidRPr="00AC4310" w:rsidRDefault="00AC4310" w:rsidP="00AC4310">
      <w:pPr>
        <w:tabs>
          <w:tab w:val="left" w:pos="3686"/>
          <w:tab w:val="left" w:pos="4536"/>
        </w:tabs>
        <w:ind w:firstLine="1701"/>
        <w:jc w:val="both"/>
        <w:rPr>
          <w:rFonts w:ascii="Gadugi" w:eastAsia="Georgia" w:hAnsi="Gadugi" w:cs="Georgia"/>
          <w:sz w:val="24"/>
          <w:szCs w:val="24"/>
        </w:rPr>
      </w:pPr>
    </w:p>
    <w:p w14:paraId="5AB9AF7A" w14:textId="533428B5" w:rsidR="00D278B0" w:rsidRPr="006B7022" w:rsidRDefault="00EF0F30" w:rsidP="00EF0F30">
      <w:pPr>
        <w:spacing w:line="240" w:lineRule="auto"/>
        <w:ind w:left="708" w:firstLine="708"/>
        <w:jc w:val="both"/>
        <w:rPr>
          <w:rFonts w:ascii="Gadugi" w:hAnsi="Gadugi"/>
          <w:szCs w:val="24"/>
        </w:rPr>
      </w:pPr>
      <w:r>
        <w:rPr>
          <w:rFonts w:ascii="Gadugi" w:hAnsi="Gadugi"/>
          <w:szCs w:val="24"/>
        </w:rPr>
        <w:t>Asunto</w:t>
      </w:r>
      <w:r>
        <w:rPr>
          <w:rFonts w:ascii="Gadugi" w:hAnsi="Gadugi"/>
          <w:szCs w:val="24"/>
        </w:rPr>
        <w:tab/>
      </w:r>
      <w:r>
        <w:rPr>
          <w:rFonts w:ascii="Gadugi" w:hAnsi="Gadugi"/>
          <w:szCs w:val="24"/>
        </w:rPr>
        <w:tab/>
      </w:r>
      <w:r>
        <w:rPr>
          <w:rFonts w:ascii="Gadugi" w:hAnsi="Gadugi"/>
          <w:szCs w:val="24"/>
        </w:rPr>
        <w:tab/>
      </w:r>
      <w:r w:rsidR="00EE7C80" w:rsidRPr="006B7022">
        <w:rPr>
          <w:rFonts w:ascii="Gadugi" w:hAnsi="Gadugi"/>
          <w:szCs w:val="24"/>
        </w:rPr>
        <w:t xml:space="preserve">Auto decide sentencia anticipada </w:t>
      </w:r>
    </w:p>
    <w:p w14:paraId="208DC4E6" w14:textId="109C2628" w:rsidR="00D278B0" w:rsidRPr="00EF0F30" w:rsidRDefault="00EE7C80" w:rsidP="00EF0F30">
      <w:pPr>
        <w:spacing w:line="240" w:lineRule="auto"/>
        <w:ind w:left="708" w:firstLine="708"/>
        <w:jc w:val="both"/>
        <w:rPr>
          <w:rFonts w:ascii="Gadugi" w:hAnsi="Gadugi"/>
          <w:szCs w:val="24"/>
        </w:rPr>
      </w:pPr>
      <w:r w:rsidRPr="006B7022">
        <w:rPr>
          <w:rFonts w:ascii="Gadugi" w:hAnsi="Gadugi"/>
          <w:szCs w:val="24"/>
        </w:rPr>
        <w:t>Demandante</w:t>
      </w:r>
      <w:r w:rsidR="00EF0F30">
        <w:rPr>
          <w:rFonts w:ascii="Gadugi" w:hAnsi="Gadugi"/>
          <w:szCs w:val="24"/>
        </w:rPr>
        <w:tab/>
      </w:r>
      <w:r w:rsidR="00D278B0" w:rsidRPr="006B7022">
        <w:rPr>
          <w:rFonts w:ascii="Gadugi" w:hAnsi="Gadugi"/>
          <w:szCs w:val="24"/>
        </w:rPr>
        <w:tab/>
      </w:r>
      <w:proofErr w:type="spellStart"/>
      <w:r w:rsidRPr="006B7022">
        <w:rPr>
          <w:rFonts w:ascii="Gadugi" w:hAnsi="Gadugi"/>
          <w:szCs w:val="24"/>
        </w:rPr>
        <w:t>Jhon</w:t>
      </w:r>
      <w:proofErr w:type="spellEnd"/>
      <w:r w:rsidRPr="006B7022">
        <w:rPr>
          <w:rFonts w:ascii="Gadugi" w:hAnsi="Gadugi"/>
          <w:szCs w:val="24"/>
        </w:rPr>
        <w:t xml:space="preserve"> Jairo Toro Osorio </w:t>
      </w:r>
    </w:p>
    <w:p w14:paraId="79C75C68" w14:textId="2FB49C6F" w:rsidR="00D278B0" w:rsidRPr="00EF0F30" w:rsidRDefault="00EE7C80" w:rsidP="00EF0F30">
      <w:pPr>
        <w:spacing w:line="240" w:lineRule="auto"/>
        <w:ind w:left="708" w:firstLine="708"/>
        <w:jc w:val="both"/>
        <w:rPr>
          <w:rFonts w:ascii="Gadugi" w:hAnsi="Gadugi"/>
          <w:szCs w:val="24"/>
        </w:rPr>
      </w:pPr>
      <w:r w:rsidRPr="006B7022">
        <w:rPr>
          <w:rFonts w:ascii="Gadugi" w:hAnsi="Gadugi"/>
          <w:szCs w:val="24"/>
        </w:rPr>
        <w:t>Demandado</w:t>
      </w:r>
      <w:r w:rsidR="00EF0F30">
        <w:rPr>
          <w:rFonts w:ascii="Gadugi" w:hAnsi="Gadugi"/>
          <w:szCs w:val="24"/>
        </w:rPr>
        <w:tab/>
      </w:r>
      <w:r w:rsidR="00D278B0" w:rsidRPr="006B7022">
        <w:rPr>
          <w:rFonts w:ascii="Gadugi" w:hAnsi="Gadugi"/>
          <w:szCs w:val="24"/>
        </w:rPr>
        <w:tab/>
      </w:r>
      <w:r w:rsidRPr="006B7022">
        <w:rPr>
          <w:rFonts w:ascii="Gadugi" w:hAnsi="Gadugi"/>
          <w:szCs w:val="24"/>
        </w:rPr>
        <w:t>Constructora CAMAMBÚ S.A.S.</w:t>
      </w:r>
      <w:r w:rsidR="00D278B0" w:rsidRPr="00EF0F30">
        <w:rPr>
          <w:rFonts w:ascii="Gadugi" w:hAnsi="Gadugi"/>
          <w:szCs w:val="24"/>
        </w:rPr>
        <w:t xml:space="preserve"> </w:t>
      </w:r>
    </w:p>
    <w:p w14:paraId="7030EC1A" w14:textId="3EE21309" w:rsidR="00D278B0" w:rsidRPr="00EF0F30" w:rsidRDefault="00D278B0" w:rsidP="00EF0F30">
      <w:pPr>
        <w:spacing w:line="240" w:lineRule="auto"/>
        <w:ind w:left="708" w:firstLine="708"/>
        <w:jc w:val="both"/>
        <w:rPr>
          <w:rFonts w:ascii="Gadugi" w:hAnsi="Gadugi"/>
          <w:szCs w:val="24"/>
        </w:rPr>
      </w:pPr>
      <w:r w:rsidRPr="006B7022">
        <w:rPr>
          <w:rFonts w:ascii="Gadugi" w:hAnsi="Gadugi"/>
          <w:szCs w:val="24"/>
        </w:rPr>
        <w:t>Procedencia</w:t>
      </w:r>
      <w:r w:rsidR="00EF0F30">
        <w:rPr>
          <w:rFonts w:ascii="Gadugi" w:hAnsi="Gadugi"/>
          <w:szCs w:val="24"/>
        </w:rPr>
        <w:tab/>
      </w:r>
      <w:r w:rsidRPr="006B7022">
        <w:rPr>
          <w:rFonts w:ascii="Gadugi" w:hAnsi="Gadugi"/>
          <w:szCs w:val="24"/>
        </w:rPr>
        <w:tab/>
      </w:r>
      <w:r w:rsidRPr="00EF0F30">
        <w:rPr>
          <w:rFonts w:ascii="Gadugi" w:hAnsi="Gadugi"/>
          <w:szCs w:val="24"/>
        </w:rPr>
        <w:t xml:space="preserve">Juzgado Civil del Circuito de </w:t>
      </w:r>
      <w:r w:rsidR="00EE7C80" w:rsidRPr="00EF0F30">
        <w:rPr>
          <w:rFonts w:ascii="Gadugi" w:hAnsi="Gadugi"/>
          <w:szCs w:val="24"/>
        </w:rPr>
        <w:t xml:space="preserve">Dosquebradas </w:t>
      </w:r>
    </w:p>
    <w:p w14:paraId="1FDE980F" w14:textId="55C8DF38" w:rsidR="00D278B0" w:rsidRPr="00EF0F30" w:rsidRDefault="00D278B0" w:rsidP="00EF0F30">
      <w:pPr>
        <w:spacing w:line="240" w:lineRule="auto"/>
        <w:ind w:left="708" w:firstLine="708"/>
        <w:jc w:val="both"/>
        <w:rPr>
          <w:rFonts w:ascii="Gadugi" w:hAnsi="Gadugi"/>
          <w:szCs w:val="24"/>
        </w:rPr>
      </w:pPr>
      <w:r w:rsidRPr="006B7022">
        <w:rPr>
          <w:rFonts w:ascii="Gadugi" w:hAnsi="Gadugi"/>
          <w:szCs w:val="24"/>
        </w:rPr>
        <w:t>Radicación</w:t>
      </w:r>
      <w:r w:rsidR="00EF0F30">
        <w:rPr>
          <w:rFonts w:ascii="Gadugi" w:hAnsi="Gadugi"/>
          <w:szCs w:val="24"/>
        </w:rPr>
        <w:tab/>
      </w:r>
      <w:r w:rsidR="006B7022">
        <w:rPr>
          <w:rFonts w:ascii="Gadugi" w:hAnsi="Gadugi"/>
          <w:szCs w:val="24"/>
        </w:rPr>
        <w:tab/>
      </w:r>
      <w:r w:rsidRPr="00EF0F30">
        <w:rPr>
          <w:rFonts w:ascii="Gadugi" w:hAnsi="Gadugi"/>
          <w:szCs w:val="24"/>
        </w:rPr>
        <w:t>66</w:t>
      </w:r>
      <w:r w:rsidR="00EE7C80" w:rsidRPr="00EF0F30">
        <w:rPr>
          <w:rFonts w:ascii="Gadugi" w:hAnsi="Gadugi"/>
          <w:szCs w:val="24"/>
        </w:rPr>
        <w:t>170310300120210008402</w:t>
      </w:r>
    </w:p>
    <w:p w14:paraId="397C3F9B" w14:textId="164C55E3" w:rsidR="00D278B0" w:rsidRPr="006B7022" w:rsidRDefault="00D278B0" w:rsidP="00EF0F30">
      <w:pPr>
        <w:spacing w:line="240" w:lineRule="auto"/>
        <w:ind w:left="708" w:firstLine="708"/>
        <w:jc w:val="both"/>
        <w:rPr>
          <w:rFonts w:ascii="Gadugi" w:hAnsi="Gadugi"/>
          <w:szCs w:val="24"/>
        </w:rPr>
      </w:pPr>
      <w:r w:rsidRPr="006B7022">
        <w:rPr>
          <w:rFonts w:ascii="Gadugi" w:hAnsi="Gadugi"/>
          <w:szCs w:val="24"/>
        </w:rPr>
        <w:t>Temas</w:t>
      </w:r>
      <w:r w:rsidR="00EF0F30">
        <w:rPr>
          <w:rFonts w:ascii="Gadugi" w:hAnsi="Gadugi"/>
          <w:szCs w:val="24"/>
        </w:rPr>
        <w:tab/>
      </w:r>
      <w:r w:rsidR="00EF0F30">
        <w:rPr>
          <w:rFonts w:ascii="Gadugi" w:hAnsi="Gadugi"/>
          <w:szCs w:val="24"/>
        </w:rPr>
        <w:tab/>
      </w:r>
      <w:r w:rsidR="00987E64" w:rsidRPr="006B7022">
        <w:rPr>
          <w:rFonts w:ascii="Gadugi" w:hAnsi="Gadugi"/>
          <w:szCs w:val="24"/>
        </w:rPr>
        <w:tab/>
        <w:t>L</w:t>
      </w:r>
      <w:r w:rsidR="00EE7C80" w:rsidRPr="006B7022">
        <w:rPr>
          <w:rFonts w:ascii="Gadugi" w:hAnsi="Gadugi"/>
          <w:szCs w:val="24"/>
        </w:rPr>
        <w:t xml:space="preserve">egitimación </w:t>
      </w:r>
      <w:r w:rsidR="00987E64" w:rsidRPr="006B7022">
        <w:rPr>
          <w:rFonts w:ascii="Gadugi" w:hAnsi="Gadugi"/>
          <w:szCs w:val="24"/>
        </w:rPr>
        <w:t>en la causa – sentencia anticipada</w:t>
      </w:r>
    </w:p>
    <w:p w14:paraId="3583C6E7" w14:textId="01796A86" w:rsidR="00D278B0" w:rsidRPr="00D6171C" w:rsidRDefault="00D278B0" w:rsidP="00EC499E">
      <w:pPr>
        <w:rPr>
          <w:rFonts w:ascii="Gadugi" w:hAnsi="Gadugi"/>
          <w:b/>
          <w:bCs/>
          <w:sz w:val="24"/>
          <w:szCs w:val="24"/>
          <w:lang w:val="es-MX"/>
        </w:rPr>
      </w:pPr>
    </w:p>
    <w:p w14:paraId="29F83D58" w14:textId="77777777" w:rsidR="00EC499E" w:rsidRPr="00AC4310" w:rsidRDefault="00EC499E" w:rsidP="00EC499E">
      <w:pPr>
        <w:rPr>
          <w:rFonts w:ascii="Gadugi" w:hAnsi="Gadugi"/>
          <w:b/>
          <w:bCs/>
          <w:sz w:val="24"/>
          <w:szCs w:val="24"/>
        </w:rPr>
      </w:pPr>
    </w:p>
    <w:p w14:paraId="1B724A7D" w14:textId="4AF13261" w:rsidR="00D278B0" w:rsidRPr="00AC4310" w:rsidRDefault="00A54990" w:rsidP="00AC4310">
      <w:pPr>
        <w:jc w:val="center"/>
        <w:rPr>
          <w:rFonts w:ascii="Gadugi" w:hAnsi="Gadugi"/>
          <w:b/>
          <w:bCs/>
          <w:sz w:val="24"/>
          <w:szCs w:val="24"/>
          <w:lang w:val="es-CO"/>
        </w:rPr>
      </w:pPr>
      <w:r w:rsidRPr="00AC4310">
        <w:rPr>
          <w:rFonts w:ascii="Gadugi" w:hAnsi="Gadugi"/>
          <w:b/>
          <w:bCs/>
          <w:smallCaps/>
          <w:sz w:val="24"/>
          <w:szCs w:val="24"/>
          <w:lang w:val="es-CO"/>
        </w:rPr>
        <w:t xml:space="preserve">SEIS (6) DE </w:t>
      </w:r>
      <w:r w:rsidR="00987E64" w:rsidRPr="00AC4310">
        <w:rPr>
          <w:rFonts w:ascii="Gadugi" w:hAnsi="Gadugi"/>
          <w:b/>
          <w:bCs/>
          <w:smallCaps/>
          <w:sz w:val="24"/>
          <w:szCs w:val="24"/>
          <w:lang w:val="es-CO"/>
        </w:rPr>
        <w:t xml:space="preserve">OCTUBRE </w:t>
      </w:r>
      <w:r w:rsidR="00D278B0" w:rsidRPr="00AC4310">
        <w:rPr>
          <w:rFonts w:ascii="Gadugi" w:hAnsi="Gadugi"/>
          <w:b/>
          <w:bCs/>
          <w:smallCaps/>
          <w:sz w:val="24"/>
          <w:szCs w:val="24"/>
          <w:lang w:val="es-CO"/>
        </w:rPr>
        <w:t>DE DOS MIL VEINTITRÉS (2023)</w:t>
      </w:r>
    </w:p>
    <w:p w14:paraId="61273167" w14:textId="44B6A17C" w:rsidR="002F3822" w:rsidRPr="00AC4310" w:rsidRDefault="001F4E27" w:rsidP="00AC4310">
      <w:pPr>
        <w:tabs>
          <w:tab w:val="left" w:pos="3686"/>
          <w:tab w:val="left" w:pos="4536"/>
        </w:tabs>
        <w:ind w:firstLine="1701"/>
        <w:jc w:val="both"/>
        <w:rPr>
          <w:rFonts w:ascii="Gadugi" w:eastAsia="Georgia" w:hAnsi="Gadugi" w:cs="Georgia"/>
          <w:sz w:val="24"/>
          <w:szCs w:val="24"/>
        </w:rPr>
      </w:pPr>
      <w:r w:rsidRPr="00AC4310">
        <w:rPr>
          <w:rFonts w:ascii="Gadugi" w:eastAsia="Georgia" w:hAnsi="Gadugi" w:cs="Georgia"/>
          <w:sz w:val="24"/>
          <w:szCs w:val="24"/>
        </w:rPr>
        <w:tab/>
      </w:r>
    </w:p>
    <w:p w14:paraId="379F17C2" w14:textId="4C0B9314" w:rsidR="002F3822" w:rsidRPr="00AC4310" w:rsidRDefault="001F4E27" w:rsidP="00AC4310">
      <w:pPr>
        <w:tabs>
          <w:tab w:val="left" w:pos="3686"/>
          <w:tab w:val="left" w:pos="4536"/>
        </w:tabs>
        <w:jc w:val="both"/>
        <w:rPr>
          <w:rFonts w:ascii="Gadugi" w:eastAsia="Georgia" w:hAnsi="Gadugi" w:cs="Georgia"/>
          <w:sz w:val="24"/>
          <w:szCs w:val="24"/>
        </w:rPr>
      </w:pPr>
      <w:r w:rsidRPr="00AC4310">
        <w:rPr>
          <w:rFonts w:ascii="Gadugi" w:eastAsia="Georgia" w:hAnsi="Gadugi" w:cs="Georgia"/>
          <w:sz w:val="24"/>
          <w:szCs w:val="24"/>
        </w:rPr>
        <w:t xml:space="preserve">Resuelve la Sala el recurso de apelación interpuesto </w:t>
      </w:r>
      <w:r w:rsidR="00A9775F" w:rsidRPr="00AC4310">
        <w:rPr>
          <w:rFonts w:ascii="Gadugi" w:eastAsia="Georgia" w:hAnsi="Gadugi" w:cs="Georgia"/>
          <w:sz w:val="24"/>
          <w:szCs w:val="24"/>
        </w:rPr>
        <w:t xml:space="preserve">por el demandante </w:t>
      </w:r>
      <w:r w:rsidRPr="00AC4310">
        <w:rPr>
          <w:rFonts w:ascii="Gadugi" w:eastAsia="Georgia" w:hAnsi="Gadugi" w:cs="Georgia"/>
          <w:sz w:val="24"/>
          <w:szCs w:val="24"/>
        </w:rPr>
        <w:t>contra la sentencia</w:t>
      </w:r>
      <w:r w:rsidR="00A9775F" w:rsidRPr="00AC4310">
        <w:rPr>
          <w:rFonts w:ascii="Gadugi" w:eastAsia="Georgia" w:hAnsi="Gadugi" w:cs="Georgia"/>
          <w:sz w:val="24"/>
          <w:szCs w:val="24"/>
        </w:rPr>
        <w:t xml:space="preserve"> anticipada </w:t>
      </w:r>
      <w:r w:rsidRPr="00AC4310">
        <w:rPr>
          <w:rFonts w:ascii="Gadugi" w:eastAsia="Georgia" w:hAnsi="Gadugi" w:cs="Georgia"/>
          <w:sz w:val="24"/>
          <w:szCs w:val="24"/>
        </w:rPr>
        <w:t xml:space="preserve">proferida </w:t>
      </w:r>
      <w:r w:rsidR="00A9775F" w:rsidRPr="00AC4310">
        <w:rPr>
          <w:rFonts w:ascii="Gadugi" w:eastAsia="Georgia" w:hAnsi="Gadugi" w:cs="Georgia"/>
          <w:sz w:val="24"/>
          <w:szCs w:val="24"/>
        </w:rPr>
        <w:t xml:space="preserve">el 1 de julio de 2022 </w:t>
      </w:r>
      <w:r w:rsidRPr="00AC4310">
        <w:rPr>
          <w:rFonts w:ascii="Gadugi" w:eastAsia="Georgia" w:hAnsi="Gadugi" w:cs="Georgia"/>
          <w:sz w:val="24"/>
          <w:szCs w:val="24"/>
        </w:rPr>
        <w:t>por el Juzgado Civil del Circuito Dosquebradas en el proceso iniciado por</w:t>
      </w:r>
      <w:r w:rsidRPr="00AC4310">
        <w:rPr>
          <w:rFonts w:ascii="Gadugi" w:eastAsia="Georgia" w:hAnsi="Gadugi" w:cs="Georgia"/>
          <w:b/>
          <w:sz w:val="24"/>
          <w:szCs w:val="24"/>
        </w:rPr>
        <w:t xml:space="preserve"> </w:t>
      </w:r>
      <w:proofErr w:type="spellStart"/>
      <w:r w:rsidRPr="00AC4310">
        <w:rPr>
          <w:rFonts w:ascii="Gadugi" w:eastAsia="Georgia" w:hAnsi="Gadugi" w:cs="Georgia"/>
          <w:b/>
          <w:sz w:val="24"/>
          <w:szCs w:val="24"/>
        </w:rPr>
        <w:t>Jhon</w:t>
      </w:r>
      <w:proofErr w:type="spellEnd"/>
      <w:r w:rsidRPr="00AC4310">
        <w:rPr>
          <w:rFonts w:ascii="Gadugi" w:eastAsia="Georgia" w:hAnsi="Gadugi" w:cs="Georgia"/>
          <w:b/>
          <w:sz w:val="24"/>
          <w:szCs w:val="24"/>
        </w:rPr>
        <w:t xml:space="preserve"> Jairo Toro Osorio </w:t>
      </w:r>
      <w:r w:rsidRPr="00AC4310">
        <w:rPr>
          <w:rFonts w:ascii="Gadugi" w:eastAsia="Georgia" w:hAnsi="Gadugi" w:cs="Georgia"/>
          <w:sz w:val="24"/>
          <w:szCs w:val="24"/>
        </w:rPr>
        <w:t>frente a</w:t>
      </w:r>
      <w:r w:rsidR="00A9775F" w:rsidRPr="00AC4310">
        <w:rPr>
          <w:rFonts w:ascii="Gadugi" w:eastAsia="Georgia" w:hAnsi="Gadugi" w:cs="Georgia"/>
          <w:sz w:val="24"/>
          <w:szCs w:val="24"/>
        </w:rPr>
        <w:t xml:space="preserve"> la</w:t>
      </w:r>
      <w:r w:rsidRPr="00AC4310">
        <w:rPr>
          <w:rFonts w:ascii="Gadugi" w:eastAsia="Georgia" w:hAnsi="Gadugi" w:cs="Georgia"/>
          <w:sz w:val="24"/>
          <w:szCs w:val="24"/>
        </w:rPr>
        <w:t xml:space="preserve"> </w:t>
      </w:r>
      <w:r w:rsidRPr="00AC4310">
        <w:rPr>
          <w:rFonts w:ascii="Gadugi" w:eastAsia="Georgia" w:hAnsi="Gadugi" w:cs="Georgia"/>
          <w:b/>
          <w:sz w:val="24"/>
          <w:szCs w:val="24"/>
        </w:rPr>
        <w:t>Constructora CAMAMB</w:t>
      </w:r>
      <w:r w:rsidR="00A9775F" w:rsidRPr="00AC4310">
        <w:rPr>
          <w:rFonts w:ascii="Gadugi" w:eastAsia="Georgia" w:hAnsi="Gadugi" w:cs="Georgia"/>
          <w:b/>
          <w:sz w:val="24"/>
          <w:szCs w:val="24"/>
        </w:rPr>
        <w:t>Ú</w:t>
      </w:r>
      <w:r w:rsidRPr="00AC4310">
        <w:rPr>
          <w:rFonts w:ascii="Gadugi" w:eastAsia="Georgia" w:hAnsi="Gadugi" w:cs="Georgia"/>
          <w:b/>
          <w:sz w:val="24"/>
          <w:szCs w:val="24"/>
        </w:rPr>
        <w:t xml:space="preserve"> S</w:t>
      </w:r>
      <w:r w:rsidR="00A9775F" w:rsidRPr="00AC4310">
        <w:rPr>
          <w:rFonts w:ascii="Gadugi" w:eastAsia="Georgia" w:hAnsi="Gadugi" w:cs="Georgia"/>
          <w:b/>
          <w:sz w:val="24"/>
          <w:szCs w:val="24"/>
        </w:rPr>
        <w:t>.</w:t>
      </w:r>
      <w:r w:rsidRPr="00AC4310">
        <w:rPr>
          <w:rFonts w:ascii="Gadugi" w:eastAsia="Georgia" w:hAnsi="Gadugi" w:cs="Georgia"/>
          <w:b/>
          <w:sz w:val="24"/>
          <w:szCs w:val="24"/>
        </w:rPr>
        <w:t>A</w:t>
      </w:r>
      <w:r w:rsidR="00A9775F" w:rsidRPr="00AC4310">
        <w:rPr>
          <w:rFonts w:ascii="Gadugi" w:eastAsia="Georgia" w:hAnsi="Gadugi" w:cs="Georgia"/>
          <w:b/>
          <w:sz w:val="24"/>
          <w:szCs w:val="24"/>
        </w:rPr>
        <w:t>.</w:t>
      </w:r>
      <w:r w:rsidRPr="00AC4310">
        <w:rPr>
          <w:rFonts w:ascii="Gadugi" w:eastAsia="Georgia" w:hAnsi="Gadugi" w:cs="Georgia"/>
          <w:b/>
          <w:sz w:val="24"/>
          <w:szCs w:val="24"/>
        </w:rPr>
        <w:t>S</w:t>
      </w:r>
      <w:r w:rsidR="00A9775F" w:rsidRPr="00AC4310">
        <w:rPr>
          <w:rFonts w:ascii="Gadugi" w:eastAsia="Georgia" w:hAnsi="Gadugi" w:cs="Georgia"/>
          <w:b/>
          <w:sz w:val="24"/>
          <w:szCs w:val="24"/>
        </w:rPr>
        <w:t>.</w:t>
      </w:r>
      <w:r w:rsidR="00072554" w:rsidRPr="00AC4310">
        <w:rPr>
          <w:rFonts w:ascii="Gadugi" w:eastAsia="Georgia" w:hAnsi="Gadugi" w:cs="Georgia"/>
          <w:b/>
          <w:sz w:val="24"/>
          <w:szCs w:val="24"/>
        </w:rPr>
        <w:t xml:space="preserve">, </w:t>
      </w:r>
      <w:r w:rsidR="00072554" w:rsidRPr="00AC4310">
        <w:rPr>
          <w:rFonts w:ascii="Gadugi" w:eastAsia="Georgia" w:hAnsi="Gadugi" w:cs="Georgia"/>
          <w:sz w:val="24"/>
          <w:szCs w:val="24"/>
        </w:rPr>
        <w:t>al que fue</w:t>
      </w:r>
      <w:r w:rsidR="00072554" w:rsidRPr="00AC4310">
        <w:rPr>
          <w:rFonts w:ascii="Gadugi" w:eastAsia="Georgia" w:hAnsi="Gadugi" w:cs="Georgia"/>
          <w:b/>
          <w:sz w:val="24"/>
          <w:szCs w:val="24"/>
        </w:rPr>
        <w:t xml:space="preserve"> </w:t>
      </w:r>
      <w:r w:rsidR="00072554" w:rsidRPr="00AC4310">
        <w:rPr>
          <w:rFonts w:ascii="Gadugi" w:eastAsia="Georgia" w:hAnsi="Gadugi" w:cs="Georgia"/>
          <w:sz w:val="24"/>
          <w:szCs w:val="24"/>
        </w:rPr>
        <w:t xml:space="preserve">vinculado el </w:t>
      </w:r>
      <w:r w:rsidR="00072554" w:rsidRPr="00AC4310">
        <w:rPr>
          <w:rFonts w:ascii="Gadugi" w:eastAsia="Georgia" w:hAnsi="Gadugi" w:cs="Georgia"/>
          <w:b/>
          <w:sz w:val="24"/>
          <w:szCs w:val="24"/>
        </w:rPr>
        <w:t>Parque Residencial Camambú P.H.</w:t>
      </w:r>
      <w:r w:rsidR="00072554" w:rsidRPr="00AC4310">
        <w:rPr>
          <w:rStyle w:val="Refdenotaalpie"/>
          <w:rFonts w:ascii="Gadugi" w:eastAsia="Georgia" w:hAnsi="Gadugi" w:cs="Georgia"/>
          <w:sz w:val="24"/>
          <w:szCs w:val="24"/>
        </w:rPr>
        <w:footnoteReference w:id="1"/>
      </w:r>
    </w:p>
    <w:p w14:paraId="28FDBBE8" w14:textId="730F7276" w:rsidR="002F3822" w:rsidRPr="00AC4310" w:rsidRDefault="002F3822" w:rsidP="00AC4310">
      <w:pPr>
        <w:tabs>
          <w:tab w:val="left" w:pos="3686"/>
          <w:tab w:val="left" w:pos="4536"/>
        </w:tabs>
        <w:jc w:val="both"/>
        <w:rPr>
          <w:rFonts w:ascii="Gadugi" w:eastAsia="Georgia" w:hAnsi="Gadugi" w:cs="Georgia"/>
          <w:sz w:val="24"/>
          <w:szCs w:val="24"/>
        </w:rPr>
      </w:pPr>
    </w:p>
    <w:p w14:paraId="291E8C00" w14:textId="08962A1E" w:rsidR="002F3822" w:rsidRPr="00AC4310" w:rsidRDefault="001F4E27" w:rsidP="00AC4310">
      <w:pPr>
        <w:pStyle w:val="Prrafodelista"/>
        <w:numPr>
          <w:ilvl w:val="0"/>
          <w:numId w:val="3"/>
        </w:numPr>
        <w:pBdr>
          <w:top w:val="nil"/>
          <w:left w:val="nil"/>
          <w:bottom w:val="nil"/>
          <w:right w:val="nil"/>
          <w:between w:val="nil"/>
        </w:pBdr>
        <w:tabs>
          <w:tab w:val="left" w:pos="426"/>
          <w:tab w:val="left" w:pos="4536"/>
        </w:tabs>
        <w:ind w:left="0" w:firstLine="0"/>
        <w:rPr>
          <w:rFonts w:ascii="Gadugi" w:eastAsia="Georgia" w:hAnsi="Gadugi" w:cs="Georgia"/>
          <w:b/>
          <w:sz w:val="24"/>
          <w:szCs w:val="24"/>
        </w:rPr>
      </w:pPr>
      <w:r w:rsidRPr="00AC4310">
        <w:rPr>
          <w:rFonts w:ascii="Gadugi" w:eastAsia="Georgia" w:hAnsi="Gadugi" w:cs="Georgia"/>
          <w:b/>
          <w:sz w:val="24"/>
          <w:szCs w:val="24"/>
        </w:rPr>
        <w:t>ANTECEDENTES</w:t>
      </w:r>
    </w:p>
    <w:p w14:paraId="13ED91E0" w14:textId="77777777" w:rsidR="002F3822" w:rsidRPr="00AC4310" w:rsidRDefault="002F3822" w:rsidP="00AC4310">
      <w:pPr>
        <w:tabs>
          <w:tab w:val="left" w:pos="3686"/>
          <w:tab w:val="left" w:pos="4536"/>
        </w:tabs>
        <w:ind w:left="360"/>
        <w:rPr>
          <w:rFonts w:ascii="Gadugi" w:eastAsia="Georgia" w:hAnsi="Gadugi" w:cs="Georgia"/>
          <w:b/>
          <w:sz w:val="24"/>
          <w:szCs w:val="24"/>
        </w:rPr>
      </w:pPr>
    </w:p>
    <w:p w14:paraId="450DC265" w14:textId="41D24D78" w:rsidR="00EE01A3" w:rsidRPr="00AC4310" w:rsidRDefault="00EE01A3" w:rsidP="00AC4310">
      <w:pPr>
        <w:pStyle w:val="Prrafodelista"/>
        <w:numPr>
          <w:ilvl w:val="1"/>
          <w:numId w:val="3"/>
        </w:numPr>
        <w:pBdr>
          <w:top w:val="nil"/>
          <w:left w:val="nil"/>
          <w:bottom w:val="nil"/>
          <w:right w:val="nil"/>
          <w:between w:val="nil"/>
        </w:pBdr>
        <w:tabs>
          <w:tab w:val="left" w:pos="426"/>
          <w:tab w:val="left" w:pos="567"/>
        </w:tabs>
        <w:ind w:left="0" w:firstLine="0"/>
        <w:jc w:val="both"/>
        <w:rPr>
          <w:rFonts w:ascii="Gadugi" w:eastAsia="Georgia" w:hAnsi="Gadugi" w:cs="Georgia"/>
          <w:b/>
          <w:sz w:val="24"/>
          <w:szCs w:val="24"/>
        </w:rPr>
      </w:pPr>
      <w:r w:rsidRPr="00AC4310">
        <w:rPr>
          <w:rFonts w:ascii="Gadugi" w:eastAsia="Georgia" w:hAnsi="Gadugi" w:cs="Georgia"/>
          <w:b/>
          <w:sz w:val="24"/>
          <w:szCs w:val="24"/>
        </w:rPr>
        <w:t>Hechos</w:t>
      </w:r>
      <w:r w:rsidR="009066FF" w:rsidRPr="00AC4310">
        <w:rPr>
          <w:rStyle w:val="Refdenotaalpie"/>
          <w:rFonts w:ascii="Gadugi" w:eastAsia="Georgia" w:hAnsi="Gadugi" w:cs="Georgia"/>
          <w:b/>
          <w:sz w:val="24"/>
          <w:szCs w:val="24"/>
        </w:rPr>
        <w:footnoteReference w:id="2"/>
      </w:r>
    </w:p>
    <w:p w14:paraId="3E8503DB" w14:textId="77777777" w:rsidR="00EE01A3" w:rsidRPr="00AC4310" w:rsidRDefault="00EE01A3" w:rsidP="00AC4310">
      <w:pPr>
        <w:pStyle w:val="Prrafodelista"/>
        <w:pBdr>
          <w:top w:val="nil"/>
          <w:left w:val="nil"/>
          <w:bottom w:val="nil"/>
          <w:right w:val="nil"/>
          <w:between w:val="nil"/>
        </w:pBdr>
        <w:tabs>
          <w:tab w:val="left" w:pos="426"/>
          <w:tab w:val="left" w:pos="4536"/>
        </w:tabs>
        <w:ind w:left="0"/>
        <w:jc w:val="both"/>
        <w:rPr>
          <w:rFonts w:ascii="Gadugi" w:eastAsia="Georgia" w:hAnsi="Gadugi" w:cs="Georgia"/>
          <w:sz w:val="24"/>
          <w:szCs w:val="24"/>
        </w:rPr>
      </w:pPr>
    </w:p>
    <w:p w14:paraId="5DC89AD3" w14:textId="3FE8EC7D" w:rsidR="00072554" w:rsidRPr="00AC4310" w:rsidRDefault="00EC6B3B" w:rsidP="00AC4310">
      <w:pPr>
        <w:pStyle w:val="Prrafodelista"/>
        <w:pBdr>
          <w:top w:val="nil"/>
          <w:left w:val="nil"/>
          <w:bottom w:val="nil"/>
          <w:right w:val="nil"/>
          <w:between w:val="nil"/>
        </w:pBdr>
        <w:tabs>
          <w:tab w:val="left" w:pos="426"/>
          <w:tab w:val="left" w:pos="4536"/>
        </w:tabs>
        <w:ind w:left="0"/>
        <w:jc w:val="both"/>
        <w:rPr>
          <w:rFonts w:ascii="Gadugi" w:eastAsia="Georgia" w:hAnsi="Gadugi" w:cs="Georgia"/>
          <w:sz w:val="24"/>
          <w:szCs w:val="24"/>
        </w:rPr>
      </w:pPr>
      <w:r w:rsidRPr="00AC4310">
        <w:rPr>
          <w:rFonts w:ascii="Gadugi" w:eastAsia="Georgia" w:hAnsi="Gadugi" w:cs="Georgia"/>
          <w:sz w:val="24"/>
          <w:szCs w:val="24"/>
        </w:rPr>
        <w:t xml:space="preserve">Narra la demanda que </w:t>
      </w:r>
      <w:proofErr w:type="spellStart"/>
      <w:r w:rsidR="00987E64" w:rsidRPr="00AC4310">
        <w:rPr>
          <w:rFonts w:ascii="Gadugi" w:eastAsia="Georgia" w:hAnsi="Gadugi" w:cs="Georgia"/>
          <w:sz w:val="24"/>
          <w:szCs w:val="24"/>
        </w:rPr>
        <w:t>J</w:t>
      </w:r>
      <w:r w:rsidR="00B60EFB" w:rsidRPr="00AC4310">
        <w:rPr>
          <w:rFonts w:ascii="Gadugi" w:eastAsia="Georgia" w:hAnsi="Gadugi" w:cs="Georgia"/>
          <w:sz w:val="24"/>
          <w:szCs w:val="24"/>
        </w:rPr>
        <w:t>hon</w:t>
      </w:r>
      <w:proofErr w:type="spellEnd"/>
      <w:r w:rsidR="00B60EFB" w:rsidRPr="00AC4310">
        <w:rPr>
          <w:rFonts w:ascii="Gadugi" w:eastAsia="Georgia" w:hAnsi="Gadugi" w:cs="Georgia"/>
          <w:sz w:val="24"/>
          <w:szCs w:val="24"/>
        </w:rPr>
        <w:t xml:space="preserve"> Jairo Toro Osorio </w:t>
      </w:r>
      <w:r w:rsidR="00D303E0" w:rsidRPr="00AC4310">
        <w:rPr>
          <w:rFonts w:ascii="Gadugi" w:eastAsia="Georgia" w:hAnsi="Gadugi" w:cs="Georgia"/>
          <w:sz w:val="24"/>
          <w:szCs w:val="24"/>
        </w:rPr>
        <w:t>es propietario de un lote de terreno denominado “</w:t>
      </w:r>
      <w:r w:rsidR="00D303E0" w:rsidRPr="00AC4310">
        <w:rPr>
          <w:rFonts w:ascii="Gadugi" w:eastAsia="Georgia" w:hAnsi="Gadugi" w:cs="Georgia"/>
          <w:i/>
          <w:sz w:val="24"/>
          <w:szCs w:val="24"/>
        </w:rPr>
        <w:t>remanente el Bohío Lote C</w:t>
      </w:r>
      <w:r w:rsidR="00D303E0" w:rsidRPr="00AC4310">
        <w:rPr>
          <w:rFonts w:ascii="Gadugi" w:eastAsia="Georgia" w:hAnsi="Gadugi" w:cs="Georgia"/>
          <w:sz w:val="24"/>
          <w:szCs w:val="24"/>
        </w:rPr>
        <w:t>” que hacía parte de un lote de mayor extensi</w:t>
      </w:r>
      <w:r w:rsidR="00895ACC" w:rsidRPr="00AC4310">
        <w:rPr>
          <w:rFonts w:ascii="Gadugi" w:eastAsia="Georgia" w:hAnsi="Gadugi" w:cs="Georgia"/>
          <w:sz w:val="24"/>
          <w:szCs w:val="24"/>
        </w:rPr>
        <w:t xml:space="preserve">ón, </w:t>
      </w:r>
      <w:r w:rsidR="00D303E0" w:rsidRPr="00AC4310">
        <w:rPr>
          <w:rFonts w:ascii="Gadugi" w:eastAsia="Georgia" w:hAnsi="Gadugi" w:cs="Georgia"/>
          <w:sz w:val="24"/>
          <w:szCs w:val="24"/>
        </w:rPr>
        <w:t xml:space="preserve">ubicado </w:t>
      </w:r>
      <w:r w:rsidR="00895ACC" w:rsidRPr="00AC4310">
        <w:rPr>
          <w:rFonts w:ascii="Gadugi" w:eastAsia="Georgia" w:hAnsi="Gadugi" w:cs="Georgia"/>
          <w:sz w:val="24"/>
          <w:szCs w:val="24"/>
        </w:rPr>
        <w:t>en la Urbanización de Santa Isabel, Municipio de Dosquebradas, identificado por su área y linderos en el hecho primero de la demanda</w:t>
      </w:r>
      <w:r w:rsidR="00072554" w:rsidRPr="00AC4310">
        <w:rPr>
          <w:rFonts w:ascii="Gadugi" w:eastAsia="Georgia" w:hAnsi="Gadugi" w:cs="Georgia"/>
          <w:sz w:val="24"/>
          <w:szCs w:val="24"/>
        </w:rPr>
        <w:t xml:space="preserve">, matriculado bajo el número 29487431. </w:t>
      </w:r>
    </w:p>
    <w:p w14:paraId="7A41A362" w14:textId="77777777" w:rsidR="00EC499E" w:rsidRDefault="00EC499E" w:rsidP="00AC4310">
      <w:pPr>
        <w:pStyle w:val="Prrafodelista"/>
        <w:pBdr>
          <w:top w:val="nil"/>
          <w:left w:val="nil"/>
          <w:bottom w:val="nil"/>
          <w:right w:val="nil"/>
          <w:between w:val="nil"/>
        </w:pBdr>
        <w:tabs>
          <w:tab w:val="left" w:pos="426"/>
          <w:tab w:val="left" w:pos="4536"/>
        </w:tabs>
        <w:ind w:left="0"/>
        <w:jc w:val="both"/>
        <w:rPr>
          <w:rFonts w:ascii="Gadugi" w:eastAsia="Georgia" w:hAnsi="Gadugi" w:cs="Georgia"/>
          <w:sz w:val="24"/>
          <w:szCs w:val="24"/>
        </w:rPr>
      </w:pPr>
    </w:p>
    <w:p w14:paraId="47548AA6" w14:textId="65BF62E4" w:rsidR="00895ACC" w:rsidRPr="00AC4310" w:rsidRDefault="00895ACC" w:rsidP="00AC4310">
      <w:pPr>
        <w:pStyle w:val="Prrafodelista"/>
        <w:pBdr>
          <w:top w:val="nil"/>
          <w:left w:val="nil"/>
          <w:bottom w:val="nil"/>
          <w:right w:val="nil"/>
          <w:between w:val="nil"/>
        </w:pBdr>
        <w:tabs>
          <w:tab w:val="left" w:pos="426"/>
          <w:tab w:val="left" w:pos="4536"/>
        </w:tabs>
        <w:ind w:left="0"/>
        <w:jc w:val="both"/>
        <w:rPr>
          <w:rFonts w:ascii="Gadugi" w:eastAsia="Georgia" w:hAnsi="Gadugi" w:cs="Georgia"/>
          <w:sz w:val="24"/>
          <w:szCs w:val="24"/>
        </w:rPr>
      </w:pPr>
      <w:r w:rsidRPr="00AC4310">
        <w:rPr>
          <w:rFonts w:ascii="Gadugi" w:eastAsia="Georgia" w:hAnsi="Gadugi" w:cs="Georgia"/>
          <w:sz w:val="24"/>
          <w:szCs w:val="24"/>
        </w:rPr>
        <w:t xml:space="preserve">El predio fue adquirido por el señor </w:t>
      </w:r>
      <w:r w:rsidR="00AC6AD0" w:rsidRPr="00AC4310">
        <w:rPr>
          <w:rFonts w:ascii="Gadugi" w:eastAsia="Georgia" w:hAnsi="Gadugi" w:cs="Georgia"/>
          <w:sz w:val="24"/>
          <w:szCs w:val="24"/>
        </w:rPr>
        <w:t>Toro, mediante</w:t>
      </w:r>
      <w:r w:rsidRPr="00AC4310">
        <w:rPr>
          <w:rFonts w:ascii="Gadugi" w:eastAsia="Georgia" w:hAnsi="Gadugi" w:cs="Georgia"/>
          <w:sz w:val="24"/>
          <w:szCs w:val="24"/>
        </w:rPr>
        <w:t xml:space="preserve"> compra a Nora Cristina Giraldo Jaramillo</w:t>
      </w:r>
      <w:r w:rsidR="00072554" w:rsidRPr="00AC4310">
        <w:rPr>
          <w:rFonts w:ascii="Gadugi" w:eastAsia="Georgia" w:hAnsi="Gadugi" w:cs="Georgia"/>
          <w:sz w:val="24"/>
          <w:szCs w:val="24"/>
        </w:rPr>
        <w:t xml:space="preserve">, </w:t>
      </w:r>
      <w:r w:rsidR="00825C64" w:rsidRPr="00AC4310">
        <w:rPr>
          <w:rFonts w:ascii="Gadugi" w:eastAsia="Georgia" w:hAnsi="Gadugi" w:cs="Georgia"/>
          <w:sz w:val="24"/>
          <w:szCs w:val="24"/>
        </w:rPr>
        <w:t xml:space="preserve">según </w:t>
      </w:r>
      <w:r w:rsidR="00072554" w:rsidRPr="00AC4310">
        <w:rPr>
          <w:rFonts w:ascii="Gadugi" w:eastAsia="Georgia" w:hAnsi="Gadugi" w:cs="Georgia"/>
          <w:sz w:val="24"/>
          <w:szCs w:val="24"/>
        </w:rPr>
        <w:t xml:space="preserve">la </w:t>
      </w:r>
      <w:r w:rsidRPr="00AC4310">
        <w:rPr>
          <w:rFonts w:ascii="Gadugi" w:eastAsia="Georgia" w:hAnsi="Gadugi" w:cs="Georgia"/>
          <w:sz w:val="24"/>
          <w:szCs w:val="24"/>
        </w:rPr>
        <w:t>escritura pública No. 2347 del 8 de noviembre de 2019</w:t>
      </w:r>
      <w:r w:rsidR="00072554" w:rsidRPr="00AC4310">
        <w:rPr>
          <w:rFonts w:ascii="Gadugi" w:eastAsia="Georgia" w:hAnsi="Gadugi" w:cs="Georgia"/>
          <w:sz w:val="24"/>
          <w:szCs w:val="24"/>
        </w:rPr>
        <w:t xml:space="preserve">, otorgada en la </w:t>
      </w:r>
      <w:r w:rsidRPr="00AC4310">
        <w:rPr>
          <w:rFonts w:ascii="Gadugi" w:eastAsia="Georgia" w:hAnsi="Gadugi" w:cs="Georgia"/>
          <w:sz w:val="24"/>
          <w:szCs w:val="24"/>
        </w:rPr>
        <w:t xml:space="preserve">Notaría Sexta de Pereira. </w:t>
      </w:r>
    </w:p>
    <w:p w14:paraId="35278FCB" w14:textId="1540FEEC" w:rsidR="00F659A0" w:rsidRPr="00AC4310" w:rsidRDefault="00F659A0" w:rsidP="00AC4310">
      <w:pPr>
        <w:pStyle w:val="Prrafodelista"/>
        <w:pBdr>
          <w:top w:val="nil"/>
          <w:left w:val="nil"/>
          <w:bottom w:val="nil"/>
          <w:right w:val="nil"/>
          <w:between w:val="nil"/>
        </w:pBdr>
        <w:tabs>
          <w:tab w:val="left" w:pos="426"/>
          <w:tab w:val="left" w:pos="4536"/>
        </w:tabs>
        <w:ind w:left="0"/>
        <w:jc w:val="both"/>
        <w:rPr>
          <w:rFonts w:ascii="Gadugi" w:eastAsia="Georgia" w:hAnsi="Gadugi" w:cs="Georgia"/>
          <w:sz w:val="24"/>
          <w:szCs w:val="24"/>
        </w:rPr>
      </w:pPr>
    </w:p>
    <w:p w14:paraId="567E15C0" w14:textId="71C2A024" w:rsidR="00F659A0" w:rsidRPr="00AC4310" w:rsidRDefault="00F659A0" w:rsidP="00AC4310">
      <w:pPr>
        <w:pStyle w:val="Prrafodelista"/>
        <w:pBdr>
          <w:top w:val="nil"/>
          <w:left w:val="nil"/>
          <w:bottom w:val="nil"/>
          <w:right w:val="nil"/>
          <w:between w:val="nil"/>
        </w:pBdr>
        <w:tabs>
          <w:tab w:val="left" w:pos="426"/>
          <w:tab w:val="left" w:pos="4536"/>
        </w:tabs>
        <w:ind w:left="0"/>
        <w:jc w:val="both"/>
        <w:rPr>
          <w:rFonts w:ascii="Gadugi" w:eastAsia="Georgia" w:hAnsi="Gadugi" w:cs="Georgia"/>
          <w:sz w:val="24"/>
          <w:szCs w:val="24"/>
        </w:rPr>
      </w:pPr>
      <w:r w:rsidRPr="00AC4310">
        <w:rPr>
          <w:rFonts w:ascii="Gadugi" w:eastAsia="Georgia" w:hAnsi="Gadugi" w:cs="Georgia"/>
          <w:sz w:val="24"/>
          <w:szCs w:val="24"/>
        </w:rPr>
        <w:t>La entidad constructora demandada</w:t>
      </w:r>
      <w:r w:rsidR="00DD30E9" w:rsidRPr="00AC4310">
        <w:rPr>
          <w:rFonts w:ascii="Gadugi" w:eastAsia="Georgia" w:hAnsi="Gadugi" w:cs="Georgia"/>
          <w:sz w:val="24"/>
          <w:szCs w:val="24"/>
        </w:rPr>
        <w:t>,</w:t>
      </w:r>
      <w:r w:rsidRPr="00AC4310">
        <w:rPr>
          <w:rFonts w:ascii="Gadugi" w:eastAsia="Georgia" w:hAnsi="Gadugi" w:cs="Georgia"/>
          <w:sz w:val="24"/>
          <w:szCs w:val="24"/>
        </w:rPr>
        <w:t xml:space="preserve"> </w:t>
      </w:r>
      <w:r w:rsidR="00072554" w:rsidRPr="00AC4310">
        <w:rPr>
          <w:rFonts w:ascii="Gadugi" w:eastAsia="Georgia" w:hAnsi="Gadugi" w:cs="Georgia"/>
          <w:sz w:val="24"/>
          <w:szCs w:val="24"/>
        </w:rPr>
        <w:t>e</w:t>
      </w:r>
      <w:r w:rsidRPr="00AC4310">
        <w:rPr>
          <w:rFonts w:ascii="Gadugi" w:eastAsia="Georgia" w:hAnsi="Gadugi" w:cs="Georgia"/>
          <w:sz w:val="24"/>
          <w:szCs w:val="24"/>
        </w:rPr>
        <w:t xml:space="preserve">n el proceso de construcción del conjunto </w:t>
      </w:r>
      <w:r w:rsidRPr="00AC4310">
        <w:rPr>
          <w:rFonts w:ascii="Gadugi" w:eastAsia="Georgia" w:hAnsi="Gadugi" w:cs="Georgia"/>
          <w:i/>
          <w:sz w:val="24"/>
          <w:szCs w:val="24"/>
        </w:rPr>
        <w:t>“Camambú Parque Residencial</w:t>
      </w:r>
      <w:r w:rsidRPr="00AC4310">
        <w:rPr>
          <w:rFonts w:ascii="Gadugi" w:eastAsia="Georgia" w:hAnsi="Gadugi" w:cs="Georgia"/>
          <w:sz w:val="24"/>
          <w:szCs w:val="24"/>
        </w:rPr>
        <w:t>”</w:t>
      </w:r>
      <w:r w:rsidR="006D2142" w:rsidRPr="00AC4310">
        <w:rPr>
          <w:rFonts w:ascii="Gadugi" w:eastAsia="Georgia" w:hAnsi="Gadugi" w:cs="Georgia"/>
          <w:sz w:val="24"/>
          <w:szCs w:val="24"/>
        </w:rPr>
        <w:t xml:space="preserve"> </w:t>
      </w:r>
      <w:r w:rsidR="00DD30E9" w:rsidRPr="00AC4310">
        <w:rPr>
          <w:rFonts w:ascii="Gadugi" w:eastAsia="Georgia" w:hAnsi="Gadugi" w:cs="Georgia"/>
          <w:sz w:val="24"/>
          <w:szCs w:val="24"/>
        </w:rPr>
        <w:t>sobre</w:t>
      </w:r>
      <w:r w:rsidR="006D2142" w:rsidRPr="00AC4310">
        <w:rPr>
          <w:rFonts w:ascii="Gadugi" w:eastAsia="Georgia" w:hAnsi="Gadugi" w:cs="Georgia"/>
          <w:sz w:val="24"/>
          <w:szCs w:val="24"/>
        </w:rPr>
        <w:t xml:space="preserve"> los lotes de matrículas 294773786 y 29473787, “</w:t>
      </w:r>
      <w:r w:rsidRPr="00EC499E">
        <w:rPr>
          <w:rFonts w:ascii="Gadugi" w:eastAsia="Georgia" w:hAnsi="Gadugi" w:cs="Georgia"/>
          <w:i/>
          <w:szCs w:val="24"/>
        </w:rPr>
        <w:t>…</w:t>
      </w:r>
      <w:r w:rsidR="00EC499E" w:rsidRPr="00EC499E">
        <w:rPr>
          <w:rFonts w:ascii="Gadugi" w:eastAsia="Georgia" w:hAnsi="Gadugi" w:cs="Georgia"/>
          <w:i/>
          <w:szCs w:val="24"/>
        </w:rPr>
        <w:t xml:space="preserve"> </w:t>
      </w:r>
      <w:r w:rsidRPr="00EC499E">
        <w:rPr>
          <w:rFonts w:ascii="Gadugi" w:eastAsia="Georgia" w:hAnsi="Gadugi" w:cs="Georgia"/>
          <w:i/>
          <w:szCs w:val="24"/>
        </w:rPr>
        <w:t>invadió una franja de terreno del remanente el Bohío Lote C y que se extendió en aproximadamente 500 metros</w:t>
      </w:r>
      <w:r w:rsidRPr="00AC4310">
        <w:rPr>
          <w:rFonts w:ascii="Gadugi" w:eastAsia="Georgia" w:hAnsi="Gadugi" w:cs="Georgia"/>
          <w:sz w:val="24"/>
          <w:szCs w:val="24"/>
        </w:rPr>
        <w:t>.”</w:t>
      </w:r>
    </w:p>
    <w:p w14:paraId="67AC8BEC" w14:textId="77777777" w:rsidR="00F659A0" w:rsidRPr="00AC4310" w:rsidRDefault="00F659A0" w:rsidP="00AC4310">
      <w:pPr>
        <w:pStyle w:val="Prrafodelista"/>
        <w:rPr>
          <w:rFonts w:ascii="Gadugi" w:eastAsia="Georgia" w:hAnsi="Gadugi" w:cs="Georgia"/>
          <w:sz w:val="24"/>
          <w:szCs w:val="24"/>
        </w:rPr>
      </w:pPr>
    </w:p>
    <w:p w14:paraId="16E4CA97" w14:textId="3373C279" w:rsidR="00F659A0" w:rsidRPr="00AC4310" w:rsidRDefault="00F659A0" w:rsidP="00AC4310">
      <w:pPr>
        <w:pStyle w:val="Prrafodelista"/>
        <w:pBdr>
          <w:top w:val="nil"/>
          <w:left w:val="nil"/>
          <w:bottom w:val="nil"/>
          <w:right w:val="nil"/>
          <w:between w:val="nil"/>
        </w:pBdr>
        <w:tabs>
          <w:tab w:val="left" w:pos="426"/>
          <w:tab w:val="left" w:pos="4536"/>
        </w:tabs>
        <w:ind w:left="0"/>
        <w:jc w:val="both"/>
        <w:rPr>
          <w:rFonts w:ascii="Gadugi" w:eastAsia="Georgia" w:hAnsi="Gadugi" w:cs="Georgia"/>
          <w:sz w:val="24"/>
          <w:szCs w:val="24"/>
        </w:rPr>
      </w:pPr>
      <w:r w:rsidRPr="00AC4310">
        <w:rPr>
          <w:rFonts w:ascii="Gadugi" w:eastAsia="Georgia" w:hAnsi="Gadugi" w:cs="Georgia"/>
          <w:sz w:val="24"/>
          <w:szCs w:val="24"/>
        </w:rPr>
        <w:t>A pesar de los reclamos por parte del demandante y del silencio frente a la propuesta de vender el predio “</w:t>
      </w:r>
      <w:r w:rsidRPr="00EC499E">
        <w:rPr>
          <w:rFonts w:ascii="Gadugi" w:eastAsia="Georgia" w:hAnsi="Gadugi" w:cs="Georgia"/>
          <w:i/>
          <w:szCs w:val="24"/>
        </w:rPr>
        <w:t xml:space="preserve">La constructora demandada se hace llamar dueña de la franja de terreno ocupada y materia de reivindicación, sin serlo, pues manifiesta haberlo comprado a un tercero, sin derivar título </w:t>
      </w:r>
      <w:r w:rsidR="006D2142" w:rsidRPr="00EC499E">
        <w:rPr>
          <w:rFonts w:ascii="Gadugi" w:eastAsia="Georgia" w:hAnsi="Gadugi" w:cs="Georgia"/>
          <w:i/>
          <w:szCs w:val="24"/>
        </w:rPr>
        <w:t>u</w:t>
      </w:r>
      <w:r w:rsidRPr="00EC499E">
        <w:rPr>
          <w:rFonts w:ascii="Gadugi" w:eastAsia="Georgia" w:hAnsi="Gadugi" w:cs="Georgia"/>
          <w:i/>
          <w:szCs w:val="24"/>
        </w:rPr>
        <w:t xml:space="preserve"> ostentarlo del verdadero dueño o propietario</w:t>
      </w:r>
      <w:r w:rsidRPr="00AC4310">
        <w:rPr>
          <w:rFonts w:ascii="Gadugi" w:eastAsia="Georgia" w:hAnsi="Gadugi" w:cs="Georgia"/>
          <w:sz w:val="24"/>
          <w:szCs w:val="24"/>
        </w:rPr>
        <w:t>”</w:t>
      </w:r>
      <w:r w:rsidR="006D2142" w:rsidRPr="00AC4310">
        <w:rPr>
          <w:rFonts w:ascii="Gadugi" w:eastAsia="Georgia" w:hAnsi="Gadugi" w:cs="Georgia"/>
          <w:sz w:val="24"/>
          <w:szCs w:val="24"/>
        </w:rPr>
        <w:t xml:space="preserve">, lo que la convierte en poseedora de mala fe. </w:t>
      </w:r>
    </w:p>
    <w:p w14:paraId="6E9AC30C" w14:textId="427D5F03" w:rsidR="00EE01A3" w:rsidRPr="00AC4310" w:rsidRDefault="00EE01A3" w:rsidP="00AC4310">
      <w:pPr>
        <w:pStyle w:val="Prrafodelista"/>
        <w:pBdr>
          <w:top w:val="nil"/>
          <w:left w:val="nil"/>
          <w:bottom w:val="nil"/>
          <w:right w:val="nil"/>
          <w:between w:val="nil"/>
        </w:pBdr>
        <w:tabs>
          <w:tab w:val="left" w:pos="426"/>
          <w:tab w:val="left" w:pos="4536"/>
        </w:tabs>
        <w:ind w:left="0"/>
        <w:jc w:val="both"/>
        <w:rPr>
          <w:rFonts w:ascii="Gadugi" w:eastAsia="Georgia" w:hAnsi="Gadugi" w:cs="Georgia"/>
          <w:sz w:val="24"/>
          <w:szCs w:val="24"/>
        </w:rPr>
      </w:pPr>
    </w:p>
    <w:p w14:paraId="5EB2C67D" w14:textId="2108D666" w:rsidR="00EE01A3" w:rsidRPr="00AC4310" w:rsidRDefault="00EE01A3" w:rsidP="00AC4310">
      <w:pPr>
        <w:pStyle w:val="Prrafodelista"/>
        <w:pBdr>
          <w:top w:val="nil"/>
          <w:left w:val="nil"/>
          <w:bottom w:val="nil"/>
          <w:right w:val="nil"/>
          <w:between w:val="nil"/>
        </w:pBdr>
        <w:tabs>
          <w:tab w:val="left" w:pos="426"/>
          <w:tab w:val="left" w:pos="4536"/>
        </w:tabs>
        <w:ind w:left="0"/>
        <w:jc w:val="both"/>
        <w:rPr>
          <w:rFonts w:ascii="Gadugi" w:eastAsia="Georgia" w:hAnsi="Gadugi" w:cs="Georgia"/>
          <w:b/>
          <w:sz w:val="24"/>
          <w:szCs w:val="24"/>
        </w:rPr>
      </w:pPr>
      <w:r w:rsidRPr="00AC4310">
        <w:rPr>
          <w:rFonts w:ascii="Gadugi" w:eastAsia="Georgia" w:hAnsi="Gadugi" w:cs="Georgia"/>
          <w:b/>
          <w:sz w:val="24"/>
          <w:szCs w:val="24"/>
        </w:rPr>
        <w:t>1.2</w:t>
      </w:r>
      <w:r w:rsidR="00B96C23" w:rsidRPr="00AC4310">
        <w:rPr>
          <w:rFonts w:ascii="Gadugi" w:eastAsia="Georgia" w:hAnsi="Gadugi" w:cs="Georgia"/>
          <w:b/>
          <w:sz w:val="24"/>
          <w:szCs w:val="24"/>
        </w:rPr>
        <w:t>.</w:t>
      </w:r>
      <w:r w:rsidRPr="00AC4310">
        <w:rPr>
          <w:rFonts w:ascii="Gadugi" w:eastAsia="Georgia" w:hAnsi="Gadugi" w:cs="Georgia"/>
          <w:b/>
          <w:sz w:val="24"/>
          <w:szCs w:val="24"/>
        </w:rPr>
        <w:t xml:space="preserve"> Pretensiones </w:t>
      </w:r>
    </w:p>
    <w:p w14:paraId="0B4039AE" w14:textId="071826D0" w:rsidR="00F659A0" w:rsidRPr="00AC4310" w:rsidRDefault="00F659A0" w:rsidP="00AC4310">
      <w:pPr>
        <w:pStyle w:val="Prrafodelista"/>
        <w:pBdr>
          <w:top w:val="nil"/>
          <w:left w:val="nil"/>
          <w:bottom w:val="nil"/>
          <w:right w:val="nil"/>
          <w:between w:val="nil"/>
        </w:pBdr>
        <w:tabs>
          <w:tab w:val="left" w:pos="426"/>
          <w:tab w:val="left" w:pos="4536"/>
        </w:tabs>
        <w:ind w:left="0"/>
        <w:jc w:val="both"/>
        <w:rPr>
          <w:rFonts w:ascii="Gadugi" w:eastAsia="Georgia" w:hAnsi="Gadugi" w:cs="Georgia"/>
          <w:sz w:val="24"/>
          <w:szCs w:val="24"/>
        </w:rPr>
      </w:pPr>
    </w:p>
    <w:p w14:paraId="44959B5B" w14:textId="5F99E025" w:rsidR="00EE01A3" w:rsidRPr="00AC4310" w:rsidRDefault="00EE01A3" w:rsidP="00AC4310">
      <w:pPr>
        <w:pStyle w:val="Prrafodelista"/>
        <w:pBdr>
          <w:top w:val="nil"/>
          <w:left w:val="nil"/>
          <w:bottom w:val="nil"/>
          <w:right w:val="nil"/>
          <w:between w:val="nil"/>
        </w:pBdr>
        <w:tabs>
          <w:tab w:val="left" w:pos="426"/>
          <w:tab w:val="left" w:pos="4536"/>
        </w:tabs>
        <w:ind w:left="0"/>
        <w:jc w:val="both"/>
        <w:rPr>
          <w:rFonts w:ascii="Gadugi" w:eastAsia="Georgia" w:hAnsi="Gadugi" w:cs="Georgia"/>
          <w:sz w:val="24"/>
          <w:szCs w:val="24"/>
        </w:rPr>
      </w:pPr>
      <w:r w:rsidRPr="00AC4310">
        <w:rPr>
          <w:rFonts w:ascii="Gadugi" w:eastAsia="Georgia" w:hAnsi="Gadugi" w:cs="Georgia"/>
          <w:sz w:val="24"/>
          <w:szCs w:val="24"/>
        </w:rPr>
        <w:t xml:space="preserve">Pidió que </w:t>
      </w:r>
      <w:r w:rsidR="006D2142" w:rsidRPr="00AC4310">
        <w:rPr>
          <w:rFonts w:ascii="Gadugi" w:eastAsia="Georgia" w:hAnsi="Gadugi" w:cs="Georgia"/>
          <w:sz w:val="24"/>
          <w:szCs w:val="24"/>
        </w:rPr>
        <w:t xml:space="preserve">(i) </w:t>
      </w:r>
      <w:r w:rsidRPr="00AC4310">
        <w:rPr>
          <w:rFonts w:ascii="Gadugi" w:eastAsia="Georgia" w:hAnsi="Gadugi" w:cs="Georgia"/>
          <w:sz w:val="24"/>
          <w:szCs w:val="24"/>
        </w:rPr>
        <w:t>se declare que es dueño del inmueble denominado “</w:t>
      </w:r>
      <w:r w:rsidRPr="00AC4310">
        <w:rPr>
          <w:rFonts w:ascii="Gadugi" w:eastAsia="Georgia" w:hAnsi="Gadugi" w:cs="Georgia"/>
          <w:i/>
          <w:sz w:val="24"/>
          <w:szCs w:val="24"/>
        </w:rPr>
        <w:t>remanente el Bohío Lote C</w:t>
      </w:r>
      <w:r w:rsidRPr="00AC4310">
        <w:rPr>
          <w:rFonts w:ascii="Gadugi" w:eastAsia="Georgia" w:hAnsi="Gadugi" w:cs="Georgia"/>
          <w:sz w:val="24"/>
          <w:szCs w:val="24"/>
        </w:rPr>
        <w:t>” identificado en el hecho primero de la demanda</w:t>
      </w:r>
      <w:r w:rsidR="006D2142" w:rsidRPr="00AC4310">
        <w:rPr>
          <w:rFonts w:ascii="Gadugi" w:eastAsia="Georgia" w:hAnsi="Gadugi" w:cs="Georgia"/>
          <w:sz w:val="24"/>
          <w:szCs w:val="24"/>
        </w:rPr>
        <w:t>;</w:t>
      </w:r>
      <w:r w:rsidRPr="00AC4310">
        <w:rPr>
          <w:rFonts w:ascii="Gadugi" w:eastAsia="Georgia" w:hAnsi="Gadugi" w:cs="Georgia"/>
          <w:sz w:val="24"/>
          <w:szCs w:val="24"/>
        </w:rPr>
        <w:t xml:space="preserve"> como consecuencia</w:t>
      </w:r>
      <w:r w:rsidR="006D2142" w:rsidRPr="00AC4310">
        <w:rPr>
          <w:rFonts w:ascii="Gadugi" w:eastAsia="Georgia" w:hAnsi="Gadugi" w:cs="Georgia"/>
          <w:sz w:val="24"/>
          <w:szCs w:val="24"/>
        </w:rPr>
        <w:t>,</w:t>
      </w:r>
      <w:r w:rsidRPr="00AC4310">
        <w:rPr>
          <w:rFonts w:ascii="Gadugi" w:eastAsia="Georgia" w:hAnsi="Gadugi" w:cs="Georgia"/>
          <w:sz w:val="24"/>
          <w:szCs w:val="24"/>
        </w:rPr>
        <w:t xml:space="preserve"> </w:t>
      </w:r>
      <w:r w:rsidR="006D2142" w:rsidRPr="00AC4310">
        <w:rPr>
          <w:rFonts w:ascii="Gadugi" w:eastAsia="Georgia" w:hAnsi="Gadugi" w:cs="Georgia"/>
          <w:sz w:val="24"/>
          <w:szCs w:val="24"/>
        </w:rPr>
        <w:t xml:space="preserve">(ii) </w:t>
      </w:r>
      <w:r w:rsidRPr="00AC4310">
        <w:rPr>
          <w:rFonts w:ascii="Gadugi" w:eastAsia="Georgia" w:hAnsi="Gadugi" w:cs="Georgia"/>
          <w:sz w:val="24"/>
          <w:szCs w:val="24"/>
        </w:rPr>
        <w:t>se condene a la constructora demandada a restituir</w:t>
      </w:r>
      <w:r w:rsidR="006D2142" w:rsidRPr="00AC4310">
        <w:rPr>
          <w:rFonts w:ascii="Gadugi" w:eastAsia="Georgia" w:hAnsi="Gadugi" w:cs="Georgia"/>
          <w:sz w:val="24"/>
          <w:szCs w:val="24"/>
        </w:rPr>
        <w:t>lo</w:t>
      </w:r>
      <w:r w:rsidRPr="00AC4310">
        <w:rPr>
          <w:rFonts w:ascii="Gadugi" w:eastAsia="Georgia" w:hAnsi="Gadugi" w:cs="Georgia"/>
          <w:sz w:val="24"/>
          <w:szCs w:val="24"/>
        </w:rPr>
        <w:t xml:space="preserve"> </w:t>
      </w:r>
      <w:r w:rsidR="006D2142" w:rsidRPr="00AC4310">
        <w:rPr>
          <w:rFonts w:ascii="Gadugi" w:eastAsia="Georgia" w:hAnsi="Gadugi" w:cs="Georgia"/>
          <w:sz w:val="24"/>
          <w:szCs w:val="24"/>
        </w:rPr>
        <w:t xml:space="preserve">al </w:t>
      </w:r>
      <w:r w:rsidRPr="00AC4310">
        <w:rPr>
          <w:rFonts w:ascii="Gadugi" w:eastAsia="Georgia" w:hAnsi="Gadugi" w:cs="Georgia"/>
          <w:sz w:val="24"/>
          <w:szCs w:val="24"/>
        </w:rPr>
        <w:t xml:space="preserve">demandante, </w:t>
      </w:r>
      <w:r w:rsidR="006D2142" w:rsidRPr="00AC4310">
        <w:rPr>
          <w:rFonts w:ascii="Gadugi" w:eastAsia="Georgia" w:hAnsi="Gadugi" w:cs="Georgia"/>
          <w:sz w:val="24"/>
          <w:szCs w:val="24"/>
        </w:rPr>
        <w:t xml:space="preserve">junto con los frutos </w:t>
      </w:r>
      <w:r w:rsidRPr="00AC4310">
        <w:rPr>
          <w:rFonts w:ascii="Gadugi" w:eastAsia="Georgia" w:hAnsi="Gadugi" w:cs="Georgia"/>
          <w:sz w:val="24"/>
          <w:szCs w:val="24"/>
        </w:rPr>
        <w:t>civiles por concepto de administración</w:t>
      </w:r>
      <w:r w:rsidR="006D2142" w:rsidRPr="00AC4310">
        <w:rPr>
          <w:rFonts w:ascii="Gadugi" w:eastAsia="Georgia" w:hAnsi="Gadugi" w:cs="Georgia"/>
          <w:sz w:val="24"/>
          <w:szCs w:val="24"/>
        </w:rPr>
        <w:t xml:space="preserve">; (iii) se declare que </w:t>
      </w:r>
      <w:r w:rsidRPr="00AC4310">
        <w:rPr>
          <w:rFonts w:ascii="Gadugi" w:eastAsia="Georgia" w:hAnsi="Gadugi" w:cs="Georgia"/>
          <w:sz w:val="24"/>
          <w:szCs w:val="24"/>
        </w:rPr>
        <w:t xml:space="preserve">no </w:t>
      </w:r>
      <w:r w:rsidR="006D2142" w:rsidRPr="00AC4310">
        <w:rPr>
          <w:rFonts w:ascii="Gadugi" w:eastAsia="Georgia" w:hAnsi="Gadugi" w:cs="Georgia"/>
          <w:sz w:val="24"/>
          <w:szCs w:val="24"/>
        </w:rPr>
        <w:t xml:space="preserve">está </w:t>
      </w:r>
      <w:r w:rsidRPr="00AC4310">
        <w:rPr>
          <w:rFonts w:ascii="Gadugi" w:eastAsia="Georgia" w:hAnsi="Gadugi" w:cs="Georgia"/>
          <w:sz w:val="24"/>
          <w:szCs w:val="24"/>
        </w:rPr>
        <w:t>obliga</w:t>
      </w:r>
      <w:r w:rsidR="006D2142" w:rsidRPr="00AC4310">
        <w:rPr>
          <w:rFonts w:ascii="Gadugi" w:eastAsia="Georgia" w:hAnsi="Gadugi" w:cs="Georgia"/>
          <w:sz w:val="24"/>
          <w:szCs w:val="24"/>
        </w:rPr>
        <w:t xml:space="preserve">do a pagar mejoras, si las </w:t>
      </w:r>
      <w:r w:rsidR="00EC499E" w:rsidRPr="00AC4310">
        <w:rPr>
          <w:rFonts w:ascii="Gadugi" w:eastAsia="Georgia" w:hAnsi="Gadugi" w:cs="Georgia"/>
          <w:sz w:val="24"/>
          <w:szCs w:val="24"/>
        </w:rPr>
        <w:t>hubiere; (</w:t>
      </w:r>
      <w:r w:rsidR="00CE70BF" w:rsidRPr="00AC4310">
        <w:rPr>
          <w:rFonts w:ascii="Gadugi" w:eastAsia="Georgia" w:hAnsi="Gadugi" w:cs="Georgia"/>
          <w:sz w:val="24"/>
          <w:szCs w:val="24"/>
        </w:rPr>
        <w:t>iv) se disponga el registro de</w:t>
      </w:r>
      <w:r w:rsidR="00111BD4" w:rsidRPr="00AC4310">
        <w:rPr>
          <w:rFonts w:ascii="Gadugi" w:eastAsia="Georgia" w:hAnsi="Gadugi" w:cs="Georgia"/>
          <w:sz w:val="24"/>
          <w:szCs w:val="24"/>
        </w:rPr>
        <w:t xml:space="preserve"> </w:t>
      </w:r>
      <w:r w:rsidR="00CE70BF" w:rsidRPr="00AC4310">
        <w:rPr>
          <w:rFonts w:ascii="Gadugi" w:eastAsia="Georgia" w:hAnsi="Gadugi" w:cs="Georgia"/>
          <w:sz w:val="24"/>
          <w:szCs w:val="24"/>
        </w:rPr>
        <w:t>la sentencia; y (v) se condene en costas a la demandada</w:t>
      </w:r>
      <w:r w:rsidR="006D2142" w:rsidRPr="00AC4310">
        <w:rPr>
          <w:rFonts w:ascii="Gadugi" w:eastAsia="Georgia" w:hAnsi="Gadugi" w:cs="Georgia"/>
          <w:sz w:val="24"/>
          <w:szCs w:val="24"/>
        </w:rPr>
        <w:t xml:space="preserve">. </w:t>
      </w:r>
    </w:p>
    <w:p w14:paraId="6B94D9B2" w14:textId="77777777" w:rsidR="00EE01A3" w:rsidRPr="00AC4310" w:rsidRDefault="00EE01A3" w:rsidP="00AC4310">
      <w:pPr>
        <w:pStyle w:val="Prrafodelista"/>
        <w:pBdr>
          <w:top w:val="nil"/>
          <w:left w:val="nil"/>
          <w:bottom w:val="nil"/>
          <w:right w:val="nil"/>
          <w:between w:val="nil"/>
        </w:pBdr>
        <w:tabs>
          <w:tab w:val="left" w:pos="426"/>
          <w:tab w:val="left" w:pos="4536"/>
        </w:tabs>
        <w:ind w:left="0"/>
        <w:jc w:val="both"/>
        <w:rPr>
          <w:rFonts w:ascii="Gadugi" w:eastAsia="Georgia" w:hAnsi="Gadugi" w:cs="Georgia"/>
          <w:sz w:val="24"/>
          <w:szCs w:val="24"/>
        </w:rPr>
      </w:pPr>
    </w:p>
    <w:p w14:paraId="57BDF576" w14:textId="5C8FDAA4" w:rsidR="00EE01A3" w:rsidRPr="00AC4310" w:rsidRDefault="00EE01A3" w:rsidP="00AC4310">
      <w:pPr>
        <w:pStyle w:val="Prrafodelista"/>
        <w:pBdr>
          <w:top w:val="nil"/>
          <w:left w:val="nil"/>
          <w:bottom w:val="nil"/>
          <w:right w:val="nil"/>
          <w:between w:val="nil"/>
        </w:pBdr>
        <w:tabs>
          <w:tab w:val="left" w:pos="426"/>
          <w:tab w:val="left" w:pos="4536"/>
        </w:tabs>
        <w:ind w:left="0"/>
        <w:jc w:val="both"/>
        <w:rPr>
          <w:rFonts w:ascii="Gadugi" w:eastAsia="Georgia" w:hAnsi="Gadugi" w:cs="Georgia"/>
          <w:b/>
          <w:sz w:val="24"/>
          <w:szCs w:val="24"/>
        </w:rPr>
      </w:pPr>
      <w:r w:rsidRPr="00AC4310">
        <w:rPr>
          <w:rFonts w:ascii="Gadugi" w:eastAsia="Georgia" w:hAnsi="Gadugi" w:cs="Georgia"/>
          <w:b/>
          <w:sz w:val="24"/>
          <w:szCs w:val="24"/>
        </w:rPr>
        <w:t>1.3. Trámite</w:t>
      </w:r>
      <w:r w:rsidR="00F659A0" w:rsidRPr="00AC4310">
        <w:rPr>
          <w:rFonts w:ascii="Gadugi" w:eastAsia="Georgia" w:hAnsi="Gadugi" w:cs="Georgia"/>
          <w:b/>
          <w:sz w:val="24"/>
          <w:szCs w:val="24"/>
        </w:rPr>
        <w:t xml:space="preserve"> </w:t>
      </w:r>
      <w:r w:rsidRPr="00AC4310">
        <w:rPr>
          <w:rFonts w:ascii="Gadugi" w:eastAsia="Georgia" w:hAnsi="Gadugi" w:cs="Georgia"/>
          <w:b/>
          <w:sz w:val="24"/>
          <w:szCs w:val="24"/>
        </w:rPr>
        <w:t>y contestación</w:t>
      </w:r>
    </w:p>
    <w:p w14:paraId="15C3B4D9" w14:textId="77777777" w:rsidR="00EE01A3" w:rsidRPr="00AC4310" w:rsidRDefault="00EE01A3" w:rsidP="00AC4310">
      <w:pPr>
        <w:pStyle w:val="Prrafodelista"/>
        <w:pBdr>
          <w:top w:val="nil"/>
          <w:left w:val="nil"/>
          <w:bottom w:val="nil"/>
          <w:right w:val="nil"/>
          <w:between w:val="nil"/>
        </w:pBdr>
        <w:tabs>
          <w:tab w:val="left" w:pos="426"/>
          <w:tab w:val="left" w:pos="4536"/>
        </w:tabs>
        <w:ind w:left="0"/>
        <w:jc w:val="both"/>
        <w:rPr>
          <w:rFonts w:ascii="Gadugi" w:eastAsia="Georgia" w:hAnsi="Gadugi" w:cs="Georgia"/>
          <w:sz w:val="24"/>
          <w:szCs w:val="24"/>
        </w:rPr>
      </w:pPr>
    </w:p>
    <w:p w14:paraId="12A89ABF" w14:textId="53DE9484" w:rsidR="000E49EB" w:rsidRPr="00AC4310" w:rsidRDefault="00225588" w:rsidP="00AC4310">
      <w:pPr>
        <w:pStyle w:val="Prrafodelista"/>
        <w:pBdr>
          <w:top w:val="nil"/>
          <w:left w:val="nil"/>
          <w:bottom w:val="nil"/>
          <w:right w:val="nil"/>
          <w:between w:val="nil"/>
        </w:pBdr>
        <w:tabs>
          <w:tab w:val="left" w:pos="426"/>
          <w:tab w:val="left" w:pos="4536"/>
        </w:tabs>
        <w:ind w:left="0"/>
        <w:jc w:val="both"/>
        <w:rPr>
          <w:rFonts w:ascii="Gadugi" w:eastAsia="Georgia" w:hAnsi="Gadugi" w:cs="Georgia"/>
          <w:sz w:val="24"/>
          <w:szCs w:val="24"/>
        </w:rPr>
      </w:pPr>
      <w:r w:rsidRPr="00AC4310">
        <w:rPr>
          <w:rFonts w:ascii="Gadugi" w:eastAsia="Georgia" w:hAnsi="Gadugi" w:cs="Georgia"/>
          <w:sz w:val="24"/>
          <w:szCs w:val="24"/>
        </w:rPr>
        <w:t>Admitida la demanda</w:t>
      </w:r>
      <w:r w:rsidRPr="00AC4310">
        <w:rPr>
          <w:rStyle w:val="Refdenotaalpie"/>
          <w:rFonts w:ascii="Gadugi" w:eastAsia="Georgia" w:hAnsi="Gadugi" w:cs="Georgia"/>
          <w:sz w:val="24"/>
          <w:szCs w:val="24"/>
        </w:rPr>
        <w:footnoteReference w:id="3"/>
      </w:r>
      <w:r w:rsidR="00CE70BF" w:rsidRPr="00AC4310">
        <w:rPr>
          <w:rFonts w:ascii="Gadugi" w:eastAsia="Georgia" w:hAnsi="Gadugi" w:cs="Georgia"/>
          <w:sz w:val="24"/>
          <w:szCs w:val="24"/>
        </w:rPr>
        <w:t xml:space="preserve"> </w:t>
      </w:r>
      <w:r w:rsidR="00972849" w:rsidRPr="00AC4310">
        <w:rPr>
          <w:rFonts w:ascii="Gadugi" w:eastAsia="Georgia" w:hAnsi="Gadugi" w:cs="Georgia"/>
          <w:sz w:val="24"/>
          <w:szCs w:val="24"/>
        </w:rPr>
        <w:t>y notificad</w:t>
      </w:r>
      <w:r w:rsidR="00CE70BF" w:rsidRPr="00AC4310">
        <w:rPr>
          <w:rFonts w:ascii="Gadugi" w:eastAsia="Georgia" w:hAnsi="Gadugi" w:cs="Georgia"/>
          <w:sz w:val="24"/>
          <w:szCs w:val="24"/>
        </w:rPr>
        <w:t>a</w:t>
      </w:r>
      <w:r w:rsidR="00972849" w:rsidRPr="00AC4310">
        <w:rPr>
          <w:rFonts w:ascii="Gadugi" w:eastAsia="Georgia" w:hAnsi="Gadugi" w:cs="Georgia"/>
          <w:sz w:val="24"/>
          <w:szCs w:val="24"/>
        </w:rPr>
        <w:t xml:space="preserve"> l</w:t>
      </w:r>
      <w:r w:rsidR="00CE70BF" w:rsidRPr="00AC4310">
        <w:rPr>
          <w:rFonts w:ascii="Gadugi" w:eastAsia="Georgia" w:hAnsi="Gadugi" w:cs="Georgia"/>
          <w:sz w:val="24"/>
          <w:szCs w:val="24"/>
        </w:rPr>
        <w:t>a demandada Constructora Camambú SAS, oportunamente contestó</w:t>
      </w:r>
      <w:r w:rsidRPr="00AC4310">
        <w:rPr>
          <w:rStyle w:val="Refdenotaalpie"/>
          <w:rFonts w:ascii="Gadugi" w:eastAsia="Georgia" w:hAnsi="Gadugi" w:cs="Georgia"/>
          <w:sz w:val="24"/>
          <w:szCs w:val="24"/>
        </w:rPr>
        <w:footnoteReference w:id="4"/>
      </w:r>
      <w:r w:rsidR="00CE70BF" w:rsidRPr="00AC4310">
        <w:rPr>
          <w:rFonts w:ascii="Gadugi" w:eastAsia="Georgia" w:hAnsi="Gadugi" w:cs="Georgia"/>
          <w:sz w:val="24"/>
          <w:szCs w:val="24"/>
        </w:rPr>
        <w:t xml:space="preserve">, </w:t>
      </w:r>
      <w:r w:rsidR="000E49EB" w:rsidRPr="00AC4310">
        <w:rPr>
          <w:rFonts w:ascii="Gadugi" w:eastAsia="Georgia" w:hAnsi="Gadugi" w:cs="Georgia"/>
          <w:sz w:val="24"/>
          <w:szCs w:val="24"/>
        </w:rPr>
        <w:t>se refirió a los hechos, se opuso a las pretensiones y como excepción presentó la que denominó falta de legitimación en la causa por pasiva</w:t>
      </w:r>
      <w:r w:rsidR="00CE70BF" w:rsidRPr="00AC4310">
        <w:rPr>
          <w:rFonts w:ascii="Gadugi" w:eastAsia="Georgia" w:hAnsi="Gadugi" w:cs="Georgia"/>
          <w:sz w:val="24"/>
          <w:szCs w:val="24"/>
        </w:rPr>
        <w:t>. S</w:t>
      </w:r>
      <w:r w:rsidR="000E49EB" w:rsidRPr="00AC4310">
        <w:rPr>
          <w:rFonts w:ascii="Gadugi" w:eastAsia="Georgia" w:hAnsi="Gadugi" w:cs="Georgia"/>
          <w:sz w:val="24"/>
          <w:szCs w:val="24"/>
        </w:rPr>
        <w:t xml:space="preserve">ubsidiariamente, </w:t>
      </w:r>
      <w:r w:rsidR="00CE70BF" w:rsidRPr="00AC4310">
        <w:rPr>
          <w:rFonts w:ascii="Gadugi" w:eastAsia="Georgia" w:hAnsi="Gadugi" w:cs="Georgia"/>
          <w:sz w:val="24"/>
          <w:szCs w:val="24"/>
        </w:rPr>
        <w:t xml:space="preserve">planteó (i) ausencia </w:t>
      </w:r>
      <w:r w:rsidR="000E49EB" w:rsidRPr="00AC4310">
        <w:rPr>
          <w:rFonts w:ascii="Gadugi" w:eastAsia="Georgia" w:hAnsi="Gadugi" w:cs="Georgia"/>
          <w:sz w:val="24"/>
          <w:szCs w:val="24"/>
        </w:rPr>
        <w:t xml:space="preserve">de causa para demandar; </w:t>
      </w:r>
      <w:r w:rsidR="00CE70BF" w:rsidRPr="00AC4310">
        <w:rPr>
          <w:rFonts w:ascii="Gadugi" w:eastAsia="Georgia" w:hAnsi="Gadugi" w:cs="Georgia"/>
          <w:sz w:val="24"/>
          <w:szCs w:val="24"/>
        </w:rPr>
        <w:t xml:space="preserve">(ii) </w:t>
      </w:r>
      <w:r w:rsidR="000E49EB" w:rsidRPr="00AC4310">
        <w:rPr>
          <w:rFonts w:ascii="Gadugi" w:eastAsia="Georgia" w:hAnsi="Gadugi" w:cs="Georgia"/>
          <w:sz w:val="24"/>
          <w:szCs w:val="24"/>
        </w:rPr>
        <w:t>negocio jurídico de compraventa de la franja de terreno que discute el actor</w:t>
      </w:r>
      <w:r w:rsidR="00CE70BF" w:rsidRPr="00AC4310">
        <w:rPr>
          <w:rFonts w:ascii="Gadugi" w:eastAsia="Georgia" w:hAnsi="Gadugi" w:cs="Georgia"/>
          <w:sz w:val="24"/>
          <w:szCs w:val="24"/>
        </w:rPr>
        <w:t xml:space="preserve">; </w:t>
      </w:r>
      <w:r w:rsidR="00EC499E" w:rsidRPr="00AC4310">
        <w:rPr>
          <w:rFonts w:ascii="Gadugi" w:eastAsia="Georgia" w:hAnsi="Gadugi" w:cs="Georgia"/>
          <w:sz w:val="24"/>
          <w:szCs w:val="24"/>
        </w:rPr>
        <w:t>y (</w:t>
      </w:r>
      <w:r w:rsidR="00CE70BF" w:rsidRPr="00AC4310">
        <w:rPr>
          <w:rFonts w:ascii="Gadugi" w:eastAsia="Georgia" w:hAnsi="Gadugi" w:cs="Georgia"/>
          <w:sz w:val="24"/>
          <w:szCs w:val="24"/>
        </w:rPr>
        <w:t>iii)</w:t>
      </w:r>
      <w:r w:rsidR="000E49EB" w:rsidRPr="00AC4310">
        <w:rPr>
          <w:rFonts w:ascii="Gadugi" w:eastAsia="Georgia" w:hAnsi="Gadugi" w:cs="Georgia"/>
          <w:sz w:val="24"/>
          <w:szCs w:val="24"/>
        </w:rPr>
        <w:t xml:space="preserve"> abuso del derecho. </w:t>
      </w:r>
    </w:p>
    <w:p w14:paraId="7CD8FB80" w14:textId="77777777" w:rsidR="00AA1A60" w:rsidRPr="00AC4310" w:rsidRDefault="00AA1A60"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37DFC5AF" w14:textId="4DF99A88" w:rsidR="00CE70BF" w:rsidRPr="00AC4310" w:rsidRDefault="00CE70BF"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r w:rsidRPr="00AC4310">
        <w:rPr>
          <w:rFonts w:ascii="Gadugi" w:eastAsia="Georgia" w:hAnsi="Gadugi" w:cs="Georgia"/>
          <w:sz w:val="24"/>
          <w:szCs w:val="24"/>
        </w:rPr>
        <w:t xml:space="preserve">Adujo que </w:t>
      </w:r>
      <w:r w:rsidR="00AA1A60" w:rsidRPr="00AC4310">
        <w:rPr>
          <w:rFonts w:ascii="Gadugi" w:eastAsia="Georgia" w:hAnsi="Gadugi" w:cs="Georgia"/>
          <w:sz w:val="24"/>
          <w:szCs w:val="24"/>
        </w:rPr>
        <w:t>entregó real y materialmente todas las mejoras, posesiones y anexidades de la franja de terreno en litigio a la propiedad horizontal</w:t>
      </w:r>
      <w:r w:rsidR="00D20CEA" w:rsidRPr="00AC4310">
        <w:rPr>
          <w:rFonts w:ascii="Gadugi" w:eastAsia="Georgia" w:hAnsi="Gadugi" w:cs="Georgia"/>
          <w:sz w:val="24"/>
          <w:szCs w:val="24"/>
        </w:rPr>
        <w:t xml:space="preserve"> Camambú</w:t>
      </w:r>
      <w:r w:rsidR="00AA1A60" w:rsidRPr="00AC4310">
        <w:rPr>
          <w:rFonts w:ascii="Gadugi" w:eastAsia="Georgia" w:hAnsi="Gadugi" w:cs="Georgia"/>
          <w:sz w:val="24"/>
          <w:szCs w:val="24"/>
        </w:rPr>
        <w:t>.</w:t>
      </w:r>
      <w:r w:rsidR="00D20CEA" w:rsidRPr="00AC4310">
        <w:rPr>
          <w:rFonts w:ascii="Gadugi" w:eastAsia="Georgia" w:hAnsi="Gadugi" w:cs="Georgia"/>
          <w:sz w:val="24"/>
          <w:szCs w:val="24"/>
        </w:rPr>
        <w:t xml:space="preserve">  </w:t>
      </w:r>
      <w:r w:rsidR="00AA1A60" w:rsidRPr="00AC4310">
        <w:rPr>
          <w:rFonts w:ascii="Gadugi" w:eastAsia="Georgia" w:hAnsi="Gadugi" w:cs="Georgia"/>
          <w:sz w:val="24"/>
          <w:szCs w:val="24"/>
        </w:rPr>
        <w:t>Así mismo</w:t>
      </w:r>
      <w:r w:rsidRPr="00AC4310">
        <w:rPr>
          <w:rFonts w:ascii="Gadugi" w:eastAsia="Georgia" w:hAnsi="Gadugi" w:cs="Georgia"/>
          <w:sz w:val="24"/>
          <w:szCs w:val="24"/>
        </w:rPr>
        <w:t>,</w:t>
      </w:r>
      <w:r w:rsidR="00AA1A60" w:rsidRPr="00AC4310">
        <w:rPr>
          <w:rFonts w:ascii="Gadugi" w:eastAsia="Georgia" w:hAnsi="Gadugi" w:cs="Georgia"/>
          <w:sz w:val="24"/>
          <w:szCs w:val="24"/>
        </w:rPr>
        <w:t xml:space="preserve"> que el </w:t>
      </w:r>
      <w:r w:rsidR="00AA1A60" w:rsidRPr="00AC4310">
        <w:rPr>
          <w:rFonts w:ascii="Gadugi" w:eastAsia="Georgia" w:hAnsi="Gadugi" w:cs="Georgia"/>
          <w:sz w:val="24"/>
          <w:szCs w:val="24"/>
        </w:rPr>
        <w:lastRenderedPageBreak/>
        <w:t>demandante adquirió el bien como cuerpo cierto</w:t>
      </w:r>
      <w:r w:rsidRPr="00AC4310">
        <w:rPr>
          <w:rFonts w:ascii="Gadugi" w:eastAsia="Georgia" w:hAnsi="Gadugi" w:cs="Georgia"/>
          <w:sz w:val="24"/>
          <w:szCs w:val="24"/>
        </w:rPr>
        <w:t xml:space="preserve"> y </w:t>
      </w:r>
      <w:r w:rsidR="00AA1A60" w:rsidRPr="00AC4310">
        <w:rPr>
          <w:rFonts w:ascii="Gadugi" w:eastAsia="Georgia" w:hAnsi="Gadugi" w:cs="Georgia"/>
          <w:sz w:val="24"/>
          <w:szCs w:val="24"/>
        </w:rPr>
        <w:t>que existe un negocio jurídico de compraventa</w:t>
      </w:r>
      <w:r w:rsidR="003C219D" w:rsidRPr="00AC4310">
        <w:rPr>
          <w:rFonts w:ascii="Gadugi" w:eastAsia="Georgia" w:hAnsi="Gadugi" w:cs="Georgia"/>
          <w:sz w:val="24"/>
          <w:szCs w:val="24"/>
        </w:rPr>
        <w:t xml:space="preserve"> de la posesión que sobre el terreno en disputa obtuvo Camambú S.A.S. de las anteriores accionistas de esta empresa, por valor de $40</w:t>
      </w:r>
      <w:r w:rsidR="00D31769" w:rsidRPr="00AC4310">
        <w:rPr>
          <w:rFonts w:ascii="Gadugi" w:eastAsia="Georgia" w:hAnsi="Gadugi" w:cs="Georgia"/>
          <w:sz w:val="24"/>
          <w:szCs w:val="24"/>
        </w:rPr>
        <w:t>’</w:t>
      </w:r>
      <w:r w:rsidR="003C219D" w:rsidRPr="00AC4310">
        <w:rPr>
          <w:rFonts w:ascii="Gadugi" w:eastAsia="Georgia" w:hAnsi="Gadugi" w:cs="Georgia"/>
          <w:sz w:val="24"/>
          <w:szCs w:val="24"/>
        </w:rPr>
        <w:t>000.000</w:t>
      </w:r>
      <w:r w:rsidR="00EC499E">
        <w:rPr>
          <w:rFonts w:ascii="Gadugi" w:eastAsia="Georgia" w:hAnsi="Gadugi" w:cs="Georgia"/>
          <w:sz w:val="24"/>
          <w:szCs w:val="24"/>
        </w:rPr>
        <w:t>,00</w:t>
      </w:r>
      <w:r w:rsidRPr="00AC4310">
        <w:rPr>
          <w:rFonts w:ascii="Gadugi" w:eastAsia="Georgia" w:hAnsi="Gadugi" w:cs="Georgia"/>
          <w:sz w:val="24"/>
          <w:szCs w:val="24"/>
        </w:rPr>
        <w:t xml:space="preserve">. </w:t>
      </w:r>
    </w:p>
    <w:p w14:paraId="513DDF75" w14:textId="77777777" w:rsidR="00CE70BF" w:rsidRPr="00AC4310" w:rsidRDefault="00CE70BF"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27B0D91C" w14:textId="14D1AF98" w:rsidR="003C219D" w:rsidRPr="00AC4310" w:rsidRDefault="00CE70BF"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r w:rsidRPr="00AC4310">
        <w:rPr>
          <w:rFonts w:ascii="Gadugi" w:eastAsia="Georgia" w:hAnsi="Gadugi" w:cs="Georgia"/>
          <w:sz w:val="24"/>
          <w:szCs w:val="24"/>
        </w:rPr>
        <w:t>Ante esa respuesta, en la audiencia del artículo 37</w:t>
      </w:r>
      <w:r w:rsidR="00287930" w:rsidRPr="00AC4310">
        <w:rPr>
          <w:rFonts w:ascii="Gadugi" w:eastAsia="Georgia" w:hAnsi="Gadugi" w:cs="Georgia"/>
          <w:sz w:val="24"/>
          <w:szCs w:val="24"/>
        </w:rPr>
        <w:t>3</w:t>
      </w:r>
      <w:r w:rsidRPr="00AC4310">
        <w:rPr>
          <w:rStyle w:val="Refdenotaalpie"/>
          <w:rFonts w:ascii="Gadugi" w:eastAsia="Georgia" w:hAnsi="Gadugi" w:cs="Georgia"/>
          <w:sz w:val="24"/>
          <w:szCs w:val="24"/>
        </w:rPr>
        <w:footnoteReference w:id="5"/>
      </w:r>
      <w:r w:rsidRPr="00AC4310">
        <w:rPr>
          <w:rFonts w:ascii="Gadugi" w:eastAsia="Georgia" w:hAnsi="Gadugi" w:cs="Georgia"/>
          <w:sz w:val="24"/>
          <w:szCs w:val="24"/>
        </w:rPr>
        <w:t>, se ordenó integrar a la litis, en los términos del artículo 67 del CGP (llamamiento al poseedor) al Conjunto Cerrado Camambú PH, que, enterado, dio respuesta</w:t>
      </w:r>
      <w:r w:rsidR="00225588" w:rsidRPr="00AC4310">
        <w:rPr>
          <w:rStyle w:val="Refdenotaalpie"/>
          <w:rFonts w:ascii="Gadugi" w:eastAsia="Georgia" w:hAnsi="Gadugi" w:cs="Georgia"/>
          <w:sz w:val="24"/>
          <w:szCs w:val="24"/>
        </w:rPr>
        <w:footnoteReference w:id="6"/>
      </w:r>
      <w:r w:rsidRPr="00AC4310">
        <w:rPr>
          <w:rFonts w:ascii="Gadugi" w:eastAsia="Georgia" w:hAnsi="Gadugi" w:cs="Georgia"/>
          <w:sz w:val="24"/>
          <w:szCs w:val="24"/>
        </w:rPr>
        <w:t xml:space="preserve">, </w:t>
      </w:r>
      <w:r w:rsidR="000A7894" w:rsidRPr="00AC4310">
        <w:rPr>
          <w:rFonts w:ascii="Gadugi" w:eastAsia="Georgia" w:hAnsi="Gadugi" w:cs="Georgia"/>
          <w:sz w:val="24"/>
          <w:szCs w:val="24"/>
        </w:rPr>
        <w:t xml:space="preserve">también </w:t>
      </w:r>
      <w:r w:rsidR="00D20CEA" w:rsidRPr="00AC4310">
        <w:rPr>
          <w:rFonts w:ascii="Gadugi" w:eastAsia="Georgia" w:hAnsi="Gadugi" w:cs="Georgia"/>
          <w:sz w:val="24"/>
          <w:szCs w:val="24"/>
        </w:rPr>
        <w:t xml:space="preserve">se refirió </w:t>
      </w:r>
      <w:r w:rsidR="000A7894" w:rsidRPr="00AC4310">
        <w:rPr>
          <w:rFonts w:ascii="Gadugi" w:eastAsia="Georgia" w:hAnsi="Gadugi" w:cs="Georgia"/>
          <w:sz w:val="24"/>
          <w:szCs w:val="24"/>
        </w:rPr>
        <w:t xml:space="preserve">a los hechos, </w:t>
      </w:r>
      <w:r w:rsidRPr="00AC4310">
        <w:rPr>
          <w:rFonts w:ascii="Gadugi" w:eastAsia="Georgia" w:hAnsi="Gadugi" w:cs="Georgia"/>
          <w:sz w:val="24"/>
          <w:szCs w:val="24"/>
        </w:rPr>
        <w:t xml:space="preserve">opugnó las pretensiones y excepcionó (i) </w:t>
      </w:r>
      <w:r w:rsidR="000A7894" w:rsidRPr="00AC4310">
        <w:rPr>
          <w:rFonts w:ascii="Gadugi" w:eastAsia="Georgia" w:hAnsi="Gadugi" w:cs="Georgia"/>
          <w:sz w:val="24"/>
          <w:szCs w:val="24"/>
        </w:rPr>
        <w:t xml:space="preserve">prescripción </w:t>
      </w:r>
      <w:r w:rsidRPr="00AC4310">
        <w:rPr>
          <w:rFonts w:ascii="Gadugi" w:eastAsia="Georgia" w:hAnsi="Gadugi" w:cs="Georgia"/>
          <w:sz w:val="24"/>
          <w:szCs w:val="24"/>
        </w:rPr>
        <w:t xml:space="preserve">ordinaria </w:t>
      </w:r>
      <w:r w:rsidR="000A7894" w:rsidRPr="00AC4310">
        <w:rPr>
          <w:rFonts w:ascii="Gadugi" w:eastAsia="Georgia" w:hAnsi="Gadugi" w:cs="Georgia"/>
          <w:sz w:val="24"/>
          <w:szCs w:val="24"/>
        </w:rPr>
        <w:t>adquisitiva de dominio</w:t>
      </w:r>
      <w:r w:rsidRPr="00AC4310">
        <w:rPr>
          <w:rFonts w:ascii="Gadugi" w:eastAsia="Georgia" w:hAnsi="Gadugi" w:cs="Georgia"/>
          <w:sz w:val="24"/>
          <w:szCs w:val="24"/>
        </w:rPr>
        <w:t>; (ii) mala fe</w:t>
      </w:r>
      <w:r w:rsidR="000A7894" w:rsidRPr="00AC4310">
        <w:rPr>
          <w:rFonts w:ascii="Gadugi" w:eastAsia="Georgia" w:hAnsi="Gadugi" w:cs="Georgia"/>
          <w:sz w:val="24"/>
          <w:szCs w:val="24"/>
        </w:rPr>
        <w:t xml:space="preserve">; </w:t>
      </w:r>
      <w:r w:rsidRPr="00AC4310">
        <w:rPr>
          <w:rFonts w:ascii="Gadugi" w:eastAsia="Georgia" w:hAnsi="Gadugi" w:cs="Georgia"/>
          <w:sz w:val="24"/>
          <w:szCs w:val="24"/>
        </w:rPr>
        <w:t xml:space="preserve">y (iii) la llamada </w:t>
      </w:r>
      <w:r w:rsidR="000A7894" w:rsidRPr="00AC4310">
        <w:rPr>
          <w:rFonts w:ascii="Gadugi" w:eastAsia="Georgia" w:hAnsi="Gadugi" w:cs="Georgia"/>
          <w:sz w:val="24"/>
          <w:szCs w:val="24"/>
        </w:rPr>
        <w:t xml:space="preserve">innominada. </w:t>
      </w:r>
    </w:p>
    <w:p w14:paraId="5FC82C67" w14:textId="77777777" w:rsidR="000A7894" w:rsidRPr="00AC4310" w:rsidRDefault="000A7894"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3DC3099C" w14:textId="59C7F8C7" w:rsidR="000A071F" w:rsidRPr="00AC4310" w:rsidRDefault="000A7894"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r w:rsidRPr="00AC4310">
        <w:rPr>
          <w:rFonts w:ascii="Gadugi" w:eastAsia="Georgia" w:hAnsi="Gadugi" w:cs="Georgia"/>
          <w:sz w:val="24"/>
          <w:szCs w:val="24"/>
        </w:rPr>
        <w:t xml:space="preserve">Las razones de su defensa </w:t>
      </w:r>
      <w:r w:rsidR="004960C6" w:rsidRPr="00AC4310">
        <w:rPr>
          <w:rFonts w:ascii="Gadugi" w:eastAsia="Georgia" w:hAnsi="Gadugi" w:cs="Georgia"/>
          <w:sz w:val="24"/>
          <w:szCs w:val="24"/>
        </w:rPr>
        <w:t xml:space="preserve">se centraron en que </w:t>
      </w:r>
      <w:r w:rsidRPr="00AC4310">
        <w:rPr>
          <w:rFonts w:ascii="Gadugi" w:eastAsia="Georgia" w:hAnsi="Gadugi" w:cs="Georgia"/>
          <w:sz w:val="24"/>
          <w:szCs w:val="24"/>
        </w:rPr>
        <w:t xml:space="preserve">la posesión de la franja de terreno en litigio proviene de un justo título de compraventa que </w:t>
      </w:r>
      <w:r w:rsidR="004960C6" w:rsidRPr="00AC4310">
        <w:rPr>
          <w:rFonts w:ascii="Gadugi" w:eastAsia="Georgia" w:hAnsi="Gadugi" w:cs="Georgia"/>
          <w:sz w:val="24"/>
          <w:szCs w:val="24"/>
        </w:rPr>
        <w:t xml:space="preserve">se </w:t>
      </w:r>
      <w:r w:rsidRPr="00AC4310">
        <w:rPr>
          <w:rFonts w:ascii="Gadugi" w:eastAsia="Georgia" w:hAnsi="Gadugi" w:cs="Georgia"/>
          <w:sz w:val="24"/>
          <w:szCs w:val="24"/>
        </w:rPr>
        <w:t>h</w:t>
      </w:r>
      <w:r w:rsidR="00225588" w:rsidRPr="00AC4310">
        <w:rPr>
          <w:rFonts w:ascii="Gadugi" w:eastAsia="Georgia" w:hAnsi="Gadugi" w:cs="Georgia"/>
          <w:sz w:val="24"/>
          <w:szCs w:val="24"/>
        </w:rPr>
        <w:t xml:space="preserve">izo </w:t>
      </w:r>
      <w:r w:rsidR="004960C6" w:rsidRPr="00AC4310">
        <w:rPr>
          <w:rFonts w:ascii="Gadugi" w:eastAsia="Georgia" w:hAnsi="Gadugi" w:cs="Georgia"/>
          <w:sz w:val="24"/>
          <w:szCs w:val="24"/>
        </w:rPr>
        <w:t xml:space="preserve">a </w:t>
      </w:r>
      <w:r w:rsidR="00225588" w:rsidRPr="00AC4310">
        <w:rPr>
          <w:rFonts w:ascii="Gadugi" w:eastAsia="Georgia" w:hAnsi="Gadugi" w:cs="Georgia"/>
          <w:sz w:val="24"/>
          <w:szCs w:val="24"/>
        </w:rPr>
        <w:t xml:space="preserve">la Constructora Camambú </w:t>
      </w:r>
      <w:r w:rsidR="004960C6" w:rsidRPr="00AC4310">
        <w:rPr>
          <w:rFonts w:ascii="Gadugi" w:eastAsia="Georgia" w:hAnsi="Gadugi" w:cs="Georgia"/>
          <w:sz w:val="24"/>
          <w:szCs w:val="24"/>
        </w:rPr>
        <w:t>SAS, la que</w:t>
      </w:r>
      <w:r w:rsidRPr="00AC4310">
        <w:rPr>
          <w:rFonts w:ascii="Gadugi" w:eastAsia="Georgia" w:hAnsi="Gadugi" w:cs="Georgia"/>
          <w:sz w:val="24"/>
          <w:szCs w:val="24"/>
        </w:rPr>
        <w:t xml:space="preserve"> luego le cedió todos los derechos a </w:t>
      </w:r>
      <w:r w:rsidR="004960C6" w:rsidRPr="00AC4310">
        <w:rPr>
          <w:rFonts w:ascii="Gadugi" w:eastAsia="Georgia" w:hAnsi="Gadugi" w:cs="Georgia"/>
          <w:sz w:val="24"/>
          <w:szCs w:val="24"/>
        </w:rPr>
        <w:t xml:space="preserve">la propiedad horizontal, por lo que ejerce posesión desde el año 2014. </w:t>
      </w:r>
      <w:r w:rsidR="000A071F" w:rsidRPr="00AC4310">
        <w:rPr>
          <w:rFonts w:ascii="Gadugi" w:eastAsia="Georgia" w:hAnsi="Gadugi" w:cs="Georgia"/>
          <w:sz w:val="24"/>
          <w:szCs w:val="24"/>
        </w:rPr>
        <w:t>Señal</w:t>
      </w:r>
      <w:r w:rsidR="00D20CEA" w:rsidRPr="00AC4310">
        <w:rPr>
          <w:rFonts w:ascii="Gadugi" w:eastAsia="Georgia" w:hAnsi="Gadugi" w:cs="Georgia"/>
          <w:sz w:val="24"/>
          <w:szCs w:val="24"/>
        </w:rPr>
        <w:t>ó</w:t>
      </w:r>
      <w:r w:rsidR="000A071F" w:rsidRPr="00AC4310">
        <w:rPr>
          <w:rFonts w:ascii="Gadugi" w:eastAsia="Georgia" w:hAnsi="Gadugi" w:cs="Georgia"/>
          <w:sz w:val="24"/>
          <w:szCs w:val="24"/>
        </w:rPr>
        <w:t xml:space="preserve"> también que el demandante conocía que la piscina y el salón social del proyecto se estaban realizando sobre predios sin legalizar.</w:t>
      </w:r>
    </w:p>
    <w:p w14:paraId="0C82142E" w14:textId="77777777" w:rsidR="00EC0571" w:rsidRPr="00AC4310" w:rsidRDefault="00EC0571"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65D34072" w14:textId="6B15BF19" w:rsidR="00F726FA" w:rsidRPr="00AC4310" w:rsidRDefault="00B96C23" w:rsidP="00AC4310">
      <w:pPr>
        <w:pStyle w:val="Prrafodelista"/>
        <w:numPr>
          <w:ilvl w:val="1"/>
          <w:numId w:val="6"/>
        </w:numPr>
        <w:pBdr>
          <w:top w:val="nil"/>
          <w:left w:val="nil"/>
          <w:bottom w:val="nil"/>
          <w:right w:val="nil"/>
          <w:between w:val="nil"/>
        </w:pBdr>
        <w:tabs>
          <w:tab w:val="left" w:pos="426"/>
          <w:tab w:val="left" w:pos="4536"/>
        </w:tabs>
        <w:jc w:val="both"/>
        <w:rPr>
          <w:rFonts w:ascii="Gadugi" w:eastAsia="Georgia" w:hAnsi="Gadugi" w:cs="Georgia"/>
          <w:b/>
          <w:sz w:val="24"/>
          <w:szCs w:val="24"/>
        </w:rPr>
      </w:pPr>
      <w:r w:rsidRPr="00AC4310">
        <w:rPr>
          <w:rFonts w:ascii="Gadugi" w:eastAsia="Georgia" w:hAnsi="Gadugi" w:cs="Georgia"/>
          <w:b/>
          <w:sz w:val="24"/>
          <w:szCs w:val="24"/>
        </w:rPr>
        <w:t>.</w:t>
      </w:r>
      <w:r w:rsidR="00F726FA" w:rsidRPr="00AC4310">
        <w:rPr>
          <w:rFonts w:ascii="Gadugi" w:eastAsia="Georgia" w:hAnsi="Gadugi" w:cs="Georgia"/>
          <w:b/>
          <w:sz w:val="24"/>
          <w:szCs w:val="24"/>
        </w:rPr>
        <w:t xml:space="preserve"> Sentencia de primera instancia y apelación </w:t>
      </w:r>
    </w:p>
    <w:p w14:paraId="0C1D7DFB" w14:textId="77777777" w:rsidR="00F726FA" w:rsidRPr="00AC4310" w:rsidRDefault="00F726FA" w:rsidP="00AC4310">
      <w:pPr>
        <w:pStyle w:val="Prrafodelista"/>
        <w:pBdr>
          <w:top w:val="nil"/>
          <w:left w:val="nil"/>
          <w:bottom w:val="nil"/>
          <w:right w:val="nil"/>
          <w:between w:val="nil"/>
        </w:pBdr>
        <w:tabs>
          <w:tab w:val="left" w:pos="426"/>
          <w:tab w:val="left" w:pos="4536"/>
        </w:tabs>
        <w:jc w:val="both"/>
        <w:rPr>
          <w:rFonts w:ascii="Gadugi" w:eastAsia="Georgia" w:hAnsi="Gadugi" w:cs="Georgia"/>
          <w:sz w:val="24"/>
          <w:szCs w:val="24"/>
        </w:rPr>
      </w:pPr>
    </w:p>
    <w:p w14:paraId="0DFBD979" w14:textId="42941052" w:rsidR="00C449BF" w:rsidRPr="00AC4310" w:rsidRDefault="009066FF" w:rsidP="00AC4310">
      <w:pPr>
        <w:pBdr>
          <w:top w:val="nil"/>
          <w:left w:val="nil"/>
          <w:bottom w:val="nil"/>
          <w:right w:val="nil"/>
          <w:between w:val="nil"/>
        </w:pBdr>
        <w:tabs>
          <w:tab w:val="left" w:pos="426"/>
          <w:tab w:val="left" w:pos="4536"/>
        </w:tabs>
        <w:jc w:val="both"/>
        <w:rPr>
          <w:rFonts w:ascii="Gadugi" w:eastAsia="Georgia" w:hAnsi="Gadugi" w:cs="Georgia"/>
          <w:sz w:val="24"/>
          <w:szCs w:val="24"/>
        </w:rPr>
      </w:pPr>
      <w:r w:rsidRPr="00AC4310">
        <w:rPr>
          <w:rFonts w:ascii="Gadugi" w:eastAsia="Georgia" w:hAnsi="Gadugi" w:cs="Georgia"/>
          <w:sz w:val="24"/>
          <w:szCs w:val="24"/>
        </w:rPr>
        <w:t>A pesar de que se venía realizando la audiencia de que trata el artículo 37</w:t>
      </w:r>
      <w:r w:rsidR="00E453E1" w:rsidRPr="00AC4310">
        <w:rPr>
          <w:rFonts w:ascii="Gadugi" w:eastAsia="Georgia" w:hAnsi="Gadugi" w:cs="Georgia"/>
          <w:sz w:val="24"/>
          <w:szCs w:val="24"/>
        </w:rPr>
        <w:t>3</w:t>
      </w:r>
      <w:r w:rsidRPr="00AC4310">
        <w:rPr>
          <w:rFonts w:ascii="Gadugi" w:eastAsia="Georgia" w:hAnsi="Gadugi" w:cs="Georgia"/>
          <w:sz w:val="24"/>
          <w:szCs w:val="24"/>
        </w:rPr>
        <w:t xml:space="preserve"> del CGP</w:t>
      </w:r>
      <w:r w:rsidR="00287930" w:rsidRPr="00AC4310">
        <w:rPr>
          <w:rStyle w:val="Refdenotaalpie"/>
          <w:rFonts w:ascii="Gadugi" w:eastAsia="Georgia" w:hAnsi="Gadugi" w:cs="Georgia"/>
          <w:sz w:val="24"/>
          <w:szCs w:val="24"/>
        </w:rPr>
        <w:footnoteReference w:id="7"/>
      </w:r>
      <w:r w:rsidR="00287930" w:rsidRPr="00AC4310">
        <w:rPr>
          <w:rFonts w:ascii="Gadugi" w:eastAsia="Georgia" w:hAnsi="Gadugi" w:cs="Georgia"/>
          <w:sz w:val="24"/>
          <w:szCs w:val="24"/>
        </w:rPr>
        <w:t>, suspendida para continuar con la práctica de pruebas</w:t>
      </w:r>
      <w:r w:rsidR="00B96C23" w:rsidRPr="00AC4310">
        <w:rPr>
          <w:rFonts w:ascii="Gadugi" w:eastAsia="Georgia" w:hAnsi="Gadugi" w:cs="Georgia"/>
          <w:sz w:val="24"/>
          <w:szCs w:val="24"/>
        </w:rPr>
        <w:t xml:space="preserve">, </w:t>
      </w:r>
      <w:r w:rsidR="00287930" w:rsidRPr="00AC4310">
        <w:rPr>
          <w:rFonts w:ascii="Gadugi" w:eastAsia="Georgia" w:hAnsi="Gadugi" w:cs="Georgia"/>
          <w:sz w:val="24"/>
          <w:szCs w:val="24"/>
        </w:rPr>
        <w:t>los alegatos y el fallo, decidió el Juzgado proferir sentencia anticipada</w:t>
      </w:r>
      <w:r w:rsidR="00C449BF" w:rsidRPr="00AC4310">
        <w:rPr>
          <w:rFonts w:ascii="Gadugi" w:eastAsia="Georgia" w:hAnsi="Gadugi" w:cs="Georgia"/>
          <w:sz w:val="24"/>
          <w:szCs w:val="24"/>
        </w:rPr>
        <w:t>, por escrito, el 1 de julio de 2022</w:t>
      </w:r>
      <w:r w:rsidR="00C449BF" w:rsidRPr="00AC4310">
        <w:rPr>
          <w:rStyle w:val="Refdenotaalpie"/>
          <w:rFonts w:ascii="Gadugi" w:eastAsia="Georgia" w:hAnsi="Gadugi" w:cs="Georgia"/>
          <w:sz w:val="24"/>
          <w:szCs w:val="24"/>
        </w:rPr>
        <w:footnoteReference w:id="8"/>
      </w:r>
      <w:r w:rsidR="00C449BF" w:rsidRPr="00AC4310">
        <w:rPr>
          <w:rFonts w:ascii="Gadugi" w:eastAsia="Georgia" w:hAnsi="Gadugi" w:cs="Georgia"/>
          <w:sz w:val="24"/>
          <w:szCs w:val="24"/>
        </w:rPr>
        <w:t xml:space="preserve">, pues halló acreditada la falta de legitimación en la causa por activa. Sobre sus argumentos se referirá la Sala más adelante. </w:t>
      </w:r>
    </w:p>
    <w:p w14:paraId="5AC72BA6" w14:textId="77777777" w:rsidR="00C449BF" w:rsidRPr="00AC4310" w:rsidRDefault="00C449BF" w:rsidP="00AC4310">
      <w:pPr>
        <w:pBdr>
          <w:top w:val="nil"/>
          <w:left w:val="nil"/>
          <w:bottom w:val="nil"/>
          <w:right w:val="nil"/>
          <w:between w:val="nil"/>
        </w:pBdr>
        <w:tabs>
          <w:tab w:val="left" w:pos="426"/>
          <w:tab w:val="left" w:pos="4536"/>
        </w:tabs>
        <w:jc w:val="both"/>
        <w:rPr>
          <w:rFonts w:ascii="Gadugi" w:eastAsia="Georgia" w:hAnsi="Gadugi" w:cs="Georgia"/>
          <w:sz w:val="24"/>
          <w:szCs w:val="24"/>
        </w:rPr>
      </w:pPr>
    </w:p>
    <w:p w14:paraId="430E99F6" w14:textId="77777777" w:rsidR="00B96C23" w:rsidRPr="00AC4310" w:rsidRDefault="00F9517C"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r w:rsidRPr="00AC4310">
        <w:rPr>
          <w:rFonts w:ascii="Gadugi" w:eastAsia="Georgia" w:hAnsi="Gadugi" w:cs="Georgia"/>
          <w:sz w:val="24"/>
          <w:szCs w:val="24"/>
        </w:rPr>
        <w:t xml:space="preserve">Esta decisión </w:t>
      </w:r>
      <w:r w:rsidR="00C449BF" w:rsidRPr="00AC4310">
        <w:rPr>
          <w:rFonts w:ascii="Gadugi" w:eastAsia="Georgia" w:hAnsi="Gadugi" w:cs="Georgia"/>
          <w:sz w:val="24"/>
          <w:szCs w:val="24"/>
        </w:rPr>
        <w:t xml:space="preserve">fue apelada por </w:t>
      </w:r>
      <w:r w:rsidRPr="00AC4310">
        <w:rPr>
          <w:rFonts w:ascii="Gadugi" w:eastAsia="Georgia" w:hAnsi="Gadugi" w:cs="Georgia"/>
          <w:sz w:val="24"/>
          <w:szCs w:val="24"/>
        </w:rPr>
        <w:t>el demandante</w:t>
      </w:r>
      <w:r w:rsidR="00C449BF" w:rsidRPr="00AC4310">
        <w:rPr>
          <w:rStyle w:val="Refdenotaalpie"/>
          <w:rFonts w:ascii="Gadugi" w:eastAsia="Georgia" w:hAnsi="Gadugi" w:cs="Georgia"/>
          <w:sz w:val="24"/>
          <w:szCs w:val="24"/>
        </w:rPr>
        <w:footnoteReference w:id="9"/>
      </w:r>
      <w:r w:rsidR="009D2611" w:rsidRPr="00AC4310">
        <w:rPr>
          <w:rFonts w:ascii="Gadugi" w:eastAsia="Georgia" w:hAnsi="Gadugi" w:cs="Georgia"/>
          <w:sz w:val="24"/>
          <w:szCs w:val="24"/>
        </w:rPr>
        <w:t>, que concretó sus reparos y los desarrolló en esa instancia. Luego, reiteró sus argumentos en esta sede</w:t>
      </w:r>
      <w:r w:rsidR="00B96C23" w:rsidRPr="00AC4310">
        <w:rPr>
          <w:rStyle w:val="Refdenotaalpie"/>
          <w:rFonts w:ascii="Gadugi" w:eastAsia="Georgia" w:hAnsi="Gadugi" w:cs="Georgia"/>
          <w:sz w:val="24"/>
          <w:szCs w:val="24"/>
        </w:rPr>
        <w:footnoteReference w:id="10"/>
      </w:r>
      <w:r w:rsidR="00B96C23" w:rsidRPr="00AC4310">
        <w:rPr>
          <w:rFonts w:ascii="Gadugi" w:eastAsia="Georgia" w:hAnsi="Gadugi" w:cs="Georgia"/>
          <w:sz w:val="24"/>
          <w:szCs w:val="24"/>
        </w:rPr>
        <w:t xml:space="preserve">. También se aludirá a sus réplicas con posterioridad. </w:t>
      </w:r>
    </w:p>
    <w:p w14:paraId="73A4E8CF" w14:textId="77777777" w:rsidR="00B96C23" w:rsidRPr="00AC4310" w:rsidRDefault="00B96C23"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6A26487A" w14:textId="32D008FC" w:rsidR="00426B0B" w:rsidRPr="00AC4310" w:rsidRDefault="00426B0B" w:rsidP="00AC4310">
      <w:pPr>
        <w:pStyle w:val="Prrafodelista"/>
        <w:numPr>
          <w:ilvl w:val="0"/>
          <w:numId w:val="3"/>
        </w:numPr>
        <w:pBdr>
          <w:top w:val="nil"/>
          <w:left w:val="nil"/>
          <w:bottom w:val="nil"/>
          <w:right w:val="nil"/>
          <w:between w:val="nil"/>
        </w:pBdr>
        <w:tabs>
          <w:tab w:val="left" w:pos="3686"/>
          <w:tab w:val="left" w:pos="4536"/>
        </w:tabs>
        <w:rPr>
          <w:rFonts w:ascii="Gadugi" w:eastAsia="Georgia" w:hAnsi="Gadugi" w:cs="Georgia"/>
          <w:b/>
          <w:sz w:val="24"/>
          <w:szCs w:val="24"/>
        </w:rPr>
      </w:pPr>
      <w:r w:rsidRPr="00AC4310">
        <w:rPr>
          <w:rFonts w:ascii="Gadugi" w:eastAsia="Georgia" w:hAnsi="Gadugi" w:cs="Georgia"/>
          <w:b/>
          <w:sz w:val="24"/>
          <w:szCs w:val="24"/>
        </w:rPr>
        <w:t>CONSIDERACIONES</w:t>
      </w:r>
    </w:p>
    <w:p w14:paraId="3B9CD1F6" w14:textId="77777777" w:rsidR="00AC4C4D" w:rsidRPr="00AC4310" w:rsidRDefault="00AC4C4D" w:rsidP="00AC4310">
      <w:pPr>
        <w:pBdr>
          <w:top w:val="nil"/>
          <w:left w:val="nil"/>
          <w:bottom w:val="nil"/>
          <w:right w:val="nil"/>
          <w:between w:val="nil"/>
        </w:pBdr>
        <w:tabs>
          <w:tab w:val="left" w:pos="3686"/>
          <w:tab w:val="left" w:pos="4536"/>
        </w:tabs>
        <w:rPr>
          <w:rFonts w:ascii="Gadugi" w:eastAsia="Georgia" w:hAnsi="Gadugi" w:cs="Georgia"/>
          <w:b/>
          <w:sz w:val="24"/>
          <w:szCs w:val="24"/>
        </w:rPr>
      </w:pPr>
    </w:p>
    <w:p w14:paraId="2F55E0B1" w14:textId="4542F161" w:rsidR="00B96C23" w:rsidRPr="00AC4310" w:rsidRDefault="001534A2"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r w:rsidRPr="00AC4310">
        <w:rPr>
          <w:rFonts w:ascii="Gadugi" w:eastAsia="Georgia" w:hAnsi="Gadugi" w:cs="Georgia"/>
          <w:sz w:val="24"/>
          <w:szCs w:val="24"/>
        </w:rPr>
        <w:t>2.1</w:t>
      </w:r>
      <w:r w:rsidR="00E453E1" w:rsidRPr="00AC4310">
        <w:rPr>
          <w:rFonts w:ascii="Gadugi" w:eastAsia="Georgia" w:hAnsi="Gadugi" w:cs="Georgia"/>
          <w:sz w:val="24"/>
          <w:szCs w:val="24"/>
        </w:rPr>
        <w:t>.</w:t>
      </w:r>
      <w:r w:rsidRPr="00AC4310">
        <w:rPr>
          <w:rFonts w:ascii="Gadugi" w:eastAsia="Georgia" w:hAnsi="Gadugi" w:cs="Georgia"/>
          <w:sz w:val="24"/>
          <w:szCs w:val="24"/>
        </w:rPr>
        <w:t xml:space="preserve"> </w:t>
      </w:r>
      <w:r w:rsidR="00B96C23" w:rsidRPr="00AC4310">
        <w:rPr>
          <w:rFonts w:ascii="Gadugi" w:eastAsia="Georgia" w:hAnsi="Gadugi" w:cs="Georgia"/>
          <w:sz w:val="24"/>
          <w:szCs w:val="24"/>
        </w:rPr>
        <w:t xml:space="preserve">Sea lo primero señalar que la sentencia anticipada se revocará. Por tanto, es menester comenzar con unas precisiones sobre la naturaleza de la presente providencia. </w:t>
      </w:r>
    </w:p>
    <w:p w14:paraId="0241AD2F" w14:textId="77777777" w:rsidR="00B96C23" w:rsidRPr="00AC4310" w:rsidRDefault="00B96C23"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268A58F2" w14:textId="77777777" w:rsidR="00B96C23" w:rsidRPr="00AC4310" w:rsidRDefault="00B96C23"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r w:rsidRPr="00AC4310">
        <w:rPr>
          <w:rFonts w:ascii="Gadugi" w:eastAsia="Georgia" w:hAnsi="Gadugi" w:cs="Georgia"/>
          <w:sz w:val="24"/>
          <w:szCs w:val="24"/>
        </w:rPr>
        <w:t xml:space="preserve">2.2. Es indudable, a la luz del artículo 35 del CGP, que a las Salas de decisión corresponde dictar las sentencias y los autos que resuelvan la apelación contra el que rechace el incidente de liquidación de perjuicios de condena impuesta en abstracto o el que rechace la oposición a la diligencia de entrega o resuelva sobre ella. </w:t>
      </w:r>
    </w:p>
    <w:p w14:paraId="539022AA" w14:textId="77777777" w:rsidR="00B96C23" w:rsidRPr="00AC4310" w:rsidRDefault="00B96C23"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36D224BD" w14:textId="17D1106D" w:rsidR="00B96C23" w:rsidRPr="00AC4310" w:rsidRDefault="00B96C23"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r w:rsidRPr="00AC4310">
        <w:rPr>
          <w:rFonts w:ascii="Gadugi" w:eastAsia="Georgia" w:hAnsi="Gadugi" w:cs="Georgia"/>
          <w:sz w:val="24"/>
          <w:szCs w:val="24"/>
        </w:rPr>
        <w:t>En tal medida, diríase, en principio, que cuando el juez de primer grado profiere sentencia anticipada, en aplicación del artículo 278 del mismo estatuto, la resolución en segunda instancia corresponder</w:t>
      </w:r>
      <w:r w:rsidR="00D21802" w:rsidRPr="00AC4310">
        <w:rPr>
          <w:rFonts w:ascii="Gadugi" w:eastAsia="Georgia" w:hAnsi="Gadugi" w:cs="Georgia"/>
          <w:sz w:val="24"/>
          <w:szCs w:val="24"/>
        </w:rPr>
        <w:t>á</w:t>
      </w:r>
      <w:r w:rsidRPr="00AC4310">
        <w:rPr>
          <w:rFonts w:ascii="Gadugi" w:eastAsia="Georgia" w:hAnsi="Gadugi" w:cs="Georgia"/>
          <w:sz w:val="24"/>
          <w:szCs w:val="24"/>
        </w:rPr>
        <w:t xml:space="preserve"> a la Sala de </w:t>
      </w:r>
      <w:r w:rsidR="00F97DEA" w:rsidRPr="00AC4310">
        <w:rPr>
          <w:rFonts w:ascii="Gadugi" w:eastAsia="Georgia" w:hAnsi="Gadugi" w:cs="Georgia"/>
          <w:sz w:val="24"/>
          <w:szCs w:val="24"/>
        </w:rPr>
        <w:t>Decisión</w:t>
      </w:r>
      <w:r w:rsidRPr="00AC4310">
        <w:rPr>
          <w:rFonts w:ascii="Gadugi" w:eastAsia="Georgia" w:hAnsi="Gadugi" w:cs="Georgia"/>
          <w:sz w:val="24"/>
          <w:szCs w:val="24"/>
        </w:rPr>
        <w:t xml:space="preserve">. Sin embargo, eso no es siempre así, pues </w:t>
      </w:r>
      <w:r w:rsidR="00D21802" w:rsidRPr="00AC4310">
        <w:rPr>
          <w:rFonts w:ascii="Gadugi" w:eastAsia="Georgia" w:hAnsi="Gadugi" w:cs="Georgia"/>
          <w:sz w:val="24"/>
          <w:szCs w:val="24"/>
        </w:rPr>
        <w:t xml:space="preserve">una es la situación si se va a confirmar ese fallo y otra si se va a revocar. </w:t>
      </w:r>
    </w:p>
    <w:p w14:paraId="6031C331" w14:textId="701A1C58" w:rsidR="00D21802" w:rsidRPr="00AC4310" w:rsidRDefault="00D21802"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4157857F" w14:textId="398B24D4" w:rsidR="001B4987" w:rsidRPr="00AC4310" w:rsidRDefault="00B96C23"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r w:rsidRPr="00AC4310">
        <w:rPr>
          <w:rFonts w:ascii="Gadugi" w:eastAsia="Georgia" w:hAnsi="Gadugi" w:cs="Georgia"/>
          <w:sz w:val="24"/>
          <w:szCs w:val="24"/>
        </w:rPr>
        <w:t xml:space="preserve">Y esto, porque el artículo 278 citado, señala con claridad </w:t>
      </w:r>
      <w:r w:rsidR="008E2C01" w:rsidRPr="00AC4310">
        <w:rPr>
          <w:rFonts w:ascii="Gadugi" w:eastAsia="Georgia" w:hAnsi="Gadugi" w:cs="Georgia"/>
          <w:sz w:val="24"/>
          <w:szCs w:val="24"/>
        </w:rPr>
        <w:t>que,</w:t>
      </w:r>
      <w:r w:rsidRPr="00AC4310">
        <w:rPr>
          <w:rFonts w:ascii="Gadugi" w:eastAsia="Georgia" w:hAnsi="Gadugi" w:cs="Georgia"/>
          <w:sz w:val="24"/>
          <w:szCs w:val="24"/>
        </w:rPr>
        <w:t xml:space="preserve"> </w:t>
      </w:r>
      <w:r w:rsidR="001B4987" w:rsidRPr="00AC4310">
        <w:rPr>
          <w:rFonts w:ascii="Gadugi" w:eastAsia="Georgia" w:hAnsi="Gadugi" w:cs="Georgia"/>
          <w:sz w:val="24"/>
          <w:szCs w:val="24"/>
        </w:rPr>
        <w:t xml:space="preserve">ante la cosa juzgada, la transacción, la caducidad, la prescripción extintiva y la carencia de legitimación en la causa, es deber del juez dictar sentencia anticipada en cualquier etapa del proceso en que se hallen demostradas. Como es fácil observar, esta </w:t>
      </w:r>
      <w:r w:rsidR="00AA319A" w:rsidRPr="00AC4310">
        <w:rPr>
          <w:rFonts w:ascii="Gadugi" w:eastAsia="Georgia" w:hAnsi="Gadugi" w:cs="Georgia"/>
          <w:sz w:val="24"/>
          <w:szCs w:val="24"/>
        </w:rPr>
        <w:t xml:space="preserve">modalidad de </w:t>
      </w:r>
      <w:r w:rsidR="001B4987" w:rsidRPr="00AC4310">
        <w:rPr>
          <w:rFonts w:ascii="Gadugi" w:eastAsia="Georgia" w:hAnsi="Gadugi" w:cs="Georgia"/>
          <w:sz w:val="24"/>
          <w:szCs w:val="24"/>
        </w:rPr>
        <w:t xml:space="preserve">sentencia solo tiene cabida cuando se hallen estructuradas, de lo contrario, será menester ir hasta la etapa final y en la sentencia </w:t>
      </w:r>
      <w:r w:rsidR="00E60FD0" w:rsidRPr="00AC4310">
        <w:rPr>
          <w:rFonts w:ascii="Gadugi" w:eastAsia="Georgia" w:hAnsi="Gadugi" w:cs="Georgia"/>
          <w:sz w:val="24"/>
          <w:szCs w:val="24"/>
        </w:rPr>
        <w:t>normal</w:t>
      </w:r>
      <w:r w:rsidR="000C363A" w:rsidRPr="00AC4310">
        <w:rPr>
          <w:rFonts w:ascii="Gadugi" w:eastAsia="Georgia" w:hAnsi="Gadugi" w:cs="Georgia"/>
          <w:sz w:val="24"/>
          <w:szCs w:val="24"/>
        </w:rPr>
        <w:t xml:space="preserve"> </w:t>
      </w:r>
      <w:r w:rsidR="001B4987" w:rsidRPr="00AC4310">
        <w:rPr>
          <w:rFonts w:ascii="Gadugi" w:eastAsia="Georgia" w:hAnsi="Gadugi" w:cs="Georgia"/>
          <w:sz w:val="24"/>
          <w:szCs w:val="24"/>
        </w:rPr>
        <w:t>declararla</w:t>
      </w:r>
      <w:r w:rsidR="00804612" w:rsidRPr="00AC4310">
        <w:rPr>
          <w:rFonts w:ascii="Gadugi" w:eastAsia="Georgia" w:hAnsi="Gadugi" w:cs="Georgia"/>
          <w:sz w:val="24"/>
          <w:szCs w:val="24"/>
        </w:rPr>
        <w:t>s</w:t>
      </w:r>
      <w:r w:rsidR="001B4987" w:rsidRPr="00AC4310">
        <w:rPr>
          <w:rFonts w:ascii="Gadugi" w:eastAsia="Georgia" w:hAnsi="Gadugi" w:cs="Georgia"/>
          <w:sz w:val="24"/>
          <w:szCs w:val="24"/>
        </w:rPr>
        <w:t xml:space="preserve"> no probadas.</w:t>
      </w:r>
    </w:p>
    <w:p w14:paraId="547A907F" w14:textId="77777777" w:rsidR="001B4987" w:rsidRPr="00AC4310" w:rsidRDefault="001B4987"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6DB761DC" w14:textId="3E49A744" w:rsidR="00B96C23" w:rsidRPr="00AC4310" w:rsidRDefault="001B4987"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r w:rsidRPr="00AC4310">
        <w:rPr>
          <w:rFonts w:ascii="Gadugi" w:eastAsia="Georgia" w:hAnsi="Gadugi" w:cs="Georgia"/>
          <w:sz w:val="24"/>
          <w:szCs w:val="24"/>
        </w:rPr>
        <w:t>Eso se traduce en que, si el superior</w:t>
      </w:r>
      <w:r w:rsidR="00AA319A" w:rsidRPr="00AC4310">
        <w:rPr>
          <w:rFonts w:ascii="Gadugi" w:eastAsia="Georgia" w:hAnsi="Gadugi" w:cs="Georgia"/>
          <w:sz w:val="24"/>
          <w:szCs w:val="24"/>
        </w:rPr>
        <w:t>,</w:t>
      </w:r>
      <w:r w:rsidRPr="00AC4310">
        <w:rPr>
          <w:rFonts w:ascii="Gadugi" w:eastAsia="Georgia" w:hAnsi="Gadugi" w:cs="Georgia"/>
          <w:sz w:val="24"/>
          <w:szCs w:val="24"/>
        </w:rPr>
        <w:t xml:space="preserve"> cuando se apela la sentencia anticipada que declara una de aquellas excepciones, observa que la misma no se ha estructurado para ese momento, tiene qué revocar y, por tanto, se tendrá por no demostrada</w:t>
      </w:r>
      <w:r w:rsidR="0040073C" w:rsidRPr="00AC4310">
        <w:rPr>
          <w:rFonts w:ascii="Gadugi" w:eastAsia="Georgia" w:hAnsi="Gadugi" w:cs="Georgia"/>
          <w:sz w:val="24"/>
          <w:szCs w:val="24"/>
        </w:rPr>
        <w:t>. En</w:t>
      </w:r>
      <w:r w:rsidRPr="00AC4310">
        <w:rPr>
          <w:rFonts w:ascii="Gadugi" w:eastAsia="Georgia" w:hAnsi="Gadugi" w:cs="Georgia"/>
          <w:sz w:val="24"/>
          <w:szCs w:val="24"/>
        </w:rPr>
        <w:t xml:space="preserve"> consecuencia, esa decisión no podrá consistir en una sentencia, sino en un auto. </w:t>
      </w:r>
      <w:r w:rsidR="00AA319A" w:rsidRPr="00AC4310">
        <w:rPr>
          <w:rFonts w:ascii="Gadugi" w:eastAsia="Georgia" w:hAnsi="Gadugi" w:cs="Georgia"/>
          <w:sz w:val="24"/>
          <w:szCs w:val="24"/>
        </w:rPr>
        <w:t xml:space="preserve">Lo anterior, porque, </w:t>
      </w:r>
      <w:r w:rsidRPr="00AC4310">
        <w:rPr>
          <w:rFonts w:ascii="Gadugi" w:eastAsia="Georgia" w:hAnsi="Gadugi" w:cs="Georgia"/>
          <w:sz w:val="24"/>
          <w:szCs w:val="24"/>
        </w:rPr>
        <w:t xml:space="preserve">a fuerza de insistir, solo </w:t>
      </w:r>
      <w:r w:rsidR="00AA319A" w:rsidRPr="00AC4310">
        <w:rPr>
          <w:rFonts w:ascii="Gadugi" w:eastAsia="Georgia" w:hAnsi="Gadugi" w:cs="Georgia"/>
          <w:sz w:val="24"/>
          <w:szCs w:val="24"/>
        </w:rPr>
        <w:t xml:space="preserve">adquirirá la categoría de </w:t>
      </w:r>
      <w:r w:rsidRPr="00AC4310">
        <w:rPr>
          <w:rFonts w:ascii="Gadugi" w:eastAsia="Georgia" w:hAnsi="Gadugi" w:cs="Georgia"/>
          <w:sz w:val="24"/>
          <w:szCs w:val="24"/>
        </w:rPr>
        <w:t xml:space="preserve">sentencia la </w:t>
      </w:r>
      <w:r w:rsidR="00AA319A" w:rsidRPr="00AC4310">
        <w:rPr>
          <w:rFonts w:ascii="Gadugi" w:eastAsia="Georgia" w:hAnsi="Gadugi" w:cs="Georgia"/>
          <w:sz w:val="24"/>
          <w:szCs w:val="24"/>
        </w:rPr>
        <w:t xml:space="preserve">providencia </w:t>
      </w:r>
      <w:r w:rsidRPr="00AC4310">
        <w:rPr>
          <w:rFonts w:ascii="Gadugi" w:eastAsia="Georgia" w:hAnsi="Gadugi" w:cs="Georgia"/>
          <w:sz w:val="24"/>
          <w:szCs w:val="24"/>
        </w:rPr>
        <w:t xml:space="preserve">que la tenga por acreditada. </w:t>
      </w:r>
    </w:p>
    <w:p w14:paraId="49E74D05" w14:textId="04A46248" w:rsidR="00E60FD0" w:rsidRPr="00AC4310" w:rsidRDefault="00E60FD0"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315B093F" w14:textId="56A7D569" w:rsidR="00E60FD0" w:rsidRPr="00AC4310" w:rsidRDefault="00AA319A"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r w:rsidRPr="00AC4310">
        <w:rPr>
          <w:rFonts w:ascii="Gadugi" w:eastAsia="Georgia" w:hAnsi="Gadugi" w:cs="Georgia"/>
          <w:sz w:val="24"/>
          <w:szCs w:val="24"/>
        </w:rPr>
        <w:t xml:space="preserve">Ya que ello es </w:t>
      </w:r>
      <w:r w:rsidR="00E60FD0" w:rsidRPr="00AC4310">
        <w:rPr>
          <w:rFonts w:ascii="Gadugi" w:eastAsia="Georgia" w:hAnsi="Gadugi" w:cs="Georgia"/>
          <w:sz w:val="24"/>
          <w:szCs w:val="24"/>
        </w:rPr>
        <w:t xml:space="preserve">así, </w:t>
      </w:r>
      <w:r w:rsidR="00804612" w:rsidRPr="00AC4310">
        <w:rPr>
          <w:rFonts w:ascii="Gadugi" w:eastAsia="Georgia" w:hAnsi="Gadugi" w:cs="Georgia"/>
          <w:sz w:val="24"/>
          <w:szCs w:val="24"/>
        </w:rPr>
        <w:t>volviendo al contenido del artículo 35</w:t>
      </w:r>
      <w:r w:rsidRPr="00AC4310">
        <w:rPr>
          <w:rFonts w:ascii="Gadugi" w:eastAsia="Georgia" w:hAnsi="Gadugi" w:cs="Georgia"/>
          <w:sz w:val="24"/>
          <w:szCs w:val="24"/>
        </w:rPr>
        <w:t xml:space="preserve"> citado</w:t>
      </w:r>
      <w:r w:rsidR="00804612" w:rsidRPr="00AC4310">
        <w:rPr>
          <w:rFonts w:ascii="Gadugi" w:eastAsia="Georgia" w:hAnsi="Gadugi" w:cs="Georgia"/>
          <w:sz w:val="24"/>
          <w:szCs w:val="24"/>
        </w:rPr>
        <w:t xml:space="preserve">, los autos, salvo aquellas dos específicas excepciones y otras especiales que contiene el CGP., corresponde dictarlos al magistrado sustanciador, no a la Sala, lo cual </w:t>
      </w:r>
      <w:r w:rsidRPr="00AC4310">
        <w:rPr>
          <w:rFonts w:ascii="Gadugi" w:eastAsia="Georgia" w:hAnsi="Gadugi" w:cs="Georgia"/>
          <w:sz w:val="24"/>
          <w:szCs w:val="24"/>
        </w:rPr>
        <w:t xml:space="preserve">se traduce en que </w:t>
      </w:r>
      <w:r w:rsidR="00804612" w:rsidRPr="00AC4310">
        <w:rPr>
          <w:rFonts w:ascii="Gadugi" w:eastAsia="Georgia" w:hAnsi="Gadugi" w:cs="Georgia"/>
          <w:sz w:val="24"/>
          <w:szCs w:val="24"/>
        </w:rPr>
        <w:t xml:space="preserve">la revocatoria de la sentencia anticipada el del resorte del magistrado </w:t>
      </w:r>
      <w:r w:rsidR="004E38E9" w:rsidRPr="00AC4310">
        <w:rPr>
          <w:rFonts w:ascii="Gadugi" w:eastAsia="Georgia" w:hAnsi="Gadugi" w:cs="Georgia"/>
          <w:sz w:val="24"/>
          <w:szCs w:val="24"/>
        </w:rPr>
        <w:t>en sala unitaria</w:t>
      </w:r>
      <w:r w:rsidR="00804612" w:rsidRPr="00AC4310">
        <w:rPr>
          <w:rFonts w:ascii="Gadugi" w:eastAsia="Georgia" w:hAnsi="Gadugi" w:cs="Georgia"/>
          <w:sz w:val="24"/>
          <w:szCs w:val="24"/>
        </w:rPr>
        <w:t xml:space="preserve">, no de la Sala de </w:t>
      </w:r>
      <w:r w:rsidR="008E2C01" w:rsidRPr="00AC4310">
        <w:rPr>
          <w:rFonts w:ascii="Gadugi" w:eastAsia="Georgia" w:hAnsi="Gadugi" w:cs="Georgia"/>
          <w:sz w:val="24"/>
          <w:szCs w:val="24"/>
        </w:rPr>
        <w:t>Decisión</w:t>
      </w:r>
      <w:r w:rsidRPr="00AC4310">
        <w:rPr>
          <w:rFonts w:ascii="Gadugi" w:eastAsia="Georgia" w:hAnsi="Gadugi" w:cs="Georgia"/>
          <w:sz w:val="24"/>
          <w:szCs w:val="24"/>
        </w:rPr>
        <w:t>, precisamente</w:t>
      </w:r>
      <w:r w:rsidR="00CC46B6" w:rsidRPr="00AC4310">
        <w:rPr>
          <w:rFonts w:ascii="Gadugi" w:eastAsia="Georgia" w:hAnsi="Gadugi" w:cs="Georgia"/>
          <w:sz w:val="24"/>
          <w:szCs w:val="24"/>
        </w:rPr>
        <w:t>,</w:t>
      </w:r>
      <w:r w:rsidRPr="00AC4310">
        <w:rPr>
          <w:rFonts w:ascii="Gadugi" w:eastAsia="Georgia" w:hAnsi="Gadugi" w:cs="Georgia"/>
          <w:sz w:val="24"/>
          <w:szCs w:val="24"/>
        </w:rPr>
        <w:t xml:space="preserve"> porque es un auto.</w:t>
      </w:r>
      <w:r w:rsidR="00804612" w:rsidRPr="00AC4310">
        <w:rPr>
          <w:rFonts w:ascii="Gadugi" w:eastAsia="Georgia" w:hAnsi="Gadugi" w:cs="Georgia"/>
          <w:sz w:val="24"/>
          <w:szCs w:val="24"/>
        </w:rPr>
        <w:t xml:space="preserve"> </w:t>
      </w:r>
    </w:p>
    <w:p w14:paraId="0A6B26ED" w14:textId="4BC103B3" w:rsidR="00300CF7" w:rsidRPr="00AC4310" w:rsidRDefault="00300CF7"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46B7CD4F" w14:textId="61FC1388" w:rsidR="00300CF7" w:rsidRPr="00AC4310" w:rsidRDefault="00300CF7"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r w:rsidRPr="00AC4310">
        <w:rPr>
          <w:rFonts w:ascii="Gadugi" w:eastAsia="Georgia" w:hAnsi="Gadugi" w:cs="Georgia"/>
          <w:sz w:val="24"/>
          <w:szCs w:val="24"/>
        </w:rPr>
        <w:t xml:space="preserve">Aunque en sede de tutela, sirve como criterio auxiliar lo dicho por la Sala de Casación Civil de la Corte Suprema de Justicia, particularmente en la sentencia STC7642-2022, que cita otras anteriores, en el sentido de que: </w:t>
      </w:r>
    </w:p>
    <w:p w14:paraId="7D931BEC" w14:textId="0FA32F90" w:rsidR="00300CF7" w:rsidRPr="00AC4310" w:rsidRDefault="00300CF7"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012AA114" w14:textId="316354D6" w:rsidR="00300CF7" w:rsidRPr="002E569D" w:rsidRDefault="00300CF7" w:rsidP="002E569D">
      <w:pPr>
        <w:spacing w:line="240" w:lineRule="auto"/>
        <w:ind w:left="426" w:right="420"/>
        <w:jc w:val="both"/>
        <w:rPr>
          <w:rFonts w:ascii="Gadugi" w:hAnsi="Gadugi"/>
          <w:szCs w:val="24"/>
        </w:rPr>
      </w:pPr>
      <w:r w:rsidRPr="002E569D">
        <w:rPr>
          <w:rFonts w:ascii="Gadugi" w:hAnsi="Gadugi"/>
          <w:szCs w:val="24"/>
        </w:rPr>
        <w:t xml:space="preserve">Esta Sala tiene dicho que la providencia que desata la apelación contra un fallo anticipado adquiere el carácter de sentencia de segundo grado en aquellos casos en los que contiene un sentido confirmatorio pues en esos eventos queda resuelta la controversia en forma definitiva; empero, cuando la decisión es revocatoria, a decir verdad se trata de un auto interlocutorio como quiera que no se pronuncia sobre el fondo de la litis y, en su lugar, ordena al </w:t>
      </w:r>
      <w:r w:rsidRPr="002E569D">
        <w:rPr>
          <w:rFonts w:ascii="Gadugi" w:hAnsi="Gadugi"/>
          <w:i/>
          <w:iCs/>
          <w:szCs w:val="24"/>
        </w:rPr>
        <w:t xml:space="preserve">a quo </w:t>
      </w:r>
      <w:r w:rsidRPr="002E569D">
        <w:rPr>
          <w:rFonts w:ascii="Gadugi" w:hAnsi="Gadugi"/>
          <w:szCs w:val="24"/>
        </w:rPr>
        <w:t>seguir con el curso normal del litigio. En tal sentido se ha señalado que:</w:t>
      </w:r>
    </w:p>
    <w:p w14:paraId="5B723C54" w14:textId="77777777" w:rsidR="00300CF7" w:rsidRPr="002E569D" w:rsidRDefault="00300CF7" w:rsidP="002E569D">
      <w:pPr>
        <w:spacing w:line="240" w:lineRule="auto"/>
        <w:ind w:left="426" w:right="420" w:firstLine="709"/>
        <w:jc w:val="both"/>
        <w:rPr>
          <w:rFonts w:ascii="Gadugi" w:hAnsi="Gadugi"/>
          <w:szCs w:val="24"/>
        </w:rPr>
      </w:pPr>
    </w:p>
    <w:p w14:paraId="488147F8" w14:textId="77777777" w:rsidR="00300CF7" w:rsidRPr="002E569D" w:rsidRDefault="00300CF7" w:rsidP="002E569D">
      <w:pPr>
        <w:spacing w:line="240" w:lineRule="auto"/>
        <w:ind w:left="426" w:right="420"/>
        <w:jc w:val="both"/>
        <w:rPr>
          <w:rFonts w:ascii="Gadugi" w:eastAsia="MS Mincho" w:hAnsi="Gadugi" w:cs="MS Mincho"/>
          <w:i/>
          <w:iCs/>
          <w:szCs w:val="24"/>
        </w:rPr>
      </w:pPr>
      <w:r w:rsidRPr="002E569D">
        <w:rPr>
          <w:rFonts w:ascii="Gadugi" w:hAnsi="Gadugi"/>
          <w:i/>
          <w:iCs/>
          <w:szCs w:val="24"/>
        </w:rPr>
        <w:t>(…) cuando esa clase de decisiones [-sentencias anticipadas-]son apeladas</w:t>
      </w:r>
      <w:r w:rsidRPr="002E569D">
        <w:rPr>
          <w:rFonts w:ascii="Gadugi" w:eastAsia="MS Mincho" w:hAnsi="Gadugi" w:cs="MS Mincho"/>
          <w:i/>
          <w:iCs/>
          <w:szCs w:val="24"/>
          <w:lang w:val="es-ES"/>
        </w:rPr>
        <w:t>，</w:t>
      </w:r>
      <w:r w:rsidRPr="002E569D">
        <w:rPr>
          <w:rFonts w:ascii="Gadugi" w:hAnsi="Gadugi"/>
          <w:i/>
          <w:iCs/>
          <w:szCs w:val="24"/>
        </w:rPr>
        <w:t>los proveídos confirmatorios de los Tribunales son indiscutiblemente fallos susceptibles del recurso de Casación</w:t>
      </w:r>
      <w:r w:rsidRPr="002E569D">
        <w:rPr>
          <w:rFonts w:ascii="Gadugi" w:eastAsia="MS Mincho" w:hAnsi="Gadugi" w:cs="MS Mincho"/>
          <w:i/>
          <w:iCs/>
          <w:szCs w:val="24"/>
          <w:lang w:val="es-ES"/>
        </w:rPr>
        <w:t>，</w:t>
      </w:r>
      <w:r w:rsidRPr="002E569D">
        <w:rPr>
          <w:rFonts w:ascii="Gadugi" w:hAnsi="Gadugi"/>
          <w:i/>
          <w:iCs/>
          <w:szCs w:val="24"/>
        </w:rPr>
        <w:t>si se reúnen las demás exigencias para concederlo</w:t>
      </w:r>
      <w:r w:rsidRPr="002E569D">
        <w:rPr>
          <w:rFonts w:ascii="Gadugi" w:eastAsia="MS Mincho" w:hAnsi="Gadugi" w:cs="MS Mincho"/>
          <w:i/>
          <w:iCs/>
          <w:szCs w:val="24"/>
          <w:lang w:val="es-ES"/>
        </w:rPr>
        <w:t>．</w:t>
      </w:r>
    </w:p>
    <w:p w14:paraId="22B2D827" w14:textId="77777777" w:rsidR="00300CF7" w:rsidRPr="002E569D" w:rsidRDefault="00300CF7" w:rsidP="002E569D">
      <w:pPr>
        <w:spacing w:line="240" w:lineRule="auto"/>
        <w:ind w:left="426" w:right="420"/>
        <w:jc w:val="both"/>
        <w:rPr>
          <w:rFonts w:ascii="Gadugi" w:eastAsia="Times New Roman" w:hAnsi="Gadugi" w:cs="Times New Roman"/>
          <w:i/>
          <w:iCs/>
          <w:szCs w:val="24"/>
        </w:rPr>
      </w:pPr>
    </w:p>
    <w:p w14:paraId="421B0897" w14:textId="77777777" w:rsidR="00300CF7" w:rsidRPr="002E569D" w:rsidRDefault="00300CF7" w:rsidP="002E569D">
      <w:pPr>
        <w:spacing w:line="240" w:lineRule="auto"/>
        <w:ind w:left="426" w:right="420"/>
        <w:jc w:val="both"/>
        <w:rPr>
          <w:rFonts w:ascii="Gadugi" w:hAnsi="Gadugi"/>
          <w:szCs w:val="24"/>
        </w:rPr>
      </w:pPr>
      <w:r w:rsidRPr="002E569D">
        <w:rPr>
          <w:rFonts w:ascii="Gadugi" w:hAnsi="Gadugi"/>
          <w:i/>
          <w:iCs/>
          <w:szCs w:val="24"/>
        </w:rPr>
        <w:t>Cosa muy distinta acontece cuando la decisión de terminar con antelación el debate se trunca en segunda instancia</w:t>
      </w:r>
      <w:r w:rsidRPr="002E569D">
        <w:rPr>
          <w:rFonts w:ascii="Gadugi" w:eastAsia="MS Mincho" w:hAnsi="Gadugi" w:cs="MS Mincho"/>
          <w:i/>
          <w:iCs/>
          <w:szCs w:val="24"/>
        </w:rPr>
        <w:t xml:space="preserve">, </w:t>
      </w:r>
      <w:r w:rsidRPr="002E569D">
        <w:rPr>
          <w:rFonts w:ascii="Gadugi" w:hAnsi="Gadugi"/>
          <w:i/>
          <w:iCs/>
          <w:szCs w:val="24"/>
        </w:rPr>
        <w:t>ya que no existe claridad de la naturaleza exacta del segundo proveído porque</w:t>
      </w:r>
      <w:r w:rsidRPr="002E569D">
        <w:rPr>
          <w:rFonts w:ascii="Gadugi" w:eastAsia="MS Mincho" w:hAnsi="Gadugi" w:cs="MS Mincho"/>
          <w:i/>
          <w:iCs/>
          <w:szCs w:val="24"/>
          <w:lang w:val="es-ES"/>
        </w:rPr>
        <w:t>，</w:t>
      </w:r>
      <w:r w:rsidRPr="002E569D">
        <w:rPr>
          <w:rFonts w:ascii="Gadugi" w:eastAsia="MS Mincho" w:hAnsi="Gadugi" w:cs="MS Mincho"/>
          <w:i/>
          <w:iCs/>
          <w:szCs w:val="24"/>
        </w:rPr>
        <w:t>s</w:t>
      </w:r>
      <w:r w:rsidRPr="002E569D">
        <w:rPr>
          <w:rFonts w:ascii="Gadugi" w:hAnsi="Gadugi"/>
          <w:i/>
          <w:iCs/>
          <w:szCs w:val="24"/>
        </w:rPr>
        <w:t xml:space="preserve">i bien la lógica indica que una «sentencia anticipada» solo </w:t>
      </w:r>
      <w:r w:rsidRPr="002E569D">
        <w:rPr>
          <w:rFonts w:ascii="Gadugi" w:hAnsi="Gadugi"/>
          <w:i/>
          <w:iCs/>
          <w:szCs w:val="24"/>
        </w:rPr>
        <w:lastRenderedPageBreak/>
        <w:t>puede derribarse por medio de un «fallo»</w:t>
      </w:r>
      <w:r w:rsidRPr="002E569D">
        <w:rPr>
          <w:rFonts w:ascii="Gadugi" w:eastAsia="MS Mincho" w:hAnsi="Gadugi" w:cs="MS Mincho"/>
          <w:i/>
          <w:iCs/>
          <w:szCs w:val="24"/>
        </w:rPr>
        <w:t xml:space="preserve">, </w:t>
      </w:r>
      <w:r w:rsidRPr="002E569D">
        <w:rPr>
          <w:rFonts w:ascii="Gadugi" w:hAnsi="Gadugi"/>
          <w:i/>
          <w:iCs/>
          <w:szCs w:val="24"/>
        </w:rPr>
        <w:t>lo cierto es que tal pronunciamiento resultaría atípico en vista de que surte el efecto contrario al previsto en el segundo inciso del articulo 278 en cita, pues</w:t>
      </w:r>
      <w:r w:rsidRPr="002E569D">
        <w:rPr>
          <w:rFonts w:ascii="Gadugi" w:eastAsia="MS Mincho" w:hAnsi="Gadugi" w:cs="MS Mincho"/>
          <w:i/>
          <w:iCs/>
          <w:szCs w:val="24"/>
          <w:lang w:val="es-ES"/>
        </w:rPr>
        <w:t>，</w:t>
      </w:r>
      <w:r w:rsidRPr="002E569D">
        <w:rPr>
          <w:rFonts w:ascii="Gadugi" w:hAnsi="Gadugi"/>
          <w:i/>
          <w:iCs/>
          <w:szCs w:val="24"/>
        </w:rPr>
        <w:t>en vez deponer</w:t>
      </w:r>
      <w:r w:rsidRPr="002E569D">
        <w:rPr>
          <w:rFonts w:ascii="Gadugi" w:eastAsia="MS Mincho" w:hAnsi="Gadugi" w:cs="MS Mincho"/>
          <w:i/>
          <w:iCs/>
          <w:szCs w:val="24"/>
        </w:rPr>
        <w:t xml:space="preserve"> fi</w:t>
      </w:r>
      <w:r w:rsidRPr="002E569D">
        <w:rPr>
          <w:rFonts w:ascii="Gadugi" w:hAnsi="Gadugi"/>
          <w:i/>
          <w:iCs/>
          <w:szCs w:val="24"/>
        </w:rPr>
        <w:t>n al trámite conlleva a su continuación</w:t>
      </w:r>
      <w:r w:rsidRPr="002E569D">
        <w:rPr>
          <w:rFonts w:ascii="Gadugi" w:eastAsia="MS Mincho" w:hAnsi="Gadugi" w:cs="MS Mincho"/>
          <w:i/>
          <w:iCs/>
          <w:szCs w:val="24"/>
        </w:rPr>
        <w:t xml:space="preserve">, </w:t>
      </w:r>
      <w:r w:rsidRPr="002E569D">
        <w:rPr>
          <w:rFonts w:ascii="Gadugi" w:hAnsi="Gadugi"/>
          <w:i/>
          <w:iCs/>
          <w:szCs w:val="24"/>
        </w:rPr>
        <w:t>lo que lo sustraería de tal categoría para hacerlo encajar en la de auto interlocutorio</w:t>
      </w:r>
      <w:r w:rsidRPr="002E569D">
        <w:rPr>
          <w:rFonts w:ascii="Gadugi" w:hAnsi="Gadugi"/>
          <w:szCs w:val="24"/>
        </w:rPr>
        <w:t xml:space="preserve"> (AC2994-2018, reiterado en AC241-2021).</w:t>
      </w:r>
    </w:p>
    <w:p w14:paraId="22255A14" w14:textId="77777777" w:rsidR="00300CF7" w:rsidRPr="002E569D" w:rsidRDefault="00300CF7" w:rsidP="002E569D">
      <w:pPr>
        <w:spacing w:line="240" w:lineRule="auto"/>
        <w:ind w:left="426" w:right="420" w:firstLine="709"/>
        <w:jc w:val="both"/>
        <w:rPr>
          <w:rFonts w:ascii="Gadugi" w:hAnsi="Gadugi"/>
          <w:szCs w:val="24"/>
        </w:rPr>
      </w:pPr>
    </w:p>
    <w:p w14:paraId="3944672B" w14:textId="0DFD8736" w:rsidR="00300CF7" w:rsidRPr="002E569D" w:rsidRDefault="00300CF7" w:rsidP="002E569D">
      <w:pPr>
        <w:pBdr>
          <w:top w:val="nil"/>
          <w:left w:val="nil"/>
          <w:bottom w:val="nil"/>
          <w:right w:val="nil"/>
          <w:between w:val="nil"/>
        </w:pBdr>
        <w:tabs>
          <w:tab w:val="left" w:pos="3686"/>
          <w:tab w:val="left" w:pos="4536"/>
        </w:tabs>
        <w:spacing w:line="240" w:lineRule="auto"/>
        <w:ind w:left="426" w:right="420"/>
        <w:jc w:val="both"/>
        <w:rPr>
          <w:rFonts w:ascii="Gadugi" w:hAnsi="Gadugi"/>
          <w:szCs w:val="24"/>
        </w:rPr>
      </w:pPr>
      <w:r w:rsidRPr="002E569D">
        <w:rPr>
          <w:rFonts w:ascii="Gadugi" w:hAnsi="Gadugi"/>
          <w:szCs w:val="24"/>
        </w:rPr>
        <w:t xml:space="preserve">Así las cosas, como en el caso concreto el Tribunal accionado optó por revocar la sentencia anticipada dictada por el juez de primer grado, el ropaje de tal acto procesal no era otro que el de un auto de </w:t>
      </w:r>
      <w:r w:rsidRPr="002E569D">
        <w:rPr>
          <w:rFonts w:ascii="Gadugi" w:hAnsi="Gadugi"/>
          <w:i/>
          <w:iCs/>
          <w:szCs w:val="24"/>
        </w:rPr>
        <w:t>Magistrado</w:t>
      </w:r>
      <w:r w:rsidRPr="002E569D">
        <w:rPr>
          <w:rFonts w:ascii="Gadugi" w:hAnsi="Gadugi"/>
          <w:szCs w:val="24"/>
        </w:rPr>
        <w:t xml:space="preserve"> </w:t>
      </w:r>
      <w:r w:rsidRPr="002E569D">
        <w:rPr>
          <w:rFonts w:ascii="Gadugi" w:hAnsi="Gadugi"/>
          <w:i/>
          <w:iCs/>
          <w:szCs w:val="24"/>
        </w:rPr>
        <w:t>sustanciador</w:t>
      </w:r>
      <w:r w:rsidRPr="002E569D">
        <w:rPr>
          <w:rFonts w:ascii="Gadugi" w:hAnsi="Gadugi"/>
          <w:szCs w:val="24"/>
        </w:rPr>
        <w:t xml:space="preserve"> conforme al canon 35 del Código General del Proceso. Caso distinto sería si la magistratura hubiese resuelto de fondo la instancia, evento en el que el asunto debía ser de conocimiento de Sala conforme se dijo.</w:t>
      </w:r>
    </w:p>
    <w:p w14:paraId="0E52A9AF" w14:textId="14445E31" w:rsidR="00804612" w:rsidRPr="00AC4310" w:rsidRDefault="00804612" w:rsidP="00AC4310">
      <w:pPr>
        <w:pBdr>
          <w:top w:val="nil"/>
          <w:left w:val="nil"/>
          <w:bottom w:val="nil"/>
          <w:right w:val="nil"/>
          <w:between w:val="nil"/>
        </w:pBdr>
        <w:tabs>
          <w:tab w:val="left" w:pos="3686"/>
          <w:tab w:val="left" w:pos="4536"/>
        </w:tabs>
        <w:ind w:left="567" w:right="618"/>
        <w:jc w:val="both"/>
        <w:rPr>
          <w:rFonts w:ascii="Gadugi" w:eastAsia="Georgia" w:hAnsi="Gadugi" w:cs="Georgia"/>
          <w:sz w:val="24"/>
          <w:szCs w:val="24"/>
        </w:rPr>
      </w:pPr>
    </w:p>
    <w:p w14:paraId="6EAD16CA" w14:textId="77777777" w:rsidR="00FE68A5" w:rsidRPr="00AC4310" w:rsidRDefault="00FE68A5"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r w:rsidRPr="00AC4310">
        <w:rPr>
          <w:rFonts w:ascii="Gadugi" w:eastAsia="Georgia" w:hAnsi="Gadugi" w:cs="Georgia"/>
          <w:sz w:val="24"/>
          <w:szCs w:val="24"/>
        </w:rPr>
        <w:t xml:space="preserve">2.3. Por tanto, la decisión de ahora será un auto, de magistrado sustanciador, por cuanto, como se anticipó, la decisión será revocada, pues en criterio de la Sala, la legitimación en la causa por activa está acreditada. </w:t>
      </w:r>
    </w:p>
    <w:p w14:paraId="00011A73" w14:textId="77777777" w:rsidR="00FE68A5" w:rsidRPr="00AC4310" w:rsidRDefault="00FE68A5"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60F8AC95" w14:textId="32C83004" w:rsidR="00FE68A5" w:rsidRPr="00AC4310" w:rsidRDefault="00FE68A5"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r w:rsidRPr="00AC4310">
        <w:rPr>
          <w:rFonts w:ascii="Gadugi" w:eastAsia="Georgia" w:hAnsi="Gadugi" w:cs="Georgia"/>
          <w:sz w:val="24"/>
          <w:szCs w:val="24"/>
        </w:rPr>
        <w:t>2.4. Para abordar lo que es el tema de discusión, se recuerda lo dicho en otras ocasiones</w:t>
      </w:r>
      <w:r w:rsidRPr="00AC4310">
        <w:rPr>
          <w:rStyle w:val="Refdenotaalpie"/>
          <w:rFonts w:ascii="Gadugi" w:eastAsia="Georgia" w:hAnsi="Gadugi" w:cs="Georgia"/>
          <w:sz w:val="24"/>
          <w:szCs w:val="24"/>
        </w:rPr>
        <w:footnoteReference w:id="11"/>
      </w:r>
      <w:r w:rsidRPr="00AC4310">
        <w:rPr>
          <w:rFonts w:ascii="Gadugi" w:eastAsia="Georgia" w:hAnsi="Gadugi" w:cs="Georgia"/>
          <w:sz w:val="24"/>
          <w:szCs w:val="24"/>
        </w:rPr>
        <w:t xml:space="preserve">, acerca de que, </w:t>
      </w:r>
      <w:r w:rsidRPr="00AC4310">
        <w:rPr>
          <w:rFonts w:ascii="Gadugi" w:hAnsi="Gadugi"/>
          <w:sz w:val="24"/>
          <w:szCs w:val="24"/>
        </w:rPr>
        <w:t>producto de la redacción del artículo 328 del CGP, el sendero que traza la competencia del superior está dado por aquellos aspectos que fueron objeto de impugnación, sin perjuicio de algunas situaciones que permiten decidir de oficio, y están siendo decantadas por la jurisprudencia</w:t>
      </w:r>
      <w:r w:rsidRPr="00AC4310">
        <w:rPr>
          <w:rStyle w:val="Refdenotaalpie"/>
          <w:rFonts w:ascii="Gadugi" w:hAnsi="Gadugi"/>
          <w:sz w:val="24"/>
          <w:szCs w:val="24"/>
        </w:rPr>
        <w:footnoteReference w:id="12"/>
      </w:r>
      <w:r w:rsidRPr="00AC4310">
        <w:rPr>
          <w:rFonts w:ascii="Gadugi" w:hAnsi="Gadugi"/>
          <w:sz w:val="24"/>
          <w:szCs w:val="24"/>
        </w:rPr>
        <w:t>, “</w:t>
      </w:r>
      <w:r w:rsidRPr="00AC4310">
        <w:rPr>
          <w:rFonts w:ascii="Gadugi" w:hAnsi="Gadugi"/>
          <w:i/>
          <w:sz w:val="24"/>
          <w:szCs w:val="24"/>
        </w:rPr>
        <w:t xml:space="preserve">sin ánimo de exhaustividad” </w:t>
      </w:r>
      <w:r w:rsidRPr="00AC4310">
        <w:rPr>
          <w:rFonts w:ascii="Gadugi" w:hAnsi="Gadugi"/>
          <w:sz w:val="24"/>
          <w:szCs w:val="24"/>
        </w:rPr>
        <w:t>como la</w:t>
      </w:r>
      <w:r w:rsidRPr="00AC4310">
        <w:rPr>
          <w:rFonts w:ascii="Gadugi" w:hAnsi="Gadugi"/>
          <w:i/>
          <w:sz w:val="24"/>
          <w:szCs w:val="24"/>
        </w:rPr>
        <w:t xml:space="preserve"> </w:t>
      </w:r>
      <w:r w:rsidR="006B0149" w:rsidRPr="00AC4310">
        <w:rPr>
          <w:rFonts w:ascii="Gadugi" w:hAnsi="Gadugi"/>
          <w:i/>
          <w:sz w:val="24"/>
          <w:szCs w:val="24"/>
        </w:rPr>
        <w:t>“</w:t>
      </w:r>
      <w:r w:rsidRPr="00AC4310">
        <w:rPr>
          <w:rFonts w:ascii="Gadugi" w:hAnsi="Gadugi"/>
          <w:i/>
          <w:sz w:val="24"/>
          <w:szCs w:val="24"/>
        </w:rPr>
        <w:t>(I) satisfacción de los presupuestos de la acción (SC5473, 16 dic. 2017, rad. n.° 2017-40845-01)</w:t>
      </w:r>
      <w:r w:rsidR="006B0149" w:rsidRPr="00AC4310">
        <w:rPr>
          <w:rFonts w:ascii="Gadugi" w:hAnsi="Gadugi"/>
          <w:i/>
          <w:sz w:val="24"/>
          <w:szCs w:val="24"/>
        </w:rPr>
        <w:t xml:space="preserve">” </w:t>
      </w:r>
      <w:r w:rsidR="006B0149" w:rsidRPr="00AC4310">
        <w:rPr>
          <w:rFonts w:ascii="Gadugi" w:hAnsi="Gadugi"/>
          <w:sz w:val="24"/>
          <w:szCs w:val="24"/>
        </w:rPr>
        <w:t>-en los casos en que ello sea indispensable, agrega esta Sala-</w:t>
      </w:r>
      <w:r w:rsidRPr="00AC4310">
        <w:rPr>
          <w:rFonts w:ascii="Gadugi" w:hAnsi="Gadugi"/>
          <w:i/>
          <w:sz w:val="24"/>
          <w:szCs w:val="24"/>
        </w:rPr>
        <w:t xml:space="preserve">; </w:t>
      </w:r>
      <w:r w:rsidR="006B0149" w:rsidRPr="00AC4310">
        <w:rPr>
          <w:rFonts w:ascii="Gadugi" w:hAnsi="Gadugi"/>
          <w:i/>
          <w:sz w:val="24"/>
          <w:szCs w:val="24"/>
        </w:rPr>
        <w:t>“</w:t>
      </w:r>
      <w:r w:rsidRPr="00AC4310">
        <w:rPr>
          <w:rFonts w:ascii="Gadugi" w:hAnsi="Gadugi"/>
          <w:i/>
          <w:sz w:val="24"/>
          <w:szCs w:val="24"/>
        </w:rPr>
        <w:t xml:space="preserve">(II) restituciones mutuas a consecuencia de la extinción retroactiva de negocios jurídicos (SC2217, 9 jun. 2021, rad. n.° 2010-00633-02); (III) presupuestos procesales, esto es, los requisitos exigidos por la ley para la regular formación y el perfecto desarrollo del proceso (SC, 15 </w:t>
      </w:r>
      <w:proofErr w:type="spellStart"/>
      <w:r w:rsidRPr="00AC4310">
        <w:rPr>
          <w:rFonts w:ascii="Gadugi" w:hAnsi="Gadugi"/>
          <w:i/>
          <w:sz w:val="24"/>
          <w:szCs w:val="24"/>
        </w:rPr>
        <w:t>may</w:t>
      </w:r>
      <w:proofErr w:type="spellEnd"/>
      <w:r w:rsidRPr="00AC4310">
        <w:rPr>
          <w:rFonts w:ascii="Gadugi" w:hAnsi="Gadugi"/>
          <w:i/>
          <w:sz w:val="24"/>
          <w:szCs w:val="24"/>
        </w:rPr>
        <w:t>. 1985, reiterado AC3048, 28 jul. 2021, rad. n.° 2011-00487-01); (IV) orden público, como sucede con la nulidad absoluta de ciertos actos o declaraciones de voluntad (</w:t>
      </w:r>
      <w:proofErr w:type="spellStart"/>
      <w:r w:rsidRPr="00AC4310">
        <w:rPr>
          <w:rFonts w:ascii="Gadugi" w:hAnsi="Gadugi"/>
          <w:i/>
          <w:sz w:val="24"/>
          <w:szCs w:val="24"/>
        </w:rPr>
        <w:t>idem</w:t>
      </w:r>
      <w:proofErr w:type="spellEnd"/>
      <w:r w:rsidRPr="00AC4310">
        <w:rPr>
          <w:rFonts w:ascii="Gadugi" w:hAnsi="Gadugi"/>
          <w:i/>
          <w:sz w:val="24"/>
          <w:szCs w:val="24"/>
        </w:rPr>
        <w:t>); y (V) satisfacción de los requisitos de los títulos ejecutivos para ordenar el cumplimiento coactivo (STC15169, 7 nov. 2019, rad. n.° 2019-01721-01)</w:t>
      </w:r>
      <w:r w:rsidRPr="00AC4310">
        <w:rPr>
          <w:rStyle w:val="Refdenotaalpie"/>
          <w:rFonts w:ascii="Gadugi" w:hAnsi="Gadugi"/>
          <w:sz w:val="24"/>
          <w:szCs w:val="24"/>
        </w:rPr>
        <w:footnoteReference w:id="13"/>
      </w:r>
      <w:r w:rsidR="00A8137C" w:rsidRPr="00AC4310">
        <w:rPr>
          <w:rFonts w:ascii="Gadugi" w:hAnsi="Gadugi"/>
          <w:sz w:val="24"/>
          <w:szCs w:val="24"/>
        </w:rPr>
        <w:t>.</w:t>
      </w:r>
    </w:p>
    <w:p w14:paraId="725D66A1" w14:textId="77777777" w:rsidR="00FE68A5" w:rsidRPr="00AC4310" w:rsidRDefault="00FE68A5"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2099C26D" w14:textId="1B7EA74A" w:rsidR="002C0753" w:rsidRPr="00AC4310" w:rsidRDefault="006B0149"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r w:rsidRPr="00AC4310">
        <w:rPr>
          <w:rFonts w:ascii="Gadugi" w:eastAsia="Georgia" w:hAnsi="Gadugi" w:cs="Georgia"/>
          <w:sz w:val="24"/>
          <w:szCs w:val="24"/>
        </w:rPr>
        <w:t xml:space="preserve">2.5. </w:t>
      </w:r>
      <w:r w:rsidR="00FE68A5" w:rsidRPr="00AC4310">
        <w:rPr>
          <w:rFonts w:ascii="Gadugi" w:eastAsia="Georgia" w:hAnsi="Gadugi" w:cs="Georgia"/>
          <w:sz w:val="24"/>
          <w:szCs w:val="24"/>
        </w:rPr>
        <w:t xml:space="preserve">Dicho esto, es claro que la competencia de la Sala en este caso está restringida a lo que es el motivo de la sentencia anticipada, esto es, </w:t>
      </w:r>
      <w:r w:rsidR="00FE68A5" w:rsidRPr="00AC4310">
        <w:rPr>
          <w:rFonts w:ascii="Gadugi" w:eastAsia="Georgia" w:hAnsi="Gadugi" w:cs="Georgia"/>
          <w:b/>
          <w:bCs/>
          <w:sz w:val="24"/>
          <w:szCs w:val="24"/>
        </w:rPr>
        <w:t>la falta de legitimación en la causa</w:t>
      </w:r>
      <w:r w:rsidRPr="00AC4310">
        <w:rPr>
          <w:rFonts w:ascii="Gadugi" w:eastAsia="Georgia" w:hAnsi="Gadugi" w:cs="Georgia"/>
          <w:b/>
          <w:bCs/>
          <w:sz w:val="24"/>
          <w:szCs w:val="24"/>
        </w:rPr>
        <w:t xml:space="preserve"> por activa</w:t>
      </w:r>
      <w:r w:rsidRPr="00AC4310">
        <w:rPr>
          <w:rFonts w:ascii="Gadugi" w:eastAsia="Georgia" w:hAnsi="Gadugi" w:cs="Georgia"/>
          <w:sz w:val="24"/>
          <w:szCs w:val="24"/>
        </w:rPr>
        <w:t xml:space="preserve">. Ese es </w:t>
      </w:r>
      <w:r w:rsidR="00F33873" w:rsidRPr="00AC4310">
        <w:rPr>
          <w:rFonts w:ascii="Gadugi" w:eastAsia="Georgia" w:hAnsi="Gadugi" w:cs="Georgia"/>
          <w:sz w:val="24"/>
          <w:szCs w:val="24"/>
        </w:rPr>
        <w:t>el problema por resolver</w:t>
      </w:r>
      <w:r w:rsidRPr="00AC4310">
        <w:rPr>
          <w:rFonts w:ascii="Gadugi" w:eastAsia="Georgia" w:hAnsi="Gadugi" w:cs="Georgia"/>
          <w:sz w:val="24"/>
          <w:szCs w:val="24"/>
        </w:rPr>
        <w:t xml:space="preserve">: </w:t>
      </w:r>
      <w:r w:rsidR="002C0753" w:rsidRPr="00AC4310">
        <w:rPr>
          <w:rFonts w:ascii="Gadugi" w:eastAsia="Georgia" w:hAnsi="Gadugi" w:cs="Georgia"/>
          <w:sz w:val="24"/>
          <w:szCs w:val="24"/>
        </w:rPr>
        <w:t xml:space="preserve">si el funcionario de primer grado acertó al terminar anticipadamente la actuación por falta de legitimación por parte del demandante o si, por el contrario, la decisión debe revocarse, tal como lo solicita el actor, con el fin de </w:t>
      </w:r>
      <w:r w:rsidR="001534A2" w:rsidRPr="00AC4310">
        <w:rPr>
          <w:rFonts w:ascii="Gadugi" w:eastAsia="Georgia" w:hAnsi="Gadugi" w:cs="Georgia"/>
          <w:sz w:val="24"/>
          <w:szCs w:val="24"/>
        </w:rPr>
        <w:t xml:space="preserve">que el proceso continúe </w:t>
      </w:r>
      <w:r w:rsidR="00A65E71" w:rsidRPr="00AC4310">
        <w:rPr>
          <w:rFonts w:ascii="Gadugi" w:eastAsia="Georgia" w:hAnsi="Gadugi" w:cs="Georgia"/>
          <w:sz w:val="24"/>
          <w:szCs w:val="24"/>
        </w:rPr>
        <w:t>hasta</w:t>
      </w:r>
      <w:r w:rsidR="001534A2" w:rsidRPr="00AC4310">
        <w:rPr>
          <w:rFonts w:ascii="Gadugi" w:eastAsia="Georgia" w:hAnsi="Gadugi" w:cs="Georgia"/>
          <w:sz w:val="24"/>
          <w:szCs w:val="24"/>
        </w:rPr>
        <w:t xml:space="preserve"> </w:t>
      </w:r>
      <w:r w:rsidR="002C0753" w:rsidRPr="00AC4310">
        <w:rPr>
          <w:rFonts w:ascii="Gadugi" w:eastAsia="Georgia" w:hAnsi="Gadugi" w:cs="Georgia"/>
          <w:sz w:val="24"/>
          <w:szCs w:val="24"/>
        </w:rPr>
        <w:t>emitir una decisión de fondo.</w:t>
      </w:r>
    </w:p>
    <w:p w14:paraId="45C48D30" w14:textId="1865566C" w:rsidR="002C0753" w:rsidRPr="00AC4310" w:rsidRDefault="002C0753"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15615881" w14:textId="6FE4ACDB" w:rsidR="00D16CD2" w:rsidRPr="00AC4310" w:rsidRDefault="001534A2"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r w:rsidRPr="00AC4310">
        <w:rPr>
          <w:rFonts w:ascii="Gadugi" w:eastAsia="Georgia" w:hAnsi="Gadugi" w:cs="Georgia"/>
          <w:sz w:val="24"/>
          <w:szCs w:val="24"/>
        </w:rPr>
        <w:lastRenderedPageBreak/>
        <w:t>2.</w:t>
      </w:r>
      <w:r w:rsidR="006B0149" w:rsidRPr="00AC4310">
        <w:rPr>
          <w:rFonts w:ascii="Gadugi" w:eastAsia="Georgia" w:hAnsi="Gadugi" w:cs="Georgia"/>
          <w:sz w:val="24"/>
          <w:szCs w:val="24"/>
        </w:rPr>
        <w:t xml:space="preserve">6. La decisión </w:t>
      </w:r>
      <w:r w:rsidR="002C0753" w:rsidRPr="00AC4310">
        <w:rPr>
          <w:rFonts w:ascii="Gadugi" w:eastAsia="Georgia" w:hAnsi="Gadugi" w:cs="Georgia"/>
          <w:sz w:val="24"/>
          <w:szCs w:val="24"/>
        </w:rPr>
        <w:t xml:space="preserve">anticipada </w:t>
      </w:r>
      <w:r w:rsidR="00FB4DB0" w:rsidRPr="00AC4310">
        <w:rPr>
          <w:rFonts w:ascii="Gadugi" w:eastAsia="Georgia" w:hAnsi="Gadugi" w:cs="Georgia"/>
          <w:sz w:val="24"/>
          <w:szCs w:val="24"/>
        </w:rPr>
        <w:t>del proceso</w:t>
      </w:r>
      <w:r w:rsidR="00A8137C" w:rsidRPr="00AC4310">
        <w:rPr>
          <w:rFonts w:ascii="Gadugi" w:eastAsia="Georgia" w:hAnsi="Gadugi" w:cs="Georgia"/>
          <w:sz w:val="24"/>
          <w:szCs w:val="24"/>
        </w:rPr>
        <w:t xml:space="preserve"> fue adoptada por el Juzgado al </w:t>
      </w:r>
      <w:r w:rsidR="002C0753" w:rsidRPr="00AC4310">
        <w:rPr>
          <w:rFonts w:ascii="Gadugi" w:eastAsia="Georgia" w:hAnsi="Gadugi" w:cs="Georgia"/>
          <w:sz w:val="24"/>
          <w:szCs w:val="24"/>
        </w:rPr>
        <w:t xml:space="preserve">encontrar </w:t>
      </w:r>
      <w:r w:rsidR="00A8137C" w:rsidRPr="00AC4310">
        <w:rPr>
          <w:rFonts w:ascii="Gadugi" w:eastAsia="Georgia" w:hAnsi="Gadugi" w:cs="Georgia"/>
          <w:sz w:val="24"/>
          <w:szCs w:val="24"/>
        </w:rPr>
        <w:t xml:space="preserve">configurada </w:t>
      </w:r>
      <w:r w:rsidR="002C0753" w:rsidRPr="00AC4310">
        <w:rPr>
          <w:rFonts w:ascii="Gadugi" w:eastAsia="Georgia" w:hAnsi="Gadugi" w:cs="Georgia"/>
          <w:sz w:val="24"/>
          <w:szCs w:val="24"/>
        </w:rPr>
        <w:t>la causal tercera del artículo 278</w:t>
      </w:r>
      <w:r w:rsidR="00617643" w:rsidRPr="00AC4310">
        <w:rPr>
          <w:rStyle w:val="Refdenotaalpie"/>
          <w:rFonts w:ascii="Gadugi" w:eastAsia="Georgia" w:hAnsi="Gadugi" w:cs="Georgia"/>
          <w:sz w:val="24"/>
          <w:szCs w:val="24"/>
        </w:rPr>
        <w:footnoteReference w:id="14"/>
      </w:r>
      <w:r w:rsidR="002C0753" w:rsidRPr="00AC4310">
        <w:rPr>
          <w:rFonts w:ascii="Gadugi" w:eastAsia="Georgia" w:hAnsi="Gadugi" w:cs="Georgia"/>
          <w:sz w:val="24"/>
          <w:szCs w:val="24"/>
        </w:rPr>
        <w:t xml:space="preserve"> del Código General del Proceso, </w:t>
      </w:r>
      <w:r w:rsidR="00A8137C" w:rsidRPr="00AC4310">
        <w:rPr>
          <w:rFonts w:ascii="Gadugi" w:eastAsia="Georgia" w:hAnsi="Gadugi" w:cs="Georgia"/>
          <w:sz w:val="24"/>
          <w:szCs w:val="24"/>
        </w:rPr>
        <w:t xml:space="preserve">concretamente por la falta de </w:t>
      </w:r>
      <w:r w:rsidR="002C0753" w:rsidRPr="00AC4310">
        <w:rPr>
          <w:rFonts w:ascii="Gadugi" w:eastAsia="Georgia" w:hAnsi="Gadugi" w:cs="Georgia"/>
          <w:sz w:val="24"/>
          <w:szCs w:val="24"/>
        </w:rPr>
        <w:t>legitimación en la causa</w:t>
      </w:r>
      <w:r w:rsidR="00A8137C" w:rsidRPr="00AC4310">
        <w:rPr>
          <w:rFonts w:ascii="Gadugi" w:eastAsia="Georgia" w:hAnsi="Gadugi" w:cs="Georgia"/>
          <w:sz w:val="24"/>
          <w:szCs w:val="24"/>
        </w:rPr>
        <w:t xml:space="preserve"> de la</w:t>
      </w:r>
      <w:r w:rsidR="002C0753" w:rsidRPr="00AC4310">
        <w:rPr>
          <w:rFonts w:ascii="Gadugi" w:eastAsia="Georgia" w:hAnsi="Gadugi" w:cs="Georgia"/>
          <w:sz w:val="24"/>
          <w:szCs w:val="24"/>
        </w:rPr>
        <w:t xml:space="preserve"> parte del demandante. </w:t>
      </w:r>
      <w:r w:rsidR="00A8137C" w:rsidRPr="00AC4310">
        <w:rPr>
          <w:rFonts w:ascii="Gadugi" w:eastAsia="Georgia" w:hAnsi="Gadugi" w:cs="Georgia"/>
          <w:sz w:val="24"/>
          <w:szCs w:val="24"/>
        </w:rPr>
        <w:t>S</w:t>
      </w:r>
      <w:r w:rsidR="002C0753" w:rsidRPr="00AC4310">
        <w:rPr>
          <w:rFonts w:ascii="Gadugi" w:eastAsia="Georgia" w:hAnsi="Gadugi" w:cs="Georgia"/>
          <w:sz w:val="24"/>
          <w:szCs w:val="24"/>
        </w:rPr>
        <w:t>e fundamentó en que, al adquirir el lote en litigio el demandante era consciente de que esa franja de terreno estaba ocupada por el Conjunto Cerrado Camambú P.H.</w:t>
      </w:r>
      <w:r w:rsidR="00A8137C" w:rsidRPr="00AC4310">
        <w:rPr>
          <w:rFonts w:ascii="Gadugi" w:eastAsia="Georgia" w:hAnsi="Gadugi" w:cs="Georgia"/>
          <w:sz w:val="24"/>
          <w:szCs w:val="24"/>
        </w:rPr>
        <w:t xml:space="preserve">, que la había adquirido por medio de un acto preparatorio. En consecuencia, </w:t>
      </w:r>
      <w:r w:rsidR="002C0753" w:rsidRPr="00AC4310">
        <w:rPr>
          <w:rFonts w:ascii="Gadugi" w:eastAsia="Georgia" w:hAnsi="Gadugi" w:cs="Georgia"/>
          <w:sz w:val="24"/>
          <w:szCs w:val="24"/>
        </w:rPr>
        <w:t xml:space="preserve">no se le transmitió ningún derecho sobre esa </w:t>
      </w:r>
      <w:r w:rsidR="00A8137C" w:rsidRPr="00AC4310">
        <w:rPr>
          <w:rFonts w:ascii="Gadugi" w:eastAsia="Georgia" w:hAnsi="Gadugi" w:cs="Georgia"/>
          <w:sz w:val="24"/>
          <w:szCs w:val="24"/>
        </w:rPr>
        <w:t>porción</w:t>
      </w:r>
      <w:r w:rsidR="002C0753" w:rsidRPr="00AC4310">
        <w:rPr>
          <w:rFonts w:ascii="Gadugi" w:eastAsia="Georgia" w:hAnsi="Gadugi" w:cs="Georgia"/>
          <w:sz w:val="24"/>
          <w:szCs w:val="24"/>
        </w:rPr>
        <w:t xml:space="preserve">, </w:t>
      </w:r>
      <w:r w:rsidR="00A8137C" w:rsidRPr="00AC4310">
        <w:rPr>
          <w:rFonts w:ascii="Gadugi" w:eastAsia="Georgia" w:hAnsi="Gadugi" w:cs="Georgia"/>
          <w:sz w:val="24"/>
          <w:szCs w:val="24"/>
        </w:rPr>
        <w:t xml:space="preserve">ya que </w:t>
      </w:r>
      <w:r w:rsidR="002C0753" w:rsidRPr="00AC4310">
        <w:rPr>
          <w:rFonts w:ascii="Gadugi" w:eastAsia="Georgia" w:hAnsi="Gadugi" w:cs="Georgia"/>
          <w:sz w:val="24"/>
          <w:szCs w:val="24"/>
        </w:rPr>
        <w:t xml:space="preserve">compró la propiedad tal como se encontraba, </w:t>
      </w:r>
      <w:r w:rsidR="00A8137C" w:rsidRPr="00AC4310">
        <w:rPr>
          <w:rFonts w:ascii="Gadugi" w:eastAsia="Georgia" w:hAnsi="Gadugi" w:cs="Georgia"/>
          <w:sz w:val="24"/>
          <w:szCs w:val="24"/>
        </w:rPr>
        <w:t xml:space="preserve">es decir, </w:t>
      </w:r>
      <w:r w:rsidR="002C0753" w:rsidRPr="00AC4310">
        <w:rPr>
          <w:rFonts w:ascii="Gadugi" w:eastAsia="Georgia" w:hAnsi="Gadugi" w:cs="Georgia"/>
          <w:sz w:val="24"/>
          <w:szCs w:val="24"/>
        </w:rPr>
        <w:t>"</w:t>
      </w:r>
      <w:proofErr w:type="spellStart"/>
      <w:r w:rsidR="002C0753" w:rsidRPr="00AC4310">
        <w:rPr>
          <w:rFonts w:ascii="Gadugi" w:eastAsia="Georgia" w:hAnsi="Gadugi" w:cs="Georgia"/>
          <w:i/>
          <w:sz w:val="24"/>
          <w:szCs w:val="24"/>
        </w:rPr>
        <w:t>brev</w:t>
      </w:r>
      <w:r w:rsidR="00FB6B58" w:rsidRPr="00AC4310">
        <w:rPr>
          <w:rFonts w:ascii="Gadugi" w:eastAsia="Georgia" w:hAnsi="Gadugi" w:cs="Georgia"/>
          <w:i/>
          <w:sz w:val="24"/>
          <w:szCs w:val="24"/>
        </w:rPr>
        <w:t>i</w:t>
      </w:r>
      <w:proofErr w:type="spellEnd"/>
      <w:r w:rsidR="002C0753" w:rsidRPr="00AC4310">
        <w:rPr>
          <w:rFonts w:ascii="Gadugi" w:eastAsia="Georgia" w:hAnsi="Gadugi" w:cs="Georgia"/>
          <w:i/>
          <w:sz w:val="24"/>
          <w:szCs w:val="24"/>
        </w:rPr>
        <w:t xml:space="preserve"> manu</w:t>
      </w:r>
      <w:r w:rsidR="002C0753" w:rsidRPr="00AC4310">
        <w:rPr>
          <w:rFonts w:ascii="Gadugi" w:eastAsia="Georgia" w:hAnsi="Gadugi" w:cs="Georgia"/>
          <w:sz w:val="24"/>
          <w:szCs w:val="24"/>
        </w:rPr>
        <w:t xml:space="preserve">", </w:t>
      </w:r>
      <w:r w:rsidR="00A8137C" w:rsidRPr="00AC4310">
        <w:rPr>
          <w:rFonts w:ascii="Gadugi" w:eastAsia="Georgia" w:hAnsi="Gadugi" w:cs="Georgia"/>
          <w:sz w:val="24"/>
          <w:szCs w:val="24"/>
        </w:rPr>
        <w:t xml:space="preserve">con lo que aceptó la </w:t>
      </w:r>
      <w:r w:rsidR="002C0753" w:rsidRPr="00AC4310">
        <w:rPr>
          <w:rFonts w:ascii="Gadugi" w:eastAsia="Georgia" w:hAnsi="Gadugi" w:cs="Georgia"/>
          <w:sz w:val="24"/>
          <w:szCs w:val="24"/>
        </w:rPr>
        <w:t>situación existente.</w:t>
      </w:r>
    </w:p>
    <w:p w14:paraId="48407588" w14:textId="6671DF74" w:rsidR="00617643" w:rsidRPr="00AC4310" w:rsidRDefault="00617643"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0AB047A5" w14:textId="155F7230" w:rsidR="00B1493D" w:rsidRPr="00AC4310" w:rsidRDefault="00D87B82" w:rsidP="00AC4310">
      <w:pPr>
        <w:tabs>
          <w:tab w:val="left" w:pos="3402"/>
        </w:tabs>
        <w:contextualSpacing/>
        <w:jc w:val="both"/>
        <w:rPr>
          <w:rFonts w:ascii="Gadugi" w:hAnsi="Gadugi"/>
          <w:sz w:val="24"/>
          <w:szCs w:val="24"/>
        </w:rPr>
      </w:pPr>
      <w:r w:rsidRPr="00AC4310">
        <w:rPr>
          <w:rFonts w:ascii="Gadugi" w:eastAsia="Georgia" w:hAnsi="Gadugi" w:cs="Georgia"/>
          <w:sz w:val="24"/>
          <w:szCs w:val="24"/>
        </w:rPr>
        <w:t>2.</w:t>
      </w:r>
      <w:r w:rsidR="004978E4" w:rsidRPr="00AC4310">
        <w:rPr>
          <w:rFonts w:ascii="Gadugi" w:eastAsia="Georgia" w:hAnsi="Gadugi" w:cs="Georgia"/>
          <w:sz w:val="24"/>
          <w:szCs w:val="24"/>
        </w:rPr>
        <w:t>7</w:t>
      </w:r>
      <w:r w:rsidR="00A8137C" w:rsidRPr="00AC4310">
        <w:rPr>
          <w:rFonts w:ascii="Gadugi" w:eastAsia="Georgia" w:hAnsi="Gadugi" w:cs="Georgia"/>
          <w:sz w:val="24"/>
          <w:szCs w:val="24"/>
        </w:rPr>
        <w:t xml:space="preserve">. La legitimación en la causa, </w:t>
      </w:r>
      <w:r w:rsidRPr="00AC4310">
        <w:rPr>
          <w:rFonts w:ascii="Gadugi" w:eastAsia="Georgia" w:hAnsi="Gadugi" w:cs="Georgia"/>
          <w:sz w:val="24"/>
          <w:szCs w:val="24"/>
        </w:rPr>
        <w:t xml:space="preserve">que debe asumirse de </w:t>
      </w:r>
      <w:r w:rsidRPr="00AC4310">
        <w:rPr>
          <w:rFonts w:ascii="Gadugi" w:hAnsi="Gadugi"/>
          <w:sz w:val="24"/>
          <w:szCs w:val="24"/>
        </w:rPr>
        <w:t>oficio</w:t>
      </w:r>
      <w:r w:rsidRPr="00AC4310">
        <w:rPr>
          <w:rStyle w:val="Refdenotaalpie"/>
          <w:rFonts w:ascii="Gadugi" w:hAnsi="Gadugi"/>
          <w:sz w:val="24"/>
          <w:szCs w:val="24"/>
        </w:rPr>
        <w:footnoteReference w:id="15"/>
      </w:r>
      <w:r w:rsidRPr="00AC4310">
        <w:rPr>
          <w:rFonts w:ascii="Gadugi" w:hAnsi="Gadugi"/>
          <w:sz w:val="24"/>
          <w:szCs w:val="24"/>
        </w:rPr>
        <w:t>, ha dicho esta Sala</w:t>
      </w:r>
      <w:r w:rsidRPr="00AC4310">
        <w:rPr>
          <w:rStyle w:val="Refdenotaalpie"/>
          <w:rFonts w:ascii="Gadugi" w:hAnsi="Gadugi"/>
          <w:sz w:val="24"/>
          <w:szCs w:val="24"/>
        </w:rPr>
        <w:footnoteReference w:id="16"/>
      </w:r>
      <w:r w:rsidRPr="00AC4310">
        <w:rPr>
          <w:rFonts w:ascii="Gadugi" w:hAnsi="Gadugi"/>
          <w:sz w:val="24"/>
          <w:szCs w:val="24"/>
        </w:rPr>
        <w:t xml:space="preserve"> que, entendida como un presupuesto obligado de la pretensión, en su caracterización más aceptada por la jurisprudencia</w:t>
      </w:r>
      <w:r w:rsidRPr="00AC4310">
        <w:rPr>
          <w:rStyle w:val="Refdenotaalpie"/>
          <w:rFonts w:ascii="Gadugi" w:hAnsi="Gadugi"/>
          <w:sz w:val="24"/>
          <w:szCs w:val="24"/>
        </w:rPr>
        <w:footnoteReference w:id="17"/>
      </w:r>
      <w:r w:rsidRPr="00AC4310">
        <w:rPr>
          <w:rFonts w:ascii="Gadugi" w:hAnsi="Gadugi"/>
          <w:sz w:val="24"/>
          <w:szCs w:val="24"/>
        </w:rPr>
        <w:t xml:space="preserve"> responde a la idea de que exista identidad entre el demandante y el titular del derecho que se reclama, si es activa, y entre el demandado y el titular de la obligación correlativa, si es pasiva</w:t>
      </w:r>
      <w:r w:rsidR="00B1493D" w:rsidRPr="00AC4310">
        <w:rPr>
          <w:rStyle w:val="Refdenotaalpie"/>
          <w:rFonts w:ascii="Gadugi" w:hAnsi="Gadugi"/>
          <w:sz w:val="24"/>
          <w:szCs w:val="24"/>
        </w:rPr>
        <w:footnoteReference w:id="18"/>
      </w:r>
      <w:r w:rsidRPr="00AC4310">
        <w:rPr>
          <w:rFonts w:ascii="Gadugi" w:hAnsi="Gadugi"/>
          <w:sz w:val="24"/>
          <w:szCs w:val="24"/>
        </w:rPr>
        <w:t xml:space="preserve">. </w:t>
      </w:r>
      <w:r w:rsidR="00B1493D" w:rsidRPr="00AC4310">
        <w:rPr>
          <w:rFonts w:ascii="Gadugi" w:hAnsi="Gadugi"/>
          <w:sz w:val="24"/>
          <w:szCs w:val="24"/>
        </w:rPr>
        <w:t xml:space="preserve">Recientemente, en la sentencia SC592-2022, señaló nuestro órgano de cierre que: </w:t>
      </w:r>
    </w:p>
    <w:p w14:paraId="465FA7DF" w14:textId="77777777" w:rsidR="00A06418" w:rsidRPr="00AC4310" w:rsidRDefault="00A06418" w:rsidP="00AC4310">
      <w:pPr>
        <w:tabs>
          <w:tab w:val="left" w:pos="3402"/>
        </w:tabs>
        <w:ind w:left="567" w:right="618"/>
        <w:contextualSpacing/>
        <w:jc w:val="both"/>
        <w:rPr>
          <w:rFonts w:ascii="Gadugi" w:hAnsi="Gadugi"/>
          <w:sz w:val="24"/>
          <w:szCs w:val="24"/>
        </w:rPr>
      </w:pPr>
    </w:p>
    <w:p w14:paraId="4106D092" w14:textId="1264F6E0" w:rsidR="00B1493D" w:rsidRPr="002E569D" w:rsidRDefault="00B1493D" w:rsidP="002E569D">
      <w:pPr>
        <w:tabs>
          <w:tab w:val="left" w:pos="3402"/>
        </w:tabs>
        <w:spacing w:line="240" w:lineRule="auto"/>
        <w:ind w:left="426" w:right="420"/>
        <w:contextualSpacing/>
        <w:jc w:val="both"/>
        <w:rPr>
          <w:rFonts w:ascii="Gadugi" w:hAnsi="Gadugi"/>
          <w:szCs w:val="24"/>
        </w:rPr>
      </w:pPr>
      <w:r w:rsidRPr="002E569D">
        <w:rPr>
          <w:rFonts w:ascii="Gadugi" w:hAnsi="Gadugi"/>
          <w:szCs w:val="24"/>
        </w:rPr>
        <w:t xml:space="preserve">La legitimación en la causa por activa hace referencia a la titularidad del derecho sustancial invocado por el demandante. Es un elemento material para la sentencia estimatoria, o lo que es lo mismo, una de las condiciones sustanciales para el éxito de la pretensión. Se concreta cuando la titularidad procesal alegada en la demanda coincide con la titularidad del derecho sustancial reclamado conforme lo disponen las normas jurídicas de esa naturaleza. </w:t>
      </w:r>
    </w:p>
    <w:p w14:paraId="6656D421" w14:textId="77777777" w:rsidR="00B1493D" w:rsidRPr="002E569D" w:rsidRDefault="00B1493D" w:rsidP="002E569D">
      <w:pPr>
        <w:tabs>
          <w:tab w:val="left" w:pos="3402"/>
        </w:tabs>
        <w:spacing w:line="240" w:lineRule="auto"/>
        <w:ind w:left="426" w:right="420"/>
        <w:contextualSpacing/>
        <w:jc w:val="both"/>
        <w:rPr>
          <w:rFonts w:ascii="Gadugi" w:hAnsi="Gadugi"/>
          <w:szCs w:val="24"/>
        </w:rPr>
      </w:pPr>
    </w:p>
    <w:p w14:paraId="1C6C10BA" w14:textId="77777777" w:rsidR="00B1493D" w:rsidRPr="002E569D" w:rsidRDefault="00B1493D" w:rsidP="002E569D">
      <w:pPr>
        <w:tabs>
          <w:tab w:val="left" w:pos="3402"/>
        </w:tabs>
        <w:spacing w:line="240" w:lineRule="auto"/>
        <w:ind w:left="426" w:right="420"/>
        <w:contextualSpacing/>
        <w:jc w:val="both"/>
        <w:rPr>
          <w:rFonts w:ascii="Gadugi" w:hAnsi="Gadugi"/>
          <w:szCs w:val="24"/>
        </w:rPr>
      </w:pPr>
      <w:r w:rsidRPr="002E569D">
        <w:rPr>
          <w:rFonts w:ascii="Gadugi" w:hAnsi="Gadugi"/>
          <w:szCs w:val="24"/>
        </w:rPr>
        <w:t>Por su carácter sustantivo, es presupuesto material de la sentencia estimatoria y su ausencia impide la prosperidad del petitum, a diferencia de los presupuestos procesales de la acción, que son requisitos formales necesarios para el válido desarrollo del proceso…</w:t>
      </w:r>
    </w:p>
    <w:p w14:paraId="06F34FCA" w14:textId="77777777" w:rsidR="00B1493D" w:rsidRPr="00AC4310" w:rsidRDefault="00B1493D" w:rsidP="00AC4310">
      <w:pPr>
        <w:tabs>
          <w:tab w:val="left" w:pos="3402"/>
        </w:tabs>
        <w:ind w:left="567" w:right="618"/>
        <w:contextualSpacing/>
        <w:jc w:val="both"/>
        <w:rPr>
          <w:rFonts w:ascii="Gadugi" w:hAnsi="Gadugi"/>
          <w:sz w:val="24"/>
          <w:szCs w:val="24"/>
        </w:rPr>
      </w:pPr>
    </w:p>
    <w:p w14:paraId="34A07108" w14:textId="347853BD" w:rsidR="00A06418" w:rsidRPr="00AC4310" w:rsidRDefault="00BA46A2" w:rsidP="00AC4310">
      <w:pPr>
        <w:tabs>
          <w:tab w:val="left" w:pos="3402"/>
        </w:tabs>
        <w:ind w:right="618"/>
        <w:contextualSpacing/>
        <w:jc w:val="both"/>
        <w:rPr>
          <w:rFonts w:ascii="Gadugi" w:hAnsi="Gadugi"/>
          <w:i/>
          <w:sz w:val="24"/>
          <w:szCs w:val="24"/>
        </w:rPr>
      </w:pPr>
      <w:r w:rsidRPr="00AC4310">
        <w:rPr>
          <w:rFonts w:ascii="Gadugi" w:hAnsi="Gadugi"/>
          <w:sz w:val="24"/>
          <w:szCs w:val="24"/>
        </w:rPr>
        <w:t xml:space="preserve">Y agregó que: </w:t>
      </w:r>
    </w:p>
    <w:p w14:paraId="17917BA9" w14:textId="77777777" w:rsidR="00A06418" w:rsidRPr="00AC4310" w:rsidRDefault="00A06418" w:rsidP="00AC4310">
      <w:pPr>
        <w:tabs>
          <w:tab w:val="left" w:pos="3402"/>
        </w:tabs>
        <w:ind w:left="567" w:right="618"/>
        <w:contextualSpacing/>
        <w:jc w:val="both"/>
        <w:rPr>
          <w:rFonts w:ascii="Gadugi" w:hAnsi="Gadugi"/>
          <w:sz w:val="24"/>
          <w:szCs w:val="24"/>
        </w:rPr>
      </w:pPr>
    </w:p>
    <w:p w14:paraId="4A80A278" w14:textId="77777777" w:rsidR="00A06418" w:rsidRPr="002E569D" w:rsidRDefault="00B1493D" w:rsidP="002E569D">
      <w:pPr>
        <w:tabs>
          <w:tab w:val="left" w:pos="3402"/>
        </w:tabs>
        <w:spacing w:line="240" w:lineRule="auto"/>
        <w:ind w:left="426" w:right="420"/>
        <w:contextualSpacing/>
        <w:jc w:val="both"/>
        <w:rPr>
          <w:rFonts w:ascii="Gadugi" w:hAnsi="Gadugi"/>
          <w:szCs w:val="24"/>
        </w:rPr>
      </w:pPr>
      <w:r w:rsidRPr="002E569D">
        <w:rPr>
          <w:rFonts w:ascii="Gadugi" w:hAnsi="Gadugi"/>
          <w:szCs w:val="24"/>
        </w:rPr>
        <w:t xml:space="preserve">Más recientemente, la Sala sostuvo que la legitimación en la causa </w:t>
      </w:r>
    </w:p>
    <w:p w14:paraId="5D516974" w14:textId="77777777" w:rsidR="00A06418" w:rsidRPr="002E569D" w:rsidRDefault="00A06418" w:rsidP="002E569D">
      <w:pPr>
        <w:tabs>
          <w:tab w:val="left" w:pos="3402"/>
        </w:tabs>
        <w:spacing w:line="240" w:lineRule="auto"/>
        <w:ind w:left="426" w:right="420"/>
        <w:contextualSpacing/>
        <w:jc w:val="both"/>
        <w:rPr>
          <w:rFonts w:ascii="Gadugi" w:hAnsi="Gadugi"/>
          <w:szCs w:val="24"/>
        </w:rPr>
      </w:pPr>
    </w:p>
    <w:p w14:paraId="12BA7555" w14:textId="1747621B" w:rsidR="00D87B82" w:rsidRPr="002E569D" w:rsidRDefault="00B1493D" w:rsidP="002E569D">
      <w:pPr>
        <w:tabs>
          <w:tab w:val="left" w:pos="3402"/>
        </w:tabs>
        <w:spacing w:line="240" w:lineRule="auto"/>
        <w:ind w:left="426" w:right="420"/>
        <w:contextualSpacing/>
        <w:jc w:val="both"/>
        <w:rPr>
          <w:rFonts w:ascii="Gadugi" w:hAnsi="Gadugi"/>
          <w:szCs w:val="24"/>
        </w:rPr>
      </w:pPr>
      <w:r w:rsidRPr="002E569D">
        <w:rPr>
          <w:rFonts w:ascii="Gadugi" w:hAnsi="Gadugi"/>
          <w:szCs w:val="24"/>
        </w:rPr>
        <w:t xml:space="preserve">«(...) corresponde a “la identidad de la persona del actor con la persona a la cual la ley concede la acción (legitimación activa) y la identidad de la persona del demandado con la persona contra la cual es concedida la acción (legitimación pasiva)” (...), aclarando que “el acceso a la administración de justicia como garantía de orden superior (artículo 229 de la Constitución Política), para su plena realización, requiere que quien reclama la protección de un derecho sea su titular, ya sea que se pida a título personal o por sus representantes, pues, no se trata de una facultad ilimitada. Ese condicionamiento, </w:t>
      </w:r>
      <w:r w:rsidRPr="002E569D">
        <w:rPr>
          <w:rFonts w:ascii="Gadugi" w:hAnsi="Gadugi"/>
          <w:szCs w:val="24"/>
        </w:rPr>
        <w:lastRenderedPageBreak/>
        <w:t>precisamente, es el que legitima para accionar y, de faltar, el resultado solo puede ser adverso, sin siquiera analizar a profundidad los puntos en discusión” (CSJ SC14658, 23 oct. 2015, Rad. 2010-00490-01; en ese mismo sentido: CSJ SC, 1º jul. 2008, Rad. 2001-06291-01)». (CSJ SC16279-2016, 11 nov.).</w:t>
      </w:r>
    </w:p>
    <w:p w14:paraId="288B6CEB" w14:textId="07DE3550" w:rsidR="00A06418" w:rsidRPr="00AC4310" w:rsidRDefault="00A06418" w:rsidP="00AC4310">
      <w:pPr>
        <w:tabs>
          <w:tab w:val="left" w:pos="3402"/>
        </w:tabs>
        <w:contextualSpacing/>
        <w:jc w:val="both"/>
        <w:rPr>
          <w:rFonts w:ascii="Gadugi" w:hAnsi="Gadugi"/>
          <w:sz w:val="24"/>
          <w:szCs w:val="24"/>
        </w:rPr>
      </w:pPr>
    </w:p>
    <w:p w14:paraId="18F0FB39" w14:textId="4D9489FA" w:rsidR="00A11609" w:rsidRPr="00AC4310" w:rsidRDefault="00A06418" w:rsidP="00AC4310">
      <w:pPr>
        <w:tabs>
          <w:tab w:val="left" w:pos="3402"/>
        </w:tabs>
        <w:contextualSpacing/>
        <w:jc w:val="both"/>
        <w:rPr>
          <w:rFonts w:ascii="Gadugi" w:eastAsia="Georgia" w:hAnsi="Gadugi" w:cs="Georgia"/>
          <w:i/>
          <w:sz w:val="24"/>
          <w:szCs w:val="24"/>
        </w:rPr>
      </w:pPr>
      <w:r w:rsidRPr="00AC4310">
        <w:rPr>
          <w:rFonts w:ascii="Gadugi" w:hAnsi="Gadugi"/>
          <w:sz w:val="24"/>
          <w:szCs w:val="24"/>
        </w:rPr>
        <w:t>Ahora, si se trata de la acción reivindicatoria, establece el artículo 946 del C. Civil que “</w:t>
      </w:r>
      <w:r w:rsidR="00F5029E" w:rsidRPr="002E569D">
        <w:rPr>
          <w:rFonts w:ascii="Gadugi" w:eastAsia="Georgia" w:hAnsi="Gadugi" w:cs="Georgia"/>
          <w:i/>
          <w:szCs w:val="24"/>
        </w:rPr>
        <w:t>La reivindicación o acción de dominio es la que tiene el dueño de una cosa singular, de que no está en posesión, para que el poseedor de ella sea condenado a restituirla</w:t>
      </w:r>
      <w:r w:rsidRPr="00AC4310">
        <w:rPr>
          <w:rFonts w:ascii="Gadugi" w:eastAsia="Georgia" w:hAnsi="Gadugi" w:cs="Georgia"/>
          <w:i/>
          <w:sz w:val="24"/>
          <w:szCs w:val="24"/>
        </w:rPr>
        <w:t>”</w:t>
      </w:r>
      <w:r w:rsidRPr="00AC4310">
        <w:rPr>
          <w:rFonts w:ascii="Gadugi" w:eastAsia="Georgia" w:hAnsi="Gadugi" w:cs="Georgia"/>
          <w:sz w:val="24"/>
          <w:szCs w:val="24"/>
        </w:rPr>
        <w:t>, en tanto que los artículos 950 y 951 señalan quién puede reivindicar, y se ubican allí aquél que tenga la propiedad plena o nuda, absoluta o fiduciaria de la cosa, y el que ha perdido la posesión regular de la cosa y se hallaba en camino de poder ganar por prescripción (acción publiciana)</w:t>
      </w:r>
      <w:r w:rsidR="00F5029E" w:rsidRPr="00AC4310">
        <w:rPr>
          <w:rFonts w:ascii="Gadugi" w:eastAsia="Georgia" w:hAnsi="Gadugi" w:cs="Georgia"/>
          <w:i/>
          <w:sz w:val="24"/>
          <w:szCs w:val="24"/>
        </w:rPr>
        <w:t>.</w:t>
      </w:r>
    </w:p>
    <w:p w14:paraId="6460162D" w14:textId="77777777" w:rsidR="00F5029E" w:rsidRPr="00AC4310" w:rsidRDefault="00F5029E"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1CDEB2BA" w14:textId="792E1948" w:rsidR="008C25C9" w:rsidRPr="00AC4310" w:rsidRDefault="00A06418" w:rsidP="00AC4310">
      <w:pPr>
        <w:pBdr>
          <w:top w:val="nil"/>
          <w:left w:val="nil"/>
          <w:bottom w:val="nil"/>
          <w:right w:val="nil"/>
          <w:between w:val="nil"/>
        </w:pBdr>
        <w:tabs>
          <w:tab w:val="left" w:pos="3686"/>
          <w:tab w:val="left" w:pos="4536"/>
        </w:tabs>
        <w:ind w:right="51"/>
        <w:jc w:val="both"/>
        <w:rPr>
          <w:rFonts w:ascii="Gadugi" w:hAnsi="Gadugi"/>
          <w:sz w:val="24"/>
          <w:szCs w:val="24"/>
        </w:rPr>
      </w:pPr>
      <w:r w:rsidRPr="00AC4310">
        <w:rPr>
          <w:rFonts w:ascii="Gadugi" w:eastAsia="Georgia" w:hAnsi="Gadugi" w:cs="Georgia"/>
          <w:sz w:val="24"/>
          <w:szCs w:val="24"/>
        </w:rPr>
        <w:t xml:space="preserve">Por ello, ha sido constante la jurisprudencia nacional en señalar los requisitos básicos para la procedencia de la acción reivindicatoria. En la reciente sentencia </w:t>
      </w:r>
      <w:r w:rsidR="008C25C9" w:rsidRPr="00AC4310">
        <w:rPr>
          <w:rStyle w:val="user-highlighted-active"/>
          <w:rFonts w:ascii="Gadugi" w:hAnsi="Gadugi"/>
          <w:bCs/>
          <w:sz w:val="24"/>
          <w:szCs w:val="24"/>
          <w:shd w:val="clear" w:color="auto" w:fill="FFFFFF"/>
        </w:rPr>
        <w:t>SC710-2022</w:t>
      </w:r>
      <w:r w:rsidRPr="00AC4310">
        <w:rPr>
          <w:rStyle w:val="user-highlighted-active"/>
          <w:rFonts w:ascii="Gadugi" w:hAnsi="Gadugi"/>
          <w:bCs/>
          <w:sz w:val="24"/>
          <w:szCs w:val="24"/>
          <w:shd w:val="clear" w:color="auto" w:fill="FFFFFF"/>
        </w:rPr>
        <w:t xml:space="preserve">, dijo la Sala de </w:t>
      </w:r>
      <w:r w:rsidR="001D0C0F" w:rsidRPr="00AC4310">
        <w:rPr>
          <w:rStyle w:val="user-highlighted-active"/>
          <w:rFonts w:ascii="Gadugi" w:hAnsi="Gadugi"/>
          <w:bCs/>
          <w:sz w:val="24"/>
          <w:szCs w:val="24"/>
          <w:shd w:val="clear" w:color="auto" w:fill="FFFFFF"/>
        </w:rPr>
        <w:t>Casación</w:t>
      </w:r>
      <w:r w:rsidRPr="00AC4310">
        <w:rPr>
          <w:rStyle w:val="user-highlighted-active"/>
          <w:rFonts w:ascii="Gadugi" w:hAnsi="Gadugi"/>
          <w:bCs/>
          <w:sz w:val="24"/>
          <w:szCs w:val="24"/>
          <w:shd w:val="clear" w:color="auto" w:fill="FFFFFF"/>
        </w:rPr>
        <w:t xml:space="preserve"> Civil que: </w:t>
      </w:r>
    </w:p>
    <w:p w14:paraId="06C30811" w14:textId="3AC610E8" w:rsidR="008C25C9" w:rsidRPr="00CC6AFC" w:rsidRDefault="008C25C9" w:rsidP="00CC6AFC">
      <w:pPr>
        <w:tabs>
          <w:tab w:val="left" w:pos="3402"/>
        </w:tabs>
        <w:spacing w:line="240" w:lineRule="auto"/>
        <w:ind w:left="426" w:right="420"/>
        <w:contextualSpacing/>
        <w:jc w:val="both"/>
        <w:rPr>
          <w:rFonts w:ascii="Gadugi" w:hAnsi="Gadugi"/>
        </w:rPr>
      </w:pPr>
      <w:r w:rsidRPr="00CC6AFC">
        <w:rPr>
          <w:rFonts w:ascii="Gadugi" w:eastAsia="Times New Roman" w:hAnsi="Gadugi" w:cs="Times New Roman"/>
          <w:sz w:val="24"/>
          <w:szCs w:val="24"/>
          <w:lang w:val="es-CO"/>
        </w:rPr>
        <w:br/>
      </w:r>
      <w:r w:rsidRPr="00CC6AFC">
        <w:rPr>
          <w:rStyle w:val="user-highlighted-active"/>
          <w:rFonts w:ascii="Gadugi" w:hAnsi="Gadugi"/>
        </w:rPr>
        <w:t>Partiendo de la anterior definición, en forma reiterada e invariable han predicado al unísono la jurisprudencia y la doctrina, que son presupuestos estructurales de dicha acción que: </w:t>
      </w:r>
      <w:r w:rsidRPr="00CC6AFC">
        <w:rPr>
          <w:rStyle w:val="user-highlighted-active"/>
          <w:rFonts w:ascii="Gadugi" w:hAnsi="Gadugi"/>
          <w:b/>
          <w:bCs/>
          <w:i/>
          <w:iCs/>
        </w:rPr>
        <w:t>i) </w:t>
      </w:r>
      <w:r w:rsidRPr="00CC6AFC">
        <w:rPr>
          <w:rStyle w:val="user-highlighted-active"/>
          <w:rFonts w:ascii="Gadugi" w:hAnsi="Gadugi"/>
        </w:rPr>
        <w:t xml:space="preserve">el bien objeto de la misma sea de propiedad </w:t>
      </w:r>
      <w:r w:rsidRPr="00CC6AFC">
        <w:rPr>
          <w:rFonts w:ascii="Gadugi" w:hAnsi="Gadugi"/>
        </w:rPr>
        <w:t>del</w:t>
      </w:r>
      <w:r w:rsidRPr="00CC6AFC">
        <w:rPr>
          <w:rStyle w:val="user-highlighted-active"/>
          <w:rFonts w:ascii="Gadugi" w:hAnsi="Gadugi"/>
        </w:rPr>
        <w:t xml:space="preserve"> actor; </w:t>
      </w:r>
      <w:r w:rsidRPr="00CC6AFC">
        <w:rPr>
          <w:rStyle w:val="user-highlighted-active"/>
          <w:rFonts w:ascii="Gadugi" w:hAnsi="Gadugi"/>
          <w:b/>
          <w:bCs/>
          <w:i/>
          <w:iCs/>
        </w:rPr>
        <w:t>ii) </w:t>
      </w:r>
      <w:r w:rsidRPr="00CC6AFC">
        <w:rPr>
          <w:rStyle w:val="user-highlighted-active"/>
          <w:rFonts w:ascii="Gadugi" w:hAnsi="Gadugi"/>
        </w:rPr>
        <w:t>que esté siendo poseído por el demandado; </w:t>
      </w:r>
      <w:r w:rsidRPr="00CC6AFC">
        <w:rPr>
          <w:rStyle w:val="user-highlighted-active"/>
          <w:rFonts w:ascii="Gadugi" w:hAnsi="Gadugi"/>
          <w:b/>
          <w:bCs/>
          <w:i/>
          <w:iCs/>
        </w:rPr>
        <w:t>iii) </w:t>
      </w:r>
      <w:r w:rsidRPr="00CC6AFC">
        <w:rPr>
          <w:rStyle w:val="user-highlighted-active"/>
          <w:rFonts w:ascii="Gadugi" w:hAnsi="Gadugi"/>
        </w:rPr>
        <w:t>que corresponda a aquel sobre el que el primero demostró dominio y el segundo su aprehensión material con ánimo de señor y dueño; y, finalmente, </w:t>
      </w:r>
      <w:r w:rsidRPr="00CC6AFC">
        <w:rPr>
          <w:rStyle w:val="user-highlighted-active"/>
          <w:rFonts w:ascii="Gadugi" w:hAnsi="Gadugi"/>
          <w:b/>
          <w:bCs/>
          <w:i/>
          <w:iCs/>
        </w:rPr>
        <w:t>iv) </w:t>
      </w:r>
      <w:r w:rsidRPr="00CC6AFC">
        <w:rPr>
          <w:rStyle w:val="user-highlighted-active"/>
          <w:rFonts w:ascii="Gadugi" w:hAnsi="Gadugi"/>
        </w:rPr>
        <w:t>que se trate de una cosa determinada o de cuota singular de ella.</w:t>
      </w:r>
    </w:p>
    <w:p w14:paraId="03191765" w14:textId="1F83044E" w:rsidR="008C25C9" w:rsidRPr="00AC4310" w:rsidRDefault="008C25C9" w:rsidP="00AC4310">
      <w:pPr>
        <w:pStyle w:val="NormalWeb"/>
        <w:shd w:val="clear" w:color="auto" w:fill="FFFFFF"/>
        <w:spacing w:before="0" w:beforeAutospacing="0" w:after="0" w:afterAutospacing="0" w:line="276" w:lineRule="auto"/>
        <w:ind w:left="567" w:right="618"/>
        <w:jc w:val="both"/>
        <w:rPr>
          <w:rFonts w:ascii="Gadugi" w:hAnsi="Gadugi"/>
        </w:rPr>
      </w:pPr>
    </w:p>
    <w:p w14:paraId="5CF48479" w14:textId="073155FA" w:rsidR="008C25C9" w:rsidRPr="00AC4310" w:rsidRDefault="00BA46A2" w:rsidP="00AC4310">
      <w:pPr>
        <w:pBdr>
          <w:top w:val="nil"/>
          <w:left w:val="nil"/>
          <w:bottom w:val="nil"/>
          <w:right w:val="nil"/>
          <w:between w:val="nil"/>
        </w:pBdr>
        <w:tabs>
          <w:tab w:val="left" w:pos="3686"/>
          <w:tab w:val="left" w:pos="4536"/>
        </w:tabs>
        <w:ind w:right="51"/>
        <w:jc w:val="both"/>
        <w:rPr>
          <w:rFonts w:ascii="Gadugi" w:eastAsia="Georgia" w:hAnsi="Gadugi" w:cs="Georgia"/>
          <w:sz w:val="24"/>
          <w:szCs w:val="24"/>
        </w:rPr>
      </w:pPr>
      <w:r w:rsidRPr="00AC4310">
        <w:rPr>
          <w:rFonts w:ascii="Gadugi" w:eastAsia="Georgia" w:hAnsi="Gadugi" w:cs="Georgia"/>
          <w:sz w:val="24"/>
          <w:szCs w:val="24"/>
        </w:rPr>
        <w:t xml:space="preserve">Aunque, bueno es agregarlo, como se mencionó antes, también puede invocar ese derecho quien esté en vía de ganar por prescripción y sea despojado de la posesión, caso en el cual, ese primer elemento será diferente, porque, obviamente no podrá demostrar titularidad suya, sino la calidad de poseedor. </w:t>
      </w:r>
    </w:p>
    <w:p w14:paraId="0ABC02E8" w14:textId="69C842C3" w:rsidR="00BA46A2" w:rsidRPr="00AC4310" w:rsidRDefault="00BA46A2" w:rsidP="00AC4310">
      <w:pPr>
        <w:pBdr>
          <w:top w:val="nil"/>
          <w:left w:val="nil"/>
          <w:bottom w:val="nil"/>
          <w:right w:val="nil"/>
          <w:between w:val="nil"/>
        </w:pBdr>
        <w:tabs>
          <w:tab w:val="left" w:pos="3686"/>
          <w:tab w:val="left" w:pos="4536"/>
        </w:tabs>
        <w:ind w:right="51"/>
        <w:jc w:val="both"/>
        <w:rPr>
          <w:rFonts w:ascii="Gadugi" w:eastAsia="Georgia" w:hAnsi="Gadugi" w:cs="Georgia"/>
          <w:sz w:val="24"/>
          <w:szCs w:val="24"/>
        </w:rPr>
      </w:pPr>
    </w:p>
    <w:p w14:paraId="42B633CB" w14:textId="7CECD8DA" w:rsidR="00BA46A2" w:rsidRDefault="00BA46A2" w:rsidP="00AC4310">
      <w:pPr>
        <w:pBdr>
          <w:top w:val="nil"/>
          <w:left w:val="nil"/>
          <w:bottom w:val="nil"/>
          <w:right w:val="nil"/>
          <w:between w:val="nil"/>
        </w:pBdr>
        <w:tabs>
          <w:tab w:val="left" w:pos="3686"/>
          <w:tab w:val="left" w:pos="4536"/>
        </w:tabs>
        <w:ind w:right="51"/>
        <w:jc w:val="both"/>
        <w:rPr>
          <w:rFonts w:ascii="Gadugi" w:eastAsia="Georgia" w:hAnsi="Gadugi" w:cs="Georgia"/>
          <w:sz w:val="24"/>
          <w:szCs w:val="24"/>
        </w:rPr>
      </w:pPr>
      <w:r w:rsidRPr="00AC4310">
        <w:rPr>
          <w:rFonts w:ascii="Gadugi" w:eastAsia="Georgia" w:hAnsi="Gadugi" w:cs="Georgia"/>
          <w:sz w:val="24"/>
          <w:szCs w:val="24"/>
        </w:rPr>
        <w:t xml:space="preserve">No cabe duda, entonces, de que la legitimación en la causa por activa, en un proceso de la índole del presente, recae en el propietario (pleno, nudo, fiduciario) o en ese poseedor que ha sido despojado de la posesión. </w:t>
      </w:r>
    </w:p>
    <w:p w14:paraId="25481683" w14:textId="77777777" w:rsidR="00CC6AFC" w:rsidRPr="00AC4310" w:rsidRDefault="00CC6AFC" w:rsidP="00AC4310">
      <w:pPr>
        <w:pBdr>
          <w:top w:val="nil"/>
          <w:left w:val="nil"/>
          <w:bottom w:val="nil"/>
          <w:right w:val="nil"/>
          <w:between w:val="nil"/>
        </w:pBdr>
        <w:tabs>
          <w:tab w:val="left" w:pos="3686"/>
          <w:tab w:val="left" w:pos="4536"/>
        </w:tabs>
        <w:ind w:right="51"/>
        <w:jc w:val="both"/>
        <w:rPr>
          <w:rFonts w:ascii="Gadugi" w:eastAsia="Georgia" w:hAnsi="Gadugi" w:cs="Georgia"/>
          <w:sz w:val="24"/>
          <w:szCs w:val="24"/>
        </w:rPr>
      </w:pPr>
    </w:p>
    <w:p w14:paraId="18EBBD5D" w14:textId="5A58CE79" w:rsidR="00BA46A2" w:rsidRPr="00AC4310" w:rsidRDefault="00BA46A2"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r w:rsidRPr="00AC4310">
        <w:rPr>
          <w:rFonts w:ascii="Gadugi" w:eastAsia="Georgia" w:hAnsi="Gadugi" w:cs="Georgia"/>
          <w:sz w:val="24"/>
          <w:szCs w:val="24"/>
        </w:rPr>
        <w:t>2.</w:t>
      </w:r>
      <w:r w:rsidR="004978E4" w:rsidRPr="00AC4310">
        <w:rPr>
          <w:rFonts w:ascii="Gadugi" w:eastAsia="Georgia" w:hAnsi="Gadugi" w:cs="Georgia"/>
          <w:sz w:val="24"/>
          <w:szCs w:val="24"/>
        </w:rPr>
        <w:t>8</w:t>
      </w:r>
      <w:r w:rsidRPr="00AC4310">
        <w:rPr>
          <w:rFonts w:ascii="Gadugi" w:eastAsia="Georgia" w:hAnsi="Gadugi" w:cs="Georgia"/>
          <w:sz w:val="24"/>
          <w:szCs w:val="24"/>
        </w:rPr>
        <w:t xml:space="preserve">. </w:t>
      </w:r>
      <w:r w:rsidR="005C65B3" w:rsidRPr="00AC4310">
        <w:rPr>
          <w:rFonts w:ascii="Gadugi" w:eastAsia="Georgia" w:hAnsi="Gadugi" w:cs="Georgia"/>
          <w:sz w:val="24"/>
          <w:szCs w:val="24"/>
        </w:rPr>
        <w:t>A</w:t>
      </w:r>
      <w:r w:rsidRPr="00AC4310">
        <w:rPr>
          <w:rFonts w:ascii="Gadugi" w:eastAsia="Georgia" w:hAnsi="Gadugi" w:cs="Georgia"/>
          <w:sz w:val="24"/>
          <w:szCs w:val="24"/>
        </w:rPr>
        <w:t xml:space="preserve">l margen de estos presupuestos, es también conocida la posición de la misma Corte en el sentido de que se frustra una acción reivindicatoria si entre el demandante y el demandado existió alguna especie de relación contractual que abriera paso a la posesión de este último, porque, en un evento tal, primero debe destruirse o desvirtuarse ese negocio jurídico, para poder luego recuperar el bien. </w:t>
      </w:r>
      <w:r w:rsidR="003B3429" w:rsidRPr="00AC4310">
        <w:rPr>
          <w:rFonts w:ascii="Gadugi" w:eastAsia="Georgia" w:hAnsi="Gadugi" w:cs="Georgia"/>
          <w:sz w:val="24"/>
          <w:szCs w:val="24"/>
        </w:rPr>
        <w:t xml:space="preserve">Por ejemplo, cuando por medio de un contrato de promesa de compraventa el promitente vendedor hace entrega material del inmueble y se deja expresa constancia de que traslada la posesión del mismo al promitente comprador. </w:t>
      </w:r>
    </w:p>
    <w:p w14:paraId="1A2A95D5" w14:textId="6EC2C2B3" w:rsidR="003B3429" w:rsidRPr="00AC4310" w:rsidRDefault="003B3429"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30F30112" w14:textId="7A02B4BD" w:rsidR="003B3429" w:rsidRPr="00AC4310" w:rsidRDefault="003B3429"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r w:rsidRPr="00AC4310">
        <w:rPr>
          <w:rFonts w:ascii="Gadugi" w:eastAsia="Georgia" w:hAnsi="Gadugi" w:cs="Georgia"/>
          <w:sz w:val="24"/>
          <w:szCs w:val="24"/>
        </w:rPr>
        <w:lastRenderedPageBreak/>
        <w:t>Pero, allí no se trata propiamente de una cuestión de legitimación, que la sigue conservando para la acción reivindicatoria el dueño del predio (o el poseedor en las condiciones vistas), sino de que, como explicó la Corte</w:t>
      </w:r>
      <w:r w:rsidR="00FC48AC" w:rsidRPr="00AC4310">
        <w:rPr>
          <w:rStyle w:val="Refdenotaalpie"/>
          <w:rFonts w:ascii="Gadugi" w:eastAsia="Georgia" w:hAnsi="Gadugi" w:cs="Georgia"/>
          <w:sz w:val="24"/>
          <w:szCs w:val="24"/>
        </w:rPr>
        <w:footnoteReference w:id="19"/>
      </w:r>
      <w:r w:rsidR="00FC48AC" w:rsidRPr="00AC4310">
        <w:rPr>
          <w:rFonts w:ascii="Gadugi" w:eastAsia="Georgia" w:hAnsi="Gadugi" w:cs="Georgia"/>
          <w:sz w:val="24"/>
          <w:szCs w:val="24"/>
        </w:rPr>
        <w:t>:</w:t>
      </w:r>
      <w:r w:rsidRPr="00AC4310">
        <w:rPr>
          <w:rFonts w:ascii="Gadugi" w:eastAsia="Georgia" w:hAnsi="Gadugi" w:cs="Georgia"/>
          <w:sz w:val="24"/>
          <w:szCs w:val="24"/>
        </w:rPr>
        <w:t xml:space="preserve"> </w:t>
      </w:r>
    </w:p>
    <w:p w14:paraId="39A01C5B" w14:textId="77777777" w:rsidR="003B3429" w:rsidRPr="00AC4310" w:rsidRDefault="003B3429" w:rsidP="00AC4310">
      <w:pPr>
        <w:pStyle w:val="Textoindependiente"/>
        <w:spacing w:line="276" w:lineRule="auto"/>
        <w:ind w:firstLine="709"/>
        <w:rPr>
          <w:rFonts w:ascii="Gadugi" w:hAnsi="Gadugi"/>
          <w:szCs w:val="24"/>
        </w:rPr>
      </w:pPr>
    </w:p>
    <w:p w14:paraId="529EE50C" w14:textId="5618BDB8" w:rsidR="003B3429" w:rsidRPr="00CC6AFC" w:rsidRDefault="003B3429" w:rsidP="00CC6AFC">
      <w:pPr>
        <w:pStyle w:val="Textoindependiente"/>
        <w:spacing w:line="240" w:lineRule="auto"/>
        <w:ind w:left="426" w:right="420"/>
        <w:rPr>
          <w:rFonts w:ascii="Gadugi" w:hAnsi="Gadugi"/>
          <w:sz w:val="22"/>
          <w:szCs w:val="24"/>
        </w:rPr>
      </w:pPr>
      <w:r w:rsidRPr="00CC6AFC">
        <w:rPr>
          <w:rFonts w:ascii="Gadugi" w:hAnsi="Gadugi"/>
          <w:sz w:val="22"/>
          <w:szCs w:val="24"/>
        </w:rPr>
        <w:t>…</w:t>
      </w:r>
      <w:r w:rsidR="00CC6AFC" w:rsidRPr="00CC6AFC">
        <w:rPr>
          <w:rFonts w:ascii="Gadugi" w:hAnsi="Gadugi"/>
          <w:sz w:val="22"/>
          <w:szCs w:val="24"/>
        </w:rPr>
        <w:t xml:space="preserve"> </w:t>
      </w:r>
      <w:r w:rsidRPr="00CC6AFC">
        <w:rPr>
          <w:rFonts w:ascii="Gadugi" w:hAnsi="Gadugi"/>
          <w:sz w:val="22"/>
          <w:szCs w:val="24"/>
        </w:rPr>
        <w:t>la acción de dominio se frustra cuando la parte demandada tiene la posesión, por habérsela entregado la parte demandante en cumplimiento de una determinada relación negocial; pero, se precisa, en el respectivo contrato ha de estar suficientemente claro, afirmado contundentemente, que la entrega es de la posesión sobre la cosa.</w:t>
      </w:r>
      <w:r w:rsidR="00FC48AC" w:rsidRPr="00CC6AFC">
        <w:rPr>
          <w:rStyle w:val="Refdenotaalpie"/>
          <w:rFonts w:ascii="Gadugi" w:hAnsi="Gadugi"/>
          <w:sz w:val="22"/>
          <w:szCs w:val="24"/>
        </w:rPr>
        <w:footnoteReference w:id="20"/>
      </w:r>
    </w:p>
    <w:p w14:paraId="517CDDA8" w14:textId="77777777" w:rsidR="003B3429" w:rsidRPr="00AC4310" w:rsidRDefault="003B3429"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4A03EF38" w14:textId="4483627C" w:rsidR="00AD31D7" w:rsidRPr="00AC4310" w:rsidRDefault="003B3429"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r w:rsidRPr="00AC4310">
        <w:rPr>
          <w:rFonts w:ascii="Gadugi" w:eastAsia="Georgia" w:hAnsi="Gadugi" w:cs="Georgia"/>
          <w:sz w:val="24"/>
          <w:szCs w:val="24"/>
        </w:rPr>
        <w:t>2.</w:t>
      </w:r>
      <w:r w:rsidR="004978E4" w:rsidRPr="00AC4310">
        <w:rPr>
          <w:rFonts w:ascii="Gadugi" w:eastAsia="Georgia" w:hAnsi="Gadugi" w:cs="Georgia"/>
          <w:sz w:val="24"/>
          <w:szCs w:val="24"/>
        </w:rPr>
        <w:t>9</w:t>
      </w:r>
      <w:r w:rsidRPr="00AC4310">
        <w:rPr>
          <w:rFonts w:ascii="Gadugi" w:eastAsia="Georgia" w:hAnsi="Gadugi" w:cs="Georgia"/>
          <w:sz w:val="24"/>
          <w:szCs w:val="24"/>
        </w:rPr>
        <w:t>. En el caso de ahora, a juicio de la Sala, el Juzgado se anticipó a una definición del litigio sin parar mientes en que, de un lado, el demandante figura en los documentos aportados con la demanda como dueño del predio de mayor extensión que se disputa. Eso nadie lo discute en este asunto.</w:t>
      </w:r>
    </w:p>
    <w:p w14:paraId="717FE79A" w14:textId="77777777" w:rsidR="00AD31D7" w:rsidRPr="00AC4310" w:rsidRDefault="00AD31D7"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45B2308C" w14:textId="3A04167F" w:rsidR="00AD31D7" w:rsidRPr="00AC4310" w:rsidRDefault="00FC48AC"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r w:rsidRPr="00AC4310">
        <w:rPr>
          <w:rFonts w:ascii="Gadugi" w:eastAsia="Georgia" w:hAnsi="Gadugi" w:cs="Georgia"/>
          <w:sz w:val="24"/>
          <w:szCs w:val="24"/>
        </w:rPr>
        <w:t xml:space="preserve">Y del otro, </w:t>
      </w:r>
      <w:r w:rsidR="003B3429" w:rsidRPr="00AC4310">
        <w:rPr>
          <w:rFonts w:ascii="Gadugi" w:eastAsia="Georgia" w:hAnsi="Gadugi" w:cs="Georgia"/>
          <w:sz w:val="24"/>
          <w:szCs w:val="24"/>
        </w:rPr>
        <w:t>de una vez cerró las puertas bajo el supuesto de un aparente contrato preparatorio que existió entre personas ajenas a este proceso</w:t>
      </w:r>
      <w:r w:rsidRPr="00AC4310">
        <w:rPr>
          <w:rFonts w:ascii="Gadugi" w:eastAsia="Georgia" w:hAnsi="Gadugi" w:cs="Georgia"/>
          <w:sz w:val="24"/>
          <w:szCs w:val="24"/>
        </w:rPr>
        <w:t xml:space="preserve">, que </w:t>
      </w:r>
      <w:r w:rsidR="003B3429" w:rsidRPr="00AC4310">
        <w:rPr>
          <w:rFonts w:ascii="Gadugi" w:eastAsia="Georgia" w:hAnsi="Gadugi" w:cs="Georgia"/>
          <w:sz w:val="24"/>
          <w:szCs w:val="24"/>
        </w:rPr>
        <w:t xml:space="preserve">de momento no se ha valorado con suficiencia, ni se podía hacer, porque ese es asunto que toca con la sentencia de fondo, </w:t>
      </w:r>
      <w:r w:rsidRPr="00AC4310">
        <w:rPr>
          <w:rFonts w:ascii="Gadugi" w:eastAsia="Georgia" w:hAnsi="Gadugi" w:cs="Georgia"/>
          <w:sz w:val="24"/>
          <w:szCs w:val="24"/>
        </w:rPr>
        <w:t xml:space="preserve">pues en menester verificar </w:t>
      </w:r>
      <w:r w:rsidR="003B3429" w:rsidRPr="00AC4310">
        <w:rPr>
          <w:rFonts w:ascii="Gadugi" w:eastAsia="Georgia" w:hAnsi="Gadugi" w:cs="Georgia"/>
          <w:sz w:val="24"/>
          <w:szCs w:val="24"/>
        </w:rPr>
        <w:t xml:space="preserve">si esas conversaciones previas que hubo entre el anterior dueño del lote y los iniciales constructores de la hoy propiedad horizontal Camambú, </w:t>
      </w:r>
      <w:r w:rsidR="00AD31D7" w:rsidRPr="00AC4310">
        <w:rPr>
          <w:rFonts w:ascii="Gadugi" w:eastAsia="Georgia" w:hAnsi="Gadugi" w:cs="Georgia"/>
          <w:sz w:val="24"/>
          <w:szCs w:val="24"/>
        </w:rPr>
        <w:t>comprometen los intereses de los actuales propietarios, en cuanto parece tenerse como una especie de promesa de compraventa las simples reuni</w:t>
      </w:r>
      <w:r w:rsidR="0050739A" w:rsidRPr="00AC4310">
        <w:rPr>
          <w:rFonts w:ascii="Gadugi" w:eastAsia="Georgia" w:hAnsi="Gadugi" w:cs="Georgia"/>
          <w:sz w:val="24"/>
          <w:szCs w:val="24"/>
        </w:rPr>
        <w:t>o</w:t>
      </w:r>
      <w:r w:rsidR="00AD31D7" w:rsidRPr="00AC4310">
        <w:rPr>
          <w:rFonts w:ascii="Gadugi" w:eastAsia="Georgia" w:hAnsi="Gadugi" w:cs="Georgia"/>
          <w:sz w:val="24"/>
          <w:szCs w:val="24"/>
        </w:rPr>
        <w:t>nes surtidas, con la intervención del ahora demandante, sin que de allí pueda desprenderse el cumplimiento de las solemnidades que demanda un negocio de esa estirpe</w:t>
      </w:r>
      <w:r w:rsidR="00CD36CA" w:rsidRPr="00AC4310">
        <w:rPr>
          <w:rFonts w:ascii="Gadugi" w:eastAsia="Georgia" w:hAnsi="Gadugi" w:cs="Georgia"/>
          <w:sz w:val="24"/>
          <w:szCs w:val="24"/>
        </w:rPr>
        <w:t>;</w:t>
      </w:r>
      <w:r w:rsidR="00AD31D7" w:rsidRPr="00AC4310">
        <w:rPr>
          <w:rFonts w:ascii="Gadugi" w:eastAsia="Georgia" w:hAnsi="Gadugi" w:cs="Georgia"/>
          <w:sz w:val="24"/>
          <w:szCs w:val="24"/>
        </w:rPr>
        <w:t xml:space="preserve"> o </w:t>
      </w:r>
      <w:r w:rsidRPr="00AC4310">
        <w:rPr>
          <w:rFonts w:ascii="Gadugi" w:eastAsia="Georgia" w:hAnsi="Gadugi" w:cs="Georgia"/>
          <w:sz w:val="24"/>
          <w:szCs w:val="24"/>
        </w:rPr>
        <w:t xml:space="preserve">bien </w:t>
      </w:r>
      <w:r w:rsidR="00AD31D7" w:rsidRPr="00AC4310">
        <w:rPr>
          <w:rFonts w:ascii="Gadugi" w:eastAsia="Georgia" w:hAnsi="Gadugi" w:cs="Georgia"/>
          <w:sz w:val="24"/>
          <w:szCs w:val="24"/>
        </w:rPr>
        <w:t xml:space="preserve">de una transacción que fue celebrada entre los socios de la Constructora Camambú y una sociedad ajena, por completo, a este asunto judicial, de la que también se hace derivar la posesión. </w:t>
      </w:r>
    </w:p>
    <w:p w14:paraId="7C3F2725" w14:textId="77777777" w:rsidR="001252EF" w:rsidRPr="00AC4310" w:rsidRDefault="001252EF"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76215E10" w14:textId="57387BDC" w:rsidR="001252EF" w:rsidRPr="00AC4310" w:rsidRDefault="001252EF"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r w:rsidRPr="00AC4310">
        <w:rPr>
          <w:rFonts w:ascii="Gadugi" w:eastAsia="Georgia" w:hAnsi="Gadugi" w:cs="Georgia"/>
          <w:sz w:val="24"/>
          <w:szCs w:val="24"/>
        </w:rPr>
        <w:t xml:space="preserve">Cuando el juzgador trae a colación una cita de la Corte sobre un acto preparatorio, se </w:t>
      </w:r>
      <w:r w:rsidR="005C4C6A" w:rsidRPr="00AC4310">
        <w:rPr>
          <w:rFonts w:ascii="Gadugi" w:eastAsia="Georgia" w:hAnsi="Gadugi" w:cs="Georgia"/>
          <w:sz w:val="24"/>
          <w:szCs w:val="24"/>
        </w:rPr>
        <w:t xml:space="preserve">refiere la alta Colegiatura, sin duda, a un contrato de promesa de compraventa, no a otro tipo de conversaciones previas, desprovistas de las solemnidades que exigen dicha promesa y el contrato prometido. </w:t>
      </w:r>
    </w:p>
    <w:p w14:paraId="0875BB73" w14:textId="77777777" w:rsidR="00AD31D7" w:rsidRPr="00AC4310" w:rsidRDefault="00AD31D7"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3C8C3682" w14:textId="6A2DA43F" w:rsidR="00AC6AD0" w:rsidRPr="00AC4310" w:rsidRDefault="00AD31D7"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r w:rsidRPr="00AC4310">
        <w:rPr>
          <w:rFonts w:ascii="Gadugi" w:eastAsia="Georgia" w:hAnsi="Gadugi" w:cs="Georgia"/>
          <w:sz w:val="24"/>
          <w:szCs w:val="24"/>
        </w:rPr>
        <w:t>2.</w:t>
      </w:r>
      <w:r w:rsidR="004978E4" w:rsidRPr="00AC4310">
        <w:rPr>
          <w:rFonts w:ascii="Gadugi" w:eastAsia="Georgia" w:hAnsi="Gadugi" w:cs="Georgia"/>
          <w:sz w:val="24"/>
          <w:szCs w:val="24"/>
        </w:rPr>
        <w:t>10</w:t>
      </w:r>
      <w:r w:rsidRPr="00AC4310">
        <w:rPr>
          <w:rFonts w:ascii="Gadugi" w:eastAsia="Georgia" w:hAnsi="Gadugi" w:cs="Georgia"/>
          <w:sz w:val="24"/>
          <w:szCs w:val="24"/>
        </w:rPr>
        <w:t>. Con esto se quiere significar que, si alguno de los presupuestos de la acción reivindicatoria está cumplido hasta ahora, es el que atañe a la propiedad en cabeza del demandante</w:t>
      </w:r>
      <w:r w:rsidR="0011772A" w:rsidRPr="00AC4310">
        <w:rPr>
          <w:rFonts w:ascii="Gadugi" w:eastAsia="Georgia" w:hAnsi="Gadugi" w:cs="Georgia"/>
          <w:sz w:val="24"/>
          <w:szCs w:val="24"/>
        </w:rPr>
        <w:t>. Y esto</w:t>
      </w:r>
      <w:r w:rsidR="009201F1" w:rsidRPr="00AC4310">
        <w:rPr>
          <w:rFonts w:ascii="Gadugi" w:eastAsia="Georgia" w:hAnsi="Gadugi" w:cs="Georgia"/>
          <w:sz w:val="24"/>
          <w:szCs w:val="24"/>
        </w:rPr>
        <w:t>,</w:t>
      </w:r>
      <w:r w:rsidR="00FC48AC" w:rsidRPr="00AC4310">
        <w:rPr>
          <w:rFonts w:ascii="Gadugi" w:eastAsia="Georgia" w:hAnsi="Gadugi" w:cs="Georgia"/>
          <w:sz w:val="24"/>
          <w:szCs w:val="24"/>
        </w:rPr>
        <w:t xml:space="preserve"> porque, esa </w:t>
      </w:r>
      <w:r w:rsidR="009201F1" w:rsidRPr="00AC4310">
        <w:rPr>
          <w:rFonts w:ascii="Gadugi" w:eastAsia="Georgia" w:hAnsi="Gadugi" w:cs="Georgia"/>
          <w:sz w:val="24"/>
          <w:szCs w:val="24"/>
        </w:rPr>
        <w:t xml:space="preserve">otra </w:t>
      </w:r>
      <w:r w:rsidR="00FC48AC" w:rsidRPr="00AC4310">
        <w:rPr>
          <w:rFonts w:ascii="Gadugi" w:eastAsia="Georgia" w:hAnsi="Gadugi" w:cs="Georgia"/>
          <w:sz w:val="24"/>
          <w:szCs w:val="24"/>
        </w:rPr>
        <w:t xml:space="preserve">apreciación del funcionario de que la </w:t>
      </w:r>
      <w:r w:rsidR="00AC6AD0" w:rsidRPr="00AC4310">
        <w:rPr>
          <w:rFonts w:ascii="Gadugi" w:eastAsia="Georgia" w:hAnsi="Gadugi" w:cs="Georgia"/>
          <w:sz w:val="24"/>
          <w:szCs w:val="24"/>
        </w:rPr>
        <w:t xml:space="preserve">entrega fue </w:t>
      </w:r>
      <w:r w:rsidR="00FC48AC" w:rsidRPr="00AC4310">
        <w:rPr>
          <w:rFonts w:ascii="Gadugi" w:eastAsia="Georgia" w:hAnsi="Gadugi" w:cs="Georgia"/>
          <w:i/>
          <w:iCs/>
          <w:sz w:val="24"/>
          <w:szCs w:val="24"/>
        </w:rPr>
        <w:t>“</w:t>
      </w:r>
      <w:proofErr w:type="spellStart"/>
      <w:r w:rsidR="00FC48AC" w:rsidRPr="00AC4310">
        <w:rPr>
          <w:rFonts w:ascii="Gadugi" w:eastAsia="Georgia" w:hAnsi="Gadugi" w:cs="Georgia"/>
          <w:i/>
          <w:iCs/>
          <w:sz w:val="24"/>
          <w:szCs w:val="24"/>
        </w:rPr>
        <w:t>brevi</w:t>
      </w:r>
      <w:proofErr w:type="spellEnd"/>
      <w:r w:rsidR="00FC48AC" w:rsidRPr="00AC4310">
        <w:rPr>
          <w:rFonts w:ascii="Gadugi" w:eastAsia="Georgia" w:hAnsi="Gadugi" w:cs="Georgia"/>
          <w:i/>
          <w:iCs/>
          <w:sz w:val="24"/>
          <w:szCs w:val="24"/>
        </w:rPr>
        <w:t xml:space="preserve"> manu”</w:t>
      </w:r>
      <w:r w:rsidR="00E25AC9" w:rsidRPr="00AC4310">
        <w:rPr>
          <w:rFonts w:ascii="Gadugi" w:eastAsia="Georgia" w:hAnsi="Gadugi" w:cs="Georgia"/>
          <w:sz w:val="24"/>
          <w:szCs w:val="24"/>
        </w:rPr>
        <w:t xml:space="preserve">, no acompasa con lo que enseña el numeral 5° del artículo </w:t>
      </w:r>
      <w:r w:rsidR="53E7191D" w:rsidRPr="00AC4310">
        <w:rPr>
          <w:rFonts w:ascii="Gadugi" w:eastAsia="Georgia" w:hAnsi="Gadugi" w:cs="Georgia"/>
          <w:sz w:val="24"/>
          <w:szCs w:val="24"/>
        </w:rPr>
        <w:t>7</w:t>
      </w:r>
      <w:r w:rsidR="00E25AC9" w:rsidRPr="00AC4310">
        <w:rPr>
          <w:rFonts w:ascii="Gadugi" w:eastAsia="Georgia" w:hAnsi="Gadugi" w:cs="Georgia"/>
          <w:sz w:val="24"/>
          <w:szCs w:val="24"/>
        </w:rPr>
        <w:t>54 del C. Civil, en la</w:t>
      </w:r>
      <w:r w:rsidR="00CD36CA" w:rsidRPr="00AC4310">
        <w:rPr>
          <w:rFonts w:ascii="Gadugi" w:eastAsia="Georgia" w:hAnsi="Gadugi" w:cs="Georgia"/>
          <w:sz w:val="24"/>
          <w:szCs w:val="24"/>
        </w:rPr>
        <w:t xml:space="preserve"> </w:t>
      </w:r>
      <w:r w:rsidR="00E25AC9" w:rsidRPr="00AC4310">
        <w:rPr>
          <w:rFonts w:ascii="Gadugi" w:eastAsia="Georgia" w:hAnsi="Gadugi" w:cs="Georgia"/>
          <w:sz w:val="24"/>
          <w:szCs w:val="24"/>
        </w:rPr>
        <w:t>medida en que</w:t>
      </w:r>
      <w:r w:rsidR="0053579B" w:rsidRPr="00AC4310">
        <w:rPr>
          <w:rFonts w:ascii="Gadugi" w:eastAsia="Georgia" w:hAnsi="Gadugi" w:cs="Georgia"/>
          <w:sz w:val="24"/>
          <w:szCs w:val="24"/>
        </w:rPr>
        <w:t>, admitiendo que a</w:t>
      </w:r>
      <w:r w:rsidR="00AC6AD0" w:rsidRPr="00AC4310">
        <w:rPr>
          <w:rFonts w:ascii="Gadugi" w:eastAsia="Georgia" w:hAnsi="Gadugi" w:cs="Georgia"/>
          <w:sz w:val="24"/>
          <w:szCs w:val="24"/>
        </w:rPr>
        <w:t xml:space="preserve"> </w:t>
      </w:r>
      <w:r w:rsidR="0053579B" w:rsidRPr="00AC4310">
        <w:rPr>
          <w:rFonts w:ascii="Gadugi" w:eastAsia="Georgia" w:hAnsi="Gadugi" w:cs="Georgia"/>
          <w:sz w:val="24"/>
          <w:szCs w:val="24"/>
        </w:rPr>
        <w:t>la entrega material (no jurídica) de un i</w:t>
      </w:r>
      <w:r w:rsidR="00AC6AD0" w:rsidRPr="00AC4310">
        <w:rPr>
          <w:rFonts w:ascii="Gadugi" w:eastAsia="Georgia" w:hAnsi="Gadugi" w:cs="Georgia"/>
          <w:sz w:val="24"/>
          <w:szCs w:val="24"/>
        </w:rPr>
        <w:t>n</w:t>
      </w:r>
      <w:r w:rsidR="0053579B" w:rsidRPr="00AC4310">
        <w:rPr>
          <w:rFonts w:ascii="Gadugi" w:eastAsia="Georgia" w:hAnsi="Gadugi" w:cs="Georgia"/>
          <w:sz w:val="24"/>
          <w:szCs w:val="24"/>
        </w:rPr>
        <w:t>mueble</w:t>
      </w:r>
      <w:r w:rsidR="00AC6AD0" w:rsidRPr="00AC4310">
        <w:rPr>
          <w:rFonts w:ascii="Gadugi" w:eastAsia="Georgia" w:hAnsi="Gadugi" w:cs="Georgia"/>
          <w:sz w:val="24"/>
          <w:szCs w:val="24"/>
        </w:rPr>
        <w:t xml:space="preserve">, puede aplicar lo que allí se señala para la de los bienes muebles, lo que indica esa regla es que tal entrega se cumple por la venta, donación u otro título de enajenación conferido al que tenía la cosa como usufructuario, arrendatario, comodatario, depositario o a cualquier otro título no traslaticio de dominio. Pero sucede que aquí, al menos hasta </w:t>
      </w:r>
      <w:r w:rsidR="00AC6AD0" w:rsidRPr="00AC4310">
        <w:rPr>
          <w:rFonts w:ascii="Gadugi" w:eastAsia="Georgia" w:hAnsi="Gadugi" w:cs="Georgia"/>
          <w:sz w:val="24"/>
          <w:szCs w:val="24"/>
        </w:rPr>
        <w:lastRenderedPageBreak/>
        <w:t xml:space="preserve">ahora, no está demostrado que </w:t>
      </w:r>
      <w:proofErr w:type="spellStart"/>
      <w:r w:rsidR="00AC6AD0" w:rsidRPr="00AC4310">
        <w:rPr>
          <w:rFonts w:ascii="Gadugi" w:eastAsia="Georgia" w:hAnsi="Gadugi" w:cs="Georgia"/>
          <w:sz w:val="24"/>
          <w:szCs w:val="24"/>
        </w:rPr>
        <w:t>Jhon</w:t>
      </w:r>
      <w:proofErr w:type="spellEnd"/>
      <w:r w:rsidR="00AC6AD0" w:rsidRPr="00AC4310">
        <w:rPr>
          <w:rFonts w:ascii="Gadugi" w:eastAsia="Georgia" w:hAnsi="Gadugi" w:cs="Georgia"/>
          <w:sz w:val="24"/>
          <w:szCs w:val="24"/>
        </w:rPr>
        <w:t xml:space="preserve"> Jairo Toro tuviera una de esas específicas calidades</w:t>
      </w:r>
      <w:r w:rsidR="009201F1" w:rsidRPr="00AC4310">
        <w:rPr>
          <w:rFonts w:ascii="Gadugi" w:eastAsia="Georgia" w:hAnsi="Gadugi" w:cs="Georgia"/>
          <w:sz w:val="24"/>
          <w:szCs w:val="24"/>
        </w:rPr>
        <w:t>,</w:t>
      </w:r>
      <w:r w:rsidR="00AC6AD0" w:rsidRPr="00AC4310">
        <w:rPr>
          <w:rFonts w:ascii="Gadugi" w:eastAsia="Georgia" w:hAnsi="Gadugi" w:cs="Georgia"/>
          <w:sz w:val="24"/>
          <w:szCs w:val="24"/>
        </w:rPr>
        <w:t xml:space="preserve"> a título personal, lo que se afirma es que actuaba en representación de otros; y en adición, la escritura pública que le sirve de respaldo a la titularidad del </w:t>
      </w:r>
      <w:r w:rsidR="007A2E41" w:rsidRPr="00AC4310">
        <w:rPr>
          <w:rFonts w:ascii="Gadugi" w:eastAsia="Georgia" w:hAnsi="Gadugi" w:cs="Georgia"/>
          <w:sz w:val="24"/>
          <w:szCs w:val="24"/>
        </w:rPr>
        <w:t>predio</w:t>
      </w:r>
      <w:r w:rsidR="00AC6AD0" w:rsidRPr="00AC4310">
        <w:rPr>
          <w:rFonts w:ascii="Gadugi" w:eastAsia="Georgia" w:hAnsi="Gadugi" w:cs="Georgia"/>
          <w:sz w:val="24"/>
          <w:szCs w:val="24"/>
        </w:rPr>
        <w:t xml:space="preserve"> no incluye como comprador a persona diferente al mismo </w:t>
      </w:r>
      <w:proofErr w:type="spellStart"/>
      <w:r w:rsidR="00AC6AD0" w:rsidRPr="00AC4310">
        <w:rPr>
          <w:rFonts w:ascii="Gadugi" w:eastAsia="Georgia" w:hAnsi="Gadugi" w:cs="Georgia"/>
          <w:sz w:val="24"/>
          <w:szCs w:val="24"/>
        </w:rPr>
        <w:t>Jhon</w:t>
      </w:r>
      <w:proofErr w:type="spellEnd"/>
      <w:r w:rsidR="00AC6AD0" w:rsidRPr="00AC4310">
        <w:rPr>
          <w:rFonts w:ascii="Gadugi" w:eastAsia="Georgia" w:hAnsi="Gadugi" w:cs="Georgia"/>
          <w:sz w:val="24"/>
          <w:szCs w:val="24"/>
        </w:rPr>
        <w:t xml:space="preserve"> Jairo. De manera que también ese aspecto, si es que se quisiera tener como soporte de la decisión final, también requiere ser analizado con el conjunto de pruebas allegado, pues lo que entiende la Sala es que de esa apreciación del juzgado de lo que es l</w:t>
      </w:r>
      <w:r w:rsidR="00AD4F43" w:rsidRPr="00AC4310">
        <w:rPr>
          <w:rFonts w:ascii="Gadugi" w:eastAsia="Georgia" w:hAnsi="Gadugi" w:cs="Georgia"/>
          <w:sz w:val="24"/>
          <w:szCs w:val="24"/>
        </w:rPr>
        <w:t>a</w:t>
      </w:r>
      <w:r w:rsidR="00AC6AD0" w:rsidRPr="00AC4310">
        <w:rPr>
          <w:rFonts w:ascii="Gadugi" w:eastAsia="Georgia" w:hAnsi="Gadugi" w:cs="Georgia"/>
          <w:sz w:val="24"/>
          <w:szCs w:val="24"/>
        </w:rPr>
        <w:t xml:space="preserve"> entrega </w:t>
      </w:r>
      <w:proofErr w:type="spellStart"/>
      <w:r w:rsidR="00AC6AD0" w:rsidRPr="00AC4310">
        <w:rPr>
          <w:rFonts w:ascii="Gadugi" w:eastAsia="Georgia" w:hAnsi="Gadugi" w:cs="Georgia"/>
          <w:i/>
          <w:iCs/>
          <w:sz w:val="24"/>
          <w:szCs w:val="24"/>
        </w:rPr>
        <w:t>brevi</w:t>
      </w:r>
      <w:proofErr w:type="spellEnd"/>
      <w:r w:rsidR="00AC6AD0" w:rsidRPr="00AC4310">
        <w:rPr>
          <w:rFonts w:ascii="Gadugi" w:eastAsia="Georgia" w:hAnsi="Gadugi" w:cs="Georgia"/>
          <w:i/>
          <w:iCs/>
          <w:sz w:val="24"/>
          <w:szCs w:val="24"/>
        </w:rPr>
        <w:t xml:space="preserve"> manu</w:t>
      </w:r>
      <w:r w:rsidR="00AC6AD0" w:rsidRPr="00AC4310">
        <w:rPr>
          <w:rFonts w:ascii="Gadugi" w:eastAsia="Georgia" w:hAnsi="Gadugi" w:cs="Georgia"/>
          <w:sz w:val="24"/>
          <w:szCs w:val="24"/>
        </w:rPr>
        <w:t xml:space="preserve">, </w:t>
      </w:r>
      <w:r w:rsidR="001D152B" w:rsidRPr="00AC4310">
        <w:rPr>
          <w:rFonts w:ascii="Gadugi" w:eastAsia="Georgia" w:hAnsi="Gadugi" w:cs="Georgia"/>
          <w:sz w:val="24"/>
          <w:szCs w:val="24"/>
        </w:rPr>
        <w:t>aquel</w:t>
      </w:r>
      <w:r w:rsidR="00AC6AD0" w:rsidRPr="00AC4310">
        <w:rPr>
          <w:rFonts w:ascii="Gadugi" w:eastAsia="Georgia" w:hAnsi="Gadugi" w:cs="Georgia"/>
          <w:sz w:val="24"/>
          <w:szCs w:val="24"/>
        </w:rPr>
        <w:t xml:space="preserve"> aceptó recibir una fracción inferior del terreno que dijo comprar, con lo cual concluye que, entonces no está legitimado. </w:t>
      </w:r>
    </w:p>
    <w:p w14:paraId="189A7949" w14:textId="77777777" w:rsidR="00AC6AD0" w:rsidRPr="00AC4310" w:rsidRDefault="00AC6AD0"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4C0E4415" w14:textId="2E03DBB5" w:rsidR="00AD4F43" w:rsidRPr="00AC4310" w:rsidRDefault="00AC6AD0" w:rsidP="00AC4310">
      <w:pPr>
        <w:pStyle w:val="Prrafodelista"/>
        <w:pBdr>
          <w:top w:val="nil"/>
          <w:left w:val="nil"/>
          <w:bottom w:val="nil"/>
          <w:right w:val="nil"/>
          <w:between w:val="nil"/>
        </w:pBdr>
        <w:tabs>
          <w:tab w:val="left" w:pos="426"/>
          <w:tab w:val="left" w:pos="4536"/>
        </w:tabs>
        <w:ind w:left="0"/>
        <w:jc w:val="both"/>
        <w:rPr>
          <w:rFonts w:ascii="Gadugi" w:eastAsia="Georgia" w:hAnsi="Gadugi" w:cs="Georgia"/>
          <w:sz w:val="24"/>
          <w:szCs w:val="24"/>
        </w:rPr>
      </w:pPr>
      <w:r w:rsidRPr="00AC4310">
        <w:rPr>
          <w:rFonts w:ascii="Gadugi" w:eastAsia="Georgia" w:hAnsi="Gadugi" w:cs="Georgia"/>
          <w:sz w:val="24"/>
          <w:szCs w:val="24"/>
        </w:rPr>
        <w:t xml:space="preserve">Mas, se insiste, tal </w:t>
      </w:r>
      <w:r w:rsidR="00145C61" w:rsidRPr="00AC4310">
        <w:rPr>
          <w:rFonts w:ascii="Gadugi" w:eastAsia="Georgia" w:hAnsi="Gadugi" w:cs="Georgia"/>
          <w:sz w:val="24"/>
          <w:szCs w:val="24"/>
        </w:rPr>
        <w:t>señalamiento</w:t>
      </w:r>
      <w:r w:rsidRPr="00AC4310">
        <w:rPr>
          <w:rFonts w:ascii="Gadugi" w:eastAsia="Georgia" w:hAnsi="Gadugi" w:cs="Georgia"/>
          <w:sz w:val="24"/>
          <w:szCs w:val="24"/>
        </w:rPr>
        <w:t xml:space="preserve"> es apenas una conjetura. En lo que constituye el fundamento del fallo, nada lleva a pensar que el demandante sea propietario solo de una fracción del inmueble de matrícula </w:t>
      </w:r>
      <w:r w:rsidR="00AD4F43" w:rsidRPr="00AC4310">
        <w:rPr>
          <w:rFonts w:ascii="Gadugi" w:eastAsia="Georgia" w:hAnsi="Gadugi" w:cs="Georgia"/>
          <w:sz w:val="24"/>
          <w:szCs w:val="24"/>
        </w:rPr>
        <w:t>29487431, la escritura pública 2347 del 8 de noviembre de 2019 alude a un terreno de 1737,10 m2, y eso es lo que se menciona en la demanda.</w:t>
      </w:r>
    </w:p>
    <w:p w14:paraId="63AF096E" w14:textId="4D09BAB8" w:rsidR="00AD4F43" w:rsidRPr="00AC4310" w:rsidRDefault="00AD4F43" w:rsidP="00AC4310">
      <w:pPr>
        <w:pStyle w:val="Prrafodelista"/>
        <w:pBdr>
          <w:top w:val="nil"/>
          <w:left w:val="nil"/>
          <w:bottom w:val="nil"/>
          <w:right w:val="nil"/>
          <w:between w:val="nil"/>
        </w:pBdr>
        <w:tabs>
          <w:tab w:val="left" w:pos="426"/>
          <w:tab w:val="left" w:pos="4536"/>
        </w:tabs>
        <w:ind w:left="0"/>
        <w:jc w:val="both"/>
        <w:rPr>
          <w:rFonts w:ascii="Gadugi" w:eastAsia="Georgia" w:hAnsi="Gadugi" w:cs="Georgia"/>
          <w:sz w:val="24"/>
          <w:szCs w:val="24"/>
        </w:rPr>
      </w:pPr>
    </w:p>
    <w:p w14:paraId="094D050E" w14:textId="65106BF8" w:rsidR="00AD4F43" w:rsidRPr="00AC4310" w:rsidRDefault="00AD4F43" w:rsidP="00AC4310">
      <w:pPr>
        <w:pStyle w:val="Prrafodelista"/>
        <w:pBdr>
          <w:top w:val="nil"/>
          <w:left w:val="nil"/>
          <w:bottom w:val="nil"/>
          <w:right w:val="nil"/>
          <w:between w:val="nil"/>
        </w:pBdr>
        <w:tabs>
          <w:tab w:val="left" w:pos="426"/>
          <w:tab w:val="left" w:pos="4536"/>
        </w:tabs>
        <w:ind w:left="0"/>
        <w:jc w:val="both"/>
        <w:rPr>
          <w:rFonts w:ascii="Gadugi" w:eastAsia="Georgia" w:hAnsi="Gadugi" w:cs="Georgia"/>
          <w:sz w:val="24"/>
          <w:szCs w:val="24"/>
        </w:rPr>
      </w:pPr>
      <w:r w:rsidRPr="00AC4310">
        <w:rPr>
          <w:rFonts w:ascii="Gadugi" w:eastAsia="Georgia" w:hAnsi="Gadugi" w:cs="Georgia"/>
          <w:sz w:val="24"/>
          <w:szCs w:val="24"/>
        </w:rPr>
        <w:t>Pensar de otra forma sería tanto como concluir que un propietario no puede vender un predio que esté en posesión de un tercero, porque su comprador queda marginado de la acción reivindicatoria si sabe de esa condición, lo que es contrario al pensamiento de</w:t>
      </w:r>
      <w:r w:rsidR="00145C61" w:rsidRPr="00AC4310">
        <w:rPr>
          <w:rFonts w:ascii="Gadugi" w:eastAsia="Georgia" w:hAnsi="Gadugi" w:cs="Georgia"/>
          <w:sz w:val="24"/>
          <w:szCs w:val="24"/>
        </w:rPr>
        <w:t xml:space="preserve"> </w:t>
      </w:r>
      <w:r w:rsidRPr="00AC4310">
        <w:rPr>
          <w:rFonts w:ascii="Gadugi" w:eastAsia="Georgia" w:hAnsi="Gadugi" w:cs="Georgia"/>
          <w:sz w:val="24"/>
          <w:szCs w:val="24"/>
        </w:rPr>
        <w:t xml:space="preserve">la Corte que, en la citada sentencia </w:t>
      </w:r>
      <w:r w:rsidRPr="00AC4310">
        <w:rPr>
          <w:rFonts w:ascii="Gadugi" w:hAnsi="Gadugi" w:cs="Estrangelo Edessa"/>
          <w:bCs/>
          <w:sz w:val="24"/>
          <w:szCs w:val="24"/>
        </w:rPr>
        <w:t xml:space="preserve">SC3540-2021 expresó que: </w:t>
      </w:r>
    </w:p>
    <w:p w14:paraId="4DE1B53A" w14:textId="77777777" w:rsidR="00AD4F43" w:rsidRPr="00AC4310" w:rsidRDefault="00AD4F43" w:rsidP="00AC4310">
      <w:pPr>
        <w:pStyle w:val="Prrafodelista"/>
        <w:pBdr>
          <w:top w:val="nil"/>
          <w:left w:val="nil"/>
          <w:bottom w:val="nil"/>
          <w:right w:val="nil"/>
          <w:between w:val="nil"/>
        </w:pBdr>
        <w:tabs>
          <w:tab w:val="left" w:pos="426"/>
          <w:tab w:val="left" w:pos="4536"/>
        </w:tabs>
        <w:ind w:left="0"/>
        <w:jc w:val="both"/>
        <w:rPr>
          <w:rFonts w:ascii="Gadugi" w:eastAsia="Georgia" w:hAnsi="Gadugi" w:cs="Georgia"/>
          <w:sz w:val="24"/>
          <w:szCs w:val="24"/>
        </w:rPr>
      </w:pPr>
    </w:p>
    <w:p w14:paraId="1ED085C2" w14:textId="77777777" w:rsidR="00AD4F43" w:rsidRPr="00CC6AFC" w:rsidRDefault="00AD4F43" w:rsidP="00CC6AFC">
      <w:pPr>
        <w:ind w:left="426" w:right="420"/>
        <w:jc w:val="both"/>
        <w:rPr>
          <w:rFonts w:ascii="Gadugi" w:eastAsia="Times New Roman" w:hAnsi="Gadugi" w:cs="Times New Roman"/>
          <w:szCs w:val="24"/>
          <w:lang w:val="es-MX" w:eastAsia="es-ES"/>
        </w:rPr>
      </w:pPr>
      <w:r w:rsidRPr="00CC6AFC">
        <w:rPr>
          <w:rFonts w:ascii="Gadugi" w:eastAsia="Times New Roman" w:hAnsi="Gadugi" w:cs="Times New Roman"/>
          <w:szCs w:val="24"/>
          <w:lang w:val="es-MX" w:eastAsia="es-ES"/>
        </w:rPr>
        <w:t>Sólo en cuanto el dueño haya sido el que, por fuerza de un negocio jurídico, diera cabida a la posesión, se le cierra la posibilidad de acudir a la reivindicación, como forma de honrar el acuerdo celebrado con el poseedor. En caso contrario, mal podría verse atado por un contrato del que no hizo parte.</w:t>
      </w:r>
    </w:p>
    <w:p w14:paraId="57E738A1" w14:textId="52B0B661" w:rsidR="00E25AC9" w:rsidRPr="00AC4310" w:rsidRDefault="00E25AC9"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3EE052F9" w14:textId="5E59F342" w:rsidR="0050739A" w:rsidRPr="00AC4310" w:rsidRDefault="00AD4F43"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r w:rsidRPr="00AC4310">
        <w:rPr>
          <w:rFonts w:ascii="Gadugi" w:eastAsia="Georgia" w:hAnsi="Gadugi" w:cs="Georgia"/>
          <w:sz w:val="24"/>
          <w:szCs w:val="24"/>
        </w:rPr>
        <w:t>2.</w:t>
      </w:r>
      <w:r w:rsidR="004978E4" w:rsidRPr="00AC4310">
        <w:rPr>
          <w:rFonts w:ascii="Gadugi" w:eastAsia="Georgia" w:hAnsi="Gadugi" w:cs="Georgia"/>
          <w:sz w:val="24"/>
          <w:szCs w:val="24"/>
        </w:rPr>
        <w:t>11</w:t>
      </w:r>
      <w:r w:rsidRPr="00AC4310">
        <w:rPr>
          <w:rFonts w:ascii="Gadugi" w:eastAsia="Georgia" w:hAnsi="Gadugi" w:cs="Georgia"/>
          <w:sz w:val="24"/>
          <w:szCs w:val="24"/>
        </w:rPr>
        <w:t xml:space="preserve">. Los </w:t>
      </w:r>
      <w:r w:rsidR="00AD31D7" w:rsidRPr="00AC4310">
        <w:rPr>
          <w:rFonts w:ascii="Gadugi" w:eastAsia="Georgia" w:hAnsi="Gadugi" w:cs="Georgia"/>
          <w:sz w:val="24"/>
          <w:szCs w:val="24"/>
        </w:rPr>
        <w:t>demás</w:t>
      </w:r>
      <w:r w:rsidR="00DE00BA" w:rsidRPr="00AC4310">
        <w:rPr>
          <w:rFonts w:ascii="Gadugi" w:eastAsia="Georgia" w:hAnsi="Gadugi" w:cs="Georgia"/>
          <w:sz w:val="24"/>
          <w:szCs w:val="24"/>
        </w:rPr>
        <w:t xml:space="preserve"> elementos de la acción </w:t>
      </w:r>
      <w:r w:rsidR="00AD31D7" w:rsidRPr="00AC4310">
        <w:rPr>
          <w:rFonts w:ascii="Gadugi" w:eastAsia="Georgia" w:hAnsi="Gadugi" w:cs="Georgia"/>
          <w:sz w:val="24"/>
          <w:szCs w:val="24"/>
        </w:rPr>
        <w:t xml:space="preserve">están por establecerse, por ejemplo, (i) la posesión, </w:t>
      </w:r>
      <w:r w:rsidR="00DE00BA" w:rsidRPr="00AC4310">
        <w:rPr>
          <w:rFonts w:ascii="Gadugi" w:eastAsia="Georgia" w:hAnsi="Gadugi" w:cs="Georgia"/>
          <w:sz w:val="24"/>
          <w:szCs w:val="24"/>
        </w:rPr>
        <w:t xml:space="preserve">respecto de la que </w:t>
      </w:r>
      <w:r w:rsidR="00AD31D7" w:rsidRPr="00AC4310">
        <w:rPr>
          <w:rFonts w:ascii="Gadugi" w:eastAsia="Georgia" w:hAnsi="Gadugi" w:cs="Georgia"/>
          <w:sz w:val="24"/>
          <w:szCs w:val="24"/>
        </w:rPr>
        <w:t>hay que definir con claridad, primero, si la demandada tiene esa calidad de poseedora</w:t>
      </w:r>
      <w:r w:rsidR="00DE00BA" w:rsidRPr="00AC4310">
        <w:rPr>
          <w:rFonts w:ascii="Gadugi" w:eastAsia="Georgia" w:hAnsi="Gadugi" w:cs="Georgia"/>
          <w:sz w:val="24"/>
          <w:szCs w:val="24"/>
        </w:rPr>
        <w:t>;</w:t>
      </w:r>
      <w:r w:rsidR="00AD31D7" w:rsidRPr="00AC4310">
        <w:rPr>
          <w:rFonts w:ascii="Gadugi" w:eastAsia="Georgia" w:hAnsi="Gadugi" w:cs="Georgia"/>
          <w:sz w:val="24"/>
          <w:szCs w:val="24"/>
        </w:rPr>
        <w:t xml:space="preserve"> segundo, cómo es que empezó a ejercerla y desde cuándo; si como ella aduce en su respuesta, pareciendo aceptarla, tiene o no justo título y por ello la opción de adquirir por prescripción ordinaria;</w:t>
      </w:r>
      <w:r w:rsidR="00DE00BA" w:rsidRPr="00AC4310">
        <w:rPr>
          <w:rFonts w:ascii="Gadugi" w:eastAsia="Georgia" w:hAnsi="Gadugi" w:cs="Georgia"/>
          <w:sz w:val="24"/>
          <w:szCs w:val="24"/>
        </w:rPr>
        <w:t xml:space="preserve"> si</w:t>
      </w:r>
      <w:r w:rsidR="00AD31D7" w:rsidRPr="00AC4310">
        <w:rPr>
          <w:rFonts w:ascii="Gadugi" w:eastAsia="Georgia" w:hAnsi="Gadugi" w:cs="Georgia"/>
          <w:sz w:val="24"/>
          <w:szCs w:val="24"/>
        </w:rPr>
        <w:t xml:space="preserve">, verdaderamente, su posesión deriva de una relación contractual o no, porque </w:t>
      </w:r>
      <w:r w:rsidR="009D5B30" w:rsidRPr="00AC4310">
        <w:rPr>
          <w:rFonts w:ascii="Gadugi" w:eastAsia="Georgia" w:hAnsi="Gadugi" w:cs="Georgia"/>
          <w:sz w:val="24"/>
          <w:szCs w:val="24"/>
        </w:rPr>
        <w:t xml:space="preserve">lo que se discute es que </w:t>
      </w:r>
      <w:r w:rsidR="00AD31D7" w:rsidRPr="00AC4310">
        <w:rPr>
          <w:rFonts w:ascii="Gadugi" w:eastAsia="Georgia" w:hAnsi="Gadugi" w:cs="Georgia"/>
          <w:sz w:val="24"/>
          <w:szCs w:val="24"/>
        </w:rPr>
        <w:t xml:space="preserve">la Constructora invadió </w:t>
      </w:r>
      <w:r w:rsidR="00D04616" w:rsidRPr="00AC4310">
        <w:rPr>
          <w:rFonts w:ascii="Gadugi" w:eastAsia="Georgia" w:hAnsi="Gadugi" w:cs="Georgia"/>
          <w:sz w:val="24"/>
          <w:szCs w:val="24"/>
        </w:rPr>
        <w:t>el predio ahora de propiedad del demandante, sin su aquiescencia;</w:t>
      </w:r>
      <w:r w:rsidR="00AD31D7" w:rsidRPr="00AC4310">
        <w:rPr>
          <w:rFonts w:ascii="Gadugi" w:eastAsia="Georgia" w:hAnsi="Gadugi" w:cs="Georgia"/>
          <w:sz w:val="24"/>
          <w:szCs w:val="24"/>
        </w:rPr>
        <w:t xml:space="preserve"> (iv) definido eso, entonces sí sería viable atribuirle, si las </w:t>
      </w:r>
      <w:r w:rsidR="00DE00BA" w:rsidRPr="00AC4310">
        <w:rPr>
          <w:rFonts w:ascii="Gadugi" w:eastAsia="Georgia" w:hAnsi="Gadugi" w:cs="Georgia"/>
          <w:sz w:val="24"/>
          <w:szCs w:val="24"/>
        </w:rPr>
        <w:t>hay</w:t>
      </w:r>
      <w:r w:rsidR="00AD31D7" w:rsidRPr="00AC4310">
        <w:rPr>
          <w:rFonts w:ascii="Gadugi" w:eastAsia="Georgia" w:hAnsi="Gadugi" w:cs="Georgia"/>
          <w:sz w:val="24"/>
          <w:szCs w:val="24"/>
        </w:rPr>
        <w:t xml:space="preserve">, consecuencias a la participación que en esas conversaciones iniciales tuvo el hoy demandante; (v) y también está por </w:t>
      </w:r>
      <w:r w:rsidR="00DE00BA" w:rsidRPr="00AC4310">
        <w:rPr>
          <w:rFonts w:ascii="Gadugi" w:eastAsia="Georgia" w:hAnsi="Gadugi" w:cs="Georgia"/>
          <w:sz w:val="24"/>
          <w:szCs w:val="24"/>
        </w:rPr>
        <w:t xml:space="preserve">revisar si se acreditó </w:t>
      </w:r>
      <w:r w:rsidR="0050739A" w:rsidRPr="00AC4310">
        <w:rPr>
          <w:rFonts w:ascii="Gadugi" w:eastAsia="Georgia" w:hAnsi="Gadugi" w:cs="Georgia"/>
          <w:sz w:val="24"/>
          <w:szCs w:val="24"/>
        </w:rPr>
        <w:t>cuál es la cosa determinada sobre la que recae esta demanda, pues todo indica que es una fracción de terreno que hace parte de un predio de mayor extensión</w:t>
      </w:r>
      <w:r w:rsidR="00DE00BA" w:rsidRPr="00AC4310">
        <w:rPr>
          <w:rFonts w:ascii="Gadugi" w:eastAsia="Georgia" w:hAnsi="Gadugi" w:cs="Georgia"/>
          <w:sz w:val="24"/>
          <w:szCs w:val="24"/>
        </w:rPr>
        <w:t xml:space="preserve">. </w:t>
      </w:r>
    </w:p>
    <w:p w14:paraId="16F5BC42" w14:textId="77777777" w:rsidR="0050739A" w:rsidRPr="00AC4310" w:rsidRDefault="0050739A"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3449CAC6" w14:textId="4F240D11" w:rsidR="005B7483" w:rsidRPr="00AC4310" w:rsidRDefault="0050739A"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r w:rsidRPr="00AC4310">
        <w:rPr>
          <w:rFonts w:ascii="Gadugi" w:eastAsia="Georgia" w:hAnsi="Gadugi" w:cs="Georgia"/>
          <w:sz w:val="24"/>
          <w:szCs w:val="24"/>
        </w:rPr>
        <w:t>2.</w:t>
      </w:r>
      <w:r w:rsidR="00796A71" w:rsidRPr="00AC4310">
        <w:rPr>
          <w:rFonts w:ascii="Gadugi" w:eastAsia="Georgia" w:hAnsi="Gadugi" w:cs="Georgia"/>
          <w:sz w:val="24"/>
          <w:szCs w:val="24"/>
        </w:rPr>
        <w:t>12</w:t>
      </w:r>
      <w:r w:rsidRPr="00AC4310">
        <w:rPr>
          <w:rFonts w:ascii="Gadugi" w:eastAsia="Georgia" w:hAnsi="Gadugi" w:cs="Georgia"/>
          <w:sz w:val="24"/>
          <w:szCs w:val="24"/>
        </w:rPr>
        <w:t xml:space="preserve">. Así que, superado el primer elemento: la propiedad en cabeza del demandante, todo lo demás ha debido reservarse para la sentencia de fondo, pues, no estaba dada la condición de que trata el numeral 3 del inciso tercero del artículo 278 del CGP, </w:t>
      </w:r>
      <w:r w:rsidR="00D93750" w:rsidRPr="00AC4310">
        <w:rPr>
          <w:rFonts w:ascii="Gadugi" w:eastAsia="Georgia" w:hAnsi="Gadugi" w:cs="Georgia"/>
          <w:sz w:val="24"/>
          <w:szCs w:val="24"/>
        </w:rPr>
        <w:t xml:space="preserve">al menos </w:t>
      </w:r>
      <w:r w:rsidR="00820E24" w:rsidRPr="00AC4310">
        <w:rPr>
          <w:rFonts w:ascii="Gadugi" w:eastAsia="Georgia" w:hAnsi="Gadugi" w:cs="Georgia"/>
          <w:sz w:val="24"/>
          <w:szCs w:val="24"/>
        </w:rPr>
        <w:t xml:space="preserve">por la falta de legitimación en la causa por activa, </w:t>
      </w:r>
      <w:r w:rsidRPr="00AC4310">
        <w:rPr>
          <w:rFonts w:ascii="Gadugi" w:eastAsia="Georgia" w:hAnsi="Gadugi" w:cs="Georgia"/>
          <w:sz w:val="24"/>
          <w:szCs w:val="24"/>
        </w:rPr>
        <w:t xml:space="preserve">para dictar sentencia anticipada, como aquí se hizo y según alegó el recurrente.  </w:t>
      </w:r>
    </w:p>
    <w:p w14:paraId="5AFA8194" w14:textId="5749FC22" w:rsidR="0050739A" w:rsidRPr="00AC4310" w:rsidRDefault="0050739A"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49FC8815" w14:textId="2C4932C8" w:rsidR="0050739A" w:rsidRPr="00AC4310" w:rsidRDefault="0050739A"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r w:rsidRPr="00AC4310">
        <w:rPr>
          <w:rFonts w:ascii="Gadugi" w:eastAsia="Georgia" w:hAnsi="Gadugi" w:cs="Georgia"/>
          <w:sz w:val="24"/>
          <w:szCs w:val="24"/>
        </w:rPr>
        <w:t>2.</w:t>
      </w:r>
      <w:r w:rsidR="00DE00BA" w:rsidRPr="00AC4310">
        <w:rPr>
          <w:rFonts w:ascii="Gadugi" w:eastAsia="Georgia" w:hAnsi="Gadugi" w:cs="Georgia"/>
          <w:sz w:val="24"/>
          <w:szCs w:val="24"/>
        </w:rPr>
        <w:t>1</w:t>
      </w:r>
      <w:r w:rsidR="00796A71" w:rsidRPr="00AC4310">
        <w:rPr>
          <w:rFonts w:ascii="Gadugi" w:eastAsia="Georgia" w:hAnsi="Gadugi" w:cs="Georgia"/>
          <w:sz w:val="24"/>
          <w:szCs w:val="24"/>
        </w:rPr>
        <w:t>3</w:t>
      </w:r>
      <w:r w:rsidRPr="00AC4310">
        <w:rPr>
          <w:rFonts w:ascii="Gadugi" w:eastAsia="Georgia" w:hAnsi="Gadugi" w:cs="Georgia"/>
          <w:sz w:val="24"/>
          <w:szCs w:val="24"/>
        </w:rPr>
        <w:t xml:space="preserve">. Por tanto, queda mucho camino por andar en este trámite, </w:t>
      </w:r>
      <w:r w:rsidR="00DE00BA" w:rsidRPr="00AC4310">
        <w:rPr>
          <w:rFonts w:ascii="Gadugi" w:eastAsia="Georgia" w:hAnsi="Gadugi" w:cs="Georgia"/>
          <w:sz w:val="24"/>
          <w:szCs w:val="24"/>
        </w:rPr>
        <w:t xml:space="preserve">en el que, </w:t>
      </w:r>
      <w:r w:rsidRPr="00AC4310">
        <w:rPr>
          <w:rFonts w:ascii="Gadugi" w:eastAsia="Georgia" w:hAnsi="Gadugi" w:cs="Georgia"/>
          <w:sz w:val="24"/>
          <w:szCs w:val="24"/>
        </w:rPr>
        <w:t xml:space="preserve">valga decirlo, siendo que ya se había programado la audiencia de trámite y juzgamiento, que se suspendió para continuar la práctica de pruebas, es criterio de esta Sala que se tomó por sorpresa a los contendientes con la sentencia anticipada, </w:t>
      </w:r>
      <w:r w:rsidR="00DE00BA" w:rsidRPr="00AC4310">
        <w:rPr>
          <w:rFonts w:ascii="Gadugi" w:eastAsia="Georgia" w:hAnsi="Gadugi" w:cs="Georgia"/>
          <w:sz w:val="24"/>
          <w:szCs w:val="24"/>
        </w:rPr>
        <w:t xml:space="preserve">en la medida en </w:t>
      </w:r>
      <w:r w:rsidR="00984193" w:rsidRPr="00AC4310">
        <w:rPr>
          <w:rFonts w:ascii="Gadugi" w:eastAsia="Georgia" w:hAnsi="Gadugi" w:cs="Georgia"/>
          <w:sz w:val="24"/>
          <w:szCs w:val="24"/>
        </w:rPr>
        <w:t>que,</w:t>
      </w:r>
      <w:r w:rsidR="00DE00BA" w:rsidRPr="00AC4310">
        <w:rPr>
          <w:rFonts w:ascii="Gadugi" w:eastAsia="Georgia" w:hAnsi="Gadugi" w:cs="Georgia"/>
          <w:sz w:val="24"/>
          <w:szCs w:val="24"/>
        </w:rPr>
        <w:t xml:space="preserve"> </w:t>
      </w:r>
      <w:r w:rsidRPr="00AC4310">
        <w:rPr>
          <w:rFonts w:ascii="Gadugi" w:eastAsia="Georgia" w:hAnsi="Gadugi" w:cs="Georgia"/>
          <w:sz w:val="24"/>
          <w:szCs w:val="24"/>
        </w:rPr>
        <w:t xml:space="preserve">ya convocados a la vista pública, </w:t>
      </w:r>
      <w:r w:rsidR="00DE00BA" w:rsidRPr="00AC4310">
        <w:rPr>
          <w:rFonts w:ascii="Gadugi" w:eastAsia="Georgia" w:hAnsi="Gadugi" w:cs="Georgia"/>
          <w:sz w:val="24"/>
          <w:szCs w:val="24"/>
        </w:rPr>
        <w:t>era allí donde esperaban que se le pusiera fin a la actuación</w:t>
      </w:r>
      <w:r w:rsidR="00F45D86" w:rsidRPr="00AC4310">
        <w:rPr>
          <w:rFonts w:ascii="Gadugi" w:eastAsia="Georgia" w:hAnsi="Gadugi" w:cs="Georgia"/>
          <w:sz w:val="24"/>
          <w:szCs w:val="24"/>
        </w:rPr>
        <w:t xml:space="preserve"> </w:t>
      </w:r>
      <w:r w:rsidR="00DE00BA" w:rsidRPr="00AC4310">
        <w:rPr>
          <w:rFonts w:ascii="Gadugi" w:eastAsia="Georgia" w:hAnsi="Gadugi" w:cs="Georgia"/>
          <w:sz w:val="24"/>
          <w:szCs w:val="24"/>
        </w:rPr>
        <w:t>en este caso concreto. A</w:t>
      </w:r>
      <w:r w:rsidRPr="00AC4310">
        <w:rPr>
          <w:rFonts w:ascii="Gadugi" w:eastAsia="Georgia" w:hAnsi="Gadugi" w:cs="Georgia"/>
          <w:sz w:val="24"/>
          <w:szCs w:val="24"/>
        </w:rPr>
        <w:t>unque</w:t>
      </w:r>
      <w:r w:rsidR="00DE00BA" w:rsidRPr="00AC4310">
        <w:rPr>
          <w:rFonts w:ascii="Gadugi" w:eastAsia="Georgia" w:hAnsi="Gadugi" w:cs="Georgia"/>
          <w:sz w:val="24"/>
          <w:szCs w:val="24"/>
        </w:rPr>
        <w:t>, es claro,</w:t>
      </w:r>
      <w:r w:rsidRPr="00AC4310">
        <w:rPr>
          <w:rFonts w:ascii="Gadugi" w:eastAsia="Georgia" w:hAnsi="Gadugi" w:cs="Georgia"/>
          <w:sz w:val="24"/>
          <w:szCs w:val="24"/>
        </w:rPr>
        <w:t xml:space="preserve"> ello no es motivo de réplica. </w:t>
      </w:r>
    </w:p>
    <w:p w14:paraId="4DFBC956" w14:textId="355F0E37" w:rsidR="0050739A" w:rsidRPr="00AC4310" w:rsidRDefault="0050739A"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1AB119E4" w14:textId="77B73070" w:rsidR="0050739A" w:rsidRPr="00AC4310" w:rsidRDefault="0050739A"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r w:rsidRPr="00AC4310">
        <w:rPr>
          <w:rFonts w:ascii="Gadugi" w:eastAsia="Georgia" w:hAnsi="Gadugi" w:cs="Georgia"/>
          <w:sz w:val="24"/>
          <w:szCs w:val="24"/>
        </w:rPr>
        <w:t xml:space="preserve">En ese sendero por recorrer, en síntesis, deberá verificarse, en la sentencia de fondo, si la demandada es poseedora, si lo es regular o irregular, si esa posesión derivó realmente de un contrato (promesa de compraventa u otro válidamente celebrado) con el demandante, y si el bien está </w:t>
      </w:r>
      <w:r w:rsidR="00DE00BA" w:rsidRPr="00AC4310">
        <w:rPr>
          <w:rFonts w:ascii="Gadugi" w:eastAsia="Georgia" w:hAnsi="Gadugi" w:cs="Georgia"/>
          <w:sz w:val="24"/>
          <w:szCs w:val="24"/>
        </w:rPr>
        <w:t xml:space="preserve">plenamente </w:t>
      </w:r>
      <w:r w:rsidRPr="00AC4310">
        <w:rPr>
          <w:rFonts w:ascii="Gadugi" w:eastAsia="Georgia" w:hAnsi="Gadugi" w:cs="Georgia"/>
          <w:sz w:val="24"/>
          <w:szCs w:val="24"/>
        </w:rPr>
        <w:t xml:space="preserve">identificado y corresponde con el que se quiere reivindicar. </w:t>
      </w:r>
    </w:p>
    <w:p w14:paraId="544ED5E7" w14:textId="6F70D828" w:rsidR="0050739A" w:rsidRPr="00AC4310" w:rsidRDefault="0050739A"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29F43C19" w14:textId="51E9A5ED" w:rsidR="0050739A" w:rsidRDefault="0050739A"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r w:rsidRPr="00AC4310">
        <w:rPr>
          <w:rFonts w:ascii="Gadugi" w:eastAsia="Georgia" w:hAnsi="Gadugi" w:cs="Georgia"/>
          <w:sz w:val="24"/>
          <w:szCs w:val="24"/>
        </w:rPr>
        <w:t>2.1</w:t>
      </w:r>
      <w:r w:rsidR="00796A71" w:rsidRPr="00AC4310">
        <w:rPr>
          <w:rFonts w:ascii="Gadugi" w:eastAsia="Georgia" w:hAnsi="Gadugi" w:cs="Georgia"/>
          <w:sz w:val="24"/>
          <w:szCs w:val="24"/>
        </w:rPr>
        <w:t>4</w:t>
      </w:r>
      <w:r w:rsidRPr="00AC4310">
        <w:rPr>
          <w:rFonts w:ascii="Gadugi" w:eastAsia="Georgia" w:hAnsi="Gadugi" w:cs="Georgia"/>
          <w:sz w:val="24"/>
          <w:szCs w:val="24"/>
        </w:rPr>
        <w:t>. En consecuencia, se revocará el fallo y se dispondrá que el j</w:t>
      </w:r>
      <w:r w:rsidR="00AC4310">
        <w:rPr>
          <w:rFonts w:ascii="Gadugi" w:eastAsia="Georgia" w:hAnsi="Gadugi" w:cs="Georgia"/>
          <w:sz w:val="24"/>
          <w:szCs w:val="24"/>
        </w:rPr>
        <w:t>uzgado continúe con el trámite.</w:t>
      </w:r>
    </w:p>
    <w:p w14:paraId="0B8F4846" w14:textId="77777777" w:rsidR="00AC4310" w:rsidRPr="00AC4310" w:rsidRDefault="00AC4310"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1F46653F" w14:textId="0D82866C" w:rsidR="0031282C" w:rsidRPr="00AC4310" w:rsidRDefault="00DE00BA" w:rsidP="00AC4310">
      <w:pPr>
        <w:pBdr>
          <w:top w:val="nil"/>
          <w:left w:val="nil"/>
          <w:bottom w:val="nil"/>
          <w:right w:val="nil"/>
          <w:between w:val="nil"/>
        </w:pBdr>
        <w:tabs>
          <w:tab w:val="left" w:pos="3686"/>
          <w:tab w:val="left" w:pos="4536"/>
        </w:tabs>
        <w:jc w:val="both"/>
        <w:rPr>
          <w:rFonts w:ascii="Gadugi" w:eastAsia="Georgia" w:hAnsi="Gadugi" w:cs="Georgia"/>
          <w:sz w:val="24"/>
          <w:szCs w:val="24"/>
        </w:rPr>
      </w:pPr>
      <w:r w:rsidRPr="00AC4310">
        <w:rPr>
          <w:rFonts w:ascii="Gadugi" w:eastAsia="Georgia" w:hAnsi="Gadugi" w:cs="Georgia"/>
          <w:sz w:val="24"/>
          <w:szCs w:val="24"/>
        </w:rPr>
        <w:t>2.1</w:t>
      </w:r>
      <w:r w:rsidR="00796A71" w:rsidRPr="00AC4310">
        <w:rPr>
          <w:rFonts w:ascii="Gadugi" w:eastAsia="Georgia" w:hAnsi="Gadugi" w:cs="Georgia"/>
          <w:sz w:val="24"/>
          <w:szCs w:val="24"/>
        </w:rPr>
        <w:t>5</w:t>
      </w:r>
      <w:r w:rsidRPr="00AC4310">
        <w:rPr>
          <w:rFonts w:ascii="Gadugi" w:eastAsia="Georgia" w:hAnsi="Gadugi" w:cs="Georgia"/>
          <w:sz w:val="24"/>
          <w:szCs w:val="24"/>
        </w:rPr>
        <w:t xml:space="preserve">. </w:t>
      </w:r>
      <w:r w:rsidR="00521BE7" w:rsidRPr="00AC4310">
        <w:rPr>
          <w:rFonts w:ascii="Gadugi" w:eastAsia="Georgia" w:hAnsi="Gadugi" w:cs="Georgia"/>
          <w:sz w:val="24"/>
          <w:szCs w:val="24"/>
        </w:rPr>
        <w:t xml:space="preserve">Debido a la prosperidad del recurso, no habrá condena en costas en </w:t>
      </w:r>
      <w:r w:rsidR="001D4832" w:rsidRPr="00AC4310">
        <w:rPr>
          <w:rFonts w:ascii="Gadugi" w:eastAsia="Georgia" w:hAnsi="Gadugi" w:cs="Georgia"/>
          <w:sz w:val="24"/>
          <w:szCs w:val="24"/>
        </w:rPr>
        <w:t>esta sede</w:t>
      </w:r>
      <w:r w:rsidR="00521BE7" w:rsidRPr="00AC4310">
        <w:rPr>
          <w:rFonts w:ascii="Gadugi" w:eastAsia="Georgia" w:hAnsi="Gadugi" w:cs="Georgia"/>
          <w:sz w:val="24"/>
          <w:szCs w:val="24"/>
        </w:rPr>
        <w:t xml:space="preserve"> (</w:t>
      </w:r>
      <w:r w:rsidR="00F56BDB" w:rsidRPr="00AC4310">
        <w:rPr>
          <w:rFonts w:ascii="Gadugi" w:eastAsia="Georgia" w:hAnsi="Gadugi" w:cs="Georgia"/>
          <w:sz w:val="24"/>
          <w:szCs w:val="24"/>
        </w:rPr>
        <w:t>artículo 365</w:t>
      </w:r>
      <w:r w:rsidRPr="00AC4310">
        <w:rPr>
          <w:rFonts w:ascii="Gadugi" w:eastAsia="Georgia" w:hAnsi="Gadugi" w:cs="Georgia"/>
          <w:sz w:val="24"/>
          <w:szCs w:val="24"/>
        </w:rPr>
        <w:t xml:space="preserve">-1, </w:t>
      </w:r>
      <w:r w:rsidR="00F56BDB" w:rsidRPr="00AC4310">
        <w:rPr>
          <w:rFonts w:ascii="Gadugi" w:eastAsia="Georgia" w:hAnsi="Gadugi" w:cs="Georgia"/>
          <w:sz w:val="24"/>
          <w:szCs w:val="24"/>
        </w:rPr>
        <w:t>Código General del Proceso</w:t>
      </w:r>
      <w:r w:rsidR="00521BE7" w:rsidRPr="00AC4310">
        <w:rPr>
          <w:rFonts w:ascii="Gadugi" w:eastAsia="Georgia" w:hAnsi="Gadugi" w:cs="Georgia"/>
          <w:sz w:val="24"/>
          <w:szCs w:val="24"/>
        </w:rPr>
        <w:t>)</w:t>
      </w:r>
      <w:r w:rsidR="00F56BDB" w:rsidRPr="00AC4310">
        <w:rPr>
          <w:rFonts w:ascii="Gadugi" w:eastAsia="Georgia" w:hAnsi="Gadugi" w:cs="Georgia"/>
          <w:sz w:val="24"/>
          <w:szCs w:val="24"/>
        </w:rPr>
        <w:t xml:space="preserve">. </w:t>
      </w:r>
    </w:p>
    <w:p w14:paraId="016A87B6" w14:textId="2548B83A" w:rsidR="00F56BDB" w:rsidRPr="00AC4310" w:rsidRDefault="00F56BDB" w:rsidP="00AC4310">
      <w:pPr>
        <w:pBdr>
          <w:top w:val="nil"/>
          <w:left w:val="nil"/>
          <w:bottom w:val="nil"/>
          <w:right w:val="nil"/>
          <w:between w:val="nil"/>
        </w:pBdr>
        <w:tabs>
          <w:tab w:val="left" w:pos="3686"/>
          <w:tab w:val="left" w:pos="4536"/>
        </w:tabs>
        <w:jc w:val="both"/>
        <w:rPr>
          <w:rFonts w:ascii="Gadugi" w:eastAsia="Georgia" w:hAnsi="Gadugi" w:cs="Georgia"/>
          <w:sz w:val="24"/>
          <w:szCs w:val="24"/>
          <w:lang w:val="es-419"/>
        </w:rPr>
      </w:pPr>
    </w:p>
    <w:p w14:paraId="6EE50424" w14:textId="174D3D38" w:rsidR="00F56BDB" w:rsidRPr="00AC4310" w:rsidRDefault="00F56BDB" w:rsidP="00AC4310">
      <w:pPr>
        <w:pStyle w:val="Prrafodelista"/>
        <w:numPr>
          <w:ilvl w:val="0"/>
          <w:numId w:val="3"/>
        </w:numPr>
        <w:pBdr>
          <w:top w:val="nil"/>
          <w:left w:val="nil"/>
          <w:bottom w:val="nil"/>
          <w:right w:val="nil"/>
          <w:between w:val="nil"/>
        </w:pBdr>
        <w:tabs>
          <w:tab w:val="left" w:pos="3686"/>
          <w:tab w:val="left" w:pos="4536"/>
        </w:tabs>
        <w:jc w:val="both"/>
        <w:rPr>
          <w:rFonts w:ascii="Gadugi" w:eastAsia="Georgia" w:hAnsi="Gadugi" w:cs="Georgia"/>
          <w:b/>
          <w:sz w:val="24"/>
          <w:szCs w:val="24"/>
          <w:lang w:val="es-419"/>
        </w:rPr>
      </w:pPr>
      <w:r w:rsidRPr="00AC4310">
        <w:rPr>
          <w:rFonts w:ascii="Gadugi" w:eastAsia="Georgia" w:hAnsi="Gadugi" w:cs="Georgia"/>
          <w:b/>
          <w:sz w:val="24"/>
          <w:szCs w:val="24"/>
          <w:lang w:val="es-419"/>
        </w:rPr>
        <w:t>DECISIÓN</w:t>
      </w:r>
    </w:p>
    <w:p w14:paraId="62DCCDAA" w14:textId="77777777" w:rsidR="00F56BDB" w:rsidRPr="00AC4310" w:rsidRDefault="00F56BDB" w:rsidP="00AC4310">
      <w:pPr>
        <w:pBdr>
          <w:top w:val="nil"/>
          <w:left w:val="nil"/>
          <w:bottom w:val="nil"/>
          <w:right w:val="nil"/>
          <w:between w:val="nil"/>
        </w:pBdr>
        <w:tabs>
          <w:tab w:val="left" w:pos="3686"/>
          <w:tab w:val="left" w:pos="4536"/>
        </w:tabs>
        <w:jc w:val="both"/>
        <w:rPr>
          <w:rFonts w:ascii="Gadugi" w:eastAsia="Georgia" w:hAnsi="Gadugi" w:cs="Georgia"/>
          <w:sz w:val="24"/>
          <w:szCs w:val="24"/>
          <w:lang w:val="es-ES_tradnl"/>
        </w:rPr>
      </w:pPr>
    </w:p>
    <w:p w14:paraId="3ED6F61E" w14:textId="77777777" w:rsidR="00DE00BA" w:rsidRPr="00AC4310" w:rsidRDefault="00F56BDB" w:rsidP="00AC4310">
      <w:pPr>
        <w:tabs>
          <w:tab w:val="left" w:pos="3686"/>
          <w:tab w:val="left" w:pos="4536"/>
        </w:tabs>
        <w:jc w:val="both"/>
        <w:rPr>
          <w:rFonts w:ascii="Gadugi" w:eastAsia="Georgia" w:hAnsi="Gadugi" w:cs="Georgia"/>
          <w:sz w:val="24"/>
          <w:szCs w:val="24"/>
        </w:rPr>
      </w:pPr>
      <w:r w:rsidRPr="00AC4310">
        <w:rPr>
          <w:rFonts w:ascii="Gadugi" w:eastAsia="Georgia" w:hAnsi="Gadugi" w:cs="Georgia"/>
          <w:sz w:val="24"/>
          <w:szCs w:val="24"/>
          <w:lang w:val="es-ES"/>
        </w:rPr>
        <w:t xml:space="preserve">En mérito de lo expuesto, esta Sala Unitaria Civil-Familia del Tribunal Superior del Distrito Judicial de Pereira, </w:t>
      </w:r>
      <w:r w:rsidRPr="00AC4310">
        <w:rPr>
          <w:rFonts w:ascii="Gadugi" w:eastAsia="Georgia" w:hAnsi="Gadugi" w:cs="Georgia"/>
          <w:b/>
          <w:sz w:val="24"/>
          <w:szCs w:val="24"/>
          <w:lang w:val="es-ES"/>
        </w:rPr>
        <w:t xml:space="preserve">REVOCA </w:t>
      </w:r>
      <w:r w:rsidR="00FB6B58" w:rsidRPr="00AC4310">
        <w:rPr>
          <w:rFonts w:ascii="Gadugi" w:eastAsia="Georgia" w:hAnsi="Gadugi" w:cs="Georgia"/>
          <w:sz w:val="24"/>
          <w:szCs w:val="24"/>
        </w:rPr>
        <w:t>la sentencia anticipada proferida el 1 de julio de 2022 por el Juzgado Civil del Circuito Dosquebradas en el proceso</w:t>
      </w:r>
      <w:r w:rsidR="00521BE7" w:rsidRPr="00AC4310">
        <w:rPr>
          <w:rFonts w:ascii="Gadugi" w:eastAsia="Georgia" w:hAnsi="Gadugi" w:cs="Georgia"/>
          <w:sz w:val="24"/>
          <w:szCs w:val="24"/>
        </w:rPr>
        <w:t xml:space="preserve"> verbal reivindicatorio</w:t>
      </w:r>
      <w:r w:rsidR="00FB6B58" w:rsidRPr="00AC4310">
        <w:rPr>
          <w:rFonts w:ascii="Gadugi" w:eastAsia="Georgia" w:hAnsi="Gadugi" w:cs="Georgia"/>
          <w:sz w:val="24"/>
          <w:szCs w:val="24"/>
        </w:rPr>
        <w:t xml:space="preserve"> iniciado por</w:t>
      </w:r>
      <w:r w:rsidR="00FB6B58" w:rsidRPr="00AC4310">
        <w:rPr>
          <w:rFonts w:ascii="Gadugi" w:eastAsia="Georgia" w:hAnsi="Gadugi" w:cs="Georgia"/>
          <w:b/>
          <w:sz w:val="24"/>
          <w:szCs w:val="24"/>
        </w:rPr>
        <w:t xml:space="preserve"> </w:t>
      </w:r>
      <w:proofErr w:type="spellStart"/>
      <w:r w:rsidR="00DE00BA" w:rsidRPr="00AC4310">
        <w:rPr>
          <w:rFonts w:ascii="Gadugi" w:eastAsia="Georgia" w:hAnsi="Gadugi" w:cs="Georgia"/>
          <w:b/>
          <w:sz w:val="24"/>
          <w:szCs w:val="24"/>
        </w:rPr>
        <w:t>Jhon</w:t>
      </w:r>
      <w:proofErr w:type="spellEnd"/>
      <w:r w:rsidR="00DE00BA" w:rsidRPr="00AC4310">
        <w:rPr>
          <w:rFonts w:ascii="Gadugi" w:eastAsia="Georgia" w:hAnsi="Gadugi" w:cs="Georgia"/>
          <w:b/>
          <w:sz w:val="24"/>
          <w:szCs w:val="24"/>
        </w:rPr>
        <w:t xml:space="preserve"> Jairo Toro Osorio </w:t>
      </w:r>
      <w:r w:rsidR="00DE00BA" w:rsidRPr="00AC4310">
        <w:rPr>
          <w:rFonts w:ascii="Gadugi" w:eastAsia="Georgia" w:hAnsi="Gadugi" w:cs="Georgia"/>
          <w:sz w:val="24"/>
          <w:szCs w:val="24"/>
        </w:rPr>
        <w:t xml:space="preserve">frente a la </w:t>
      </w:r>
      <w:r w:rsidR="00DE00BA" w:rsidRPr="00AC4310">
        <w:rPr>
          <w:rFonts w:ascii="Gadugi" w:eastAsia="Georgia" w:hAnsi="Gadugi" w:cs="Georgia"/>
          <w:b/>
          <w:sz w:val="24"/>
          <w:szCs w:val="24"/>
        </w:rPr>
        <w:t xml:space="preserve">Constructora CAMAMBÚ S.A.S., </w:t>
      </w:r>
      <w:r w:rsidR="00DE00BA" w:rsidRPr="00AC4310">
        <w:rPr>
          <w:rFonts w:ascii="Gadugi" w:eastAsia="Georgia" w:hAnsi="Gadugi" w:cs="Georgia"/>
          <w:sz w:val="24"/>
          <w:szCs w:val="24"/>
        </w:rPr>
        <w:t>al que fue</w:t>
      </w:r>
      <w:r w:rsidR="00DE00BA" w:rsidRPr="00AC4310">
        <w:rPr>
          <w:rFonts w:ascii="Gadugi" w:eastAsia="Georgia" w:hAnsi="Gadugi" w:cs="Georgia"/>
          <w:b/>
          <w:sz w:val="24"/>
          <w:szCs w:val="24"/>
        </w:rPr>
        <w:t xml:space="preserve"> </w:t>
      </w:r>
      <w:r w:rsidR="00DE00BA" w:rsidRPr="00AC4310">
        <w:rPr>
          <w:rFonts w:ascii="Gadugi" w:eastAsia="Georgia" w:hAnsi="Gadugi" w:cs="Georgia"/>
          <w:sz w:val="24"/>
          <w:szCs w:val="24"/>
        </w:rPr>
        <w:t xml:space="preserve">vinculado el </w:t>
      </w:r>
      <w:r w:rsidR="00DE00BA" w:rsidRPr="00AC4310">
        <w:rPr>
          <w:rFonts w:ascii="Gadugi" w:eastAsia="Georgia" w:hAnsi="Gadugi" w:cs="Georgia"/>
          <w:b/>
          <w:sz w:val="24"/>
          <w:szCs w:val="24"/>
        </w:rPr>
        <w:t>Parque Residencial Camambú P.H.</w:t>
      </w:r>
      <w:r w:rsidR="00DE00BA" w:rsidRPr="00AC4310">
        <w:rPr>
          <w:rStyle w:val="Refdenotaalpie"/>
          <w:rFonts w:ascii="Gadugi" w:eastAsia="Georgia" w:hAnsi="Gadugi" w:cs="Georgia"/>
          <w:sz w:val="24"/>
          <w:szCs w:val="24"/>
        </w:rPr>
        <w:t xml:space="preserve"> </w:t>
      </w:r>
      <w:r w:rsidR="00DE00BA" w:rsidRPr="00AC4310">
        <w:rPr>
          <w:rStyle w:val="Refdenotaalpie"/>
          <w:rFonts w:ascii="Gadugi" w:eastAsia="Georgia" w:hAnsi="Gadugi" w:cs="Georgia"/>
          <w:sz w:val="24"/>
          <w:szCs w:val="24"/>
        </w:rPr>
        <w:footnoteReference w:id="21"/>
      </w:r>
    </w:p>
    <w:p w14:paraId="49737DB3" w14:textId="77777777" w:rsidR="00DE00BA" w:rsidRPr="00AC4310" w:rsidRDefault="00DE00BA" w:rsidP="00AC4310">
      <w:pPr>
        <w:pBdr>
          <w:top w:val="nil"/>
          <w:left w:val="nil"/>
          <w:bottom w:val="nil"/>
          <w:right w:val="nil"/>
          <w:between w:val="nil"/>
        </w:pBdr>
        <w:tabs>
          <w:tab w:val="left" w:pos="3686"/>
          <w:tab w:val="left" w:pos="4536"/>
        </w:tabs>
        <w:jc w:val="both"/>
        <w:rPr>
          <w:rFonts w:ascii="Gadugi" w:eastAsia="Georgia" w:hAnsi="Gadugi" w:cs="Georgia"/>
          <w:sz w:val="24"/>
          <w:szCs w:val="24"/>
          <w:lang w:val="es-ES"/>
        </w:rPr>
      </w:pPr>
    </w:p>
    <w:p w14:paraId="0C189962" w14:textId="15B7DBAF" w:rsidR="00FB6B58" w:rsidRPr="00AC4310" w:rsidRDefault="00FB6B58" w:rsidP="00AC4310">
      <w:pPr>
        <w:pBdr>
          <w:top w:val="nil"/>
          <w:left w:val="nil"/>
          <w:bottom w:val="nil"/>
          <w:right w:val="nil"/>
          <w:between w:val="nil"/>
        </w:pBdr>
        <w:tabs>
          <w:tab w:val="left" w:pos="3686"/>
          <w:tab w:val="left" w:pos="4536"/>
        </w:tabs>
        <w:jc w:val="both"/>
        <w:rPr>
          <w:rFonts w:ascii="Gadugi" w:eastAsia="Georgia" w:hAnsi="Gadugi" w:cs="Georgia"/>
          <w:sz w:val="24"/>
          <w:szCs w:val="24"/>
          <w:lang w:val="es-ES"/>
        </w:rPr>
      </w:pPr>
      <w:r w:rsidRPr="00AC4310">
        <w:rPr>
          <w:rFonts w:ascii="Gadugi" w:eastAsia="Georgia" w:hAnsi="Gadugi" w:cs="Georgia"/>
          <w:sz w:val="24"/>
          <w:szCs w:val="24"/>
          <w:lang w:val="es-ES"/>
        </w:rPr>
        <w:t xml:space="preserve">Devuélvase el asunto al despacho de </w:t>
      </w:r>
      <w:r w:rsidR="00521BE7" w:rsidRPr="00AC4310">
        <w:rPr>
          <w:rFonts w:ascii="Gadugi" w:eastAsia="Georgia" w:hAnsi="Gadugi" w:cs="Georgia"/>
          <w:sz w:val="24"/>
          <w:szCs w:val="24"/>
          <w:lang w:val="es-ES"/>
        </w:rPr>
        <w:t xml:space="preserve">primera </w:t>
      </w:r>
      <w:r w:rsidRPr="00AC4310">
        <w:rPr>
          <w:rFonts w:ascii="Gadugi" w:eastAsia="Georgia" w:hAnsi="Gadugi" w:cs="Georgia"/>
          <w:sz w:val="24"/>
          <w:szCs w:val="24"/>
          <w:lang w:val="es-ES"/>
        </w:rPr>
        <w:t xml:space="preserve">instancia para que se </w:t>
      </w:r>
      <w:r w:rsidR="00521BE7" w:rsidRPr="00AC4310">
        <w:rPr>
          <w:rFonts w:ascii="Gadugi" w:eastAsia="Georgia" w:hAnsi="Gadugi" w:cs="Georgia"/>
          <w:sz w:val="24"/>
          <w:szCs w:val="24"/>
          <w:lang w:val="es-ES"/>
        </w:rPr>
        <w:t xml:space="preserve">continúe con el trámite y se </w:t>
      </w:r>
      <w:r w:rsidRPr="00AC4310">
        <w:rPr>
          <w:rFonts w:ascii="Gadugi" w:eastAsia="Georgia" w:hAnsi="Gadugi" w:cs="Georgia"/>
          <w:sz w:val="24"/>
          <w:szCs w:val="24"/>
          <w:lang w:val="es-ES"/>
        </w:rPr>
        <w:t>resuelva de fondo</w:t>
      </w:r>
      <w:r w:rsidR="00521BE7" w:rsidRPr="00AC4310">
        <w:rPr>
          <w:rFonts w:ascii="Gadugi" w:eastAsia="Georgia" w:hAnsi="Gadugi" w:cs="Georgia"/>
          <w:sz w:val="24"/>
          <w:szCs w:val="24"/>
          <w:lang w:val="es-ES"/>
        </w:rPr>
        <w:t xml:space="preserve"> la litis</w:t>
      </w:r>
      <w:r w:rsidRPr="00AC4310">
        <w:rPr>
          <w:rFonts w:ascii="Gadugi" w:eastAsia="Georgia" w:hAnsi="Gadugi" w:cs="Georgia"/>
          <w:sz w:val="24"/>
          <w:szCs w:val="24"/>
          <w:lang w:val="es-ES"/>
        </w:rPr>
        <w:t xml:space="preserve">. </w:t>
      </w:r>
    </w:p>
    <w:p w14:paraId="7EC58215" w14:textId="77777777" w:rsidR="00FB6B58" w:rsidRPr="00AC4310" w:rsidRDefault="00FB6B58" w:rsidP="00AC4310">
      <w:pPr>
        <w:pBdr>
          <w:top w:val="nil"/>
          <w:left w:val="nil"/>
          <w:bottom w:val="nil"/>
          <w:right w:val="nil"/>
          <w:between w:val="nil"/>
        </w:pBdr>
        <w:tabs>
          <w:tab w:val="left" w:pos="3686"/>
          <w:tab w:val="left" w:pos="4536"/>
        </w:tabs>
        <w:jc w:val="both"/>
        <w:rPr>
          <w:rFonts w:ascii="Gadugi" w:eastAsia="Georgia" w:hAnsi="Gadugi" w:cs="Georgia"/>
          <w:sz w:val="24"/>
          <w:szCs w:val="24"/>
          <w:lang w:val="es-ES"/>
        </w:rPr>
      </w:pPr>
    </w:p>
    <w:p w14:paraId="0E4AA7EE" w14:textId="0C8B03F6" w:rsidR="00F56BDB" w:rsidRPr="00AC4310" w:rsidRDefault="00521BE7" w:rsidP="00AC4310">
      <w:pPr>
        <w:pBdr>
          <w:top w:val="nil"/>
          <w:left w:val="nil"/>
          <w:bottom w:val="nil"/>
          <w:right w:val="nil"/>
          <w:between w:val="nil"/>
        </w:pBdr>
        <w:tabs>
          <w:tab w:val="left" w:pos="3686"/>
          <w:tab w:val="left" w:pos="4536"/>
        </w:tabs>
        <w:jc w:val="both"/>
        <w:rPr>
          <w:rFonts w:ascii="Gadugi" w:eastAsia="Georgia" w:hAnsi="Gadugi" w:cs="Georgia"/>
          <w:sz w:val="24"/>
          <w:szCs w:val="24"/>
          <w:lang w:val="es-419"/>
        </w:rPr>
      </w:pPr>
      <w:r w:rsidRPr="00AC4310">
        <w:rPr>
          <w:rFonts w:ascii="Gadugi" w:eastAsia="Georgia" w:hAnsi="Gadugi" w:cs="Georgia"/>
          <w:sz w:val="24"/>
          <w:szCs w:val="24"/>
          <w:lang w:val="es-419"/>
        </w:rPr>
        <w:t>Sin costas</w:t>
      </w:r>
      <w:r w:rsidR="00F56BDB" w:rsidRPr="00AC4310">
        <w:rPr>
          <w:rFonts w:ascii="Gadugi" w:eastAsia="Georgia" w:hAnsi="Gadugi" w:cs="Georgia"/>
          <w:sz w:val="24"/>
          <w:szCs w:val="24"/>
          <w:lang w:val="es-419"/>
        </w:rPr>
        <w:t>.</w:t>
      </w:r>
    </w:p>
    <w:p w14:paraId="17DAA817" w14:textId="77777777" w:rsidR="00AC4310" w:rsidRPr="000C472B" w:rsidRDefault="00AC4310" w:rsidP="00AC4310">
      <w:pPr>
        <w:jc w:val="both"/>
        <w:rPr>
          <w:rFonts w:ascii="Gadugi" w:eastAsia="Georgia" w:hAnsi="Gadugi" w:cs="Georgia"/>
          <w:bCs/>
          <w:sz w:val="24"/>
          <w:szCs w:val="24"/>
          <w:lang w:val="es-CO"/>
        </w:rPr>
      </w:pPr>
    </w:p>
    <w:p w14:paraId="3A6F431D" w14:textId="77777777" w:rsidR="00AC4310" w:rsidRPr="000C472B" w:rsidRDefault="00AC4310" w:rsidP="00AC4310">
      <w:pPr>
        <w:jc w:val="both"/>
        <w:rPr>
          <w:rFonts w:ascii="Gadugi" w:eastAsia="Georgia" w:hAnsi="Gadugi" w:cs="Georgia"/>
          <w:bCs/>
          <w:sz w:val="24"/>
          <w:szCs w:val="24"/>
          <w:lang w:val="es-CO"/>
        </w:rPr>
      </w:pPr>
      <w:r w:rsidRPr="000C472B">
        <w:rPr>
          <w:rFonts w:ascii="Gadugi" w:eastAsia="Georgia" w:hAnsi="Gadugi" w:cs="Georgia"/>
          <w:bCs/>
          <w:sz w:val="24"/>
          <w:szCs w:val="24"/>
          <w:lang w:val="es-CO"/>
        </w:rPr>
        <w:t>Notifíquese,</w:t>
      </w:r>
    </w:p>
    <w:p w14:paraId="596E7152" w14:textId="77777777" w:rsidR="00AC4310" w:rsidRPr="000C472B" w:rsidRDefault="00AC4310" w:rsidP="00AC4310">
      <w:pPr>
        <w:tabs>
          <w:tab w:val="left" w:pos="1701"/>
          <w:tab w:val="left" w:pos="2127"/>
          <w:tab w:val="left" w:pos="2977"/>
        </w:tabs>
        <w:jc w:val="both"/>
        <w:rPr>
          <w:rFonts w:ascii="Gadugi" w:eastAsia="Malgun Gothic" w:hAnsi="Gadugi" w:cs="Estrangelo Edessa"/>
          <w:sz w:val="24"/>
          <w:szCs w:val="24"/>
          <w:lang w:val="es-CO" w:eastAsia="en-US"/>
        </w:rPr>
      </w:pPr>
    </w:p>
    <w:p w14:paraId="7CFE430F" w14:textId="04835740" w:rsidR="00AC4310" w:rsidRPr="000C472B" w:rsidRDefault="00EF0F30" w:rsidP="00AC4310">
      <w:pPr>
        <w:tabs>
          <w:tab w:val="left" w:pos="1701"/>
          <w:tab w:val="left" w:pos="2127"/>
          <w:tab w:val="left" w:pos="2977"/>
        </w:tabs>
        <w:jc w:val="both"/>
        <w:rPr>
          <w:rFonts w:ascii="Gadugi" w:eastAsia="Malgun Gothic" w:hAnsi="Gadugi" w:cs="Estrangelo Edessa"/>
          <w:sz w:val="24"/>
          <w:szCs w:val="24"/>
          <w:lang w:val="es-CO" w:eastAsia="en-US"/>
        </w:rPr>
      </w:pPr>
      <w:r>
        <w:rPr>
          <w:rFonts w:ascii="Gadugi" w:eastAsia="Malgun Gothic" w:hAnsi="Gadugi" w:cs="Estrangelo Edessa"/>
          <w:sz w:val="24"/>
          <w:szCs w:val="24"/>
          <w:lang w:val="es-CO" w:eastAsia="en-US"/>
        </w:rPr>
        <w:t>El Magistrado,</w:t>
      </w:r>
    </w:p>
    <w:p w14:paraId="415F8259" w14:textId="77777777" w:rsidR="00AC4310" w:rsidRPr="000C472B" w:rsidRDefault="00AC4310" w:rsidP="00AC4310">
      <w:pPr>
        <w:tabs>
          <w:tab w:val="left" w:pos="1701"/>
          <w:tab w:val="left" w:pos="2127"/>
          <w:tab w:val="left" w:pos="2977"/>
        </w:tabs>
        <w:jc w:val="both"/>
        <w:rPr>
          <w:rFonts w:ascii="Gadugi" w:eastAsia="Malgun Gothic" w:hAnsi="Gadugi" w:cs="Estrangelo Edessa"/>
          <w:sz w:val="24"/>
          <w:szCs w:val="24"/>
          <w:lang w:val="es-CO" w:eastAsia="en-US"/>
        </w:rPr>
      </w:pPr>
    </w:p>
    <w:p w14:paraId="08185964" w14:textId="77777777" w:rsidR="00AC4310" w:rsidRPr="000C472B" w:rsidRDefault="00AC4310" w:rsidP="00AC4310">
      <w:pPr>
        <w:tabs>
          <w:tab w:val="left" w:pos="1701"/>
          <w:tab w:val="left" w:pos="2127"/>
          <w:tab w:val="left" w:pos="2977"/>
        </w:tabs>
        <w:jc w:val="both"/>
        <w:rPr>
          <w:rFonts w:ascii="Gadugi" w:eastAsia="Malgun Gothic" w:hAnsi="Gadugi" w:cs="Estrangelo Edessa"/>
          <w:sz w:val="24"/>
          <w:szCs w:val="24"/>
          <w:lang w:val="es-CO" w:eastAsia="en-US"/>
        </w:rPr>
      </w:pPr>
    </w:p>
    <w:p w14:paraId="04386183" w14:textId="06D3A89D" w:rsidR="00C449BF" w:rsidRPr="00AC4310" w:rsidRDefault="00AC4310" w:rsidP="00ED24EF">
      <w:pPr>
        <w:ind w:left="1440" w:firstLine="720"/>
        <w:jc w:val="both"/>
        <w:rPr>
          <w:rFonts w:ascii="Gadugi" w:eastAsia="Malgun Gothic" w:hAnsi="Gadugi" w:cs="Estrangelo Edessa"/>
          <w:b/>
          <w:bCs/>
          <w:sz w:val="24"/>
          <w:szCs w:val="24"/>
          <w:lang w:val="es-CO" w:eastAsia="en-US"/>
        </w:rPr>
      </w:pPr>
      <w:r w:rsidRPr="000C472B">
        <w:rPr>
          <w:rFonts w:ascii="Gadugi" w:eastAsia="Malgun Gothic" w:hAnsi="Gadugi" w:cs="Estrangelo Edessa"/>
          <w:b/>
          <w:bCs/>
          <w:sz w:val="24"/>
          <w:szCs w:val="24"/>
          <w:lang w:val="es-CO" w:eastAsia="en-US"/>
        </w:rPr>
        <w:t>JAIME ALBERTO SARAZA NARANJO</w:t>
      </w:r>
    </w:p>
    <w:sectPr w:rsidR="00C449BF" w:rsidRPr="00AC4310" w:rsidSect="00ED24EF">
      <w:footerReference w:type="default" r:id="rId13"/>
      <w:pgSz w:w="12242" w:h="18722" w:code="258"/>
      <w:pgMar w:top="1758" w:right="1191" w:bottom="1191" w:left="1758" w:header="567"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239CA" w14:textId="77777777" w:rsidR="00D92D2B" w:rsidRDefault="00D92D2B">
      <w:pPr>
        <w:spacing w:line="240" w:lineRule="auto"/>
      </w:pPr>
      <w:r>
        <w:separator/>
      </w:r>
    </w:p>
  </w:endnote>
  <w:endnote w:type="continuationSeparator" w:id="0">
    <w:p w14:paraId="2C8785AF" w14:textId="77777777" w:rsidR="00D92D2B" w:rsidRDefault="00D92D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Estrangelo Edessa">
    <w:panose1 w:val="00000000000000000000"/>
    <w:charset w:val="01"/>
    <w:family w:val="roman"/>
    <w:notTrueType/>
    <w:pitch w:val="variable"/>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8DBEF" w14:textId="77AE8762" w:rsidR="001F4E27" w:rsidRDefault="001F4E27">
    <w:pPr>
      <w:jc w:val="right"/>
    </w:pPr>
    <w:r>
      <w:fldChar w:fldCharType="begin"/>
    </w:r>
    <w:r>
      <w:instrText>PAGE</w:instrText>
    </w:r>
    <w:r>
      <w:fldChar w:fldCharType="separate"/>
    </w:r>
    <w:r w:rsidR="00ED24EF">
      <w:rPr>
        <w:noProof/>
      </w:rPr>
      <w:t>10</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A353D" w14:textId="77777777" w:rsidR="00D92D2B" w:rsidRDefault="00D92D2B">
      <w:pPr>
        <w:spacing w:line="240" w:lineRule="auto"/>
      </w:pPr>
      <w:r>
        <w:separator/>
      </w:r>
    </w:p>
  </w:footnote>
  <w:footnote w:type="continuationSeparator" w:id="0">
    <w:p w14:paraId="43E77141" w14:textId="77777777" w:rsidR="00D92D2B" w:rsidRDefault="00D92D2B">
      <w:pPr>
        <w:spacing w:line="240" w:lineRule="auto"/>
      </w:pPr>
      <w:r>
        <w:continuationSeparator/>
      </w:r>
    </w:p>
  </w:footnote>
  <w:footnote w:id="1">
    <w:p w14:paraId="0F9AD943" w14:textId="41B0FD93" w:rsidR="00072554" w:rsidRPr="00EC499E" w:rsidRDefault="00072554" w:rsidP="00EC499E">
      <w:pPr>
        <w:pStyle w:val="Textonotapie"/>
        <w:jc w:val="both"/>
        <w:rPr>
          <w:sz w:val="18"/>
          <w:szCs w:val="18"/>
          <w:lang w:val="en-US"/>
        </w:rPr>
      </w:pPr>
      <w:r w:rsidRPr="00EC499E">
        <w:rPr>
          <w:rStyle w:val="Refdenotaalpie"/>
          <w:sz w:val="18"/>
          <w:szCs w:val="18"/>
        </w:rPr>
        <w:footnoteRef/>
      </w:r>
      <w:r w:rsidRPr="00EC499E">
        <w:rPr>
          <w:sz w:val="18"/>
          <w:szCs w:val="18"/>
          <w:lang w:val="en-US"/>
        </w:rPr>
        <w:t xml:space="preserve"> </w:t>
      </w:r>
      <w:proofErr w:type="spellStart"/>
      <w:r w:rsidRPr="00EC499E">
        <w:rPr>
          <w:sz w:val="18"/>
          <w:szCs w:val="18"/>
          <w:lang w:val="en-US"/>
        </w:rPr>
        <w:t>01PrimeraInstancia</w:t>
      </w:r>
      <w:proofErr w:type="spellEnd"/>
      <w:r w:rsidRPr="00EC499E">
        <w:rPr>
          <w:sz w:val="18"/>
          <w:szCs w:val="18"/>
          <w:lang w:val="en-US"/>
        </w:rPr>
        <w:t xml:space="preserve">, arch., 37 </w:t>
      </w:r>
    </w:p>
  </w:footnote>
  <w:footnote w:id="2">
    <w:p w14:paraId="3BF2C1FF" w14:textId="0D85BE5C" w:rsidR="009066FF" w:rsidRPr="00EC499E" w:rsidRDefault="009066FF" w:rsidP="00EC499E">
      <w:pPr>
        <w:pStyle w:val="Textonotapie"/>
        <w:jc w:val="both"/>
        <w:rPr>
          <w:sz w:val="18"/>
          <w:szCs w:val="18"/>
          <w:lang w:val="en-US"/>
        </w:rPr>
      </w:pPr>
      <w:r w:rsidRPr="00EC499E">
        <w:rPr>
          <w:rStyle w:val="Refdenotaalpie"/>
          <w:sz w:val="18"/>
          <w:szCs w:val="18"/>
        </w:rPr>
        <w:footnoteRef/>
      </w:r>
      <w:r w:rsidRPr="00EC499E">
        <w:rPr>
          <w:sz w:val="18"/>
          <w:szCs w:val="18"/>
          <w:lang w:val="en-US"/>
        </w:rPr>
        <w:t xml:space="preserve"> </w:t>
      </w:r>
      <w:proofErr w:type="spellStart"/>
      <w:r w:rsidRPr="00EC499E">
        <w:rPr>
          <w:sz w:val="18"/>
          <w:szCs w:val="18"/>
          <w:lang w:val="en-US"/>
        </w:rPr>
        <w:t>Ibidem</w:t>
      </w:r>
      <w:proofErr w:type="spellEnd"/>
      <w:r w:rsidRPr="00EC499E">
        <w:rPr>
          <w:sz w:val="18"/>
          <w:szCs w:val="18"/>
          <w:lang w:val="en-US"/>
        </w:rPr>
        <w:t>, arch. 10, p. 2</w:t>
      </w:r>
    </w:p>
  </w:footnote>
  <w:footnote w:id="3">
    <w:p w14:paraId="12114D43" w14:textId="28AC9E68" w:rsidR="00225588" w:rsidRPr="00EC499E" w:rsidRDefault="00225588" w:rsidP="00EC499E">
      <w:pPr>
        <w:pStyle w:val="Textonotapie"/>
        <w:jc w:val="both"/>
        <w:rPr>
          <w:sz w:val="18"/>
          <w:szCs w:val="18"/>
          <w:lang w:val="en-US"/>
        </w:rPr>
      </w:pPr>
      <w:r w:rsidRPr="00EC499E">
        <w:rPr>
          <w:rStyle w:val="Refdenotaalpie"/>
          <w:sz w:val="18"/>
          <w:szCs w:val="18"/>
        </w:rPr>
        <w:footnoteRef/>
      </w:r>
      <w:r w:rsidRPr="00EC499E">
        <w:rPr>
          <w:sz w:val="18"/>
          <w:szCs w:val="18"/>
          <w:lang w:val="en-US"/>
        </w:rPr>
        <w:t xml:space="preserve"> Ib., </w:t>
      </w:r>
      <w:proofErr w:type="spellStart"/>
      <w:r w:rsidRPr="00EC499E">
        <w:rPr>
          <w:sz w:val="18"/>
          <w:szCs w:val="18"/>
          <w:lang w:val="en-US"/>
        </w:rPr>
        <w:t>archivo</w:t>
      </w:r>
      <w:proofErr w:type="spellEnd"/>
      <w:r w:rsidRPr="00EC499E">
        <w:rPr>
          <w:sz w:val="18"/>
          <w:szCs w:val="18"/>
          <w:lang w:val="en-US"/>
        </w:rPr>
        <w:t xml:space="preserve"> 14</w:t>
      </w:r>
    </w:p>
  </w:footnote>
  <w:footnote w:id="4">
    <w:p w14:paraId="1B6783CC" w14:textId="3859E295" w:rsidR="00225588" w:rsidRPr="00EC499E" w:rsidRDefault="00225588" w:rsidP="00EC499E">
      <w:pPr>
        <w:pStyle w:val="Textonotapie"/>
        <w:jc w:val="both"/>
        <w:rPr>
          <w:sz w:val="18"/>
          <w:szCs w:val="18"/>
          <w:lang w:val="es-MX"/>
        </w:rPr>
      </w:pPr>
      <w:r w:rsidRPr="00EC499E">
        <w:rPr>
          <w:rStyle w:val="Refdenotaalpie"/>
          <w:sz w:val="18"/>
          <w:szCs w:val="18"/>
        </w:rPr>
        <w:footnoteRef/>
      </w:r>
      <w:r w:rsidRPr="00EC499E">
        <w:rPr>
          <w:sz w:val="18"/>
          <w:szCs w:val="18"/>
        </w:rPr>
        <w:t xml:space="preserve"> </w:t>
      </w:r>
      <w:r w:rsidRPr="00EC499E">
        <w:rPr>
          <w:sz w:val="18"/>
          <w:szCs w:val="18"/>
          <w:lang w:val="es-MX"/>
        </w:rPr>
        <w:t>Ib., archivo 29</w:t>
      </w:r>
    </w:p>
  </w:footnote>
  <w:footnote w:id="5">
    <w:p w14:paraId="2EBB46FB" w14:textId="77361960" w:rsidR="00CE70BF" w:rsidRPr="00EC499E" w:rsidRDefault="00CE70BF" w:rsidP="00EC499E">
      <w:pPr>
        <w:pStyle w:val="Textonotapie"/>
        <w:jc w:val="both"/>
        <w:rPr>
          <w:sz w:val="18"/>
          <w:szCs w:val="18"/>
          <w:lang w:val="es-MX"/>
        </w:rPr>
      </w:pPr>
      <w:r w:rsidRPr="00EC499E">
        <w:rPr>
          <w:rStyle w:val="Refdenotaalpie"/>
          <w:sz w:val="18"/>
          <w:szCs w:val="18"/>
        </w:rPr>
        <w:footnoteRef/>
      </w:r>
      <w:r w:rsidRPr="00EC499E">
        <w:rPr>
          <w:sz w:val="18"/>
          <w:szCs w:val="18"/>
        </w:rPr>
        <w:t xml:space="preserve"> </w:t>
      </w:r>
      <w:r w:rsidRPr="00EC499E">
        <w:rPr>
          <w:sz w:val="18"/>
          <w:szCs w:val="18"/>
          <w:lang w:val="es-MX"/>
        </w:rPr>
        <w:t xml:space="preserve">Ib., </w:t>
      </w:r>
      <w:proofErr w:type="spellStart"/>
      <w:r w:rsidRPr="00EC499E">
        <w:rPr>
          <w:sz w:val="18"/>
          <w:szCs w:val="18"/>
          <w:lang w:val="es-MX"/>
        </w:rPr>
        <w:t>arch</w:t>
      </w:r>
      <w:proofErr w:type="spellEnd"/>
      <w:r w:rsidRPr="00EC499E">
        <w:rPr>
          <w:sz w:val="18"/>
          <w:szCs w:val="18"/>
          <w:lang w:val="es-MX"/>
        </w:rPr>
        <w:t>. 36 y 37</w:t>
      </w:r>
    </w:p>
  </w:footnote>
  <w:footnote w:id="6">
    <w:p w14:paraId="45F5847E" w14:textId="1D7B7ADF" w:rsidR="00225588" w:rsidRPr="00EC499E" w:rsidRDefault="00225588" w:rsidP="00EC499E">
      <w:pPr>
        <w:pStyle w:val="Textonotapie"/>
        <w:jc w:val="both"/>
        <w:rPr>
          <w:sz w:val="18"/>
          <w:szCs w:val="18"/>
          <w:lang w:val="en-US"/>
        </w:rPr>
      </w:pPr>
      <w:r w:rsidRPr="00EC499E">
        <w:rPr>
          <w:rStyle w:val="Refdenotaalpie"/>
          <w:sz w:val="18"/>
          <w:szCs w:val="18"/>
        </w:rPr>
        <w:footnoteRef/>
      </w:r>
      <w:r w:rsidRPr="00EC499E">
        <w:rPr>
          <w:sz w:val="18"/>
          <w:szCs w:val="18"/>
          <w:lang w:val="en-US"/>
        </w:rPr>
        <w:t xml:space="preserve"> Ib.</w:t>
      </w:r>
      <w:r w:rsidR="00617643" w:rsidRPr="00EC499E">
        <w:rPr>
          <w:sz w:val="18"/>
          <w:szCs w:val="18"/>
          <w:lang w:val="en-US"/>
        </w:rPr>
        <w:t>,</w:t>
      </w:r>
      <w:r w:rsidRPr="00EC499E">
        <w:rPr>
          <w:sz w:val="18"/>
          <w:szCs w:val="18"/>
          <w:lang w:val="en-US"/>
        </w:rPr>
        <w:t xml:space="preserve"> </w:t>
      </w:r>
      <w:proofErr w:type="spellStart"/>
      <w:r w:rsidRPr="00EC499E">
        <w:rPr>
          <w:sz w:val="18"/>
          <w:szCs w:val="18"/>
          <w:lang w:val="en-US"/>
        </w:rPr>
        <w:t>Archivo</w:t>
      </w:r>
      <w:proofErr w:type="spellEnd"/>
      <w:r w:rsidRPr="00EC499E">
        <w:rPr>
          <w:sz w:val="18"/>
          <w:szCs w:val="18"/>
          <w:lang w:val="en-US"/>
        </w:rPr>
        <w:t xml:space="preserve"> 45</w:t>
      </w:r>
    </w:p>
  </w:footnote>
  <w:footnote w:id="7">
    <w:p w14:paraId="55C67FE5" w14:textId="7A7A8BB5" w:rsidR="00287930" w:rsidRPr="00EC499E" w:rsidRDefault="00287930" w:rsidP="00EC499E">
      <w:pPr>
        <w:pStyle w:val="Textonotapie"/>
        <w:jc w:val="both"/>
        <w:rPr>
          <w:sz w:val="18"/>
          <w:szCs w:val="18"/>
          <w:lang w:val="en-US"/>
        </w:rPr>
      </w:pPr>
      <w:r w:rsidRPr="00EC499E">
        <w:rPr>
          <w:rStyle w:val="Refdenotaalpie"/>
          <w:sz w:val="18"/>
          <w:szCs w:val="18"/>
        </w:rPr>
        <w:footnoteRef/>
      </w:r>
      <w:r w:rsidRPr="00EC499E">
        <w:rPr>
          <w:sz w:val="18"/>
          <w:szCs w:val="18"/>
          <w:lang w:val="en-US"/>
        </w:rPr>
        <w:t xml:space="preserve"> Ib., 65, 67, 67</w:t>
      </w:r>
    </w:p>
  </w:footnote>
  <w:footnote w:id="8">
    <w:p w14:paraId="26B2FAAF" w14:textId="05814644" w:rsidR="00C449BF" w:rsidRPr="00EC499E" w:rsidRDefault="00C449BF" w:rsidP="00EC499E">
      <w:pPr>
        <w:pStyle w:val="Textonotapie"/>
        <w:jc w:val="both"/>
        <w:rPr>
          <w:sz w:val="18"/>
          <w:szCs w:val="18"/>
          <w:lang w:val="en-US"/>
        </w:rPr>
      </w:pPr>
      <w:r w:rsidRPr="00EC499E">
        <w:rPr>
          <w:rStyle w:val="Refdenotaalpie"/>
          <w:sz w:val="18"/>
          <w:szCs w:val="18"/>
        </w:rPr>
        <w:footnoteRef/>
      </w:r>
      <w:r w:rsidRPr="00EC499E">
        <w:rPr>
          <w:sz w:val="18"/>
          <w:szCs w:val="18"/>
          <w:lang w:val="en-US"/>
        </w:rPr>
        <w:t xml:space="preserve"> Ib., arch. 69</w:t>
      </w:r>
    </w:p>
  </w:footnote>
  <w:footnote w:id="9">
    <w:p w14:paraId="5BB3B3DD" w14:textId="793E4E8B" w:rsidR="00C449BF" w:rsidRPr="00EC499E" w:rsidRDefault="00C449BF" w:rsidP="00EC499E">
      <w:pPr>
        <w:pStyle w:val="Textonotapie"/>
        <w:jc w:val="both"/>
        <w:rPr>
          <w:sz w:val="18"/>
          <w:szCs w:val="18"/>
          <w:lang w:val="es-MX"/>
        </w:rPr>
      </w:pPr>
      <w:r w:rsidRPr="00EC499E">
        <w:rPr>
          <w:rStyle w:val="Refdenotaalpie"/>
          <w:sz w:val="18"/>
          <w:szCs w:val="18"/>
        </w:rPr>
        <w:footnoteRef/>
      </w:r>
      <w:r w:rsidRPr="00EC499E">
        <w:rPr>
          <w:sz w:val="18"/>
          <w:szCs w:val="18"/>
          <w:lang w:val="en-US"/>
        </w:rPr>
        <w:t xml:space="preserve"> Ib., arch. </w:t>
      </w:r>
      <w:r w:rsidRPr="00EC499E">
        <w:rPr>
          <w:sz w:val="18"/>
          <w:szCs w:val="18"/>
          <w:lang w:val="es-MX"/>
        </w:rPr>
        <w:t>71</w:t>
      </w:r>
    </w:p>
  </w:footnote>
  <w:footnote w:id="10">
    <w:p w14:paraId="72DE8F32" w14:textId="128DCFCC" w:rsidR="00B96C23" w:rsidRPr="00EC499E" w:rsidRDefault="00B96C23" w:rsidP="00EC499E">
      <w:pPr>
        <w:pStyle w:val="Textonotapie"/>
        <w:jc w:val="both"/>
        <w:rPr>
          <w:sz w:val="18"/>
          <w:szCs w:val="18"/>
          <w:lang w:val="es-MX"/>
        </w:rPr>
      </w:pPr>
      <w:r w:rsidRPr="00EC499E">
        <w:rPr>
          <w:rStyle w:val="Refdenotaalpie"/>
          <w:sz w:val="18"/>
          <w:szCs w:val="18"/>
        </w:rPr>
        <w:footnoteRef/>
      </w:r>
      <w:r w:rsidRPr="00EC499E">
        <w:rPr>
          <w:sz w:val="18"/>
          <w:szCs w:val="18"/>
        </w:rPr>
        <w:t xml:space="preserve"> </w:t>
      </w:r>
      <w:proofErr w:type="spellStart"/>
      <w:r w:rsidRPr="00EC499E">
        <w:rPr>
          <w:sz w:val="18"/>
          <w:szCs w:val="18"/>
          <w:lang w:val="es-MX"/>
        </w:rPr>
        <w:t>02SegundaInstancia</w:t>
      </w:r>
      <w:proofErr w:type="spellEnd"/>
      <w:r w:rsidRPr="00EC499E">
        <w:rPr>
          <w:sz w:val="18"/>
          <w:szCs w:val="18"/>
          <w:lang w:val="es-MX"/>
        </w:rPr>
        <w:t xml:space="preserve">, </w:t>
      </w:r>
      <w:proofErr w:type="spellStart"/>
      <w:r w:rsidRPr="00EC499E">
        <w:rPr>
          <w:sz w:val="18"/>
          <w:szCs w:val="18"/>
          <w:lang w:val="es-MX"/>
        </w:rPr>
        <w:t>02C3ApelaciónSentencia</w:t>
      </w:r>
      <w:proofErr w:type="spellEnd"/>
      <w:r w:rsidRPr="00EC499E">
        <w:rPr>
          <w:sz w:val="18"/>
          <w:szCs w:val="18"/>
          <w:lang w:val="es-MX"/>
        </w:rPr>
        <w:t xml:space="preserve">, </w:t>
      </w:r>
      <w:proofErr w:type="spellStart"/>
      <w:r w:rsidRPr="00EC499E">
        <w:rPr>
          <w:sz w:val="18"/>
          <w:szCs w:val="18"/>
          <w:lang w:val="es-MX"/>
        </w:rPr>
        <w:t>arch</w:t>
      </w:r>
      <w:proofErr w:type="spellEnd"/>
      <w:r w:rsidRPr="00EC499E">
        <w:rPr>
          <w:sz w:val="18"/>
          <w:szCs w:val="18"/>
          <w:lang w:val="es-MX"/>
        </w:rPr>
        <w:t>. 07</w:t>
      </w:r>
    </w:p>
  </w:footnote>
  <w:footnote w:id="11">
    <w:p w14:paraId="42298F7E" w14:textId="77777777" w:rsidR="00FE68A5" w:rsidRPr="00EC499E" w:rsidRDefault="00FE68A5" w:rsidP="00EC499E">
      <w:pPr>
        <w:pStyle w:val="Textonotapie"/>
        <w:jc w:val="both"/>
        <w:rPr>
          <w:sz w:val="18"/>
          <w:szCs w:val="18"/>
          <w:lang w:val="es-ES"/>
        </w:rPr>
      </w:pPr>
      <w:r w:rsidRPr="00EC499E">
        <w:rPr>
          <w:rStyle w:val="Refdenotaalpie"/>
          <w:sz w:val="18"/>
          <w:szCs w:val="18"/>
        </w:rPr>
        <w:footnoteRef/>
      </w:r>
      <w:r w:rsidRPr="00EC499E">
        <w:rPr>
          <w:sz w:val="18"/>
          <w:szCs w:val="18"/>
        </w:rPr>
        <w:t xml:space="preserve"> </w:t>
      </w:r>
      <w:r w:rsidRPr="00EC499E">
        <w:rPr>
          <w:sz w:val="18"/>
          <w:szCs w:val="18"/>
          <w:lang w:val="es-ES"/>
        </w:rPr>
        <w:t>Así ha quedado plasmado en múltiples decisiones de esta Sala del Tribunal, entre ellas, recientemente, la sentencia SC-0030-2023</w:t>
      </w:r>
    </w:p>
  </w:footnote>
  <w:footnote w:id="12">
    <w:p w14:paraId="4F72B0EF" w14:textId="77777777" w:rsidR="00FE68A5" w:rsidRPr="00EC499E" w:rsidRDefault="00FE68A5" w:rsidP="00EC499E">
      <w:pPr>
        <w:pStyle w:val="Textonotapie"/>
        <w:jc w:val="both"/>
        <w:rPr>
          <w:sz w:val="18"/>
          <w:szCs w:val="18"/>
          <w:lang w:val="es-ES"/>
        </w:rPr>
      </w:pPr>
      <w:r w:rsidRPr="00EC499E">
        <w:rPr>
          <w:rStyle w:val="Refdenotaalpie"/>
          <w:sz w:val="18"/>
          <w:szCs w:val="18"/>
        </w:rPr>
        <w:footnoteRef/>
      </w:r>
      <w:r w:rsidRPr="00EC499E">
        <w:rPr>
          <w:sz w:val="18"/>
          <w:szCs w:val="18"/>
        </w:rPr>
        <w:t xml:space="preserve"> Corte Suprema de Justicia, Sala de Casación Civil, sentencias SC3918-2021, invocada también en la SC1303-2022</w:t>
      </w:r>
    </w:p>
  </w:footnote>
  <w:footnote w:id="13">
    <w:p w14:paraId="7DFAAAB2" w14:textId="77777777" w:rsidR="00FE68A5" w:rsidRPr="00EC499E" w:rsidRDefault="00FE68A5" w:rsidP="00EC499E">
      <w:pPr>
        <w:pStyle w:val="Textonotapie"/>
        <w:tabs>
          <w:tab w:val="left" w:pos="284"/>
        </w:tabs>
        <w:jc w:val="both"/>
        <w:rPr>
          <w:sz w:val="18"/>
          <w:szCs w:val="18"/>
          <w:lang w:val="es-ES"/>
        </w:rPr>
      </w:pPr>
      <w:r w:rsidRPr="00EC499E">
        <w:rPr>
          <w:rStyle w:val="Refdenotaalpie"/>
          <w:sz w:val="18"/>
          <w:szCs w:val="18"/>
        </w:rPr>
        <w:footnoteRef/>
      </w:r>
      <w:r w:rsidRPr="00EC499E">
        <w:rPr>
          <w:sz w:val="18"/>
          <w:szCs w:val="18"/>
        </w:rPr>
        <w:t xml:space="preserve"> Corte Suprema de Justicia, Sala de Casación Civil, sentencia SC1641-2022</w:t>
      </w:r>
    </w:p>
  </w:footnote>
  <w:footnote w:id="14">
    <w:p w14:paraId="1239E1A5" w14:textId="7044553C" w:rsidR="00617643" w:rsidRPr="00EC499E" w:rsidRDefault="00617643" w:rsidP="00EC499E">
      <w:pPr>
        <w:pStyle w:val="Textonotapie"/>
        <w:tabs>
          <w:tab w:val="left" w:pos="284"/>
        </w:tabs>
        <w:jc w:val="both"/>
        <w:rPr>
          <w:sz w:val="18"/>
          <w:szCs w:val="18"/>
          <w:lang w:val="es-MX"/>
        </w:rPr>
      </w:pPr>
      <w:r w:rsidRPr="00EC499E">
        <w:rPr>
          <w:rStyle w:val="Refdenotaalpie"/>
          <w:sz w:val="18"/>
          <w:szCs w:val="18"/>
        </w:rPr>
        <w:footnoteRef/>
      </w:r>
      <w:r w:rsidRPr="00EC499E">
        <w:rPr>
          <w:sz w:val="18"/>
          <w:szCs w:val="18"/>
        </w:rPr>
        <w:t xml:space="preserve"> </w:t>
      </w:r>
      <w:r w:rsidRPr="00EC499E">
        <w:rPr>
          <w:sz w:val="18"/>
          <w:szCs w:val="18"/>
          <w:lang w:val="es-MX"/>
        </w:rPr>
        <w:t>(…) “en cualquier estado del proceso, el juez deberá dictar sentencia anticipada, total o parcial, en los siguientes eventos:</w:t>
      </w:r>
    </w:p>
    <w:p w14:paraId="0886CF6B" w14:textId="3E01E0F8" w:rsidR="00617643" w:rsidRPr="00EC499E" w:rsidRDefault="00617643" w:rsidP="00EC499E">
      <w:pPr>
        <w:pStyle w:val="Textonotapie"/>
        <w:numPr>
          <w:ilvl w:val="0"/>
          <w:numId w:val="7"/>
        </w:numPr>
        <w:tabs>
          <w:tab w:val="left" w:pos="284"/>
        </w:tabs>
        <w:ind w:left="0" w:firstLine="0"/>
        <w:jc w:val="both"/>
        <w:rPr>
          <w:sz w:val="18"/>
          <w:szCs w:val="18"/>
          <w:lang w:val="es-MX"/>
        </w:rPr>
      </w:pPr>
      <w:r w:rsidRPr="00EC499E">
        <w:rPr>
          <w:sz w:val="18"/>
          <w:szCs w:val="18"/>
          <w:lang w:val="es-MX"/>
        </w:rPr>
        <w:t>Cuando las partes o sus apoderados de común acuerdo lo soliciten, sea por iniciativa propia o por sugerencia del juez.</w:t>
      </w:r>
    </w:p>
    <w:p w14:paraId="6920679A" w14:textId="7454A922" w:rsidR="00617643" w:rsidRPr="00EC499E" w:rsidRDefault="00617643" w:rsidP="00EC499E">
      <w:pPr>
        <w:pStyle w:val="Textonotapie"/>
        <w:numPr>
          <w:ilvl w:val="0"/>
          <w:numId w:val="7"/>
        </w:numPr>
        <w:tabs>
          <w:tab w:val="left" w:pos="284"/>
        </w:tabs>
        <w:ind w:left="0" w:firstLine="0"/>
        <w:jc w:val="both"/>
        <w:rPr>
          <w:sz w:val="18"/>
          <w:szCs w:val="18"/>
          <w:lang w:val="es-MX"/>
        </w:rPr>
      </w:pPr>
      <w:r w:rsidRPr="00EC499E">
        <w:rPr>
          <w:sz w:val="18"/>
          <w:szCs w:val="18"/>
          <w:lang w:val="es-MX"/>
        </w:rPr>
        <w:t xml:space="preserve">Cuando no hubiere pruebas por practicar </w:t>
      </w:r>
    </w:p>
    <w:p w14:paraId="6EE9723D" w14:textId="349AE982" w:rsidR="00617643" w:rsidRPr="00EC499E" w:rsidRDefault="00617643" w:rsidP="00EC499E">
      <w:pPr>
        <w:pStyle w:val="Textonotapie"/>
        <w:numPr>
          <w:ilvl w:val="0"/>
          <w:numId w:val="7"/>
        </w:numPr>
        <w:tabs>
          <w:tab w:val="left" w:pos="284"/>
        </w:tabs>
        <w:ind w:left="0" w:firstLine="0"/>
        <w:jc w:val="both"/>
        <w:rPr>
          <w:sz w:val="18"/>
          <w:szCs w:val="18"/>
          <w:lang w:val="es-MX"/>
        </w:rPr>
      </w:pPr>
      <w:r w:rsidRPr="00EC499E">
        <w:rPr>
          <w:sz w:val="18"/>
          <w:szCs w:val="18"/>
          <w:lang w:val="es-MX"/>
        </w:rPr>
        <w:t xml:space="preserve">Cuando se encuentre probada la cosa juzgada, la transacción, la caducidad, la prescripción extintiva y la carencia de legitimación en la causa.” </w:t>
      </w:r>
    </w:p>
  </w:footnote>
  <w:footnote w:id="15">
    <w:p w14:paraId="1633F721" w14:textId="77777777" w:rsidR="00D87B82" w:rsidRPr="00EC499E" w:rsidRDefault="00D87B82" w:rsidP="00EC499E">
      <w:pPr>
        <w:pStyle w:val="Textonotapie"/>
        <w:jc w:val="both"/>
        <w:rPr>
          <w:sz w:val="18"/>
          <w:szCs w:val="18"/>
          <w:lang w:val="es-419"/>
        </w:rPr>
      </w:pPr>
      <w:r w:rsidRPr="00EC499E">
        <w:rPr>
          <w:rStyle w:val="Refdenotaalpie"/>
          <w:sz w:val="18"/>
          <w:szCs w:val="18"/>
        </w:rPr>
        <w:footnoteRef/>
      </w:r>
      <w:r w:rsidRPr="00EC499E">
        <w:rPr>
          <w:sz w:val="18"/>
          <w:szCs w:val="18"/>
        </w:rPr>
        <w:t xml:space="preserve"> Sentencia SC2768-2019</w:t>
      </w:r>
    </w:p>
  </w:footnote>
  <w:footnote w:id="16">
    <w:p w14:paraId="629C57C5" w14:textId="77777777" w:rsidR="00D87B82" w:rsidRPr="00EC499E" w:rsidRDefault="00D87B82" w:rsidP="00EC499E">
      <w:pPr>
        <w:pStyle w:val="Textonotapie"/>
        <w:jc w:val="both"/>
        <w:rPr>
          <w:sz w:val="18"/>
          <w:szCs w:val="18"/>
          <w:lang w:val="es-419"/>
        </w:rPr>
      </w:pPr>
      <w:r w:rsidRPr="00EC499E">
        <w:rPr>
          <w:rStyle w:val="Refdenotaalpie"/>
          <w:sz w:val="18"/>
          <w:szCs w:val="18"/>
        </w:rPr>
        <w:footnoteRef/>
      </w:r>
      <w:r w:rsidRPr="00EC499E">
        <w:rPr>
          <w:sz w:val="18"/>
          <w:szCs w:val="18"/>
        </w:rPr>
        <w:t xml:space="preserve"> Sentencias del 20-06-2018, radicado 66001-31-03-002-2012-00385-01; del 11-12-2019, radicado 2014-00141-01; y TSP.SC-0047-2021, para citar algunas. </w:t>
      </w:r>
    </w:p>
  </w:footnote>
  <w:footnote w:id="17">
    <w:p w14:paraId="22E015E8" w14:textId="77777777" w:rsidR="00D87B82" w:rsidRPr="00EC499E" w:rsidRDefault="00D87B82" w:rsidP="00EC499E">
      <w:pPr>
        <w:pStyle w:val="Textonotapie"/>
        <w:jc w:val="both"/>
        <w:rPr>
          <w:sz w:val="18"/>
          <w:szCs w:val="18"/>
          <w:lang w:val="es-419"/>
        </w:rPr>
      </w:pPr>
      <w:r w:rsidRPr="00EC499E">
        <w:rPr>
          <w:rStyle w:val="Refdenotaalpie"/>
          <w:sz w:val="18"/>
          <w:szCs w:val="18"/>
        </w:rPr>
        <w:footnoteRef/>
      </w:r>
      <w:r w:rsidRPr="00EC499E">
        <w:rPr>
          <w:sz w:val="18"/>
          <w:szCs w:val="18"/>
        </w:rPr>
        <w:t xml:space="preserve"> Sentencia SC20450-2017, en la que se citó otra del 1° de julio de 2008, radicado 2001- 06291-01.</w:t>
      </w:r>
    </w:p>
  </w:footnote>
  <w:footnote w:id="18">
    <w:p w14:paraId="294B2ED6" w14:textId="09AC4626" w:rsidR="00B1493D" w:rsidRPr="00EC499E" w:rsidRDefault="00B1493D" w:rsidP="00EC499E">
      <w:pPr>
        <w:pStyle w:val="Textonotapie"/>
        <w:jc w:val="both"/>
        <w:rPr>
          <w:sz w:val="18"/>
          <w:szCs w:val="18"/>
          <w:lang w:val="es-MX"/>
        </w:rPr>
      </w:pPr>
      <w:r w:rsidRPr="00EC499E">
        <w:rPr>
          <w:rStyle w:val="Refdenotaalpie"/>
          <w:sz w:val="18"/>
          <w:szCs w:val="18"/>
        </w:rPr>
        <w:footnoteRef/>
      </w:r>
      <w:r w:rsidRPr="00EC499E">
        <w:rPr>
          <w:sz w:val="18"/>
          <w:szCs w:val="18"/>
        </w:rPr>
        <w:t xml:space="preserve"> </w:t>
      </w:r>
      <w:r w:rsidRPr="00EC499E">
        <w:rPr>
          <w:sz w:val="18"/>
          <w:szCs w:val="18"/>
          <w:lang w:val="es-MX"/>
        </w:rPr>
        <w:t>Así lo recordó</w:t>
      </w:r>
      <w:r w:rsidR="004978E4" w:rsidRPr="00EC499E">
        <w:rPr>
          <w:sz w:val="18"/>
          <w:szCs w:val="18"/>
          <w:lang w:val="es-MX"/>
        </w:rPr>
        <w:t xml:space="preserve"> </w:t>
      </w:r>
      <w:r w:rsidRPr="00EC499E">
        <w:rPr>
          <w:sz w:val="18"/>
          <w:szCs w:val="18"/>
          <w:lang w:val="es-MX"/>
        </w:rPr>
        <w:t xml:space="preserve">la Sala de Casación Civil de la Corte Suprema de Justicia </w:t>
      </w:r>
      <w:r w:rsidRPr="00EC499E">
        <w:rPr>
          <w:sz w:val="18"/>
          <w:szCs w:val="18"/>
        </w:rPr>
        <w:t>en la sentencia SC5191-2020</w:t>
      </w:r>
    </w:p>
  </w:footnote>
  <w:footnote w:id="19">
    <w:p w14:paraId="54DCBFB4" w14:textId="53105E72" w:rsidR="00FC48AC" w:rsidRPr="00EC499E" w:rsidRDefault="00FC48AC" w:rsidP="00EC499E">
      <w:pPr>
        <w:pStyle w:val="Textonotapie"/>
        <w:jc w:val="both"/>
        <w:rPr>
          <w:sz w:val="18"/>
          <w:szCs w:val="18"/>
          <w:lang w:val="es-MX"/>
        </w:rPr>
      </w:pPr>
      <w:r w:rsidRPr="00EC499E">
        <w:rPr>
          <w:rStyle w:val="Refdenotaalpie"/>
          <w:sz w:val="18"/>
          <w:szCs w:val="18"/>
        </w:rPr>
        <w:footnoteRef/>
      </w:r>
      <w:r w:rsidRPr="00EC499E">
        <w:rPr>
          <w:sz w:val="18"/>
          <w:szCs w:val="18"/>
        </w:rPr>
        <w:t xml:space="preserve"> </w:t>
      </w:r>
      <w:r w:rsidRPr="00EC499E">
        <w:rPr>
          <w:sz w:val="18"/>
          <w:szCs w:val="18"/>
          <w:lang w:val="es-MX"/>
        </w:rPr>
        <w:t>SC10825-2016</w:t>
      </w:r>
    </w:p>
  </w:footnote>
  <w:footnote w:id="20">
    <w:p w14:paraId="57E0B711" w14:textId="3BCD33CD" w:rsidR="00FC48AC" w:rsidRPr="00EC499E" w:rsidRDefault="00FC48AC" w:rsidP="00EC499E">
      <w:pPr>
        <w:pStyle w:val="Textonotapie"/>
        <w:jc w:val="both"/>
        <w:rPr>
          <w:sz w:val="18"/>
          <w:szCs w:val="18"/>
          <w:lang w:val="es-MX"/>
        </w:rPr>
      </w:pPr>
      <w:r w:rsidRPr="00EC499E">
        <w:rPr>
          <w:rStyle w:val="Refdenotaalpie"/>
          <w:sz w:val="18"/>
          <w:szCs w:val="18"/>
        </w:rPr>
        <w:footnoteRef/>
      </w:r>
      <w:r w:rsidRPr="00EC499E">
        <w:rPr>
          <w:sz w:val="18"/>
          <w:szCs w:val="18"/>
        </w:rPr>
        <w:t xml:space="preserve"> </w:t>
      </w:r>
      <w:r w:rsidRPr="00EC499E">
        <w:rPr>
          <w:sz w:val="18"/>
          <w:szCs w:val="18"/>
          <w:lang w:val="es-MX"/>
        </w:rPr>
        <w:t xml:space="preserve">Más explícito es el análisis de la situación en la sentencia </w:t>
      </w:r>
      <w:proofErr w:type="spellStart"/>
      <w:r w:rsidRPr="00EC499E">
        <w:rPr>
          <w:bCs/>
          <w:sz w:val="18"/>
          <w:szCs w:val="18"/>
        </w:rPr>
        <w:t>SC3540</w:t>
      </w:r>
      <w:proofErr w:type="spellEnd"/>
      <w:r w:rsidRPr="00EC499E">
        <w:rPr>
          <w:bCs/>
          <w:sz w:val="18"/>
          <w:szCs w:val="18"/>
        </w:rPr>
        <w:t xml:space="preserve">-2021, en la que se dilucida entre quiénes debe haberse dado el negocio jurídico, aspecto en el que no se profundiza por ser del resorte del juez en el fallo final.  </w:t>
      </w:r>
    </w:p>
  </w:footnote>
  <w:footnote w:id="21">
    <w:p w14:paraId="57ACA80D" w14:textId="77777777" w:rsidR="00DE00BA" w:rsidRPr="00EC499E" w:rsidRDefault="00DE00BA" w:rsidP="00EC499E">
      <w:pPr>
        <w:pStyle w:val="Textonotapie"/>
        <w:jc w:val="both"/>
        <w:rPr>
          <w:sz w:val="18"/>
          <w:szCs w:val="18"/>
          <w:lang w:val="es-CO"/>
        </w:rPr>
      </w:pPr>
      <w:r w:rsidRPr="00EC499E">
        <w:rPr>
          <w:rStyle w:val="Refdenotaalpie"/>
          <w:sz w:val="18"/>
          <w:szCs w:val="18"/>
        </w:rPr>
        <w:footnoteRef/>
      </w:r>
      <w:r w:rsidRPr="00EC499E">
        <w:rPr>
          <w:sz w:val="18"/>
          <w:szCs w:val="18"/>
        </w:rPr>
        <w:t xml:space="preserve"> </w:t>
      </w:r>
      <w:proofErr w:type="spellStart"/>
      <w:r w:rsidRPr="00EC499E">
        <w:rPr>
          <w:sz w:val="18"/>
          <w:szCs w:val="18"/>
          <w:lang w:val="es-CO"/>
        </w:rPr>
        <w:t>01PrimeraInstancia</w:t>
      </w:r>
      <w:proofErr w:type="spellEnd"/>
      <w:r w:rsidRPr="00EC499E">
        <w:rPr>
          <w:sz w:val="18"/>
          <w:szCs w:val="18"/>
          <w:lang w:val="es-CO"/>
        </w:rPr>
        <w:t xml:space="preserve">, </w:t>
      </w:r>
      <w:proofErr w:type="spellStart"/>
      <w:r w:rsidRPr="00EC499E">
        <w:rPr>
          <w:sz w:val="18"/>
          <w:szCs w:val="18"/>
          <w:lang w:val="es-CO"/>
        </w:rPr>
        <w:t>arch</w:t>
      </w:r>
      <w:proofErr w:type="spellEnd"/>
      <w:r w:rsidRPr="00EC499E">
        <w:rPr>
          <w:sz w:val="18"/>
          <w:szCs w:val="18"/>
          <w:lang w:val="es-CO"/>
        </w:rPr>
        <w:t>.</w:t>
      </w:r>
      <w:r w:rsidRPr="00EC499E">
        <w:rPr>
          <w:sz w:val="18"/>
          <w:szCs w:val="18"/>
        </w:rPr>
        <w:t xml:space="preserve">, 37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6E0A"/>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BA30F1"/>
    <w:multiLevelType w:val="multilevel"/>
    <w:tmpl w:val="80DE2404"/>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15FA53D9"/>
    <w:multiLevelType w:val="multilevel"/>
    <w:tmpl w:val="88D03108"/>
    <w:lvl w:ilvl="0">
      <w:start w:val="1"/>
      <w:numFmt w:val="decimal"/>
      <w:lvlText w:val="%1"/>
      <w:lvlJc w:val="left"/>
      <w:pPr>
        <w:ind w:left="360" w:hanging="360"/>
      </w:pPr>
      <w:rPr>
        <w:rFonts w:hint="default"/>
      </w:rPr>
    </w:lvl>
    <w:lvl w:ilvl="1">
      <w:start w:val="3"/>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 w15:restartNumberingAfterBreak="0">
    <w:nsid w:val="1BBE7DEE"/>
    <w:multiLevelType w:val="hybridMultilevel"/>
    <w:tmpl w:val="DF6608E8"/>
    <w:lvl w:ilvl="0" w:tplc="5840F49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963FA4"/>
    <w:multiLevelType w:val="multilevel"/>
    <w:tmpl w:val="4B16F27E"/>
    <w:lvl w:ilvl="0">
      <w:start w:val="1"/>
      <w:numFmt w:val="decimal"/>
      <w:lvlText w:val="%1."/>
      <w:lvlJc w:val="left"/>
      <w:pPr>
        <w:ind w:left="1200" w:hanging="84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9BF2150"/>
    <w:multiLevelType w:val="hybridMultilevel"/>
    <w:tmpl w:val="0DFE4076"/>
    <w:lvl w:ilvl="0" w:tplc="AB50BF22">
      <w:start w:val="1"/>
      <w:numFmt w:val="bullet"/>
      <w:lvlText w:val="-"/>
      <w:lvlJc w:val="left"/>
      <w:pPr>
        <w:ind w:left="720" w:hanging="360"/>
      </w:pPr>
      <w:rPr>
        <w:rFonts w:ascii="Georgia" w:eastAsia="Georgia" w:hAnsi="Georgia" w:cs="Georgi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B52010B"/>
    <w:multiLevelType w:val="multilevel"/>
    <w:tmpl w:val="8AF67D46"/>
    <w:lvl w:ilvl="0">
      <w:start w:val="1"/>
      <w:numFmt w:val="decimal"/>
      <w:lvlText w:val="%1."/>
      <w:lvlJc w:val="left"/>
      <w:pPr>
        <w:ind w:left="3195" w:hanging="360"/>
      </w:pPr>
      <w:rPr>
        <w:rFonts w:hint="default"/>
      </w:rPr>
    </w:lvl>
    <w:lvl w:ilvl="1">
      <w:start w:val="1"/>
      <w:numFmt w:val="decimal"/>
      <w:isLgl/>
      <w:lvlText w:val="%1.%2."/>
      <w:lvlJc w:val="left"/>
      <w:pPr>
        <w:ind w:left="3555" w:hanging="720"/>
      </w:pPr>
      <w:rPr>
        <w:rFonts w:ascii="Gadugi" w:hAnsi="Gadugi" w:hint="default"/>
        <w:b w:val="0"/>
        <w:i w:val="0"/>
        <w:color w:val="auto"/>
        <w:sz w:val="26"/>
        <w:szCs w:val="26"/>
      </w:rPr>
    </w:lvl>
    <w:lvl w:ilvl="2">
      <w:start w:val="1"/>
      <w:numFmt w:val="decimal"/>
      <w:isLgl/>
      <w:lvlText w:val="%1.%2.%3."/>
      <w:lvlJc w:val="left"/>
      <w:pPr>
        <w:ind w:left="3555" w:hanging="720"/>
      </w:pPr>
      <w:rPr>
        <w:rFonts w:hint="default"/>
      </w:rPr>
    </w:lvl>
    <w:lvl w:ilvl="3">
      <w:start w:val="1"/>
      <w:numFmt w:val="decimal"/>
      <w:isLgl/>
      <w:lvlText w:val="%1.%2.%3.%4."/>
      <w:lvlJc w:val="left"/>
      <w:pPr>
        <w:ind w:left="3915" w:hanging="108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4635" w:hanging="1800"/>
      </w:pPr>
      <w:rPr>
        <w:rFonts w:hint="default"/>
      </w:rPr>
    </w:lvl>
    <w:lvl w:ilvl="7">
      <w:start w:val="1"/>
      <w:numFmt w:val="decimal"/>
      <w:isLgl/>
      <w:lvlText w:val="%1.%2.%3.%4.%5.%6.%7.%8."/>
      <w:lvlJc w:val="left"/>
      <w:pPr>
        <w:ind w:left="4635" w:hanging="1800"/>
      </w:pPr>
      <w:rPr>
        <w:rFonts w:hint="default"/>
      </w:rPr>
    </w:lvl>
    <w:lvl w:ilvl="8">
      <w:start w:val="1"/>
      <w:numFmt w:val="decimal"/>
      <w:isLgl/>
      <w:lvlText w:val="%1.%2.%3.%4.%5.%6.%7.%8.%9."/>
      <w:lvlJc w:val="left"/>
      <w:pPr>
        <w:ind w:left="4995" w:hanging="2160"/>
      </w:pPr>
      <w:rPr>
        <w:rFonts w:hint="default"/>
      </w:rPr>
    </w:lvl>
  </w:abstractNum>
  <w:abstractNum w:abstractNumId="7" w15:restartNumberingAfterBreak="0">
    <w:nsid w:val="44BC28BB"/>
    <w:multiLevelType w:val="hybridMultilevel"/>
    <w:tmpl w:val="347CE3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2"/>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22"/>
    <w:rsid w:val="00002756"/>
    <w:rsid w:val="00017027"/>
    <w:rsid w:val="0003267E"/>
    <w:rsid w:val="0003339E"/>
    <w:rsid w:val="0004033C"/>
    <w:rsid w:val="00072554"/>
    <w:rsid w:val="00081593"/>
    <w:rsid w:val="000964FF"/>
    <w:rsid w:val="000A071F"/>
    <w:rsid w:val="000A5061"/>
    <w:rsid w:val="000A7894"/>
    <w:rsid w:val="000C363A"/>
    <w:rsid w:val="000E49EB"/>
    <w:rsid w:val="000F0B10"/>
    <w:rsid w:val="000F40E8"/>
    <w:rsid w:val="0011022A"/>
    <w:rsid w:val="00111BD4"/>
    <w:rsid w:val="0011772A"/>
    <w:rsid w:val="00125141"/>
    <w:rsid w:val="001252EF"/>
    <w:rsid w:val="00125CC9"/>
    <w:rsid w:val="00125E03"/>
    <w:rsid w:val="00145C61"/>
    <w:rsid w:val="001534A2"/>
    <w:rsid w:val="00184BFD"/>
    <w:rsid w:val="00191070"/>
    <w:rsid w:val="001B1A1E"/>
    <w:rsid w:val="001B4987"/>
    <w:rsid w:val="001D0C0F"/>
    <w:rsid w:val="001D152B"/>
    <w:rsid w:val="001D4832"/>
    <w:rsid w:val="001F4E27"/>
    <w:rsid w:val="00225588"/>
    <w:rsid w:val="00237FCA"/>
    <w:rsid w:val="002512C8"/>
    <w:rsid w:val="002672DD"/>
    <w:rsid w:val="00287930"/>
    <w:rsid w:val="00292331"/>
    <w:rsid w:val="00293135"/>
    <w:rsid w:val="002C0753"/>
    <w:rsid w:val="002C2038"/>
    <w:rsid w:val="002D6663"/>
    <w:rsid w:val="002E569D"/>
    <w:rsid w:val="002F3822"/>
    <w:rsid w:val="00300CF7"/>
    <w:rsid w:val="0031282C"/>
    <w:rsid w:val="003510CB"/>
    <w:rsid w:val="0035727C"/>
    <w:rsid w:val="00366E56"/>
    <w:rsid w:val="003B1C9C"/>
    <w:rsid w:val="003B3429"/>
    <w:rsid w:val="003C219D"/>
    <w:rsid w:val="003C6DED"/>
    <w:rsid w:val="003D2B83"/>
    <w:rsid w:val="003D46AC"/>
    <w:rsid w:val="003E47C5"/>
    <w:rsid w:val="003F4C98"/>
    <w:rsid w:val="003F5D3B"/>
    <w:rsid w:val="0040073C"/>
    <w:rsid w:val="00401B2A"/>
    <w:rsid w:val="0041129E"/>
    <w:rsid w:val="00420359"/>
    <w:rsid w:val="004228A0"/>
    <w:rsid w:val="00426B0B"/>
    <w:rsid w:val="00434EFA"/>
    <w:rsid w:val="00442359"/>
    <w:rsid w:val="0046442F"/>
    <w:rsid w:val="004960C6"/>
    <w:rsid w:val="00496208"/>
    <w:rsid w:val="004978E4"/>
    <w:rsid w:val="004A3BBB"/>
    <w:rsid w:val="004C3B0C"/>
    <w:rsid w:val="004D12F5"/>
    <w:rsid w:val="004E38E9"/>
    <w:rsid w:val="0050739A"/>
    <w:rsid w:val="005154BE"/>
    <w:rsid w:val="00521BE7"/>
    <w:rsid w:val="0053579B"/>
    <w:rsid w:val="005B1AF6"/>
    <w:rsid w:val="005B7483"/>
    <w:rsid w:val="005C4C6A"/>
    <w:rsid w:val="005C65B3"/>
    <w:rsid w:val="005E41A2"/>
    <w:rsid w:val="006105DF"/>
    <w:rsid w:val="00617643"/>
    <w:rsid w:val="00661E2E"/>
    <w:rsid w:val="006733C3"/>
    <w:rsid w:val="006A00EB"/>
    <w:rsid w:val="006A76ED"/>
    <w:rsid w:val="006B0149"/>
    <w:rsid w:val="006B7022"/>
    <w:rsid w:val="006C286E"/>
    <w:rsid w:val="006C51C8"/>
    <w:rsid w:val="006D2142"/>
    <w:rsid w:val="00737E37"/>
    <w:rsid w:val="007408D6"/>
    <w:rsid w:val="00747C53"/>
    <w:rsid w:val="007510D1"/>
    <w:rsid w:val="00751A53"/>
    <w:rsid w:val="00772513"/>
    <w:rsid w:val="00793925"/>
    <w:rsid w:val="00794E07"/>
    <w:rsid w:val="00796A71"/>
    <w:rsid w:val="007A2E41"/>
    <w:rsid w:val="007B7F12"/>
    <w:rsid w:val="007C41B4"/>
    <w:rsid w:val="007D5D39"/>
    <w:rsid w:val="007E17FD"/>
    <w:rsid w:val="007E53CE"/>
    <w:rsid w:val="007F7EB8"/>
    <w:rsid w:val="00804612"/>
    <w:rsid w:val="00820E24"/>
    <w:rsid w:val="00825C64"/>
    <w:rsid w:val="008335EA"/>
    <w:rsid w:val="00853AC1"/>
    <w:rsid w:val="00861BC4"/>
    <w:rsid w:val="00877A43"/>
    <w:rsid w:val="00893952"/>
    <w:rsid w:val="00895ACC"/>
    <w:rsid w:val="008B4E75"/>
    <w:rsid w:val="008C25C9"/>
    <w:rsid w:val="008C289F"/>
    <w:rsid w:val="008E2C01"/>
    <w:rsid w:val="008E58BE"/>
    <w:rsid w:val="008F4F24"/>
    <w:rsid w:val="009066FF"/>
    <w:rsid w:val="009201F1"/>
    <w:rsid w:val="00937759"/>
    <w:rsid w:val="009378F9"/>
    <w:rsid w:val="0093790B"/>
    <w:rsid w:val="0096610E"/>
    <w:rsid w:val="00972849"/>
    <w:rsid w:val="00977903"/>
    <w:rsid w:val="00984193"/>
    <w:rsid w:val="00987E64"/>
    <w:rsid w:val="009A2F21"/>
    <w:rsid w:val="009C3780"/>
    <w:rsid w:val="009D2611"/>
    <w:rsid w:val="009D5B30"/>
    <w:rsid w:val="00A06418"/>
    <w:rsid w:val="00A1035A"/>
    <w:rsid w:val="00A11609"/>
    <w:rsid w:val="00A45795"/>
    <w:rsid w:val="00A5114A"/>
    <w:rsid w:val="00A54990"/>
    <w:rsid w:val="00A65E71"/>
    <w:rsid w:val="00A8137C"/>
    <w:rsid w:val="00A93EB2"/>
    <w:rsid w:val="00A9775F"/>
    <w:rsid w:val="00AA1A60"/>
    <w:rsid w:val="00AA319A"/>
    <w:rsid w:val="00AC4310"/>
    <w:rsid w:val="00AC4C4D"/>
    <w:rsid w:val="00AC6AD0"/>
    <w:rsid w:val="00AD31D7"/>
    <w:rsid w:val="00AD4F43"/>
    <w:rsid w:val="00B1493D"/>
    <w:rsid w:val="00B5057B"/>
    <w:rsid w:val="00B60EFB"/>
    <w:rsid w:val="00B714F3"/>
    <w:rsid w:val="00B96C23"/>
    <w:rsid w:val="00BA46A2"/>
    <w:rsid w:val="00BB1B30"/>
    <w:rsid w:val="00BC4434"/>
    <w:rsid w:val="00BC73E5"/>
    <w:rsid w:val="00BE36BC"/>
    <w:rsid w:val="00BF39EA"/>
    <w:rsid w:val="00C449BF"/>
    <w:rsid w:val="00C552E1"/>
    <w:rsid w:val="00C853D3"/>
    <w:rsid w:val="00C96B94"/>
    <w:rsid w:val="00CA63B8"/>
    <w:rsid w:val="00CB0D10"/>
    <w:rsid w:val="00CC46B6"/>
    <w:rsid w:val="00CC6AFC"/>
    <w:rsid w:val="00CD36CA"/>
    <w:rsid w:val="00CE0135"/>
    <w:rsid w:val="00CE70BF"/>
    <w:rsid w:val="00D04616"/>
    <w:rsid w:val="00D1636A"/>
    <w:rsid w:val="00D16CD2"/>
    <w:rsid w:val="00D20CEA"/>
    <w:rsid w:val="00D21802"/>
    <w:rsid w:val="00D278B0"/>
    <w:rsid w:val="00D303E0"/>
    <w:rsid w:val="00D3065F"/>
    <w:rsid w:val="00D31769"/>
    <w:rsid w:val="00D405BB"/>
    <w:rsid w:val="00D43528"/>
    <w:rsid w:val="00D459A2"/>
    <w:rsid w:val="00D53848"/>
    <w:rsid w:val="00D6171C"/>
    <w:rsid w:val="00D6655C"/>
    <w:rsid w:val="00D70EF4"/>
    <w:rsid w:val="00D80C07"/>
    <w:rsid w:val="00D87B82"/>
    <w:rsid w:val="00D92D2B"/>
    <w:rsid w:val="00D93750"/>
    <w:rsid w:val="00DA0ECF"/>
    <w:rsid w:val="00DB028B"/>
    <w:rsid w:val="00DD30E9"/>
    <w:rsid w:val="00DD645D"/>
    <w:rsid w:val="00DE00BA"/>
    <w:rsid w:val="00E003F2"/>
    <w:rsid w:val="00E25AC9"/>
    <w:rsid w:val="00E453E1"/>
    <w:rsid w:val="00E46392"/>
    <w:rsid w:val="00E53FD7"/>
    <w:rsid w:val="00E5785F"/>
    <w:rsid w:val="00E60FD0"/>
    <w:rsid w:val="00E65736"/>
    <w:rsid w:val="00E71DDF"/>
    <w:rsid w:val="00E80E05"/>
    <w:rsid w:val="00E96171"/>
    <w:rsid w:val="00EB4146"/>
    <w:rsid w:val="00EC0571"/>
    <w:rsid w:val="00EC499E"/>
    <w:rsid w:val="00EC5B5F"/>
    <w:rsid w:val="00EC6B3B"/>
    <w:rsid w:val="00EC6EF6"/>
    <w:rsid w:val="00ED24EF"/>
    <w:rsid w:val="00EE01A3"/>
    <w:rsid w:val="00EE7C80"/>
    <w:rsid w:val="00EF0F30"/>
    <w:rsid w:val="00EF630F"/>
    <w:rsid w:val="00F238C9"/>
    <w:rsid w:val="00F33873"/>
    <w:rsid w:val="00F45D86"/>
    <w:rsid w:val="00F5029E"/>
    <w:rsid w:val="00F56BDB"/>
    <w:rsid w:val="00F659A0"/>
    <w:rsid w:val="00F726FA"/>
    <w:rsid w:val="00F86E7F"/>
    <w:rsid w:val="00F91F04"/>
    <w:rsid w:val="00F9517C"/>
    <w:rsid w:val="00F97DEA"/>
    <w:rsid w:val="00FB0852"/>
    <w:rsid w:val="00FB4DB0"/>
    <w:rsid w:val="00FB6B58"/>
    <w:rsid w:val="00FC48AC"/>
    <w:rsid w:val="00FE571D"/>
    <w:rsid w:val="00FE68A5"/>
    <w:rsid w:val="00FF50F1"/>
    <w:rsid w:val="00FF51A5"/>
    <w:rsid w:val="4E119F88"/>
    <w:rsid w:val="53E719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2D34E"/>
  <w15:docId w15:val="{06416C76-30D4-4E7C-AE71-632950A9D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Footnote referenc,texto de nota al p"/>
    <w:basedOn w:val="Normal"/>
    <w:link w:val="TextonotapieCar"/>
    <w:uiPriority w:val="99"/>
    <w:unhideWhenUsed/>
    <w:qFormat/>
    <w:rsid w:val="006D0C08"/>
    <w:pPr>
      <w:spacing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uiPriority w:val="99"/>
    <w:qFormat/>
    <w:rsid w:val="006D0C08"/>
    <w:rPr>
      <w:sz w:val="20"/>
      <w:szCs w:val="20"/>
    </w:rPr>
  </w:style>
  <w:style w:type="character" w:styleId="Refdenotaalpie">
    <w:name w:val="footnote reference"/>
    <w:aliases w:val="Texto de nota al pie,referencia nota al pie,FC,Ref. de nota al pie 2,Pie de Página,Appel note de bas de page,Footnotes refss,Footnote number,BVI fnr,f,4_G,16 Point,Superscript 6 Point,Texto nota al pie,Texto de nota al pi,Pie de Pàgi"/>
    <w:basedOn w:val="Fuentedeprrafopredeter"/>
    <w:link w:val="Refdenotaalpie2"/>
    <w:unhideWhenUsed/>
    <w:qFormat/>
    <w:rsid w:val="006D0C08"/>
    <w:rPr>
      <w:vertAlign w:val="superscript"/>
    </w:rPr>
  </w:style>
  <w:style w:type="paragraph" w:styleId="Prrafodelista">
    <w:name w:val="List Paragraph"/>
    <w:basedOn w:val="Normal"/>
    <w:uiPriority w:val="34"/>
    <w:qFormat/>
    <w:rsid w:val="00694AF9"/>
    <w:pPr>
      <w:ind w:left="720"/>
      <w:contextualSpacing/>
    </w:pPr>
  </w:style>
  <w:style w:type="paragraph" w:styleId="Textodeglobo">
    <w:name w:val="Balloon Text"/>
    <w:basedOn w:val="Normal"/>
    <w:link w:val="TextodegloboCar"/>
    <w:uiPriority w:val="99"/>
    <w:semiHidden/>
    <w:unhideWhenUsed/>
    <w:rsid w:val="00B34F5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4F5F"/>
    <w:rPr>
      <w:rFonts w:ascii="Segoe UI" w:hAnsi="Segoe UI" w:cs="Segoe UI"/>
      <w:sz w:val="18"/>
      <w:szCs w:val="18"/>
    </w:rPr>
  </w:style>
  <w:style w:type="character" w:customStyle="1" w:styleId="EncabezadoCar">
    <w:name w:val="Encabezado Car"/>
    <w:aliases w:val="Header Bold Car,h Car,TENDER Car,*Header Car,*Header1 Car,*Header2 Car,*Header3 Car,Encabezado1 Car"/>
    <w:basedOn w:val="Fuentedeprrafopredeter"/>
    <w:link w:val="Encabezado"/>
    <w:locked/>
    <w:rsid w:val="00D278B0"/>
    <w:rPr>
      <w:lang w:val="es-ES" w:eastAsia="es-ES"/>
    </w:rPr>
  </w:style>
  <w:style w:type="paragraph" w:styleId="Encabezado">
    <w:name w:val="header"/>
    <w:aliases w:val="Header Bold,h,TENDER,*Header,*Header1,*Header2,*Header3,Encabezado1"/>
    <w:basedOn w:val="Normal"/>
    <w:link w:val="EncabezadoCar"/>
    <w:unhideWhenUsed/>
    <w:rsid w:val="00D278B0"/>
    <w:pPr>
      <w:tabs>
        <w:tab w:val="center" w:pos="4419"/>
        <w:tab w:val="right" w:pos="8838"/>
      </w:tabs>
      <w:overflowPunct w:val="0"/>
      <w:autoSpaceDE w:val="0"/>
      <w:autoSpaceDN w:val="0"/>
      <w:adjustRightInd w:val="0"/>
      <w:spacing w:line="240" w:lineRule="auto"/>
    </w:pPr>
    <w:rPr>
      <w:lang w:val="es-ES" w:eastAsia="es-ES"/>
    </w:rPr>
  </w:style>
  <w:style w:type="character" w:customStyle="1" w:styleId="EncabezadoCar1">
    <w:name w:val="Encabezado Car1"/>
    <w:basedOn w:val="Fuentedeprrafopredeter"/>
    <w:uiPriority w:val="99"/>
    <w:semiHidden/>
    <w:rsid w:val="00D278B0"/>
  </w:style>
  <w:style w:type="paragraph" w:styleId="Textoindependiente">
    <w:name w:val="Body Text"/>
    <w:basedOn w:val="Normal"/>
    <w:link w:val="TextoindependienteCar"/>
    <w:semiHidden/>
    <w:unhideWhenUsed/>
    <w:rsid w:val="00D278B0"/>
    <w:pPr>
      <w:overflowPunct w:val="0"/>
      <w:autoSpaceDE w:val="0"/>
      <w:autoSpaceDN w:val="0"/>
      <w:adjustRightInd w:val="0"/>
      <w:spacing w:line="360" w:lineRule="auto"/>
      <w:jc w:val="both"/>
    </w:pPr>
    <w:rPr>
      <w:rFonts w:ascii="Courier New" w:eastAsia="Times New Roman" w:hAnsi="Courier New" w:cs="Times New Roman"/>
      <w:sz w:val="24"/>
      <w:szCs w:val="20"/>
      <w:lang w:val="es-MX" w:eastAsia="es-ES"/>
    </w:rPr>
  </w:style>
  <w:style w:type="character" w:customStyle="1" w:styleId="TextoindependienteCar">
    <w:name w:val="Texto independiente Car"/>
    <w:basedOn w:val="Fuentedeprrafopredeter"/>
    <w:link w:val="Textoindependiente"/>
    <w:semiHidden/>
    <w:rsid w:val="00D278B0"/>
    <w:rPr>
      <w:rFonts w:ascii="Courier New" w:eastAsia="Times New Roman" w:hAnsi="Courier New" w:cs="Times New Roman"/>
      <w:sz w:val="24"/>
      <w:szCs w:val="20"/>
      <w:lang w:val="es-MX" w:eastAsia="es-ES"/>
    </w:rPr>
  </w:style>
  <w:style w:type="character" w:customStyle="1" w:styleId="SinespaciadoCar">
    <w:name w:val="Sin espaciado Car"/>
    <w:link w:val="Sinespaciado"/>
    <w:uiPriority w:val="1"/>
    <w:locked/>
    <w:rsid w:val="00D278B0"/>
    <w:rPr>
      <w:sz w:val="24"/>
      <w:szCs w:val="24"/>
      <w:lang w:val="es-CO" w:eastAsia="es-ES"/>
    </w:rPr>
  </w:style>
  <w:style w:type="paragraph" w:styleId="Sinespaciado">
    <w:name w:val="No Spacing"/>
    <w:link w:val="SinespaciadoCar"/>
    <w:uiPriority w:val="1"/>
    <w:qFormat/>
    <w:rsid w:val="00D278B0"/>
    <w:pPr>
      <w:autoSpaceDN w:val="0"/>
      <w:spacing w:line="240" w:lineRule="auto"/>
    </w:pPr>
    <w:rPr>
      <w:sz w:val="24"/>
      <w:szCs w:val="24"/>
      <w:lang w:val="es-CO" w:eastAsia="es-ES"/>
    </w:rPr>
  </w:style>
  <w:style w:type="paragraph" w:customStyle="1" w:styleId="Refdenotaalpie2">
    <w:name w:val="Ref. de nota al pie2"/>
    <w:aliases w:val="Nota de pie,Pie de pagina"/>
    <w:basedOn w:val="Normal"/>
    <w:link w:val="Refdenotaalpie"/>
    <w:rsid w:val="00D87B82"/>
    <w:pPr>
      <w:spacing w:after="160" w:line="240" w:lineRule="exact"/>
    </w:pPr>
    <w:rPr>
      <w:vertAlign w:val="superscript"/>
    </w:rPr>
  </w:style>
  <w:style w:type="character" w:customStyle="1" w:styleId="user-highlighted-active">
    <w:name w:val="user-highlighted-active"/>
    <w:basedOn w:val="Fuentedeprrafopredeter"/>
    <w:rsid w:val="008C25C9"/>
  </w:style>
  <w:style w:type="paragraph" w:styleId="NormalWeb">
    <w:name w:val="Normal (Web)"/>
    <w:basedOn w:val="Normal"/>
    <w:uiPriority w:val="99"/>
    <w:semiHidden/>
    <w:unhideWhenUsed/>
    <w:rsid w:val="008C25C9"/>
    <w:pPr>
      <w:spacing w:before="100" w:beforeAutospacing="1" w:after="100" w:afterAutospacing="1" w:line="240" w:lineRule="auto"/>
    </w:pPr>
    <w:rPr>
      <w:rFonts w:ascii="Times New Roman" w:eastAsia="Times New Roman" w:hAnsi="Times New Roman" w:cs="Times New Roman"/>
      <w:sz w:val="24"/>
      <w:szCs w:val="24"/>
      <w:lang w:val="es-CO"/>
    </w:rPr>
  </w:style>
  <w:style w:type="character" w:customStyle="1" w:styleId="highlighted">
    <w:name w:val="highlighted"/>
    <w:basedOn w:val="Fuentedeprrafopredeter"/>
    <w:rsid w:val="008C25C9"/>
  </w:style>
  <w:style w:type="paragraph" w:styleId="Piedepgina">
    <w:name w:val="footer"/>
    <w:basedOn w:val="Normal"/>
    <w:link w:val="PiedepginaCar"/>
    <w:uiPriority w:val="99"/>
    <w:unhideWhenUsed/>
    <w:rsid w:val="00A5499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54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26340">
      <w:bodyDiv w:val="1"/>
      <w:marLeft w:val="0"/>
      <w:marRight w:val="0"/>
      <w:marTop w:val="0"/>
      <w:marBottom w:val="0"/>
      <w:divBdr>
        <w:top w:val="none" w:sz="0" w:space="0" w:color="auto"/>
        <w:left w:val="none" w:sz="0" w:space="0" w:color="auto"/>
        <w:bottom w:val="none" w:sz="0" w:space="0" w:color="auto"/>
        <w:right w:val="none" w:sz="0" w:space="0" w:color="auto"/>
      </w:divBdr>
    </w:div>
    <w:div w:id="218126995">
      <w:bodyDiv w:val="1"/>
      <w:marLeft w:val="0"/>
      <w:marRight w:val="0"/>
      <w:marTop w:val="0"/>
      <w:marBottom w:val="0"/>
      <w:divBdr>
        <w:top w:val="none" w:sz="0" w:space="0" w:color="auto"/>
        <w:left w:val="none" w:sz="0" w:space="0" w:color="auto"/>
        <w:bottom w:val="none" w:sz="0" w:space="0" w:color="auto"/>
        <w:right w:val="none" w:sz="0" w:space="0" w:color="auto"/>
      </w:divBdr>
    </w:div>
    <w:div w:id="221908119">
      <w:bodyDiv w:val="1"/>
      <w:marLeft w:val="0"/>
      <w:marRight w:val="0"/>
      <w:marTop w:val="0"/>
      <w:marBottom w:val="0"/>
      <w:divBdr>
        <w:top w:val="none" w:sz="0" w:space="0" w:color="auto"/>
        <w:left w:val="none" w:sz="0" w:space="0" w:color="auto"/>
        <w:bottom w:val="none" w:sz="0" w:space="0" w:color="auto"/>
        <w:right w:val="none" w:sz="0" w:space="0" w:color="auto"/>
      </w:divBdr>
    </w:div>
    <w:div w:id="296303151">
      <w:bodyDiv w:val="1"/>
      <w:marLeft w:val="0"/>
      <w:marRight w:val="0"/>
      <w:marTop w:val="0"/>
      <w:marBottom w:val="0"/>
      <w:divBdr>
        <w:top w:val="none" w:sz="0" w:space="0" w:color="auto"/>
        <w:left w:val="none" w:sz="0" w:space="0" w:color="auto"/>
        <w:bottom w:val="none" w:sz="0" w:space="0" w:color="auto"/>
        <w:right w:val="none" w:sz="0" w:space="0" w:color="auto"/>
      </w:divBdr>
    </w:div>
    <w:div w:id="348919755">
      <w:bodyDiv w:val="1"/>
      <w:marLeft w:val="0"/>
      <w:marRight w:val="0"/>
      <w:marTop w:val="0"/>
      <w:marBottom w:val="0"/>
      <w:divBdr>
        <w:top w:val="none" w:sz="0" w:space="0" w:color="auto"/>
        <w:left w:val="none" w:sz="0" w:space="0" w:color="auto"/>
        <w:bottom w:val="none" w:sz="0" w:space="0" w:color="auto"/>
        <w:right w:val="none" w:sz="0" w:space="0" w:color="auto"/>
      </w:divBdr>
    </w:div>
    <w:div w:id="611668634">
      <w:bodyDiv w:val="1"/>
      <w:marLeft w:val="0"/>
      <w:marRight w:val="0"/>
      <w:marTop w:val="0"/>
      <w:marBottom w:val="0"/>
      <w:divBdr>
        <w:top w:val="none" w:sz="0" w:space="0" w:color="auto"/>
        <w:left w:val="none" w:sz="0" w:space="0" w:color="auto"/>
        <w:bottom w:val="none" w:sz="0" w:space="0" w:color="auto"/>
        <w:right w:val="none" w:sz="0" w:space="0" w:color="auto"/>
      </w:divBdr>
    </w:div>
    <w:div w:id="728650255">
      <w:bodyDiv w:val="1"/>
      <w:marLeft w:val="0"/>
      <w:marRight w:val="0"/>
      <w:marTop w:val="0"/>
      <w:marBottom w:val="0"/>
      <w:divBdr>
        <w:top w:val="none" w:sz="0" w:space="0" w:color="auto"/>
        <w:left w:val="none" w:sz="0" w:space="0" w:color="auto"/>
        <w:bottom w:val="none" w:sz="0" w:space="0" w:color="auto"/>
        <w:right w:val="none" w:sz="0" w:space="0" w:color="auto"/>
      </w:divBdr>
    </w:div>
    <w:div w:id="859702950">
      <w:bodyDiv w:val="1"/>
      <w:marLeft w:val="0"/>
      <w:marRight w:val="0"/>
      <w:marTop w:val="0"/>
      <w:marBottom w:val="0"/>
      <w:divBdr>
        <w:top w:val="none" w:sz="0" w:space="0" w:color="auto"/>
        <w:left w:val="none" w:sz="0" w:space="0" w:color="auto"/>
        <w:bottom w:val="none" w:sz="0" w:space="0" w:color="auto"/>
        <w:right w:val="none" w:sz="0" w:space="0" w:color="auto"/>
      </w:divBdr>
    </w:div>
    <w:div w:id="914827815">
      <w:bodyDiv w:val="1"/>
      <w:marLeft w:val="0"/>
      <w:marRight w:val="0"/>
      <w:marTop w:val="0"/>
      <w:marBottom w:val="0"/>
      <w:divBdr>
        <w:top w:val="none" w:sz="0" w:space="0" w:color="auto"/>
        <w:left w:val="none" w:sz="0" w:space="0" w:color="auto"/>
        <w:bottom w:val="none" w:sz="0" w:space="0" w:color="auto"/>
        <w:right w:val="none" w:sz="0" w:space="0" w:color="auto"/>
      </w:divBdr>
    </w:div>
    <w:div w:id="1077019782">
      <w:bodyDiv w:val="1"/>
      <w:marLeft w:val="0"/>
      <w:marRight w:val="0"/>
      <w:marTop w:val="0"/>
      <w:marBottom w:val="0"/>
      <w:divBdr>
        <w:top w:val="none" w:sz="0" w:space="0" w:color="auto"/>
        <w:left w:val="none" w:sz="0" w:space="0" w:color="auto"/>
        <w:bottom w:val="none" w:sz="0" w:space="0" w:color="auto"/>
        <w:right w:val="none" w:sz="0" w:space="0" w:color="auto"/>
      </w:divBdr>
    </w:div>
    <w:div w:id="1297224305">
      <w:bodyDiv w:val="1"/>
      <w:marLeft w:val="0"/>
      <w:marRight w:val="0"/>
      <w:marTop w:val="0"/>
      <w:marBottom w:val="0"/>
      <w:divBdr>
        <w:top w:val="none" w:sz="0" w:space="0" w:color="auto"/>
        <w:left w:val="none" w:sz="0" w:space="0" w:color="auto"/>
        <w:bottom w:val="none" w:sz="0" w:space="0" w:color="auto"/>
        <w:right w:val="none" w:sz="0" w:space="0" w:color="auto"/>
      </w:divBdr>
    </w:div>
    <w:div w:id="1491211736">
      <w:bodyDiv w:val="1"/>
      <w:marLeft w:val="0"/>
      <w:marRight w:val="0"/>
      <w:marTop w:val="0"/>
      <w:marBottom w:val="0"/>
      <w:divBdr>
        <w:top w:val="none" w:sz="0" w:space="0" w:color="auto"/>
        <w:left w:val="none" w:sz="0" w:space="0" w:color="auto"/>
        <w:bottom w:val="none" w:sz="0" w:space="0" w:color="auto"/>
        <w:right w:val="none" w:sz="0" w:space="0" w:color="auto"/>
      </w:divBdr>
    </w:div>
    <w:div w:id="2035424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45f4ef-a5bd-4dbd-ab8f-e69291a39b0c" xsi:nil="true"/>
    <lcf76f155ced4ddcb4097134ff3c332f xmlns="930c81f1-e9ca-4bc6-a442-7e43bfe2584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0D3CA8A8F104B46A609B35E2806C01D" ma:contentTypeVersion="15" ma:contentTypeDescription="Crear nuevo documento." ma:contentTypeScope="" ma:versionID="71e8ce2996f1032db6d466bdf3d94e30">
  <xsd:schema xmlns:xsd="http://www.w3.org/2001/XMLSchema" xmlns:xs="http://www.w3.org/2001/XMLSchema" xmlns:p="http://schemas.microsoft.com/office/2006/metadata/properties" xmlns:ns2="930c81f1-e9ca-4bc6-a442-7e43bfe25841" xmlns:ns3="9845f4ef-a5bd-4dbd-ab8f-e69291a39b0c" targetNamespace="http://schemas.microsoft.com/office/2006/metadata/properties" ma:root="true" ma:fieldsID="a12ef200a9a70a89de408691e94ad04c" ns2:_="" ns3:_="">
    <xsd:import namespace="930c81f1-e9ca-4bc6-a442-7e43bfe25841"/>
    <xsd:import namespace="9845f4ef-a5bd-4dbd-ab8f-e69291a39b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c81f1-e9ca-4bc6-a442-7e43bfe25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45f4ef-a5bd-4dbd-ab8f-e69291a39b0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099792c6-f27b-4e16-90a0-038589a113ab}" ma:internalName="TaxCatchAll" ma:showField="CatchAllData" ma:web="9845f4ef-a5bd-4dbd-ab8f-e69291a39b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n/jQrEO8QKTtrjOuJs3AYwanaA==">CgMxLjAyCGguZ2pkZ3hzMgloLjMwajB6bGwyCWguM3pueXNoNzgAciExRFk5R0w3aVU0LWlHdUFoeVFUTm10Y1paUEVnN3JSRU8=</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457B8-A34C-46E8-B7D5-10D61613B00E}">
  <ds:schemaRefs>
    <ds:schemaRef ds:uri="http://schemas.microsoft.com/office/2006/metadata/properties"/>
    <ds:schemaRef ds:uri="http://schemas.microsoft.com/office/infopath/2007/PartnerControls"/>
    <ds:schemaRef ds:uri="9845f4ef-a5bd-4dbd-ab8f-e69291a39b0c"/>
    <ds:schemaRef ds:uri="930c81f1-e9ca-4bc6-a442-7e43bfe25841"/>
  </ds:schemaRefs>
</ds:datastoreItem>
</file>

<file path=customXml/itemProps2.xml><?xml version="1.0" encoding="utf-8"?>
<ds:datastoreItem xmlns:ds="http://schemas.openxmlformats.org/officeDocument/2006/customXml" ds:itemID="{4871E4F2-0BE3-4CAB-B231-AA3D718AA37D}">
  <ds:schemaRefs>
    <ds:schemaRef ds:uri="http://schemas.microsoft.com/sharepoint/v3/contenttype/forms"/>
  </ds:schemaRefs>
</ds:datastoreItem>
</file>

<file path=customXml/itemProps3.xml><?xml version="1.0" encoding="utf-8"?>
<ds:datastoreItem xmlns:ds="http://schemas.openxmlformats.org/officeDocument/2006/customXml" ds:itemID="{EAB85D39-90D0-439A-995A-D52326878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c81f1-e9ca-4bc6-a442-7e43bfe25841"/>
    <ds:schemaRef ds:uri="9845f4ef-a5bd-4dbd-ab8f-e69291a39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7DA122CE-2526-4B99-A27C-01890EC7D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3797</Words>
  <Characters>21648</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25395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CIVILFLIA</dc:creator>
  <cp:keywords/>
  <dc:description/>
  <cp:lastModifiedBy>samsung</cp:lastModifiedBy>
  <cp:revision>5</cp:revision>
  <dcterms:created xsi:type="dcterms:W3CDTF">2023-10-06T15:31:00Z</dcterms:created>
  <dcterms:modified xsi:type="dcterms:W3CDTF">2024-02-08T13:32:00Z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0x01010050D3CA8A8F104B46A609B35E2806C01D</vt:lpwstr>
  </property>
  <property fmtid="{D5CDD505-2E9C-101B-9397-08002B2CF9AE}" pid="3" name="MediaServiceImageTags">
    <vt:lpwstr/>
  </property>
</Properties>
</file>