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94C8D" w14:textId="77777777" w:rsidR="006B7B4A" w:rsidRPr="00682867" w:rsidRDefault="006B7B4A" w:rsidP="006B7B4A">
      <w:pPr>
        <w:spacing w:line="240" w:lineRule="auto"/>
        <w:jc w:val="both"/>
        <w:rPr>
          <w:rFonts w:eastAsia="Times New Roman"/>
          <w:b/>
          <w:bCs/>
          <w:iCs/>
          <w:sz w:val="20"/>
          <w:szCs w:val="20"/>
          <w:lang w:val="es-419" w:eastAsia="fr-FR"/>
        </w:rPr>
      </w:pPr>
      <w:r w:rsidRPr="00682867">
        <w:rPr>
          <w:rFonts w:eastAsia="Times New Roman"/>
          <w:b/>
          <w:bCs/>
          <w:iCs/>
          <w:sz w:val="20"/>
          <w:szCs w:val="20"/>
          <w:lang w:val="es-419" w:eastAsia="fr-FR"/>
        </w:rPr>
        <w:t>RES</w:t>
      </w:r>
      <w:r>
        <w:rPr>
          <w:rFonts w:eastAsia="Times New Roman"/>
          <w:b/>
          <w:bCs/>
          <w:iCs/>
          <w:sz w:val="20"/>
          <w:szCs w:val="20"/>
          <w:lang w:val="es-419" w:eastAsia="fr-FR"/>
        </w:rPr>
        <w:t>PONSABILIDAD MÉDICA / CULPA PROBADA / OBLIGACIÓN DE MEDIO</w:t>
      </w:r>
    </w:p>
    <w:p w14:paraId="6E6AB9D3" w14:textId="5A170A0E" w:rsidR="006B7B4A" w:rsidRPr="00682867" w:rsidRDefault="005B1D1C" w:rsidP="006B7B4A">
      <w:pPr>
        <w:widowControl w:val="0"/>
        <w:autoSpaceDE w:val="0"/>
        <w:autoSpaceDN w:val="0"/>
        <w:spacing w:line="240" w:lineRule="auto"/>
        <w:jc w:val="both"/>
        <w:rPr>
          <w:rFonts w:eastAsia="Georgia"/>
          <w:sz w:val="20"/>
          <w:szCs w:val="24"/>
          <w:lang w:val="es-ES" w:eastAsia="en-US"/>
        </w:rPr>
      </w:pPr>
      <w:r>
        <w:rPr>
          <w:rFonts w:eastAsia="Georgia"/>
          <w:sz w:val="20"/>
          <w:szCs w:val="24"/>
          <w:lang w:val="es-ES" w:eastAsia="en-US"/>
        </w:rPr>
        <w:t>E</w:t>
      </w:r>
      <w:r w:rsidR="006B7B4A" w:rsidRPr="00682867">
        <w:rPr>
          <w:rFonts w:eastAsia="Georgia"/>
          <w:sz w:val="20"/>
          <w:szCs w:val="24"/>
          <w:lang w:val="es-ES" w:eastAsia="en-US"/>
        </w:rPr>
        <w:t>l Juzgado en la sentencia concluyó que la responsabilidad civil por falla médica se rige, en general, por el criterio de la culpa probada, ya que se trata de una obligación de medio, a menos que se haya contraído por parte del galeno un determinado resultado. Ese es un aspecto que, no solo está al margen de los reparos formulados contra el fallo, sino que se advierte conforme con lo que reiteradamente ha dicho esta Corporación</w:t>
      </w:r>
      <w:r w:rsidR="006B7B4A">
        <w:rPr>
          <w:rFonts w:eastAsia="Georgia"/>
          <w:sz w:val="20"/>
          <w:szCs w:val="24"/>
          <w:lang w:val="es-ES" w:eastAsia="en-US"/>
        </w:rPr>
        <w:t>…</w:t>
      </w:r>
    </w:p>
    <w:p w14:paraId="0F67D68E" w14:textId="330FA644" w:rsidR="006B7B4A" w:rsidRDefault="006B7B4A" w:rsidP="006B7B4A">
      <w:pPr>
        <w:widowControl w:val="0"/>
        <w:autoSpaceDE w:val="0"/>
        <w:autoSpaceDN w:val="0"/>
        <w:spacing w:line="240" w:lineRule="auto"/>
        <w:jc w:val="both"/>
        <w:rPr>
          <w:rFonts w:eastAsia="Georgia"/>
          <w:sz w:val="20"/>
          <w:szCs w:val="24"/>
          <w:lang w:val="es-ES" w:eastAsia="en-US"/>
        </w:rPr>
      </w:pPr>
    </w:p>
    <w:p w14:paraId="5D1FFB0D" w14:textId="77777777" w:rsidR="006B7B4A" w:rsidRPr="00682867" w:rsidRDefault="006B7B4A" w:rsidP="006B7B4A">
      <w:pPr>
        <w:spacing w:line="240" w:lineRule="auto"/>
        <w:jc w:val="both"/>
        <w:rPr>
          <w:rFonts w:eastAsia="Times New Roman"/>
          <w:b/>
          <w:bCs/>
          <w:iCs/>
          <w:sz w:val="20"/>
          <w:szCs w:val="20"/>
          <w:lang w:val="es-419" w:eastAsia="fr-FR"/>
        </w:rPr>
      </w:pPr>
      <w:r w:rsidRPr="00682867">
        <w:rPr>
          <w:rFonts w:eastAsia="Times New Roman"/>
          <w:b/>
          <w:bCs/>
          <w:iCs/>
          <w:sz w:val="20"/>
          <w:szCs w:val="20"/>
          <w:lang w:val="es-419" w:eastAsia="fr-FR"/>
        </w:rPr>
        <w:t>RES</w:t>
      </w:r>
      <w:r>
        <w:rPr>
          <w:rFonts w:eastAsia="Times New Roman"/>
          <w:b/>
          <w:bCs/>
          <w:iCs/>
          <w:sz w:val="20"/>
          <w:szCs w:val="20"/>
          <w:lang w:val="es-419" w:eastAsia="fr-FR"/>
        </w:rPr>
        <w:t>PONSABILIDAD MÉDICA / PRUEBA TÉCNICA / NATURALEZA</w:t>
      </w:r>
    </w:p>
    <w:p w14:paraId="2EEF0AA0" w14:textId="5EC848AF" w:rsidR="006B7B4A" w:rsidRPr="00ED1A2B" w:rsidRDefault="006B7B4A" w:rsidP="006B7B4A">
      <w:pPr>
        <w:widowControl w:val="0"/>
        <w:autoSpaceDE w:val="0"/>
        <w:autoSpaceDN w:val="0"/>
        <w:spacing w:line="240" w:lineRule="auto"/>
        <w:jc w:val="both"/>
        <w:rPr>
          <w:rFonts w:eastAsia="Georgia"/>
          <w:sz w:val="20"/>
          <w:szCs w:val="24"/>
          <w:lang w:val="es-419" w:eastAsia="en-US"/>
        </w:rPr>
      </w:pPr>
      <w:r>
        <w:rPr>
          <w:rFonts w:eastAsia="Georgia"/>
          <w:sz w:val="20"/>
          <w:szCs w:val="24"/>
          <w:lang w:val="es-419" w:eastAsia="en-US"/>
        </w:rPr>
        <w:t xml:space="preserve">… </w:t>
      </w:r>
      <w:r w:rsidR="001D542A" w:rsidRPr="001D542A">
        <w:rPr>
          <w:rFonts w:eastAsia="Georgia"/>
          <w:sz w:val="20"/>
          <w:szCs w:val="24"/>
          <w:lang w:val="es-419" w:eastAsia="en-US"/>
        </w:rPr>
        <w:t>en la reciente sentencia SC-0033-2023 antes citada se memoró, y ahora se insiste en ello, que:</w:t>
      </w:r>
      <w:r w:rsidRPr="00ED1A2B">
        <w:rPr>
          <w:rFonts w:eastAsia="Georgia"/>
          <w:sz w:val="20"/>
          <w:szCs w:val="24"/>
          <w:lang w:val="es-419" w:eastAsia="en-US"/>
        </w:rPr>
        <w:t xml:space="preserve"> </w:t>
      </w:r>
      <w:r>
        <w:rPr>
          <w:rFonts w:eastAsia="Georgia"/>
          <w:sz w:val="20"/>
          <w:szCs w:val="24"/>
          <w:lang w:val="es-419" w:eastAsia="en-US"/>
        </w:rPr>
        <w:t>“</w:t>
      </w:r>
      <w:r w:rsidRPr="00ED1A2B">
        <w:rPr>
          <w:rFonts w:eastAsia="Georgia"/>
          <w:sz w:val="20"/>
          <w:szCs w:val="24"/>
          <w:lang w:val="es-419" w:eastAsia="en-US"/>
        </w:rPr>
        <w:t>… esta Sala en recientes ocasiones, por ejemplo, en la sentencia SC-0039-2022, que en asuntos que comprometen la responsabilidad médica o institucional, la prueba técnica, sin ser única y determinante, le permite al juez aproximarse al conocimiento que requiere para definir la litis, pues con ella se puede descubrir el comportamiento, tanto del galeno, como de las instituciones que contribuyen a la prestación de un servicio de salud y concluir si se cumplieron las reglas que aconseja la ciencia médica</w:t>
      </w:r>
      <w:r>
        <w:rPr>
          <w:rFonts w:eastAsia="Georgia"/>
          <w:sz w:val="20"/>
          <w:szCs w:val="24"/>
          <w:lang w:val="es-419" w:eastAsia="en-US"/>
        </w:rPr>
        <w:t>”</w:t>
      </w:r>
      <w:r w:rsidRPr="00ED1A2B">
        <w:rPr>
          <w:rFonts w:eastAsia="Georgia"/>
          <w:sz w:val="20"/>
          <w:szCs w:val="24"/>
          <w:lang w:val="es-419" w:eastAsia="en-US"/>
        </w:rPr>
        <w:t>.</w:t>
      </w:r>
    </w:p>
    <w:p w14:paraId="23775AFE" w14:textId="77777777" w:rsidR="006B7B4A" w:rsidRPr="00682867" w:rsidRDefault="006B7B4A" w:rsidP="006B7B4A">
      <w:pPr>
        <w:widowControl w:val="0"/>
        <w:autoSpaceDE w:val="0"/>
        <w:autoSpaceDN w:val="0"/>
        <w:spacing w:line="240" w:lineRule="auto"/>
        <w:jc w:val="both"/>
        <w:rPr>
          <w:rFonts w:eastAsia="Georgia"/>
          <w:sz w:val="20"/>
          <w:szCs w:val="24"/>
          <w:lang w:val="es-ES" w:eastAsia="en-US"/>
        </w:rPr>
      </w:pPr>
    </w:p>
    <w:p w14:paraId="4F624416" w14:textId="7BC6705A" w:rsidR="00ED0BFB" w:rsidRPr="00682867" w:rsidRDefault="00ED0BFB" w:rsidP="00ED0BFB">
      <w:pPr>
        <w:spacing w:line="240" w:lineRule="auto"/>
        <w:jc w:val="both"/>
        <w:rPr>
          <w:rFonts w:eastAsia="Times New Roman"/>
          <w:b/>
          <w:bCs/>
          <w:iCs/>
          <w:sz w:val="20"/>
          <w:szCs w:val="20"/>
          <w:lang w:val="es-419" w:eastAsia="fr-FR"/>
        </w:rPr>
      </w:pPr>
      <w:r w:rsidRPr="00682867">
        <w:rPr>
          <w:rFonts w:eastAsia="Times New Roman"/>
          <w:b/>
          <w:bCs/>
          <w:iCs/>
          <w:sz w:val="20"/>
          <w:szCs w:val="20"/>
          <w:lang w:val="es-419" w:eastAsia="fr-FR"/>
        </w:rPr>
        <w:t>RES</w:t>
      </w:r>
      <w:r>
        <w:rPr>
          <w:rFonts w:eastAsia="Times New Roman"/>
          <w:b/>
          <w:bCs/>
          <w:iCs/>
          <w:sz w:val="20"/>
          <w:szCs w:val="20"/>
          <w:lang w:val="es-419" w:eastAsia="fr-FR"/>
        </w:rPr>
        <w:t xml:space="preserve">PONSABILIDAD </w:t>
      </w:r>
      <w:r w:rsidR="002F71B0">
        <w:rPr>
          <w:rFonts w:eastAsia="Times New Roman"/>
          <w:b/>
          <w:bCs/>
          <w:iCs/>
          <w:sz w:val="20"/>
          <w:szCs w:val="20"/>
          <w:lang w:val="es-419" w:eastAsia="fr-FR"/>
        </w:rPr>
        <w:t>CIVIL</w:t>
      </w:r>
      <w:r>
        <w:rPr>
          <w:rFonts w:eastAsia="Times New Roman"/>
          <w:b/>
          <w:bCs/>
          <w:iCs/>
          <w:sz w:val="20"/>
          <w:szCs w:val="20"/>
          <w:lang w:val="es-419" w:eastAsia="fr-FR"/>
        </w:rPr>
        <w:t xml:space="preserve"> / </w:t>
      </w:r>
      <w:r w:rsidR="00E0567F">
        <w:rPr>
          <w:rFonts w:eastAsia="Times New Roman"/>
          <w:b/>
          <w:bCs/>
          <w:iCs/>
          <w:sz w:val="20"/>
          <w:szCs w:val="20"/>
          <w:lang w:val="es-419" w:eastAsia="fr-FR"/>
        </w:rPr>
        <w:t>ELEMENTOS / NEXO CAUSAL / DEFINICIÓN</w:t>
      </w:r>
    </w:p>
    <w:p w14:paraId="34EA84F6" w14:textId="154A70F7" w:rsidR="006B7B4A" w:rsidRDefault="00ED0BFB" w:rsidP="00ED0BFB">
      <w:pPr>
        <w:widowControl w:val="0"/>
        <w:autoSpaceDE w:val="0"/>
        <w:autoSpaceDN w:val="0"/>
        <w:spacing w:line="240" w:lineRule="auto"/>
        <w:jc w:val="both"/>
        <w:rPr>
          <w:rFonts w:eastAsia="Georgia"/>
          <w:sz w:val="20"/>
          <w:szCs w:val="24"/>
          <w:lang w:val="es-ES" w:eastAsia="en-US"/>
        </w:rPr>
      </w:pPr>
      <w:r>
        <w:rPr>
          <w:rFonts w:eastAsia="Georgia"/>
          <w:sz w:val="20"/>
          <w:szCs w:val="24"/>
          <w:lang w:val="es-ES" w:eastAsia="en-US"/>
        </w:rPr>
        <w:t xml:space="preserve">… </w:t>
      </w:r>
      <w:r w:rsidRPr="00ED0BFB">
        <w:rPr>
          <w:rFonts w:eastAsia="Georgia"/>
          <w:sz w:val="20"/>
          <w:szCs w:val="24"/>
          <w:lang w:val="es-ES" w:eastAsia="en-US"/>
        </w:rPr>
        <w:t xml:space="preserve">se trae a colación lo que en la citada sentencia </w:t>
      </w:r>
      <w:proofErr w:type="spellStart"/>
      <w:r w:rsidRPr="00ED0BFB">
        <w:rPr>
          <w:rFonts w:eastAsia="Georgia"/>
          <w:sz w:val="20"/>
          <w:szCs w:val="24"/>
          <w:lang w:val="es-ES" w:eastAsia="en-US"/>
        </w:rPr>
        <w:t>SC033</w:t>
      </w:r>
      <w:proofErr w:type="spellEnd"/>
      <w:r w:rsidRPr="00ED0BFB">
        <w:rPr>
          <w:rFonts w:eastAsia="Georgia"/>
          <w:sz w:val="20"/>
          <w:szCs w:val="24"/>
          <w:lang w:val="es-ES" w:eastAsia="en-US"/>
        </w:rPr>
        <w:t xml:space="preserve">-2023 de esta Sala se dijo sobre el nexo causal, que sirve al propósito de elucidar lo que aquí se debate: </w:t>
      </w:r>
      <w:r>
        <w:rPr>
          <w:rFonts w:eastAsia="Georgia"/>
          <w:sz w:val="20"/>
          <w:szCs w:val="24"/>
          <w:lang w:val="es-ES" w:eastAsia="en-US"/>
        </w:rPr>
        <w:t>“</w:t>
      </w:r>
      <w:r w:rsidRPr="00ED0BFB">
        <w:rPr>
          <w:rFonts w:eastAsia="Georgia"/>
          <w:sz w:val="20"/>
          <w:szCs w:val="24"/>
          <w:lang w:val="es-ES" w:eastAsia="en-US"/>
        </w:rPr>
        <w:t xml:space="preserve">… frente al nexo causal, en ocasiones anteriores, esta Sala recordó lo dicho por la Sala de Casación Civil de la Corte, acerca de que: Como de un tiempo a esta parte lo viene predicando la Corte, el nexo causal, distinguido coma uno de las elementos estructurales de la responsabilidad civil, cualquiera sea su naturaleza, no puede reducirse al concepto de la "causalidad natural" sino, más bien, ubicarse en el de la "causalidad adecuada" o "imputación jurídica", entendiéndose por tal "el razonamiento por medio del cual se atribuye un resultado dañoso a un agente a partir de un marco de sentido jurídico" </w:t>
      </w:r>
      <w:r>
        <w:rPr>
          <w:rFonts w:eastAsia="Georgia"/>
          <w:sz w:val="20"/>
          <w:szCs w:val="24"/>
          <w:lang w:val="es-ES" w:eastAsia="en-US"/>
        </w:rPr>
        <w:t>…</w:t>
      </w:r>
    </w:p>
    <w:p w14:paraId="272F95A6" w14:textId="6B302E1C" w:rsidR="00ED0BFB" w:rsidRDefault="00ED0BFB" w:rsidP="006B7B4A">
      <w:pPr>
        <w:widowControl w:val="0"/>
        <w:autoSpaceDE w:val="0"/>
        <w:autoSpaceDN w:val="0"/>
        <w:spacing w:line="240" w:lineRule="auto"/>
        <w:jc w:val="both"/>
        <w:rPr>
          <w:rFonts w:eastAsia="Georgia"/>
          <w:sz w:val="20"/>
          <w:szCs w:val="24"/>
          <w:lang w:val="es-ES" w:eastAsia="en-US"/>
        </w:rPr>
      </w:pPr>
    </w:p>
    <w:p w14:paraId="6E6AA214" w14:textId="2A01DE70" w:rsidR="00E0567F" w:rsidRPr="00682867" w:rsidRDefault="00E0567F" w:rsidP="00E0567F">
      <w:pPr>
        <w:spacing w:line="240" w:lineRule="auto"/>
        <w:jc w:val="both"/>
        <w:rPr>
          <w:rFonts w:eastAsia="Times New Roman"/>
          <w:b/>
          <w:bCs/>
          <w:iCs/>
          <w:sz w:val="20"/>
          <w:szCs w:val="20"/>
          <w:lang w:val="es-419" w:eastAsia="fr-FR"/>
        </w:rPr>
      </w:pPr>
      <w:r w:rsidRPr="00682867">
        <w:rPr>
          <w:rFonts w:eastAsia="Times New Roman"/>
          <w:b/>
          <w:bCs/>
          <w:iCs/>
          <w:sz w:val="20"/>
          <w:szCs w:val="20"/>
          <w:lang w:val="es-419" w:eastAsia="fr-FR"/>
        </w:rPr>
        <w:t>RES</w:t>
      </w:r>
      <w:r>
        <w:rPr>
          <w:rFonts w:eastAsia="Times New Roman"/>
          <w:b/>
          <w:bCs/>
          <w:iCs/>
          <w:sz w:val="20"/>
          <w:szCs w:val="20"/>
          <w:lang w:val="es-419" w:eastAsia="fr-FR"/>
        </w:rPr>
        <w:t xml:space="preserve">PONSABILIDAD MÉDICA / </w:t>
      </w:r>
      <w:r w:rsidR="00B560A6">
        <w:rPr>
          <w:rFonts w:eastAsia="Times New Roman"/>
          <w:b/>
          <w:bCs/>
          <w:iCs/>
          <w:sz w:val="20"/>
          <w:szCs w:val="20"/>
          <w:lang w:val="es-419" w:eastAsia="fr-FR"/>
        </w:rPr>
        <w:t>DAÑO MORAL / DAÑO A LA VIDA DE RELACIÓN / DEFINICIONES</w:t>
      </w:r>
    </w:p>
    <w:p w14:paraId="3265C8D5" w14:textId="2D7FB2B9" w:rsidR="00ED0BFB" w:rsidRPr="00D477AD" w:rsidRDefault="00D477AD" w:rsidP="00837389">
      <w:pPr>
        <w:widowControl w:val="0"/>
        <w:autoSpaceDE w:val="0"/>
        <w:autoSpaceDN w:val="0"/>
        <w:spacing w:line="240" w:lineRule="auto"/>
        <w:jc w:val="both"/>
        <w:rPr>
          <w:rFonts w:eastAsia="Georgia"/>
          <w:sz w:val="20"/>
          <w:szCs w:val="24"/>
          <w:lang w:val="es-419" w:eastAsia="en-US"/>
        </w:rPr>
      </w:pPr>
      <w:r w:rsidRPr="00D477AD">
        <w:rPr>
          <w:rFonts w:eastAsia="Georgia"/>
          <w:sz w:val="20"/>
          <w:szCs w:val="24"/>
          <w:lang w:val="es-419" w:eastAsia="en-US"/>
        </w:rPr>
        <w:t xml:space="preserve">Depurado tiene esta Colegiatura que el daño moral: </w:t>
      </w:r>
      <w:r w:rsidR="00837389">
        <w:rPr>
          <w:rFonts w:eastAsia="Georgia"/>
          <w:sz w:val="20"/>
          <w:szCs w:val="24"/>
          <w:lang w:val="es-419" w:eastAsia="en-US"/>
        </w:rPr>
        <w:t>“</w:t>
      </w:r>
      <w:r w:rsidRPr="00D477AD">
        <w:rPr>
          <w:rFonts w:eastAsia="Georgia"/>
          <w:sz w:val="20"/>
          <w:szCs w:val="24"/>
          <w:lang w:val="es-419" w:eastAsia="en-US"/>
        </w:rPr>
        <w:t>… se refleja en la esfera interior de la persona, por el dolor, la aflicción, la congoja que padece, producto de una lesión que se le ha infligido, a diferencia del daño a la vida de relación, que obedece a las consecuencias de orden externo que de allí emergen, por la frustración que se le causa en lo social, en lo familiar, en lo cotidiano</w:t>
      </w:r>
      <w:r w:rsidR="00837389">
        <w:rPr>
          <w:rFonts w:eastAsia="Georgia"/>
          <w:sz w:val="20"/>
          <w:szCs w:val="24"/>
          <w:lang w:val="es-419" w:eastAsia="en-US"/>
        </w:rPr>
        <w:t xml:space="preserve">…” </w:t>
      </w:r>
      <w:r w:rsidR="00837389" w:rsidRPr="00837389">
        <w:rPr>
          <w:rFonts w:eastAsia="Georgia"/>
          <w:sz w:val="20"/>
          <w:szCs w:val="24"/>
          <w:lang w:val="es-419" w:eastAsia="en-US"/>
        </w:rPr>
        <w:t>Daño a la vida de relación. Esta modalidad de daño inmaterial, ha sido un tema ampliamente abordado por la jurisprudencia de la Corte Suprema de Justicia, que ha destacado que consiste en la afectación de la actividad social, no patrimonial de una persona, y se refleja sobre la esfera externa del individuo. Por ello, para lograr su reconocimiento debe encontrarse acreditada la existencia y la intensidad del daño</w:t>
      </w:r>
    </w:p>
    <w:p w14:paraId="0A407C06" w14:textId="60F4F955" w:rsidR="00ED0BFB" w:rsidRDefault="00ED0BFB" w:rsidP="006B7B4A">
      <w:pPr>
        <w:widowControl w:val="0"/>
        <w:autoSpaceDE w:val="0"/>
        <w:autoSpaceDN w:val="0"/>
        <w:spacing w:line="240" w:lineRule="auto"/>
        <w:jc w:val="both"/>
        <w:rPr>
          <w:rFonts w:eastAsia="Georgia"/>
          <w:sz w:val="20"/>
          <w:szCs w:val="24"/>
          <w:lang w:val="es-419" w:eastAsia="en-US"/>
        </w:rPr>
      </w:pPr>
    </w:p>
    <w:p w14:paraId="7A23CF43" w14:textId="5F1C08B0" w:rsidR="00C061B6" w:rsidRPr="00682867" w:rsidRDefault="00C061B6" w:rsidP="00C061B6">
      <w:pPr>
        <w:spacing w:line="240" w:lineRule="auto"/>
        <w:jc w:val="both"/>
        <w:rPr>
          <w:rFonts w:eastAsia="Times New Roman"/>
          <w:b/>
          <w:bCs/>
          <w:iCs/>
          <w:sz w:val="20"/>
          <w:szCs w:val="20"/>
          <w:lang w:val="es-419" w:eastAsia="fr-FR"/>
        </w:rPr>
      </w:pPr>
      <w:r w:rsidRPr="00682867">
        <w:rPr>
          <w:rFonts w:eastAsia="Times New Roman"/>
          <w:b/>
          <w:bCs/>
          <w:iCs/>
          <w:sz w:val="20"/>
          <w:szCs w:val="20"/>
          <w:lang w:val="es-419" w:eastAsia="fr-FR"/>
        </w:rPr>
        <w:t>RES</w:t>
      </w:r>
      <w:r>
        <w:rPr>
          <w:rFonts w:eastAsia="Times New Roman"/>
          <w:b/>
          <w:bCs/>
          <w:iCs/>
          <w:sz w:val="20"/>
          <w:szCs w:val="20"/>
          <w:lang w:val="es-419" w:eastAsia="fr-FR"/>
        </w:rPr>
        <w:t xml:space="preserve">PONSABILIDAD CIVIL / </w:t>
      </w:r>
      <w:r>
        <w:rPr>
          <w:rFonts w:eastAsia="Times New Roman"/>
          <w:b/>
          <w:bCs/>
          <w:iCs/>
          <w:sz w:val="20"/>
          <w:szCs w:val="20"/>
          <w:lang w:val="es-419" w:eastAsia="fr-FR"/>
        </w:rPr>
        <w:t>REPARACIÓN SIMBÓLICA / DEFINICIÓN / PROCEDENCIA</w:t>
      </w:r>
    </w:p>
    <w:p w14:paraId="310E10D0" w14:textId="4977B01E" w:rsidR="00BA2C73" w:rsidRPr="002F71B0" w:rsidRDefault="00BA2C73" w:rsidP="002F71B0">
      <w:pPr>
        <w:widowControl w:val="0"/>
        <w:autoSpaceDE w:val="0"/>
        <w:autoSpaceDN w:val="0"/>
        <w:spacing w:line="240" w:lineRule="auto"/>
        <w:jc w:val="both"/>
        <w:rPr>
          <w:rFonts w:eastAsia="Georgia"/>
          <w:sz w:val="20"/>
          <w:szCs w:val="24"/>
          <w:lang w:val="es-419" w:eastAsia="en-US"/>
        </w:rPr>
      </w:pPr>
      <w:r>
        <w:rPr>
          <w:rFonts w:eastAsia="Georgia"/>
          <w:sz w:val="20"/>
          <w:szCs w:val="24"/>
          <w:lang w:val="es-419" w:eastAsia="en-US"/>
        </w:rPr>
        <w:t xml:space="preserve">… </w:t>
      </w:r>
      <w:r w:rsidRPr="00BA2C73">
        <w:rPr>
          <w:rFonts w:eastAsia="Georgia"/>
          <w:sz w:val="20"/>
          <w:szCs w:val="24"/>
          <w:lang w:val="es-419" w:eastAsia="en-US"/>
        </w:rPr>
        <w:t xml:space="preserve">en cuanto a la afectación relevante de bienes o derechos convencional o constitucionalmente protegidos, señalan los demandantes que la trágica situación por la que atravesó la señora Correa de </w:t>
      </w:r>
      <w:r w:rsidR="00C061B6" w:rsidRPr="00BA2C73">
        <w:rPr>
          <w:rFonts w:eastAsia="Georgia"/>
          <w:sz w:val="20"/>
          <w:szCs w:val="24"/>
          <w:lang w:val="es-419" w:eastAsia="en-US"/>
        </w:rPr>
        <w:t>Piedrahita</w:t>
      </w:r>
      <w:r w:rsidRPr="00BA2C73">
        <w:rPr>
          <w:rFonts w:eastAsia="Georgia"/>
          <w:sz w:val="20"/>
          <w:szCs w:val="24"/>
          <w:lang w:val="es-419" w:eastAsia="en-US"/>
        </w:rPr>
        <w:t xml:space="preserve"> vulneró los derechos a la vida, a la igualdad, a la familia y a la salud, por lo que reclaman su reparación en una doble vía: por una parte, con una retribución económica a favor de la sucesión y de los hijos de aquella</w:t>
      </w:r>
      <w:r>
        <w:rPr>
          <w:rFonts w:eastAsia="Georgia"/>
          <w:sz w:val="20"/>
          <w:szCs w:val="24"/>
          <w:lang w:val="es-419" w:eastAsia="en-US"/>
        </w:rPr>
        <w:t>…</w:t>
      </w:r>
      <w:r w:rsidRPr="00BA2C73">
        <w:rPr>
          <w:rFonts w:eastAsia="Georgia"/>
          <w:sz w:val="20"/>
          <w:szCs w:val="24"/>
          <w:lang w:val="es-419" w:eastAsia="en-US"/>
        </w:rPr>
        <w:t>; y por la otra, con una reparación simbólica, traducida en la publicación en un diario de amplia circulación nacional de la sentencia condenatoria, la atención psicológica del núcleo familiar</w:t>
      </w:r>
      <w:r>
        <w:rPr>
          <w:rFonts w:eastAsia="Georgia"/>
          <w:sz w:val="20"/>
          <w:szCs w:val="24"/>
          <w:lang w:val="es-419" w:eastAsia="en-US"/>
        </w:rPr>
        <w:t>…</w:t>
      </w:r>
      <w:r w:rsidR="002F71B0">
        <w:rPr>
          <w:rFonts w:eastAsia="Georgia"/>
          <w:sz w:val="20"/>
          <w:szCs w:val="24"/>
          <w:lang w:val="es-419" w:eastAsia="en-US"/>
        </w:rPr>
        <w:t>”</w:t>
      </w:r>
      <w:r>
        <w:rPr>
          <w:rFonts w:eastAsia="Georgia"/>
          <w:sz w:val="20"/>
          <w:szCs w:val="24"/>
          <w:lang w:val="es-419" w:eastAsia="en-US"/>
        </w:rPr>
        <w:t xml:space="preserve"> </w:t>
      </w:r>
      <w:r w:rsidR="002F71B0" w:rsidRPr="002F71B0">
        <w:rPr>
          <w:rFonts w:eastAsia="Georgia"/>
          <w:sz w:val="20"/>
          <w:szCs w:val="24"/>
          <w:lang w:val="es-419" w:eastAsia="en-US"/>
        </w:rPr>
        <w:t xml:space="preserve">dijo la Sala en la citada providencia que: </w:t>
      </w:r>
      <w:r w:rsidR="002F71B0">
        <w:rPr>
          <w:rFonts w:eastAsia="Georgia"/>
          <w:sz w:val="20"/>
          <w:szCs w:val="24"/>
          <w:lang w:val="es-419" w:eastAsia="en-US"/>
        </w:rPr>
        <w:t>“</w:t>
      </w:r>
      <w:r w:rsidR="002F71B0" w:rsidRPr="002F71B0">
        <w:rPr>
          <w:rFonts w:eastAsia="Georgia"/>
          <w:sz w:val="20"/>
          <w:szCs w:val="24"/>
          <w:lang w:val="es-419" w:eastAsia="en-US"/>
        </w:rPr>
        <w:t>Se acepta, entonces, que la reparación del daño, no siempre ha de ser económica para cumplir el cometido que la ley quiere frente a la víctima. Si con el hecho lesivo se trasgrede, además, un derecho de orden constitucional, a la restauración del mismo pueden corresponderle medidas figurativas o simbólicas, que recuperen el equilibrio quebrantado y signifiquen un llamado a la no repetición de conductas que atenten contra esos privilegios superiores</w:t>
      </w:r>
      <w:r w:rsidR="002F71B0">
        <w:rPr>
          <w:rFonts w:eastAsia="Georgia"/>
          <w:sz w:val="20"/>
          <w:szCs w:val="24"/>
          <w:lang w:val="es-419" w:eastAsia="en-US"/>
        </w:rPr>
        <w:t>”</w:t>
      </w:r>
      <w:r w:rsidR="002F71B0" w:rsidRPr="002F71B0">
        <w:rPr>
          <w:rFonts w:eastAsia="Georgia"/>
          <w:sz w:val="20"/>
          <w:szCs w:val="24"/>
          <w:lang w:val="es-419" w:eastAsia="en-US"/>
        </w:rPr>
        <w:t>.</w:t>
      </w:r>
    </w:p>
    <w:p w14:paraId="597EB8E8" w14:textId="3B71E266" w:rsidR="00BA2C73" w:rsidRDefault="00BA2C73" w:rsidP="006B7B4A">
      <w:pPr>
        <w:widowControl w:val="0"/>
        <w:autoSpaceDE w:val="0"/>
        <w:autoSpaceDN w:val="0"/>
        <w:spacing w:line="240" w:lineRule="auto"/>
        <w:jc w:val="both"/>
        <w:rPr>
          <w:rFonts w:eastAsia="Georgia"/>
          <w:sz w:val="20"/>
          <w:szCs w:val="24"/>
          <w:lang w:val="es-419" w:eastAsia="en-US"/>
        </w:rPr>
      </w:pPr>
    </w:p>
    <w:p w14:paraId="1B073A33" w14:textId="77777777" w:rsidR="00BA2C73" w:rsidRPr="00837389" w:rsidRDefault="00BA2C73" w:rsidP="006B7B4A">
      <w:pPr>
        <w:widowControl w:val="0"/>
        <w:autoSpaceDE w:val="0"/>
        <w:autoSpaceDN w:val="0"/>
        <w:spacing w:line="240" w:lineRule="auto"/>
        <w:jc w:val="both"/>
        <w:rPr>
          <w:rFonts w:eastAsia="Georgia"/>
          <w:sz w:val="20"/>
          <w:szCs w:val="24"/>
          <w:lang w:val="es-419" w:eastAsia="en-US"/>
        </w:rPr>
      </w:pPr>
    </w:p>
    <w:p w14:paraId="711F30B8" w14:textId="18CDA54C" w:rsidR="00ED0BFB" w:rsidRDefault="00ED0BFB" w:rsidP="006B7B4A">
      <w:pPr>
        <w:widowControl w:val="0"/>
        <w:autoSpaceDE w:val="0"/>
        <w:autoSpaceDN w:val="0"/>
        <w:spacing w:line="240" w:lineRule="auto"/>
        <w:jc w:val="both"/>
        <w:rPr>
          <w:rFonts w:eastAsia="Georgia"/>
          <w:sz w:val="20"/>
          <w:szCs w:val="24"/>
          <w:lang w:val="es-ES" w:eastAsia="en-US"/>
        </w:rPr>
      </w:pPr>
    </w:p>
    <w:p w14:paraId="5AAC4697" w14:textId="77777777" w:rsidR="002F651B" w:rsidRPr="000C472B" w:rsidRDefault="002F651B" w:rsidP="002F651B">
      <w:pPr>
        <w:widowControl w:val="0"/>
        <w:autoSpaceDE w:val="0"/>
        <w:autoSpaceDN w:val="0"/>
        <w:jc w:val="center"/>
        <w:rPr>
          <w:rFonts w:ascii="Gadugi" w:eastAsia="Georgia" w:hAnsi="Gadugi" w:cs="Georgia"/>
          <w:sz w:val="24"/>
          <w:szCs w:val="24"/>
          <w:lang w:val="es-ES" w:eastAsia="en-US"/>
        </w:rPr>
      </w:pPr>
      <w:r w:rsidRPr="000C472B">
        <w:rPr>
          <w:rFonts w:ascii="Gadugi" w:eastAsia="Georgia" w:hAnsi="Gadugi" w:cs="Georgia"/>
          <w:noProof/>
          <w:sz w:val="24"/>
          <w:szCs w:val="24"/>
          <w:lang w:val="en-US" w:eastAsia="en-US"/>
        </w:rPr>
        <w:drawing>
          <wp:inline distT="0" distB="0" distL="0" distR="0" wp14:anchorId="3BA272E0" wp14:editId="621DCB9F">
            <wp:extent cx="602729" cy="579120"/>
            <wp:effectExtent l="0" t="0" r="0" b="0"/>
            <wp:docPr id="1"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2" cstate="print"/>
                    <a:stretch>
                      <a:fillRect/>
                    </a:stretch>
                  </pic:blipFill>
                  <pic:spPr>
                    <a:xfrm>
                      <a:off x="0" y="0"/>
                      <a:ext cx="602729" cy="579120"/>
                    </a:xfrm>
                    <a:prstGeom prst="rect">
                      <a:avLst/>
                    </a:prstGeom>
                  </pic:spPr>
                </pic:pic>
              </a:graphicData>
            </a:graphic>
          </wp:inline>
        </w:drawing>
      </w:r>
    </w:p>
    <w:p w14:paraId="1E1D07CB" w14:textId="77777777" w:rsidR="002F651B" w:rsidRPr="000C472B" w:rsidRDefault="002F651B" w:rsidP="002F651B">
      <w:pPr>
        <w:widowControl w:val="0"/>
        <w:autoSpaceDE w:val="0"/>
        <w:autoSpaceDN w:val="0"/>
        <w:ind w:right="-5"/>
        <w:jc w:val="center"/>
        <w:outlineLvl w:val="0"/>
        <w:rPr>
          <w:rFonts w:ascii="Gadugi" w:eastAsia="Cambria" w:hAnsi="Gadugi" w:cs="Cambria"/>
          <w:b/>
          <w:bCs/>
          <w:sz w:val="24"/>
          <w:szCs w:val="24"/>
          <w:lang w:val="es-ES" w:eastAsia="en-US"/>
        </w:rPr>
      </w:pPr>
      <w:r w:rsidRPr="000C472B">
        <w:rPr>
          <w:rFonts w:ascii="Gadugi" w:eastAsia="Cambria" w:hAnsi="Gadugi" w:cs="Cambria"/>
          <w:b/>
          <w:bCs/>
          <w:w w:val="115"/>
          <w:sz w:val="24"/>
          <w:szCs w:val="24"/>
          <w:lang w:val="es-ES" w:eastAsia="en-US"/>
        </w:rPr>
        <w:t>TRIBUNAL</w:t>
      </w:r>
      <w:r w:rsidRPr="000C472B">
        <w:rPr>
          <w:rFonts w:ascii="Gadugi" w:eastAsia="Cambria" w:hAnsi="Gadugi" w:cs="Cambria"/>
          <w:b/>
          <w:bCs/>
          <w:spacing w:val="30"/>
          <w:w w:val="115"/>
          <w:sz w:val="24"/>
          <w:szCs w:val="24"/>
          <w:lang w:val="es-ES" w:eastAsia="en-US"/>
        </w:rPr>
        <w:t xml:space="preserve"> </w:t>
      </w:r>
      <w:r w:rsidRPr="000C472B">
        <w:rPr>
          <w:rFonts w:ascii="Gadugi" w:eastAsia="Cambria" w:hAnsi="Gadugi" w:cs="Cambria"/>
          <w:b/>
          <w:bCs/>
          <w:w w:val="115"/>
          <w:sz w:val="24"/>
          <w:szCs w:val="24"/>
          <w:lang w:val="es-ES" w:eastAsia="en-US"/>
        </w:rPr>
        <w:t>SUPERIOR</w:t>
      </w:r>
      <w:r w:rsidRPr="000C472B">
        <w:rPr>
          <w:rFonts w:ascii="Gadugi" w:eastAsia="Cambria" w:hAnsi="Gadugi" w:cs="Cambria"/>
          <w:b/>
          <w:bCs/>
          <w:spacing w:val="34"/>
          <w:w w:val="115"/>
          <w:sz w:val="24"/>
          <w:szCs w:val="24"/>
          <w:lang w:val="es-ES" w:eastAsia="en-US"/>
        </w:rPr>
        <w:t xml:space="preserve"> </w:t>
      </w:r>
      <w:r w:rsidRPr="000C472B">
        <w:rPr>
          <w:rFonts w:ascii="Gadugi" w:eastAsia="Cambria" w:hAnsi="Gadugi" w:cs="Cambria"/>
          <w:b/>
          <w:bCs/>
          <w:w w:val="115"/>
          <w:sz w:val="24"/>
          <w:szCs w:val="24"/>
          <w:lang w:val="es-ES" w:eastAsia="en-US"/>
        </w:rPr>
        <w:t>DEL</w:t>
      </w:r>
      <w:r w:rsidRPr="000C472B">
        <w:rPr>
          <w:rFonts w:ascii="Gadugi" w:eastAsia="Cambria" w:hAnsi="Gadugi" w:cs="Cambria"/>
          <w:b/>
          <w:bCs/>
          <w:spacing w:val="34"/>
          <w:w w:val="115"/>
          <w:sz w:val="24"/>
          <w:szCs w:val="24"/>
          <w:lang w:val="es-ES" w:eastAsia="en-US"/>
        </w:rPr>
        <w:t xml:space="preserve"> </w:t>
      </w:r>
      <w:r w:rsidRPr="000C472B">
        <w:rPr>
          <w:rFonts w:ascii="Gadugi" w:eastAsia="Cambria" w:hAnsi="Gadugi" w:cs="Cambria"/>
          <w:b/>
          <w:bCs/>
          <w:w w:val="115"/>
          <w:sz w:val="24"/>
          <w:szCs w:val="24"/>
          <w:lang w:val="es-ES" w:eastAsia="en-US"/>
        </w:rPr>
        <w:t>DISTRITO</w:t>
      </w:r>
      <w:r w:rsidRPr="000C472B">
        <w:rPr>
          <w:rFonts w:ascii="Gadugi" w:eastAsia="Cambria" w:hAnsi="Gadugi" w:cs="Cambria"/>
          <w:b/>
          <w:bCs/>
          <w:spacing w:val="32"/>
          <w:w w:val="115"/>
          <w:sz w:val="24"/>
          <w:szCs w:val="24"/>
          <w:lang w:val="es-ES" w:eastAsia="en-US"/>
        </w:rPr>
        <w:t xml:space="preserve"> </w:t>
      </w:r>
      <w:r w:rsidRPr="000C472B">
        <w:rPr>
          <w:rFonts w:ascii="Gadugi" w:eastAsia="Cambria" w:hAnsi="Gadugi" w:cs="Cambria"/>
          <w:b/>
          <w:bCs/>
          <w:w w:val="115"/>
          <w:sz w:val="24"/>
          <w:szCs w:val="24"/>
          <w:lang w:val="es-ES" w:eastAsia="en-US"/>
        </w:rPr>
        <w:t>JUDICIAL</w:t>
      </w:r>
      <w:r w:rsidRPr="000C472B">
        <w:rPr>
          <w:rFonts w:ascii="Gadugi" w:eastAsia="Cambria" w:hAnsi="Gadugi" w:cs="Cambria"/>
          <w:b/>
          <w:bCs/>
          <w:spacing w:val="-68"/>
          <w:w w:val="115"/>
          <w:sz w:val="24"/>
          <w:szCs w:val="24"/>
          <w:lang w:val="es-ES" w:eastAsia="en-US"/>
        </w:rPr>
        <w:t xml:space="preserve"> </w:t>
      </w:r>
      <w:r w:rsidRPr="000C472B">
        <w:rPr>
          <w:rFonts w:ascii="Gadugi" w:eastAsia="Cambria" w:hAnsi="Gadugi" w:cs="Cambria"/>
          <w:b/>
          <w:bCs/>
          <w:w w:val="115"/>
          <w:sz w:val="24"/>
          <w:szCs w:val="24"/>
          <w:lang w:val="es-ES" w:eastAsia="en-US"/>
        </w:rPr>
        <w:t>PEREIRA</w:t>
      </w:r>
    </w:p>
    <w:p w14:paraId="5AC0B0AA" w14:textId="77777777" w:rsidR="002F651B" w:rsidRPr="000C472B" w:rsidRDefault="002F651B" w:rsidP="002F651B">
      <w:pPr>
        <w:widowControl w:val="0"/>
        <w:autoSpaceDE w:val="0"/>
        <w:autoSpaceDN w:val="0"/>
        <w:ind w:right="-5"/>
        <w:jc w:val="center"/>
        <w:rPr>
          <w:rFonts w:ascii="Gadugi" w:eastAsia="Georgia" w:hAnsi="Gadugi" w:cs="Georgia"/>
          <w:b/>
          <w:sz w:val="24"/>
          <w:szCs w:val="24"/>
          <w:lang w:val="es-ES" w:eastAsia="en-US"/>
        </w:rPr>
      </w:pPr>
      <w:r w:rsidRPr="000C472B">
        <w:rPr>
          <w:rFonts w:ascii="Gadugi" w:eastAsia="Georgia" w:hAnsi="Gadugi" w:cs="Georgia"/>
          <w:b/>
          <w:w w:val="115"/>
          <w:sz w:val="24"/>
          <w:szCs w:val="24"/>
          <w:lang w:val="es-ES" w:eastAsia="en-US"/>
        </w:rPr>
        <w:t>SALA</w:t>
      </w:r>
      <w:r w:rsidRPr="000C472B">
        <w:rPr>
          <w:rFonts w:ascii="Gadugi" w:eastAsia="Georgia" w:hAnsi="Gadugi" w:cs="Georgia"/>
          <w:b/>
          <w:spacing w:val="25"/>
          <w:w w:val="115"/>
          <w:sz w:val="24"/>
          <w:szCs w:val="24"/>
          <w:lang w:val="es-ES" w:eastAsia="en-US"/>
        </w:rPr>
        <w:t xml:space="preserve"> </w:t>
      </w:r>
      <w:r w:rsidRPr="000C472B">
        <w:rPr>
          <w:rFonts w:ascii="Gadugi" w:eastAsia="Georgia" w:hAnsi="Gadugi" w:cs="Georgia"/>
          <w:b/>
          <w:w w:val="115"/>
          <w:sz w:val="24"/>
          <w:szCs w:val="24"/>
          <w:lang w:val="es-ES" w:eastAsia="en-US"/>
        </w:rPr>
        <w:t>CIVIL-FAMILIA</w:t>
      </w:r>
    </w:p>
    <w:p w14:paraId="2D465342" w14:textId="77777777" w:rsidR="002F651B" w:rsidRPr="000C472B" w:rsidRDefault="002F651B" w:rsidP="002F651B">
      <w:pPr>
        <w:widowControl w:val="0"/>
        <w:tabs>
          <w:tab w:val="left" w:pos="3647"/>
        </w:tabs>
        <w:autoSpaceDE w:val="0"/>
        <w:autoSpaceDN w:val="0"/>
        <w:ind w:right="858"/>
        <w:rPr>
          <w:rFonts w:ascii="Gadugi" w:eastAsia="Georgia" w:hAnsi="Gadugi" w:cs="Georgia"/>
          <w:sz w:val="24"/>
          <w:szCs w:val="24"/>
          <w:lang w:val="es-ES" w:eastAsia="en-US"/>
        </w:rPr>
      </w:pPr>
    </w:p>
    <w:p w14:paraId="7DF4DB39" w14:textId="539E55BA" w:rsidR="002F651B" w:rsidRPr="000C472B" w:rsidRDefault="002F651B" w:rsidP="002F651B">
      <w:pPr>
        <w:widowControl w:val="0"/>
        <w:autoSpaceDE w:val="0"/>
        <w:autoSpaceDN w:val="0"/>
        <w:jc w:val="center"/>
        <w:rPr>
          <w:rFonts w:ascii="Gadugi" w:eastAsia="Georgia" w:hAnsi="Gadugi" w:cs="Georgia"/>
          <w:sz w:val="24"/>
          <w:szCs w:val="24"/>
          <w:lang w:val="es-ES" w:eastAsia="en-US"/>
        </w:rPr>
      </w:pPr>
      <w:r w:rsidRPr="002F651B">
        <w:rPr>
          <w:rFonts w:ascii="Gadugi" w:eastAsia="Georgia" w:hAnsi="Gadugi" w:cs="Georgia"/>
          <w:b/>
          <w:bCs/>
          <w:sz w:val="24"/>
          <w:szCs w:val="24"/>
          <w:lang w:val="es-ES" w:eastAsia="en-US"/>
        </w:rPr>
        <w:t>SC-0039-2023</w:t>
      </w:r>
    </w:p>
    <w:p w14:paraId="358B0827" w14:textId="77777777" w:rsidR="002F651B" w:rsidRPr="000C472B" w:rsidRDefault="002F651B" w:rsidP="002F651B">
      <w:pPr>
        <w:widowControl w:val="0"/>
        <w:autoSpaceDE w:val="0"/>
        <w:autoSpaceDN w:val="0"/>
        <w:ind w:firstLine="1843"/>
        <w:rPr>
          <w:rFonts w:ascii="Gadugi" w:eastAsia="Georgia" w:hAnsi="Gadugi" w:cs="Georgia"/>
          <w:sz w:val="24"/>
          <w:szCs w:val="24"/>
          <w:lang w:val="es-ES" w:eastAsia="en-US"/>
        </w:rPr>
      </w:pPr>
    </w:p>
    <w:p w14:paraId="31C4901E" w14:textId="77777777" w:rsidR="002F651B" w:rsidRPr="000C472B" w:rsidRDefault="002F651B" w:rsidP="002F651B">
      <w:pPr>
        <w:widowControl w:val="0"/>
        <w:tabs>
          <w:tab w:val="left" w:pos="3686"/>
          <w:tab w:val="left" w:pos="4536"/>
        </w:tabs>
        <w:autoSpaceDE w:val="0"/>
        <w:autoSpaceDN w:val="0"/>
        <w:spacing w:line="240" w:lineRule="auto"/>
        <w:jc w:val="center"/>
        <w:rPr>
          <w:rFonts w:ascii="Gadugi" w:eastAsia="Georgia" w:hAnsi="Gadugi" w:cs="Georgia"/>
          <w:sz w:val="24"/>
          <w:szCs w:val="24"/>
          <w:lang w:val="es-ES" w:eastAsia="en-US"/>
        </w:rPr>
      </w:pPr>
      <w:r w:rsidRPr="000C472B">
        <w:rPr>
          <w:rFonts w:ascii="Gadugi" w:eastAsia="Georgia" w:hAnsi="Gadugi" w:cs="Georgia"/>
          <w:sz w:val="24"/>
          <w:szCs w:val="24"/>
          <w:lang w:val="es-ES" w:eastAsia="en-US"/>
        </w:rPr>
        <w:t xml:space="preserve">Magistrado Ponente: </w:t>
      </w:r>
      <w:r w:rsidRPr="000C472B">
        <w:rPr>
          <w:rFonts w:ascii="Gadugi" w:eastAsia="Georgia" w:hAnsi="Gadugi" w:cs="Georgia"/>
          <w:b/>
          <w:sz w:val="24"/>
          <w:szCs w:val="24"/>
          <w:lang w:val="es-ES" w:eastAsia="en-US"/>
        </w:rPr>
        <w:t>Jaime Alberto Saraza Naranjo</w:t>
      </w:r>
    </w:p>
    <w:p w14:paraId="5CD9A178" w14:textId="77777777" w:rsidR="002F651B" w:rsidRPr="004E6C5C" w:rsidRDefault="002F651B" w:rsidP="002F651B">
      <w:pPr>
        <w:tabs>
          <w:tab w:val="left" w:pos="3261"/>
        </w:tabs>
        <w:ind w:firstLine="1701"/>
        <w:jc w:val="both"/>
        <w:rPr>
          <w:rFonts w:ascii="Gadugi" w:eastAsia="Georgia" w:hAnsi="Gadugi" w:cs="Georgia"/>
          <w:b/>
          <w:sz w:val="24"/>
          <w:szCs w:val="24"/>
        </w:rPr>
      </w:pPr>
    </w:p>
    <w:p w14:paraId="241458E1" w14:textId="77777777" w:rsidR="002F651B" w:rsidRPr="002F651B" w:rsidRDefault="002F651B" w:rsidP="002F651B">
      <w:pPr>
        <w:tabs>
          <w:tab w:val="left" w:pos="3686"/>
          <w:tab w:val="left" w:pos="4536"/>
        </w:tabs>
        <w:ind w:firstLine="1701"/>
        <w:jc w:val="both"/>
        <w:rPr>
          <w:rFonts w:ascii="Gadugi" w:eastAsia="Georgia" w:hAnsi="Gadugi" w:cs="Georgia"/>
          <w:sz w:val="24"/>
          <w:szCs w:val="24"/>
        </w:rPr>
      </w:pPr>
    </w:p>
    <w:p w14:paraId="39F4EECB" w14:textId="12D998D3" w:rsidR="00F66BCE" w:rsidRPr="002F651B" w:rsidRDefault="007A54EA" w:rsidP="002F651B">
      <w:pPr>
        <w:tabs>
          <w:tab w:val="left" w:pos="3261"/>
        </w:tabs>
        <w:spacing w:line="240" w:lineRule="auto"/>
        <w:ind w:firstLine="1276"/>
        <w:jc w:val="both"/>
        <w:rPr>
          <w:rFonts w:ascii="Gadugi" w:eastAsia="Georgia" w:hAnsi="Gadugi" w:cs="Georgia"/>
          <w:szCs w:val="24"/>
        </w:rPr>
      </w:pPr>
      <w:r w:rsidRPr="002F651B">
        <w:rPr>
          <w:rFonts w:ascii="Gadugi" w:eastAsia="Georgia" w:hAnsi="Gadugi" w:cs="Georgia"/>
          <w:szCs w:val="24"/>
        </w:rPr>
        <w:t xml:space="preserve">Pereira, </w:t>
      </w:r>
      <w:r w:rsidRPr="002F651B">
        <w:rPr>
          <w:rFonts w:ascii="Gadugi" w:eastAsia="Georgia" w:hAnsi="Gadugi" w:cs="Georgia"/>
          <w:szCs w:val="24"/>
        </w:rPr>
        <w:tab/>
      </w:r>
      <w:r w:rsidR="00E34D76" w:rsidRPr="002F651B">
        <w:rPr>
          <w:rFonts w:ascii="Gadugi" w:eastAsia="Georgia" w:hAnsi="Gadugi" w:cs="Georgia"/>
          <w:szCs w:val="24"/>
        </w:rPr>
        <w:t>Octubre tres de dos mil veintitrés</w:t>
      </w:r>
    </w:p>
    <w:p w14:paraId="69D1D128" w14:textId="609490CC" w:rsidR="00F66BCE" w:rsidRPr="002F651B" w:rsidRDefault="007A54EA" w:rsidP="002F651B">
      <w:pPr>
        <w:tabs>
          <w:tab w:val="left" w:pos="3261"/>
        </w:tabs>
        <w:spacing w:line="240" w:lineRule="auto"/>
        <w:ind w:firstLine="1276"/>
        <w:jc w:val="both"/>
        <w:rPr>
          <w:rFonts w:ascii="Gadugi" w:eastAsia="Georgia" w:hAnsi="Gadugi" w:cs="Georgia"/>
          <w:szCs w:val="24"/>
        </w:rPr>
      </w:pPr>
      <w:r w:rsidRPr="002F651B">
        <w:rPr>
          <w:rFonts w:ascii="Gadugi" w:eastAsia="Georgia" w:hAnsi="Gadugi" w:cs="Georgia"/>
          <w:szCs w:val="24"/>
        </w:rPr>
        <w:lastRenderedPageBreak/>
        <w:t xml:space="preserve">Expediente:  </w:t>
      </w:r>
      <w:r w:rsidRPr="002F651B">
        <w:rPr>
          <w:rFonts w:ascii="Gadugi" w:eastAsia="Georgia" w:hAnsi="Gadugi" w:cs="Georgia"/>
          <w:szCs w:val="24"/>
        </w:rPr>
        <w:tab/>
        <w:t>66001310300520170020901</w:t>
      </w:r>
    </w:p>
    <w:p w14:paraId="2588B90D" w14:textId="606B2E20" w:rsidR="00F66BCE" w:rsidRPr="002F651B" w:rsidRDefault="007A54EA" w:rsidP="002F651B">
      <w:pPr>
        <w:tabs>
          <w:tab w:val="left" w:pos="3261"/>
        </w:tabs>
        <w:spacing w:line="240" w:lineRule="auto"/>
        <w:ind w:firstLine="1276"/>
        <w:jc w:val="both"/>
        <w:rPr>
          <w:rFonts w:ascii="Gadugi" w:eastAsia="Georgia" w:hAnsi="Gadugi" w:cs="Georgia"/>
          <w:szCs w:val="24"/>
        </w:rPr>
      </w:pPr>
      <w:r w:rsidRPr="002F651B">
        <w:rPr>
          <w:rFonts w:ascii="Gadugi" w:eastAsia="Georgia" w:hAnsi="Gadugi" w:cs="Georgia"/>
          <w:szCs w:val="24"/>
        </w:rPr>
        <w:t xml:space="preserve">Proceso: </w:t>
      </w:r>
      <w:r w:rsidRPr="002F651B">
        <w:rPr>
          <w:rFonts w:ascii="Gadugi" w:eastAsia="Georgia" w:hAnsi="Gadugi" w:cs="Georgia"/>
          <w:szCs w:val="24"/>
        </w:rPr>
        <w:tab/>
        <w:t>Responsabilidad Médica</w:t>
      </w:r>
    </w:p>
    <w:p w14:paraId="7C1F9D5C" w14:textId="3F9423A0" w:rsidR="00F66BCE" w:rsidRPr="002F651B" w:rsidRDefault="007A54EA" w:rsidP="002F651B">
      <w:pPr>
        <w:tabs>
          <w:tab w:val="left" w:pos="3261"/>
        </w:tabs>
        <w:spacing w:line="240" w:lineRule="auto"/>
        <w:ind w:firstLine="1276"/>
        <w:rPr>
          <w:rFonts w:ascii="Gadugi" w:eastAsia="Georgia" w:hAnsi="Gadugi" w:cs="Georgia"/>
          <w:szCs w:val="24"/>
        </w:rPr>
      </w:pPr>
      <w:r w:rsidRPr="002F651B">
        <w:rPr>
          <w:rFonts w:ascii="Gadugi" w:eastAsia="Georgia" w:hAnsi="Gadugi" w:cs="Georgia"/>
          <w:szCs w:val="24"/>
        </w:rPr>
        <w:t>Demandante:</w:t>
      </w:r>
      <w:r w:rsidRPr="002F651B">
        <w:rPr>
          <w:rFonts w:ascii="Gadugi" w:eastAsia="Georgia" w:hAnsi="Gadugi" w:cs="Georgia"/>
          <w:szCs w:val="24"/>
        </w:rPr>
        <w:tab/>
        <w:t xml:space="preserve">Martha Lucía </w:t>
      </w:r>
      <w:r w:rsidR="003244F7" w:rsidRPr="002F651B">
        <w:rPr>
          <w:rFonts w:ascii="Gadugi" w:eastAsia="Georgia" w:hAnsi="Gadugi" w:cs="Georgia"/>
          <w:szCs w:val="24"/>
        </w:rPr>
        <w:t>Pi</w:t>
      </w:r>
      <w:r w:rsidR="003244F7">
        <w:rPr>
          <w:rFonts w:ascii="Gadugi" w:eastAsia="Georgia" w:hAnsi="Gadugi" w:cs="Georgia"/>
          <w:szCs w:val="24"/>
        </w:rPr>
        <w:t>edrahita</w:t>
      </w:r>
      <w:r w:rsidR="002F651B">
        <w:rPr>
          <w:rFonts w:ascii="Gadugi" w:eastAsia="Georgia" w:hAnsi="Gadugi" w:cs="Georgia"/>
          <w:szCs w:val="24"/>
        </w:rPr>
        <w:t xml:space="preserve"> Correa y otros</w:t>
      </w:r>
    </w:p>
    <w:p w14:paraId="5DA65E2C" w14:textId="77777777" w:rsidR="00F66BCE" w:rsidRPr="002F651B" w:rsidRDefault="007A54EA" w:rsidP="002F651B">
      <w:pPr>
        <w:tabs>
          <w:tab w:val="left" w:pos="3261"/>
        </w:tabs>
        <w:spacing w:line="240" w:lineRule="auto"/>
        <w:ind w:firstLine="1276"/>
        <w:jc w:val="both"/>
        <w:rPr>
          <w:rFonts w:ascii="Gadugi" w:eastAsia="Georgia" w:hAnsi="Gadugi" w:cs="Georgia"/>
          <w:szCs w:val="24"/>
        </w:rPr>
      </w:pPr>
      <w:r w:rsidRPr="002F651B">
        <w:rPr>
          <w:rFonts w:ascii="Gadugi" w:eastAsia="Georgia" w:hAnsi="Gadugi" w:cs="Georgia"/>
          <w:szCs w:val="24"/>
        </w:rPr>
        <w:t>Demandado:</w:t>
      </w:r>
      <w:r w:rsidRPr="002F651B">
        <w:rPr>
          <w:rFonts w:ascii="Gadugi" w:eastAsia="Georgia" w:hAnsi="Gadugi" w:cs="Georgia"/>
          <w:szCs w:val="24"/>
        </w:rPr>
        <w:tab/>
        <w:t>Clínica Marañón y otros</w:t>
      </w:r>
    </w:p>
    <w:p w14:paraId="37E8E178" w14:textId="7FDBA8D7" w:rsidR="00103DF0" w:rsidRPr="002F651B" w:rsidRDefault="00103DF0" w:rsidP="002F651B">
      <w:pPr>
        <w:tabs>
          <w:tab w:val="left" w:pos="3261"/>
        </w:tabs>
        <w:spacing w:line="240" w:lineRule="auto"/>
        <w:ind w:firstLine="1276"/>
        <w:jc w:val="both"/>
        <w:rPr>
          <w:rFonts w:ascii="Gadugi" w:eastAsia="Georgia" w:hAnsi="Gadugi" w:cs="Georgia"/>
          <w:szCs w:val="24"/>
        </w:rPr>
      </w:pPr>
      <w:r w:rsidRPr="002F651B">
        <w:rPr>
          <w:rFonts w:ascii="Gadugi" w:eastAsia="Georgia" w:hAnsi="Gadugi" w:cs="Georgia"/>
          <w:szCs w:val="24"/>
        </w:rPr>
        <w:t>Tema:</w:t>
      </w:r>
      <w:r w:rsidRPr="002F651B">
        <w:rPr>
          <w:rFonts w:ascii="Gadugi" w:eastAsia="Georgia" w:hAnsi="Gadugi" w:cs="Georgia"/>
          <w:szCs w:val="24"/>
        </w:rPr>
        <w:tab/>
        <w:t>Nexo causal</w:t>
      </w:r>
    </w:p>
    <w:p w14:paraId="5E4A9EF2" w14:textId="77B13833" w:rsidR="00F66BCE" w:rsidRPr="002F651B" w:rsidRDefault="007A54EA" w:rsidP="002F651B">
      <w:pPr>
        <w:tabs>
          <w:tab w:val="left" w:pos="3261"/>
        </w:tabs>
        <w:spacing w:line="240" w:lineRule="auto"/>
        <w:ind w:firstLine="1276"/>
        <w:jc w:val="both"/>
        <w:rPr>
          <w:rFonts w:ascii="Gadugi" w:eastAsia="Georgia" w:hAnsi="Gadugi" w:cs="Georgia"/>
          <w:sz w:val="24"/>
          <w:szCs w:val="24"/>
        </w:rPr>
      </w:pPr>
      <w:r w:rsidRPr="002F651B">
        <w:rPr>
          <w:rFonts w:ascii="Gadugi" w:eastAsia="Georgia" w:hAnsi="Gadugi" w:cs="Georgia"/>
          <w:szCs w:val="24"/>
        </w:rPr>
        <w:t xml:space="preserve">Acta Nro. </w:t>
      </w:r>
      <w:r w:rsidRPr="002F651B">
        <w:rPr>
          <w:rFonts w:ascii="Gadugi" w:eastAsia="Georgia" w:hAnsi="Gadugi" w:cs="Georgia"/>
          <w:szCs w:val="24"/>
        </w:rPr>
        <w:tab/>
      </w:r>
      <w:r w:rsidR="00E34D76" w:rsidRPr="002F651B">
        <w:rPr>
          <w:rFonts w:ascii="Gadugi" w:eastAsia="Georgia" w:hAnsi="Gadugi" w:cs="Georgia"/>
          <w:szCs w:val="24"/>
        </w:rPr>
        <w:t>516 del 27 de septiembre de 2023</w:t>
      </w:r>
      <w:r w:rsidRPr="002F651B">
        <w:rPr>
          <w:rFonts w:ascii="Gadugi" w:eastAsia="Georgia" w:hAnsi="Gadugi" w:cs="Georgia"/>
          <w:sz w:val="24"/>
          <w:szCs w:val="24"/>
        </w:rPr>
        <w:tab/>
      </w:r>
    </w:p>
    <w:p w14:paraId="6A05A809" w14:textId="77777777" w:rsidR="00F66BCE" w:rsidRPr="002F651B" w:rsidRDefault="00F66BCE" w:rsidP="002F651B">
      <w:pPr>
        <w:tabs>
          <w:tab w:val="left" w:pos="3686"/>
          <w:tab w:val="left" w:pos="4536"/>
        </w:tabs>
        <w:ind w:firstLine="1701"/>
        <w:jc w:val="both"/>
        <w:rPr>
          <w:rFonts w:ascii="Gadugi" w:eastAsia="Georgia" w:hAnsi="Gadugi" w:cs="Georgia"/>
          <w:sz w:val="24"/>
          <w:szCs w:val="24"/>
        </w:rPr>
      </w:pPr>
    </w:p>
    <w:p w14:paraId="72A3D3EC" w14:textId="77777777" w:rsidR="00F66BCE" w:rsidRPr="002F651B" w:rsidRDefault="00F66BCE" w:rsidP="002F651B">
      <w:pPr>
        <w:tabs>
          <w:tab w:val="left" w:pos="3686"/>
          <w:tab w:val="left" w:pos="4536"/>
        </w:tabs>
        <w:ind w:firstLine="1701"/>
        <w:jc w:val="both"/>
        <w:rPr>
          <w:rFonts w:ascii="Gadugi" w:eastAsia="Georgia" w:hAnsi="Gadugi" w:cs="Georgia"/>
          <w:sz w:val="24"/>
          <w:szCs w:val="24"/>
        </w:rPr>
      </w:pPr>
    </w:p>
    <w:p w14:paraId="38185235" w14:textId="09C07694" w:rsidR="00F66BCE" w:rsidRPr="002F651B" w:rsidRDefault="007A54EA" w:rsidP="002F651B">
      <w:pPr>
        <w:tabs>
          <w:tab w:val="left" w:pos="3686"/>
          <w:tab w:val="left" w:pos="4536"/>
        </w:tabs>
        <w:jc w:val="both"/>
        <w:rPr>
          <w:rFonts w:ascii="Gadugi" w:eastAsia="Georgia" w:hAnsi="Gadugi" w:cs="Georgia"/>
          <w:b/>
          <w:sz w:val="24"/>
          <w:szCs w:val="24"/>
        </w:rPr>
      </w:pPr>
      <w:r w:rsidRPr="002F651B">
        <w:rPr>
          <w:rFonts w:ascii="Gadugi" w:eastAsia="Georgia" w:hAnsi="Gadugi" w:cs="Georgia"/>
          <w:sz w:val="24"/>
          <w:szCs w:val="24"/>
        </w:rPr>
        <w:t xml:space="preserve">Resuelve la Sala el recurso de apelación interpuesto </w:t>
      </w:r>
      <w:r w:rsidR="00DB43C7" w:rsidRPr="002F651B">
        <w:rPr>
          <w:rFonts w:ascii="Gadugi" w:eastAsia="Georgia" w:hAnsi="Gadugi" w:cs="Georgia"/>
          <w:sz w:val="24"/>
          <w:szCs w:val="24"/>
        </w:rPr>
        <w:t xml:space="preserve">por la parte demandante </w:t>
      </w:r>
      <w:r w:rsidRPr="002F651B">
        <w:rPr>
          <w:rFonts w:ascii="Gadugi" w:eastAsia="Georgia" w:hAnsi="Gadugi" w:cs="Georgia"/>
          <w:sz w:val="24"/>
          <w:szCs w:val="24"/>
        </w:rPr>
        <w:t xml:space="preserve">contra la sentencia </w:t>
      </w:r>
      <w:r w:rsidR="00704559" w:rsidRPr="002F651B">
        <w:rPr>
          <w:rFonts w:ascii="Gadugi" w:eastAsia="Georgia" w:hAnsi="Gadugi" w:cs="Georgia"/>
          <w:sz w:val="24"/>
          <w:szCs w:val="24"/>
        </w:rPr>
        <w:t xml:space="preserve">del </w:t>
      </w:r>
      <w:r w:rsidR="004E4457" w:rsidRPr="002F651B">
        <w:rPr>
          <w:rFonts w:ascii="Gadugi" w:eastAsia="Georgia" w:hAnsi="Gadugi" w:cs="Georgia"/>
          <w:sz w:val="24"/>
          <w:szCs w:val="24"/>
        </w:rPr>
        <w:t xml:space="preserve">18 de mayo de 2022, </w:t>
      </w:r>
      <w:r w:rsidRPr="002F651B">
        <w:rPr>
          <w:rFonts w:ascii="Gadugi" w:eastAsia="Georgia" w:hAnsi="Gadugi" w:cs="Georgia"/>
          <w:sz w:val="24"/>
          <w:szCs w:val="24"/>
        </w:rPr>
        <w:t xml:space="preserve">proferida por el </w:t>
      </w:r>
      <w:r w:rsidRPr="002F651B">
        <w:rPr>
          <w:rFonts w:ascii="Gadugi" w:eastAsia="Georgia" w:hAnsi="Gadugi" w:cs="Georgia"/>
          <w:b/>
          <w:sz w:val="24"/>
          <w:szCs w:val="24"/>
        </w:rPr>
        <w:t>Juzgado Quinto Civil del Circuito Pereira - Risaralda</w:t>
      </w:r>
      <w:r w:rsidRPr="002F651B">
        <w:rPr>
          <w:rFonts w:ascii="Gadugi" w:eastAsia="Georgia" w:hAnsi="Gadugi" w:cs="Georgia"/>
          <w:sz w:val="24"/>
          <w:szCs w:val="24"/>
        </w:rPr>
        <w:t xml:space="preserve">, en este proceso de </w:t>
      </w:r>
      <w:r w:rsidRPr="002F651B">
        <w:rPr>
          <w:rFonts w:ascii="Gadugi" w:eastAsia="Georgia" w:hAnsi="Gadugi" w:cs="Georgia"/>
          <w:b/>
          <w:sz w:val="24"/>
          <w:szCs w:val="24"/>
        </w:rPr>
        <w:t>responsabilidad médica</w:t>
      </w:r>
      <w:r w:rsidRPr="002F651B">
        <w:rPr>
          <w:rFonts w:ascii="Gadugi" w:eastAsia="Georgia" w:hAnsi="Gadugi" w:cs="Georgia"/>
          <w:sz w:val="24"/>
          <w:szCs w:val="24"/>
        </w:rPr>
        <w:t xml:space="preserve"> </w:t>
      </w:r>
      <w:r w:rsidR="004E4457" w:rsidRPr="002F651B">
        <w:rPr>
          <w:rFonts w:ascii="Gadugi" w:eastAsia="Georgia" w:hAnsi="Gadugi" w:cs="Georgia"/>
          <w:sz w:val="24"/>
          <w:szCs w:val="24"/>
        </w:rPr>
        <w:t xml:space="preserve">iniciado por </w:t>
      </w:r>
      <w:r w:rsidR="009D6129" w:rsidRPr="002F651B">
        <w:rPr>
          <w:rFonts w:ascii="Gadugi" w:eastAsia="Georgia" w:hAnsi="Gadugi" w:cs="Georgia"/>
          <w:b/>
          <w:sz w:val="24"/>
          <w:szCs w:val="24"/>
        </w:rPr>
        <w:t xml:space="preserve">Natalia Morales </w:t>
      </w:r>
      <w:r w:rsidR="00E70B9F" w:rsidRPr="002F651B">
        <w:rPr>
          <w:rFonts w:ascii="Gadugi" w:eastAsia="Georgia" w:hAnsi="Gadugi" w:cs="Georgia"/>
          <w:b/>
          <w:sz w:val="24"/>
          <w:szCs w:val="24"/>
        </w:rPr>
        <w:t>Piedrahíta</w:t>
      </w:r>
      <w:r w:rsidR="009D6129" w:rsidRPr="002F651B">
        <w:rPr>
          <w:rFonts w:ascii="Gadugi" w:eastAsia="Georgia" w:hAnsi="Gadugi" w:cs="Georgia"/>
          <w:b/>
          <w:sz w:val="24"/>
          <w:szCs w:val="24"/>
        </w:rPr>
        <w:t xml:space="preserve">, </w:t>
      </w:r>
      <w:r w:rsidRPr="002F651B">
        <w:rPr>
          <w:rFonts w:ascii="Gadugi" w:eastAsia="Georgia" w:hAnsi="Gadugi" w:cs="Georgia"/>
          <w:b/>
          <w:sz w:val="24"/>
          <w:szCs w:val="24"/>
        </w:rPr>
        <w:t>Martha Lucía, Alfonso Enrique, Ricardo</w:t>
      </w:r>
      <w:r w:rsidR="001C6705" w:rsidRPr="002F651B">
        <w:rPr>
          <w:rFonts w:ascii="Gadugi" w:eastAsia="Georgia" w:hAnsi="Gadugi" w:cs="Georgia"/>
          <w:b/>
          <w:sz w:val="24"/>
          <w:szCs w:val="24"/>
        </w:rPr>
        <w:t xml:space="preserve"> </w:t>
      </w:r>
      <w:r w:rsidR="001C6705" w:rsidRPr="002F651B">
        <w:rPr>
          <w:rFonts w:ascii="Gadugi" w:eastAsia="Georgia" w:hAnsi="Gadugi" w:cs="Georgia"/>
          <w:bCs/>
          <w:sz w:val="24"/>
          <w:szCs w:val="24"/>
        </w:rPr>
        <w:t>y</w:t>
      </w:r>
      <w:r w:rsidRPr="002F651B">
        <w:rPr>
          <w:rFonts w:ascii="Gadugi" w:eastAsia="Georgia" w:hAnsi="Gadugi" w:cs="Georgia"/>
          <w:b/>
          <w:sz w:val="24"/>
          <w:szCs w:val="24"/>
        </w:rPr>
        <w:t xml:space="preserve"> Alejandra </w:t>
      </w:r>
      <w:r w:rsidR="00C3717E" w:rsidRPr="002F651B">
        <w:rPr>
          <w:rFonts w:ascii="Gadugi" w:eastAsia="Georgia" w:hAnsi="Gadugi" w:cs="Georgia"/>
          <w:b/>
          <w:sz w:val="24"/>
          <w:szCs w:val="24"/>
        </w:rPr>
        <w:t>María</w:t>
      </w:r>
      <w:r w:rsidR="00B80D2E" w:rsidRPr="002F651B">
        <w:rPr>
          <w:rFonts w:ascii="Gadugi" w:eastAsia="Georgia" w:hAnsi="Gadugi" w:cs="Georgia"/>
          <w:b/>
          <w:sz w:val="24"/>
          <w:szCs w:val="24"/>
        </w:rPr>
        <w:t xml:space="preserve"> Piedrahíta Correa</w:t>
      </w:r>
      <w:r w:rsidR="009D6129" w:rsidRPr="002F651B">
        <w:rPr>
          <w:rFonts w:ascii="Gadugi" w:eastAsia="Georgia" w:hAnsi="Gadugi" w:cs="Georgia"/>
          <w:b/>
          <w:sz w:val="24"/>
          <w:szCs w:val="24"/>
        </w:rPr>
        <w:t xml:space="preserve"> </w:t>
      </w:r>
      <w:r w:rsidR="00C3717E" w:rsidRPr="002F651B">
        <w:rPr>
          <w:rFonts w:ascii="Gadugi" w:eastAsia="Georgia" w:hAnsi="Gadugi" w:cs="Georgia"/>
          <w:sz w:val="24"/>
          <w:szCs w:val="24"/>
        </w:rPr>
        <w:t>frente</w:t>
      </w:r>
      <w:r w:rsidRPr="002F651B">
        <w:rPr>
          <w:rFonts w:ascii="Gadugi" w:eastAsia="Georgia" w:hAnsi="Gadugi" w:cs="Georgia"/>
          <w:sz w:val="24"/>
          <w:szCs w:val="24"/>
        </w:rPr>
        <w:t xml:space="preserve"> a </w:t>
      </w:r>
      <w:r w:rsidRPr="002F651B">
        <w:rPr>
          <w:rFonts w:ascii="Gadugi" w:eastAsia="Georgia" w:hAnsi="Gadugi" w:cs="Georgia"/>
          <w:bCs/>
          <w:sz w:val="24"/>
          <w:szCs w:val="24"/>
        </w:rPr>
        <w:t>la</w:t>
      </w:r>
      <w:r w:rsidRPr="002F651B">
        <w:rPr>
          <w:rFonts w:ascii="Gadugi" w:eastAsia="Georgia" w:hAnsi="Gadugi" w:cs="Georgia"/>
          <w:b/>
          <w:sz w:val="24"/>
          <w:szCs w:val="24"/>
        </w:rPr>
        <w:t xml:space="preserve"> Nación </w:t>
      </w:r>
      <w:r w:rsidR="003244F7">
        <w:rPr>
          <w:rFonts w:ascii="Gadugi" w:eastAsia="Georgia" w:hAnsi="Gadugi" w:cs="Georgia"/>
          <w:b/>
          <w:sz w:val="24"/>
          <w:szCs w:val="24"/>
        </w:rPr>
        <w:t>–</w:t>
      </w:r>
      <w:r w:rsidR="00537D78" w:rsidRPr="002F651B">
        <w:rPr>
          <w:rFonts w:ascii="Gadugi" w:eastAsia="Georgia" w:hAnsi="Gadugi" w:cs="Georgia"/>
          <w:b/>
          <w:sz w:val="24"/>
          <w:szCs w:val="24"/>
        </w:rPr>
        <w:t xml:space="preserve"> </w:t>
      </w:r>
      <w:r w:rsidRPr="002F651B">
        <w:rPr>
          <w:rFonts w:ascii="Gadugi" w:eastAsia="Georgia" w:hAnsi="Gadugi" w:cs="Georgia"/>
          <w:b/>
          <w:sz w:val="24"/>
          <w:szCs w:val="24"/>
        </w:rPr>
        <w:t xml:space="preserve">Ministerio de Salud y Protección Social, </w:t>
      </w:r>
      <w:r w:rsidR="00F97A47" w:rsidRPr="002F651B">
        <w:rPr>
          <w:rFonts w:ascii="Gadugi" w:eastAsia="Georgia" w:hAnsi="Gadugi" w:cs="Georgia"/>
          <w:bCs/>
          <w:sz w:val="24"/>
          <w:szCs w:val="24"/>
        </w:rPr>
        <w:t xml:space="preserve">el </w:t>
      </w:r>
      <w:r w:rsidR="00F97A47" w:rsidRPr="002F651B">
        <w:rPr>
          <w:rFonts w:ascii="Gadugi" w:eastAsia="Georgia" w:hAnsi="Gadugi" w:cs="Georgia"/>
          <w:b/>
          <w:sz w:val="24"/>
          <w:szCs w:val="24"/>
        </w:rPr>
        <w:t>D</w:t>
      </w:r>
      <w:r w:rsidRPr="002F651B">
        <w:rPr>
          <w:rFonts w:ascii="Gadugi" w:eastAsia="Georgia" w:hAnsi="Gadugi" w:cs="Georgia"/>
          <w:b/>
          <w:sz w:val="24"/>
          <w:szCs w:val="24"/>
        </w:rPr>
        <w:t>epartamento de Risaralda</w:t>
      </w:r>
      <w:r w:rsidR="00F97A47" w:rsidRPr="002F651B">
        <w:rPr>
          <w:rFonts w:ascii="Gadugi" w:eastAsia="Georgia" w:hAnsi="Gadugi" w:cs="Georgia"/>
          <w:b/>
          <w:sz w:val="24"/>
          <w:szCs w:val="24"/>
        </w:rPr>
        <w:t xml:space="preserve"> </w:t>
      </w:r>
      <w:r w:rsidR="003244F7">
        <w:rPr>
          <w:rFonts w:ascii="Gadugi" w:eastAsia="Georgia" w:hAnsi="Gadugi" w:cs="Georgia"/>
          <w:b/>
          <w:sz w:val="24"/>
          <w:szCs w:val="24"/>
        </w:rPr>
        <w:t>–</w:t>
      </w:r>
      <w:r w:rsidR="00F97A47" w:rsidRPr="002F651B">
        <w:rPr>
          <w:rFonts w:ascii="Gadugi" w:eastAsia="Georgia" w:hAnsi="Gadugi" w:cs="Georgia"/>
          <w:b/>
          <w:sz w:val="24"/>
          <w:szCs w:val="24"/>
        </w:rPr>
        <w:t xml:space="preserve"> S</w:t>
      </w:r>
      <w:r w:rsidRPr="002F651B">
        <w:rPr>
          <w:rFonts w:ascii="Gadugi" w:eastAsia="Georgia" w:hAnsi="Gadugi" w:cs="Georgia"/>
          <w:b/>
          <w:sz w:val="24"/>
          <w:szCs w:val="24"/>
        </w:rPr>
        <w:t>ecretar</w:t>
      </w:r>
      <w:r w:rsidR="00F97A47" w:rsidRPr="002F651B">
        <w:rPr>
          <w:rFonts w:ascii="Gadugi" w:eastAsia="Georgia" w:hAnsi="Gadugi" w:cs="Georgia"/>
          <w:b/>
          <w:sz w:val="24"/>
          <w:szCs w:val="24"/>
        </w:rPr>
        <w:t>í</w:t>
      </w:r>
      <w:r w:rsidRPr="002F651B">
        <w:rPr>
          <w:rFonts w:ascii="Gadugi" w:eastAsia="Georgia" w:hAnsi="Gadugi" w:cs="Georgia"/>
          <w:b/>
          <w:sz w:val="24"/>
          <w:szCs w:val="24"/>
        </w:rPr>
        <w:t xml:space="preserve">a de </w:t>
      </w:r>
      <w:r w:rsidR="00F97A47" w:rsidRPr="002F651B">
        <w:rPr>
          <w:rFonts w:ascii="Gadugi" w:eastAsia="Georgia" w:hAnsi="Gadugi" w:cs="Georgia"/>
          <w:b/>
          <w:sz w:val="24"/>
          <w:szCs w:val="24"/>
        </w:rPr>
        <w:t>S</w:t>
      </w:r>
      <w:r w:rsidRPr="002F651B">
        <w:rPr>
          <w:rFonts w:ascii="Gadugi" w:eastAsia="Georgia" w:hAnsi="Gadugi" w:cs="Georgia"/>
          <w:b/>
          <w:sz w:val="24"/>
          <w:szCs w:val="24"/>
        </w:rPr>
        <w:t xml:space="preserve">alud, </w:t>
      </w:r>
      <w:r w:rsidR="00B12B18" w:rsidRPr="002F651B">
        <w:rPr>
          <w:rFonts w:ascii="Gadugi" w:eastAsia="Georgia" w:hAnsi="Gadugi" w:cs="Georgia"/>
          <w:bCs/>
          <w:sz w:val="24"/>
          <w:szCs w:val="24"/>
        </w:rPr>
        <w:t xml:space="preserve">la </w:t>
      </w:r>
      <w:r w:rsidR="00C3717E" w:rsidRPr="002F651B">
        <w:rPr>
          <w:rFonts w:ascii="Gadugi" w:eastAsia="Georgia" w:hAnsi="Gadugi" w:cs="Georgia"/>
          <w:b/>
          <w:sz w:val="24"/>
          <w:szCs w:val="24"/>
        </w:rPr>
        <w:t>Clínica</w:t>
      </w:r>
      <w:r w:rsidRPr="002F651B">
        <w:rPr>
          <w:rFonts w:ascii="Gadugi" w:eastAsia="Georgia" w:hAnsi="Gadugi" w:cs="Georgia"/>
          <w:b/>
          <w:sz w:val="24"/>
          <w:szCs w:val="24"/>
        </w:rPr>
        <w:t xml:space="preserve"> </w:t>
      </w:r>
      <w:r w:rsidR="00E04F33" w:rsidRPr="002F651B">
        <w:rPr>
          <w:rFonts w:ascii="Gadugi" w:eastAsia="Georgia" w:hAnsi="Gadugi" w:cs="Georgia"/>
          <w:b/>
          <w:sz w:val="24"/>
          <w:szCs w:val="24"/>
        </w:rPr>
        <w:t>Marañón</w:t>
      </w:r>
      <w:r w:rsidRPr="002F651B">
        <w:rPr>
          <w:rFonts w:ascii="Gadugi" w:eastAsia="Georgia" w:hAnsi="Gadugi" w:cs="Georgia"/>
          <w:b/>
          <w:sz w:val="24"/>
          <w:szCs w:val="24"/>
        </w:rPr>
        <w:t xml:space="preserve"> S.A.S, Nueva </w:t>
      </w:r>
      <w:proofErr w:type="spellStart"/>
      <w:r w:rsidRPr="002F651B">
        <w:rPr>
          <w:rFonts w:ascii="Gadugi" w:eastAsia="Georgia" w:hAnsi="Gadugi" w:cs="Georgia"/>
          <w:b/>
          <w:sz w:val="24"/>
          <w:szCs w:val="24"/>
        </w:rPr>
        <w:t>EPS</w:t>
      </w:r>
      <w:proofErr w:type="spellEnd"/>
      <w:r w:rsidRPr="002F651B">
        <w:rPr>
          <w:rFonts w:ascii="Gadugi" w:eastAsia="Georgia" w:hAnsi="Gadugi" w:cs="Georgia"/>
          <w:b/>
          <w:sz w:val="24"/>
          <w:szCs w:val="24"/>
        </w:rPr>
        <w:t xml:space="preserve"> </w:t>
      </w:r>
      <w:proofErr w:type="spellStart"/>
      <w:r w:rsidRPr="002F651B">
        <w:rPr>
          <w:rFonts w:ascii="Gadugi" w:eastAsia="Georgia" w:hAnsi="Gadugi" w:cs="Georgia"/>
          <w:b/>
          <w:sz w:val="24"/>
          <w:szCs w:val="24"/>
        </w:rPr>
        <w:t>S.A</w:t>
      </w:r>
      <w:proofErr w:type="spellEnd"/>
      <w:r w:rsidRPr="002F651B">
        <w:rPr>
          <w:rFonts w:ascii="Gadugi" w:eastAsia="Georgia" w:hAnsi="Gadugi" w:cs="Georgia"/>
          <w:b/>
          <w:sz w:val="24"/>
          <w:szCs w:val="24"/>
        </w:rPr>
        <w:t xml:space="preserve">, </w:t>
      </w:r>
      <w:r w:rsidR="00B12B18" w:rsidRPr="002F651B">
        <w:rPr>
          <w:rFonts w:ascii="Gadugi" w:eastAsia="Georgia" w:hAnsi="Gadugi" w:cs="Georgia"/>
          <w:bCs/>
          <w:sz w:val="24"/>
          <w:szCs w:val="24"/>
        </w:rPr>
        <w:t>y</w:t>
      </w:r>
      <w:r w:rsidR="00B12B18" w:rsidRPr="002F651B">
        <w:rPr>
          <w:rFonts w:ascii="Gadugi" w:eastAsia="Georgia" w:hAnsi="Gadugi" w:cs="Georgia"/>
          <w:b/>
          <w:sz w:val="24"/>
          <w:szCs w:val="24"/>
        </w:rPr>
        <w:t xml:space="preserve"> </w:t>
      </w:r>
      <w:proofErr w:type="spellStart"/>
      <w:r w:rsidRPr="002F651B">
        <w:rPr>
          <w:rFonts w:ascii="Gadugi" w:eastAsia="Georgia" w:hAnsi="Gadugi" w:cs="Georgia"/>
          <w:b/>
          <w:sz w:val="24"/>
          <w:szCs w:val="24"/>
        </w:rPr>
        <w:t>Dumian</w:t>
      </w:r>
      <w:proofErr w:type="spellEnd"/>
      <w:r w:rsidRPr="002F651B">
        <w:rPr>
          <w:rFonts w:ascii="Gadugi" w:eastAsia="Georgia" w:hAnsi="Gadugi" w:cs="Georgia"/>
          <w:b/>
          <w:sz w:val="24"/>
          <w:szCs w:val="24"/>
        </w:rPr>
        <w:t xml:space="preserve"> Medical S.A.S. </w:t>
      </w:r>
    </w:p>
    <w:p w14:paraId="0E27B00A" w14:textId="77777777" w:rsidR="00F66BCE" w:rsidRPr="002F651B" w:rsidRDefault="00F66BCE" w:rsidP="002F651B">
      <w:pPr>
        <w:tabs>
          <w:tab w:val="left" w:pos="3686"/>
          <w:tab w:val="left" w:pos="4536"/>
        </w:tabs>
        <w:jc w:val="both"/>
        <w:rPr>
          <w:rFonts w:ascii="Gadugi" w:eastAsia="Georgia" w:hAnsi="Gadugi" w:cs="Georgia"/>
          <w:sz w:val="24"/>
          <w:szCs w:val="24"/>
        </w:rPr>
      </w:pPr>
    </w:p>
    <w:p w14:paraId="0F10BAA5" w14:textId="77777777" w:rsidR="00F66BCE" w:rsidRPr="002F651B" w:rsidRDefault="007A54EA" w:rsidP="002F651B">
      <w:pPr>
        <w:numPr>
          <w:ilvl w:val="0"/>
          <w:numId w:val="1"/>
        </w:numPr>
        <w:pBdr>
          <w:top w:val="nil"/>
          <w:left w:val="nil"/>
          <w:bottom w:val="nil"/>
          <w:right w:val="nil"/>
          <w:between w:val="nil"/>
        </w:pBdr>
        <w:tabs>
          <w:tab w:val="left" w:pos="284"/>
          <w:tab w:val="left" w:pos="3686"/>
          <w:tab w:val="left" w:pos="4536"/>
        </w:tabs>
        <w:ind w:left="0" w:firstLine="0"/>
        <w:rPr>
          <w:rFonts w:ascii="Gadugi" w:eastAsia="Georgia" w:hAnsi="Gadugi" w:cs="Georgia"/>
          <w:b/>
          <w:sz w:val="24"/>
          <w:szCs w:val="24"/>
        </w:rPr>
      </w:pPr>
      <w:r w:rsidRPr="002F651B">
        <w:rPr>
          <w:rFonts w:ascii="Gadugi" w:eastAsia="Georgia" w:hAnsi="Gadugi" w:cs="Georgia"/>
          <w:b/>
          <w:sz w:val="24"/>
          <w:szCs w:val="24"/>
        </w:rPr>
        <w:t>ANTECEDENTES</w:t>
      </w:r>
    </w:p>
    <w:p w14:paraId="3656B9AB" w14:textId="77777777" w:rsidR="00F66BCE" w:rsidRPr="002F651B" w:rsidRDefault="00F66BCE" w:rsidP="002F651B">
      <w:pPr>
        <w:tabs>
          <w:tab w:val="left" w:pos="3686"/>
          <w:tab w:val="left" w:pos="4536"/>
        </w:tabs>
        <w:ind w:firstLine="1701"/>
        <w:jc w:val="center"/>
        <w:rPr>
          <w:rFonts w:ascii="Gadugi" w:eastAsia="Georgia" w:hAnsi="Gadugi" w:cs="Georgia"/>
          <w:b/>
          <w:sz w:val="24"/>
          <w:szCs w:val="24"/>
          <w:u w:val="single"/>
        </w:rPr>
      </w:pPr>
    </w:p>
    <w:p w14:paraId="1E58E311" w14:textId="77777777" w:rsidR="00F66BCE" w:rsidRPr="002F651B" w:rsidRDefault="007A54EA" w:rsidP="002F651B">
      <w:pPr>
        <w:pBdr>
          <w:top w:val="nil"/>
          <w:left w:val="nil"/>
          <w:bottom w:val="nil"/>
          <w:right w:val="nil"/>
          <w:between w:val="nil"/>
        </w:pBdr>
        <w:tabs>
          <w:tab w:val="left" w:pos="3686"/>
          <w:tab w:val="left" w:pos="4536"/>
        </w:tabs>
        <w:rPr>
          <w:rFonts w:ascii="Gadugi" w:eastAsia="Georgia" w:hAnsi="Gadugi" w:cs="Georgia"/>
          <w:b/>
          <w:sz w:val="24"/>
          <w:szCs w:val="24"/>
          <w:u w:val="single"/>
        </w:rPr>
      </w:pPr>
      <w:r w:rsidRPr="002F651B">
        <w:rPr>
          <w:rFonts w:ascii="Gadugi" w:eastAsia="Georgia" w:hAnsi="Gadugi" w:cs="Georgia"/>
          <w:b/>
          <w:sz w:val="24"/>
          <w:szCs w:val="24"/>
        </w:rPr>
        <w:t>1.1.  Hechos</w:t>
      </w:r>
      <w:r w:rsidRPr="002F651B">
        <w:rPr>
          <w:rFonts w:ascii="Gadugi" w:eastAsia="Georgia" w:hAnsi="Gadugi" w:cs="Georgia"/>
          <w:b/>
          <w:sz w:val="24"/>
          <w:szCs w:val="24"/>
          <w:vertAlign w:val="superscript"/>
        </w:rPr>
        <w:footnoteReference w:id="2"/>
      </w:r>
    </w:p>
    <w:p w14:paraId="2DB7B9E4" w14:textId="77777777" w:rsidR="00103DF0" w:rsidRPr="002F651B" w:rsidRDefault="00103DF0" w:rsidP="002F651B">
      <w:pPr>
        <w:pBdr>
          <w:top w:val="nil"/>
          <w:left w:val="nil"/>
          <w:bottom w:val="nil"/>
          <w:right w:val="nil"/>
          <w:between w:val="nil"/>
        </w:pBdr>
        <w:tabs>
          <w:tab w:val="left" w:pos="3686"/>
          <w:tab w:val="left" w:pos="4536"/>
        </w:tabs>
        <w:rPr>
          <w:rFonts w:ascii="Gadugi" w:eastAsia="Georgia" w:hAnsi="Gadugi" w:cs="Georgia"/>
          <w:sz w:val="24"/>
          <w:szCs w:val="24"/>
        </w:rPr>
      </w:pPr>
    </w:p>
    <w:p w14:paraId="71B72592" w14:textId="68D5A288" w:rsidR="00F66BCE" w:rsidRPr="002F651B" w:rsidRDefault="007B0D6D"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t xml:space="preserve">Dice la demanda que </w:t>
      </w:r>
      <w:r w:rsidR="00C3717E" w:rsidRPr="002F651B">
        <w:rPr>
          <w:rFonts w:ascii="Gadugi" w:eastAsia="Georgia" w:hAnsi="Gadugi" w:cs="Georgia"/>
          <w:sz w:val="24"/>
          <w:szCs w:val="24"/>
        </w:rPr>
        <w:t>María</w:t>
      </w:r>
      <w:r w:rsidR="007A54EA" w:rsidRPr="002F651B">
        <w:rPr>
          <w:rFonts w:ascii="Gadugi" w:eastAsia="Georgia" w:hAnsi="Gadugi" w:cs="Georgia"/>
          <w:sz w:val="24"/>
          <w:szCs w:val="24"/>
        </w:rPr>
        <w:t xml:space="preserve"> Nora Correa de </w:t>
      </w:r>
      <w:r w:rsidR="00E70B9F" w:rsidRPr="002F651B">
        <w:rPr>
          <w:rFonts w:ascii="Gadugi" w:eastAsia="Georgia" w:hAnsi="Gadugi" w:cs="Georgia"/>
          <w:sz w:val="24"/>
          <w:szCs w:val="24"/>
        </w:rPr>
        <w:t>Piedrahíta</w:t>
      </w:r>
      <w:r w:rsidR="007A54EA" w:rsidRPr="002F651B">
        <w:rPr>
          <w:rFonts w:ascii="Gadugi" w:eastAsia="Georgia" w:hAnsi="Gadugi" w:cs="Georgia"/>
          <w:sz w:val="24"/>
          <w:szCs w:val="24"/>
        </w:rPr>
        <w:t xml:space="preserve"> acud</w:t>
      </w:r>
      <w:r w:rsidR="00E70B9F" w:rsidRPr="002F651B">
        <w:rPr>
          <w:rFonts w:ascii="Gadugi" w:eastAsia="Georgia" w:hAnsi="Gadugi" w:cs="Georgia"/>
          <w:sz w:val="24"/>
          <w:szCs w:val="24"/>
        </w:rPr>
        <w:t xml:space="preserve">ió </w:t>
      </w:r>
      <w:r w:rsidR="007A54EA" w:rsidRPr="002F651B">
        <w:rPr>
          <w:rFonts w:ascii="Gadugi" w:eastAsia="Georgia" w:hAnsi="Gadugi" w:cs="Georgia"/>
          <w:sz w:val="24"/>
          <w:szCs w:val="24"/>
        </w:rPr>
        <w:t xml:space="preserve">el 23 de enero de 2015 </w:t>
      </w:r>
      <w:r w:rsidR="00B600E6" w:rsidRPr="002F651B">
        <w:rPr>
          <w:rFonts w:ascii="Gadugi" w:eastAsia="Georgia" w:hAnsi="Gadugi" w:cs="Georgia"/>
          <w:sz w:val="24"/>
          <w:szCs w:val="24"/>
        </w:rPr>
        <w:t xml:space="preserve">hacia las 12:17 a.m. </w:t>
      </w:r>
      <w:r w:rsidR="007A54EA" w:rsidRPr="002F651B">
        <w:rPr>
          <w:rFonts w:ascii="Gadugi" w:eastAsia="Georgia" w:hAnsi="Gadugi" w:cs="Georgia"/>
          <w:sz w:val="24"/>
          <w:szCs w:val="24"/>
        </w:rPr>
        <w:t xml:space="preserve">a la </w:t>
      </w:r>
      <w:r w:rsidR="00DC0E31" w:rsidRPr="002F651B">
        <w:rPr>
          <w:rFonts w:ascii="Gadugi" w:eastAsia="Georgia" w:hAnsi="Gadugi" w:cs="Georgia"/>
          <w:sz w:val="24"/>
          <w:szCs w:val="24"/>
        </w:rPr>
        <w:t>C</w:t>
      </w:r>
      <w:r w:rsidR="00C3717E" w:rsidRPr="002F651B">
        <w:rPr>
          <w:rFonts w:ascii="Gadugi" w:eastAsia="Georgia" w:hAnsi="Gadugi" w:cs="Georgia"/>
          <w:sz w:val="24"/>
          <w:szCs w:val="24"/>
        </w:rPr>
        <w:t>línica</w:t>
      </w:r>
      <w:r w:rsidR="007A54EA" w:rsidRPr="002F651B">
        <w:rPr>
          <w:rFonts w:ascii="Gadugi" w:eastAsia="Georgia" w:hAnsi="Gadugi" w:cs="Georgia"/>
          <w:sz w:val="24"/>
          <w:szCs w:val="24"/>
        </w:rPr>
        <w:t xml:space="preserve"> </w:t>
      </w:r>
      <w:r w:rsidR="00B600E6" w:rsidRPr="002F651B">
        <w:rPr>
          <w:rFonts w:ascii="Gadugi" w:eastAsia="Georgia" w:hAnsi="Gadugi" w:cs="Georgia"/>
          <w:sz w:val="24"/>
          <w:szCs w:val="24"/>
        </w:rPr>
        <w:t>Marañón</w:t>
      </w:r>
      <w:r w:rsidR="007A54EA" w:rsidRPr="002F651B">
        <w:rPr>
          <w:rFonts w:ascii="Gadugi" w:eastAsia="Georgia" w:hAnsi="Gadugi" w:cs="Georgia"/>
          <w:sz w:val="24"/>
          <w:szCs w:val="24"/>
        </w:rPr>
        <w:t xml:space="preserve"> </w:t>
      </w:r>
      <w:r w:rsidR="00AB7098" w:rsidRPr="002F651B">
        <w:rPr>
          <w:rFonts w:ascii="Gadugi" w:eastAsia="Georgia" w:hAnsi="Gadugi" w:cs="Georgia"/>
          <w:sz w:val="24"/>
          <w:szCs w:val="24"/>
        </w:rPr>
        <w:t xml:space="preserve">SAS, porque presentaba </w:t>
      </w:r>
      <w:r w:rsidR="007A54EA" w:rsidRPr="002F651B">
        <w:rPr>
          <w:rFonts w:ascii="Gadugi" w:eastAsia="Georgia" w:hAnsi="Gadugi" w:cs="Georgia"/>
          <w:sz w:val="24"/>
          <w:szCs w:val="24"/>
        </w:rPr>
        <w:t>“</w:t>
      </w:r>
      <w:r w:rsidR="007A54EA" w:rsidRPr="002F651B">
        <w:rPr>
          <w:rFonts w:ascii="Gadugi" w:eastAsia="Georgia" w:hAnsi="Gadugi" w:cs="Georgia"/>
          <w:i/>
          <w:iCs/>
          <w:sz w:val="24"/>
          <w:szCs w:val="24"/>
        </w:rPr>
        <w:t>un dolor muy fuerte, en el sector abdominal, vómito, no presenta fiebre</w:t>
      </w:r>
      <w:r w:rsidR="007A54EA" w:rsidRPr="002F651B">
        <w:rPr>
          <w:rFonts w:ascii="Gadugi" w:eastAsia="Georgia" w:hAnsi="Gadugi" w:cs="Georgia"/>
          <w:sz w:val="24"/>
          <w:szCs w:val="24"/>
        </w:rPr>
        <w:t>” y se le diagnostic</w:t>
      </w:r>
      <w:r w:rsidR="0019238F" w:rsidRPr="002F651B">
        <w:rPr>
          <w:rFonts w:ascii="Gadugi" w:eastAsia="Georgia" w:hAnsi="Gadugi" w:cs="Georgia"/>
          <w:sz w:val="24"/>
          <w:szCs w:val="24"/>
        </w:rPr>
        <w:t>ó</w:t>
      </w:r>
      <w:r w:rsidR="007A54EA" w:rsidRPr="002F651B">
        <w:rPr>
          <w:rFonts w:ascii="Gadugi" w:eastAsia="Georgia" w:hAnsi="Gadugi" w:cs="Georgia"/>
          <w:sz w:val="24"/>
          <w:szCs w:val="24"/>
        </w:rPr>
        <w:t xml:space="preserve"> “</w:t>
      </w:r>
      <w:r w:rsidR="0019238F" w:rsidRPr="002F651B">
        <w:rPr>
          <w:rFonts w:ascii="Gadugi" w:eastAsia="Georgia" w:hAnsi="Gadugi" w:cs="Georgia"/>
          <w:i/>
          <w:iCs/>
          <w:sz w:val="24"/>
          <w:szCs w:val="24"/>
        </w:rPr>
        <w:t>una i</w:t>
      </w:r>
      <w:r w:rsidR="007A54EA" w:rsidRPr="002F651B">
        <w:rPr>
          <w:rFonts w:ascii="Gadugi" w:eastAsia="Georgia" w:hAnsi="Gadugi" w:cs="Georgia"/>
          <w:i/>
          <w:iCs/>
          <w:sz w:val="24"/>
          <w:szCs w:val="24"/>
        </w:rPr>
        <w:t>ctericia no especificada</w:t>
      </w:r>
      <w:r w:rsidR="007A54EA" w:rsidRPr="002F651B">
        <w:rPr>
          <w:rFonts w:ascii="Gadugi" w:eastAsia="Georgia" w:hAnsi="Gadugi" w:cs="Georgia"/>
          <w:sz w:val="24"/>
          <w:szCs w:val="24"/>
        </w:rPr>
        <w:t xml:space="preserve">” en </w:t>
      </w:r>
      <w:r w:rsidR="000E3067" w:rsidRPr="002F651B">
        <w:rPr>
          <w:rFonts w:ascii="Gadugi" w:eastAsia="Georgia" w:hAnsi="Gadugi" w:cs="Georgia"/>
          <w:sz w:val="24"/>
          <w:szCs w:val="24"/>
        </w:rPr>
        <w:t xml:space="preserve">la primera </w:t>
      </w:r>
      <w:r w:rsidR="007A54EA" w:rsidRPr="002F651B">
        <w:rPr>
          <w:rFonts w:ascii="Gadugi" w:eastAsia="Georgia" w:hAnsi="Gadugi" w:cs="Georgia"/>
          <w:sz w:val="24"/>
          <w:szCs w:val="24"/>
        </w:rPr>
        <w:t xml:space="preserve">valoración por parte de </w:t>
      </w:r>
      <w:r w:rsidR="00C3717E" w:rsidRPr="002F651B">
        <w:rPr>
          <w:rFonts w:ascii="Gadugi" w:eastAsia="Georgia" w:hAnsi="Gadugi" w:cs="Georgia"/>
          <w:sz w:val="24"/>
          <w:szCs w:val="24"/>
        </w:rPr>
        <w:t>médico</w:t>
      </w:r>
      <w:r w:rsidR="007A54EA" w:rsidRPr="002F651B">
        <w:rPr>
          <w:rFonts w:ascii="Gadugi" w:eastAsia="Georgia" w:hAnsi="Gadugi" w:cs="Georgia"/>
          <w:sz w:val="24"/>
          <w:szCs w:val="24"/>
        </w:rPr>
        <w:t xml:space="preserve"> general, </w:t>
      </w:r>
      <w:r w:rsidR="000E3067" w:rsidRPr="002F651B">
        <w:rPr>
          <w:rFonts w:ascii="Gadugi" w:eastAsia="Georgia" w:hAnsi="Gadugi" w:cs="Georgia"/>
          <w:sz w:val="24"/>
          <w:szCs w:val="24"/>
        </w:rPr>
        <w:t xml:space="preserve">se recomendó revalorar y realizarle exámenes </w:t>
      </w:r>
      <w:r w:rsidR="00B62882" w:rsidRPr="002F651B">
        <w:rPr>
          <w:rFonts w:ascii="Gadugi" w:eastAsia="Georgia" w:hAnsi="Gadugi" w:cs="Georgia"/>
          <w:sz w:val="24"/>
          <w:szCs w:val="24"/>
        </w:rPr>
        <w:t xml:space="preserve">paraclínicos, le </w:t>
      </w:r>
      <w:r w:rsidR="007A54EA" w:rsidRPr="002F651B">
        <w:rPr>
          <w:rFonts w:ascii="Gadugi" w:eastAsia="Georgia" w:hAnsi="Gadugi" w:cs="Georgia"/>
          <w:sz w:val="24"/>
          <w:szCs w:val="24"/>
        </w:rPr>
        <w:t>rece</w:t>
      </w:r>
      <w:r w:rsidR="00B62882" w:rsidRPr="002F651B">
        <w:rPr>
          <w:rFonts w:ascii="Gadugi" w:eastAsia="Georgia" w:hAnsi="Gadugi" w:cs="Georgia"/>
          <w:sz w:val="24"/>
          <w:szCs w:val="24"/>
        </w:rPr>
        <w:t xml:space="preserve">taron </w:t>
      </w:r>
      <w:r w:rsidR="00C3717E" w:rsidRPr="002F651B">
        <w:rPr>
          <w:rFonts w:ascii="Gadugi" w:eastAsia="Georgia" w:hAnsi="Gadugi" w:cs="Georgia"/>
          <w:sz w:val="24"/>
          <w:szCs w:val="24"/>
        </w:rPr>
        <w:t>analgésicos</w:t>
      </w:r>
      <w:r w:rsidR="007A54EA" w:rsidRPr="002F651B">
        <w:rPr>
          <w:rFonts w:ascii="Gadugi" w:eastAsia="Georgia" w:hAnsi="Gadugi" w:cs="Georgia"/>
          <w:sz w:val="24"/>
          <w:szCs w:val="24"/>
        </w:rPr>
        <w:t xml:space="preserve"> e </w:t>
      </w:r>
      <w:r w:rsidR="00C3717E" w:rsidRPr="002F651B">
        <w:rPr>
          <w:rFonts w:ascii="Gadugi" w:eastAsia="Georgia" w:hAnsi="Gadugi" w:cs="Georgia"/>
          <w:sz w:val="24"/>
          <w:szCs w:val="24"/>
        </w:rPr>
        <w:t>hidratación</w:t>
      </w:r>
      <w:r w:rsidR="007A54EA" w:rsidRPr="002F651B">
        <w:rPr>
          <w:rFonts w:ascii="Gadugi" w:eastAsia="Georgia" w:hAnsi="Gadugi" w:cs="Georgia"/>
          <w:sz w:val="24"/>
          <w:szCs w:val="24"/>
        </w:rPr>
        <w:t>.</w:t>
      </w:r>
    </w:p>
    <w:p w14:paraId="370E8BBF" w14:textId="77777777" w:rsidR="00841C92" w:rsidRPr="002F651B" w:rsidRDefault="00841C92"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36BB2599" w14:textId="64B5C66C" w:rsidR="00F66BCE" w:rsidRPr="002F651B" w:rsidRDefault="00841C92" w:rsidP="002F651B">
      <w:pPr>
        <w:pBdr>
          <w:top w:val="nil"/>
          <w:left w:val="nil"/>
          <w:bottom w:val="nil"/>
          <w:right w:val="nil"/>
          <w:between w:val="nil"/>
        </w:pBdr>
        <w:tabs>
          <w:tab w:val="left" w:pos="3686"/>
          <w:tab w:val="left" w:pos="4536"/>
        </w:tabs>
        <w:jc w:val="both"/>
        <w:rPr>
          <w:rFonts w:ascii="Gadugi" w:eastAsia="Georgia" w:hAnsi="Gadugi" w:cs="Georgia"/>
          <w:i/>
          <w:iCs/>
          <w:sz w:val="24"/>
          <w:szCs w:val="24"/>
        </w:rPr>
      </w:pPr>
      <w:r w:rsidRPr="002F651B">
        <w:rPr>
          <w:rFonts w:ascii="Gadugi" w:eastAsia="Georgia" w:hAnsi="Gadugi" w:cs="Georgia"/>
          <w:sz w:val="24"/>
          <w:szCs w:val="24"/>
        </w:rPr>
        <w:t>A eso de las 2:00 a.m. vuelve a ser valorada por el mismo galeno</w:t>
      </w:r>
      <w:r w:rsidR="00E95BFB" w:rsidRPr="002F651B">
        <w:rPr>
          <w:rFonts w:ascii="Gadugi" w:eastAsia="Georgia" w:hAnsi="Gadugi" w:cs="Georgia"/>
          <w:sz w:val="24"/>
          <w:szCs w:val="24"/>
        </w:rPr>
        <w:t xml:space="preserve">, quien consigna que </w:t>
      </w:r>
      <w:r w:rsidR="00E95BFB" w:rsidRPr="002F651B">
        <w:rPr>
          <w:rFonts w:ascii="Gadugi" w:eastAsia="Georgia" w:hAnsi="Gadugi" w:cs="Georgia"/>
          <w:i/>
          <w:iCs/>
          <w:sz w:val="24"/>
          <w:szCs w:val="24"/>
        </w:rPr>
        <w:t>“No presenta signos de irritación peritoneal y tampoco pres</w:t>
      </w:r>
      <w:r w:rsidR="009B02C7" w:rsidRPr="002F651B">
        <w:rPr>
          <w:rFonts w:ascii="Gadugi" w:eastAsia="Georgia" w:hAnsi="Gadugi" w:cs="Georgia"/>
          <w:i/>
          <w:iCs/>
          <w:sz w:val="24"/>
          <w:szCs w:val="24"/>
        </w:rPr>
        <w:t>enta abdomen quirúrgico”</w:t>
      </w:r>
      <w:r w:rsidR="009B02C7" w:rsidRPr="002F651B">
        <w:rPr>
          <w:rFonts w:ascii="Gadugi" w:eastAsia="Georgia" w:hAnsi="Gadugi" w:cs="Georgia"/>
          <w:sz w:val="24"/>
          <w:szCs w:val="24"/>
        </w:rPr>
        <w:t>, recomendó revalorar</w:t>
      </w:r>
      <w:r w:rsidR="004018AB" w:rsidRPr="002F651B">
        <w:rPr>
          <w:rFonts w:ascii="Gadugi" w:eastAsia="Georgia" w:hAnsi="Gadugi" w:cs="Georgia"/>
          <w:sz w:val="24"/>
          <w:szCs w:val="24"/>
        </w:rPr>
        <w:t xml:space="preserve"> con los resultados de los exámenes paraclínicos y el examen CPRE</w:t>
      </w:r>
      <w:r w:rsidRPr="002F651B">
        <w:rPr>
          <w:rFonts w:ascii="Gadugi" w:eastAsia="Georgia" w:hAnsi="Gadugi" w:cs="Georgia"/>
          <w:sz w:val="24"/>
          <w:szCs w:val="24"/>
        </w:rPr>
        <w:t xml:space="preserve"> </w:t>
      </w:r>
      <w:r w:rsidR="004018AB" w:rsidRPr="002F651B">
        <w:rPr>
          <w:rFonts w:ascii="Gadugi" w:eastAsia="Georgia" w:hAnsi="Gadugi" w:cs="Georgia"/>
          <w:sz w:val="24"/>
          <w:szCs w:val="24"/>
        </w:rPr>
        <w:t>que, según</w:t>
      </w:r>
      <w:r w:rsidR="00BE5E33" w:rsidRPr="002F651B">
        <w:rPr>
          <w:rFonts w:ascii="Gadugi" w:eastAsia="Georgia" w:hAnsi="Gadugi" w:cs="Georgia"/>
          <w:sz w:val="24"/>
          <w:szCs w:val="24"/>
        </w:rPr>
        <w:t xml:space="preserve"> la</w:t>
      </w:r>
      <w:r w:rsidR="007A54EA" w:rsidRPr="002F651B">
        <w:rPr>
          <w:rFonts w:ascii="Gadugi" w:eastAsia="Georgia" w:hAnsi="Gadugi" w:cs="Georgia"/>
          <w:sz w:val="24"/>
          <w:szCs w:val="24"/>
        </w:rPr>
        <w:t xml:space="preserve"> </w:t>
      </w:r>
      <w:proofErr w:type="spellStart"/>
      <w:r w:rsidR="007A54EA" w:rsidRPr="002F651B">
        <w:rPr>
          <w:rFonts w:ascii="Gadugi" w:eastAsia="Georgia" w:hAnsi="Gadugi" w:cs="Georgia"/>
          <w:i/>
          <w:iCs/>
          <w:sz w:val="24"/>
          <w:szCs w:val="24"/>
        </w:rPr>
        <w:t>lex</w:t>
      </w:r>
      <w:proofErr w:type="spellEnd"/>
      <w:r w:rsidR="007A54EA" w:rsidRPr="002F651B">
        <w:rPr>
          <w:rFonts w:ascii="Gadugi" w:eastAsia="Georgia" w:hAnsi="Gadugi" w:cs="Georgia"/>
          <w:i/>
          <w:iCs/>
          <w:sz w:val="24"/>
          <w:szCs w:val="24"/>
        </w:rPr>
        <w:t xml:space="preserve"> </w:t>
      </w:r>
      <w:proofErr w:type="spellStart"/>
      <w:r w:rsidR="007A54EA" w:rsidRPr="002F651B">
        <w:rPr>
          <w:rFonts w:ascii="Gadugi" w:eastAsia="Georgia" w:hAnsi="Gadugi" w:cs="Georgia"/>
          <w:i/>
          <w:iCs/>
          <w:sz w:val="24"/>
          <w:szCs w:val="24"/>
        </w:rPr>
        <w:t>artis</w:t>
      </w:r>
      <w:proofErr w:type="spellEnd"/>
      <w:r w:rsidR="0046704F" w:rsidRPr="002F651B">
        <w:rPr>
          <w:rFonts w:ascii="Gadugi" w:eastAsia="Georgia" w:hAnsi="Gadugi" w:cs="Georgia"/>
          <w:i/>
          <w:iCs/>
          <w:sz w:val="24"/>
          <w:szCs w:val="24"/>
        </w:rPr>
        <w:t>,</w:t>
      </w:r>
      <w:r w:rsidR="007A54EA" w:rsidRPr="002F651B">
        <w:rPr>
          <w:rFonts w:ascii="Gadugi" w:eastAsia="Georgia" w:hAnsi="Gadugi" w:cs="Georgia"/>
          <w:sz w:val="24"/>
          <w:szCs w:val="24"/>
        </w:rPr>
        <w:t xml:space="preserve"> sirve para diagnosticar la existencia de cálculos en el conducto biliar. </w:t>
      </w:r>
      <w:r w:rsidR="00DE6CFB" w:rsidRPr="002F651B">
        <w:rPr>
          <w:rFonts w:ascii="Gadugi" w:eastAsia="Georgia" w:hAnsi="Gadugi" w:cs="Georgia"/>
          <w:sz w:val="24"/>
          <w:szCs w:val="24"/>
        </w:rPr>
        <w:t xml:space="preserve">Dejó plasmado, entonces, que se trataba, posiblemente, de un </w:t>
      </w:r>
      <w:r w:rsidR="00DE6CFB" w:rsidRPr="002F651B">
        <w:rPr>
          <w:rFonts w:ascii="Gadugi" w:eastAsia="Georgia" w:hAnsi="Gadugi" w:cs="Georgia"/>
          <w:i/>
          <w:iCs/>
          <w:sz w:val="24"/>
          <w:szCs w:val="24"/>
        </w:rPr>
        <w:t>“cálculo de conducto biliar sin colangitis no colecistitis”.</w:t>
      </w:r>
    </w:p>
    <w:p w14:paraId="69C4275A" w14:textId="77777777" w:rsidR="00DE6CFB" w:rsidRPr="002F651B" w:rsidRDefault="00DE6CFB" w:rsidP="002F651B">
      <w:pPr>
        <w:pBdr>
          <w:top w:val="nil"/>
          <w:left w:val="nil"/>
          <w:bottom w:val="nil"/>
          <w:right w:val="nil"/>
          <w:between w:val="nil"/>
        </w:pBdr>
        <w:tabs>
          <w:tab w:val="left" w:pos="3686"/>
          <w:tab w:val="left" w:pos="4536"/>
        </w:tabs>
        <w:jc w:val="both"/>
        <w:rPr>
          <w:rFonts w:ascii="Gadugi" w:eastAsia="Georgia" w:hAnsi="Gadugi" w:cs="Georgia"/>
          <w:i/>
          <w:iCs/>
          <w:sz w:val="24"/>
          <w:szCs w:val="24"/>
        </w:rPr>
      </w:pPr>
    </w:p>
    <w:p w14:paraId="2A12D0F4" w14:textId="771B58F1" w:rsidR="0060571C" w:rsidRPr="002F651B" w:rsidRDefault="007A54EA"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t>A las 5:37 p</w:t>
      </w:r>
      <w:r w:rsidR="003C5BDB" w:rsidRPr="002F651B">
        <w:rPr>
          <w:rFonts w:ascii="Gadugi" w:eastAsia="Georgia" w:hAnsi="Gadugi" w:cs="Georgia"/>
          <w:sz w:val="24"/>
          <w:szCs w:val="24"/>
        </w:rPr>
        <w:t>.m.</w:t>
      </w:r>
      <w:r w:rsidRPr="002F651B">
        <w:rPr>
          <w:rFonts w:ascii="Gadugi" w:eastAsia="Georgia" w:hAnsi="Gadugi" w:cs="Georgia"/>
          <w:sz w:val="24"/>
          <w:szCs w:val="24"/>
        </w:rPr>
        <w:t xml:space="preserve"> </w:t>
      </w:r>
      <w:r w:rsidR="003C5BDB" w:rsidRPr="002F651B">
        <w:rPr>
          <w:rFonts w:ascii="Gadugi" w:eastAsia="Georgia" w:hAnsi="Gadugi" w:cs="Georgia"/>
          <w:sz w:val="24"/>
          <w:szCs w:val="24"/>
        </w:rPr>
        <w:t xml:space="preserve">del mismo día fue </w:t>
      </w:r>
      <w:r w:rsidRPr="002F651B">
        <w:rPr>
          <w:rFonts w:ascii="Gadugi" w:eastAsia="Georgia" w:hAnsi="Gadugi" w:cs="Georgia"/>
          <w:sz w:val="24"/>
          <w:szCs w:val="24"/>
        </w:rPr>
        <w:t>valorada por cirujano general</w:t>
      </w:r>
      <w:r w:rsidR="00C15912" w:rsidRPr="002F651B">
        <w:rPr>
          <w:rFonts w:ascii="Gadugi" w:eastAsia="Georgia" w:hAnsi="Gadugi" w:cs="Georgia"/>
          <w:sz w:val="24"/>
          <w:szCs w:val="24"/>
        </w:rPr>
        <w:t xml:space="preserve">, doctor </w:t>
      </w:r>
      <w:r w:rsidRPr="002F651B">
        <w:rPr>
          <w:rFonts w:ascii="Gadugi" w:eastAsia="Georgia" w:hAnsi="Gadugi" w:cs="Georgia"/>
          <w:sz w:val="24"/>
          <w:szCs w:val="24"/>
        </w:rPr>
        <w:t>Wilfredo Cortes Mosquera</w:t>
      </w:r>
      <w:r w:rsidR="00C15912" w:rsidRPr="002F651B">
        <w:rPr>
          <w:rFonts w:ascii="Gadugi" w:eastAsia="Georgia" w:hAnsi="Gadugi" w:cs="Georgia"/>
          <w:sz w:val="24"/>
          <w:szCs w:val="24"/>
        </w:rPr>
        <w:t xml:space="preserve">, </w:t>
      </w:r>
      <w:r w:rsidRPr="002F651B">
        <w:rPr>
          <w:rFonts w:ascii="Gadugi" w:eastAsia="Georgia" w:hAnsi="Gadugi" w:cs="Georgia"/>
          <w:sz w:val="24"/>
          <w:szCs w:val="24"/>
        </w:rPr>
        <w:t>quien al ver los paraclínicos diagn</w:t>
      </w:r>
      <w:r w:rsidR="00C15912" w:rsidRPr="002F651B">
        <w:rPr>
          <w:rFonts w:ascii="Gadugi" w:eastAsia="Georgia" w:hAnsi="Gadugi" w:cs="Georgia"/>
          <w:sz w:val="24"/>
          <w:szCs w:val="24"/>
        </w:rPr>
        <w:t>osticó erróneamente</w:t>
      </w:r>
      <w:r w:rsidR="009C613E" w:rsidRPr="002F651B">
        <w:rPr>
          <w:rFonts w:ascii="Gadugi" w:eastAsia="Georgia" w:hAnsi="Gadugi" w:cs="Georgia"/>
          <w:sz w:val="24"/>
          <w:szCs w:val="24"/>
        </w:rPr>
        <w:t xml:space="preserve"> que es una </w:t>
      </w:r>
      <w:r w:rsidRPr="002F651B">
        <w:rPr>
          <w:rFonts w:ascii="Gadugi" w:eastAsia="Georgia" w:hAnsi="Gadugi" w:cs="Georgia"/>
          <w:sz w:val="24"/>
          <w:szCs w:val="24"/>
        </w:rPr>
        <w:t>“</w:t>
      </w:r>
      <w:r w:rsidRPr="002F651B">
        <w:rPr>
          <w:rFonts w:ascii="Gadugi" w:eastAsia="Georgia" w:hAnsi="Gadugi" w:cs="Georgia"/>
          <w:i/>
          <w:iCs/>
          <w:sz w:val="24"/>
          <w:szCs w:val="24"/>
        </w:rPr>
        <w:t>paciente con cuadro clínico sugestivo de obstrucción parcial de vías biliares</w:t>
      </w:r>
      <w:r w:rsidRPr="002F651B">
        <w:rPr>
          <w:rFonts w:ascii="Gadugi" w:eastAsia="Georgia" w:hAnsi="Gadugi" w:cs="Georgia"/>
          <w:sz w:val="24"/>
          <w:szCs w:val="24"/>
        </w:rPr>
        <w:t xml:space="preserve">”. </w:t>
      </w:r>
    </w:p>
    <w:p w14:paraId="42AC99A3" w14:textId="77777777" w:rsidR="007A7AFA" w:rsidRPr="002F651B" w:rsidRDefault="007A7AFA"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69E2A35E" w14:textId="69614A7B" w:rsidR="0060571C" w:rsidRPr="002F651B" w:rsidRDefault="007A7AFA"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t xml:space="preserve">El 24 de enero de 2015, a las 4:41 p.m. fue </w:t>
      </w:r>
      <w:r w:rsidR="005D64D7" w:rsidRPr="002F651B">
        <w:rPr>
          <w:rFonts w:ascii="Gadugi" w:eastAsia="Georgia" w:hAnsi="Gadugi" w:cs="Georgia"/>
          <w:sz w:val="24"/>
          <w:szCs w:val="24"/>
        </w:rPr>
        <w:t>revisada</w:t>
      </w:r>
      <w:r w:rsidRPr="002F651B">
        <w:rPr>
          <w:rFonts w:ascii="Gadugi" w:eastAsia="Georgia" w:hAnsi="Gadugi" w:cs="Georgia"/>
          <w:sz w:val="24"/>
          <w:szCs w:val="24"/>
        </w:rPr>
        <w:t xml:space="preserve"> otra vez por cirujano general</w:t>
      </w:r>
      <w:r w:rsidR="005F046F" w:rsidRPr="002F651B">
        <w:rPr>
          <w:rFonts w:ascii="Gadugi" w:eastAsia="Georgia" w:hAnsi="Gadugi" w:cs="Georgia"/>
          <w:sz w:val="24"/>
          <w:szCs w:val="24"/>
        </w:rPr>
        <w:t xml:space="preserve"> y</w:t>
      </w:r>
      <w:r w:rsidR="00381D4F" w:rsidRPr="002F651B">
        <w:rPr>
          <w:rFonts w:ascii="Gadugi" w:eastAsia="Georgia" w:hAnsi="Gadugi" w:cs="Georgia"/>
          <w:sz w:val="24"/>
          <w:szCs w:val="24"/>
        </w:rPr>
        <w:t xml:space="preserve"> </w:t>
      </w:r>
      <w:r w:rsidR="005F046F" w:rsidRPr="002F651B">
        <w:rPr>
          <w:rFonts w:ascii="Gadugi" w:eastAsia="Georgia" w:hAnsi="Gadugi" w:cs="Georgia"/>
          <w:sz w:val="24"/>
          <w:szCs w:val="24"/>
        </w:rPr>
        <w:t>al examen subjetivo se le halló con dolor abdominal intenso</w:t>
      </w:r>
      <w:r w:rsidR="00476D98" w:rsidRPr="002F651B">
        <w:rPr>
          <w:rFonts w:ascii="Gadugi" w:eastAsia="Georgia" w:hAnsi="Gadugi" w:cs="Georgia"/>
          <w:sz w:val="24"/>
          <w:szCs w:val="24"/>
        </w:rPr>
        <w:t xml:space="preserve">, sin vómito ni fiebre; sintetizó el </w:t>
      </w:r>
      <w:r w:rsidR="00883CB6" w:rsidRPr="002F651B">
        <w:rPr>
          <w:rFonts w:ascii="Gadugi" w:eastAsia="Georgia" w:hAnsi="Gadugi" w:cs="Georgia"/>
          <w:sz w:val="24"/>
          <w:szCs w:val="24"/>
        </w:rPr>
        <w:t xml:space="preserve">médico </w:t>
      </w:r>
      <w:r w:rsidR="00883CB6" w:rsidRPr="002F651B">
        <w:rPr>
          <w:rFonts w:ascii="Gadugi" w:eastAsia="Georgia" w:hAnsi="Gadugi" w:cs="Georgia"/>
          <w:i/>
          <w:iCs/>
          <w:sz w:val="24"/>
          <w:szCs w:val="24"/>
        </w:rPr>
        <w:t>“la evolución hacia el empeoramiento</w:t>
      </w:r>
      <w:r w:rsidR="00762649" w:rsidRPr="002F651B">
        <w:rPr>
          <w:rFonts w:ascii="Gadugi" w:eastAsia="Georgia" w:hAnsi="Gadugi" w:cs="Georgia"/>
          <w:i/>
          <w:iCs/>
          <w:sz w:val="24"/>
          <w:szCs w:val="24"/>
        </w:rPr>
        <w:t>, por lo cual se considera que requiere remisión urgente a nivel III, como urgencia vital”.</w:t>
      </w:r>
      <w:r w:rsidR="00762649" w:rsidRPr="002F651B">
        <w:rPr>
          <w:rFonts w:ascii="Gadugi" w:eastAsia="Georgia" w:hAnsi="Gadugi" w:cs="Georgia"/>
          <w:sz w:val="24"/>
          <w:szCs w:val="24"/>
        </w:rPr>
        <w:t xml:space="preserve"> </w:t>
      </w:r>
      <w:r w:rsidR="007865CF" w:rsidRPr="002F651B">
        <w:rPr>
          <w:rFonts w:ascii="Gadugi" w:eastAsia="Georgia" w:hAnsi="Gadugi" w:cs="Georgia"/>
          <w:sz w:val="24"/>
          <w:szCs w:val="24"/>
        </w:rPr>
        <w:t xml:space="preserve">También se diagnosticó que tenía </w:t>
      </w:r>
      <w:r w:rsidR="00F90029" w:rsidRPr="002F651B">
        <w:rPr>
          <w:rFonts w:ascii="Gadugi" w:eastAsia="Georgia" w:hAnsi="Gadugi" w:cs="Georgia"/>
          <w:i/>
          <w:iCs/>
          <w:sz w:val="24"/>
          <w:szCs w:val="24"/>
        </w:rPr>
        <w:lastRenderedPageBreak/>
        <w:t xml:space="preserve">“abdomen agudo”. </w:t>
      </w:r>
      <w:r w:rsidR="00762649" w:rsidRPr="002F651B">
        <w:rPr>
          <w:rFonts w:ascii="Gadugi" w:eastAsia="Georgia" w:hAnsi="Gadugi" w:cs="Georgia"/>
          <w:sz w:val="24"/>
          <w:szCs w:val="24"/>
        </w:rPr>
        <w:t xml:space="preserve">Para ese momento ya habían transcurrido más de 28 horas desde su primera consulta. </w:t>
      </w:r>
    </w:p>
    <w:p w14:paraId="303C1E68" w14:textId="77777777" w:rsidR="00762649" w:rsidRPr="002F651B" w:rsidRDefault="00762649" w:rsidP="002F651B">
      <w:pPr>
        <w:pBdr>
          <w:top w:val="nil"/>
          <w:left w:val="nil"/>
          <w:bottom w:val="nil"/>
          <w:right w:val="nil"/>
          <w:between w:val="nil"/>
        </w:pBdr>
        <w:tabs>
          <w:tab w:val="left" w:pos="3686"/>
          <w:tab w:val="left" w:pos="4536"/>
        </w:tabs>
        <w:jc w:val="both"/>
        <w:rPr>
          <w:rFonts w:ascii="Gadugi" w:eastAsia="Georgia" w:hAnsi="Gadugi" w:cs="Georgia"/>
          <w:i/>
          <w:iCs/>
          <w:sz w:val="24"/>
          <w:szCs w:val="24"/>
        </w:rPr>
      </w:pPr>
    </w:p>
    <w:p w14:paraId="6E637515" w14:textId="54308B4D" w:rsidR="00F66BCE" w:rsidRPr="002F651B" w:rsidRDefault="00B058DC"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t xml:space="preserve">Los empleados de la </w:t>
      </w:r>
      <w:r w:rsidR="00B934C6" w:rsidRPr="002F651B">
        <w:rPr>
          <w:rFonts w:ascii="Gadugi" w:eastAsia="Georgia" w:hAnsi="Gadugi" w:cs="Georgia"/>
          <w:sz w:val="24"/>
          <w:szCs w:val="24"/>
        </w:rPr>
        <w:t>C</w:t>
      </w:r>
      <w:r w:rsidR="007A54EA" w:rsidRPr="002F651B">
        <w:rPr>
          <w:rFonts w:ascii="Gadugi" w:eastAsia="Georgia" w:hAnsi="Gadugi" w:cs="Georgia"/>
          <w:sz w:val="24"/>
          <w:szCs w:val="24"/>
        </w:rPr>
        <w:t xml:space="preserve">línica </w:t>
      </w:r>
      <w:r w:rsidR="00B934C6" w:rsidRPr="002F651B">
        <w:rPr>
          <w:rFonts w:ascii="Gadugi" w:eastAsia="Georgia" w:hAnsi="Gadugi" w:cs="Georgia"/>
          <w:sz w:val="24"/>
          <w:szCs w:val="24"/>
        </w:rPr>
        <w:t>Marañón</w:t>
      </w:r>
      <w:r w:rsidR="007A54EA" w:rsidRPr="002F651B">
        <w:rPr>
          <w:rFonts w:ascii="Gadugi" w:eastAsia="Georgia" w:hAnsi="Gadugi" w:cs="Georgia"/>
          <w:sz w:val="24"/>
          <w:szCs w:val="24"/>
        </w:rPr>
        <w:t xml:space="preserve"> S</w:t>
      </w:r>
      <w:r w:rsidR="00B934C6" w:rsidRPr="002F651B">
        <w:rPr>
          <w:rFonts w:ascii="Gadugi" w:eastAsia="Georgia" w:hAnsi="Gadugi" w:cs="Georgia"/>
          <w:sz w:val="24"/>
          <w:szCs w:val="24"/>
        </w:rPr>
        <w:t>AS</w:t>
      </w:r>
      <w:r w:rsidR="007A54EA" w:rsidRPr="002F651B">
        <w:rPr>
          <w:rFonts w:ascii="Gadugi" w:eastAsia="Georgia" w:hAnsi="Gadugi" w:cs="Georgia"/>
          <w:sz w:val="24"/>
          <w:szCs w:val="24"/>
        </w:rPr>
        <w:t xml:space="preserve"> llam</w:t>
      </w:r>
      <w:r w:rsidR="00B934C6" w:rsidRPr="002F651B">
        <w:rPr>
          <w:rFonts w:ascii="Gadugi" w:eastAsia="Georgia" w:hAnsi="Gadugi" w:cs="Georgia"/>
          <w:sz w:val="24"/>
          <w:szCs w:val="24"/>
        </w:rPr>
        <w:t>aron en repetidas ocasiones</w:t>
      </w:r>
      <w:r w:rsidR="00763AB3" w:rsidRPr="002F651B">
        <w:rPr>
          <w:rFonts w:ascii="Gadugi" w:eastAsia="Georgia" w:hAnsi="Gadugi" w:cs="Georgia"/>
          <w:sz w:val="24"/>
          <w:szCs w:val="24"/>
        </w:rPr>
        <w:t xml:space="preserve"> </w:t>
      </w:r>
      <w:r w:rsidR="007A54EA" w:rsidRPr="002F651B">
        <w:rPr>
          <w:rFonts w:ascii="Gadugi" w:eastAsia="Georgia" w:hAnsi="Gadugi" w:cs="Georgia"/>
          <w:sz w:val="24"/>
          <w:szCs w:val="24"/>
        </w:rPr>
        <w:t>a Nueva EPS</w:t>
      </w:r>
      <w:r w:rsidR="00BD348F" w:rsidRPr="002F651B">
        <w:rPr>
          <w:rFonts w:ascii="Gadugi" w:eastAsia="Georgia" w:hAnsi="Gadugi" w:cs="Georgia"/>
          <w:sz w:val="24"/>
          <w:szCs w:val="24"/>
        </w:rPr>
        <w:t>, pero la respuesta era que no tenían ambulancia para el traslado medicalizado, ni camas disponibles en una entidad de nivel III</w:t>
      </w:r>
      <w:r w:rsidR="004325B0" w:rsidRPr="002F651B">
        <w:rPr>
          <w:rFonts w:ascii="Gadugi" w:eastAsia="Georgia" w:hAnsi="Gadugi" w:cs="Georgia"/>
          <w:sz w:val="24"/>
          <w:szCs w:val="24"/>
        </w:rPr>
        <w:t xml:space="preserve">, </w:t>
      </w:r>
      <w:r w:rsidR="003A2F09" w:rsidRPr="002F651B">
        <w:rPr>
          <w:rFonts w:ascii="Gadugi" w:eastAsia="Georgia" w:hAnsi="Gadugi" w:cs="Georgia"/>
          <w:sz w:val="24"/>
          <w:szCs w:val="24"/>
        </w:rPr>
        <w:t xml:space="preserve">con desconocimiento de las normas en pro de los pacientes </w:t>
      </w:r>
      <w:r w:rsidR="00434567" w:rsidRPr="002F651B">
        <w:rPr>
          <w:rFonts w:ascii="Gadugi" w:eastAsia="Georgia" w:hAnsi="Gadugi" w:cs="Georgia"/>
          <w:sz w:val="24"/>
          <w:szCs w:val="24"/>
        </w:rPr>
        <w:t xml:space="preserve">y pese al diagnóstico de abdomen agudo. </w:t>
      </w:r>
    </w:p>
    <w:p w14:paraId="0B8D3F34" w14:textId="77777777" w:rsidR="00434567" w:rsidRPr="002F651B" w:rsidRDefault="00434567"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56AFE490" w14:textId="2BB67D1C" w:rsidR="00434567" w:rsidRPr="002F651B" w:rsidRDefault="0079517C"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t>La espera duró unas cuarenta y ocho horas más</w:t>
      </w:r>
      <w:r w:rsidR="00750EE0" w:rsidRPr="002F651B">
        <w:rPr>
          <w:rFonts w:ascii="Gadugi" w:eastAsia="Georgia" w:hAnsi="Gadugi" w:cs="Georgia"/>
          <w:sz w:val="24"/>
          <w:szCs w:val="24"/>
        </w:rPr>
        <w:t xml:space="preserve">, agravando notablemente su salud; el 25 de enero a las </w:t>
      </w:r>
      <w:r w:rsidR="00DB7B3E" w:rsidRPr="002F651B">
        <w:rPr>
          <w:rFonts w:ascii="Gadugi" w:eastAsia="Georgia" w:hAnsi="Gadugi" w:cs="Georgia"/>
          <w:sz w:val="24"/>
          <w:szCs w:val="24"/>
        </w:rPr>
        <w:t xml:space="preserve">4:10 a.m. continuaba en la Clínica Marañón </w:t>
      </w:r>
      <w:r w:rsidR="00337D2E" w:rsidRPr="002F651B">
        <w:rPr>
          <w:rFonts w:ascii="Gadugi" w:eastAsia="Georgia" w:hAnsi="Gadugi" w:cs="Georgia"/>
          <w:sz w:val="24"/>
          <w:szCs w:val="24"/>
        </w:rPr>
        <w:t xml:space="preserve">sin ninguna intervención quirúrgica y no hay certeza de la hora en la que fue remitida a la Clínica </w:t>
      </w:r>
      <w:proofErr w:type="spellStart"/>
      <w:r w:rsidR="00337D2E" w:rsidRPr="002F651B">
        <w:rPr>
          <w:rFonts w:ascii="Gadugi" w:eastAsia="Georgia" w:hAnsi="Gadugi" w:cs="Georgia"/>
          <w:sz w:val="24"/>
          <w:szCs w:val="24"/>
        </w:rPr>
        <w:t>Dumian</w:t>
      </w:r>
      <w:proofErr w:type="spellEnd"/>
      <w:r w:rsidR="00337D2E" w:rsidRPr="002F651B">
        <w:rPr>
          <w:rFonts w:ascii="Gadugi" w:eastAsia="Georgia" w:hAnsi="Gadugi" w:cs="Georgia"/>
          <w:sz w:val="24"/>
          <w:szCs w:val="24"/>
        </w:rPr>
        <w:t xml:space="preserve"> Medical </w:t>
      </w:r>
      <w:proofErr w:type="spellStart"/>
      <w:r w:rsidR="00337D2E" w:rsidRPr="002F651B">
        <w:rPr>
          <w:rFonts w:ascii="Gadugi" w:eastAsia="Georgia" w:hAnsi="Gadugi" w:cs="Georgia"/>
          <w:sz w:val="24"/>
          <w:szCs w:val="24"/>
        </w:rPr>
        <w:t>SAS</w:t>
      </w:r>
      <w:proofErr w:type="spellEnd"/>
      <w:r w:rsidR="00337D2E" w:rsidRPr="002F651B">
        <w:rPr>
          <w:rFonts w:ascii="Gadugi" w:eastAsia="Georgia" w:hAnsi="Gadugi" w:cs="Georgia"/>
          <w:sz w:val="24"/>
          <w:szCs w:val="24"/>
        </w:rPr>
        <w:t xml:space="preserve">. </w:t>
      </w:r>
    </w:p>
    <w:p w14:paraId="4478A9B7" w14:textId="77777777" w:rsidR="00337D2E" w:rsidRPr="002F651B" w:rsidRDefault="00337D2E"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60C5C44A" w14:textId="3B476B44" w:rsidR="00337D2E" w:rsidRPr="002F651B" w:rsidRDefault="00337D2E"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t xml:space="preserve">Señalan </w:t>
      </w:r>
      <w:r w:rsidR="006A5323" w:rsidRPr="002F651B">
        <w:rPr>
          <w:rFonts w:ascii="Gadugi" w:eastAsia="Georgia" w:hAnsi="Gadugi" w:cs="Georgia"/>
          <w:sz w:val="24"/>
          <w:szCs w:val="24"/>
        </w:rPr>
        <w:t>que la atención brin</w:t>
      </w:r>
      <w:r w:rsidR="004325B0" w:rsidRPr="002F651B">
        <w:rPr>
          <w:rFonts w:ascii="Gadugi" w:eastAsia="Georgia" w:hAnsi="Gadugi" w:cs="Georgia"/>
          <w:sz w:val="24"/>
          <w:szCs w:val="24"/>
        </w:rPr>
        <w:t>d</w:t>
      </w:r>
      <w:r w:rsidR="006A5323" w:rsidRPr="002F651B">
        <w:rPr>
          <w:rFonts w:ascii="Gadugi" w:eastAsia="Georgia" w:hAnsi="Gadugi" w:cs="Georgia"/>
          <w:sz w:val="24"/>
          <w:szCs w:val="24"/>
        </w:rPr>
        <w:t xml:space="preserve">ada en la Clínica Marañón </w:t>
      </w:r>
      <w:r w:rsidR="00B25D9D" w:rsidRPr="002F651B">
        <w:rPr>
          <w:rFonts w:ascii="Gadugi" w:eastAsia="Georgia" w:hAnsi="Gadugi" w:cs="Georgia"/>
          <w:sz w:val="24"/>
          <w:szCs w:val="24"/>
        </w:rPr>
        <w:t>estaba</w:t>
      </w:r>
      <w:r w:rsidR="006A5323" w:rsidRPr="002F651B">
        <w:rPr>
          <w:rFonts w:ascii="Gadugi" w:eastAsia="Georgia" w:hAnsi="Gadugi" w:cs="Georgia"/>
          <w:sz w:val="24"/>
          <w:szCs w:val="24"/>
        </w:rPr>
        <w:t xml:space="preserve"> precedida de un error de diagnóstico, </w:t>
      </w:r>
      <w:r w:rsidR="00B25D9D" w:rsidRPr="002F651B">
        <w:rPr>
          <w:rFonts w:ascii="Gadugi" w:eastAsia="Georgia" w:hAnsi="Gadugi" w:cs="Georgia"/>
          <w:sz w:val="24"/>
          <w:szCs w:val="24"/>
        </w:rPr>
        <w:t xml:space="preserve">porque los cálculos en la vesícula parten de un aumento del nivel de la bilirrubina que, de acuerdo con los </w:t>
      </w:r>
      <w:r w:rsidR="00DB71AF" w:rsidRPr="002F651B">
        <w:rPr>
          <w:rFonts w:ascii="Gadugi" w:eastAsia="Georgia" w:hAnsi="Gadugi" w:cs="Georgia"/>
          <w:sz w:val="24"/>
          <w:szCs w:val="24"/>
        </w:rPr>
        <w:t xml:space="preserve">exámenes tomados, se hallaba en estado normal. </w:t>
      </w:r>
    </w:p>
    <w:p w14:paraId="5B0DE10C" w14:textId="77777777" w:rsidR="00DB71AF" w:rsidRPr="002F651B" w:rsidRDefault="00DB71AF"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0C407297" w14:textId="28CE6114" w:rsidR="00A30F89" w:rsidRPr="002F651B" w:rsidRDefault="00FE1B76"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t>Se registró el ingreso a la C</w:t>
      </w:r>
      <w:r w:rsidR="007A54EA" w:rsidRPr="002F651B">
        <w:rPr>
          <w:rFonts w:ascii="Gadugi" w:eastAsia="Georgia" w:hAnsi="Gadugi" w:cs="Georgia"/>
          <w:sz w:val="24"/>
          <w:szCs w:val="24"/>
        </w:rPr>
        <w:t xml:space="preserve">línica </w:t>
      </w:r>
      <w:proofErr w:type="spellStart"/>
      <w:r w:rsidR="007A54EA" w:rsidRPr="002F651B">
        <w:rPr>
          <w:rFonts w:ascii="Gadugi" w:eastAsia="Georgia" w:hAnsi="Gadugi" w:cs="Georgia"/>
          <w:sz w:val="24"/>
          <w:szCs w:val="24"/>
        </w:rPr>
        <w:t>Dumian</w:t>
      </w:r>
      <w:proofErr w:type="spellEnd"/>
      <w:r w:rsidR="007A54EA" w:rsidRPr="002F651B">
        <w:rPr>
          <w:rFonts w:ascii="Gadugi" w:eastAsia="Georgia" w:hAnsi="Gadugi" w:cs="Georgia"/>
          <w:sz w:val="24"/>
          <w:szCs w:val="24"/>
        </w:rPr>
        <w:t xml:space="preserve"> Medical </w:t>
      </w:r>
      <w:proofErr w:type="spellStart"/>
      <w:r w:rsidR="007A54EA" w:rsidRPr="002F651B">
        <w:rPr>
          <w:rFonts w:ascii="Gadugi" w:eastAsia="Georgia" w:hAnsi="Gadugi" w:cs="Georgia"/>
          <w:sz w:val="24"/>
          <w:szCs w:val="24"/>
        </w:rPr>
        <w:t>S</w:t>
      </w:r>
      <w:r w:rsidRPr="002F651B">
        <w:rPr>
          <w:rFonts w:ascii="Gadugi" w:eastAsia="Georgia" w:hAnsi="Gadugi" w:cs="Georgia"/>
          <w:sz w:val="24"/>
          <w:szCs w:val="24"/>
        </w:rPr>
        <w:t>AS</w:t>
      </w:r>
      <w:proofErr w:type="spellEnd"/>
      <w:r w:rsidR="00A87860" w:rsidRPr="002F651B">
        <w:rPr>
          <w:rFonts w:ascii="Gadugi" w:eastAsia="Georgia" w:hAnsi="Gadugi" w:cs="Georgia"/>
          <w:sz w:val="24"/>
          <w:szCs w:val="24"/>
        </w:rPr>
        <w:t xml:space="preserve"> el 25 de enero de 2015 a las 7:01 a.m.</w:t>
      </w:r>
      <w:r w:rsidR="00D3767D" w:rsidRPr="002F651B">
        <w:rPr>
          <w:rFonts w:ascii="Gadugi" w:eastAsia="Georgia" w:hAnsi="Gadugi" w:cs="Georgia"/>
          <w:sz w:val="24"/>
          <w:szCs w:val="24"/>
        </w:rPr>
        <w:t xml:space="preserve">, es decir, </w:t>
      </w:r>
      <w:r w:rsidR="003457B4" w:rsidRPr="002F651B">
        <w:rPr>
          <w:rFonts w:ascii="Gadugi" w:eastAsia="Georgia" w:hAnsi="Gadugi" w:cs="Georgia"/>
          <w:sz w:val="24"/>
          <w:szCs w:val="24"/>
        </w:rPr>
        <w:t>transcurridas</w:t>
      </w:r>
      <w:r w:rsidR="00D3767D" w:rsidRPr="002F651B">
        <w:rPr>
          <w:rFonts w:ascii="Gadugi" w:eastAsia="Georgia" w:hAnsi="Gadugi" w:cs="Georgia"/>
          <w:sz w:val="24"/>
          <w:szCs w:val="24"/>
        </w:rPr>
        <w:t xml:space="preserve"> 55 horas de estar al cuidado de los galenos, sin un diagnóstico acertado</w:t>
      </w:r>
      <w:r w:rsidR="003457B4" w:rsidRPr="002F651B">
        <w:rPr>
          <w:rFonts w:ascii="Gadugi" w:eastAsia="Georgia" w:hAnsi="Gadugi" w:cs="Georgia"/>
          <w:sz w:val="24"/>
          <w:szCs w:val="24"/>
        </w:rPr>
        <w:t xml:space="preserve">, no obstante </w:t>
      </w:r>
      <w:r w:rsidR="004325B0" w:rsidRPr="002F651B">
        <w:rPr>
          <w:rFonts w:ascii="Gadugi" w:eastAsia="Georgia" w:hAnsi="Gadugi" w:cs="Georgia"/>
          <w:sz w:val="24"/>
          <w:szCs w:val="24"/>
        </w:rPr>
        <w:t xml:space="preserve">que </w:t>
      </w:r>
      <w:r w:rsidR="00E5033F" w:rsidRPr="002F651B">
        <w:rPr>
          <w:rFonts w:ascii="Gadugi" w:eastAsia="Georgia" w:hAnsi="Gadugi" w:cs="Georgia"/>
          <w:sz w:val="24"/>
          <w:szCs w:val="24"/>
        </w:rPr>
        <w:t xml:space="preserve">la bilirrubina </w:t>
      </w:r>
      <w:r w:rsidR="004325B0" w:rsidRPr="002F651B">
        <w:rPr>
          <w:rFonts w:ascii="Gadugi" w:eastAsia="Georgia" w:hAnsi="Gadugi" w:cs="Georgia"/>
          <w:sz w:val="24"/>
          <w:szCs w:val="24"/>
        </w:rPr>
        <w:t xml:space="preserve">seguía </w:t>
      </w:r>
      <w:r w:rsidR="00BA0A2B" w:rsidRPr="002F651B">
        <w:rPr>
          <w:rFonts w:ascii="Gadugi" w:eastAsia="Georgia" w:hAnsi="Gadugi" w:cs="Georgia"/>
          <w:sz w:val="24"/>
          <w:szCs w:val="24"/>
        </w:rPr>
        <w:t xml:space="preserve">estable </w:t>
      </w:r>
      <w:r w:rsidR="00E5033F" w:rsidRPr="002F651B">
        <w:rPr>
          <w:rFonts w:ascii="Gadugi" w:eastAsia="Georgia" w:hAnsi="Gadugi" w:cs="Georgia"/>
          <w:sz w:val="24"/>
          <w:szCs w:val="24"/>
        </w:rPr>
        <w:t xml:space="preserve">y había presentado shock séptico y abdomen agudo, lo que indicaba que debía ser intervenida </w:t>
      </w:r>
      <w:r w:rsidR="009524EA" w:rsidRPr="002F651B">
        <w:rPr>
          <w:rFonts w:ascii="Gadugi" w:eastAsia="Georgia" w:hAnsi="Gadugi" w:cs="Georgia"/>
          <w:sz w:val="24"/>
          <w:szCs w:val="24"/>
        </w:rPr>
        <w:t xml:space="preserve">quirúrgicamente por una urgencia vital, pues se trataba de una úlcera </w:t>
      </w:r>
      <w:r w:rsidR="00490610" w:rsidRPr="002F651B">
        <w:rPr>
          <w:rFonts w:ascii="Gadugi" w:eastAsia="Georgia" w:hAnsi="Gadugi" w:cs="Georgia"/>
          <w:sz w:val="24"/>
          <w:szCs w:val="24"/>
        </w:rPr>
        <w:t>gástrica que se hubiera podido descubrir fácilmente con un RX de tórax</w:t>
      </w:r>
      <w:r w:rsidR="00A30F89" w:rsidRPr="002F651B">
        <w:rPr>
          <w:rFonts w:ascii="Gadugi" w:eastAsia="Georgia" w:hAnsi="Gadugi" w:cs="Georgia"/>
          <w:sz w:val="24"/>
          <w:szCs w:val="24"/>
        </w:rPr>
        <w:t xml:space="preserve"> o un TAC de abdomen contrastado. </w:t>
      </w:r>
    </w:p>
    <w:p w14:paraId="77BD0271" w14:textId="77777777" w:rsidR="00A30F89" w:rsidRPr="002F651B" w:rsidRDefault="00A30F89"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59D948B6" w14:textId="77777777" w:rsidR="009A371A" w:rsidRPr="002F651B" w:rsidRDefault="00A30F89"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t>En l</w:t>
      </w:r>
      <w:r w:rsidR="00EA47DA" w:rsidRPr="002F651B">
        <w:rPr>
          <w:rFonts w:ascii="Gadugi" w:eastAsia="Georgia" w:hAnsi="Gadugi" w:cs="Georgia"/>
          <w:sz w:val="24"/>
          <w:szCs w:val="24"/>
        </w:rPr>
        <w:t xml:space="preserve">a UCI de esta clínica, con el </w:t>
      </w:r>
      <w:r w:rsidR="007A54EA" w:rsidRPr="002F651B">
        <w:rPr>
          <w:rFonts w:ascii="Gadugi" w:eastAsia="Georgia" w:hAnsi="Gadugi" w:cs="Georgia"/>
          <w:sz w:val="24"/>
          <w:szCs w:val="24"/>
        </w:rPr>
        <w:t xml:space="preserve">resultado de </w:t>
      </w:r>
      <w:r w:rsidR="00EA47DA" w:rsidRPr="002F651B">
        <w:rPr>
          <w:rFonts w:ascii="Gadugi" w:eastAsia="Georgia" w:hAnsi="Gadugi" w:cs="Georgia"/>
          <w:sz w:val="24"/>
          <w:szCs w:val="24"/>
        </w:rPr>
        <w:t xml:space="preserve">la </w:t>
      </w:r>
      <w:r w:rsidR="007A54EA" w:rsidRPr="002F651B">
        <w:rPr>
          <w:rFonts w:ascii="Gadugi" w:eastAsia="Georgia" w:hAnsi="Gadugi" w:cs="Georgia"/>
          <w:sz w:val="24"/>
          <w:szCs w:val="24"/>
        </w:rPr>
        <w:t xml:space="preserve">ecografía abdominal solicitada desde el ingreso se </w:t>
      </w:r>
      <w:r w:rsidR="00AA1BD0" w:rsidRPr="002F651B">
        <w:rPr>
          <w:rFonts w:ascii="Gadugi" w:eastAsia="Georgia" w:hAnsi="Gadugi" w:cs="Georgia"/>
          <w:sz w:val="24"/>
          <w:szCs w:val="24"/>
        </w:rPr>
        <w:t xml:space="preserve">evidenció </w:t>
      </w:r>
      <w:r w:rsidR="007A54EA" w:rsidRPr="002F651B">
        <w:rPr>
          <w:rFonts w:ascii="Gadugi" w:eastAsia="Georgia" w:hAnsi="Gadugi" w:cs="Georgia"/>
          <w:i/>
          <w:iCs/>
          <w:sz w:val="24"/>
          <w:szCs w:val="24"/>
        </w:rPr>
        <w:t>“</w:t>
      </w:r>
      <w:r w:rsidR="00AA1BD0" w:rsidRPr="001700AA">
        <w:rPr>
          <w:rFonts w:ascii="Gadugi" w:eastAsia="Georgia" w:hAnsi="Gadugi" w:cs="Georgia"/>
          <w:i/>
          <w:iCs/>
          <w:szCs w:val="24"/>
        </w:rPr>
        <w:t>l</w:t>
      </w:r>
      <w:r w:rsidR="007A54EA" w:rsidRPr="001700AA">
        <w:rPr>
          <w:rFonts w:ascii="Gadugi" w:eastAsia="Georgia" w:hAnsi="Gadugi" w:cs="Georgia"/>
          <w:i/>
          <w:iCs/>
          <w:szCs w:val="24"/>
        </w:rPr>
        <w:t xml:space="preserve">íquido libre y derrame pleural bilateral por lo que fue valorada por CX general, doctor Romero </w:t>
      </w:r>
      <w:r w:rsidR="00AA1BD0" w:rsidRPr="001700AA">
        <w:rPr>
          <w:rFonts w:ascii="Gadugi" w:eastAsia="Georgia" w:hAnsi="Gadugi" w:cs="Georgia"/>
          <w:i/>
          <w:iCs/>
          <w:szCs w:val="24"/>
        </w:rPr>
        <w:t xml:space="preserve">quien </w:t>
      </w:r>
      <w:r w:rsidR="007A54EA" w:rsidRPr="001700AA">
        <w:rPr>
          <w:rFonts w:ascii="Gadugi" w:eastAsia="Georgia" w:hAnsi="Gadugi" w:cs="Georgia"/>
          <w:i/>
          <w:iCs/>
          <w:szCs w:val="24"/>
        </w:rPr>
        <w:t>indica TAC de abdomen doble contraste</w:t>
      </w:r>
      <w:r w:rsidR="00AA1BD0" w:rsidRPr="001700AA">
        <w:rPr>
          <w:rFonts w:ascii="Gadugi" w:eastAsia="Georgia" w:hAnsi="Gadugi" w:cs="Georgia"/>
          <w:i/>
          <w:iCs/>
          <w:szCs w:val="24"/>
        </w:rPr>
        <w:t>. A reevaluar por CX</w:t>
      </w:r>
      <w:r w:rsidR="00AA07CC" w:rsidRPr="001700AA">
        <w:rPr>
          <w:rFonts w:ascii="Gadugi" w:eastAsia="Georgia" w:hAnsi="Gadugi" w:cs="Georgia"/>
          <w:i/>
          <w:iCs/>
          <w:szCs w:val="24"/>
        </w:rPr>
        <w:t xml:space="preserve"> general. Pobre pronóstico, Ev</w:t>
      </w:r>
      <w:r w:rsidR="00C3717E" w:rsidRPr="001700AA">
        <w:rPr>
          <w:rFonts w:ascii="Gadugi" w:eastAsia="Georgia" w:hAnsi="Gadugi" w:cs="Georgia"/>
          <w:i/>
          <w:iCs/>
          <w:szCs w:val="24"/>
        </w:rPr>
        <w:t>olución</w:t>
      </w:r>
      <w:r w:rsidR="007A54EA" w:rsidRPr="001700AA">
        <w:rPr>
          <w:rFonts w:ascii="Gadugi" w:eastAsia="Georgia" w:hAnsi="Gadugi" w:cs="Georgia"/>
          <w:i/>
          <w:iCs/>
          <w:szCs w:val="24"/>
        </w:rPr>
        <w:t xml:space="preserve"> al deterioro </w:t>
      </w:r>
      <w:r w:rsidR="00AA07CC" w:rsidRPr="001700AA">
        <w:rPr>
          <w:rFonts w:ascii="Gadugi" w:eastAsia="Georgia" w:hAnsi="Gadugi" w:cs="Georgia"/>
          <w:i/>
          <w:iCs/>
          <w:szCs w:val="24"/>
        </w:rPr>
        <w:t xml:space="preserve">con </w:t>
      </w:r>
      <w:r w:rsidR="00C3717E" w:rsidRPr="001700AA">
        <w:rPr>
          <w:rFonts w:ascii="Gadugi" w:eastAsia="Georgia" w:hAnsi="Gadugi" w:cs="Georgia"/>
          <w:i/>
          <w:iCs/>
          <w:szCs w:val="24"/>
        </w:rPr>
        <w:t>disfunción</w:t>
      </w:r>
      <w:r w:rsidR="007A54EA" w:rsidRPr="001700AA">
        <w:rPr>
          <w:rFonts w:ascii="Gadugi" w:eastAsia="Georgia" w:hAnsi="Gadugi" w:cs="Georgia"/>
          <w:i/>
          <w:iCs/>
          <w:szCs w:val="24"/>
        </w:rPr>
        <w:t xml:space="preserve"> </w:t>
      </w:r>
      <w:r w:rsidR="00C3717E" w:rsidRPr="001700AA">
        <w:rPr>
          <w:rFonts w:ascii="Gadugi" w:eastAsia="Georgia" w:hAnsi="Gadugi" w:cs="Georgia"/>
          <w:i/>
          <w:iCs/>
          <w:szCs w:val="24"/>
        </w:rPr>
        <w:t>orgánica</w:t>
      </w:r>
      <w:r w:rsidR="007A54EA" w:rsidRPr="001700AA">
        <w:rPr>
          <w:rFonts w:ascii="Gadugi" w:eastAsia="Georgia" w:hAnsi="Gadugi" w:cs="Georgia"/>
          <w:i/>
          <w:iCs/>
          <w:szCs w:val="24"/>
        </w:rPr>
        <w:t xml:space="preserve"> </w:t>
      </w:r>
      <w:r w:rsidR="00C3717E" w:rsidRPr="001700AA">
        <w:rPr>
          <w:rFonts w:ascii="Gadugi" w:eastAsia="Georgia" w:hAnsi="Gadugi" w:cs="Georgia"/>
          <w:i/>
          <w:iCs/>
          <w:szCs w:val="24"/>
        </w:rPr>
        <w:t>múltiple</w:t>
      </w:r>
      <w:r w:rsidR="007A54EA" w:rsidRPr="002F651B">
        <w:rPr>
          <w:rFonts w:ascii="Gadugi" w:eastAsia="Georgia" w:hAnsi="Gadugi" w:cs="Georgia"/>
          <w:i/>
          <w:iCs/>
          <w:sz w:val="24"/>
          <w:szCs w:val="24"/>
        </w:rPr>
        <w:t>”</w:t>
      </w:r>
      <w:r w:rsidR="009A371A" w:rsidRPr="002F651B">
        <w:rPr>
          <w:rFonts w:ascii="Gadugi" w:eastAsia="Georgia" w:hAnsi="Gadugi" w:cs="Georgia"/>
          <w:i/>
          <w:iCs/>
          <w:sz w:val="24"/>
          <w:szCs w:val="24"/>
        </w:rPr>
        <w:t>.</w:t>
      </w:r>
    </w:p>
    <w:p w14:paraId="1FBDBE86" w14:textId="77777777" w:rsidR="009A371A" w:rsidRPr="002F651B" w:rsidRDefault="009A371A"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00541958" w14:textId="6F14A3ED" w:rsidR="00F66BCE" w:rsidRPr="002F651B" w:rsidRDefault="009A371A"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t xml:space="preserve">Para el </w:t>
      </w:r>
      <w:r w:rsidR="007A54EA" w:rsidRPr="002F651B">
        <w:rPr>
          <w:rFonts w:ascii="Gadugi" w:eastAsia="Georgia" w:hAnsi="Gadugi" w:cs="Georgia"/>
          <w:sz w:val="24"/>
          <w:szCs w:val="24"/>
        </w:rPr>
        <w:t>26 de enero de 2015 a las 13:15</w:t>
      </w:r>
      <w:r w:rsidR="009B0CEC" w:rsidRPr="002F651B">
        <w:rPr>
          <w:rFonts w:ascii="Gadugi" w:eastAsia="Georgia" w:hAnsi="Gadugi" w:cs="Georgia"/>
          <w:sz w:val="24"/>
          <w:szCs w:val="24"/>
        </w:rPr>
        <w:t xml:space="preserve">, se determinó que </w:t>
      </w:r>
      <w:r w:rsidR="007A54EA" w:rsidRPr="002F651B">
        <w:rPr>
          <w:rFonts w:ascii="Gadugi" w:eastAsia="Georgia" w:hAnsi="Gadugi" w:cs="Georgia"/>
          <w:sz w:val="24"/>
          <w:szCs w:val="24"/>
        </w:rPr>
        <w:t>la paciente se encuentra en “</w:t>
      </w:r>
      <w:r w:rsidR="007A54EA" w:rsidRPr="001700AA">
        <w:rPr>
          <w:rFonts w:ascii="Gadugi" w:eastAsia="Georgia" w:hAnsi="Gadugi" w:cs="Georgia"/>
          <w:i/>
          <w:iCs/>
          <w:szCs w:val="24"/>
        </w:rPr>
        <w:t xml:space="preserve">Condiciones críticas choque séptico de origen abdominal, disfunción múltiple de órganos, sin lograrse </w:t>
      </w:r>
      <w:r w:rsidR="003415EF" w:rsidRPr="001700AA">
        <w:rPr>
          <w:rFonts w:ascii="Gadugi" w:eastAsia="Georgia" w:hAnsi="Gadugi" w:cs="Georgia"/>
          <w:i/>
          <w:iCs/>
          <w:szCs w:val="24"/>
        </w:rPr>
        <w:t xml:space="preserve">aun </w:t>
      </w:r>
      <w:r w:rsidR="007A54EA" w:rsidRPr="001700AA">
        <w:rPr>
          <w:rFonts w:ascii="Gadugi" w:eastAsia="Georgia" w:hAnsi="Gadugi" w:cs="Georgia"/>
          <w:i/>
          <w:iCs/>
          <w:szCs w:val="24"/>
        </w:rPr>
        <w:t xml:space="preserve">metas de </w:t>
      </w:r>
      <w:r w:rsidR="00C3717E" w:rsidRPr="001700AA">
        <w:rPr>
          <w:rFonts w:ascii="Gadugi" w:eastAsia="Georgia" w:hAnsi="Gadugi" w:cs="Georgia"/>
          <w:i/>
          <w:iCs/>
          <w:szCs w:val="24"/>
        </w:rPr>
        <w:t>reanimación</w:t>
      </w:r>
      <w:r w:rsidR="007A54EA" w:rsidRPr="001700AA">
        <w:rPr>
          <w:rFonts w:ascii="Gadugi" w:eastAsia="Georgia" w:hAnsi="Gadugi" w:cs="Georgia"/>
          <w:i/>
          <w:iCs/>
          <w:szCs w:val="24"/>
        </w:rPr>
        <w:t>, progresando a síndrome de compartimiento intra abdominal</w:t>
      </w:r>
      <w:r w:rsidR="003415EF" w:rsidRPr="001700AA">
        <w:rPr>
          <w:rFonts w:ascii="Gadugi" w:eastAsia="Georgia" w:hAnsi="Gadugi" w:cs="Georgia"/>
          <w:i/>
          <w:iCs/>
          <w:szCs w:val="24"/>
        </w:rPr>
        <w:t>,</w:t>
      </w:r>
      <w:r w:rsidR="007A54EA" w:rsidRPr="001700AA">
        <w:rPr>
          <w:rFonts w:ascii="Gadugi" w:eastAsia="Georgia" w:hAnsi="Gadugi" w:cs="Georgia"/>
          <w:i/>
          <w:iCs/>
          <w:szCs w:val="24"/>
        </w:rPr>
        <w:t xml:space="preserve"> con TAC de abdomen contrastado y valorado con radiología (SIC) Dr. Quintero</w:t>
      </w:r>
      <w:r w:rsidR="00166C15" w:rsidRPr="001700AA">
        <w:rPr>
          <w:rFonts w:ascii="Gadugi" w:eastAsia="Georgia" w:hAnsi="Gadugi" w:cs="Georgia"/>
          <w:i/>
          <w:iCs/>
          <w:szCs w:val="24"/>
        </w:rPr>
        <w:t xml:space="preserve"> con </w:t>
      </w:r>
      <w:proofErr w:type="spellStart"/>
      <w:r w:rsidR="00166C15" w:rsidRPr="001700AA">
        <w:rPr>
          <w:rFonts w:ascii="Gadugi" w:eastAsia="Georgia" w:hAnsi="Gadugi" w:cs="Georgia"/>
          <w:i/>
          <w:iCs/>
          <w:szCs w:val="24"/>
        </w:rPr>
        <w:t>asctis</w:t>
      </w:r>
      <w:proofErr w:type="spellEnd"/>
      <w:r w:rsidR="00166C15" w:rsidRPr="001700AA">
        <w:rPr>
          <w:rFonts w:ascii="Gadugi" w:eastAsia="Georgia" w:hAnsi="Gadugi" w:cs="Georgia"/>
          <w:i/>
          <w:iCs/>
          <w:szCs w:val="24"/>
        </w:rPr>
        <w:t xml:space="preserve"> – </w:t>
      </w:r>
      <w:proofErr w:type="spellStart"/>
      <w:r w:rsidR="00166C15" w:rsidRPr="001700AA">
        <w:rPr>
          <w:rFonts w:ascii="Gadugi" w:eastAsia="Georgia" w:hAnsi="Gadugi" w:cs="Georgia"/>
          <w:i/>
          <w:iCs/>
          <w:szCs w:val="24"/>
        </w:rPr>
        <w:t>neumoperitoneo</w:t>
      </w:r>
      <w:proofErr w:type="spellEnd"/>
      <w:r w:rsidR="00166C15" w:rsidRPr="001700AA">
        <w:rPr>
          <w:rFonts w:ascii="Gadugi" w:eastAsia="Georgia" w:hAnsi="Gadugi" w:cs="Georgia"/>
          <w:i/>
          <w:iCs/>
          <w:szCs w:val="24"/>
        </w:rPr>
        <w:t xml:space="preserve"> – colección de saco menor</w:t>
      </w:r>
      <w:r w:rsidR="00DD0C64" w:rsidRPr="001700AA">
        <w:rPr>
          <w:rFonts w:ascii="Gadugi" w:eastAsia="Georgia" w:hAnsi="Gadugi" w:cs="Georgia"/>
          <w:i/>
          <w:iCs/>
          <w:szCs w:val="24"/>
        </w:rPr>
        <w:t xml:space="preserve"> – edema de asas y </w:t>
      </w:r>
      <w:proofErr w:type="spellStart"/>
      <w:r w:rsidR="00DD0C64" w:rsidRPr="001700AA">
        <w:rPr>
          <w:rFonts w:ascii="Gadugi" w:eastAsia="Georgia" w:hAnsi="Gadugi" w:cs="Georgia"/>
          <w:i/>
          <w:iCs/>
          <w:szCs w:val="24"/>
        </w:rPr>
        <w:t>peripancreatico</w:t>
      </w:r>
      <w:proofErr w:type="spellEnd"/>
      <w:r w:rsidR="00DD0C64" w:rsidRPr="001700AA">
        <w:rPr>
          <w:rFonts w:ascii="Gadugi" w:eastAsia="Georgia" w:hAnsi="Gadugi" w:cs="Georgia"/>
          <w:i/>
          <w:iCs/>
          <w:szCs w:val="24"/>
        </w:rPr>
        <w:t xml:space="preserve">, se </w:t>
      </w:r>
      <w:r w:rsidR="007A54EA" w:rsidRPr="001700AA">
        <w:rPr>
          <w:rFonts w:ascii="Gadugi" w:eastAsia="Georgia" w:hAnsi="Gadugi" w:cs="Georgia"/>
          <w:i/>
          <w:iCs/>
          <w:szCs w:val="24"/>
        </w:rPr>
        <w:t xml:space="preserve">comenta con Dr. </w:t>
      </w:r>
      <w:r w:rsidR="00C3717E" w:rsidRPr="001700AA">
        <w:rPr>
          <w:rFonts w:ascii="Gadugi" w:eastAsia="Georgia" w:hAnsi="Gadugi" w:cs="Georgia"/>
          <w:i/>
          <w:iCs/>
          <w:szCs w:val="24"/>
        </w:rPr>
        <w:t>Ramírez</w:t>
      </w:r>
      <w:r w:rsidR="007A54EA" w:rsidRPr="001700AA">
        <w:rPr>
          <w:rFonts w:ascii="Gadugi" w:eastAsia="Georgia" w:hAnsi="Gadugi" w:cs="Georgia"/>
          <w:i/>
          <w:iCs/>
          <w:szCs w:val="24"/>
        </w:rPr>
        <w:t xml:space="preserve">, cirujano que programa </w:t>
      </w:r>
      <w:r w:rsidR="00845D99" w:rsidRPr="001700AA">
        <w:rPr>
          <w:rFonts w:ascii="Gadugi" w:eastAsia="Georgia" w:hAnsi="Gadugi" w:cs="Georgia"/>
          <w:i/>
          <w:iCs/>
          <w:szCs w:val="24"/>
        </w:rPr>
        <w:t xml:space="preserve">para </w:t>
      </w:r>
      <w:r w:rsidR="007A54EA" w:rsidRPr="001700AA">
        <w:rPr>
          <w:rFonts w:ascii="Gadugi" w:eastAsia="Georgia" w:hAnsi="Gadugi" w:cs="Georgia"/>
          <w:i/>
          <w:iCs/>
          <w:szCs w:val="24"/>
        </w:rPr>
        <w:t xml:space="preserve">laparotomía exploratoria. Pronóstico muy reservado, alta sospecha de úlcera </w:t>
      </w:r>
      <w:r w:rsidR="00C3717E" w:rsidRPr="001700AA">
        <w:rPr>
          <w:rFonts w:ascii="Gadugi" w:eastAsia="Georgia" w:hAnsi="Gadugi" w:cs="Georgia"/>
          <w:i/>
          <w:iCs/>
          <w:szCs w:val="24"/>
        </w:rPr>
        <w:t>perforada,</w:t>
      </w:r>
      <w:r w:rsidR="007A54EA" w:rsidRPr="001700AA">
        <w:rPr>
          <w:rFonts w:ascii="Gadugi" w:eastAsia="Georgia" w:hAnsi="Gadugi" w:cs="Georgia"/>
          <w:i/>
          <w:iCs/>
          <w:szCs w:val="24"/>
        </w:rPr>
        <w:t xml:space="preserve"> alto riesgo de </w:t>
      </w:r>
      <w:proofErr w:type="spellStart"/>
      <w:r w:rsidR="007A54EA" w:rsidRPr="001700AA">
        <w:rPr>
          <w:rFonts w:ascii="Gadugi" w:eastAsia="Georgia" w:hAnsi="Gadugi" w:cs="Georgia"/>
          <w:i/>
          <w:iCs/>
          <w:szCs w:val="24"/>
        </w:rPr>
        <w:t>motalidad</w:t>
      </w:r>
      <w:proofErr w:type="spellEnd"/>
      <w:r w:rsidR="007A54EA" w:rsidRPr="002F651B">
        <w:rPr>
          <w:rFonts w:ascii="Gadugi" w:eastAsia="Georgia" w:hAnsi="Gadugi" w:cs="Georgia"/>
          <w:sz w:val="24"/>
          <w:szCs w:val="24"/>
        </w:rPr>
        <w:t>”</w:t>
      </w:r>
      <w:r w:rsidR="00845D99" w:rsidRPr="002F651B">
        <w:rPr>
          <w:rFonts w:ascii="Gadugi" w:eastAsia="Georgia" w:hAnsi="Gadugi" w:cs="Georgia"/>
          <w:sz w:val="24"/>
          <w:szCs w:val="24"/>
        </w:rPr>
        <w:t xml:space="preserve"> (sic). </w:t>
      </w:r>
    </w:p>
    <w:p w14:paraId="40934271" w14:textId="77777777" w:rsidR="00845D99" w:rsidRPr="002F651B" w:rsidRDefault="00845D99"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72FDDA60" w14:textId="3229119B" w:rsidR="00E7539D" w:rsidRPr="002F651B" w:rsidRDefault="00F6352E"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t xml:space="preserve">En el procedimiento quirúrgico se encontró choque mixto séptico, sepsis severa de origen abdominal, </w:t>
      </w:r>
      <w:r w:rsidR="00AC45ED" w:rsidRPr="002F651B">
        <w:rPr>
          <w:rFonts w:ascii="Gadugi" w:eastAsia="Georgia" w:hAnsi="Gadugi" w:cs="Georgia"/>
          <w:sz w:val="24"/>
          <w:szCs w:val="24"/>
        </w:rPr>
        <w:t>úlcera</w:t>
      </w:r>
      <w:r w:rsidRPr="002F651B">
        <w:rPr>
          <w:rFonts w:ascii="Gadugi" w:eastAsia="Georgia" w:hAnsi="Gadugi" w:cs="Georgia"/>
          <w:sz w:val="24"/>
          <w:szCs w:val="24"/>
        </w:rPr>
        <w:t xml:space="preserve"> gástrica perforada más peritonitis generalizada</w:t>
      </w:r>
      <w:r w:rsidR="00E865BB" w:rsidRPr="002F651B">
        <w:rPr>
          <w:rFonts w:ascii="Gadugi" w:eastAsia="Georgia" w:hAnsi="Gadugi" w:cs="Georgia"/>
          <w:sz w:val="24"/>
          <w:szCs w:val="24"/>
        </w:rPr>
        <w:t xml:space="preserve"> e</w:t>
      </w:r>
      <w:r w:rsidR="00AC45ED" w:rsidRPr="002F651B">
        <w:rPr>
          <w:rFonts w:ascii="Gadugi" w:eastAsia="Georgia" w:hAnsi="Gadugi" w:cs="Georgia"/>
          <w:sz w:val="24"/>
          <w:szCs w:val="24"/>
        </w:rPr>
        <w:t xml:space="preserve"> hipoperfusión mesentérica. </w:t>
      </w:r>
      <w:r w:rsidR="00B8062A" w:rsidRPr="002F651B">
        <w:rPr>
          <w:rFonts w:ascii="Gadugi" w:eastAsia="Georgia" w:hAnsi="Gadugi" w:cs="Georgia"/>
          <w:sz w:val="24"/>
          <w:szCs w:val="24"/>
        </w:rPr>
        <w:t xml:space="preserve">Así quedó registrado </w:t>
      </w:r>
      <w:r w:rsidR="00AB7245" w:rsidRPr="002F651B">
        <w:rPr>
          <w:rFonts w:ascii="Gadugi" w:eastAsia="Georgia" w:hAnsi="Gadugi" w:cs="Georgia"/>
          <w:sz w:val="24"/>
          <w:szCs w:val="24"/>
        </w:rPr>
        <w:t>a</w:t>
      </w:r>
      <w:r w:rsidR="00C9427A" w:rsidRPr="002F651B">
        <w:rPr>
          <w:rFonts w:ascii="Gadugi" w:eastAsia="Georgia" w:hAnsi="Gadugi" w:cs="Georgia"/>
          <w:sz w:val="24"/>
          <w:szCs w:val="24"/>
        </w:rPr>
        <w:t xml:space="preserve"> las 18:24 del 26 de enero</w:t>
      </w:r>
      <w:r w:rsidR="00B8062A" w:rsidRPr="002F651B">
        <w:rPr>
          <w:rFonts w:ascii="Gadugi" w:eastAsia="Georgia" w:hAnsi="Gadugi" w:cs="Georgia"/>
          <w:sz w:val="24"/>
          <w:szCs w:val="24"/>
        </w:rPr>
        <w:t>, después de tres días</w:t>
      </w:r>
      <w:r w:rsidR="00AB7245" w:rsidRPr="002F651B">
        <w:rPr>
          <w:rFonts w:ascii="Gadugi" w:eastAsia="Georgia" w:hAnsi="Gadugi" w:cs="Georgia"/>
          <w:sz w:val="24"/>
          <w:szCs w:val="24"/>
        </w:rPr>
        <w:t xml:space="preserve"> de intentos fallidos. </w:t>
      </w:r>
    </w:p>
    <w:p w14:paraId="4B0C8FBA" w14:textId="77777777" w:rsidR="007926BD" w:rsidRPr="002F651B" w:rsidRDefault="007926BD"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3B10123E" w14:textId="1EA54CD2" w:rsidR="00F66BCE" w:rsidRPr="002F651B" w:rsidRDefault="00040967"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lastRenderedPageBreak/>
        <w:t>A pesar de haberse realizado la laparotomía y de haber hallado también “</w:t>
      </w:r>
      <w:r w:rsidRPr="001700AA">
        <w:rPr>
          <w:rFonts w:ascii="Gadugi" w:eastAsia="Georgia" w:hAnsi="Gadugi" w:cs="Georgia"/>
          <w:i/>
          <w:iCs/>
          <w:szCs w:val="24"/>
        </w:rPr>
        <w:t xml:space="preserve">isquemia </w:t>
      </w:r>
      <w:r w:rsidR="00A11546" w:rsidRPr="001700AA">
        <w:rPr>
          <w:rFonts w:ascii="Gadugi" w:eastAsia="Georgia" w:hAnsi="Gadugi" w:cs="Georgia"/>
          <w:i/>
          <w:iCs/>
          <w:szCs w:val="24"/>
        </w:rPr>
        <w:t>severa de todo el intestino delgado, colon e hígado</w:t>
      </w:r>
      <w:r w:rsidR="00A11546" w:rsidRPr="002F651B">
        <w:rPr>
          <w:rFonts w:ascii="Gadugi" w:eastAsia="Georgia" w:hAnsi="Gadugi" w:cs="Georgia"/>
          <w:sz w:val="24"/>
          <w:szCs w:val="24"/>
        </w:rPr>
        <w:t>” las cosas empeoraron</w:t>
      </w:r>
      <w:r w:rsidR="007D08EA" w:rsidRPr="002F651B">
        <w:rPr>
          <w:rFonts w:ascii="Gadugi" w:eastAsia="Georgia" w:hAnsi="Gadugi" w:cs="Georgia"/>
          <w:sz w:val="24"/>
          <w:szCs w:val="24"/>
        </w:rPr>
        <w:t xml:space="preserve"> y el 30 de enero de </w:t>
      </w:r>
      <w:r w:rsidR="007A54EA" w:rsidRPr="002F651B">
        <w:rPr>
          <w:rFonts w:ascii="Gadugi" w:eastAsia="Georgia" w:hAnsi="Gadugi" w:cs="Georgia"/>
          <w:sz w:val="24"/>
          <w:szCs w:val="24"/>
        </w:rPr>
        <w:t>enero de 2015</w:t>
      </w:r>
      <w:r w:rsidR="008C11CB" w:rsidRPr="002F651B">
        <w:rPr>
          <w:rFonts w:ascii="Gadugi" w:eastAsia="Georgia" w:hAnsi="Gadugi" w:cs="Georgia"/>
          <w:sz w:val="24"/>
          <w:szCs w:val="24"/>
        </w:rPr>
        <w:t>,</w:t>
      </w:r>
      <w:r w:rsidR="007A54EA" w:rsidRPr="002F651B">
        <w:rPr>
          <w:rFonts w:ascii="Gadugi" w:eastAsia="Georgia" w:hAnsi="Gadugi" w:cs="Georgia"/>
          <w:sz w:val="24"/>
          <w:szCs w:val="24"/>
        </w:rPr>
        <w:t xml:space="preserve"> a las 10:05</w:t>
      </w:r>
      <w:r w:rsidR="008C11CB" w:rsidRPr="002F651B">
        <w:rPr>
          <w:rFonts w:ascii="Gadugi" w:eastAsia="Georgia" w:hAnsi="Gadugi" w:cs="Georgia"/>
          <w:sz w:val="24"/>
          <w:szCs w:val="24"/>
        </w:rPr>
        <w:t xml:space="preserve"> horas, </w:t>
      </w:r>
      <w:r w:rsidR="00C3717E" w:rsidRPr="002F651B">
        <w:rPr>
          <w:rFonts w:ascii="Gadugi" w:eastAsia="Georgia" w:hAnsi="Gadugi" w:cs="Georgia"/>
          <w:sz w:val="24"/>
          <w:szCs w:val="24"/>
        </w:rPr>
        <w:t>María</w:t>
      </w:r>
      <w:r w:rsidR="007A54EA" w:rsidRPr="002F651B">
        <w:rPr>
          <w:rFonts w:ascii="Gadugi" w:eastAsia="Georgia" w:hAnsi="Gadugi" w:cs="Georgia"/>
          <w:sz w:val="24"/>
          <w:szCs w:val="24"/>
        </w:rPr>
        <w:t xml:space="preserve"> Nora Correa fallec</w:t>
      </w:r>
      <w:r w:rsidR="008C11CB" w:rsidRPr="002F651B">
        <w:rPr>
          <w:rFonts w:ascii="Gadugi" w:eastAsia="Georgia" w:hAnsi="Gadugi" w:cs="Georgia"/>
          <w:sz w:val="24"/>
          <w:szCs w:val="24"/>
        </w:rPr>
        <w:t>ió</w:t>
      </w:r>
      <w:r w:rsidR="007A54EA" w:rsidRPr="002F651B">
        <w:rPr>
          <w:rFonts w:ascii="Gadugi" w:eastAsia="Georgia" w:hAnsi="Gadugi" w:cs="Georgia"/>
          <w:sz w:val="24"/>
          <w:szCs w:val="24"/>
        </w:rPr>
        <w:t xml:space="preserve"> y se dej</w:t>
      </w:r>
      <w:r w:rsidR="009D7CE4" w:rsidRPr="002F651B">
        <w:rPr>
          <w:rFonts w:ascii="Gadugi" w:eastAsia="Georgia" w:hAnsi="Gadugi" w:cs="Georgia"/>
          <w:sz w:val="24"/>
          <w:szCs w:val="24"/>
        </w:rPr>
        <w:t>ó</w:t>
      </w:r>
      <w:r w:rsidR="007A54EA" w:rsidRPr="002F651B">
        <w:rPr>
          <w:rFonts w:ascii="Gadugi" w:eastAsia="Georgia" w:hAnsi="Gadugi" w:cs="Georgia"/>
          <w:sz w:val="24"/>
          <w:szCs w:val="24"/>
        </w:rPr>
        <w:t xml:space="preserve"> consignado en su historia clínica</w:t>
      </w:r>
      <w:r w:rsidR="009D7CE4" w:rsidRPr="002F651B">
        <w:rPr>
          <w:rFonts w:ascii="Gadugi" w:eastAsia="Georgia" w:hAnsi="Gadugi" w:cs="Georgia"/>
          <w:sz w:val="24"/>
          <w:szCs w:val="24"/>
        </w:rPr>
        <w:t>:</w:t>
      </w:r>
      <w:r w:rsidR="007A54EA" w:rsidRPr="002F651B">
        <w:rPr>
          <w:rFonts w:ascii="Gadugi" w:eastAsia="Georgia" w:hAnsi="Gadugi" w:cs="Georgia"/>
          <w:sz w:val="24"/>
          <w:szCs w:val="24"/>
        </w:rPr>
        <w:t xml:space="preserve"> </w:t>
      </w:r>
      <w:r w:rsidR="00C3717E" w:rsidRPr="002F651B">
        <w:rPr>
          <w:rFonts w:ascii="Gadugi" w:eastAsia="Georgia" w:hAnsi="Gadugi" w:cs="Georgia"/>
          <w:sz w:val="24"/>
          <w:szCs w:val="24"/>
        </w:rPr>
        <w:t>“</w:t>
      </w:r>
      <w:r w:rsidR="00C3717E" w:rsidRPr="001700AA">
        <w:rPr>
          <w:rFonts w:ascii="Gadugi" w:eastAsia="Georgia" w:hAnsi="Gadugi" w:cs="Georgia"/>
          <w:i/>
          <w:iCs/>
          <w:szCs w:val="24"/>
        </w:rPr>
        <w:t>Paciente</w:t>
      </w:r>
      <w:r w:rsidR="007A54EA" w:rsidRPr="001700AA">
        <w:rPr>
          <w:rFonts w:ascii="Gadugi" w:eastAsia="Georgia" w:hAnsi="Gadugi" w:cs="Georgia"/>
          <w:i/>
          <w:iCs/>
          <w:szCs w:val="24"/>
        </w:rPr>
        <w:t xml:space="preserve"> con disfunción orgánica múltiple, choque séptico de origen abdominal, secundaria a perforación de ulcera </w:t>
      </w:r>
      <w:r w:rsidR="00C3717E" w:rsidRPr="001700AA">
        <w:rPr>
          <w:rFonts w:ascii="Gadugi" w:eastAsia="Georgia" w:hAnsi="Gadugi" w:cs="Georgia"/>
          <w:i/>
          <w:iCs/>
          <w:szCs w:val="24"/>
        </w:rPr>
        <w:t>gástrica</w:t>
      </w:r>
      <w:r w:rsidR="007A54EA" w:rsidRPr="001700AA">
        <w:rPr>
          <w:rFonts w:ascii="Gadugi" w:eastAsia="Georgia" w:hAnsi="Gadugi" w:cs="Georgia"/>
          <w:i/>
          <w:iCs/>
          <w:szCs w:val="24"/>
        </w:rPr>
        <w:t xml:space="preserve"> e isquemia mesentérica asociada</w:t>
      </w:r>
      <w:r w:rsidR="007A54EA" w:rsidRPr="002F651B">
        <w:rPr>
          <w:rFonts w:ascii="Gadugi" w:eastAsia="Georgia" w:hAnsi="Gadugi" w:cs="Georgia"/>
          <w:i/>
          <w:iCs/>
          <w:sz w:val="24"/>
          <w:szCs w:val="24"/>
        </w:rPr>
        <w:t>”</w:t>
      </w:r>
      <w:r w:rsidR="007A54EA" w:rsidRPr="002F651B">
        <w:rPr>
          <w:rFonts w:ascii="Gadugi" w:eastAsia="Georgia" w:hAnsi="Gadugi" w:cs="Georgia"/>
          <w:sz w:val="24"/>
          <w:szCs w:val="24"/>
        </w:rPr>
        <w:t>.</w:t>
      </w:r>
    </w:p>
    <w:p w14:paraId="53128261" w14:textId="77777777" w:rsidR="00F66BCE" w:rsidRPr="002F651B" w:rsidRDefault="00F66BCE"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62486C05" w14:textId="60920D89" w:rsidR="00F66BCE" w:rsidRDefault="00C3365E"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t xml:space="preserve">Señalan que </w:t>
      </w:r>
      <w:r w:rsidR="00D847AA" w:rsidRPr="002F651B">
        <w:rPr>
          <w:rFonts w:ascii="Gadugi" w:eastAsia="Georgia" w:hAnsi="Gadugi" w:cs="Georgia"/>
          <w:sz w:val="24"/>
          <w:szCs w:val="24"/>
        </w:rPr>
        <w:t>e</w:t>
      </w:r>
      <w:r w:rsidRPr="002F651B">
        <w:rPr>
          <w:rFonts w:ascii="Gadugi" w:eastAsia="Georgia" w:hAnsi="Gadugi" w:cs="Georgia"/>
          <w:sz w:val="24"/>
          <w:szCs w:val="24"/>
        </w:rPr>
        <w:t xml:space="preserve">se recuento evidencia que no se trató la urgencia vital </w:t>
      </w:r>
      <w:r w:rsidR="009D08B2" w:rsidRPr="002F651B">
        <w:rPr>
          <w:rFonts w:ascii="Gadugi" w:eastAsia="Georgia" w:hAnsi="Gadugi" w:cs="Georgia"/>
          <w:sz w:val="24"/>
          <w:szCs w:val="24"/>
        </w:rPr>
        <w:t xml:space="preserve">con la premura que correspondía y para la fecha en que practicó la cirugía ya era inocua, pues la paciente había contraído una peritonitis generalizada sumada con hipoperfusión </w:t>
      </w:r>
      <w:r w:rsidR="00E04F33">
        <w:rPr>
          <w:rFonts w:ascii="Gadugi" w:eastAsia="Georgia" w:hAnsi="Gadugi" w:cs="Georgia"/>
          <w:sz w:val="24"/>
          <w:szCs w:val="24"/>
        </w:rPr>
        <w:t>mesentérica y choque séptico.</w:t>
      </w:r>
    </w:p>
    <w:p w14:paraId="5E1E29D1" w14:textId="77777777" w:rsidR="00E04F33" w:rsidRPr="002F651B" w:rsidRDefault="00E04F33"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4E0E29B8" w14:textId="06D7DA36" w:rsidR="00B5141E" w:rsidRPr="002F651B" w:rsidRDefault="00B5141E" w:rsidP="002F651B">
      <w:pPr>
        <w:pBdr>
          <w:top w:val="nil"/>
          <w:left w:val="nil"/>
          <w:bottom w:val="nil"/>
          <w:right w:val="nil"/>
          <w:between w:val="nil"/>
        </w:pBdr>
        <w:tabs>
          <w:tab w:val="left" w:pos="3686"/>
          <w:tab w:val="left" w:pos="4536"/>
        </w:tabs>
        <w:jc w:val="both"/>
        <w:rPr>
          <w:rFonts w:ascii="Gadugi" w:eastAsia="Georgia" w:hAnsi="Gadugi" w:cs="Georgia"/>
          <w:sz w:val="24"/>
          <w:szCs w:val="24"/>
        </w:rPr>
      </w:pPr>
      <w:r w:rsidRPr="002F651B">
        <w:rPr>
          <w:rFonts w:ascii="Gadugi" w:eastAsia="Georgia" w:hAnsi="Gadugi" w:cs="Georgia"/>
          <w:sz w:val="24"/>
          <w:szCs w:val="24"/>
        </w:rPr>
        <w:t xml:space="preserve">La situación presentada </w:t>
      </w:r>
      <w:r w:rsidR="00FE6800" w:rsidRPr="002F651B">
        <w:rPr>
          <w:rFonts w:ascii="Gadugi" w:eastAsia="Georgia" w:hAnsi="Gadugi" w:cs="Georgia"/>
          <w:sz w:val="24"/>
          <w:szCs w:val="24"/>
        </w:rPr>
        <w:t>afectó gravemente a sus familiares, que han entrado en un estado de depresión, angustia y desespero</w:t>
      </w:r>
      <w:r w:rsidR="00EB7C8F" w:rsidRPr="002F651B">
        <w:rPr>
          <w:rFonts w:ascii="Gadugi" w:eastAsia="Georgia" w:hAnsi="Gadugi" w:cs="Georgia"/>
          <w:sz w:val="24"/>
          <w:szCs w:val="24"/>
        </w:rPr>
        <w:t>. La negligencia y descuido de las entidades demandadas vulner</w:t>
      </w:r>
      <w:r w:rsidR="00D847AA" w:rsidRPr="002F651B">
        <w:rPr>
          <w:rFonts w:ascii="Gadugi" w:eastAsia="Georgia" w:hAnsi="Gadugi" w:cs="Georgia"/>
          <w:sz w:val="24"/>
          <w:szCs w:val="24"/>
        </w:rPr>
        <w:t>aron</w:t>
      </w:r>
      <w:r w:rsidR="00EB7C8F" w:rsidRPr="002F651B">
        <w:rPr>
          <w:rFonts w:ascii="Gadugi" w:eastAsia="Georgia" w:hAnsi="Gadugi" w:cs="Georgia"/>
          <w:sz w:val="24"/>
          <w:szCs w:val="24"/>
        </w:rPr>
        <w:t xml:space="preserve"> los derechos </w:t>
      </w:r>
      <w:r w:rsidR="00090495" w:rsidRPr="002F651B">
        <w:rPr>
          <w:rFonts w:ascii="Gadugi" w:eastAsia="Georgia" w:hAnsi="Gadugi" w:cs="Georgia"/>
          <w:sz w:val="24"/>
          <w:szCs w:val="24"/>
        </w:rPr>
        <w:t>a la salud, a la dignidad humana, a la vida, al libre desarrollo de la personalidad</w:t>
      </w:r>
      <w:r w:rsidR="008E3C4E" w:rsidRPr="002F651B">
        <w:rPr>
          <w:rFonts w:ascii="Gadugi" w:eastAsia="Georgia" w:hAnsi="Gadugi" w:cs="Georgia"/>
          <w:sz w:val="24"/>
          <w:szCs w:val="24"/>
        </w:rPr>
        <w:t xml:space="preserve">, entre otros. </w:t>
      </w:r>
      <w:r w:rsidR="00090495" w:rsidRPr="002F651B">
        <w:rPr>
          <w:rFonts w:ascii="Gadugi" w:eastAsia="Georgia" w:hAnsi="Gadugi" w:cs="Georgia"/>
          <w:sz w:val="24"/>
          <w:szCs w:val="24"/>
        </w:rPr>
        <w:t xml:space="preserve"> </w:t>
      </w:r>
    </w:p>
    <w:p w14:paraId="4101652C" w14:textId="77777777" w:rsidR="00F66BCE" w:rsidRPr="002F651B" w:rsidRDefault="00F66BCE" w:rsidP="002F651B">
      <w:pPr>
        <w:pBdr>
          <w:top w:val="nil"/>
          <w:left w:val="nil"/>
          <w:bottom w:val="nil"/>
          <w:right w:val="nil"/>
          <w:between w:val="nil"/>
        </w:pBdr>
        <w:tabs>
          <w:tab w:val="left" w:pos="3686"/>
          <w:tab w:val="left" w:pos="4536"/>
        </w:tabs>
        <w:rPr>
          <w:rFonts w:ascii="Gadugi" w:eastAsia="Georgia" w:hAnsi="Gadugi" w:cs="Georgia"/>
          <w:sz w:val="24"/>
          <w:szCs w:val="24"/>
        </w:rPr>
      </w:pPr>
    </w:p>
    <w:p w14:paraId="7517042C" w14:textId="77777777" w:rsidR="00F66BCE" w:rsidRPr="002F651B" w:rsidRDefault="007A54EA" w:rsidP="002F651B">
      <w:pPr>
        <w:pBdr>
          <w:top w:val="nil"/>
          <w:left w:val="nil"/>
          <w:bottom w:val="nil"/>
          <w:right w:val="nil"/>
          <w:between w:val="nil"/>
        </w:pBdr>
        <w:tabs>
          <w:tab w:val="left" w:pos="3686"/>
          <w:tab w:val="left" w:pos="4536"/>
        </w:tabs>
        <w:rPr>
          <w:rFonts w:ascii="Gadugi" w:eastAsia="Georgia" w:hAnsi="Gadugi" w:cs="Georgia"/>
          <w:sz w:val="24"/>
          <w:szCs w:val="24"/>
        </w:rPr>
      </w:pPr>
      <w:r w:rsidRPr="002F651B">
        <w:rPr>
          <w:rFonts w:ascii="Gadugi" w:eastAsia="Georgia" w:hAnsi="Gadugi" w:cs="Georgia"/>
          <w:b/>
          <w:bCs/>
          <w:sz w:val="24"/>
          <w:szCs w:val="24"/>
        </w:rPr>
        <w:t>1.2.  Pretensiones</w:t>
      </w:r>
      <w:r w:rsidRPr="002F651B">
        <w:rPr>
          <w:rFonts w:ascii="Gadugi" w:eastAsia="Georgia" w:hAnsi="Gadugi" w:cs="Georgia"/>
          <w:b/>
          <w:bCs/>
          <w:sz w:val="24"/>
          <w:szCs w:val="24"/>
          <w:vertAlign w:val="superscript"/>
        </w:rPr>
        <w:footnoteReference w:id="3"/>
      </w:r>
    </w:p>
    <w:p w14:paraId="578D63DB" w14:textId="77777777" w:rsidR="00405FB0" w:rsidRPr="002F651B" w:rsidRDefault="00405FB0" w:rsidP="002F651B">
      <w:pPr>
        <w:jc w:val="both"/>
        <w:rPr>
          <w:rFonts w:ascii="Gadugi" w:eastAsia="Georgia" w:hAnsi="Gadugi" w:cs="Georgia"/>
          <w:sz w:val="24"/>
          <w:szCs w:val="24"/>
        </w:rPr>
      </w:pPr>
    </w:p>
    <w:p w14:paraId="0A145AE1" w14:textId="183D7700" w:rsidR="00381D4F" w:rsidRPr="002F651B" w:rsidRDefault="00381D4F" w:rsidP="002F651B">
      <w:pPr>
        <w:jc w:val="both"/>
        <w:rPr>
          <w:rFonts w:ascii="Gadugi" w:eastAsia="Georgia" w:hAnsi="Gadugi" w:cs="Georgia"/>
          <w:sz w:val="24"/>
          <w:szCs w:val="24"/>
        </w:rPr>
      </w:pPr>
      <w:r w:rsidRPr="002F651B">
        <w:rPr>
          <w:rFonts w:ascii="Gadugi" w:eastAsia="Georgia" w:hAnsi="Gadugi" w:cs="Georgia"/>
          <w:sz w:val="24"/>
          <w:szCs w:val="24"/>
        </w:rPr>
        <w:t>Pidieron que se d</w:t>
      </w:r>
      <w:r w:rsidR="007A54EA" w:rsidRPr="002F651B">
        <w:rPr>
          <w:rFonts w:ascii="Gadugi" w:eastAsia="Georgia" w:hAnsi="Gadugi" w:cs="Georgia"/>
          <w:sz w:val="24"/>
          <w:szCs w:val="24"/>
        </w:rPr>
        <w:t>eclarar</w:t>
      </w:r>
      <w:r w:rsidRPr="002F651B">
        <w:rPr>
          <w:rFonts w:ascii="Gadugi" w:eastAsia="Georgia" w:hAnsi="Gadugi" w:cs="Georgia"/>
          <w:sz w:val="24"/>
          <w:szCs w:val="24"/>
        </w:rPr>
        <w:t>a</w:t>
      </w:r>
      <w:r w:rsidR="007A54EA" w:rsidRPr="002F651B">
        <w:rPr>
          <w:rFonts w:ascii="Gadugi" w:eastAsia="Georgia" w:hAnsi="Gadugi" w:cs="Georgia"/>
          <w:sz w:val="24"/>
          <w:szCs w:val="24"/>
        </w:rPr>
        <w:t xml:space="preserve"> administrativa y patrimonialmente responsables a la Nación Ministerio de Salud y Protección Social, Departamento de Risaralda Secretaria de Salud, </w:t>
      </w:r>
      <w:r w:rsidR="00C3717E" w:rsidRPr="002F651B">
        <w:rPr>
          <w:rFonts w:ascii="Gadugi" w:eastAsia="Georgia" w:hAnsi="Gadugi" w:cs="Georgia"/>
          <w:sz w:val="24"/>
          <w:szCs w:val="24"/>
        </w:rPr>
        <w:t>Clínica</w:t>
      </w:r>
      <w:r w:rsidR="007A54EA" w:rsidRPr="002F651B">
        <w:rPr>
          <w:rFonts w:ascii="Gadugi" w:eastAsia="Georgia" w:hAnsi="Gadugi" w:cs="Georgia"/>
          <w:sz w:val="24"/>
          <w:szCs w:val="24"/>
        </w:rPr>
        <w:t xml:space="preserve"> </w:t>
      </w:r>
      <w:proofErr w:type="spellStart"/>
      <w:r w:rsidR="007A54EA" w:rsidRPr="002F651B">
        <w:rPr>
          <w:rFonts w:ascii="Gadugi" w:eastAsia="Georgia" w:hAnsi="Gadugi" w:cs="Georgia"/>
          <w:sz w:val="24"/>
          <w:szCs w:val="24"/>
        </w:rPr>
        <w:t>Marañon</w:t>
      </w:r>
      <w:proofErr w:type="spellEnd"/>
      <w:r w:rsidR="007A54EA" w:rsidRPr="002F651B">
        <w:rPr>
          <w:rFonts w:ascii="Gadugi" w:eastAsia="Georgia" w:hAnsi="Gadugi" w:cs="Georgia"/>
          <w:sz w:val="24"/>
          <w:szCs w:val="24"/>
        </w:rPr>
        <w:t xml:space="preserve"> S.A.S, Nueva Empresa Promotora de Salud </w:t>
      </w:r>
      <w:proofErr w:type="spellStart"/>
      <w:r w:rsidR="007A54EA" w:rsidRPr="002F651B">
        <w:rPr>
          <w:rFonts w:ascii="Gadugi" w:eastAsia="Georgia" w:hAnsi="Gadugi" w:cs="Georgia"/>
          <w:sz w:val="24"/>
          <w:szCs w:val="24"/>
        </w:rPr>
        <w:t>S.A</w:t>
      </w:r>
      <w:proofErr w:type="spellEnd"/>
      <w:r w:rsidR="007A54EA" w:rsidRPr="002F651B">
        <w:rPr>
          <w:rFonts w:ascii="Gadugi" w:eastAsia="Georgia" w:hAnsi="Gadugi" w:cs="Georgia"/>
          <w:sz w:val="24"/>
          <w:szCs w:val="24"/>
        </w:rPr>
        <w:t xml:space="preserve">, Nueva </w:t>
      </w:r>
      <w:proofErr w:type="spellStart"/>
      <w:r w:rsidR="007A54EA" w:rsidRPr="002F651B">
        <w:rPr>
          <w:rFonts w:ascii="Gadugi" w:eastAsia="Georgia" w:hAnsi="Gadugi" w:cs="Georgia"/>
          <w:sz w:val="24"/>
          <w:szCs w:val="24"/>
        </w:rPr>
        <w:t>EPS</w:t>
      </w:r>
      <w:proofErr w:type="spellEnd"/>
      <w:r w:rsidR="007A54EA" w:rsidRPr="002F651B">
        <w:rPr>
          <w:rFonts w:ascii="Gadugi" w:eastAsia="Georgia" w:hAnsi="Gadugi" w:cs="Georgia"/>
          <w:sz w:val="24"/>
          <w:szCs w:val="24"/>
        </w:rPr>
        <w:t xml:space="preserve"> </w:t>
      </w:r>
      <w:proofErr w:type="spellStart"/>
      <w:r w:rsidR="007A54EA" w:rsidRPr="002F651B">
        <w:rPr>
          <w:rFonts w:ascii="Gadugi" w:eastAsia="Georgia" w:hAnsi="Gadugi" w:cs="Georgia"/>
          <w:sz w:val="24"/>
          <w:szCs w:val="24"/>
        </w:rPr>
        <w:t>S.A</w:t>
      </w:r>
      <w:proofErr w:type="spellEnd"/>
      <w:r w:rsidR="007A54EA" w:rsidRPr="002F651B">
        <w:rPr>
          <w:rFonts w:ascii="Gadugi" w:eastAsia="Georgia" w:hAnsi="Gadugi" w:cs="Georgia"/>
          <w:sz w:val="24"/>
          <w:szCs w:val="24"/>
        </w:rPr>
        <w:t xml:space="preserve">, </w:t>
      </w:r>
      <w:r w:rsidR="00C3717E" w:rsidRPr="002F651B">
        <w:rPr>
          <w:rFonts w:ascii="Gadugi" w:eastAsia="Georgia" w:hAnsi="Gadugi" w:cs="Georgia"/>
          <w:sz w:val="24"/>
          <w:szCs w:val="24"/>
        </w:rPr>
        <w:t>Clínica</w:t>
      </w:r>
      <w:r w:rsidR="007A54EA" w:rsidRPr="002F651B">
        <w:rPr>
          <w:rFonts w:ascii="Gadugi" w:eastAsia="Georgia" w:hAnsi="Gadugi" w:cs="Georgia"/>
          <w:sz w:val="24"/>
          <w:szCs w:val="24"/>
        </w:rPr>
        <w:t xml:space="preserve"> </w:t>
      </w:r>
      <w:proofErr w:type="spellStart"/>
      <w:r w:rsidR="007A54EA" w:rsidRPr="002F651B">
        <w:rPr>
          <w:rFonts w:ascii="Gadugi" w:eastAsia="Georgia" w:hAnsi="Gadugi" w:cs="Georgia"/>
          <w:sz w:val="24"/>
          <w:szCs w:val="24"/>
        </w:rPr>
        <w:t>Dumian</w:t>
      </w:r>
      <w:proofErr w:type="spellEnd"/>
      <w:r w:rsidR="007A54EA" w:rsidRPr="002F651B">
        <w:rPr>
          <w:rFonts w:ascii="Gadugi" w:eastAsia="Georgia" w:hAnsi="Gadugi" w:cs="Georgia"/>
          <w:sz w:val="24"/>
          <w:szCs w:val="24"/>
        </w:rPr>
        <w:t xml:space="preserve"> Medical S.A.S por las fallas en el servicio y que trajeron como consecuencia la muerte de la señora </w:t>
      </w:r>
      <w:r w:rsidR="00C3717E" w:rsidRPr="002F651B">
        <w:rPr>
          <w:rFonts w:ascii="Gadugi" w:eastAsia="Georgia" w:hAnsi="Gadugi" w:cs="Georgia"/>
          <w:sz w:val="24"/>
          <w:szCs w:val="24"/>
        </w:rPr>
        <w:t>María</w:t>
      </w:r>
      <w:r w:rsidR="007A54EA" w:rsidRPr="002F651B">
        <w:rPr>
          <w:rFonts w:ascii="Gadugi" w:eastAsia="Georgia" w:hAnsi="Gadugi" w:cs="Georgia"/>
          <w:sz w:val="24"/>
          <w:szCs w:val="24"/>
        </w:rPr>
        <w:t xml:space="preserve"> Nora Correa de </w:t>
      </w:r>
      <w:r w:rsidR="00E70B9F" w:rsidRPr="002F651B">
        <w:rPr>
          <w:rFonts w:ascii="Gadugi" w:eastAsia="Georgia" w:hAnsi="Gadugi" w:cs="Georgia"/>
          <w:sz w:val="24"/>
          <w:szCs w:val="24"/>
        </w:rPr>
        <w:t>Piedrahíta</w:t>
      </w:r>
      <w:r w:rsidR="007A54EA" w:rsidRPr="002F651B">
        <w:rPr>
          <w:rFonts w:ascii="Gadugi" w:eastAsia="Georgia" w:hAnsi="Gadugi" w:cs="Georgia"/>
          <w:sz w:val="24"/>
          <w:szCs w:val="24"/>
        </w:rPr>
        <w:t xml:space="preserve"> el 30 de enero de 2015. </w:t>
      </w:r>
    </w:p>
    <w:p w14:paraId="7831B6C4" w14:textId="77777777" w:rsidR="00381D4F" w:rsidRPr="002F651B" w:rsidRDefault="00381D4F" w:rsidP="002F651B">
      <w:pPr>
        <w:jc w:val="both"/>
        <w:rPr>
          <w:rFonts w:ascii="Gadugi" w:eastAsia="Georgia" w:hAnsi="Gadugi" w:cs="Georgia"/>
          <w:sz w:val="24"/>
          <w:szCs w:val="24"/>
        </w:rPr>
      </w:pPr>
    </w:p>
    <w:p w14:paraId="721E0AB0" w14:textId="39F93DB3" w:rsidR="00F66BCE" w:rsidRPr="002F651B" w:rsidRDefault="00381D4F" w:rsidP="002F651B">
      <w:pPr>
        <w:jc w:val="both"/>
        <w:rPr>
          <w:rFonts w:ascii="Gadugi" w:eastAsia="Georgia" w:hAnsi="Gadugi" w:cs="Georgia"/>
          <w:sz w:val="24"/>
          <w:szCs w:val="24"/>
        </w:rPr>
      </w:pPr>
      <w:r w:rsidRPr="002F651B">
        <w:rPr>
          <w:rFonts w:ascii="Gadugi" w:eastAsia="Georgia" w:hAnsi="Gadugi" w:cs="Georgia"/>
          <w:sz w:val="24"/>
          <w:szCs w:val="24"/>
        </w:rPr>
        <w:t>En consecuencia, reclamaron el reconocimiento y pago de los perjuicios extrapatrimoniales</w:t>
      </w:r>
      <w:r w:rsidR="0070479C" w:rsidRPr="002F651B">
        <w:rPr>
          <w:rFonts w:ascii="Gadugi" w:eastAsia="Georgia" w:hAnsi="Gadugi" w:cs="Georgia"/>
          <w:sz w:val="24"/>
          <w:szCs w:val="24"/>
        </w:rPr>
        <w:t>, tanto para la sucesión, como para ellos individualmente considerados, derivados del daño moral, a la vida de relación y a la salud, que fueron tasados</w:t>
      </w:r>
      <w:r w:rsidR="008277FD" w:rsidRPr="002F651B">
        <w:rPr>
          <w:rFonts w:ascii="Gadugi" w:eastAsia="Georgia" w:hAnsi="Gadugi" w:cs="Georgia"/>
          <w:sz w:val="24"/>
          <w:szCs w:val="24"/>
        </w:rPr>
        <w:t>;</w:t>
      </w:r>
      <w:r w:rsidR="0070479C" w:rsidRPr="002F651B">
        <w:rPr>
          <w:rFonts w:ascii="Gadugi" w:eastAsia="Georgia" w:hAnsi="Gadugi" w:cs="Georgia"/>
          <w:sz w:val="24"/>
          <w:szCs w:val="24"/>
        </w:rPr>
        <w:t xml:space="preserve"> y por los derechos convencional o constitucionalmente amparados, respecto de los cuales se debe otorgar</w:t>
      </w:r>
      <w:r w:rsidR="005D64D7" w:rsidRPr="002F651B">
        <w:rPr>
          <w:rFonts w:ascii="Gadugi" w:eastAsia="Georgia" w:hAnsi="Gadugi" w:cs="Georgia"/>
          <w:sz w:val="24"/>
          <w:szCs w:val="24"/>
        </w:rPr>
        <w:t>, además,</w:t>
      </w:r>
      <w:r w:rsidR="0070479C" w:rsidRPr="002F651B">
        <w:rPr>
          <w:rFonts w:ascii="Gadugi" w:eastAsia="Georgia" w:hAnsi="Gadugi" w:cs="Georgia"/>
          <w:sz w:val="24"/>
          <w:szCs w:val="24"/>
        </w:rPr>
        <w:t xml:space="preserve"> una reparación simbólica. </w:t>
      </w:r>
    </w:p>
    <w:p w14:paraId="105EC0C7" w14:textId="77777777" w:rsidR="008277FD" w:rsidRPr="002F651B" w:rsidRDefault="008277FD" w:rsidP="002F651B">
      <w:pPr>
        <w:rPr>
          <w:rFonts w:ascii="Gadugi" w:eastAsia="Georgia" w:hAnsi="Gadugi" w:cs="Georgia"/>
          <w:b/>
          <w:bCs/>
          <w:sz w:val="24"/>
          <w:szCs w:val="24"/>
        </w:rPr>
      </w:pPr>
    </w:p>
    <w:p w14:paraId="06928148" w14:textId="7D1B8F23" w:rsidR="00F66BCE" w:rsidRPr="002F651B" w:rsidRDefault="007A54EA" w:rsidP="002F651B">
      <w:pPr>
        <w:tabs>
          <w:tab w:val="left" w:pos="709"/>
        </w:tabs>
        <w:rPr>
          <w:rFonts w:ascii="Gadugi" w:eastAsia="Georgia" w:hAnsi="Gadugi" w:cs="Georgia"/>
          <w:b/>
          <w:bCs/>
          <w:sz w:val="24"/>
          <w:szCs w:val="24"/>
        </w:rPr>
      </w:pPr>
      <w:r w:rsidRPr="002F651B">
        <w:rPr>
          <w:rFonts w:ascii="Gadugi" w:eastAsia="Georgia" w:hAnsi="Gadugi" w:cs="Georgia"/>
          <w:b/>
          <w:bCs/>
          <w:sz w:val="24"/>
          <w:szCs w:val="24"/>
        </w:rPr>
        <w:t>1.3.</w:t>
      </w:r>
      <w:r w:rsidR="00333F08" w:rsidRPr="002F651B">
        <w:rPr>
          <w:rFonts w:ascii="Gadugi" w:eastAsia="Georgia" w:hAnsi="Gadugi" w:cs="Georgia"/>
          <w:b/>
          <w:bCs/>
          <w:sz w:val="24"/>
          <w:szCs w:val="24"/>
        </w:rPr>
        <w:tab/>
      </w:r>
      <w:r w:rsidRPr="002F651B">
        <w:rPr>
          <w:rFonts w:ascii="Gadugi" w:eastAsia="Georgia" w:hAnsi="Gadugi" w:cs="Georgia"/>
          <w:b/>
          <w:bCs/>
          <w:sz w:val="24"/>
          <w:szCs w:val="24"/>
        </w:rPr>
        <w:t>Trámite</w:t>
      </w:r>
    </w:p>
    <w:p w14:paraId="43C07FB2" w14:textId="77777777" w:rsidR="00040C42" w:rsidRPr="002F651B" w:rsidRDefault="00040C42" w:rsidP="002F651B">
      <w:pPr>
        <w:rPr>
          <w:rFonts w:ascii="Gadugi" w:eastAsia="Georgia" w:hAnsi="Gadugi" w:cs="Georgia"/>
          <w:sz w:val="24"/>
          <w:szCs w:val="24"/>
        </w:rPr>
      </w:pPr>
    </w:p>
    <w:p w14:paraId="7CDCB8EA" w14:textId="77777777" w:rsidR="00AE3BE8" w:rsidRPr="002F651B" w:rsidRDefault="0070479C" w:rsidP="002F651B">
      <w:pPr>
        <w:jc w:val="both"/>
        <w:rPr>
          <w:rFonts w:ascii="Gadugi" w:eastAsia="Georgia" w:hAnsi="Gadugi" w:cs="Georgia"/>
          <w:sz w:val="24"/>
          <w:szCs w:val="24"/>
        </w:rPr>
      </w:pPr>
      <w:r w:rsidRPr="002F651B">
        <w:rPr>
          <w:rFonts w:ascii="Gadugi" w:eastAsia="Georgia" w:hAnsi="Gadugi" w:cs="Georgia"/>
          <w:sz w:val="24"/>
          <w:szCs w:val="24"/>
        </w:rPr>
        <w:t xml:space="preserve">La demanda </w:t>
      </w:r>
      <w:r w:rsidR="00040C42" w:rsidRPr="002F651B">
        <w:rPr>
          <w:rFonts w:ascii="Gadugi" w:eastAsia="Georgia" w:hAnsi="Gadugi" w:cs="Georgia"/>
          <w:sz w:val="24"/>
          <w:szCs w:val="24"/>
        </w:rPr>
        <w:t>fue inicialmente admitida por el Juzgado Quinto Administrativo de Pereira</w:t>
      </w:r>
      <w:r w:rsidR="00AE3BE8" w:rsidRPr="002F651B">
        <w:rPr>
          <w:rStyle w:val="Refdenotaalpie"/>
          <w:rFonts w:ascii="Gadugi" w:eastAsia="Georgia" w:hAnsi="Gadugi" w:cs="Georgia"/>
          <w:sz w:val="24"/>
          <w:szCs w:val="24"/>
        </w:rPr>
        <w:footnoteReference w:id="4"/>
      </w:r>
      <w:r w:rsidR="00AE3BE8" w:rsidRPr="002F651B">
        <w:rPr>
          <w:rFonts w:ascii="Gadugi" w:eastAsia="Georgia" w:hAnsi="Gadugi" w:cs="Georgia"/>
          <w:sz w:val="24"/>
          <w:szCs w:val="24"/>
        </w:rPr>
        <w:t xml:space="preserve">. </w:t>
      </w:r>
    </w:p>
    <w:p w14:paraId="614CE459" w14:textId="77777777" w:rsidR="00AE3BE8" w:rsidRPr="002F651B" w:rsidRDefault="00AE3BE8" w:rsidP="002F651B">
      <w:pPr>
        <w:jc w:val="both"/>
        <w:rPr>
          <w:rFonts w:ascii="Gadugi" w:eastAsia="Georgia" w:hAnsi="Gadugi" w:cs="Georgia"/>
          <w:sz w:val="24"/>
          <w:szCs w:val="24"/>
        </w:rPr>
      </w:pPr>
    </w:p>
    <w:p w14:paraId="48B4909C" w14:textId="1A0F1326" w:rsidR="008277FD" w:rsidRPr="002F651B" w:rsidRDefault="00AE3BE8" w:rsidP="002F651B">
      <w:pPr>
        <w:jc w:val="both"/>
        <w:rPr>
          <w:rFonts w:ascii="Gadugi" w:eastAsia="Georgia" w:hAnsi="Gadugi" w:cs="Georgia"/>
          <w:sz w:val="24"/>
          <w:szCs w:val="24"/>
        </w:rPr>
      </w:pPr>
      <w:r w:rsidRPr="002F651B">
        <w:rPr>
          <w:rFonts w:ascii="Gadugi" w:eastAsia="Georgia" w:hAnsi="Gadugi" w:cs="Georgia"/>
          <w:sz w:val="24"/>
          <w:szCs w:val="24"/>
        </w:rPr>
        <w:t>Contestaron los demandados</w:t>
      </w:r>
      <w:r w:rsidR="008277FD" w:rsidRPr="002F651B">
        <w:rPr>
          <w:rFonts w:ascii="Gadugi" w:eastAsia="Georgia" w:hAnsi="Gadugi" w:cs="Georgia"/>
          <w:sz w:val="24"/>
          <w:szCs w:val="24"/>
        </w:rPr>
        <w:t xml:space="preserve">, con excepción de la Clínica </w:t>
      </w:r>
      <w:r w:rsidR="005D1EF2" w:rsidRPr="002F651B">
        <w:rPr>
          <w:rFonts w:ascii="Gadugi" w:eastAsia="Georgia" w:hAnsi="Gadugi" w:cs="Georgia"/>
          <w:sz w:val="24"/>
          <w:szCs w:val="24"/>
        </w:rPr>
        <w:t>Marañón</w:t>
      </w:r>
      <w:r w:rsidR="008277FD" w:rsidRPr="002F651B">
        <w:rPr>
          <w:rFonts w:ascii="Gadugi" w:eastAsia="Georgia" w:hAnsi="Gadugi" w:cs="Georgia"/>
          <w:sz w:val="24"/>
          <w:szCs w:val="24"/>
        </w:rPr>
        <w:t xml:space="preserve"> SAS; se pronunciaron sobre los hechos, opugnaron las pretensiones y formularon como excepciones: </w:t>
      </w:r>
    </w:p>
    <w:p w14:paraId="2AB00423" w14:textId="77777777" w:rsidR="008277FD" w:rsidRPr="002F651B" w:rsidRDefault="008277FD" w:rsidP="002F651B">
      <w:pPr>
        <w:jc w:val="both"/>
        <w:rPr>
          <w:rFonts w:ascii="Gadugi" w:eastAsia="Georgia" w:hAnsi="Gadugi" w:cs="Georgia"/>
          <w:sz w:val="24"/>
          <w:szCs w:val="24"/>
        </w:rPr>
      </w:pPr>
    </w:p>
    <w:p w14:paraId="5404F36F" w14:textId="1C7FF873" w:rsidR="008277FD" w:rsidRPr="002F651B" w:rsidRDefault="008277FD" w:rsidP="002F651B">
      <w:pPr>
        <w:jc w:val="both"/>
        <w:rPr>
          <w:rFonts w:ascii="Gadugi" w:eastAsia="Georgia" w:hAnsi="Gadugi" w:cs="Georgia"/>
          <w:sz w:val="24"/>
          <w:szCs w:val="24"/>
        </w:rPr>
      </w:pPr>
      <w:r w:rsidRPr="002F651B">
        <w:rPr>
          <w:rFonts w:ascii="Gadugi" w:eastAsia="Georgia" w:hAnsi="Gadugi" w:cs="Georgia"/>
          <w:sz w:val="24"/>
          <w:szCs w:val="24"/>
        </w:rPr>
        <w:lastRenderedPageBreak/>
        <w:t>El Ministerio de Salud y Protección Social</w:t>
      </w:r>
      <w:r w:rsidRPr="002F651B">
        <w:rPr>
          <w:rStyle w:val="Refdenotaalpie"/>
          <w:rFonts w:ascii="Gadugi" w:eastAsia="Georgia" w:hAnsi="Gadugi" w:cs="Georgia"/>
          <w:sz w:val="24"/>
          <w:szCs w:val="24"/>
        </w:rPr>
        <w:footnoteReference w:id="5"/>
      </w:r>
      <w:r w:rsidRPr="002F651B">
        <w:rPr>
          <w:rFonts w:ascii="Gadugi" w:eastAsia="Georgia" w:hAnsi="Gadugi" w:cs="Georgia"/>
          <w:sz w:val="24"/>
          <w:szCs w:val="24"/>
        </w:rPr>
        <w:t xml:space="preserve">: (i) “falta de legitimación en la causa por pasiva”; (ii) “inexistencia de daño antijurídico por parte de la Nación – Ministerio de Salud y Protección Social”; (iii) “caducidad”; y (iv) “la innominada”. </w:t>
      </w:r>
    </w:p>
    <w:p w14:paraId="746B1569" w14:textId="77777777" w:rsidR="008277FD" w:rsidRPr="002F651B" w:rsidRDefault="008277FD" w:rsidP="002F651B">
      <w:pPr>
        <w:jc w:val="both"/>
        <w:rPr>
          <w:rFonts w:ascii="Gadugi" w:eastAsia="Georgia" w:hAnsi="Gadugi" w:cs="Georgia"/>
          <w:sz w:val="24"/>
          <w:szCs w:val="24"/>
        </w:rPr>
      </w:pPr>
    </w:p>
    <w:p w14:paraId="5CFBC2DD" w14:textId="06DADBC9" w:rsidR="008277FD" w:rsidRPr="002F651B" w:rsidRDefault="008277FD" w:rsidP="002F651B">
      <w:pPr>
        <w:pStyle w:val="Prrafodelista"/>
        <w:tabs>
          <w:tab w:val="left" w:pos="142"/>
        </w:tabs>
        <w:ind w:left="0"/>
        <w:jc w:val="both"/>
        <w:rPr>
          <w:rFonts w:ascii="Gadugi" w:eastAsia="Georgia" w:hAnsi="Gadugi" w:cs="Georgia"/>
          <w:sz w:val="24"/>
          <w:szCs w:val="24"/>
        </w:rPr>
      </w:pPr>
      <w:proofErr w:type="spellStart"/>
      <w:r w:rsidRPr="002F651B">
        <w:rPr>
          <w:rFonts w:ascii="Gadugi" w:eastAsia="Georgia" w:hAnsi="Gadugi" w:cs="Georgia"/>
          <w:sz w:val="24"/>
          <w:szCs w:val="24"/>
        </w:rPr>
        <w:t>Dumian</w:t>
      </w:r>
      <w:proofErr w:type="spellEnd"/>
      <w:r w:rsidRPr="002F651B">
        <w:rPr>
          <w:rFonts w:ascii="Gadugi" w:eastAsia="Georgia" w:hAnsi="Gadugi" w:cs="Georgia"/>
          <w:sz w:val="24"/>
          <w:szCs w:val="24"/>
        </w:rPr>
        <w:t xml:space="preserve"> Medical S.A.S.</w:t>
      </w:r>
      <w:r w:rsidRPr="002F651B">
        <w:rPr>
          <w:rStyle w:val="Refdenotaalpie"/>
          <w:rFonts w:ascii="Gadugi" w:eastAsia="Georgia" w:hAnsi="Gadugi" w:cs="Georgia"/>
          <w:sz w:val="24"/>
          <w:szCs w:val="24"/>
        </w:rPr>
        <w:footnoteReference w:id="6"/>
      </w:r>
      <w:r w:rsidRPr="002F651B">
        <w:rPr>
          <w:rFonts w:ascii="Gadugi" w:eastAsia="Georgia" w:hAnsi="Gadugi" w:cs="Georgia"/>
          <w:sz w:val="24"/>
          <w:szCs w:val="24"/>
        </w:rPr>
        <w:t xml:space="preserve">: (i) “inexistencia de nexo causal entre </w:t>
      </w:r>
      <w:proofErr w:type="spellStart"/>
      <w:r w:rsidRPr="002F651B">
        <w:rPr>
          <w:rFonts w:ascii="Gadugi" w:eastAsia="Georgia" w:hAnsi="Gadugi" w:cs="Georgia"/>
          <w:sz w:val="24"/>
          <w:szCs w:val="24"/>
        </w:rPr>
        <w:t>Dumian</w:t>
      </w:r>
      <w:proofErr w:type="spellEnd"/>
      <w:r w:rsidRPr="002F651B">
        <w:rPr>
          <w:rFonts w:ascii="Gadugi" w:eastAsia="Georgia" w:hAnsi="Gadugi" w:cs="Georgia"/>
          <w:sz w:val="24"/>
          <w:szCs w:val="24"/>
        </w:rPr>
        <w:t xml:space="preserve"> Medical S.A.S. y el presunto daño causado a la señora María Nora Correa”: (ii) “obligación de medio y no de resultado”; (iii) “inexistencia de falla médica”: (iv) “no cumplimiento de los elementos constitutivos de pérdida de oportunidad”; (v) “excesiva tasación de los perjuicios; (vi) “cumplimiento adecuado de las obligaciones a cargo de la entidad demandada”; y (vii) “inexistencia de nexo de causalidad”. </w:t>
      </w:r>
    </w:p>
    <w:p w14:paraId="416F7472" w14:textId="77777777" w:rsidR="008277FD" w:rsidRPr="002F651B" w:rsidRDefault="008277FD" w:rsidP="002F651B">
      <w:pPr>
        <w:pStyle w:val="Prrafodelista"/>
        <w:rPr>
          <w:rFonts w:ascii="Gadugi" w:eastAsia="Georgia" w:hAnsi="Gadugi" w:cs="Georgia"/>
          <w:sz w:val="24"/>
          <w:szCs w:val="24"/>
        </w:rPr>
      </w:pPr>
    </w:p>
    <w:p w14:paraId="69F081E1" w14:textId="77777777" w:rsidR="00CC6258" w:rsidRPr="002F651B" w:rsidRDefault="008277FD" w:rsidP="002F651B">
      <w:pPr>
        <w:pStyle w:val="Prrafodelista"/>
        <w:tabs>
          <w:tab w:val="left" w:pos="284"/>
        </w:tabs>
        <w:spacing w:before="240" w:after="240"/>
        <w:ind w:left="0"/>
        <w:jc w:val="both"/>
        <w:rPr>
          <w:rFonts w:ascii="Gadugi" w:eastAsia="Georgia" w:hAnsi="Gadugi" w:cs="Georgia"/>
          <w:sz w:val="24"/>
          <w:szCs w:val="24"/>
        </w:rPr>
      </w:pPr>
      <w:r w:rsidRPr="002F651B">
        <w:rPr>
          <w:rFonts w:ascii="Gadugi" w:eastAsia="Georgia" w:hAnsi="Gadugi" w:cs="Georgia"/>
          <w:sz w:val="24"/>
          <w:szCs w:val="24"/>
        </w:rPr>
        <w:t>La Nueva EPS</w:t>
      </w:r>
      <w:r w:rsidRPr="002F651B">
        <w:rPr>
          <w:rStyle w:val="Refdenotaalpie"/>
          <w:rFonts w:ascii="Gadugi" w:eastAsia="Georgia" w:hAnsi="Gadugi" w:cs="Georgia"/>
          <w:sz w:val="24"/>
          <w:szCs w:val="24"/>
        </w:rPr>
        <w:footnoteReference w:id="7"/>
      </w:r>
      <w:r w:rsidRPr="002F651B">
        <w:rPr>
          <w:rFonts w:ascii="Gadugi" w:eastAsia="Georgia" w:hAnsi="Gadugi" w:cs="Georgia"/>
          <w:sz w:val="24"/>
          <w:szCs w:val="24"/>
        </w:rPr>
        <w:t xml:space="preserve">: (i) “falta de jurisdicción y competencia”; (ii) “Inexistencia de responsabilidad solidaria”; (iii) “inexistencia de daño indemnizable imputable a Nueva </w:t>
      </w:r>
      <w:proofErr w:type="spellStart"/>
      <w:r w:rsidRPr="002F651B">
        <w:rPr>
          <w:rFonts w:ascii="Gadugi" w:eastAsia="Georgia" w:hAnsi="Gadugi" w:cs="Georgia"/>
          <w:sz w:val="24"/>
          <w:szCs w:val="24"/>
        </w:rPr>
        <w:t>EPS</w:t>
      </w:r>
      <w:proofErr w:type="spellEnd"/>
      <w:r w:rsidRPr="002F651B">
        <w:rPr>
          <w:rFonts w:ascii="Gadugi" w:eastAsia="Georgia" w:hAnsi="Gadugi" w:cs="Georgia"/>
          <w:sz w:val="24"/>
          <w:szCs w:val="24"/>
        </w:rPr>
        <w:t xml:space="preserve">”; (iv) inexistencia del factor de imputación: culpa a título de falla en el servicio”; (v) “cumplimiento cabal de las obligaciones de la Nueva EPS en su condición de asegurador”; (vi) “inexistencia de responsabilidad de Nueva EPS por hecho de terceros”; (vii) “inexistencia de falla en el servicio médico imputable a Nueva </w:t>
      </w:r>
      <w:proofErr w:type="spellStart"/>
      <w:r w:rsidRPr="002F651B">
        <w:rPr>
          <w:rFonts w:ascii="Gadugi" w:eastAsia="Georgia" w:hAnsi="Gadugi" w:cs="Georgia"/>
          <w:sz w:val="24"/>
          <w:szCs w:val="24"/>
        </w:rPr>
        <w:t>EPS</w:t>
      </w:r>
      <w:proofErr w:type="spellEnd"/>
      <w:r w:rsidR="00CC6258" w:rsidRPr="002F651B">
        <w:rPr>
          <w:rFonts w:ascii="Gadugi" w:eastAsia="Georgia" w:hAnsi="Gadugi" w:cs="Georgia"/>
          <w:sz w:val="24"/>
          <w:szCs w:val="24"/>
        </w:rPr>
        <w:t xml:space="preserve">; (viii) </w:t>
      </w:r>
      <w:r w:rsidRPr="002F651B">
        <w:rPr>
          <w:rFonts w:ascii="Gadugi" w:eastAsia="Georgia" w:hAnsi="Gadugi" w:cs="Georgia"/>
          <w:sz w:val="24"/>
          <w:szCs w:val="24"/>
        </w:rPr>
        <w:t>inexistencia de nexo causal entre la actividad de Nueva EPS y el resultado final”</w:t>
      </w:r>
      <w:r w:rsidR="00CC6258" w:rsidRPr="002F651B">
        <w:rPr>
          <w:rFonts w:ascii="Gadugi" w:eastAsia="Georgia" w:hAnsi="Gadugi" w:cs="Georgia"/>
          <w:sz w:val="24"/>
          <w:szCs w:val="24"/>
        </w:rPr>
        <w:t xml:space="preserve">; (ix) </w:t>
      </w:r>
      <w:r w:rsidRPr="002F651B">
        <w:rPr>
          <w:rFonts w:ascii="Gadugi" w:eastAsia="Georgia" w:hAnsi="Gadugi" w:cs="Georgia"/>
          <w:sz w:val="24"/>
          <w:szCs w:val="24"/>
        </w:rPr>
        <w:t>“ausencia de culpa y ruptura del nexo causal por hecho imputable de manera exclusiva a un tercero”</w:t>
      </w:r>
      <w:r w:rsidR="00CC6258" w:rsidRPr="002F651B">
        <w:rPr>
          <w:rFonts w:ascii="Gadugi" w:eastAsia="Georgia" w:hAnsi="Gadugi" w:cs="Georgia"/>
          <w:sz w:val="24"/>
          <w:szCs w:val="24"/>
        </w:rPr>
        <w:t xml:space="preserve">; (x) </w:t>
      </w:r>
      <w:r w:rsidRPr="002F651B">
        <w:rPr>
          <w:rFonts w:ascii="Gadugi" w:eastAsia="Georgia" w:hAnsi="Gadugi" w:cs="Georgia"/>
          <w:sz w:val="24"/>
          <w:szCs w:val="24"/>
        </w:rPr>
        <w:t>“carencia absoluta de prueba de nexo causal entre la omisión endilgada a Nueva EPS y el daño alegado”</w:t>
      </w:r>
      <w:r w:rsidR="00CC6258" w:rsidRPr="002F651B">
        <w:rPr>
          <w:rFonts w:ascii="Gadugi" w:eastAsia="Georgia" w:hAnsi="Gadugi" w:cs="Georgia"/>
          <w:sz w:val="24"/>
          <w:szCs w:val="24"/>
        </w:rPr>
        <w:t xml:space="preserve">; (xi) </w:t>
      </w:r>
      <w:r w:rsidRPr="002F651B">
        <w:rPr>
          <w:rFonts w:ascii="Gadugi" w:eastAsia="Georgia" w:hAnsi="Gadugi" w:cs="Georgia"/>
          <w:sz w:val="24"/>
          <w:szCs w:val="24"/>
        </w:rPr>
        <w:t>“indebida tasación de perjuicios y enriquecimiento sin causa o cobro de lo no debido”</w:t>
      </w:r>
      <w:r w:rsidR="00CC6258" w:rsidRPr="002F651B">
        <w:rPr>
          <w:rFonts w:ascii="Gadugi" w:eastAsia="Georgia" w:hAnsi="Gadugi" w:cs="Georgia"/>
          <w:sz w:val="24"/>
          <w:szCs w:val="24"/>
        </w:rPr>
        <w:t xml:space="preserve">; y (xii) la llamada </w:t>
      </w:r>
      <w:r w:rsidRPr="002F651B">
        <w:rPr>
          <w:rFonts w:ascii="Gadugi" w:eastAsia="Georgia" w:hAnsi="Gadugi" w:cs="Georgia"/>
          <w:sz w:val="24"/>
          <w:szCs w:val="24"/>
        </w:rPr>
        <w:t xml:space="preserve">“excepción genérica”. </w:t>
      </w:r>
    </w:p>
    <w:p w14:paraId="64EA444B" w14:textId="77777777" w:rsidR="00CC6258" w:rsidRPr="002F651B" w:rsidRDefault="00CC6258" w:rsidP="002F651B">
      <w:pPr>
        <w:pStyle w:val="Prrafodelista"/>
        <w:tabs>
          <w:tab w:val="left" w:pos="284"/>
        </w:tabs>
        <w:spacing w:before="240" w:after="240"/>
        <w:ind w:left="0"/>
        <w:jc w:val="both"/>
        <w:rPr>
          <w:rFonts w:ascii="Gadugi" w:eastAsia="Georgia" w:hAnsi="Gadugi" w:cs="Georgia"/>
          <w:sz w:val="24"/>
          <w:szCs w:val="24"/>
        </w:rPr>
      </w:pPr>
    </w:p>
    <w:p w14:paraId="6BD32349" w14:textId="39D80416" w:rsidR="008277FD" w:rsidRPr="002F651B" w:rsidRDefault="008277FD" w:rsidP="002F651B">
      <w:pPr>
        <w:pStyle w:val="Prrafodelista"/>
        <w:tabs>
          <w:tab w:val="left" w:pos="284"/>
        </w:tabs>
        <w:spacing w:before="240" w:after="240"/>
        <w:ind w:left="0"/>
        <w:jc w:val="both"/>
        <w:rPr>
          <w:rFonts w:ascii="Gadugi" w:eastAsia="Georgia" w:hAnsi="Gadugi" w:cs="Georgia"/>
          <w:sz w:val="24"/>
          <w:szCs w:val="24"/>
        </w:rPr>
      </w:pPr>
      <w:r w:rsidRPr="002F651B">
        <w:rPr>
          <w:rFonts w:ascii="Gadugi" w:eastAsia="Georgia" w:hAnsi="Gadugi" w:cs="Georgia"/>
          <w:sz w:val="24"/>
          <w:szCs w:val="24"/>
        </w:rPr>
        <w:t xml:space="preserve">Adicionalmente, llamó en garantía a </w:t>
      </w:r>
      <w:proofErr w:type="spellStart"/>
      <w:r w:rsidRPr="002F651B">
        <w:rPr>
          <w:rFonts w:ascii="Gadugi" w:eastAsia="Georgia" w:hAnsi="Gadugi" w:cs="Georgia"/>
          <w:sz w:val="24"/>
          <w:szCs w:val="24"/>
        </w:rPr>
        <w:t>IPS</w:t>
      </w:r>
      <w:proofErr w:type="spellEnd"/>
      <w:r w:rsidRPr="002F651B">
        <w:rPr>
          <w:rFonts w:ascii="Gadugi" w:eastAsia="Georgia" w:hAnsi="Gadugi" w:cs="Georgia"/>
          <w:sz w:val="24"/>
          <w:szCs w:val="24"/>
        </w:rPr>
        <w:t xml:space="preserve"> Inversiones </w:t>
      </w:r>
      <w:proofErr w:type="spellStart"/>
      <w:r w:rsidRPr="002F651B">
        <w:rPr>
          <w:rFonts w:ascii="Gadugi" w:eastAsia="Georgia" w:hAnsi="Gadugi" w:cs="Georgia"/>
          <w:sz w:val="24"/>
          <w:szCs w:val="24"/>
        </w:rPr>
        <w:t>Dumian</w:t>
      </w:r>
      <w:proofErr w:type="spellEnd"/>
      <w:r w:rsidRPr="002F651B">
        <w:rPr>
          <w:rFonts w:ascii="Gadugi" w:eastAsia="Georgia" w:hAnsi="Gadugi" w:cs="Georgia"/>
          <w:sz w:val="24"/>
          <w:szCs w:val="24"/>
        </w:rPr>
        <w:t xml:space="preserve"> </w:t>
      </w:r>
      <w:proofErr w:type="spellStart"/>
      <w:r w:rsidR="00D74C2B" w:rsidRPr="002F651B">
        <w:rPr>
          <w:rFonts w:ascii="Gadugi" w:eastAsia="Georgia" w:hAnsi="Gadugi" w:cs="Georgia"/>
          <w:sz w:val="24"/>
          <w:szCs w:val="24"/>
        </w:rPr>
        <w:t>SAS</w:t>
      </w:r>
      <w:proofErr w:type="spellEnd"/>
      <w:r w:rsidRPr="002F651B">
        <w:rPr>
          <w:rStyle w:val="Refdenotaalpie"/>
          <w:rFonts w:ascii="Gadugi" w:eastAsia="Georgia" w:hAnsi="Gadugi" w:cs="Georgia"/>
          <w:sz w:val="24"/>
          <w:szCs w:val="24"/>
        </w:rPr>
        <w:footnoteReference w:id="8"/>
      </w:r>
      <w:r w:rsidRPr="002F651B">
        <w:rPr>
          <w:rFonts w:ascii="Gadugi" w:eastAsia="Georgia" w:hAnsi="Gadugi" w:cs="Georgia"/>
          <w:sz w:val="24"/>
          <w:szCs w:val="24"/>
        </w:rPr>
        <w:t xml:space="preserve"> y </w:t>
      </w:r>
      <w:r w:rsidR="00CC6258" w:rsidRPr="002F651B">
        <w:rPr>
          <w:rFonts w:ascii="Gadugi" w:eastAsia="Georgia" w:hAnsi="Gadugi" w:cs="Georgia"/>
          <w:sz w:val="24"/>
          <w:szCs w:val="24"/>
        </w:rPr>
        <w:t xml:space="preserve">a </w:t>
      </w:r>
      <w:r w:rsidRPr="002F651B">
        <w:rPr>
          <w:rFonts w:ascii="Gadugi" w:eastAsia="Georgia" w:hAnsi="Gadugi" w:cs="Georgia"/>
          <w:sz w:val="24"/>
          <w:szCs w:val="24"/>
        </w:rPr>
        <w:t>la Clínica Marañón</w:t>
      </w:r>
      <w:r w:rsidRPr="002F651B">
        <w:rPr>
          <w:rStyle w:val="Refdenotaalpie"/>
          <w:rFonts w:ascii="Gadugi" w:eastAsia="Georgia" w:hAnsi="Gadugi" w:cs="Georgia"/>
          <w:sz w:val="24"/>
          <w:szCs w:val="24"/>
        </w:rPr>
        <w:footnoteReference w:id="9"/>
      </w:r>
      <w:r w:rsidRPr="002F651B">
        <w:rPr>
          <w:rFonts w:ascii="Gadugi" w:eastAsia="Georgia" w:hAnsi="Gadugi" w:cs="Georgia"/>
          <w:sz w:val="24"/>
          <w:szCs w:val="24"/>
        </w:rPr>
        <w:t xml:space="preserve"> </w:t>
      </w:r>
    </w:p>
    <w:p w14:paraId="1DFD9A9D" w14:textId="77777777" w:rsidR="008277FD" w:rsidRPr="002F651B" w:rsidRDefault="008277FD" w:rsidP="002F651B">
      <w:pPr>
        <w:pStyle w:val="Prrafodelista"/>
        <w:rPr>
          <w:rFonts w:ascii="Gadugi" w:eastAsia="Georgia" w:hAnsi="Gadugi" w:cs="Georgia"/>
          <w:sz w:val="24"/>
          <w:szCs w:val="24"/>
        </w:rPr>
      </w:pPr>
    </w:p>
    <w:p w14:paraId="544B875A" w14:textId="77777777" w:rsidR="00A26CFA" w:rsidRPr="002F651B" w:rsidRDefault="008277FD" w:rsidP="002F651B">
      <w:pPr>
        <w:pStyle w:val="Prrafodelista"/>
        <w:tabs>
          <w:tab w:val="left" w:pos="284"/>
        </w:tabs>
        <w:spacing w:before="240" w:after="240"/>
        <w:ind w:left="0"/>
        <w:jc w:val="both"/>
        <w:rPr>
          <w:rFonts w:ascii="Gadugi" w:eastAsia="Georgia" w:hAnsi="Gadugi" w:cs="Georgia"/>
          <w:sz w:val="24"/>
          <w:szCs w:val="24"/>
        </w:rPr>
      </w:pPr>
      <w:r w:rsidRPr="002F651B">
        <w:rPr>
          <w:rFonts w:ascii="Gadugi" w:eastAsia="Georgia" w:hAnsi="Gadugi" w:cs="Georgia"/>
          <w:sz w:val="24"/>
          <w:szCs w:val="24"/>
        </w:rPr>
        <w:t>El Departamento de Risaralda</w:t>
      </w:r>
      <w:r w:rsidRPr="002F651B">
        <w:rPr>
          <w:rStyle w:val="Refdenotaalpie"/>
          <w:rFonts w:ascii="Gadugi" w:eastAsia="Georgia" w:hAnsi="Gadugi" w:cs="Georgia"/>
          <w:sz w:val="24"/>
          <w:szCs w:val="24"/>
        </w:rPr>
        <w:footnoteReference w:id="10"/>
      </w:r>
      <w:r w:rsidR="00CC6258" w:rsidRPr="002F651B">
        <w:rPr>
          <w:rFonts w:ascii="Gadugi" w:eastAsia="Georgia" w:hAnsi="Gadugi" w:cs="Georgia"/>
          <w:sz w:val="24"/>
          <w:szCs w:val="24"/>
        </w:rPr>
        <w:t>:</w:t>
      </w:r>
      <w:r w:rsidRPr="002F651B">
        <w:rPr>
          <w:rFonts w:ascii="Gadugi" w:eastAsia="Georgia" w:hAnsi="Gadugi" w:cs="Georgia"/>
          <w:sz w:val="24"/>
          <w:szCs w:val="24"/>
        </w:rPr>
        <w:t xml:space="preserve"> </w:t>
      </w:r>
      <w:r w:rsidR="00CC6258" w:rsidRPr="002F651B">
        <w:rPr>
          <w:rFonts w:ascii="Gadugi" w:eastAsia="Georgia" w:hAnsi="Gadugi" w:cs="Georgia"/>
          <w:sz w:val="24"/>
          <w:szCs w:val="24"/>
        </w:rPr>
        <w:t xml:space="preserve">(i) </w:t>
      </w:r>
      <w:r w:rsidRPr="002F651B">
        <w:rPr>
          <w:rFonts w:ascii="Gadugi" w:eastAsia="Georgia" w:hAnsi="Gadugi" w:cs="Georgia"/>
          <w:sz w:val="24"/>
          <w:szCs w:val="24"/>
        </w:rPr>
        <w:t>“falta de legitimación en la causa por pasiva”</w:t>
      </w:r>
      <w:r w:rsidR="00A26CFA" w:rsidRPr="002F651B">
        <w:rPr>
          <w:rFonts w:ascii="Gadugi" w:eastAsia="Georgia" w:hAnsi="Gadugi" w:cs="Georgia"/>
          <w:sz w:val="24"/>
          <w:szCs w:val="24"/>
        </w:rPr>
        <w:t xml:space="preserve">; y (ii) </w:t>
      </w:r>
      <w:r w:rsidRPr="002F651B">
        <w:rPr>
          <w:rFonts w:ascii="Gadugi" w:eastAsia="Georgia" w:hAnsi="Gadugi" w:cs="Georgia"/>
          <w:sz w:val="24"/>
          <w:szCs w:val="24"/>
        </w:rPr>
        <w:t xml:space="preserve">“falta de nexo causal”. </w:t>
      </w:r>
    </w:p>
    <w:p w14:paraId="08EFC51E" w14:textId="77777777" w:rsidR="00A26CFA" w:rsidRPr="002F651B" w:rsidRDefault="00A26CFA" w:rsidP="002F651B">
      <w:pPr>
        <w:pStyle w:val="Prrafodelista"/>
        <w:tabs>
          <w:tab w:val="left" w:pos="284"/>
        </w:tabs>
        <w:spacing w:before="240" w:after="240"/>
        <w:ind w:left="0"/>
        <w:jc w:val="both"/>
        <w:rPr>
          <w:rFonts w:ascii="Gadugi" w:eastAsia="Georgia" w:hAnsi="Gadugi" w:cs="Georgia"/>
          <w:sz w:val="24"/>
          <w:szCs w:val="24"/>
        </w:rPr>
      </w:pPr>
    </w:p>
    <w:p w14:paraId="25212C83" w14:textId="55504B31" w:rsidR="008277FD" w:rsidRPr="002F651B" w:rsidRDefault="00A26CFA" w:rsidP="002F651B">
      <w:pPr>
        <w:pStyle w:val="Prrafodelista"/>
        <w:tabs>
          <w:tab w:val="left" w:pos="284"/>
        </w:tabs>
        <w:ind w:left="0"/>
        <w:jc w:val="both"/>
        <w:rPr>
          <w:rFonts w:ascii="Gadugi" w:eastAsia="Georgia" w:hAnsi="Gadugi" w:cs="Georgia"/>
          <w:sz w:val="24"/>
          <w:szCs w:val="24"/>
        </w:rPr>
      </w:pPr>
      <w:r w:rsidRPr="002F651B">
        <w:rPr>
          <w:rFonts w:ascii="Gadugi" w:eastAsia="Georgia" w:hAnsi="Gadugi" w:cs="Georgia"/>
          <w:sz w:val="24"/>
          <w:szCs w:val="24"/>
        </w:rPr>
        <w:t xml:space="preserve">Por su lado, </w:t>
      </w:r>
      <w:r w:rsidR="008277FD" w:rsidRPr="002F651B">
        <w:rPr>
          <w:rFonts w:ascii="Gadugi" w:eastAsia="Georgia" w:hAnsi="Gadugi" w:cs="Georgia"/>
          <w:sz w:val="24"/>
          <w:szCs w:val="24"/>
        </w:rPr>
        <w:t xml:space="preserve">llamó en garantía a </w:t>
      </w:r>
      <w:r w:rsidRPr="002F651B">
        <w:rPr>
          <w:rFonts w:ascii="Gadugi" w:eastAsia="Georgia" w:hAnsi="Gadugi" w:cs="Georgia"/>
          <w:sz w:val="24"/>
          <w:szCs w:val="24"/>
        </w:rPr>
        <w:t xml:space="preserve">La Previsora </w:t>
      </w:r>
      <w:r w:rsidR="008277FD" w:rsidRPr="002F651B">
        <w:rPr>
          <w:rFonts w:ascii="Gadugi" w:eastAsia="Georgia" w:hAnsi="Gadugi" w:cs="Georgia"/>
          <w:sz w:val="24"/>
          <w:szCs w:val="24"/>
        </w:rPr>
        <w:t xml:space="preserve">S.A. </w:t>
      </w:r>
      <w:r w:rsidRPr="002F651B">
        <w:rPr>
          <w:rFonts w:ascii="Gadugi" w:eastAsia="Georgia" w:hAnsi="Gadugi" w:cs="Georgia"/>
          <w:sz w:val="24"/>
          <w:szCs w:val="24"/>
        </w:rPr>
        <w:t>Compañía De Seguros</w:t>
      </w:r>
      <w:r w:rsidR="008277FD" w:rsidRPr="002F651B">
        <w:rPr>
          <w:rStyle w:val="Refdenotaalpie"/>
          <w:rFonts w:ascii="Gadugi" w:eastAsia="Georgia" w:hAnsi="Gadugi" w:cs="Georgia"/>
          <w:sz w:val="24"/>
          <w:szCs w:val="24"/>
        </w:rPr>
        <w:footnoteReference w:id="11"/>
      </w:r>
      <w:r w:rsidRPr="002F651B">
        <w:rPr>
          <w:rFonts w:ascii="Gadugi" w:eastAsia="Georgia" w:hAnsi="Gadugi" w:cs="Georgia"/>
          <w:sz w:val="24"/>
          <w:szCs w:val="24"/>
        </w:rPr>
        <w:t>.</w:t>
      </w:r>
    </w:p>
    <w:p w14:paraId="04616C13" w14:textId="77777777" w:rsidR="00A26CFA" w:rsidRPr="002F651B" w:rsidRDefault="00A26CFA" w:rsidP="002F651B">
      <w:pPr>
        <w:pStyle w:val="Prrafodelista"/>
        <w:tabs>
          <w:tab w:val="left" w:pos="284"/>
        </w:tabs>
        <w:ind w:left="0"/>
        <w:jc w:val="both"/>
        <w:rPr>
          <w:rFonts w:ascii="Gadugi" w:eastAsia="Georgia" w:hAnsi="Gadugi" w:cs="Georgia"/>
          <w:sz w:val="24"/>
          <w:szCs w:val="24"/>
        </w:rPr>
      </w:pPr>
    </w:p>
    <w:p w14:paraId="3FD95125" w14:textId="7ECCDF61" w:rsidR="00A26CFA" w:rsidRPr="002F651B" w:rsidRDefault="008277FD" w:rsidP="002F651B">
      <w:pPr>
        <w:jc w:val="both"/>
        <w:rPr>
          <w:rFonts w:ascii="Gadugi" w:eastAsia="Georgia" w:hAnsi="Gadugi" w:cs="Georgia"/>
          <w:sz w:val="24"/>
          <w:szCs w:val="24"/>
        </w:rPr>
      </w:pPr>
      <w:r w:rsidRPr="002F651B">
        <w:rPr>
          <w:rFonts w:ascii="Gadugi" w:eastAsia="Georgia" w:hAnsi="Gadugi" w:cs="Georgia"/>
          <w:sz w:val="24"/>
          <w:szCs w:val="24"/>
        </w:rPr>
        <w:t xml:space="preserve">El 17 de noviembre de 2017, el Juzgado Administrativo declaró que </w:t>
      </w:r>
      <w:r w:rsidR="00A26CFA" w:rsidRPr="002F651B">
        <w:rPr>
          <w:rFonts w:ascii="Gadugi" w:eastAsia="Georgia" w:hAnsi="Gadugi" w:cs="Georgia"/>
          <w:sz w:val="24"/>
          <w:szCs w:val="24"/>
        </w:rPr>
        <w:t xml:space="preserve">carecía de </w:t>
      </w:r>
      <w:r w:rsidRPr="002F651B">
        <w:rPr>
          <w:rFonts w:ascii="Gadugi" w:eastAsia="Georgia" w:hAnsi="Gadugi" w:cs="Georgia"/>
          <w:sz w:val="24"/>
          <w:szCs w:val="24"/>
        </w:rPr>
        <w:t>jurisdicción para conocer del asunto</w:t>
      </w:r>
      <w:r w:rsidRPr="002F651B">
        <w:rPr>
          <w:rStyle w:val="Refdenotaalpie"/>
          <w:rFonts w:ascii="Gadugi" w:eastAsia="Georgia" w:hAnsi="Gadugi" w:cs="Georgia"/>
          <w:sz w:val="24"/>
          <w:szCs w:val="24"/>
        </w:rPr>
        <w:footnoteReference w:id="12"/>
      </w:r>
      <w:r w:rsidR="00A26CFA" w:rsidRPr="002F651B">
        <w:rPr>
          <w:rFonts w:ascii="Gadugi" w:eastAsia="Georgia" w:hAnsi="Gadugi" w:cs="Georgia"/>
          <w:sz w:val="24"/>
          <w:szCs w:val="24"/>
        </w:rPr>
        <w:t xml:space="preserve">. </w:t>
      </w:r>
      <w:r w:rsidRPr="002F651B">
        <w:rPr>
          <w:rFonts w:ascii="Gadugi" w:eastAsia="Georgia" w:hAnsi="Gadugi" w:cs="Georgia"/>
          <w:sz w:val="24"/>
          <w:szCs w:val="24"/>
        </w:rPr>
        <w:t>Luego, el 18 de diciembre de 2017, el expediente fue asignado al Juzgado Quinto Civil del Circuito de Pereira</w:t>
      </w:r>
      <w:r w:rsidRPr="002F651B">
        <w:rPr>
          <w:rStyle w:val="Refdenotaalpie"/>
          <w:rFonts w:ascii="Gadugi" w:eastAsia="Georgia" w:hAnsi="Gadugi" w:cs="Georgia"/>
          <w:sz w:val="24"/>
          <w:szCs w:val="24"/>
        </w:rPr>
        <w:footnoteReference w:id="13"/>
      </w:r>
      <w:r w:rsidR="00A26CFA" w:rsidRPr="002F651B">
        <w:rPr>
          <w:rFonts w:ascii="Gadugi" w:eastAsia="Georgia" w:hAnsi="Gadugi" w:cs="Georgia"/>
          <w:sz w:val="24"/>
          <w:szCs w:val="24"/>
        </w:rPr>
        <w:t xml:space="preserve">. </w:t>
      </w:r>
    </w:p>
    <w:p w14:paraId="14A279A3" w14:textId="77777777" w:rsidR="009B08A4" w:rsidRPr="002F651B" w:rsidRDefault="009B08A4" w:rsidP="002F651B">
      <w:pPr>
        <w:jc w:val="both"/>
        <w:rPr>
          <w:rFonts w:ascii="Gadugi" w:eastAsia="Georgia" w:hAnsi="Gadugi" w:cs="Georgia"/>
          <w:sz w:val="24"/>
          <w:szCs w:val="24"/>
        </w:rPr>
      </w:pPr>
    </w:p>
    <w:p w14:paraId="3F7A36BB" w14:textId="200336B3" w:rsidR="008277FD" w:rsidRDefault="00A26CFA" w:rsidP="002F651B">
      <w:pPr>
        <w:jc w:val="both"/>
        <w:rPr>
          <w:rFonts w:ascii="Gadugi" w:eastAsia="Georgia" w:hAnsi="Gadugi" w:cs="Georgia"/>
          <w:sz w:val="24"/>
          <w:szCs w:val="24"/>
        </w:rPr>
      </w:pPr>
      <w:r w:rsidRPr="002F651B">
        <w:rPr>
          <w:rFonts w:ascii="Gadugi" w:eastAsia="Georgia" w:hAnsi="Gadugi" w:cs="Georgia"/>
          <w:sz w:val="24"/>
          <w:szCs w:val="24"/>
        </w:rPr>
        <w:lastRenderedPageBreak/>
        <w:t>Se suscitó con posterioridad un conflicto de jurisdicción</w:t>
      </w:r>
      <w:r w:rsidR="008277FD" w:rsidRPr="002F651B">
        <w:rPr>
          <w:rStyle w:val="Refdenotaalpie"/>
          <w:rFonts w:ascii="Gadugi" w:eastAsia="Georgia" w:hAnsi="Gadugi" w:cs="Georgia"/>
          <w:sz w:val="24"/>
          <w:szCs w:val="24"/>
        </w:rPr>
        <w:footnoteReference w:id="14"/>
      </w:r>
      <w:r w:rsidRPr="002F651B">
        <w:rPr>
          <w:rFonts w:ascii="Gadugi" w:eastAsia="Georgia" w:hAnsi="Gadugi" w:cs="Georgia"/>
          <w:sz w:val="24"/>
          <w:szCs w:val="24"/>
        </w:rPr>
        <w:t>, que f</w:t>
      </w:r>
      <w:r w:rsidR="008277FD" w:rsidRPr="002F651B">
        <w:rPr>
          <w:rFonts w:ascii="Gadugi" w:eastAsia="Georgia" w:hAnsi="Gadugi" w:cs="Georgia"/>
          <w:sz w:val="24"/>
          <w:szCs w:val="24"/>
        </w:rPr>
        <w:t>ue resuelto por la Sala Jurisdiccional Disciplinaria del Consejo Superior de la Judicatura, mediante providencia del 27 de junio de 2019</w:t>
      </w:r>
      <w:r w:rsidR="008277FD" w:rsidRPr="002F651B">
        <w:rPr>
          <w:rStyle w:val="Refdenotaalpie"/>
          <w:rFonts w:ascii="Gadugi" w:eastAsia="Georgia" w:hAnsi="Gadugi" w:cs="Georgia"/>
          <w:sz w:val="24"/>
          <w:szCs w:val="24"/>
        </w:rPr>
        <w:footnoteReference w:id="15"/>
      </w:r>
      <w:r w:rsidRPr="002F651B">
        <w:rPr>
          <w:rFonts w:ascii="Gadugi" w:eastAsia="Georgia" w:hAnsi="Gadugi" w:cs="Georgia"/>
          <w:sz w:val="24"/>
          <w:szCs w:val="24"/>
        </w:rPr>
        <w:t xml:space="preserve">, en el que le </w:t>
      </w:r>
      <w:r w:rsidR="008277FD" w:rsidRPr="002F651B">
        <w:rPr>
          <w:rFonts w:ascii="Gadugi" w:eastAsia="Georgia" w:hAnsi="Gadugi" w:cs="Georgia"/>
          <w:sz w:val="24"/>
          <w:szCs w:val="24"/>
        </w:rPr>
        <w:t>asign</w:t>
      </w:r>
      <w:r w:rsidRPr="002F651B">
        <w:rPr>
          <w:rFonts w:ascii="Gadugi" w:eastAsia="Georgia" w:hAnsi="Gadugi" w:cs="Georgia"/>
          <w:sz w:val="24"/>
          <w:szCs w:val="24"/>
        </w:rPr>
        <w:t>ó</w:t>
      </w:r>
      <w:r w:rsidR="008277FD" w:rsidRPr="002F651B">
        <w:rPr>
          <w:rFonts w:ascii="Gadugi" w:eastAsia="Georgia" w:hAnsi="Gadugi" w:cs="Georgia"/>
          <w:sz w:val="24"/>
          <w:szCs w:val="24"/>
        </w:rPr>
        <w:t xml:space="preserve"> el conocimiento al Juzgado Quinto Civil del Circuito de Pereira.</w:t>
      </w:r>
    </w:p>
    <w:p w14:paraId="3656403A" w14:textId="77777777" w:rsidR="00E04F33" w:rsidRPr="002F651B" w:rsidRDefault="00E04F33" w:rsidP="002F651B">
      <w:pPr>
        <w:jc w:val="both"/>
        <w:rPr>
          <w:rFonts w:ascii="Gadugi" w:eastAsia="Georgia" w:hAnsi="Gadugi" w:cs="Georgia"/>
          <w:sz w:val="24"/>
          <w:szCs w:val="24"/>
        </w:rPr>
      </w:pPr>
    </w:p>
    <w:p w14:paraId="0DE4BCBB" w14:textId="6A9ADF0D" w:rsidR="00A26CFA" w:rsidRPr="002F651B" w:rsidRDefault="00A26CFA" w:rsidP="002F651B">
      <w:pPr>
        <w:jc w:val="both"/>
        <w:rPr>
          <w:rFonts w:ascii="Gadugi" w:eastAsia="Georgia" w:hAnsi="Gadugi" w:cs="Georgia"/>
          <w:sz w:val="24"/>
          <w:szCs w:val="24"/>
        </w:rPr>
      </w:pPr>
      <w:r w:rsidRPr="002F651B">
        <w:rPr>
          <w:rFonts w:ascii="Gadugi" w:eastAsia="Georgia" w:hAnsi="Gadugi" w:cs="Georgia"/>
          <w:sz w:val="24"/>
          <w:szCs w:val="24"/>
        </w:rPr>
        <w:t>Se</w:t>
      </w:r>
      <w:r w:rsidR="008277FD" w:rsidRPr="002F651B">
        <w:rPr>
          <w:rFonts w:ascii="Gadugi" w:eastAsia="Georgia" w:hAnsi="Gadugi" w:cs="Georgia"/>
          <w:sz w:val="24"/>
          <w:szCs w:val="24"/>
        </w:rPr>
        <w:t xml:space="preserve"> recibió la contestación de la llamada en garantía La Previsora S.A. Compañía de Seguros</w:t>
      </w:r>
      <w:r w:rsidR="008277FD" w:rsidRPr="002F651B">
        <w:rPr>
          <w:rStyle w:val="Refdenotaalpie"/>
          <w:rFonts w:ascii="Gadugi" w:eastAsia="Georgia" w:hAnsi="Gadugi" w:cs="Georgia"/>
          <w:sz w:val="24"/>
          <w:szCs w:val="24"/>
        </w:rPr>
        <w:footnoteReference w:id="16"/>
      </w:r>
      <w:r w:rsidRPr="002F651B">
        <w:rPr>
          <w:rFonts w:ascii="Gadugi" w:eastAsia="Georgia" w:hAnsi="Gadugi" w:cs="Georgia"/>
          <w:sz w:val="24"/>
          <w:szCs w:val="24"/>
        </w:rPr>
        <w:t>, que aludió a los hechos de la demandada y el llamamiento, se opuso a lo pedido y excepcionó: (i)</w:t>
      </w:r>
      <w:r w:rsidR="008277FD" w:rsidRPr="002F651B">
        <w:rPr>
          <w:rFonts w:ascii="Gadugi" w:eastAsia="Georgia" w:hAnsi="Gadugi" w:cs="Georgia"/>
          <w:sz w:val="24"/>
          <w:szCs w:val="24"/>
        </w:rPr>
        <w:t xml:space="preserve"> “falta de legitimación en la causa por pasiva del Departamento de Risaralda”</w:t>
      </w:r>
      <w:r w:rsidRPr="002F651B">
        <w:rPr>
          <w:rFonts w:ascii="Gadugi" w:eastAsia="Georgia" w:hAnsi="Gadugi" w:cs="Georgia"/>
          <w:sz w:val="24"/>
          <w:szCs w:val="24"/>
        </w:rPr>
        <w:t xml:space="preserve">; (ii) </w:t>
      </w:r>
      <w:r w:rsidR="008277FD" w:rsidRPr="002F651B">
        <w:rPr>
          <w:rFonts w:ascii="Gadugi" w:eastAsia="Georgia" w:hAnsi="Gadugi" w:cs="Georgia"/>
          <w:sz w:val="24"/>
          <w:szCs w:val="24"/>
        </w:rPr>
        <w:t>“ausencia del nexo causal entre el daño alegado y la actuación de la entidad demandada – Departamento de Risaralda”</w:t>
      </w:r>
      <w:r w:rsidRPr="002F651B">
        <w:rPr>
          <w:rFonts w:ascii="Gadugi" w:eastAsia="Georgia" w:hAnsi="Gadugi" w:cs="Georgia"/>
          <w:sz w:val="24"/>
          <w:szCs w:val="24"/>
        </w:rPr>
        <w:t>; (i</w:t>
      </w:r>
      <w:r w:rsidR="008277FD" w:rsidRPr="002F651B">
        <w:rPr>
          <w:rFonts w:ascii="Gadugi" w:eastAsia="Georgia" w:hAnsi="Gadugi" w:cs="Georgia"/>
          <w:sz w:val="24"/>
          <w:szCs w:val="24"/>
        </w:rPr>
        <w:t>ii) “ineficacia del llamamiento en garantía por la notificación de La Previsora S.A. Compañía de Seguros con posterioridad a la oportunidad legal dispuesta en el artículo 66 del C. General del Proceso”</w:t>
      </w:r>
      <w:r w:rsidRPr="002F651B">
        <w:rPr>
          <w:rFonts w:ascii="Gadugi" w:eastAsia="Georgia" w:hAnsi="Gadugi" w:cs="Georgia"/>
          <w:sz w:val="24"/>
          <w:szCs w:val="24"/>
        </w:rPr>
        <w:t xml:space="preserve">; (iv) </w:t>
      </w:r>
      <w:r w:rsidR="008277FD" w:rsidRPr="002F651B">
        <w:rPr>
          <w:rFonts w:ascii="Gadugi" w:eastAsia="Georgia" w:hAnsi="Gadugi" w:cs="Georgia"/>
          <w:sz w:val="24"/>
          <w:szCs w:val="24"/>
        </w:rPr>
        <w:t>“prescripción de la acción derivada del contrato de seguro”</w:t>
      </w:r>
      <w:r w:rsidRPr="002F651B">
        <w:rPr>
          <w:rFonts w:ascii="Gadugi" w:eastAsia="Georgia" w:hAnsi="Gadugi" w:cs="Georgia"/>
          <w:sz w:val="24"/>
          <w:szCs w:val="24"/>
        </w:rPr>
        <w:t>; (</w:t>
      </w:r>
      <w:r w:rsidR="008277FD" w:rsidRPr="002F651B">
        <w:rPr>
          <w:rFonts w:ascii="Gadugi" w:eastAsia="Georgia" w:hAnsi="Gadugi" w:cs="Georgia"/>
          <w:sz w:val="24"/>
          <w:szCs w:val="24"/>
        </w:rPr>
        <w:t>v) “límite del valor asegurado y exclusión de amparos contratado por las partes”</w:t>
      </w:r>
      <w:r w:rsidRPr="002F651B">
        <w:rPr>
          <w:rFonts w:ascii="Gadugi" w:eastAsia="Georgia" w:hAnsi="Gadugi" w:cs="Georgia"/>
          <w:sz w:val="24"/>
          <w:szCs w:val="24"/>
        </w:rPr>
        <w:t>; (v</w:t>
      </w:r>
      <w:r w:rsidR="008277FD" w:rsidRPr="002F651B">
        <w:rPr>
          <w:rFonts w:ascii="Gadugi" w:eastAsia="Georgia" w:hAnsi="Gadugi" w:cs="Georgia"/>
          <w:sz w:val="24"/>
          <w:szCs w:val="24"/>
        </w:rPr>
        <w:t>i) “condiciones generales límite del valor asegurado en virtud del coaseguro pactado”</w:t>
      </w:r>
      <w:r w:rsidRPr="002F651B">
        <w:rPr>
          <w:rFonts w:ascii="Gadugi" w:eastAsia="Georgia" w:hAnsi="Gadugi" w:cs="Georgia"/>
          <w:sz w:val="24"/>
          <w:szCs w:val="24"/>
        </w:rPr>
        <w:t>; (</w:t>
      </w:r>
      <w:r w:rsidR="008277FD" w:rsidRPr="002F651B">
        <w:rPr>
          <w:rFonts w:ascii="Gadugi" w:eastAsia="Georgia" w:hAnsi="Gadugi" w:cs="Georgia"/>
          <w:sz w:val="24"/>
          <w:szCs w:val="24"/>
        </w:rPr>
        <w:t>vii) “límite de cobertura de la póliza de responsabilidad civil extracontractual expedida por La Previsora S.A. Compañía de Seguros”</w:t>
      </w:r>
      <w:r w:rsidRPr="002F651B">
        <w:rPr>
          <w:rFonts w:ascii="Gadugi" w:eastAsia="Georgia" w:hAnsi="Gadugi" w:cs="Georgia"/>
          <w:sz w:val="24"/>
          <w:szCs w:val="24"/>
        </w:rPr>
        <w:t>; y (</w:t>
      </w:r>
      <w:r w:rsidR="008277FD" w:rsidRPr="002F651B">
        <w:rPr>
          <w:rFonts w:ascii="Gadugi" w:eastAsia="Georgia" w:hAnsi="Gadugi" w:cs="Georgia"/>
          <w:sz w:val="24"/>
          <w:szCs w:val="24"/>
        </w:rPr>
        <w:t xml:space="preserve">viii) “condiciones generales y exclusiones de la póliza”. </w:t>
      </w:r>
    </w:p>
    <w:p w14:paraId="10D55267" w14:textId="77777777" w:rsidR="00A26CFA" w:rsidRPr="002F651B" w:rsidRDefault="00A26CFA" w:rsidP="002F651B">
      <w:pPr>
        <w:jc w:val="both"/>
        <w:rPr>
          <w:rFonts w:ascii="Gadugi" w:eastAsia="Georgia" w:hAnsi="Gadugi" w:cs="Georgia"/>
          <w:sz w:val="24"/>
          <w:szCs w:val="24"/>
        </w:rPr>
      </w:pPr>
    </w:p>
    <w:p w14:paraId="05221A66" w14:textId="4B9A8BBC" w:rsidR="001731F4" w:rsidRPr="002F651B" w:rsidRDefault="00A26CFA" w:rsidP="002F651B">
      <w:pPr>
        <w:jc w:val="both"/>
        <w:rPr>
          <w:rFonts w:ascii="Gadugi" w:eastAsia="Georgia" w:hAnsi="Gadugi" w:cs="Georgia"/>
          <w:sz w:val="24"/>
          <w:szCs w:val="24"/>
        </w:rPr>
      </w:pPr>
      <w:r w:rsidRPr="002F651B">
        <w:rPr>
          <w:rFonts w:ascii="Gadugi" w:eastAsia="Georgia" w:hAnsi="Gadugi" w:cs="Georgia"/>
          <w:sz w:val="24"/>
          <w:szCs w:val="24"/>
        </w:rPr>
        <w:t>En la audiencia inicial</w:t>
      </w:r>
      <w:r w:rsidR="008277FD" w:rsidRPr="002F651B">
        <w:rPr>
          <w:rStyle w:val="Refdenotaalpie"/>
          <w:rFonts w:ascii="Gadugi" w:eastAsia="Georgia" w:hAnsi="Gadugi" w:cs="Georgia"/>
          <w:sz w:val="24"/>
          <w:szCs w:val="24"/>
        </w:rPr>
        <w:footnoteReference w:id="17"/>
      </w:r>
      <w:r w:rsidRPr="002F651B">
        <w:rPr>
          <w:rFonts w:ascii="Gadugi" w:eastAsia="Georgia" w:hAnsi="Gadugi" w:cs="Georgia"/>
          <w:sz w:val="24"/>
          <w:szCs w:val="24"/>
        </w:rPr>
        <w:t>, el Juzgado</w:t>
      </w:r>
      <w:r w:rsidR="008277FD" w:rsidRPr="002F651B">
        <w:rPr>
          <w:rFonts w:ascii="Gadugi" w:eastAsia="Georgia" w:hAnsi="Gadugi" w:cs="Georgia"/>
          <w:sz w:val="24"/>
          <w:szCs w:val="24"/>
        </w:rPr>
        <w:t xml:space="preserve"> aceptó el desistimiento de las pretensiones en contra de Clínica </w:t>
      </w:r>
      <w:proofErr w:type="spellStart"/>
      <w:r w:rsidR="008277FD" w:rsidRPr="002F651B">
        <w:rPr>
          <w:rFonts w:ascii="Gadugi" w:eastAsia="Georgia" w:hAnsi="Gadugi" w:cs="Georgia"/>
          <w:sz w:val="24"/>
          <w:szCs w:val="24"/>
        </w:rPr>
        <w:t>Dumian</w:t>
      </w:r>
      <w:proofErr w:type="spellEnd"/>
      <w:r w:rsidR="008277FD" w:rsidRPr="002F651B">
        <w:rPr>
          <w:rFonts w:ascii="Gadugi" w:eastAsia="Georgia" w:hAnsi="Gadugi" w:cs="Georgia"/>
          <w:sz w:val="24"/>
          <w:szCs w:val="24"/>
        </w:rPr>
        <w:t xml:space="preserve"> S.A.S.</w:t>
      </w:r>
      <w:r w:rsidR="001731F4" w:rsidRPr="002F651B">
        <w:rPr>
          <w:rFonts w:ascii="Gadugi" w:eastAsia="Georgia" w:hAnsi="Gadugi" w:cs="Georgia"/>
          <w:sz w:val="24"/>
          <w:szCs w:val="24"/>
        </w:rPr>
        <w:t xml:space="preserve"> y agotó las demás etapas. </w:t>
      </w:r>
    </w:p>
    <w:p w14:paraId="4449D10A" w14:textId="77777777" w:rsidR="008277FD" w:rsidRPr="002F651B" w:rsidRDefault="008277FD" w:rsidP="002F651B">
      <w:pPr>
        <w:jc w:val="both"/>
        <w:rPr>
          <w:rFonts w:ascii="Gadugi" w:eastAsia="Georgia" w:hAnsi="Gadugi" w:cs="Georgia"/>
          <w:sz w:val="24"/>
          <w:szCs w:val="24"/>
        </w:rPr>
      </w:pPr>
    </w:p>
    <w:p w14:paraId="5EE54126" w14:textId="526BDC00" w:rsidR="008277FD" w:rsidRPr="002F651B" w:rsidRDefault="008277FD" w:rsidP="002F651B">
      <w:pPr>
        <w:rPr>
          <w:rFonts w:ascii="Gadugi" w:eastAsia="Georgia" w:hAnsi="Gadugi" w:cs="Georgia"/>
          <w:b/>
          <w:bCs/>
          <w:sz w:val="24"/>
          <w:szCs w:val="24"/>
        </w:rPr>
      </w:pPr>
      <w:r w:rsidRPr="002F651B">
        <w:rPr>
          <w:rFonts w:ascii="Gadugi" w:eastAsia="Georgia" w:hAnsi="Gadugi" w:cs="Georgia"/>
          <w:b/>
          <w:bCs/>
          <w:sz w:val="24"/>
          <w:szCs w:val="24"/>
        </w:rPr>
        <w:t xml:space="preserve">1.4.   Sentencia de </w:t>
      </w:r>
      <w:r w:rsidR="001731F4" w:rsidRPr="002F651B">
        <w:rPr>
          <w:rFonts w:ascii="Gadugi" w:eastAsia="Georgia" w:hAnsi="Gadugi" w:cs="Georgia"/>
          <w:b/>
          <w:bCs/>
          <w:sz w:val="24"/>
          <w:szCs w:val="24"/>
        </w:rPr>
        <w:t>primera instanci</w:t>
      </w:r>
      <w:r w:rsidRPr="002F651B">
        <w:rPr>
          <w:rFonts w:ascii="Gadugi" w:eastAsia="Georgia" w:hAnsi="Gadugi" w:cs="Georgia"/>
          <w:b/>
          <w:bCs/>
          <w:sz w:val="24"/>
          <w:szCs w:val="24"/>
        </w:rPr>
        <w:t>a.</w:t>
      </w:r>
      <w:r w:rsidRPr="002F651B">
        <w:rPr>
          <w:rStyle w:val="Refdenotaalpie"/>
          <w:rFonts w:ascii="Gadugi" w:eastAsia="Georgia" w:hAnsi="Gadugi" w:cs="Georgia"/>
          <w:b/>
          <w:bCs/>
          <w:sz w:val="24"/>
          <w:szCs w:val="24"/>
        </w:rPr>
        <w:footnoteReference w:id="18"/>
      </w:r>
    </w:p>
    <w:p w14:paraId="0EE3C385" w14:textId="77777777" w:rsidR="00A83CA9" w:rsidRPr="002F651B" w:rsidRDefault="00A83CA9" w:rsidP="002F651B">
      <w:pPr>
        <w:rPr>
          <w:rFonts w:ascii="Gadugi" w:eastAsia="Georgia" w:hAnsi="Gadugi" w:cs="Georgia"/>
          <w:b/>
          <w:bCs/>
          <w:sz w:val="24"/>
          <w:szCs w:val="24"/>
        </w:rPr>
      </w:pPr>
    </w:p>
    <w:p w14:paraId="31E3155B" w14:textId="477A0818" w:rsidR="001731F4" w:rsidRDefault="00A83CA9" w:rsidP="002F651B">
      <w:pPr>
        <w:jc w:val="both"/>
        <w:rPr>
          <w:rFonts w:ascii="Gadugi" w:eastAsia="Georgia" w:hAnsi="Gadugi" w:cs="Georgia"/>
          <w:sz w:val="24"/>
          <w:szCs w:val="24"/>
        </w:rPr>
      </w:pPr>
      <w:r w:rsidRPr="002F651B">
        <w:rPr>
          <w:rFonts w:ascii="Gadugi" w:eastAsia="Georgia" w:hAnsi="Gadugi" w:cs="Georgia"/>
          <w:sz w:val="24"/>
          <w:szCs w:val="24"/>
        </w:rPr>
        <w:t xml:space="preserve">El Juzgado </w:t>
      </w:r>
      <w:r w:rsidR="001731F4" w:rsidRPr="002F651B">
        <w:rPr>
          <w:rFonts w:ascii="Gadugi" w:eastAsia="Georgia" w:hAnsi="Gadugi" w:cs="Georgia"/>
          <w:sz w:val="24"/>
          <w:szCs w:val="24"/>
        </w:rPr>
        <w:t>declaró probada la excepción de falta de legitimación en la causa por pasiva de La Nación – Ministerio de Salud y Protección Social y del Departamento de Risaralda – Secretaría Departamental de Salud, y negó las pretensiones de la demanda</w:t>
      </w:r>
      <w:r w:rsidRPr="002F651B">
        <w:rPr>
          <w:rFonts w:ascii="Gadugi" w:eastAsia="Georgia" w:hAnsi="Gadugi" w:cs="Georgia"/>
          <w:sz w:val="24"/>
          <w:szCs w:val="24"/>
        </w:rPr>
        <w:t>.</w:t>
      </w:r>
    </w:p>
    <w:p w14:paraId="2F955457" w14:textId="77777777" w:rsidR="006B7B4A" w:rsidRPr="002F651B" w:rsidRDefault="006B7B4A" w:rsidP="002F651B">
      <w:pPr>
        <w:jc w:val="both"/>
        <w:rPr>
          <w:rFonts w:ascii="Gadugi" w:eastAsia="Georgia" w:hAnsi="Gadugi" w:cs="Georgia"/>
          <w:sz w:val="24"/>
          <w:szCs w:val="24"/>
        </w:rPr>
      </w:pPr>
    </w:p>
    <w:p w14:paraId="789FD8A3" w14:textId="3E51DBCD" w:rsidR="008277FD" w:rsidRPr="002F651B" w:rsidRDefault="00A83CA9" w:rsidP="002F651B">
      <w:pPr>
        <w:jc w:val="both"/>
        <w:rPr>
          <w:rFonts w:ascii="Gadugi" w:eastAsia="Georgia" w:hAnsi="Gadugi" w:cs="Georgia"/>
          <w:sz w:val="24"/>
          <w:szCs w:val="24"/>
        </w:rPr>
      </w:pPr>
      <w:r w:rsidRPr="002F651B">
        <w:rPr>
          <w:rFonts w:ascii="Gadugi" w:eastAsia="Georgia" w:hAnsi="Gadugi" w:cs="Georgia"/>
          <w:sz w:val="24"/>
          <w:szCs w:val="24"/>
        </w:rPr>
        <w:t xml:space="preserve">En su sentir, </w:t>
      </w:r>
      <w:r w:rsidR="008277FD" w:rsidRPr="002F651B">
        <w:rPr>
          <w:rFonts w:ascii="Gadugi" w:eastAsia="Georgia" w:hAnsi="Gadugi" w:cs="Georgia"/>
          <w:sz w:val="24"/>
          <w:szCs w:val="24"/>
        </w:rPr>
        <w:t xml:space="preserve">la parte actora </w:t>
      </w:r>
      <w:r w:rsidRPr="002F651B">
        <w:rPr>
          <w:rFonts w:ascii="Gadugi" w:eastAsia="Georgia" w:hAnsi="Gadugi" w:cs="Georgia"/>
          <w:sz w:val="24"/>
          <w:szCs w:val="24"/>
        </w:rPr>
        <w:t xml:space="preserve">incumplió la </w:t>
      </w:r>
      <w:r w:rsidR="008277FD" w:rsidRPr="002F651B">
        <w:rPr>
          <w:rFonts w:ascii="Gadugi" w:eastAsia="Georgia" w:hAnsi="Gadugi" w:cs="Georgia"/>
          <w:sz w:val="24"/>
          <w:szCs w:val="24"/>
        </w:rPr>
        <w:t>carga de demostrar el nexo de causalidad entre el daño y el hecho</w:t>
      </w:r>
      <w:r w:rsidR="008277FD" w:rsidRPr="002F651B">
        <w:rPr>
          <w:rStyle w:val="Refdenotaalpie"/>
          <w:rFonts w:ascii="Gadugi" w:eastAsia="Georgia" w:hAnsi="Gadugi" w:cs="Georgia"/>
          <w:sz w:val="24"/>
          <w:szCs w:val="24"/>
        </w:rPr>
        <w:footnoteReference w:id="19"/>
      </w:r>
      <w:r w:rsidR="008277FD" w:rsidRPr="002F651B">
        <w:rPr>
          <w:rFonts w:ascii="Gadugi" w:eastAsia="Georgia" w:hAnsi="Gadugi" w:cs="Georgia"/>
          <w:sz w:val="24"/>
          <w:szCs w:val="24"/>
        </w:rPr>
        <w:t>, es decir, no se logró determinar que el fallecimiento de la señora María Nora Correa se h</w:t>
      </w:r>
      <w:r w:rsidRPr="002F651B">
        <w:rPr>
          <w:rFonts w:ascii="Gadugi" w:eastAsia="Georgia" w:hAnsi="Gadugi" w:cs="Georgia"/>
          <w:sz w:val="24"/>
          <w:szCs w:val="24"/>
        </w:rPr>
        <w:t>ubiera</w:t>
      </w:r>
      <w:r w:rsidR="008277FD" w:rsidRPr="002F651B">
        <w:rPr>
          <w:rFonts w:ascii="Gadugi" w:eastAsia="Georgia" w:hAnsi="Gadugi" w:cs="Georgia"/>
          <w:sz w:val="24"/>
          <w:szCs w:val="24"/>
        </w:rPr>
        <w:t xml:space="preserve"> producido por</w:t>
      </w:r>
      <w:r w:rsidRPr="002F651B">
        <w:rPr>
          <w:rFonts w:ascii="Gadugi" w:eastAsia="Georgia" w:hAnsi="Gadugi" w:cs="Georgia"/>
          <w:sz w:val="24"/>
          <w:szCs w:val="24"/>
        </w:rPr>
        <w:t xml:space="preserve"> la falta de un diagnóstico oportuno y acertado y su posterior tratamiento. </w:t>
      </w:r>
    </w:p>
    <w:p w14:paraId="3B667905" w14:textId="77777777" w:rsidR="00A83CA9" w:rsidRPr="002F651B" w:rsidRDefault="00A83CA9" w:rsidP="002F651B">
      <w:pPr>
        <w:jc w:val="both"/>
        <w:rPr>
          <w:rFonts w:ascii="Gadugi" w:eastAsia="Georgia" w:hAnsi="Gadugi" w:cs="Georgia"/>
          <w:sz w:val="24"/>
          <w:szCs w:val="24"/>
        </w:rPr>
      </w:pPr>
    </w:p>
    <w:p w14:paraId="65E1CB5B" w14:textId="4AE6E269" w:rsidR="008277FD" w:rsidRPr="002F651B" w:rsidRDefault="008277FD" w:rsidP="002F651B">
      <w:pPr>
        <w:jc w:val="both"/>
        <w:rPr>
          <w:rFonts w:ascii="Gadugi" w:eastAsia="Georgia" w:hAnsi="Gadugi" w:cs="Georgia"/>
          <w:b/>
          <w:bCs/>
          <w:sz w:val="24"/>
          <w:szCs w:val="24"/>
        </w:rPr>
      </w:pPr>
      <w:r w:rsidRPr="002F651B">
        <w:rPr>
          <w:rFonts w:ascii="Gadugi" w:eastAsia="Georgia" w:hAnsi="Gadugi" w:cs="Georgia"/>
          <w:b/>
          <w:bCs/>
          <w:sz w:val="24"/>
          <w:szCs w:val="24"/>
        </w:rPr>
        <w:t>1.5.  Reparos</w:t>
      </w:r>
      <w:r w:rsidR="006B5569" w:rsidRPr="002F651B">
        <w:rPr>
          <w:rFonts w:ascii="Gadugi" w:eastAsia="Georgia" w:hAnsi="Gadugi" w:cs="Georgia"/>
          <w:sz w:val="24"/>
          <w:szCs w:val="24"/>
          <w:vertAlign w:val="superscript"/>
        </w:rPr>
        <w:footnoteReference w:id="20"/>
      </w:r>
      <w:r w:rsidRPr="002F651B">
        <w:rPr>
          <w:rFonts w:ascii="Gadugi" w:eastAsia="Georgia" w:hAnsi="Gadugi" w:cs="Georgia"/>
          <w:b/>
          <w:bCs/>
          <w:sz w:val="24"/>
          <w:szCs w:val="24"/>
        </w:rPr>
        <w:t xml:space="preserve"> y sustentación</w:t>
      </w:r>
      <w:r w:rsidR="006B5569" w:rsidRPr="002F651B">
        <w:rPr>
          <w:rStyle w:val="Refdenotaalpie"/>
          <w:rFonts w:ascii="Gadugi" w:eastAsia="Georgia" w:hAnsi="Gadugi" w:cs="Georgia"/>
          <w:b/>
          <w:bCs/>
          <w:sz w:val="24"/>
          <w:szCs w:val="24"/>
        </w:rPr>
        <w:footnoteReference w:id="21"/>
      </w:r>
    </w:p>
    <w:p w14:paraId="2243608A" w14:textId="77777777" w:rsidR="008277FD" w:rsidRPr="002F651B" w:rsidRDefault="008277FD" w:rsidP="002F651B">
      <w:pPr>
        <w:jc w:val="both"/>
        <w:rPr>
          <w:rFonts w:ascii="Gadugi" w:eastAsia="Georgia" w:hAnsi="Gadugi" w:cs="Georgia"/>
          <w:b/>
          <w:bCs/>
          <w:sz w:val="24"/>
          <w:szCs w:val="24"/>
          <w:vertAlign w:val="superscript"/>
        </w:rPr>
      </w:pPr>
    </w:p>
    <w:p w14:paraId="0DDB58FD" w14:textId="3546013F" w:rsidR="008277FD" w:rsidRPr="002F651B" w:rsidRDefault="008277FD" w:rsidP="002F651B">
      <w:pPr>
        <w:jc w:val="both"/>
        <w:rPr>
          <w:rFonts w:ascii="Gadugi" w:eastAsia="Georgia" w:hAnsi="Gadugi" w:cs="Georgia"/>
          <w:sz w:val="24"/>
          <w:szCs w:val="24"/>
          <w:lang w:val="es-CO"/>
        </w:rPr>
      </w:pPr>
      <w:r w:rsidRPr="002F651B">
        <w:rPr>
          <w:rFonts w:ascii="Gadugi" w:eastAsia="Georgia" w:hAnsi="Gadugi" w:cs="Georgia"/>
          <w:sz w:val="24"/>
          <w:szCs w:val="24"/>
          <w:lang w:val="es-CO"/>
        </w:rPr>
        <w:t>Apelaron los demandantes, porque, a su juicio, est</w:t>
      </w:r>
      <w:r w:rsidR="00A83CA9" w:rsidRPr="002F651B">
        <w:rPr>
          <w:rFonts w:ascii="Gadugi" w:eastAsia="Georgia" w:hAnsi="Gadugi" w:cs="Georgia"/>
          <w:sz w:val="24"/>
          <w:szCs w:val="24"/>
          <w:lang w:val="es-CO"/>
        </w:rPr>
        <w:t>án</w:t>
      </w:r>
      <w:r w:rsidRPr="002F651B">
        <w:rPr>
          <w:rFonts w:ascii="Gadugi" w:eastAsia="Georgia" w:hAnsi="Gadugi" w:cs="Georgia"/>
          <w:sz w:val="24"/>
          <w:szCs w:val="24"/>
          <w:lang w:val="es-CO"/>
        </w:rPr>
        <w:t xml:space="preserve"> demostrados todos los elementos de la responsabilidad, especialmente, el nexo causal. Sus reparos fueron formulados y </w:t>
      </w:r>
      <w:r w:rsidRPr="002F651B">
        <w:rPr>
          <w:rFonts w:ascii="Gadugi" w:eastAsia="Georgia" w:hAnsi="Gadugi" w:cs="Georgia"/>
          <w:sz w:val="24"/>
          <w:szCs w:val="24"/>
          <w:lang w:val="es-CO"/>
        </w:rPr>
        <w:lastRenderedPageBreak/>
        <w:t xml:space="preserve">desarrollados en primera instancia, sustentados en segunda y </w:t>
      </w:r>
      <w:r w:rsidR="00A83CA9" w:rsidRPr="002F651B">
        <w:rPr>
          <w:rFonts w:ascii="Gadugi" w:eastAsia="Georgia" w:hAnsi="Gadugi" w:cs="Georgia"/>
          <w:sz w:val="24"/>
          <w:szCs w:val="24"/>
          <w:lang w:val="es-CO"/>
        </w:rPr>
        <w:t>a</w:t>
      </w:r>
      <w:r w:rsidRPr="002F651B">
        <w:rPr>
          <w:rFonts w:ascii="Gadugi" w:eastAsia="Georgia" w:hAnsi="Gadugi" w:cs="Georgia"/>
          <w:sz w:val="24"/>
          <w:szCs w:val="24"/>
          <w:lang w:val="es-CO"/>
        </w:rPr>
        <w:t xml:space="preserve"> ellos se aludirá más adelante.  </w:t>
      </w:r>
    </w:p>
    <w:p w14:paraId="32F1A6FF" w14:textId="77777777" w:rsidR="008277FD" w:rsidRPr="002F651B" w:rsidRDefault="008277FD" w:rsidP="002F651B">
      <w:pPr>
        <w:jc w:val="both"/>
        <w:rPr>
          <w:rFonts w:ascii="Gadugi" w:eastAsia="Calibri" w:hAnsi="Gadugi" w:cs="Times New Roman"/>
          <w:sz w:val="24"/>
          <w:szCs w:val="24"/>
        </w:rPr>
      </w:pPr>
    </w:p>
    <w:p w14:paraId="7BA04A3E" w14:textId="7332736A" w:rsidR="008277FD" w:rsidRPr="002F651B" w:rsidRDefault="00C77722" w:rsidP="002F651B">
      <w:pPr>
        <w:pStyle w:val="Prrafodelista"/>
        <w:numPr>
          <w:ilvl w:val="0"/>
          <w:numId w:val="1"/>
        </w:numPr>
        <w:tabs>
          <w:tab w:val="left" w:pos="426"/>
        </w:tabs>
        <w:ind w:left="851"/>
        <w:jc w:val="both"/>
        <w:rPr>
          <w:rFonts w:ascii="Gadugi" w:eastAsia="Calibri" w:hAnsi="Gadugi" w:cs="Times New Roman"/>
          <w:b/>
          <w:sz w:val="24"/>
          <w:szCs w:val="24"/>
          <w:lang w:val="es-419"/>
        </w:rPr>
      </w:pPr>
      <w:r w:rsidRPr="002F651B">
        <w:rPr>
          <w:rFonts w:ascii="Gadugi" w:eastAsia="Calibri" w:hAnsi="Gadugi" w:cs="Times New Roman"/>
          <w:b/>
          <w:sz w:val="24"/>
          <w:szCs w:val="24"/>
          <w:lang w:val="es-419"/>
        </w:rPr>
        <w:t>CONSIDERACIONES</w:t>
      </w:r>
    </w:p>
    <w:p w14:paraId="4F4D22E9" w14:textId="77777777" w:rsidR="008277FD" w:rsidRPr="002F651B" w:rsidRDefault="008277FD" w:rsidP="002F651B">
      <w:pPr>
        <w:jc w:val="both"/>
        <w:rPr>
          <w:rFonts w:ascii="Gadugi" w:eastAsia="Calibri" w:hAnsi="Gadugi" w:cs="Times New Roman"/>
          <w:sz w:val="24"/>
          <w:szCs w:val="24"/>
          <w:lang w:val="es-419"/>
        </w:rPr>
      </w:pPr>
    </w:p>
    <w:p w14:paraId="5D411E2F" w14:textId="046D78CB" w:rsidR="008277FD" w:rsidRPr="002F651B" w:rsidRDefault="008277FD" w:rsidP="002F651B">
      <w:pPr>
        <w:pStyle w:val="Prrafodelista"/>
        <w:numPr>
          <w:ilvl w:val="1"/>
          <w:numId w:val="6"/>
        </w:numPr>
        <w:tabs>
          <w:tab w:val="left" w:pos="567"/>
          <w:tab w:val="left" w:pos="2268"/>
        </w:tabs>
        <w:ind w:left="0" w:firstLine="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Concurren los presupuestos procesales y no se advierte irregularidad alguna que pueda invalidar la actuación. </w:t>
      </w:r>
    </w:p>
    <w:p w14:paraId="76BFAB75" w14:textId="32218BAF" w:rsidR="002878BA" w:rsidRPr="002F651B" w:rsidRDefault="002878BA" w:rsidP="002F651B">
      <w:pPr>
        <w:pStyle w:val="Prrafodelista"/>
        <w:tabs>
          <w:tab w:val="left" w:pos="567"/>
          <w:tab w:val="left" w:pos="2268"/>
        </w:tabs>
        <w:ind w:left="0"/>
        <w:jc w:val="both"/>
        <w:rPr>
          <w:rFonts w:ascii="Gadugi" w:eastAsia="Calibri" w:hAnsi="Gadugi" w:cs="Times New Roman"/>
          <w:sz w:val="24"/>
          <w:szCs w:val="24"/>
          <w:lang w:val="es-419"/>
        </w:rPr>
      </w:pPr>
    </w:p>
    <w:p w14:paraId="79AEAE3D" w14:textId="3D5F6108" w:rsidR="002878BA" w:rsidRPr="002F651B" w:rsidRDefault="002878BA" w:rsidP="002F651B">
      <w:pPr>
        <w:pStyle w:val="Prrafodelista"/>
        <w:numPr>
          <w:ilvl w:val="1"/>
          <w:numId w:val="6"/>
        </w:numPr>
        <w:ind w:left="0" w:firstLine="0"/>
        <w:jc w:val="both"/>
        <w:rPr>
          <w:rFonts w:ascii="Gadugi" w:hAnsi="Gadugi"/>
          <w:sz w:val="24"/>
          <w:szCs w:val="24"/>
        </w:rPr>
      </w:pPr>
      <w:r w:rsidRPr="002F651B">
        <w:rPr>
          <w:rFonts w:ascii="Gadugi" w:eastAsia="Calibri" w:hAnsi="Gadugi" w:cs="Times New Roman"/>
          <w:sz w:val="24"/>
          <w:szCs w:val="24"/>
          <w:lang w:val="es-419"/>
        </w:rPr>
        <w:t xml:space="preserve">Señaló el </w:t>
      </w:r>
      <w:r w:rsidR="007E5990" w:rsidRPr="002F651B">
        <w:rPr>
          <w:rFonts w:ascii="Gadugi" w:eastAsia="Calibri" w:hAnsi="Gadugi" w:cs="Times New Roman"/>
          <w:sz w:val="24"/>
          <w:szCs w:val="24"/>
          <w:lang w:val="es-419"/>
        </w:rPr>
        <w:t>j</w:t>
      </w:r>
      <w:r w:rsidR="008277FD" w:rsidRPr="002F651B">
        <w:rPr>
          <w:rFonts w:ascii="Gadugi" w:eastAsia="Calibri" w:hAnsi="Gadugi" w:cs="Times New Roman"/>
          <w:sz w:val="24"/>
          <w:szCs w:val="24"/>
          <w:lang w:val="es-419"/>
        </w:rPr>
        <w:t>u</w:t>
      </w:r>
      <w:r w:rsidRPr="002F651B">
        <w:rPr>
          <w:rFonts w:ascii="Gadugi" w:eastAsia="Calibri" w:hAnsi="Gadugi" w:cs="Times New Roman"/>
          <w:sz w:val="24"/>
          <w:szCs w:val="24"/>
          <w:lang w:val="es-419"/>
        </w:rPr>
        <w:t xml:space="preserve">zgado en el fallo que la clase de responsabilidad </w:t>
      </w:r>
      <w:r w:rsidRPr="002F651B">
        <w:rPr>
          <w:rFonts w:ascii="Gadugi" w:hAnsi="Gadugi"/>
          <w:sz w:val="24"/>
          <w:szCs w:val="24"/>
        </w:rPr>
        <w:t xml:space="preserve">que aquí se está reclamando es la extracontractual. </w:t>
      </w:r>
    </w:p>
    <w:p w14:paraId="57457CF7" w14:textId="77777777" w:rsidR="002878BA" w:rsidRPr="002F651B" w:rsidRDefault="002878BA" w:rsidP="002F651B">
      <w:pPr>
        <w:pStyle w:val="Prrafodelista"/>
        <w:rPr>
          <w:rFonts w:ascii="Gadugi" w:hAnsi="Gadugi"/>
          <w:sz w:val="24"/>
          <w:szCs w:val="24"/>
        </w:rPr>
      </w:pPr>
    </w:p>
    <w:p w14:paraId="676AF3FF" w14:textId="77777777" w:rsidR="00EA3F47" w:rsidRPr="002F651B" w:rsidRDefault="002878BA" w:rsidP="002F651B">
      <w:pPr>
        <w:jc w:val="both"/>
        <w:rPr>
          <w:rFonts w:ascii="Gadugi" w:hAnsi="Gadugi"/>
          <w:sz w:val="24"/>
          <w:szCs w:val="24"/>
        </w:rPr>
      </w:pPr>
      <w:r w:rsidRPr="002F651B">
        <w:rPr>
          <w:rFonts w:ascii="Gadugi" w:hAnsi="Gadugi"/>
          <w:sz w:val="24"/>
          <w:szCs w:val="24"/>
        </w:rPr>
        <w:t xml:space="preserve">Mas, se advierte allí una imprecisión, porque, a juicio de la Sala, se acumularon la contractual y la extracontractual. Y esto, porque los demandantes intervienen por su derecho hereditario, que da lugar a la primera, y también por derecho propio, que abre paso a la segunda, como víctimas de rebote. En efecto, las pretensiones están dirigidas a que se </w:t>
      </w:r>
      <w:r w:rsidR="00EA3F47" w:rsidRPr="002F651B">
        <w:rPr>
          <w:rFonts w:ascii="Gadugi" w:hAnsi="Gadugi"/>
          <w:sz w:val="24"/>
          <w:szCs w:val="24"/>
        </w:rPr>
        <w:t xml:space="preserve">condene a los demandados por los perjuicios de orden inmaterial causados a la </w:t>
      </w:r>
      <w:r w:rsidRPr="002F651B">
        <w:rPr>
          <w:rFonts w:ascii="Gadugi" w:hAnsi="Gadugi"/>
          <w:sz w:val="24"/>
          <w:szCs w:val="24"/>
        </w:rPr>
        <w:t xml:space="preserve">sucesión de María Nora Correa de Piedrahíta como víctima directa, </w:t>
      </w:r>
      <w:r w:rsidR="00EA3F47" w:rsidRPr="002F651B">
        <w:rPr>
          <w:rFonts w:ascii="Gadugi" w:hAnsi="Gadugi"/>
          <w:sz w:val="24"/>
          <w:szCs w:val="24"/>
        </w:rPr>
        <w:t xml:space="preserve">y también por los que cada accionante recibió de manera indirecta. </w:t>
      </w:r>
    </w:p>
    <w:p w14:paraId="07D5E4B3" w14:textId="77777777" w:rsidR="00EA3F47" w:rsidRPr="002F651B" w:rsidRDefault="00EA3F47" w:rsidP="002F651B">
      <w:pPr>
        <w:jc w:val="both"/>
        <w:rPr>
          <w:rFonts w:ascii="Gadugi" w:hAnsi="Gadugi"/>
          <w:sz w:val="24"/>
          <w:szCs w:val="24"/>
        </w:rPr>
      </w:pPr>
    </w:p>
    <w:p w14:paraId="3C60367E" w14:textId="28592C2C" w:rsidR="00EA3F47" w:rsidRPr="002F651B" w:rsidRDefault="00EA3F47" w:rsidP="002F651B">
      <w:pPr>
        <w:jc w:val="both"/>
        <w:rPr>
          <w:rFonts w:ascii="Gadugi" w:eastAsia="Calibri" w:hAnsi="Gadugi" w:cs="Times New Roman"/>
          <w:sz w:val="24"/>
          <w:szCs w:val="24"/>
          <w:lang w:val="es-419"/>
        </w:rPr>
      </w:pPr>
      <w:r w:rsidRPr="002F651B">
        <w:rPr>
          <w:rFonts w:ascii="Gadugi" w:hAnsi="Gadugi"/>
          <w:sz w:val="24"/>
          <w:szCs w:val="24"/>
        </w:rPr>
        <w:t xml:space="preserve">En aquellas </w:t>
      </w:r>
      <w:r w:rsidR="00BF44B0" w:rsidRPr="002F651B">
        <w:rPr>
          <w:rFonts w:ascii="Gadugi" w:hAnsi="Gadugi"/>
          <w:sz w:val="24"/>
          <w:szCs w:val="24"/>
        </w:rPr>
        <w:t>peticiones</w:t>
      </w:r>
      <w:r w:rsidRPr="002F651B">
        <w:rPr>
          <w:rFonts w:ascii="Gadugi" w:hAnsi="Gadugi"/>
          <w:sz w:val="24"/>
          <w:szCs w:val="24"/>
        </w:rPr>
        <w:t xml:space="preserve"> está inmersa una responsabilidad contractual, para cuyo análisis se anticipa que la afiliación de la señora Correa de Piedrahíta a la Nueva EPS </w:t>
      </w:r>
      <w:r w:rsidR="00BF44B0" w:rsidRPr="002F651B">
        <w:rPr>
          <w:rFonts w:ascii="Gadugi" w:hAnsi="Gadugi"/>
          <w:sz w:val="24"/>
          <w:szCs w:val="24"/>
        </w:rPr>
        <w:t xml:space="preserve">se </w:t>
      </w:r>
      <w:r w:rsidR="008277FD" w:rsidRPr="002F651B">
        <w:rPr>
          <w:rFonts w:ascii="Gadugi" w:eastAsia="Calibri" w:hAnsi="Gadugi" w:cs="Times New Roman"/>
          <w:sz w:val="24"/>
          <w:szCs w:val="24"/>
          <w:lang w:val="es-419"/>
        </w:rPr>
        <w:t xml:space="preserve">soporta en el expediente con la historia clínica </w:t>
      </w:r>
      <w:r w:rsidRPr="002F651B">
        <w:rPr>
          <w:rFonts w:ascii="Gadugi" w:eastAsia="Calibri" w:hAnsi="Gadugi" w:cs="Times New Roman"/>
          <w:sz w:val="24"/>
          <w:szCs w:val="24"/>
          <w:lang w:val="es-419"/>
        </w:rPr>
        <w:t>N</w:t>
      </w:r>
      <w:r w:rsidR="008277FD" w:rsidRPr="002F651B">
        <w:rPr>
          <w:rFonts w:ascii="Gadugi" w:eastAsia="Calibri" w:hAnsi="Gadugi" w:cs="Times New Roman"/>
          <w:sz w:val="24"/>
          <w:szCs w:val="24"/>
          <w:lang w:val="es-419"/>
        </w:rPr>
        <w:t xml:space="preserve">ro. 24891641 </w:t>
      </w:r>
      <w:r w:rsidRPr="002F651B">
        <w:rPr>
          <w:rFonts w:ascii="Gadugi" w:eastAsia="Calibri" w:hAnsi="Gadugi" w:cs="Times New Roman"/>
          <w:sz w:val="24"/>
          <w:szCs w:val="24"/>
          <w:lang w:val="es-419"/>
        </w:rPr>
        <w:t xml:space="preserve">relacionada con la </w:t>
      </w:r>
      <w:r w:rsidR="008277FD" w:rsidRPr="002F651B">
        <w:rPr>
          <w:rFonts w:ascii="Gadugi" w:eastAsia="Calibri" w:hAnsi="Gadugi" w:cs="Times New Roman"/>
          <w:sz w:val="24"/>
          <w:szCs w:val="24"/>
          <w:lang w:val="es-419"/>
        </w:rPr>
        <w:t xml:space="preserve">atención por urgencias </w:t>
      </w:r>
      <w:r w:rsidRPr="002F651B">
        <w:rPr>
          <w:rFonts w:ascii="Gadugi" w:eastAsia="Calibri" w:hAnsi="Gadugi" w:cs="Times New Roman"/>
          <w:sz w:val="24"/>
          <w:szCs w:val="24"/>
          <w:lang w:val="es-419"/>
        </w:rPr>
        <w:t xml:space="preserve">en </w:t>
      </w:r>
      <w:r w:rsidR="008277FD" w:rsidRPr="002F651B">
        <w:rPr>
          <w:rFonts w:ascii="Gadugi" w:eastAsia="Calibri" w:hAnsi="Gadugi" w:cs="Times New Roman"/>
          <w:sz w:val="24"/>
          <w:szCs w:val="24"/>
          <w:lang w:val="es-419"/>
        </w:rPr>
        <w:t>la Clínica Marañón</w:t>
      </w:r>
      <w:r w:rsidR="008277FD" w:rsidRPr="002F651B">
        <w:rPr>
          <w:rStyle w:val="Refdenotaalpie"/>
          <w:rFonts w:ascii="Gadugi" w:eastAsia="Calibri" w:hAnsi="Gadugi" w:cs="Times New Roman"/>
          <w:sz w:val="24"/>
          <w:szCs w:val="24"/>
          <w:lang w:val="es-419"/>
        </w:rPr>
        <w:footnoteReference w:id="22"/>
      </w:r>
      <w:r w:rsidR="008277FD" w:rsidRPr="002F651B">
        <w:rPr>
          <w:rFonts w:ascii="Gadugi" w:eastAsia="Calibri" w:hAnsi="Gadugi" w:cs="Times New Roman"/>
          <w:sz w:val="24"/>
          <w:szCs w:val="24"/>
          <w:lang w:val="es-419"/>
        </w:rPr>
        <w:t xml:space="preserve"> y la epicrisis de la Clínica </w:t>
      </w:r>
      <w:proofErr w:type="spellStart"/>
      <w:r w:rsidR="008277FD" w:rsidRPr="002F651B">
        <w:rPr>
          <w:rFonts w:ascii="Gadugi" w:eastAsia="Calibri" w:hAnsi="Gadugi" w:cs="Times New Roman"/>
          <w:sz w:val="24"/>
          <w:szCs w:val="24"/>
          <w:lang w:val="es-419"/>
        </w:rPr>
        <w:t>Dumian</w:t>
      </w:r>
      <w:proofErr w:type="spellEnd"/>
      <w:r w:rsidR="00BF44B0" w:rsidRPr="002F651B">
        <w:rPr>
          <w:rFonts w:ascii="Gadugi" w:eastAsia="Calibri" w:hAnsi="Gadugi" w:cs="Times New Roman"/>
          <w:sz w:val="24"/>
          <w:szCs w:val="24"/>
          <w:lang w:val="es-419"/>
        </w:rPr>
        <w:t xml:space="preserve"> </w:t>
      </w:r>
      <w:proofErr w:type="spellStart"/>
      <w:r w:rsidR="00BF44B0" w:rsidRPr="002F651B">
        <w:rPr>
          <w:rFonts w:ascii="Gadugi" w:eastAsia="Calibri" w:hAnsi="Gadugi" w:cs="Times New Roman"/>
          <w:sz w:val="24"/>
          <w:szCs w:val="24"/>
          <w:lang w:val="es-419"/>
        </w:rPr>
        <w:t>SAS</w:t>
      </w:r>
      <w:proofErr w:type="spellEnd"/>
      <w:r w:rsidR="008277FD" w:rsidRPr="002F651B">
        <w:rPr>
          <w:rStyle w:val="Refdenotaalpie"/>
          <w:rFonts w:ascii="Gadugi" w:eastAsia="Calibri" w:hAnsi="Gadugi" w:cs="Times New Roman"/>
          <w:sz w:val="24"/>
          <w:szCs w:val="24"/>
          <w:lang w:val="es-419"/>
        </w:rPr>
        <w:footnoteReference w:id="23"/>
      </w:r>
      <w:r w:rsidRPr="002F651B">
        <w:rPr>
          <w:rFonts w:ascii="Gadugi" w:eastAsia="Calibri" w:hAnsi="Gadugi" w:cs="Times New Roman"/>
          <w:sz w:val="24"/>
          <w:szCs w:val="24"/>
          <w:lang w:val="es-419"/>
        </w:rPr>
        <w:t xml:space="preserve">. </w:t>
      </w:r>
    </w:p>
    <w:p w14:paraId="64853154" w14:textId="77777777" w:rsidR="00EA3F47" w:rsidRPr="002F651B" w:rsidRDefault="00EA3F47" w:rsidP="002F651B">
      <w:pPr>
        <w:jc w:val="both"/>
        <w:rPr>
          <w:rFonts w:ascii="Gadugi" w:eastAsia="Calibri" w:hAnsi="Gadugi" w:cs="Times New Roman"/>
          <w:sz w:val="24"/>
          <w:szCs w:val="24"/>
          <w:lang w:val="es-419"/>
        </w:rPr>
      </w:pPr>
    </w:p>
    <w:p w14:paraId="08BEB876" w14:textId="7D9EA2C7" w:rsidR="008277FD" w:rsidRPr="002F651B" w:rsidRDefault="00EA3F47" w:rsidP="002F651B">
      <w:pPr>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Y en estas, una extracontractual, en la medida en que, frente al deceso de la víctima directa</w:t>
      </w:r>
      <w:r w:rsidR="008277FD" w:rsidRPr="002F651B">
        <w:rPr>
          <w:rStyle w:val="Refdenotaalpie"/>
          <w:rFonts w:ascii="Gadugi" w:eastAsia="Calibri" w:hAnsi="Gadugi" w:cs="Times New Roman"/>
          <w:sz w:val="24"/>
          <w:szCs w:val="24"/>
          <w:lang w:val="es-419"/>
        </w:rPr>
        <w:footnoteReference w:id="24"/>
      </w:r>
      <w:r w:rsidR="008277FD" w:rsidRPr="002F651B">
        <w:rPr>
          <w:rFonts w:ascii="Gadugi" w:eastAsia="Calibri" w:hAnsi="Gadugi" w:cs="Times New Roman"/>
          <w:sz w:val="24"/>
          <w:szCs w:val="24"/>
          <w:lang w:val="es-419"/>
        </w:rPr>
        <w:t xml:space="preserve">, </w:t>
      </w:r>
      <w:r w:rsidRPr="002F651B">
        <w:rPr>
          <w:rFonts w:ascii="Gadugi" w:eastAsia="Calibri" w:hAnsi="Gadugi" w:cs="Times New Roman"/>
          <w:sz w:val="24"/>
          <w:szCs w:val="24"/>
          <w:lang w:val="es-419"/>
        </w:rPr>
        <w:t xml:space="preserve">acuden a reclamar </w:t>
      </w:r>
      <w:r w:rsidR="008277FD" w:rsidRPr="002F651B">
        <w:rPr>
          <w:rFonts w:ascii="Gadugi" w:eastAsia="Calibri" w:hAnsi="Gadugi" w:cs="Times New Roman"/>
          <w:sz w:val="24"/>
          <w:szCs w:val="24"/>
          <w:lang w:val="es-419"/>
        </w:rPr>
        <w:t>sus familiares como víctimas de rebote</w:t>
      </w:r>
      <w:r w:rsidR="008E199F" w:rsidRPr="002F651B">
        <w:rPr>
          <w:rFonts w:ascii="Gadugi" w:eastAsia="Calibri" w:hAnsi="Gadugi" w:cs="Times New Roman"/>
          <w:sz w:val="24"/>
          <w:szCs w:val="24"/>
          <w:lang w:val="es-419"/>
        </w:rPr>
        <w:t xml:space="preserve">. Concretamente, </w:t>
      </w:r>
      <w:r w:rsidR="00BF44B0" w:rsidRPr="002F651B">
        <w:rPr>
          <w:rFonts w:ascii="Gadugi" w:eastAsia="Calibri" w:hAnsi="Gadugi" w:cs="Times New Roman"/>
          <w:sz w:val="24"/>
          <w:szCs w:val="24"/>
          <w:lang w:val="es-419"/>
        </w:rPr>
        <w:t>sus hijos</w:t>
      </w:r>
      <w:r w:rsidR="008277FD" w:rsidRPr="002F651B">
        <w:rPr>
          <w:rFonts w:ascii="Gadugi" w:eastAsia="Calibri" w:hAnsi="Gadugi" w:cs="Times New Roman"/>
          <w:sz w:val="24"/>
          <w:szCs w:val="24"/>
          <w:lang w:val="es-419"/>
        </w:rPr>
        <w:t xml:space="preserve"> Martha Lucía</w:t>
      </w:r>
      <w:r w:rsidR="008277FD" w:rsidRPr="002F651B">
        <w:rPr>
          <w:rStyle w:val="Refdenotaalpie"/>
          <w:rFonts w:ascii="Gadugi" w:eastAsia="Calibri" w:hAnsi="Gadugi" w:cs="Times New Roman"/>
          <w:sz w:val="24"/>
          <w:szCs w:val="24"/>
          <w:lang w:val="es-419"/>
        </w:rPr>
        <w:footnoteReference w:id="25"/>
      </w:r>
      <w:r w:rsidR="008277FD" w:rsidRPr="002F651B">
        <w:rPr>
          <w:rFonts w:ascii="Gadugi" w:eastAsia="Calibri" w:hAnsi="Gadugi" w:cs="Times New Roman"/>
          <w:sz w:val="24"/>
          <w:szCs w:val="24"/>
          <w:lang w:val="es-419"/>
        </w:rPr>
        <w:t xml:space="preserve"> y Alfonso Enrique Piedrahita Correa</w:t>
      </w:r>
      <w:r w:rsidR="008277FD" w:rsidRPr="002F651B">
        <w:rPr>
          <w:rStyle w:val="Refdenotaalpie"/>
          <w:rFonts w:ascii="Gadugi" w:eastAsia="Calibri" w:hAnsi="Gadugi" w:cs="Times New Roman"/>
          <w:sz w:val="24"/>
          <w:szCs w:val="24"/>
          <w:lang w:val="es-419"/>
        </w:rPr>
        <w:footnoteReference w:id="26"/>
      </w:r>
      <w:r w:rsidR="00BF44B0" w:rsidRPr="002F651B">
        <w:rPr>
          <w:rFonts w:ascii="Gadugi" w:eastAsia="Calibri" w:hAnsi="Gadugi" w:cs="Times New Roman"/>
          <w:sz w:val="24"/>
          <w:szCs w:val="24"/>
          <w:lang w:val="es-419"/>
        </w:rPr>
        <w:t xml:space="preserve"> y sus nietos </w:t>
      </w:r>
      <w:r w:rsidR="008277FD" w:rsidRPr="002F651B">
        <w:rPr>
          <w:rFonts w:ascii="Gadugi" w:eastAsia="Calibri" w:hAnsi="Gadugi" w:cs="Times New Roman"/>
          <w:sz w:val="24"/>
          <w:szCs w:val="24"/>
          <w:lang w:val="es-419"/>
        </w:rPr>
        <w:t>Alejandra María</w:t>
      </w:r>
      <w:r w:rsidR="0017157C" w:rsidRPr="002F651B">
        <w:rPr>
          <w:rStyle w:val="Refdenotaalpie"/>
          <w:rFonts w:ascii="Gadugi" w:eastAsia="Calibri" w:hAnsi="Gadugi" w:cs="Times New Roman"/>
          <w:sz w:val="24"/>
          <w:szCs w:val="24"/>
          <w:lang w:val="es-419"/>
        </w:rPr>
        <w:footnoteReference w:id="27"/>
      </w:r>
      <w:r w:rsidR="0017157C" w:rsidRPr="002F651B">
        <w:rPr>
          <w:rFonts w:ascii="Gadugi" w:eastAsia="Calibri" w:hAnsi="Gadugi" w:cs="Times New Roman"/>
          <w:sz w:val="24"/>
          <w:szCs w:val="24"/>
          <w:lang w:val="es-419"/>
        </w:rPr>
        <w:t xml:space="preserve"> y Ricardo</w:t>
      </w:r>
      <w:r w:rsidR="0017157C" w:rsidRPr="002F651B">
        <w:rPr>
          <w:rStyle w:val="Refdenotaalpie"/>
          <w:rFonts w:ascii="Gadugi" w:eastAsia="Calibri" w:hAnsi="Gadugi" w:cs="Times New Roman"/>
          <w:sz w:val="24"/>
          <w:szCs w:val="24"/>
          <w:lang w:val="es-419"/>
        </w:rPr>
        <w:footnoteReference w:id="28"/>
      </w:r>
      <w:r w:rsidR="008277FD" w:rsidRPr="002F651B">
        <w:rPr>
          <w:rFonts w:ascii="Gadugi" w:eastAsia="Calibri" w:hAnsi="Gadugi" w:cs="Times New Roman"/>
          <w:sz w:val="24"/>
          <w:szCs w:val="24"/>
          <w:lang w:val="es-419"/>
        </w:rPr>
        <w:t xml:space="preserve"> Piedrahíta Correa</w:t>
      </w:r>
      <w:r w:rsidR="0017157C" w:rsidRPr="002F651B">
        <w:rPr>
          <w:rFonts w:ascii="Gadugi" w:eastAsia="Calibri" w:hAnsi="Gadugi" w:cs="Times New Roman"/>
          <w:sz w:val="24"/>
          <w:szCs w:val="24"/>
          <w:lang w:val="es-419"/>
        </w:rPr>
        <w:t>,</w:t>
      </w:r>
      <w:r w:rsidR="008277FD" w:rsidRPr="002F651B">
        <w:rPr>
          <w:rFonts w:ascii="Gadugi" w:eastAsia="Calibri" w:hAnsi="Gadugi" w:cs="Times New Roman"/>
          <w:sz w:val="24"/>
          <w:szCs w:val="24"/>
          <w:lang w:val="es-419"/>
        </w:rPr>
        <w:t xml:space="preserve"> </w:t>
      </w:r>
      <w:r w:rsidR="00BF44B0" w:rsidRPr="002F651B">
        <w:rPr>
          <w:rFonts w:ascii="Gadugi" w:eastAsia="Calibri" w:hAnsi="Gadugi" w:cs="Times New Roman"/>
          <w:sz w:val="24"/>
          <w:szCs w:val="24"/>
          <w:lang w:val="es-419"/>
        </w:rPr>
        <w:t xml:space="preserve">por un lado, y </w:t>
      </w:r>
      <w:r w:rsidR="008277FD" w:rsidRPr="002F651B">
        <w:rPr>
          <w:rFonts w:ascii="Gadugi" w:eastAsia="Calibri" w:hAnsi="Gadugi" w:cs="Times New Roman"/>
          <w:sz w:val="24"/>
          <w:szCs w:val="24"/>
          <w:lang w:val="es-419"/>
        </w:rPr>
        <w:t>Natalia Morales Piedrahita</w:t>
      </w:r>
      <w:r w:rsidR="008277FD" w:rsidRPr="002F651B">
        <w:rPr>
          <w:rStyle w:val="Refdenotaalpie"/>
          <w:rFonts w:ascii="Gadugi" w:eastAsia="Calibri" w:hAnsi="Gadugi" w:cs="Times New Roman"/>
          <w:sz w:val="24"/>
          <w:szCs w:val="24"/>
          <w:lang w:val="es-419"/>
        </w:rPr>
        <w:footnoteReference w:id="29"/>
      </w:r>
      <w:r w:rsidR="008277FD" w:rsidRPr="002F651B">
        <w:rPr>
          <w:rFonts w:ascii="Gadugi" w:eastAsia="Calibri" w:hAnsi="Gadugi" w:cs="Times New Roman"/>
          <w:sz w:val="24"/>
          <w:szCs w:val="24"/>
          <w:lang w:val="es-419"/>
        </w:rPr>
        <w:t xml:space="preserve">, </w:t>
      </w:r>
      <w:r w:rsidR="00BF44B0" w:rsidRPr="002F651B">
        <w:rPr>
          <w:rFonts w:ascii="Gadugi" w:eastAsia="Calibri" w:hAnsi="Gadugi" w:cs="Times New Roman"/>
          <w:sz w:val="24"/>
          <w:szCs w:val="24"/>
          <w:lang w:val="es-419"/>
        </w:rPr>
        <w:t xml:space="preserve">por el otro, según consta en los registros civiles aportados. </w:t>
      </w:r>
    </w:p>
    <w:p w14:paraId="7EF0E861" w14:textId="77777777" w:rsidR="00A36612" w:rsidRPr="002F651B" w:rsidRDefault="00A36612" w:rsidP="002F651B">
      <w:pPr>
        <w:jc w:val="both"/>
        <w:rPr>
          <w:rFonts w:ascii="Gadugi" w:eastAsia="Calibri" w:hAnsi="Gadugi" w:cs="Times New Roman"/>
          <w:sz w:val="24"/>
          <w:szCs w:val="24"/>
          <w:lang w:val="es-419"/>
        </w:rPr>
      </w:pPr>
    </w:p>
    <w:p w14:paraId="276FDE8F" w14:textId="690A1913" w:rsidR="00A36612" w:rsidRPr="002F651B" w:rsidRDefault="00A36612" w:rsidP="002F651B">
      <w:pPr>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La existencia del vínculo en aquel caso, y la prueba de las calidades en que intervienen los demandantes, los legitiman por activa. </w:t>
      </w:r>
    </w:p>
    <w:p w14:paraId="17B73241" w14:textId="77777777" w:rsidR="008277FD" w:rsidRPr="002F651B" w:rsidRDefault="008277FD" w:rsidP="002F651B">
      <w:pPr>
        <w:jc w:val="both"/>
        <w:rPr>
          <w:rFonts w:ascii="Gadugi" w:eastAsia="Calibri" w:hAnsi="Gadugi" w:cs="Times New Roman"/>
          <w:sz w:val="24"/>
          <w:szCs w:val="24"/>
          <w:lang w:val="es-419"/>
        </w:rPr>
      </w:pPr>
    </w:p>
    <w:p w14:paraId="6A0FA19B" w14:textId="50B8B1FB" w:rsidR="008277FD" w:rsidRPr="002F651B" w:rsidRDefault="008277FD" w:rsidP="002F651B">
      <w:pPr>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En cuanto a l</w:t>
      </w:r>
      <w:r w:rsidR="008F5EFA" w:rsidRPr="002F651B">
        <w:rPr>
          <w:rFonts w:ascii="Gadugi" w:eastAsia="Calibri" w:hAnsi="Gadugi" w:cs="Times New Roman"/>
          <w:sz w:val="24"/>
          <w:szCs w:val="24"/>
          <w:lang w:val="es-419"/>
        </w:rPr>
        <w:t>a</w:t>
      </w:r>
      <w:r w:rsidRPr="002F651B">
        <w:rPr>
          <w:rFonts w:ascii="Gadugi" w:eastAsia="Calibri" w:hAnsi="Gadugi" w:cs="Times New Roman"/>
          <w:sz w:val="24"/>
          <w:szCs w:val="24"/>
          <w:lang w:val="es-419"/>
        </w:rPr>
        <w:t>s demandad</w:t>
      </w:r>
      <w:r w:rsidR="005963BD" w:rsidRPr="002F651B">
        <w:rPr>
          <w:rFonts w:ascii="Gadugi" w:eastAsia="Calibri" w:hAnsi="Gadugi" w:cs="Times New Roman"/>
          <w:sz w:val="24"/>
          <w:szCs w:val="24"/>
          <w:lang w:val="es-419"/>
        </w:rPr>
        <w:t>a</w:t>
      </w:r>
      <w:r w:rsidRPr="002F651B">
        <w:rPr>
          <w:rFonts w:ascii="Gadugi" w:eastAsia="Calibri" w:hAnsi="Gadugi" w:cs="Times New Roman"/>
          <w:sz w:val="24"/>
          <w:szCs w:val="24"/>
          <w:lang w:val="es-419"/>
        </w:rPr>
        <w:t xml:space="preserve">s, no hay duda sobre la legitimación de la Nueva EPS y la Clínica Marañón S.A.S. La primera, como afiliadora, </w:t>
      </w:r>
      <w:r w:rsidR="00363257" w:rsidRPr="002F651B">
        <w:rPr>
          <w:rFonts w:ascii="Gadugi" w:eastAsia="Calibri" w:hAnsi="Gadugi" w:cs="Times New Roman"/>
          <w:sz w:val="24"/>
          <w:szCs w:val="24"/>
          <w:lang w:val="es-419"/>
        </w:rPr>
        <w:t>según</w:t>
      </w:r>
      <w:r w:rsidR="00486BF5" w:rsidRPr="002F651B">
        <w:rPr>
          <w:rFonts w:ascii="Gadugi" w:eastAsia="Calibri" w:hAnsi="Gadugi" w:cs="Times New Roman"/>
          <w:sz w:val="24"/>
          <w:szCs w:val="24"/>
          <w:lang w:val="es-419"/>
        </w:rPr>
        <w:t xml:space="preserve"> revela la </w:t>
      </w:r>
      <w:r w:rsidRPr="002F651B">
        <w:rPr>
          <w:rFonts w:ascii="Gadugi" w:eastAsia="Calibri" w:hAnsi="Gadugi" w:cs="Times New Roman"/>
          <w:sz w:val="24"/>
          <w:szCs w:val="24"/>
          <w:lang w:val="es-419"/>
        </w:rPr>
        <w:t xml:space="preserve">historia clínica </w:t>
      </w:r>
      <w:r w:rsidRPr="002F651B">
        <w:rPr>
          <w:rFonts w:ascii="Gadugi" w:eastAsia="Calibri" w:hAnsi="Gadugi" w:cs="Times New Roman"/>
          <w:sz w:val="24"/>
          <w:szCs w:val="24"/>
          <w:lang w:val="es-419"/>
        </w:rPr>
        <w:lastRenderedPageBreak/>
        <w:t>adjunta al expediente</w:t>
      </w:r>
      <w:r w:rsidR="00ED364C" w:rsidRPr="002F651B">
        <w:rPr>
          <w:rStyle w:val="Refdenotaalpie"/>
          <w:rFonts w:ascii="Gadugi" w:eastAsia="Calibri" w:hAnsi="Gadugi" w:cs="Times New Roman"/>
          <w:sz w:val="24"/>
          <w:szCs w:val="24"/>
          <w:lang w:val="es-419"/>
        </w:rPr>
        <w:footnoteReference w:id="30"/>
      </w:r>
      <w:r w:rsidRPr="002F651B">
        <w:rPr>
          <w:rFonts w:ascii="Gadugi" w:eastAsia="Calibri" w:hAnsi="Gadugi" w:cs="Times New Roman"/>
          <w:sz w:val="24"/>
          <w:szCs w:val="24"/>
          <w:vertAlign w:val="superscript"/>
          <w:lang w:val="es-419"/>
        </w:rPr>
        <w:t>-</w:t>
      </w:r>
      <w:r w:rsidR="009B1B5B" w:rsidRPr="002F651B">
        <w:rPr>
          <w:rStyle w:val="Refdenotaalpie"/>
          <w:rFonts w:ascii="Gadugi" w:eastAsia="Calibri" w:hAnsi="Gadugi" w:cs="Times New Roman"/>
          <w:sz w:val="24"/>
          <w:szCs w:val="24"/>
          <w:lang w:val="es-419"/>
        </w:rPr>
        <w:footnoteReference w:id="31"/>
      </w:r>
      <w:r w:rsidR="003F5528" w:rsidRPr="002F651B">
        <w:rPr>
          <w:rFonts w:ascii="Gadugi" w:eastAsia="Calibri" w:hAnsi="Gadugi" w:cs="Times New Roman"/>
          <w:sz w:val="24"/>
          <w:szCs w:val="24"/>
          <w:lang w:val="es-419"/>
        </w:rPr>
        <w:t xml:space="preserve">, </w:t>
      </w:r>
      <w:r w:rsidR="00A02817" w:rsidRPr="002F651B">
        <w:rPr>
          <w:rFonts w:ascii="Gadugi" w:eastAsia="Calibri" w:hAnsi="Gadugi" w:cs="Times New Roman"/>
          <w:sz w:val="24"/>
          <w:szCs w:val="24"/>
          <w:lang w:val="es-419"/>
        </w:rPr>
        <w:t>ya que por su cuenta se brindó la atención</w:t>
      </w:r>
      <w:r w:rsidR="00881E7F" w:rsidRPr="002F651B">
        <w:rPr>
          <w:rFonts w:ascii="Gadugi" w:eastAsia="Calibri" w:hAnsi="Gadugi" w:cs="Times New Roman"/>
          <w:sz w:val="24"/>
          <w:szCs w:val="24"/>
          <w:lang w:val="es-419"/>
        </w:rPr>
        <w:t xml:space="preserve">. </w:t>
      </w:r>
      <w:r w:rsidR="00BB6FE4" w:rsidRPr="002F651B">
        <w:rPr>
          <w:rFonts w:ascii="Gadugi" w:eastAsia="Calibri" w:hAnsi="Gadugi" w:cs="Times New Roman"/>
          <w:sz w:val="24"/>
          <w:szCs w:val="24"/>
          <w:lang w:val="es-419"/>
        </w:rPr>
        <w:t>Y la segunda</w:t>
      </w:r>
      <w:r w:rsidR="00D50E36" w:rsidRPr="002F651B">
        <w:rPr>
          <w:rFonts w:ascii="Gadugi" w:eastAsia="Calibri" w:hAnsi="Gadugi" w:cs="Times New Roman"/>
          <w:sz w:val="24"/>
          <w:szCs w:val="24"/>
          <w:lang w:val="es-419"/>
        </w:rPr>
        <w:t xml:space="preserve">, porque allí se prestó </w:t>
      </w:r>
      <w:r w:rsidR="00034398" w:rsidRPr="002F651B">
        <w:rPr>
          <w:rFonts w:ascii="Gadugi" w:eastAsia="Calibri" w:hAnsi="Gadugi" w:cs="Times New Roman"/>
          <w:sz w:val="24"/>
          <w:szCs w:val="24"/>
          <w:lang w:val="es-419"/>
        </w:rPr>
        <w:t>parte d</w:t>
      </w:r>
      <w:r w:rsidR="00D50E36" w:rsidRPr="002F651B">
        <w:rPr>
          <w:rFonts w:ascii="Gadugi" w:eastAsia="Calibri" w:hAnsi="Gadugi" w:cs="Times New Roman"/>
          <w:sz w:val="24"/>
          <w:szCs w:val="24"/>
          <w:lang w:val="es-419"/>
        </w:rPr>
        <w:t>el ser</w:t>
      </w:r>
      <w:r w:rsidR="00034398" w:rsidRPr="002F651B">
        <w:rPr>
          <w:rFonts w:ascii="Gadugi" w:eastAsia="Calibri" w:hAnsi="Gadugi" w:cs="Times New Roman"/>
          <w:sz w:val="24"/>
          <w:szCs w:val="24"/>
          <w:lang w:val="es-419"/>
        </w:rPr>
        <w:t>vicio.</w:t>
      </w:r>
      <w:r w:rsidR="00E96762" w:rsidRPr="002F651B">
        <w:rPr>
          <w:rFonts w:ascii="Gadugi" w:eastAsia="Calibri" w:hAnsi="Gadugi" w:cs="Times New Roman"/>
          <w:sz w:val="24"/>
          <w:szCs w:val="24"/>
          <w:lang w:val="es-419"/>
        </w:rPr>
        <w:t xml:space="preserve"> A ellas se les imputa el daño.</w:t>
      </w:r>
    </w:p>
    <w:p w14:paraId="74B7A7C6" w14:textId="77777777" w:rsidR="008277FD" w:rsidRPr="002F651B" w:rsidRDefault="008277FD" w:rsidP="002F651B">
      <w:pPr>
        <w:jc w:val="both"/>
        <w:rPr>
          <w:rFonts w:ascii="Gadugi" w:eastAsia="Calibri" w:hAnsi="Gadugi" w:cs="Times New Roman"/>
          <w:sz w:val="24"/>
          <w:szCs w:val="24"/>
          <w:lang w:val="es-419"/>
        </w:rPr>
      </w:pPr>
    </w:p>
    <w:p w14:paraId="2C3F54EC" w14:textId="37F5B7AF" w:rsidR="00E96762" w:rsidRPr="002F651B" w:rsidRDefault="00302C71" w:rsidP="002F651B">
      <w:pPr>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De otro lado, </w:t>
      </w:r>
      <w:r w:rsidR="00AB6333" w:rsidRPr="002F651B">
        <w:rPr>
          <w:rFonts w:ascii="Gadugi" w:eastAsia="Calibri" w:hAnsi="Gadugi" w:cs="Times New Roman"/>
          <w:sz w:val="24"/>
          <w:szCs w:val="24"/>
          <w:lang w:val="es-419"/>
        </w:rPr>
        <w:t>como la reclamación surge de la deficiencia en la atención médica</w:t>
      </w:r>
      <w:r w:rsidR="00D01655" w:rsidRPr="002F651B">
        <w:rPr>
          <w:rFonts w:ascii="Gadugi" w:eastAsia="Calibri" w:hAnsi="Gadugi" w:cs="Times New Roman"/>
          <w:sz w:val="24"/>
          <w:szCs w:val="24"/>
          <w:lang w:val="es-419"/>
        </w:rPr>
        <w:t xml:space="preserve"> prestada a María Nora Correa</w:t>
      </w:r>
      <w:r w:rsidR="00623B80" w:rsidRPr="002F651B">
        <w:rPr>
          <w:rFonts w:ascii="Gadugi" w:eastAsia="Calibri" w:hAnsi="Gadugi" w:cs="Times New Roman"/>
          <w:sz w:val="24"/>
          <w:szCs w:val="24"/>
          <w:lang w:val="es-419"/>
        </w:rPr>
        <w:t xml:space="preserve">, coincide la Sala con la apreciación de primer grado sobre la falta de legitimación del Ministerio de Salud y Protección Social </w:t>
      </w:r>
      <w:r w:rsidR="00A84E4A" w:rsidRPr="002F651B">
        <w:rPr>
          <w:rFonts w:ascii="Gadugi" w:eastAsia="Calibri" w:hAnsi="Gadugi" w:cs="Times New Roman"/>
          <w:sz w:val="24"/>
          <w:szCs w:val="24"/>
          <w:lang w:val="es-419"/>
        </w:rPr>
        <w:t>y de la Secretaría Departamental de Salud de Risaralda,</w:t>
      </w:r>
      <w:r w:rsidR="001C7167" w:rsidRPr="002F651B">
        <w:rPr>
          <w:rFonts w:ascii="Gadugi" w:eastAsia="Calibri" w:hAnsi="Gadugi" w:cs="Times New Roman"/>
          <w:sz w:val="24"/>
          <w:szCs w:val="24"/>
          <w:lang w:val="es-419"/>
        </w:rPr>
        <w:t xml:space="preserve"> </w:t>
      </w:r>
      <w:r w:rsidR="00D01655" w:rsidRPr="002F651B">
        <w:rPr>
          <w:rFonts w:ascii="Gadugi" w:eastAsia="Calibri" w:hAnsi="Gadugi" w:cs="Times New Roman"/>
          <w:sz w:val="24"/>
          <w:szCs w:val="24"/>
          <w:lang w:val="es-419"/>
        </w:rPr>
        <w:t xml:space="preserve">ya que no intervinieron en ella. </w:t>
      </w:r>
    </w:p>
    <w:p w14:paraId="4BED2656" w14:textId="77777777" w:rsidR="00E96762" w:rsidRPr="002F651B" w:rsidRDefault="00E96762" w:rsidP="002F651B">
      <w:pPr>
        <w:jc w:val="both"/>
        <w:rPr>
          <w:rFonts w:ascii="Gadugi" w:eastAsia="Calibri" w:hAnsi="Gadugi" w:cs="Times New Roman"/>
          <w:sz w:val="24"/>
          <w:szCs w:val="24"/>
          <w:lang w:val="es-419"/>
        </w:rPr>
      </w:pPr>
    </w:p>
    <w:p w14:paraId="55815E94" w14:textId="48B961FF" w:rsidR="008277FD" w:rsidRPr="002F651B" w:rsidRDefault="008277FD" w:rsidP="002F651B">
      <w:pPr>
        <w:tabs>
          <w:tab w:val="left" w:pos="0"/>
          <w:tab w:val="left" w:pos="567"/>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2.</w:t>
      </w:r>
      <w:r w:rsidRPr="002F651B">
        <w:rPr>
          <w:rFonts w:ascii="Gadugi" w:eastAsia="Calibri" w:hAnsi="Gadugi" w:cs="Times New Roman"/>
          <w:sz w:val="24"/>
          <w:szCs w:val="24"/>
        </w:rPr>
        <w:t>3.</w:t>
      </w:r>
      <w:r w:rsidRPr="002F651B">
        <w:rPr>
          <w:rFonts w:ascii="Gadugi" w:eastAsia="Calibri" w:hAnsi="Gadugi" w:cs="Times New Roman"/>
          <w:sz w:val="24"/>
          <w:szCs w:val="24"/>
          <w:lang w:val="es-419"/>
        </w:rPr>
        <w:tab/>
      </w:r>
      <w:r w:rsidR="00A63F55" w:rsidRPr="002F651B">
        <w:rPr>
          <w:rFonts w:ascii="Gadugi" w:eastAsia="Calibri" w:hAnsi="Gadugi" w:cs="Times New Roman"/>
          <w:sz w:val="24"/>
          <w:szCs w:val="24"/>
          <w:lang w:val="es-419"/>
        </w:rPr>
        <w:t xml:space="preserve">Corresponde a la Sala </w:t>
      </w:r>
      <w:r w:rsidRPr="002F651B">
        <w:rPr>
          <w:rFonts w:ascii="Gadugi" w:eastAsia="Calibri" w:hAnsi="Gadugi" w:cs="Times New Roman"/>
          <w:sz w:val="24"/>
          <w:szCs w:val="24"/>
          <w:lang w:val="es-419"/>
        </w:rPr>
        <w:t>definir si</w:t>
      </w:r>
      <w:r w:rsidR="00035568" w:rsidRPr="002F651B">
        <w:rPr>
          <w:rFonts w:ascii="Gadugi" w:eastAsia="Calibri" w:hAnsi="Gadugi" w:cs="Times New Roman"/>
          <w:sz w:val="24"/>
          <w:szCs w:val="24"/>
          <w:lang w:val="es-419"/>
        </w:rPr>
        <w:t xml:space="preserve"> la decisión del Juzgado debe confirmarse ante la ausencia de</w:t>
      </w:r>
      <w:r w:rsidR="001D6739" w:rsidRPr="002F651B">
        <w:rPr>
          <w:rFonts w:ascii="Gadugi" w:eastAsia="Calibri" w:hAnsi="Gadugi" w:cs="Times New Roman"/>
          <w:sz w:val="24"/>
          <w:szCs w:val="24"/>
          <w:lang w:val="es-419"/>
        </w:rPr>
        <w:t>l nexo causal como</w:t>
      </w:r>
      <w:r w:rsidR="00035568" w:rsidRPr="002F651B">
        <w:rPr>
          <w:rFonts w:ascii="Gadugi" w:eastAsia="Calibri" w:hAnsi="Gadugi" w:cs="Times New Roman"/>
          <w:sz w:val="24"/>
          <w:szCs w:val="24"/>
          <w:lang w:val="es-419"/>
        </w:rPr>
        <w:t xml:space="preserve"> elemento propio de </w:t>
      </w:r>
      <w:r w:rsidR="00A5489D" w:rsidRPr="002F651B">
        <w:rPr>
          <w:rFonts w:ascii="Gadugi" w:eastAsia="Calibri" w:hAnsi="Gadugi" w:cs="Times New Roman"/>
          <w:sz w:val="24"/>
          <w:szCs w:val="24"/>
          <w:lang w:val="es-419"/>
        </w:rPr>
        <w:t xml:space="preserve">la </w:t>
      </w:r>
      <w:r w:rsidR="00035568" w:rsidRPr="002F651B">
        <w:rPr>
          <w:rFonts w:ascii="Gadugi" w:eastAsia="Calibri" w:hAnsi="Gadugi" w:cs="Times New Roman"/>
          <w:sz w:val="24"/>
          <w:szCs w:val="24"/>
          <w:lang w:val="es-419"/>
        </w:rPr>
        <w:t>responsabilidad</w:t>
      </w:r>
      <w:r w:rsidR="00A5489D" w:rsidRPr="002F651B">
        <w:rPr>
          <w:rFonts w:ascii="Gadugi" w:eastAsia="Calibri" w:hAnsi="Gadugi" w:cs="Times New Roman"/>
          <w:sz w:val="24"/>
          <w:szCs w:val="24"/>
          <w:lang w:val="es-419"/>
        </w:rPr>
        <w:t xml:space="preserve">, o si la revoca, como pretenden los recurrentes, dado que </w:t>
      </w:r>
      <w:r w:rsidR="0015627D" w:rsidRPr="002F651B">
        <w:rPr>
          <w:rFonts w:ascii="Gadugi" w:eastAsia="Calibri" w:hAnsi="Gadugi" w:cs="Times New Roman"/>
          <w:sz w:val="24"/>
          <w:szCs w:val="24"/>
          <w:lang w:val="es-419"/>
        </w:rPr>
        <w:t xml:space="preserve">sí se acredito esa relación causal. </w:t>
      </w:r>
    </w:p>
    <w:p w14:paraId="20D0DDC6" w14:textId="77777777" w:rsidR="00A948E7" w:rsidRPr="002F651B" w:rsidRDefault="00A948E7" w:rsidP="002F651B">
      <w:pPr>
        <w:pStyle w:val="Textoindependiente"/>
        <w:tabs>
          <w:tab w:val="left" w:pos="567"/>
          <w:tab w:val="left" w:pos="2268"/>
        </w:tabs>
        <w:spacing w:before="1" w:line="276" w:lineRule="auto"/>
        <w:ind w:right="49"/>
        <w:contextualSpacing/>
        <w:jc w:val="both"/>
        <w:rPr>
          <w:rFonts w:eastAsia="Calibri" w:cs="Times New Roman"/>
          <w:sz w:val="24"/>
          <w:szCs w:val="24"/>
          <w:lang w:val="es-419"/>
        </w:rPr>
      </w:pPr>
    </w:p>
    <w:p w14:paraId="22920AC9" w14:textId="40CD9BCE" w:rsidR="00A948E7" w:rsidRPr="002F651B" w:rsidRDefault="00A948E7" w:rsidP="002F651B">
      <w:pPr>
        <w:pStyle w:val="Textoindependiente"/>
        <w:tabs>
          <w:tab w:val="left" w:pos="567"/>
          <w:tab w:val="left" w:pos="2268"/>
        </w:tabs>
        <w:spacing w:before="1" w:line="276" w:lineRule="auto"/>
        <w:ind w:right="49"/>
        <w:contextualSpacing/>
        <w:jc w:val="both"/>
        <w:rPr>
          <w:rFonts w:eastAsia="Calibri" w:cs="Times New Roman"/>
          <w:sz w:val="24"/>
          <w:szCs w:val="24"/>
          <w:lang w:val="es-419"/>
        </w:rPr>
      </w:pPr>
      <w:r w:rsidRPr="002F651B">
        <w:rPr>
          <w:rFonts w:eastAsia="Calibri" w:cs="Times New Roman"/>
          <w:sz w:val="24"/>
          <w:szCs w:val="24"/>
          <w:lang w:val="es-419"/>
        </w:rPr>
        <w:t xml:space="preserve">Se anticipa que el fallo será revocado parcialmente, pues para la Sala, distinto a lo que </w:t>
      </w:r>
      <w:r w:rsidR="004A243E" w:rsidRPr="002F651B">
        <w:rPr>
          <w:rFonts w:eastAsia="Calibri" w:cs="Times New Roman"/>
          <w:sz w:val="24"/>
          <w:szCs w:val="24"/>
          <w:lang w:val="es-419"/>
        </w:rPr>
        <w:t xml:space="preserve">allí </w:t>
      </w:r>
      <w:r w:rsidRPr="002F651B">
        <w:rPr>
          <w:rFonts w:eastAsia="Calibri" w:cs="Times New Roman"/>
          <w:sz w:val="24"/>
          <w:szCs w:val="24"/>
          <w:lang w:val="es-419"/>
        </w:rPr>
        <w:t xml:space="preserve">se adujo, el nexo causal echado de menos está debidamente probado, junto con los restantes elementos de la responsabilidad civil deprecada. </w:t>
      </w:r>
    </w:p>
    <w:p w14:paraId="5899E278" w14:textId="77777777" w:rsidR="00A948E7" w:rsidRPr="002F651B" w:rsidRDefault="00A948E7" w:rsidP="002F651B">
      <w:pPr>
        <w:tabs>
          <w:tab w:val="left" w:pos="0"/>
          <w:tab w:val="left" w:pos="567"/>
        </w:tabs>
        <w:jc w:val="both"/>
        <w:rPr>
          <w:rFonts w:ascii="Gadugi" w:eastAsia="Calibri" w:hAnsi="Gadugi" w:cs="Times New Roman"/>
          <w:sz w:val="24"/>
          <w:szCs w:val="24"/>
          <w:lang w:val="es-419"/>
        </w:rPr>
      </w:pPr>
    </w:p>
    <w:p w14:paraId="5F162A28" w14:textId="62A3F28F" w:rsidR="008277FD" w:rsidRPr="00C77722" w:rsidRDefault="007870D6" w:rsidP="002F651B">
      <w:pPr>
        <w:pStyle w:val="Prrafodelista"/>
        <w:numPr>
          <w:ilvl w:val="1"/>
          <w:numId w:val="13"/>
        </w:numPr>
        <w:tabs>
          <w:tab w:val="left" w:pos="567"/>
        </w:tabs>
        <w:ind w:left="0" w:firstLine="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Para</w:t>
      </w:r>
      <w:r w:rsidR="00107310" w:rsidRPr="002F651B">
        <w:rPr>
          <w:rFonts w:ascii="Gadugi" w:eastAsia="Calibri" w:hAnsi="Gadugi" w:cs="Times New Roman"/>
          <w:sz w:val="24"/>
          <w:szCs w:val="24"/>
          <w:lang w:val="es-419"/>
        </w:rPr>
        <w:t xml:space="preserve"> </w:t>
      </w:r>
      <w:r w:rsidR="00107310" w:rsidRPr="002F651B">
        <w:rPr>
          <w:rFonts w:ascii="Gadugi" w:hAnsi="Gadugi"/>
          <w:sz w:val="24"/>
          <w:szCs w:val="24"/>
        </w:rPr>
        <w:t>abordar lo que es motivo de disenso, se recuerda que</w:t>
      </w:r>
      <w:r w:rsidRPr="002F651B">
        <w:rPr>
          <w:rFonts w:ascii="Gadugi" w:hAnsi="Gadugi"/>
          <w:sz w:val="24"/>
          <w:szCs w:val="24"/>
        </w:rPr>
        <w:t>,</w:t>
      </w:r>
      <w:r w:rsidR="00107310" w:rsidRPr="002F651B">
        <w:rPr>
          <w:rFonts w:ascii="Gadugi" w:hAnsi="Gadugi"/>
          <w:sz w:val="24"/>
          <w:szCs w:val="24"/>
        </w:rPr>
        <w:t xml:space="preserve"> producto de la redacción del artículo 328 del CGP, el sendero</w:t>
      </w:r>
      <w:r w:rsidR="00107310" w:rsidRPr="002F651B">
        <w:rPr>
          <w:rFonts w:ascii="Gadugi" w:hAnsi="Gadugi"/>
          <w:spacing w:val="1"/>
          <w:sz w:val="24"/>
          <w:szCs w:val="24"/>
        </w:rPr>
        <w:t xml:space="preserve"> </w:t>
      </w:r>
      <w:r w:rsidR="00107310" w:rsidRPr="002F651B">
        <w:rPr>
          <w:rFonts w:ascii="Gadugi" w:hAnsi="Gadugi"/>
          <w:sz w:val="24"/>
          <w:szCs w:val="24"/>
        </w:rPr>
        <w:t>que</w:t>
      </w:r>
      <w:r w:rsidR="00107310" w:rsidRPr="002F651B">
        <w:rPr>
          <w:rFonts w:ascii="Gadugi" w:hAnsi="Gadugi"/>
          <w:spacing w:val="-10"/>
          <w:sz w:val="24"/>
          <w:szCs w:val="24"/>
        </w:rPr>
        <w:t xml:space="preserve"> </w:t>
      </w:r>
      <w:r w:rsidR="00107310" w:rsidRPr="002F651B">
        <w:rPr>
          <w:rFonts w:ascii="Gadugi" w:hAnsi="Gadugi"/>
          <w:sz w:val="24"/>
          <w:szCs w:val="24"/>
        </w:rPr>
        <w:t>traza</w:t>
      </w:r>
      <w:r w:rsidR="00107310" w:rsidRPr="002F651B">
        <w:rPr>
          <w:rFonts w:ascii="Gadugi" w:hAnsi="Gadugi"/>
          <w:spacing w:val="-10"/>
          <w:sz w:val="24"/>
          <w:szCs w:val="24"/>
        </w:rPr>
        <w:t xml:space="preserve"> </w:t>
      </w:r>
      <w:r w:rsidR="00107310" w:rsidRPr="002F651B">
        <w:rPr>
          <w:rFonts w:ascii="Gadugi" w:hAnsi="Gadugi"/>
          <w:sz w:val="24"/>
          <w:szCs w:val="24"/>
        </w:rPr>
        <w:t>la</w:t>
      </w:r>
      <w:r w:rsidR="00107310" w:rsidRPr="002F651B">
        <w:rPr>
          <w:rFonts w:ascii="Gadugi" w:hAnsi="Gadugi"/>
          <w:spacing w:val="-8"/>
          <w:sz w:val="24"/>
          <w:szCs w:val="24"/>
        </w:rPr>
        <w:t xml:space="preserve"> </w:t>
      </w:r>
      <w:r w:rsidR="00107310" w:rsidRPr="002F651B">
        <w:rPr>
          <w:rFonts w:ascii="Gadugi" w:hAnsi="Gadugi"/>
          <w:sz w:val="24"/>
          <w:szCs w:val="24"/>
        </w:rPr>
        <w:t>competencia</w:t>
      </w:r>
      <w:r w:rsidR="00107310" w:rsidRPr="002F651B">
        <w:rPr>
          <w:rFonts w:ascii="Gadugi" w:hAnsi="Gadugi"/>
          <w:spacing w:val="-9"/>
          <w:sz w:val="24"/>
          <w:szCs w:val="24"/>
        </w:rPr>
        <w:t xml:space="preserve"> </w:t>
      </w:r>
      <w:r w:rsidR="00107310" w:rsidRPr="002F651B">
        <w:rPr>
          <w:rFonts w:ascii="Gadugi" w:hAnsi="Gadugi"/>
          <w:sz w:val="24"/>
          <w:szCs w:val="24"/>
        </w:rPr>
        <w:t>del</w:t>
      </w:r>
      <w:r w:rsidR="00107310" w:rsidRPr="002F651B">
        <w:rPr>
          <w:rFonts w:ascii="Gadugi" w:hAnsi="Gadugi"/>
          <w:spacing w:val="-9"/>
          <w:sz w:val="24"/>
          <w:szCs w:val="24"/>
        </w:rPr>
        <w:t xml:space="preserve"> </w:t>
      </w:r>
      <w:r w:rsidR="00107310" w:rsidRPr="002F651B">
        <w:rPr>
          <w:rFonts w:ascii="Gadugi" w:hAnsi="Gadugi"/>
          <w:sz w:val="24"/>
          <w:szCs w:val="24"/>
        </w:rPr>
        <w:t>superior</w:t>
      </w:r>
      <w:r w:rsidR="00107310" w:rsidRPr="002F651B">
        <w:rPr>
          <w:rFonts w:ascii="Gadugi" w:hAnsi="Gadugi"/>
          <w:spacing w:val="-7"/>
          <w:sz w:val="24"/>
          <w:szCs w:val="24"/>
        </w:rPr>
        <w:t xml:space="preserve"> </w:t>
      </w:r>
      <w:r w:rsidR="00107310" w:rsidRPr="002F651B">
        <w:rPr>
          <w:rFonts w:ascii="Gadugi" w:hAnsi="Gadugi"/>
          <w:sz w:val="24"/>
          <w:szCs w:val="24"/>
        </w:rPr>
        <w:t>está</w:t>
      </w:r>
      <w:r w:rsidR="00107310" w:rsidRPr="002F651B">
        <w:rPr>
          <w:rFonts w:ascii="Gadugi" w:hAnsi="Gadugi"/>
          <w:spacing w:val="-9"/>
          <w:sz w:val="24"/>
          <w:szCs w:val="24"/>
        </w:rPr>
        <w:t xml:space="preserve"> </w:t>
      </w:r>
      <w:r w:rsidR="00107310" w:rsidRPr="002F651B">
        <w:rPr>
          <w:rFonts w:ascii="Gadugi" w:hAnsi="Gadugi"/>
          <w:sz w:val="24"/>
          <w:szCs w:val="24"/>
        </w:rPr>
        <w:t>dado</w:t>
      </w:r>
      <w:r w:rsidR="00107310" w:rsidRPr="002F651B">
        <w:rPr>
          <w:rFonts w:ascii="Gadugi" w:hAnsi="Gadugi"/>
          <w:spacing w:val="-10"/>
          <w:sz w:val="24"/>
          <w:szCs w:val="24"/>
        </w:rPr>
        <w:t xml:space="preserve"> </w:t>
      </w:r>
      <w:r w:rsidR="00107310" w:rsidRPr="002F651B">
        <w:rPr>
          <w:rFonts w:ascii="Gadugi" w:hAnsi="Gadugi"/>
          <w:sz w:val="24"/>
          <w:szCs w:val="24"/>
        </w:rPr>
        <w:t>por</w:t>
      </w:r>
      <w:r w:rsidR="00107310" w:rsidRPr="002F651B">
        <w:rPr>
          <w:rFonts w:ascii="Gadugi" w:hAnsi="Gadugi"/>
          <w:spacing w:val="-9"/>
          <w:sz w:val="24"/>
          <w:szCs w:val="24"/>
        </w:rPr>
        <w:t xml:space="preserve"> </w:t>
      </w:r>
      <w:r w:rsidR="00107310" w:rsidRPr="002F651B">
        <w:rPr>
          <w:rFonts w:ascii="Gadugi" w:hAnsi="Gadugi"/>
          <w:sz w:val="24"/>
          <w:szCs w:val="24"/>
        </w:rPr>
        <w:t>aquellos</w:t>
      </w:r>
      <w:r w:rsidR="00107310" w:rsidRPr="002F651B">
        <w:rPr>
          <w:rFonts w:ascii="Gadugi" w:hAnsi="Gadugi"/>
          <w:spacing w:val="-8"/>
          <w:sz w:val="24"/>
          <w:szCs w:val="24"/>
        </w:rPr>
        <w:t xml:space="preserve"> </w:t>
      </w:r>
      <w:r w:rsidR="00107310" w:rsidRPr="002F651B">
        <w:rPr>
          <w:rFonts w:ascii="Gadugi" w:hAnsi="Gadugi"/>
          <w:sz w:val="24"/>
          <w:szCs w:val="24"/>
        </w:rPr>
        <w:t>aspectos</w:t>
      </w:r>
      <w:r w:rsidR="00107310" w:rsidRPr="002F651B">
        <w:rPr>
          <w:rFonts w:ascii="Gadugi" w:hAnsi="Gadugi"/>
          <w:spacing w:val="-9"/>
          <w:sz w:val="24"/>
          <w:szCs w:val="24"/>
        </w:rPr>
        <w:t xml:space="preserve"> </w:t>
      </w:r>
      <w:r w:rsidR="00107310" w:rsidRPr="002F651B">
        <w:rPr>
          <w:rFonts w:ascii="Gadugi" w:hAnsi="Gadugi"/>
          <w:sz w:val="24"/>
          <w:szCs w:val="24"/>
        </w:rPr>
        <w:t xml:space="preserve">que </w:t>
      </w:r>
      <w:r w:rsidR="00107310" w:rsidRPr="002F651B">
        <w:rPr>
          <w:rFonts w:ascii="Gadugi" w:hAnsi="Gadugi"/>
          <w:spacing w:val="-69"/>
          <w:sz w:val="24"/>
          <w:szCs w:val="24"/>
        </w:rPr>
        <w:t>f</w:t>
      </w:r>
      <w:r w:rsidR="00107310" w:rsidRPr="002F651B">
        <w:rPr>
          <w:rFonts w:ascii="Gadugi" w:hAnsi="Gadugi"/>
          <w:sz w:val="24"/>
          <w:szCs w:val="24"/>
        </w:rPr>
        <w:t>ueron objeto</w:t>
      </w:r>
      <w:r w:rsidR="00107310" w:rsidRPr="002F651B">
        <w:rPr>
          <w:rFonts w:ascii="Gadugi" w:hAnsi="Gadugi"/>
          <w:spacing w:val="-3"/>
          <w:sz w:val="24"/>
          <w:szCs w:val="24"/>
        </w:rPr>
        <w:t xml:space="preserve"> </w:t>
      </w:r>
      <w:r w:rsidR="00107310" w:rsidRPr="002F651B">
        <w:rPr>
          <w:rFonts w:ascii="Gadugi" w:hAnsi="Gadugi"/>
          <w:sz w:val="24"/>
          <w:szCs w:val="24"/>
        </w:rPr>
        <w:t>de</w:t>
      </w:r>
      <w:r w:rsidR="00107310" w:rsidRPr="002F651B">
        <w:rPr>
          <w:rFonts w:ascii="Gadugi" w:hAnsi="Gadugi"/>
          <w:spacing w:val="-6"/>
          <w:sz w:val="24"/>
          <w:szCs w:val="24"/>
        </w:rPr>
        <w:t xml:space="preserve"> </w:t>
      </w:r>
      <w:r w:rsidR="00107310" w:rsidRPr="002F651B">
        <w:rPr>
          <w:rFonts w:ascii="Gadugi" w:hAnsi="Gadugi"/>
          <w:sz w:val="24"/>
          <w:szCs w:val="24"/>
        </w:rPr>
        <w:t>impugnación,</w:t>
      </w:r>
      <w:r w:rsidR="00107310" w:rsidRPr="002F651B">
        <w:rPr>
          <w:rFonts w:ascii="Gadugi" w:hAnsi="Gadugi"/>
          <w:spacing w:val="-3"/>
          <w:sz w:val="24"/>
          <w:szCs w:val="24"/>
        </w:rPr>
        <w:t xml:space="preserve"> </w:t>
      </w:r>
      <w:r w:rsidR="00107310" w:rsidRPr="002F651B">
        <w:rPr>
          <w:rFonts w:ascii="Gadugi" w:hAnsi="Gadugi"/>
          <w:sz w:val="24"/>
          <w:szCs w:val="24"/>
        </w:rPr>
        <w:t>sin</w:t>
      </w:r>
      <w:r w:rsidR="00107310" w:rsidRPr="002F651B">
        <w:rPr>
          <w:rFonts w:ascii="Gadugi" w:hAnsi="Gadugi"/>
          <w:spacing w:val="-5"/>
          <w:sz w:val="24"/>
          <w:szCs w:val="24"/>
        </w:rPr>
        <w:t xml:space="preserve"> </w:t>
      </w:r>
      <w:r w:rsidR="00107310" w:rsidRPr="002F651B">
        <w:rPr>
          <w:rFonts w:ascii="Gadugi" w:hAnsi="Gadugi"/>
          <w:sz w:val="24"/>
          <w:szCs w:val="24"/>
        </w:rPr>
        <w:t>perjuicio</w:t>
      </w:r>
      <w:r w:rsidR="00107310" w:rsidRPr="002F651B">
        <w:rPr>
          <w:rFonts w:ascii="Gadugi" w:hAnsi="Gadugi"/>
          <w:spacing w:val="-3"/>
          <w:sz w:val="24"/>
          <w:szCs w:val="24"/>
        </w:rPr>
        <w:t xml:space="preserve"> </w:t>
      </w:r>
      <w:r w:rsidR="00107310" w:rsidRPr="002F651B">
        <w:rPr>
          <w:rFonts w:ascii="Gadugi" w:hAnsi="Gadugi"/>
          <w:sz w:val="24"/>
          <w:szCs w:val="24"/>
        </w:rPr>
        <w:t>de</w:t>
      </w:r>
      <w:r w:rsidR="00107310" w:rsidRPr="002F651B">
        <w:rPr>
          <w:rFonts w:ascii="Gadugi" w:hAnsi="Gadugi"/>
          <w:spacing w:val="-4"/>
          <w:sz w:val="24"/>
          <w:szCs w:val="24"/>
        </w:rPr>
        <w:t xml:space="preserve"> </w:t>
      </w:r>
      <w:r w:rsidR="00107310" w:rsidRPr="002F651B">
        <w:rPr>
          <w:rFonts w:ascii="Gadugi" w:hAnsi="Gadugi"/>
          <w:sz w:val="24"/>
          <w:szCs w:val="24"/>
        </w:rPr>
        <w:t>algunas</w:t>
      </w:r>
      <w:r w:rsidR="00107310" w:rsidRPr="002F651B">
        <w:rPr>
          <w:rFonts w:ascii="Gadugi" w:hAnsi="Gadugi"/>
          <w:spacing w:val="-3"/>
          <w:sz w:val="24"/>
          <w:szCs w:val="24"/>
        </w:rPr>
        <w:t xml:space="preserve"> </w:t>
      </w:r>
      <w:r w:rsidR="00107310" w:rsidRPr="002F651B">
        <w:rPr>
          <w:rFonts w:ascii="Gadugi" w:hAnsi="Gadugi"/>
          <w:sz w:val="24"/>
          <w:szCs w:val="24"/>
        </w:rPr>
        <w:t>situaciones</w:t>
      </w:r>
      <w:r w:rsidR="00107310" w:rsidRPr="002F651B">
        <w:rPr>
          <w:rFonts w:ascii="Gadugi" w:hAnsi="Gadugi"/>
          <w:spacing w:val="-4"/>
          <w:sz w:val="24"/>
          <w:szCs w:val="24"/>
        </w:rPr>
        <w:t xml:space="preserve"> </w:t>
      </w:r>
      <w:r w:rsidR="00107310" w:rsidRPr="002F651B">
        <w:rPr>
          <w:rFonts w:ascii="Gadugi" w:hAnsi="Gadugi"/>
          <w:sz w:val="24"/>
          <w:szCs w:val="24"/>
        </w:rPr>
        <w:t>que permiten decidir de oficio (legitimación en la causa, prestaciones mutuas,</w:t>
      </w:r>
      <w:r w:rsidR="00107310" w:rsidRPr="002F651B">
        <w:rPr>
          <w:rFonts w:ascii="Gadugi" w:hAnsi="Gadugi"/>
          <w:spacing w:val="1"/>
          <w:sz w:val="24"/>
          <w:szCs w:val="24"/>
        </w:rPr>
        <w:t xml:space="preserve"> </w:t>
      </w:r>
      <w:r w:rsidR="00107310" w:rsidRPr="002F651B">
        <w:rPr>
          <w:rFonts w:ascii="Gadugi" w:hAnsi="Gadugi"/>
          <w:sz w:val="24"/>
          <w:szCs w:val="24"/>
        </w:rPr>
        <w:t>asuntos relacionados con la familia, las costas procesales, por ejemplo). Es lo</w:t>
      </w:r>
      <w:r w:rsidR="00107310" w:rsidRPr="002F651B">
        <w:rPr>
          <w:rFonts w:ascii="Gadugi" w:hAnsi="Gadugi"/>
          <w:spacing w:val="-2"/>
          <w:sz w:val="24"/>
          <w:szCs w:val="24"/>
        </w:rPr>
        <w:t xml:space="preserve"> </w:t>
      </w:r>
      <w:r w:rsidR="00107310" w:rsidRPr="002F651B">
        <w:rPr>
          <w:rFonts w:ascii="Gadugi" w:hAnsi="Gadugi"/>
          <w:sz w:val="24"/>
          <w:szCs w:val="24"/>
        </w:rPr>
        <w:t>que</w:t>
      </w:r>
      <w:r w:rsidR="00107310" w:rsidRPr="002F651B">
        <w:rPr>
          <w:rFonts w:ascii="Gadugi" w:hAnsi="Gadugi"/>
          <w:spacing w:val="-4"/>
          <w:sz w:val="24"/>
          <w:szCs w:val="24"/>
        </w:rPr>
        <w:t xml:space="preserve"> </w:t>
      </w:r>
      <w:r w:rsidR="00107310" w:rsidRPr="002F651B">
        <w:rPr>
          <w:rFonts w:ascii="Gadugi" w:hAnsi="Gadugi"/>
          <w:sz w:val="24"/>
          <w:szCs w:val="24"/>
        </w:rPr>
        <w:t>se</w:t>
      </w:r>
      <w:r w:rsidR="00107310" w:rsidRPr="002F651B">
        <w:rPr>
          <w:rFonts w:ascii="Gadugi" w:hAnsi="Gadugi"/>
          <w:spacing w:val="-4"/>
          <w:sz w:val="24"/>
          <w:szCs w:val="24"/>
        </w:rPr>
        <w:t xml:space="preserve"> </w:t>
      </w:r>
      <w:r w:rsidR="00107310" w:rsidRPr="002F651B">
        <w:rPr>
          <w:rFonts w:ascii="Gadugi" w:hAnsi="Gadugi"/>
          <w:sz w:val="24"/>
          <w:szCs w:val="24"/>
        </w:rPr>
        <w:t>ha</w:t>
      </w:r>
      <w:r w:rsidR="00107310" w:rsidRPr="002F651B">
        <w:rPr>
          <w:rFonts w:ascii="Gadugi" w:hAnsi="Gadugi"/>
          <w:spacing w:val="-6"/>
          <w:sz w:val="24"/>
          <w:szCs w:val="24"/>
        </w:rPr>
        <w:t xml:space="preserve"> </w:t>
      </w:r>
      <w:r w:rsidR="00107310" w:rsidRPr="002F651B">
        <w:rPr>
          <w:rFonts w:ascii="Gadugi" w:hAnsi="Gadugi"/>
          <w:sz w:val="24"/>
          <w:szCs w:val="24"/>
        </w:rPr>
        <w:t>dado</w:t>
      </w:r>
      <w:r w:rsidR="00107310" w:rsidRPr="002F651B">
        <w:rPr>
          <w:rFonts w:ascii="Gadugi" w:hAnsi="Gadugi"/>
          <w:spacing w:val="-4"/>
          <w:sz w:val="24"/>
          <w:szCs w:val="24"/>
        </w:rPr>
        <w:t xml:space="preserve"> </w:t>
      </w:r>
      <w:r w:rsidR="00107310" w:rsidRPr="002F651B">
        <w:rPr>
          <w:rFonts w:ascii="Gadugi" w:hAnsi="Gadugi"/>
          <w:sz w:val="24"/>
          <w:szCs w:val="24"/>
        </w:rPr>
        <w:t>en</w:t>
      </w:r>
      <w:r w:rsidR="00107310" w:rsidRPr="002F651B">
        <w:rPr>
          <w:rFonts w:ascii="Gadugi" w:hAnsi="Gadugi"/>
          <w:spacing w:val="-4"/>
          <w:sz w:val="24"/>
          <w:szCs w:val="24"/>
        </w:rPr>
        <w:t xml:space="preserve"> </w:t>
      </w:r>
      <w:r w:rsidR="00107310" w:rsidRPr="002F651B">
        <w:rPr>
          <w:rFonts w:ascii="Gadugi" w:hAnsi="Gadugi"/>
          <w:sz w:val="24"/>
          <w:szCs w:val="24"/>
        </w:rPr>
        <w:t>denominar</w:t>
      </w:r>
      <w:r w:rsidR="00107310" w:rsidRPr="002F651B">
        <w:rPr>
          <w:rFonts w:ascii="Gadugi" w:hAnsi="Gadugi"/>
          <w:spacing w:val="-3"/>
          <w:sz w:val="24"/>
          <w:szCs w:val="24"/>
        </w:rPr>
        <w:t xml:space="preserve"> </w:t>
      </w:r>
      <w:r w:rsidR="00107310" w:rsidRPr="002F651B">
        <w:rPr>
          <w:rFonts w:ascii="Gadugi" w:hAnsi="Gadugi"/>
          <w:sz w:val="24"/>
          <w:szCs w:val="24"/>
        </w:rPr>
        <w:t>la</w:t>
      </w:r>
      <w:r w:rsidR="00107310" w:rsidRPr="002F651B">
        <w:rPr>
          <w:rFonts w:ascii="Gadugi" w:hAnsi="Gadugi"/>
          <w:spacing w:val="-4"/>
          <w:sz w:val="24"/>
          <w:szCs w:val="24"/>
        </w:rPr>
        <w:t xml:space="preserve"> </w:t>
      </w:r>
      <w:r w:rsidR="00107310" w:rsidRPr="002F651B">
        <w:rPr>
          <w:rFonts w:ascii="Gadugi" w:hAnsi="Gadugi"/>
          <w:sz w:val="24"/>
          <w:szCs w:val="24"/>
        </w:rPr>
        <w:t>pretensión</w:t>
      </w:r>
      <w:r w:rsidR="00107310" w:rsidRPr="002F651B">
        <w:rPr>
          <w:rFonts w:ascii="Gadugi" w:hAnsi="Gadugi"/>
          <w:spacing w:val="-1"/>
          <w:sz w:val="24"/>
          <w:szCs w:val="24"/>
        </w:rPr>
        <w:t xml:space="preserve"> </w:t>
      </w:r>
      <w:proofErr w:type="spellStart"/>
      <w:r w:rsidR="00107310" w:rsidRPr="002F651B">
        <w:rPr>
          <w:rFonts w:ascii="Gadugi" w:hAnsi="Gadugi"/>
          <w:sz w:val="24"/>
          <w:szCs w:val="24"/>
        </w:rPr>
        <w:t>impugnaticia</w:t>
      </w:r>
      <w:proofErr w:type="spellEnd"/>
      <w:r w:rsidR="00107310" w:rsidRPr="002F651B">
        <w:rPr>
          <w:rFonts w:ascii="Gadugi" w:hAnsi="Gadugi"/>
          <w:sz w:val="24"/>
          <w:szCs w:val="24"/>
        </w:rPr>
        <w:t>,</w:t>
      </w:r>
      <w:r w:rsidR="00107310" w:rsidRPr="002F651B">
        <w:rPr>
          <w:rFonts w:ascii="Gadugi" w:hAnsi="Gadugi"/>
          <w:spacing w:val="-1"/>
          <w:sz w:val="24"/>
          <w:szCs w:val="24"/>
        </w:rPr>
        <w:t xml:space="preserve"> </w:t>
      </w:r>
      <w:r w:rsidR="00107310" w:rsidRPr="002F651B">
        <w:rPr>
          <w:rFonts w:ascii="Gadugi" w:hAnsi="Gadugi"/>
          <w:sz w:val="24"/>
          <w:szCs w:val="24"/>
        </w:rPr>
        <w:t>como</w:t>
      </w:r>
      <w:r w:rsidR="00107310" w:rsidRPr="002F651B">
        <w:rPr>
          <w:rFonts w:ascii="Gadugi" w:hAnsi="Gadugi"/>
          <w:spacing w:val="-4"/>
          <w:sz w:val="24"/>
          <w:szCs w:val="24"/>
        </w:rPr>
        <w:t xml:space="preserve"> </w:t>
      </w:r>
      <w:r w:rsidR="00107310" w:rsidRPr="002F651B">
        <w:rPr>
          <w:rFonts w:ascii="Gadugi" w:hAnsi="Gadugi"/>
          <w:sz w:val="24"/>
          <w:szCs w:val="24"/>
        </w:rPr>
        <w:t>ha</w:t>
      </w:r>
      <w:r w:rsidR="00107310" w:rsidRPr="002F651B">
        <w:rPr>
          <w:rFonts w:ascii="Gadugi" w:hAnsi="Gadugi"/>
          <w:spacing w:val="-5"/>
          <w:sz w:val="24"/>
          <w:szCs w:val="24"/>
        </w:rPr>
        <w:t xml:space="preserve"> </w:t>
      </w:r>
      <w:r w:rsidR="00107310" w:rsidRPr="002F651B">
        <w:rPr>
          <w:rFonts w:ascii="Gadugi" w:hAnsi="Gadugi"/>
          <w:sz w:val="24"/>
          <w:szCs w:val="24"/>
        </w:rPr>
        <w:t>sido reconocido por esta Sala de tiempo atrás</w:t>
      </w:r>
      <w:r w:rsidR="00107310" w:rsidRPr="002F651B">
        <w:rPr>
          <w:rFonts w:ascii="Gadugi" w:hAnsi="Gadugi"/>
          <w:sz w:val="24"/>
          <w:szCs w:val="24"/>
          <w:vertAlign w:val="superscript"/>
        </w:rPr>
        <w:footnoteReference w:id="32"/>
      </w:r>
      <w:r w:rsidR="00107310" w:rsidRPr="002F651B">
        <w:rPr>
          <w:rFonts w:ascii="Gadugi" w:hAnsi="Gadugi"/>
          <w:spacing w:val="1"/>
          <w:position w:val="9"/>
          <w:sz w:val="24"/>
          <w:szCs w:val="24"/>
        </w:rPr>
        <w:t xml:space="preserve"> </w:t>
      </w:r>
      <w:r w:rsidR="00107310" w:rsidRPr="002F651B">
        <w:rPr>
          <w:rFonts w:ascii="Gadugi" w:hAnsi="Gadugi"/>
          <w:sz w:val="24"/>
          <w:szCs w:val="24"/>
        </w:rPr>
        <w:t>y lo han reiterado otras</w:t>
      </w:r>
      <w:r w:rsidR="00107310" w:rsidRPr="002F651B">
        <w:rPr>
          <w:rFonts w:ascii="Gadugi" w:hAnsi="Gadugi"/>
          <w:sz w:val="24"/>
          <w:szCs w:val="24"/>
          <w:vertAlign w:val="superscript"/>
        </w:rPr>
        <w:footnoteReference w:id="33"/>
      </w:r>
      <w:r w:rsidR="00107310" w:rsidRPr="002F651B">
        <w:rPr>
          <w:rFonts w:ascii="Gadugi" w:hAnsi="Gadugi"/>
          <w:sz w:val="24"/>
          <w:szCs w:val="24"/>
        </w:rPr>
        <w:t>, con</w:t>
      </w:r>
      <w:r w:rsidR="00107310" w:rsidRPr="002F651B">
        <w:rPr>
          <w:rFonts w:ascii="Gadugi" w:hAnsi="Gadugi"/>
          <w:spacing w:val="1"/>
          <w:sz w:val="24"/>
          <w:szCs w:val="24"/>
        </w:rPr>
        <w:t xml:space="preserve"> </w:t>
      </w:r>
      <w:r w:rsidR="00107310" w:rsidRPr="002F651B">
        <w:rPr>
          <w:rFonts w:ascii="Gadugi" w:hAnsi="Gadugi"/>
          <w:sz w:val="24"/>
          <w:szCs w:val="24"/>
        </w:rPr>
        <w:t>soporte en decisiones de la Corte, unas de tutela</w:t>
      </w:r>
      <w:r w:rsidR="00107310" w:rsidRPr="002F651B">
        <w:rPr>
          <w:rFonts w:ascii="Gadugi" w:hAnsi="Gadugi"/>
          <w:sz w:val="24"/>
          <w:szCs w:val="24"/>
          <w:vertAlign w:val="superscript"/>
        </w:rPr>
        <w:footnoteReference w:id="34"/>
      </w:r>
      <w:r w:rsidR="00107310" w:rsidRPr="002F651B">
        <w:rPr>
          <w:rFonts w:ascii="Gadugi" w:hAnsi="Gadugi"/>
          <w:sz w:val="24"/>
          <w:szCs w:val="24"/>
        </w:rPr>
        <w:t>, que se acogen como</w:t>
      </w:r>
      <w:r w:rsidR="00107310" w:rsidRPr="002F651B">
        <w:rPr>
          <w:rFonts w:ascii="Gadugi" w:hAnsi="Gadugi"/>
          <w:spacing w:val="1"/>
          <w:sz w:val="24"/>
          <w:szCs w:val="24"/>
        </w:rPr>
        <w:t xml:space="preserve"> </w:t>
      </w:r>
      <w:r w:rsidR="00107310" w:rsidRPr="002F651B">
        <w:rPr>
          <w:rFonts w:ascii="Gadugi" w:hAnsi="Gadugi"/>
          <w:sz w:val="24"/>
          <w:szCs w:val="24"/>
        </w:rPr>
        <w:t>criterio</w:t>
      </w:r>
      <w:r w:rsidR="00107310" w:rsidRPr="002F651B">
        <w:rPr>
          <w:rFonts w:ascii="Gadugi" w:hAnsi="Gadugi"/>
          <w:spacing w:val="-1"/>
          <w:sz w:val="24"/>
          <w:szCs w:val="24"/>
        </w:rPr>
        <w:t xml:space="preserve"> </w:t>
      </w:r>
      <w:r w:rsidR="00107310" w:rsidRPr="002F651B">
        <w:rPr>
          <w:rFonts w:ascii="Gadugi" w:hAnsi="Gadugi"/>
          <w:sz w:val="24"/>
          <w:szCs w:val="24"/>
        </w:rPr>
        <w:t>auxiliar,</w:t>
      </w:r>
      <w:r w:rsidR="00107310" w:rsidRPr="002F651B">
        <w:rPr>
          <w:rFonts w:ascii="Gadugi" w:hAnsi="Gadugi"/>
          <w:spacing w:val="1"/>
          <w:sz w:val="24"/>
          <w:szCs w:val="24"/>
        </w:rPr>
        <w:t xml:space="preserve"> </w:t>
      </w:r>
      <w:r w:rsidR="00107310" w:rsidRPr="002F651B">
        <w:rPr>
          <w:rFonts w:ascii="Gadugi" w:hAnsi="Gadugi"/>
          <w:sz w:val="24"/>
          <w:szCs w:val="24"/>
        </w:rPr>
        <w:t>y</w:t>
      </w:r>
      <w:r w:rsidR="00107310" w:rsidRPr="002F651B">
        <w:rPr>
          <w:rFonts w:ascii="Gadugi" w:hAnsi="Gadugi"/>
          <w:spacing w:val="-2"/>
          <w:sz w:val="24"/>
          <w:szCs w:val="24"/>
        </w:rPr>
        <w:t xml:space="preserve"> </w:t>
      </w:r>
      <w:r w:rsidR="00107310" w:rsidRPr="002F651B">
        <w:rPr>
          <w:rFonts w:ascii="Gadugi" w:hAnsi="Gadugi"/>
          <w:sz w:val="24"/>
          <w:szCs w:val="24"/>
        </w:rPr>
        <w:t>otras de casación</w:t>
      </w:r>
      <w:r w:rsidR="00107310" w:rsidRPr="002F651B">
        <w:rPr>
          <w:rFonts w:ascii="Gadugi" w:hAnsi="Gadugi"/>
          <w:sz w:val="24"/>
          <w:szCs w:val="24"/>
          <w:vertAlign w:val="superscript"/>
        </w:rPr>
        <w:footnoteReference w:id="35"/>
      </w:r>
      <w:r w:rsidR="00107310" w:rsidRPr="002F651B">
        <w:rPr>
          <w:rFonts w:ascii="Gadugi" w:hAnsi="Gadugi"/>
          <w:sz w:val="24"/>
          <w:szCs w:val="24"/>
        </w:rPr>
        <w:t>.</w:t>
      </w:r>
    </w:p>
    <w:p w14:paraId="469D3622" w14:textId="77777777" w:rsidR="00C77722" w:rsidRPr="002F651B" w:rsidRDefault="00C77722" w:rsidP="00C77722">
      <w:pPr>
        <w:pStyle w:val="Prrafodelista"/>
        <w:tabs>
          <w:tab w:val="left" w:pos="567"/>
        </w:tabs>
        <w:ind w:left="0"/>
        <w:jc w:val="both"/>
        <w:rPr>
          <w:rFonts w:ascii="Gadugi" w:eastAsia="Calibri" w:hAnsi="Gadugi" w:cs="Times New Roman"/>
          <w:sz w:val="24"/>
          <w:szCs w:val="24"/>
          <w:lang w:val="es-419"/>
        </w:rPr>
      </w:pPr>
    </w:p>
    <w:p w14:paraId="2D25EC4E" w14:textId="1278BDC5" w:rsidR="005F012A" w:rsidRPr="002F651B" w:rsidRDefault="005F012A" w:rsidP="002F651B">
      <w:pPr>
        <w:pStyle w:val="Textoindependiente"/>
        <w:numPr>
          <w:ilvl w:val="1"/>
          <w:numId w:val="13"/>
        </w:numPr>
        <w:tabs>
          <w:tab w:val="left" w:pos="567"/>
          <w:tab w:val="left" w:pos="2268"/>
        </w:tabs>
        <w:spacing w:before="1" w:line="276" w:lineRule="auto"/>
        <w:ind w:left="0" w:right="49" w:firstLine="0"/>
        <w:contextualSpacing/>
        <w:jc w:val="both"/>
        <w:rPr>
          <w:rFonts w:eastAsia="Calibri" w:cs="Times New Roman"/>
          <w:sz w:val="24"/>
          <w:szCs w:val="24"/>
          <w:lang w:val="es-419"/>
        </w:rPr>
      </w:pPr>
      <w:r w:rsidRPr="002F651B">
        <w:rPr>
          <w:rFonts w:eastAsia="Calibri" w:cs="Times New Roman"/>
          <w:sz w:val="24"/>
          <w:szCs w:val="24"/>
          <w:lang w:val="es-419"/>
        </w:rPr>
        <w:t>Se anticipa que el fallo será revocado</w:t>
      </w:r>
      <w:r w:rsidR="00124740" w:rsidRPr="002F651B">
        <w:rPr>
          <w:rFonts w:eastAsia="Calibri" w:cs="Times New Roman"/>
          <w:sz w:val="24"/>
          <w:szCs w:val="24"/>
          <w:lang w:val="es-419"/>
        </w:rPr>
        <w:t xml:space="preserve"> parcialmente</w:t>
      </w:r>
      <w:r w:rsidRPr="002F651B">
        <w:rPr>
          <w:rFonts w:eastAsia="Calibri" w:cs="Times New Roman"/>
          <w:sz w:val="24"/>
          <w:szCs w:val="24"/>
          <w:lang w:val="es-419"/>
        </w:rPr>
        <w:t xml:space="preserve">, pues para la Sala, distinto a lo que se adujo en primera sede, el nexo causal echado de menos está debidamente probado, junto con los restantes elementos de la responsabilidad civil deprecada. </w:t>
      </w:r>
    </w:p>
    <w:p w14:paraId="1B48975F" w14:textId="77777777" w:rsidR="005F012A" w:rsidRPr="002F651B" w:rsidRDefault="005F012A" w:rsidP="002F651B">
      <w:pPr>
        <w:pStyle w:val="Textoindependiente"/>
        <w:tabs>
          <w:tab w:val="left" w:pos="2268"/>
        </w:tabs>
        <w:spacing w:before="1" w:line="276" w:lineRule="auto"/>
        <w:ind w:right="49"/>
        <w:contextualSpacing/>
        <w:jc w:val="both"/>
        <w:rPr>
          <w:rFonts w:eastAsia="Calibri" w:cs="Times New Roman"/>
          <w:sz w:val="24"/>
          <w:szCs w:val="24"/>
          <w:lang w:val="es-419"/>
        </w:rPr>
      </w:pPr>
    </w:p>
    <w:p w14:paraId="5023BCB9" w14:textId="6AFF2704" w:rsidR="0086265C" w:rsidRPr="002F651B" w:rsidRDefault="00346031" w:rsidP="002F651B">
      <w:pPr>
        <w:pStyle w:val="Prrafodelista"/>
        <w:numPr>
          <w:ilvl w:val="1"/>
          <w:numId w:val="13"/>
        </w:numPr>
        <w:tabs>
          <w:tab w:val="left" w:pos="0"/>
          <w:tab w:val="left" w:pos="567"/>
        </w:tabs>
        <w:ind w:left="0" w:firstLine="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El Juzgado en la sentencia </w:t>
      </w:r>
      <w:r w:rsidR="0086265C" w:rsidRPr="002F651B">
        <w:rPr>
          <w:rFonts w:ascii="Gadugi" w:eastAsia="Calibri" w:hAnsi="Gadugi" w:cs="Times New Roman"/>
          <w:sz w:val="24"/>
          <w:szCs w:val="24"/>
          <w:lang w:val="es-419"/>
        </w:rPr>
        <w:t xml:space="preserve">concluyó </w:t>
      </w:r>
      <w:r w:rsidR="00E71ED6" w:rsidRPr="002F651B">
        <w:rPr>
          <w:rFonts w:ascii="Gadugi" w:eastAsia="Calibri" w:hAnsi="Gadugi" w:cs="Times New Roman"/>
          <w:sz w:val="24"/>
          <w:szCs w:val="24"/>
          <w:lang w:val="es-419"/>
        </w:rPr>
        <w:t>que la responsabilidad civil por falla médica se rige</w:t>
      </w:r>
      <w:r w:rsidR="00656B60" w:rsidRPr="002F651B">
        <w:rPr>
          <w:rFonts w:ascii="Gadugi" w:eastAsia="Calibri" w:hAnsi="Gadugi" w:cs="Times New Roman"/>
          <w:sz w:val="24"/>
          <w:szCs w:val="24"/>
          <w:lang w:val="es-419"/>
        </w:rPr>
        <w:t xml:space="preserve">, en general, </w:t>
      </w:r>
      <w:r w:rsidR="00E71ED6" w:rsidRPr="002F651B">
        <w:rPr>
          <w:rFonts w:ascii="Gadugi" w:eastAsia="Calibri" w:hAnsi="Gadugi" w:cs="Times New Roman"/>
          <w:sz w:val="24"/>
          <w:szCs w:val="24"/>
          <w:lang w:val="es-419"/>
        </w:rPr>
        <w:t xml:space="preserve">por el criterio de la culpa probada, ya que se trata de una obligación de medio, </w:t>
      </w:r>
      <w:r w:rsidR="00656B60" w:rsidRPr="002F651B">
        <w:rPr>
          <w:rFonts w:ascii="Gadugi" w:eastAsia="Calibri" w:hAnsi="Gadugi" w:cs="Times New Roman"/>
          <w:sz w:val="24"/>
          <w:szCs w:val="24"/>
          <w:lang w:val="es-419"/>
        </w:rPr>
        <w:t>a menos que se haya contraído por parte del galeno un determinado resultado</w:t>
      </w:r>
      <w:r w:rsidR="004C5618" w:rsidRPr="002F651B">
        <w:rPr>
          <w:rFonts w:ascii="Gadugi" w:eastAsia="Calibri" w:hAnsi="Gadugi" w:cs="Times New Roman"/>
          <w:sz w:val="24"/>
          <w:szCs w:val="24"/>
          <w:lang w:val="es-419"/>
        </w:rPr>
        <w:t>. Ese es un aspecto que, no solo está al margen de los reparos formulados contra el fallo, sino que es</w:t>
      </w:r>
      <w:r w:rsidR="001A34DF" w:rsidRPr="002F651B">
        <w:rPr>
          <w:rFonts w:ascii="Gadugi" w:eastAsia="Calibri" w:hAnsi="Gadugi" w:cs="Times New Roman"/>
          <w:sz w:val="24"/>
          <w:szCs w:val="24"/>
          <w:lang w:val="es-419"/>
        </w:rPr>
        <w:t>tá conforme con lo que reiteradamente ha dicho esta Corporación</w:t>
      </w:r>
      <w:r w:rsidR="001A34DF" w:rsidRPr="002F651B">
        <w:rPr>
          <w:rStyle w:val="Refdenotaalpie"/>
          <w:rFonts w:ascii="Gadugi" w:hAnsi="Gadugi"/>
          <w:sz w:val="24"/>
          <w:szCs w:val="24"/>
        </w:rPr>
        <w:footnoteReference w:id="36"/>
      </w:r>
      <w:r w:rsidR="007D6CD3" w:rsidRPr="002F651B">
        <w:rPr>
          <w:rFonts w:ascii="Gadugi" w:eastAsia="Calibri" w:hAnsi="Gadugi" w:cs="Times New Roman"/>
          <w:sz w:val="24"/>
          <w:szCs w:val="24"/>
          <w:lang w:val="es-419"/>
        </w:rPr>
        <w:t xml:space="preserve"> y lo reiteró recientemente</w:t>
      </w:r>
      <w:r w:rsidR="007D6CD3" w:rsidRPr="002F651B">
        <w:rPr>
          <w:rStyle w:val="Refdenotaalpie"/>
          <w:rFonts w:ascii="Gadugi" w:eastAsia="Calibri" w:hAnsi="Gadugi" w:cs="Times New Roman"/>
          <w:sz w:val="24"/>
          <w:szCs w:val="24"/>
          <w:lang w:val="es-419"/>
        </w:rPr>
        <w:footnoteReference w:id="37"/>
      </w:r>
      <w:r w:rsidR="00B1498C" w:rsidRPr="002F651B">
        <w:rPr>
          <w:rFonts w:ascii="Gadugi" w:eastAsia="Calibri" w:hAnsi="Gadugi" w:cs="Times New Roman"/>
          <w:sz w:val="24"/>
          <w:szCs w:val="24"/>
          <w:lang w:val="es-419"/>
        </w:rPr>
        <w:t xml:space="preserve">, con soporte en múltiples decisiones propias </w:t>
      </w:r>
      <w:r w:rsidR="00B1498C" w:rsidRPr="002F651B">
        <w:rPr>
          <w:rFonts w:ascii="Gadugi" w:eastAsia="Calibri" w:hAnsi="Gadugi" w:cs="Times New Roman"/>
          <w:sz w:val="24"/>
          <w:szCs w:val="24"/>
          <w:lang w:val="es-419"/>
        </w:rPr>
        <w:lastRenderedPageBreak/>
        <w:t xml:space="preserve">y del órgano de cierre de la jurisdicción. </w:t>
      </w:r>
      <w:r w:rsidR="000D09DA" w:rsidRPr="002F651B">
        <w:rPr>
          <w:rFonts w:ascii="Gadugi" w:eastAsia="Calibri" w:hAnsi="Gadugi" w:cs="Times New Roman"/>
          <w:sz w:val="24"/>
          <w:szCs w:val="24"/>
          <w:lang w:val="es-419"/>
        </w:rPr>
        <w:t xml:space="preserve">Por lo demás, ninguna de las excepciones, a las que será necesario </w:t>
      </w:r>
      <w:r w:rsidR="00A462BF" w:rsidRPr="002F651B">
        <w:rPr>
          <w:rFonts w:ascii="Gadugi" w:eastAsia="Calibri" w:hAnsi="Gadugi" w:cs="Times New Roman"/>
          <w:sz w:val="24"/>
          <w:szCs w:val="24"/>
          <w:lang w:val="es-419"/>
        </w:rPr>
        <w:t xml:space="preserve">aludir luego, </w:t>
      </w:r>
      <w:r w:rsidR="000D09DA" w:rsidRPr="002F651B">
        <w:rPr>
          <w:rFonts w:ascii="Gadugi" w:eastAsia="Calibri" w:hAnsi="Gadugi" w:cs="Times New Roman"/>
          <w:sz w:val="24"/>
          <w:szCs w:val="24"/>
          <w:lang w:val="es-419"/>
        </w:rPr>
        <w:t>tiende a controvertir</w:t>
      </w:r>
      <w:r w:rsidR="00D07279" w:rsidRPr="002F651B">
        <w:rPr>
          <w:rFonts w:ascii="Gadugi" w:eastAsia="Calibri" w:hAnsi="Gadugi" w:cs="Times New Roman"/>
          <w:sz w:val="24"/>
          <w:szCs w:val="24"/>
          <w:lang w:val="es-419"/>
        </w:rPr>
        <w:t xml:space="preserve"> esa cuestión. </w:t>
      </w:r>
    </w:p>
    <w:p w14:paraId="70614C8B" w14:textId="77777777" w:rsidR="009A5F55" w:rsidRPr="002F651B" w:rsidRDefault="009A5F55" w:rsidP="002F651B">
      <w:pPr>
        <w:pStyle w:val="Prrafodelista"/>
        <w:rPr>
          <w:rFonts w:ascii="Gadugi" w:eastAsia="Calibri" w:hAnsi="Gadugi" w:cs="Times New Roman"/>
          <w:sz w:val="24"/>
          <w:szCs w:val="24"/>
          <w:lang w:val="es-419"/>
        </w:rPr>
      </w:pPr>
    </w:p>
    <w:p w14:paraId="4231178D" w14:textId="7DC82722" w:rsidR="009A5F55" w:rsidRPr="002F651B" w:rsidRDefault="00587790" w:rsidP="002F651B">
      <w:pPr>
        <w:tabs>
          <w:tab w:val="left" w:pos="0"/>
          <w:tab w:val="left" w:pos="567"/>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Es i</w:t>
      </w:r>
      <w:r w:rsidR="009A5F55" w:rsidRPr="002F651B">
        <w:rPr>
          <w:rFonts w:ascii="Gadugi" w:eastAsia="Calibri" w:hAnsi="Gadugi" w:cs="Times New Roman"/>
          <w:sz w:val="24"/>
          <w:szCs w:val="24"/>
          <w:lang w:val="es-419"/>
        </w:rPr>
        <w:t>nnecesario</w:t>
      </w:r>
      <w:r w:rsidRPr="002F651B">
        <w:rPr>
          <w:rFonts w:ascii="Gadugi" w:eastAsia="Calibri" w:hAnsi="Gadugi" w:cs="Times New Roman"/>
          <w:sz w:val="24"/>
          <w:szCs w:val="24"/>
          <w:lang w:val="es-419"/>
        </w:rPr>
        <w:t>, entonces, detener la vista en ese análisis</w:t>
      </w:r>
      <w:r w:rsidR="002E0193" w:rsidRPr="002F651B">
        <w:rPr>
          <w:rFonts w:ascii="Gadugi" w:eastAsia="Calibri" w:hAnsi="Gadugi" w:cs="Times New Roman"/>
          <w:sz w:val="24"/>
          <w:szCs w:val="24"/>
          <w:lang w:val="es-419"/>
        </w:rPr>
        <w:t xml:space="preserve"> </w:t>
      </w:r>
    </w:p>
    <w:p w14:paraId="060BE7D1" w14:textId="77777777" w:rsidR="0086265C" w:rsidRPr="002F651B" w:rsidRDefault="0086265C" w:rsidP="002F651B">
      <w:pPr>
        <w:pStyle w:val="Prrafodelista"/>
        <w:rPr>
          <w:rFonts w:ascii="Gadugi" w:eastAsia="Calibri" w:hAnsi="Gadugi" w:cs="Times New Roman"/>
          <w:sz w:val="24"/>
          <w:szCs w:val="24"/>
          <w:lang w:val="es-419"/>
        </w:rPr>
      </w:pPr>
    </w:p>
    <w:p w14:paraId="4D295FA0" w14:textId="598CB561" w:rsidR="001E1B3C" w:rsidRPr="002F651B" w:rsidRDefault="009815D9" w:rsidP="002F651B">
      <w:pPr>
        <w:pStyle w:val="Prrafodelista"/>
        <w:numPr>
          <w:ilvl w:val="1"/>
          <w:numId w:val="13"/>
        </w:numPr>
        <w:tabs>
          <w:tab w:val="left" w:pos="567"/>
        </w:tabs>
        <w:ind w:left="0" w:firstLine="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Ahora, </w:t>
      </w:r>
      <w:r w:rsidR="004C5741" w:rsidRPr="002F651B">
        <w:rPr>
          <w:rFonts w:ascii="Gadugi" w:eastAsia="Calibri" w:hAnsi="Gadugi" w:cs="Times New Roman"/>
          <w:sz w:val="24"/>
          <w:szCs w:val="24"/>
          <w:lang w:val="es-419"/>
        </w:rPr>
        <w:t xml:space="preserve">en la reciente sentencia </w:t>
      </w:r>
      <w:r w:rsidR="001E1B3C" w:rsidRPr="002F651B">
        <w:rPr>
          <w:rFonts w:ascii="Gadugi" w:eastAsia="Calibri" w:hAnsi="Gadugi" w:cs="Times New Roman"/>
          <w:sz w:val="24"/>
          <w:szCs w:val="24"/>
          <w:lang w:val="es-419"/>
        </w:rPr>
        <w:t>SC-0033-2023 antes citada</w:t>
      </w:r>
      <w:r w:rsidR="0091714F" w:rsidRPr="002F651B">
        <w:rPr>
          <w:rFonts w:ascii="Gadugi" w:eastAsia="Calibri" w:hAnsi="Gadugi" w:cs="Times New Roman"/>
          <w:sz w:val="24"/>
          <w:szCs w:val="24"/>
          <w:lang w:val="es-419"/>
        </w:rPr>
        <w:t xml:space="preserve"> </w:t>
      </w:r>
      <w:r w:rsidR="001E1B3C" w:rsidRPr="002F651B">
        <w:rPr>
          <w:rFonts w:ascii="Gadugi" w:eastAsia="Calibri" w:hAnsi="Gadugi" w:cs="Times New Roman"/>
          <w:sz w:val="24"/>
          <w:szCs w:val="24"/>
          <w:lang w:val="es-419"/>
        </w:rPr>
        <w:t xml:space="preserve">se memoró, y ahora se insiste </w:t>
      </w:r>
      <w:r w:rsidR="00B81336" w:rsidRPr="002F651B">
        <w:rPr>
          <w:rFonts w:ascii="Gadugi" w:eastAsia="Calibri" w:hAnsi="Gadugi" w:cs="Times New Roman"/>
          <w:sz w:val="24"/>
          <w:szCs w:val="24"/>
          <w:lang w:val="es-419"/>
        </w:rPr>
        <w:t>en</w:t>
      </w:r>
      <w:r w:rsidR="001E1B3C" w:rsidRPr="002F651B">
        <w:rPr>
          <w:rFonts w:ascii="Gadugi" w:eastAsia="Calibri" w:hAnsi="Gadugi" w:cs="Times New Roman"/>
          <w:sz w:val="24"/>
          <w:szCs w:val="24"/>
          <w:lang w:val="es-419"/>
        </w:rPr>
        <w:t xml:space="preserve"> ello, que: </w:t>
      </w:r>
    </w:p>
    <w:p w14:paraId="22CC096F" w14:textId="77777777" w:rsidR="001E1B3C" w:rsidRPr="002F651B" w:rsidRDefault="001E1B3C" w:rsidP="002F651B">
      <w:pPr>
        <w:pStyle w:val="Prrafodelista"/>
        <w:tabs>
          <w:tab w:val="left" w:pos="567"/>
        </w:tabs>
        <w:ind w:left="0"/>
        <w:jc w:val="both"/>
        <w:rPr>
          <w:rFonts w:ascii="Gadugi" w:eastAsia="Calibri" w:hAnsi="Gadugi" w:cs="Times New Roman"/>
          <w:sz w:val="24"/>
          <w:szCs w:val="24"/>
          <w:lang w:val="es-419"/>
        </w:rPr>
      </w:pPr>
    </w:p>
    <w:p w14:paraId="7EEF7F6B" w14:textId="7CC3A59C" w:rsidR="00B81336" w:rsidRPr="001700AA" w:rsidRDefault="001D405B" w:rsidP="001700AA">
      <w:pPr>
        <w:spacing w:line="240" w:lineRule="auto"/>
        <w:ind w:left="426" w:right="420"/>
        <w:jc w:val="both"/>
        <w:rPr>
          <w:rFonts w:ascii="Gadugi" w:eastAsia="Georgia" w:hAnsi="Gadugi" w:cs="Georgia"/>
          <w:szCs w:val="24"/>
        </w:rPr>
      </w:pPr>
      <w:r w:rsidRPr="001700AA">
        <w:rPr>
          <w:rFonts w:ascii="Gadugi" w:eastAsia="Georgia" w:hAnsi="Gadugi" w:cs="Georgia"/>
          <w:szCs w:val="24"/>
        </w:rPr>
        <w:t>…</w:t>
      </w:r>
      <w:r w:rsidR="001700AA" w:rsidRPr="001700AA">
        <w:rPr>
          <w:rFonts w:ascii="Gadugi" w:eastAsia="Georgia" w:hAnsi="Gadugi" w:cs="Georgia"/>
          <w:szCs w:val="24"/>
        </w:rPr>
        <w:t xml:space="preserve"> </w:t>
      </w:r>
      <w:r w:rsidR="00B81336" w:rsidRPr="001700AA">
        <w:rPr>
          <w:rFonts w:ascii="Gadugi" w:eastAsia="Georgia" w:hAnsi="Gadugi" w:cs="Georgia"/>
          <w:szCs w:val="24"/>
        </w:rPr>
        <w:t>esta Sala en recientes ocasiones, por ejemplo, en la sentencia SC-0039-2022, que en asuntos que comprometen la responsabilidad médica o institucional, la prueba técnica, sin se</w:t>
      </w:r>
      <w:r w:rsidR="004A207C" w:rsidRPr="001700AA">
        <w:rPr>
          <w:rFonts w:ascii="Gadugi" w:eastAsia="Georgia" w:hAnsi="Gadugi" w:cs="Georgia"/>
          <w:szCs w:val="24"/>
        </w:rPr>
        <w:t>r</w:t>
      </w:r>
      <w:r w:rsidR="00B81336" w:rsidRPr="001700AA">
        <w:rPr>
          <w:rFonts w:ascii="Gadugi" w:eastAsia="Georgia" w:hAnsi="Gadugi" w:cs="Georgia"/>
          <w:szCs w:val="24"/>
        </w:rPr>
        <w:t xml:space="preserve"> única y determinante, le permite al juez </w:t>
      </w:r>
      <w:bookmarkStart w:id="0" w:name="_Hlk94092448"/>
      <w:r w:rsidR="00B81336" w:rsidRPr="001700AA">
        <w:rPr>
          <w:rFonts w:ascii="Gadugi" w:eastAsia="Calibri" w:hAnsi="Gadugi" w:cs="Times New Roman"/>
          <w:iCs/>
          <w:szCs w:val="24"/>
        </w:rPr>
        <w:t>aproximarse al conocimiento que requiere para definir la litis, pues con ella se puede descubrir el comportamiento, tanto del galeno, como de las instituciones que contribuyen a la prestación de un servicio de salud y concluir si se cumplieron las reglas que aconseja la ciencia médica. Y se trajo a la memoria en ese fallo</w:t>
      </w:r>
      <w:r w:rsidR="00B81336" w:rsidRPr="001700AA">
        <w:rPr>
          <w:rStyle w:val="Refdenotaalpie"/>
          <w:rFonts w:ascii="Gadugi" w:eastAsia="Calibri" w:hAnsi="Gadugi" w:cs="Times New Roman"/>
          <w:iCs/>
          <w:szCs w:val="24"/>
        </w:rPr>
        <w:footnoteReference w:id="38"/>
      </w:r>
      <w:r w:rsidR="00B81336" w:rsidRPr="001700AA">
        <w:rPr>
          <w:rFonts w:ascii="Gadugi" w:eastAsia="Calibri" w:hAnsi="Gadugi" w:cs="Times New Roman"/>
          <w:iCs/>
          <w:szCs w:val="24"/>
        </w:rPr>
        <w:t xml:space="preserve">, que: </w:t>
      </w:r>
    </w:p>
    <w:bookmarkEnd w:id="0"/>
    <w:p w14:paraId="44F83883" w14:textId="77777777" w:rsidR="00B81336" w:rsidRPr="001700AA" w:rsidRDefault="00B81336" w:rsidP="001700AA">
      <w:pPr>
        <w:spacing w:line="240" w:lineRule="auto"/>
        <w:ind w:left="426" w:right="420" w:firstLine="1701"/>
        <w:jc w:val="both"/>
        <w:rPr>
          <w:rFonts w:ascii="Gadugi" w:eastAsia="Calibri" w:hAnsi="Gadugi" w:cs="Times New Roman"/>
          <w:iCs/>
          <w:szCs w:val="24"/>
          <w:lang w:val="es-ES"/>
        </w:rPr>
      </w:pPr>
    </w:p>
    <w:p w14:paraId="019CD12F" w14:textId="77777777" w:rsidR="00B81336" w:rsidRPr="001700AA" w:rsidRDefault="00B81336" w:rsidP="001700AA">
      <w:pPr>
        <w:spacing w:line="240" w:lineRule="auto"/>
        <w:ind w:left="426" w:right="420"/>
        <w:jc w:val="both"/>
        <w:rPr>
          <w:rFonts w:ascii="Gadugi" w:eastAsia="Calibri" w:hAnsi="Gadugi" w:cs="Times New Roman"/>
          <w:iCs/>
          <w:szCs w:val="24"/>
        </w:rPr>
      </w:pPr>
      <w:r w:rsidRPr="001700AA">
        <w:rPr>
          <w:rFonts w:ascii="Gadugi" w:eastAsia="Calibri" w:hAnsi="Gadugi" w:cs="Times New Roman"/>
          <w:iCs/>
          <w:szCs w:val="24"/>
        </w:rPr>
        <w:t>Así se ha dicho por esta Corporación, por ejemplo, en la sentencia del 30 de julio de 2018, radicado 2016-00149-01</w:t>
      </w:r>
      <w:r w:rsidRPr="001700AA">
        <w:rPr>
          <w:rFonts w:ascii="Gadugi" w:eastAsia="Calibri" w:hAnsi="Gadugi" w:cs="Times New Roman"/>
          <w:iCs/>
          <w:szCs w:val="24"/>
          <w:vertAlign w:val="superscript"/>
        </w:rPr>
        <w:footnoteReference w:id="39"/>
      </w:r>
      <w:r w:rsidRPr="001700AA">
        <w:rPr>
          <w:rFonts w:ascii="Gadugi" w:eastAsia="Calibri" w:hAnsi="Gadugi" w:cs="Times New Roman"/>
          <w:iCs/>
          <w:szCs w:val="24"/>
        </w:rPr>
        <w:t>, en la que se citó la sentencia SC-2506-16 de la Sala de Casación Civil de la Corte.  Incluso desde antes, la propia Corte, en sentencia del 14 de diciembre de 2012, radicado 2002-00188-01, con ponencia del Magistrado Arial Salazar Ramírez, en la que abordó otra providencia del 26 de septiembre de 2002, expediente 6878, señaló que:</w:t>
      </w:r>
    </w:p>
    <w:p w14:paraId="7811B882" w14:textId="77777777" w:rsidR="00B81336" w:rsidRPr="001700AA" w:rsidRDefault="00B81336" w:rsidP="001700AA">
      <w:pPr>
        <w:spacing w:line="240" w:lineRule="auto"/>
        <w:ind w:left="426" w:right="420"/>
        <w:jc w:val="both"/>
        <w:rPr>
          <w:rFonts w:ascii="Gadugi" w:eastAsia="Calibri" w:hAnsi="Gadugi" w:cs="Times New Roman"/>
          <w:iCs/>
          <w:szCs w:val="24"/>
          <w:lang w:val="es-ES"/>
        </w:rPr>
      </w:pPr>
    </w:p>
    <w:p w14:paraId="5AE05B85" w14:textId="1F360200" w:rsidR="00B81336" w:rsidRPr="001700AA" w:rsidRDefault="00B81336" w:rsidP="001700AA">
      <w:pPr>
        <w:spacing w:line="240" w:lineRule="auto"/>
        <w:ind w:left="426" w:right="420"/>
        <w:jc w:val="both"/>
        <w:rPr>
          <w:rFonts w:ascii="Gadugi" w:eastAsia="Calibri" w:hAnsi="Gadugi" w:cs="Times New Roman"/>
          <w:i/>
          <w:szCs w:val="24"/>
          <w:lang w:val="es-ES"/>
        </w:rPr>
      </w:pPr>
      <w:r w:rsidRPr="001700AA">
        <w:rPr>
          <w:rFonts w:ascii="Gadugi" w:eastAsia="Calibri" w:hAnsi="Gadugi" w:cs="Times New Roman"/>
          <w:i/>
          <w:szCs w:val="24"/>
          <w:lang w:val="es-ES"/>
        </w:rPr>
        <w:t xml:space="preserve">Sin embargo –ha sostenido esta Corte– “cuando de asuntos técnicos se trata, no es el sentido común o las reglas de la vida los criterios que exclusivamente deben orientar la labor de búsqueda de la causa jurídica adecuada, dado que no proporcionan elementos de juicio en vista del conocimiento especial que se necesita, por lo que a no dudarlo cobra especial importancia la dilucidación técnica que brinde al proceso esos elementos propios de la ciencia –no conocidos por el común de las personas y de suyo sólo familiar en menor o mayor medida a aquéllos que la practican– y que a fin de cuentas dan, con carácter general las pautas que ha de tener en cuenta el juez para atribuir a un antecedente la categoría jurídica de causa. En otras palabras, un dictamen pericial, un documento técnico científico o un testimonio de la misma índole, entre otras pruebas, podrán ilustrar al juez sobre las reglas técnicas que la ciencia de que se trate tenga decantadas en relación con la causa probable o cierta de la producción del daño que se investiga. Así, con base en la información suministrada, podrá el juez, ahora sí aplicando las reglas de la experiencia común y las propias de la ciencia, dilucidar con mayor margen de certeza si uno o varios antecedentes son causas o, como decían los escolásticos, meras condiciones que </w:t>
      </w:r>
      <w:proofErr w:type="gramStart"/>
      <w:r w:rsidRPr="001700AA">
        <w:rPr>
          <w:rFonts w:ascii="Gadugi" w:eastAsia="Calibri" w:hAnsi="Gadugi" w:cs="Times New Roman"/>
          <w:i/>
          <w:szCs w:val="24"/>
          <w:lang w:val="es-ES"/>
        </w:rPr>
        <w:t>coadyuvan</w:t>
      </w:r>
      <w:proofErr w:type="gramEnd"/>
      <w:r w:rsidRPr="001700AA">
        <w:rPr>
          <w:rFonts w:ascii="Gadugi" w:eastAsia="Calibri" w:hAnsi="Gadugi" w:cs="Times New Roman"/>
          <w:i/>
          <w:szCs w:val="24"/>
          <w:lang w:val="es-ES"/>
        </w:rPr>
        <w:t xml:space="preserve"> pero no ocasionan…”.</w:t>
      </w:r>
    </w:p>
    <w:p w14:paraId="75F7709F" w14:textId="77777777" w:rsidR="00C77722" w:rsidRPr="001700AA" w:rsidRDefault="00C77722" w:rsidP="001700AA">
      <w:pPr>
        <w:spacing w:line="240" w:lineRule="auto"/>
        <w:ind w:left="426" w:right="420"/>
        <w:jc w:val="both"/>
        <w:rPr>
          <w:rFonts w:ascii="Gadugi" w:eastAsia="Calibri" w:hAnsi="Gadugi" w:cs="Times New Roman"/>
          <w:i/>
          <w:szCs w:val="24"/>
          <w:lang w:val="es-ES"/>
        </w:rPr>
      </w:pPr>
    </w:p>
    <w:p w14:paraId="3A127C63" w14:textId="77777777" w:rsidR="00B81336" w:rsidRPr="001700AA" w:rsidRDefault="00B81336" w:rsidP="001700AA">
      <w:pPr>
        <w:spacing w:line="240" w:lineRule="auto"/>
        <w:ind w:left="426" w:right="420"/>
        <w:jc w:val="both"/>
        <w:rPr>
          <w:rFonts w:ascii="Gadugi" w:eastAsia="Georgia" w:hAnsi="Gadugi" w:cs="Georgia"/>
          <w:szCs w:val="24"/>
        </w:rPr>
      </w:pPr>
      <w:r w:rsidRPr="001700AA">
        <w:rPr>
          <w:rFonts w:ascii="Gadugi" w:eastAsia="Georgia" w:hAnsi="Gadugi" w:cs="Georgia"/>
          <w:szCs w:val="24"/>
        </w:rPr>
        <w:t xml:space="preserve">Como se observa, no se trata solo de un dictamen pericial, sino que el acervo probatorio puede comprender otra serie de pruebas especializadas, como ocurre con los testimonios técnicos, es decir, aquellos que rinden quienes, además de percibir los hechos, brindan una información específica sobre asuntos relacionados con la materia que se investiga. En la responsabilidad médica, por ejemplo, el dicho de los galenos que asistieron al paciente. </w:t>
      </w:r>
    </w:p>
    <w:p w14:paraId="723ABFB3" w14:textId="77777777" w:rsidR="00B81336" w:rsidRPr="001700AA" w:rsidRDefault="00B81336" w:rsidP="001700AA">
      <w:pPr>
        <w:spacing w:line="240" w:lineRule="auto"/>
        <w:ind w:left="426" w:right="420"/>
        <w:jc w:val="both"/>
        <w:rPr>
          <w:rFonts w:ascii="Gadugi" w:eastAsia="Georgia" w:hAnsi="Gadugi" w:cs="Georgia"/>
          <w:szCs w:val="24"/>
        </w:rPr>
      </w:pPr>
    </w:p>
    <w:p w14:paraId="52D918C8" w14:textId="77777777" w:rsidR="00B81336" w:rsidRPr="001700AA" w:rsidRDefault="00B81336" w:rsidP="001700AA">
      <w:pPr>
        <w:spacing w:line="240" w:lineRule="auto"/>
        <w:ind w:left="426" w:right="420"/>
        <w:jc w:val="both"/>
        <w:rPr>
          <w:rFonts w:ascii="Gadugi" w:eastAsia="Georgia" w:hAnsi="Gadugi" w:cs="Georgia"/>
          <w:szCs w:val="24"/>
        </w:rPr>
      </w:pPr>
      <w:r w:rsidRPr="001700AA">
        <w:rPr>
          <w:rFonts w:ascii="Gadugi" w:eastAsia="Georgia" w:hAnsi="Gadugi" w:cs="Georgia"/>
          <w:szCs w:val="24"/>
        </w:rPr>
        <w:lastRenderedPageBreak/>
        <w:t xml:space="preserve">Es lo que ocurre en este caso, en el que, aunque no se trajo un dictamen de expertos que diera cuenta de la causa de la muerte del paciente, se recibieron varios testimonios, los mismos que el recurrente critica, con los cuales puede arribarse a la misma conclusión del Juzgado. </w:t>
      </w:r>
    </w:p>
    <w:p w14:paraId="6CC4AE5D" w14:textId="77777777" w:rsidR="00B81336" w:rsidRPr="002F651B" w:rsidRDefault="00B81336" w:rsidP="002F651B">
      <w:pPr>
        <w:pStyle w:val="Prrafodelista"/>
        <w:tabs>
          <w:tab w:val="left" w:pos="567"/>
        </w:tabs>
        <w:ind w:left="0"/>
        <w:jc w:val="both"/>
        <w:rPr>
          <w:rFonts w:ascii="Gadugi" w:eastAsia="Calibri" w:hAnsi="Gadugi" w:cs="Times New Roman"/>
          <w:sz w:val="24"/>
          <w:szCs w:val="24"/>
          <w:lang w:val="es-419"/>
        </w:rPr>
      </w:pPr>
    </w:p>
    <w:p w14:paraId="6F8078DC" w14:textId="07BF7D78" w:rsidR="00E01F3F" w:rsidRPr="002F651B" w:rsidRDefault="007C2823" w:rsidP="002F651B">
      <w:pPr>
        <w:pStyle w:val="Prrafodelista"/>
        <w:tabs>
          <w:tab w:val="left" w:pos="567"/>
        </w:tabs>
        <w:ind w:left="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También en el presente evento se da esa situación. No hay un dictamen pericial, pero sí testimonios técnicos, que </w:t>
      </w:r>
      <w:r w:rsidR="001C3672" w:rsidRPr="002F651B">
        <w:rPr>
          <w:rFonts w:ascii="Gadugi" w:eastAsia="Calibri" w:hAnsi="Gadugi" w:cs="Times New Roman"/>
          <w:sz w:val="24"/>
          <w:szCs w:val="24"/>
          <w:lang w:val="es-419"/>
        </w:rPr>
        <w:t>refieren</w:t>
      </w:r>
      <w:r w:rsidR="007B05AF" w:rsidRPr="002F651B">
        <w:rPr>
          <w:rFonts w:ascii="Gadugi" w:eastAsia="Calibri" w:hAnsi="Gadugi" w:cs="Times New Roman"/>
          <w:sz w:val="24"/>
          <w:szCs w:val="24"/>
          <w:lang w:val="es-419"/>
        </w:rPr>
        <w:t xml:space="preserve"> la particular situación que se presentó con la paciente y permiten </w:t>
      </w:r>
      <w:r w:rsidR="00E01F3F" w:rsidRPr="002F651B">
        <w:rPr>
          <w:rFonts w:ascii="Gadugi" w:eastAsia="Calibri" w:hAnsi="Gadugi" w:cs="Times New Roman"/>
          <w:sz w:val="24"/>
          <w:szCs w:val="24"/>
          <w:lang w:val="es-419"/>
        </w:rPr>
        <w:t xml:space="preserve">a la Sala concluir que, en realidad, sí se estructuró el nexo causal. </w:t>
      </w:r>
    </w:p>
    <w:p w14:paraId="35DD9D7B" w14:textId="77777777" w:rsidR="00E01F3F" w:rsidRPr="002F651B" w:rsidRDefault="00E01F3F" w:rsidP="002F651B">
      <w:pPr>
        <w:pStyle w:val="Prrafodelista"/>
        <w:tabs>
          <w:tab w:val="left" w:pos="567"/>
        </w:tabs>
        <w:ind w:left="0"/>
        <w:jc w:val="both"/>
        <w:rPr>
          <w:rFonts w:ascii="Gadugi" w:eastAsia="Calibri" w:hAnsi="Gadugi" w:cs="Times New Roman"/>
          <w:sz w:val="24"/>
          <w:szCs w:val="24"/>
          <w:lang w:val="es-419"/>
        </w:rPr>
      </w:pPr>
    </w:p>
    <w:p w14:paraId="6464D058" w14:textId="1E23EDEC" w:rsidR="008277FD" w:rsidRPr="002F651B" w:rsidRDefault="00A462BF" w:rsidP="002F651B">
      <w:pPr>
        <w:pStyle w:val="Prrafodelista"/>
        <w:numPr>
          <w:ilvl w:val="1"/>
          <w:numId w:val="13"/>
        </w:numPr>
        <w:tabs>
          <w:tab w:val="left" w:pos="567"/>
        </w:tabs>
        <w:ind w:left="0" w:firstLine="0"/>
        <w:jc w:val="both"/>
        <w:rPr>
          <w:rFonts w:ascii="Gadugi" w:eastAsia="Calibri" w:hAnsi="Gadugi" w:cs="Times New Roman"/>
          <w:sz w:val="24"/>
          <w:szCs w:val="24"/>
        </w:rPr>
      </w:pPr>
      <w:r w:rsidRPr="002F651B">
        <w:rPr>
          <w:rFonts w:ascii="Gadugi" w:hAnsi="Gadugi"/>
          <w:sz w:val="24"/>
          <w:szCs w:val="24"/>
        </w:rPr>
        <w:t>Y es que, d</w:t>
      </w:r>
      <w:r w:rsidR="008277FD" w:rsidRPr="002F651B">
        <w:rPr>
          <w:rFonts w:ascii="Gadugi" w:hAnsi="Gadugi"/>
          <w:sz w:val="24"/>
          <w:szCs w:val="24"/>
        </w:rPr>
        <w:t xml:space="preserve">escendiendo al </w:t>
      </w:r>
      <w:r w:rsidRPr="002F651B">
        <w:rPr>
          <w:rFonts w:ascii="Gadugi" w:hAnsi="Gadugi"/>
          <w:sz w:val="24"/>
          <w:szCs w:val="24"/>
        </w:rPr>
        <w:t xml:space="preserve">caso, </w:t>
      </w:r>
      <w:r w:rsidR="008277FD" w:rsidRPr="002F651B">
        <w:rPr>
          <w:rFonts w:ascii="Gadugi" w:hAnsi="Gadugi"/>
          <w:sz w:val="24"/>
          <w:szCs w:val="24"/>
        </w:rPr>
        <w:t>se recuerda brevemente que el Juzgado adujo, como eje central de su decisión, que “</w:t>
      </w:r>
      <w:r w:rsidR="008277FD" w:rsidRPr="001700AA">
        <w:rPr>
          <w:rFonts w:ascii="Gadugi" w:hAnsi="Gadugi"/>
          <w:i/>
          <w:iCs/>
          <w:szCs w:val="24"/>
        </w:rPr>
        <w:t>lo que sucedió en este caso concreto, no se demostró nexo de causalidad entre el daño y el hecho dañoso (…)</w:t>
      </w:r>
      <w:r w:rsidR="004D028C" w:rsidRPr="002F651B">
        <w:rPr>
          <w:rFonts w:ascii="Gadugi" w:hAnsi="Gadugi"/>
          <w:i/>
          <w:iCs/>
          <w:sz w:val="24"/>
          <w:szCs w:val="24"/>
        </w:rPr>
        <w:t>”</w:t>
      </w:r>
      <w:r w:rsidR="00580D4B" w:rsidRPr="002F651B">
        <w:rPr>
          <w:rFonts w:ascii="Gadugi" w:hAnsi="Gadugi"/>
          <w:sz w:val="24"/>
          <w:szCs w:val="24"/>
        </w:rPr>
        <w:t xml:space="preserve">; </w:t>
      </w:r>
      <w:r w:rsidR="008277FD" w:rsidRPr="002F651B">
        <w:rPr>
          <w:rFonts w:ascii="Gadugi" w:hAnsi="Gadugi"/>
          <w:sz w:val="24"/>
          <w:szCs w:val="24"/>
        </w:rPr>
        <w:t>insistió</w:t>
      </w:r>
      <w:r w:rsidR="004D028C" w:rsidRPr="002F651B">
        <w:rPr>
          <w:rFonts w:ascii="Gadugi" w:hAnsi="Gadugi"/>
          <w:sz w:val="24"/>
          <w:szCs w:val="24"/>
        </w:rPr>
        <w:t xml:space="preserve"> en que</w:t>
      </w:r>
      <w:r w:rsidR="008277FD" w:rsidRPr="002F651B">
        <w:rPr>
          <w:rFonts w:ascii="Gadugi" w:hAnsi="Gadugi"/>
          <w:sz w:val="24"/>
          <w:szCs w:val="24"/>
        </w:rPr>
        <w:t xml:space="preserve">, </w:t>
      </w:r>
      <w:r w:rsidR="004D028C" w:rsidRPr="002F651B">
        <w:rPr>
          <w:rFonts w:ascii="Gadugi" w:hAnsi="Gadugi"/>
          <w:sz w:val="24"/>
          <w:szCs w:val="24"/>
        </w:rPr>
        <w:t>“</w:t>
      </w:r>
      <w:r w:rsidR="008277FD" w:rsidRPr="001700AA">
        <w:rPr>
          <w:rFonts w:ascii="Gadugi" w:hAnsi="Gadugi"/>
          <w:i/>
          <w:iCs/>
          <w:szCs w:val="24"/>
        </w:rPr>
        <w:t xml:space="preserve">a pesar de esa conclusión lo que sí no pudo acreditarse en el plenario es que </w:t>
      </w:r>
      <w:r w:rsidR="008277FD" w:rsidRPr="001700AA">
        <w:rPr>
          <w:rFonts w:ascii="Gadugi" w:hAnsi="Gadugi"/>
          <w:szCs w:val="24"/>
        </w:rPr>
        <w:t>(54:15)</w:t>
      </w:r>
      <w:r w:rsidR="008277FD" w:rsidRPr="001700AA">
        <w:rPr>
          <w:rStyle w:val="Refdenotaalpie"/>
          <w:rFonts w:ascii="Gadugi" w:hAnsi="Gadugi"/>
          <w:szCs w:val="24"/>
        </w:rPr>
        <w:footnoteReference w:id="40"/>
      </w:r>
      <w:r w:rsidR="008277FD" w:rsidRPr="001700AA">
        <w:rPr>
          <w:rFonts w:ascii="Gadugi" w:hAnsi="Gadugi"/>
          <w:i/>
          <w:iCs/>
          <w:szCs w:val="24"/>
        </w:rPr>
        <w:t xml:space="preserve"> haya nexo causal entre la negligencia con que fue atendida la paciente y su fallecimiento que fue lo que se denunció como daño producido por esa mala atención. </w:t>
      </w:r>
      <w:r w:rsidR="008277FD" w:rsidRPr="001700AA">
        <w:rPr>
          <w:rFonts w:ascii="Gadugi" w:hAnsi="Gadugi"/>
          <w:szCs w:val="24"/>
        </w:rPr>
        <w:t xml:space="preserve">(…) </w:t>
      </w:r>
      <w:r w:rsidR="008277FD" w:rsidRPr="001700AA">
        <w:rPr>
          <w:rFonts w:ascii="Gadugi" w:hAnsi="Gadugi"/>
          <w:i/>
          <w:iCs/>
          <w:szCs w:val="24"/>
        </w:rPr>
        <w:t>El daño en este caso se conforma o lo denunciaron los demandantes como el fallecimiento de María Nora Correa Piedrahita, ocurrido el 30 de enero del 2015. Ese daño, no se sabe o no puede determinarse que haya sido consecuencia directa de la conducta negligente en que incurrieron tanto EPS como IPS encargadas de su salud</w:t>
      </w:r>
      <w:r w:rsidR="008277FD" w:rsidRPr="002F651B">
        <w:rPr>
          <w:rFonts w:ascii="Gadugi" w:hAnsi="Gadugi"/>
          <w:i/>
          <w:iCs/>
          <w:sz w:val="24"/>
          <w:szCs w:val="24"/>
        </w:rPr>
        <w:t xml:space="preserve">”. </w:t>
      </w:r>
      <w:r w:rsidR="008277FD" w:rsidRPr="002F651B">
        <w:rPr>
          <w:rFonts w:ascii="Gadugi" w:hAnsi="Gadugi"/>
          <w:iCs/>
          <w:sz w:val="24"/>
          <w:szCs w:val="24"/>
        </w:rPr>
        <w:t xml:space="preserve">Luego sostuvo que </w:t>
      </w:r>
      <w:r w:rsidR="008277FD" w:rsidRPr="002F651B">
        <w:rPr>
          <w:rFonts w:ascii="Gadugi" w:hAnsi="Gadugi"/>
          <w:i/>
          <w:iCs/>
          <w:sz w:val="24"/>
          <w:szCs w:val="24"/>
        </w:rPr>
        <w:t>“</w:t>
      </w:r>
      <w:r w:rsidR="008277FD" w:rsidRPr="001700AA">
        <w:rPr>
          <w:rFonts w:ascii="Gadugi" w:hAnsi="Gadugi"/>
          <w:i/>
          <w:iCs/>
          <w:szCs w:val="24"/>
        </w:rPr>
        <w:t>el despacho hizo una intelección de lo sucedido y de las pruebas recaudadas. Las evidencias, especialmente los testimonios técnicos recibidos, no dieron cuenta acerca de que, si el traslado de la paciente se hubiese dado en un tiempo inferior a aquel en que realmente se dio, una de las causas que motivó la interposición de esta demanda haya sido lo que produjo su muerte</w:t>
      </w:r>
      <w:r w:rsidR="004D028C" w:rsidRPr="001700AA">
        <w:rPr>
          <w:rFonts w:ascii="Gadugi" w:hAnsi="Gadugi"/>
          <w:i/>
          <w:iCs/>
          <w:sz w:val="24"/>
          <w:szCs w:val="24"/>
        </w:rPr>
        <w:t>”</w:t>
      </w:r>
      <w:r w:rsidR="008277FD" w:rsidRPr="001700AA">
        <w:rPr>
          <w:rFonts w:ascii="Gadugi" w:hAnsi="Gadugi"/>
          <w:i/>
          <w:iCs/>
          <w:sz w:val="24"/>
          <w:szCs w:val="24"/>
        </w:rPr>
        <w:t xml:space="preserve">. </w:t>
      </w:r>
      <w:r w:rsidR="008277FD" w:rsidRPr="001700AA">
        <w:rPr>
          <w:rFonts w:ascii="Gadugi" w:hAnsi="Gadugi"/>
          <w:sz w:val="24"/>
          <w:szCs w:val="24"/>
        </w:rPr>
        <w:t>Para finalmente re</w:t>
      </w:r>
      <w:r w:rsidR="007D1815" w:rsidRPr="001700AA">
        <w:rPr>
          <w:rFonts w:ascii="Gadugi" w:hAnsi="Gadugi"/>
          <w:sz w:val="24"/>
          <w:szCs w:val="24"/>
        </w:rPr>
        <w:t>calcar</w:t>
      </w:r>
      <w:r w:rsidR="008277FD" w:rsidRPr="001700AA">
        <w:rPr>
          <w:rFonts w:ascii="Gadugi" w:hAnsi="Gadugi"/>
          <w:sz w:val="24"/>
          <w:szCs w:val="24"/>
        </w:rPr>
        <w:t xml:space="preserve"> que, </w:t>
      </w:r>
      <w:r w:rsidR="004D028C" w:rsidRPr="001700AA">
        <w:rPr>
          <w:rFonts w:ascii="Gadugi" w:hAnsi="Gadugi"/>
          <w:sz w:val="24"/>
          <w:szCs w:val="24"/>
        </w:rPr>
        <w:t>“</w:t>
      </w:r>
      <w:r w:rsidR="004D028C" w:rsidRPr="001700AA">
        <w:rPr>
          <w:rFonts w:ascii="Gadugi" w:hAnsi="Gadugi"/>
          <w:i/>
          <w:iCs/>
          <w:szCs w:val="24"/>
        </w:rPr>
        <w:t>e</w:t>
      </w:r>
      <w:r w:rsidR="008277FD" w:rsidRPr="001700AA">
        <w:rPr>
          <w:rFonts w:ascii="Gadugi" w:hAnsi="Gadugi"/>
          <w:i/>
          <w:iCs/>
          <w:szCs w:val="24"/>
        </w:rPr>
        <w:t>sas pruebas técnicas, que provienen de personas conocedoras de los temas de la medicina y además de los hechos que aquí se están denunciando, considera el despacho, reafirman la tesis del juzgado en torno a que no quedó fehacientemente evidenciado el elemento del nexo causal. No se puede precisar en este caso que esa tardanza haya sido la causa efectiva que produjo la muerte o el daño; en este caso, el fallecimiento de la señora María Nora Correa Piedrahita. Y no se trata simplemente de no poderse determinar en este caso cuál fue la causa efectiva de la muerte de la señora María Nora, es que también hay que tener en cuenta que factores como la edad y la hipertensión arterial que padecía, pudieron ser factores determinantes para el agravamiento de su salud y el fatal desenlace. Cualquiera de esos factores pudo haber sido el detonante para que sus condiciones de salud empeoraran y terminara toda esta situación en su fallecimiento</w:t>
      </w:r>
      <w:r w:rsidR="008277FD" w:rsidRPr="002F651B">
        <w:rPr>
          <w:rFonts w:ascii="Gadugi" w:hAnsi="Gadugi"/>
          <w:i/>
          <w:iCs/>
          <w:sz w:val="24"/>
          <w:szCs w:val="24"/>
        </w:rPr>
        <w:t>.”</w:t>
      </w:r>
    </w:p>
    <w:p w14:paraId="0A99AF17" w14:textId="77777777" w:rsidR="008277FD" w:rsidRPr="002F651B" w:rsidRDefault="008277FD" w:rsidP="002F651B">
      <w:pPr>
        <w:jc w:val="both"/>
        <w:rPr>
          <w:rFonts w:ascii="Gadugi" w:hAnsi="Gadugi"/>
          <w:i/>
          <w:iCs/>
          <w:sz w:val="24"/>
          <w:szCs w:val="24"/>
        </w:rPr>
      </w:pPr>
    </w:p>
    <w:p w14:paraId="3EB8184F" w14:textId="62FA7C34" w:rsidR="00154A86" w:rsidRPr="002F651B" w:rsidRDefault="008277FD" w:rsidP="002F651B">
      <w:pPr>
        <w:pStyle w:val="Prrafodelista"/>
        <w:numPr>
          <w:ilvl w:val="1"/>
          <w:numId w:val="13"/>
        </w:numPr>
        <w:tabs>
          <w:tab w:val="left" w:pos="567"/>
        </w:tabs>
        <w:ind w:left="0" w:firstLine="0"/>
        <w:jc w:val="both"/>
        <w:rPr>
          <w:rFonts w:ascii="Gadugi" w:hAnsi="Gadugi"/>
          <w:sz w:val="24"/>
          <w:szCs w:val="24"/>
        </w:rPr>
      </w:pPr>
      <w:r w:rsidRPr="002F651B">
        <w:rPr>
          <w:rFonts w:ascii="Gadugi" w:hAnsi="Gadugi"/>
          <w:sz w:val="24"/>
          <w:szCs w:val="24"/>
        </w:rPr>
        <w:t xml:space="preserve"> </w:t>
      </w:r>
      <w:r w:rsidR="00C42899" w:rsidRPr="002F651B">
        <w:rPr>
          <w:rFonts w:ascii="Gadugi" w:hAnsi="Gadugi"/>
          <w:sz w:val="24"/>
          <w:szCs w:val="24"/>
        </w:rPr>
        <w:t xml:space="preserve">Como se </w:t>
      </w:r>
      <w:r w:rsidRPr="002F651B">
        <w:rPr>
          <w:rFonts w:ascii="Gadugi" w:hAnsi="Gadugi"/>
          <w:sz w:val="24"/>
          <w:szCs w:val="24"/>
        </w:rPr>
        <w:t xml:space="preserve">evidencia, el despacho </w:t>
      </w:r>
      <w:r w:rsidR="00C42899" w:rsidRPr="002F651B">
        <w:rPr>
          <w:rFonts w:ascii="Gadugi" w:hAnsi="Gadugi"/>
          <w:sz w:val="24"/>
          <w:szCs w:val="24"/>
        </w:rPr>
        <w:t>con</w:t>
      </w:r>
      <w:r w:rsidR="007033A0" w:rsidRPr="002F651B">
        <w:rPr>
          <w:rFonts w:ascii="Gadugi" w:hAnsi="Gadugi"/>
          <w:sz w:val="24"/>
          <w:szCs w:val="24"/>
        </w:rPr>
        <w:t>stató que hubo un hecho, destacó la culpa de las demandadas</w:t>
      </w:r>
      <w:r w:rsidR="001D78E8" w:rsidRPr="002F651B">
        <w:rPr>
          <w:rFonts w:ascii="Gadugi" w:hAnsi="Gadugi"/>
          <w:sz w:val="24"/>
          <w:szCs w:val="24"/>
        </w:rPr>
        <w:t xml:space="preserve"> por la descuidada prestación de los servicios</w:t>
      </w:r>
      <w:r w:rsidR="00B4224B" w:rsidRPr="002F651B">
        <w:rPr>
          <w:rFonts w:ascii="Gadugi" w:hAnsi="Gadugi"/>
          <w:sz w:val="24"/>
          <w:szCs w:val="24"/>
        </w:rPr>
        <w:t xml:space="preserve"> y el daño</w:t>
      </w:r>
      <w:r w:rsidR="001D78E8" w:rsidRPr="002F651B">
        <w:rPr>
          <w:rFonts w:ascii="Gadugi" w:hAnsi="Gadugi"/>
          <w:sz w:val="24"/>
          <w:szCs w:val="24"/>
        </w:rPr>
        <w:t>.</w:t>
      </w:r>
      <w:r w:rsidRPr="002F651B">
        <w:rPr>
          <w:rFonts w:ascii="Gadugi" w:hAnsi="Gadugi"/>
          <w:sz w:val="24"/>
          <w:szCs w:val="24"/>
        </w:rPr>
        <w:t xml:space="preserve"> </w:t>
      </w:r>
    </w:p>
    <w:p w14:paraId="37895DE6" w14:textId="77777777" w:rsidR="00154A86" w:rsidRPr="002F651B" w:rsidRDefault="00154A86" w:rsidP="002F651B">
      <w:pPr>
        <w:pStyle w:val="Prrafodelista"/>
        <w:rPr>
          <w:rFonts w:ascii="Gadugi" w:hAnsi="Gadugi"/>
          <w:sz w:val="24"/>
          <w:szCs w:val="24"/>
        </w:rPr>
      </w:pPr>
    </w:p>
    <w:p w14:paraId="3C9B510D" w14:textId="3E7BCCC1" w:rsidR="009045FB" w:rsidRPr="002F651B" w:rsidRDefault="00151D07" w:rsidP="002F651B">
      <w:pPr>
        <w:pStyle w:val="Prrafodelista"/>
        <w:tabs>
          <w:tab w:val="left" w:pos="567"/>
        </w:tabs>
        <w:ind w:left="0"/>
        <w:jc w:val="both"/>
        <w:rPr>
          <w:rFonts w:ascii="Gadugi" w:hAnsi="Gadugi"/>
          <w:sz w:val="24"/>
          <w:szCs w:val="24"/>
        </w:rPr>
      </w:pPr>
      <w:r w:rsidRPr="002F651B">
        <w:rPr>
          <w:rFonts w:ascii="Gadugi" w:hAnsi="Gadugi"/>
          <w:sz w:val="24"/>
          <w:szCs w:val="24"/>
        </w:rPr>
        <w:t>E</w:t>
      </w:r>
      <w:r w:rsidR="00777D95" w:rsidRPr="002F651B">
        <w:rPr>
          <w:rFonts w:ascii="Gadugi" w:hAnsi="Gadugi"/>
          <w:sz w:val="24"/>
          <w:szCs w:val="24"/>
        </w:rPr>
        <w:t xml:space="preserve">n síntesis, </w:t>
      </w:r>
      <w:r w:rsidR="00800DF2" w:rsidRPr="002F651B">
        <w:rPr>
          <w:rFonts w:ascii="Gadugi" w:hAnsi="Gadugi"/>
          <w:sz w:val="24"/>
          <w:szCs w:val="24"/>
        </w:rPr>
        <w:t>se</w:t>
      </w:r>
      <w:r w:rsidR="008D2858" w:rsidRPr="002F651B">
        <w:rPr>
          <w:rFonts w:ascii="Gadugi" w:hAnsi="Gadugi"/>
          <w:sz w:val="24"/>
          <w:szCs w:val="24"/>
        </w:rPr>
        <w:t>ñaló</w:t>
      </w:r>
      <w:r w:rsidR="00777D95" w:rsidRPr="002F651B">
        <w:rPr>
          <w:rFonts w:ascii="Gadugi" w:hAnsi="Gadugi"/>
          <w:sz w:val="24"/>
          <w:szCs w:val="24"/>
        </w:rPr>
        <w:t xml:space="preserve"> que</w:t>
      </w:r>
      <w:r w:rsidR="00B02FCE" w:rsidRPr="002F651B">
        <w:rPr>
          <w:rFonts w:ascii="Gadugi" w:hAnsi="Gadugi"/>
          <w:sz w:val="24"/>
          <w:szCs w:val="24"/>
        </w:rPr>
        <w:t>:</w:t>
      </w:r>
      <w:r w:rsidR="00777D95" w:rsidRPr="002F651B">
        <w:rPr>
          <w:rFonts w:ascii="Gadugi" w:hAnsi="Gadugi"/>
          <w:sz w:val="24"/>
          <w:szCs w:val="24"/>
        </w:rPr>
        <w:t xml:space="preserve"> </w:t>
      </w:r>
      <w:r w:rsidR="003E3B0C" w:rsidRPr="002F651B">
        <w:rPr>
          <w:rFonts w:ascii="Gadugi" w:hAnsi="Gadugi"/>
          <w:sz w:val="24"/>
          <w:szCs w:val="24"/>
        </w:rPr>
        <w:t xml:space="preserve">(i) </w:t>
      </w:r>
      <w:r w:rsidR="00F215D9" w:rsidRPr="002F651B">
        <w:rPr>
          <w:rFonts w:ascii="Gadugi" w:hAnsi="Gadugi"/>
          <w:sz w:val="24"/>
          <w:szCs w:val="24"/>
        </w:rPr>
        <w:t xml:space="preserve">de la prueba documental y testimonial </w:t>
      </w:r>
      <w:r w:rsidR="003A02E7" w:rsidRPr="002F651B">
        <w:rPr>
          <w:rFonts w:ascii="Gadugi" w:hAnsi="Gadugi"/>
          <w:sz w:val="24"/>
          <w:szCs w:val="24"/>
        </w:rPr>
        <w:t xml:space="preserve">se desprende que </w:t>
      </w:r>
      <w:r w:rsidR="00777D95" w:rsidRPr="002F651B">
        <w:rPr>
          <w:rFonts w:ascii="Gadugi" w:eastAsia="Georgia" w:hAnsi="Gadugi" w:cs="Georgia"/>
          <w:sz w:val="24"/>
          <w:szCs w:val="24"/>
        </w:rPr>
        <w:t>la paciente no obtuvo el servicio urgente que requería con la premura que lo requería</w:t>
      </w:r>
      <w:r w:rsidR="00797A72" w:rsidRPr="002F651B">
        <w:rPr>
          <w:rFonts w:ascii="Gadugi" w:eastAsia="Georgia" w:hAnsi="Gadugi" w:cs="Georgia"/>
          <w:sz w:val="24"/>
          <w:szCs w:val="24"/>
        </w:rPr>
        <w:t>,</w:t>
      </w:r>
      <w:r w:rsidR="00777D95" w:rsidRPr="002F651B">
        <w:rPr>
          <w:rFonts w:ascii="Gadugi" w:eastAsia="Georgia" w:hAnsi="Gadugi" w:cs="Georgia"/>
          <w:sz w:val="24"/>
          <w:szCs w:val="24"/>
        </w:rPr>
        <w:t xml:space="preserve"> sobre todo cuando su estado de salud se complicó empezó a empeorar y su caso se convirtió en urgencia vital que comprometía su vida tal como qued</w:t>
      </w:r>
      <w:r w:rsidR="008D2858" w:rsidRPr="002F651B">
        <w:rPr>
          <w:rFonts w:ascii="Gadugi" w:eastAsia="Georgia" w:hAnsi="Gadugi" w:cs="Georgia"/>
          <w:sz w:val="24"/>
          <w:szCs w:val="24"/>
        </w:rPr>
        <w:t>ó</w:t>
      </w:r>
      <w:r w:rsidR="00777D95" w:rsidRPr="002F651B">
        <w:rPr>
          <w:rFonts w:ascii="Gadugi" w:eastAsia="Georgia" w:hAnsi="Gadugi" w:cs="Georgia"/>
          <w:sz w:val="24"/>
          <w:szCs w:val="24"/>
        </w:rPr>
        <w:t xml:space="preserve"> consignado en la historia clínica</w:t>
      </w:r>
      <w:r w:rsidR="00797A72" w:rsidRPr="002F651B">
        <w:rPr>
          <w:rFonts w:ascii="Gadugi" w:eastAsia="Georgia" w:hAnsi="Gadugi" w:cs="Georgia"/>
          <w:sz w:val="24"/>
          <w:szCs w:val="24"/>
        </w:rPr>
        <w:t xml:space="preserve">; </w:t>
      </w:r>
      <w:r w:rsidR="00777D95" w:rsidRPr="002F651B">
        <w:rPr>
          <w:rFonts w:ascii="Gadugi" w:eastAsia="Georgia" w:hAnsi="Gadugi" w:cs="Georgia"/>
          <w:sz w:val="24"/>
          <w:szCs w:val="24"/>
        </w:rPr>
        <w:t xml:space="preserve"> </w:t>
      </w:r>
      <w:r w:rsidR="003E3B0C" w:rsidRPr="002F651B">
        <w:rPr>
          <w:rFonts w:ascii="Gadugi" w:eastAsia="Georgia" w:hAnsi="Gadugi" w:cs="Georgia"/>
          <w:sz w:val="24"/>
          <w:szCs w:val="24"/>
        </w:rPr>
        <w:t xml:space="preserve">(ii) </w:t>
      </w:r>
      <w:r w:rsidR="00777D95" w:rsidRPr="002F651B">
        <w:rPr>
          <w:rFonts w:ascii="Gadugi" w:eastAsia="Georgia" w:hAnsi="Gadugi" w:cs="Georgia"/>
          <w:sz w:val="24"/>
          <w:szCs w:val="24"/>
        </w:rPr>
        <w:t>no se materializ</w:t>
      </w:r>
      <w:r w:rsidR="008D2858" w:rsidRPr="002F651B">
        <w:rPr>
          <w:rFonts w:ascii="Gadugi" w:eastAsia="Georgia" w:hAnsi="Gadugi" w:cs="Georgia"/>
          <w:sz w:val="24"/>
          <w:szCs w:val="24"/>
        </w:rPr>
        <w:t>ó</w:t>
      </w:r>
      <w:r w:rsidR="00777D95" w:rsidRPr="002F651B">
        <w:rPr>
          <w:rFonts w:ascii="Gadugi" w:eastAsia="Georgia" w:hAnsi="Gadugi" w:cs="Georgia"/>
          <w:sz w:val="24"/>
          <w:szCs w:val="24"/>
        </w:rPr>
        <w:t xml:space="preserve"> el traslado a una institución de nivel de complejidad superior a aquel en el que se encontraba</w:t>
      </w:r>
      <w:r w:rsidR="009C43DF" w:rsidRPr="002F651B">
        <w:rPr>
          <w:rFonts w:ascii="Gadugi" w:eastAsia="Georgia" w:hAnsi="Gadugi" w:cs="Georgia"/>
          <w:sz w:val="24"/>
          <w:szCs w:val="24"/>
        </w:rPr>
        <w:t xml:space="preserve">; (iii) </w:t>
      </w:r>
      <w:r w:rsidR="005B5ED4" w:rsidRPr="002F651B">
        <w:rPr>
          <w:rFonts w:ascii="Gadugi" w:eastAsia="Georgia" w:hAnsi="Gadugi" w:cs="Georgia"/>
          <w:sz w:val="24"/>
          <w:szCs w:val="24"/>
        </w:rPr>
        <w:t xml:space="preserve">hubo demora en </w:t>
      </w:r>
      <w:r w:rsidR="00777D95" w:rsidRPr="002F651B">
        <w:rPr>
          <w:rFonts w:ascii="Gadugi" w:eastAsia="Georgia" w:hAnsi="Gadugi" w:cs="Georgia"/>
          <w:sz w:val="24"/>
          <w:szCs w:val="24"/>
        </w:rPr>
        <w:t>las valoraciones m</w:t>
      </w:r>
      <w:r w:rsidR="005B5ED4" w:rsidRPr="002F651B">
        <w:rPr>
          <w:rFonts w:ascii="Gadugi" w:eastAsia="Georgia" w:hAnsi="Gadugi" w:cs="Georgia"/>
          <w:sz w:val="24"/>
          <w:szCs w:val="24"/>
        </w:rPr>
        <w:t>é</w:t>
      </w:r>
      <w:r w:rsidR="00777D95" w:rsidRPr="002F651B">
        <w:rPr>
          <w:rFonts w:ascii="Gadugi" w:eastAsia="Georgia" w:hAnsi="Gadugi" w:cs="Georgia"/>
          <w:sz w:val="24"/>
          <w:szCs w:val="24"/>
        </w:rPr>
        <w:t xml:space="preserve">dicas </w:t>
      </w:r>
      <w:r w:rsidR="00777D95" w:rsidRPr="002F651B">
        <w:rPr>
          <w:rFonts w:ascii="Gadugi" w:eastAsia="Georgia" w:hAnsi="Gadugi" w:cs="Georgia"/>
          <w:sz w:val="24"/>
          <w:szCs w:val="24"/>
        </w:rPr>
        <w:lastRenderedPageBreak/>
        <w:t>que recibió en la clínica Marañ</w:t>
      </w:r>
      <w:r w:rsidR="005B5ED4" w:rsidRPr="002F651B">
        <w:rPr>
          <w:rFonts w:ascii="Gadugi" w:eastAsia="Georgia" w:hAnsi="Gadugi" w:cs="Georgia"/>
          <w:sz w:val="24"/>
          <w:szCs w:val="24"/>
        </w:rPr>
        <w:t>ón</w:t>
      </w:r>
      <w:r w:rsidR="004A0FD0" w:rsidRPr="002F651B">
        <w:rPr>
          <w:rFonts w:ascii="Gadugi" w:eastAsia="Georgia" w:hAnsi="Gadugi" w:cs="Georgia"/>
          <w:sz w:val="24"/>
          <w:szCs w:val="24"/>
        </w:rPr>
        <w:t xml:space="preserve">, lo que se </w:t>
      </w:r>
      <w:r w:rsidR="00777D95" w:rsidRPr="002F651B">
        <w:rPr>
          <w:rFonts w:ascii="Gadugi" w:eastAsia="Georgia" w:hAnsi="Gadugi" w:cs="Georgia"/>
          <w:sz w:val="24"/>
          <w:szCs w:val="24"/>
        </w:rPr>
        <w:t>desprende</w:t>
      </w:r>
      <w:r w:rsidR="004A0FD0" w:rsidRPr="002F651B">
        <w:rPr>
          <w:rFonts w:ascii="Gadugi" w:eastAsia="Georgia" w:hAnsi="Gadugi" w:cs="Georgia"/>
          <w:sz w:val="24"/>
          <w:szCs w:val="24"/>
        </w:rPr>
        <w:t xml:space="preserve"> de la historia</w:t>
      </w:r>
      <w:r w:rsidR="00777D95" w:rsidRPr="002F651B">
        <w:rPr>
          <w:rFonts w:ascii="Gadugi" w:eastAsia="Georgia" w:hAnsi="Gadugi" w:cs="Georgia"/>
          <w:sz w:val="24"/>
          <w:szCs w:val="24"/>
        </w:rPr>
        <w:t xml:space="preserve"> y de lo que dijo uno de los galenos escuchados</w:t>
      </w:r>
      <w:r w:rsidR="00FE4407" w:rsidRPr="002F651B">
        <w:rPr>
          <w:rFonts w:ascii="Gadugi" w:eastAsia="Georgia" w:hAnsi="Gadugi" w:cs="Georgia"/>
          <w:sz w:val="24"/>
          <w:szCs w:val="24"/>
        </w:rPr>
        <w:t xml:space="preserve">. Es decir, concluyó, que </w:t>
      </w:r>
      <w:r w:rsidR="00777D95" w:rsidRPr="002F651B">
        <w:rPr>
          <w:rFonts w:ascii="Gadugi" w:eastAsia="Georgia" w:hAnsi="Gadugi" w:cs="Georgia"/>
          <w:sz w:val="24"/>
          <w:szCs w:val="24"/>
        </w:rPr>
        <w:t xml:space="preserve">la </w:t>
      </w:r>
      <w:r w:rsidR="00FE4407" w:rsidRPr="002F651B">
        <w:rPr>
          <w:rFonts w:ascii="Gadugi" w:eastAsia="Georgia" w:hAnsi="Gadugi" w:cs="Georgia"/>
          <w:sz w:val="24"/>
          <w:szCs w:val="24"/>
        </w:rPr>
        <w:t xml:space="preserve">EPS y la IPS </w:t>
      </w:r>
      <w:r w:rsidR="00777D95" w:rsidRPr="002F651B">
        <w:rPr>
          <w:rFonts w:ascii="Gadugi" w:eastAsia="Georgia" w:hAnsi="Gadugi" w:cs="Georgia"/>
          <w:sz w:val="24"/>
          <w:szCs w:val="24"/>
        </w:rPr>
        <w:t>fueron negligentes por la</w:t>
      </w:r>
      <w:r w:rsidR="00FE4407" w:rsidRPr="002F651B">
        <w:rPr>
          <w:rFonts w:ascii="Gadugi" w:eastAsia="Georgia" w:hAnsi="Gadugi" w:cs="Georgia"/>
          <w:sz w:val="24"/>
          <w:szCs w:val="24"/>
        </w:rPr>
        <w:t xml:space="preserve">s </w:t>
      </w:r>
      <w:r w:rsidR="00777D95" w:rsidRPr="002F651B">
        <w:rPr>
          <w:rFonts w:ascii="Gadugi" w:eastAsia="Georgia" w:hAnsi="Gadugi" w:cs="Georgia"/>
          <w:sz w:val="24"/>
          <w:szCs w:val="24"/>
        </w:rPr>
        <w:t>omisi</w:t>
      </w:r>
      <w:r w:rsidR="00316225" w:rsidRPr="002F651B">
        <w:rPr>
          <w:rFonts w:ascii="Gadugi" w:eastAsia="Georgia" w:hAnsi="Gadugi" w:cs="Georgia"/>
          <w:sz w:val="24"/>
          <w:szCs w:val="24"/>
        </w:rPr>
        <w:t xml:space="preserve">ones </w:t>
      </w:r>
      <w:r w:rsidR="00777D95" w:rsidRPr="002F651B">
        <w:rPr>
          <w:rFonts w:ascii="Gadugi" w:eastAsia="Georgia" w:hAnsi="Gadugi" w:cs="Georgia"/>
          <w:sz w:val="24"/>
          <w:szCs w:val="24"/>
        </w:rPr>
        <w:t>en que incurrieron</w:t>
      </w:r>
      <w:r w:rsidR="00316225" w:rsidRPr="002F651B">
        <w:rPr>
          <w:rFonts w:ascii="Gadugi" w:eastAsia="Georgia" w:hAnsi="Gadugi" w:cs="Georgia"/>
          <w:sz w:val="24"/>
          <w:szCs w:val="24"/>
        </w:rPr>
        <w:t xml:space="preserve">. Y </w:t>
      </w:r>
      <w:r w:rsidR="0091714F" w:rsidRPr="002F651B">
        <w:rPr>
          <w:rFonts w:ascii="Gadugi" w:eastAsia="Georgia" w:hAnsi="Gadugi" w:cs="Georgia"/>
          <w:sz w:val="24"/>
          <w:szCs w:val="24"/>
        </w:rPr>
        <w:t>resaltó</w:t>
      </w:r>
      <w:r w:rsidR="00316225" w:rsidRPr="002F651B">
        <w:rPr>
          <w:rFonts w:ascii="Gadugi" w:eastAsia="Georgia" w:hAnsi="Gadugi" w:cs="Georgia"/>
          <w:sz w:val="24"/>
          <w:szCs w:val="24"/>
        </w:rPr>
        <w:t xml:space="preserve">, por ejemplo, que </w:t>
      </w:r>
      <w:r w:rsidR="00777D95" w:rsidRPr="002F651B">
        <w:rPr>
          <w:rFonts w:ascii="Gadugi" w:eastAsia="Georgia" w:hAnsi="Gadugi" w:cs="Georgia"/>
          <w:sz w:val="24"/>
          <w:szCs w:val="24"/>
        </w:rPr>
        <w:t>la primera atención que recibió María Nora se le ofreció a las 00:17 de</w:t>
      </w:r>
      <w:r w:rsidR="006C4C35" w:rsidRPr="002F651B">
        <w:rPr>
          <w:rFonts w:ascii="Gadugi" w:eastAsia="Georgia" w:hAnsi="Gadugi" w:cs="Georgia"/>
          <w:sz w:val="24"/>
          <w:szCs w:val="24"/>
        </w:rPr>
        <w:t>l 23 de enero de 2015</w:t>
      </w:r>
      <w:r w:rsidR="006957A8" w:rsidRPr="002F651B">
        <w:rPr>
          <w:rFonts w:ascii="Gadugi" w:eastAsia="Georgia" w:hAnsi="Gadugi" w:cs="Georgia"/>
          <w:sz w:val="24"/>
          <w:szCs w:val="24"/>
        </w:rPr>
        <w:t>; luego, a las dos</w:t>
      </w:r>
      <w:r w:rsidR="00777D95" w:rsidRPr="002F651B">
        <w:rPr>
          <w:rFonts w:ascii="Gadugi" w:eastAsia="Georgia" w:hAnsi="Gadugi" w:cs="Georgia"/>
          <w:sz w:val="24"/>
          <w:szCs w:val="24"/>
        </w:rPr>
        <w:t xml:space="preserve"> </w:t>
      </w:r>
      <w:r w:rsidR="00E75DA1" w:rsidRPr="002F651B">
        <w:rPr>
          <w:rFonts w:ascii="Gadugi" w:eastAsia="Georgia" w:hAnsi="Gadugi" w:cs="Georgia"/>
          <w:sz w:val="24"/>
          <w:szCs w:val="24"/>
        </w:rPr>
        <w:t xml:space="preserve">de la madrugada </w:t>
      </w:r>
      <w:r w:rsidR="00777D95" w:rsidRPr="002F651B">
        <w:rPr>
          <w:rFonts w:ascii="Gadugi" w:eastAsia="Georgia" w:hAnsi="Gadugi" w:cs="Georgia"/>
          <w:sz w:val="24"/>
          <w:szCs w:val="24"/>
        </w:rPr>
        <w:t xml:space="preserve">se dejó la primera nota que pudo haber alertado </w:t>
      </w:r>
      <w:r w:rsidR="00E75DA1" w:rsidRPr="002F651B">
        <w:rPr>
          <w:rFonts w:ascii="Gadugi" w:eastAsia="Georgia" w:hAnsi="Gadugi" w:cs="Georgia"/>
          <w:sz w:val="24"/>
          <w:szCs w:val="24"/>
        </w:rPr>
        <w:t xml:space="preserve">una </w:t>
      </w:r>
      <w:r w:rsidR="00777D95" w:rsidRPr="002F651B">
        <w:rPr>
          <w:rFonts w:ascii="Gadugi" w:eastAsia="Georgia" w:hAnsi="Gadugi" w:cs="Georgia"/>
          <w:sz w:val="24"/>
          <w:szCs w:val="24"/>
        </w:rPr>
        <w:t xml:space="preserve">paciente muy sintomática </w:t>
      </w:r>
      <w:r w:rsidR="00E75DA1" w:rsidRPr="002F651B">
        <w:rPr>
          <w:rFonts w:ascii="Gadugi" w:eastAsia="Georgia" w:hAnsi="Gadugi" w:cs="Georgia"/>
          <w:sz w:val="24"/>
          <w:szCs w:val="24"/>
        </w:rPr>
        <w:t xml:space="preserve">y, </w:t>
      </w:r>
      <w:r w:rsidR="00777D95" w:rsidRPr="002F651B">
        <w:rPr>
          <w:rFonts w:ascii="Gadugi" w:eastAsia="Georgia" w:hAnsi="Gadugi" w:cs="Georgia"/>
          <w:sz w:val="24"/>
          <w:szCs w:val="24"/>
        </w:rPr>
        <w:t>a pesar de ello</w:t>
      </w:r>
      <w:r w:rsidR="00E75DA1" w:rsidRPr="002F651B">
        <w:rPr>
          <w:rFonts w:ascii="Gadugi" w:eastAsia="Georgia" w:hAnsi="Gadugi" w:cs="Georgia"/>
          <w:sz w:val="24"/>
          <w:szCs w:val="24"/>
        </w:rPr>
        <w:t>,</w:t>
      </w:r>
      <w:r w:rsidR="00777D95" w:rsidRPr="002F651B">
        <w:rPr>
          <w:rFonts w:ascii="Gadugi" w:eastAsia="Georgia" w:hAnsi="Gadugi" w:cs="Georgia"/>
          <w:sz w:val="24"/>
          <w:szCs w:val="24"/>
        </w:rPr>
        <w:t xml:space="preserve"> solo hasta la </w:t>
      </w:r>
      <w:r w:rsidR="00925C4B" w:rsidRPr="002F651B">
        <w:rPr>
          <w:rFonts w:ascii="Gadugi" w:eastAsia="Georgia" w:hAnsi="Gadugi" w:cs="Georgia"/>
          <w:sz w:val="24"/>
          <w:szCs w:val="24"/>
        </w:rPr>
        <w:t>una de la tarde,</w:t>
      </w:r>
      <w:r w:rsidR="00777D95" w:rsidRPr="002F651B">
        <w:rPr>
          <w:rFonts w:ascii="Gadugi" w:eastAsia="Georgia" w:hAnsi="Gadugi" w:cs="Georgia"/>
          <w:sz w:val="24"/>
          <w:szCs w:val="24"/>
        </w:rPr>
        <w:t xml:space="preserve"> es decir</w:t>
      </w:r>
      <w:r w:rsidR="00925C4B" w:rsidRPr="002F651B">
        <w:rPr>
          <w:rFonts w:ascii="Gadugi" w:eastAsia="Georgia" w:hAnsi="Gadugi" w:cs="Georgia"/>
          <w:sz w:val="24"/>
          <w:szCs w:val="24"/>
        </w:rPr>
        <w:t>,</w:t>
      </w:r>
      <w:r w:rsidR="00777D95" w:rsidRPr="002F651B">
        <w:rPr>
          <w:rFonts w:ascii="Gadugi" w:eastAsia="Georgia" w:hAnsi="Gadugi" w:cs="Georgia"/>
          <w:sz w:val="24"/>
          <w:szCs w:val="24"/>
        </w:rPr>
        <w:t xml:space="preserve"> más de 13 horas después</w:t>
      </w:r>
      <w:r w:rsidR="00925C4B" w:rsidRPr="002F651B">
        <w:rPr>
          <w:rFonts w:ascii="Gadugi" w:eastAsia="Georgia" w:hAnsi="Gadugi" w:cs="Georgia"/>
          <w:sz w:val="24"/>
          <w:szCs w:val="24"/>
        </w:rPr>
        <w:t xml:space="preserve">, </w:t>
      </w:r>
      <w:r w:rsidR="00777D95" w:rsidRPr="002F651B">
        <w:rPr>
          <w:rFonts w:ascii="Gadugi" w:eastAsia="Georgia" w:hAnsi="Gadugi" w:cs="Georgia"/>
          <w:sz w:val="24"/>
          <w:szCs w:val="24"/>
        </w:rPr>
        <w:t>se consignó en una nueva evolución</w:t>
      </w:r>
      <w:r w:rsidR="00CC300B" w:rsidRPr="002F651B">
        <w:rPr>
          <w:rFonts w:ascii="Gadugi" w:eastAsia="Georgia" w:hAnsi="Gadugi" w:cs="Georgia"/>
          <w:sz w:val="24"/>
          <w:szCs w:val="24"/>
        </w:rPr>
        <w:t xml:space="preserve">; </w:t>
      </w:r>
      <w:r w:rsidR="00777D95" w:rsidRPr="002F651B">
        <w:rPr>
          <w:rFonts w:ascii="Gadugi" w:eastAsia="Georgia" w:hAnsi="Gadugi" w:cs="Georgia"/>
          <w:sz w:val="24"/>
          <w:szCs w:val="24"/>
        </w:rPr>
        <w:t>ya a las 5:37 pm</w:t>
      </w:r>
      <w:r w:rsidR="00CC300B" w:rsidRPr="002F651B">
        <w:rPr>
          <w:rFonts w:ascii="Gadugi" w:eastAsia="Georgia" w:hAnsi="Gadugi" w:cs="Georgia"/>
          <w:sz w:val="24"/>
          <w:szCs w:val="24"/>
        </w:rPr>
        <w:t>,</w:t>
      </w:r>
      <w:r w:rsidR="00777D95" w:rsidRPr="002F651B">
        <w:rPr>
          <w:rFonts w:ascii="Gadugi" w:eastAsia="Georgia" w:hAnsi="Gadugi" w:cs="Georgia"/>
          <w:sz w:val="24"/>
          <w:szCs w:val="24"/>
        </w:rPr>
        <w:t xml:space="preserve"> como plan</w:t>
      </w:r>
      <w:r w:rsidR="00CC300B" w:rsidRPr="002F651B">
        <w:rPr>
          <w:rFonts w:ascii="Gadugi" w:eastAsia="Georgia" w:hAnsi="Gadugi" w:cs="Georgia"/>
          <w:sz w:val="24"/>
          <w:szCs w:val="24"/>
        </w:rPr>
        <w:t>,</w:t>
      </w:r>
      <w:r w:rsidR="00777D95" w:rsidRPr="002F651B">
        <w:rPr>
          <w:rFonts w:ascii="Gadugi" w:eastAsia="Georgia" w:hAnsi="Gadugi" w:cs="Georgia"/>
          <w:sz w:val="24"/>
          <w:szCs w:val="24"/>
        </w:rPr>
        <w:t xml:space="preserve"> se decidió hospitalizar</w:t>
      </w:r>
      <w:r w:rsidR="00CC300B" w:rsidRPr="002F651B">
        <w:rPr>
          <w:rFonts w:ascii="Gadugi" w:eastAsia="Georgia" w:hAnsi="Gadugi" w:cs="Georgia"/>
          <w:sz w:val="24"/>
          <w:szCs w:val="24"/>
        </w:rPr>
        <w:t>,</w:t>
      </w:r>
      <w:r w:rsidR="00777D95" w:rsidRPr="002F651B">
        <w:rPr>
          <w:rFonts w:ascii="Gadugi" w:eastAsia="Georgia" w:hAnsi="Gadugi" w:cs="Georgia"/>
          <w:sz w:val="24"/>
          <w:szCs w:val="24"/>
        </w:rPr>
        <w:t xml:space="preserve"> hidratar y mandar otros exámenes</w:t>
      </w:r>
      <w:r w:rsidR="00CC300B" w:rsidRPr="002F651B">
        <w:rPr>
          <w:rFonts w:ascii="Gadugi" w:eastAsia="Georgia" w:hAnsi="Gadugi" w:cs="Georgia"/>
          <w:sz w:val="24"/>
          <w:szCs w:val="24"/>
        </w:rPr>
        <w:t>,</w:t>
      </w:r>
      <w:r w:rsidR="00777D95" w:rsidRPr="002F651B">
        <w:rPr>
          <w:rFonts w:ascii="Gadugi" w:eastAsia="Georgia" w:hAnsi="Gadugi" w:cs="Georgia"/>
          <w:sz w:val="24"/>
          <w:szCs w:val="24"/>
        </w:rPr>
        <w:t xml:space="preserve"> porque se sospechó una obstrucción parcial de vías biliares y la lógica enseña que cu</w:t>
      </w:r>
      <w:r w:rsidR="008D2858" w:rsidRPr="002F651B">
        <w:rPr>
          <w:rFonts w:ascii="Gadugi" w:eastAsia="Georgia" w:hAnsi="Gadugi" w:cs="Georgia"/>
          <w:sz w:val="24"/>
          <w:szCs w:val="24"/>
        </w:rPr>
        <w:t>an</w:t>
      </w:r>
      <w:r w:rsidR="00777D95" w:rsidRPr="002F651B">
        <w:rPr>
          <w:rFonts w:ascii="Gadugi" w:eastAsia="Georgia" w:hAnsi="Gadugi" w:cs="Georgia"/>
          <w:sz w:val="24"/>
          <w:szCs w:val="24"/>
        </w:rPr>
        <w:t>do un paciente acude a un servicio de urgencias y la atención termina en hospitalización es porque requiere un</w:t>
      </w:r>
      <w:r w:rsidR="00327DD7" w:rsidRPr="002F651B">
        <w:rPr>
          <w:rFonts w:ascii="Gadugi" w:eastAsia="Georgia" w:hAnsi="Gadugi" w:cs="Georgia"/>
          <w:sz w:val="24"/>
          <w:szCs w:val="24"/>
        </w:rPr>
        <w:t xml:space="preserve"> mayor cuidado</w:t>
      </w:r>
      <w:r w:rsidR="00777D95" w:rsidRPr="002F651B">
        <w:rPr>
          <w:rFonts w:ascii="Gadugi" w:eastAsia="Georgia" w:hAnsi="Gadugi" w:cs="Georgia"/>
          <w:sz w:val="24"/>
          <w:szCs w:val="24"/>
        </w:rPr>
        <w:t xml:space="preserve"> y estudio debido a que el plan médico original no funcion</w:t>
      </w:r>
      <w:r w:rsidR="00CC300B" w:rsidRPr="002F651B">
        <w:rPr>
          <w:rFonts w:ascii="Gadugi" w:eastAsia="Georgia" w:hAnsi="Gadugi" w:cs="Georgia"/>
          <w:sz w:val="24"/>
          <w:szCs w:val="24"/>
        </w:rPr>
        <w:t>ó</w:t>
      </w:r>
      <w:r w:rsidR="00777D95" w:rsidRPr="002F651B">
        <w:rPr>
          <w:rFonts w:ascii="Gadugi" w:eastAsia="Georgia" w:hAnsi="Gadugi" w:cs="Georgia"/>
          <w:sz w:val="24"/>
          <w:szCs w:val="24"/>
        </w:rPr>
        <w:t xml:space="preserve"> en su organismo, a pesar de</w:t>
      </w:r>
      <w:r w:rsidR="006166C7" w:rsidRPr="002F651B">
        <w:rPr>
          <w:rFonts w:ascii="Gadugi" w:eastAsia="Georgia" w:hAnsi="Gadugi" w:cs="Georgia"/>
          <w:sz w:val="24"/>
          <w:szCs w:val="24"/>
        </w:rPr>
        <w:t xml:space="preserve"> la </w:t>
      </w:r>
      <w:r w:rsidR="00777D95" w:rsidRPr="002F651B">
        <w:rPr>
          <w:rFonts w:ascii="Gadugi" w:eastAsia="Georgia" w:hAnsi="Gadugi" w:cs="Georgia"/>
          <w:sz w:val="24"/>
          <w:szCs w:val="24"/>
        </w:rPr>
        <w:t>hospitalización la señora correa de Piedrahita siguió en el servicio de urgencias de la clínica</w:t>
      </w:r>
      <w:r w:rsidR="006166C7" w:rsidRPr="002F651B">
        <w:rPr>
          <w:rFonts w:ascii="Gadugi" w:eastAsia="Georgia" w:hAnsi="Gadugi" w:cs="Georgia"/>
          <w:sz w:val="24"/>
          <w:szCs w:val="24"/>
        </w:rPr>
        <w:t>,</w:t>
      </w:r>
      <w:r w:rsidR="00777D95" w:rsidRPr="002F651B">
        <w:rPr>
          <w:rFonts w:ascii="Gadugi" w:eastAsia="Georgia" w:hAnsi="Gadugi" w:cs="Georgia"/>
          <w:sz w:val="24"/>
          <w:szCs w:val="24"/>
        </w:rPr>
        <w:t xml:space="preserve"> nunca se cumplió esa orden</w:t>
      </w:r>
      <w:r w:rsidR="006166C7" w:rsidRPr="002F651B">
        <w:rPr>
          <w:rFonts w:ascii="Gadugi" w:eastAsia="Georgia" w:hAnsi="Gadugi" w:cs="Georgia"/>
          <w:sz w:val="24"/>
          <w:szCs w:val="24"/>
        </w:rPr>
        <w:t>,</w:t>
      </w:r>
      <w:r w:rsidR="00777D95" w:rsidRPr="002F651B">
        <w:rPr>
          <w:rFonts w:ascii="Gadugi" w:eastAsia="Georgia" w:hAnsi="Gadugi" w:cs="Georgia"/>
          <w:sz w:val="24"/>
          <w:szCs w:val="24"/>
        </w:rPr>
        <w:t xml:space="preserve"> fue solo hasta el 24 de enero a las 4:41 pm que la valor</w:t>
      </w:r>
      <w:r w:rsidR="00CC300B" w:rsidRPr="002F651B">
        <w:rPr>
          <w:rFonts w:ascii="Gadugi" w:eastAsia="Georgia" w:hAnsi="Gadugi" w:cs="Georgia"/>
          <w:sz w:val="24"/>
          <w:szCs w:val="24"/>
        </w:rPr>
        <w:t>ó</w:t>
      </w:r>
      <w:r w:rsidR="00777D95" w:rsidRPr="002F651B">
        <w:rPr>
          <w:rFonts w:ascii="Gadugi" w:eastAsia="Georgia" w:hAnsi="Gadugi" w:cs="Georgia"/>
          <w:sz w:val="24"/>
          <w:szCs w:val="24"/>
        </w:rPr>
        <w:t xml:space="preserve"> el cirujano general con una segunda señal de alerta en cuanto encontró a la paciente con una evolución hacia el emp</w:t>
      </w:r>
      <w:r w:rsidR="008A17EC" w:rsidRPr="002F651B">
        <w:rPr>
          <w:rFonts w:ascii="Gadugi" w:eastAsia="Georgia" w:hAnsi="Gadugi" w:cs="Georgia"/>
          <w:sz w:val="24"/>
          <w:szCs w:val="24"/>
        </w:rPr>
        <w:t>eoramiento</w:t>
      </w:r>
      <w:r w:rsidR="00777D95" w:rsidRPr="002F651B">
        <w:rPr>
          <w:rFonts w:ascii="Gadugi" w:eastAsia="Georgia" w:hAnsi="Gadugi" w:cs="Georgia"/>
          <w:sz w:val="24"/>
          <w:szCs w:val="24"/>
        </w:rPr>
        <w:t xml:space="preserve"> y se ordenó su evaluación urgente con imágenes y se tomó la decisión de enviarla con una nota de urgencia vital hacia un nivel 3 de complejidad</w:t>
      </w:r>
      <w:r w:rsidR="008A17EC" w:rsidRPr="002F651B">
        <w:rPr>
          <w:rFonts w:ascii="Gadugi" w:eastAsia="Georgia" w:hAnsi="Gadugi" w:cs="Georgia"/>
          <w:sz w:val="24"/>
          <w:szCs w:val="24"/>
        </w:rPr>
        <w:t>. Pero esa</w:t>
      </w:r>
      <w:r w:rsidR="00777D95" w:rsidRPr="002F651B">
        <w:rPr>
          <w:rFonts w:ascii="Gadugi" w:eastAsia="Georgia" w:hAnsi="Gadugi" w:cs="Georgia"/>
          <w:sz w:val="24"/>
          <w:szCs w:val="24"/>
        </w:rPr>
        <w:t xml:space="preserve"> nota de urgencia vital tampoco fue atendida por la </w:t>
      </w:r>
      <w:r w:rsidR="008A17EC" w:rsidRPr="002F651B">
        <w:rPr>
          <w:rFonts w:ascii="Gadugi" w:eastAsia="Georgia" w:hAnsi="Gadugi" w:cs="Georgia"/>
          <w:sz w:val="24"/>
          <w:szCs w:val="24"/>
        </w:rPr>
        <w:t>IPS</w:t>
      </w:r>
      <w:r w:rsidR="006C4BEE" w:rsidRPr="002F651B">
        <w:rPr>
          <w:rFonts w:ascii="Gadugi" w:eastAsia="Georgia" w:hAnsi="Gadugi" w:cs="Georgia"/>
          <w:sz w:val="24"/>
          <w:szCs w:val="24"/>
        </w:rPr>
        <w:t xml:space="preserve"> y la EPS, y s</w:t>
      </w:r>
      <w:r w:rsidR="00777D95" w:rsidRPr="002F651B">
        <w:rPr>
          <w:rFonts w:ascii="Gadugi" w:eastAsia="Georgia" w:hAnsi="Gadugi" w:cs="Georgia"/>
          <w:sz w:val="24"/>
          <w:szCs w:val="24"/>
        </w:rPr>
        <w:t>egún los médicos que declararon</w:t>
      </w:r>
      <w:r w:rsidR="006C4BEE" w:rsidRPr="002F651B">
        <w:rPr>
          <w:rFonts w:ascii="Gadugi" w:eastAsia="Georgia" w:hAnsi="Gadugi" w:cs="Georgia"/>
          <w:sz w:val="24"/>
          <w:szCs w:val="24"/>
        </w:rPr>
        <w:t>,</w:t>
      </w:r>
      <w:r w:rsidR="00777D95" w:rsidRPr="002F651B">
        <w:rPr>
          <w:rFonts w:ascii="Gadugi" w:eastAsia="Georgia" w:hAnsi="Gadugi" w:cs="Georgia"/>
          <w:sz w:val="24"/>
          <w:szCs w:val="24"/>
        </w:rPr>
        <w:t xml:space="preserve"> esta clase de urgencia vital debe ser atendida en un plazo máximo de una hora </w:t>
      </w:r>
      <w:r w:rsidR="005B3913" w:rsidRPr="002F651B">
        <w:rPr>
          <w:rFonts w:ascii="Gadugi" w:eastAsia="Georgia" w:hAnsi="Gadugi" w:cs="Georgia"/>
          <w:sz w:val="24"/>
          <w:szCs w:val="24"/>
        </w:rPr>
        <w:t xml:space="preserve">o dos. Aun con esa nota de </w:t>
      </w:r>
      <w:r w:rsidR="00777D95" w:rsidRPr="002F651B">
        <w:rPr>
          <w:rFonts w:ascii="Gadugi" w:eastAsia="Georgia" w:hAnsi="Gadugi" w:cs="Georgia"/>
          <w:sz w:val="24"/>
          <w:szCs w:val="24"/>
        </w:rPr>
        <w:t>urgencia vital que fue dada el 24 de enero de 2015 a las 4:41pm</w:t>
      </w:r>
      <w:r w:rsidR="00412490" w:rsidRPr="002F651B">
        <w:rPr>
          <w:rFonts w:ascii="Gadugi" w:eastAsia="Georgia" w:hAnsi="Gadugi" w:cs="Georgia"/>
          <w:sz w:val="24"/>
          <w:szCs w:val="24"/>
        </w:rPr>
        <w:t>,</w:t>
      </w:r>
      <w:r w:rsidR="00777D95" w:rsidRPr="002F651B">
        <w:rPr>
          <w:rFonts w:ascii="Gadugi" w:eastAsia="Georgia" w:hAnsi="Gadugi" w:cs="Georgia"/>
          <w:sz w:val="24"/>
          <w:szCs w:val="24"/>
        </w:rPr>
        <w:t xml:space="preserve"> solo el 25 de </w:t>
      </w:r>
      <w:r w:rsidR="00412490" w:rsidRPr="002F651B">
        <w:rPr>
          <w:rFonts w:ascii="Gadugi" w:eastAsia="Georgia" w:hAnsi="Gadugi" w:cs="Georgia"/>
          <w:sz w:val="24"/>
          <w:szCs w:val="24"/>
        </w:rPr>
        <w:t xml:space="preserve">ese mes a las </w:t>
      </w:r>
      <w:r w:rsidR="00777D95" w:rsidRPr="002F651B">
        <w:rPr>
          <w:rFonts w:ascii="Gadugi" w:eastAsia="Georgia" w:hAnsi="Gadugi" w:cs="Georgia"/>
          <w:sz w:val="24"/>
          <w:szCs w:val="24"/>
        </w:rPr>
        <w:t>7:01 am</w:t>
      </w:r>
      <w:r w:rsidR="00412490" w:rsidRPr="002F651B">
        <w:rPr>
          <w:rFonts w:ascii="Gadugi" w:eastAsia="Georgia" w:hAnsi="Gadugi" w:cs="Georgia"/>
          <w:sz w:val="24"/>
          <w:szCs w:val="24"/>
        </w:rPr>
        <w:t>,</w:t>
      </w:r>
      <w:r w:rsidR="00777D95" w:rsidRPr="002F651B">
        <w:rPr>
          <w:rFonts w:ascii="Gadugi" w:eastAsia="Georgia" w:hAnsi="Gadugi" w:cs="Georgia"/>
          <w:sz w:val="24"/>
          <w:szCs w:val="24"/>
        </w:rPr>
        <w:t xml:space="preserve"> es decir casi 15 horas después</w:t>
      </w:r>
      <w:r w:rsidR="00412490" w:rsidRPr="002F651B">
        <w:rPr>
          <w:rFonts w:ascii="Gadugi" w:eastAsia="Georgia" w:hAnsi="Gadugi" w:cs="Georgia"/>
          <w:sz w:val="24"/>
          <w:szCs w:val="24"/>
        </w:rPr>
        <w:t>,</w:t>
      </w:r>
      <w:r w:rsidR="00777D95" w:rsidRPr="002F651B">
        <w:rPr>
          <w:rFonts w:ascii="Gadugi" w:eastAsia="Georgia" w:hAnsi="Gadugi" w:cs="Georgia"/>
          <w:sz w:val="24"/>
          <w:szCs w:val="24"/>
        </w:rPr>
        <w:t xml:space="preserve"> fue recibida la clínica </w:t>
      </w:r>
      <w:proofErr w:type="spellStart"/>
      <w:r w:rsidR="00777D95" w:rsidRPr="002F651B">
        <w:rPr>
          <w:rFonts w:ascii="Gadugi" w:eastAsia="Georgia" w:hAnsi="Gadugi" w:cs="Georgia"/>
          <w:sz w:val="24"/>
          <w:szCs w:val="24"/>
        </w:rPr>
        <w:t>Dumian</w:t>
      </w:r>
      <w:proofErr w:type="spellEnd"/>
      <w:r w:rsidR="00412490" w:rsidRPr="002F651B">
        <w:rPr>
          <w:rFonts w:ascii="Gadugi" w:eastAsia="Georgia" w:hAnsi="Gadugi" w:cs="Georgia"/>
          <w:sz w:val="24"/>
          <w:szCs w:val="24"/>
        </w:rPr>
        <w:t xml:space="preserve">, tiempo que </w:t>
      </w:r>
      <w:r w:rsidR="00777D95" w:rsidRPr="002F651B">
        <w:rPr>
          <w:rFonts w:ascii="Gadugi" w:eastAsia="Georgia" w:hAnsi="Gadugi" w:cs="Georgia"/>
          <w:sz w:val="24"/>
          <w:szCs w:val="24"/>
        </w:rPr>
        <w:t>no se compadece con la urgencia vital con la que cursaba la señora María Nora</w:t>
      </w:r>
      <w:r w:rsidR="003E556B" w:rsidRPr="002F651B">
        <w:rPr>
          <w:rFonts w:ascii="Gadugi" w:eastAsia="Georgia" w:hAnsi="Gadugi" w:cs="Georgia"/>
          <w:sz w:val="24"/>
          <w:szCs w:val="24"/>
        </w:rPr>
        <w:t>. La re</w:t>
      </w:r>
      <w:r w:rsidR="00777D95" w:rsidRPr="002F651B">
        <w:rPr>
          <w:rFonts w:ascii="Gadugi" w:eastAsia="Georgia" w:hAnsi="Gadugi" w:cs="Georgia"/>
          <w:sz w:val="24"/>
          <w:szCs w:val="24"/>
        </w:rPr>
        <w:t>acción y</w:t>
      </w:r>
      <w:r w:rsidR="003E556B" w:rsidRPr="002F651B">
        <w:rPr>
          <w:rFonts w:ascii="Gadugi" w:eastAsia="Georgia" w:hAnsi="Gadugi" w:cs="Georgia"/>
          <w:sz w:val="24"/>
          <w:szCs w:val="24"/>
        </w:rPr>
        <w:t xml:space="preserve"> la</w:t>
      </w:r>
      <w:r w:rsidR="00777D95" w:rsidRPr="002F651B">
        <w:rPr>
          <w:rFonts w:ascii="Gadugi" w:eastAsia="Georgia" w:hAnsi="Gadugi" w:cs="Georgia"/>
          <w:sz w:val="24"/>
          <w:szCs w:val="24"/>
        </w:rPr>
        <w:t xml:space="preserve"> respuesta de la institución donde fue internada y también la de su </w:t>
      </w:r>
      <w:r w:rsidR="003E556B" w:rsidRPr="002F651B">
        <w:rPr>
          <w:rFonts w:ascii="Gadugi" w:eastAsia="Georgia" w:hAnsi="Gadugi" w:cs="Georgia"/>
          <w:sz w:val="24"/>
          <w:szCs w:val="24"/>
        </w:rPr>
        <w:t>IPS</w:t>
      </w:r>
      <w:r w:rsidR="00777D95" w:rsidRPr="002F651B">
        <w:rPr>
          <w:rFonts w:ascii="Gadugi" w:eastAsia="Georgia" w:hAnsi="Gadugi" w:cs="Georgia"/>
          <w:sz w:val="24"/>
          <w:szCs w:val="24"/>
        </w:rPr>
        <w:t xml:space="preserve"> debió ser dada en un tiempo inferior</w:t>
      </w:r>
      <w:r w:rsidR="001B38CF" w:rsidRPr="002F651B">
        <w:rPr>
          <w:rFonts w:ascii="Gadugi" w:eastAsia="Georgia" w:hAnsi="Gadugi" w:cs="Georgia"/>
          <w:sz w:val="24"/>
          <w:szCs w:val="24"/>
        </w:rPr>
        <w:t xml:space="preserve">; no obstante, recalca el juzgado, </w:t>
      </w:r>
      <w:r w:rsidR="00777D95" w:rsidRPr="002F651B">
        <w:rPr>
          <w:rFonts w:ascii="Gadugi" w:eastAsia="Georgia" w:hAnsi="Gadugi" w:cs="Georgia"/>
          <w:sz w:val="24"/>
          <w:szCs w:val="24"/>
        </w:rPr>
        <w:t>en la historia clínica se dejó expresa constancia</w:t>
      </w:r>
      <w:r w:rsidR="001B38CF" w:rsidRPr="002F651B">
        <w:rPr>
          <w:rFonts w:ascii="Gadugi" w:eastAsia="Georgia" w:hAnsi="Gadugi" w:cs="Georgia"/>
          <w:sz w:val="24"/>
          <w:szCs w:val="24"/>
        </w:rPr>
        <w:t>,</w:t>
      </w:r>
      <w:r w:rsidR="00777D95" w:rsidRPr="002F651B">
        <w:rPr>
          <w:rFonts w:ascii="Gadugi" w:eastAsia="Georgia" w:hAnsi="Gadugi" w:cs="Georgia"/>
          <w:sz w:val="24"/>
          <w:szCs w:val="24"/>
        </w:rPr>
        <w:t xml:space="preserve"> antes de la remisión efectiva a la 1:55 am</w:t>
      </w:r>
      <w:r w:rsidR="001B38CF" w:rsidRPr="002F651B">
        <w:rPr>
          <w:rFonts w:ascii="Gadugi" w:eastAsia="Georgia" w:hAnsi="Gadugi" w:cs="Georgia"/>
          <w:sz w:val="24"/>
          <w:szCs w:val="24"/>
        </w:rPr>
        <w:t>,</w:t>
      </w:r>
      <w:r w:rsidR="00777D95" w:rsidRPr="002F651B">
        <w:rPr>
          <w:rFonts w:ascii="Gadugi" w:eastAsia="Georgia" w:hAnsi="Gadugi" w:cs="Georgia"/>
          <w:sz w:val="24"/>
          <w:szCs w:val="24"/>
        </w:rPr>
        <w:t xml:space="preserve"> de lo siguiente “</w:t>
      </w:r>
      <w:r w:rsidR="00777D95" w:rsidRPr="001700AA">
        <w:rPr>
          <w:rFonts w:ascii="Gadugi" w:eastAsia="Georgia" w:hAnsi="Gadugi" w:cs="Georgia"/>
          <w:i/>
          <w:iCs/>
          <w:szCs w:val="24"/>
        </w:rPr>
        <w:t>paciente a quien hace muchas horas se le ordenó revisión con urgencia vital a UCI pero aún no se consigue cama disponible</w:t>
      </w:r>
      <w:r w:rsidR="00777D95" w:rsidRPr="002F651B">
        <w:rPr>
          <w:rFonts w:ascii="Gadugi" w:eastAsia="Georgia" w:hAnsi="Gadugi" w:cs="Georgia"/>
          <w:sz w:val="24"/>
          <w:szCs w:val="24"/>
        </w:rPr>
        <w:t>”</w:t>
      </w:r>
      <w:r w:rsidR="00C82A78" w:rsidRPr="002F651B">
        <w:rPr>
          <w:rFonts w:ascii="Gadugi" w:eastAsia="Georgia" w:hAnsi="Gadugi" w:cs="Georgia"/>
          <w:sz w:val="24"/>
          <w:szCs w:val="24"/>
        </w:rPr>
        <w:t>,</w:t>
      </w:r>
      <w:r w:rsidR="00777D95" w:rsidRPr="002F651B">
        <w:rPr>
          <w:rFonts w:ascii="Gadugi" w:eastAsia="Georgia" w:hAnsi="Gadugi" w:cs="Georgia"/>
          <w:sz w:val="24"/>
          <w:szCs w:val="24"/>
        </w:rPr>
        <w:t xml:space="preserve"> “</w:t>
      </w:r>
      <w:r w:rsidR="00777D95" w:rsidRPr="00571A10">
        <w:rPr>
          <w:rFonts w:ascii="Gadugi" w:eastAsia="Georgia" w:hAnsi="Gadugi" w:cs="Georgia"/>
          <w:i/>
          <w:iCs/>
          <w:szCs w:val="24"/>
        </w:rPr>
        <w:t>Se insiste a su EPS para remisión como urgencia vital</w:t>
      </w:r>
      <w:r w:rsidR="00777D95" w:rsidRPr="00571A10">
        <w:rPr>
          <w:rFonts w:ascii="Gadugi" w:eastAsia="Georgia" w:hAnsi="Gadugi" w:cs="Georgia"/>
          <w:szCs w:val="24"/>
        </w:rPr>
        <w:t>”</w:t>
      </w:r>
      <w:r w:rsidR="00C82A78" w:rsidRPr="00571A10">
        <w:rPr>
          <w:rFonts w:ascii="Gadugi" w:eastAsia="Georgia" w:hAnsi="Gadugi" w:cs="Georgia"/>
          <w:szCs w:val="24"/>
        </w:rPr>
        <w:t>,</w:t>
      </w:r>
      <w:r w:rsidR="00777D95" w:rsidRPr="00571A10">
        <w:rPr>
          <w:rFonts w:ascii="Gadugi" w:eastAsia="Georgia" w:hAnsi="Gadugi" w:cs="Georgia"/>
          <w:szCs w:val="24"/>
        </w:rPr>
        <w:t xml:space="preserve"> “</w:t>
      </w:r>
      <w:r w:rsidR="00777D95" w:rsidRPr="00571A10">
        <w:rPr>
          <w:rFonts w:ascii="Gadugi" w:eastAsia="Georgia" w:hAnsi="Gadugi" w:cs="Georgia"/>
          <w:i/>
          <w:iCs/>
          <w:szCs w:val="24"/>
        </w:rPr>
        <w:t>nos comunicamos en muchas ocasiones a la EPS donde no dan solución a traslado de paciente dicen que no hay ambulancias para traslado medicalizado</w:t>
      </w:r>
      <w:r w:rsidR="00777D95" w:rsidRPr="002F651B">
        <w:rPr>
          <w:rFonts w:ascii="Gadugi" w:eastAsia="Georgia" w:hAnsi="Gadugi" w:cs="Georgia"/>
          <w:sz w:val="24"/>
          <w:szCs w:val="24"/>
        </w:rPr>
        <w:t>”</w:t>
      </w:r>
      <w:r w:rsidR="00C82A78" w:rsidRPr="002F651B">
        <w:rPr>
          <w:rFonts w:ascii="Gadugi" w:eastAsia="Georgia" w:hAnsi="Gadugi" w:cs="Georgia"/>
          <w:sz w:val="24"/>
          <w:szCs w:val="24"/>
        </w:rPr>
        <w:t>,</w:t>
      </w:r>
      <w:r w:rsidR="00777D95" w:rsidRPr="002F651B">
        <w:rPr>
          <w:rFonts w:ascii="Gadugi" w:eastAsia="Georgia" w:hAnsi="Gadugi" w:cs="Georgia"/>
          <w:sz w:val="24"/>
          <w:szCs w:val="24"/>
        </w:rPr>
        <w:t xml:space="preserve"> es decir</w:t>
      </w:r>
      <w:r w:rsidR="00C82A78" w:rsidRPr="002F651B">
        <w:rPr>
          <w:rFonts w:ascii="Gadugi" w:eastAsia="Georgia" w:hAnsi="Gadugi" w:cs="Georgia"/>
          <w:sz w:val="24"/>
          <w:szCs w:val="24"/>
        </w:rPr>
        <w:t>,</w:t>
      </w:r>
      <w:r w:rsidR="00777D95" w:rsidRPr="002F651B">
        <w:rPr>
          <w:rFonts w:ascii="Gadugi" w:eastAsia="Georgia" w:hAnsi="Gadugi" w:cs="Georgia"/>
          <w:sz w:val="24"/>
          <w:szCs w:val="24"/>
        </w:rPr>
        <w:t xml:space="preserve"> varios tropiezos</w:t>
      </w:r>
      <w:r w:rsidR="00C82A78" w:rsidRPr="002F651B">
        <w:rPr>
          <w:rFonts w:ascii="Gadugi" w:eastAsia="Georgia" w:hAnsi="Gadugi" w:cs="Georgia"/>
          <w:sz w:val="24"/>
          <w:szCs w:val="24"/>
        </w:rPr>
        <w:t>:</w:t>
      </w:r>
      <w:r w:rsidR="00777D95" w:rsidRPr="002F651B">
        <w:rPr>
          <w:rFonts w:ascii="Gadugi" w:eastAsia="Georgia" w:hAnsi="Gadugi" w:cs="Georgia"/>
          <w:sz w:val="24"/>
          <w:szCs w:val="24"/>
        </w:rPr>
        <w:t xml:space="preserve"> primero no había cama</w:t>
      </w:r>
      <w:r w:rsidR="00C82A78" w:rsidRPr="002F651B">
        <w:rPr>
          <w:rFonts w:ascii="Gadugi" w:eastAsia="Georgia" w:hAnsi="Gadugi" w:cs="Georgia"/>
          <w:sz w:val="24"/>
          <w:szCs w:val="24"/>
        </w:rPr>
        <w:t>,</w:t>
      </w:r>
      <w:r w:rsidR="00777D95" w:rsidRPr="002F651B">
        <w:rPr>
          <w:rFonts w:ascii="Gadugi" w:eastAsia="Georgia" w:hAnsi="Gadugi" w:cs="Georgia"/>
          <w:sz w:val="24"/>
          <w:szCs w:val="24"/>
        </w:rPr>
        <w:t xml:space="preserve"> segundo no había ambulancia mientras la paciente esperaba que su urgencia vital fuera atendida</w:t>
      </w:r>
      <w:r w:rsidR="00C82A78" w:rsidRPr="002F651B">
        <w:rPr>
          <w:rFonts w:ascii="Gadugi" w:eastAsia="Georgia" w:hAnsi="Gadugi" w:cs="Georgia"/>
          <w:sz w:val="24"/>
          <w:szCs w:val="24"/>
        </w:rPr>
        <w:t>.</w:t>
      </w:r>
      <w:r w:rsidR="00777D95" w:rsidRPr="002F651B">
        <w:rPr>
          <w:rFonts w:ascii="Gadugi" w:eastAsia="Georgia" w:hAnsi="Gadugi" w:cs="Georgia"/>
          <w:sz w:val="24"/>
          <w:szCs w:val="24"/>
        </w:rPr>
        <w:t xml:space="preserve"> </w:t>
      </w:r>
      <w:r w:rsidR="00C82A78" w:rsidRPr="002F651B">
        <w:rPr>
          <w:rFonts w:ascii="Gadugi" w:eastAsia="Georgia" w:hAnsi="Gadugi" w:cs="Georgia"/>
          <w:sz w:val="24"/>
          <w:szCs w:val="24"/>
        </w:rPr>
        <w:t xml:space="preserve">Por todos </w:t>
      </w:r>
      <w:r w:rsidR="00777D95" w:rsidRPr="002F651B">
        <w:rPr>
          <w:rFonts w:ascii="Gadugi" w:eastAsia="Georgia" w:hAnsi="Gadugi" w:cs="Georgia"/>
          <w:sz w:val="24"/>
          <w:szCs w:val="24"/>
        </w:rPr>
        <w:t>esos hechos</w:t>
      </w:r>
      <w:r w:rsidR="009045FB" w:rsidRPr="002F651B">
        <w:rPr>
          <w:rFonts w:ascii="Gadugi" w:eastAsia="Georgia" w:hAnsi="Gadugi" w:cs="Georgia"/>
          <w:sz w:val="24"/>
          <w:szCs w:val="24"/>
        </w:rPr>
        <w:t xml:space="preserve">, consideró que hubo </w:t>
      </w:r>
      <w:r w:rsidR="00777D95" w:rsidRPr="002F651B">
        <w:rPr>
          <w:rFonts w:ascii="Gadugi" w:eastAsia="Georgia" w:hAnsi="Gadugi" w:cs="Georgia"/>
          <w:sz w:val="24"/>
          <w:szCs w:val="24"/>
        </w:rPr>
        <w:t>negligencia por parte</w:t>
      </w:r>
      <w:r w:rsidR="009045FB" w:rsidRPr="002F651B">
        <w:rPr>
          <w:rFonts w:ascii="Gadugi" w:eastAsia="Georgia" w:hAnsi="Gadugi" w:cs="Georgia"/>
          <w:sz w:val="24"/>
          <w:szCs w:val="24"/>
        </w:rPr>
        <w:t>,</w:t>
      </w:r>
      <w:r w:rsidR="00777D95" w:rsidRPr="002F651B">
        <w:rPr>
          <w:rFonts w:ascii="Gadugi" w:eastAsia="Georgia" w:hAnsi="Gadugi" w:cs="Georgia"/>
          <w:sz w:val="24"/>
          <w:szCs w:val="24"/>
        </w:rPr>
        <w:t xml:space="preserve"> no solo de la IPS</w:t>
      </w:r>
      <w:r w:rsidR="009045FB" w:rsidRPr="002F651B">
        <w:rPr>
          <w:rFonts w:ascii="Gadugi" w:eastAsia="Georgia" w:hAnsi="Gadugi" w:cs="Georgia"/>
          <w:sz w:val="24"/>
          <w:szCs w:val="24"/>
        </w:rPr>
        <w:t>,</w:t>
      </w:r>
      <w:r w:rsidR="00777D95" w:rsidRPr="002F651B">
        <w:rPr>
          <w:rFonts w:ascii="Gadugi" w:eastAsia="Georgia" w:hAnsi="Gadugi" w:cs="Georgia"/>
          <w:sz w:val="24"/>
          <w:szCs w:val="24"/>
        </w:rPr>
        <w:t xml:space="preserve"> que debió gestionar algo adicional para que la paciente recibiera los cuidado</w:t>
      </w:r>
      <w:r w:rsidR="009045FB" w:rsidRPr="002F651B">
        <w:rPr>
          <w:rFonts w:ascii="Gadugi" w:eastAsia="Georgia" w:hAnsi="Gadugi" w:cs="Georgia"/>
          <w:sz w:val="24"/>
          <w:szCs w:val="24"/>
        </w:rPr>
        <w:t>s</w:t>
      </w:r>
      <w:r w:rsidR="00777D95" w:rsidRPr="002F651B">
        <w:rPr>
          <w:rFonts w:ascii="Gadugi" w:eastAsia="Georgia" w:hAnsi="Gadugi" w:cs="Georgia"/>
          <w:sz w:val="24"/>
          <w:szCs w:val="24"/>
        </w:rPr>
        <w:t xml:space="preserve"> que requería</w:t>
      </w:r>
      <w:r w:rsidR="009045FB" w:rsidRPr="002F651B">
        <w:rPr>
          <w:rFonts w:ascii="Gadugi" w:eastAsia="Georgia" w:hAnsi="Gadugi" w:cs="Georgia"/>
          <w:sz w:val="24"/>
          <w:szCs w:val="24"/>
        </w:rPr>
        <w:t>,</w:t>
      </w:r>
      <w:r w:rsidR="00777D95" w:rsidRPr="002F651B">
        <w:rPr>
          <w:rFonts w:ascii="Gadugi" w:eastAsia="Georgia" w:hAnsi="Gadugi" w:cs="Georgia"/>
          <w:sz w:val="24"/>
          <w:szCs w:val="24"/>
        </w:rPr>
        <w:t xml:space="preserve"> sino de la EPS que</w:t>
      </w:r>
      <w:r w:rsidR="000058FE" w:rsidRPr="002F651B">
        <w:rPr>
          <w:rFonts w:ascii="Gadugi" w:eastAsia="Georgia" w:hAnsi="Gadugi" w:cs="Georgia"/>
          <w:sz w:val="24"/>
          <w:szCs w:val="24"/>
        </w:rPr>
        <w:t>,</w:t>
      </w:r>
      <w:r w:rsidR="00777D95" w:rsidRPr="002F651B">
        <w:rPr>
          <w:rFonts w:ascii="Gadugi" w:eastAsia="Georgia" w:hAnsi="Gadugi" w:cs="Georgia"/>
          <w:sz w:val="24"/>
          <w:szCs w:val="24"/>
        </w:rPr>
        <w:t xml:space="preserve"> según las constancias que se dejaron </w:t>
      </w:r>
      <w:r w:rsidR="000058FE" w:rsidRPr="002F651B">
        <w:rPr>
          <w:rFonts w:ascii="Gadugi" w:eastAsia="Georgia" w:hAnsi="Gadugi" w:cs="Georgia"/>
          <w:sz w:val="24"/>
          <w:szCs w:val="24"/>
        </w:rPr>
        <w:t>en</w:t>
      </w:r>
      <w:r w:rsidR="00777D95" w:rsidRPr="002F651B">
        <w:rPr>
          <w:rFonts w:ascii="Gadugi" w:eastAsia="Georgia" w:hAnsi="Gadugi" w:cs="Georgia"/>
          <w:sz w:val="24"/>
          <w:szCs w:val="24"/>
        </w:rPr>
        <w:t xml:space="preserve"> la historia clínica</w:t>
      </w:r>
      <w:r w:rsidR="000058FE" w:rsidRPr="002F651B">
        <w:rPr>
          <w:rFonts w:ascii="Gadugi" w:eastAsia="Georgia" w:hAnsi="Gadugi" w:cs="Georgia"/>
          <w:sz w:val="24"/>
          <w:szCs w:val="24"/>
        </w:rPr>
        <w:t>,</w:t>
      </w:r>
      <w:r w:rsidR="00777D95" w:rsidRPr="002F651B">
        <w:rPr>
          <w:rFonts w:ascii="Gadugi" w:eastAsia="Georgia" w:hAnsi="Gadugi" w:cs="Georgia"/>
          <w:sz w:val="24"/>
          <w:szCs w:val="24"/>
        </w:rPr>
        <w:t xml:space="preserve"> no colabor</w:t>
      </w:r>
      <w:r w:rsidR="000058FE" w:rsidRPr="002F651B">
        <w:rPr>
          <w:rFonts w:ascii="Gadugi" w:eastAsia="Georgia" w:hAnsi="Gadugi" w:cs="Georgia"/>
          <w:sz w:val="24"/>
          <w:szCs w:val="24"/>
        </w:rPr>
        <w:t>ó,</w:t>
      </w:r>
      <w:r w:rsidR="00777D95" w:rsidRPr="002F651B">
        <w:rPr>
          <w:rFonts w:ascii="Gadugi" w:eastAsia="Georgia" w:hAnsi="Gadugi" w:cs="Georgia"/>
          <w:sz w:val="24"/>
          <w:szCs w:val="24"/>
        </w:rPr>
        <w:t xml:space="preserve"> como debió hacerlo</w:t>
      </w:r>
      <w:r w:rsidR="000058FE" w:rsidRPr="002F651B">
        <w:rPr>
          <w:rFonts w:ascii="Gadugi" w:eastAsia="Georgia" w:hAnsi="Gadugi" w:cs="Georgia"/>
          <w:sz w:val="24"/>
          <w:szCs w:val="24"/>
        </w:rPr>
        <w:t>,</w:t>
      </w:r>
      <w:r w:rsidR="00777D95" w:rsidRPr="002F651B">
        <w:rPr>
          <w:rFonts w:ascii="Gadugi" w:eastAsia="Georgia" w:hAnsi="Gadugi" w:cs="Georgia"/>
          <w:sz w:val="24"/>
          <w:szCs w:val="24"/>
        </w:rPr>
        <w:t xml:space="preserve"> para lograr el traslado de su afiliada para recibir atención integral</w:t>
      </w:r>
      <w:r w:rsidR="009045FB" w:rsidRPr="002F651B">
        <w:rPr>
          <w:rFonts w:ascii="Gadugi" w:eastAsia="Georgia" w:hAnsi="Gadugi" w:cs="Georgia"/>
          <w:sz w:val="24"/>
          <w:szCs w:val="24"/>
        </w:rPr>
        <w:t xml:space="preserve">. </w:t>
      </w:r>
    </w:p>
    <w:p w14:paraId="1909726E" w14:textId="77777777" w:rsidR="00272BD6" w:rsidRPr="002F651B" w:rsidRDefault="00272BD6" w:rsidP="002F651B">
      <w:pPr>
        <w:pStyle w:val="Prrafodelista"/>
        <w:tabs>
          <w:tab w:val="left" w:pos="709"/>
          <w:tab w:val="left" w:pos="2410"/>
        </w:tabs>
        <w:ind w:left="0"/>
        <w:jc w:val="both"/>
        <w:rPr>
          <w:rFonts w:ascii="Gadugi" w:eastAsia="Georgia" w:hAnsi="Gadugi" w:cs="Georgia"/>
          <w:sz w:val="24"/>
          <w:szCs w:val="24"/>
        </w:rPr>
      </w:pPr>
    </w:p>
    <w:p w14:paraId="69E48AEC" w14:textId="235F45E7" w:rsidR="00777D95" w:rsidRPr="002F651B" w:rsidRDefault="009045FB" w:rsidP="002F651B">
      <w:pPr>
        <w:pStyle w:val="Prrafodelista"/>
        <w:tabs>
          <w:tab w:val="left" w:pos="709"/>
          <w:tab w:val="left" w:pos="2410"/>
        </w:tabs>
        <w:ind w:left="0"/>
        <w:jc w:val="both"/>
        <w:rPr>
          <w:rFonts w:ascii="Gadugi" w:eastAsia="Georgia" w:hAnsi="Gadugi" w:cs="Georgia"/>
          <w:sz w:val="24"/>
          <w:szCs w:val="24"/>
        </w:rPr>
      </w:pPr>
      <w:r w:rsidRPr="002F651B">
        <w:rPr>
          <w:rFonts w:ascii="Gadugi" w:eastAsia="Georgia" w:hAnsi="Gadugi" w:cs="Georgia"/>
          <w:sz w:val="24"/>
          <w:szCs w:val="24"/>
        </w:rPr>
        <w:t>Y concluyó</w:t>
      </w:r>
      <w:r w:rsidR="00A80F14" w:rsidRPr="002F651B">
        <w:rPr>
          <w:rFonts w:ascii="Gadugi" w:eastAsia="Georgia" w:hAnsi="Gadugi" w:cs="Georgia"/>
          <w:sz w:val="24"/>
          <w:szCs w:val="24"/>
        </w:rPr>
        <w:t xml:space="preserve"> que no </w:t>
      </w:r>
      <w:r w:rsidR="00777D95" w:rsidRPr="002F651B">
        <w:rPr>
          <w:rFonts w:ascii="Gadugi" w:eastAsia="Georgia" w:hAnsi="Gadugi" w:cs="Georgia"/>
          <w:sz w:val="24"/>
          <w:szCs w:val="24"/>
        </w:rPr>
        <w:t>p</w:t>
      </w:r>
      <w:r w:rsidR="00A80F14" w:rsidRPr="002F651B">
        <w:rPr>
          <w:rFonts w:ascii="Gadugi" w:eastAsia="Georgia" w:hAnsi="Gadugi" w:cs="Georgia"/>
          <w:sz w:val="24"/>
          <w:szCs w:val="24"/>
        </w:rPr>
        <w:t>odía</w:t>
      </w:r>
      <w:r w:rsidR="00777D95" w:rsidRPr="002F651B">
        <w:rPr>
          <w:rFonts w:ascii="Gadugi" w:eastAsia="Georgia" w:hAnsi="Gadugi" w:cs="Georgia"/>
          <w:sz w:val="24"/>
          <w:szCs w:val="24"/>
        </w:rPr>
        <w:t xml:space="preserve"> servir de excusa lo </w:t>
      </w:r>
      <w:r w:rsidR="00A80F14" w:rsidRPr="002F651B">
        <w:rPr>
          <w:rFonts w:ascii="Gadugi" w:eastAsia="Georgia" w:hAnsi="Gadugi" w:cs="Georgia"/>
          <w:sz w:val="24"/>
          <w:szCs w:val="24"/>
        </w:rPr>
        <w:t xml:space="preserve">que alegó la EPS, </w:t>
      </w:r>
      <w:r w:rsidR="00777D95" w:rsidRPr="002F651B">
        <w:rPr>
          <w:rFonts w:ascii="Gadugi" w:eastAsia="Georgia" w:hAnsi="Gadugi" w:cs="Georgia"/>
          <w:sz w:val="24"/>
          <w:szCs w:val="24"/>
        </w:rPr>
        <w:t xml:space="preserve">en cuanto a que deben cumplirse algunos protocolos para gestionar el traslado de un paciente y que en casos especiales puede la </w:t>
      </w:r>
      <w:r w:rsidR="0085671F" w:rsidRPr="002F651B">
        <w:rPr>
          <w:rFonts w:ascii="Gadugi" w:eastAsia="Georgia" w:hAnsi="Gadugi" w:cs="Georgia"/>
          <w:sz w:val="24"/>
          <w:szCs w:val="24"/>
        </w:rPr>
        <w:t>IPS</w:t>
      </w:r>
      <w:r w:rsidR="00777D95" w:rsidRPr="002F651B">
        <w:rPr>
          <w:rFonts w:ascii="Gadugi" w:eastAsia="Georgia" w:hAnsi="Gadugi" w:cs="Georgia"/>
          <w:sz w:val="24"/>
          <w:szCs w:val="24"/>
        </w:rPr>
        <w:t xml:space="preserve"> hacerlo y luego legalizar el trámite administrativo</w:t>
      </w:r>
      <w:r w:rsidR="0085671F" w:rsidRPr="002F651B">
        <w:rPr>
          <w:rFonts w:ascii="Gadugi" w:eastAsia="Georgia" w:hAnsi="Gadugi" w:cs="Georgia"/>
          <w:sz w:val="24"/>
          <w:szCs w:val="24"/>
        </w:rPr>
        <w:t>,</w:t>
      </w:r>
      <w:r w:rsidR="00777D95" w:rsidRPr="002F651B">
        <w:rPr>
          <w:rFonts w:ascii="Gadugi" w:eastAsia="Georgia" w:hAnsi="Gadugi" w:cs="Georgia"/>
          <w:sz w:val="24"/>
          <w:szCs w:val="24"/>
        </w:rPr>
        <w:t xml:space="preserve"> pues ambas instituciones </w:t>
      </w:r>
      <w:r w:rsidR="0085671F" w:rsidRPr="002F651B">
        <w:rPr>
          <w:rFonts w:ascii="Gadugi" w:eastAsia="Georgia" w:hAnsi="Gadugi" w:cs="Georgia"/>
          <w:sz w:val="24"/>
          <w:szCs w:val="24"/>
        </w:rPr>
        <w:t xml:space="preserve">EPS </w:t>
      </w:r>
      <w:r w:rsidR="00777D95" w:rsidRPr="002F651B">
        <w:rPr>
          <w:rFonts w:ascii="Gadugi" w:eastAsia="Georgia" w:hAnsi="Gadugi" w:cs="Georgia"/>
          <w:sz w:val="24"/>
          <w:szCs w:val="24"/>
        </w:rPr>
        <w:t xml:space="preserve">e </w:t>
      </w:r>
      <w:r w:rsidR="0085671F" w:rsidRPr="002F651B">
        <w:rPr>
          <w:rFonts w:ascii="Gadugi" w:eastAsia="Georgia" w:hAnsi="Gadugi" w:cs="Georgia"/>
          <w:sz w:val="24"/>
          <w:szCs w:val="24"/>
        </w:rPr>
        <w:t>IPS</w:t>
      </w:r>
      <w:r w:rsidR="00777D95" w:rsidRPr="002F651B">
        <w:rPr>
          <w:rFonts w:ascii="Gadugi" w:eastAsia="Georgia" w:hAnsi="Gadugi" w:cs="Georgia"/>
          <w:sz w:val="24"/>
          <w:szCs w:val="24"/>
        </w:rPr>
        <w:t xml:space="preserve"> en este caso fueron negligentes en el traslado de la paciente que </w:t>
      </w:r>
      <w:r w:rsidR="00CA053C" w:rsidRPr="002F651B">
        <w:rPr>
          <w:rFonts w:ascii="Gadugi" w:eastAsia="Georgia" w:hAnsi="Gadugi" w:cs="Georgia"/>
          <w:sz w:val="24"/>
          <w:szCs w:val="24"/>
        </w:rPr>
        <w:t xml:space="preserve">tenía comprometida su vida. </w:t>
      </w:r>
    </w:p>
    <w:p w14:paraId="001D8AAC" w14:textId="77777777" w:rsidR="00122FDB" w:rsidRPr="002F651B" w:rsidRDefault="00122FDB" w:rsidP="002F651B">
      <w:pPr>
        <w:pStyle w:val="Prrafodelista"/>
        <w:tabs>
          <w:tab w:val="left" w:pos="709"/>
          <w:tab w:val="left" w:pos="2410"/>
        </w:tabs>
        <w:ind w:left="0"/>
        <w:jc w:val="both"/>
        <w:rPr>
          <w:rFonts w:ascii="Gadugi" w:eastAsia="Georgia" w:hAnsi="Gadugi" w:cs="Georgia"/>
          <w:sz w:val="24"/>
          <w:szCs w:val="24"/>
        </w:rPr>
      </w:pPr>
    </w:p>
    <w:p w14:paraId="09186AD9" w14:textId="04A81CC4" w:rsidR="00122FDB" w:rsidRPr="002F651B" w:rsidRDefault="00122FDB" w:rsidP="002F651B">
      <w:pPr>
        <w:pStyle w:val="Prrafodelista"/>
        <w:tabs>
          <w:tab w:val="left" w:pos="709"/>
          <w:tab w:val="left" w:pos="2410"/>
        </w:tabs>
        <w:ind w:left="0"/>
        <w:jc w:val="both"/>
        <w:rPr>
          <w:rFonts w:ascii="Gadugi" w:eastAsia="Georgia" w:hAnsi="Gadugi" w:cs="Georgia"/>
          <w:sz w:val="24"/>
          <w:szCs w:val="24"/>
        </w:rPr>
      </w:pPr>
      <w:r w:rsidRPr="002F651B">
        <w:rPr>
          <w:rFonts w:ascii="Gadugi" w:eastAsia="Georgia" w:hAnsi="Gadugi" w:cs="Georgia"/>
          <w:sz w:val="24"/>
          <w:szCs w:val="24"/>
        </w:rPr>
        <w:lastRenderedPageBreak/>
        <w:t>En parecer de la Sala</w:t>
      </w:r>
      <w:r w:rsidR="00DE1088" w:rsidRPr="002F651B">
        <w:rPr>
          <w:rFonts w:ascii="Gadugi" w:eastAsia="Georgia" w:hAnsi="Gadugi" w:cs="Georgia"/>
          <w:sz w:val="24"/>
          <w:szCs w:val="24"/>
        </w:rPr>
        <w:t>,</w:t>
      </w:r>
      <w:r w:rsidRPr="002F651B">
        <w:rPr>
          <w:rFonts w:ascii="Gadugi" w:eastAsia="Georgia" w:hAnsi="Gadugi" w:cs="Georgia"/>
          <w:sz w:val="24"/>
          <w:szCs w:val="24"/>
        </w:rPr>
        <w:t xml:space="preserve"> esa síntesis que hizo la funcionaria </w:t>
      </w:r>
      <w:r w:rsidR="006B6F9D" w:rsidRPr="002F651B">
        <w:rPr>
          <w:rFonts w:ascii="Gadugi" w:eastAsia="Georgia" w:hAnsi="Gadugi" w:cs="Georgia"/>
          <w:sz w:val="24"/>
          <w:szCs w:val="24"/>
        </w:rPr>
        <w:t>es el fiel reflejo de lo que dice la historia clínica</w:t>
      </w:r>
      <w:r w:rsidR="00842BD8" w:rsidRPr="002F651B">
        <w:rPr>
          <w:rFonts w:ascii="Gadugi" w:eastAsia="Georgia" w:hAnsi="Gadugi" w:cs="Georgia"/>
          <w:sz w:val="24"/>
          <w:szCs w:val="24"/>
        </w:rPr>
        <w:t xml:space="preserve"> y de lo que mencionaron los profesionales que atendieron a la paciente</w:t>
      </w:r>
      <w:r w:rsidR="006B6F9D" w:rsidRPr="002F651B">
        <w:rPr>
          <w:rFonts w:ascii="Gadugi" w:eastAsia="Georgia" w:hAnsi="Gadugi" w:cs="Georgia"/>
          <w:sz w:val="24"/>
          <w:szCs w:val="24"/>
        </w:rPr>
        <w:t>, con lo que inocuo resulta entrar en</w:t>
      </w:r>
      <w:r w:rsidR="00292847" w:rsidRPr="002F651B">
        <w:rPr>
          <w:rFonts w:ascii="Gadugi" w:eastAsia="Georgia" w:hAnsi="Gadugi" w:cs="Georgia"/>
          <w:sz w:val="24"/>
          <w:szCs w:val="24"/>
        </w:rPr>
        <w:t xml:space="preserve"> el análisis de lo que está cabalmente demostrado: el hecho, la culpa de las entidades y el daño. </w:t>
      </w:r>
      <w:r w:rsidR="00C52B41" w:rsidRPr="002F651B">
        <w:rPr>
          <w:rFonts w:ascii="Gadugi" w:eastAsia="Georgia" w:hAnsi="Gadugi" w:cs="Georgia"/>
          <w:sz w:val="24"/>
          <w:szCs w:val="24"/>
        </w:rPr>
        <w:t xml:space="preserve">Todo lo cual es pertinente destacarlo, pues adelante habrá que aludir, se insiste en ello, a las excepciones propuestas. </w:t>
      </w:r>
    </w:p>
    <w:p w14:paraId="6384A6EF" w14:textId="77777777" w:rsidR="00154A86" w:rsidRPr="002F651B" w:rsidRDefault="00154A86" w:rsidP="002F651B">
      <w:pPr>
        <w:pStyle w:val="Prrafodelista"/>
        <w:tabs>
          <w:tab w:val="left" w:pos="709"/>
          <w:tab w:val="left" w:pos="2410"/>
        </w:tabs>
        <w:ind w:left="0"/>
        <w:jc w:val="both"/>
        <w:rPr>
          <w:rFonts w:ascii="Gadugi" w:eastAsia="Georgia" w:hAnsi="Gadugi" w:cs="Georgia"/>
          <w:sz w:val="24"/>
          <w:szCs w:val="24"/>
        </w:rPr>
      </w:pPr>
    </w:p>
    <w:p w14:paraId="18301067" w14:textId="38EA0E9B" w:rsidR="00154A86" w:rsidRPr="002F651B" w:rsidRDefault="00154A86" w:rsidP="002F651B">
      <w:pPr>
        <w:tabs>
          <w:tab w:val="left" w:pos="2410"/>
        </w:tabs>
        <w:jc w:val="both"/>
        <w:rPr>
          <w:rFonts w:ascii="Gadugi" w:hAnsi="Gadugi"/>
          <w:sz w:val="24"/>
          <w:szCs w:val="24"/>
        </w:rPr>
      </w:pPr>
      <w:r w:rsidRPr="002F651B">
        <w:rPr>
          <w:rFonts w:ascii="Gadugi" w:hAnsi="Gadugi"/>
          <w:sz w:val="24"/>
          <w:szCs w:val="24"/>
        </w:rPr>
        <w:t>No obstante, concluyó que los testimonios técnicos presentados no lograron demostrar, de manera concluyente, que tales deficiencias fueran la causa del fallecimiento de la paciente</w:t>
      </w:r>
      <w:r w:rsidR="00151D07" w:rsidRPr="002F651B">
        <w:rPr>
          <w:rFonts w:ascii="Gadugi" w:hAnsi="Gadugi"/>
          <w:sz w:val="24"/>
          <w:szCs w:val="24"/>
        </w:rPr>
        <w:t>, pues ella traía otras patolo</w:t>
      </w:r>
      <w:r w:rsidR="009F7E7E" w:rsidRPr="002F651B">
        <w:rPr>
          <w:rFonts w:ascii="Gadugi" w:hAnsi="Gadugi"/>
          <w:sz w:val="24"/>
          <w:szCs w:val="24"/>
        </w:rPr>
        <w:t>gías que pudieron haber contribuido al mismo resultado</w:t>
      </w:r>
      <w:r w:rsidRPr="002F651B">
        <w:rPr>
          <w:rFonts w:ascii="Gadugi" w:hAnsi="Gadugi"/>
          <w:sz w:val="24"/>
          <w:szCs w:val="24"/>
        </w:rPr>
        <w:t>.</w:t>
      </w:r>
    </w:p>
    <w:p w14:paraId="6CE94DE9" w14:textId="77777777" w:rsidR="00154A86" w:rsidRPr="002F651B" w:rsidRDefault="00154A86" w:rsidP="002F651B">
      <w:pPr>
        <w:tabs>
          <w:tab w:val="left" w:pos="2410"/>
        </w:tabs>
        <w:jc w:val="both"/>
        <w:rPr>
          <w:rFonts w:ascii="Gadugi" w:hAnsi="Gadugi"/>
          <w:sz w:val="24"/>
          <w:szCs w:val="24"/>
        </w:rPr>
      </w:pPr>
    </w:p>
    <w:p w14:paraId="06F200E9" w14:textId="77777777" w:rsidR="00154A86" w:rsidRPr="002F651B" w:rsidRDefault="00154A86" w:rsidP="002F651B">
      <w:pPr>
        <w:tabs>
          <w:tab w:val="left" w:pos="2410"/>
        </w:tabs>
        <w:jc w:val="both"/>
        <w:rPr>
          <w:rFonts w:ascii="Gadugi" w:hAnsi="Gadugi"/>
          <w:sz w:val="24"/>
          <w:szCs w:val="24"/>
        </w:rPr>
      </w:pPr>
      <w:r w:rsidRPr="002F651B">
        <w:rPr>
          <w:rFonts w:ascii="Gadugi" w:hAnsi="Gadugi"/>
          <w:sz w:val="24"/>
          <w:szCs w:val="24"/>
        </w:rPr>
        <w:t>2.10. Los reparos de los demandantes, sustentados en esta sede</w:t>
      </w:r>
      <w:r w:rsidRPr="002F651B">
        <w:rPr>
          <w:rStyle w:val="Refdenotaalpie"/>
          <w:rFonts w:ascii="Gadugi" w:hAnsi="Gadugi"/>
          <w:sz w:val="24"/>
          <w:szCs w:val="24"/>
        </w:rPr>
        <w:footnoteReference w:id="41"/>
      </w:r>
      <w:r w:rsidRPr="002F651B">
        <w:rPr>
          <w:rFonts w:ascii="Gadugi" w:hAnsi="Gadugi"/>
          <w:sz w:val="24"/>
          <w:szCs w:val="24"/>
        </w:rPr>
        <w:t>, se concentran en tres cosas:</w:t>
      </w:r>
    </w:p>
    <w:p w14:paraId="0D1994AF" w14:textId="77777777" w:rsidR="00154A86" w:rsidRPr="002F651B" w:rsidRDefault="00154A86" w:rsidP="002F651B">
      <w:pPr>
        <w:tabs>
          <w:tab w:val="left" w:pos="2410"/>
        </w:tabs>
        <w:jc w:val="both"/>
        <w:rPr>
          <w:rFonts w:ascii="Gadugi" w:hAnsi="Gadugi"/>
          <w:sz w:val="24"/>
          <w:szCs w:val="24"/>
        </w:rPr>
      </w:pPr>
    </w:p>
    <w:p w14:paraId="2969AD3B" w14:textId="77777777" w:rsidR="00154A86" w:rsidRPr="002F651B" w:rsidRDefault="00154A86" w:rsidP="002F651B">
      <w:pPr>
        <w:pStyle w:val="Prrafodelista"/>
        <w:numPr>
          <w:ilvl w:val="0"/>
          <w:numId w:val="14"/>
        </w:numPr>
        <w:tabs>
          <w:tab w:val="left" w:pos="426"/>
          <w:tab w:val="left" w:pos="2410"/>
        </w:tabs>
        <w:ind w:left="0" w:firstLine="0"/>
        <w:jc w:val="both"/>
        <w:rPr>
          <w:rFonts w:ascii="Gadugi" w:hAnsi="Gadugi"/>
          <w:sz w:val="24"/>
          <w:szCs w:val="24"/>
        </w:rPr>
      </w:pPr>
      <w:r w:rsidRPr="002F651B">
        <w:rPr>
          <w:rFonts w:ascii="Gadugi" w:hAnsi="Gadugi"/>
          <w:sz w:val="24"/>
          <w:szCs w:val="24"/>
        </w:rPr>
        <w:t xml:space="preserve">El nexo causal fue probado con los testigos técnicos escuchados y la historia clínica, muy a pesar de las patologías adicionales que presentaba la paciente. </w:t>
      </w:r>
    </w:p>
    <w:p w14:paraId="562777FD" w14:textId="77777777" w:rsidR="00154A86" w:rsidRPr="002F651B" w:rsidRDefault="00154A86" w:rsidP="002F651B">
      <w:pPr>
        <w:pStyle w:val="Prrafodelista"/>
        <w:tabs>
          <w:tab w:val="left" w:pos="426"/>
          <w:tab w:val="left" w:pos="2410"/>
        </w:tabs>
        <w:ind w:left="0"/>
        <w:jc w:val="both"/>
        <w:rPr>
          <w:rFonts w:ascii="Gadugi" w:hAnsi="Gadugi"/>
          <w:sz w:val="24"/>
          <w:szCs w:val="24"/>
        </w:rPr>
      </w:pPr>
    </w:p>
    <w:p w14:paraId="433310A8" w14:textId="77777777" w:rsidR="00154A86" w:rsidRPr="002F651B" w:rsidRDefault="00154A86" w:rsidP="002F651B">
      <w:pPr>
        <w:pStyle w:val="Prrafodelista"/>
        <w:numPr>
          <w:ilvl w:val="0"/>
          <w:numId w:val="14"/>
        </w:numPr>
        <w:tabs>
          <w:tab w:val="left" w:pos="567"/>
          <w:tab w:val="left" w:pos="2410"/>
        </w:tabs>
        <w:ind w:left="0" w:firstLine="0"/>
        <w:jc w:val="both"/>
        <w:rPr>
          <w:rFonts w:ascii="Gadugi" w:hAnsi="Gadugi"/>
          <w:sz w:val="24"/>
          <w:szCs w:val="24"/>
        </w:rPr>
      </w:pPr>
      <w:r w:rsidRPr="002F651B">
        <w:rPr>
          <w:rFonts w:ascii="Gadugi" w:hAnsi="Gadugi"/>
          <w:sz w:val="24"/>
          <w:szCs w:val="24"/>
        </w:rPr>
        <w:t xml:space="preserve">En todo caso, se le privó a la paciente de la oportunidad de sobreponerse a la enfermedad que la aquejaba, por la tardanza en la prestación de los servicios. Y desarrollaron esa teoría. </w:t>
      </w:r>
    </w:p>
    <w:p w14:paraId="1912DE84" w14:textId="77777777" w:rsidR="00154A86" w:rsidRPr="002F651B" w:rsidRDefault="00154A86" w:rsidP="002F651B">
      <w:pPr>
        <w:pStyle w:val="Prrafodelista"/>
        <w:rPr>
          <w:rFonts w:ascii="Gadugi" w:hAnsi="Gadugi"/>
          <w:sz w:val="24"/>
          <w:szCs w:val="24"/>
        </w:rPr>
      </w:pPr>
    </w:p>
    <w:p w14:paraId="03EF2D7F" w14:textId="77777777" w:rsidR="00154A86" w:rsidRPr="002F651B" w:rsidRDefault="00154A86" w:rsidP="002F651B">
      <w:pPr>
        <w:pStyle w:val="Prrafodelista"/>
        <w:numPr>
          <w:ilvl w:val="0"/>
          <w:numId w:val="14"/>
        </w:numPr>
        <w:tabs>
          <w:tab w:val="left" w:pos="567"/>
          <w:tab w:val="left" w:pos="2410"/>
        </w:tabs>
        <w:ind w:left="0" w:firstLine="0"/>
        <w:jc w:val="both"/>
        <w:rPr>
          <w:rFonts w:ascii="Gadugi" w:hAnsi="Gadugi"/>
          <w:sz w:val="24"/>
          <w:szCs w:val="24"/>
        </w:rPr>
      </w:pPr>
      <w:r w:rsidRPr="002F651B">
        <w:rPr>
          <w:rFonts w:ascii="Gadugi" w:hAnsi="Gadugi"/>
          <w:sz w:val="24"/>
          <w:szCs w:val="24"/>
        </w:rPr>
        <w:t xml:space="preserve">No ha debido condenarse en costas a los demandantes; por ello, en caso de confirmase el fallo piden que se les absuelva de ellas, ya que no aparecen causadas. </w:t>
      </w:r>
    </w:p>
    <w:p w14:paraId="6D5E78A5" w14:textId="09B115D1" w:rsidR="003335D6" w:rsidRPr="002F651B" w:rsidRDefault="003335D6" w:rsidP="002F651B">
      <w:pPr>
        <w:pStyle w:val="Prrafodelista"/>
        <w:tabs>
          <w:tab w:val="left" w:pos="709"/>
          <w:tab w:val="left" w:pos="2410"/>
        </w:tabs>
        <w:ind w:left="0"/>
        <w:jc w:val="both"/>
        <w:rPr>
          <w:rFonts w:ascii="Gadugi" w:eastAsia="Georgia" w:hAnsi="Gadugi" w:cs="Georgia"/>
          <w:sz w:val="24"/>
          <w:szCs w:val="24"/>
        </w:rPr>
      </w:pPr>
    </w:p>
    <w:p w14:paraId="5DC19032" w14:textId="41965D3F" w:rsidR="00CC2A31" w:rsidRPr="002F651B" w:rsidRDefault="00C662B1" w:rsidP="002F651B">
      <w:pPr>
        <w:pStyle w:val="Prrafodelista"/>
        <w:numPr>
          <w:ilvl w:val="1"/>
          <w:numId w:val="16"/>
        </w:numPr>
        <w:tabs>
          <w:tab w:val="left" w:pos="709"/>
          <w:tab w:val="left" w:pos="2410"/>
        </w:tabs>
        <w:ind w:left="0" w:firstLine="0"/>
        <w:jc w:val="both"/>
        <w:rPr>
          <w:rFonts w:ascii="Gadugi" w:hAnsi="Gadugi"/>
          <w:sz w:val="24"/>
          <w:szCs w:val="24"/>
        </w:rPr>
      </w:pPr>
      <w:r w:rsidRPr="002F651B">
        <w:rPr>
          <w:rFonts w:ascii="Gadugi" w:eastAsia="Georgia" w:hAnsi="Gadugi" w:cs="Georgia"/>
          <w:sz w:val="24"/>
          <w:szCs w:val="24"/>
        </w:rPr>
        <w:t>E</w:t>
      </w:r>
      <w:r w:rsidR="00272BD6" w:rsidRPr="002F651B">
        <w:rPr>
          <w:rFonts w:ascii="Gadugi" w:eastAsia="Georgia" w:hAnsi="Gadugi" w:cs="Georgia"/>
          <w:sz w:val="24"/>
          <w:szCs w:val="24"/>
        </w:rPr>
        <w:t>l primer emba</w:t>
      </w:r>
      <w:r w:rsidR="003257BD" w:rsidRPr="002F651B">
        <w:rPr>
          <w:rFonts w:ascii="Gadugi" w:eastAsia="Georgia" w:hAnsi="Gadugi" w:cs="Georgia"/>
          <w:sz w:val="24"/>
          <w:szCs w:val="24"/>
        </w:rPr>
        <w:t xml:space="preserve">te de los demandantes guarda relación, </w:t>
      </w:r>
      <w:r w:rsidR="007D2C53" w:rsidRPr="002F651B">
        <w:rPr>
          <w:rFonts w:ascii="Gadugi" w:eastAsia="Georgia" w:hAnsi="Gadugi" w:cs="Georgia"/>
          <w:sz w:val="24"/>
          <w:szCs w:val="24"/>
        </w:rPr>
        <w:t xml:space="preserve">entonces, </w:t>
      </w:r>
      <w:r w:rsidR="003257BD" w:rsidRPr="002F651B">
        <w:rPr>
          <w:rFonts w:ascii="Gadugi" w:eastAsia="Georgia" w:hAnsi="Gadugi" w:cs="Georgia"/>
          <w:sz w:val="24"/>
          <w:szCs w:val="24"/>
        </w:rPr>
        <w:t>con el nexo causal. Dicen ellos, en resumen, que</w:t>
      </w:r>
      <w:r w:rsidR="00CC2A31" w:rsidRPr="002F651B">
        <w:rPr>
          <w:rFonts w:ascii="Gadugi" w:eastAsia="Georgia" w:hAnsi="Gadugi" w:cs="Georgia"/>
          <w:sz w:val="24"/>
          <w:szCs w:val="24"/>
        </w:rPr>
        <w:t xml:space="preserve"> </w:t>
      </w:r>
      <w:r w:rsidR="00F43D85" w:rsidRPr="002F651B">
        <w:rPr>
          <w:rFonts w:ascii="Gadugi" w:eastAsia="Georgia" w:hAnsi="Gadugi" w:cs="Georgia"/>
          <w:sz w:val="24"/>
          <w:szCs w:val="24"/>
        </w:rPr>
        <w:t xml:space="preserve">con la prueba documental y testimonial se probó la causa de la muerte, </w:t>
      </w:r>
      <w:r w:rsidR="003C58F7" w:rsidRPr="002F651B">
        <w:rPr>
          <w:rFonts w:ascii="Gadugi" w:eastAsia="Georgia" w:hAnsi="Gadugi" w:cs="Georgia"/>
          <w:sz w:val="24"/>
          <w:szCs w:val="24"/>
        </w:rPr>
        <w:t xml:space="preserve">al margen de </w:t>
      </w:r>
      <w:r w:rsidR="00CC2A31" w:rsidRPr="002F651B">
        <w:rPr>
          <w:rFonts w:ascii="Gadugi" w:hAnsi="Gadugi"/>
          <w:sz w:val="24"/>
          <w:szCs w:val="24"/>
        </w:rPr>
        <w:t xml:space="preserve">las </w:t>
      </w:r>
      <w:r w:rsidR="003C58F7" w:rsidRPr="002F651B">
        <w:rPr>
          <w:rFonts w:ascii="Gadugi" w:hAnsi="Gadugi"/>
          <w:sz w:val="24"/>
          <w:szCs w:val="24"/>
        </w:rPr>
        <w:t xml:space="preserve">enfermedades adicionales que aquejaban a la paciente y de su edad. </w:t>
      </w:r>
      <w:r w:rsidR="00CC2A31" w:rsidRPr="002F651B">
        <w:rPr>
          <w:rFonts w:ascii="Gadugi" w:hAnsi="Gadugi"/>
          <w:sz w:val="24"/>
          <w:szCs w:val="24"/>
        </w:rPr>
        <w:t>Y entran en el análisis de cada una de las versiones escuchadas, para destacar que hicieron énfasis en la incidencia de la demora, luego de lo cual advierten los recurrentes que la sentencia hizo una valoración errónea de las mismas, pues los médicos dieron a entender que les era imposible determinar si la paciente hubiera sobrevivido de haberse practicado la intervención quirúrgica en tiempo, lo que es lógico, porque la medicina no es una ciencia exacta. Pero sumados los dichos con la restante prueba, queda en evidencia que hubo múltiples falencias en la prestación del servicio, y si se hace abstracción de la edad y la hipertensión documentadas, se tiene que el cuadro que presentaba ponía en riesgo su vida, la posibilidad de sobrevivir ante un cuadro de sepsis abdominal sin atención médica es mínima y se disminuyen con el tiempo, así que después de pasar más de catorce horas de evolución de un cuadro de sepsis abdominal sin la atención requerida se menoscaba la integridad física y el riesgo se eleva. Eso fue lo que declararon los galenos.</w:t>
      </w:r>
    </w:p>
    <w:p w14:paraId="4795FC5C" w14:textId="77777777" w:rsidR="00CC2A31" w:rsidRPr="002F651B" w:rsidRDefault="00CC2A31" w:rsidP="002F651B">
      <w:pPr>
        <w:tabs>
          <w:tab w:val="left" w:pos="709"/>
          <w:tab w:val="left" w:pos="2410"/>
        </w:tabs>
        <w:jc w:val="both"/>
        <w:rPr>
          <w:rFonts w:ascii="Gadugi" w:hAnsi="Gadugi"/>
          <w:sz w:val="24"/>
          <w:szCs w:val="24"/>
        </w:rPr>
      </w:pPr>
    </w:p>
    <w:p w14:paraId="26B7330A" w14:textId="489376C7" w:rsidR="00CC2A31" w:rsidRPr="002F651B" w:rsidRDefault="00CC2A31" w:rsidP="002F651B">
      <w:pPr>
        <w:tabs>
          <w:tab w:val="left" w:pos="709"/>
          <w:tab w:val="left" w:pos="2410"/>
        </w:tabs>
        <w:jc w:val="both"/>
        <w:rPr>
          <w:rFonts w:ascii="Gadugi" w:hAnsi="Gadugi"/>
          <w:sz w:val="24"/>
          <w:szCs w:val="24"/>
        </w:rPr>
      </w:pPr>
      <w:r w:rsidRPr="002F651B">
        <w:rPr>
          <w:rFonts w:ascii="Gadugi" w:hAnsi="Gadugi"/>
          <w:sz w:val="24"/>
          <w:szCs w:val="24"/>
        </w:rPr>
        <w:t xml:space="preserve">Tal protesta, según se anticipó, debe prosperar. </w:t>
      </w:r>
    </w:p>
    <w:p w14:paraId="589AE2A1" w14:textId="77777777" w:rsidR="003257BD" w:rsidRPr="002F651B" w:rsidRDefault="003257BD" w:rsidP="002F651B">
      <w:pPr>
        <w:pStyle w:val="Prrafodelista"/>
        <w:tabs>
          <w:tab w:val="left" w:pos="709"/>
          <w:tab w:val="left" w:pos="2410"/>
        </w:tabs>
        <w:ind w:left="0"/>
        <w:jc w:val="both"/>
        <w:rPr>
          <w:rFonts w:ascii="Gadugi" w:eastAsia="Georgia" w:hAnsi="Gadugi" w:cs="Georgia"/>
          <w:sz w:val="24"/>
          <w:szCs w:val="24"/>
        </w:rPr>
      </w:pPr>
    </w:p>
    <w:p w14:paraId="2A012318" w14:textId="19DED589" w:rsidR="00837D7F" w:rsidRPr="002F651B" w:rsidRDefault="00DA1155" w:rsidP="002F651B">
      <w:pPr>
        <w:pStyle w:val="Prrafodelista"/>
        <w:tabs>
          <w:tab w:val="left" w:pos="709"/>
          <w:tab w:val="left" w:pos="2410"/>
        </w:tabs>
        <w:ind w:left="0"/>
        <w:jc w:val="both"/>
        <w:rPr>
          <w:rFonts w:ascii="Gadugi" w:eastAsia="Georgia" w:hAnsi="Gadugi" w:cs="Georgia"/>
          <w:sz w:val="24"/>
          <w:szCs w:val="24"/>
        </w:rPr>
      </w:pPr>
      <w:r w:rsidRPr="002F651B">
        <w:rPr>
          <w:rFonts w:ascii="Gadugi" w:eastAsia="Georgia" w:hAnsi="Gadugi" w:cs="Georgia"/>
          <w:sz w:val="24"/>
          <w:szCs w:val="24"/>
        </w:rPr>
        <w:t xml:space="preserve">Para concluirlo así, </w:t>
      </w:r>
      <w:r w:rsidR="00C662B1" w:rsidRPr="002F651B">
        <w:rPr>
          <w:rFonts w:ascii="Gadugi" w:eastAsia="Georgia" w:hAnsi="Gadugi" w:cs="Georgia"/>
          <w:sz w:val="24"/>
          <w:szCs w:val="24"/>
        </w:rPr>
        <w:t xml:space="preserve">se trae a colación lo que en la citada sentencia SC033-2023 de esta Sala se dijo sobre </w:t>
      </w:r>
      <w:r w:rsidR="00F65FD1" w:rsidRPr="002F651B">
        <w:rPr>
          <w:rFonts w:ascii="Gadugi" w:eastAsia="Georgia" w:hAnsi="Gadugi" w:cs="Georgia"/>
          <w:sz w:val="24"/>
          <w:szCs w:val="24"/>
        </w:rPr>
        <w:t xml:space="preserve">el nexo causal, </w:t>
      </w:r>
      <w:r w:rsidR="00837D7F" w:rsidRPr="002F651B">
        <w:rPr>
          <w:rFonts w:ascii="Gadugi" w:eastAsia="Georgia" w:hAnsi="Gadugi" w:cs="Georgia"/>
          <w:sz w:val="24"/>
          <w:szCs w:val="24"/>
        </w:rPr>
        <w:t xml:space="preserve">que sirve al propósito de elucidar lo que aquí se debate: </w:t>
      </w:r>
    </w:p>
    <w:p w14:paraId="4E41F5F3" w14:textId="77777777" w:rsidR="00837D7F" w:rsidRPr="002F651B" w:rsidRDefault="00837D7F" w:rsidP="002F651B">
      <w:pPr>
        <w:pStyle w:val="Prrafodelista"/>
        <w:tabs>
          <w:tab w:val="left" w:pos="709"/>
          <w:tab w:val="left" w:pos="2410"/>
        </w:tabs>
        <w:ind w:left="555"/>
        <w:jc w:val="both"/>
        <w:rPr>
          <w:rFonts w:ascii="Gadugi" w:eastAsia="Georgia" w:hAnsi="Gadugi" w:cs="Georgia"/>
          <w:sz w:val="24"/>
          <w:szCs w:val="24"/>
        </w:rPr>
      </w:pPr>
    </w:p>
    <w:p w14:paraId="5B035F0C" w14:textId="3A209E55" w:rsidR="00A5592C" w:rsidRPr="00571A10" w:rsidRDefault="00A5592C" w:rsidP="00571A10">
      <w:pPr>
        <w:spacing w:line="240" w:lineRule="auto"/>
        <w:ind w:left="426" w:right="420"/>
        <w:jc w:val="both"/>
        <w:rPr>
          <w:rFonts w:ascii="Gadugi" w:eastAsia="Georgia" w:hAnsi="Gadugi" w:cs="Georgia"/>
          <w:szCs w:val="24"/>
        </w:rPr>
      </w:pPr>
      <w:r w:rsidRPr="00571A10">
        <w:rPr>
          <w:rFonts w:ascii="Gadugi" w:eastAsia="Georgia" w:hAnsi="Gadugi" w:cs="Georgia"/>
          <w:szCs w:val="24"/>
        </w:rPr>
        <w:t>…</w:t>
      </w:r>
      <w:r w:rsidR="00571A10" w:rsidRPr="00571A10">
        <w:rPr>
          <w:rFonts w:ascii="Gadugi" w:eastAsia="Georgia" w:hAnsi="Gadugi" w:cs="Georgia"/>
          <w:szCs w:val="24"/>
        </w:rPr>
        <w:t xml:space="preserve"> </w:t>
      </w:r>
      <w:r w:rsidRPr="00571A10">
        <w:rPr>
          <w:rFonts w:ascii="Gadugi" w:eastAsia="Georgia" w:hAnsi="Gadugi" w:cs="Georgia"/>
          <w:szCs w:val="24"/>
        </w:rPr>
        <w:t>para abundar en la queja por la falta de prueba del nexo causal, en la citada sentencia SC-0009-2023, se memoró otra, la SC-0004-2023, en la que, entre otras cosas, se dijo que:</w:t>
      </w:r>
    </w:p>
    <w:p w14:paraId="051417CA" w14:textId="77777777" w:rsidR="00A5592C" w:rsidRPr="00571A10" w:rsidRDefault="00A5592C" w:rsidP="00571A10">
      <w:pPr>
        <w:spacing w:line="240" w:lineRule="auto"/>
        <w:ind w:left="426" w:right="420"/>
        <w:jc w:val="both"/>
        <w:rPr>
          <w:rFonts w:ascii="Gadugi" w:eastAsia="Georgia" w:hAnsi="Gadugi" w:cs="Georgia"/>
          <w:szCs w:val="24"/>
        </w:rPr>
      </w:pPr>
    </w:p>
    <w:p w14:paraId="2B622980" w14:textId="77777777" w:rsidR="00A5592C" w:rsidRPr="00571A10" w:rsidRDefault="00A5592C" w:rsidP="00571A10">
      <w:pPr>
        <w:spacing w:line="240" w:lineRule="auto"/>
        <w:ind w:left="426" w:right="420"/>
        <w:jc w:val="both"/>
        <w:rPr>
          <w:rFonts w:ascii="Gadugi" w:hAnsi="Gadugi"/>
          <w:szCs w:val="24"/>
        </w:rPr>
      </w:pPr>
      <w:r w:rsidRPr="00571A10">
        <w:rPr>
          <w:rFonts w:ascii="Gadugi" w:hAnsi="Gadugi"/>
          <w:szCs w:val="24"/>
        </w:rPr>
        <w:t>… frente al nexo causal, en ocasiones anteriores, esta Sala</w:t>
      </w:r>
      <w:r w:rsidRPr="00571A10">
        <w:rPr>
          <w:rStyle w:val="Refdenotaalpie"/>
          <w:rFonts w:ascii="Gadugi" w:hAnsi="Gadugi"/>
          <w:szCs w:val="24"/>
        </w:rPr>
        <w:footnoteReference w:id="42"/>
      </w:r>
      <w:r w:rsidRPr="00571A10">
        <w:rPr>
          <w:rFonts w:ascii="Gadugi" w:hAnsi="Gadugi"/>
          <w:szCs w:val="24"/>
        </w:rPr>
        <w:t xml:space="preserve"> recordó lo dicho por la Sala de Casación Civil de la Corte</w:t>
      </w:r>
      <w:r w:rsidRPr="00571A10">
        <w:rPr>
          <w:rStyle w:val="Refdenotaalpie"/>
          <w:rFonts w:ascii="Gadugi" w:hAnsi="Gadugi"/>
          <w:szCs w:val="24"/>
        </w:rPr>
        <w:footnoteReference w:id="43"/>
      </w:r>
      <w:r w:rsidRPr="00571A10">
        <w:rPr>
          <w:rFonts w:ascii="Gadugi" w:hAnsi="Gadugi"/>
          <w:szCs w:val="24"/>
        </w:rPr>
        <w:t xml:space="preserve">, acerca de que: </w:t>
      </w:r>
    </w:p>
    <w:p w14:paraId="6FDEDAAE" w14:textId="77777777" w:rsidR="00A5592C" w:rsidRPr="00571A10" w:rsidRDefault="00A5592C" w:rsidP="00571A10">
      <w:pPr>
        <w:spacing w:line="240" w:lineRule="auto"/>
        <w:ind w:left="426" w:right="420"/>
        <w:jc w:val="both"/>
        <w:rPr>
          <w:rFonts w:ascii="Gadugi" w:hAnsi="Gadugi"/>
          <w:szCs w:val="24"/>
        </w:rPr>
      </w:pPr>
    </w:p>
    <w:p w14:paraId="5378347B" w14:textId="77777777" w:rsidR="00A5592C" w:rsidRPr="00571A10" w:rsidRDefault="00A5592C" w:rsidP="00571A10">
      <w:pPr>
        <w:spacing w:line="240" w:lineRule="auto"/>
        <w:ind w:left="426" w:right="420"/>
        <w:jc w:val="both"/>
        <w:rPr>
          <w:rFonts w:ascii="Gadugi" w:hAnsi="Gadugi"/>
          <w:szCs w:val="24"/>
        </w:rPr>
      </w:pPr>
      <w:r w:rsidRPr="00571A10">
        <w:rPr>
          <w:rFonts w:ascii="Gadugi" w:hAnsi="Gadugi"/>
          <w:szCs w:val="24"/>
        </w:rPr>
        <w:t xml:space="preserve">Como de un tiempo a esta parte lo viene predicando la Corte, el nexo causal, distinguido coma uno de las elementos estructurales de la responsabilidad civil, cualquiera sea su naturaleza, no puede reducirse al concepto de la </w:t>
      </w:r>
      <w:r w:rsidRPr="00571A10">
        <w:rPr>
          <w:rFonts w:ascii="Gadugi" w:hAnsi="Gadugi"/>
          <w:i/>
          <w:iCs/>
          <w:szCs w:val="24"/>
        </w:rPr>
        <w:t>"causalidad natural</w:t>
      </w:r>
      <w:r w:rsidRPr="00571A10">
        <w:rPr>
          <w:rFonts w:ascii="Gadugi" w:hAnsi="Gadugi"/>
          <w:szCs w:val="24"/>
        </w:rPr>
        <w:t>" sino, más bien, ubicarse en el de la "</w:t>
      </w:r>
      <w:r w:rsidRPr="00571A10">
        <w:rPr>
          <w:rFonts w:ascii="Gadugi" w:hAnsi="Gadugi"/>
          <w:i/>
          <w:iCs/>
          <w:szCs w:val="24"/>
        </w:rPr>
        <w:t>causalidad adecuada</w:t>
      </w:r>
      <w:r w:rsidRPr="00571A10">
        <w:rPr>
          <w:rFonts w:ascii="Gadugi" w:hAnsi="Gadugi"/>
          <w:szCs w:val="24"/>
        </w:rPr>
        <w:t>" o "</w:t>
      </w:r>
      <w:r w:rsidRPr="00571A10">
        <w:rPr>
          <w:rFonts w:ascii="Gadugi" w:hAnsi="Gadugi"/>
          <w:i/>
          <w:iCs/>
          <w:szCs w:val="24"/>
        </w:rPr>
        <w:t>imputación jurídica</w:t>
      </w:r>
      <w:r w:rsidRPr="00571A10">
        <w:rPr>
          <w:rFonts w:ascii="Gadugi" w:hAnsi="Gadugi"/>
          <w:szCs w:val="24"/>
        </w:rPr>
        <w:t>", entendiéndose por tal "</w:t>
      </w:r>
      <w:r w:rsidRPr="00571A10">
        <w:rPr>
          <w:rFonts w:ascii="Gadugi" w:hAnsi="Gadugi"/>
          <w:i/>
          <w:iCs/>
          <w:szCs w:val="24"/>
        </w:rPr>
        <w:t>el razonamiento por medio del cual se atribuye un resultado dañoso a un agente a partir de un marco de sentido jurídico</w:t>
      </w:r>
      <w:r w:rsidRPr="00571A10">
        <w:rPr>
          <w:rFonts w:ascii="Gadugi" w:hAnsi="Gadugi"/>
          <w:szCs w:val="24"/>
        </w:rPr>
        <w:t>" (CSJ, SC 13925 del 30 de septiembre de 2016, Rad. n.° 2005- 00174-01)</w:t>
      </w:r>
    </w:p>
    <w:p w14:paraId="4582227B" w14:textId="77777777" w:rsidR="00A5592C" w:rsidRPr="00571A10" w:rsidRDefault="00A5592C" w:rsidP="00571A10">
      <w:pPr>
        <w:spacing w:line="240" w:lineRule="auto"/>
        <w:ind w:left="426" w:right="420"/>
        <w:jc w:val="both"/>
        <w:rPr>
          <w:rFonts w:ascii="Gadugi" w:hAnsi="Gadugi"/>
          <w:szCs w:val="24"/>
        </w:rPr>
      </w:pPr>
    </w:p>
    <w:p w14:paraId="2C71B3AF" w14:textId="77777777" w:rsidR="00A5592C" w:rsidRPr="00571A10" w:rsidRDefault="00A5592C" w:rsidP="00571A10">
      <w:pPr>
        <w:spacing w:line="240" w:lineRule="auto"/>
        <w:ind w:left="426" w:right="420"/>
        <w:jc w:val="both"/>
        <w:rPr>
          <w:rFonts w:ascii="Gadugi" w:hAnsi="Gadugi"/>
          <w:i/>
          <w:iCs/>
          <w:szCs w:val="24"/>
        </w:rPr>
      </w:pPr>
      <w:r w:rsidRPr="00571A10">
        <w:rPr>
          <w:rFonts w:ascii="Gadugi" w:hAnsi="Gadugi"/>
          <w:szCs w:val="24"/>
        </w:rPr>
        <w:t>Es que como en ese mismo fallo se analizó, "</w:t>
      </w:r>
      <w:r w:rsidRPr="00571A10">
        <w:rPr>
          <w:rFonts w:ascii="Gadugi" w:hAnsi="Gadugi"/>
          <w:i/>
          <w:iCs/>
          <w:szCs w:val="24"/>
        </w:rPr>
        <w:t xml:space="preserve">el objeto de la imputación -el hecho que se atribuye a un agente generalmente no se prueba </w:t>
      </w:r>
      <w:proofErr w:type="gramStart"/>
      <w:r w:rsidRPr="00571A10">
        <w:rPr>
          <w:rFonts w:ascii="Gadugi" w:hAnsi="Gadugi"/>
          <w:i/>
          <w:iCs/>
          <w:szCs w:val="24"/>
        </w:rPr>
        <w:t>directamente[</w:t>
      </w:r>
      <w:proofErr w:type="gramEnd"/>
      <w:r w:rsidRPr="00571A10">
        <w:rPr>
          <w:rFonts w:ascii="Gadugi" w:hAnsi="Gadugi"/>
          <w:i/>
          <w:iCs/>
          <w:szCs w:val="24"/>
        </w:rPr>
        <w:t>,] sino que requiere la elaboración de hipótesis inferenciales con base en probabilidades. De ahí que con cierta frecuencia se nieguen demandas de responsabilidad civil por no acreditarse en el proceso un 'nexo causal' que es difícil de demostrar porque no existe como hecho de la naturaleza, dado que la atribución de un hecho a un agente se determina a partir de la identificación de las funciones sociales y profesionales que el ordenamiento impone a las personas, sobre todo cuando se trata de probar omisiones o 'causación por medio de otro'; lo que a menudo se traduce en una exigencia de prueba diabólica que no logra solucionarse con la imposición a una de las partes de la obligación de aportación de pruebas, pues el problema no es solo de aducción de pruebas sino, principalmente, de falta de comprensión sobre cómo se debe probar la imputación y la culpabilidad" (ibidem, se subraya).</w:t>
      </w:r>
    </w:p>
    <w:p w14:paraId="210702BD" w14:textId="77777777" w:rsidR="00A5592C" w:rsidRPr="00571A10" w:rsidRDefault="00A5592C" w:rsidP="00571A10">
      <w:pPr>
        <w:spacing w:line="240" w:lineRule="auto"/>
        <w:ind w:left="426" w:right="420"/>
        <w:jc w:val="both"/>
        <w:rPr>
          <w:rFonts w:ascii="Gadugi" w:hAnsi="Gadugi"/>
          <w:i/>
          <w:iCs/>
          <w:szCs w:val="24"/>
        </w:rPr>
      </w:pPr>
    </w:p>
    <w:p w14:paraId="2500CF0C" w14:textId="77777777" w:rsidR="00A5592C" w:rsidRPr="00571A10" w:rsidRDefault="00A5592C" w:rsidP="00571A10">
      <w:pPr>
        <w:spacing w:line="240" w:lineRule="auto"/>
        <w:ind w:left="426" w:right="420"/>
        <w:jc w:val="both"/>
        <w:rPr>
          <w:rFonts w:ascii="Gadugi" w:hAnsi="Gadugi"/>
          <w:i/>
          <w:iCs/>
          <w:szCs w:val="24"/>
        </w:rPr>
      </w:pPr>
      <w:r w:rsidRPr="00571A10">
        <w:rPr>
          <w:rFonts w:ascii="Gadugi" w:hAnsi="Gadugi"/>
          <w:i/>
          <w:iCs/>
          <w:szCs w:val="24"/>
        </w:rPr>
        <w:t xml:space="preserve">No se trata, pues, de prescindir por completo de la causalidad física o natural, sino de no reducir a ella la atribución de un resultado a su autor, en tanto que la apreciación del elemento que se comenta es mucho más compleja. Como de forma muy reciente tuvo oportunidad de explicarlo la Sala: </w:t>
      </w:r>
    </w:p>
    <w:p w14:paraId="2B13D6A7" w14:textId="77777777" w:rsidR="00A5592C" w:rsidRPr="00571A10" w:rsidRDefault="00A5592C" w:rsidP="00571A10">
      <w:pPr>
        <w:spacing w:line="240" w:lineRule="auto"/>
        <w:ind w:left="426" w:right="420"/>
        <w:jc w:val="both"/>
        <w:rPr>
          <w:rFonts w:ascii="Gadugi" w:hAnsi="Gadugi"/>
          <w:i/>
          <w:iCs/>
          <w:szCs w:val="24"/>
        </w:rPr>
      </w:pPr>
    </w:p>
    <w:p w14:paraId="331E8F99" w14:textId="77777777" w:rsidR="00A5592C" w:rsidRPr="00571A10" w:rsidRDefault="00A5592C" w:rsidP="00571A10">
      <w:pPr>
        <w:spacing w:line="240" w:lineRule="auto"/>
        <w:ind w:left="426" w:right="420"/>
        <w:jc w:val="both"/>
        <w:rPr>
          <w:rFonts w:ascii="Gadugi" w:hAnsi="Gadugi"/>
          <w:i/>
          <w:iCs/>
          <w:szCs w:val="24"/>
        </w:rPr>
      </w:pPr>
      <w:r w:rsidRPr="00571A10">
        <w:rPr>
          <w:rFonts w:ascii="Gadugi" w:hAnsi="Gadugi"/>
          <w:i/>
          <w:iCs/>
          <w:szCs w:val="24"/>
        </w:rPr>
        <w:t xml:space="preserve">Al respecto, conviene precisar que el vínculo causal es una condición necesaria para la configuración de la responsabilidad, el cual solo puede ser develado a partir de las reglas de la vida, el sentido común y la lógica de lo razonable, pues estos criterios permiten particularizar, de los antecedentes y condiciones que confluyen en la producción de un resultado, cuál de ellos tiene la categoría de causa. </w:t>
      </w:r>
    </w:p>
    <w:p w14:paraId="3677ACA3" w14:textId="77777777" w:rsidR="00A5592C" w:rsidRPr="00571A10" w:rsidRDefault="00A5592C" w:rsidP="00571A10">
      <w:pPr>
        <w:spacing w:line="240" w:lineRule="auto"/>
        <w:ind w:left="426" w:right="420"/>
        <w:jc w:val="both"/>
        <w:rPr>
          <w:rFonts w:ascii="Gadugi" w:hAnsi="Gadugi"/>
          <w:i/>
          <w:iCs/>
          <w:szCs w:val="24"/>
        </w:rPr>
      </w:pPr>
    </w:p>
    <w:p w14:paraId="2826AAB4" w14:textId="77777777" w:rsidR="00A5592C" w:rsidRPr="00571A10" w:rsidRDefault="00A5592C" w:rsidP="00571A10">
      <w:pPr>
        <w:spacing w:line="240" w:lineRule="auto"/>
        <w:ind w:left="426" w:right="420"/>
        <w:jc w:val="both"/>
        <w:rPr>
          <w:rFonts w:ascii="Gadugi" w:hAnsi="Gadugi"/>
          <w:i/>
          <w:iCs/>
          <w:szCs w:val="24"/>
        </w:rPr>
      </w:pPr>
      <w:r w:rsidRPr="00571A10">
        <w:rPr>
          <w:rFonts w:ascii="Gadugi" w:hAnsi="Gadugi"/>
          <w:i/>
          <w:iCs/>
          <w:szCs w:val="24"/>
        </w:rPr>
        <w:t xml:space="preserve">Para tal fin, 'debe realizarse una prognosis que dé cuenta de los varios antecedentes que hipotéticamente son causas, de modo que con la aplicación de las reglas de la experiencia y del sentido de razonabilidad a que se aludió, se excluyan aquellos </w:t>
      </w:r>
      <w:r w:rsidRPr="00571A10">
        <w:rPr>
          <w:rFonts w:ascii="Gadugi" w:hAnsi="Gadugi"/>
          <w:i/>
          <w:iCs/>
          <w:szCs w:val="24"/>
        </w:rPr>
        <w:lastRenderedPageBreak/>
        <w:t xml:space="preserve">antecedentes que solo coadyuvan al resultado porque no son idóneos per se para producirlo, y se detecte aquél o aquellos que tienen esa aptitud' (SC, 15 en. 2008, rad. 2000-673-00-01; en el mismo sentido SC, 6 de sep. 2011, rad. 2002-00445-01). </w:t>
      </w:r>
    </w:p>
    <w:p w14:paraId="6E6F8BC9" w14:textId="77777777" w:rsidR="00A5592C" w:rsidRPr="00571A10" w:rsidRDefault="00A5592C" w:rsidP="00571A10">
      <w:pPr>
        <w:spacing w:line="240" w:lineRule="auto"/>
        <w:ind w:left="426" w:right="420"/>
        <w:jc w:val="both"/>
        <w:rPr>
          <w:rFonts w:ascii="Gadugi" w:hAnsi="Gadugi"/>
          <w:i/>
          <w:iCs/>
          <w:szCs w:val="24"/>
        </w:rPr>
      </w:pPr>
    </w:p>
    <w:p w14:paraId="48529A66" w14:textId="77777777" w:rsidR="00A5592C" w:rsidRPr="00571A10" w:rsidRDefault="00A5592C" w:rsidP="00571A10">
      <w:pPr>
        <w:spacing w:line="240" w:lineRule="auto"/>
        <w:ind w:left="426" w:right="420"/>
        <w:jc w:val="both"/>
        <w:rPr>
          <w:rFonts w:ascii="Gadugi" w:hAnsi="Gadugi"/>
          <w:i/>
          <w:iCs/>
          <w:szCs w:val="24"/>
        </w:rPr>
      </w:pPr>
      <w:r w:rsidRPr="00571A10">
        <w:rPr>
          <w:rFonts w:ascii="Gadugi" w:hAnsi="Gadugi"/>
          <w:i/>
          <w:iCs/>
          <w:szCs w:val="24"/>
        </w:rPr>
        <w:t xml:space="preserve">Así las cosas, en el establecimiento del nexo causal concurren elementos facticos y jurídicos, siendo indispensable la prueba - directa o inferencial- del primero de ellos, para lograr una condena indemnizatoria. </w:t>
      </w:r>
    </w:p>
    <w:p w14:paraId="23FA28FA" w14:textId="77777777" w:rsidR="00A5592C" w:rsidRPr="00571A10" w:rsidRDefault="00A5592C" w:rsidP="00571A10">
      <w:pPr>
        <w:spacing w:line="240" w:lineRule="auto"/>
        <w:ind w:left="426" w:right="420"/>
        <w:jc w:val="both"/>
        <w:rPr>
          <w:rFonts w:ascii="Gadugi" w:hAnsi="Gadugi"/>
          <w:i/>
          <w:iCs/>
          <w:szCs w:val="24"/>
        </w:rPr>
      </w:pPr>
    </w:p>
    <w:p w14:paraId="4F02C434" w14:textId="77777777" w:rsidR="00A5592C" w:rsidRPr="00571A10" w:rsidRDefault="00A5592C" w:rsidP="00571A10">
      <w:pPr>
        <w:spacing w:line="240" w:lineRule="auto"/>
        <w:ind w:left="426" w:right="420"/>
        <w:jc w:val="both"/>
        <w:rPr>
          <w:rFonts w:ascii="Gadugi" w:eastAsia="Georgia" w:hAnsi="Gadugi" w:cs="Georgia"/>
          <w:i/>
          <w:iCs/>
          <w:szCs w:val="24"/>
        </w:rPr>
      </w:pPr>
      <w:r w:rsidRPr="00571A10">
        <w:rPr>
          <w:rFonts w:ascii="Gadugi" w:hAnsi="Gadugi"/>
          <w:i/>
          <w:iCs/>
          <w:szCs w:val="24"/>
        </w:rPr>
        <w:t>El aspecto material se conoce como el juicio sine qua non y su objetivo es determinar las hechos o actuaciones que probablemente tuvieron injerencia en la producción del daño, por cuanto de faltar no sería posible su materialización. Para estos fines, se revisa el contexto material del suceso, analizado de forma retrospectiva, para establecer las causas y excluir aquellos que no guardan conexión, en términos de razonabilidad. Con posterioridad se hace la evaluación jurídica, con el fin de atribuir sentido legal a cada gestión, a partir de un actuar propio o ajeno, donde se hará la ponderación del tipo de conexión y su cercanía (CSJ, SC 3348 del 14 de septiembre de 2020, Rad. 2008-00337- 01).</w:t>
      </w:r>
    </w:p>
    <w:p w14:paraId="382DE060" w14:textId="77777777" w:rsidR="00A5592C" w:rsidRPr="00571A10" w:rsidRDefault="00A5592C" w:rsidP="00571A10">
      <w:pPr>
        <w:spacing w:line="240" w:lineRule="auto"/>
        <w:ind w:left="426" w:right="420"/>
        <w:jc w:val="both"/>
        <w:rPr>
          <w:rFonts w:ascii="Gadugi" w:eastAsia="Georgia" w:hAnsi="Gadugi" w:cs="Georgia"/>
          <w:szCs w:val="24"/>
        </w:rPr>
      </w:pPr>
    </w:p>
    <w:p w14:paraId="5305826A" w14:textId="1A0738BF" w:rsidR="00A5592C" w:rsidRPr="00571A10" w:rsidRDefault="00A5592C" w:rsidP="00571A10">
      <w:pPr>
        <w:spacing w:line="240" w:lineRule="auto"/>
        <w:ind w:left="426" w:right="420"/>
        <w:jc w:val="both"/>
        <w:rPr>
          <w:rFonts w:ascii="Gadugi" w:hAnsi="Gadugi"/>
          <w:szCs w:val="24"/>
        </w:rPr>
      </w:pPr>
      <w:r w:rsidRPr="00571A10">
        <w:rPr>
          <w:rFonts w:ascii="Gadugi" w:hAnsi="Gadugi"/>
          <w:szCs w:val="24"/>
        </w:rPr>
        <w:t>No se olvide que aquí la reclamación de los perjuicios deriva de un específico daño: la muerte del paciente</w:t>
      </w:r>
      <w:r w:rsidR="00FA4D97" w:rsidRPr="00571A10">
        <w:rPr>
          <w:rFonts w:ascii="Gadugi" w:hAnsi="Gadugi"/>
          <w:szCs w:val="24"/>
        </w:rPr>
        <w:t>…</w:t>
      </w:r>
      <w:r w:rsidRPr="00571A10">
        <w:rPr>
          <w:rFonts w:ascii="Gadugi" w:hAnsi="Gadugi"/>
          <w:szCs w:val="24"/>
        </w:rPr>
        <w:t xml:space="preserve">, así que la tarea estaba en descubrir qué fue lo que llevó a ese fatal desenlace. </w:t>
      </w:r>
    </w:p>
    <w:p w14:paraId="6F722C8A" w14:textId="77777777" w:rsidR="00D50C7D" w:rsidRPr="002F651B" w:rsidRDefault="000E6BBD" w:rsidP="002F651B">
      <w:pPr>
        <w:pStyle w:val="Prrafodelista"/>
        <w:tabs>
          <w:tab w:val="left" w:pos="709"/>
          <w:tab w:val="left" w:pos="2410"/>
        </w:tabs>
        <w:ind w:left="555"/>
        <w:jc w:val="both"/>
        <w:rPr>
          <w:rFonts w:ascii="Gadugi" w:eastAsia="Georgia" w:hAnsi="Gadugi" w:cs="Georgia"/>
          <w:sz w:val="24"/>
          <w:szCs w:val="24"/>
        </w:rPr>
      </w:pPr>
      <w:r w:rsidRPr="002F651B">
        <w:rPr>
          <w:rFonts w:ascii="Gadugi" w:eastAsia="Georgia" w:hAnsi="Gadugi" w:cs="Georgia"/>
          <w:sz w:val="24"/>
          <w:szCs w:val="24"/>
        </w:rPr>
        <w:t xml:space="preserve"> </w:t>
      </w:r>
    </w:p>
    <w:p w14:paraId="4D403321" w14:textId="15110BCC" w:rsidR="00FA193F" w:rsidRPr="002F651B" w:rsidRDefault="000F4468" w:rsidP="002F651B">
      <w:pPr>
        <w:pStyle w:val="Prrafodelista"/>
        <w:numPr>
          <w:ilvl w:val="1"/>
          <w:numId w:val="16"/>
        </w:numPr>
        <w:tabs>
          <w:tab w:val="left" w:pos="709"/>
          <w:tab w:val="left" w:pos="2410"/>
        </w:tabs>
        <w:ind w:left="0" w:firstLine="0"/>
        <w:jc w:val="both"/>
        <w:rPr>
          <w:rFonts w:ascii="Gadugi" w:eastAsia="Calibri" w:hAnsi="Gadugi" w:cs="Times New Roman"/>
          <w:sz w:val="24"/>
          <w:szCs w:val="24"/>
          <w:lang w:val="es-CO"/>
        </w:rPr>
      </w:pPr>
      <w:r w:rsidRPr="002F651B">
        <w:rPr>
          <w:rFonts w:ascii="Gadugi" w:hAnsi="Gadugi"/>
          <w:sz w:val="24"/>
          <w:szCs w:val="24"/>
        </w:rPr>
        <w:t>A riesgo de insistir, el juzgado fundó su teoría en que, muy a pesar de la evidente negligencia de las</w:t>
      </w:r>
      <w:r w:rsidR="000B1171" w:rsidRPr="002F651B">
        <w:rPr>
          <w:rFonts w:ascii="Gadugi" w:hAnsi="Gadugi"/>
          <w:sz w:val="24"/>
          <w:szCs w:val="24"/>
        </w:rPr>
        <w:t xml:space="preserve"> demandadas en la atención dispensada a María Nora Correa de Piedrahíta, esa </w:t>
      </w:r>
      <w:r w:rsidR="00BA6AF2" w:rsidRPr="002F651B">
        <w:rPr>
          <w:rFonts w:ascii="Gadugi" w:hAnsi="Gadugi"/>
          <w:sz w:val="24"/>
          <w:szCs w:val="24"/>
        </w:rPr>
        <w:t>pudo ser una de las cusas de su deceso, pero “</w:t>
      </w:r>
      <w:r w:rsidR="00FA193F" w:rsidRPr="00571A10">
        <w:rPr>
          <w:rFonts w:ascii="Gadugi" w:hAnsi="Gadugi"/>
          <w:i/>
          <w:iCs/>
          <w:szCs w:val="24"/>
        </w:rPr>
        <w:t>también hay que tener en cuenta que factores como la edad y la hipertensión arterial que padecía, pudieron ser factores determinantes para el agravamiento de su salud y el fatal desenlace. Cualquiera de esos factores pudo haber sido el detonante para que sus condiciones de salud empeoraran y terminara toda esta situación en su fallecimiento</w:t>
      </w:r>
      <w:r w:rsidR="00BA6AF2" w:rsidRPr="002F651B">
        <w:rPr>
          <w:rFonts w:ascii="Gadugi" w:hAnsi="Gadugi"/>
          <w:i/>
          <w:iCs/>
          <w:sz w:val="24"/>
          <w:szCs w:val="24"/>
        </w:rPr>
        <w:t xml:space="preserve">”. </w:t>
      </w:r>
    </w:p>
    <w:p w14:paraId="3E1AD7D1" w14:textId="77777777" w:rsidR="00BA6AF2" w:rsidRPr="002F651B" w:rsidRDefault="00BA6AF2" w:rsidP="002F651B">
      <w:pPr>
        <w:tabs>
          <w:tab w:val="left" w:pos="709"/>
          <w:tab w:val="left" w:pos="2410"/>
        </w:tabs>
        <w:jc w:val="both"/>
        <w:rPr>
          <w:rFonts w:ascii="Gadugi" w:eastAsia="Calibri" w:hAnsi="Gadugi" w:cs="Times New Roman"/>
          <w:sz w:val="24"/>
          <w:szCs w:val="24"/>
          <w:lang w:val="es-CO"/>
        </w:rPr>
      </w:pPr>
    </w:p>
    <w:p w14:paraId="72B09763" w14:textId="3E4966DB" w:rsidR="006D3028" w:rsidRPr="002F651B" w:rsidRDefault="006D3028" w:rsidP="002F651B">
      <w:pPr>
        <w:tabs>
          <w:tab w:val="left" w:pos="709"/>
          <w:tab w:val="left" w:pos="2410"/>
        </w:tabs>
        <w:jc w:val="both"/>
        <w:rPr>
          <w:rFonts w:ascii="Gadugi" w:hAnsi="Gadugi"/>
          <w:sz w:val="24"/>
          <w:szCs w:val="24"/>
        </w:rPr>
      </w:pPr>
      <w:r w:rsidRPr="002F651B">
        <w:rPr>
          <w:rFonts w:ascii="Gadugi" w:eastAsia="Calibri" w:hAnsi="Gadugi" w:cs="Times New Roman"/>
          <w:sz w:val="24"/>
          <w:szCs w:val="24"/>
          <w:lang w:val="es-CO"/>
        </w:rPr>
        <w:t xml:space="preserve">En tanto que los demandantes realizan un ejercicio, desde el ámbito de la causalidad, que es el que la Sala acogerá: </w:t>
      </w:r>
      <w:r w:rsidR="002937AD" w:rsidRPr="002F651B">
        <w:rPr>
          <w:rFonts w:ascii="Gadugi" w:eastAsia="Calibri" w:hAnsi="Gadugi" w:cs="Times New Roman"/>
          <w:sz w:val="24"/>
          <w:szCs w:val="24"/>
          <w:lang w:val="es-CO"/>
        </w:rPr>
        <w:t>s</w:t>
      </w:r>
      <w:r w:rsidR="009C66FC" w:rsidRPr="002F651B">
        <w:rPr>
          <w:rFonts w:ascii="Gadugi" w:eastAsia="Calibri" w:hAnsi="Gadugi" w:cs="Times New Roman"/>
          <w:sz w:val="24"/>
          <w:szCs w:val="24"/>
          <w:lang w:val="es-CO"/>
        </w:rPr>
        <w:t xml:space="preserve">i </w:t>
      </w:r>
      <w:r w:rsidR="009F5E8C" w:rsidRPr="002F651B">
        <w:rPr>
          <w:rFonts w:ascii="Gadugi" w:hAnsi="Gadugi"/>
          <w:sz w:val="24"/>
          <w:szCs w:val="24"/>
        </w:rPr>
        <w:t xml:space="preserve">se hace abstracción de la edad y la hipertensión documentadas, en todo caso se hubiera producido el deceso, por cuanto no se trató a la paciente </w:t>
      </w:r>
      <w:r w:rsidR="009065EA" w:rsidRPr="002F651B">
        <w:rPr>
          <w:rFonts w:ascii="Gadugi" w:hAnsi="Gadugi"/>
          <w:sz w:val="24"/>
          <w:szCs w:val="24"/>
        </w:rPr>
        <w:t xml:space="preserve">oportunamente. Veamos. </w:t>
      </w:r>
    </w:p>
    <w:p w14:paraId="6A8B078A" w14:textId="77777777" w:rsidR="009065EA" w:rsidRPr="002F651B" w:rsidRDefault="009065EA" w:rsidP="002F651B">
      <w:pPr>
        <w:tabs>
          <w:tab w:val="left" w:pos="709"/>
          <w:tab w:val="left" w:pos="2410"/>
        </w:tabs>
        <w:jc w:val="both"/>
        <w:rPr>
          <w:rFonts w:ascii="Gadugi" w:hAnsi="Gadugi"/>
          <w:sz w:val="24"/>
          <w:szCs w:val="24"/>
        </w:rPr>
      </w:pPr>
    </w:p>
    <w:p w14:paraId="5515934A" w14:textId="77777777" w:rsidR="00A535C6" w:rsidRPr="002F651B" w:rsidRDefault="00754F99" w:rsidP="002F651B">
      <w:pPr>
        <w:pStyle w:val="Prrafodelista"/>
        <w:numPr>
          <w:ilvl w:val="1"/>
          <w:numId w:val="16"/>
        </w:numPr>
        <w:tabs>
          <w:tab w:val="left" w:pos="709"/>
          <w:tab w:val="left" w:pos="851"/>
          <w:tab w:val="left" w:pos="2410"/>
        </w:tabs>
        <w:ind w:left="0" w:firstLine="0"/>
        <w:jc w:val="both"/>
        <w:rPr>
          <w:rFonts w:ascii="Gadugi" w:hAnsi="Gadugi"/>
          <w:sz w:val="24"/>
          <w:szCs w:val="24"/>
        </w:rPr>
      </w:pPr>
      <w:r w:rsidRPr="002F651B">
        <w:rPr>
          <w:rFonts w:ascii="Gadugi" w:hAnsi="Gadugi"/>
          <w:sz w:val="24"/>
          <w:szCs w:val="24"/>
        </w:rPr>
        <w:t xml:space="preserve">La historia clínica, </w:t>
      </w:r>
      <w:r w:rsidR="00A535C6" w:rsidRPr="002F651B">
        <w:rPr>
          <w:rFonts w:ascii="Gadugi" w:hAnsi="Gadugi"/>
          <w:sz w:val="24"/>
          <w:szCs w:val="24"/>
        </w:rPr>
        <w:t xml:space="preserve">como dejó en evidencia el Juzgado, revela las inconsistencias en la prestación del servicio. </w:t>
      </w:r>
    </w:p>
    <w:p w14:paraId="54C98D65" w14:textId="77777777" w:rsidR="00A535C6" w:rsidRPr="002F651B" w:rsidRDefault="00A535C6" w:rsidP="002F651B">
      <w:pPr>
        <w:pStyle w:val="Prrafodelista"/>
        <w:tabs>
          <w:tab w:val="left" w:pos="709"/>
          <w:tab w:val="left" w:pos="851"/>
          <w:tab w:val="left" w:pos="2410"/>
        </w:tabs>
        <w:ind w:left="0"/>
        <w:jc w:val="both"/>
        <w:rPr>
          <w:rFonts w:ascii="Gadugi" w:hAnsi="Gadugi"/>
          <w:sz w:val="24"/>
          <w:szCs w:val="24"/>
        </w:rPr>
      </w:pPr>
    </w:p>
    <w:p w14:paraId="720D3166" w14:textId="0E796A71" w:rsidR="008031EE" w:rsidRPr="002F651B" w:rsidRDefault="00A535C6" w:rsidP="002F651B">
      <w:pPr>
        <w:pStyle w:val="Prrafodelista"/>
        <w:tabs>
          <w:tab w:val="left" w:pos="709"/>
          <w:tab w:val="left" w:pos="851"/>
          <w:tab w:val="left" w:pos="2410"/>
        </w:tabs>
        <w:ind w:left="0"/>
        <w:jc w:val="both"/>
        <w:rPr>
          <w:rFonts w:ascii="Gadugi" w:eastAsia="Calibri" w:hAnsi="Gadugi" w:cs="Times New Roman"/>
          <w:sz w:val="24"/>
          <w:szCs w:val="24"/>
          <w:lang w:val="es-CO"/>
        </w:rPr>
      </w:pPr>
      <w:r w:rsidRPr="002F651B">
        <w:rPr>
          <w:rFonts w:ascii="Gadugi" w:hAnsi="Gadugi"/>
          <w:sz w:val="24"/>
          <w:szCs w:val="24"/>
        </w:rPr>
        <w:t>Por manera que, e</w:t>
      </w:r>
      <w:r w:rsidR="003B08C9" w:rsidRPr="002F651B">
        <w:rPr>
          <w:rFonts w:ascii="Gadugi" w:eastAsia="Calibri" w:hAnsi="Gadugi" w:cs="Times New Roman"/>
          <w:sz w:val="24"/>
          <w:szCs w:val="24"/>
          <w:lang w:val="es-CO"/>
        </w:rPr>
        <w:t xml:space="preserve">l elemento material de la causalidad revela, en consecuencia, que era una paciente de 78 años, hipertensa, que ingresó a urgencias con un dolor abdominal, </w:t>
      </w:r>
      <w:r w:rsidR="002B76BB" w:rsidRPr="002F651B">
        <w:rPr>
          <w:rFonts w:ascii="Gadugi" w:eastAsia="Calibri" w:hAnsi="Gadugi" w:cs="Times New Roman"/>
          <w:sz w:val="24"/>
          <w:szCs w:val="24"/>
          <w:lang w:val="es-CO"/>
        </w:rPr>
        <w:t xml:space="preserve">el diagnóstico inicial fue equivocado y, corregido el rumbo, cuando se sospechó de </w:t>
      </w:r>
      <w:r w:rsidR="00E20426" w:rsidRPr="002F651B">
        <w:rPr>
          <w:rFonts w:ascii="Gadugi" w:eastAsia="Calibri" w:hAnsi="Gadugi" w:cs="Times New Roman"/>
          <w:sz w:val="24"/>
          <w:szCs w:val="24"/>
          <w:lang w:val="es-CO"/>
        </w:rPr>
        <w:t xml:space="preserve">una úlcera perforada y se le dio la connotación de urgencia vital, hubo una evidente demora en el tratamiento que correspondía a ese diagnóstico, a pesar de que los profesionales de la medicina insistieron en la necesidad de traslado </w:t>
      </w:r>
      <w:r w:rsidR="002D579F" w:rsidRPr="002F651B">
        <w:rPr>
          <w:rFonts w:ascii="Gadugi" w:eastAsia="Calibri" w:hAnsi="Gadugi" w:cs="Times New Roman"/>
          <w:sz w:val="24"/>
          <w:szCs w:val="24"/>
          <w:lang w:val="es-CO"/>
        </w:rPr>
        <w:t>a un centro médico de mayor complejidad y de las intervenciones requeridas</w:t>
      </w:r>
      <w:r w:rsidR="00996AF9" w:rsidRPr="002F651B">
        <w:rPr>
          <w:rFonts w:ascii="Gadugi" w:eastAsia="Calibri" w:hAnsi="Gadugi" w:cs="Times New Roman"/>
          <w:sz w:val="24"/>
          <w:szCs w:val="24"/>
          <w:lang w:val="es-CO"/>
        </w:rPr>
        <w:t>, hasta que fue posible el traslado, mas, para entonces, la evolución tórpida impidió la recuperación y se produjo el fatal desenlace</w:t>
      </w:r>
      <w:r w:rsidR="00295D3D" w:rsidRPr="002F651B">
        <w:rPr>
          <w:rFonts w:ascii="Gadugi" w:eastAsia="Calibri" w:hAnsi="Gadugi" w:cs="Times New Roman"/>
          <w:sz w:val="24"/>
          <w:szCs w:val="24"/>
          <w:lang w:val="es-CO"/>
        </w:rPr>
        <w:t xml:space="preserve">, como revela el documento, </w:t>
      </w:r>
      <w:r w:rsidR="00AA469D" w:rsidRPr="002F651B">
        <w:rPr>
          <w:rFonts w:ascii="Gadugi" w:eastAsia="Calibri" w:hAnsi="Gadugi" w:cs="Times New Roman"/>
          <w:b/>
          <w:sz w:val="24"/>
          <w:szCs w:val="24"/>
          <w:lang w:val="es-CO"/>
        </w:rPr>
        <w:t xml:space="preserve">por una disfunción orgánica múltiple, choque </w:t>
      </w:r>
      <w:r w:rsidR="00AA469D" w:rsidRPr="002F651B">
        <w:rPr>
          <w:rFonts w:ascii="Gadugi" w:eastAsia="Calibri" w:hAnsi="Gadugi" w:cs="Times New Roman"/>
          <w:b/>
          <w:sz w:val="24"/>
          <w:szCs w:val="24"/>
          <w:lang w:val="es-CO"/>
        </w:rPr>
        <w:lastRenderedPageBreak/>
        <w:t>séptico de origen abdominal</w:t>
      </w:r>
      <w:r w:rsidR="008031EE" w:rsidRPr="002F651B">
        <w:rPr>
          <w:rFonts w:ascii="Gadugi" w:eastAsia="Calibri" w:hAnsi="Gadugi" w:cs="Times New Roman"/>
          <w:b/>
          <w:sz w:val="24"/>
          <w:szCs w:val="24"/>
          <w:lang w:val="es-CO"/>
        </w:rPr>
        <w:t>, secundaria a perforación de úlcera gástrica e isquemia mesentérica asociada.</w:t>
      </w:r>
      <w:r w:rsidR="008031EE" w:rsidRPr="002F651B">
        <w:rPr>
          <w:rFonts w:ascii="Gadugi" w:eastAsia="Calibri" w:hAnsi="Gadugi" w:cs="Times New Roman"/>
          <w:sz w:val="24"/>
          <w:szCs w:val="24"/>
          <w:lang w:val="es-CO"/>
        </w:rPr>
        <w:t xml:space="preserve"> </w:t>
      </w:r>
    </w:p>
    <w:p w14:paraId="7BD64085" w14:textId="77777777" w:rsidR="008031EE" w:rsidRPr="002F651B" w:rsidRDefault="008031EE" w:rsidP="002F651B">
      <w:pPr>
        <w:tabs>
          <w:tab w:val="left" w:pos="2410"/>
        </w:tabs>
        <w:jc w:val="both"/>
        <w:rPr>
          <w:rFonts w:ascii="Gadugi" w:eastAsia="Calibri" w:hAnsi="Gadugi" w:cs="Times New Roman"/>
          <w:sz w:val="24"/>
          <w:szCs w:val="24"/>
          <w:lang w:val="es-CO"/>
        </w:rPr>
      </w:pPr>
    </w:p>
    <w:p w14:paraId="4F5FED79" w14:textId="1D9AC00F" w:rsidR="002F263B" w:rsidRPr="002F651B" w:rsidRDefault="00204969" w:rsidP="002F651B">
      <w:pPr>
        <w:pStyle w:val="Prrafodelista"/>
        <w:numPr>
          <w:ilvl w:val="1"/>
          <w:numId w:val="16"/>
        </w:numPr>
        <w:tabs>
          <w:tab w:val="left" w:pos="709"/>
          <w:tab w:val="left" w:pos="2410"/>
        </w:tabs>
        <w:ind w:left="0" w:firstLine="0"/>
        <w:jc w:val="both"/>
        <w:rPr>
          <w:rFonts w:ascii="Gadugi" w:eastAsia="Calibri" w:hAnsi="Gadugi" w:cs="Times New Roman"/>
          <w:sz w:val="24"/>
          <w:szCs w:val="24"/>
          <w:lang w:val="es-CO"/>
        </w:rPr>
      </w:pPr>
      <w:r w:rsidRPr="002F651B">
        <w:rPr>
          <w:rFonts w:ascii="Gadugi" w:eastAsia="Calibri" w:hAnsi="Gadugi" w:cs="Times New Roman"/>
          <w:sz w:val="24"/>
          <w:szCs w:val="24"/>
          <w:lang w:val="es-CO"/>
        </w:rPr>
        <w:t xml:space="preserve">Ahora, es en la causalidad jurídica donde debe </w:t>
      </w:r>
      <w:r w:rsidR="00690CE8" w:rsidRPr="002F651B">
        <w:rPr>
          <w:rFonts w:ascii="Gadugi" w:eastAsia="Calibri" w:hAnsi="Gadugi" w:cs="Times New Roman"/>
          <w:sz w:val="24"/>
          <w:szCs w:val="24"/>
          <w:lang w:val="es-CO"/>
        </w:rPr>
        <w:t xml:space="preserve">fijarse la vista. </w:t>
      </w:r>
      <w:r w:rsidR="008031EE" w:rsidRPr="002F651B">
        <w:rPr>
          <w:rFonts w:ascii="Gadugi" w:eastAsia="Calibri" w:hAnsi="Gadugi" w:cs="Times New Roman"/>
          <w:sz w:val="24"/>
          <w:szCs w:val="24"/>
          <w:lang w:val="es-CO"/>
        </w:rPr>
        <w:t xml:space="preserve">Como bien dicen los recurrentes, </w:t>
      </w:r>
      <w:r w:rsidR="00BE5031" w:rsidRPr="002F651B">
        <w:rPr>
          <w:rFonts w:ascii="Gadugi" w:eastAsia="Calibri" w:hAnsi="Gadugi" w:cs="Times New Roman"/>
          <w:sz w:val="24"/>
          <w:szCs w:val="24"/>
          <w:lang w:val="es-CO"/>
        </w:rPr>
        <w:t xml:space="preserve">es claro </w:t>
      </w:r>
      <w:r w:rsidR="00725BD1" w:rsidRPr="002F651B">
        <w:rPr>
          <w:rFonts w:ascii="Gadugi" w:eastAsia="Calibri" w:hAnsi="Gadugi" w:cs="Times New Roman"/>
          <w:sz w:val="24"/>
          <w:szCs w:val="24"/>
          <w:lang w:val="es-CO"/>
        </w:rPr>
        <w:t xml:space="preserve">para la Sala que, si de esos precedentes se retiraran los dos primeros, esto es, la edad y la hipertensión, dada la evolución desfavorable de la paciente por la </w:t>
      </w:r>
      <w:r w:rsidR="0092183C" w:rsidRPr="002F651B">
        <w:rPr>
          <w:rFonts w:ascii="Gadugi" w:eastAsia="Calibri" w:hAnsi="Gadugi" w:cs="Times New Roman"/>
          <w:sz w:val="24"/>
          <w:szCs w:val="24"/>
          <w:lang w:val="es-CO"/>
        </w:rPr>
        <w:t xml:space="preserve">manifiesta tardanza en la prestación del servicio, el desenlace final hubiera sido el mismo. Es decir, aún con una edad diferente o sin </w:t>
      </w:r>
      <w:r w:rsidR="002F263B" w:rsidRPr="002F651B">
        <w:rPr>
          <w:rFonts w:ascii="Gadugi" w:eastAsia="Calibri" w:hAnsi="Gadugi" w:cs="Times New Roman"/>
          <w:sz w:val="24"/>
          <w:szCs w:val="24"/>
          <w:lang w:val="es-CO"/>
        </w:rPr>
        <w:t xml:space="preserve">la patología de la hipertensión, si no se trata adecuadamente una úlcera perforada, la consecuencia es el choque séptico que conduce a la muerte, que fue lo que aquí ocurrió. </w:t>
      </w:r>
    </w:p>
    <w:p w14:paraId="50825C9A" w14:textId="77777777" w:rsidR="002F263B" w:rsidRPr="002F651B" w:rsidRDefault="002F263B" w:rsidP="002F651B">
      <w:pPr>
        <w:tabs>
          <w:tab w:val="left" w:pos="2410"/>
        </w:tabs>
        <w:jc w:val="both"/>
        <w:rPr>
          <w:rFonts w:ascii="Gadugi" w:eastAsia="Calibri" w:hAnsi="Gadugi" w:cs="Times New Roman"/>
          <w:sz w:val="24"/>
          <w:szCs w:val="24"/>
          <w:lang w:val="es-CO"/>
        </w:rPr>
      </w:pPr>
    </w:p>
    <w:p w14:paraId="65AEFA0D" w14:textId="033AA474" w:rsidR="002F263B" w:rsidRPr="002F651B" w:rsidRDefault="00056254" w:rsidP="002F651B">
      <w:pPr>
        <w:tabs>
          <w:tab w:val="left" w:pos="2410"/>
        </w:tabs>
        <w:jc w:val="both"/>
        <w:rPr>
          <w:rFonts w:ascii="Gadugi" w:eastAsia="Calibri" w:hAnsi="Gadugi" w:cs="Times New Roman"/>
          <w:sz w:val="24"/>
          <w:szCs w:val="24"/>
          <w:lang w:val="es-CO"/>
        </w:rPr>
      </w:pPr>
      <w:r w:rsidRPr="002F651B">
        <w:rPr>
          <w:rFonts w:ascii="Gadugi" w:eastAsia="Calibri" w:hAnsi="Gadugi" w:cs="Times New Roman"/>
          <w:sz w:val="24"/>
          <w:szCs w:val="24"/>
          <w:lang w:val="es-CO"/>
        </w:rPr>
        <w:t xml:space="preserve">Ello se refuerza con lo dicho por los testigos técnicos escuchados, que lo son por haber atendido a la paciente. </w:t>
      </w:r>
    </w:p>
    <w:p w14:paraId="1D295A3F" w14:textId="77777777" w:rsidR="00056254" w:rsidRPr="002F651B" w:rsidRDefault="00056254" w:rsidP="002F651B">
      <w:pPr>
        <w:tabs>
          <w:tab w:val="left" w:pos="2410"/>
        </w:tabs>
        <w:jc w:val="both"/>
        <w:rPr>
          <w:rFonts w:ascii="Gadugi" w:eastAsia="Calibri" w:hAnsi="Gadugi" w:cs="Times New Roman"/>
          <w:sz w:val="24"/>
          <w:szCs w:val="24"/>
          <w:lang w:val="es-CO"/>
        </w:rPr>
      </w:pPr>
    </w:p>
    <w:p w14:paraId="5468A6A1" w14:textId="559DDFA9" w:rsidR="008277FD" w:rsidRPr="002F651B" w:rsidRDefault="00056254"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lang w:val="es-CO"/>
        </w:rPr>
        <w:t>El Dr.</w:t>
      </w:r>
      <w:r w:rsidR="008277FD" w:rsidRPr="002F651B">
        <w:rPr>
          <w:rFonts w:ascii="Gadugi" w:eastAsia="Calibri" w:hAnsi="Gadugi" w:cs="Times New Roman"/>
          <w:sz w:val="24"/>
          <w:szCs w:val="24"/>
          <w:lang w:val="es-CO"/>
        </w:rPr>
        <w:t xml:space="preserve"> Carlos Alberto Becerra Arias, </w:t>
      </w:r>
      <w:r w:rsidRPr="002F651B">
        <w:rPr>
          <w:rFonts w:ascii="Gadugi" w:eastAsia="Calibri" w:hAnsi="Gadugi" w:cs="Times New Roman"/>
          <w:sz w:val="24"/>
          <w:szCs w:val="24"/>
          <w:lang w:val="es-CO"/>
        </w:rPr>
        <w:t>definió</w:t>
      </w:r>
      <w:r w:rsidR="008277FD" w:rsidRPr="002F651B">
        <w:rPr>
          <w:rStyle w:val="Refdenotaalpie"/>
          <w:rFonts w:ascii="Gadugi" w:eastAsia="Calibri" w:hAnsi="Gadugi" w:cs="Times New Roman"/>
          <w:sz w:val="24"/>
          <w:szCs w:val="24"/>
        </w:rPr>
        <w:footnoteReference w:id="44"/>
      </w:r>
      <w:r w:rsidR="00563328" w:rsidRPr="002F651B">
        <w:rPr>
          <w:rFonts w:ascii="Gadugi" w:eastAsia="Calibri" w:hAnsi="Gadugi" w:cs="Times New Roman"/>
          <w:sz w:val="24"/>
          <w:szCs w:val="24"/>
          <w:lang w:val="es-CO"/>
        </w:rPr>
        <w:t xml:space="preserve"> la urgencia como </w:t>
      </w:r>
      <w:r w:rsidR="008277FD" w:rsidRPr="002F651B">
        <w:rPr>
          <w:rFonts w:ascii="Gadugi" w:eastAsia="Calibri" w:hAnsi="Gadugi" w:cs="Times New Roman"/>
          <w:sz w:val="24"/>
          <w:szCs w:val="24"/>
        </w:rPr>
        <w:t>una alteración de la integridad física y/o mental de una persona, causada por un trauma o por una enfermedad de cualquier etiología que gener</w:t>
      </w:r>
      <w:r w:rsidR="00563328" w:rsidRPr="002F651B">
        <w:rPr>
          <w:rFonts w:ascii="Gadugi" w:eastAsia="Calibri" w:hAnsi="Gadugi" w:cs="Times New Roman"/>
          <w:sz w:val="24"/>
          <w:szCs w:val="24"/>
        </w:rPr>
        <w:t>a</w:t>
      </w:r>
      <w:r w:rsidR="008277FD" w:rsidRPr="002F651B">
        <w:rPr>
          <w:rFonts w:ascii="Gadugi" w:eastAsia="Calibri" w:hAnsi="Gadugi" w:cs="Times New Roman"/>
          <w:sz w:val="24"/>
          <w:szCs w:val="24"/>
        </w:rPr>
        <w:t xml:space="preserve"> una demanda de atención médica inmediata y efectiva tendiente a disminuir los riesgos de invalidez y muerte.  </w:t>
      </w:r>
    </w:p>
    <w:p w14:paraId="4DCD6181" w14:textId="77777777" w:rsidR="008277FD" w:rsidRPr="002F651B" w:rsidRDefault="008277FD" w:rsidP="002F651B">
      <w:pPr>
        <w:tabs>
          <w:tab w:val="left" w:pos="2410"/>
        </w:tabs>
        <w:ind w:left="426" w:right="240"/>
        <w:jc w:val="both"/>
        <w:rPr>
          <w:rFonts w:ascii="Gadugi" w:eastAsia="Calibri" w:hAnsi="Gadugi" w:cs="Times New Roman"/>
          <w:sz w:val="24"/>
          <w:szCs w:val="24"/>
        </w:rPr>
      </w:pPr>
    </w:p>
    <w:p w14:paraId="28D56B56" w14:textId="64F12F66" w:rsidR="008277FD" w:rsidRPr="002F651B" w:rsidRDefault="00824E5F"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rPr>
        <w:t xml:space="preserve">Por su lado, el </w:t>
      </w:r>
      <w:r w:rsidR="008277FD" w:rsidRPr="002F651B">
        <w:rPr>
          <w:rFonts w:ascii="Gadugi" w:eastAsia="Calibri" w:hAnsi="Gadugi" w:cs="Times New Roman"/>
          <w:sz w:val="24"/>
          <w:szCs w:val="24"/>
        </w:rPr>
        <w:t>médico intensivista Jaime Antonio Romero Díaz:</w:t>
      </w:r>
      <w:r w:rsidR="008277FD" w:rsidRPr="002F651B">
        <w:rPr>
          <w:rStyle w:val="Refdenotaalpie"/>
          <w:rFonts w:ascii="Gadugi" w:eastAsia="Calibri" w:hAnsi="Gadugi" w:cs="Times New Roman"/>
          <w:sz w:val="24"/>
          <w:szCs w:val="24"/>
        </w:rPr>
        <w:footnoteReference w:id="45"/>
      </w:r>
      <w:r w:rsidR="008277FD" w:rsidRPr="002F651B">
        <w:rPr>
          <w:rFonts w:ascii="Gadugi" w:eastAsia="Calibri" w:hAnsi="Gadugi" w:cs="Times New Roman"/>
          <w:sz w:val="24"/>
          <w:szCs w:val="24"/>
        </w:rPr>
        <w:t xml:space="preserve"> </w:t>
      </w:r>
      <w:r w:rsidRPr="002F651B">
        <w:rPr>
          <w:rFonts w:ascii="Gadugi" w:eastAsia="Calibri" w:hAnsi="Gadugi" w:cs="Times New Roman"/>
          <w:sz w:val="24"/>
          <w:szCs w:val="24"/>
        </w:rPr>
        <w:t>señaló que c</w:t>
      </w:r>
      <w:r w:rsidR="008277FD" w:rsidRPr="002F651B">
        <w:rPr>
          <w:rFonts w:ascii="Gadugi" w:eastAsia="Calibri" w:hAnsi="Gadugi" w:cs="Times New Roman"/>
          <w:sz w:val="24"/>
          <w:szCs w:val="24"/>
        </w:rPr>
        <w:t>uando se escribe "</w:t>
      </w:r>
      <w:r w:rsidR="008277FD" w:rsidRPr="002F651B">
        <w:rPr>
          <w:rFonts w:ascii="Gadugi" w:eastAsia="Calibri" w:hAnsi="Gadugi" w:cs="Times New Roman"/>
          <w:i/>
          <w:iCs/>
          <w:sz w:val="24"/>
          <w:szCs w:val="24"/>
        </w:rPr>
        <w:t>urgencia vital</w:t>
      </w:r>
      <w:r w:rsidR="008277FD" w:rsidRPr="002F651B">
        <w:rPr>
          <w:rFonts w:ascii="Gadugi" w:eastAsia="Calibri" w:hAnsi="Gadugi" w:cs="Times New Roman"/>
          <w:sz w:val="24"/>
          <w:szCs w:val="24"/>
        </w:rPr>
        <w:t>", es porque el médico considera que está en riesgo la vida del paciente y, por lo tanto, debe recibir una atención mucho más especializada, no solamente en imágenes, sino en valoraciones médicas y en concurso de otros servicios, como las unidades de cuidados intensivos</w:t>
      </w:r>
      <w:r w:rsidR="008277FD" w:rsidRPr="002F651B">
        <w:rPr>
          <w:rStyle w:val="Refdenotaalpie"/>
          <w:rFonts w:ascii="Gadugi" w:eastAsia="Calibri" w:hAnsi="Gadugi" w:cs="Times New Roman"/>
          <w:sz w:val="24"/>
          <w:szCs w:val="24"/>
        </w:rPr>
        <w:footnoteReference w:id="46"/>
      </w:r>
      <w:r w:rsidR="0010650B" w:rsidRPr="002F651B">
        <w:rPr>
          <w:rFonts w:ascii="Gadugi" w:eastAsia="Calibri" w:hAnsi="Gadugi" w:cs="Times New Roman"/>
          <w:sz w:val="24"/>
          <w:szCs w:val="24"/>
        </w:rPr>
        <w:t xml:space="preserve">. </w:t>
      </w:r>
      <w:r w:rsidR="008277FD" w:rsidRPr="002F651B">
        <w:rPr>
          <w:rFonts w:ascii="Gadugi" w:eastAsia="Calibri" w:hAnsi="Gadugi" w:cs="Times New Roman"/>
          <w:sz w:val="24"/>
          <w:szCs w:val="24"/>
        </w:rPr>
        <w:t xml:space="preserve">Y </w:t>
      </w:r>
      <w:r w:rsidR="0010650B" w:rsidRPr="002F651B">
        <w:rPr>
          <w:rFonts w:ascii="Gadugi" w:eastAsia="Calibri" w:hAnsi="Gadugi" w:cs="Times New Roman"/>
          <w:sz w:val="24"/>
          <w:szCs w:val="24"/>
        </w:rPr>
        <w:t xml:space="preserve">agregó que </w:t>
      </w:r>
      <w:r w:rsidR="0048581F" w:rsidRPr="002F651B">
        <w:rPr>
          <w:rFonts w:ascii="Gadugi" w:eastAsia="Calibri" w:hAnsi="Gadugi" w:cs="Times New Roman"/>
          <w:sz w:val="24"/>
          <w:szCs w:val="24"/>
        </w:rPr>
        <w:t>“</w:t>
      </w:r>
      <w:r w:rsidR="008277FD" w:rsidRPr="00AA327C">
        <w:rPr>
          <w:rFonts w:ascii="Gadugi" w:eastAsia="Calibri" w:hAnsi="Gadugi" w:cs="Times New Roman"/>
          <w:i/>
          <w:iCs/>
          <w:szCs w:val="24"/>
        </w:rPr>
        <w:t>Urgencia vital indica que si no se le presta la atención debida hay un muy alto riesgo de muerte</w:t>
      </w:r>
      <w:r w:rsidR="0048581F" w:rsidRPr="002F651B">
        <w:rPr>
          <w:rFonts w:ascii="Gadugi" w:eastAsia="Calibri" w:hAnsi="Gadugi" w:cs="Times New Roman"/>
          <w:i/>
          <w:iCs/>
          <w:sz w:val="24"/>
          <w:szCs w:val="24"/>
        </w:rPr>
        <w:t>”</w:t>
      </w:r>
      <w:r w:rsidR="008277FD" w:rsidRPr="002F651B">
        <w:rPr>
          <w:rStyle w:val="Refdenotaalpie"/>
          <w:rFonts w:ascii="Gadugi" w:eastAsia="Calibri" w:hAnsi="Gadugi" w:cs="Times New Roman"/>
          <w:sz w:val="24"/>
          <w:szCs w:val="24"/>
        </w:rPr>
        <w:footnoteReference w:id="47"/>
      </w:r>
      <w:r w:rsidR="0048581F" w:rsidRPr="002F651B">
        <w:rPr>
          <w:rFonts w:ascii="Gadugi" w:eastAsia="Calibri" w:hAnsi="Gadugi" w:cs="Times New Roman"/>
          <w:i/>
          <w:iCs/>
          <w:sz w:val="24"/>
          <w:szCs w:val="24"/>
        </w:rPr>
        <w:t xml:space="preserve">. </w:t>
      </w:r>
      <w:r w:rsidR="008277FD" w:rsidRPr="002F651B">
        <w:rPr>
          <w:rFonts w:ascii="Gadugi" w:eastAsia="Calibri" w:hAnsi="Gadugi" w:cs="Times New Roman"/>
          <w:sz w:val="24"/>
          <w:szCs w:val="24"/>
        </w:rPr>
        <w:t xml:space="preserve"> </w:t>
      </w:r>
      <w:r w:rsidR="0048581F" w:rsidRPr="002F651B">
        <w:rPr>
          <w:rFonts w:ascii="Gadugi" w:eastAsia="Calibri" w:hAnsi="Gadugi" w:cs="Times New Roman"/>
          <w:sz w:val="24"/>
          <w:szCs w:val="24"/>
        </w:rPr>
        <w:t>Y p</w:t>
      </w:r>
      <w:r w:rsidR="008277FD" w:rsidRPr="002F651B">
        <w:rPr>
          <w:rFonts w:ascii="Gadugi" w:eastAsia="Calibri" w:hAnsi="Gadugi" w:cs="Times New Roman"/>
          <w:sz w:val="24"/>
          <w:szCs w:val="24"/>
        </w:rPr>
        <w:t>ara explicar la atención debida</w:t>
      </w:r>
      <w:r w:rsidR="008277FD" w:rsidRPr="002F651B">
        <w:rPr>
          <w:rFonts w:ascii="Gadugi" w:eastAsia="Calibri" w:hAnsi="Gadugi" w:cs="Times New Roman"/>
          <w:i/>
          <w:iCs/>
          <w:sz w:val="24"/>
          <w:szCs w:val="24"/>
        </w:rPr>
        <w:t xml:space="preserve"> </w:t>
      </w:r>
      <w:r w:rsidR="008277FD" w:rsidRPr="002F651B">
        <w:rPr>
          <w:rFonts w:ascii="Gadugi" w:eastAsia="Calibri" w:hAnsi="Gadugi" w:cs="Times New Roman"/>
          <w:sz w:val="24"/>
          <w:szCs w:val="24"/>
        </w:rPr>
        <w:t>y el tiempo apropiado para prestarse un servicio médico por urgencia vital indicó</w:t>
      </w:r>
      <w:r w:rsidR="00931C9A" w:rsidRPr="002F651B">
        <w:rPr>
          <w:rFonts w:ascii="Gadugi" w:eastAsia="Calibri" w:hAnsi="Gadugi" w:cs="Times New Roman"/>
          <w:sz w:val="24"/>
          <w:szCs w:val="24"/>
        </w:rPr>
        <w:t xml:space="preserve"> que debía ocurrir “</w:t>
      </w:r>
      <w:r w:rsidR="008277FD" w:rsidRPr="002F651B">
        <w:rPr>
          <w:rFonts w:ascii="Gadugi" w:eastAsia="Calibri" w:hAnsi="Gadugi" w:cs="Times New Roman"/>
          <w:i/>
          <w:iCs/>
          <w:sz w:val="24"/>
          <w:szCs w:val="24"/>
        </w:rPr>
        <w:t>En el plazo máximo de una hora</w:t>
      </w:r>
      <w:r w:rsidR="0048581F" w:rsidRPr="002F651B">
        <w:rPr>
          <w:rFonts w:ascii="Gadugi" w:eastAsia="Calibri" w:hAnsi="Gadugi" w:cs="Times New Roman"/>
          <w:i/>
          <w:iCs/>
          <w:sz w:val="24"/>
          <w:szCs w:val="24"/>
        </w:rPr>
        <w:t>”</w:t>
      </w:r>
      <w:r w:rsidR="008277FD" w:rsidRPr="002F651B">
        <w:rPr>
          <w:rFonts w:ascii="Gadugi" w:eastAsia="Calibri" w:hAnsi="Gadugi" w:cs="Times New Roman"/>
          <w:sz w:val="24"/>
          <w:szCs w:val="24"/>
        </w:rPr>
        <w:t>.</w:t>
      </w:r>
      <w:r w:rsidR="008277FD" w:rsidRPr="002F651B">
        <w:rPr>
          <w:rStyle w:val="Refdenotaalpie"/>
          <w:rFonts w:ascii="Gadugi" w:eastAsia="Calibri" w:hAnsi="Gadugi" w:cs="Times New Roman"/>
          <w:sz w:val="24"/>
          <w:szCs w:val="24"/>
        </w:rPr>
        <w:footnoteReference w:id="48"/>
      </w:r>
      <w:r w:rsidR="008277FD" w:rsidRPr="002F651B">
        <w:rPr>
          <w:rFonts w:ascii="Gadugi" w:eastAsia="Calibri" w:hAnsi="Gadugi" w:cs="Times New Roman"/>
          <w:sz w:val="24"/>
          <w:szCs w:val="24"/>
        </w:rPr>
        <w:t xml:space="preserve"> </w:t>
      </w:r>
    </w:p>
    <w:p w14:paraId="1E838C59" w14:textId="77777777" w:rsidR="008277FD" w:rsidRPr="002F651B" w:rsidRDefault="008277FD" w:rsidP="002F651B">
      <w:pPr>
        <w:tabs>
          <w:tab w:val="left" w:pos="2410"/>
        </w:tabs>
        <w:jc w:val="both"/>
        <w:rPr>
          <w:rFonts w:ascii="Gadugi" w:eastAsia="Calibri" w:hAnsi="Gadugi" w:cs="Times New Roman"/>
          <w:sz w:val="24"/>
          <w:szCs w:val="24"/>
        </w:rPr>
      </w:pPr>
    </w:p>
    <w:p w14:paraId="37ABFE76" w14:textId="563FE37A" w:rsidR="008277FD" w:rsidRPr="002F651B" w:rsidRDefault="008277FD" w:rsidP="002F651B">
      <w:pPr>
        <w:tabs>
          <w:tab w:val="left" w:pos="2410"/>
        </w:tabs>
        <w:jc w:val="both"/>
        <w:rPr>
          <w:rFonts w:ascii="Gadugi" w:eastAsia="Calibri" w:hAnsi="Gadugi" w:cs="Times New Roman"/>
          <w:i/>
          <w:iCs/>
          <w:sz w:val="24"/>
          <w:szCs w:val="24"/>
        </w:rPr>
      </w:pPr>
      <w:r w:rsidRPr="002F651B">
        <w:rPr>
          <w:rFonts w:ascii="Gadugi" w:eastAsia="Calibri" w:hAnsi="Gadugi" w:cs="Times New Roman"/>
          <w:sz w:val="24"/>
          <w:szCs w:val="24"/>
        </w:rPr>
        <w:t xml:space="preserve">Después, el </w:t>
      </w:r>
      <w:r w:rsidR="00931C9A" w:rsidRPr="002F651B">
        <w:rPr>
          <w:rFonts w:ascii="Gadugi" w:eastAsia="Calibri" w:hAnsi="Gadugi" w:cs="Times New Roman"/>
          <w:sz w:val="24"/>
          <w:szCs w:val="24"/>
        </w:rPr>
        <w:t>Dr.</w:t>
      </w:r>
      <w:r w:rsidRPr="002F651B">
        <w:rPr>
          <w:rFonts w:ascii="Gadugi" w:eastAsia="Calibri" w:hAnsi="Gadugi" w:cs="Times New Roman"/>
          <w:sz w:val="24"/>
          <w:szCs w:val="24"/>
        </w:rPr>
        <w:t xml:space="preserve"> Juan Camilo Galvis, médico especialista en terapia intensiva</w:t>
      </w:r>
      <w:r w:rsidR="00931C9A" w:rsidRPr="002F651B">
        <w:rPr>
          <w:rFonts w:ascii="Gadugi" w:eastAsia="Calibri" w:hAnsi="Gadugi" w:cs="Times New Roman"/>
          <w:sz w:val="24"/>
          <w:szCs w:val="24"/>
        </w:rPr>
        <w:t xml:space="preserve">, al </w:t>
      </w:r>
      <w:r w:rsidRPr="002F651B">
        <w:rPr>
          <w:rFonts w:ascii="Gadugi" w:eastAsia="Calibri" w:hAnsi="Gadugi" w:cs="Times New Roman"/>
          <w:sz w:val="24"/>
          <w:szCs w:val="24"/>
        </w:rPr>
        <w:t xml:space="preserve">ser interrogado sobre el tiempo apropiado para atender a una persona con urgencia vital, respondió: </w:t>
      </w:r>
      <w:r w:rsidR="002D068B" w:rsidRPr="002F651B">
        <w:rPr>
          <w:rFonts w:ascii="Gadugi" w:eastAsia="Calibri" w:hAnsi="Gadugi" w:cs="Times New Roman"/>
          <w:sz w:val="24"/>
          <w:szCs w:val="24"/>
        </w:rPr>
        <w:t>“</w:t>
      </w:r>
      <w:r w:rsidRPr="002F651B">
        <w:rPr>
          <w:rFonts w:ascii="Gadugi" w:eastAsia="Calibri" w:hAnsi="Gadugi" w:cs="Times New Roman"/>
          <w:i/>
          <w:iCs/>
          <w:sz w:val="24"/>
          <w:szCs w:val="24"/>
        </w:rPr>
        <w:t>lo más pronto posible</w:t>
      </w:r>
      <w:r w:rsidRPr="002F651B">
        <w:rPr>
          <w:rStyle w:val="Refdenotaalpie"/>
          <w:rFonts w:ascii="Gadugi" w:eastAsia="Calibri" w:hAnsi="Gadugi" w:cs="Times New Roman"/>
          <w:sz w:val="24"/>
          <w:szCs w:val="24"/>
        </w:rPr>
        <w:footnoteReference w:id="49"/>
      </w:r>
      <w:r w:rsidRPr="002F651B">
        <w:rPr>
          <w:rFonts w:ascii="Gadugi" w:eastAsia="Calibri" w:hAnsi="Gadugi" w:cs="Times New Roman"/>
          <w:i/>
          <w:iCs/>
          <w:sz w:val="24"/>
          <w:szCs w:val="24"/>
        </w:rPr>
        <w:t xml:space="preserve"> … depende de la situación, la logística, etc., pero cuando uno dice eso,  en la menor brevedad debe ser visto el paciente o remitido a otro nivel de complejidad</w:t>
      </w:r>
      <w:r w:rsidRPr="002F651B">
        <w:rPr>
          <w:rStyle w:val="Refdenotaalpie"/>
          <w:rFonts w:ascii="Gadugi" w:eastAsia="Calibri" w:hAnsi="Gadugi" w:cs="Times New Roman"/>
          <w:i/>
          <w:iCs/>
          <w:sz w:val="24"/>
          <w:szCs w:val="24"/>
        </w:rPr>
        <w:footnoteReference w:id="50"/>
      </w:r>
      <w:r w:rsidRPr="002F651B">
        <w:rPr>
          <w:rFonts w:ascii="Gadugi" w:eastAsia="Calibri" w:hAnsi="Gadugi" w:cs="Times New Roman"/>
          <w:i/>
          <w:iCs/>
          <w:sz w:val="24"/>
          <w:szCs w:val="24"/>
        </w:rPr>
        <w:t xml:space="preserve"> </w:t>
      </w:r>
      <w:r w:rsidRPr="002F651B">
        <w:rPr>
          <w:rFonts w:ascii="Gadugi" w:eastAsia="Calibri" w:hAnsi="Gadugi" w:cs="Times New Roman"/>
          <w:sz w:val="24"/>
          <w:szCs w:val="24"/>
        </w:rPr>
        <w:t xml:space="preserve">… </w:t>
      </w:r>
      <w:r w:rsidRPr="002F651B">
        <w:rPr>
          <w:rFonts w:ascii="Gadugi" w:eastAsia="Calibri" w:hAnsi="Gadugi" w:cs="Times New Roman"/>
          <w:i/>
          <w:iCs/>
          <w:sz w:val="24"/>
          <w:szCs w:val="24"/>
        </w:rPr>
        <w:t>usted busca que el paciente sea atendido lo más pronto posible, pero para eso no hay un protocolo o no lo conozco por lo menos, que diga que debe ser atendido en 1, 2, 3 o 4 horas, no existe en este momento eso, cuando usted cataloga a un paciente como urgencia vital significa que debe ser atendido en lo menor posible</w:t>
      </w:r>
      <w:r w:rsidRPr="002F651B">
        <w:rPr>
          <w:rStyle w:val="Refdenotaalpie"/>
          <w:rFonts w:ascii="Gadugi" w:eastAsia="Calibri" w:hAnsi="Gadugi" w:cs="Times New Roman"/>
          <w:sz w:val="24"/>
          <w:szCs w:val="24"/>
        </w:rPr>
        <w:footnoteReference w:id="51"/>
      </w:r>
      <w:r w:rsidR="002D068B" w:rsidRPr="002F651B">
        <w:rPr>
          <w:rFonts w:ascii="Gadugi" w:eastAsia="Calibri" w:hAnsi="Gadugi" w:cs="Times New Roman"/>
          <w:i/>
          <w:iCs/>
          <w:sz w:val="24"/>
          <w:szCs w:val="24"/>
        </w:rPr>
        <w:t>.</w:t>
      </w:r>
    </w:p>
    <w:p w14:paraId="5C4DBD52" w14:textId="77777777" w:rsidR="008277FD" w:rsidRPr="002F651B" w:rsidRDefault="008277FD" w:rsidP="002F651B">
      <w:pPr>
        <w:tabs>
          <w:tab w:val="left" w:pos="2410"/>
        </w:tabs>
        <w:jc w:val="both"/>
        <w:rPr>
          <w:rFonts w:ascii="Gadugi" w:eastAsia="Calibri" w:hAnsi="Gadugi" w:cs="Times New Roman"/>
          <w:sz w:val="24"/>
          <w:szCs w:val="24"/>
        </w:rPr>
      </w:pPr>
    </w:p>
    <w:p w14:paraId="406D06D6" w14:textId="5A3BBEE7" w:rsidR="0009733A" w:rsidRPr="002F651B" w:rsidRDefault="00A535C6"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rPr>
        <w:t>Es claro que</w:t>
      </w:r>
      <w:r w:rsidR="002D068B" w:rsidRPr="002F651B">
        <w:rPr>
          <w:rFonts w:ascii="Gadugi" w:eastAsia="Calibri" w:hAnsi="Gadugi" w:cs="Times New Roman"/>
          <w:sz w:val="24"/>
          <w:szCs w:val="24"/>
        </w:rPr>
        <w:t xml:space="preserve">, que </w:t>
      </w:r>
      <w:r w:rsidR="008277FD" w:rsidRPr="002F651B">
        <w:rPr>
          <w:rFonts w:ascii="Gadugi" w:eastAsia="Calibri" w:hAnsi="Gadugi" w:cs="Times New Roman"/>
          <w:sz w:val="24"/>
          <w:szCs w:val="24"/>
        </w:rPr>
        <w:t xml:space="preserve">cuando se clasifica una situación como urgencia vital, esta debe ser tratada en el menor tiempo posible. </w:t>
      </w:r>
      <w:r w:rsidR="00B318EE" w:rsidRPr="002F651B">
        <w:rPr>
          <w:rFonts w:ascii="Gadugi" w:eastAsia="Calibri" w:hAnsi="Gadugi" w:cs="Times New Roman"/>
          <w:sz w:val="24"/>
          <w:szCs w:val="24"/>
        </w:rPr>
        <w:t xml:space="preserve">De hecho, </w:t>
      </w:r>
      <w:r w:rsidR="008277FD" w:rsidRPr="002F651B">
        <w:rPr>
          <w:rFonts w:ascii="Gadugi" w:eastAsia="Calibri" w:hAnsi="Gadugi" w:cs="Times New Roman"/>
          <w:sz w:val="24"/>
          <w:szCs w:val="24"/>
        </w:rPr>
        <w:t>al consultar el Decreto 780 de 2016 - Único Reglamentario del Sector Salud y Protección Social - en su artículo 2.5.3.2.3.</w:t>
      </w:r>
      <w:r w:rsidR="00632F05" w:rsidRPr="002F651B">
        <w:rPr>
          <w:rFonts w:ascii="Gadugi" w:eastAsia="Calibri" w:hAnsi="Gadugi" w:cs="Times New Roman"/>
          <w:sz w:val="24"/>
          <w:szCs w:val="24"/>
        </w:rPr>
        <w:t xml:space="preserve"> (que recogió el artículo </w:t>
      </w:r>
      <w:r w:rsidR="00EE2A0A" w:rsidRPr="002F651B">
        <w:rPr>
          <w:rFonts w:ascii="Gadugi" w:eastAsia="Calibri" w:hAnsi="Gadugi" w:cs="Times New Roman"/>
          <w:sz w:val="24"/>
          <w:szCs w:val="24"/>
        </w:rPr>
        <w:t xml:space="preserve">3° del Decreto </w:t>
      </w:r>
      <w:r w:rsidR="007E62C9" w:rsidRPr="002F651B">
        <w:rPr>
          <w:rFonts w:ascii="Gadugi" w:eastAsia="Calibri" w:hAnsi="Gadugi" w:cs="Times New Roman"/>
          <w:sz w:val="24"/>
          <w:szCs w:val="24"/>
        </w:rPr>
        <w:t xml:space="preserve">412 de </w:t>
      </w:r>
      <w:r w:rsidR="004152C3" w:rsidRPr="002F651B">
        <w:rPr>
          <w:rFonts w:ascii="Gadugi" w:eastAsia="Calibri" w:hAnsi="Gadugi" w:cs="Times New Roman"/>
          <w:sz w:val="24"/>
          <w:szCs w:val="24"/>
        </w:rPr>
        <w:t>1</w:t>
      </w:r>
      <w:r w:rsidR="007E62C9" w:rsidRPr="002F651B">
        <w:rPr>
          <w:rFonts w:ascii="Gadugi" w:eastAsia="Calibri" w:hAnsi="Gadugi" w:cs="Times New Roman"/>
          <w:sz w:val="24"/>
          <w:szCs w:val="24"/>
        </w:rPr>
        <w:t>992)</w:t>
      </w:r>
      <w:r w:rsidR="008277FD" w:rsidRPr="002F651B">
        <w:rPr>
          <w:rFonts w:ascii="Gadugi" w:eastAsia="Calibri" w:hAnsi="Gadugi" w:cs="Times New Roman"/>
          <w:sz w:val="24"/>
          <w:szCs w:val="24"/>
        </w:rPr>
        <w:t xml:space="preserve"> define la urgencia como</w:t>
      </w:r>
      <w:r w:rsidR="00B318EE" w:rsidRPr="002F651B">
        <w:rPr>
          <w:rFonts w:ascii="Gadugi" w:eastAsia="Calibri" w:hAnsi="Gadugi" w:cs="Times New Roman"/>
          <w:sz w:val="24"/>
          <w:szCs w:val="24"/>
        </w:rPr>
        <w:t xml:space="preserve"> </w:t>
      </w:r>
      <w:r w:rsidR="00B318EE" w:rsidRPr="002F651B">
        <w:rPr>
          <w:rFonts w:ascii="Gadugi" w:eastAsia="Calibri" w:hAnsi="Gadugi" w:cs="Times New Roman"/>
          <w:i/>
          <w:iCs/>
          <w:sz w:val="24"/>
          <w:szCs w:val="24"/>
        </w:rPr>
        <w:t>“</w:t>
      </w:r>
      <w:r w:rsidR="008277FD" w:rsidRPr="00AA327C">
        <w:rPr>
          <w:rFonts w:ascii="Gadugi" w:eastAsia="Calibri" w:hAnsi="Gadugi" w:cs="Times New Roman"/>
          <w:i/>
          <w:iCs/>
          <w:szCs w:val="24"/>
        </w:rPr>
        <w:t xml:space="preserve">la alteración de la integridad física y/o mental de una persona, causada por un trauma o por una enfermedad de cualquier etiología que genere una demanda de </w:t>
      </w:r>
      <w:r w:rsidR="008277FD" w:rsidRPr="00AA327C">
        <w:rPr>
          <w:rFonts w:ascii="Gadugi" w:eastAsia="Calibri" w:hAnsi="Gadugi" w:cs="Times New Roman"/>
          <w:b/>
          <w:bCs/>
          <w:i/>
          <w:iCs/>
          <w:szCs w:val="24"/>
        </w:rPr>
        <w:t xml:space="preserve">atención médica inmediata y efectiva </w:t>
      </w:r>
      <w:r w:rsidR="008277FD" w:rsidRPr="00AA327C">
        <w:rPr>
          <w:rFonts w:ascii="Gadugi" w:eastAsia="Calibri" w:hAnsi="Gadugi" w:cs="Times New Roman"/>
          <w:i/>
          <w:iCs/>
          <w:szCs w:val="24"/>
        </w:rPr>
        <w:t>tendiente a disminuir los riesgos de invalidez y muerte</w:t>
      </w:r>
      <w:r w:rsidR="0009733A" w:rsidRPr="002F651B">
        <w:rPr>
          <w:rFonts w:ascii="Gadugi" w:eastAsia="Calibri" w:hAnsi="Gadugi" w:cs="Times New Roman"/>
          <w:i/>
          <w:iCs/>
          <w:sz w:val="24"/>
          <w:szCs w:val="24"/>
        </w:rPr>
        <w:t>”</w:t>
      </w:r>
      <w:r w:rsidR="008277FD" w:rsidRPr="002F651B">
        <w:rPr>
          <w:rFonts w:ascii="Gadugi" w:eastAsia="Calibri" w:hAnsi="Gadugi" w:cs="Times New Roman"/>
          <w:sz w:val="24"/>
          <w:szCs w:val="24"/>
        </w:rPr>
        <w:t xml:space="preserve">. </w:t>
      </w:r>
      <w:r w:rsidR="008277FD" w:rsidRPr="002F651B">
        <w:rPr>
          <w:rFonts w:ascii="Gadugi" w:eastAsia="Calibri" w:hAnsi="Gadugi" w:cs="Times New Roman"/>
          <w:sz w:val="24"/>
          <w:szCs w:val="24"/>
          <w:lang w:val="es-CO"/>
        </w:rPr>
        <w:t>(Negrillas propias de la Sala)</w:t>
      </w:r>
      <w:r w:rsidR="0009733A" w:rsidRPr="002F651B">
        <w:rPr>
          <w:rFonts w:ascii="Gadugi" w:eastAsia="Calibri" w:hAnsi="Gadugi" w:cs="Times New Roman"/>
          <w:sz w:val="24"/>
          <w:szCs w:val="24"/>
          <w:lang w:val="es-CO"/>
        </w:rPr>
        <w:t xml:space="preserve">. Con mayor razón, entonces, si se califica de </w:t>
      </w:r>
      <w:r w:rsidR="0009733A" w:rsidRPr="002F651B">
        <w:rPr>
          <w:rFonts w:ascii="Gadugi" w:eastAsia="Calibri" w:hAnsi="Gadugi" w:cs="Times New Roman"/>
          <w:i/>
          <w:iCs/>
          <w:sz w:val="24"/>
          <w:szCs w:val="24"/>
          <w:lang w:val="es-CO"/>
        </w:rPr>
        <w:t xml:space="preserve">urgencia vital. </w:t>
      </w:r>
      <w:r w:rsidR="008277FD" w:rsidRPr="002F651B">
        <w:rPr>
          <w:rFonts w:ascii="Gadugi" w:eastAsia="Calibri" w:hAnsi="Gadugi" w:cs="Times New Roman"/>
          <w:sz w:val="24"/>
          <w:szCs w:val="24"/>
        </w:rPr>
        <w:t xml:space="preserve"> </w:t>
      </w:r>
    </w:p>
    <w:p w14:paraId="3E2E39EC" w14:textId="77777777" w:rsidR="00091D76" w:rsidRPr="002F651B" w:rsidRDefault="00091D76" w:rsidP="002F651B">
      <w:pPr>
        <w:tabs>
          <w:tab w:val="left" w:pos="2410"/>
        </w:tabs>
        <w:jc w:val="both"/>
        <w:rPr>
          <w:rFonts w:ascii="Gadugi" w:eastAsia="Calibri" w:hAnsi="Gadugi" w:cs="Times New Roman"/>
          <w:i/>
          <w:iCs/>
          <w:sz w:val="24"/>
          <w:szCs w:val="24"/>
          <w:lang w:val="es-CO"/>
        </w:rPr>
      </w:pPr>
    </w:p>
    <w:p w14:paraId="0BE1A04B" w14:textId="3663C0B0" w:rsidR="008277FD" w:rsidRPr="002F651B" w:rsidRDefault="0009733A"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rPr>
        <w:t xml:space="preserve">De ahí que se considere que </w:t>
      </w:r>
      <w:r w:rsidR="008277FD" w:rsidRPr="002F651B">
        <w:rPr>
          <w:rFonts w:ascii="Gadugi" w:eastAsia="Calibri" w:hAnsi="Gadugi" w:cs="Times New Roman"/>
          <w:sz w:val="24"/>
          <w:szCs w:val="24"/>
        </w:rPr>
        <w:t xml:space="preserve">el traslado de la paciente María Nora al nivel de mayor complejidad debió llevarse </w:t>
      </w:r>
      <w:r w:rsidR="00A5755D" w:rsidRPr="002F651B">
        <w:rPr>
          <w:rFonts w:ascii="Gadugi" w:eastAsia="Calibri" w:hAnsi="Gadugi" w:cs="Times New Roman"/>
          <w:sz w:val="24"/>
          <w:szCs w:val="24"/>
        </w:rPr>
        <w:t xml:space="preserve">con mayor prontitud; el </w:t>
      </w:r>
      <w:r w:rsidR="00A535C6" w:rsidRPr="002F651B">
        <w:rPr>
          <w:rFonts w:ascii="Gadugi" w:eastAsia="Calibri" w:hAnsi="Gadugi" w:cs="Times New Roman"/>
          <w:sz w:val="24"/>
          <w:szCs w:val="24"/>
        </w:rPr>
        <w:t xml:space="preserve">solo </w:t>
      </w:r>
      <w:r w:rsidR="00A5755D" w:rsidRPr="002F651B">
        <w:rPr>
          <w:rFonts w:ascii="Gadugi" w:eastAsia="Calibri" w:hAnsi="Gadugi" w:cs="Times New Roman"/>
          <w:sz w:val="24"/>
          <w:szCs w:val="24"/>
        </w:rPr>
        <w:t xml:space="preserve">lapso de </w:t>
      </w:r>
      <w:r w:rsidR="008277FD" w:rsidRPr="002F651B">
        <w:rPr>
          <w:rFonts w:ascii="Gadugi" w:eastAsia="Calibri" w:hAnsi="Gadugi" w:cs="Times New Roman"/>
          <w:sz w:val="24"/>
          <w:szCs w:val="24"/>
        </w:rPr>
        <w:t>14 horas que transcurrió para que se ejecutara dicha orden</w:t>
      </w:r>
      <w:r w:rsidR="00A5755D" w:rsidRPr="002F651B">
        <w:rPr>
          <w:rFonts w:ascii="Gadugi" w:eastAsia="Calibri" w:hAnsi="Gadugi" w:cs="Times New Roman"/>
          <w:sz w:val="24"/>
          <w:szCs w:val="24"/>
        </w:rPr>
        <w:t xml:space="preserve">, cuando el diagnóstico correspondía a la realidad de lo que aquejaba a la paciente, </w:t>
      </w:r>
      <w:r w:rsidR="00FA79EA" w:rsidRPr="002F651B">
        <w:rPr>
          <w:rFonts w:ascii="Gadugi" w:eastAsia="Calibri" w:hAnsi="Gadugi" w:cs="Times New Roman"/>
          <w:sz w:val="24"/>
          <w:szCs w:val="24"/>
        </w:rPr>
        <w:t xml:space="preserve">pues ya para entonces había transcurrido mucho más tiempo, </w:t>
      </w:r>
      <w:r w:rsidR="008277FD" w:rsidRPr="002F651B">
        <w:rPr>
          <w:rFonts w:ascii="Gadugi" w:eastAsia="Calibri" w:hAnsi="Gadugi" w:cs="Times New Roman"/>
          <w:sz w:val="24"/>
          <w:szCs w:val="24"/>
        </w:rPr>
        <w:t>resulta desmedido, considerando la condición avanzada de la paciente y la gravedad de su enfermedad.</w:t>
      </w:r>
    </w:p>
    <w:p w14:paraId="69CF1391" w14:textId="77777777" w:rsidR="008277FD" w:rsidRPr="002F651B" w:rsidRDefault="008277FD" w:rsidP="002F651B">
      <w:pPr>
        <w:tabs>
          <w:tab w:val="left" w:pos="2410"/>
        </w:tabs>
        <w:jc w:val="both"/>
        <w:rPr>
          <w:rFonts w:ascii="Gadugi" w:eastAsia="Calibri" w:hAnsi="Gadugi" w:cs="Times New Roman"/>
          <w:sz w:val="24"/>
          <w:szCs w:val="24"/>
        </w:rPr>
      </w:pPr>
    </w:p>
    <w:p w14:paraId="1E17FEEC" w14:textId="545C17DC" w:rsidR="008277FD" w:rsidRPr="002F651B" w:rsidRDefault="00D96E95"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rPr>
        <w:t>Sobre la importancia del traslado oportuno, el</w:t>
      </w:r>
      <w:r w:rsidR="008277FD" w:rsidRPr="002F651B">
        <w:rPr>
          <w:rFonts w:ascii="Gadugi" w:eastAsia="Calibri" w:hAnsi="Gadugi" w:cs="Times New Roman"/>
          <w:sz w:val="24"/>
          <w:szCs w:val="24"/>
        </w:rPr>
        <w:t xml:space="preserve"> Dr. Romero Díaz explicó esto con claridad en su testimonio</w:t>
      </w:r>
      <w:r w:rsidR="00BC4713" w:rsidRPr="002F651B">
        <w:rPr>
          <w:rFonts w:ascii="Gadugi" w:eastAsia="Calibri" w:hAnsi="Gadugi" w:cs="Times New Roman"/>
          <w:sz w:val="24"/>
          <w:szCs w:val="24"/>
        </w:rPr>
        <w:t xml:space="preserve"> que </w:t>
      </w:r>
      <w:r w:rsidR="00BC4713" w:rsidRPr="002F651B">
        <w:rPr>
          <w:rFonts w:ascii="Gadugi" w:eastAsia="Calibri" w:hAnsi="Gadugi" w:cs="Times New Roman"/>
          <w:i/>
          <w:iCs/>
          <w:sz w:val="24"/>
          <w:szCs w:val="24"/>
        </w:rPr>
        <w:t>“</w:t>
      </w:r>
      <w:r w:rsidR="008277FD" w:rsidRPr="00AA327C">
        <w:rPr>
          <w:rFonts w:ascii="Gadugi" w:eastAsia="Calibri" w:hAnsi="Gadugi" w:cs="Times New Roman"/>
          <w:i/>
          <w:iCs/>
          <w:szCs w:val="24"/>
        </w:rPr>
        <w:t xml:space="preserve">cuando uno, como médico, considera que es una urgencia vital, no solamente ve, sino que presume que, </w:t>
      </w:r>
      <w:r w:rsidR="008277FD" w:rsidRPr="00AA327C">
        <w:rPr>
          <w:rFonts w:ascii="Gadugi" w:eastAsia="Calibri" w:hAnsi="Gadugi" w:cs="Times New Roman"/>
          <w:b/>
          <w:bCs/>
          <w:i/>
          <w:iCs/>
          <w:szCs w:val="24"/>
        </w:rPr>
        <w:t>si no se atiende rápidamente, el estado clínico se va a deteriorar hasta la muerte rápidamente</w:t>
      </w:r>
      <w:r w:rsidR="008277FD" w:rsidRPr="00AA327C">
        <w:rPr>
          <w:rFonts w:ascii="Gadugi" w:eastAsia="Calibri" w:hAnsi="Gadugi" w:cs="Times New Roman"/>
          <w:i/>
          <w:iCs/>
          <w:szCs w:val="24"/>
        </w:rPr>
        <w:t xml:space="preserve">. Por más que uno le haga intervenciones en el nivel de atención donde esta, sabe uno que hay alto riesgo que se siga complicando y de que fallezca. </w:t>
      </w:r>
      <w:r w:rsidR="008277FD" w:rsidRPr="00AA327C">
        <w:rPr>
          <w:rFonts w:ascii="Gadugi" w:eastAsia="Calibri" w:hAnsi="Gadugi" w:cs="Times New Roman"/>
          <w:b/>
          <w:bCs/>
          <w:i/>
          <w:iCs/>
          <w:szCs w:val="24"/>
        </w:rPr>
        <w:t>Por eso, la urgencia vital y la necesidad de</w:t>
      </w:r>
      <w:r w:rsidR="008277FD" w:rsidRPr="00AA327C">
        <w:rPr>
          <w:rFonts w:ascii="Gadugi" w:eastAsia="Calibri" w:hAnsi="Gadugi" w:cs="Times New Roman"/>
          <w:i/>
          <w:iCs/>
          <w:szCs w:val="24"/>
        </w:rPr>
        <w:t xml:space="preserve"> </w:t>
      </w:r>
      <w:r w:rsidR="008277FD" w:rsidRPr="00AA327C">
        <w:rPr>
          <w:rFonts w:ascii="Gadugi" w:eastAsia="Calibri" w:hAnsi="Gadugi" w:cs="Times New Roman"/>
          <w:b/>
          <w:bCs/>
          <w:i/>
          <w:iCs/>
          <w:szCs w:val="24"/>
        </w:rPr>
        <w:t xml:space="preserve">remitirla </w:t>
      </w:r>
      <w:bookmarkStart w:id="1" w:name="_Hlk142679693"/>
      <w:r w:rsidR="008277FD" w:rsidRPr="00AA327C">
        <w:rPr>
          <w:rFonts w:ascii="Gadugi" w:eastAsia="Calibri" w:hAnsi="Gadugi" w:cs="Times New Roman"/>
          <w:b/>
          <w:bCs/>
          <w:i/>
          <w:iCs/>
          <w:szCs w:val="24"/>
        </w:rPr>
        <w:t>lo más rápido posible</w:t>
      </w:r>
      <w:r w:rsidR="00AF19F7" w:rsidRPr="002F651B">
        <w:rPr>
          <w:rStyle w:val="Refdenotaalpie"/>
          <w:rFonts w:ascii="Gadugi" w:eastAsia="Calibri" w:hAnsi="Gadugi" w:cs="Times New Roman"/>
          <w:sz w:val="24"/>
          <w:szCs w:val="24"/>
        </w:rPr>
        <w:t>”</w:t>
      </w:r>
      <w:r w:rsidR="008277FD" w:rsidRPr="002F651B">
        <w:rPr>
          <w:rStyle w:val="Refdenotaalpie"/>
          <w:rFonts w:ascii="Gadugi" w:eastAsia="Calibri" w:hAnsi="Gadugi" w:cs="Times New Roman"/>
          <w:sz w:val="24"/>
          <w:szCs w:val="24"/>
        </w:rPr>
        <w:footnoteReference w:id="52"/>
      </w:r>
      <w:bookmarkEnd w:id="1"/>
      <w:r w:rsidR="00AF19F7" w:rsidRPr="002F651B">
        <w:rPr>
          <w:rFonts w:ascii="Gadugi" w:eastAsia="Calibri" w:hAnsi="Gadugi" w:cs="Times New Roman"/>
          <w:sz w:val="24"/>
          <w:szCs w:val="24"/>
        </w:rPr>
        <w:t>.</w:t>
      </w:r>
    </w:p>
    <w:p w14:paraId="199B5CC2" w14:textId="77777777" w:rsidR="008277FD" w:rsidRPr="002F651B" w:rsidRDefault="008277FD" w:rsidP="002F651B">
      <w:pPr>
        <w:tabs>
          <w:tab w:val="left" w:pos="2410"/>
        </w:tabs>
        <w:jc w:val="both"/>
        <w:rPr>
          <w:rFonts w:ascii="Gadugi" w:eastAsia="Calibri" w:hAnsi="Gadugi" w:cs="Times New Roman"/>
          <w:sz w:val="24"/>
          <w:szCs w:val="24"/>
        </w:rPr>
      </w:pPr>
    </w:p>
    <w:p w14:paraId="2BF3FA1F" w14:textId="641EC0F0" w:rsidR="00A05579" w:rsidRPr="002F651B" w:rsidRDefault="00AF19F7"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rPr>
        <w:t>Además</w:t>
      </w:r>
      <w:r w:rsidR="00DA0956" w:rsidRPr="002F651B">
        <w:rPr>
          <w:rFonts w:ascii="Gadugi" w:eastAsia="Calibri" w:hAnsi="Gadugi" w:cs="Times New Roman"/>
          <w:sz w:val="24"/>
          <w:szCs w:val="24"/>
        </w:rPr>
        <w:t>,</w:t>
      </w:r>
      <w:r w:rsidRPr="002F651B">
        <w:rPr>
          <w:rFonts w:ascii="Gadugi" w:eastAsia="Calibri" w:hAnsi="Gadugi" w:cs="Times New Roman"/>
          <w:sz w:val="24"/>
          <w:szCs w:val="24"/>
        </w:rPr>
        <w:t xml:space="preserve"> explicó que l</w:t>
      </w:r>
      <w:r w:rsidR="008277FD" w:rsidRPr="002F651B">
        <w:rPr>
          <w:rFonts w:ascii="Gadugi" w:eastAsia="Calibri" w:hAnsi="Gadugi" w:cs="Times New Roman"/>
          <w:sz w:val="24"/>
          <w:szCs w:val="24"/>
        </w:rPr>
        <w:t>a ausencia de una remisión oportuna de la paciente hacia una institución de salud de mayor complejidad tuvo una estrecha relación con el deterioro de su estado y la aparición del síndrome de falla orgánica múltiple que finalmente padeció</w:t>
      </w:r>
      <w:r w:rsidR="008277FD" w:rsidRPr="002F651B">
        <w:rPr>
          <w:rStyle w:val="Refdenotaalpie"/>
          <w:rFonts w:ascii="Gadugi" w:eastAsia="Calibri" w:hAnsi="Gadugi" w:cs="Times New Roman"/>
          <w:sz w:val="24"/>
          <w:szCs w:val="24"/>
        </w:rPr>
        <w:footnoteReference w:id="53"/>
      </w:r>
      <w:r w:rsidR="00A05579" w:rsidRPr="002F651B">
        <w:rPr>
          <w:rFonts w:ascii="Gadugi" w:eastAsia="Calibri" w:hAnsi="Gadugi" w:cs="Times New Roman"/>
          <w:sz w:val="24"/>
          <w:szCs w:val="24"/>
        </w:rPr>
        <w:t>.</w:t>
      </w:r>
    </w:p>
    <w:p w14:paraId="31A94125" w14:textId="77777777" w:rsidR="00A05579" w:rsidRPr="002F651B" w:rsidRDefault="00A05579" w:rsidP="002F651B">
      <w:pPr>
        <w:tabs>
          <w:tab w:val="left" w:pos="2410"/>
        </w:tabs>
        <w:jc w:val="both"/>
        <w:rPr>
          <w:rFonts w:ascii="Gadugi" w:eastAsia="Calibri" w:hAnsi="Gadugi" w:cs="Times New Roman"/>
          <w:sz w:val="24"/>
          <w:szCs w:val="24"/>
        </w:rPr>
      </w:pPr>
    </w:p>
    <w:p w14:paraId="78423AB7" w14:textId="4771A639" w:rsidR="008277FD" w:rsidRDefault="00A05579" w:rsidP="002F651B">
      <w:pPr>
        <w:tabs>
          <w:tab w:val="left" w:pos="2410"/>
        </w:tabs>
        <w:jc w:val="both"/>
        <w:rPr>
          <w:rFonts w:ascii="Gadugi" w:eastAsia="Calibri" w:hAnsi="Gadugi" w:cs="Times New Roman"/>
          <w:i/>
          <w:iCs/>
          <w:sz w:val="24"/>
          <w:szCs w:val="24"/>
        </w:rPr>
      </w:pPr>
      <w:r w:rsidRPr="002F651B">
        <w:rPr>
          <w:rFonts w:ascii="Gadugi" w:eastAsia="Calibri" w:hAnsi="Gadugi" w:cs="Times New Roman"/>
          <w:sz w:val="24"/>
          <w:szCs w:val="24"/>
        </w:rPr>
        <w:t>También el</w:t>
      </w:r>
      <w:r w:rsidR="008277FD" w:rsidRPr="002F651B">
        <w:rPr>
          <w:rFonts w:ascii="Gadugi" w:eastAsia="Calibri" w:hAnsi="Gadugi" w:cs="Times New Roman"/>
          <w:sz w:val="24"/>
          <w:szCs w:val="24"/>
        </w:rPr>
        <w:t xml:space="preserve"> Dr. Carlos Becerra abordó el tema de la falta de atención médica a tiempo</w:t>
      </w:r>
      <w:r w:rsidRPr="002F651B">
        <w:rPr>
          <w:rFonts w:ascii="Gadugi" w:eastAsia="Calibri" w:hAnsi="Gadugi" w:cs="Times New Roman"/>
          <w:sz w:val="24"/>
          <w:szCs w:val="24"/>
        </w:rPr>
        <w:t xml:space="preserve"> y expresó que</w:t>
      </w:r>
      <w:r w:rsidR="008277FD" w:rsidRPr="002F651B">
        <w:rPr>
          <w:rFonts w:ascii="Gadugi" w:eastAsia="Calibri" w:hAnsi="Gadugi" w:cs="Times New Roman"/>
          <w:sz w:val="24"/>
          <w:szCs w:val="24"/>
        </w:rPr>
        <w:t xml:space="preserve"> </w:t>
      </w:r>
      <w:r w:rsidRPr="002F651B">
        <w:rPr>
          <w:rFonts w:ascii="Gadugi" w:eastAsia="Calibri" w:hAnsi="Gadugi" w:cs="Times New Roman"/>
          <w:sz w:val="24"/>
          <w:szCs w:val="24"/>
        </w:rPr>
        <w:t>“</w:t>
      </w:r>
      <w:r w:rsidR="008277FD" w:rsidRPr="00AA327C">
        <w:rPr>
          <w:rFonts w:ascii="Gadugi" w:eastAsia="Calibri" w:hAnsi="Gadugi" w:cs="Times New Roman"/>
          <w:i/>
          <w:iCs/>
          <w:szCs w:val="24"/>
        </w:rPr>
        <w:t>De todos modos, entre más pase el tiempo existe la posibilidad de que se agrave la situación del paciente</w:t>
      </w:r>
      <w:r w:rsidR="00E915EB" w:rsidRPr="002F651B">
        <w:rPr>
          <w:rFonts w:ascii="Gadugi" w:eastAsia="Calibri" w:hAnsi="Gadugi" w:cs="Times New Roman"/>
          <w:i/>
          <w:iCs/>
          <w:sz w:val="24"/>
          <w:szCs w:val="24"/>
        </w:rPr>
        <w:t>”</w:t>
      </w:r>
      <w:r w:rsidR="008277FD" w:rsidRPr="002F651B">
        <w:rPr>
          <w:rStyle w:val="Refdenotaalpie"/>
          <w:rFonts w:ascii="Gadugi" w:eastAsia="Calibri" w:hAnsi="Gadugi" w:cs="Times New Roman"/>
          <w:sz w:val="24"/>
          <w:szCs w:val="24"/>
        </w:rPr>
        <w:footnoteReference w:id="54"/>
      </w:r>
      <w:r w:rsidR="00E915EB" w:rsidRPr="002F651B">
        <w:rPr>
          <w:rFonts w:ascii="Gadugi" w:eastAsia="Calibri" w:hAnsi="Gadugi" w:cs="Times New Roman"/>
          <w:i/>
          <w:iCs/>
          <w:sz w:val="24"/>
          <w:szCs w:val="24"/>
        </w:rPr>
        <w:t>.</w:t>
      </w:r>
      <w:r w:rsidR="00C77722">
        <w:rPr>
          <w:rFonts w:ascii="Gadugi" w:eastAsia="Calibri" w:hAnsi="Gadugi" w:cs="Times New Roman"/>
          <w:i/>
          <w:iCs/>
          <w:sz w:val="24"/>
          <w:szCs w:val="24"/>
        </w:rPr>
        <w:t xml:space="preserve"> </w:t>
      </w:r>
    </w:p>
    <w:p w14:paraId="6E02AF8C" w14:textId="77777777" w:rsidR="00C77722" w:rsidRPr="002F651B" w:rsidRDefault="00C77722" w:rsidP="002F651B">
      <w:pPr>
        <w:tabs>
          <w:tab w:val="left" w:pos="2410"/>
        </w:tabs>
        <w:jc w:val="both"/>
        <w:rPr>
          <w:rFonts w:ascii="Gadugi" w:eastAsia="Calibri" w:hAnsi="Gadugi" w:cs="Times New Roman"/>
          <w:i/>
          <w:iCs/>
          <w:sz w:val="24"/>
          <w:szCs w:val="24"/>
        </w:rPr>
      </w:pPr>
    </w:p>
    <w:p w14:paraId="7EC11AF6" w14:textId="35D60AA5" w:rsidR="008277FD" w:rsidRPr="002F651B" w:rsidRDefault="00040853"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rPr>
        <w:t xml:space="preserve">Es diáfano que, en el caso de ahora, </w:t>
      </w:r>
      <w:r w:rsidR="005F400E" w:rsidRPr="002F651B">
        <w:rPr>
          <w:rFonts w:ascii="Gadugi" w:eastAsia="Calibri" w:hAnsi="Gadugi" w:cs="Times New Roman"/>
          <w:sz w:val="24"/>
          <w:szCs w:val="24"/>
        </w:rPr>
        <w:t xml:space="preserve">como reseñan la historia clínica y los testimonios, la </w:t>
      </w:r>
      <w:r w:rsidR="008277FD" w:rsidRPr="002F651B">
        <w:rPr>
          <w:rFonts w:ascii="Gadugi" w:eastAsia="Calibri" w:hAnsi="Gadugi" w:cs="Times New Roman"/>
          <w:sz w:val="24"/>
          <w:szCs w:val="24"/>
        </w:rPr>
        <w:t xml:space="preserve">EPS </w:t>
      </w:r>
      <w:r w:rsidR="005F400E" w:rsidRPr="002F651B">
        <w:rPr>
          <w:rFonts w:ascii="Gadugi" w:eastAsia="Calibri" w:hAnsi="Gadugi" w:cs="Times New Roman"/>
          <w:sz w:val="24"/>
          <w:szCs w:val="24"/>
        </w:rPr>
        <w:t xml:space="preserve">y la IPS </w:t>
      </w:r>
      <w:r w:rsidR="008277FD" w:rsidRPr="002F651B">
        <w:rPr>
          <w:rFonts w:ascii="Gadugi" w:eastAsia="Calibri" w:hAnsi="Gadugi" w:cs="Times New Roman"/>
          <w:sz w:val="24"/>
          <w:szCs w:val="24"/>
        </w:rPr>
        <w:t>incumpli</w:t>
      </w:r>
      <w:r w:rsidR="005F400E" w:rsidRPr="002F651B">
        <w:rPr>
          <w:rFonts w:ascii="Gadugi" w:eastAsia="Calibri" w:hAnsi="Gadugi" w:cs="Times New Roman"/>
          <w:sz w:val="24"/>
          <w:szCs w:val="24"/>
        </w:rPr>
        <w:t>eron</w:t>
      </w:r>
      <w:r w:rsidR="008277FD" w:rsidRPr="002F651B">
        <w:rPr>
          <w:rFonts w:ascii="Gadugi" w:eastAsia="Calibri" w:hAnsi="Gadugi" w:cs="Times New Roman"/>
          <w:sz w:val="24"/>
          <w:szCs w:val="24"/>
        </w:rPr>
        <w:t xml:space="preserve"> su obligación de efectuar el traslado de la paciente a una institución de salud de tercer nivel en el tiempo apremiante que las graves afecciones de su salud requerían. </w:t>
      </w:r>
    </w:p>
    <w:p w14:paraId="61BE055D" w14:textId="73E7EF8C" w:rsidR="00913242" w:rsidRPr="002F651B" w:rsidRDefault="008277FD"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lang w:val="es-CO"/>
        </w:rPr>
        <w:br/>
      </w:r>
      <w:r w:rsidR="00592EE1" w:rsidRPr="002F651B">
        <w:rPr>
          <w:rFonts w:ascii="Gadugi" w:eastAsia="Calibri" w:hAnsi="Gadugi" w:cs="Times New Roman"/>
          <w:sz w:val="24"/>
          <w:szCs w:val="24"/>
        </w:rPr>
        <w:t xml:space="preserve">2.15. </w:t>
      </w:r>
      <w:r w:rsidR="00A535C6" w:rsidRPr="002F651B">
        <w:rPr>
          <w:rFonts w:ascii="Gadugi" w:eastAsia="Calibri" w:hAnsi="Gadugi" w:cs="Times New Roman"/>
          <w:sz w:val="24"/>
          <w:szCs w:val="24"/>
        </w:rPr>
        <w:t xml:space="preserve">Y en </w:t>
      </w:r>
      <w:r w:rsidR="00592EE1" w:rsidRPr="002F651B">
        <w:rPr>
          <w:rFonts w:ascii="Gadugi" w:eastAsia="Calibri" w:hAnsi="Gadugi" w:cs="Times New Roman"/>
          <w:sz w:val="24"/>
          <w:szCs w:val="24"/>
        </w:rPr>
        <w:t>el an</w:t>
      </w:r>
      <w:r w:rsidR="00C86703" w:rsidRPr="002F651B">
        <w:rPr>
          <w:rFonts w:ascii="Gadugi" w:eastAsia="Calibri" w:hAnsi="Gadugi" w:cs="Times New Roman"/>
          <w:sz w:val="24"/>
          <w:szCs w:val="24"/>
        </w:rPr>
        <w:t xml:space="preserve">álisis de la causalidad jurídica, surge aquí una pregunta. ¿Hasta ahora, qué relación han tenido la edad y la </w:t>
      </w:r>
      <w:r w:rsidR="004A48B9" w:rsidRPr="002F651B">
        <w:rPr>
          <w:rFonts w:ascii="Gadugi" w:eastAsia="Calibri" w:hAnsi="Gadugi" w:cs="Times New Roman"/>
          <w:sz w:val="24"/>
          <w:szCs w:val="24"/>
        </w:rPr>
        <w:t xml:space="preserve">hipertensión de la paciente con su </w:t>
      </w:r>
      <w:proofErr w:type="gramStart"/>
      <w:r w:rsidR="004A48B9" w:rsidRPr="002F651B">
        <w:rPr>
          <w:rFonts w:ascii="Gadugi" w:eastAsia="Calibri" w:hAnsi="Gadugi" w:cs="Times New Roman"/>
          <w:sz w:val="24"/>
          <w:szCs w:val="24"/>
        </w:rPr>
        <w:t>deceso?.</w:t>
      </w:r>
      <w:proofErr w:type="gramEnd"/>
      <w:r w:rsidR="004A48B9" w:rsidRPr="002F651B">
        <w:rPr>
          <w:rFonts w:ascii="Gadugi" w:eastAsia="Calibri" w:hAnsi="Gadugi" w:cs="Times New Roman"/>
          <w:sz w:val="24"/>
          <w:szCs w:val="24"/>
        </w:rPr>
        <w:t xml:space="preserve"> Y la </w:t>
      </w:r>
      <w:r w:rsidR="004A48B9" w:rsidRPr="002F651B">
        <w:rPr>
          <w:rFonts w:ascii="Gadugi" w:eastAsia="Calibri" w:hAnsi="Gadugi" w:cs="Times New Roman"/>
          <w:sz w:val="24"/>
          <w:szCs w:val="24"/>
        </w:rPr>
        <w:lastRenderedPageBreak/>
        <w:t xml:space="preserve">respuesta surge de inmediato: ninguna, y si la </w:t>
      </w:r>
      <w:r w:rsidR="00913242" w:rsidRPr="002F651B">
        <w:rPr>
          <w:rFonts w:ascii="Gadugi" w:eastAsia="Calibri" w:hAnsi="Gadugi" w:cs="Times New Roman"/>
          <w:sz w:val="24"/>
          <w:szCs w:val="24"/>
        </w:rPr>
        <w:t xml:space="preserve">tuvieron, pudo haber sido apenas relativa, según dijeron los médicos que la trataron. </w:t>
      </w:r>
    </w:p>
    <w:p w14:paraId="30C99B99" w14:textId="77777777" w:rsidR="00913242" w:rsidRPr="002F651B" w:rsidRDefault="00913242" w:rsidP="002F651B">
      <w:pPr>
        <w:tabs>
          <w:tab w:val="left" w:pos="2410"/>
        </w:tabs>
        <w:jc w:val="both"/>
        <w:rPr>
          <w:rFonts w:ascii="Gadugi" w:eastAsia="Calibri" w:hAnsi="Gadugi" w:cs="Times New Roman"/>
          <w:sz w:val="24"/>
          <w:szCs w:val="24"/>
        </w:rPr>
      </w:pPr>
    </w:p>
    <w:p w14:paraId="726546C5" w14:textId="2D6FFCB0" w:rsidR="00F570FA" w:rsidRPr="002F651B" w:rsidRDefault="00913242"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rPr>
        <w:t>Por ello, no co</w:t>
      </w:r>
      <w:r w:rsidR="00176C3A" w:rsidRPr="002F651B">
        <w:rPr>
          <w:rFonts w:ascii="Gadugi" w:eastAsia="Calibri" w:hAnsi="Gadugi" w:cs="Times New Roman"/>
          <w:sz w:val="24"/>
          <w:szCs w:val="24"/>
        </w:rPr>
        <w:t>m</w:t>
      </w:r>
      <w:r w:rsidRPr="002F651B">
        <w:rPr>
          <w:rFonts w:ascii="Gadugi" w:eastAsia="Calibri" w:hAnsi="Gadugi" w:cs="Times New Roman"/>
          <w:sz w:val="24"/>
          <w:szCs w:val="24"/>
        </w:rPr>
        <w:t xml:space="preserve">parte la Sala las apreciaciones del fallo de primer grado. Es lógico que la avanzada edad y las patologías </w:t>
      </w:r>
      <w:r w:rsidR="00E65822" w:rsidRPr="002F651B">
        <w:rPr>
          <w:rFonts w:ascii="Gadugi" w:eastAsia="Calibri" w:hAnsi="Gadugi" w:cs="Times New Roman"/>
          <w:sz w:val="24"/>
          <w:szCs w:val="24"/>
        </w:rPr>
        <w:t>anteriores</w:t>
      </w:r>
      <w:r w:rsidRPr="002F651B">
        <w:rPr>
          <w:rFonts w:ascii="Gadugi" w:eastAsia="Calibri" w:hAnsi="Gadugi" w:cs="Times New Roman"/>
          <w:sz w:val="24"/>
          <w:szCs w:val="24"/>
        </w:rPr>
        <w:t xml:space="preserve"> puedan</w:t>
      </w:r>
      <w:r w:rsidR="00E65822" w:rsidRPr="002F651B">
        <w:rPr>
          <w:rFonts w:ascii="Gadugi" w:eastAsia="Calibri" w:hAnsi="Gadugi" w:cs="Times New Roman"/>
          <w:sz w:val="24"/>
          <w:szCs w:val="24"/>
        </w:rPr>
        <w:t>, en un momento dado, contribuir a un desenlace mortal en la evolución de un paciente. Pero</w:t>
      </w:r>
      <w:r w:rsidR="007C51B0" w:rsidRPr="002F651B">
        <w:rPr>
          <w:rFonts w:ascii="Gadugi" w:eastAsia="Calibri" w:hAnsi="Gadugi" w:cs="Times New Roman"/>
          <w:sz w:val="24"/>
          <w:szCs w:val="24"/>
        </w:rPr>
        <w:t>, lo que no se admite es que, en un caso como este, sin ninguna prueba que así lo indique, se diga que la causa de la muerte</w:t>
      </w:r>
      <w:r w:rsidR="00D058F5" w:rsidRPr="002F651B">
        <w:rPr>
          <w:rFonts w:ascii="Gadugi" w:eastAsia="Calibri" w:hAnsi="Gadugi" w:cs="Times New Roman"/>
          <w:sz w:val="24"/>
          <w:szCs w:val="24"/>
        </w:rPr>
        <w:t xml:space="preserve"> de María Nora pudiera haber </w:t>
      </w:r>
      <w:r w:rsidR="00F570FA" w:rsidRPr="002F651B">
        <w:rPr>
          <w:rFonts w:ascii="Gadugi" w:eastAsia="Calibri" w:hAnsi="Gadugi" w:cs="Times New Roman"/>
          <w:sz w:val="24"/>
          <w:szCs w:val="24"/>
        </w:rPr>
        <w:t xml:space="preserve">sido determinada por su edad o su hipertensión. </w:t>
      </w:r>
    </w:p>
    <w:p w14:paraId="15DDC8BC" w14:textId="77777777" w:rsidR="00F570FA" w:rsidRPr="002F651B" w:rsidRDefault="00F570FA" w:rsidP="002F651B">
      <w:pPr>
        <w:tabs>
          <w:tab w:val="left" w:pos="2410"/>
        </w:tabs>
        <w:jc w:val="both"/>
        <w:rPr>
          <w:rFonts w:ascii="Gadugi" w:eastAsia="Calibri" w:hAnsi="Gadugi" w:cs="Times New Roman"/>
          <w:sz w:val="24"/>
          <w:szCs w:val="24"/>
        </w:rPr>
      </w:pPr>
    </w:p>
    <w:p w14:paraId="4CB706A2" w14:textId="70340FF9" w:rsidR="00F570FA" w:rsidRPr="002F651B" w:rsidRDefault="00F570FA" w:rsidP="002F651B">
      <w:pPr>
        <w:tabs>
          <w:tab w:val="left" w:pos="2410"/>
        </w:tabs>
        <w:jc w:val="both"/>
        <w:rPr>
          <w:rFonts w:ascii="Gadugi" w:eastAsia="Georgia" w:hAnsi="Gadugi" w:cs="Georgia"/>
          <w:sz w:val="24"/>
          <w:szCs w:val="24"/>
        </w:rPr>
      </w:pPr>
      <w:r w:rsidRPr="002F651B">
        <w:rPr>
          <w:rFonts w:ascii="Gadugi" w:eastAsia="Calibri" w:hAnsi="Gadugi" w:cs="Times New Roman"/>
          <w:sz w:val="24"/>
          <w:szCs w:val="24"/>
        </w:rPr>
        <w:t>Nada de eso</w:t>
      </w:r>
      <w:r w:rsidR="00176C3A" w:rsidRPr="002F651B">
        <w:rPr>
          <w:rFonts w:ascii="Gadugi" w:eastAsia="Calibri" w:hAnsi="Gadugi" w:cs="Times New Roman"/>
          <w:sz w:val="24"/>
          <w:szCs w:val="24"/>
        </w:rPr>
        <w:t>;</w:t>
      </w:r>
      <w:r w:rsidRPr="002F651B">
        <w:rPr>
          <w:rFonts w:ascii="Gadugi" w:eastAsia="Calibri" w:hAnsi="Gadugi" w:cs="Times New Roman"/>
          <w:sz w:val="24"/>
          <w:szCs w:val="24"/>
        </w:rPr>
        <w:t xml:space="preserve"> la misma historia clínica dice con toda precisión que el deceso fue producto</w:t>
      </w:r>
      <w:r w:rsidR="000F42EC" w:rsidRPr="002F651B">
        <w:rPr>
          <w:rFonts w:ascii="Gadugi" w:eastAsia="Calibri" w:hAnsi="Gadugi" w:cs="Times New Roman"/>
          <w:sz w:val="24"/>
          <w:szCs w:val="24"/>
        </w:rPr>
        <w:t xml:space="preserve"> de una </w:t>
      </w:r>
      <w:r w:rsidRPr="002F651B">
        <w:rPr>
          <w:rFonts w:ascii="Gadugi" w:eastAsia="Calibri" w:hAnsi="Gadugi" w:cs="Times New Roman"/>
          <w:i/>
          <w:iCs/>
          <w:sz w:val="24"/>
          <w:szCs w:val="24"/>
        </w:rPr>
        <w:t>“</w:t>
      </w:r>
      <w:r w:rsidR="000F42EC" w:rsidRPr="00AA327C">
        <w:rPr>
          <w:rFonts w:ascii="Gadugi" w:eastAsia="Georgia" w:hAnsi="Gadugi" w:cs="Georgia"/>
          <w:i/>
          <w:iCs/>
          <w:szCs w:val="24"/>
        </w:rPr>
        <w:t>DISFUNCIÓN ORGÁNICA MÚLTIPLE, CHOQUE SÉPTICO DE ORIGEN ABDOMINAL, SECUNDARIA A PERFORACIÓN DE ULCERA GÁSTRICA E ISQUEMIA MESENTÉRICA ASOCIADA</w:t>
      </w:r>
      <w:r w:rsidR="000F42EC" w:rsidRPr="002F651B">
        <w:rPr>
          <w:rFonts w:ascii="Gadugi" w:eastAsia="Georgia" w:hAnsi="Gadugi" w:cs="Georgia"/>
          <w:i/>
          <w:iCs/>
          <w:sz w:val="24"/>
          <w:szCs w:val="24"/>
        </w:rPr>
        <w:t>”</w:t>
      </w:r>
      <w:r w:rsidR="00270EC7" w:rsidRPr="002F651B">
        <w:rPr>
          <w:rFonts w:ascii="Gadugi" w:eastAsia="Georgia" w:hAnsi="Gadugi" w:cs="Georgia"/>
          <w:sz w:val="24"/>
          <w:szCs w:val="24"/>
        </w:rPr>
        <w:t xml:space="preserve">, </w:t>
      </w:r>
      <w:r w:rsidR="000B1034" w:rsidRPr="002F651B">
        <w:rPr>
          <w:rFonts w:ascii="Gadugi" w:eastAsia="Georgia" w:hAnsi="Gadugi" w:cs="Georgia"/>
          <w:sz w:val="24"/>
          <w:szCs w:val="24"/>
        </w:rPr>
        <w:t xml:space="preserve">choque que ocurrió mientras estuvo internada en </w:t>
      </w:r>
      <w:r w:rsidR="001159D0" w:rsidRPr="002F651B">
        <w:rPr>
          <w:rFonts w:ascii="Gadugi" w:eastAsia="Georgia" w:hAnsi="Gadugi" w:cs="Georgia"/>
          <w:sz w:val="24"/>
          <w:szCs w:val="24"/>
        </w:rPr>
        <w:t xml:space="preserve">el centro de salud, no antes ni a su llegada, sino, como consecuencia de la demora en el tratamiento. </w:t>
      </w:r>
    </w:p>
    <w:p w14:paraId="1855ABAF" w14:textId="77777777" w:rsidR="00E34D76" w:rsidRPr="002F651B" w:rsidRDefault="00E34D76" w:rsidP="002F651B">
      <w:pPr>
        <w:tabs>
          <w:tab w:val="left" w:pos="2410"/>
        </w:tabs>
        <w:jc w:val="both"/>
        <w:rPr>
          <w:rFonts w:ascii="Gadugi" w:eastAsia="Georgia" w:hAnsi="Gadugi" w:cs="Georgia"/>
          <w:sz w:val="24"/>
          <w:szCs w:val="24"/>
        </w:rPr>
      </w:pPr>
    </w:p>
    <w:p w14:paraId="10275AC7" w14:textId="6CC90F7C" w:rsidR="000F42EC" w:rsidRPr="002F651B" w:rsidRDefault="003D10F7" w:rsidP="002F651B">
      <w:pPr>
        <w:tabs>
          <w:tab w:val="left" w:pos="2410"/>
        </w:tabs>
        <w:jc w:val="both"/>
        <w:rPr>
          <w:rFonts w:ascii="Gadugi" w:eastAsia="Georgia" w:hAnsi="Gadugi" w:cs="Georgia"/>
          <w:sz w:val="24"/>
          <w:szCs w:val="24"/>
        </w:rPr>
      </w:pPr>
      <w:r w:rsidRPr="002F651B">
        <w:rPr>
          <w:rFonts w:ascii="Gadugi" w:eastAsia="Georgia" w:hAnsi="Gadugi" w:cs="Georgia"/>
          <w:sz w:val="24"/>
          <w:szCs w:val="24"/>
        </w:rPr>
        <w:t>¿</w:t>
      </w:r>
      <w:r w:rsidR="000F42EC" w:rsidRPr="002F651B">
        <w:rPr>
          <w:rFonts w:ascii="Gadugi" w:eastAsia="Georgia" w:hAnsi="Gadugi" w:cs="Georgia"/>
          <w:sz w:val="24"/>
          <w:szCs w:val="24"/>
        </w:rPr>
        <w:t>A cuento de qué, decir entonces, que en este asunto la muerte pudo tener otras causas</w:t>
      </w:r>
      <w:r w:rsidRPr="002F651B">
        <w:rPr>
          <w:rFonts w:ascii="Gadugi" w:eastAsia="Georgia" w:hAnsi="Gadugi" w:cs="Georgia"/>
          <w:sz w:val="24"/>
          <w:szCs w:val="24"/>
        </w:rPr>
        <w:t>?</w:t>
      </w:r>
      <w:r w:rsidR="00A55B8D" w:rsidRPr="002F651B">
        <w:rPr>
          <w:rFonts w:ascii="Gadugi" w:eastAsia="Georgia" w:hAnsi="Gadugi" w:cs="Georgia"/>
          <w:sz w:val="24"/>
          <w:szCs w:val="24"/>
        </w:rPr>
        <w:t xml:space="preserve"> No ocurre como en otros múltiples asuntos</w:t>
      </w:r>
      <w:r w:rsidR="00FD4DB1" w:rsidRPr="002F651B">
        <w:rPr>
          <w:rFonts w:ascii="Gadugi" w:eastAsia="Georgia" w:hAnsi="Gadugi" w:cs="Georgia"/>
          <w:sz w:val="24"/>
          <w:szCs w:val="24"/>
        </w:rPr>
        <w:t xml:space="preserve"> </w:t>
      </w:r>
      <w:r w:rsidR="00A55B8D" w:rsidRPr="002F651B">
        <w:rPr>
          <w:rFonts w:ascii="Gadugi" w:eastAsia="Georgia" w:hAnsi="Gadugi" w:cs="Georgia"/>
          <w:sz w:val="24"/>
          <w:szCs w:val="24"/>
        </w:rPr>
        <w:t>ventilados en esta Sala en los que n</w:t>
      </w:r>
      <w:r w:rsidR="00FD4DB1" w:rsidRPr="002F651B">
        <w:rPr>
          <w:rFonts w:ascii="Gadugi" w:eastAsia="Georgia" w:hAnsi="Gadugi" w:cs="Georgia"/>
          <w:sz w:val="24"/>
          <w:szCs w:val="24"/>
        </w:rPr>
        <w:t xml:space="preserve">o </w:t>
      </w:r>
      <w:r w:rsidR="00A55B8D" w:rsidRPr="002F651B">
        <w:rPr>
          <w:rFonts w:ascii="Gadugi" w:eastAsia="Georgia" w:hAnsi="Gadugi" w:cs="Georgia"/>
          <w:sz w:val="24"/>
          <w:szCs w:val="24"/>
        </w:rPr>
        <w:t>existe prueba técnica alguna</w:t>
      </w:r>
      <w:r w:rsidR="00FD4DB1" w:rsidRPr="002F651B">
        <w:rPr>
          <w:rFonts w:ascii="Gadugi" w:eastAsia="Georgia" w:hAnsi="Gadugi" w:cs="Georgia"/>
          <w:sz w:val="24"/>
          <w:szCs w:val="24"/>
        </w:rPr>
        <w:t xml:space="preserve"> </w:t>
      </w:r>
      <w:r w:rsidR="00A55B8D" w:rsidRPr="002F651B">
        <w:rPr>
          <w:rFonts w:ascii="Gadugi" w:eastAsia="Georgia" w:hAnsi="Gadugi" w:cs="Georgia"/>
          <w:sz w:val="24"/>
          <w:szCs w:val="24"/>
        </w:rPr>
        <w:t>(dictamen o testimonios técnicos)</w:t>
      </w:r>
      <w:r w:rsidR="002F5E70" w:rsidRPr="002F651B">
        <w:rPr>
          <w:rFonts w:ascii="Gadugi" w:eastAsia="Georgia" w:hAnsi="Gadugi" w:cs="Georgia"/>
          <w:sz w:val="24"/>
          <w:szCs w:val="24"/>
        </w:rPr>
        <w:t xml:space="preserve">, y la historia clínica nada dice de la causa del deceso de un paciente. En este, al contrario, la historia clínica es determinante sobre la causa del deceso y los testigos contribuyen a dejar sentado que el choque séptico se produjo por la falta de atención adecuada de la paciente, no por su edad o su hipertensión. </w:t>
      </w:r>
    </w:p>
    <w:p w14:paraId="69B55F4C" w14:textId="77777777" w:rsidR="008277FD" w:rsidRPr="002F651B" w:rsidRDefault="008277FD" w:rsidP="002F651B">
      <w:pPr>
        <w:tabs>
          <w:tab w:val="left" w:pos="2410"/>
        </w:tabs>
        <w:jc w:val="both"/>
        <w:rPr>
          <w:rFonts w:ascii="Gadugi" w:eastAsia="Calibri" w:hAnsi="Gadugi" w:cs="Times New Roman"/>
          <w:sz w:val="24"/>
          <w:szCs w:val="24"/>
          <w:lang w:val="es-CO"/>
        </w:rPr>
      </w:pPr>
    </w:p>
    <w:p w14:paraId="1AF9D478" w14:textId="4BA2CE13" w:rsidR="008277FD" w:rsidRPr="002F651B" w:rsidRDefault="00034EA8"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lang w:val="es-CO"/>
        </w:rPr>
        <w:t>Sobre el punto, dijo e</w:t>
      </w:r>
      <w:r w:rsidR="008277FD" w:rsidRPr="002F651B">
        <w:rPr>
          <w:rFonts w:ascii="Gadugi" w:eastAsia="Calibri" w:hAnsi="Gadugi" w:cs="Times New Roman"/>
          <w:sz w:val="24"/>
          <w:szCs w:val="24"/>
          <w:lang w:val="es-CO"/>
        </w:rPr>
        <w:t xml:space="preserve">l Dr. Juan Camilo Galvis Mejía, </w:t>
      </w:r>
      <w:r w:rsidRPr="002F651B">
        <w:rPr>
          <w:rFonts w:ascii="Gadugi" w:eastAsia="Calibri" w:hAnsi="Gadugi" w:cs="Times New Roman"/>
          <w:sz w:val="24"/>
          <w:szCs w:val="24"/>
          <w:lang w:val="es-CO"/>
        </w:rPr>
        <w:t xml:space="preserve">que </w:t>
      </w:r>
      <w:r w:rsidR="001E5E4B" w:rsidRPr="002F651B">
        <w:rPr>
          <w:rFonts w:ascii="Gadugi" w:eastAsia="Calibri" w:hAnsi="Gadugi" w:cs="Times New Roman"/>
          <w:sz w:val="24"/>
          <w:szCs w:val="24"/>
          <w:lang w:val="es-CO"/>
        </w:rPr>
        <w:t>la edad es un condicionante</w:t>
      </w:r>
      <w:r w:rsidR="00B93661" w:rsidRPr="002F651B">
        <w:rPr>
          <w:rFonts w:ascii="Gadugi" w:eastAsia="Calibri" w:hAnsi="Gadugi" w:cs="Times New Roman"/>
          <w:sz w:val="24"/>
          <w:szCs w:val="24"/>
          <w:lang w:val="es-CO"/>
        </w:rPr>
        <w:t xml:space="preserve"> </w:t>
      </w:r>
      <w:r w:rsidR="001E5E4B" w:rsidRPr="002F651B">
        <w:rPr>
          <w:rFonts w:ascii="Gadugi" w:eastAsia="Calibri" w:hAnsi="Gadugi" w:cs="Times New Roman"/>
          <w:sz w:val="24"/>
          <w:szCs w:val="24"/>
          <w:lang w:val="es-CO"/>
        </w:rPr>
        <w:t xml:space="preserve">y la hipertensión depende de cómo haya sido tratada, por ello, pueden agravar la </w:t>
      </w:r>
      <w:r w:rsidR="00716A65" w:rsidRPr="002F651B">
        <w:rPr>
          <w:rFonts w:ascii="Gadugi" w:eastAsia="Calibri" w:hAnsi="Gadugi" w:cs="Times New Roman"/>
          <w:sz w:val="24"/>
          <w:szCs w:val="24"/>
          <w:lang w:val="es-CO"/>
        </w:rPr>
        <w:t>situación de un paciente</w:t>
      </w:r>
      <w:r w:rsidR="008277FD" w:rsidRPr="002F651B">
        <w:rPr>
          <w:rStyle w:val="Refdenotaalpie"/>
          <w:rFonts w:ascii="Gadugi" w:eastAsia="Calibri" w:hAnsi="Gadugi" w:cs="Times New Roman"/>
          <w:sz w:val="24"/>
          <w:szCs w:val="24"/>
        </w:rPr>
        <w:footnoteReference w:id="55"/>
      </w:r>
      <w:r w:rsidR="00716A65" w:rsidRPr="002F651B">
        <w:rPr>
          <w:rFonts w:ascii="Gadugi" w:eastAsia="Calibri" w:hAnsi="Gadugi" w:cs="Times New Roman"/>
          <w:sz w:val="24"/>
          <w:szCs w:val="24"/>
          <w:lang w:val="es-CO"/>
        </w:rPr>
        <w:t xml:space="preserve">. Algo similar dijo </w:t>
      </w:r>
      <w:r w:rsidR="008277FD" w:rsidRPr="002F651B">
        <w:rPr>
          <w:rFonts w:ascii="Gadugi" w:eastAsia="Calibri" w:hAnsi="Gadugi" w:cs="Times New Roman"/>
          <w:sz w:val="24"/>
          <w:szCs w:val="24"/>
        </w:rPr>
        <w:t>Jaime Antonio Romero Díaz</w:t>
      </w:r>
      <w:r w:rsidR="00C97EE9" w:rsidRPr="002F651B">
        <w:rPr>
          <w:rStyle w:val="Refdenotaalpie"/>
          <w:rFonts w:ascii="Gadugi" w:eastAsia="Calibri" w:hAnsi="Gadugi" w:cs="Times New Roman"/>
          <w:sz w:val="24"/>
          <w:szCs w:val="24"/>
        </w:rPr>
        <w:footnoteReference w:id="56"/>
      </w:r>
      <w:r w:rsidR="00C97EE9" w:rsidRPr="002F651B">
        <w:rPr>
          <w:rFonts w:ascii="Gadugi" w:eastAsia="Calibri" w:hAnsi="Gadugi" w:cs="Times New Roman"/>
          <w:sz w:val="24"/>
          <w:szCs w:val="24"/>
        </w:rPr>
        <w:t xml:space="preserve">, quien, sin embargo, fue enfático en señalar que </w:t>
      </w:r>
      <w:r w:rsidR="00A51077" w:rsidRPr="002F651B">
        <w:rPr>
          <w:rFonts w:ascii="Gadugi" w:eastAsia="Calibri" w:hAnsi="Gadugi" w:cs="Times New Roman"/>
          <w:sz w:val="24"/>
          <w:szCs w:val="24"/>
        </w:rPr>
        <w:t xml:space="preserve">tales antecedentes </w:t>
      </w:r>
      <w:r w:rsidR="004B4615" w:rsidRPr="002F651B">
        <w:rPr>
          <w:rFonts w:ascii="Gadugi" w:eastAsia="Calibri" w:hAnsi="Gadugi" w:cs="Times New Roman"/>
          <w:sz w:val="24"/>
          <w:szCs w:val="24"/>
        </w:rPr>
        <w:t xml:space="preserve">no necesariamente fueron factores decisivos que llevaran en este caso a la muerte. </w:t>
      </w:r>
    </w:p>
    <w:p w14:paraId="7D58C161" w14:textId="77777777" w:rsidR="008277FD" w:rsidRPr="002F651B" w:rsidRDefault="008277FD" w:rsidP="002F651B">
      <w:pPr>
        <w:tabs>
          <w:tab w:val="left" w:pos="2410"/>
        </w:tabs>
        <w:jc w:val="both"/>
        <w:rPr>
          <w:rFonts w:ascii="Gadugi" w:eastAsia="Calibri" w:hAnsi="Gadugi" w:cs="Times New Roman"/>
          <w:sz w:val="24"/>
          <w:szCs w:val="24"/>
        </w:rPr>
      </w:pPr>
    </w:p>
    <w:p w14:paraId="032C2FC5" w14:textId="77777777" w:rsidR="00CC7996" w:rsidRPr="002F651B" w:rsidRDefault="00AF06A1"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rPr>
        <w:t>Por su parte, el Dr</w:t>
      </w:r>
      <w:r w:rsidR="007E14C4" w:rsidRPr="002F651B">
        <w:rPr>
          <w:rFonts w:ascii="Gadugi" w:eastAsia="Calibri" w:hAnsi="Gadugi" w:cs="Times New Roman"/>
          <w:sz w:val="24"/>
          <w:szCs w:val="24"/>
        </w:rPr>
        <w:t xml:space="preserve">. </w:t>
      </w:r>
      <w:r w:rsidR="008277FD" w:rsidRPr="002F651B">
        <w:rPr>
          <w:rFonts w:ascii="Gadugi" w:eastAsia="Calibri" w:hAnsi="Gadugi" w:cs="Times New Roman"/>
          <w:sz w:val="24"/>
          <w:szCs w:val="24"/>
        </w:rPr>
        <w:t xml:space="preserve">Juan Camilo Galvis mencionó que la edad y la hipertensión podrían agravar la situación, </w:t>
      </w:r>
      <w:r w:rsidR="007E14C4" w:rsidRPr="002F651B">
        <w:rPr>
          <w:rFonts w:ascii="Gadugi" w:eastAsia="Calibri" w:hAnsi="Gadugi" w:cs="Times New Roman"/>
          <w:sz w:val="24"/>
          <w:szCs w:val="24"/>
        </w:rPr>
        <w:t xml:space="preserve">pero </w:t>
      </w:r>
      <w:r w:rsidR="008277FD" w:rsidRPr="002F651B">
        <w:rPr>
          <w:rFonts w:ascii="Gadugi" w:eastAsia="Calibri" w:hAnsi="Gadugi" w:cs="Times New Roman"/>
          <w:sz w:val="24"/>
          <w:szCs w:val="24"/>
        </w:rPr>
        <w:t>es fundamental recordar que cada situación es única y que el resultado depende de una interacción compleja de variables, como la gravedad de la enfermedad, la calidad de la atención médica recibida y la eficacia del tratamiento administrado</w:t>
      </w:r>
      <w:r w:rsidR="008277FD" w:rsidRPr="002F651B">
        <w:rPr>
          <w:rStyle w:val="Refdenotaalpie"/>
          <w:rFonts w:ascii="Gadugi" w:eastAsia="Calibri" w:hAnsi="Gadugi" w:cs="Times New Roman"/>
          <w:sz w:val="24"/>
          <w:szCs w:val="24"/>
        </w:rPr>
        <w:footnoteReference w:id="57"/>
      </w:r>
      <w:r w:rsidR="00646300" w:rsidRPr="002F651B">
        <w:rPr>
          <w:rFonts w:ascii="Gadugi" w:eastAsia="Calibri" w:hAnsi="Gadugi" w:cs="Times New Roman"/>
          <w:sz w:val="24"/>
          <w:szCs w:val="24"/>
        </w:rPr>
        <w:t xml:space="preserve">. En últimas, para él, como para los anteriores, </w:t>
      </w:r>
      <w:r w:rsidR="00CC7996" w:rsidRPr="002F651B">
        <w:rPr>
          <w:rFonts w:ascii="Gadugi" w:eastAsia="Calibri" w:hAnsi="Gadugi" w:cs="Times New Roman"/>
          <w:sz w:val="24"/>
          <w:szCs w:val="24"/>
        </w:rPr>
        <w:t xml:space="preserve">se trataba de factores que podían agravar la situación. </w:t>
      </w:r>
    </w:p>
    <w:p w14:paraId="6AB689D0" w14:textId="77777777" w:rsidR="00CC7996" w:rsidRPr="002F651B" w:rsidRDefault="00CC7996" w:rsidP="002F651B">
      <w:pPr>
        <w:tabs>
          <w:tab w:val="left" w:pos="2410"/>
        </w:tabs>
        <w:jc w:val="both"/>
        <w:rPr>
          <w:rFonts w:ascii="Gadugi" w:eastAsia="Calibri" w:hAnsi="Gadugi" w:cs="Times New Roman"/>
          <w:sz w:val="24"/>
          <w:szCs w:val="24"/>
        </w:rPr>
      </w:pPr>
    </w:p>
    <w:p w14:paraId="23D81CFF" w14:textId="39D463B9" w:rsidR="008277FD" w:rsidRPr="002F651B" w:rsidRDefault="00CC7996"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rPr>
        <w:t xml:space="preserve">Mas, se insiste, aquí el punto es que la causa de la muerte fue un choque séptico que se produjo como consecuencia de no haberse atendido oportunamente </w:t>
      </w:r>
      <w:r w:rsidR="009741B9" w:rsidRPr="002F651B">
        <w:rPr>
          <w:rFonts w:ascii="Gadugi" w:eastAsia="Calibri" w:hAnsi="Gadugi" w:cs="Times New Roman"/>
          <w:sz w:val="24"/>
          <w:szCs w:val="24"/>
        </w:rPr>
        <w:t>la enfermedad por la que la paciente consultó. Que sus antecedentes hubieran podido contribuir, es otro aspecto, pero no fueron ellos el detonante de</w:t>
      </w:r>
      <w:r w:rsidR="00B93661" w:rsidRPr="002F651B">
        <w:rPr>
          <w:rFonts w:ascii="Gadugi" w:eastAsia="Calibri" w:hAnsi="Gadugi" w:cs="Times New Roman"/>
          <w:sz w:val="24"/>
          <w:szCs w:val="24"/>
        </w:rPr>
        <w:t>l deceso.</w:t>
      </w:r>
      <w:r w:rsidR="009741B9" w:rsidRPr="002F651B">
        <w:rPr>
          <w:rFonts w:ascii="Gadugi" w:eastAsia="Calibri" w:hAnsi="Gadugi" w:cs="Times New Roman"/>
          <w:sz w:val="24"/>
          <w:szCs w:val="24"/>
        </w:rPr>
        <w:t xml:space="preserve"> </w:t>
      </w:r>
      <w:r w:rsidR="008277FD" w:rsidRPr="002F651B">
        <w:rPr>
          <w:rFonts w:ascii="Gadugi" w:eastAsia="Calibri" w:hAnsi="Gadugi" w:cs="Times New Roman"/>
          <w:sz w:val="24"/>
          <w:szCs w:val="24"/>
        </w:rPr>
        <w:t xml:space="preserve"> </w:t>
      </w:r>
    </w:p>
    <w:p w14:paraId="34DD167D" w14:textId="77777777" w:rsidR="008277FD" w:rsidRPr="002F651B" w:rsidRDefault="008277FD" w:rsidP="002F651B">
      <w:pPr>
        <w:tabs>
          <w:tab w:val="left" w:pos="2410"/>
        </w:tabs>
        <w:jc w:val="both"/>
        <w:rPr>
          <w:rFonts w:ascii="Gadugi" w:eastAsia="Calibri" w:hAnsi="Gadugi" w:cs="Times New Roman"/>
          <w:sz w:val="24"/>
          <w:szCs w:val="24"/>
        </w:rPr>
      </w:pPr>
      <w:r w:rsidRPr="002F651B">
        <w:rPr>
          <w:rFonts w:ascii="Gadugi" w:eastAsia="Calibri" w:hAnsi="Gadugi" w:cs="Times New Roman"/>
          <w:sz w:val="24"/>
          <w:szCs w:val="24"/>
        </w:rPr>
        <w:lastRenderedPageBreak/>
        <w:t xml:space="preserve">  </w:t>
      </w:r>
    </w:p>
    <w:p w14:paraId="78BA5F79" w14:textId="471FCC2E" w:rsidR="008277FD" w:rsidRPr="002F651B" w:rsidRDefault="008277FD" w:rsidP="002F651B">
      <w:pPr>
        <w:tabs>
          <w:tab w:val="left" w:pos="2410"/>
        </w:tabs>
        <w:jc w:val="both"/>
        <w:rPr>
          <w:rFonts w:ascii="Gadugi" w:eastAsia="Calibri" w:hAnsi="Gadugi" w:cs="Times New Roman"/>
          <w:sz w:val="24"/>
          <w:szCs w:val="24"/>
          <w:lang w:val="es-ES"/>
        </w:rPr>
      </w:pPr>
      <w:bookmarkStart w:id="2" w:name="_Hlk142852630"/>
      <w:r w:rsidRPr="002F651B">
        <w:rPr>
          <w:rFonts w:ascii="Gadugi" w:eastAsia="Calibri" w:hAnsi="Gadugi" w:cs="Times New Roman"/>
          <w:sz w:val="24"/>
          <w:szCs w:val="24"/>
        </w:rPr>
        <w:t>2.1</w:t>
      </w:r>
      <w:r w:rsidR="009A05BB" w:rsidRPr="002F651B">
        <w:rPr>
          <w:rFonts w:ascii="Gadugi" w:eastAsia="Calibri" w:hAnsi="Gadugi" w:cs="Times New Roman"/>
          <w:sz w:val="24"/>
          <w:szCs w:val="24"/>
        </w:rPr>
        <w:t>6.</w:t>
      </w:r>
      <w:r w:rsidRPr="002F651B">
        <w:rPr>
          <w:rFonts w:ascii="Gadugi" w:eastAsia="Calibri" w:hAnsi="Gadugi" w:cs="Times New Roman"/>
          <w:sz w:val="24"/>
          <w:szCs w:val="24"/>
        </w:rPr>
        <w:t xml:space="preserve"> </w:t>
      </w:r>
      <w:r w:rsidR="00BC3F81" w:rsidRPr="002F651B">
        <w:rPr>
          <w:rFonts w:ascii="Gadugi" w:eastAsia="Calibri" w:hAnsi="Gadugi" w:cs="Times New Roman"/>
          <w:sz w:val="24"/>
          <w:szCs w:val="24"/>
          <w:lang w:val="es-ES"/>
        </w:rPr>
        <w:t>El primer reparo formulado contra el fallo, en consecuencia, es suficiente para su quiebre, por lo que queda relevada la Sala de analizar los otros</w:t>
      </w:r>
      <w:r w:rsidR="006524F6" w:rsidRPr="002F651B">
        <w:rPr>
          <w:rFonts w:ascii="Gadugi" w:eastAsia="Calibri" w:hAnsi="Gadugi" w:cs="Times New Roman"/>
          <w:sz w:val="24"/>
          <w:szCs w:val="24"/>
          <w:lang w:val="es-ES"/>
        </w:rPr>
        <w:t xml:space="preserve"> que guardan relación con una pérdida de oportunidad que, valga decirlo, es un tema novedoso en el proceso, pues no fue sobre esa teoría que vino estructurada la demanda</w:t>
      </w:r>
      <w:r w:rsidR="00B93661" w:rsidRPr="002F651B">
        <w:rPr>
          <w:rFonts w:ascii="Gadugi" w:eastAsia="Calibri" w:hAnsi="Gadugi" w:cs="Times New Roman"/>
          <w:sz w:val="24"/>
          <w:szCs w:val="24"/>
          <w:lang w:val="es-ES"/>
        </w:rPr>
        <w:t>. Y</w:t>
      </w:r>
      <w:r w:rsidR="006524F6" w:rsidRPr="002F651B">
        <w:rPr>
          <w:rFonts w:ascii="Gadugi" w:eastAsia="Calibri" w:hAnsi="Gadugi" w:cs="Times New Roman"/>
          <w:sz w:val="24"/>
          <w:szCs w:val="24"/>
          <w:lang w:val="es-ES"/>
        </w:rPr>
        <w:t xml:space="preserve"> </w:t>
      </w:r>
      <w:r w:rsidR="00A23CBB" w:rsidRPr="002F651B">
        <w:rPr>
          <w:rFonts w:ascii="Gadugi" w:eastAsia="Calibri" w:hAnsi="Gadugi" w:cs="Times New Roman"/>
          <w:sz w:val="24"/>
          <w:szCs w:val="24"/>
          <w:lang w:val="es-ES"/>
        </w:rPr>
        <w:t>con las costas que, por supuesto, con la prosperidad</w:t>
      </w:r>
      <w:r w:rsidR="00B93661" w:rsidRPr="002F651B">
        <w:rPr>
          <w:rFonts w:ascii="Gadugi" w:eastAsia="Calibri" w:hAnsi="Gadugi" w:cs="Times New Roman"/>
          <w:sz w:val="24"/>
          <w:szCs w:val="24"/>
          <w:lang w:val="es-ES"/>
        </w:rPr>
        <w:t xml:space="preserve"> parcial</w:t>
      </w:r>
      <w:r w:rsidR="00A23CBB" w:rsidRPr="002F651B">
        <w:rPr>
          <w:rFonts w:ascii="Gadugi" w:eastAsia="Calibri" w:hAnsi="Gadugi" w:cs="Times New Roman"/>
          <w:sz w:val="24"/>
          <w:szCs w:val="24"/>
          <w:lang w:val="es-ES"/>
        </w:rPr>
        <w:t xml:space="preserve"> de las pretensiones, cambiará de rumbo, como adelante se verá. </w:t>
      </w:r>
    </w:p>
    <w:p w14:paraId="72868465" w14:textId="77777777" w:rsidR="006A283C" w:rsidRPr="002F651B" w:rsidRDefault="006A283C" w:rsidP="002F651B">
      <w:pPr>
        <w:tabs>
          <w:tab w:val="left" w:pos="2410"/>
        </w:tabs>
        <w:jc w:val="both"/>
        <w:rPr>
          <w:rFonts w:ascii="Gadugi" w:eastAsia="Calibri" w:hAnsi="Gadugi" w:cs="Times New Roman"/>
          <w:sz w:val="24"/>
          <w:szCs w:val="24"/>
          <w:lang w:val="es-ES"/>
        </w:rPr>
      </w:pPr>
    </w:p>
    <w:p w14:paraId="5C48D845" w14:textId="35ABEED3" w:rsidR="002225A8" w:rsidRPr="002F651B" w:rsidRDefault="006A283C" w:rsidP="002F651B">
      <w:pPr>
        <w:tabs>
          <w:tab w:val="left" w:pos="2410"/>
        </w:tabs>
        <w:jc w:val="both"/>
        <w:rPr>
          <w:rFonts w:ascii="Gadugi" w:eastAsia="Calibri" w:hAnsi="Gadugi" w:cs="Times New Roman"/>
          <w:sz w:val="24"/>
          <w:szCs w:val="24"/>
          <w:lang w:val="es-ES"/>
        </w:rPr>
      </w:pPr>
      <w:r w:rsidRPr="002F651B">
        <w:rPr>
          <w:rFonts w:ascii="Gadugi" w:eastAsia="Calibri" w:hAnsi="Gadugi" w:cs="Times New Roman"/>
          <w:sz w:val="24"/>
          <w:szCs w:val="24"/>
          <w:lang w:val="es-ES"/>
        </w:rPr>
        <w:t xml:space="preserve">2.17. </w:t>
      </w:r>
      <w:r w:rsidR="00B93661" w:rsidRPr="002F651B">
        <w:rPr>
          <w:rFonts w:ascii="Gadugi" w:eastAsia="Calibri" w:hAnsi="Gadugi" w:cs="Times New Roman"/>
          <w:sz w:val="24"/>
          <w:szCs w:val="24"/>
          <w:lang w:val="es-ES"/>
        </w:rPr>
        <w:t>C</w:t>
      </w:r>
      <w:r w:rsidR="00A23CBB" w:rsidRPr="002F651B">
        <w:rPr>
          <w:rFonts w:ascii="Gadugi" w:eastAsia="Calibri" w:hAnsi="Gadugi" w:cs="Times New Roman"/>
          <w:sz w:val="24"/>
          <w:szCs w:val="24"/>
          <w:lang w:val="es-ES"/>
        </w:rPr>
        <w:t>omo ello es así, corresponde a la Sala referirse a las excepciones propuestas por la</w:t>
      </w:r>
      <w:r w:rsidR="00AF5125" w:rsidRPr="002F651B">
        <w:rPr>
          <w:rFonts w:ascii="Gadugi" w:eastAsia="Calibri" w:hAnsi="Gadugi" w:cs="Times New Roman"/>
          <w:sz w:val="24"/>
          <w:szCs w:val="24"/>
          <w:lang w:val="es-ES"/>
        </w:rPr>
        <w:t xml:space="preserve"> EPS demandada</w:t>
      </w:r>
      <w:r w:rsidR="00D52250" w:rsidRPr="002F651B">
        <w:rPr>
          <w:rFonts w:ascii="Gadugi" w:eastAsia="Calibri" w:hAnsi="Gadugi" w:cs="Times New Roman"/>
          <w:sz w:val="24"/>
          <w:szCs w:val="24"/>
          <w:lang w:val="es-ES"/>
        </w:rPr>
        <w:t xml:space="preserve">, que, a decir verdad, se responden todas con lo que </w:t>
      </w:r>
      <w:r w:rsidR="002225A8" w:rsidRPr="002F651B">
        <w:rPr>
          <w:rFonts w:ascii="Gadugi" w:eastAsia="Calibri" w:hAnsi="Gadugi" w:cs="Times New Roman"/>
          <w:sz w:val="24"/>
          <w:szCs w:val="24"/>
          <w:lang w:val="es-ES"/>
        </w:rPr>
        <w:t>ha</w:t>
      </w:r>
      <w:r w:rsidR="00D52250" w:rsidRPr="002F651B">
        <w:rPr>
          <w:rFonts w:ascii="Gadugi" w:eastAsia="Calibri" w:hAnsi="Gadugi" w:cs="Times New Roman"/>
          <w:sz w:val="24"/>
          <w:szCs w:val="24"/>
          <w:lang w:val="es-ES"/>
        </w:rPr>
        <w:t xml:space="preserve"> decantado esta Colegiatura, y fue expuesto nuevamente en la </w:t>
      </w:r>
      <w:r w:rsidR="00C215A9" w:rsidRPr="002F651B">
        <w:rPr>
          <w:rFonts w:ascii="Gadugi" w:eastAsia="Calibri" w:hAnsi="Gadugi" w:cs="Times New Roman"/>
          <w:sz w:val="24"/>
          <w:szCs w:val="24"/>
          <w:lang w:val="es-ES"/>
        </w:rPr>
        <w:t>citada sentencia SC-0033</w:t>
      </w:r>
      <w:r w:rsidR="00D46AB2" w:rsidRPr="002F651B">
        <w:rPr>
          <w:rFonts w:ascii="Gadugi" w:eastAsia="Calibri" w:hAnsi="Gadugi" w:cs="Times New Roman"/>
          <w:sz w:val="24"/>
          <w:szCs w:val="24"/>
          <w:lang w:val="es-ES"/>
        </w:rPr>
        <w:t>-2023</w:t>
      </w:r>
      <w:r w:rsidR="002225A8" w:rsidRPr="002F651B">
        <w:rPr>
          <w:rFonts w:ascii="Gadugi" w:eastAsia="Calibri" w:hAnsi="Gadugi" w:cs="Times New Roman"/>
          <w:sz w:val="24"/>
          <w:szCs w:val="24"/>
          <w:lang w:val="es-ES"/>
        </w:rPr>
        <w:t xml:space="preserve">, en el sentido de que: </w:t>
      </w:r>
    </w:p>
    <w:p w14:paraId="4D1A07C4" w14:textId="77777777" w:rsidR="002225A8" w:rsidRPr="002F651B" w:rsidRDefault="002225A8" w:rsidP="002F651B">
      <w:pPr>
        <w:tabs>
          <w:tab w:val="left" w:pos="2410"/>
        </w:tabs>
        <w:jc w:val="both"/>
        <w:rPr>
          <w:rFonts w:ascii="Gadugi" w:eastAsia="Calibri" w:hAnsi="Gadugi" w:cs="Times New Roman"/>
          <w:sz w:val="24"/>
          <w:szCs w:val="24"/>
          <w:lang w:val="es-ES"/>
        </w:rPr>
      </w:pPr>
    </w:p>
    <w:p w14:paraId="7AA8C34A" w14:textId="1E3AA951" w:rsidR="002225A8" w:rsidRPr="0040772F" w:rsidRDefault="00B93661" w:rsidP="0040772F">
      <w:pPr>
        <w:pStyle w:val="Textoindependiente"/>
        <w:spacing w:before="1"/>
        <w:ind w:left="426" w:right="420"/>
        <w:contextualSpacing/>
        <w:jc w:val="both"/>
        <w:rPr>
          <w:sz w:val="22"/>
          <w:szCs w:val="24"/>
        </w:rPr>
      </w:pPr>
      <w:r w:rsidRPr="0040772F">
        <w:rPr>
          <w:sz w:val="22"/>
          <w:szCs w:val="24"/>
        </w:rPr>
        <w:t>…</w:t>
      </w:r>
      <w:r w:rsidR="00AA327C" w:rsidRPr="0040772F">
        <w:rPr>
          <w:sz w:val="22"/>
          <w:szCs w:val="24"/>
        </w:rPr>
        <w:t xml:space="preserve"> </w:t>
      </w:r>
      <w:r w:rsidR="002225A8" w:rsidRPr="0040772F">
        <w:rPr>
          <w:sz w:val="22"/>
          <w:szCs w:val="24"/>
        </w:rPr>
        <w:t>tiene dicho este Tribunal, de tiempo atrás</w:t>
      </w:r>
      <w:r w:rsidR="002225A8" w:rsidRPr="0040772F">
        <w:rPr>
          <w:rStyle w:val="Refdenotaalpie"/>
          <w:sz w:val="22"/>
          <w:szCs w:val="24"/>
        </w:rPr>
        <w:footnoteReference w:id="58"/>
      </w:r>
      <w:r w:rsidR="002225A8" w:rsidRPr="0040772F">
        <w:rPr>
          <w:sz w:val="22"/>
          <w:szCs w:val="24"/>
        </w:rPr>
        <w:t xml:space="preserve"> y en época más reciente</w:t>
      </w:r>
      <w:r w:rsidR="002225A8" w:rsidRPr="0040772F">
        <w:rPr>
          <w:rStyle w:val="Refdenotaalpie"/>
          <w:sz w:val="22"/>
          <w:szCs w:val="24"/>
        </w:rPr>
        <w:footnoteReference w:id="59"/>
      </w:r>
      <w:r w:rsidR="002225A8" w:rsidRPr="0040772F">
        <w:rPr>
          <w:sz w:val="22"/>
          <w:szCs w:val="24"/>
        </w:rPr>
        <w:t xml:space="preserve">, que, </w:t>
      </w:r>
    </w:p>
    <w:p w14:paraId="3758ECF6" w14:textId="77777777" w:rsidR="002225A8" w:rsidRPr="0040772F" w:rsidRDefault="002225A8" w:rsidP="0040772F">
      <w:pPr>
        <w:pStyle w:val="Textoindependiente"/>
        <w:spacing w:before="1"/>
        <w:ind w:left="426" w:right="420"/>
        <w:contextualSpacing/>
        <w:jc w:val="both"/>
        <w:rPr>
          <w:sz w:val="22"/>
          <w:szCs w:val="24"/>
        </w:rPr>
      </w:pPr>
    </w:p>
    <w:p w14:paraId="6987759A" w14:textId="7C37D6C4" w:rsidR="002225A8" w:rsidRPr="0040772F" w:rsidRDefault="002225A8" w:rsidP="0040772F">
      <w:pPr>
        <w:pStyle w:val="Textoindependiente"/>
        <w:spacing w:before="1"/>
        <w:ind w:left="426" w:right="420"/>
        <w:contextualSpacing/>
        <w:jc w:val="both"/>
        <w:rPr>
          <w:sz w:val="22"/>
          <w:szCs w:val="24"/>
        </w:rPr>
      </w:pPr>
      <w:r w:rsidRPr="0040772F">
        <w:rPr>
          <w:sz w:val="22"/>
          <w:szCs w:val="24"/>
        </w:rPr>
        <w:t>…</w:t>
      </w:r>
      <w:r w:rsidR="00AA327C" w:rsidRPr="0040772F">
        <w:rPr>
          <w:sz w:val="22"/>
          <w:szCs w:val="24"/>
        </w:rPr>
        <w:t xml:space="preserve"> </w:t>
      </w:r>
      <w:r w:rsidRPr="0040772F">
        <w:rPr>
          <w:sz w:val="22"/>
          <w:szCs w:val="24"/>
        </w:rPr>
        <w:t>con la expedición de la Ley 100 de 1993, se introdujo un sistema integral que comprendió las pensiones, los riesgos profesionales y la salud. Dentro del sistema de seguridad social en salud, fueron establecidas, entre otras, las Entidades Promotoras de Salud (EPS) y las Instituciones Prestadoras de Servicios de Salud (IPS). A las primeras se les responsabilizó de “</w:t>
      </w:r>
      <w:r w:rsidRPr="0040772F">
        <w:rPr>
          <w:i/>
          <w:sz w:val="22"/>
          <w:szCs w:val="24"/>
        </w:rPr>
        <w:t>la afiliación, y el registro de los afiliados y del recaudo de sus cotizaciones, por delegación del Fondo de Solidaridad y Garantía</w:t>
      </w:r>
      <w:r w:rsidRPr="0040772F">
        <w:rPr>
          <w:sz w:val="22"/>
          <w:szCs w:val="24"/>
        </w:rPr>
        <w:t>.” Adicionalmente, se señaló que su “</w:t>
      </w:r>
      <w:r w:rsidRPr="0040772F">
        <w:rPr>
          <w:i/>
          <w:sz w:val="22"/>
          <w:szCs w:val="24"/>
        </w:rPr>
        <w:t>función básica será organizar y garantizar, directa o indirectamente, la prestación del Plan de Salud Obligatorio a los afiliados…”</w:t>
      </w:r>
      <w:r w:rsidRPr="0040772F">
        <w:rPr>
          <w:sz w:val="22"/>
          <w:szCs w:val="24"/>
        </w:rPr>
        <w:t xml:space="preserve"> (art. 177, Ley 100 de 1993). Específicamente, se les fijó entre muchas, la función de “</w:t>
      </w:r>
      <w:r w:rsidRPr="0040772F">
        <w:rPr>
          <w:i/>
          <w:sz w:val="22"/>
          <w:szCs w:val="24"/>
        </w:rPr>
        <w:t>Establecer procedimientos para controlar la atención integral, eficiente, oportuna y de calidad en los servicios prestados por las Instituciones Prestadoras de Servicios de Salud.”</w:t>
      </w:r>
      <w:r w:rsidRPr="0040772F">
        <w:rPr>
          <w:sz w:val="22"/>
          <w:szCs w:val="24"/>
        </w:rPr>
        <w:t xml:space="preserve"> </w:t>
      </w:r>
    </w:p>
    <w:p w14:paraId="0CB785CA" w14:textId="77777777" w:rsidR="002225A8" w:rsidRPr="0040772F" w:rsidRDefault="002225A8" w:rsidP="0040772F">
      <w:pPr>
        <w:pStyle w:val="Textoindependiente"/>
        <w:spacing w:before="1"/>
        <w:ind w:left="426" w:right="420"/>
        <w:contextualSpacing/>
        <w:jc w:val="both"/>
        <w:rPr>
          <w:sz w:val="22"/>
          <w:szCs w:val="24"/>
        </w:rPr>
      </w:pPr>
    </w:p>
    <w:p w14:paraId="77945EFC" w14:textId="77777777" w:rsidR="002225A8" w:rsidRPr="0040772F" w:rsidRDefault="002225A8" w:rsidP="0040772F">
      <w:pPr>
        <w:pStyle w:val="Textoindependiente"/>
        <w:spacing w:before="1"/>
        <w:ind w:left="426" w:right="420"/>
        <w:contextualSpacing/>
        <w:jc w:val="both"/>
        <w:rPr>
          <w:sz w:val="22"/>
          <w:szCs w:val="24"/>
        </w:rPr>
      </w:pPr>
      <w:r w:rsidRPr="0040772F">
        <w:rPr>
          <w:sz w:val="22"/>
          <w:szCs w:val="24"/>
        </w:rPr>
        <w:t xml:space="preserve">Y a las segundas, se les cargó con la prestación de los servicios de salud en su nivel de atención correspondiente a los afiliados y beneficiarios, dentro de los parámetros y principios señalados en la misma Ley; reiterados en el artículo 178, esto es, la calidad y la eficiencia; propendiendo por la libre concurrencia en sus acciones, proveyendo información oportuna, suficiente y veraz a los usuarios, y evitando el abuso de la posición dominante en el sistema. </w:t>
      </w:r>
    </w:p>
    <w:p w14:paraId="120CEA20" w14:textId="77777777" w:rsidR="002225A8" w:rsidRPr="0040772F" w:rsidRDefault="002225A8" w:rsidP="0040772F">
      <w:pPr>
        <w:pStyle w:val="Textoindependiente"/>
        <w:spacing w:before="1"/>
        <w:ind w:left="426" w:right="420"/>
        <w:contextualSpacing/>
        <w:jc w:val="both"/>
        <w:rPr>
          <w:sz w:val="22"/>
          <w:szCs w:val="24"/>
        </w:rPr>
      </w:pPr>
    </w:p>
    <w:p w14:paraId="147E9BC7" w14:textId="16C41C02" w:rsidR="002225A8" w:rsidRPr="0040772F" w:rsidRDefault="002225A8" w:rsidP="0040772F">
      <w:pPr>
        <w:pStyle w:val="Textoindependiente"/>
        <w:spacing w:before="1"/>
        <w:ind w:left="426" w:right="420"/>
        <w:contextualSpacing/>
        <w:jc w:val="both"/>
        <w:rPr>
          <w:sz w:val="22"/>
          <w:szCs w:val="24"/>
        </w:rPr>
      </w:pPr>
      <w:r w:rsidRPr="0040772F">
        <w:rPr>
          <w:sz w:val="22"/>
          <w:szCs w:val="24"/>
        </w:rPr>
        <w:t xml:space="preserve">Así </w:t>
      </w:r>
      <w:r w:rsidR="00AA327C" w:rsidRPr="0040772F">
        <w:rPr>
          <w:sz w:val="22"/>
          <w:szCs w:val="24"/>
        </w:rPr>
        <w:t>que,</w:t>
      </w:r>
      <w:r w:rsidRPr="0040772F">
        <w:rPr>
          <w:sz w:val="22"/>
          <w:szCs w:val="24"/>
        </w:rPr>
        <w:t xml:space="preserve"> en conjunto, están llamadas a prodigar al usuario los servicios respectivos con arreglo a tales principios, pues si no ocurriere así, toda trasgresión de sus deberes que cause un perjuicio al afiliado (aportante o beneficiario), las hará responsables, por vía contractual o extracontractual, según que quien reclame sea directo contratante, o las personas a quienes por la ineficiente prestación del servicio se les cause un agravio, aun cuando no medie con ellas un vínculo jurídico. </w:t>
      </w:r>
    </w:p>
    <w:p w14:paraId="582AE613" w14:textId="77777777" w:rsidR="002225A8" w:rsidRPr="0040772F" w:rsidRDefault="002225A8" w:rsidP="0040772F">
      <w:pPr>
        <w:pStyle w:val="Textoindependiente"/>
        <w:spacing w:before="1"/>
        <w:ind w:left="426" w:right="420"/>
        <w:contextualSpacing/>
        <w:jc w:val="both"/>
        <w:rPr>
          <w:sz w:val="22"/>
          <w:szCs w:val="24"/>
        </w:rPr>
      </w:pPr>
    </w:p>
    <w:p w14:paraId="00C95D5E" w14:textId="77777777" w:rsidR="002225A8" w:rsidRPr="0040772F" w:rsidRDefault="002225A8" w:rsidP="0040772F">
      <w:pPr>
        <w:pStyle w:val="Textoindependiente"/>
        <w:spacing w:before="1"/>
        <w:ind w:left="426" w:right="420"/>
        <w:contextualSpacing/>
        <w:jc w:val="both"/>
        <w:rPr>
          <w:sz w:val="22"/>
          <w:szCs w:val="24"/>
        </w:rPr>
      </w:pPr>
      <w:r w:rsidRPr="0040772F">
        <w:rPr>
          <w:sz w:val="22"/>
          <w:szCs w:val="24"/>
        </w:rPr>
        <w:t xml:space="preserve">En este sentido, se recuerdan antecedentes de la Sala de Casación Civil, de años atrás, como la sentencia del 17 de noviembre de 2011, radicado 1999-00533-01, M.P. William </w:t>
      </w:r>
      <w:proofErr w:type="spellStart"/>
      <w:r w:rsidRPr="0040772F">
        <w:rPr>
          <w:sz w:val="22"/>
          <w:szCs w:val="24"/>
        </w:rPr>
        <w:t>Namén</w:t>
      </w:r>
      <w:proofErr w:type="spellEnd"/>
      <w:r w:rsidRPr="0040772F">
        <w:rPr>
          <w:sz w:val="22"/>
          <w:szCs w:val="24"/>
        </w:rPr>
        <w:t xml:space="preserve"> Vargas, y actuales, como la sentencia SC13925-2016, del 30 de septiembre de tal año, radicado 2005-00174-01, con ponencia del Magistrado Ariel Salazar Ramírez. </w:t>
      </w:r>
    </w:p>
    <w:p w14:paraId="480F994B" w14:textId="77777777" w:rsidR="002225A8" w:rsidRPr="0040772F" w:rsidRDefault="002225A8" w:rsidP="0040772F">
      <w:pPr>
        <w:pStyle w:val="Textoindependiente"/>
        <w:spacing w:before="1"/>
        <w:ind w:left="426" w:right="420"/>
        <w:contextualSpacing/>
        <w:jc w:val="both"/>
        <w:rPr>
          <w:sz w:val="22"/>
          <w:szCs w:val="24"/>
        </w:rPr>
      </w:pPr>
    </w:p>
    <w:p w14:paraId="1978AA4A" w14:textId="77777777" w:rsidR="002225A8" w:rsidRPr="0040772F" w:rsidRDefault="002225A8" w:rsidP="0040772F">
      <w:pPr>
        <w:pStyle w:val="Textoindependiente"/>
        <w:spacing w:before="1"/>
        <w:ind w:left="426" w:right="420"/>
        <w:contextualSpacing/>
        <w:jc w:val="both"/>
        <w:rPr>
          <w:sz w:val="22"/>
          <w:szCs w:val="24"/>
        </w:rPr>
      </w:pPr>
      <w:r w:rsidRPr="0040772F">
        <w:rPr>
          <w:sz w:val="22"/>
          <w:szCs w:val="24"/>
        </w:rPr>
        <w:t xml:space="preserve">Más reciente aún, es la sentencia SC3919-2021, que comprometía también a </w:t>
      </w:r>
      <w:proofErr w:type="spellStart"/>
      <w:r w:rsidRPr="0040772F">
        <w:rPr>
          <w:sz w:val="22"/>
          <w:szCs w:val="24"/>
        </w:rPr>
        <w:t>Saludcoop</w:t>
      </w:r>
      <w:proofErr w:type="spellEnd"/>
      <w:r w:rsidRPr="0040772F">
        <w:rPr>
          <w:sz w:val="22"/>
          <w:szCs w:val="24"/>
        </w:rPr>
        <w:t xml:space="preserve"> </w:t>
      </w:r>
      <w:proofErr w:type="spellStart"/>
      <w:r w:rsidRPr="0040772F">
        <w:rPr>
          <w:sz w:val="22"/>
          <w:szCs w:val="24"/>
        </w:rPr>
        <w:lastRenderedPageBreak/>
        <w:t>EPS</w:t>
      </w:r>
      <w:proofErr w:type="spellEnd"/>
      <w:r w:rsidRPr="0040772F">
        <w:rPr>
          <w:sz w:val="22"/>
          <w:szCs w:val="24"/>
        </w:rPr>
        <w:t xml:space="preserve">, en la que se dijo: </w:t>
      </w:r>
    </w:p>
    <w:p w14:paraId="4529A83B" w14:textId="77777777" w:rsidR="002225A8" w:rsidRPr="0040772F" w:rsidRDefault="002225A8" w:rsidP="0040772F">
      <w:pPr>
        <w:pStyle w:val="Textoindependiente"/>
        <w:spacing w:before="1"/>
        <w:ind w:left="426" w:right="420"/>
        <w:contextualSpacing/>
        <w:jc w:val="both"/>
        <w:rPr>
          <w:sz w:val="22"/>
          <w:szCs w:val="24"/>
        </w:rPr>
      </w:pPr>
    </w:p>
    <w:p w14:paraId="6A27C6FB" w14:textId="118A4060" w:rsidR="002225A8" w:rsidRPr="0040772F" w:rsidRDefault="002225A8" w:rsidP="0040772F">
      <w:pPr>
        <w:pStyle w:val="Textoindependiente"/>
        <w:spacing w:before="1"/>
        <w:ind w:left="426" w:right="420"/>
        <w:contextualSpacing/>
        <w:jc w:val="both"/>
        <w:rPr>
          <w:sz w:val="22"/>
          <w:szCs w:val="24"/>
        </w:rPr>
      </w:pPr>
      <w:r w:rsidRPr="0040772F">
        <w:rPr>
          <w:sz w:val="22"/>
          <w:szCs w:val="24"/>
        </w:rPr>
        <w:t>…</w:t>
      </w:r>
      <w:r w:rsidR="00235715" w:rsidRPr="0040772F">
        <w:rPr>
          <w:sz w:val="22"/>
          <w:szCs w:val="24"/>
        </w:rPr>
        <w:t xml:space="preserve"> </w:t>
      </w:r>
      <w:proofErr w:type="spellStart"/>
      <w:r w:rsidRPr="0040772F">
        <w:rPr>
          <w:sz w:val="22"/>
          <w:szCs w:val="24"/>
        </w:rPr>
        <w:t>Saludcoop</w:t>
      </w:r>
      <w:proofErr w:type="spellEnd"/>
      <w:r w:rsidRPr="0040772F">
        <w:rPr>
          <w:sz w:val="22"/>
          <w:szCs w:val="24"/>
        </w:rPr>
        <w:t xml:space="preserve"> así mismo arguyó que no le son imputables las fallas de los actos médicos desplegados por la IPS enjuiciada, a más de que no existe solidaridad entre esta y la EPS; sin embargo, para desvirtuar esa argumentación basta recordar que sobre esas temáticas la Corte tiene dicho que: </w:t>
      </w:r>
    </w:p>
    <w:p w14:paraId="13098C70" w14:textId="77777777" w:rsidR="002225A8" w:rsidRPr="0040772F" w:rsidRDefault="002225A8" w:rsidP="0040772F">
      <w:pPr>
        <w:pStyle w:val="Textoindependiente"/>
        <w:spacing w:before="1"/>
        <w:ind w:left="426" w:right="420"/>
        <w:contextualSpacing/>
        <w:jc w:val="both"/>
        <w:rPr>
          <w:sz w:val="22"/>
          <w:szCs w:val="24"/>
        </w:rPr>
      </w:pPr>
    </w:p>
    <w:p w14:paraId="705D64D3" w14:textId="77777777" w:rsidR="002225A8" w:rsidRPr="0040772F" w:rsidRDefault="002225A8" w:rsidP="0040772F">
      <w:pPr>
        <w:pStyle w:val="Textoindependiente"/>
        <w:spacing w:before="1"/>
        <w:ind w:left="426" w:right="420"/>
        <w:contextualSpacing/>
        <w:jc w:val="both"/>
        <w:rPr>
          <w:rFonts w:eastAsia="Georgia" w:cs="Georgia"/>
          <w:sz w:val="22"/>
          <w:szCs w:val="24"/>
        </w:rPr>
      </w:pPr>
      <w:r w:rsidRPr="0040772F">
        <w:rPr>
          <w:i/>
          <w:sz w:val="22"/>
          <w:szCs w:val="24"/>
        </w:rPr>
        <w:t xml:space="preserve">(…) la prestación de los servicios de salud garantizados por las Entidades Promotoras de Salud (EPS), no excluye la responsabilidad legal que les corresponde cuando los prestan a través de las Instituciones Prestadoras de Salud (IPS) o de profesionales mediante contratos reguladores sólo de su relación jurídica con aquéllas y éstos. Por lo tanto, a no dudarlo, la prestación del servicio de salud deficiente, irregular, inoportuna, lesiva de la calidad exigible y de la </w:t>
      </w:r>
      <w:proofErr w:type="spellStart"/>
      <w:r w:rsidRPr="0040772F">
        <w:rPr>
          <w:i/>
          <w:sz w:val="22"/>
          <w:szCs w:val="24"/>
        </w:rPr>
        <w:t>lex</w:t>
      </w:r>
      <w:proofErr w:type="spellEnd"/>
      <w:r w:rsidRPr="0040772F">
        <w:rPr>
          <w:i/>
          <w:sz w:val="22"/>
          <w:szCs w:val="24"/>
        </w:rPr>
        <w:t xml:space="preserve"> </w:t>
      </w:r>
      <w:proofErr w:type="spellStart"/>
      <w:r w:rsidRPr="0040772F">
        <w:rPr>
          <w:i/>
          <w:sz w:val="22"/>
          <w:szCs w:val="24"/>
        </w:rPr>
        <w:t>artis</w:t>
      </w:r>
      <w:proofErr w:type="spellEnd"/>
      <w:r w:rsidRPr="0040772F">
        <w:rPr>
          <w:i/>
          <w:sz w:val="22"/>
          <w:szCs w:val="24"/>
        </w:rPr>
        <w:t>, compromete la responsabilidad civil de las Entidades Prestadoras de Salud y prestándolos mediante contratación con Instituciones Prestadoras de Salud u otros profesionales</w:t>
      </w:r>
      <w:r w:rsidRPr="0040772F">
        <w:rPr>
          <w:b/>
          <w:i/>
          <w:sz w:val="22"/>
          <w:szCs w:val="24"/>
        </w:rPr>
        <w:t>, son todas solidariamente responsables por los daños causados, especialmente, en caso de muerte o lesiones a la salud de las personas</w:t>
      </w:r>
      <w:r w:rsidRPr="0040772F">
        <w:rPr>
          <w:i/>
          <w:sz w:val="22"/>
          <w:szCs w:val="24"/>
        </w:rPr>
        <w:t xml:space="preserve">. </w:t>
      </w:r>
      <w:r w:rsidRPr="0040772F">
        <w:rPr>
          <w:sz w:val="22"/>
          <w:szCs w:val="24"/>
        </w:rPr>
        <w:t>(CSJ SC de 17 nov. 2011, rad. 1999-00533-01, reiterada en SC8219 de rad. 2003-00546. Destacado extraño).</w:t>
      </w:r>
    </w:p>
    <w:p w14:paraId="49F1DF13" w14:textId="77777777" w:rsidR="002225A8" w:rsidRPr="0040772F" w:rsidRDefault="002225A8" w:rsidP="0040772F">
      <w:pPr>
        <w:spacing w:line="240" w:lineRule="auto"/>
        <w:ind w:left="426" w:right="420"/>
        <w:jc w:val="both"/>
        <w:rPr>
          <w:rFonts w:ascii="Gadugi" w:eastAsia="Georgia" w:hAnsi="Gadugi" w:cs="Georgia"/>
          <w:szCs w:val="24"/>
        </w:rPr>
      </w:pPr>
    </w:p>
    <w:p w14:paraId="5F07AF72" w14:textId="77777777" w:rsidR="002225A8" w:rsidRPr="0040772F" w:rsidRDefault="002225A8" w:rsidP="0040772F">
      <w:pPr>
        <w:spacing w:line="240" w:lineRule="auto"/>
        <w:ind w:left="426" w:right="420"/>
        <w:jc w:val="both"/>
        <w:rPr>
          <w:rFonts w:ascii="Gadugi" w:eastAsia="Georgia" w:hAnsi="Gadugi" w:cs="Georgia"/>
          <w:szCs w:val="24"/>
        </w:rPr>
      </w:pPr>
      <w:r w:rsidRPr="0040772F">
        <w:rPr>
          <w:rFonts w:ascii="Gadugi" w:eastAsia="Georgia" w:hAnsi="Gadugi" w:cs="Georgia"/>
          <w:szCs w:val="24"/>
        </w:rPr>
        <w:t xml:space="preserve">Así que la falla estructural que la misma recurrente admite, aun cuando ocurrió en la IPS, se extiende en sus efectos a la EPS, dada su obligación de control de la atención integral al paciente. </w:t>
      </w:r>
    </w:p>
    <w:p w14:paraId="4E03951B" w14:textId="77777777" w:rsidR="006A283C" w:rsidRPr="002F651B" w:rsidRDefault="006A283C" w:rsidP="002F651B">
      <w:pPr>
        <w:tabs>
          <w:tab w:val="left" w:pos="2410"/>
        </w:tabs>
        <w:jc w:val="both"/>
        <w:rPr>
          <w:rFonts w:ascii="Gadugi" w:eastAsia="Calibri" w:hAnsi="Gadugi" w:cs="Times New Roman"/>
          <w:sz w:val="24"/>
          <w:szCs w:val="24"/>
          <w:lang w:val="es-ES"/>
        </w:rPr>
      </w:pPr>
    </w:p>
    <w:p w14:paraId="30B8FAAE" w14:textId="1F67A1C5" w:rsidR="00AF5125" w:rsidRPr="002F651B" w:rsidRDefault="002225A8" w:rsidP="002F651B">
      <w:pPr>
        <w:tabs>
          <w:tab w:val="left" w:pos="2410"/>
        </w:tabs>
        <w:jc w:val="both"/>
        <w:rPr>
          <w:rFonts w:ascii="Gadugi" w:eastAsia="Calibri" w:hAnsi="Gadugi" w:cs="Times New Roman"/>
          <w:sz w:val="24"/>
          <w:szCs w:val="24"/>
          <w:lang w:val="es-ES"/>
        </w:rPr>
      </w:pPr>
      <w:r w:rsidRPr="002F651B">
        <w:rPr>
          <w:rFonts w:ascii="Gadugi" w:eastAsia="Calibri" w:hAnsi="Gadugi" w:cs="Times New Roman"/>
          <w:sz w:val="24"/>
          <w:szCs w:val="24"/>
          <w:lang w:val="es-ES"/>
        </w:rPr>
        <w:t>Con tanta mayor</w:t>
      </w:r>
      <w:r w:rsidR="00002C22" w:rsidRPr="002F651B">
        <w:rPr>
          <w:rFonts w:ascii="Gadugi" w:eastAsia="Calibri" w:hAnsi="Gadugi" w:cs="Times New Roman"/>
          <w:sz w:val="24"/>
          <w:szCs w:val="24"/>
          <w:lang w:val="es-ES"/>
        </w:rPr>
        <w:t xml:space="preserve"> razón</w:t>
      </w:r>
      <w:r w:rsidRPr="002F651B">
        <w:rPr>
          <w:rFonts w:ascii="Gadugi" w:eastAsia="Calibri" w:hAnsi="Gadugi" w:cs="Times New Roman"/>
          <w:sz w:val="24"/>
          <w:szCs w:val="24"/>
          <w:lang w:val="es-ES"/>
        </w:rPr>
        <w:t xml:space="preserve"> en este caso, en el que quedó en evidencia que ni la EPS ni la IPS </w:t>
      </w:r>
      <w:r w:rsidR="009E612B" w:rsidRPr="002F651B">
        <w:rPr>
          <w:rFonts w:ascii="Gadugi" w:eastAsia="Calibri" w:hAnsi="Gadugi" w:cs="Times New Roman"/>
          <w:sz w:val="24"/>
          <w:szCs w:val="24"/>
          <w:lang w:val="es-ES"/>
        </w:rPr>
        <w:t>dispusieron, como les correspondía, el tratamiento y el traslado oportuno de la paciente a un centro de mayor nivel</w:t>
      </w:r>
      <w:r w:rsidR="00D14386" w:rsidRPr="002F651B">
        <w:rPr>
          <w:rFonts w:ascii="Gadugi" w:eastAsia="Calibri" w:hAnsi="Gadugi" w:cs="Times New Roman"/>
          <w:sz w:val="24"/>
          <w:szCs w:val="24"/>
          <w:lang w:val="es-ES"/>
        </w:rPr>
        <w:t xml:space="preserve">, con el fin de </w:t>
      </w:r>
      <w:r w:rsidR="00036EDF" w:rsidRPr="002F651B">
        <w:rPr>
          <w:rFonts w:ascii="Gadugi" w:eastAsia="Calibri" w:hAnsi="Gadugi" w:cs="Times New Roman"/>
          <w:sz w:val="24"/>
          <w:szCs w:val="24"/>
          <w:lang w:val="es-ES"/>
        </w:rPr>
        <w:t xml:space="preserve">tratar de </w:t>
      </w:r>
      <w:r w:rsidR="00D14386" w:rsidRPr="002F651B">
        <w:rPr>
          <w:rFonts w:ascii="Gadugi" w:eastAsia="Calibri" w:hAnsi="Gadugi" w:cs="Times New Roman"/>
          <w:sz w:val="24"/>
          <w:szCs w:val="24"/>
          <w:lang w:val="es-ES"/>
        </w:rPr>
        <w:t xml:space="preserve">controlar la enfermedad por la que consultó. </w:t>
      </w:r>
      <w:r w:rsidR="00036EDF" w:rsidRPr="002F651B">
        <w:rPr>
          <w:rFonts w:ascii="Gadugi" w:eastAsia="Calibri" w:hAnsi="Gadugi" w:cs="Times New Roman"/>
          <w:sz w:val="24"/>
          <w:szCs w:val="24"/>
          <w:lang w:val="es-ES"/>
        </w:rPr>
        <w:t xml:space="preserve">Así que, la responsabilidad es solidaria, </w:t>
      </w:r>
      <w:r w:rsidR="0068142B" w:rsidRPr="002F651B">
        <w:rPr>
          <w:rFonts w:ascii="Gadugi" w:eastAsia="Calibri" w:hAnsi="Gadugi" w:cs="Times New Roman"/>
          <w:sz w:val="24"/>
          <w:szCs w:val="24"/>
          <w:lang w:val="es-ES"/>
        </w:rPr>
        <w:t xml:space="preserve">el daño le es también imputable, incumplió sus obligaciones como afiliadora, los hechos le son atribuibles a </w:t>
      </w:r>
      <w:r w:rsidR="006B4BBE" w:rsidRPr="002F651B">
        <w:rPr>
          <w:rFonts w:ascii="Gadugi" w:eastAsia="Calibri" w:hAnsi="Gadugi" w:cs="Times New Roman"/>
          <w:sz w:val="24"/>
          <w:szCs w:val="24"/>
          <w:lang w:val="es-ES"/>
        </w:rPr>
        <w:t>ambas entidades, hubo falla en la prestación del servicio médico y ello contribuyó c</w:t>
      </w:r>
      <w:r w:rsidR="009937B4" w:rsidRPr="002F651B">
        <w:rPr>
          <w:rFonts w:ascii="Gadugi" w:eastAsia="Calibri" w:hAnsi="Gadugi" w:cs="Times New Roman"/>
          <w:sz w:val="24"/>
          <w:szCs w:val="24"/>
          <w:lang w:val="es-ES"/>
        </w:rPr>
        <w:t>au</w:t>
      </w:r>
      <w:r w:rsidR="006B4BBE" w:rsidRPr="002F651B">
        <w:rPr>
          <w:rFonts w:ascii="Gadugi" w:eastAsia="Calibri" w:hAnsi="Gadugi" w:cs="Times New Roman"/>
          <w:sz w:val="24"/>
          <w:szCs w:val="24"/>
          <w:lang w:val="es-ES"/>
        </w:rPr>
        <w:t>salmente al desenlace fatal.</w:t>
      </w:r>
      <w:r w:rsidR="009937B4" w:rsidRPr="002F651B">
        <w:rPr>
          <w:rFonts w:ascii="Gadugi" w:eastAsia="Calibri" w:hAnsi="Gadugi" w:cs="Times New Roman"/>
          <w:sz w:val="24"/>
          <w:szCs w:val="24"/>
          <w:lang w:val="es-ES"/>
        </w:rPr>
        <w:t xml:space="preserve"> Por supuesto que </w:t>
      </w:r>
      <w:r w:rsidR="00002C22" w:rsidRPr="002F651B">
        <w:rPr>
          <w:rFonts w:ascii="Gadugi" w:eastAsia="Calibri" w:hAnsi="Gadugi" w:cs="Times New Roman"/>
          <w:sz w:val="24"/>
          <w:szCs w:val="24"/>
          <w:lang w:val="es-ES"/>
        </w:rPr>
        <w:t>esto</w:t>
      </w:r>
      <w:r w:rsidR="009937B4" w:rsidRPr="002F651B">
        <w:rPr>
          <w:rFonts w:ascii="Gadugi" w:eastAsia="Calibri" w:hAnsi="Gadugi" w:cs="Times New Roman"/>
          <w:sz w:val="24"/>
          <w:szCs w:val="24"/>
          <w:lang w:val="es-ES"/>
        </w:rPr>
        <w:t xml:space="preserve"> supone que las pretensiones saldrán avante y, por tanto, que se deberá imponer el pago de los perjuicios reclamados, en la forma que se analizará más adelante. </w:t>
      </w:r>
    </w:p>
    <w:p w14:paraId="70E36E61" w14:textId="600E62D1" w:rsidR="00B93661" w:rsidRPr="002F651B" w:rsidRDefault="00B93661" w:rsidP="002F651B">
      <w:pPr>
        <w:tabs>
          <w:tab w:val="left" w:pos="2410"/>
        </w:tabs>
        <w:jc w:val="both"/>
        <w:rPr>
          <w:rFonts w:ascii="Gadugi" w:eastAsia="Calibri" w:hAnsi="Gadugi" w:cs="Times New Roman"/>
          <w:sz w:val="24"/>
          <w:szCs w:val="24"/>
          <w:lang w:val="es-ES"/>
        </w:rPr>
      </w:pPr>
    </w:p>
    <w:p w14:paraId="22F1D534" w14:textId="744FC4D9" w:rsidR="00B93661" w:rsidRPr="002F651B" w:rsidRDefault="00B93661" w:rsidP="002F651B">
      <w:pPr>
        <w:tabs>
          <w:tab w:val="left" w:pos="2410"/>
        </w:tabs>
        <w:jc w:val="both"/>
        <w:rPr>
          <w:rFonts w:ascii="Gadugi" w:eastAsia="Calibri" w:hAnsi="Gadugi" w:cs="Times New Roman"/>
          <w:sz w:val="24"/>
          <w:szCs w:val="24"/>
          <w:lang w:val="es-ES"/>
        </w:rPr>
      </w:pPr>
      <w:r w:rsidRPr="002F651B">
        <w:rPr>
          <w:rFonts w:ascii="Gadugi" w:eastAsia="Calibri" w:hAnsi="Gadugi" w:cs="Times New Roman"/>
          <w:sz w:val="24"/>
          <w:szCs w:val="24"/>
          <w:lang w:val="es-ES"/>
        </w:rPr>
        <w:t xml:space="preserve">Es paladino, entonces, el fracaso de las excepciones.  </w:t>
      </w:r>
    </w:p>
    <w:p w14:paraId="2E0F0EF4" w14:textId="77777777" w:rsidR="00036EDF" w:rsidRPr="002F651B" w:rsidRDefault="00036EDF" w:rsidP="002F651B">
      <w:pPr>
        <w:tabs>
          <w:tab w:val="left" w:pos="2410"/>
        </w:tabs>
        <w:jc w:val="both"/>
        <w:rPr>
          <w:rFonts w:ascii="Gadugi" w:eastAsia="Calibri" w:hAnsi="Gadugi" w:cs="Times New Roman"/>
          <w:sz w:val="24"/>
          <w:szCs w:val="24"/>
          <w:lang w:val="es-ES"/>
        </w:rPr>
      </w:pPr>
    </w:p>
    <w:p w14:paraId="7E8C31EB" w14:textId="1B346C8A" w:rsidR="008277FD" w:rsidRPr="002F651B" w:rsidRDefault="008277FD"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2.1</w:t>
      </w:r>
      <w:r w:rsidR="00085F2E" w:rsidRPr="002F651B">
        <w:rPr>
          <w:rFonts w:ascii="Gadugi" w:eastAsia="Calibri" w:hAnsi="Gadugi" w:cs="Times New Roman"/>
          <w:sz w:val="24"/>
          <w:szCs w:val="24"/>
          <w:lang w:val="es-419"/>
        </w:rPr>
        <w:t xml:space="preserve">7. Justamente, debe la Sala acometer </w:t>
      </w:r>
      <w:r w:rsidR="004A72FC" w:rsidRPr="002F651B">
        <w:rPr>
          <w:rFonts w:ascii="Gadugi" w:eastAsia="Calibri" w:hAnsi="Gadugi" w:cs="Times New Roman"/>
          <w:sz w:val="24"/>
          <w:szCs w:val="24"/>
          <w:lang w:val="es-419"/>
        </w:rPr>
        <w:t xml:space="preserve">lo que concierne a los perjuicios reclamados. Buscan </w:t>
      </w:r>
      <w:r w:rsidRPr="002F651B">
        <w:rPr>
          <w:rFonts w:ascii="Gadugi" w:eastAsia="Calibri" w:hAnsi="Gadugi" w:cs="Times New Roman"/>
          <w:sz w:val="24"/>
          <w:szCs w:val="24"/>
          <w:lang w:val="es-419"/>
        </w:rPr>
        <w:t xml:space="preserve">los demandantes </w:t>
      </w:r>
      <w:r w:rsidR="00231075" w:rsidRPr="002F651B">
        <w:rPr>
          <w:rFonts w:ascii="Gadugi" w:eastAsia="Calibri" w:hAnsi="Gadugi" w:cs="Times New Roman"/>
          <w:sz w:val="24"/>
          <w:szCs w:val="24"/>
          <w:lang w:val="es-419"/>
        </w:rPr>
        <w:t>que se les indemnicen los que derivan por</w:t>
      </w:r>
      <w:r w:rsidR="003467AE" w:rsidRPr="002F651B">
        <w:rPr>
          <w:rFonts w:ascii="Gadugi" w:eastAsia="Calibri" w:hAnsi="Gadugi" w:cs="Times New Roman"/>
          <w:sz w:val="24"/>
          <w:szCs w:val="24"/>
          <w:lang w:val="es-419"/>
        </w:rPr>
        <w:t xml:space="preserve">: (i) </w:t>
      </w:r>
      <w:r w:rsidR="00231075" w:rsidRPr="002F651B">
        <w:rPr>
          <w:rFonts w:ascii="Gadugi" w:eastAsia="Calibri" w:hAnsi="Gadugi" w:cs="Times New Roman"/>
          <w:sz w:val="24"/>
          <w:szCs w:val="24"/>
          <w:lang w:val="es-419"/>
        </w:rPr>
        <w:t>el daño moral</w:t>
      </w:r>
      <w:r w:rsidR="00A74EAF" w:rsidRPr="002F651B">
        <w:rPr>
          <w:rFonts w:ascii="Gadugi" w:eastAsia="Calibri" w:hAnsi="Gadugi" w:cs="Times New Roman"/>
          <w:sz w:val="24"/>
          <w:szCs w:val="24"/>
          <w:lang w:val="es-419"/>
        </w:rPr>
        <w:t xml:space="preserve">, que se reclama para la sucesión y para los </w:t>
      </w:r>
      <w:r w:rsidR="009F31A4" w:rsidRPr="002F651B">
        <w:rPr>
          <w:rFonts w:ascii="Gadugi" w:eastAsia="Calibri" w:hAnsi="Gadugi" w:cs="Times New Roman"/>
          <w:sz w:val="24"/>
          <w:szCs w:val="24"/>
          <w:lang w:val="es-419"/>
        </w:rPr>
        <w:t>demandantes en particular</w:t>
      </w:r>
      <w:r w:rsidR="003467AE" w:rsidRPr="002F651B">
        <w:rPr>
          <w:rFonts w:ascii="Gadugi" w:eastAsia="Calibri" w:hAnsi="Gadugi" w:cs="Times New Roman"/>
          <w:sz w:val="24"/>
          <w:szCs w:val="24"/>
          <w:lang w:val="es-419"/>
        </w:rPr>
        <w:t xml:space="preserve">; (ii) </w:t>
      </w:r>
      <w:r w:rsidR="00E80740" w:rsidRPr="002F651B">
        <w:rPr>
          <w:rFonts w:ascii="Gadugi" w:eastAsia="Calibri" w:hAnsi="Gadugi" w:cs="Times New Roman"/>
          <w:sz w:val="24"/>
          <w:szCs w:val="24"/>
          <w:lang w:val="es-419"/>
        </w:rPr>
        <w:t xml:space="preserve">la </w:t>
      </w:r>
      <w:r w:rsidRPr="002F651B">
        <w:rPr>
          <w:rFonts w:ascii="Gadugi" w:eastAsia="Calibri" w:hAnsi="Gadugi" w:cs="Times New Roman"/>
          <w:sz w:val="24"/>
          <w:szCs w:val="24"/>
          <w:lang w:val="es-419"/>
        </w:rPr>
        <w:t>afectación relevante a bienes o derechos convencional y constitucionalmente amparados</w:t>
      </w:r>
      <w:r w:rsidR="009F31A4" w:rsidRPr="002F651B">
        <w:rPr>
          <w:rFonts w:ascii="Gadugi" w:eastAsia="Calibri" w:hAnsi="Gadugi" w:cs="Times New Roman"/>
          <w:sz w:val="24"/>
          <w:szCs w:val="24"/>
          <w:lang w:val="es-419"/>
        </w:rPr>
        <w:t>, pedida para la sucesión y los hijos de la víctima</w:t>
      </w:r>
      <w:r w:rsidR="003467AE" w:rsidRPr="002F651B">
        <w:rPr>
          <w:rFonts w:ascii="Gadugi" w:eastAsia="Calibri" w:hAnsi="Gadugi" w:cs="Times New Roman"/>
          <w:sz w:val="24"/>
          <w:szCs w:val="24"/>
          <w:lang w:val="es-419"/>
        </w:rPr>
        <w:t xml:space="preserve">; (iii) </w:t>
      </w:r>
      <w:r w:rsidRPr="002F651B">
        <w:rPr>
          <w:rFonts w:ascii="Gadugi" w:eastAsia="Calibri" w:hAnsi="Gadugi" w:cs="Times New Roman"/>
          <w:sz w:val="24"/>
          <w:szCs w:val="24"/>
          <w:lang w:val="es-419"/>
        </w:rPr>
        <w:t xml:space="preserve">el </w:t>
      </w:r>
      <w:r w:rsidR="003467AE" w:rsidRPr="002F651B">
        <w:rPr>
          <w:rFonts w:ascii="Gadugi" w:eastAsia="Calibri" w:hAnsi="Gadugi" w:cs="Times New Roman"/>
          <w:sz w:val="24"/>
          <w:szCs w:val="24"/>
          <w:lang w:val="es-419"/>
        </w:rPr>
        <w:t>daño a la vida de relación</w:t>
      </w:r>
      <w:r w:rsidR="009429DC" w:rsidRPr="002F651B">
        <w:rPr>
          <w:rFonts w:ascii="Gadugi" w:eastAsia="Calibri" w:hAnsi="Gadugi" w:cs="Times New Roman"/>
          <w:sz w:val="24"/>
          <w:szCs w:val="24"/>
          <w:lang w:val="es-419"/>
        </w:rPr>
        <w:t>, invocado para los hijos</w:t>
      </w:r>
      <w:r w:rsidR="00415377" w:rsidRPr="002F651B">
        <w:rPr>
          <w:rFonts w:ascii="Gadugi" w:eastAsia="Calibri" w:hAnsi="Gadugi" w:cs="Times New Roman"/>
          <w:sz w:val="24"/>
          <w:szCs w:val="24"/>
          <w:lang w:val="es-419"/>
        </w:rPr>
        <w:t>; y (iv) el daño a la salud</w:t>
      </w:r>
      <w:r w:rsidR="009429DC" w:rsidRPr="002F651B">
        <w:rPr>
          <w:rFonts w:ascii="Gadugi" w:eastAsia="Calibri" w:hAnsi="Gadugi" w:cs="Times New Roman"/>
          <w:sz w:val="24"/>
          <w:szCs w:val="24"/>
          <w:lang w:val="es-419"/>
        </w:rPr>
        <w:t xml:space="preserve">, </w:t>
      </w:r>
      <w:r w:rsidR="00375A92" w:rsidRPr="002F651B">
        <w:rPr>
          <w:rFonts w:ascii="Gadugi" w:eastAsia="Calibri" w:hAnsi="Gadugi" w:cs="Times New Roman"/>
          <w:sz w:val="24"/>
          <w:szCs w:val="24"/>
          <w:lang w:val="es-419"/>
        </w:rPr>
        <w:t xml:space="preserve">pedido para la sucesión y los hijos. </w:t>
      </w:r>
      <w:r w:rsidR="00415377" w:rsidRPr="002F651B">
        <w:rPr>
          <w:rFonts w:ascii="Gadugi" w:eastAsia="Calibri" w:hAnsi="Gadugi" w:cs="Times New Roman"/>
          <w:sz w:val="24"/>
          <w:szCs w:val="24"/>
          <w:lang w:val="es-419"/>
        </w:rPr>
        <w:t xml:space="preserve"> </w:t>
      </w:r>
    </w:p>
    <w:p w14:paraId="6363FD14" w14:textId="77777777" w:rsidR="008277FD" w:rsidRPr="002F651B" w:rsidRDefault="008277FD" w:rsidP="002F651B">
      <w:pPr>
        <w:tabs>
          <w:tab w:val="left" w:pos="851"/>
        </w:tabs>
        <w:jc w:val="both"/>
        <w:rPr>
          <w:rFonts w:ascii="Gadugi" w:eastAsia="Calibri" w:hAnsi="Gadugi" w:cs="Times New Roman"/>
          <w:sz w:val="24"/>
          <w:szCs w:val="24"/>
          <w:lang w:val="es-419"/>
        </w:rPr>
      </w:pPr>
    </w:p>
    <w:p w14:paraId="68147172" w14:textId="77777777" w:rsidR="00C01D61" w:rsidRPr="002F651B" w:rsidRDefault="00C01D61"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2.17.1. </w:t>
      </w:r>
      <w:r w:rsidRPr="002F651B">
        <w:rPr>
          <w:rFonts w:ascii="Gadugi" w:eastAsia="Calibri" w:hAnsi="Gadugi" w:cs="Times New Roman"/>
          <w:b/>
          <w:bCs/>
          <w:sz w:val="24"/>
          <w:szCs w:val="24"/>
          <w:lang w:val="es-419"/>
        </w:rPr>
        <w:t>Daño moral.</w:t>
      </w:r>
      <w:r w:rsidRPr="002F651B">
        <w:rPr>
          <w:rFonts w:ascii="Gadugi" w:eastAsia="Calibri" w:hAnsi="Gadugi" w:cs="Times New Roman"/>
          <w:sz w:val="24"/>
          <w:szCs w:val="24"/>
          <w:lang w:val="es-419"/>
        </w:rPr>
        <w:t xml:space="preserve"> </w:t>
      </w:r>
    </w:p>
    <w:p w14:paraId="06BEA635" w14:textId="77777777" w:rsidR="00C01D61" w:rsidRPr="002F651B" w:rsidRDefault="00C01D61" w:rsidP="002F651B">
      <w:pPr>
        <w:tabs>
          <w:tab w:val="left" w:pos="851"/>
        </w:tabs>
        <w:jc w:val="both"/>
        <w:rPr>
          <w:rFonts w:ascii="Gadugi" w:eastAsia="Calibri" w:hAnsi="Gadugi" w:cs="Times New Roman"/>
          <w:sz w:val="24"/>
          <w:szCs w:val="24"/>
          <w:lang w:val="es-419"/>
        </w:rPr>
      </w:pPr>
    </w:p>
    <w:p w14:paraId="0B3CFEAB" w14:textId="5855445F" w:rsidR="00B56C52" w:rsidRPr="002F651B" w:rsidRDefault="00517BD7"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lastRenderedPageBreak/>
        <w:t>De</w:t>
      </w:r>
      <w:r w:rsidR="0020468D" w:rsidRPr="002F651B">
        <w:rPr>
          <w:rFonts w:ascii="Gadugi" w:eastAsia="Calibri" w:hAnsi="Gadugi" w:cs="Times New Roman"/>
          <w:sz w:val="24"/>
          <w:szCs w:val="24"/>
          <w:lang w:val="es-419"/>
        </w:rPr>
        <w:t>purado</w:t>
      </w:r>
      <w:r w:rsidRPr="002F651B">
        <w:rPr>
          <w:rFonts w:ascii="Gadugi" w:eastAsia="Calibri" w:hAnsi="Gadugi" w:cs="Times New Roman"/>
          <w:sz w:val="24"/>
          <w:szCs w:val="24"/>
          <w:lang w:val="es-419"/>
        </w:rPr>
        <w:t xml:space="preserve"> tiene esta Colegiatura</w:t>
      </w:r>
      <w:r w:rsidR="00692A78" w:rsidRPr="002F651B">
        <w:rPr>
          <w:rFonts w:ascii="Gadugi" w:eastAsia="Calibri" w:hAnsi="Gadugi" w:cs="Times New Roman"/>
          <w:sz w:val="24"/>
          <w:szCs w:val="24"/>
          <w:vertAlign w:val="superscript"/>
          <w:lang w:val="es-ES"/>
        </w:rPr>
        <w:footnoteReference w:id="60"/>
      </w:r>
      <w:r w:rsidR="00692A78" w:rsidRPr="002F651B">
        <w:rPr>
          <w:rFonts w:ascii="Gadugi" w:eastAsia="Calibri" w:hAnsi="Gadugi" w:cs="Times New Roman"/>
          <w:sz w:val="24"/>
          <w:szCs w:val="24"/>
          <w:lang w:val="es-ES"/>
        </w:rPr>
        <w:t xml:space="preserve"> </w:t>
      </w:r>
      <w:r w:rsidRPr="002F651B">
        <w:rPr>
          <w:rFonts w:ascii="Gadugi" w:eastAsia="Calibri" w:hAnsi="Gadugi" w:cs="Times New Roman"/>
          <w:sz w:val="24"/>
          <w:szCs w:val="24"/>
          <w:lang w:val="es-419"/>
        </w:rPr>
        <w:t xml:space="preserve">que </w:t>
      </w:r>
      <w:r w:rsidR="00692A78" w:rsidRPr="002F651B">
        <w:rPr>
          <w:rFonts w:ascii="Gadugi" w:eastAsia="Calibri" w:hAnsi="Gadugi" w:cs="Times New Roman"/>
          <w:sz w:val="24"/>
          <w:szCs w:val="24"/>
          <w:lang w:val="es-419"/>
        </w:rPr>
        <w:t xml:space="preserve">el daño moral: </w:t>
      </w:r>
    </w:p>
    <w:p w14:paraId="0189321F" w14:textId="77777777" w:rsidR="00517BD7" w:rsidRPr="002F651B" w:rsidRDefault="00517BD7" w:rsidP="002F651B">
      <w:pPr>
        <w:tabs>
          <w:tab w:val="left" w:pos="851"/>
        </w:tabs>
        <w:jc w:val="both"/>
        <w:rPr>
          <w:rFonts w:ascii="Gadugi" w:eastAsia="Calibri" w:hAnsi="Gadugi" w:cs="Times New Roman"/>
          <w:sz w:val="24"/>
          <w:szCs w:val="24"/>
          <w:lang w:val="es-419"/>
        </w:rPr>
      </w:pPr>
    </w:p>
    <w:p w14:paraId="6D591D61" w14:textId="1EA0A6DB" w:rsidR="00517BD7" w:rsidRPr="0040772F" w:rsidRDefault="0020468D" w:rsidP="0040772F">
      <w:pPr>
        <w:spacing w:line="240" w:lineRule="auto"/>
        <w:ind w:left="426" w:right="420"/>
        <w:jc w:val="both"/>
        <w:rPr>
          <w:rFonts w:ascii="Gadugi" w:eastAsia="Calibri" w:hAnsi="Gadugi" w:cs="Times New Roman"/>
          <w:szCs w:val="24"/>
          <w:lang w:val="es-ES"/>
        </w:rPr>
      </w:pPr>
      <w:r w:rsidRPr="0040772F">
        <w:rPr>
          <w:rFonts w:ascii="Gadugi" w:eastAsia="Calibri" w:hAnsi="Gadugi" w:cs="Times New Roman"/>
          <w:szCs w:val="24"/>
          <w:lang w:val="es-ES"/>
        </w:rPr>
        <w:t>…</w:t>
      </w:r>
      <w:r w:rsidR="00235715" w:rsidRPr="0040772F">
        <w:rPr>
          <w:rFonts w:ascii="Gadugi" w:eastAsia="Calibri" w:hAnsi="Gadugi" w:cs="Times New Roman"/>
          <w:szCs w:val="24"/>
          <w:lang w:val="es-ES"/>
        </w:rPr>
        <w:t xml:space="preserve"> </w:t>
      </w:r>
      <w:r w:rsidR="00517BD7" w:rsidRPr="0040772F">
        <w:rPr>
          <w:rFonts w:ascii="Gadugi" w:eastAsia="Calibri" w:hAnsi="Gadugi" w:cs="Times New Roman"/>
          <w:szCs w:val="24"/>
          <w:lang w:val="es-ES"/>
        </w:rPr>
        <w:t xml:space="preserve">se refleja en la esfera interior de la persona, por el dolor, la aflicción, la congoja que padece, producto de una lesión que se le ha infligido, a diferencia del daño a la vida de relación, que obedece a las consecuencias de orden externo que de allí emergen, por la frustración que se le causa en lo social, en lo familiar, en lo cotidiano. Así lo recordó la Sala de Casación Civil de la Corte Suprema de Justicia, en sentencia del 17 de noviembre de 2016, SC16690-2016, con ponencia del Magistrado Álvaro Fernando García Restrepo, en la que se rememoró la del 13 de mayo de 2008, radicado 1997-09327-01, que incursionó, en sede ordinaria, en el reconocimiento del daño a la vida de relación”. </w:t>
      </w:r>
    </w:p>
    <w:p w14:paraId="0EC8FDC4" w14:textId="77777777" w:rsidR="00517BD7" w:rsidRPr="0040772F" w:rsidRDefault="00517BD7" w:rsidP="0040772F">
      <w:pPr>
        <w:spacing w:line="240" w:lineRule="auto"/>
        <w:ind w:left="426" w:right="420"/>
        <w:jc w:val="both"/>
        <w:rPr>
          <w:rFonts w:ascii="Gadugi" w:eastAsia="Calibri" w:hAnsi="Gadugi" w:cs="Times New Roman"/>
          <w:szCs w:val="24"/>
          <w:lang w:val="es-ES"/>
        </w:rPr>
      </w:pPr>
    </w:p>
    <w:p w14:paraId="4FBBEE7E" w14:textId="77777777" w:rsidR="00517BD7" w:rsidRPr="0040772F" w:rsidRDefault="00517BD7" w:rsidP="0040772F">
      <w:pPr>
        <w:spacing w:line="240" w:lineRule="auto"/>
        <w:ind w:left="426" w:right="420"/>
        <w:jc w:val="both"/>
        <w:rPr>
          <w:rFonts w:ascii="Gadugi" w:eastAsia="Calibri" w:hAnsi="Gadugi" w:cs="Times New Roman"/>
          <w:szCs w:val="24"/>
          <w:lang w:val="es-ES"/>
        </w:rPr>
      </w:pPr>
      <w:r w:rsidRPr="0040772F">
        <w:rPr>
          <w:rFonts w:ascii="Gadugi" w:eastAsia="Calibri" w:hAnsi="Gadugi" w:cs="Times New Roman"/>
          <w:szCs w:val="24"/>
          <w:lang w:val="es-ES"/>
        </w:rPr>
        <w:t>En esas providencias se reitera, lo que ya es tesis decantada, que el valor a reconocer por estos conceptos, precisamente por la naturaleza del daño, debe provenir del arbitrio judicial y son las altas Cortes las encargadas de ir fijando unos baremos que sirvan de guía a los jueces, sin que se erijan expresamente en topes máximos o mínimos (sentencia SC21828- 17).</w:t>
      </w:r>
    </w:p>
    <w:p w14:paraId="77B92AA4" w14:textId="77777777" w:rsidR="00517BD7" w:rsidRPr="0040772F" w:rsidRDefault="00517BD7" w:rsidP="0040772F">
      <w:pPr>
        <w:spacing w:line="240" w:lineRule="auto"/>
        <w:ind w:left="426" w:right="420"/>
        <w:jc w:val="both"/>
        <w:rPr>
          <w:rFonts w:ascii="Gadugi" w:eastAsia="Calibri" w:hAnsi="Gadugi" w:cs="Times New Roman"/>
          <w:szCs w:val="24"/>
          <w:lang w:val="es-ES"/>
        </w:rPr>
      </w:pPr>
    </w:p>
    <w:p w14:paraId="15A5D1BD" w14:textId="77777777" w:rsidR="00517BD7" w:rsidRPr="0040772F" w:rsidRDefault="00517BD7" w:rsidP="0040772F">
      <w:pPr>
        <w:spacing w:line="240" w:lineRule="auto"/>
        <w:ind w:left="426" w:right="420"/>
        <w:jc w:val="both"/>
        <w:rPr>
          <w:rFonts w:ascii="Gadugi" w:eastAsia="Calibri" w:hAnsi="Gadugi" w:cs="Times New Roman"/>
          <w:szCs w:val="24"/>
          <w:lang w:val="es-ES"/>
        </w:rPr>
      </w:pPr>
      <w:r w:rsidRPr="0040772F">
        <w:rPr>
          <w:rFonts w:ascii="Gadugi" w:eastAsia="Calibri" w:hAnsi="Gadugi" w:cs="Times New Roman"/>
          <w:szCs w:val="24"/>
          <w:lang w:val="es-ES"/>
        </w:rPr>
        <w:t xml:space="preserve">En ese mismo sentido, en la reciente sentencia SC780-2020 del 10 de marzo del 2020, que toca un asunto semejante al de marras, se recordó que: </w:t>
      </w:r>
    </w:p>
    <w:p w14:paraId="156BF264" w14:textId="77777777" w:rsidR="00517BD7" w:rsidRPr="0040772F" w:rsidRDefault="00517BD7" w:rsidP="0040772F">
      <w:pPr>
        <w:spacing w:line="240" w:lineRule="auto"/>
        <w:ind w:left="426" w:right="420"/>
        <w:jc w:val="both"/>
        <w:rPr>
          <w:rFonts w:ascii="Gadugi" w:eastAsia="Calibri" w:hAnsi="Gadugi" w:cs="Times New Roman"/>
          <w:szCs w:val="24"/>
          <w:lang w:val="es-ES"/>
        </w:rPr>
      </w:pPr>
    </w:p>
    <w:p w14:paraId="693E98AE" w14:textId="77777777" w:rsidR="00517BD7" w:rsidRPr="0040772F" w:rsidRDefault="00517BD7" w:rsidP="0040772F">
      <w:pPr>
        <w:spacing w:line="240" w:lineRule="auto"/>
        <w:ind w:left="426" w:right="420"/>
        <w:jc w:val="both"/>
        <w:rPr>
          <w:rFonts w:ascii="Gadugi" w:eastAsia="Calibri" w:hAnsi="Gadugi" w:cs="Times New Roman"/>
          <w:i/>
          <w:iCs/>
          <w:szCs w:val="24"/>
          <w:lang w:val="es-ES"/>
        </w:rPr>
      </w:pPr>
      <w:r w:rsidRPr="0040772F">
        <w:rPr>
          <w:rFonts w:ascii="Gadugi" w:eastAsia="Calibri" w:hAnsi="Gadugi" w:cs="Times New Roman"/>
          <w:szCs w:val="24"/>
          <w:lang w:val="es-ES"/>
        </w:rPr>
        <w:t>“</w:t>
      </w:r>
      <w:r w:rsidRPr="0040772F">
        <w:rPr>
          <w:rFonts w:ascii="Gadugi" w:eastAsia="Calibri" w:hAnsi="Gadugi" w:cs="Times New Roman"/>
          <w:i/>
          <w:iCs/>
          <w:szCs w:val="24"/>
          <w:lang w:val="es-ES"/>
        </w:rPr>
        <w:t xml:space="preserve">es esperable que la víctima directa del accidente de tránsito padeciera dolores físicos y psicológicos, angustia, tristeza e incomodidades como consecuencia de las lesiones que sufrió. Tales perjuicios se presumen y no hay necesidad de exigir su demostración, pues es lo que normalmente siente una persona que sufre lesiones en su integridad física y moral. </w:t>
      </w:r>
    </w:p>
    <w:p w14:paraId="21742773" w14:textId="77777777" w:rsidR="00517BD7" w:rsidRPr="0040772F" w:rsidRDefault="00517BD7" w:rsidP="0040772F">
      <w:pPr>
        <w:spacing w:line="240" w:lineRule="auto"/>
        <w:ind w:left="426" w:right="420"/>
        <w:jc w:val="both"/>
        <w:rPr>
          <w:rFonts w:ascii="Gadugi" w:eastAsia="Calibri" w:hAnsi="Gadugi" w:cs="Times New Roman"/>
          <w:i/>
          <w:iCs/>
          <w:szCs w:val="24"/>
          <w:lang w:val="es-ES"/>
        </w:rPr>
      </w:pPr>
    </w:p>
    <w:p w14:paraId="001A3143" w14:textId="77777777" w:rsidR="00517BD7" w:rsidRPr="0040772F" w:rsidRDefault="00517BD7" w:rsidP="0040772F">
      <w:pPr>
        <w:spacing w:line="240" w:lineRule="auto"/>
        <w:ind w:left="426" w:right="420"/>
        <w:jc w:val="both"/>
        <w:rPr>
          <w:rFonts w:ascii="Gadugi" w:eastAsia="Calibri" w:hAnsi="Gadugi" w:cs="Times New Roman"/>
          <w:szCs w:val="24"/>
          <w:lang w:val="es-ES"/>
        </w:rPr>
      </w:pPr>
      <w:r w:rsidRPr="0040772F">
        <w:rPr>
          <w:rFonts w:ascii="Gadugi" w:eastAsia="Calibri" w:hAnsi="Gadugi" w:cs="Times New Roman"/>
          <w:i/>
          <w:iCs/>
          <w:szCs w:val="24"/>
          <w:lang w:val="es-ES"/>
        </w:rPr>
        <w:t>De igual modo, la experiencia muestra que es normal que los familiares más cercanos de la víctima sufran tristeza, angustia y desasosiego al ver sufrir a su ser querido. Por ello, no hay necesidad de exigir la prueba de los padecimientos morales sufridos por el hijo de la accidentada, pues ellos se presumen a menos que surjan en el acervo probatorio elementos de conocimiento que permitan desvirtuar la presunción judicial, lo que no ocurrió en este caso</w:t>
      </w:r>
      <w:r w:rsidRPr="0040772F">
        <w:rPr>
          <w:rFonts w:ascii="Gadugi" w:eastAsia="Calibri" w:hAnsi="Gadugi" w:cs="Times New Roman"/>
          <w:szCs w:val="24"/>
          <w:lang w:val="es-ES"/>
        </w:rPr>
        <w:t xml:space="preserve">.” </w:t>
      </w:r>
    </w:p>
    <w:p w14:paraId="07E07996" w14:textId="77777777" w:rsidR="00517BD7" w:rsidRPr="0040772F" w:rsidRDefault="00517BD7" w:rsidP="0040772F">
      <w:pPr>
        <w:spacing w:line="240" w:lineRule="auto"/>
        <w:ind w:left="426" w:right="420"/>
        <w:jc w:val="both"/>
        <w:rPr>
          <w:rFonts w:ascii="Gadugi" w:eastAsia="Calibri" w:hAnsi="Gadugi" w:cs="Times New Roman"/>
          <w:szCs w:val="24"/>
          <w:lang w:val="es-ES"/>
        </w:rPr>
      </w:pPr>
    </w:p>
    <w:p w14:paraId="49A52358" w14:textId="77777777" w:rsidR="00517BD7" w:rsidRPr="0040772F" w:rsidRDefault="00517BD7" w:rsidP="0040772F">
      <w:pPr>
        <w:spacing w:line="240" w:lineRule="auto"/>
        <w:ind w:left="426" w:right="420"/>
        <w:jc w:val="both"/>
        <w:rPr>
          <w:rFonts w:ascii="Gadugi" w:eastAsia="Calibri" w:hAnsi="Gadugi" w:cs="Times New Roman"/>
          <w:szCs w:val="24"/>
          <w:lang w:val="es-ES"/>
        </w:rPr>
      </w:pPr>
      <w:r w:rsidRPr="0040772F">
        <w:rPr>
          <w:rFonts w:ascii="Gadugi" w:eastAsia="Calibri" w:hAnsi="Gadugi" w:cs="Times New Roman"/>
          <w:szCs w:val="24"/>
          <w:lang w:val="es-ES"/>
        </w:rPr>
        <w:t xml:space="preserve">… </w:t>
      </w:r>
    </w:p>
    <w:p w14:paraId="5F49C37F" w14:textId="77777777" w:rsidR="00517BD7" w:rsidRPr="0040772F" w:rsidRDefault="00517BD7" w:rsidP="0040772F">
      <w:pPr>
        <w:spacing w:line="240" w:lineRule="auto"/>
        <w:ind w:left="426" w:right="420"/>
        <w:jc w:val="both"/>
        <w:rPr>
          <w:rFonts w:ascii="Gadugi" w:eastAsia="Calibri" w:hAnsi="Gadugi" w:cs="Times New Roman"/>
          <w:szCs w:val="24"/>
          <w:lang w:val="es-ES"/>
        </w:rPr>
      </w:pPr>
    </w:p>
    <w:p w14:paraId="2BDDB634" w14:textId="2467D7D7" w:rsidR="00517BD7" w:rsidRPr="0040772F" w:rsidRDefault="00517BD7" w:rsidP="0040772F">
      <w:pPr>
        <w:spacing w:line="240" w:lineRule="auto"/>
        <w:ind w:left="426" w:right="420"/>
        <w:jc w:val="both"/>
        <w:rPr>
          <w:rFonts w:ascii="Gadugi" w:eastAsia="Calibri" w:hAnsi="Gadugi" w:cs="Times New Roman"/>
          <w:szCs w:val="24"/>
          <w:lang w:val="es-ES"/>
        </w:rPr>
      </w:pPr>
      <w:r w:rsidRPr="0040772F">
        <w:rPr>
          <w:rFonts w:ascii="Gadugi" w:eastAsia="Calibri" w:hAnsi="Gadugi" w:cs="Times New Roman"/>
          <w:szCs w:val="24"/>
          <w:lang w:val="es-ES"/>
        </w:rPr>
        <w:t>Ahora bien, respecto del resarcimiento de este perjuicio, el moral, también esta Sala, en sentencia del 1° de noviembre del 2016 con radicado 2012-274-01 con apoyo en fallos de la Corte Suprema de Justicia (SC 13925-2016, SC 16690- 2016 y SC 9193-2017), y luego en providencia del 19 de julio de 2019, radicado 2017-00345-01, con sustento en la sentencia SC665-2019, indicó que la compensación para los casos en que fallece la víctima ha sido fijada, en general, en la suma de $60.000.000</w:t>
      </w:r>
      <w:r w:rsidR="00A04EA0" w:rsidRPr="0040772F">
        <w:rPr>
          <w:rFonts w:ascii="Gadugi" w:eastAsia="Calibri" w:hAnsi="Gadugi" w:cs="Times New Roman"/>
          <w:szCs w:val="24"/>
          <w:lang w:val="es-ES"/>
        </w:rPr>
        <w:t>,00</w:t>
      </w:r>
      <w:r w:rsidRPr="0040772F">
        <w:rPr>
          <w:rFonts w:ascii="Gadugi" w:eastAsia="Calibri" w:hAnsi="Gadugi" w:cs="Times New Roman"/>
          <w:szCs w:val="24"/>
          <w:lang w:val="es-ES"/>
        </w:rPr>
        <w:t>, y así lo reiteró más recientemente en la sentencia STC3567-2020, que sirve de criterio auxiliar.</w:t>
      </w:r>
    </w:p>
    <w:p w14:paraId="12FF7E73" w14:textId="77777777" w:rsidR="00517BD7" w:rsidRPr="002F651B" w:rsidRDefault="00517BD7" w:rsidP="002F651B">
      <w:pPr>
        <w:tabs>
          <w:tab w:val="left" w:pos="851"/>
        </w:tabs>
        <w:jc w:val="both"/>
        <w:rPr>
          <w:rFonts w:ascii="Gadugi" w:eastAsia="Calibri" w:hAnsi="Gadugi" w:cs="Times New Roman"/>
          <w:sz w:val="24"/>
          <w:szCs w:val="24"/>
          <w:lang w:val="es-419"/>
        </w:rPr>
      </w:pPr>
    </w:p>
    <w:p w14:paraId="038F227C" w14:textId="5219E259" w:rsidR="00B56C52" w:rsidRPr="002F651B" w:rsidRDefault="0050355B"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Este </w:t>
      </w:r>
      <w:r w:rsidR="00C31A44" w:rsidRPr="002F651B">
        <w:rPr>
          <w:rFonts w:ascii="Gadugi" w:eastAsia="Calibri" w:hAnsi="Gadugi" w:cs="Times New Roman"/>
          <w:sz w:val="24"/>
          <w:szCs w:val="24"/>
          <w:lang w:val="es-419"/>
        </w:rPr>
        <w:t>baremo no ha sido modificado aún por el órgano de cierre y a él se ajustará la Sala</w:t>
      </w:r>
      <w:r w:rsidR="00F30FF6" w:rsidRPr="002F651B">
        <w:rPr>
          <w:rFonts w:ascii="Gadugi" w:eastAsia="Calibri" w:hAnsi="Gadugi" w:cs="Times New Roman"/>
          <w:sz w:val="24"/>
          <w:szCs w:val="24"/>
          <w:lang w:val="es-419"/>
        </w:rPr>
        <w:t xml:space="preserve">, </w:t>
      </w:r>
      <w:r w:rsidR="00D537FD" w:rsidRPr="002F651B">
        <w:rPr>
          <w:rFonts w:ascii="Gadugi" w:eastAsia="Calibri" w:hAnsi="Gadugi" w:cs="Times New Roman"/>
          <w:sz w:val="24"/>
          <w:szCs w:val="24"/>
          <w:lang w:val="es-419"/>
        </w:rPr>
        <w:t xml:space="preserve">no a los valores señalados en la demanda que, no solo desbordan </w:t>
      </w:r>
      <w:r w:rsidR="00970406" w:rsidRPr="002F651B">
        <w:rPr>
          <w:rFonts w:ascii="Gadugi" w:eastAsia="Calibri" w:hAnsi="Gadugi" w:cs="Times New Roman"/>
          <w:sz w:val="24"/>
          <w:szCs w:val="24"/>
          <w:lang w:val="es-419"/>
        </w:rPr>
        <w:t xml:space="preserve">el parámetro máximo fijado por la Corte, sino que se fundan en los que </w:t>
      </w:r>
      <w:r w:rsidR="004C50A9" w:rsidRPr="002F651B">
        <w:rPr>
          <w:rFonts w:ascii="Gadugi" w:eastAsia="Calibri" w:hAnsi="Gadugi" w:cs="Times New Roman"/>
          <w:sz w:val="24"/>
          <w:szCs w:val="24"/>
          <w:lang w:val="es-419"/>
        </w:rPr>
        <w:t xml:space="preserve">ha señalado el Consejo de Estado, </w:t>
      </w:r>
      <w:r w:rsidR="004C50A9" w:rsidRPr="002F651B">
        <w:rPr>
          <w:rFonts w:ascii="Gadugi" w:eastAsia="Calibri" w:hAnsi="Gadugi" w:cs="Times New Roman"/>
          <w:sz w:val="24"/>
          <w:szCs w:val="24"/>
          <w:lang w:val="es-419"/>
        </w:rPr>
        <w:lastRenderedPageBreak/>
        <w:t xml:space="preserve">que, claro está, no se erigen en precedente para los jueces de la jurisdicción ordinaria, como sí lo son aquellos. </w:t>
      </w:r>
    </w:p>
    <w:p w14:paraId="067BD051" w14:textId="77777777" w:rsidR="004C50A9" w:rsidRPr="002F651B" w:rsidRDefault="004C50A9" w:rsidP="002F651B">
      <w:pPr>
        <w:tabs>
          <w:tab w:val="left" w:pos="851"/>
        </w:tabs>
        <w:jc w:val="both"/>
        <w:rPr>
          <w:rFonts w:ascii="Gadugi" w:eastAsia="Calibri" w:hAnsi="Gadugi" w:cs="Times New Roman"/>
          <w:sz w:val="24"/>
          <w:szCs w:val="24"/>
          <w:lang w:val="es-419"/>
        </w:rPr>
      </w:pPr>
    </w:p>
    <w:p w14:paraId="63728106" w14:textId="2F2A7B39" w:rsidR="00C31A44" w:rsidRPr="002F651B" w:rsidRDefault="00C31A44"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En el caso concreto, es fácil ver que la víctima directa</w:t>
      </w:r>
      <w:r w:rsidR="00337DAF" w:rsidRPr="002F651B">
        <w:rPr>
          <w:rFonts w:ascii="Gadugi" w:eastAsia="Calibri" w:hAnsi="Gadugi" w:cs="Times New Roman"/>
          <w:sz w:val="24"/>
          <w:szCs w:val="24"/>
          <w:lang w:val="es-419"/>
        </w:rPr>
        <w:t>, María Nora Correa de Piedrahíta</w:t>
      </w:r>
      <w:r w:rsidR="00DF17F3" w:rsidRPr="002F651B">
        <w:rPr>
          <w:rFonts w:ascii="Gadugi" w:eastAsia="Calibri" w:hAnsi="Gadugi" w:cs="Times New Roman"/>
          <w:sz w:val="24"/>
          <w:szCs w:val="24"/>
          <w:lang w:val="es-419"/>
        </w:rPr>
        <w:t>,</w:t>
      </w:r>
      <w:r w:rsidRPr="002F651B">
        <w:rPr>
          <w:rFonts w:ascii="Gadugi" w:eastAsia="Calibri" w:hAnsi="Gadugi" w:cs="Times New Roman"/>
          <w:sz w:val="24"/>
          <w:szCs w:val="24"/>
          <w:lang w:val="es-419"/>
        </w:rPr>
        <w:t xml:space="preserve"> durante sus días de estadía en l</w:t>
      </w:r>
      <w:r w:rsidR="00DF17F3" w:rsidRPr="002F651B">
        <w:rPr>
          <w:rFonts w:ascii="Gadugi" w:eastAsia="Calibri" w:hAnsi="Gadugi" w:cs="Times New Roman"/>
          <w:sz w:val="24"/>
          <w:szCs w:val="24"/>
          <w:lang w:val="es-419"/>
        </w:rPr>
        <w:t xml:space="preserve">a Clínica Marañón, </w:t>
      </w:r>
      <w:r w:rsidR="001C5B4F" w:rsidRPr="002F651B">
        <w:rPr>
          <w:rFonts w:ascii="Gadugi" w:eastAsia="Calibri" w:hAnsi="Gadugi" w:cs="Times New Roman"/>
          <w:sz w:val="24"/>
          <w:szCs w:val="24"/>
          <w:lang w:val="es-419"/>
        </w:rPr>
        <w:t>tuvo que afrontar el dolor que le causaba verse postrada</w:t>
      </w:r>
      <w:r w:rsidR="00A738A5" w:rsidRPr="002F651B">
        <w:rPr>
          <w:rFonts w:ascii="Gadugi" w:eastAsia="Calibri" w:hAnsi="Gadugi" w:cs="Times New Roman"/>
          <w:sz w:val="24"/>
          <w:szCs w:val="24"/>
          <w:lang w:val="es-419"/>
        </w:rPr>
        <w:t xml:space="preserve"> por una enfermedad que, pasaban las horas, y nada se hacía por </w:t>
      </w:r>
      <w:r w:rsidR="00DE2878" w:rsidRPr="002F651B">
        <w:rPr>
          <w:rFonts w:ascii="Gadugi" w:eastAsia="Calibri" w:hAnsi="Gadugi" w:cs="Times New Roman"/>
          <w:sz w:val="24"/>
          <w:szCs w:val="24"/>
          <w:lang w:val="es-419"/>
        </w:rPr>
        <w:t>acompañarla con un diagnóstico y un tratamiento adecuado</w:t>
      </w:r>
      <w:r w:rsidR="00B93661" w:rsidRPr="002F651B">
        <w:rPr>
          <w:rFonts w:ascii="Gadugi" w:eastAsia="Calibri" w:hAnsi="Gadugi" w:cs="Times New Roman"/>
          <w:sz w:val="24"/>
          <w:szCs w:val="24"/>
          <w:lang w:val="es-419"/>
        </w:rPr>
        <w:t>s</w:t>
      </w:r>
      <w:r w:rsidR="00DE2878" w:rsidRPr="002F651B">
        <w:rPr>
          <w:rFonts w:ascii="Gadugi" w:eastAsia="Calibri" w:hAnsi="Gadugi" w:cs="Times New Roman"/>
          <w:sz w:val="24"/>
          <w:szCs w:val="24"/>
          <w:lang w:val="es-419"/>
        </w:rPr>
        <w:t xml:space="preserve">. Eso, sin duda, le causó </w:t>
      </w:r>
      <w:r w:rsidR="00706A32" w:rsidRPr="002F651B">
        <w:rPr>
          <w:rFonts w:ascii="Gadugi" w:eastAsia="Calibri" w:hAnsi="Gadugi" w:cs="Times New Roman"/>
          <w:sz w:val="24"/>
          <w:szCs w:val="24"/>
          <w:lang w:val="es-419"/>
        </w:rPr>
        <w:t xml:space="preserve">un daño de este orden que debe ser resarcido, aunque, valga señalarlo, no en la misma proporción que lo será el que padecieron sus seres allegados, dado que </w:t>
      </w:r>
      <w:r w:rsidR="00016996" w:rsidRPr="002F651B">
        <w:rPr>
          <w:rFonts w:ascii="Gadugi" w:eastAsia="Calibri" w:hAnsi="Gadugi" w:cs="Times New Roman"/>
          <w:sz w:val="24"/>
          <w:szCs w:val="24"/>
          <w:lang w:val="es-419"/>
        </w:rPr>
        <w:t xml:space="preserve">su lamentable deceso hace que su </w:t>
      </w:r>
      <w:r w:rsidR="00B93661" w:rsidRPr="002F651B">
        <w:rPr>
          <w:rFonts w:ascii="Gadugi" w:eastAsia="Calibri" w:hAnsi="Gadugi" w:cs="Times New Roman"/>
          <w:sz w:val="24"/>
          <w:szCs w:val="24"/>
          <w:lang w:val="es-419"/>
        </w:rPr>
        <w:t>sufrimiento</w:t>
      </w:r>
      <w:r w:rsidR="00016996" w:rsidRPr="002F651B">
        <w:rPr>
          <w:rFonts w:ascii="Gadugi" w:eastAsia="Calibri" w:hAnsi="Gadugi" w:cs="Times New Roman"/>
          <w:sz w:val="24"/>
          <w:szCs w:val="24"/>
          <w:lang w:val="es-419"/>
        </w:rPr>
        <w:t xml:space="preserve"> se hubiera limitado por esos escasos días, lo que no acontece con sus hijos y nietos, en quienes perdurará la </w:t>
      </w:r>
      <w:r w:rsidR="00884F86" w:rsidRPr="002F651B">
        <w:rPr>
          <w:rFonts w:ascii="Gadugi" w:eastAsia="Calibri" w:hAnsi="Gadugi" w:cs="Times New Roman"/>
          <w:sz w:val="24"/>
          <w:szCs w:val="24"/>
          <w:lang w:val="es-419"/>
        </w:rPr>
        <w:t xml:space="preserve">congoja. Por ello, dentro del señalado margen de discrecionalidad, la Sala fijará para la sucesión </w:t>
      </w:r>
      <w:r w:rsidR="002B4D6F" w:rsidRPr="002F651B">
        <w:rPr>
          <w:rFonts w:ascii="Gadugi" w:eastAsia="Calibri" w:hAnsi="Gadugi" w:cs="Times New Roman"/>
          <w:sz w:val="24"/>
          <w:szCs w:val="24"/>
          <w:lang w:val="es-419"/>
        </w:rPr>
        <w:t xml:space="preserve">de María Nora, a título de daño moral, </w:t>
      </w:r>
      <w:r w:rsidR="00884F86" w:rsidRPr="002F651B">
        <w:rPr>
          <w:rFonts w:ascii="Gadugi" w:eastAsia="Calibri" w:hAnsi="Gadugi" w:cs="Times New Roman"/>
          <w:sz w:val="24"/>
          <w:szCs w:val="24"/>
          <w:lang w:val="es-419"/>
        </w:rPr>
        <w:t>un monto equivalente a $30’000.000</w:t>
      </w:r>
      <w:r w:rsidR="00A04EA0">
        <w:rPr>
          <w:rFonts w:ascii="Gadugi" w:eastAsia="Calibri" w:hAnsi="Gadugi" w:cs="Times New Roman"/>
          <w:sz w:val="24"/>
          <w:szCs w:val="24"/>
          <w:lang w:val="es-419"/>
        </w:rPr>
        <w:t>,00</w:t>
      </w:r>
      <w:r w:rsidR="00884F86" w:rsidRPr="002F651B">
        <w:rPr>
          <w:rFonts w:ascii="Gadugi" w:eastAsia="Calibri" w:hAnsi="Gadugi" w:cs="Times New Roman"/>
          <w:sz w:val="24"/>
          <w:szCs w:val="24"/>
          <w:lang w:val="es-419"/>
        </w:rPr>
        <w:t xml:space="preserve">. </w:t>
      </w:r>
    </w:p>
    <w:p w14:paraId="77722A71" w14:textId="77777777" w:rsidR="00C658A4" w:rsidRPr="002F651B" w:rsidRDefault="00C658A4" w:rsidP="002F651B">
      <w:pPr>
        <w:tabs>
          <w:tab w:val="left" w:pos="851"/>
        </w:tabs>
        <w:jc w:val="both"/>
        <w:rPr>
          <w:rFonts w:ascii="Gadugi" w:eastAsia="Calibri" w:hAnsi="Gadugi" w:cs="Times New Roman"/>
          <w:sz w:val="24"/>
          <w:szCs w:val="24"/>
          <w:lang w:val="es-419"/>
        </w:rPr>
      </w:pPr>
    </w:p>
    <w:p w14:paraId="4A104AA9" w14:textId="20E0F6DB" w:rsidR="00C658A4" w:rsidRPr="002F651B" w:rsidRDefault="00783109"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El parentesco de los demandantes con María Nora, que es de donde se hace d</w:t>
      </w:r>
      <w:r w:rsidR="00E8012D" w:rsidRPr="002F651B">
        <w:rPr>
          <w:rFonts w:ascii="Gadugi" w:eastAsia="Calibri" w:hAnsi="Gadugi" w:cs="Times New Roman"/>
          <w:sz w:val="24"/>
          <w:szCs w:val="24"/>
          <w:lang w:val="es-419"/>
        </w:rPr>
        <w:t xml:space="preserve">erivar la lesión de sus derechos, fue acreditado como se dijo. Por ello, tiene cabida la presunción señalada, en la medida en que reclaman sus parientes más cercanos, hijos y nietos. </w:t>
      </w:r>
    </w:p>
    <w:p w14:paraId="3096D3C6" w14:textId="77777777" w:rsidR="00E8012D" w:rsidRPr="002F651B" w:rsidRDefault="00E8012D" w:rsidP="002F651B">
      <w:pPr>
        <w:tabs>
          <w:tab w:val="left" w:pos="851"/>
        </w:tabs>
        <w:jc w:val="both"/>
        <w:rPr>
          <w:rFonts w:ascii="Gadugi" w:eastAsia="Calibri" w:hAnsi="Gadugi" w:cs="Times New Roman"/>
          <w:sz w:val="24"/>
          <w:szCs w:val="24"/>
          <w:lang w:val="es-419"/>
        </w:rPr>
      </w:pPr>
    </w:p>
    <w:p w14:paraId="62932B84" w14:textId="5DBE7413" w:rsidR="00C01D61" w:rsidRPr="002F651B" w:rsidRDefault="00E8012D"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Para </w:t>
      </w:r>
      <w:r w:rsidR="004D4EEE" w:rsidRPr="002F651B">
        <w:rPr>
          <w:rFonts w:ascii="Gadugi" w:eastAsia="Calibri" w:hAnsi="Gadugi" w:cs="Times New Roman"/>
          <w:sz w:val="24"/>
          <w:szCs w:val="24"/>
          <w:lang w:val="es-419"/>
        </w:rPr>
        <w:t xml:space="preserve">aquellos, es decir, para Martha Lucía y Alfonso Enrique, </w:t>
      </w:r>
      <w:r w:rsidR="003C3CD6" w:rsidRPr="002F651B">
        <w:rPr>
          <w:rFonts w:ascii="Gadugi" w:eastAsia="Calibri" w:hAnsi="Gadugi" w:cs="Times New Roman"/>
          <w:sz w:val="24"/>
          <w:szCs w:val="24"/>
          <w:lang w:val="es-419"/>
        </w:rPr>
        <w:t>quienes se hallan en primer grado de consanguinidad, se fijará la suma máxima</w:t>
      </w:r>
      <w:r w:rsidR="00C01D61" w:rsidRPr="002F651B">
        <w:rPr>
          <w:rFonts w:ascii="Gadugi" w:eastAsia="Calibri" w:hAnsi="Gadugi" w:cs="Times New Roman"/>
          <w:sz w:val="24"/>
          <w:szCs w:val="24"/>
          <w:lang w:val="es-419"/>
        </w:rPr>
        <w:t xml:space="preserve"> señalada, es decir, $60’000.000</w:t>
      </w:r>
      <w:r w:rsidR="00A04EA0">
        <w:rPr>
          <w:rFonts w:ascii="Gadugi" w:eastAsia="Calibri" w:hAnsi="Gadugi" w:cs="Times New Roman"/>
          <w:sz w:val="24"/>
          <w:szCs w:val="24"/>
          <w:lang w:val="es-419"/>
        </w:rPr>
        <w:t>,00</w:t>
      </w:r>
      <w:r w:rsidR="00C01D61" w:rsidRPr="002F651B">
        <w:rPr>
          <w:rFonts w:ascii="Gadugi" w:eastAsia="Calibri" w:hAnsi="Gadugi" w:cs="Times New Roman"/>
          <w:sz w:val="24"/>
          <w:szCs w:val="24"/>
          <w:lang w:val="es-419"/>
        </w:rPr>
        <w:t xml:space="preserve"> para cada uno. </w:t>
      </w:r>
    </w:p>
    <w:p w14:paraId="7250D9B9" w14:textId="77777777" w:rsidR="00C01D61" w:rsidRPr="002F651B" w:rsidRDefault="00C01D61" w:rsidP="002F651B">
      <w:pPr>
        <w:tabs>
          <w:tab w:val="left" w:pos="851"/>
        </w:tabs>
        <w:jc w:val="both"/>
        <w:rPr>
          <w:rFonts w:ascii="Gadugi" w:eastAsia="Calibri" w:hAnsi="Gadugi" w:cs="Times New Roman"/>
          <w:sz w:val="24"/>
          <w:szCs w:val="24"/>
          <w:lang w:val="es-419"/>
        </w:rPr>
      </w:pPr>
    </w:p>
    <w:p w14:paraId="20EBBBCC" w14:textId="2A838EFB" w:rsidR="00783109" w:rsidRPr="002F651B" w:rsidRDefault="00C01D61" w:rsidP="002F651B">
      <w:pPr>
        <w:tabs>
          <w:tab w:val="left" w:pos="851"/>
        </w:tabs>
        <w:jc w:val="both"/>
        <w:rPr>
          <w:rFonts w:ascii="Gadugi" w:eastAsia="Georgia" w:hAnsi="Gadugi" w:cs="Georgia"/>
          <w:b/>
          <w:sz w:val="24"/>
          <w:szCs w:val="24"/>
        </w:rPr>
      </w:pPr>
      <w:r w:rsidRPr="002F651B">
        <w:rPr>
          <w:rFonts w:ascii="Gadugi" w:eastAsia="Calibri" w:hAnsi="Gadugi" w:cs="Times New Roman"/>
          <w:sz w:val="24"/>
          <w:szCs w:val="24"/>
          <w:lang w:val="es-419"/>
        </w:rPr>
        <w:t xml:space="preserve">Para estos, </w:t>
      </w:r>
      <w:r w:rsidR="00C110CC" w:rsidRPr="002F651B">
        <w:rPr>
          <w:rFonts w:ascii="Gadugi" w:eastAsia="Calibri" w:hAnsi="Gadugi" w:cs="Times New Roman"/>
          <w:sz w:val="24"/>
          <w:szCs w:val="24"/>
          <w:lang w:val="es-419"/>
        </w:rPr>
        <w:t xml:space="preserve">o sea, Natalia Morales </w:t>
      </w:r>
      <w:proofErr w:type="spellStart"/>
      <w:r w:rsidR="00C110CC" w:rsidRPr="002F651B">
        <w:rPr>
          <w:rFonts w:ascii="Gadugi" w:eastAsia="Calibri" w:hAnsi="Gadugi" w:cs="Times New Roman"/>
          <w:sz w:val="24"/>
          <w:szCs w:val="24"/>
          <w:lang w:val="es-419"/>
        </w:rPr>
        <w:t>Piedrahíta</w:t>
      </w:r>
      <w:proofErr w:type="spellEnd"/>
      <w:r w:rsidR="00EF18C7" w:rsidRPr="002F651B">
        <w:rPr>
          <w:rFonts w:ascii="Gadugi" w:eastAsia="Calibri" w:hAnsi="Gadugi" w:cs="Times New Roman"/>
          <w:sz w:val="24"/>
          <w:szCs w:val="24"/>
          <w:lang w:val="es-419"/>
        </w:rPr>
        <w:t xml:space="preserve">, Ricardo y </w:t>
      </w:r>
      <w:r w:rsidR="009929D4" w:rsidRPr="002F651B">
        <w:rPr>
          <w:rFonts w:ascii="Gadugi" w:eastAsia="Calibri" w:hAnsi="Gadugi" w:cs="Times New Roman"/>
          <w:sz w:val="24"/>
          <w:szCs w:val="24"/>
          <w:lang w:val="es-419"/>
        </w:rPr>
        <w:t>A</w:t>
      </w:r>
      <w:proofErr w:type="spellStart"/>
      <w:r w:rsidR="00783109" w:rsidRPr="002F651B">
        <w:rPr>
          <w:rFonts w:ascii="Gadugi" w:eastAsia="Georgia" w:hAnsi="Gadugi" w:cs="Georgia"/>
          <w:bCs/>
          <w:sz w:val="24"/>
          <w:szCs w:val="24"/>
        </w:rPr>
        <w:t>lejandra</w:t>
      </w:r>
      <w:proofErr w:type="spellEnd"/>
      <w:r w:rsidR="00783109" w:rsidRPr="002F651B">
        <w:rPr>
          <w:rFonts w:ascii="Gadugi" w:eastAsia="Georgia" w:hAnsi="Gadugi" w:cs="Georgia"/>
          <w:bCs/>
          <w:sz w:val="24"/>
          <w:szCs w:val="24"/>
        </w:rPr>
        <w:t xml:space="preserve"> María </w:t>
      </w:r>
      <w:proofErr w:type="spellStart"/>
      <w:r w:rsidR="00783109" w:rsidRPr="002F651B">
        <w:rPr>
          <w:rFonts w:ascii="Gadugi" w:eastAsia="Georgia" w:hAnsi="Gadugi" w:cs="Georgia"/>
          <w:bCs/>
          <w:sz w:val="24"/>
          <w:szCs w:val="24"/>
        </w:rPr>
        <w:t>Piedrahíta</w:t>
      </w:r>
      <w:proofErr w:type="spellEnd"/>
      <w:r w:rsidR="00783109" w:rsidRPr="002F651B">
        <w:rPr>
          <w:rFonts w:ascii="Gadugi" w:eastAsia="Georgia" w:hAnsi="Gadugi" w:cs="Georgia"/>
          <w:bCs/>
          <w:sz w:val="24"/>
          <w:szCs w:val="24"/>
        </w:rPr>
        <w:t xml:space="preserve"> Correa</w:t>
      </w:r>
      <w:r w:rsidR="009929D4" w:rsidRPr="002F651B">
        <w:rPr>
          <w:rFonts w:ascii="Gadugi" w:eastAsia="Georgia" w:hAnsi="Gadugi" w:cs="Georgia"/>
          <w:bCs/>
          <w:sz w:val="24"/>
          <w:szCs w:val="24"/>
        </w:rPr>
        <w:t xml:space="preserve">, </w:t>
      </w:r>
      <w:r w:rsidR="009929D4" w:rsidRPr="002F651B">
        <w:rPr>
          <w:rFonts w:ascii="Gadugi" w:eastAsia="Georgia" w:hAnsi="Gadugi" w:cs="Georgia"/>
          <w:sz w:val="24"/>
          <w:szCs w:val="24"/>
        </w:rPr>
        <w:t xml:space="preserve">la </w:t>
      </w:r>
      <w:r w:rsidR="008875BD" w:rsidRPr="002F651B">
        <w:rPr>
          <w:rFonts w:ascii="Gadugi" w:eastAsia="Georgia" w:hAnsi="Gadugi" w:cs="Georgia"/>
          <w:sz w:val="24"/>
          <w:szCs w:val="24"/>
        </w:rPr>
        <w:t>suma de $30’000.000</w:t>
      </w:r>
      <w:r w:rsidR="00A04EA0">
        <w:rPr>
          <w:rFonts w:ascii="Gadugi" w:eastAsia="Georgia" w:hAnsi="Gadugi" w:cs="Georgia"/>
          <w:sz w:val="24"/>
          <w:szCs w:val="24"/>
        </w:rPr>
        <w:t>,00</w:t>
      </w:r>
      <w:r w:rsidR="008875BD" w:rsidRPr="002F651B">
        <w:rPr>
          <w:rFonts w:ascii="Gadugi" w:eastAsia="Georgia" w:hAnsi="Gadugi" w:cs="Georgia"/>
          <w:sz w:val="24"/>
          <w:szCs w:val="24"/>
        </w:rPr>
        <w:t xml:space="preserve">, para cada uno. </w:t>
      </w:r>
    </w:p>
    <w:p w14:paraId="0E905149" w14:textId="77777777" w:rsidR="00783109" w:rsidRPr="002F651B" w:rsidRDefault="00783109" w:rsidP="002F651B">
      <w:pPr>
        <w:tabs>
          <w:tab w:val="left" w:pos="3686"/>
          <w:tab w:val="left" w:pos="4536"/>
        </w:tabs>
        <w:jc w:val="both"/>
        <w:rPr>
          <w:rFonts w:ascii="Gadugi" w:eastAsia="Georgia" w:hAnsi="Gadugi" w:cs="Georgia"/>
          <w:sz w:val="24"/>
          <w:szCs w:val="24"/>
        </w:rPr>
      </w:pPr>
    </w:p>
    <w:p w14:paraId="4F6CEDCD" w14:textId="749C42C1" w:rsidR="00783109" w:rsidRPr="002F651B" w:rsidRDefault="008875BD" w:rsidP="002F651B">
      <w:pPr>
        <w:tabs>
          <w:tab w:val="left" w:pos="1134"/>
        </w:tabs>
        <w:jc w:val="both"/>
        <w:rPr>
          <w:rFonts w:ascii="Gadugi" w:eastAsia="Calibri" w:hAnsi="Gadugi" w:cs="Times New Roman"/>
          <w:sz w:val="24"/>
          <w:szCs w:val="24"/>
          <w:lang w:val="es-419"/>
        </w:rPr>
      </w:pPr>
      <w:r w:rsidRPr="002F651B">
        <w:rPr>
          <w:rFonts w:ascii="Gadugi" w:eastAsia="Calibri" w:hAnsi="Gadugi" w:cs="Times New Roman"/>
          <w:b/>
          <w:bCs/>
          <w:sz w:val="24"/>
          <w:szCs w:val="24"/>
          <w:lang w:val="es-419"/>
        </w:rPr>
        <w:t>2.17.2.</w:t>
      </w:r>
      <w:r w:rsidR="0044784B" w:rsidRPr="002F651B">
        <w:rPr>
          <w:rFonts w:ascii="Gadugi" w:eastAsia="Calibri" w:hAnsi="Gadugi" w:cs="Times New Roman"/>
          <w:sz w:val="24"/>
          <w:szCs w:val="24"/>
          <w:lang w:val="es-419"/>
        </w:rPr>
        <w:tab/>
      </w:r>
      <w:r w:rsidR="0044784B" w:rsidRPr="002F651B">
        <w:rPr>
          <w:rFonts w:ascii="Gadugi" w:eastAsia="Calibri" w:hAnsi="Gadugi" w:cs="Times New Roman"/>
          <w:b/>
          <w:bCs/>
          <w:sz w:val="24"/>
          <w:szCs w:val="24"/>
          <w:lang w:val="es-419"/>
        </w:rPr>
        <w:t>Daño a la vida de relación.</w:t>
      </w:r>
      <w:r w:rsidR="0044784B" w:rsidRPr="002F651B">
        <w:rPr>
          <w:rFonts w:ascii="Gadugi" w:eastAsia="Calibri" w:hAnsi="Gadugi" w:cs="Times New Roman"/>
          <w:sz w:val="24"/>
          <w:szCs w:val="24"/>
          <w:lang w:val="es-419"/>
        </w:rPr>
        <w:t xml:space="preserve"> </w:t>
      </w:r>
      <w:r w:rsidRPr="002F651B">
        <w:rPr>
          <w:rFonts w:ascii="Gadugi" w:eastAsia="Calibri" w:hAnsi="Gadugi" w:cs="Times New Roman"/>
          <w:sz w:val="24"/>
          <w:szCs w:val="24"/>
          <w:lang w:val="es-419"/>
        </w:rPr>
        <w:t xml:space="preserve"> </w:t>
      </w:r>
    </w:p>
    <w:p w14:paraId="6E8A4D48" w14:textId="77777777" w:rsidR="00B56C52" w:rsidRPr="002F651B" w:rsidRDefault="00B56C52" w:rsidP="002F651B">
      <w:pPr>
        <w:tabs>
          <w:tab w:val="left" w:pos="851"/>
        </w:tabs>
        <w:jc w:val="both"/>
        <w:rPr>
          <w:rFonts w:ascii="Gadugi" w:eastAsia="Calibri" w:hAnsi="Gadugi" w:cs="Times New Roman"/>
          <w:sz w:val="24"/>
          <w:szCs w:val="24"/>
          <w:lang w:val="es-419"/>
        </w:rPr>
      </w:pPr>
    </w:p>
    <w:p w14:paraId="24EB5B3D" w14:textId="192BD495" w:rsidR="004F091D" w:rsidRPr="002F651B" w:rsidRDefault="00112EFE" w:rsidP="002F651B">
      <w:pPr>
        <w:tabs>
          <w:tab w:val="left" w:pos="851"/>
        </w:tabs>
        <w:jc w:val="both"/>
        <w:rPr>
          <w:rFonts w:ascii="Gadugi" w:eastAsia="Calibri" w:hAnsi="Gadugi" w:cs="Times New Roman"/>
          <w:sz w:val="24"/>
          <w:szCs w:val="24"/>
          <w:lang w:val="es-CO"/>
        </w:rPr>
      </w:pPr>
      <w:r w:rsidRPr="002F651B">
        <w:rPr>
          <w:rFonts w:ascii="Gadugi" w:eastAsia="Calibri" w:hAnsi="Gadugi" w:cs="Times New Roman"/>
          <w:sz w:val="24"/>
          <w:szCs w:val="24"/>
          <w:lang w:val="es-CO"/>
        </w:rPr>
        <w:t xml:space="preserve">Esta modalidad de daño inmaterial, </w:t>
      </w:r>
      <w:r w:rsidR="004F091D" w:rsidRPr="002F651B">
        <w:rPr>
          <w:rFonts w:ascii="Gadugi" w:eastAsia="Calibri" w:hAnsi="Gadugi" w:cs="Times New Roman"/>
          <w:sz w:val="24"/>
          <w:szCs w:val="24"/>
          <w:lang w:val="es-CO"/>
        </w:rPr>
        <w:t xml:space="preserve">ha sido un tema ampliamente abordado por la </w:t>
      </w:r>
      <w:r w:rsidR="006B3710" w:rsidRPr="002F651B">
        <w:rPr>
          <w:rFonts w:ascii="Gadugi" w:eastAsia="Calibri" w:hAnsi="Gadugi" w:cs="Times New Roman"/>
          <w:sz w:val="24"/>
          <w:szCs w:val="24"/>
          <w:lang w:val="es-CO"/>
        </w:rPr>
        <w:t>j</w:t>
      </w:r>
      <w:r w:rsidR="004F091D" w:rsidRPr="002F651B">
        <w:rPr>
          <w:rFonts w:ascii="Gadugi" w:eastAsia="Calibri" w:hAnsi="Gadugi" w:cs="Times New Roman"/>
          <w:sz w:val="24"/>
          <w:szCs w:val="24"/>
          <w:lang w:val="es-CO"/>
        </w:rPr>
        <w:t xml:space="preserve">urisprudencia de la Corte Suprema de Justicia, </w:t>
      </w:r>
      <w:r w:rsidR="00032C5C" w:rsidRPr="002F651B">
        <w:rPr>
          <w:rFonts w:ascii="Gadugi" w:eastAsia="Calibri" w:hAnsi="Gadugi" w:cs="Times New Roman"/>
          <w:sz w:val="24"/>
          <w:szCs w:val="24"/>
          <w:lang w:val="es-CO"/>
        </w:rPr>
        <w:t xml:space="preserve">que ha destacado que </w:t>
      </w:r>
      <w:r w:rsidR="004F091D" w:rsidRPr="002F651B">
        <w:rPr>
          <w:rFonts w:ascii="Gadugi" w:eastAsia="Calibri" w:hAnsi="Gadugi" w:cs="Times New Roman"/>
          <w:sz w:val="24"/>
          <w:szCs w:val="24"/>
          <w:lang w:val="es-CO"/>
        </w:rPr>
        <w:t>consiste en la afectación de la actividad social</w:t>
      </w:r>
      <w:r w:rsidR="00032C5C" w:rsidRPr="002F651B">
        <w:rPr>
          <w:rFonts w:ascii="Gadugi" w:eastAsia="Calibri" w:hAnsi="Gadugi" w:cs="Times New Roman"/>
          <w:sz w:val="24"/>
          <w:szCs w:val="24"/>
          <w:lang w:val="es-CO"/>
        </w:rPr>
        <w:t>,</w:t>
      </w:r>
      <w:r w:rsidR="004F091D" w:rsidRPr="002F651B">
        <w:rPr>
          <w:rFonts w:ascii="Gadugi" w:eastAsia="Calibri" w:hAnsi="Gadugi" w:cs="Times New Roman"/>
          <w:sz w:val="24"/>
          <w:szCs w:val="24"/>
          <w:lang w:val="es-CO"/>
        </w:rPr>
        <w:t xml:space="preserve"> no patrimonial de una persona, </w:t>
      </w:r>
      <w:r w:rsidR="00560052" w:rsidRPr="002F651B">
        <w:rPr>
          <w:rFonts w:ascii="Gadugi" w:eastAsia="Calibri" w:hAnsi="Gadugi" w:cs="Times New Roman"/>
          <w:sz w:val="24"/>
          <w:szCs w:val="24"/>
          <w:lang w:val="es-CO"/>
        </w:rPr>
        <w:t xml:space="preserve">y </w:t>
      </w:r>
      <w:r w:rsidR="004F091D" w:rsidRPr="002F651B">
        <w:rPr>
          <w:rFonts w:ascii="Gadugi" w:eastAsia="Calibri" w:hAnsi="Gadugi" w:cs="Times New Roman"/>
          <w:sz w:val="24"/>
          <w:szCs w:val="24"/>
          <w:lang w:val="es-CO"/>
        </w:rPr>
        <w:t>se refleja sobre la esfera externa del individuo</w:t>
      </w:r>
      <w:r w:rsidR="00560052" w:rsidRPr="002F651B">
        <w:rPr>
          <w:rFonts w:ascii="Gadugi" w:eastAsia="Calibri" w:hAnsi="Gadugi" w:cs="Times New Roman"/>
          <w:sz w:val="24"/>
          <w:szCs w:val="24"/>
          <w:lang w:val="es-CO"/>
        </w:rPr>
        <w:t xml:space="preserve">. Por ello, </w:t>
      </w:r>
      <w:r w:rsidR="004F091D" w:rsidRPr="002F651B">
        <w:rPr>
          <w:rFonts w:ascii="Gadugi" w:eastAsia="Calibri" w:hAnsi="Gadugi" w:cs="Times New Roman"/>
          <w:sz w:val="24"/>
          <w:szCs w:val="24"/>
          <w:lang w:val="es-CO"/>
        </w:rPr>
        <w:t>para lograr su reconocimiento debe encontrarse acreditada la existencia y la intensidad del daño</w:t>
      </w:r>
      <w:r w:rsidR="00EA66C8" w:rsidRPr="002F651B">
        <w:rPr>
          <w:rStyle w:val="Refdenotaalpie"/>
          <w:rFonts w:ascii="Gadugi" w:eastAsia="Calibri" w:hAnsi="Gadugi" w:cs="Times New Roman"/>
          <w:sz w:val="24"/>
          <w:szCs w:val="24"/>
          <w:lang w:val="es-CO"/>
        </w:rPr>
        <w:footnoteReference w:id="61"/>
      </w:r>
      <w:r w:rsidR="00EA66C8" w:rsidRPr="002F651B">
        <w:rPr>
          <w:rFonts w:ascii="Gadugi" w:eastAsia="Calibri" w:hAnsi="Gadugi" w:cs="Times New Roman"/>
          <w:sz w:val="24"/>
          <w:szCs w:val="24"/>
          <w:lang w:val="es-CO"/>
        </w:rPr>
        <w:t xml:space="preserve">, </w:t>
      </w:r>
      <w:r w:rsidR="004F091D" w:rsidRPr="002F651B">
        <w:rPr>
          <w:rFonts w:ascii="Gadugi" w:eastAsia="Calibri" w:hAnsi="Gadugi" w:cs="Times New Roman"/>
          <w:sz w:val="24"/>
          <w:szCs w:val="24"/>
          <w:lang w:val="es-CO"/>
        </w:rPr>
        <w:t xml:space="preserve">postura que ha sido acogida por esta Colegiatura en todas sus decisiones. </w:t>
      </w:r>
    </w:p>
    <w:p w14:paraId="7417F2C5" w14:textId="77777777" w:rsidR="004F091D" w:rsidRPr="002F651B" w:rsidRDefault="004F091D" w:rsidP="002F651B">
      <w:pPr>
        <w:tabs>
          <w:tab w:val="left" w:pos="851"/>
        </w:tabs>
        <w:jc w:val="both"/>
        <w:rPr>
          <w:rFonts w:ascii="Gadugi" w:eastAsia="Calibri" w:hAnsi="Gadugi" w:cs="Times New Roman"/>
          <w:sz w:val="24"/>
          <w:szCs w:val="24"/>
          <w:lang w:val="es-CO"/>
        </w:rPr>
      </w:pPr>
    </w:p>
    <w:p w14:paraId="55C977EF" w14:textId="63570864" w:rsidR="004F091D" w:rsidRPr="002F651B" w:rsidRDefault="005A5B1C" w:rsidP="002F651B">
      <w:pPr>
        <w:tabs>
          <w:tab w:val="left" w:pos="851"/>
        </w:tabs>
        <w:jc w:val="both"/>
        <w:rPr>
          <w:rFonts w:ascii="Gadugi" w:eastAsia="Calibri" w:hAnsi="Gadugi" w:cs="Times New Roman"/>
          <w:sz w:val="24"/>
          <w:szCs w:val="24"/>
          <w:lang w:val="es-CO"/>
        </w:rPr>
      </w:pPr>
      <w:r w:rsidRPr="002F651B">
        <w:rPr>
          <w:rFonts w:ascii="Gadugi" w:eastAsia="Calibri" w:hAnsi="Gadugi" w:cs="Times New Roman"/>
          <w:sz w:val="24"/>
          <w:szCs w:val="24"/>
          <w:lang w:val="es-CO"/>
        </w:rPr>
        <w:t>B</w:t>
      </w:r>
      <w:r w:rsidR="004F091D" w:rsidRPr="002F651B">
        <w:rPr>
          <w:rFonts w:ascii="Gadugi" w:eastAsia="Calibri" w:hAnsi="Gadugi" w:cs="Times New Roman"/>
          <w:sz w:val="24"/>
          <w:szCs w:val="24"/>
          <w:lang w:val="es-CO"/>
        </w:rPr>
        <w:t xml:space="preserve">asta con traer a colación una de las </w:t>
      </w:r>
      <w:r w:rsidR="00433AF8" w:rsidRPr="002F651B">
        <w:rPr>
          <w:rFonts w:ascii="Gadugi" w:eastAsia="Calibri" w:hAnsi="Gadugi" w:cs="Times New Roman"/>
          <w:sz w:val="24"/>
          <w:szCs w:val="24"/>
          <w:lang w:val="es-CO"/>
        </w:rPr>
        <w:t xml:space="preserve">tantas decisiones emitidas por este Tribunal, por ejemplo, la sentencia </w:t>
      </w:r>
      <w:r w:rsidR="004F091D" w:rsidRPr="002F651B">
        <w:rPr>
          <w:rFonts w:ascii="Gadugi" w:eastAsia="Calibri" w:hAnsi="Gadugi" w:cs="Times New Roman"/>
          <w:sz w:val="24"/>
          <w:szCs w:val="24"/>
          <w:lang w:val="es-CO"/>
        </w:rPr>
        <w:t xml:space="preserve">SC-0080-2021, </w:t>
      </w:r>
      <w:r w:rsidR="00433AF8" w:rsidRPr="002F651B">
        <w:rPr>
          <w:rFonts w:ascii="Gadugi" w:eastAsia="Calibri" w:hAnsi="Gadugi" w:cs="Times New Roman"/>
          <w:sz w:val="24"/>
          <w:szCs w:val="24"/>
          <w:lang w:val="es-CO"/>
        </w:rPr>
        <w:t>en la que se</w:t>
      </w:r>
      <w:r w:rsidR="004F091D" w:rsidRPr="002F651B">
        <w:rPr>
          <w:rFonts w:ascii="Gadugi" w:eastAsia="Calibri" w:hAnsi="Gadugi" w:cs="Times New Roman"/>
          <w:sz w:val="24"/>
          <w:szCs w:val="24"/>
          <w:lang w:val="es-CO"/>
        </w:rPr>
        <w:t xml:space="preserve"> expuso que:         </w:t>
      </w:r>
    </w:p>
    <w:p w14:paraId="2D0AFC25" w14:textId="77777777" w:rsidR="004F091D" w:rsidRPr="002F651B" w:rsidRDefault="004F091D" w:rsidP="002F651B">
      <w:pPr>
        <w:tabs>
          <w:tab w:val="left" w:pos="851"/>
        </w:tabs>
        <w:jc w:val="both"/>
        <w:rPr>
          <w:rFonts w:ascii="Gadugi" w:eastAsia="Calibri" w:hAnsi="Gadugi" w:cs="Times New Roman"/>
          <w:sz w:val="24"/>
          <w:szCs w:val="24"/>
          <w:lang w:val="es-ES"/>
        </w:rPr>
      </w:pPr>
    </w:p>
    <w:p w14:paraId="1977D5A2" w14:textId="77777777" w:rsidR="004F091D" w:rsidRPr="0040772F" w:rsidRDefault="004F091D" w:rsidP="0040772F">
      <w:pPr>
        <w:spacing w:line="240" w:lineRule="auto"/>
        <w:ind w:left="426" w:right="382"/>
        <w:jc w:val="both"/>
        <w:rPr>
          <w:rFonts w:ascii="Gadugi" w:eastAsia="Calibri" w:hAnsi="Gadugi" w:cs="Times New Roman"/>
          <w:szCs w:val="24"/>
          <w:lang w:val="es-ES"/>
        </w:rPr>
      </w:pPr>
      <w:r w:rsidRPr="0040772F">
        <w:rPr>
          <w:rFonts w:ascii="Gadugi" w:eastAsia="Calibri" w:hAnsi="Gadugi" w:cs="Times New Roman"/>
          <w:szCs w:val="24"/>
          <w:lang w:val="es-ES"/>
        </w:rPr>
        <w:t>Esta modalidad de perjuicio fue reconocida primero por nuestra CSJ en 1968</w:t>
      </w:r>
      <w:r w:rsidRPr="0040772F">
        <w:rPr>
          <w:rFonts w:ascii="Gadugi" w:eastAsia="Calibri" w:hAnsi="Gadugi" w:cs="Times New Roman"/>
          <w:szCs w:val="24"/>
          <w:vertAlign w:val="superscript"/>
          <w:lang w:val="es-ES"/>
        </w:rPr>
        <w:footnoteReference w:id="62"/>
      </w:r>
      <w:r w:rsidRPr="0040772F">
        <w:rPr>
          <w:rFonts w:ascii="Gadugi" w:eastAsia="Calibri" w:hAnsi="Gadugi" w:cs="Times New Roman"/>
          <w:szCs w:val="24"/>
          <w:lang w:val="es-ES"/>
        </w:rPr>
        <w:t xml:space="preserve">, sin embargo, se empleó apenas como </w:t>
      </w:r>
      <w:proofErr w:type="spellStart"/>
      <w:r w:rsidRPr="0040772F">
        <w:rPr>
          <w:rFonts w:ascii="Gadugi" w:eastAsia="Calibri" w:hAnsi="Gadugi" w:cs="Times New Roman"/>
          <w:i/>
          <w:iCs/>
          <w:szCs w:val="24"/>
          <w:lang w:val="es-ES"/>
        </w:rPr>
        <w:t>obiter</w:t>
      </w:r>
      <w:proofErr w:type="spellEnd"/>
      <w:r w:rsidRPr="0040772F">
        <w:rPr>
          <w:rFonts w:ascii="Gadugi" w:eastAsia="Calibri" w:hAnsi="Gadugi" w:cs="Times New Roman"/>
          <w:i/>
          <w:iCs/>
          <w:szCs w:val="24"/>
          <w:lang w:val="es-ES"/>
        </w:rPr>
        <w:t xml:space="preserve"> dicta</w:t>
      </w:r>
      <w:r w:rsidRPr="0040772F">
        <w:rPr>
          <w:rFonts w:ascii="Gadugi" w:eastAsia="Calibri" w:hAnsi="Gadugi" w:cs="Times New Roman"/>
          <w:szCs w:val="24"/>
          <w:lang w:val="es-ES"/>
        </w:rPr>
        <w:t xml:space="preserve">, es decir, no fue aplicada la teoría que la sustentó, por lo que mal puede calificarse como precedente. En cambio, el Consejo </w:t>
      </w:r>
      <w:r w:rsidRPr="0040772F">
        <w:rPr>
          <w:rFonts w:ascii="Gadugi" w:eastAsia="Calibri" w:hAnsi="Gadugi" w:cs="Times New Roman"/>
          <w:szCs w:val="24"/>
          <w:lang w:val="es-ES"/>
        </w:rPr>
        <w:lastRenderedPageBreak/>
        <w:t>de Estado si la reconoció y aplicó, luego de un largo recorrido, lleno de imprecisiones e inconsistencias</w:t>
      </w:r>
      <w:r w:rsidRPr="0040772F">
        <w:rPr>
          <w:rFonts w:ascii="Gadugi" w:eastAsia="Calibri" w:hAnsi="Gadugi" w:cs="Times New Roman"/>
          <w:szCs w:val="24"/>
          <w:vertAlign w:val="superscript"/>
          <w:lang w:val="es-ES"/>
        </w:rPr>
        <w:footnoteReference w:id="63"/>
      </w:r>
      <w:r w:rsidRPr="0040772F">
        <w:rPr>
          <w:rFonts w:ascii="Gadugi" w:eastAsia="Calibri" w:hAnsi="Gadugi" w:cs="Times New Roman"/>
          <w:szCs w:val="24"/>
          <w:vertAlign w:val="superscript"/>
          <w:lang w:val="es-ES"/>
        </w:rPr>
        <w:t>-</w:t>
      </w:r>
      <w:r w:rsidRPr="0040772F">
        <w:rPr>
          <w:rFonts w:ascii="Gadugi" w:eastAsia="Calibri" w:hAnsi="Gadugi" w:cs="Times New Roman"/>
          <w:szCs w:val="24"/>
          <w:vertAlign w:val="superscript"/>
          <w:lang w:val="es-ES"/>
        </w:rPr>
        <w:footnoteReference w:id="64"/>
      </w:r>
      <w:r w:rsidRPr="0040772F">
        <w:rPr>
          <w:rFonts w:ascii="Gadugi" w:eastAsia="Calibri" w:hAnsi="Gadugi" w:cs="Times New Roman"/>
          <w:szCs w:val="24"/>
          <w:lang w:val="es-ES"/>
        </w:rPr>
        <w:t>, propio de la dinámica evolutiva doctrinaria, hasta que se empezó a consolidar en el año 2011</w:t>
      </w:r>
      <w:r w:rsidRPr="0040772F">
        <w:rPr>
          <w:rFonts w:ascii="Gadugi" w:eastAsia="Calibri" w:hAnsi="Gadugi" w:cs="Times New Roman"/>
          <w:szCs w:val="24"/>
          <w:vertAlign w:val="superscript"/>
          <w:lang w:val="es-ES"/>
        </w:rPr>
        <w:footnoteReference w:id="65"/>
      </w:r>
      <w:r w:rsidRPr="0040772F">
        <w:rPr>
          <w:rFonts w:ascii="Gadugi" w:eastAsia="Calibri" w:hAnsi="Gadugi" w:cs="Times New Roman"/>
          <w:szCs w:val="24"/>
          <w:lang w:val="es-ES"/>
        </w:rPr>
        <w:t>, para depurarse, finalmente, en 2013</w:t>
      </w:r>
      <w:r w:rsidRPr="0040772F">
        <w:rPr>
          <w:rFonts w:ascii="Gadugi" w:eastAsia="Calibri" w:hAnsi="Gadugi" w:cs="Times New Roman"/>
          <w:szCs w:val="24"/>
          <w:vertAlign w:val="superscript"/>
          <w:lang w:val="es-ES"/>
        </w:rPr>
        <w:footnoteReference w:id="66"/>
      </w:r>
      <w:r w:rsidRPr="0040772F">
        <w:rPr>
          <w:rFonts w:ascii="Gadugi" w:eastAsia="Calibri" w:hAnsi="Gadugi" w:cs="Times New Roman"/>
          <w:szCs w:val="24"/>
          <w:lang w:val="es-ES"/>
        </w:rPr>
        <w:t>; en la tesis actual del CE esta especie se subsume en el daño a la salud.</w:t>
      </w:r>
    </w:p>
    <w:p w14:paraId="254B788D" w14:textId="77777777" w:rsidR="004F091D" w:rsidRPr="0040772F" w:rsidRDefault="004F091D" w:rsidP="0040772F">
      <w:pPr>
        <w:spacing w:line="240" w:lineRule="auto"/>
        <w:ind w:left="426" w:right="382"/>
        <w:jc w:val="both"/>
        <w:rPr>
          <w:rFonts w:ascii="Gadugi" w:eastAsia="Calibri" w:hAnsi="Gadugi" w:cs="Times New Roman"/>
          <w:szCs w:val="24"/>
          <w:lang w:val="es-ES"/>
        </w:rPr>
      </w:pPr>
    </w:p>
    <w:p w14:paraId="5B5C84C0" w14:textId="77777777" w:rsidR="004F091D" w:rsidRPr="0040772F" w:rsidRDefault="004F091D" w:rsidP="0040772F">
      <w:pPr>
        <w:spacing w:line="240" w:lineRule="auto"/>
        <w:ind w:left="426" w:right="382"/>
        <w:jc w:val="both"/>
        <w:rPr>
          <w:rFonts w:ascii="Gadugi" w:eastAsia="Calibri" w:hAnsi="Gadugi" w:cs="Times New Roman"/>
          <w:szCs w:val="24"/>
          <w:lang w:val="es-ES"/>
        </w:rPr>
      </w:pPr>
      <w:r w:rsidRPr="0040772F">
        <w:rPr>
          <w:rFonts w:ascii="Gadugi" w:eastAsia="Calibri" w:hAnsi="Gadugi" w:cs="Times New Roman"/>
          <w:szCs w:val="24"/>
          <w:lang w:val="es-ES"/>
        </w:rPr>
        <w:t>Sobre el perjuicio a la vida de relación, compete evocar el parecer de la CSJ</w:t>
      </w:r>
      <w:r w:rsidRPr="0040772F">
        <w:rPr>
          <w:rFonts w:ascii="Gadugi" w:eastAsia="Calibri" w:hAnsi="Gadugi" w:cs="Times New Roman"/>
          <w:szCs w:val="24"/>
          <w:vertAlign w:val="superscript"/>
          <w:lang w:val="es-ES"/>
        </w:rPr>
        <w:footnoteReference w:id="67"/>
      </w:r>
      <w:r w:rsidRPr="0040772F">
        <w:rPr>
          <w:rFonts w:ascii="Gadugi" w:eastAsia="Calibri" w:hAnsi="Gadugi" w:cs="Times New Roman"/>
          <w:szCs w:val="24"/>
          <w:lang w:val="es-ES"/>
        </w:rPr>
        <w:t>, que ratificó la definición en el año 2017, donde tuvo oportunidad de diferenciar su contenido del menoscabo moral propiamente, y compendió algunos de los aspectos que deben ser materia de prueba en el debate procesal, pues en el caso estudiado por esa Alta Colegiatura, los echó de menos, explicitó:</w:t>
      </w:r>
    </w:p>
    <w:p w14:paraId="075D9730" w14:textId="77777777" w:rsidR="004F091D" w:rsidRPr="0040772F" w:rsidRDefault="004F091D" w:rsidP="0040772F">
      <w:pPr>
        <w:spacing w:line="240" w:lineRule="auto"/>
        <w:ind w:left="426" w:right="382"/>
        <w:jc w:val="both"/>
        <w:rPr>
          <w:rFonts w:ascii="Gadugi" w:eastAsia="Calibri" w:hAnsi="Gadugi" w:cs="Times New Roman"/>
          <w:szCs w:val="24"/>
          <w:lang w:val="es-ES"/>
        </w:rPr>
      </w:pPr>
    </w:p>
    <w:p w14:paraId="2C7DD352" w14:textId="77777777" w:rsidR="004F091D" w:rsidRPr="0040772F" w:rsidRDefault="004F091D" w:rsidP="0040772F">
      <w:pPr>
        <w:spacing w:line="240" w:lineRule="auto"/>
        <w:ind w:left="426" w:right="382"/>
        <w:jc w:val="both"/>
        <w:rPr>
          <w:rFonts w:ascii="Gadugi" w:eastAsia="Calibri" w:hAnsi="Gadugi" w:cs="Times New Roman"/>
          <w:szCs w:val="24"/>
          <w:lang w:val="es-CO"/>
        </w:rPr>
      </w:pPr>
      <w:r w:rsidRPr="0040772F">
        <w:rPr>
          <w:rFonts w:ascii="Gadugi" w:eastAsia="Calibri" w:hAnsi="Gadugi" w:cs="Times New Roman"/>
          <w:i/>
          <w:iCs/>
          <w:szCs w:val="24"/>
          <w:lang w:val="es-ES"/>
        </w:rPr>
        <w:t xml:space="preserve">… el impugnante no señaló, puntualmente, de qué forma se le generó el daño a la vida de relación, pues, como atrás se indicó, </w:t>
      </w:r>
      <w:r w:rsidRPr="0040772F">
        <w:rPr>
          <w:rFonts w:ascii="Gadugi" w:eastAsia="Calibri" w:hAnsi="Gadugi" w:cs="Times New Roman"/>
          <w:i/>
          <w:iCs/>
          <w:szCs w:val="24"/>
          <w:u w:val="single"/>
          <w:lang w:val="es-ES"/>
        </w:rPr>
        <w:t>no hubo señalamiento concreto de la repercusión en el círculo o frente a los vínculos de la actora. Es más, no se apreció o describió, en particular, qué nexos o relaciones se vieron afectadas, sus características o la magnitud de tal incidencia.</w:t>
      </w:r>
      <w:r w:rsidRPr="0040772F">
        <w:rPr>
          <w:rFonts w:ascii="Gadugi" w:eastAsia="Calibri" w:hAnsi="Gadugi" w:cs="Times New Roman"/>
          <w:i/>
          <w:iCs/>
          <w:szCs w:val="24"/>
          <w:lang w:val="es-ES"/>
        </w:rPr>
        <w:t xml:space="preserve"> Resulta incontrovertible que toda limitación en la salud física o mental de un individuo impacta negativamente su entorno; sin embargo, ante una reclamación judicial, no puede la víctima dejar al juez conjeturar las repercusiones concretas de esa situación perjudicial y, en el presente asunto, la afectada se despreocupó de indicar las particularidades del detrimento denunciado, luego, no es dable aseverar su existencia real, determinada y concreta</w:t>
      </w:r>
      <w:r w:rsidRPr="0040772F">
        <w:rPr>
          <w:rFonts w:ascii="Gadugi" w:eastAsia="Calibri" w:hAnsi="Gadugi" w:cs="Times New Roman"/>
          <w:szCs w:val="24"/>
          <w:lang w:val="es-ES"/>
        </w:rPr>
        <w:t xml:space="preserve">. </w:t>
      </w:r>
      <w:proofErr w:type="spellStart"/>
      <w:r w:rsidRPr="0040772F">
        <w:rPr>
          <w:rFonts w:ascii="Gadugi" w:eastAsia="Calibri" w:hAnsi="Gadugi" w:cs="Times New Roman"/>
          <w:szCs w:val="24"/>
          <w:lang w:val="es-ES"/>
        </w:rPr>
        <w:t>Sublínea</w:t>
      </w:r>
      <w:proofErr w:type="spellEnd"/>
      <w:r w:rsidRPr="0040772F">
        <w:rPr>
          <w:rFonts w:ascii="Gadugi" w:eastAsia="Calibri" w:hAnsi="Gadugi" w:cs="Times New Roman"/>
          <w:szCs w:val="24"/>
          <w:lang w:val="es-ES"/>
        </w:rPr>
        <w:t xml:space="preserve"> y cursiva de esta Sala.</w:t>
      </w:r>
    </w:p>
    <w:p w14:paraId="7220C42E" w14:textId="77777777" w:rsidR="004F091D" w:rsidRPr="0040772F" w:rsidRDefault="004F091D" w:rsidP="0040772F">
      <w:pPr>
        <w:spacing w:line="240" w:lineRule="auto"/>
        <w:ind w:left="426" w:right="382"/>
        <w:jc w:val="both"/>
        <w:rPr>
          <w:rFonts w:ascii="Gadugi" w:eastAsia="Calibri" w:hAnsi="Gadugi" w:cs="Times New Roman"/>
          <w:szCs w:val="24"/>
          <w:lang w:val="es-CO"/>
        </w:rPr>
      </w:pPr>
    </w:p>
    <w:p w14:paraId="6E131F48" w14:textId="77777777" w:rsidR="004F091D" w:rsidRPr="0040772F" w:rsidRDefault="004F091D" w:rsidP="0040772F">
      <w:pPr>
        <w:spacing w:line="240" w:lineRule="auto"/>
        <w:ind w:left="426" w:right="382"/>
        <w:jc w:val="both"/>
        <w:rPr>
          <w:rFonts w:ascii="Gadugi" w:eastAsia="Calibri" w:hAnsi="Gadugi" w:cs="Times New Roman"/>
          <w:szCs w:val="24"/>
          <w:lang w:val="es-CO"/>
        </w:rPr>
      </w:pPr>
      <w:r w:rsidRPr="0040772F">
        <w:rPr>
          <w:rFonts w:ascii="Gadugi" w:eastAsia="Calibri" w:hAnsi="Gadugi" w:cs="Times New Roman"/>
          <w:szCs w:val="24"/>
          <w:lang w:val="es-CO"/>
        </w:rPr>
        <w:t>Conviene ilustrar el contenido de esta tipología de perjuicio, con las palabras de la CSJ</w:t>
      </w:r>
      <w:r w:rsidRPr="0040772F">
        <w:rPr>
          <w:rFonts w:ascii="Gadugi" w:eastAsia="Calibri" w:hAnsi="Gadugi" w:cs="Times New Roman"/>
          <w:szCs w:val="24"/>
          <w:vertAlign w:val="superscript"/>
          <w:lang w:val="es-CO"/>
        </w:rPr>
        <w:footnoteReference w:id="68"/>
      </w:r>
      <w:r w:rsidRPr="0040772F">
        <w:rPr>
          <w:rFonts w:ascii="Gadugi" w:eastAsia="Calibri" w:hAnsi="Gadugi" w:cs="Times New Roman"/>
          <w:szCs w:val="24"/>
          <w:lang w:val="es-CO"/>
        </w:rPr>
        <w:t xml:space="preserve">, que concreta algunos criterios para la tarea de fijación del </w:t>
      </w:r>
      <w:proofErr w:type="spellStart"/>
      <w:r w:rsidRPr="0040772F">
        <w:rPr>
          <w:rFonts w:ascii="Gadugi" w:eastAsia="Calibri" w:hAnsi="Gadugi" w:cs="Times New Roman"/>
          <w:szCs w:val="24"/>
          <w:lang w:val="es-CO"/>
        </w:rPr>
        <w:t>quantun</w:t>
      </w:r>
      <w:proofErr w:type="spellEnd"/>
      <w:r w:rsidRPr="0040772F">
        <w:rPr>
          <w:rFonts w:ascii="Gadugi" w:eastAsia="Calibri" w:hAnsi="Gadugi" w:cs="Times New Roman"/>
          <w:szCs w:val="24"/>
          <w:lang w:val="es-CO"/>
        </w:rPr>
        <w:t xml:space="preserve"> dinerario a reconocer, expresa: “</w:t>
      </w:r>
      <w:r w:rsidRPr="0040772F">
        <w:rPr>
          <w:rFonts w:ascii="Gadugi" w:eastAsia="Calibri" w:hAnsi="Gadugi" w:cs="Times New Roman"/>
          <w:i/>
          <w:iCs/>
          <w:szCs w:val="24"/>
          <w:lang w:val="es-ES"/>
        </w:rPr>
        <w:t xml:space="preserve">Por ello, para su </w:t>
      </w:r>
      <w:r w:rsidRPr="0040772F">
        <w:rPr>
          <w:rFonts w:ascii="Gadugi" w:eastAsia="Calibri" w:hAnsi="Gadugi" w:cs="Times New Roman"/>
          <w:b/>
          <w:i/>
          <w:iCs/>
          <w:szCs w:val="24"/>
          <w:lang w:val="es-ES"/>
        </w:rPr>
        <w:t>cuantificación</w:t>
      </w:r>
      <w:r w:rsidRPr="0040772F">
        <w:rPr>
          <w:rFonts w:ascii="Gadugi" w:eastAsia="Calibri" w:hAnsi="Gadugi" w:cs="Times New Roman"/>
          <w:i/>
          <w:iCs/>
          <w:szCs w:val="24"/>
          <w:lang w:val="es-ES"/>
        </w:rPr>
        <w:t xml:space="preserve"> deben apreciarse las particularidades especiales de cada caso, pues son ellas las que permiten a la jurisprudencia adaptar los criterios objetivos a las situaciones concretas de esa realidad; y en tal sentido, se hace necesario tener en cuenta las </w:t>
      </w:r>
      <w:r w:rsidRPr="0040772F">
        <w:rPr>
          <w:rFonts w:ascii="Gadugi" w:eastAsia="Calibri" w:hAnsi="Gadugi" w:cs="Times New Roman"/>
          <w:b/>
          <w:i/>
          <w:iCs/>
          <w:szCs w:val="24"/>
          <w:lang w:val="es-ES"/>
        </w:rPr>
        <w:t>condiciones personales</w:t>
      </w:r>
      <w:r w:rsidRPr="0040772F">
        <w:rPr>
          <w:rFonts w:ascii="Gadugi" w:eastAsia="Calibri" w:hAnsi="Gadugi" w:cs="Times New Roman"/>
          <w:i/>
          <w:iCs/>
          <w:szCs w:val="24"/>
          <w:lang w:val="es-ES"/>
        </w:rPr>
        <w:t xml:space="preserve"> de la víctima, apreciadas según los usos sociales, </w:t>
      </w:r>
      <w:r w:rsidRPr="0040772F">
        <w:rPr>
          <w:rFonts w:ascii="Gadugi" w:eastAsia="Calibri" w:hAnsi="Gadugi" w:cs="Times New Roman"/>
          <w:b/>
          <w:bCs/>
          <w:i/>
          <w:iCs/>
          <w:szCs w:val="24"/>
          <w:lang w:val="es-ES"/>
        </w:rPr>
        <w:t>la</w:t>
      </w:r>
      <w:r w:rsidRPr="0040772F">
        <w:rPr>
          <w:rFonts w:ascii="Gadugi" w:eastAsia="Calibri" w:hAnsi="Gadugi" w:cs="Times New Roman"/>
          <w:i/>
          <w:iCs/>
          <w:szCs w:val="24"/>
          <w:lang w:val="es-ES"/>
        </w:rPr>
        <w:t xml:space="preserve"> </w:t>
      </w:r>
      <w:r w:rsidRPr="0040772F">
        <w:rPr>
          <w:rFonts w:ascii="Gadugi" w:eastAsia="Calibri" w:hAnsi="Gadugi" w:cs="Times New Roman"/>
          <w:b/>
          <w:i/>
          <w:iCs/>
          <w:szCs w:val="24"/>
          <w:lang w:val="es-ES"/>
        </w:rPr>
        <w:t>intensidad de la lesión</w:t>
      </w:r>
      <w:r w:rsidRPr="0040772F">
        <w:rPr>
          <w:rFonts w:ascii="Gadugi" w:eastAsia="Calibri" w:hAnsi="Gadugi" w:cs="Times New Roman"/>
          <w:i/>
          <w:iCs/>
          <w:szCs w:val="24"/>
          <w:lang w:val="es-ES"/>
        </w:rPr>
        <w:t xml:space="preserve">, la </w:t>
      </w:r>
      <w:r w:rsidRPr="0040772F">
        <w:rPr>
          <w:rFonts w:ascii="Gadugi" w:eastAsia="Calibri" w:hAnsi="Gadugi" w:cs="Times New Roman"/>
          <w:b/>
          <w:i/>
          <w:iCs/>
          <w:szCs w:val="24"/>
          <w:lang w:val="es-ES"/>
        </w:rPr>
        <w:t>duración del perjuicio</w:t>
      </w:r>
      <w:r w:rsidRPr="0040772F">
        <w:rPr>
          <w:rFonts w:ascii="Gadugi" w:eastAsia="Calibri" w:hAnsi="Gadugi" w:cs="Times New Roman"/>
          <w:i/>
          <w:iCs/>
          <w:szCs w:val="24"/>
          <w:lang w:val="es-ES"/>
        </w:rPr>
        <w:t xml:space="preserve">, </w:t>
      </w:r>
      <w:r w:rsidRPr="0040772F">
        <w:rPr>
          <w:rFonts w:ascii="Gadugi" w:eastAsia="Calibri" w:hAnsi="Gadugi" w:cs="Times New Roman"/>
          <w:b/>
          <w:i/>
          <w:iCs/>
          <w:szCs w:val="24"/>
          <w:lang w:val="es-ES"/>
        </w:rPr>
        <w:t>entre otras situaciones</w:t>
      </w:r>
      <w:r w:rsidRPr="0040772F">
        <w:rPr>
          <w:rFonts w:ascii="Gadugi" w:eastAsia="Calibri" w:hAnsi="Gadugi" w:cs="Times New Roman"/>
          <w:i/>
          <w:iCs/>
          <w:szCs w:val="24"/>
          <w:lang w:val="es-ES"/>
        </w:rPr>
        <w:t xml:space="preserve"> que el juez logre advertir para la determinación equitativa del monto del resarcimiento</w:t>
      </w:r>
      <w:r w:rsidRPr="0040772F">
        <w:rPr>
          <w:rFonts w:ascii="Gadugi" w:eastAsia="Calibri" w:hAnsi="Gadugi" w:cs="Times New Roman"/>
          <w:szCs w:val="24"/>
          <w:lang w:val="es-ES"/>
        </w:rPr>
        <w:t>.”</w:t>
      </w:r>
      <w:r w:rsidRPr="0040772F">
        <w:rPr>
          <w:rFonts w:ascii="Gadugi" w:eastAsia="Calibri" w:hAnsi="Gadugi" w:cs="Times New Roman"/>
          <w:i/>
          <w:iCs/>
          <w:szCs w:val="24"/>
          <w:lang w:val="es-ES"/>
        </w:rPr>
        <w:t xml:space="preserve"> </w:t>
      </w:r>
      <w:r w:rsidRPr="0040772F">
        <w:rPr>
          <w:rFonts w:ascii="Gadugi" w:eastAsia="Calibri" w:hAnsi="Gadugi" w:cs="Times New Roman"/>
          <w:szCs w:val="24"/>
          <w:lang w:val="es-ES"/>
        </w:rPr>
        <w:t>(Negrita y subrayas conservadas del texto original).</w:t>
      </w:r>
    </w:p>
    <w:p w14:paraId="42B0B114" w14:textId="587258D8" w:rsidR="005A68E2" w:rsidRPr="002F651B" w:rsidRDefault="005A68E2" w:rsidP="002F651B">
      <w:pPr>
        <w:tabs>
          <w:tab w:val="left" w:pos="851"/>
        </w:tabs>
        <w:jc w:val="both"/>
        <w:rPr>
          <w:rFonts w:ascii="Gadugi" w:eastAsia="Calibri" w:hAnsi="Gadugi" w:cs="Times New Roman"/>
          <w:sz w:val="24"/>
          <w:szCs w:val="24"/>
          <w:lang w:val="es-419"/>
        </w:rPr>
      </w:pPr>
    </w:p>
    <w:p w14:paraId="6A608E84" w14:textId="5901EB55" w:rsidR="00667DFF" w:rsidRPr="002F651B" w:rsidRDefault="00544B63" w:rsidP="002F651B">
      <w:pPr>
        <w:tabs>
          <w:tab w:val="left" w:pos="851"/>
        </w:tabs>
        <w:jc w:val="both"/>
        <w:rPr>
          <w:rFonts w:ascii="Gadugi" w:eastAsia="Calibri" w:hAnsi="Gadugi" w:cs="Times New Roman"/>
          <w:sz w:val="24"/>
          <w:szCs w:val="24"/>
          <w:lang w:val="es-CO"/>
        </w:rPr>
      </w:pPr>
      <w:r w:rsidRPr="002F651B">
        <w:rPr>
          <w:rFonts w:ascii="Gadugi" w:eastAsia="Calibri" w:hAnsi="Gadugi" w:cs="Times New Roman"/>
          <w:sz w:val="24"/>
          <w:szCs w:val="24"/>
          <w:lang w:val="es-CO"/>
        </w:rPr>
        <w:t xml:space="preserve">En el caso que nos atañe, </w:t>
      </w:r>
      <w:r w:rsidR="00FA7D3A" w:rsidRPr="002F651B">
        <w:rPr>
          <w:rFonts w:ascii="Gadugi" w:eastAsia="Calibri" w:hAnsi="Gadugi" w:cs="Times New Roman"/>
          <w:sz w:val="24"/>
          <w:szCs w:val="24"/>
          <w:lang w:val="es-CO"/>
        </w:rPr>
        <w:t>l</w:t>
      </w:r>
      <w:r w:rsidRPr="002F651B">
        <w:rPr>
          <w:rFonts w:ascii="Gadugi" w:eastAsia="Calibri" w:hAnsi="Gadugi" w:cs="Times New Roman"/>
          <w:sz w:val="24"/>
          <w:szCs w:val="24"/>
          <w:lang w:val="es-CO"/>
        </w:rPr>
        <w:t xml:space="preserve">a </w:t>
      </w:r>
      <w:r w:rsidR="00FA7D3A" w:rsidRPr="002F651B">
        <w:rPr>
          <w:rFonts w:ascii="Gadugi" w:eastAsia="Calibri" w:hAnsi="Gadugi" w:cs="Times New Roman"/>
          <w:sz w:val="24"/>
          <w:szCs w:val="24"/>
          <w:lang w:val="es-CO"/>
        </w:rPr>
        <w:t>reclamación se quedó en un mero enunciado, sin prueba alguna que respalde en qué forma se han alterado las condiciones de vida de los demandantes en lo social, familiar</w:t>
      </w:r>
      <w:r w:rsidR="00400B80" w:rsidRPr="002F651B">
        <w:rPr>
          <w:rFonts w:ascii="Gadugi" w:eastAsia="Calibri" w:hAnsi="Gadugi" w:cs="Times New Roman"/>
          <w:sz w:val="24"/>
          <w:szCs w:val="24"/>
          <w:lang w:val="es-CO"/>
        </w:rPr>
        <w:t xml:space="preserve"> o</w:t>
      </w:r>
      <w:r w:rsidR="00FA7D3A" w:rsidRPr="002F651B">
        <w:rPr>
          <w:rFonts w:ascii="Gadugi" w:eastAsia="Calibri" w:hAnsi="Gadugi" w:cs="Times New Roman"/>
          <w:sz w:val="24"/>
          <w:szCs w:val="24"/>
          <w:lang w:val="es-CO"/>
        </w:rPr>
        <w:t xml:space="preserve"> cultural</w:t>
      </w:r>
      <w:r w:rsidR="00764FFE" w:rsidRPr="002F651B">
        <w:rPr>
          <w:rFonts w:ascii="Gadugi" w:eastAsia="Calibri" w:hAnsi="Gadugi" w:cs="Times New Roman"/>
          <w:sz w:val="24"/>
          <w:szCs w:val="24"/>
          <w:lang w:val="es-CO"/>
        </w:rPr>
        <w:t xml:space="preserve">. De hecho, al justificar lo pedido, dice la demanda </w:t>
      </w:r>
      <w:r w:rsidR="008C1242" w:rsidRPr="002F651B">
        <w:rPr>
          <w:rFonts w:ascii="Gadugi" w:eastAsia="Calibri" w:hAnsi="Gadugi" w:cs="Times New Roman"/>
          <w:sz w:val="24"/>
          <w:szCs w:val="24"/>
          <w:lang w:val="es-CO"/>
        </w:rPr>
        <w:t xml:space="preserve">que los hijos nunca imaginaron el resultado final de la consulta de María Nora; </w:t>
      </w:r>
      <w:r w:rsidR="00B10E93" w:rsidRPr="002F651B">
        <w:rPr>
          <w:rFonts w:ascii="Gadugi" w:eastAsia="Calibri" w:hAnsi="Gadugi" w:cs="Times New Roman"/>
          <w:sz w:val="24"/>
          <w:szCs w:val="24"/>
          <w:lang w:val="es-CO"/>
        </w:rPr>
        <w:t>y que s</w:t>
      </w:r>
      <w:r w:rsidR="00667DFF" w:rsidRPr="002F651B">
        <w:rPr>
          <w:rFonts w:ascii="Gadugi" w:eastAsia="Calibri" w:hAnsi="Gadugi" w:cs="Times New Roman"/>
          <w:sz w:val="24"/>
          <w:szCs w:val="24"/>
          <w:lang w:val="es-CO"/>
        </w:rPr>
        <w:t xml:space="preserve">u muerte los ha tornado en personas depresivas y resentidas con la sociedad. </w:t>
      </w:r>
    </w:p>
    <w:p w14:paraId="120F3033" w14:textId="77777777" w:rsidR="00667DFF" w:rsidRPr="002F651B" w:rsidRDefault="00667DFF" w:rsidP="002F651B">
      <w:pPr>
        <w:tabs>
          <w:tab w:val="left" w:pos="851"/>
        </w:tabs>
        <w:jc w:val="both"/>
        <w:rPr>
          <w:rFonts w:ascii="Gadugi" w:eastAsia="Calibri" w:hAnsi="Gadugi" w:cs="Times New Roman"/>
          <w:sz w:val="24"/>
          <w:szCs w:val="24"/>
          <w:lang w:val="es-CO"/>
        </w:rPr>
      </w:pPr>
    </w:p>
    <w:p w14:paraId="76B773C7" w14:textId="65B1F7BB" w:rsidR="00B10E93" w:rsidRPr="002F651B" w:rsidRDefault="00667DFF" w:rsidP="002F651B">
      <w:pPr>
        <w:tabs>
          <w:tab w:val="left" w:pos="851"/>
        </w:tabs>
        <w:jc w:val="both"/>
        <w:rPr>
          <w:rFonts w:ascii="Gadugi" w:eastAsia="Calibri" w:hAnsi="Gadugi" w:cs="Times New Roman"/>
          <w:sz w:val="24"/>
          <w:szCs w:val="24"/>
          <w:lang w:val="es-CO"/>
        </w:rPr>
      </w:pPr>
      <w:r w:rsidRPr="002F651B">
        <w:rPr>
          <w:rFonts w:ascii="Gadugi" w:eastAsia="Calibri" w:hAnsi="Gadugi" w:cs="Times New Roman"/>
          <w:sz w:val="24"/>
          <w:szCs w:val="24"/>
          <w:lang w:val="es-CO"/>
        </w:rPr>
        <w:t>De estas situaci</w:t>
      </w:r>
      <w:r w:rsidR="00EC74D9" w:rsidRPr="002F651B">
        <w:rPr>
          <w:rFonts w:ascii="Gadugi" w:eastAsia="Calibri" w:hAnsi="Gadugi" w:cs="Times New Roman"/>
          <w:sz w:val="24"/>
          <w:szCs w:val="24"/>
          <w:lang w:val="es-CO"/>
        </w:rPr>
        <w:t>ones, concretamente del estado depresivo, ninguna prueba se allegó al expediente que justifique la imposición de esta reparación</w:t>
      </w:r>
      <w:r w:rsidR="00BE1B51" w:rsidRPr="002F651B">
        <w:rPr>
          <w:rFonts w:ascii="Gadugi" w:eastAsia="Calibri" w:hAnsi="Gadugi" w:cs="Times New Roman"/>
          <w:sz w:val="24"/>
          <w:szCs w:val="24"/>
          <w:lang w:val="es-CO"/>
        </w:rPr>
        <w:t>. Se insiste en que aquí, frente a las víctimas de rebote, no hay presunción</w:t>
      </w:r>
      <w:r w:rsidR="0014291E" w:rsidRPr="002F651B">
        <w:rPr>
          <w:rFonts w:ascii="Gadugi" w:eastAsia="Calibri" w:hAnsi="Gadugi" w:cs="Times New Roman"/>
          <w:sz w:val="24"/>
          <w:szCs w:val="24"/>
          <w:lang w:val="es-CO"/>
        </w:rPr>
        <w:t>, así que</w:t>
      </w:r>
      <w:r w:rsidR="00400B80" w:rsidRPr="002F651B">
        <w:rPr>
          <w:rFonts w:ascii="Gadugi" w:eastAsia="Calibri" w:hAnsi="Gadugi" w:cs="Times New Roman"/>
          <w:sz w:val="24"/>
          <w:szCs w:val="24"/>
          <w:lang w:val="es-CO"/>
        </w:rPr>
        <w:t>,</w:t>
      </w:r>
      <w:r w:rsidR="0014291E" w:rsidRPr="002F651B">
        <w:rPr>
          <w:rFonts w:ascii="Gadugi" w:eastAsia="Calibri" w:hAnsi="Gadugi" w:cs="Times New Roman"/>
          <w:sz w:val="24"/>
          <w:szCs w:val="24"/>
          <w:lang w:val="es-CO"/>
        </w:rPr>
        <w:t xml:space="preserve"> si el perjuicio se hace derivar de su </w:t>
      </w:r>
      <w:r w:rsidR="0014291E" w:rsidRPr="002F651B">
        <w:rPr>
          <w:rFonts w:ascii="Gadugi" w:eastAsia="Calibri" w:hAnsi="Gadugi" w:cs="Times New Roman"/>
          <w:sz w:val="24"/>
          <w:szCs w:val="24"/>
          <w:lang w:val="es-CO"/>
        </w:rPr>
        <w:lastRenderedPageBreak/>
        <w:t>afectación sicológica, ha debido demostrarse que e</w:t>
      </w:r>
      <w:r w:rsidR="00B10E93" w:rsidRPr="002F651B">
        <w:rPr>
          <w:rFonts w:ascii="Gadugi" w:eastAsia="Calibri" w:hAnsi="Gadugi" w:cs="Times New Roman"/>
          <w:sz w:val="24"/>
          <w:szCs w:val="24"/>
          <w:lang w:val="es-CO"/>
        </w:rPr>
        <w:t xml:space="preserve">lla ocurrió. </w:t>
      </w:r>
      <w:r w:rsidR="00B93661" w:rsidRPr="002F651B">
        <w:rPr>
          <w:rFonts w:ascii="Gadugi" w:eastAsia="Calibri" w:hAnsi="Gadugi" w:cs="Times New Roman"/>
          <w:sz w:val="24"/>
          <w:szCs w:val="24"/>
          <w:lang w:val="es-CO"/>
        </w:rPr>
        <w:t>Y s</w:t>
      </w:r>
      <w:r w:rsidR="00B9607B" w:rsidRPr="002F651B">
        <w:rPr>
          <w:rFonts w:ascii="Gadugi" w:eastAsia="Calibri" w:hAnsi="Gadugi" w:cs="Times New Roman"/>
          <w:sz w:val="24"/>
          <w:szCs w:val="24"/>
          <w:lang w:val="es-CO"/>
        </w:rPr>
        <w:t xml:space="preserve">i su relación con el entorno y con otras personas cambió, como se aduce, también era menester acreditarlo. </w:t>
      </w:r>
    </w:p>
    <w:p w14:paraId="3FA08D3A" w14:textId="77777777" w:rsidR="00F10B7F" w:rsidRPr="002F651B" w:rsidRDefault="00F10B7F" w:rsidP="002F651B">
      <w:pPr>
        <w:tabs>
          <w:tab w:val="left" w:pos="851"/>
        </w:tabs>
        <w:jc w:val="both"/>
        <w:rPr>
          <w:rFonts w:ascii="Gadugi" w:eastAsia="Calibri" w:hAnsi="Gadugi" w:cs="Times New Roman"/>
          <w:sz w:val="24"/>
          <w:szCs w:val="24"/>
          <w:lang w:val="es-CO"/>
        </w:rPr>
      </w:pPr>
    </w:p>
    <w:p w14:paraId="6E86E99C" w14:textId="32E2FAA3" w:rsidR="00B9607B" w:rsidRPr="002F651B" w:rsidRDefault="00B9607B" w:rsidP="002F651B">
      <w:pPr>
        <w:tabs>
          <w:tab w:val="left" w:pos="851"/>
        </w:tabs>
        <w:jc w:val="both"/>
        <w:rPr>
          <w:rFonts w:ascii="Gadugi" w:eastAsia="Calibri" w:hAnsi="Gadugi" w:cs="Times New Roman"/>
          <w:sz w:val="24"/>
          <w:szCs w:val="24"/>
          <w:lang w:val="es-CO"/>
        </w:rPr>
      </w:pPr>
      <w:r w:rsidRPr="002F651B">
        <w:rPr>
          <w:rFonts w:ascii="Gadugi" w:eastAsia="Calibri" w:hAnsi="Gadugi" w:cs="Times New Roman"/>
          <w:sz w:val="24"/>
          <w:szCs w:val="24"/>
          <w:lang w:val="es-CO"/>
        </w:rPr>
        <w:t xml:space="preserve">Como no ocurrió así, este rubro será negado. </w:t>
      </w:r>
    </w:p>
    <w:p w14:paraId="0C39C7C8" w14:textId="77777777" w:rsidR="00B9607B" w:rsidRPr="002F651B" w:rsidRDefault="00B9607B" w:rsidP="002F651B">
      <w:pPr>
        <w:tabs>
          <w:tab w:val="left" w:pos="851"/>
        </w:tabs>
        <w:jc w:val="both"/>
        <w:rPr>
          <w:rFonts w:ascii="Gadugi" w:eastAsia="Calibri" w:hAnsi="Gadugi" w:cs="Times New Roman"/>
          <w:sz w:val="24"/>
          <w:szCs w:val="24"/>
          <w:lang w:val="es-CO"/>
        </w:rPr>
      </w:pPr>
    </w:p>
    <w:p w14:paraId="48C0AB02" w14:textId="77777777" w:rsidR="00D1386B" w:rsidRPr="002F651B" w:rsidRDefault="00B9607B" w:rsidP="002F651B">
      <w:pPr>
        <w:tabs>
          <w:tab w:val="left" w:pos="851"/>
        </w:tabs>
        <w:jc w:val="both"/>
        <w:rPr>
          <w:rFonts w:ascii="Gadugi" w:eastAsia="Calibri" w:hAnsi="Gadugi" w:cs="Times New Roman"/>
          <w:b/>
          <w:bCs/>
          <w:sz w:val="24"/>
          <w:szCs w:val="24"/>
          <w:lang w:val="es-419"/>
        </w:rPr>
      </w:pPr>
      <w:r w:rsidRPr="002F651B">
        <w:rPr>
          <w:rFonts w:ascii="Gadugi" w:eastAsia="Calibri" w:hAnsi="Gadugi" w:cs="Times New Roman"/>
          <w:b/>
          <w:bCs/>
          <w:sz w:val="24"/>
          <w:szCs w:val="24"/>
          <w:lang w:val="es-419"/>
        </w:rPr>
        <w:t xml:space="preserve">2.17.3. El daño a la salud y a </w:t>
      </w:r>
      <w:r w:rsidR="00D1386B" w:rsidRPr="002F651B">
        <w:rPr>
          <w:rFonts w:ascii="Gadugi" w:eastAsia="Calibri" w:hAnsi="Gadugi" w:cs="Times New Roman"/>
          <w:b/>
          <w:bCs/>
          <w:sz w:val="24"/>
          <w:szCs w:val="24"/>
          <w:lang w:val="es-419"/>
        </w:rPr>
        <w:t xml:space="preserve">los bienes o derechos convencional o constitucionalmente amparados. </w:t>
      </w:r>
    </w:p>
    <w:p w14:paraId="5435474E" w14:textId="77777777" w:rsidR="00D1386B" w:rsidRPr="002F651B" w:rsidRDefault="00D1386B" w:rsidP="002F651B">
      <w:pPr>
        <w:tabs>
          <w:tab w:val="left" w:pos="851"/>
        </w:tabs>
        <w:jc w:val="both"/>
        <w:rPr>
          <w:rFonts w:ascii="Gadugi" w:eastAsia="Calibri" w:hAnsi="Gadugi" w:cs="Times New Roman"/>
          <w:sz w:val="24"/>
          <w:szCs w:val="24"/>
          <w:lang w:val="es-419"/>
        </w:rPr>
      </w:pPr>
    </w:p>
    <w:p w14:paraId="2A562DD5" w14:textId="6D6F165D" w:rsidR="006257D7" w:rsidRPr="002F651B" w:rsidRDefault="00F0382C"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Sobre este aspecto hay que indicar que </w:t>
      </w:r>
      <w:r w:rsidR="00DF2B06" w:rsidRPr="002F651B">
        <w:rPr>
          <w:rFonts w:ascii="Gadugi" w:eastAsia="Calibri" w:hAnsi="Gadugi" w:cs="Times New Roman"/>
          <w:sz w:val="24"/>
          <w:szCs w:val="24"/>
          <w:lang w:val="es-419"/>
        </w:rPr>
        <w:t>se trata de nociones que, en la jurisdicción ordinaria, apenas están en vía de construcción.</w:t>
      </w:r>
      <w:r w:rsidR="00D16B23" w:rsidRPr="002F651B">
        <w:rPr>
          <w:rFonts w:ascii="Gadugi" w:eastAsia="Calibri" w:hAnsi="Gadugi" w:cs="Times New Roman"/>
          <w:sz w:val="24"/>
          <w:szCs w:val="24"/>
          <w:lang w:val="es-419"/>
        </w:rPr>
        <w:t xml:space="preserve"> </w:t>
      </w:r>
      <w:r w:rsidR="00DF2B06" w:rsidRPr="002F651B">
        <w:rPr>
          <w:rFonts w:ascii="Gadugi" w:eastAsia="Calibri" w:hAnsi="Gadugi" w:cs="Times New Roman"/>
          <w:sz w:val="24"/>
          <w:szCs w:val="24"/>
          <w:lang w:val="es-419"/>
        </w:rPr>
        <w:t xml:space="preserve"> </w:t>
      </w:r>
      <w:r w:rsidR="006001EF" w:rsidRPr="002F651B">
        <w:rPr>
          <w:rFonts w:ascii="Gadugi" w:eastAsia="Calibri" w:hAnsi="Gadugi" w:cs="Times New Roman"/>
          <w:sz w:val="24"/>
          <w:szCs w:val="24"/>
          <w:lang w:val="es-419"/>
        </w:rPr>
        <w:t>Se ha dicho por esta Colegiatura, por ejemplo</w:t>
      </w:r>
      <w:r w:rsidR="00A45BBF" w:rsidRPr="002F651B">
        <w:rPr>
          <w:rFonts w:ascii="Gadugi" w:eastAsia="Calibri" w:hAnsi="Gadugi" w:cs="Times New Roman"/>
          <w:sz w:val="24"/>
          <w:szCs w:val="24"/>
          <w:lang w:val="es-419"/>
        </w:rPr>
        <w:t>,</w:t>
      </w:r>
      <w:r w:rsidR="006001EF" w:rsidRPr="002F651B">
        <w:rPr>
          <w:rFonts w:ascii="Gadugi" w:eastAsia="Calibri" w:hAnsi="Gadugi" w:cs="Times New Roman"/>
          <w:sz w:val="24"/>
          <w:szCs w:val="24"/>
          <w:lang w:val="es-419"/>
        </w:rPr>
        <w:t xml:space="preserve"> en la sentencia SC-0066-2022, que: </w:t>
      </w:r>
    </w:p>
    <w:p w14:paraId="382C02BC" w14:textId="77777777" w:rsidR="006001EF" w:rsidRPr="002F651B" w:rsidRDefault="006001EF" w:rsidP="002F651B">
      <w:pPr>
        <w:tabs>
          <w:tab w:val="left" w:pos="851"/>
        </w:tabs>
        <w:jc w:val="both"/>
        <w:rPr>
          <w:rFonts w:ascii="Gadugi" w:eastAsia="Calibri" w:hAnsi="Gadugi" w:cs="Times New Roman"/>
          <w:sz w:val="24"/>
          <w:szCs w:val="24"/>
          <w:lang w:val="es-419"/>
        </w:rPr>
      </w:pPr>
    </w:p>
    <w:p w14:paraId="6A10ED85" w14:textId="31A5F8AD" w:rsidR="00CB32A0" w:rsidRPr="0040772F" w:rsidRDefault="00D71F80" w:rsidP="0040772F">
      <w:pPr>
        <w:spacing w:line="240" w:lineRule="auto"/>
        <w:ind w:left="426" w:right="420"/>
        <w:jc w:val="both"/>
        <w:rPr>
          <w:rFonts w:ascii="Gadugi" w:hAnsi="Gadugi"/>
          <w:szCs w:val="24"/>
        </w:rPr>
      </w:pPr>
      <w:r w:rsidRPr="0040772F">
        <w:rPr>
          <w:rFonts w:ascii="Gadugi" w:hAnsi="Gadugi"/>
          <w:szCs w:val="24"/>
        </w:rPr>
        <w:t>…</w:t>
      </w:r>
      <w:r w:rsidR="0040772F" w:rsidRPr="0040772F">
        <w:rPr>
          <w:rFonts w:ascii="Gadugi" w:hAnsi="Gadugi"/>
          <w:szCs w:val="24"/>
        </w:rPr>
        <w:t xml:space="preserve"> </w:t>
      </w:r>
      <w:r w:rsidR="003C0358" w:rsidRPr="0040772F">
        <w:rPr>
          <w:rFonts w:ascii="Gadugi" w:hAnsi="Gadugi"/>
          <w:szCs w:val="24"/>
        </w:rPr>
        <w:t xml:space="preserve">en cuanto al daño a la salud, baste recordar lo dicho por la Sala en la sentencia SC-0023-2022, acerca de que esta Colegiatura: </w:t>
      </w:r>
    </w:p>
    <w:p w14:paraId="70330791" w14:textId="77777777" w:rsidR="00CB32A0" w:rsidRPr="0040772F" w:rsidRDefault="00CB32A0" w:rsidP="0040772F">
      <w:pPr>
        <w:spacing w:line="240" w:lineRule="auto"/>
        <w:ind w:left="426" w:right="420"/>
        <w:jc w:val="both"/>
        <w:rPr>
          <w:rFonts w:ascii="Gadugi" w:hAnsi="Gadugi"/>
          <w:szCs w:val="24"/>
        </w:rPr>
      </w:pPr>
    </w:p>
    <w:p w14:paraId="3F31C2C9" w14:textId="77777777" w:rsidR="00A429E6" w:rsidRPr="0040772F" w:rsidRDefault="003C0358" w:rsidP="0040772F">
      <w:pPr>
        <w:spacing w:line="240" w:lineRule="auto"/>
        <w:ind w:left="426" w:right="420"/>
        <w:jc w:val="both"/>
        <w:rPr>
          <w:rFonts w:ascii="Gadugi" w:hAnsi="Gadugi"/>
          <w:szCs w:val="24"/>
        </w:rPr>
      </w:pPr>
      <w:r w:rsidRPr="0040772F">
        <w:rPr>
          <w:rFonts w:ascii="Gadugi" w:hAnsi="Gadugi"/>
          <w:szCs w:val="24"/>
        </w:rPr>
        <w:t>“ha explicado</w:t>
      </w:r>
      <w:r w:rsidR="00CB32A0" w:rsidRPr="0040772F">
        <w:rPr>
          <w:rStyle w:val="Refdenotaalpie"/>
          <w:rFonts w:ascii="Gadugi" w:hAnsi="Gadugi"/>
          <w:szCs w:val="24"/>
        </w:rPr>
        <w:footnoteReference w:id="69"/>
      </w:r>
      <w:r w:rsidRPr="0040772F">
        <w:rPr>
          <w:rFonts w:ascii="Gadugi" w:hAnsi="Gadugi"/>
          <w:szCs w:val="24"/>
        </w:rPr>
        <w:t>, con mayor precisión, que, tratándose de perjuicios extrapatrimoniales</w:t>
      </w:r>
    </w:p>
    <w:p w14:paraId="41A00867" w14:textId="77777777" w:rsidR="008C3BEE" w:rsidRPr="0040772F" w:rsidRDefault="008C3BEE" w:rsidP="0040772F">
      <w:pPr>
        <w:spacing w:line="240" w:lineRule="auto"/>
        <w:ind w:left="426" w:right="420"/>
        <w:jc w:val="both"/>
        <w:rPr>
          <w:rFonts w:ascii="Gadugi" w:hAnsi="Gadugi"/>
          <w:szCs w:val="24"/>
        </w:rPr>
      </w:pPr>
    </w:p>
    <w:p w14:paraId="02B90BC0" w14:textId="51D3B3A8" w:rsidR="00E5128D" w:rsidRPr="0040772F" w:rsidRDefault="003C0358" w:rsidP="0040772F">
      <w:pPr>
        <w:spacing w:line="240" w:lineRule="auto"/>
        <w:ind w:left="426" w:right="420"/>
        <w:jc w:val="both"/>
        <w:rPr>
          <w:rFonts w:ascii="Gadugi" w:hAnsi="Gadugi"/>
          <w:szCs w:val="24"/>
        </w:rPr>
      </w:pPr>
      <w:r w:rsidRPr="0040772F">
        <w:rPr>
          <w:rFonts w:ascii="Gadugi" w:hAnsi="Gadugi"/>
          <w:szCs w:val="24"/>
        </w:rPr>
        <w:t>La CSJ</w:t>
      </w:r>
      <w:r w:rsidR="00A429E6" w:rsidRPr="0040772F">
        <w:rPr>
          <w:rStyle w:val="Refdenotaalpie"/>
          <w:rFonts w:ascii="Gadugi" w:hAnsi="Gadugi"/>
          <w:szCs w:val="24"/>
        </w:rPr>
        <w:footnoteReference w:id="70"/>
      </w:r>
      <w:r w:rsidRPr="0040772F">
        <w:rPr>
          <w:rFonts w:ascii="Gadugi" w:hAnsi="Gadugi"/>
          <w:szCs w:val="24"/>
        </w:rPr>
        <w:t xml:space="preserve"> ha señalado que esta especie del (i) daño moral, hoy por hoy, es una de las que integra los llamados extrapatrimoniales o inmateriales, que se integra también por: (ii) El daño a la vida de relación, (iii) El daño a los derechos humanos fundamentales de especial protección constitucional (Sin reconocimiento posterior, solo referencia)</w:t>
      </w:r>
      <w:r w:rsidR="001E07C9" w:rsidRPr="0040772F">
        <w:rPr>
          <w:rStyle w:val="Refdenotaalpie"/>
          <w:rFonts w:ascii="Gadugi" w:hAnsi="Gadugi"/>
          <w:szCs w:val="24"/>
        </w:rPr>
        <w:footnoteReference w:id="71"/>
      </w:r>
      <w:r w:rsidRPr="0040772F">
        <w:rPr>
          <w:rFonts w:ascii="Gadugi" w:hAnsi="Gadugi"/>
          <w:szCs w:val="24"/>
        </w:rPr>
        <w:t>, en 2018 la CSJ menciona este rubro como residual</w:t>
      </w:r>
      <w:r w:rsidR="008E45A6" w:rsidRPr="0040772F">
        <w:rPr>
          <w:rStyle w:val="Refdenotaalpie"/>
          <w:rFonts w:ascii="Gadugi" w:hAnsi="Gadugi"/>
          <w:szCs w:val="24"/>
        </w:rPr>
        <w:footnoteReference w:id="72"/>
      </w:r>
      <w:r w:rsidRPr="0040772F">
        <w:rPr>
          <w:rFonts w:ascii="Gadugi" w:hAnsi="Gadugi"/>
          <w:szCs w:val="24"/>
        </w:rPr>
        <w:t>, carece de más desarrollos; y, (iv) El daño a la salud (¿?) (Omitido en 2016 y 2017</w:t>
      </w:r>
      <w:r w:rsidR="0039237B" w:rsidRPr="0040772F">
        <w:rPr>
          <w:rStyle w:val="Refdenotaalpie"/>
          <w:rFonts w:ascii="Gadugi" w:hAnsi="Gadugi"/>
          <w:szCs w:val="24"/>
        </w:rPr>
        <w:footnoteReference w:id="73"/>
      </w:r>
      <w:r w:rsidRPr="0040772F">
        <w:rPr>
          <w:rFonts w:ascii="Gadugi" w:hAnsi="Gadugi"/>
          <w:szCs w:val="24"/>
        </w:rPr>
        <w:t>; en 2020</w:t>
      </w:r>
      <w:r w:rsidR="0039237B" w:rsidRPr="0040772F">
        <w:rPr>
          <w:rStyle w:val="Refdenotaalpie"/>
          <w:rFonts w:ascii="Gadugi" w:hAnsi="Gadugi"/>
          <w:szCs w:val="24"/>
        </w:rPr>
        <w:footnoteReference w:id="74"/>
      </w:r>
      <w:r w:rsidRPr="0040772F">
        <w:rPr>
          <w:rFonts w:ascii="Gadugi" w:hAnsi="Gadugi"/>
          <w:szCs w:val="24"/>
        </w:rPr>
        <w:t xml:space="preserve"> equiparado al daño a la vida de relación). Las dos últimas modalidades, harto criticadas en la doctrina especializada</w:t>
      </w:r>
      <w:r w:rsidR="00E5128D" w:rsidRPr="0040772F">
        <w:rPr>
          <w:rStyle w:val="Refdenotaalpie"/>
          <w:rFonts w:ascii="Gadugi" w:hAnsi="Gadugi"/>
          <w:szCs w:val="24"/>
        </w:rPr>
        <w:footnoteReference w:id="75"/>
      </w:r>
      <w:r w:rsidRPr="0040772F">
        <w:rPr>
          <w:rFonts w:ascii="Gadugi" w:hAnsi="Gadugi"/>
          <w:szCs w:val="24"/>
        </w:rPr>
        <w:t xml:space="preserve">56. </w:t>
      </w:r>
    </w:p>
    <w:p w14:paraId="14D5EE25" w14:textId="77777777" w:rsidR="00E5128D" w:rsidRPr="0040772F" w:rsidRDefault="00E5128D" w:rsidP="0040772F">
      <w:pPr>
        <w:spacing w:line="240" w:lineRule="auto"/>
        <w:ind w:left="426" w:right="420"/>
        <w:jc w:val="both"/>
        <w:rPr>
          <w:rFonts w:ascii="Gadugi" w:hAnsi="Gadugi"/>
          <w:szCs w:val="24"/>
        </w:rPr>
      </w:pPr>
    </w:p>
    <w:p w14:paraId="3F065C60" w14:textId="5D00BA44" w:rsidR="00EC74C1" w:rsidRPr="0040772F" w:rsidRDefault="003C0358" w:rsidP="0040772F">
      <w:pPr>
        <w:spacing w:line="240" w:lineRule="auto"/>
        <w:ind w:left="426" w:right="420"/>
        <w:jc w:val="both"/>
        <w:rPr>
          <w:rFonts w:ascii="Gadugi" w:eastAsia="Calibri" w:hAnsi="Gadugi" w:cs="Times New Roman"/>
          <w:szCs w:val="24"/>
          <w:lang w:val="es-419"/>
        </w:rPr>
      </w:pPr>
      <w:r w:rsidRPr="0040772F">
        <w:rPr>
          <w:rFonts w:ascii="Gadugi" w:hAnsi="Gadugi"/>
          <w:szCs w:val="24"/>
        </w:rPr>
        <w:t>Distinta es la cuestión en Consejo de Estado, respecto al daño a la salud, planteado desde 2011</w:t>
      </w:r>
      <w:r w:rsidR="00A26200" w:rsidRPr="0040772F">
        <w:rPr>
          <w:rStyle w:val="Refdenotaalpie"/>
          <w:rFonts w:ascii="Gadugi" w:hAnsi="Gadugi"/>
          <w:szCs w:val="24"/>
        </w:rPr>
        <w:footnoteReference w:id="76"/>
      </w:r>
      <w:r w:rsidRPr="0040772F">
        <w:rPr>
          <w:rFonts w:ascii="Gadugi" w:hAnsi="Gadugi"/>
          <w:szCs w:val="24"/>
        </w:rPr>
        <w:t>, con consolidación en el año 2013</w:t>
      </w:r>
      <w:r w:rsidR="00A26200" w:rsidRPr="0040772F">
        <w:rPr>
          <w:rStyle w:val="Refdenotaalpie"/>
          <w:rFonts w:ascii="Gadugi" w:hAnsi="Gadugi"/>
          <w:szCs w:val="24"/>
        </w:rPr>
        <w:footnoteReference w:id="77"/>
      </w:r>
      <w:r w:rsidRPr="0040772F">
        <w:rPr>
          <w:rFonts w:ascii="Gadugi" w:hAnsi="Gadugi"/>
          <w:szCs w:val="24"/>
        </w:rPr>
        <w:t>, plantea que este daño subsume la vida de relación. Para mejor ilustración, oportuno memorar que la expresión “perjuicio fisiológico” está en desuso en ambas ramas del derecho, a la fecha de hoy; con amplitud teórica describen, en forma crítica y profusa, este recorrido de la jurisprudencia en Colombia, los profesores Rojas Q.</w:t>
      </w:r>
      <w:r w:rsidR="0061251D" w:rsidRPr="0040772F">
        <w:rPr>
          <w:rStyle w:val="Refdenotaalpie"/>
          <w:rFonts w:ascii="Gadugi" w:hAnsi="Gadugi"/>
          <w:szCs w:val="24"/>
        </w:rPr>
        <w:footnoteReference w:id="78"/>
      </w:r>
      <w:r w:rsidRPr="0040772F">
        <w:rPr>
          <w:rFonts w:ascii="Gadugi" w:hAnsi="Gadugi"/>
          <w:szCs w:val="24"/>
        </w:rPr>
        <w:t xml:space="preserve">, y </w:t>
      </w:r>
      <w:proofErr w:type="spellStart"/>
      <w:r w:rsidRPr="0040772F">
        <w:rPr>
          <w:rFonts w:ascii="Gadugi" w:hAnsi="Gadugi"/>
          <w:szCs w:val="24"/>
        </w:rPr>
        <w:t>Koteich</w:t>
      </w:r>
      <w:proofErr w:type="spellEnd"/>
      <w:r w:rsidRPr="0040772F">
        <w:rPr>
          <w:rFonts w:ascii="Gadugi" w:hAnsi="Gadugi"/>
          <w:szCs w:val="24"/>
        </w:rPr>
        <w:t xml:space="preserve"> </w:t>
      </w:r>
      <w:proofErr w:type="spellStart"/>
      <w:r w:rsidRPr="0040772F">
        <w:rPr>
          <w:rFonts w:ascii="Gadugi" w:hAnsi="Gadugi"/>
          <w:szCs w:val="24"/>
        </w:rPr>
        <w:t>Khatib</w:t>
      </w:r>
      <w:proofErr w:type="spellEnd"/>
      <w:r w:rsidR="0061251D" w:rsidRPr="0040772F">
        <w:rPr>
          <w:rStyle w:val="Refdenotaalpie"/>
          <w:rFonts w:ascii="Gadugi" w:hAnsi="Gadugi"/>
          <w:szCs w:val="24"/>
        </w:rPr>
        <w:footnoteReference w:id="79"/>
      </w:r>
      <w:r w:rsidRPr="0040772F">
        <w:rPr>
          <w:rFonts w:ascii="Gadugi" w:hAnsi="Gadugi"/>
          <w:szCs w:val="24"/>
        </w:rPr>
        <w:t>60, a cuyas obras se remite. Esto, para significar, como dijo la funcionaria, que el daño a la salud en la jurisdicción ordinaria no ha sido reconocido autónomamente y, por tanto, ningún dislate acusa el fallo.</w:t>
      </w:r>
    </w:p>
    <w:p w14:paraId="725FAA33" w14:textId="77777777" w:rsidR="006257D7" w:rsidRPr="002F651B" w:rsidRDefault="006257D7" w:rsidP="002F651B">
      <w:pPr>
        <w:tabs>
          <w:tab w:val="left" w:pos="851"/>
        </w:tabs>
        <w:jc w:val="both"/>
        <w:rPr>
          <w:rFonts w:ascii="Gadugi" w:eastAsia="Calibri" w:hAnsi="Gadugi" w:cs="Times New Roman"/>
          <w:sz w:val="24"/>
          <w:szCs w:val="24"/>
          <w:lang w:val="es-419"/>
        </w:rPr>
      </w:pPr>
    </w:p>
    <w:p w14:paraId="02A93EB1" w14:textId="7F6D7BE9" w:rsidR="00CE04E6" w:rsidRPr="002F651B" w:rsidRDefault="00CE04E6"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Aunque en sede de tutela, que sirve como criterio auxiliar, con p</w:t>
      </w:r>
      <w:r w:rsidR="00222BD6" w:rsidRPr="002F651B">
        <w:rPr>
          <w:rFonts w:ascii="Gadugi" w:eastAsia="Calibri" w:hAnsi="Gadugi" w:cs="Times New Roman"/>
          <w:sz w:val="24"/>
          <w:szCs w:val="24"/>
          <w:lang w:val="es-419"/>
        </w:rPr>
        <w:t>o</w:t>
      </w:r>
      <w:r w:rsidRPr="002F651B">
        <w:rPr>
          <w:rFonts w:ascii="Gadugi" w:eastAsia="Calibri" w:hAnsi="Gadugi" w:cs="Times New Roman"/>
          <w:sz w:val="24"/>
          <w:szCs w:val="24"/>
          <w:lang w:val="es-419"/>
        </w:rPr>
        <w:t>sterioridad a las</w:t>
      </w:r>
      <w:r w:rsidR="00222BD6" w:rsidRPr="002F651B">
        <w:rPr>
          <w:rFonts w:ascii="Gadugi" w:eastAsia="Calibri" w:hAnsi="Gadugi" w:cs="Times New Roman"/>
          <w:sz w:val="24"/>
          <w:szCs w:val="24"/>
          <w:lang w:val="es-419"/>
        </w:rPr>
        <w:t xml:space="preserve"> citas anteriores, dijo la Sala de Casación Civil de la Corte, en la sentencia STC-007-2021, que: </w:t>
      </w:r>
      <w:r w:rsidRPr="002F651B">
        <w:rPr>
          <w:rFonts w:ascii="Gadugi" w:eastAsia="Calibri" w:hAnsi="Gadugi" w:cs="Times New Roman"/>
          <w:sz w:val="24"/>
          <w:szCs w:val="24"/>
          <w:lang w:val="es-419"/>
        </w:rPr>
        <w:t xml:space="preserve"> </w:t>
      </w:r>
    </w:p>
    <w:p w14:paraId="784AFAA0" w14:textId="77777777" w:rsidR="00222BD6" w:rsidRPr="002F651B" w:rsidRDefault="00222BD6" w:rsidP="002F651B">
      <w:pPr>
        <w:ind w:firstLine="709"/>
        <w:jc w:val="both"/>
        <w:rPr>
          <w:rFonts w:ascii="Gadugi" w:eastAsia="Times New Roman" w:hAnsi="Gadugi"/>
          <w:sz w:val="24"/>
          <w:szCs w:val="24"/>
          <w:lang w:val="es-ES_tradnl" w:eastAsia="es-ES"/>
        </w:rPr>
      </w:pPr>
    </w:p>
    <w:p w14:paraId="14D06D50" w14:textId="3103C28A" w:rsidR="006257D7" w:rsidRPr="00A67CC7" w:rsidRDefault="006257D7" w:rsidP="00A67CC7">
      <w:pPr>
        <w:spacing w:line="240" w:lineRule="auto"/>
        <w:ind w:left="426" w:right="420"/>
        <w:jc w:val="both"/>
        <w:rPr>
          <w:rFonts w:ascii="Gadugi" w:hAnsi="Gadugi"/>
          <w:szCs w:val="24"/>
        </w:rPr>
      </w:pPr>
      <w:r w:rsidRPr="00A67CC7">
        <w:rPr>
          <w:rFonts w:ascii="Gadugi" w:hAnsi="Gadugi"/>
          <w:szCs w:val="24"/>
        </w:rPr>
        <w:t>Ahora, a diferencia de lo sostenido por el tutelante, tampoco merece ningún reproche el argumento del tribunal para denegar la indemnización por “daño a la salud” como perjuicio autónomo, al considerar que el mismo se encontraba resarcido dentro de la condena impuesta a favor de Fernando Peñuela Rojas por concepto de “daño moral” y “daño a la vida de relación”, por cuanto dicha postura se acompasa con lo sostenido por esta Colegiatura frente al punto, en los siguientes términos:</w:t>
      </w:r>
    </w:p>
    <w:p w14:paraId="454A3B17" w14:textId="77777777" w:rsidR="00D42DC9" w:rsidRPr="00A67CC7" w:rsidRDefault="00D42DC9" w:rsidP="00A67CC7">
      <w:pPr>
        <w:spacing w:line="240" w:lineRule="auto"/>
        <w:ind w:left="426" w:right="420"/>
        <w:jc w:val="both"/>
        <w:rPr>
          <w:rFonts w:ascii="Gadugi" w:hAnsi="Gadugi"/>
          <w:szCs w:val="24"/>
        </w:rPr>
      </w:pPr>
    </w:p>
    <w:p w14:paraId="1AFE4D10" w14:textId="77777777" w:rsidR="006257D7" w:rsidRPr="00A67CC7" w:rsidRDefault="006257D7" w:rsidP="00A67CC7">
      <w:pPr>
        <w:spacing w:line="240" w:lineRule="auto"/>
        <w:ind w:left="426" w:right="420"/>
        <w:jc w:val="both"/>
        <w:rPr>
          <w:rFonts w:ascii="Gadugi" w:hAnsi="Gadugi"/>
          <w:szCs w:val="24"/>
        </w:rPr>
      </w:pPr>
      <w:r w:rsidRPr="00A67CC7">
        <w:rPr>
          <w:rFonts w:ascii="Gadugi" w:hAnsi="Gadugi"/>
          <w:szCs w:val="24"/>
        </w:rPr>
        <w:t>“(…) [E]l fallador habrá de examinar si el resarcimiento que se reclama por concepto de daño a un bien esencial de la personalidad, se halla comprendido en otro rubro susceptible de indemnización, como puede ser el perjuicio patrimonial, el moral, a la salud, o a la vida de relación; a fin de evitar en todo caso un doble resarcimiento de la misma obligación”.</w:t>
      </w:r>
    </w:p>
    <w:p w14:paraId="28DF1EBA" w14:textId="77777777" w:rsidR="006257D7" w:rsidRPr="00A67CC7" w:rsidRDefault="006257D7" w:rsidP="00A67CC7">
      <w:pPr>
        <w:spacing w:line="240" w:lineRule="auto"/>
        <w:ind w:left="426" w:right="420"/>
        <w:jc w:val="both"/>
        <w:rPr>
          <w:rFonts w:ascii="Gadugi" w:hAnsi="Gadugi"/>
          <w:szCs w:val="24"/>
        </w:rPr>
      </w:pPr>
    </w:p>
    <w:p w14:paraId="12AA9D17" w14:textId="77777777" w:rsidR="006257D7" w:rsidRPr="002F651B" w:rsidRDefault="006257D7" w:rsidP="00A67CC7">
      <w:pPr>
        <w:spacing w:line="240" w:lineRule="auto"/>
        <w:ind w:left="426" w:right="420"/>
        <w:jc w:val="both"/>
        <w:rPr>
          <w:rFonts w:ascii="Gadugi" w:eastAsia="Times New Roman" w:hAnsi="Gadugi"/>
          <w:sz w:val="24"/>
          <w:szCs w:val="24"/>
          <w:lang w:val="es-ES_tradnl" w:eastAsia="es-ES"/>
        </w:rPr>
      </w:pPr>
      <w:r w:rsidRPr="00A67CC7">
        <w:rPr>
          <w:rFonts w:ascii="Gadugi" w:hAnsi="Gadugi"/>
          <w:szCs w:val="24"/>
        </w:rPr>
        <w:t>“Así, por ejemplo, si el daño al buen nombre coincide con la afectación del patrimonio de la víctima, y en la demanda se reclaman sendas indemnizaciones, entonces no será posible conceder ambas pretensiones porque en tal caso se estaría en presencia del mismo perjuicio, imposible de ser reparado por partida doble, dado que uno converge en el otro. Lo mismo cabe predicar de aquél frente al daño moral o a la vida de relación</w:t>
      </w:r>
      <w:r w:rsidRPr="002F651B">
        <w:rPr>
          <w:rFonts w:ascii="Gadugi" w:eastAsia="Times New Roman" w:hAnsi="Gadugi"/>
          <w:i/>
          <w:iCs/>
          <w:sz w:val="24"/>
          <w:szCs w:val="24"/>
          <w:lang w:val="es-ES_tradnl" w:eastAsia="es-ES"/>
        </w:rPr>
        <w:t xml:space="preserve"> </w:t>
      </w:r>
      <w:r w:rsidRPr="00A67CC7">
        <w:rPr>
          <w:rFonts w:ascii="Gadugi" w:hAnsi="Gadugi"/>
          <w:szCs w:val="24"/>
        </w:rPr>
        <w:t>cuando no aparezcan claramente</w:t>
      </w:r>
      <w:r w:rsidRPr="002F651B">
        <w:rPr>
          <w:rFonts w:ascii="Gadugi" w:eastAsia="Times New Roman" w:hAnsi="Gadugi"/>
          <w:i/>
          <w:iCs/>
          <w:sz w:val="24"/>
          <w:szCs w:val="24"/>
          <w:lang w:val="es-ES_tradnl" w:eastAsia="es-ES"/>
        </w:rPr>
        <w:t xml:space="preserve"> </w:t>
      </w:r>
      <w:r w:rsidRPr="00A67CC7">
        <w:rPr>
          <w:rFonts w:ascii="Gadugi" w:hAnsi="Gadugi"/>
          <w:szCs w:val="24"/>
        </w:rPr>
        <w:t>diferenciados”</w:t>
      </w:r>
      <w:r w:rsidRPr="002F651B">
        <w:rPr>
          <w:rFonts w:ascii="Gadugi" w:eastAsia="Times New Roman" w:hAnsi="Gadugi"/>
          <w:sz w:val="24"/>
          <w:szCs w:val="24"/>
          <w:vertAlign w:val="superscript"/>
          <w:lang w:val="es-ES_tradnl" w:eastAsia="es-ES"/>
        </w:rPr>
        <w:t xml:space="preserve"> </w:t>
      </w:r>
      <w:r w:rsidRPr="002F651B">
        <w:rPr>
          <w:rFonts w:ascii="Gadugi" w:eastAsia="Times New Roman" w:hAnsi="Gadugi"/>
          <w:sz w:val="24"/>
          <w:szCs w:val="24"/>
          <w:vertAlign w:val="superscript"/>
          <w:lang w:val="es-ES_tradnl" w:eastAsia="es-ES"/>
        </w:rPr>
        <w:footnoteReference w:id="80"/>
      </w:r>
      <w:r w:rsidRPr="002F651B">
        <w:rPr>
          <w:rFonts w:ascii="Gadugi" w:eastAsia="Times New Roman" w:hAnsi="Gadugi"/>
          <w:sz w:val="24"/>
          <w:szCs w:val="24"/>
          <w:lang w:val="es-ES_tradnl" w:eastAsia="es-ES"/>
        </w:rPr>
        <w:t>.</w:t>
      </w:r>
    </w:p>
    <w:p w14:paraId="365934D4" w14:textId="77777777" w:rsidR="006257D7" w:rsidRPr="00A67CC7" w:rsidRDefault="006257D7" w:rsidP="00A67CC7">
      <w:pPr>
        <w:spacing w:line="240" w:lineRule="auto"/>
        <w:ind w:left="426" w:right="420"/>
        <w:jc w:val="both"/>
        <w:rPr>
          <w:rFonts w:ascii="Gadugi" w:hAnsi="Gadugi"/>
          <w:szCs w:val="24"/>
        </w:rPr>
      </w:pPr>
    </w:p>
    <w:p w14:paraId="174C68B5" w14:textId="77777777" w:rsidR="006257D7" w:rsidRPr="00A67CC7" w:rsidRDefault="006257D7" w:rsidP="00A67CC7">
      <w:pPr>
        <w:spacing w:line="240" w:lineRule="auto"/>
        <w:ind w:left="426" w:right="420"/>
        <w:jc w:val="both"/>
        <w:rPr>
          <w:rFonts w:ascii="Gadugi" w:hAnsi="Gadugi"/>
          <w:szCs w:val="24"/>
        </w:rPr>
      </w:pPr>
      <w:r w:rsidRPr="00A67CC7">
        <w:rPr>
          <w:rFonts w:ascii="Gadugi" w:hAnsi="Gadugi"/>
          <w:szCs w:val="24"/>
        </w:rPr>
        <w:t xml:space="preserve">La cuestión se comprende mejor, si se tiene en cuenta que la pretensión del accionante se edifica en una aspiración que dentro del marco del derecho reparativo no se halla del todo consolidada, que más bien, corresponden a una categoría en construcción sobre el daño, en procura de forzar al sentenciador hacia la creación de una serie ilimitada de indemnizaciones por la misma causa, y que realmente corresponden a una agresión a un derecho fundamental,  que para el caso, su reparación, como se trasuntó se halla comprendida en los elementos indemnizatorios genéricos, queriendo el </w:t>
      </w:r>
      <w:proofErr w:type="spellStart"/>
      <w:r w:rsidRPr="00A67CC7">
        <w:rPr>
          <w:rFonts w:ascii="Gadugi" w:hAnsi="Gadugi"/>
          <w:szCs w:val="24"/>
        </w:rPr>
        <w:t>petente</w:t>
      </w:r>
      <w:proofErr w:type="spellEnd"/>
      <w:r w:rsidRPr="00A67CC7">
        <w:rPr>
          <w:rFonts w:ascii="Gadugi" w:hAnsi="Gadugi"/>
          <w:szCs w:val="24"/>
        </w:rPr>
        <w:t xml:space="preserve"> forzar ahora una doble indemnización por el mismo hecho, sabiéndose que el derecho reparativo no tiene como propósito ser fuente de enriquecimiento.</w:t>
      </w:r>
    </w:p>
    <w:p w14:paraId="449F1144" w14:textId="77777777" w:rsidR="006257D7" w:rsidRPr="002F651B" w:rsidRDefault="006257D7" w:rsidP="002F651B">
      <w:pPr>
        <w:tabs>
          <w:tab w:val="left" w:pos="851"/>
        </w:tabs>
        <w:jc w:val="both"/>
        <w:rPr>
          <w:rFonts w:ascii="Gadugi" w:eastAsia="Calibri" w:hAnsi="Gadugi" w:cs="Times New Roman"/>
          <w:sz w:val="24"/>
          <w:szCs w:val="24"/>
          <w:lang w:val="es-419"/>
        </w:rPr>
      </w:pPr>
    </w:p>
    <w:p w14:paraId="17E7A454" w14:textId="7D521D18" w:rsidR="0088476A" w:rsidRPr="002F651B" w:rsidRDefault="00694450"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Es claro, entonces, que el daño a la salud, que en la demanda </w:t>
      </w:r>
      <w:r w:rsidR="00345BA1" w:rsidRPr="002F651B">
        <w:rPr>
          <w:rFonts w:ascii="Gadugi" w:eastAsia="Calibri" w:hAnsi="Gadugi" w:cs="Times New Roman"/>
          <w:sz w:val="24"/>
          <w:szCs w:val="24"/>
          <w:lang w:val="es-419"/>
        </w:rPr>
        <w:t xml:space="preserve">tiene como </w:t>
      </w:r>
      <w:r w:rsidRPr="002F651B">
        <w:rPr>
          <w:rFonts w:ascii="Gadugi" w:eastAsia="Calibri" w:hAnsi="Gadugi" w:cs="Times New Roman"/>
          <w:sz w:val="24"/>
          <w:szCs w:val="24"/>
          <w:lang w:val="es-419"/>
        </w:rPr>
        <w:t>soport</w:t>
      </w:r>
      <w:r w:rsidR="00345BA1" w:rsidRPr="002F651B">
        <w:rPr>
          <w:rFonts w:ascii="Gadugi" w:eastAsia="Calibri" w:hAnsi="Gadugi" w:cs="Times New Roman"/>
          <w:sz w:val="24"/>
          <w:szCs w:val="24"/>
          <w:lang w:val="es-419"/>
        </w:rPr>
        <w:t xml:space="preserve">e </w:t>
      </w:r>
      <w:r w:rsidR="00D94F9F" w:rsidRPr="002F651B">
        <w:rPr>
          <w:rFonts w:ascii="Gadugi" w:eastAsia="Calibri" w:hAnsi="Gadugi" w:cs="Times New Roman"/>
          <w:sz w:val="24"/>
          <w:szCs w:val="24"/>
          <w:lang w:val="es-419"/>
        </w:rPr>
        <w:t xml:space="preserve">una decisión del Consejo de Estado, </w:t>
      </w:r>
      <w:r w:rsidR="00900A22" w:rsidRPr="002F651B">
        <w:rPr>
          <w:rFonts w:ascii="Gadugi" w:eastAsia="Calibri" w:hAnsi="Gadugi" w:cs="Times New Roman"/>
          <w:sz w:val="24"/>
          <w:szCs w:val="24"/>
          <w:lang w:val="es-419"/>
        </w:rPr>
        <w:t xml:space="preserve">no ha sido </w:t>
      </w:r>
      <w:r w:rsidR="00345BA1" w:rsidRPr="002F651B">
        <w:rPr>
          <w:rFonts w:ascii="Gadugi" w:eastAsia="Calibri" w:hAnsi="Gadugi" w:cs="Times New Roman"/>
          <w:sz w:val="24"/>
          <w:szCs w:val="24"/>
          <w:lang w:val="es-419"/>
        </w:rPr>
        <w:t xml:space="preserve">reconocido en la </w:t>
      </w:r>
      <w:r w:rsidR="00F16D7B" w:rsidRPr="002F651B">
        <w:rPr>
          <w:rFonts w:ascii="Gadugi" w:eastAsia="Calibri" w:hAnsi="Gadugi" w:cs="Times New Roman"/>
          <w:sz w:val="24"/>
          <w:szCs w:val="24"/>
          <w:lang w:val="es-419"/>
        </w:rPr>
        <w:t xml:space="preserve">jurisdicción ordinaria como daño autónomo; así </w:t>
      </w:r>
      <w:r w:rsidR="00B93661" w:rsidRPr="002F651B">
        <w:rPr>
          <w:rFonts w:ascii="Gadugi" w:eastAsia="Calibri" w:hAnsi="Gadugi" w:cs="Times New Roman"/>
          <w:sz w:val="24"/>
          <w:szCs w:val="24"/>
          <w:lang w:val="es-419"/>
        </w:rPr>
        <w:t xml:space="preserve">que </w:t>
      </w:r>
      <w:r w:rsidR="00F16D7B" w:rsidRPr="002F651B">
        <w:rPr>
          <w:rFonts w:ascii="Gadugi" w:eastAsia="Calibri" w:hAnsi="Gadugi" w:cs="Times New Roman"/>
          <w:sz w:val="24"/>
          <w:szCs w:val="24"/>
          <w:lang w:val="es-419"/>
        </w:rPr>
        <w:t>la pretensión debe fracas</w:t>
      </w:r>
      <w:r w:rsidR="0088476A" w:rsidRPr="002F651B">
        <w:rPr>
          <w:rFonts w:ascii="Gadugi" w:eastAsia="Calibri" w:hAnsi="Gadugi" w:cs="Times New Roman"/>
          <w:sz w:val="24"/>
          <w:szCs w:val="24"/>
          <w:lang w:val="es-419"/>
        </w:rPr>
        <w:t xml:space="preserve">ar. </w:t>
      </w:r>
    </w:p>
    <w:p w14:paraId="5AFAF61F" w14:textId="77777777" w:rsidR="0088476A" w:rsidRPr="002F651B" w:rsidRDefault="0088476A" w:rsidP="002F651B">
      <w:pPr>
        <w:tabs>
          <w:tab w:val="left" w:pos="851"/>
        </w:tabs>
        <w:jc w:val="both"/>
        <w:rPr>
          <w:rFonts w:ascii="Gadugi" w:eastAsia="Calibri" w:hAnsi="Gadugi" w:cs="Times New Roman"/>
          <w:sz w:val="24"/>
          <w:szCs w:val="24"/>
          <w:lang w:val="es-419"/>
        </w:rPr>
      </w:pPr>
    </w:p>
    <w:p w14:paraId="21382A78" w14:textId="596E11AB" w:rsidR="005A1BAA" w:rsidRPr="002F651B" w:rsidRDefault="0088476A"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Ahora, en cuanto a la a</w:t>
      </w:r>
      <w:r w:rsidR="00125533" w:rsidRPr="002F651B">
        <w:rPr>
          <w:rFonts w:ascii="Gadugi" w:eastAsia="Calibri" w:hAnsi="Gadugi" w:cs="Times New Roman"/>
          <w:sz w:val="24"/>
          <w:szCs w:val="24"/>
          <w:lang w:val="es-419"/>
        </w:rPr>
        <w:t xml:space="preserve">fectación relevante de </w:t>
      </w:r>
      <w:r w:rsidR="00DB050A" w:rsidRPr="002F651B">
        <w:rPr>
          <w:rFonts w:ascii="Gadugi" w:eastAsia="Calibri" w:hAnsi="Gadugi" w:cs="Times New Roman"/>
          <w:sz w:val="24"/>
          <w:szCs w:val="24"/>
          <w:lang w:val="es-419"/>
        </w:rPr>
        <w:t xml:space="preserve">bienes o derechos convencional o constitucionalmente protegidos, señalan los demandantes que </w:t>
      </w:r>
      <w:r w:rsidR="002B1DD1" w:rsidRPr="002F651B">
        <w:rPr>
          <w:rFonts w:ascii="Gadugi" w:eastAsia="Calibri" w:hAnsi="Gadugi" w:cs="Times New Roman"/>
          <w:sz w:val="24"/>
          <w:szCs w:val="24"/>
          <w:lang w:val="es-419"/>
        </w:rPr>
        <w:t xml:space="preserve">la trágica situación por la que atravesó la señora </w:t>
      </w:r>
      <w:r w:rsidR="00E35A31" w:rsidRPr="002F651B">
        <w:rPr>
          <w:rFonts w:ascii="Gadugi" w:eastAsia="Calibri" w:hAnsi="Gadugi" w:cs="Times New Roman"/>
          <w:sz w:val="24"/>
          <w:szCs w:val="24"/>
          <w:lang w:val="es-419"/>
        </w:rPr>
        <w:t xml:space="preserve">Correa de Piedrahíta vulneró los derechos a la vida, a la igualdad, a la familia y a la salud, por lo que </w:t>
      </w:r>
      <w:r w:rsidR="00556C44" w:rsidRPr="002F651B">
        <w:rPr>
          <w:rFonts w:ascii="Gadugi" w:eastAsia="Calibri" w:hAnsi="Gadugi" w:cs="Times New Roman"/>
          <w:sz w:val="24"/>
          <w:szCs w:val="24"/>
          <w:lang w:val="es-419"/>
        </w:rPr>
        <w:t xml:space="preserve">reclaman su reparación en una doble vía: por una parte, </w:t>
      </w:r>
      <w:r w:rsidR="00C23A75" w:rsidRPr="002F651B">
        <w:rPr>
          <w:rFonts w:ascii="Gadugi" w:eastAsia="Calibri" w:hAnsi="Gadugi" w:cs="Times New Roman"/>
          <w:sz w:val="24"/>
          <w:szCs w:val="24"/>
          <w:lang w:val="es-419"/>
        </w:rPr>
        <w:t>con una retribución económica a favor de l</w:t>
      </w:r>
      <w:r w:rsidR="00220D15" w:rsidRPr="002F651B">
        <w:rPr>
          <w:rFonts w:ascii="Gadugi" w:eastAsia="Calibri" w:hAnsi="Gadugi" w:cs="Times New Roman"/>
          <w:sz w:val="24"/>
          <w:szCs w:val="24"/>
          <w:lang w:val="es-419"/>
        </w:rPr>
        <w:t xml:space="preserve">a sucesión y de los </w:t>
      </w:r>
      <w:r w:rsidR="00C23A75" w:rsidRPr="002F651B">
        <w:rPr>
          <w:rFonts w:ascii="Gadugi" w:eastAsia="Calibri" w:hAnsi="Gadugi" w:cs="Times New Roman"/>
          <w:sz w:val="24"/>
          <w:szCs w:val="24"/>
          <w:lang w:val="es-419"/>
        </w:rPr>
        <w:t xml:space="preserve">hijos de </w:t>
      </w:r>
      <w:r w:rsidR="008D7A82" w:rsidRPr="002F651B">
        <w:rPr>
          <w:rFonts w:ascii="Gadugi" w:eastAsia="Calibri" w:hAnsi="Gadugi" w:cs="Times New Roman"/>
          <w:sz w:val="24"/>
          <w:szCs w:val="24"/>
          <w:lang w:val="es-419"/>
        </w:rPr>
        <w:t>aquella (así aparece en las pretensiones del libelo</w:t>
      </w:r>
      <w:r w:rsidR="008D7A82" w:rsidRPr="002F651B">
        <w:rPr>
          <w:rStyle w:val="Refdenotaalpie"/>
          <w:rFonts w:ascii="Gadugi" w:eastAsia="Calibri" w:hAnsi="Gadugi" w:cs="Times New Roman"/>
          <w:sz w:val="24"/>
          <w:szCs w:val="24"/>
          <w:lang w:val="es-419"/>
        </w:rPr>
        <w:footnoteReference w:id="81"/>
      </w:r>
      <w:r w:rsidR="008D7A82" w:rsidRPr="002F651B">
        <w:rPr>
          <w:rFonts w:ascii="Gadugi" w:eastAsia="Calibri" w:hAnsi="Gadugi" w:cs="Times New Roman"/>
          <w:sz w:val="24"/>
          <w:szCs w:val="24"/>
          <w:lang w:val="es-419"/>
        </w:rPr>
        <w:t>)</w:t>
      </w:r>
      <w:r w:rsidR="006B787D" w:rsidRPr="002F651B">
        <w:rPr>
          <w:rFonts w:ascii="Gadugi" w:eastAsia="Calibri" w:hAnsi="Gadugi" w:cs="Times New Roman"/>
          <w:sz w:val="24"/>
          <w:szCs w:val="24"/>
          <w:lang w:val="es-419"/>
        </w:rPr>
        <w:t xml:space="preserve">; y por la otra, </w:t>
      </w:r>
      <w:r w:rsidR="00FB618B" w:rsidRPr="002F651B">
        <w:rPr>
          <w:rFonts w:ascii="Gadugi" w:eastAsia="Calibri" w:hAnsi="Gadugi" w:cs="Times New Roman"/>
          <w:sz w:val="24"/>
          <w:szCs w:val="24"/>
          <w:lang w:val="es-419"/>
        </w:rPr>
        <w:t>con una repa</w:t>
      </w:r>
      <w:r w:rsidR="00BF082D" w:rsidRPr="002F651B">
        <w:rPr>
          <w:rFonts w:ascii="Gadugi" w:eastAsia="Calibri" w:hAnsi="Gadugi" w:cs="Times New Roman"/>
          <w:sz w:val="24"/>
          <w:szCs w:val="24"/>
          <w:lang w:val="es-419"/>
        </w:rPr>
        <w:t>ra</w:t>
      </w:r>
      <w:r w:rsidR="00FB618B" w:rsidRPr="002F651B">
        <w:rPr>
          <w:rFonts w:ascii="Gadugi" w:eastAsia="Calibri" w:hAnsi="Gadugi" w:cs="Times New Roman"/>
          <w:sz w:val="24"/>
          <w:szCs w:val="24"/>
          <w:lang w:val="es-419"/>
        </w:rPr>
        <w:t xml:space="preserve">ción simbólica, traducida en la publicación en un diario de amplia circulación nacional de la sentencia condenatoria, </w:t>
      </w:r>
      <w:r w:rsidR="00C23A75" w:rsidRPr="002F651B">
        <w:rPr>
          <w:rFonts w:ascii="Gadugi" w:eastAsia="Calibri" w:hAnsi="Gadugi" w:cs="Times New Roman"/>
          <w:sz w:val="24"/>
          <w:szCs w:val="24"/>
          <w:lang w:val="es-419"/>
        </w:rPr>
        <w:t xml:space="preserve">la </w:t>
      </w:r>
      <w:r w:rsidR="00BF082D" w:rsidRPr="002F651B">
        <w:rPr>
          <w:rFonts w:ascii="Gadugi" w:eastAsia="Calibri" w:hAnsi="Gadugi" w:cs="Times New Roman"/>
          <w:sz w:val="24"/>
          <w:szCs w:val="24"/>
          <w:lang w:val="es-419"/>
        </w:rPr>
        <w:t>atención psicológica del núcleo familiar, la divulgación del contenido de la sentencia en todas las clínicas y hospitales</w:t>
      </w:r>
      <w:r w:rsidR="007F71FB" w:rsidRPr="002F651B">
        <w:rPr>
          <w:rFonts w:ascii="Gadugi" w:eastAsia="Calibri" w:hAnsi="Gadugi" w:cs="Times New Roman"/>
          <w:sz w:val="24"/>
          <w:szCs w:val="24"/>
          <w:lang w:val="es-419"/>
        </w:rPr>
        <w:t xml:space="preserve">, y la implementación de campañas en clínicas públicas y privadas para evitar que se repitan </w:t>
      </w:r>
      <w:r w:rsidR="005A1BAA" w:rsidRPr="002F651B">
        <w:rPr>
          <w:rFonts w:ascii="Gadugi" w:eastAsia="Calibri" w:hAnsi="Gadugi" w:cs="Times New Roman"/>
          <w:sz w:val="24"/>
          <w:szCs w:val="24"/>
          <w:lang w:val="es-419"/>
        </w:rPr>
        <w:t xml:space="preserve">las circunstancias de ahora. </w:t>
      </w:r>
    </w:p>
    <w:p w14:paraId="776C1079" w14:textId="77777777" w:rsidR="00516912" w:rsidRPr="002F651B" w:rsidRDefault="00516912" w:rsidP="002F651B">
      <w:pPr>
        <w:tabs>
          <w:tab w:val="left" w:pos="851"/>
        </w:tabs>
        <w:jc w:val="both"/>
        <w:rPr>
          <w:rFonts w:ascii="Gadugi" w:eastAsia="Calibri" w:hAnsi="Gadugi" w:cs="Times New Roman"/>
          <w:sz w:val="24"/>
          <w:szCs w:val="24"/>
          <w:lang w:val="es-419"/>
        </w:rPr>
      </w:pPr>
    </w:p>
    <w:p w14:paraId="0C053CEC" w14:textId="7690073E" w:rsidR="00D50DE9" w:rsidRPr="002F651B" w:rsidRDefault="00C07B05"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E</w:t>
      </w:r>
      <w:r w:rsidR="00CD4ED4" w:rsidRPr="002F651B">
        <w:rPr>
          <w:rFonts w:ascii="Gadugi" w:eastAsia="Calibri" w:hAnsi="Gadugi" w:cs="Times New Roman"/>
          <w:sz w:val="24"/>
          <w:szCs w:val="24"/>
          <w:lang w:val="es-419"/>
        </w:rPr>
        <w:t xml:space="preserve">n perspectiva de la reparación simbólica, </w:t>
      </w:r>
      <w:r w:rsidR="00FE34AA" w:rsidRPr="002F651B">
        <w:rPr>
          <w:rFonts w:ascii="Gadugi" w:eastAsia="Calibri" w:hAnsi="Gadugi" w:cs="Times New Roman"/>
          <w:sz w:val="24"/>
          <w:szCs w:val="24"/>
          <w:lang w:val="es-419"/>
        </w:rPr>
        <w:t xml:space="preserve">esta Sala en providencia del </w:t>
      </w:r>
      <w:r w:rsidR="00352A38" w:rsidRPr="002F651B">
        <w:rPr>
          <w:rFonts w:ascii="Gadugi" w:eastAsia="Calibri" w:hAnsi="Gadugi" w:cs="Times New Roman"/>
          <w:sz w:val="24"/>
          <w:szCs w:val="24"/>
          <w:lang w:val="es-419"/>
        </w:rPr>
        <w:t>2017</w:t>
      </w:r>
      <w:r w:rsidR="00155049" w:rsidRPr="002F651B">
        <w:rPr>
          <w:rFonts w:ascii="Gadugi" w:eastAsia="Calibri" w:hAnsi="Gadugi" w:cs="Times New Roman"/>
          <w:sz w:val="24"/>
          <w:szCs w:val="24"/>
          <w:lang w:val="es-419"/>
        </w:rPr>
        <w:t xml:space="preserve">, </w:t>
      </w:r>
      <w:r w:rsidR="00CB445D" w:rsidRPr="002F651B">
        <w:rPr>
          <w:rFonts w:ascii="Gadugi" w:eastAsia="Calibri" w:hAnsi="Gadugi" w:cs="Times New Roman"/>
          <w:sz w:val="24"/>
          <w:szCs w:val="24"/>
          <w:lang w:val="es-419"/>
        </w:rPr>
        <w:t xml:space="preserve">a cuya lectura se remite, en gracia de la brevedad, </w:t>
      </w:r>
      <w:r w:rsidR="00155049" w:rsidRPr="002F651B">
        <w:rPr>
          <w:rFonts w:ascii="Gadugi" w:eastAsia="Calibri" w:hAnsi="Gadugi" w:cs="Times New Roman"/>
          <w:sz w:val="24"/>
          <w:szCs w:val="24"/>
          <w:lang w:val="es-419"/>
        </w:rPr>
        <w:t>llegó a la conclusión de que, en determinados casos, es viable imponerla</w:t>
      </w:r>
      <w:r w:rsidR="00352A38" w:rsidRPr="002F651B">
        <w:rPr>
          <w:rStyle w:val="Refdenotaalpie"/>
          <w:rFonts w:ascii="Gadugi" w:eastAsia="Calibri" w:hAnsi="Gadugi" w:cs="Times New Roman"/>
          <w:sz w:val="24"/>
          <w:szCs w:val="24"/>
          <w:lang w:val="es-419"/>
        </w:rPr>
        <w:footnoteReference w:id="82"/>
      </w:r>
      <w:r w:rsidR="00155049" w:rsidRPr="002F651B">
        <w:rPr>
          <w:rFonts w:ascii="Gadugi" w:eastAsia="Calibri" w:hAnsi="Gadugi" w:cs="Times New Roman"/>
          <w:sz w:val="24"/>
          <w:szCs w:val="24"/>
          <w:lang w:val="es-419"/>
        </w:rPr>
        <w:t>. Para tal fin, se fundó e</w:t>
      </w:r>
      <w:r w:rsidR="00AD04CE" w:rsidRPr="002F651B">
        <w:rPr>
          <w:rFonts w:ascii="Gadugi" w:eastAsia="Calibri" w:hAnsi="Gadugi" w:cs="Times New Roman"/>
          <w:sz w:val="24"/>
          <w:szCs w:val="24"/>
          <w:lang w:val="es-419"/>
        </w:rPr>
        <w:t>n</w:t>
      </w:r>
      <w:r w:rsidR="00155049" w:rsidRPr="002F651B">
        <w:rPr>
          <w:rFonts w:ascii="Gadugi" w:eastAsia="Calibri" w:hAnsi="Gadugi" w:cs="Times New Roman"/>
          <w:sz w:val="24"/>
          <w:szCs w:val="24"/>
          <w:lang w:val="es-419"/>
        </w:rPr>
        <w:t xml:space="preserve"> sendas providencias de los órganos de cierre, por ejemplo, la sentencia </w:t>
      </w:r>
      <w:r w:rsidR="00AD04CE" w:rsidRPr="002F651B">
        <w:rPr>
          <w:rFonts w:ascii="Gadugi" w:eastAsia="Calibri" w:hAnsi="Gadugi" w:cs="Times New Roman"/>
          <w:sz w:val="24"/>
          <w:szCs w:val="24"/>
          <w:lang w:val="es-419"/>
        </w:rPr>
        <w:t>del caso Villaveces de 1922</w:t>
      </w:r>
      <w:r w:rsidR="00AF006C" w:rsidRPr="002F651B">
        <w:rPr>
          <w:rStyle w:val="Refdenotaalpie"/>
          <w:rFonts w:ascii="Gadugi" w:hAnsi="Gadugi"/>
          <w:sz w:val="24"/>
          <w:szCs w:val="24"/>
          <w:lang w:val="es-419"/>
        </w:rPr>
        <w:footnoteReference w:id="83"/>
      </w:r>
      <w:r w:rsidR="00AD04CE" w:rsidRPr="002F651B">
        <w:rPr>
          <w:rFonts w:ascii="Gadugi" w:eastAsia="Calibri" w:hAnsi="Gadugi" w:cs="Times New Roman"/>
          <w:sz w:val="24"/>
          <w:szCs w:val="24"/>
          <w:lang w:val="es-419"/>
        </w:rPr>
        <w:t xml:space="preserve"> y su pos</w:t>
      </w:r>
      <w:r w:rsidR="00AF006C" w:rsidRPr="002F651B">
        <w:rPr>
          <w:rFonts w:ascii="Gadugi" w:eastAsia="Calibri" w:hAnsi="Gadugi" w:cs="Times New Roman"/>
          <w:sz w:val="24"/>
          <w:szCs w:val="24"/>
          <w:lang w:val="es-419"/>
        </w:rPr>
        <w:t xml:space="preserve">terior sustitutiva de 1924, la </w:t>
      </w:r>
      <w:r w:rsidR="00155049" w:rsidRPr="002F651B">
        <w:rPr>
          <w:rFonts w:ascii="Gadugi" w:eastAsia="Calibri" w:hAnsi="Gadugi" w:cs="Times New Roman"/>
          <w:sz w:val="24"/>
          <w:szCs w:val="24"/>
          <w:lang w:val="es-419"/>
        </w:rPr>
        <w:t>SC10297-2014</w:t>
      </w:r>
      <w:r w:rsidR="00AF006C" w:rsidRPr="002F651B">
        <w:rPr>
          <w:rFonts w:ascii="Gadugi" w:eastAsia="Calibri" w:hAnsi="Gadugi" w:cs="Times New Roman"/>
          <w:sz w:val="24"/>
          <w:szCs w:val="24"/>
          <w:lang w:val="es-419"/>
        </w:rPr>
        <w:t>, la 28804 del 28 de agosto de 2014 del Consejo de Estado</w:t>
      </w:r>
      <w:r w:rsidR="00AF006C" w:rsidRPr="002F651B">
        <w:rPr>
          <w:rStyle w:val="Refdenotaalpie"/>
          <w:rFonts w:ascii="Gadugi" w:hAnsi="Gadugi"/>
          <w:sz w:val="24"/>
          <w:szCs w:val="24"/>
          <w:lang w:val="es-419"/>
        </w:rPr>
        <w:footnoteReference w:id="84"/>
      </w:r>
      <w:r w:rsidR="00AF006C" w:rsidRPr="002F651B">
        <w:rPr>
          <w:rFonts w:ascii="Gadugi" w:eastAsia="Calibri" w:hAnsi="Gadugi" w:cs="Times New Roman"/>
          <w:sz w:val="24"/>
          <w:szCs w:val="24"/>
          <w:lang w:val="es-419"/>
        </w:rPr>
        <w:t>, la T-576 de 2008. También en reconocida doctrina</w:t>
      </w:r>
      <w:r w:rsidR="00D50DE9" w:rsidRPr="002F651B">
        <w:rPr>
          <w:rStyle w:val="Refdenotaalpie"/>
          <w:rFonts w:ascii="Gadugi" w:hAnsi="Gadugi"/>
          <w:sz w:val="24"/>
          <w:szCs w:val="24"/>
        </w:rPr>
        <w:footnoteReference w:id="85"/>
      </w:r>
      <w:r w:rsidR="00D50DE9" w:rsidRPr="002F651B">
        <w:rPr>
          <w:rFonts w:ascii="Gadugi" w:hAnsi="Gadugi"/>
          <w:sz w:val="24"/>
          <w:szCs w:val="24"/>
          <w:vertAlign w:val="superscript"/>
          <w:lang w:val="es-419"/>
        </w:rPr>
        <w:t>-</w:t>
      </w:r>
      <w:r w:rsidR="00D50DE9" w:rsidRPr="002F651B">
        <w:rPr>
          <w:rStyle w:val="Refdenotaalpie"/>
          <w:rFonts w:ascii="Gadugi" w:hAnsi="Gadugi"/>
          <w:sz w:val="24"/>
          <w:szCs w:val="24"/>
          <w:lang w:val="es-419"/>
        </w:rPr>
        <w:footnoteReference w:id="86"/>
      </w:r>
      <w:r w:rsidR="00AF006C" w:rsidRPr="002F651B">
        <w:rPr>
          <w:rFonts w:ascii="Gadugi" w:eastAsia="Calibri" w:hAnsi="Gadugi" w:cs="Times New Roman"/>
          <w:sz w:val="24"/>
          <w:szCs w:val="24"/>
          <w:lang w:val="es-419"/>
        </w:rPr>
        <w:t>.</w:t>
      </w:r>
    </w:p>
    <w:p w14:paraId="6CC2D99E" w14:textId="0A238261" w:rsidR="00AF006C" w:rsidRPr="002F651B" w:rsidRDefault="00AF006C" w:rsidP="002F651B">
      <w:pPr>
        <w:tabs>
          <w:tab w:val="left" w:pos="851"/>
        </w:tabs>
        <w:jc w:val="both"/>
        <w:rPr>
          <w:rFonts w:ascii="Gadugi" w:eastAsia="Calibri" w:hAnsi="Gadugi" w:cs="Times New Roman"/>
          <w:sz w:val="24"/>
          <w:szCs w:val="24"/>
          <w:lang w:val="es-419"/>
        </w:rPr>
      </w:pPr>
    </w:p>
    <w:p w14:paraId="0F4D8002" w14:textId="7B0E9E23" w:rsidR="00AF006C" w:rsidRPr="002F651B" w:rsidRDefault="00AF006C"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Tras ese recorrido, dijo la Sala en la citada providencia que: </w:t>
      </w:r>
    </w:p>
    <w:p w14:paraId="4E198575" w14:textId="77777777" w:rsidR="0085097D" w:rsidRPr="002F651B" w:rsidRDefault="0085097D" w:rsidP="002F651B">
      <w:pPr>
        <w:ind w:left="567" w:right="567"/>
        <w:jc w:val="both"/>
        <w:rPr>
          <w:rFonts w:ascii="Gadugi" w:hAnsi="Gadugi"/>
          <w:sz w:val="24"/>
          <w:szCs w:val="24"/>
        </w:rPr>
      </w:pPr>
    </w:p>
    <w:p w14:paraId="4421C8FF" w14:textId="696867BD" w:rsidR="0085097D" w:rsidRPr="00A67CC7" w:rsidRDefault="0085097D" w:rsidP="00A67CC7">
      <w:pPr>
        <w:spacing w:line="240" w:lineRule="auto"/>
        <w:ind w:left="426" w:right="420"/>
        <w:jc w:val="both"/>
        <w:rPr>
          <w:rFonts w:ascii="Gadugi" w:hAnsi="Gadugi"/>
          <w:szCs w:val="24"/>
        </w:rPr>
      </w:pPr>
      <w:r w:rsidRPr="00A67CC7">
        <w:rPr>
          <w:rFonts w:ascii="Gadugi" w:hAnsi="Gadugi"/>
          <w:szCs w:val="24"/>
        </w:rPr>
        <w:t xml:space="preserve">Se acepta, entonces, que la reparación del daño, no siempre ha de ser económica para cumplir el cometido que la ley quiere frente a la víctima. Si con el hecho lesivo se trasgrede, además, un derecho de orden constitucional, a la restauración del mismo pueden corresponderle medidas figurativas o simbólicas, que recuperen el equilibrio quebrantado y signifiquen un llamado a la no repetición de conductas que atenten contra esos privilegios superiores. </w:t>
      </w:r>
    </w:p>
    <w:p w14:paraId="6DDA9CD5" w14:textId="77777777" w:rsidR="00817B2D" w:rsidRPr="002F651B" w:rsidRDefault="00817B2D" w:rsidP="002F651B">
      <w:pPr>
        <w:tabs>
          <w:tab w:val="left" w:pos="851"/>
        </w:tabs>
        <w:jc w:val="both"/>
        <w:rPr>
          <w:rFonts w:ascii="Gadugi" w:eastAsia="Calibri" w:hAnsi="Gadugi" w:cs="Times New Roman"/>
          <w:sz w:val="24"/>
          <w:szCs w:val="24"/>
          <w:lang w:val="es-419"/>
        </w:rPr>
      </w:pPr>
    </w:p>
    <w:p w14:paraId="6E2D21AE" w14:textId="51251C75" w:rsidR="007B6A83" w:rsidRPr="002F651B" w:rsidRDefault="004759B1"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En ese recorrido</w:t>
      </w:r>
      <w:r w:rsidR="00FD60F4" w:rsidRPr="002F651B">
        <w:rPr>
          <w:rFonts w:ascii="Gadugi" w:eastAsia="Calibri" w:hAnsi="Gadugi" w:cs="Times New Roman"/>
          <w:sz w:val="24"/>
          <w:szCs w:val="24"/>
          <w:lang w:val="es-419"/>
        </w:rPr>
        <w:t xml:space="preserve">, en el que se encuentran también otras decisiones, como </w:t>
      </w:r>
      <w:r w:rsidR="001857E5" w:rsidRPr="002F651B">
        <w:rPr>
          <w:rFonts w:ascii="Gadugi" w:eastAsia="Calibri" w:hAnsi="Gadugi" w:cs="Times New Roman"/>
          <w:sz w:val="24"/>
          <w:szCs w:val="24"/>
          <w:lang w:val="es-419"/>
        </w:rPr>
        <w:t xml:space="preserve">la sentencia del 26 de mayo de 1999, radicado 5244, con ponencia del Magistrado Pedro </w:t>
      </w:r>
      <w:proofErr w:type="spellStart"/>
      <w:r w:rsidR="008352ED" w:rsidRPr="002F651B">
        <w:rPr>
          <w:rFonts w:ascii="Gadugi" w:eastAsia="Calibri" w:hAnsi="Gadugi" w:cs="Times New Roman"/>
          <w:sz w:val="24"/>
          <w:szCs w:val="24"/>
          <w:lang w:val="es-419"/>
        </w:rPr>
        <w:t>L</w:t>
      </w:r>
      <w:r w:rsidR="001857E5" w:rsidRPr="002F651B">
        <w:rPr>
          <w:rFonts w:ascii="Gadugi" w:eastAsia="Calibri" w:hAnsi="Gadugi" w:cs="Times New Roman"/>
          <w:sz w:val="24"/>
          <w:szCs w:val="24"/>
          <w:lang w:val="es-419"/>
        </w:rPr>
        <w:t>afont</w:t>
      </w:r>
      <w:proofErr w:type="spellEnd"/>
      <w:r w:rsidR="001857E5" w:rsidRPr="002F651B">
        <w:rPr>
          <w:rFonts w:ascii="Gadugi" w:eastAsia="Calibri" w:hAnsi="Gadugi" w:cs="Times New Roman"/>
          <w:sz w:val="24"/>
          <w:szCs w:val="24"/>
          <w:lang w:val="es-419"/>
        </w:rPr>
        <w:t xml:space="preserve"> </w:t>
      </w:r>
      <w:proofErr w:type="spellStart"/>
      <w:r w:rsidR="001857E5" w:rsidRPr="002F651B">
        <w:rPr>
          <w:rFonts w:ascii="Gadugi" w:eastAsia="Calibri" w:hAnsi="Gadugi" w:cs="Times New Roman"/>
          <w:sz w:val="24"/>
          <w:szCs w:val="24"/>
          <w:lang w:val="es-419"/>
        </w:rPr>
        <w:t>Pianetta</w:t>
      </w:r>
      <w:proofErr w:type="spellEnd"/>
      <w:r w:rsidR="001857E5" w:rsidRPr="002F651B">
        <w:rPr>
          <w:rFonts w:ascii="Gadugi" w:eastAsia="Calibri" w:hAnsi="Gadugi" w:cs="Times New Roman"/>
          <w:sz w:val="24"/>
          <w:szCs w:val="24"/>
          <w:lang w:val="es-419"/>
        </w:rPr>
        <w:t xml:space="preserve">, </w:t>
      </w:r>
      <w:r w:rsidR="00FA1DED" w:rsidRPr="002F651B">
        <w:rPr>
          <w:rFonts w:ascii="Gadugi" w:eastAsia="Calibri" w:hAnsi="Gadugi" w:cs="Times New Roman"/>
          <w:sz w:val="24"/>
          <w:szCs w:val="24"/>
          <w:lang w:val="es-419"/>
        </w:rPr>
        <w:t xml:space="preserve">citada también por la Sala de Casación Penal de la Corte en la sentencia </w:t>
      </w:r>
      <w:r w:rsidR="00EF206F" w:rsidRPr="002F651B">
        <w:rPr>
          <w:rFonts w:ascii="Gadugi" w:eastAsia="Calibri" w:hAnsi="Gadugi" w:cs="Times New Roman"/>
          <w:sz w:val="24"/>
          <w:szCs w:val="24"/>
          <w:lang w:val="es-419"/>
        </w:rPr>
        <w:t xml:space="preserve">SP6029-2017, </w:t>
      </w:r>
      <w:r w:rsidR="008352ED" w:rsidRPr="002F651B">
        <w:rPr>
          <w:rFonts w:ascii="Gadugi" w:eastAsia="Calibri" w:hAnsi="Gadugi" w:cs="Times New Roman"/>
          <w:sz w:val="24"/>
          <w:szCs w:val="24"/>
          <w:lang w:val="es-419"/>
        </w:rPr>
        <w:t xml:space="preserve">o la sentencia </w:t>
      </w:r>
      <w:r w:rsidR="00AE41AA" w:rsidRPr="002F651B">
        <w:rPr>
          <w:rFonts w:ascii="Gadugi" w:eastAsia="Calibri" w:hAnsi="Gadugi" w:cs="Times New Roman"/>
          <w:sz w:val="24"/>
          <w:szCs w:val="24"/>
          <w:lang w:val="es-419"/>
        </w:rPr>
        <w:t xml:space="preserve">SC5686-2018, </w:t>
      </w:r>
      <w:r w:rsidR="00EF206F" w:rsidRPr="002F651B">
        <w:rPr>
          <w:rFonts w:ascii="Gadugi" w:eastAsia="Calibri" w:hAnsi="Gadugi" w:cs="Times New Roman"/>
          <w:sz w:val="24"/>
          <w:szCs w:val="24"/>
          <w:lang w:val="es-419"/>
        </w:rPr>
        <w:t>hay que destacar que</w:t>
      </w:r>
      <w:r w:rsidR="00B7503F" w:rsidRPr="002F651B">
        <w:rPr>
          <w:rFonts w:ascii="Gadugi" w:eastAsia="Calibri" w:hAnsi="Gadugi" w:cs="Times New Roman"/>
          <w:sz w:val="24"/>
          <w:szCs w:val="24"/>
          <w:lang w:val="es-419"/>
        </w:rPr>
        <w:t xml:space="preserve">, en algunas decisiones, como las de 1922 y </w:t>
      </w:r>
      <w:r w:rsidR="00602210" w:rsidRPr="002F651B">
        <w:rPr>
          <w:rFonts w:ascii="Gadugi" w:eastAsia="Calibri" w:hAnsi="Gadugi" w:cs="Times New Roman"/>
          <w:sz w:val="24"/>
          <w:szCs w:val="24"/>
          <w:lang w:val="es-419"/>
        </w:rPr>
        <w:t xml:space="preserve">1999, se </w:t>
      </w:r>
      <w:r w:rsidR="008C6C41" w:rsidRPr="002F651B">
        <w:rPr>
          <w:rFonts w:ascii="Gadugi" w:eastAsia="Calibri" w:hAnsi="Gadugi" w:cs="Times New Roman"/>
          <w:sz w:val="24"/>
          <w:szCs w:val="24"/>
          <w:lang w:val="es-419"/>
        </w:rPr>
        <w:t>utilizó la medida simbóli</w:t>
      </w:r>
      <w:r w:rsidR="00003A79" w:rsidRPr="002F651B">
        <w:rPr>
          <w:rFonts w:ascii="Gadugi" w:eastAsia="Calibri" w:hAnsi="Gadugi" w:cs="Times New Roman"/>
          <w:sz w:val="24"/>
          <w:szCs w:val="24"/>
          <w:lang w:val="es-419"/>
        </w:rPr>
        <w:t xml:space="preserve">ca como una forma de reparar el </w:t>
      </w:r>
      <w:r w:rsidR="00287D16" w:rsidRPr="002F651B">
        <w:rPr>
          <w:rFonts w:ascii="Gadugi" w:eastAsia="Calibri" w:hAnsi="Gadugi" w:cs="Times New Roman"/>
          <w:sz w:val="24"/>
          <w:szCs w:val="24"/>
          <w:lang w:val="es-419"/>
        </w:rPr>
        <w:t>daño moral; en otras, en cambio, como las de 2014 y 2018</w:t>
      </w:r>
      <w:r w:rsidR="002F5E56" w:rsidRPr="002F651B">
        <w:rPr>
          <w:rFonts w:ascii="Gadugi" w:eastAsia="Calibri" w:hAnsi="Gadugi" w:cs="Times New Roman"/>
          <w:sz w:val="24"/>
          <w:szCs w:val="24"/>
          <w:lang w:val="es-419"/>
        </w:rPr>
        <w:t xml:space="preserve">, se le dio el tratamiento de una especie de daño autónomo. </w:t>
      </w:r>
      <w:r w:rsidR="007B5EA0" w:rsidRPr="002F651B">
        <w:rPr>
          <w:rFonts w:ascii="Gadugi" w:eastAsia="Calibri" w:hAnsi="Gadugi" w:cs="Times New Roman"/>
          <w:sz w:val="24"/>
          <w:szCs w:val="24"/>
          <w:lang w:val="es-419"/>
        </w:rPr>
        <w:t xml:space="preserve">De ahí que en la citada sentencia de tutela STC-007-2021 se </w:t>
      </w:r>
      <w:r w:rsidR="00DD0A66" w:rsidRPr="002F651B">
        <w:rPr>
          <w:rFonts w:ascii="Gadugi" w:eastAsia="Calibri" w:hAnsi="Gadugi" w:cs="Times New Roman"/>
          <w:sz w:val="24"/>
          <w:szCs w:val="24"/>
          <w:lang w:val="es-419"/>
        </w:rPr>
        <w:t xml:space="preserve">concluya que en ese campo </w:t>
      </w:r>
      <w:r w:rsidR="00585ADE" w:rsidRPr="002F651B">
        <w:rPr>
          <w:rFonts w:ascii="Gadugi" w:eastAsia="Calibri" w:hAnsi="Gadugi" w:cs="Times New Roman"/>
          <w:sz w:val="24"/>
          <w:szCs w:val="24"/>
          <w:lang w:val="es-419"/>
        </w:rPr>
        <w:t xml:space="preserve">del daño a la salud y de la afectación de bienes </w:t>
      </w:r>
      <w:r w:rsidR="00AB63DF" w:rsidRPr="002F651B">
        <w:rPr>
          <w:rFonts w:ascii="Gadugi" w:eastAsia="Calibri" w:hAnsi="Gadugi" w:cs="Times New Roman"/>
          <w:sz w:val="24"/>
          <w:szCs w:val="24"/>
          <w:lang w:val="es-419"/>
        </w:rPr>
        <w:t xml:space="preserve">constitucionalmente protegidos, </w:t>
      </w:r>
      <w:r w:rsidR="00DD0A66" w:rsidRPr="002F651B">
        <w:rPr>
          <w:rFonts w:ascii="Gadugi" w:eastAsia="Calibri" w:hAnsi="Gadugi" w:cs="Times New Roman"/>
          <w:sz w:val="24"/>
          <w:szCs w:val="24"/>
          <w:lang w:val="es-419"/>
        </w:rPr>
        <w:t xml:space="preserve">apenas se está en vía de consolidar una </w:t>
      </w:r>
      <w:r w:rsidR="00585ADE" w:rsidRPr="002F651B">
        <w:rPr>
          <w:rFonts w:ascii="Gadugi" w:eastAsia="Calibri" w:hAnsi="Gadugi" w:cs="Times New Roman"/>
          <w:sz w:val="24"/>
          <w:szCs w:val="24"/>
          <w:lang w:val="es-419"/>
        </w:rPr>
        <w:t xml:space="preserve">tesis sobre </w:t>
      </w:r>
      <w:r w:rsidR="00AB63DF" w:rsidRPr="002F651B">
        <w:rPr>
          <w:rFonts w:ascii="Gadugi" w:eastAsia="Calibri" w:hAnsi="Gadugi" w:cs="Times New Roman"/>
          <w:sz w:val="24"/>
          <w:szCs w:val="24"/>
          <w:lang w:val="es-419"/>
        </w:rPr>
        <w:t xml:space="preserve">la naturaleza de </w:t>
      </w:r>
      <w:r w:rsidR="007B6A83" w:rsidRPr="002F651B">
        <w:rPr>
          <w:rFonts w:ascii="Gadugi" w:eastAsia="Calibri" w:hAnsi="Gadugi" w:cs="Times New Roman"/>
          <w:sz w:val="24"/>
          <w:szCs w:val="24"/>
          <w:lang w:val="es-419"/>
        </w:rPr>
        <w:t xml:space="preserve">los mismos. </w:t>
      </w:r>
    </w:p>
    <w:p w14:paraId="344EC277" w14:textId="77777777" w:rsidR="007B6A83" w:rsidRPr="002F651B" w:rsidRDefault="007B6A83" w:rsidP="002F651B">
      <w:pPr>
        <w:tabs>
          <w:tab w:val="left" w:pos="851"/>
        </w:tabs>
        <w:jc w:val="both"/>
        <w:rPr>
          <w:rFonts w:ascii="Gadugi" w:eastAsia="Calibri" w:hAnsi="Gadugi" w:cs="Times New Roman"/>
          <w:sz w:val="24"/>
          <w:szCs w:val="24"/>
          <w:lang w:val="es-419"/>
        </w:rPr>
      </w:pPr>
    </w:p>
    <w:p w14:paraId="4440B715" w14:textId="77777777" w:rsidR="00AD151E" w:rsidRPr="002F651B" w:rsidRDefault="007B6A83"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Pero lo que sí está claro, en uno y otro análisis, es que </w:t>
      </w:r>
      <w:r w:rsidR="00025BCC" w:rsidRPr="002F651B">
        <w:rPr>
          <w:rFonts w:ascii="Gadugi" w:eastAsia="Calibri" w:hAnsi="Gadugi" w:cs="Times New Roman"/>
          <w:sz w:val="24"/>
          <w:szCs w:val="24"/>
          <w:lang w:val="es-419"/>
        </w:rPr>
        <w:t xml:space="preserve">los órganos de cierre </w:t>
      </w:r>
      <w:r w:rsidR="00AD59A7" w:rsidRPr="002F651B">
        <w:rPr>
          <w:rFonts w:ascii="Gadugi" w:eastAsia="Calibri" w:hAnsi="Gadugi" w:cs="Times New Roman"/>
          <w:sz w:val="24"/>
          <w:szCs w:val="24"/>
          <w:lang w:val="es-419"/>
        </w:rPr>
        <w:t xml:space="preserve">han </w:t>
      </w:r>
      <w:r w:rsidR="000D530A" w:rsidRPr="002F651B">
        <w:rPr>
          <w:rFonts w:ascii="Gadugi" w:eastAsia="Calibri" w:hAnsi="Gadugi" w:cs="Times New Roman"/>
          <w:sz w:val="24"/>
          <w:szCs w:val="24"/>
          <w:lang w:val="es-419"/>
        </w:rPr>
        <w:t xml:space="preserve">señalado que </w:t>
      </w:r>
      <w:r w:rsidR="00E33703" w:rsidRPr="002F651B">
        <w:rPr>
          <w:rFonts w:ascii="Gadugi" w:eastAsia="Calibri" w:hAnsi="Gadugi" w:cs="Times New Roman"/>
          <w:sz w:val="24"/>
          <w:szCs w:val="24"/>
          <w:lang w:val="es-419"/>
        </w:rPr>
        <w:t>no se trata de indemnizar dos veces por el mismo</w:t>
      </w:r>
      <w:r w:rsidR="00457425" w:rsidRPr="002F651B">
        <w:rPr>
          <w:rFonts w:ascii="Gadugi" w:eastAsia="Calibri" w:hAnsi="Gadugi" w:cs="Times New Roman"/>
          <w:sz w:val="24"/>
          <w:szCs w:val="24"/>
          <w:lang w:val="es-419"/>
        </w:rPr>
        <w:t xml:space="preserve"> daño. Y como en este caso se reclaman perjuicios derivados de la muerte </w:t>
      </w:r>
      <w:r w:rsidR="009F5B9E" w:rsidRPr="002F651B">
        <w:rPr>
          <w:rFonts w:ascii="Gadugi" w:eastAsia="Calibri" w:hAnsi="Gadugi" w:cs="Times New Roman"/>
          <w:sz w:val="24"/>
          <w:szCs w:val="24"/>
          <w:lang w:val="es-419"/>
        </w:rPr>
        <w:t>María Nora, mismos que serán reconocidos a título de daño moral</w:t>
      </w:r>
      <w:r w:rsidR="00ED111A" w:rsidRPr="002F651B">
        <w:rPr>
          <w:rFonts w:ascii="Gadugi" w:eastAsia="Calibri" w:hAnsi="Gadugi" w:cs="Times New Roman"/>
          <w:sz w:val="24"/>
          <w:szCs w:val="24"/>
          <w:lang w:val="es-419"/>
        </w:rPr>
        <w:t xml:space="preserve">, no solo para la sucesión, sino para los herederos individualmente considerados, </w:t>
      </w:r>
      <w:r w:rsidR="002C5EB5" w:rsidRPr="002F651B">
        <w:rPr>
          <w:rFonts w:ascii="Gadugi" w:eastAsia="Calibri" w:hAnsi="Gadugi" w:cs="Times New Roman"/>
          <w:sz w:val="24"/>
          <w:szCs w:val="24"/>
          <w:lang w:val="es-419"/>
        </w:rPr>
        <w:t>y no se advierte ninguna circuns</w:t>
      </w:r>
      <w:r w:rsidR="002663B0" w:rsidRPr="002F651B">
        <w:rPr>
          <w:rFonts w:ascii="Gadugi" w:eastAsia="Calibri" w:hAnsi="Gadugi" w:cs="Times New Roman"/>
          <w:sz w:val="24"/>
          <w:szCs w:val="24"/>
          <w:lang w:val="es-419"/>
        </w:rPr>
        <w:t xml:space="preserve">tancia especial que conduzca a un resarcimiento </w:t>
      </w:r>
      <w:r w:rsidR="00EF13F8" w:rsidRPr="002F651B">
        <w:rPr>
          <w:rFonts w:ascii="Gadugi" w:eastAsia="Calibri" w:hAnsi="Gadugi" w:cs="Times New Roman"/>
          <w:sz w:val="24"/>
          <w:szCs w:val="24"/>
          <w:lang w:val="es-419"/>
        </w:rPr>
        <w:t xml:space="preserve">simbólico </w:t>
      </w:r>
      <w:r w:rsidR="00164238" w:rsidRPr="002F651B">
        <w:rPr>
          <w:rFonts w:ascii="Gadugi" w:eastAsia="Calibri" w:hAnsi="Gadugi" w:cs="Times New Roman"/>
          <w:sz w:val="24"/>
          <w:szCs w:val="24"/>
          <w:lang w:val="es-419"/>
        </w:rPr>
        <w:t xml:space="preserve">o de otra índole por la lesión a un derecho fundamental, </w:t>
      </w:r>
      <w:r w:rsidR="00B45F63" w:rsidRPr="002F651B">
        <w:rPr>
          <w:rFonts w:ascii="Gadugi" w:eastAsia="Calibri" w:hAnsi="Gadugi" w:cs="Times New Roman"/>
          <w:sz w:val="24"/>
          <w:szCs w:val="24"/>
          <w:lang w:val="es-419"/>
        </w:rPr>
        <w:t xml:space="preserve">tal pretensión se negará. </w:t>
      </w:r>
    </w:p>
    <w:p w14:paraId="369C204D" w14:textId="77777777" w:rsidR="00AD151E" w:rsidRPr="002F651B" w:rsidRDefault="00AD151E" w:rsidP="002F651B">
      <w:pPr>
        <w:tabs>
          <w:tab w:val="left" w:pos="851"/>
        </w:tabs>
        <w:jc w:val="both"/>
        <w:rPr>
          <w:rFonts w:ascii="Gadugi" w:eastAsia="Calibri" w:hAnsi="Gadugi" w:cs="Times New Roman"/>
          <w:sz w:val="24"/>
          <w:szCs w:val="24"/>
          <w:lang w:val="es-419"/>
        </w:rPr>
      </w:pPr>
    </w:p>
    <w:p w14:paraId="748AA989" w14:textId="01BC79DF" w:rsidR="00C21E04" w:rsidRPr="002F651B" w:rsidRDefault="004922D2" w:rsidP="002F651B">
      <w:pPr>
        <w:tabs>
          <w:tab w:val="left" w:pos="851"/>
        </w:tabs>
        <w:jc w:val="both"/>
        <w:rPr>
          <w:rFonts w:ascii="Gadugi" w:eastAsia="Georgia" w:hAnsi="Gadugi" w:cs="Georgia"/>
          <w:sz w:val="24"/>
          <w:szCs w:val="24"/>
        </w:rPr>
      </w:pPr>
      <w:r w:rsidRPr="002F651B">
        <w:rPr>
          <w:rFonts w:ascii="Gadugi" w:eastAsia="Calibri" w:hAnsi="Gadugi" w:cs="Times New Roman"/>
          <w:sz w:val="24"/>
          <w:szCs w:val="24"/>
          <w:lang w:val="es-419"/>
        </w:rPr>
        <w:lastRenderedPageBreak/>
        <w:t xml:space="preserve">2.18. Queda por establecer lo que corresponda a los llamamientos en garantía que se hicieron a </w:t>
      </w:r>
      <w:r w:rsidR="00C21E04" w:rsidRPr="002F651B">
        <w:rPr>
          <w:rFonts w:ascii="Gadugi" w:eastAsia="Calibri" w:hAnsi="Gadugi" w:cs="Times New Roman"/>
          <w:sz w:val="24"/>
          <w:szCs w:val="24"/>
          <w:lang w:val="es-419"/>
        </w:rPr>
        <w:t>las</w:t>
      </w:r>
      <w:r w:rsidR="00C21E04" w:rsidRPr="002F651B">
        <w:rPr>
          <w:rFonts w:ascii="Gadugi" w:eastAsia="Georgia" w:hAnsi="Gadugi" w:cs="Georgia"/>
          <w:sz w:val="24"/>
          <w:szCs w:val="24"/>
        </w:rPr>
        <w:t xml:space="preserve"> </w:t>
      </w:r>
      <w:proofErr w:type="spellStart"/>
      <w:r w:rsidR="00C21E04" w:rsidRPr="002F651B">
        <w:rPr>
          <w:rFonts w:ascii="Gadugi" w:eastAsia="Georgia" w:hAnsi="Gadugi" w:cs="Georgia"/>
          <w:sz w:val="24"/>
          <w:szCs w:val="24"/>
        </w:rPr>
        <w:t>IPS</w:t>
      </w:r>
      <w:proofErr w:type="spellEnd"/>
      <w:r w:rsidR="00C21E04" w:rsidRPr="002F651B">
        <w:rPr>
          <w:rFonts w:ascii="Gadugi" w:eastAsia="Georgia" w:hAnsi="Gadugi" w:cs="Georgia"/>
          <w:sz w:val="24"/>
          <w:szCs w:val="24"/>
        </w:rPr>
        <w:t xml:space="preserve"> Inversiones </w:t>
      </w:r>
      <w:proofErr w:type="spellStart"/>
      <w:r w:rsidR="00C21E04" w:rsidRPr="002F651B">
        <w:rPr>
          <w:rFonts w:ascii="Gadugi" w:eastAsia="Georgia" w:hAnsi="Gadugi" w:cs="Georgia"/>
          <w:sz w:val="24"/>
          <w:szCs w:val="24"/>
        </w:rPr>
        <w:t>Dumian</w:t>
      </w:r>
      <w:proofErr w:type="spellEnd"/>
      <w:r w:rsidR="00C21E04" w:rsidRPr="002F651B">
        <w:rPr>
          <w:rFonts w:ascii="Gadugi" w:eastAsia="Georgia" w:hAnsi="Gadugi" w:cs="Georgia"/>
          <w:sz w:val="24"/>
          <w:szCs w:val="24"/>
        </w:rPr>
        <w:t xml:space="preserve"> </w:t>
      </w:r>
      <w:proofErr w:type="spellStart"/>
      <w:r w:rsidR="00C21E04" w:rsidRPr="002F651B">
        <w:rPr>
          <w:rFonts w:ascii="Gadugi" w:eastAsia="Georgia" w:hAnsi="Gadugi" w:cs="Georgia"/>
          <w:sz w:val="24"/>
          <w:szCs w:val="24"/>
        </w:rPr>
        <w:t>SAS</w:t>
      </w:r>
      <w:proofErr w:type="spellEnd"/>
      <w:r w:rsidR="00C21E04" w:rsidRPr="002F651B">
        <w:rPr>
          <w:rStyle w:val="Refdenotaalpie"/>
          <w:rFonts w:ascii="Gadugi" w:eastAsia="Georgia" w:hAnsi="Gadugi" w:cs="Georgia"/>
          <w:sz w:val="24"/>
          <w:szCs w:val="24"/>
        </w:rPr>
        <w:footnoteReference w:id="87"/>
      </w:r>
      <w:r w:rsidR="00C21E04" w:rsidRPr="002F651B">
        <w:rPr>
          <w:rFonts w:ascii="Gadugi" w:eastAsia="Georgia" w:hAnsi="Gadugi" w:cs="Georgia"/>
          <w:sz w:val="24"/>
          <w:szCs w:val="24"/>
        </w:rPr>
        <w:t xml:space="preserve"> y a la Clínica Marañón</w:t>
      </w:r>
      <w:r w:rsidR="00C21E04" w:rsidRPr="002F651B">
        <w:rPr>
          <w:rStyle w:val="Refdenotaalpie"/>
          <w:rFonts w:ascii="Gadugi" w:eastAsia="Georgia" w:hAnsi="Gadugi" w:cs="Georgia"/>
          <w:sz w:val="24"/>
          <w:szCs w:val="24"/>
        </w:rPr>
        <w:footnoteReference w:id="88"/>
      </w:r>
      <w:r w:rsidR="00C21E04" w:rsidRPr="002F651B">
        <w:rPr>
          <w:rFonts w:ascii="Gadugi" w:eastAsia="Georgia" w:hAnsi="Gadugi" w:cs="Georgia"/>
          <w:sz w:val="24"/>
          <w:szCs w:val="24"/>
        </w:rPr>
        <w:t xml:space="preserve">, por parte de la Nueva EPS. </w:t>
      </w:r>
    </w:p>
    <w:p w14:paraId="0E47C868" w14:textId="77777777" w:rsidR="00AD151E" w:rsidRPr="002F651B" w:rsidRDefault="00AD151E" w:rsidP="002F651B">
      <w:pPr>
        <w:tabs>
          <w:tab w:val="left" w:pos="851"/>
        </w:tabs>
        <w:jc w:val="both"/>
        <w:rPr>
          <w:rFonts w:ascii="Gadugi" w:eastAsia="Georgia" w:hAnsi="Gadugi" w:cs="Georgia"/>
          <w:sz w:val="24"/>
          <w:szCs w:val="24"/>
        </w:rPr>
      </w:pPr>
    </w:p>
    <w:p w14:paraId="3477242D" w14:textId="09DA1B6C" w:rsidR="00C21E04" w:rsidRPr="002F651B" w:rsidRDefault="00C21E04" w:rsidP="002F651B">
      <w:pPr>
        <w:pStyle w:val="Prrafodelista"/>
        <w:tabs>
          <w:tab w:val="left" w:pos="284"/>
        </w:tabs>
        <w:spacing w:after="240"/>
        <w:ind w:left="0"/>
        <w:jc w:val="both"/>
        <w:rPr>
          <w:rFonts w:ascii="Gadugi" w:eastAsia="Georgia" w:hAnsi="Gadugi" w:cs="Georgia"/>
          <w:sz w:val="24"/>
          <w:szCs w:val="24"/>
        </w:rPr>
      </w:pPr>
      <w:r w:rsidRPr="002F651B">
        <w:rPr>
          <w:rFonts w:ascii="Gadugi" w:eastAsia="Georgia" w:hAnsi="Gadugi" w:cs="Georgia"/>
          <w:sz w:val="24"/>
          <w:szCs w:val="24"/>
        </w:rPr>
        <w:t xml:space="preserve">Respecto de la primera, como se dijo en los antecedentes, las pretensiones en su contra </w:t>
      </w:r>
      <w:r w:rsidR="00473EAD" w:rsidRPr="002F651B">
        <w:rPr>
          <w:rFonts w:ascii="Gadugi" w:eastAsia="Georgia" w:hAnsi="Gadugi" w:cs="Georgia"/>
          <w:sz w:val="24"/>
          <w:szCs w:val="24"/>
        </w:rPr>
        <w:t xml:space="preserve">se desistieron y, por ello, fue desvinculada como demandada del proceso. En tal medida, ninguna responsabilidad se le ha podido demostrar durante el trámite del proceso que comprometa sus obligaciones con la EPS. </w:t>
      </w:r>
      <w:r w:rsidR="00333696" w:rsidRPr="002F651B">
        <w:rPr>
          <w:rFonts w:ascii="Gadugi" w:eastAsia="Georgia" w:hAnsi="Gadugi" w:cs="Georgia"/>
          <w:sz w:val="24"/>
          <w:szCs w:val="24"/>
        </w:rPr>
        <w:t>Ciertamente, la</w:t>
      </w:r>
      <w:r w:rsidR="00F5227A" w:rsidRPr="002F651B">
        <w:rPr>
          <w:rFonts w:ascii="Gadugi" w:eastAsia="Georgia" w:hAnsi="Gadugi" w:cs="Georgia"/>
          <w:sz w:val="24"/>
          <w:szCs w:val="24"/>
        </w:rPr>
        <w:t>s</w:t>
      </w:r>
      <w:r w:rsidR="00333696" w:rsidRPr="002F651B">
        <w:rPr>
          <w:rFonts w:ascii="Gadugi" w:eastAsia="Georgia" w:hAnsi="Gadugi" w:cs="Georgia"/>
          <w:sz w:val="24"/>
          <w:szCs w:val="24"/>
        </w:rPr>
        <w:t xml:space="preserve"> omisiones planteadas en la demanda se le enrostraron a la Nueva EPS y a la Cl</w:t>
      </w:r>
      <w:r w:rsidR="00F5227A" w:rsidRPr="002F651B">
        <w:rPr>
          <w:rFonts w:ascii="Gadugi" w:eastAsia="Georgia" w:hAnsi="Gadugi" w:cs="Georgia"/>
          <w:sz w:val="24"/>
          <w:szCs w:val="24"/>
        </w:rPr>
        <w:t>í</w:t>
      </w:r>
      <w:r w:rsidR="00333696" w:rsidRPr="002F651B">
        <w:rPr>
          <w:rFonts w:ascii="Gadugi" w:eastAsia="Georgia" w:hAnsi="Gadugi" w:cs="Georgia"/>
          <w:sz w:val="24"/>
          <w:szCs w:val="24"/>
        </w:rPr>
        <w:t>nica Mar</w:t>
      </w:r>
      <w:r w:rsidR="00612AD9" w:rsidRPr="002F651B">
        <w:rPr>
          <w:rFonts w:ascii="Gadugi" w:eastAsia="Georgia" w:hAnsi="Gadugi" w:cs="Georgia"/>
          <w:sz w:val="24"/>
          <w:szCs w:val="24"/>
        </w:rPr>
        <w:t>añ</w:t>
      </w:r>
      <w:r w:rsidR="00600FB3" w:rsidRPr="002F651B">
        <w:rPr>
          <w:rFonts w:ascii="Gadugi" w:eastAsia="Georgia" w:hAnsi="Gadugi" w:cs="Georgia"/>
          <w:sz w:val="24"/>
          <w:szCs w:val="24"/>
        </w:rPr>
        <w:t>ó</w:t>
      </w:r>
      <w:r w:rsidR="00612AD9" w:rsidRPr="002F651B">
        <w:rPr>
          <w:rFonts w:ascii="Gadugi" w:eastAsia="Georgia" w:hAnsi="Gadugi" w:cs="Georgia"/>
          <w:sz w:val="24"/>
          <w:szCs w:val="24"/>
        </w:rPr>
        <w:t xml:space="preserve">n, no a Inversiones </w:t>
      </w:r>
      <w:proofErr w:type="spellStart"/>
      <w:r w:rsidR="00612AD9" w:rsidRPr="002F651B">
        <w:rPr>
          <w:rFonts w:ascii="Gadugi" w:eastAsia="Georgia" w:hAnsi="Gadugi" w:cs="Georgia"/>
          <w:sz w:val="24"/>
          <w:szCs w:val="24"/>
        </w:rPr>
        <w:t>Dumián</w:t>
      </w:r>
      <w:proofErr w:type="spellEnd"/>
      <w:r w:rsidR="00612AD9" w:rsidRPr="002F651B">
        <w:rPr>
          <w:rFonts w:ascii="Gadugi" w:eastAsia="Georgia" w:hAnsi="Gadugi" w:cs="Georgia"/>
          <w:sz w:val="24"/>
          <w:szCs w:val="24"/>
        </w:rPr>
        <w:t xml:space="preserve"> </w:t>
      </w:r>
      <w:proofErr w:type="spellStart"/>
      <w:r w:rsidR="00612AD9" w:rsidRPr="002F651B">
        <w:rPr>
          <w:rFonts w:ascii="Gadugi" w:eastAsia="Georgia" w:hAnsi="Gadugi" w:cs="Georgia"/>
          <w:sz w:val="24"/>
          <w:szCs w:val="24"/>
        </w:rPr>
        <w:t>SAS</w:t>
      </w:r>
      <w:proofErr w:type="spellEnd"/>
      <w:r w:rsidR="00612AD9" w:rsidRPr="002F651B">
        <w:rPr>
          <w:rFonts w:ascii="Gadugi" w:eastAsia="Georgia" w:hAnsi="Gadugi" w:cs="Georgia"/>
          <w:sz w:val="24"/>
          <w:szCs w:val="24"/>
        </w:rPr>
        <w:t xml:space="preserve">. Por tanto, ningún resarcimiento tendría que hacerle en este evento a quien la ha citado. </w:t>
      </w:r>
      <w:r w:rsidRPr="002F651B">
        <w:rPr>
          <w:rFonts w:ascii="Gadugi" w:eastAsia="Georgia" w:hAnsi="Gadugi" w:cs="Georgia"/>
          <w:sz w:val="24"/>
          <w:szCs w:val="24"/>
        </w:rPr>
        <w:t xml:space="preserve"> </w:t>
      </w:r>
    </w:p>
    <w:p w14:paraId="59A591D5" w14:textId="77777777" w:rsidR="00097F8C" w:rsidRPr="002F651B" w:rsidRDefault="00097F8C" w:rsidP="002F651B">
      <w:pPr>
        <w:pStyle w:val="Prrafodelista"/>
        <w:tabs>
          <w:tab w:val="left" w:pos="284"/>
        </w:tabs>
        <w:spacing w:before="240" w:after="240"/>
        <w:ind w:left="0"/>
        <w:jc w:val="both"/>
        <w:rPr>
          <w:rFonts w:ascii="Gadugi" w:eastAsia="Georgia" w:hAnsi="Gadugi" w:cs="Georgia"/>
          <w:sz w:val="24"/>
          <w:szCs w:val="24"/>
        </w:rPr>
      </w:pPr>
    </w:p>
    <w:p w14:paraId="72290BE5" w14:textId="285742A6" w:rsidR="00097F8C" w:rsidRPr="002F651B" w:rsidRDefault="00097F8C" w:rsidP="002F651B">
      <w:pPr>
        <w:pStyle w:val="Prrafodelista"/>
        <w:tabs>
          <w:tab w:val="left" w:pos="284"/>
        </w:tabs>
        <w:ind w:left="0"/>
        <w:jc w:val="both"/>
        <w:rPr>
          <w:rFonts w:ascii="Gadugi" w:eastAsia="Georgia" w:hAnsi="Gadugi" w:cs="Georgia"/>
          <w:sz w:val="24"/>
          <w:szCs w:val="24"/>
        </w:rPr>
      </w:pPr>
      <w:r w:rsidRPr="002F651B">
        <w:rPr>
          <w:rFonts w:ascii="Gadugi" w:eastAsia="Georgia" w:hAnsi="Gadugi" w:cs="Georgia"/>
          <w:sz w:val="24"/>
          <w:szCs w:val="24"/>
        </w:rPr>
        <w:t>Y en lo atañedero a la Clínica Marañ</w:t>
      </w:r>
      <w:r w:rsidR="00600FB3" w:rsidRPr="002F651B">
        <w:rPr>
          <w:rFonts w:ascii="Gadugi" w:eastAsia="Georgia" w:hAnsi="Gadugi" w:cs="Georgia"/>
          <w:sz w:val="24"/>
          <w:szCs w:val="24"/>
        </w:rPr>
        <w:t>ó</w:t>
      </w:r>
      <w:r w:rsidRPr="002F651B">
        <w:rPr>
          <w:rFonts w:ascii="Gadugi" w:eastAsia="Georgia" w:hAnsi="Gadugi" w:cs="Georgia"/>
          <w:sz w:val="24"/>
          <w:szCs w:val="24"/>
        </w:rPr>
        <w:t xml:space="preserve">n, baste señalar que la responsabilidad </w:t>
      </w:r>
      <w:r w:rsidR="00BD2B7C" w:rsidRPr="002F651B">
        <w:rPr>
          <w:rFonts w:ascii="Gadugi" w:eastAsia="Georgia" w:hAnsi="Gadugi" w:cs="Georgia"/>
          <w:sz w:val="24"/>
          <w:szCs w:val="24"/>
        </w:rPr>
        <w:t xml:space="preserve">a declarar es solidaria y, por </w:t>
      </w:r>
      <w:r w:rsidR="00AB0DB3" w:rsidRPr="002F651B">
        <w:rPr>
          <w:rFonts w:ascii="Gadugi" w:eastAsia="Georgia" w:hAnsi="Gadugi" w:cs="Georgia"/>
          <w:sz w:val="24"/>
          <w:szCs w:val="24"/>
        </w:rPr>
        <w:t xml:space="preserve">consiguiente, </w:t>
      </w:r>
      <w:r w:rsidR="00BD2B7C" w:rsidRPr="002F651B">
        <w:rPr>
          <w:rFonts w:ascii="Gadugi" w:eastAsia="Georgia" w:hAnsi="Gadugi" w:cs="Georgia"/>
          <w:sz w:val="24"/>
          <w:szCs w:val="24"/>
        </w:rPr>
        <w:t xml:space="preserve">ambas entidades deben salir al pago de los perjuicios. Por otra parte, es claro que la incuria </w:t>
      </w:r>
      <w:r w:rsidR="004E7A3D" w:rsidRPr="002F651B">
        <w:rPr>
          <w:rFonts w:ascii="Gadugi" w:eastAsia="Georgia" w:hAnsi="Gadugi" w:cs="Georgia"/>
          <w:sz w:val="24"/>
          <w:szCs w:val="24"/>
        </w:rPr>
        <w:t xml:space="preserve">se imputa a las dos entidades, principalmente a la EPS que, teniendo a su cargo la </w:t>
      </w:r>
      <w:r w:rsidR="00E54490" w:rsidRPr="002F651B">
        <w:rPr>
          <w:rFonts w:ascii="Gadugi" w:eastAsia="Georgia" w:hAnsi="Gadugi" w:cs="Georgia"/>
          <w:sz w:val="24"/>
          <w:szCs w:val="24"/>
        </w:rPr>
        <w:t xml:space="preserve">prestación adecuada de los servicios médicos, omitió las claras directrices de los galenos frente a la urgencia vital que la paciente presentaba. Es decir, que no se trató de la responsabilidad </w:t>
      </w:r>
      <w:r w:rsidR="00D60171" w:rsidRPr="002F651B">
        <w:rPr>
          <w:rFonts w:ascii="Gadugi" w:eastAsia="Georgia" w:hAnsi="Gadugi" w:cs="Georgia"/>
          <w:sz w:val="24"/>
          <w:szCs w:val="24"/>
        </w:rPr>
        <w:t>exclusiva</w:t>
      </w:r>
      <w:r w:rsidR="00E54490" w:rsidRPr="002F651B">
        <w:rPr>
          <w:rFonts w:ascii="Gadugi" w:eastAsia="Georgia" w:hAnsi="Gadugi" w:cs="Georgia"/>
          <w:sz w:val="24"/>
          <w:szCs w:val="24"/>
        </w:rPr>
        <w:t xml:space="preserve"> de la llamada en garantía, como para pretender que tuviera que resarcirle a quien la llama monto alguno. </w:t>
      </w:r>
    </w:p>
    <w:p w14:paraId="43DA7802" w14:textId="59B3A777" w:rsidR="00421978" w:rsidRPr="002F651B" w:rsidRDefault="00421978" w:rsidP="002F651B">
      <w:pPr>
        <w:tabs>
          <w:tab w:val="left" w:pos="851"/>
        </w:tabs>
        <w:jc w:val="both"/>
        <w:rPr>
          <w:rFonts w:ascii="Gadugi" w:eastAsia="Calibri" w:hAnsi="Gadugi" w:cs="Times New Roman"/>
          <w:sz w:val="24"/>
          <w:szCs w:val="24"/>
          <w:lang w:val="es-419"/>
        </w:rPr>
      </w:pPr>
    </w:p>
    <w:p w14:paraId="6855D7DC" w14:textId="05476207" w:rsidR="00421978" w:rsidRPr="002F651B" w:rsidRDefault="00504BDD"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2.19. Recapitulando, se tiene que, se confirmará el fallo en cuanto absolvió a las entidades públicas por falta de le</w:t>
      </w:r>
      <w:r w:rsidR="00D84474" w:rsidRPr="002F651B">
        <w:rPr>
          <w:rFonts w:ascii="Gadugi" w:eastAsia="Calibri" w:hAnsi="Gadugi" w:cs="Times New Roman"/>
          <w:sz w:val="24"/>
          <w:szCs w:val="24"/>
          <w:lang w:val="es-419"/>
        </w:rPr>
        <w:t>g</w:t>
      </w:r>
      <w:r w:rsidRPr="002F651B">
        <w:rPr>
          <w:rFonts w:ascii="Gadugi" w:eastAsia="Calibri" w:hAnsi="Gadugi" w:cs="Times New Roman"/>
          <w:sz w:val="24"/>
          <w:szCs w:val="24"/>
          <w:lang w:val="es-419"/>
        </w:rPr>
        <w:t xml:space="preserve">itimación en la causa; </w:t>
      </w:r>
      <w:r w:rsidR="00D84474" w:rsidRPr="002F651B">
        <w:rPr>
          <w:rFonts w:ascii="Gadugi" w:eastAsia="Calibri" w:hAnsi="Gadugi" w:cs="Times New Roman"/>
          <w:sz w:val="24"/>
          <w:szCs w:val="24"/>
          <w:lang w:val="es-419"/>
        </w:rPr>
        <w:t xml:space="preserve">se revocará en lo atinente a las otras codemandadas y, en su lugar, se les declarará </w:t>
      </w:r>
      <w:r w:rsidR="00111337" w:rsidRPr="002F651B">
        <w:rPr>
          <w:rFonts w:ascii="Gadugi" w:eastAsia="Calibri" w:hAnsi="Gadugi" w:cs="Times New Roman"/>
          <w:sz w:val="24"/>
          <w:szCs w:val="24"/>
          <w:lang w:val="es-419"/>
        </w:rPr>
        <w:t>responsables de los daños causados a la víctima directa y a las indirectas</w:t>
      </w:r>
      <w:r w:rsidR="00AD5145" w:rsidRPr="002F651B">
        <w:rPr>
          <w:rFonts w:ascii="Gadugi" w:eastAsia="Calibri" w:hAnsi="Gadugi" w:cs="Times New Roman"/>
          <w:sz w:val="24"/>
          <w:szCs w:val="24"/>
          <w:lang w:val="es-419"/>
        </w:rPr>
        <w:t xml:space="preserve">; se </w:t>
      </w:r>
      <w:proofErr w:type="gramStart"/>
      <w:r w:rsidR="00AD5145" w:rsidRPr="002F651B">
        <w:rPr>
          <w:rFonts w:ascii="Gadugi" w:eastAsia="Calibri" w:hAnsi="Gadugi" w:cs="Times New Roman"/>
          <w:sz w:val="24"/>
          <w:szCs w:val="24"/>
          <w:lang w:val="es-419"/>
        </w:rPr>
        <w:t>les</w:t>
      </w:r>
      <w:proofErr w:type="gramEnd"/>
      <w:r w:rsidR="00AD5145" w:rsidRPr="002F651B">
        <w:rPr>
          <w:rFonts w:ascii="Gadugi" w:eastAsia="Calibri" w:hAnsi="Gadugi" w:cs="Times New Roman"/>
          <w:sz w:val="24"/>
          <w:szCs w:val="24"/>
          <w:lang w:val="es-419"/>
        </w:rPr>
        <w:t xml:space="preserve"> condenará al pago de los </w:t>
      </w:r>
      <w:r w:rsidR="00AD5FE1" w:rsidRPr="002F651B">
        <w:rPr>
          <w:rFonts w:ascii="Gadugi" w:eastAsia="Calibri" w:hAnsi="Gadugi" w:cs="Times New Roman"/>
          <w:sz w:val="24"/>
          <w:szCs w:val="24"/>
          <w:lang w:val="es-419"/>
        </w:rPr>
        <w:t>perjuicios derivados del daño moral; y se negarán las pretensiones de</w:t>
      </w:r>
      <w:r w:rsidR="00AB0DB3" w:rsidRPr="002F651B">
        <w:rPr>
          <w:rFonts w:ascii="Gadugi" w:eastAsia="Calibri" w:hAnsi="Gadugi" w:cs="Times New Roman"/>
          <w:sz w:val="24"/>
          <w:szCs w:val="24"/>
          <w:lang w:val="es-419"/>
        </w:rPr>
        <w:t xml:space="preserve"> </w:t>
      </w:r>
      <w:r w:rsidR="00AD5FE1" w:rsidRPr="002F651B">
        <w:rPr>
          <w:rFonts w:ascii="Gadugi" w:eastAsia="Calibri" w:hAnsi="Gadugi" w:cs="Times New Roman"/>
          <w:sz w:val="24"/>
          <w:szCs w:val="24"/>
          <w:lang w:val="es-419"/>
        </w:rPr>
        <w:t xml:space="preserve">los llamamientos en garantía. </w:t>
      </w:r>
    </w:p>
    <w:p w14:paraId="39870E97" w14:textId="77777777" w:rsidR="00AD5FE1" w:rsidRPr="002F651B" w:rsidRDefault="00AD5FE1" w:rsidP="002F651B">
      <w:pPr>
        <w:tabs>
          <w:tab w:val="left" w:pos="851"/>
        </w:tabs>
        <w:jc w:val="both"/>
        <w:rPr>
          <w:rFonts w:ascii="Gadugi" w:eastAsia="Calibri" w:hAnsi="Gadugi" w:cs="Times New Roman"/>
          <w:sz w:val="24"/>
          <w:szCs w:val="24"/>
          <w:lang w:val="es-419"/>
        </w:rPr>
      </w:pPr>
    </w:p>
    <w:p w14:paraId="1280F642" w14:textId="77777777" w:rsidR="00CD7DD8" w:rsidRPr="002F651B" w:rsidRDefault="0045671C"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2.20. Dado este resultado final, será </w:t>
      </w:r>
      <w:r w:rsidR="00CD7DD8" w:rsidRPr="002F651B">
        <w:rPr>
          <w:rFonts w:ascii="Gadugi" w:eastAsia="Calibri" w:hAnsi="Gadugi" w:cs="Times New Roman"/>
          <w:sz w:val="24"/>
          <w:szCs w:val="24"/>
          <w:lang w:val="es-419"/>
        </w:rPr>
        <w:t xml:space="preserve">necesario aludir a la condena en costas. </w:t>
      </w:r>
    </w:p>
    <w:p w14:paraId="1268A2A7" w14:textId="77777777" w:rsidR="00CD7DD8" w:rsidRPr="002F651B" w:rsidRDefault="00CD7DD8" w:rsidP="002F651B">
      <w:pPr>
        <w:tabs>
          <w:tab w:val="left" w:pos="851"/>
        </w:tabs>
        <w:jc w:val="both"/>
        <w:rPr>
          <w:rFonts w:ascii="Gadugi" w:eastAsia="Calibri" w:hAnsi="Gadugi" w:cs="Times New Roman"/>
          <w:sz w:val="24"/>
          <w:szCs w:val="24"/>
          <w:lang w:val="es-419"/>
        </w:rPr>
      </w:pPr>
    </w:p>
    <w:p w14:paraId="7EEAE8BC" w14:textId="77777777" w:rsidR="00B92F68" w:rsidRPr="002F651B" w:rsidRDefault="00CD7DD8"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Los demandantes deben cargar con las causadas a favor de las entidades públicas que fueron desligadas por falta de legitimación en la causa, muy a pesar del disenso que plantean en su recurso, pues </w:t>
      </w:r>
      <w:r w:rsidR="009B46D2" w:rsidRPr="002F651B">
        <w:rPr>
          <w:rFonts w:ascii="Gadugi" w:eastAsia="Calibri" w:hAnsi="Gadugi" w:cs="Times New Roman"/>
          <w:sz w:val="24"/>
          <w:szCs w:val="24"/>
          <w:lang w:val="es-419"/>
        </w:rPr>
        <w:t>ellas devienen de manera objetiva del contenido del artículo 365-1 del CGP, que establece que se deben imponer a quien resulte vencido en el proceso y</w:t>
      </w:r>
      <w:r w:rsidR="00B92F68" w:rsidRPr="002F651B">
        <w:rPr>
          <w:rFonts w:ascii="Gadugi" w:eastAsia="Calibri" w:hAnsi="Gadugi" w:cs="Times New Roman"/>
          <w:sz w:val="24"/>
          <w:szCs w:val="24"/>
          <w:lang w:val="es-419"/>
        </w:rPr>
        <w:t xml:space="preserve"> ellos lo fueron frente a estas demandadas. </w:t>
      </w:r>
    </w:p>
    <w:p w14:paraId="3E024A87" w14:textId="77777777" w:rsidR="00B92F68" w:rsidRPr="002F651B" w:rsidRDefault="00B92F68" w:rsidP="002F651B">
      <w:pPr>
        <w:tabs>
          <w:tab w:val="left" w:pos="851"/>
        </w:tabs>
        <w:jc w:val="both"/>
        <w:rPr>
          <w:rFonts w:ascii="Gadugi" w:eastAsia="Calibri" w:hAnsi="Gadugi" w:cs="Times New Roman"/>
          <w:sz w:val="24"/>
          <w:szCs w:val="24"/>
          <w:lang w:val="es-419"/>
        </w:rPr>
      </w:pPr>
    </w:p>
    <w:p w14:paraId="6E272060" w14:textId="77777777" w:rsidR="003E5B82" w:rsidRPr="002F651B" w:rsidRDefault="00B92F68"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Y no se diga que no aparecen causadas, </w:t>
      </w:r>
      <w:r w:rsidR="003E5B82" w:rsidRPr="002F651B">
        <w:rPr>
          <w:rFonts w:ascii="Gadugi" w:eastAsia="Calibri" w:hAnsi="Gadugi" w:cs="Times New Roman"/>
          <w:sz w:val="24"/>
          <w:szCs w:val="24"/>
          <w:lang w:val="es-419"/>
        </w:rPr>
        <w:t xml:space="preserve">al contrario, oportunamente ejercieron su derecho de defensa, por medio de apoderado judicial y debieron estar atentas al desarrollo de la actuación hasta el fallo final. </w:t>
      </w:r>
    </w:p>
    <w:p w14:paraId="403B93FC" w14:textId="77777777" w:rsidR="003E5B82" w:rsidRPr="002F651B" w:rsidRDefault="003E5B82" w:rsidP="002F651B">
      <w:pPr>
        <w:tabs>
          <w:tab w:val="left" w:pos="851"/>
        </w:tabs>
        <w:jc w:val="both"/>
        <w:rPr>
          <w:rFonts w:ascii="Gadugi" w:eastAsia="Calibri" w:hAnsi="Gadugi" w:cs="Times New Roman"/>
          <w:sz w:val="24"/>
          <w:szCs w:val="24"/>
          <w:lang w:val="es-419"/>
        </w:rPr>
      </w:pPr>
    </w:p>
    <w:p w14:paraId="0CE015D7" w14:textId="2FF53454" w:rsidR="00AD5FE1" w:rsidRPr="002F651B" w:rsidRDefault="006C0A14"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Por otro lado, las codemandadas Nueva EPS y la Clínica Marañón </w:t>
      </w:r>
      <w:r w:rsidR="0094747B" w:rsidRPr="002F651B">
        <w:rPr>
          <w:rFonts w:ascii="Gadugi" w:eastAsia="Calibri" w:hAnsi="Gadugi" w:cs="Times New Roman"/>
          <w:sz w:val="24"/>
          <w:szCs w:val="24"/>
          <w:lang w:val="es-419"/>
        </w:rPr>
        <w:t xml:space="preserve">SAS, deberán pagar a los demandantes las que les fueron causadas, por virtud de la misma norma, pero lo </w:t>
      </w:r>
      <w:r w:rsidR="0094747B" w:rsidRPr="002F651B">
        <w:rPr>
          <w:rFonts w:ascii="Gadugi" w:eastAsia="Calibri" w:hAnsi="Gadugi" w:cs="Times New Roman"/>
          <w:sz w:val="24"/>
          <w:szCs w:val="24"/>
          <w:lang w:val="es-419"/>
        </w:rPr>
        <w:lastRenderedPageBreak/>
        <w:t>será en un setenta por ciento (70</w:t>
      </w:r>
      <w:r w:rsidR="00877E93" w:rsidRPr="002F651B">
        <w:rPr>
          <w:rFonts w:ascii="Gadugi" w:eastAsia="Calibri" w:hAnsi="Gadugi" w:cs="Times New Roman"/>
          <w:sz w:val="24"/>
          <w:szCs w:val="24"/>
          <w:lang w:val="es-419"/>
        </w:rPr>
        <w:t>%</w:t>
      </w:r>
      <w:r w:rsidR="0094747B" w:rsidRPr="002F651B">
        <w:rPr>
          <w:rFonts w:ascii="Gadugi" w:eastAsia="Calibri" w:hAnsi="Gadugi" w:cs="Times New Roman"/>
          <w:sz w:val="24"/>
          <w:szCs w:val="24"/>
          <w:lang w:val="es-419"/>
        </w:rPr>
        <w:t xml:space="preserve">) dada la prosperidad parcial de las pretensiones, </w:t>
      </w:r>
      <w:r w:rsidR="006E2772" w:rsidRPr="002F651B">
        <w:rPr>
          <w:rFonts w:ascii="Gadugi" w:eastAsia="Calibri" w:hAnsi="Gadugi" w:cs="Times New Roman"/>
          <w:sz w:val="24"/>
          <w:szCs w:val="24"/>
          <w:lang w:val="es-419"/>
        </w:rPr>
        <w:t xml:space="preserve">como establece la regla </w:t>
      </w:r>
      <w:r w:rsidR="00C34747" w:rsidRPr="002F651B">
        <w:rPr>
          <w:rFonts w:ascii="Gadugi" w:eastAsia="Calibri" w:hAnsi="Gadugi" w:cs="Times New Roman"/>
          <w:sz w:val="24"/>
          <w:szCs w:val="24"/>
          <w:lang w:val="es-419"/>
        </w:rPr>
        <w:t xml:space="preserve">5 del citado </w:t>
      </w:r>
      <w:r w:rsidR="00BF7684" w:rsidRPr="002F651B">
        <w:rPr>
          <w:rFonts w:ascii="Gadugi" w:eastAsia="Calibri" w:hAnsi="Gadugi" w:cs="Times New Roman"/>
          <w:sz w:val="24"/>
          <w:szCs w:val="24"/>
          <w:lang w:val="es-419"/>
        </w:rPr>
        <w:t xml:space="preserve">artículo. </w:t>
      </w:r>
    </w:p>
    <w:p w14:paraId="2387DA28" w14:textId="77777777" w:rsidR="00BF7684" w:rsidRPr="002F651B" w:rsidRDefault="00BF7684" w:rsidP="002F651B">
      <w:pPr>
        <w:tabs>
          <w:tab w:val="left" w:pos="851"/>
        </w:tabs>
        <w:jc w:val="both"/>
        <w:rPr>
          <w:rFonts w:ascii="Gadugi" w:eastAsia="Calibri" w:hAnsi="Gadugi" w:cs="Times New Roman"/>
          <w:sz w:val="24"/>
          <w:szCs w:val="24"/>
          <w:lang w:val="es-419"/>
        </w:rPr>
      </w:pPr>
    </w:p>
    <w:p w14:paraId="109D7E5B" w14:textId="465A6C9D" w:rsidR="00BF7684" w:rsidRPr="002F651B" w:rsidRDefault="00BF7684"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Y la Nueva EPS SA, deberá </w:t>
      </w:r>
      <w:r w:rsidR="001252FC" w:rsidRPr="002F651B">
        <w:rPr>
          <w:rFonts w:ascii="Gadugi" w:eastAsia="Calibri" w:hAnsi="Gadugi" w:cs="Times New Roman"/>
          <w:sz w:val="24"/>
          <w:szCs w:val="24"/>
          <w:lang w:val="es-419"/>
        </w:rPr>
        <w:t xml:space="preserve">cubrir las costas a las llamadas en garantía, pues </w:t>
      </w:r>
      <w:r w:rsidR="00EF7CE8" w:rsidRPr="002F651B">
        <w:rPr>
          <w:rFonts w:ascii="Gadugi" w:eastAsia="Calibri" w:hAnsi="Gadugi" w:cs="Times New Roman"/>
          <w:sz w:val="24"/>
          <w:szCs w:val="24"/>
          <w:lang w:val="es-419"/>
        </w:rPr>
        <w:t xml:space="preserve">ninguna de sus peticiones salió avante. </w:t>
      </w:r>
    </w:p>
    <w:p w14:paraId="5F4DA01C" w14:textId="77777777" w:rsidR="004611F3" w:rsidRPr="002F651B" w:rsidRDefault="004611F3" w:rsidP="002F651B">
      <w:pPr>
        <w:tabs>
          <w:tab w:val="left" w:pos="851"/>
        </w:tabs>
        <w:jc w:val="both"/>
        <w:rPr>
          <w:rFonts w:ascii="Gadugi" w:eastAsia="Calibri" w:hAnsi="Gadugi" w:cs="Times New Roman"/>
          <w:sz w:val="24"/>
          <w:szCs w:val="24"/>
          <w:lang w:val="es-419"/>
        </w:rPr>
      </w:pPr>
    </w:p>
    <w:p w14:paraId="7BF976AC" w14:textId="5B2D44A5" w:rsidR="004611F3" w:rsidRPr="002F651B" w:rsidRDefault="004611F3"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Ellas se liquidarán ante el Juez de primer grado, de manera concen</w:t>
      </w:r>
      <w:r w:rsidR="005F5165" w:rsidRPr="002F651B">
        <w:rPr>
          <w:rFonts w:ascii="Gadugi" w:eastAsia="Calibri" w:hAnsi="Gadugi" w:cs="Times New Roman"/>
          <w:sz w:val="24"/>
          <w:szCs w:val="24"/>
          <w:lang w:val="es-419"/>
        </w:rPr>
        <w:t>t</w:t>
      </w:r>
      <w:r w:rsidRPr="002F651B">
        <w:rPr>
          <w:rFonts w:ascii="Gadugi" w:eastAsia="Calibri" w:hAnsi="Gadugi" w:cs="Times New Roman"/>
          <w:sz w:val="24"/>
          <w:szCs w:val="24"/>
          <w:lang w:val="es-419"/>
        </w:rPr>
        <w:t>rada, siguiendo las pautas del artículo 366 del</w:t>
      </w:r>
      <w:r w:rsidR="005F5165" w:rsidRPr="002F651B">
        <w:rPr>
          <w:rFonts w:ascii="Gadugi" w:eastAsia="Calibri" w:hAnsi="Gadugi" w:cs="Times New Roman"/>
          <w:sz w:val="24"/>
          <w:szCs w:val="24"/>
          <w:lang w:val="es-419"/>
        </w:rPr>
        <w:t xml:space="preserve"> estatuto procesal. Para ese efecto, el funcionario fijará las agencias en derecho. </w:t>
      </w:r>
    </w:p>
    <w:bookmarkEnd w:id="2"/>
    <w:p w14:paraId="71D91A27" w14:textId="77777777" w:rsidR="00AB0DB3" w:rsidRPr="002F651B" w:rsidRDefault="00AB0DB3" w:rsidP="002F651B">
      <w:pPr>
        <w:tabs>
          <w:tab w:val="left" w:pos="851"/>
        </w:tabs>
        <w:jc w:val="both"/>
        <w:rPr>
          <w:rFonts w:ascii="Gadugi" w:eastAsia="Calibri" w:hAnsi="Gadugi" w:cs="Times New Roman"/>
          <w:sz w:val="24"/>
          <w:szCs w:val="24"/>
        </w:rPr>
      </w:pPr>
    </w:p>
    <w:p w14:paraId="60941D92" w14:textId="37FF96B6" w:rsidR="008277FD" w:rsidRPr="002F651B" w:rsidRDefault="007C541B" w:rsidP="002F651B">
      <w:pPr>
        <w:tabs>
          <w:tab w:val="left" w:pos="851"/>
        </w:tabs>
        <w:jc w:val="both"/>
        <w:rPr>
          <w:rFonts w:ascii="Gadugi" w:eastAsia="Calibri" w:hAnsi="Gadugi" w:cs="Times New Roman"/>
          <w:sz w:val="24"/>
          <w:szCs w:val="24"/>
        </w:rPr>
      </w:pPr>
      <w:r w:rsidRPr="002F651B">
        <w:rPr>
          <w:rFonts w:ascii="Gadugi" w:eastAsia="Calibri" w:hAnsi="Gadugi" w:cs="Times New Roman"/>
          <w:sz w:val="24"/>
          <w:szCs w:val="24"/>
        </w:rPr>
        <w:t xml:space="preserve">En esta sede, como la sentencia no se confirma ni se revoca en su totalidad, no habrá condena en costas, por disponerlo así los </w:t>
      </w:r>
      <w:r w:rsidR="001F0115" w:rsidRPr="002F651B">
        <w:rPr>
          <w:rFonts w:ascii="Gadugi" w:eastAsia="Calibri" w:hAnsi="Gadugi" w:cs="Times New Roman"/>
          <w:sz w:val="24"/>
          <w:szCs w:val="24"/>
        </w:rPr>
        <w:t>numerales 3 y 4 de</w:t>
      </w:r>
      <w:r w:rsidR="00B717FE" w:rsidRPr="002F651B">
        <w:rPr>
          <w:rFonts w:ascii="Gadugi" w:eastAsia="Calibri" w:hAnsi="Gadugi" w:cs="Times New Roman"/>
          <w:sz w:val="24"/>
          <w:szCs w:val="24"/>
        </w:rPr>
        <w:t xml:space="preserve">l artículo 365 </w:t>
      </w:r>
      <w:r w:rsidR="00034927" w:rsidRPr="002F651B">
        <w:rPr>
          <w:rFonts w:ascii="Gadugi" w:eastAsia="Calibri" w:hAnsi="Gadugi" w:cs="Times New Roman"/>
          <w:sz w:val="24"/>
          <w:szCs w:val="24"/>
        </w:rPr>
        <w:t>mentado.</w:t>
      </w:r>
      <w:r w:rsidR="001F0115" w:rsidRPr="002F651B">
        <w:rPr>
          <w:rFonts w:ascii="Gadugi" w:eastAsia="Calibri" w:hAnsi="Gadugi" w:cs="Times New Roman"/>
          <w:sz w:val="24"/>
          <w:szCs w:val="24"/>
        </w:rPr>
        <w:t xml:space="preserve"> </w:t>
      </w:r>
    </w:p>
    <w:p w14:paraId="114731F5" w14:textId="77777777" w:rsidR="005F5165" w:rsidRPr="002F651B" w:rsidRDefault="005F5165" w:rsidP="002F651B">
      <w:pPr>
        <w:tabs>
          <w:tab w:val="left" w:pos="851"/>
        </w:tabs>
        <w:jc w:val="both"/>
        <w:rPr>
          <w:rFonts w:ascii="Gadugi" w:eastAsia="Calibri" w:hAnsi="Gadugi" w:cs="Times New Roman"/>
          <w:sz w:val="24"/>
          <w:szCs w:val="24"/>
        </w:rPr>
      </w:pPr>
    </w:p>
    <w:p w14:paraId="2D3F5D21" w14:textId="2EED7EFF" w:rsidR="008277FD" w:rsidRPr="002F651B" w:rsidRDefault="00235715" w:rsidP="002F651B">
      <w:pPr>
        <w:pStyle w:val="Prrafodelista"/>
        <w:numPr>
          <w:ilvl w:val="0"/>
          <w:numId w:val="15"/>
        </w:numPr>
        <w:tabs>
          <w:tab w:val="left" w:pos="851"/>
        </w:tabs>
        <w:jc w:val="both"/>
        <w:rPr>
          <w:rFonts w:ascii="Gadugi" w:eastAsia="Calibri" w:hAnsi="Gadugi" w:cs="Times New Roman"/>
          <w:sz w:val="24"/>
          <w:szCs w:val="24"/>
          <w:lang w:val="es-419"/>
        </w:rPr>
      </w:pPr>
      <w:r w:rsidRPr="002F651B">
        <w:rPr>
          <w:rFonts w:ascii="Gadugi" w:eastAsia="Calibri" w:hAnsi="Gadugi" w:cs="Times New Roman"/>
          <w:b/>
          <w:sz w:val="24"/>
          <w:szCs w:val="24"/>
          <w:lang w:val="es-419"/>
        </w:rPr>
        <w:t>DECISIÓN</w:t>
      </w:r>
    </w:p>
    <w:p w14:paraId="72E494D3" w14:textId="77777777" w:rsidR="008277FD" w:rsidRPr="002F651B" w:rsidRDefault="008277FD" w:rsidP="002F651B">
      <w:pPr>
        <w:pStyle w:val="Prrafodelista"/>
        <w:ind w:left="0"/>
        <w:jc w:val="both"/>
        <w:rPr>
          <w:rFonts w:ascii="Gadugi" w:eastAsia="Calibri" w:hAnsi="Gadugi" w:cs="Times New Roman"/>
          <w:sz w:val="24"/>
          <w:szCs w:val="24"/>
          <w:lang w:val="es-419"/>
        </w:rPr>
      </w:pPr>
    </w:p>
    <w:p w14:paraId="2DBB8816" w14:textId="77777777" w:rsidR="006103A0" w:rsidRPr="002F651B" w:rsidRDefault="008277FD" w:rsidP="002F651B">
      <w:pPr>
        <w:tabs>
          <w:tab w:val="left" w:pos="3686"/>
          <w:tab w:val="left" w:pos="4536"/>
        </w:tabs>
        <w:jc w:val="both"/>
        <w:rPr>
          <w:rFonts w:ascii="Gadugi" w:eastAsia="Georgia" w:hAnsi="Gadugi" w:cs="Georgia"/>
          <w:b/>
          <w:sz w:val="24"/>
          <w:szCs w:val="24"/>
        </w:rPr>
      </w:pPr>
      <w:r w:rsidRPr="002F651B">
        <w:rPr>
          <w:rFonts w:ascii="Gadugi" w:eastAsia="Calibri" w:hAnsi="Gadugi" w:cs="Times New Roman"/>
          <w:sz w:val="24"/>
          <w:szCs w:val="24"/>
          <w:lang w:val="es-419"/>
        </w:rPr>
        <w:t xml:space="preserve">En armonía con lo dicho, esta Sala de Decisión Civil-Familia del Tribunal Superior de Pereira, en nombre de la República y por autoridad de la ley, </w:t>
      </w:r>
      <w:r w:rsidR="00A933D6" w:rsidRPr="002F651B">
        <w:rPr>
          <w:rFonts w:ascii="Gadugi" w:eastAsia="Calibri" w:hAnsi="Gadugi" w:cs="Times New Roman"/>
          <w:sz w:val="24"/>
          <w:szCs w:val="24"/>
          <w:lang w:val="es-419"/>
        </w:rPr>
        <w:t xml:space="preserve">en relación con </w:t>
      </w:r>
      <w:r w:rsidR="006103A0" w:rsidRPr="002F651B">
        <w:rPr>
          <w:rFonts w:ascii="Gadugi" w:eastAsia="Georgia" w:hAnsi="Gadugi" w:cs="Georgia"/>
          <w:sz w:val="24"/>
          <w:szCs w:val="24"/>
        </w:rPr>
        <w:t xml:space="preserve">la sentencia del 18 de mayo de 2022, proferida por el </w:t>
      </w:r>
      <w:r w:rsidR="006103A0" w:rsidRPr="002F651B">
        <w:rPr>
          <w:rFonts w:ascii="Gadugi" w:eastAsia="Georgia" w:hAnsi="Gadugi" w:cs="Georgia"/>
          <w:b/>
          <w:sz w:val="24"/>
          <w:szCs w:val="24"/>
        </w:rPr>
        <w:t>Juzgado Quinto Civil del Circuito Pereira - Risaralda</w:t>
      </w:r>
      <w:r w:rsidR="006103A0" w:rsidRPr="002F651B">
        <w:rPr>
          <w:rFonts w:ascii="Gadugi" w:eastAsia="Georgia" w:hAnsi="Gadugi" w:cs="Georgia"/>
          <w:sz w:val="24"/>
          <w:szCs w:val="24"/>
        </w:rPr>
        <w:t xml:space="preserve">, en este proceso de responsabilidad médica iniciado por </w:t>
      </w:r>
      <w:r w:rsidR="006103A0" w:rsidRPr="002F651B">
        <w:rPr>
          <w:rFonts w:ascii="Gadugi" w:eastAsia="Georgia" w:hAnsi="Gadugi" w:cs="Georgia"/>
          <w:b/>
          <w:sz w:val="24"/>
          <w:szCs w:val="24"/>
        </w:rPr>
        <w:t xml:space="preserve">Natalia Morales Piedrahíta, Martha Lucía, Alfonso Enrique, Ricardo </w:t>
      </w:r>
      <w:r w:rsidR="006103A0" w:rsidRPr="002F651B">
        <w:rPr>
          <w:rFonts w:ascii="Gadugi" w:eastAsia="Georgia" w:hAnsi="Gadugi" w:cs="Georgia"/>
          <w:bCs/>
          <w:sz w:val="24"/>
          <w:szCs w:val="24"/>
        </w:rPr>
        <w:t>y</w:t>
      </w:r>
      <w:r w:rsidR="006103A0" w:rsidRPr="002F651B">
        <w:rPr>
          <w:rFonts w:ascii="Gadugi" w:eastAsia="Georgia" w:hAnsi="Gadugi" w:cs="Georgia"/>
          <w:b/>
          <w:sz w:val="24"/>
          <w:szCs w:val="24"/>
        </w:rPr>
        <w:t xml:space="preserve"> Alejandra María Piedrahíta Correa </w:t>
      </w:r>
      <w:r w:rsidR="006103A0" w:rsidRPr="002F651B">
        <w:rPr>
          <w:rFonts w:ascii="Gadugi" w:eastAsia="Georgia" w:hAnsi="Gadugi" w:cs="Georgia"/>
          <w:sz w:val="24"/>
          <w:szCs w:val="24"/>
        </w:rPr>
        <w:t xml:space="preserve">frente a </w:t>
      </w:r>
      <w:r w:rsidR="006103A0" w:rsidRPr="002F651B">
        <w:rPr>
          <w:rFonts w:ascii="Gadugi" w:eastAsia="Georgia" w:hAnsi="Gadugi" w:cs="Georgia"/>
          <w:bCs/>
          <w:sz w:val="24"/>
          <w:szCs w:val="24"/>
        </w:rPr>
        <w:t>la</w:t>
      </w:r>
      <w:r w:rsidR="006103A0" w:rsidRPr="002F651B">
        <w:rPr>
          <w:rFonts w:ascii="Gadugi" w:eastAsia="Georgia" w:hAnsi="Gadugi" w:cs="Georgia"/>
          <w:b/>
          <w:sz w:val="24"/>
          <w:szCs w:val="24"/>
        </w:rPr>
        <w:t xml:space="preserve"> Nación - Ministerio de Salud y Protección Social, </w:t>
      </w:r>
      <w:r w:rsidR="006103A0" w:rsidRPr="002F651B">
        <w:rPr>
          <w:rFonts w:ascii="Gadugi" w:eastAsia="Georgia" w:hAnsi="Gadugi" w:cs="Georgia"/>
          <w:bCs/>
          <w:sz w:val="24"/>
          <w:szCs w:val="24"/>
        </w:rPr>
        <w:t xml:space="preserve">el </w:t>
      </w:r>
      <w:r w:rsidR="006103A0" w:rsidRPr="002F651B">
        <w:rPr>
          <w:rFonts w:ascii="Gadugi" w:eastAsia="Georgia" w:hAnsi="Gadugi" w:cs="Georgia"/>
          <w:b/>
          <w:sz w:val="24"/>
          <w:szCs w:val="24"/>
        </w:rPr>
        <w:t xml:space="preserve">Departamento de Risaralda - Secretaría de Salud, </w:t>
      </w:r>
      <w:r w:rsidR="006103A0" w:rsidRPr="002F651B">
        <w:rPr>
          <w:rFonts w:ascii="Gadugi" w:eastAsia="Georgia" w:hAnsi="Gadugi" w:cs="Georgia"/>
          <w:bCs/>
          <w:sz w:val="24"/>
          <w:szCs w:val="24"/>
        </w:rPr>
        <w:t xml:space="preserve">la </w:t>
      </w:r>
      <w:r w:rsidR="006103A0" w:rsidRPr="002F651B">
        <w:rPr>
          <w:rFonts w:ascii="Gadugi" w:eastAsia="Georgia" w:hAnsi="Gadugi" w:cs="Georgia"/>
          <w:b/>
          <w:sz w:val="24"/>
          <w:szCs w:val="24"/>
        </w:rPr>
        <w:t xml:space="preserve">Clínica </w:t>
      </w:r>
      <w:proofErr w:type="spellStart"/>
      <w:r w:rsidR="006103A0" w:rsidRPr="002F651B">
        <w:rPr>
          <w:rFonts w:ascii="Gadugi" w:eastAsia="Georgia" w:hAnsi="Gadugi" w:cs="Georgia"/>
          <w:b/>
          <w:sz w:val="24"/>
          <w:szCs w:val="24"/>
        </w:rPr>
        <w:t>Marañon</w:t>
      </w:r>
      <w:proofErr w:type="spellEnd"/>
      <w:r w:rsidR="006103A0" w:rsidRPr="002F651B">
        <w:rPr>
          <w:rFonts w:ascii="Gadugi" w:eastAsia="Georgia" w:hAnsi="Gadugi" w:cs="Georgia"/>
          <w:b/>
          <w:sz w:val="24"/>
          <w:szCs w:val="24"/>
        </w:rPr>
        <w:t xml:space="preserve"> S.A.S, Nueva </w:t>
      </w:r>
      <w:proofErr w:type="spellStart"/>
      <w:r w:rsidR="006103A0" w:rsidRPr="002F651B">
        <w:rPr>
          <w:rFonts w:ascii="Gadugi" w:eastAsia="Georgia" w:hAnsi="Gadugi" w:cs="Georgia"/>
          <w:b/>
          <w:sz w:val="24"/>
          <w:szCs w:val="24"/>
        </w:rPr>
        <w:t>EPS</w:t>
      </w:r>
      <w:proofErr w:type="spellEnd"/>
      <w:r w:rsidR="006103A0" w:rsidRPr="002F651B">
        <w:rPr>
          <w:rFonts w:ascii="Gadugi" w:eastAsia="Georgia" w:hAnsi="Gadugi" w:cs="Georgia"/>
          <w:b/>
          <w:sz w:val="24"/>
          <w:szCs w:val="24"/>
        </w:rPr>
        <w:t xml:space="preserve"> </w:t>
      </w:r>
      <w:proofErr w:type="spellStart"/>
      <w:r w:rsidR="006103A0" w:rsidRPr="002F651B">
        <w:rPr>
          <w:rFonts w:ascii="Gadugi" w:eastAsia="Georgia" w:hAnsi="Gadugi" w:cs="Georgia"/>
          <w:b/>
          <w:sz w:val="24"/>
          <w:szCs w:val="24"/>
        </w:rPr>
        <w:t>S.A</w:t>
      </w:r>
      <w:proofErr w:type="spellEnd"/>
      <w:r w:rsidR="006103A0" w:rsidRPr="002F651B">
        <w:rPr>
          <w:rFonts w:ascii="Gadugi" w:eastAsia="Georgia" w:hAnsi="Gadugi" w:cs="Georgia"/>
          <w:b/>
          <w:sz w:val="24"/>
          <w:szCs w:val="24"/>
        </w:rPr>
        <w:t xml:space="preserve">, </w:t>
      </w:r>
      <w:r w:rsidR="006103A0" w:rsidRPr="002F651B">
        <w:rPr>
          <w:rFonts w:ascii="Gadugi" w:eastAsia="Georgia" w:hAnsi="Gadugi" w:cs="Georgia"/>
          <w:bCs/>
          <w:sz w:val="24"/>
          <w:szCs w:val="24"/>
        </w:rPr>
        <w:t>y</w:t>
      </w:r>
      <w:r w:rsidR="006103A0" w:rsidRPr="002F651B">
        <w:rPr>
          <w:rFonts w:ascii="Gadugi" w:eastAsia="Georgia" w:hAnsi="Gadugi" w:cs="Georgia"/>
          <w:b/>
          <w:sz w:val="24"/>
          <w:szCs w:val="24"/>
        </w:rPr>
        <w:t xml:space="preserve"> </w:t>
      </w:r>
      <w:proofErr w:type="spellStart"/>
      <w:r w:rsidR="006103A0" w:rsidRPr="002F651B">
        <w:rPr>
          <w:rFonts w:ascii="Gadugi" w:eastAsia="Georgia" w:hAnsi="Gadugi" w:cs="Georgia"/>
          <w:b/>
          <w:sz w:val="24"/>
          <w:szCs w:val="24"/>
        </w:rPr>
        <w:t>Dumian</w:t>
      </w:r>
      <w:proofErr w:type="spellEnd"/>
      <w:r w:rsidR="006103A0" w:rsidRPr="002F651B">
        <w:rPr>
          <w:rFonts w:ascii="Gadugi" w:eastAsia="Georgia" w:hAnsi="Gadugi" w:cs="Georgia"/>
          <w:b/>
          <w:sz w:val="24"/>
          <w:szCs w:val="24"/>
        </w:rPr>
        <w:t xml:space="preserve"> Medical S.A.S.:</w:t>
      </w:r>
    </w:p>
    <w:p w14:paraId="2722CD97" w14:textId="77777777" w:rsidR="006103A0" w:rsidRPr="002F651B" w:rsidRDefault="006103A0" w:rsidP="002F651B">
      <w:pPr>
        <w:tabs>
          <w:tab w:val="left" w:pos="3686"/>
          <w:tab w:val="left" w:pos="4536"/>
        </w:tabs>
        <w:jc w:val="both"/>
        <w:rPr>
          <w:rFonts w:ascii="Gadugi" w:eastAsia="Georgia" w:hAnsi="Gadugi" w:cs="Georgia"/>
          <w:b/>
          <w:sz w:val="24"/>
          <w:szCs w:val="24"/>
        </w:rPr>
      </w:pPr>
    </w:p>
    <w:p w14:paraId="31A50DEA" w14:textId="77777777" w:rsidR="006103A0" w:rsidRPr="002F651B" w:rsidRDefault="006103A0" w:rsidP="002F651B">
      <w:pPr>
        <w:tabs>
          <w:tab w:val="left" w:pos="3686"/>
          <w:tab w:val="left" w:pos="4536"/>
        </w:tabs>
        <w:jc w:val="both"/>
        <w:rPr>
          <w:rFonts w:ascii="Gadugi" w:eastAsia="Georgia" w:hAnsi="Gadugi" w:cs="Georgia"/>
          <w:b/>
          <w:sz w:val="24"/>
          <w:szCs w:val="24"/>
        </w:rPr>
      </w:pPr>
      <w:r w:rsidRPr="002F651B">
        <w:rPr>
          <w:rFonts w:ascii="Gadugi" w:eastAsia="Georgia" w:hAnsi="Gadugi" w:cs="Georgia"/>
          <w:b/>
          <w:sz w:val="24"/>
          <w:szCs w:val="24"/>
        </w:rPr>
        <w:t xml:space="preserve">Resuelve: </w:t>
      </w:r>
    </w:p>
    <w:p w14:paraId="20818D82" w14:textId="77777777" w:rsidR="006103A0" w:rsidRPr="002F651B" w:rsidRDefault="006103A0" w:rsidP="002F651B">
      <w:pPr>
        <w:tabs>
          <w:tab w:val="left" w:pos="3686"/>
          <w:tab w:val="left" w:pos="4536"/>
        </w:tabs>
        <w:jc w:val="both"/>
        <w:rPr>
          <w:rFonts w:ascii="Gadugi" w:eastAsia="Georgia" w:hAnsi="Gadugi" w:cs="Georgia"/>
          <w:b/>
          <w:sz w:val="24"/>
          <w:szCs w:val="24"/>
        </w:rPr>
      </w:pPr>
    </w:p>
    <w:p w14:paraId="2C932F35" w14:textId="4CBF5852" w:rsidR="000C73C8" w:rsidRPr="002F651B" w:rsidRDefault="00330710" w:rsidP="002F651B">
      <w:pPr>
        <w:pStyle w:val="Prrafodelista"/>
        <w:numPr>
          <w:ilvl w:val="3"/>
          <w:numId w:val="1"/>
        </w:numPr>
        <w:tabs>
          <w:tab w:val="left" w:pos="426"/>
        </w:tabs>
        <w:ind w:left="0" w:firstLine="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CONFIRMAR el </w:t>
      </w:r>
      <w:r w:rsidR="000C73C8" w:rsidRPr="002F651B">
        <w:rPr>
          <w:rFonts w:ascii="Gadugi" w:eastAsia="Calibri" w:hAnsi="Gadugi" w:cs="Times New Roman"/>
          <w:sz w:val="24"/>
          <w:szCs w:val="24"/>
          <w:lang w:val="es-419"/>
        </w:rPr>
        <w:t>ordinal primero.</w:t>
      </w:r>
    </w:p>
    <w:p w14:paraId="5EA3CA87" w14:textId="77777777" w:rsidR="000C73C8" w:rsidRPr="002F651B" w:rsidRDefault="000C73C8" w:rsidP="002F651B">
      <w:pPr>
        <w:pStyle w:val="Prrafodelista"/>
        <w:tabs>
          <w:tab w:val="left" w:pos="426"/>
        </w:tabs>
        <w:ind w:left="2160"/>
        <w:jc w:val="both"/>
        <w:rPr>
          <w:rFonts w:ascii="Gadugi" w:eastAsia="Calibri" w:hAnsi="Gadugi" w:cs="Times New Roman"/>
          <w:sz w:val="24"/>
          <w:szCs w:val="24"/>
          <w:lang w:val="es-419"/>
        </w:rPr>
      </w:pPr>
    </w:p>
    <w:p w14:paraId="5BC9A249" w14:textId="22942202" w:rsidR="000C73C8" w:rsidRPr="002F651B" w:rsidRDefault="003C4419" w:rsidP="002F651B">
      <w:pPr>
        <w:pStyle w:val="Prrafodelista"/>
        <w:numPr>
          <w:ilvl w:val="3"/>
          <w:numId w:val="1"/>
        </w:numPr>
        <w:tabs>
          <w:tab w:val="left" w:pos="426"/>
        </w:tabs>
        <w:ind w:left="0" w:firstLine="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REVOCAR el ordinal segundo. </w:t>
      </w:r>
    </w:p>
    <w:p w14:paraId="3DFCD126" w14:textId="77777777" w:rsidR="003C4419" w:rsidRPr="002F651B" w:rsidRDefault="003C4419" w:rsidP="002F651B">
      <w:pPr>
        <w:pStyle w:val="Prrafodelista"/>
        <w:tabs>
          <w:tab w:val="left" w:pos="426"/>
        </w:tabs>
        <w:ind w:left="0"/>
        <w:jc w:val="both"/>
        <w:rPr>
          <w:rFonts w:ascii="Gadugi" w:eastAsia="Calibri" w:hAnsi="Gadugi" w:cs="Times New Roman"/>
          <w:sz w:val="24"/>
          <w:szCs w:val="24"/>
          <w:lang w:val="es-419"/>
        </w:rPr>
      </w:pPr>
    </w:p>
    <w:p w14:paraId="7EF41FCE" w14:textId="0D6A5BDB" w:rsidR="008277FD" w:rsidRPr="002F651B" w:rsidRDefault="008277FD" w:rsidP="002F651B">
      <w:pPr>
        <w:pStyle w:val="Prrafodelista"/>
        <w:ind w:left="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En su lugar, </w:t>
      </w:r>
      <w:r w:rsidR="00886FB0" w:rsidRPr="002F651B">
        <w:rPr>
          <w:rFonts w:ascii="Gadugi" w:eastAsia="Calibri" w:hAnsi="Gadugi" w:cs="Times New Roman"/>
          <w:sz w:val="24"/>
          <w:szCs w:val="24"/>
          <w:lang w:val="es-419"/>
        </w:rPr>
        <w:t>s</w:t>
      </w:r>
      <w:r w:rsidR="003C4419" w:rsidRPr="002F651B">
        <w:rPr>
          <w:rFonts w:ascii="Gadugi" w:eastAsia="Calibri" w:hAnsi="Gadugi" w:cs="Times New Roman"/>
          <w:sz w:val="24"/>
          <w:szCs w:val="24"/>
          <w:lang w:val="es-419"/>
        </w:rPr>
        <w:t>e</w:t>
      </w:r>
      <w:r w:rsidRPr="002F651B">
        <w:rPr>
          <w:rFonts w:ascii="Gadugi" w:eastAsia="Calibri" w:hAnsi="Gadugi" w:cs="Times New Roman"/>
          <w:sz w:val="24"/>
          <w:szCs w:val="24"/>
          <w:lang w:val="es-419"/>
        </w:rPr>
        <w:t xml:space="preserve"> </w:t>
      </w:r>
      <w:r w:rsidRPr="002F651B">
        <w:rPr>
          <w:rFonts w:ascii="Gadugi" w:eastAsia="Calibri" w:hAnsi="Gadugi" w:cs="Times New Roman"/>
          <w:b/>
          <w:bCs/>
          <w:sz w:val="24"/>
          <w:szCs w:val="24"/>
          <w:lang w:val="es-419"/>
        </w:rPr>
        <w:t xml:space="preserve">DECLARA </w:t>
      </w:r>
      <w:r w:rsidRPr="002F651B">
        <w:rPr>
          <w:rFonts w:ascii="Gadugi" w:eastAsia="Calibri" w:hAnsi="Gadugi" w:cs="Times New Roman"/>
          <w:sz w:val="24"/>
          <w:szCs w:val="24"/>
          <w:lang w:val="es-419"/>
        </w:rPr>
        <w:t>civil</w:t>
      </w:r>
      <w:r w:rsidR="00E8064D" w:rsidRPr="002F651B">
        <w:rPr>
          <w:rFonts w:ascii="Gadugi" w:eastAsia="Calibri" w:hAnsi="Gadugi" w:cs="Times New Roman"/>
          <w:sz w:val="24"/>
          <w:szCs w:val="24"/>
          <w:lang w:val="es-419"/>
        </w:rPr>
        <w:t xml:space="preserve"> y </w:t>
      </w:r>
      <w:r w:rsidRPr="002F651B">
        <w:rPr>
          <w:rFonts w:ascii="Gadugi" w:eastAsia="Calibri" w:hAnsi="Gadugi" w:cs="Times New Roman"/>
          <w:sz w:val="24"/>
          <w:szCs w:val="24"/>
          <w:lang w:val="es-419"/>
        </w:rPr>
        <w:t>solidariamente responsable</w:t>
      </w:r>
      <w:r w:rsidR="003C4419" w:rsidRPr="002F651B">
        <w:rPr>
          <w:rFonts w:ascii="Gadugi" w:eastAsia="Calibri" w:hAnsi="Gadugi" w:cs="Times New Roman"/>
          <w:sz w:val="24"/>
          <w:szCs w:val="24"/>
          <w:lang w:val="es-419"/>
        </w:rPr>
        <w:t>s</w:t>
      </w:r>
      <w:r w:rsidRPr="002F651B">
        <w:rPr>
          <w:rFonts w:ascii="Gadugi" w:eastAsia="Calibri" w:hAnsi="Gadugi" w:cs="Times New Roman"/>
          <w:sz w:val="24"/>
          <w:szCs w:val="24"/>
          <w:lang w:val="es-419"/>
        </w:rPr>
        <w:t xml:space="preserve"> a la </w:t>
      </w:r>
      <w:r w:rsidR="003C4419" w:rsidRPr="002F651B">
        <w:rPr>
          <w:rFonts w:ascii="Gadugi" w:eastAsia="Calibri" w:hAnsi="Gadugi" w:cs="Times New Roman"/>
          <w:b/>
          <w:bCs/>
          <w:sz w:val="24"/>
          <w:szCs w:val="24"/>
          <w:lang w:val="es-419"/>
        </w:rPr>
        <w:t xml:space="preserve">Nueva </w:t>
      </w:r>
      <w:r w:rsidRPr="002F651B">
        <w:rPr>
          <w:rFonts w:ascii="Gadugi" w:eastAsia="Calibri" w:hAnsi="Gadugi" w:cs="Times New Roman"/>
          <w:b/>
          <w:bCs/>
          <w:sz w:val="24"/>
          <w:szCs w:val="24"/>
          <w:lang w:val="es-419"/>
        </w:rPr>
        <w:t xml:space="preserve">EPS S.A. </w:t>
      </w:r>
      <w:r w:rsidRPr="002F651B">
        <w:rPr>
          <w:rFonts w:ascii="Gadugi" w:eastAsia="Calibri" w:hAnsi="Gadugi" w:cs="Times New Roman"/>
          <w:sz w:val="24"/>
          <w:szCs w:val="24"/>
          <w:lang w:val="es-419"/>
        </w:rPr>
        <w:t xml:space="preserve">y la </w:t>
      </w:r>
      <w:r w:rsidR="00E8064D" w:rsidRPr="002F651B">
        <w:rPr>
          <w:rFonts w:ascii="Gadugi" w:eastAsia="Calibri" w:hAnsi="Gadugi" w:cs="Times New Roman"/>
          <w:b/>
          <w:bCs/>
          <w:sz w:val="24"/>
          <w:szCs w:val="24"/>
          <w:lang w:val="es-419"/>
        </w:rPr>
        <w:t xml:space="preserve">Clínica Marañón </w:t>
      </w:r>
      <w:r w:rsidRPr="002F651B">
        <w:rPr>
          <w:rFonts w:ascii="Gadugi" w:eastAsia="Calibri" w:hAnsi="Gadugi" w:cs="Times New Roman"/>
          <w:b/>
          <w:bCs/>
          <w:sz w:val="24"/>
          <w:szCs w:val="24"/>
          <w:lang w:val="es-419"/>
        </w:rPr>
        <w:t>S.A.S.</w:t>
      </w:r>
      <w:r w:rsidR="00E8064D" w:rsidRPr="002F651B">
        <w:rPr>
          <w:rFonts w:ascii="Gadugi" w:eastAsia="Calibri" w:hAnsi="Gadugi" w:cs="Times New Roman"/>
          <w:sz w:val="24"/>
          <w:szCs w:val="24"/>
          <w:lang w:val="es-419"/>
        </w:rPr>
        <w:t>,</w:t>
      </w:r>
      <w:r w:rsidR="00E8064D" w:rsidRPr="002F651B">
        <w:rPr>
          <w:rFonts w:ascii="Gadugi" w:eastAsia="Calibri" w:hAnsi="Gadugi" w:cs="Times New Roman"/>
          <w:b/>
          <w:bCs/>
          <w:sz w:val="24"/>
          <w:szCs w:val="24"/>
          <w:lang w:val="es-419"/>
        </w:rPr>
        <w:t xml:space="preserve"> </w:t>
      </w:r>
      <w:r w:rsidR="00E8064D" w:rsidRPr="002F651B">
        <w:rPr>
          <w:rFonts w:ascii="Gadugi" w:eastAsia="Calibri" w:hAnsi="Gadugi" w:cs="Times New Roman"/>
          <w:sz w:val="24"/>
          <w:szCs w:val="24"/>
          <w:lang w:val="es-419"/>
        </w:rPr>
        <w:t xml:space="preserve">por los </w:t>
      </w:r>
      <w:r w:rsidR="00B53695" w:rsidRPr="002F651B">
        <w:rPr>
          <w:rFonts w:ascii="Gadugi" w:eastAsia="Calibri" w:hAnsi="Gadugi" w:cs="Times New Roman"/>
          <w:sz w:val="24"/>
          <w:szCs w:val="24"/>
          <w:lang w:val="es-419"/>
        </w:rPr>
        <w:t xml:space="preserve">daños causados a </w:t>
      </w:r>
      <w:r w:rsidR="00B53695" w:rsidRPr="002F651B">
        <w:rPr>
          <w:rFonts w:ascii="Gadugi" w:eastAsia="Calibri" w:hAnsi="Gadugi" w:cs="Times New Roman"/>
          <w:b/>
          <w:bCs/>
          <w:sz w:val="24"/>
          <w:szCs w:val="24"/>
          <w:lang w:val="es-419"/>
        </w:rPr>
        <w:t xml:space="preserve">María Nora Correa de Piedrahíta </w:t>
      </w:r>
      <w:r w:rsidR="00B53695" w:rsidRPr="002F651B">
        <w:rPr>
          <w:rFonts w:ascii="Gadugi" w:eastAsia="Calibri" w:hAnsi="Gadugi" w:cs="Times New Roman"/>
          <w:sz w:val="24"/>
          <w:szCs w:val="24"/>
          <w:lang w:val="es-419"/>
        </w:rPr>
        <w:t xml:space="preserve">y su núcleo familiar </w:t>
      </w:r>
      <w:r w:rsidR="00BB0F36" w:rsidRPr="002F651B">
        <w:rPr>
          <w:rFonts w:ascii="Gadugi" w:eastAsia="Calibri" w:hAnsi="Gadugi" w:cs="Times New Roman"/>
          <w:sz w:val="24"/>
          <w:szCs w:val="24"/>
          <w:lang w:val="es-419"/>
        </w:rPr>
        <w:t>demandante</w:t>
      </w:r>
      <w:r w:rsidRPr="002F651B">
        <w:rPr>
          <w:rFonts w:ascii="Gadugi" w:eastAsia="Calibri" w:hAnsi="Gadugi" w:cs="Times New Roman"/>
          <w:b/>
          <w:bCs/>
          <w:sz w:val="24"/>
          <w:szCs w:val="24"/>
          <w:lang w:val="es-419"/>
        </w:rPr>
        <w:t xml:space="preserve">, </w:t>
      </w:r>
      <w:r w:rsidRPr="002F651B">
        <w:rPr>
          <w:rFonts w:ascii="Gadugi" w:eastAsia="Calibri" w:hAnsi="Gadugi" w:cs="Times New Roman"/>
          <w:sz w:val="24"/>
          <w:szCs w:val="24"/>
          <w:lang w:val="es-419"/>
        </w:rPr>
        <w:t xml:space="preserve">de acuerdo con lo dicho en la parte motiva de esta sentencia. </w:t>
      </w:r>
    </w:p>
    <w:p w14:paraId="76753032" w14:textId="77777777" w:rsidR="008277FD" w:rsidRPr="002F651B" w:rsidRDefault="008277FD" w:rsidP="002F651B">
      <w:pPr>
        <w:pStyle w:val="Prrafodelista"/>
        <w:ind w:left="0"/>
        <w:jc w:val="both"/>
        <w:rPr>
          <w:rFonts w:ascii="Gadugi" w:eastAsia="Calibri" w:hAnsi="Gadugi" w:cs="Times New Roman"/>
          <w:sz w:val="24"/>
          <w:szCs w:val="24"/>
          <w:lang w:val="es-419"/>
        </w:rPr>
      </w:pPr>
    </w:p>
    <w:p w14:paraId="08C6F2DE" w14:textId="391AA6AB" w:rsidR="008277FD" w:rsidRPr="002F651B" w:rsidRDefault="00BB0F36" w:rsidP="002F651B">
      <w:pPr>
        <w:pStyle w:val="Prrafodelista"/>
        <w:numPr>
          <w:ilvl w:val="0"/>
          <w:numId w:val="1"/>
        </w:numPr>
        <w:tabs>
          <w:tab w:val="left" w:pos="284"/>
        </w:tabs>
        <w:ind w:left="0" w:firstLine="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En consecuencia, </w:t>
      </w:r>
      <w:r w:rsidR="008277FD" w:rsidRPr="002F651B">
        <w:rPr>
          <w:rFonts w:ascii="Gadugi" w:eastAsia="Calibri" w:hAnsi="Gadugi" w:cs="Times New Roman"/>
          <w:sz w:val="24"/>
          <w:szCs w:val="24"/>
          <w:lang w:val="es-419"/>
        </w:rPr>
        <w:t xml:space="preserve">se </w:t>
      </w:r>
      <w:r w:rsidR="000E5BEE" w:rsidRPr="002F651B">
        <w:rPr>
          <w:rFonts w:ascii="Gadugi" w:eastAsia="Calibri" w:hAnsi="Gadugi" w:cs="Times New Roman"/>
          <w:sz w:val="24"/>
          <w:szCs w:val="24"/>
          <w:lang w:val="es-419"/>
        </w:rPr>
        <w:t xml:space="preserve">les condena a pagar los siguientes valores: </w:t>
      </w:r>
    </w:p>
    <w:p w14:paraId="1F2BBF18" w14:textId="77777777" w:rsidR="00780B46" w:rsidRPr="002F651B" w:rsidRDefault="00780B46" w:rsidP="002F651B">
      <w:pPr>
        <w:pStyle w:val="Prrafodelista"/>
        <w:tabs>
          <w:tab w:val="left" w:pos="284"/>
        </w:tabs>
        <w:ind w:left="0"/>
        <w:jc w:val="both"/>
        <w:rPr>
          <w:rFonts w:ascii="Gadugi" w:eastAsia="Calibri" w:hAnsi="Gadugi" w:cs="Times New Roman"/>
          <w:sz w:val="24"/>
          <w:szCs w:val="24"/>
          <w:lang w:val="es-419"/>
        </w:rPr>
      </w:pPr>
    </w:p>
    <w:p w14:paraId="307BC064" w14:textId="0F4EA813" w:rsidR="00E33BE2" w:rsidRPr="002F651B" w:rsidRDefault="009D3F3A" w:rsidP="002F651B">
      <w:pPr>
        <w:pStyle w:val="Prrafodelista"/>
        <w:numPr>
          <w:ilvl w:val="1"/>
          <w:numId w:val="1"/>
        </w:numPr>
        <w:tabs>
          <w:tab w:val="left" w:pos="426"/>
        </w:tabs>
        <w:ind w:left="0" w:firstLine="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A la sucesión de María Nora Correa de Piedrahíta, por el daño moral </w:t>
      </w:r>
      <w:r w:rsidR="00EC4229" w:rsidRPr="002F651B">
        <w:rPr>
          <w:rFonts w:ascii="Gadugi" w:eastAsia="Calibri" w:hAnsi="Gadugi" w:cs="Times New Roman"/>
          <w:sz w:val="24"/>
          <w:szCs w:val="24"/>
          <w:lang w:val="es-419"/>
        </w:rPr>
        <w:t>la suma de treinta millones de pesos ($30</w:t>
      </w:r>
      <w:r w:rsidR="00032AE5" w:rsidRPr="002F651B">
        <w:rPr>
          <w:rFonts w:ascii="Gadugi" w:eastAsia="Calibri" w:hAnsi="Gadugi" w:cs="Times New Roman"/>
          <w:sz w:val="24"/>
          <w:szCs w:val="24"/>
          <w:lang w:val="es-419"/>
        </w:rPr>
        <w:t>’</w:t>
      </w:r>
      <w:r w:rsidR="00EC4229" w:rsidRPr="002F651B">
        <w:rPr>
          <w:rFonts w:ascii="Gadugi" w:eastAsia="Calibri" w:hAnsi="Gadugi" w:cs="Times New Roman"/>
          <w:sz w:val="24"/>
          <w:szCs w:val="24"/>
          <w:lang w:val="es-419"/>
        </w:rPr>
        <w:t>000.000,</w:t>
      </w:r>
      <w:r w:rsidR="00235715">
        <w:rPr>
          <w:rFonts w:ascii="Gadugi" w:eastAsia="Calibri" w:hAnsi="Gadugi" w:cs="Times New Roman"/>
          <w:sz w:val="24"/>
          <w:szCs w:val="24"/>
          <w:lang w:val="es-419"/>
        </w:rPr>
        <w:t>00</w:t>
      </w:r>
      <w:r w:rsidR="00EC4229" w:rsidRPr="002F651B">
        <w:rPr>
          <w:rFonts w:ascii="Gadugi" w:eastAsia="Calibri" w:hAnsi="Gadugi" w:cs="Times New Roman"/>
          <w:sz w:val="24"/>
          <w:szCs w:val="24"/>
          <w:lang w:val="es-419"/>
        </w:rPr>
        <w:t>).</w:t>
      </w:r>
    </w:p>
    <w:p w14:paraId="61CBD8D2" w14:textId="77777777" w:rsidR="005F5165" w:rsidRPr="002F651B" w:rsidRDefault="005F5165" w:rsidP="002F651B">
      <w:pPr>
        <w:pStyle w:val="Prrafodelista"/>
        <w:tabs>
          <w:tab w:val="left" w:pos="426"/>
        </w:tabs>
        <w:ind w:left="0"/>
        <w:jc w:val="both"/>
        <w:rPr>
          <w:rFonts w:ascii="Gadugi" w:eastAsia="Calibri" w:hAnsi="Gadugi" w:cs="Times New Roman"/>
          <w:sz w:val="24"/>
          <w:szCs w:val="24"/>
          <w:lang w:val="es-419"/>
        </w:rPr>
      </w:pPr>
    </w:p>
    <w:p w14:paraId="303BC285" w14:textId="3D47A0FC" w:rsidR="00540F19" w:rsidRPr="002F651B" w:rsidRDefault="00E33BE2" w:rsidP="002F651B">
      <w:pPr>
        <w:pStyle w:val="Prrafodelista"/>
        <w:numPr>
          <w:ilvl w:val="1"/>
          <w:numId w:val="1"/>
        </w:numPr>
        <w:tabs>
          <w:tab w:val="left" w:pos="426"/>
        </w:tabs>
        <w:ind w:left="0" w:firstLine="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A</w:t>
      </w:r>
      <w:r w:rsidR="008277FD" w:rsidRPr="002F651B">
        <w:rPr>
          <w:rFonts w:ascii="Gadugi" w:eastAsia="Calibri" w:hAnsi="Gadugi" w:cs="Times New Roman"/>
          <w:b/>
          <w:bCs/>
          <w:sz w:val="24"/>
          <w:szCs w:val="24"/>
          <w:lang w:val="es-419"/>
        </w:rPr>
        <w:t xml:space="preserve"> </w:t>
      </w:r>
      <w:r w:rsidR="008277FD" w:rsidRPr="002F651B">
        <w:rPr>
          <w:rFonts w:ascii="Gadugi" w:eastAsia="Calibri" w:hAnsi="Gadugi" w:cs="Times New Roman"/>
          <w:sz w:val="24"/>
          <w:szCs w:val="24"/>
        </w:rPr>
        <w:t>Martha Lucía Piedrah</w:t>
      </w:r>
      <w:r w:rsidR="008F2325" w:rsidRPr="002F651B">
        <w:rPr>
          <w:rFonts w:ascii="Gadugi" w:eastAsia="Calibri" w:hAnsi="Gadugi" w:cs="Times New Roman"/>
          <w:sz w:val="24"/>
          <w:szCs w:val="24"/>
        </w:rPr>
        <w:t>í</w:t>
      </w:r>
      <w:r w:rsidR="008277FD" w:rsidRPr="002F651B">
        <w:rPr>
          <w:rFonts w:ascii="Gadugi" w:eastAsia="Calibri" w:hAnsi="Gadugi" w:cs="Times New Roman"/>
          <w:sz w:val="24"/>
          <w:szCs w:val="24"/>
        </w:rPr>
        <w:t>ta Correa</w:t>
      </w:r>
      <w:r w:rsidR="001905E7" w:rsidRPr="002F651B">
        <w:rPr>
          <w:rFonts w:ascii="Gadugi" w:eastAsia="Calibri" w:hAnsi="Gadugi" w:cs="Times New Roman"/>
          <w:sz w:val="24"/>
          <w:szCs w:val="24"/>
        </w:rPr>
        <w:t xml:space="preserve"> y Alfonso Enrique Piedrah</w:t>
      </w:r>
      <w:r w:rsidR="008F2325" w:rsidRPr="002F651B">
        <w:rPr>
          <w:rFonts w:ascii="Gadugi" w:eastAsia="Calibri" w:hAnsi="Gadugi" w:cs="Times New Roman"/>
          <w:sz w:val="24"/>
          <w:szCs w:val="24"/>
        </w:rPr>
        <w:t>í</w:t>
      </w:r>
      <w:r w:rsidR="001905E7" w:rsidRPr="002F651B">
        <w:rPr>
          <w:rFonts w:ascii="Gadugi" w:eastAsia="Calibri" w:hAnsi="Gadugi" w:cs="Times New Roman"/>
          <w:sz w:val="24"/>
          <w:szCs w:val="24"/>
        </w:rPr>
        <w:t>ta Correa</w:t>
      </w:r>
      <w:r w:rsidR="00540F19" w:rsidRPr="002F651B">
        <w:rPr>
          <w:rFonts w:ascii="Gadugi" w:eastAsia="Calibri" w:hAnsi="Gadugi" w:cs="Times New Roman"/>
          <w:sz w:val="24"/>
          <w:szCs w:val="24"/>
        </w:rPr>
        <w:t xml:space="preserve">, </w:t>
      </w:r>
      <w:r w:rsidR="00540F19" w:rsidRPr="002F651B">
        <w:rPr>
          <w:rFonts w:ascii="Gadugi" w:eastAsia="Calibri" w:hAnsi="Gadugi" w:cs="Times New Roman"/>
          <w:sz w:val="24"/>
          <w:szCs w:val="24"/>
          <w:lang w:val="es-419"/>
        </w:rPr>
        <w:t>por el daño moral la suma de sesenta millones de pesos ($</w:t>
      </w:r>
      <w:r w:rsidR="00032AE5" w:rsidRPr="002F651B">
        <w:rPr>
          <w:rFonts w:ascii="Gadugi" w:eastAsia="Calibri" w:hAnsi="Gadugi" w:cs="Times New Roman"/>
          <w:sz w:val="24"/>
          <w:szCs w:val="24"/>
          <w:lang w:val="es-419"/>
        </w:rPr>
        <w:t>6</w:t>
      </w:r>
      <w:r w:rsidR="00540F19" w:rsidRPr="002F651B">
        <w:rPr>
          <w:rFonts w:ascii="Gadugi" w:eastAsia="Calibri" w:hAnsi="Gadugi" w:cs="Times New Roman"/>
          <w:sz w:val="24"/>
          <w:szCs w:val="24"/>
          <w:lang w:val="es-419"/>
        </w:rPr>
        <w:t>0</w:t>
      </w:r>
      <w:r w:rsidR="00032AE5" w:rsidRPr="002F651B">
        <w:rPr>
          <w:rFonts w:ascii="Gadugi" w:eastAsia="Calibri" w:hAnsi="Gadugi" w:cs="Times New Roman"/>
          <w:sz w:val="24"/>
          <w:szCs w:val="24"/>
          <w:lang w:val="es-419"/>
        </w:rPr>
        <w:t>’</w:t>
      </w:r>
      <w:r w:rsidR="00540F19" w:rsidRPr="002F651B">
        <w:rPr>
          <w:rFonts w:ascii="Gadugi" w:eastAsia="Calibri" w:hAnsi="Gadugi" w:cs="Times New Roman"/>
          <w:sz w:val="24"/>
          <w:szCs w:val="24"/>
          <w:lang w:val="es-419"/>
        </w:rPr>
        <w:t>000.000,</w:t>
      </w:r>
      <w:r w:rsidR="00235715">
        <w:rPr>
          <w:rFonts w:ascii="Gadugi" w:eastAsia="Calibri" w:hAnsi="Gadugi" w:cs="Times New Roman"/>
          <w:sz w:val="24"/>
          <w:szCs w:val="24"/>
          <w:lang w:val="es-419"/>
        </w:rPr>
        <w:t>00</w:t>
      </w:r>
      <w:r w:rsidR="00540F19" w:rsidRPr="002F651B">
        <w:rPr>
          <w:rFonts w:ascii="Gadugi" w:eastAsia="Calibri" w:hAnsi="Gadugi" w:cs="Times New Roman"/>
          <w:sz w:val="24"/>
          <w:szCs w:val="24"/>
          <w:lang w:val="es-419"/>
        </w:rPr>
        <w:t>)</w:t>
      </w:r>
      <w:r w:rsidR="006D4F28" w:rsidRPr="002F651B">
        <w:rPr>
          <w:rFonts w:ascii="Gadugi" w:eastAsia="Calibri" w:hAnsi="Gadugi" w:cs="Times New Roman"/>
          <w:sz w:val="24"/>
          <w:szCs w:val="24"/>
          <w:lang w:val="es-419"/>
        </w:rPr>
        <w:t>, a cada uno.</w:t>
      </w:r>
    </w:p>
    <w:p w14:paraId="7B43324C" w14:textId="77777777" w:rsidR="00C74286" w:rsidRPr="002F651B" w:rsidRDefault="00C74286" w:rsidP="002F651B">
      <w:pPr>
        <w:pStyle w:val="Prrafodelista"/>
        <w:tabs>
          <w:tab w:val="left" w:pos="426"/>
        </w:tabs>
        <w:ind w:left="0"/>
        <w:jc w:val="both"/>
        <w:rPr>
          <w:rFonts w:ascii="Gadugi" w:eastAsia="Calibri" w:hAnsi="Gadugi" w:cs="Times New Roman"/>
          <w:sz w:val="24"/>
          <w:szCs w:val="24"/>
          <w:lang w:val="es-419"/>
        </w:rPr>
      </w:pPr>
    </w:p>
    <w:p w14:paraId="5E8EA517" w14:textId="368144DD" w:rsidR="008F2804" w:rsidRPr="002F651B" w:rsidRDefault="00540F19" w:rsidP="002F651B">
      <w:pPr>
        <w:pStyle w:val="Prrafodelista"/>
        <w:numPr>
          <w:ilvl w:val="1"/>
          <w:numId w:val="1"/>
        </w:numPr>
        <w:tabs>
          <w:tab w:val="left" w:pos="426"/>
        </w:tabs>
        <w:ind w:left="0" w:firstLine="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A</w:t>
      </w:r>
      <w:r w:rsidR="00943E41" w:rsidRPr="002F651B">
        <w:rPr>
          <w:rFonts w:ascii="Gadugi" w:eastAsia="Calibri" w:hAnsi="Gadugi" w:cs="Times New Roman"/>
          <w:sz w:val="24"/>
          <w:szCs w:val="24"/>
          <w:lang w:val="es-419"/>
        </w:rPr>
        <w:t xml:space="preserve"> </w:t>
      </w:r>
      <w:r w:rsidR="008277FD" w:rsidRPr="002F651B">
        <w:rPr>
          <w:rFonts w:ascii="Gadugi" w:eastAsia="Calibri" w:hAnsi="Gadugi" w:cs="Times New Roman"/>
          <w:sz w:val="24"/>
          <w:szCs w:val="24"/>
        </w:rPr>
        <w:t>Ricardo Piedrah</w:t>
      </w:r>
      <w:r w:rsidR="008F2325" w:rsidRPr="002F651B">
        <w:rPr>
          <w:rFonts w:ascii="Gadugi" w:eastAsia="Calibri" w:hAnsi="Gadugi" w:cs="Times New Roman"/>
          <w:sz w:val="24"/>
          <w:szCs w:val="24"/>
        </w:rPr>
        <w:t>í</w:t>
      </w:r>
      <w:r w:rsidR="008277FD" w:rsidRPr="002F651B">
        <w:rPr>
          <w:rFonts w:ascii="Gadugi" w:eastAsia="Calibri" w:hAnsi="Gadugi" w:cs="Times New Roman"/>
          <w:sz w:val="24"/>
          <w:szCs w:val="24"/>
        </w:rPr>
        <w:t>ta Correa</w:t>
      </w:r>
      <w:r w:rsidR="006D4F28" w:rsidRPr="002F651B">
        <w:rPr>
          <w:rFonts w:ascii="Gadugi" w:eastAsia="Calibri" w:hAnsi="Gadugi" w:cs="Times New Roman"/>
          <w:sz w:val="24"/>
          <w:szCs w:val="24"/>
        </w:rPr>
        <w:t xml:space="preserve">, </w:t>
      </w:r>
      <w:r w:rsidR="008277FD" w:rsidRPr="002F651B">
        <w:rPr>
          <w:rFonts w:ascii="Gadugi" w:eastAsia="Calibri" w:hAnsi="Gadugi" w:cs="Times New Roman"/>
          <w:sz w:val="24"/>
          <w:szCs w:val="24"/>
        </w:rPr>
        <w:t xml:space="preserve">Alejandra María </w:t>
      </w:r>
      <w:proofErr w:type="spellStart"/>
      <w:r w:rsidR="008277FD" w:rsidRPr="002F651B">
        <w:rPr>
          <w:rFonts w:ascii="Gadugi" w:eastAsia="Calibri" w:hAnsi="Gadugi" w:cs="Times New Roman"/>
          <w:sz w:val="24"/>
          <w:szCs w:val="24"/>
        </w:rPr>
        <w:t>Piedrah</w:t>
      </w:r>
      <w:r w:rsidR="008F2325" w:rsidRPr="002F651B">
        <w:rPr>
          <w:rFonts w:ascii="Gadugi" w:eastAsia="Calibri" w:hAnsi="Gadugi" w:cs="Times New Roman"/>
          <w:sz w:val="24"/>
          <w:szCs w:val="24"/>
        </w:rPr>
        <w:t>í</w:t>
      </w:r>
      <w:r w:rsidR="008277FD" w:rsidRPr="002F651B">
        <w:rPr>
          <w:rFonts w:ascii="Gadugi" w:eastAsia="Calibri" w:hAnsi="Gadugi" w:cs="Times New Roman"/>
          <w:sz w:val="24"/>
          <w:szCs w:val="24"/>
        </w:rPr>
        <w:t>ta</w:t>
      </w:r>
      <w:proofErr w:type="spellEnd"/>
      <w:r w:rsidR="008277FD" w:rsidRPr="002F651B">
        <w:rPr>
          <w:rFonts w:ascii="Gadugi" w:eastAsia="Calibri" w:hAnsi="Gadugi" w:cs="Times New Roman"/>
          <w:sz w:val="24"/>
          <w:szCs w:val="24"/>
        </w:rPr>
        <w:t xml:space="preserve"> Correa</w:t>
      </w:r>
      <w:r w:rsidR="006D4F28" w:rsidRPr="002F651B">
        <w:rPr>
          <w:rFonts w:ascii="Gadugi" w:eastAsia="Calibri" w:hAnsi="Gadugi" w:cs="Times New Roman"/>
          <w:sz w:val="24"/>
          <w:szCs w:val="24"/>
        </w:rPr>
        <w:t xml:space="preserve"> y </w:t>
      </w:r>
      <w:proofErr w:type="spellStart"/>
      <w:r w:rsidR="008277FD" w:rsidRPr="002F651B">
        <w:rPr>
          <w:rFonts w:ascii="Gadugi" w:eastAsia="Calibri" w:hAnsi="Gadugi" w:cs="Times New Roman"/>
          <w:sz w:val="24"/>
          <w:szCs w:val="24"/>
        </w:rPr>
        <w:t>Nathalia</w:t>
      </w:r>
      <w:proofErr w:type="spellEnd"/>
      <w:r w:rsidR="008277FD" w:rsidRPr="002F651B">
        <w:rPr>
          <w:rFonts w:ascii="Gadugi" w:eastAsia="Calibri" w:hAnsi="Gadugi" w:cs="Times New Roman"/>
          <w:sz w:val="24"/>
          <w:szCs w:val="24"/>
        </w:rPr>
        <w:t xml:space="preserve"> Morales </w:t>
      </w:r>
      <w:proofErr w:type="spellStart"/>
      <w:r w:rsidR="008277FD" w:rsidRPr="002F651B">
        <w:rPr>
          <w:rFonts w:ascii="Gadugi" w:eastAsia="Calibri" w:hAnsi="Gadugi" w:cs="Times New Roman"/>
          <w:sz w:val="24"/>
          <w:szCs w:val="24"/>
        </w:rPr>
        <w:t>Piedrah</w:t>
      </w:r>
      <w:r w:rsidR="000508C9" w:rsidRPr="002F651B">
        <w:rPr>
          <w:rFonts w:ascii="Gadugi" w:eastAsia="Calibri" w:hAnsi="Gadugi" w:cs="Times New Roman"/>
          <w:sz w:val="24"/>
          <w:szCs w:val="24"/>
        </w:rPr>
        <w:t>í</w:t>
      </w:r>
      <w:r w:rsidR="008277FD" w:rsidRPr="002F651B">
        <w:rPr>
          <w:rFonts w:ascii="Gadugi" w:eastAsia="Calibri" w:hAnsi="Gadugi" w:cs="Times New Roman"/>
          <w:sz w:val="24"/>
          <w:szCs w:val="24"/>
        </w:rPr>
        <w:t>ta</w:t>
      </w:r>
      <w:proofErr w:type="spellEnd"/>
      <w:r w:rsidR="008F2804" w:rsidRPr="002F651B">
        <w:rPr>
          <w:rFonts w:ascii="Gadugi" w:eastAsia="Calibri" w:hAnsi="Gadugi" w:cs="Times New Roman"/>
          <w:sz w:val="24"/>
          <w:szCs w:val="24"/>
        </w:rPr>
        <w:t xml:space="preserve">, </w:t>
      </w:r>
      <w:r w:rsidR="008F2804" w:rsidRPr="002F651B">
        <w:rPr>
          <w:rFonts w:ascii="Gadugi" w:eastAsia="Calibri" w:hAnsi="Gadugi" w:cs="Times New Roman"/>
          <w:sz w:val="24"/>
          <w:szCs w:val="24"/>
          <w:lang w:val="es-419"/>
        </w:rPr>
        <w:t>por el daño moral la suma de treinta m</w:t>
      </w:r>
      <w:r w:rsidR="00235715">
        <w:rPr>
          <w:rFonts w:ascii="Gadugi" w:eastAsia="Calibri" w:hAnsi="Gadugi" w:cs="Times New Roman"/>
          <w:sz w:val="24"/>
          <w:szCs w:val="24"/>
          <w:lang w:val="es-419"/>
        </w:rPr>
        <w:t>illones de pesos ($30.000.000,00</w:t>
      </w:r>
      <w:r w:rsidR="008F2804" w:rsidRPr="002F651B">
        <w:rPr>
          <w:rFonts w:ascii="Gadugi" w:eastAsia="Calibri" w:hAnsi="Gadugi" w:cs="Times New Roman"/>
          <w:sz w:val="24"/>
          <w:szCs w:val="24"/>
          <w:lang w:val="es-419"/>
        </w:rPr>
        <w:t xml:space="preserve">) a cada uno. </w:t>
      </w:r>
    </w:p>
    <w:p w14:paraId="63A3BDE8" w14:textId="77777777" w:rsidR="008277FD" w:rsidRPr="002F651B" w:rsidRDefault="008277FD" w:rsidP="002F651B">
      <w:pPr>
        <w:pStyle w:val="Prrafodelista"/>
        <w:tabs>
          <w:tab w:val="left" w:pos="426"/>
        </w:tabs>
        <w:ind w:left="0"/>
        <w:jc w:val="both"/>
        <w:rPr>
          <w:rFonts w:ascii="Gadugi" w:eastAsia="Calibri" w:hAnsi="Gadugi" w:cs="Times New Roman"/>
          <w:b/>
          <w:bCs/>
          <w:sz w:val="24"/>
          <w:szCs w:val="24"/>
          <w:lang w:val="es-419"/>
        </w:rPr>
      </w:pPr>
    </w:p>
    <w:p w14:paraId="237D8C75" w14:textId="05C32975" w:rsidR="00890ED3" w:rsidRPr="002F651B" w:rsidRDefault="008277FD" w:rsidP="002F651B">
      <w:pPr>
        <w:pStyle w:val="Prrafodelista"/>
        <w:numPr>
          <w:ilvl w:val="0"/>
          <w:numId w:val="1"/>
        </w:numPr>
        <w:tabs>
          <w:tab w:val="left" w:pos="284"/>
          <w:tab w:val="left" w:pos="426"/>
        </w:tabs>
        <w:ind w:left="0" w:firstLine="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Se </w:t>
      </w:r>
      <w:r w:rsidR="000508C9" w:rsidRPr="002F651B">
        <w:rPr>
          <w:rFonts w:ascii="Gadugi" w:eastAsia="Calibri" w:hAnsi="Gadugi" w:cs="Times New Roman"/>
          <w:sz w:val="24"/>
          <w:szCs w:val="24"/>
          <w:lang w:val="es-419"/>
        </w:rPr>
        <w:t xml:space="preserve">niegan las restantes </w:t>
      </w:r>
      <w:r w:rsidR="00890ED3" w:rsidRPr="002F651B">
        <w:rPr>
          <w:rFonts w:ascii="Gadugi" w:eastAsia="Calibri" w:hAnsi="Gadugi" w:cs="Times New Roman"/>
          <w:sz w:val="24"/>
          <w:szCs w:val="24"/>
          <w:lang w:val="es-419"/>
        </w:rPr>
        <w:t xml:space="preserve">pretensiones. </w:t>
      </w:r>
    </w:p>
    <w:p w14:paraId="464BA4B8" w14:textId="77777777" w:rsidR="00890ED3" w:rsidRPr="002F651B" w:rsidRDefault="00890ED3" w:rsidP="002F651B">
      <w:pPr>
        <w:pStyle w:val="Prrafodelista"/>
        <w:tabs>
          <w:tab w:val="left" w:pos="284"/>
          <w:tab w:val="left" w:pos="426"/>
        </w:tabs>
        <w:ind w:left="0"/>
        <w:jc w:val="both"/>
        <w:rPr>
          <w:rFonts w:ascii="Gadugi" w:eastAsia="Calibri" w:hAnsi="Gadugi" w:cs="Times New Roman"/>
          <w:sz w:val="24"/>
          <w:szCs w:val="24"/>
          <w:lang w:val="es-419"/>
        </w:rPr>
      </w:pPr>
    </w:p>
    <w:p w14:paraId="1A3BC4A5" w14:textId="289B38DA" w:rsidR="008277FD" w:rsidRPr="002F651B" w:rsidRDefault="000370F9" w:rsidP="002F651B">
      <w:pPr>
        <w:pStyle w:val="Prrafodelista"/>
        <w:numPr>
          <w:ilvl w:val="0"/>
          <w:numId w:val="1"/>
        </w:numPr>
        <w:tabs>
          <w:tab w:val="left" w:pos="426"/>
        </w:tabs>
        <w:ind w:left="0" w:firstLine="0"/>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Las costas serán del siguiente orden:</w:t>
      </w:r>
    </w:p>
    <w:p w14:paraId="472D2DE4" w14:textId="77777777" w:rsidR="004611F3" w:rsidRPr="002F651B" w:rsidRDefault="004611F3" w:rsidP="002F651B">
      <w:pPr>
        <w:pStyle w:val="Prrafodelista"/>
        <w:tabs>
          <w:tab w:val="left" w:pos="426"/>
        </w:tabs>
        <w:ind w:left="0"/>
        <w:rPr>
          <w:rFonts w:ascii="Gadugi" w:eastAsia="Calibri" w:hAnsi="Gadugi" w:cs="Times New Roman"/>
          <w:sz w:val="24"/>
          <w:szCs w:val="24"/>
          <w:lang w:val="es-419"/>
        </w:rPr>
      </w:pPr>
    </w:p>
    <w:p w14:paraId="45BB024D" w14:textId="77777777" w:rsidR="004611F3" w:rsidRPr="002F651B" w:rsidRDefault="004611F3"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 xml:space="preserve">Los demandantes deben cargar con las causadas a favor de las entidades públicas que fueron desligadas por falta de legitimación en la causa. </w:t>
      </w:r>
    </w:p>
    <w:p w14:paraId="76541BDC" w14:textId="77777777" w:rsidR="004611F3" w:rsidRPr="002F651B" w:rsidRDefault="004611F3" w:rsidP="002F651B">
      <w:pPr>
        <w:tabs>
          <w:tab w:val="left" w:pos="851"/>
        </w:tabs>
        <w:jc w:val="both"/>
        <w:rPr>
          <w:rFonts w:ascii="Gadugi" w:eastAsia="Calibri" w:hAnsi="Gadugi" w:cs="Times New Roman"/>
          <w:sz w:val="24"/>
          <w:szCs w:val="24"/>
          <w:lang w:val="es-419"/>
        </w:rPr>
      </w:pPr>
    </w:p>
    <w:p w14:paraId="5C5180DC" w14:textId="1579B3C1" w:rsidR="004611F3" w:rsidRPr="002F651B" w:rsidRDefault="00180CE3" w:rsidP="002F651B">
      <w:pPr>
        <w:tabs>
          <w:tab w:val="left" w:pos="851"/>
        </w:tabs>
        <w:jc w:val="both"/>
        <w:rPr>
          <w:rFonts w:ascii="Gadugi" w:eastAsia="Calibri" w:hAnsi="Gadugi" w:cs="Times New Roman"/>
          <w:sz w:val="24"/>
          <w:szCs w:val="24"/>
          <w:lang w:val="es-419"/>
        </w:rPr>
      </w:pPr>
      <w:r w:rsidRPr="002F651B">
        <w:rPr>
          <w:rFonts w:ascii="Gadugi" w:eastAsia="Calibri" w:hAnsi="Gadugi" w:cs="Times New Roman"/>
          <w:sz w:val="24"/>
          <w:szCs w:val="24"/>
          <w:lang w:val="es-419"/>
        </w:rPr>
        <w:t>Las codemandadas</w:t>
      </w:r>
      <w:r w:rsidR="004611F3" w:rsidRPr="002F651B">
        <w:rPr>
          <w:rFonts w:ascii="Gadugi" w:eastAsia="Calibri" w:hAnsi="Gadugi" w:cs="Times New Roman"/>
          <w:sz w:val="24"/>
          <w:szCs w:val="24"/>
          <w:lang w:val="es-419"/>
        </w:rPr>
        <w:t xml:space="preserve"> Nueva EPS y la Clínica Marañón SAS, deberán pagar a los demandantes las que les fueron causadas</w:t>
      </w:r>
      <w:r w:rsidRPr="002F651B">
        <w:rPr>
          <w:rFonts w:ascii="Gadugi" w:eastAsia="Calibri" w:hAnsi="Gadugi" w:cs="Times New Roman"/>
          <w:sz w:val="24"/>
          <w:szCs w:val="24"/>
          <w:lang w:val="es-419"/>
        </w:rPr>
        <w:t xml:space="preserve">, en un setenta por ciento (70%). </w:t>
      </w:r>
      <w:r w:rsidR="004611F3" w:rsidRPr="002F651B">
        <w:rPr>
          <w:rFonts w:ascii="Gadugi" w:eastAsia="Calibri" w:hAnsi="Gadugi" w:cs="Times New Roman"/>
          <w:sz w:val="24"/>
          <w:szCs w:val="24"/>
          <w:lang w:val="es-419"/>
        </w:rPr>
        <w:t xml:space="preserve">Y la Nueva EPS SA, deberá cubrir las </w:t>
      </w:r>
      <w:r w:rsidR="00877E93" w:rsidRPr="002F651B">
        <w:rPr>
          <w:rFonts w:ascii="Gadugi" w:eastAsia="Calibri" w:hAnsi="Gadugi" w:cs="Times New Roman"/>
          <w:sz w:val="24"/>
          <w:szCs w:val="24"/>
          <w:lang w:val="es-419"/>
        </w:rPr>
        <w:t xml:space="preserve">causadas a las llamadas en garantía. </w:t>
      </w:r>
    </w:p>
    <w:p w14:paraId="3DC9555C" w14:textId="77777777" w:rsidR="004611F3" w:rsidRPr="002F651B" w:rsidRDefault="004611F3" w:rsidP="002F651B">
      <w:pPr>
        <w:tabs>
          <w:tab w:val="left" w:pos="851"/>
        </w:tabs>
        <w:jc w:val="both"/>
        <w:rPr>
          <w:rFonts w:ascii="Gadugi" w:eastAsia="Calibri" w:hAnsi="Gadugi" w:cs="Times New Roman"/>
          <w:sz w:val="24"/>
          <w:szCs w:val="24"/>
          <w:lang w:val="es-419"/>
        </w:rPr>
      </w:pPr>
    </w:p>
    <w:p w14:paraId="6FDC714D" w14:textId="376A35E2" w:rsidR="004611F3" w:rsidRPr="002F651B" w:rsidRDefault="00AB0DB3" w:rsidP="002F651B">
      <w:pPr>
        <w:tabs>
          <w:tab w:val="left" w:pos="851"/>
        </w:tabs>
        <w:jc w:val="both"/>
        <w:rPr>
          <w:rFonts w:ascii="Gadugi" w:eastAsia="Calibri" w:hAnsi="Gadugi" w:cs="Times New Roman"/>
          <w:sz w:val="24"/>
          <w:szCs w:val="24"/>
        </w:rPr>
      </w:pPr>
      <w:r w:rsidRPr="002F651B">
        <w:rPr>
          <w:rFonts w:ascii="Gadugi" w:eastAsia="Calibri" w:hAnsi="Gadugi" w:cs="Times New Roman"/>
          <w:sz w:val="24"/>
          <w:szCs w:val="24"/>
        </w:rPr>
        <w:t xml:space="preserve">Sin costas en </w:t>
      </w:r>
      <w:r w:rsidR="004611F3" w:rsidRPr="002F651B">
        <w:rPr>
          <w:rFonts w:ascii="Gadugi" w:eastAsia="Calibri" w:hAnsi="Gadugi" w:cs="Times New Roman"/>
          <w:sz w:val="24"/>
          <w:szCs w:val="24"/>
        </w:rPr>
        <w:t>esta sede</w:t>
      </w:r>
      <w:r w:rsidRPr="002F651B">
        <w:rPr>
          <w:rFonts w:ascii="Gadugi" w:eastAsia="Calibri" w:hAnsi="Gadugi" w:cs="Times New Roman"/>
          <w:sz w:val="24"/>
          <w:szCs w:val="24"/>
        </w:rPr>
        <w:t>.</w:t>
      </w:r>
      <w:r w:rsidR="004611F3" w:rsidRPr="002F651B">
        <w:rPr>
          <w:rFonts w:ascii="Gadugi" w:eastAsia="Calibri" w:hAnsi="Gadugi" w:cs="Times New Roman"/>
          <w:sz w:val="24"/>
          <w:szCs w:val="24"/>
        </w:rPr>
        <w:t xml:space="preserve"> </w:t>
      </w:r>
    </w:p>
    <w:p w14:paraId="7FED61AA" w14:textId="77777777" w:rsidR="002F651B" w:rsidRPr="000C472B" w:rsidRDefault="002F651B" w:rsidP="002F651B">
      <w:pPr>
        <w:jc w:val="both"/>
        <w:rPr>
          <w:rFonts w:ascii="Gadugi" w:eastAsia="Georgia" w:hAnsi="Gadugi" w:cs="Georgia"/>
          <w:bCs/>
          <w:sz w:val="24"/>
          <w:szCs w:val="24"/>
          <w:lang w:val="es-CO"/>
        </w:rPr>
      </w:pPr>
    </w:p>
    <w:p w14:paraId="50C8B4DD" w14:textId="77777777" w:rsidR="002F651B" w:rsidRPr="000C472B" w:rsidRDefault="002F651B" w:rsidP="002F651B">
      <w:pPr>
        <w:jc w:val="both"/>
        <w:rPr>
          <w:rFonts w:ascii="Gadugi" w:eastAsia="Georgia" w:hAnsi="Gadugi" w:cs="Georgia"/>
          <w:bCs/>
          <w:sz w:val="24"/>
          <w:szCs w:val="24"/>
          <w:lang w:val="es-CO"/>
        </w:rPr>
      </w:pPr>
      <w:r w:rsidRPr="000C472B">
        <w:rPr>
          <w:rFonts w:ascii="Gadugi" w:eastAsia="Georgia" w:hAnsi="Gadugi" w:cs="Georgia"/>
          <w:bCs/>
          <w:sz w:val="24"/>
          <w:szCs w:val="24"/>
          <w:lang w:val="es-CO"/>
        </w:rPr>
        <w:t>Notifíquese,</w:t>
      </w:r>
    </w:p>
    <w:p w14:paraId="3ECF50BC" w14:textId="77777777" w:rsidR="002F651B" w:rsidRPr="000C472B" w:rsidRDefault="002F651B" w:rsidP="002F651B">
      <w:pPr>
        <w:tabs>
          <w:tab w:val="left" w:pos="1701"/>
          <w:tab w:val="left" w:pos="2127"/>
          <w:tab w:val="left" w:pos="2977"/>
        </w:tabs>
        <w:jc w:val="both"/>
        <w:rPr>
          <w:rFonts w:ascii="Gadugi" w:eastAsia="Malgun Gothic" w:hAnsi="Gadugi" w:cs="Estrangelo Edessa"/>
          <w:sz w:val="24"/>
          <w:szCs w:val="24"/>
          <w:lang w:val="es-CO" w:eastAsia="en-US"/>
        </w:rPr>
      </w:pPr>
    </w:p>
    <w:p w14:paraId="32591CF5" w14:textId="77777777" w:rsidR="002F651B" w:rsidRPr="000C472B" w:rsidRDefault="002F651B" w:rsidP="002F651B">
      <w:pPr>
        <w:tabs>
          <w:tab w:val="left" w:pos="1701"/>
          <w:tab w:val="left" w:pos="2127"/>
          <w:tab w:val="left" w:pos="2977"/>
        </w:tabs>
        <w:jc w:val="both"/>
        <w:rPr>
          <w:rFonts w:ascii="Gadugi" w:eastAsia="Malgun Gothic" w:hAnsi="Gadugi" w:cs="Estrangelo Edessa"/>
          <w:sz w:val="24"/>
          <w:szCs w:val="24"/>
          <w:lang w:val="es-CO" w:eastAsia="en-US"/>
        </w:rPr>
      </w:pPr>
      <w:r w:rsidRPr="000C472B">
        <w:rPr>
          <w:rFonts w:ascii="Gadugi" w:eastAsia="Malgun Gothic" w:hAnsi="Gadugi" w:cs="Estrangelo Edessa"/>
          <w:sz w:val="24"/>
          <w:szCs w:val="24"/>
          <w:lang w:val="es-CO" w:eastAsia="en-US"/>
        </w:rPr>
        <w:tab/>
        <w:t xml:space="preserve">Los Magistrados, </w:t>
      </w:r>
    </w:p>
    <w:p w14:paraId="1FB8A29F" w14:textId="77777777" w:rsidR="002F651B" w:rsidRPr="000C472B" w:rsidRDefault="002F651B" w:rsidP="002F651B">
      <w:pPr>
        <w:tabs>
          <w:tab w:val="left" w:pos="1701"/>
          <w:tab w:val="left" w:pos="2127"/>
          <w:tab w:val="left" w:pos="2977"/>
        </w:tabs>
        <w:jc w:val="both"/>
        <w:rPr>
          <w:rFonts w:ascii="Gadugi" w:eastAsia="Malgun Gothic" w:hAnsi="Gadugi" w:cs="Estrangelo Edessa"/>
          <w:sz w:val="24"/>
          <w:szCs w:val="24"/>
          <w:lang w:val="es-CO" w:eastAsia="en-US"/>
        </w:rPr>
      </w:pPr>
    </w:p>
    <w:p w14:paraId="09436969" w14:textId="77777777" w:rsidR="002F651B" w:rsidRPr="000C472B" w:rsidRDefault="002F651B" w:rsidP="002F651B">
      <w:pPr>
        <w:tabs>
          <w:tab w:val="left" w:pos="1701"/>
          <w:tab w:val="left" w:pos="2127"/>
          <w:tab w:val="left" w:pos="2977"/>
        </w:tabs>
        <w:jc w:val="both"/>
        <w:rPr>
          <w:rFonts w:ascii="Gadugi" w:eastAsia="Malgun Gothic" w:hAnsi="Gadugi" w:cs="Estrangelo Edessa"/>
          <w:sz w:val="24"/>
          <w:szCs w:val="24"/>
          <w:lang w:val="es-CO" w:eastAsia="en-US"/>
        </w:rPr>
      </w:pPr>
    </w:p>
    <w:p w14:paraId="7A2F84BB" w14:textId="77777777" w:rsidR="002F651B" w:rsidRPr="000C472B" w:rsidRDefault="002F651B" w:rsidP="002F651B">
      <w:pPr>
        <w:tabs>
          <w:tab w:val="left" w:pos="1701"/>
          <w:tab w:val="left" w:pos="2127"/>
          <w:tab w:val="left" w:pos="2977"/>
        </w:tabs>
        <w:jc w:val="both"/>
        <w:rPr>
          <w:rFonts w:ascii="Gadugi" w:eastAsia="Malgun Gothic" w:hAnsi="Gadugi" w:cs="Estrangelo Edessa"/>
          <w:sz w:val="24"/>
          <w:szCs w:val="24"/>
          <w:lang w:val="es-CO" w:eastAsia="en-US"/>
        </w:rPr>
      </w:pPr>
    </w:p>
    <w:p w14:paraId="0C0404DB" w14:textId="77777777" w:rsidR="002F651B" w:rsidRPr="000C472B" w:rsidRDefault="002F651B" w:rsidP="002F651B">
      <w:pPr>
        <w:ind w:left="993" w:firstLine="708"/>
        <w:jc w:val="both"/>
        <w:rPr>
          <w:rFonts w:ascii="Gadugi" w:eastAsia="Malgun Gothic" w:hAnsi="Gadugi" w:cs="Estrangelo Edessa"/>
          <w:b/>
          <w:bCs/>
          <w:sz w:val="24"/>
          <w:szCs w:val="24"/>
          <w:lang w:val="es-CO" w:eastAsia="en-US"/>
        </w:rPr>
      </w:pPr>
      <w:r w:rsidRPr="000C472B">
        <w:rPr>
          <w:rFonts w:ascii="Gadugi" w:eastAsia="Malgun Gothic" w:hAnsi="Gadugi" w:cs="Estrangelo Edessa"/>
          <w:b/>
          <w:bCs/>
          <w:sz w:val="24"/>
          <w:szCs w:val="24"/>
          <w:lang w:val="es-CO" w:eastAsia="en-US"/>
        </w:rPr>
        <w:t>JAIME ALBERTO SARAZA NARANJO</w:t>
      </w:r>
    </w:p>
    <w:p w14:paraId="113AF00C" w14:textId="77777777" w:rsidR="002F651B" w:rsidRPr="000C472B" w:rsidRDefault="002F651B" w:rsidP="002F651B">
      <w:pPr>
        <w:tabs>
          <w:tab w:val="left" w:pos="1701"/>
          <w:tab w:val="left" w:pos="2127"/>
          <w:tab w:val="left" w:pos="2977"/>
        </w:tabs>
        <w:jc w:val="both"/>
        <w:rPr>
          <w:rFonts w:ascii="Gadugi" w:eastAsia="Malgun Gothic" w:hAnsi="Gadugi" w:cs="Estrangelo Edessa"/>
          <w:sz w:val="24"/>
          <w:szCs w:val="24"/>
          <w:lang w:val="es-CO" w:eastAsia="en-US"/>
        </w:rPr>
      </w:pPr>
    </w:p>
    <w:p w14:paraId="1D17AF77" w14:textId="77777777" w:rsidR="002F651B" w:rsidRPr="000C472B" w:rsidRDefault="002F651B" w:rsidP="002F651B">
      <w:pPr>
        <w:tabs>
          <w:tab w:val="left" w:pos="1701"/>
          <w:tab w:val="left" w:pos="2127"/>
          <w:tab w:val="left" w:pos="2977"/>
        </w:tabs>
        <w:jc w:val="both"/>
        <w:rPr>
          <w:rFonts w:ascii="Gadugi" w:eastAsia="Malgun Gothic" w:hAnsi="Gadugi" w:cs="Estrangelo Edessa"/>
          <w:sz w:val="24"/>
          <w:szCs w:val="24"/>
          <w:lang w:val="es-CO" w:eastAsia="en-US"/>
        </w:rPr>
      </w:pPr>
    </w:p>
    <w:p w14:paraId="30B31710" w14:textId="77777777" w:rsidR="002F651B" w:rsidRPr="000C472B" w:rsidRDefault="002F651B" w:rsidP="002F651B">
      <w:pPr>
        <w:tabs>
          <w:tab w:val="left" w:pos="1701"/>
          <w:tab w:val="left" w:pos="2127"/>
          <w:tab w:val="left" w:pos="2977"/>
        </w:tabs>
        <w:jc w:val="both"/>
        <w:rPr>
          <w:rFonts w:ascii="Gadugi" w:eastAsia="Malgun Gothic" w:hAnsi="Gadugi" w:cs="Estrangelo Edessa"/>
          <w:sz w:val="24"/>
          <w:szCs w:val="24"/>
          <w:lang w:val="es-CO" w:eastAsia="en-US"/>
        </w:rPr>
      </w:pPr>
    </w:p>
    <w:p w14:paraId="61888871" w14:textId="77777777" w:rsidR="002F651B" w:rsidRPr="000C472B" w:rsidRDefault="002F651B" w:rsidP="002F651B">
      <w:pPr>
        <w:ind w:left="993" w:firstLine="708"/>
        <w:jc w:val="both"/>
        <w:rPr>
          <w:rFonts w:ascii="Gadugi" w:eastAsia="Malgun Gothic" w:hAnsi="Gadugi" w:cs="Estrangelo Edessa"/>
          <w:b/>
          <w:bCs/>
          <w:sz w:val="24"/>
          <w:szCs w:val="24"/>
          <w:lang w:val="es-CO" w:eastAsia="en-US"/>
        </w:rPr>
      </w:pPr>
      <w:r w:rsidRPr="000C472B">
        <w:rPr>
          <w:rFonts w:ascii="Gadugi" w:eastAsia="Malgun Gothic" w:hAnsi="Gadugi" w:cs="Estrangelo Edessa"/>
          <w:b/>
          <w:bCs/>
          <w:sz w:val="24"/>
          <w:szCs w:val="24"/>
          <w:lang w:val="es-CO" w:eastAsia="en-US"/>
        </w:rPr>
        <w:t>CARLOS MAURICIO GARCÍA BARAJAS</w:t>
      </w:r>
    </w:p>
    <w:p w14:paraId="4DE749C4" w14:textId="77777777" w:rsidR="002F651B" w:rsidRPr="000C472B" w:rsidRDefault="002F651B" w:rsidP="002F651B">
      <w:pPr>
        <w:tabs>
          <w:tab w:val="left" w:pos="1701"/>
          <w:tab w:val="left" w:pos="2127"/>
          <w:tab w:val="left" w:pos="2977"/>
        </w:tabs>
        <w:jc w:val="both"/>
        <w:rPr>
          <w:rFonts w:ascii="Gadugi" w:eastAsia="Malgun Gothic" w:hAnsi="Gadugi" w:cs="Estrangelo Edessa"/>
          <w:sz w:val="24"/>
          <w:szCs w:val="24"/>
          <w:lang w:val="es-CO" w:eastAsia="en-US"/>
        </w:rPr>
      </w:pPr>
    </w:p>
    <w:p w14:paraId="3D05C190" w14:textId="77777777" w:rsidR="002F651B" w:rsidRPr="000C472B" w:rsidRDefault="002F651B" w:rsidP="002F651B">
      <w:pPr>
        <w:tabs>
          <w:tab w:val="left" w:pos="1701"/>
          <w:tab w:val="left" w:pos="2127"/>
          <w:tab w:val="left" w:pos="2977"/>
        </w:tabs>
        <w:jc w:val="both"/>
        <w:rPr>
          <w:rFonts w:ascii="Gadugi" w:eastAsia="Malgun Gothic" w:hAnsi="Gadugi" w:cs="Estrangelo Edessa"/>
          <w:sz w:val="24"/>
          <w:szCs w:val="24"/>
          <w:lang w:val="es-CO" w:eastAsia="en-US"/>
        </w:rPr>
      </w:pPr>
    </w:p>
    <w:p w14:paraId="20DF9798" w14:textId="77777777" w:rsidR="002F651B" w:rsidRPr="000C472B" w:rsidRDefault="002F651B" w:rsidP="002F651B">
      <w:pPr>
        <w:tabs>
          <w:tab w:val="left" w:pos="1701"/>
          <w:tab w:val="left" w:pos="2127"/>
          <w:tab w:val="left" w:pos="2977"/>
        </w:tabs>
        <w:jc w:val="both"/>
        <w:rPr>
          <w:rFonts w:ascii="Gadugi" w:eastAsia="Malgun Gothic" w:hAnsi="Gadugi" w:cs="Estrangelo Edessa"/>
          <w:sz w:val="24"/>
          <w:szCs w:val="24"/>
          <w:lang w:val="es-CO" w:eastAsia="en-US"/>
        </w:rPr>
      </w:pPr>
    </w:p>
    <w:p w14:paraId="3CC7535F" w14:textId="77777777" w:rsidR="002F651B" w:rsidRPr="000C472B" w:rsidRDefault="002F651B" w:rsidP="002F651B">
      <w:pPr>
        <w:ind w:left="993" w:firstLine="708"/>
        <w:jc w:val="both"/>
        <w:rPr>
          <w:rFonts w:ascii="Gadugi" w:eastAsia="Malgun Gothic" w:hAnsi="Gadugi" w:cs="Estrangelo Edessa"/>
          <w:bCs/>
          <w:sz w:val="24"/>
          <w:szCs w:val="24"/>
          <w:lang w:val="es-CO" w:eastAsia="en-US"/>
        </w:rPr>
      </w:pPr>
      <w:proofErr w:type="spellStart"/>
      <w:r w:rsidRPr="000C472B">
        <w:rPr>
          <w:rFonts w:ascii="Gadugi" w:eastAsia="Malgun Gothic" w:hAnsi="Gadugi" w:cs="Estrangelo Edessa"/>
          <w:b/>
          <w:bCs/>
          <w:sz w:val="24"/>
          <w:szCs w:val="24"/>
          <w:lang w:val="es-CO" w:eastAsia="en-US"/>
        </w:rPr>
        <w:t>DUBERNEY</w:t>
      </w:r>
      <w:proofErr w:type="spellEnd"/>
      <w:r w:rsidRPr="000C472B">
        <w:rPr>
          <w:rFonts w:ascii="Gadugi" w:eastAsia="Malgun Gothic" w:hAnsi="Gadugi" w:cs="Estrangelo Edessa"/>
          <w:b/>
          <w:bCs/>
          <w:sz w:val="24"/>
          <w:szCs w:val="24"/>
          <w:lang w:val="es-CO" w:eastAsia="en-US"/>
        </w:rPr>
        <w:t xml:space="preserve"> GRISALES HERRERA</w:t>
      </w:r>
    </w:p>
    <w:p w14:paraId="5B13F7C1" w14:textId="24FE1460" w:rsidR="00CB445D" w:rsidRPr="002F651B" w:rsidRDefault="0030242E" w:rsidP="002F651B">
      <w:pPr>
        <w:ind w:left="981" w:firstLine="720"/>
        <w:jc w:val="both"/>
        <w:rPr>
          <w:rFonts w:ascii="Gadugi" w:eastAsia="Malgun Gothic" w:hAnsi="Gadugi" w:cs="Estrangelo Edessa"/>
          <w:b/>
          <w:bCs/>
          <w:sz w:val="24"/>
          <w:szCs w:val="24"/>
        </w:rPr>
      </w:pPr>
      <w:r w:rsidRPr="002F651B">
        <w:rPr>
          <w:rFonts w:ascii="Gadugi" w:eastAsia="Malgun Gothic" w:hAnsi="Gadugi" w:cs="Estrangelo Edessa"/>
          <w:sz w:val="24"/>
          <w:szCs w:val="24"/>
        </w:rPr>
        <w:t>Con salvamento de voto</w:t>
      </w:r>
      <w:bookmarkStart w:id="4" w:name="_GoBack"/>
      <w:bookmarkEnd w:id="4"/>
    </w:p>
    <w:sectPr w:rsidR="00CB445D" w:rsidRPr="002F651B" w:rsidSect="00C061B6">
      <w:footerReference w:type="default" r:id="rId13"/>
      <w:pgSz w:w="12242" w:h="18722" w:code="258"/>
      <w:pgMar w:top="1814" w:right="1247" w:bottom="1247" w:left="1814" w:header="567" w:footer="567" w:gutter="0"/>
      <w:pgNumType w:start="1"/>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9C6B1D" w16cex:dateUtc="2023-09-19T18:30:00Z"/>
  <w16cex:commentExtensible w16cex:durableId="28B7F32E" w16cex:dateUtc="2023-09-22T16:04:00Z"/>
  <w16cex:commentExtensible w16cex:durableId="0E80191A" w16cex:dateUtc="2023-09-29T21:43:00Z"/>
  <w16cex:commentExtensible w16cex:durableId="74B05B3A" w16cex:dateUtc="2023-09-30T13:57:00Z"/>
  <w16cex:commentExtensible w16cex:durableId="0E18F785" w16cex:dateUtc="2023-09-29T21:46:00Z"/>
  <w16cex:commentExtensible w16cex:durableId="2F97C39F" w16cex:dateUtc="2023-09-30T13:59:00Z"/>
  <w16cex:commentExtensible w16cex:durableId="0FEE7EB7" w16cex:dateUtc="2023-09-30T15:22:24.045Z"/>
  <w16cex:commentExtensible w16cex:durableId="3A2121C6" w16cex:dateUtc="2023-10-02T20:23:28.28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C410E" w14:textId="77777777" w:rsidR="00D4096F" w:rsidRDefault="00D4096F">
      <w:pPr>
        <w:spacing w:line="240" w:lineRule="auto"/>
      </w:pPr>
      <w:r>
        <w:separator/>
      </w:r>
    </w:p>
  </w:endnote>
  <w:endnote w:type="continuationSeparator" w:id="0">
    <w:p w14:paraId="2C70170E" w14:textId="77777777" w:rsidR="00D4096F" w:rsidRDefault="00D4096F">
      <w:pPr>
        <w:spacing w:line="240" w:lineRule="auto"/>
      </w:pPr>
      <w:r>
        <w:continuationSeparator/>
      </w:r>
    </w:p>
  </w:endnote>
  <w:endnote w:type="continuationNotice" w:id="1">
    <w:p w14:paraId="71571F01" w14:textId="77777777" w:rsidR="00D4096F" w:rsidRDefault="00D409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auto"/>
    <w:pitch w:val="variable"/>
    <w:sig w:usb0="F7FFAFFF" w:usb1="E9DFFFFF" w:usb2="0000003F" w:usb3="00000000" w:csb0="003F01FF" w:csb1="00000000"/>
  </w:font>
  <w:font w:name="Estrangelo Edessa">
    <w:panose1 w:val="00000000000000000000"/>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221361"/>
      <w:docPartObj>
        <w:docPartGallery w:val="Page Numbers (Bottom of Page)"/>
        <w:docPartUnique/>
      </w:docPartObj>
    </w:sdtPr>
    <w:sdtEndPr>
      <w:rPr>
        <w:sz w:val="18"/>
      </w:rPr>
    </w:sdtEndPr>
    <w:sdtContent>
      <w:p w14:paraId="3A53C9B3" w14:textId="69668000" w:rsidR="005D64D7" w:rsidRPr="002F651B" w:rsidRDefault="005D64D7">
        <w:pPr>
          <w:pStyle w:val="Piedepgina"/>
          <w:jc w:val="right"/>
          <w:rPr>
            <w:sz w:val="18"/>
          </w:rPr>
        </w:pPr>
        <w:r w:rsidRPr="002F651B">
          <w:rPr>
            <w:sz w:val="18"/>
          </w:rPr>
          <w:fldChar w:fldCharType="begin"/>
        </w:r>
        <w:r w:rsidRPr="002F651B">
          <w:rPr>
            <w:sz w:val="18"/>
          </w:rPr>
          <w:instrText>PAGE   \* MERGEFORMAT</w:instrText>
        </w:r>
        <w:r w:rsidRPr="002F651B">
          <w:rPr>
            <w:sz w:val="18"/>
          </w:rPr>
          <w:fldChar w:fldCharType="separate"/>
        </w:r>
        <w:r w:rsidR="00C061B6" w:rsidRPr="00C061B6">
          <w:rPr>
            <w:noProof/>
            <w:sz w:val="18"/>
            <w:lang w:val="es-ES"/>
          </w:rPr>
          <w:t>28</w:t>
        </w:r>
        <w:r w:rsidRPr="002F651B">
          <w:rPr>
            <w:sz w:val="18"/>
          </w:rPr>
          <w:fldChar w:fldCharType="end"/>
        </w:r>
      </w:p>
    </w:sdtContent>
  </w:sdt>
  <w:p w14:paraId="2BEDEE45" w14:textId="77777777" w:rsidR="005D64D7" w:rsidRDefault="005D64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82618" w14:textId="77777777" w:rsidR="00D4096F" w:rsidRDefault="00D4096F">
      <w:pPr>
        <w:spacing w:line="240" w:lineRule="auto"/>
      </w:pPr>
      <w:r>
        <w:separator/>
      </w:r>
    </w:p>
  </w:footnote>
  <w:footnote w:type="continuationSeparator" w:id="0">
    <w:p w14:paraId="6E58447A" w14:textId="77777777" w:rsidR="00D4096F" w:rsidRDefault="00D4096F">
      <w:pPr>
        <w:spacing w:line="240" w:lineRule="auto"/>
      </w:pPr>
      <w:r>
        <w:continuationSeparator/>
      </w:r>
    </w:p>
  </w:footnote>
  <w:footnote w:type="continuationNotice" w:id="1">
    <w:p w14:paraId="2167EC9B" w14:textId="77777777" w:rsidR="00D4096F" w:rsidRDefault="00D4096F">
      <w:pPr>
        <w:spacing w:line="240" w:lineRule="auto"/>
      </w:pPr>
    </w:p>
  </w:footnote>
  <w:footnote w:id="2">
    <w:p w14:paraId="12FCC122" w14:textId="745F3308" w:rsidR="005D64D7" w:rsidRPr="00235715" w:rsidRDefault="005D64D7" w:rsidP="00235715">
      <w:pPr>
        <w:pBdr>
          <w:top w:val="nil"/>
          <w:left w:val="nil"/>
          <w:bottom w:val="nil"/>
          <w:right w:val="nil"/>
          <w:between w:val="nil"/>
        </w:pBdr>
        <w:spacing w:line="240" w:lineRule="auto"/>
        <w:jc w:val="both"/>
        <w:rPr>
          <w:rFonts w:eastAsia="Georgia"/>
          <w:color w:val="000000"/>
          <w:sz w:val="18"/>
          <w:szCs w:val="18"/>
        </w:rPr>
      </w:pPr>
      <w:r w:rsidRPr="00235715">
        <w:rPr>
          <w:sz w:val="18"/>
          <w:szCs w:val="18"/>
          <w:vertAlign w:val="superscript"/>
        </w:rPr>
        <w:footnoteRef/>
      </w:r>
      <w:r w:rsidRPr="00235715">
        <w:rPr>
          <w:rFonts w:eastAsia="Georgia"/>
          <w:color w:val="000000"/>
          <w:sz w:val="18"/>
          <w:szCs w:val="18"/>
        </w:rPr>
        <w:t xml:space="preserve"> </w:t>
      </w:r>
      <w:proofErr w:type="spellStart"/>
      <w:r w:rsidRPr="00235715">
        <w:rPr>
          <w:rFonts w:eastAsia="Georgia"/>
          <w:color w:val="000000"/>
          <w:sz w:val="18"/>
          <w:szCs w:val="18"/>
        </w:rPr>
        <w:t>01</w:t>
      </w:r>
      <w:r w:rsidRPr="00235715">
        <w:rPr>
          <w:rFonts w:eastAsia="Georgia"/>
          <w:sz w:val="18"/>
          <w:szCs w:val="18"/>
        </w:rPr>
        <w:t>PrimeraInstancia</w:t>
      </w:r>
      <w:proofErr w:type="spellEnd"/>
      <w:r w:rsidRPr="00235715">
        <w:rPr>
          <w:rFonts w:eastAsia="Georgia"/>
          <w:sz w:val="18"/>
          <w:szCs w:val="18"/>
        </w:rPr>
        <w:t xml:space="preserve">, </w:t>
      </w:r>
      <w:proofErr w:type="spellStart"/>
      <w:r w:rsidRPr="00235715">
        <w:rPr>
          <w:rFonts w:eastAsia="Georgia"/>
          <w:sz w:val="18"/>
          <w:szCs w:val="18"/>
        </w:rPr>
        <w:t>C01Principal</w:t>
      </w:r>
      <w:proofErr w:type="spellEnd"/>
      <w:r w:rsidRPr="00235715">
        <w:rPr>
          <w:rFonts w:eastAsia="Georgia"/>
          <w:sz w:val="18"/>
          <w:szCs w:val="18"/>
        </w:rPr>
        <w:t xml:space="preserve">, </w:t>
      </w:r>
      <w:proofErr w:type="spellStart"/>
      <w:r w:rsidRPr="00235715">
        <w:rPr>
          <w:rFonts w:eastAsia="Georgia"/>
          <w:sz w:val="18"/>
          <w:szCs w:val="18"/>
        </w:rPr>
        <w:t>001CuadernoPrincipalParte1</w:t>
      </w:r>
      <w:proofErr w:type="spellEnd"/>
      <w:r w:rsidRPr="00235715">
        <w:rPr>
          <w:rFonts w:eastAsia="Georgia"/>
          <w:sz w:val="18"/>
          <w:szCs w:val="18"/>
        </w:rPr>
        <w:t>, p. 24</w:t>
      </w:r>
      <w:r w:rsidRPr="00235715">
        <w:rPr>
          <w:rFonts w:eastAsia="Georgia"/>
          <w:color w:val="000000"/>
          <w:sz w:val="18"/>
          <w:szCs w:val="18"/>
        </w:rPr>
        <w:t xml:space="preserve"> a 33</w:t>
      </w:r>
      <w:r w:rsidRPr="00235715">
        <w:rPr>
          <w:rFonts w:eastAsia="Georgia"/>
          <w:sz w:val="18"/>
          <w:szCs w:val="18"/>
        </w:rPr>
        <w:t xml:space="preserve">. </w:t>
      </w:r>
    </w:p>
  </w:footnote>
  <w:footnote w:id="3">
    <w:p w14:paraId="4C3C06BB" w14:textId="7F8E4CA0" w:rsidR="005D64D7" w:rsidRPr="00235715" w:rsidRDefault="005D64D7" w:rsidP="00235715">
      <w:pPr>
        <w:pBdr>
          <w:top w:val="nil"/>
          <w:left w:val="nil"/>
          <w:bottom w:val="nil"/>
          <w:right w:val="nil"/>
          <w:between w:val="nil"/>
        </w:pBdr>
        <w:spacing w:line="240" w:lineRule="auto"/>
        <w:jc w:val="both"/>
        <w:rPr>
          <w:color w:val="000000"/>
          <w:sz w:val="18"/>
          <w:szCs w:val="18"/>
        </w:rPr>
      </w:pPr>
      <w:r w:rsidRPr="00235715">
        <w:rPr>
          <w:sz w:val="18"/>
          <w:szCs w:val="18"/>
          <w:vertAlign w:val="superscript"/>
        </w:rPr>
        <w:footnoteRef/>
      </w:r>
      <w:r w:rsidRPr="00235715">
        <w:rPr>
          <w:rFonts w:eastAsia="Georgia"/>
          <w:color w:val="000000"/>
          <w:sz w:val="18"/>
          <w:szCs w:val="18"/>
        </w:rPr>
        <w:t xml:space="preserve"> </w:t>
      </w:r>
      <w:r w:rsidRPr="00235715">
        <w:rPr>
          <w:rFonts w:eastAsia="Georgia"/>
          <w:sz w:val="18"/>
          <w:szCs w:val="18"/>
        </w:rPr>
        <w:t>Ib., p. 45 a 49.</w:t>
      </w:r>
    </w:p>
  </w:footnote>
  <w:footnote w:id="4">
    <w:p w14:paraId="44889B6A" w14:textId="19841823" w:rsidR="005D64D7" w:rsidRPr="00235715" w:rsidRDefault="005D64D7" w:rsidP="00235715">
      <w:pPr>
        <w:pStyle w:val="Textonotapie"/>
        <w:jc w:val="both"/>
        <w:rPr>
          <w:sz w:val="18"/>
          <w:szCs w:val="18"/>
          <w:lang w:val="es-MX"/>
        </w:rPr>
      </w:pPr>
      <w:r w:rsidRPr="00235715">
        <w:rPr>
          <w:rStyle w:val="Refdenotaalpie"/>
          <w:sz w:val="18"/>
          <w:szCs w:val="18"/>
        </w:rPr>
        <w:footnoteRef/>
      </w:r>
      <w:r w:rsidRPr="00235715">
        <w:rPr>
          <w:sz w:val="18"/>
          <w:szCs w:val="18"/>
        </w:rPr>
        <w:t xml:space="preserve"> </w:t>
      </w:r>
      <w:r w:rsidRPr="00235715">
        <w:rPr>
          <w:sz w:val="18"/>
          <w:szCs w:val="18"/>
          <w:lang w:val="es-MX"/>
        </w:rPr>
        <w:t>Ib., p. 101</w:t>
      </w:r>
    </w:p>
  </w:footnote>
  <w:footnote w:id="5">
    <w:p w14:paraId="61A14E3E" w14:textId="4C183908" w:rsidR="005D64D7" w:rsidRPr="00235715" w:rsidRDefault="005D64D7" w:rsidP="00235715">
      <w:pPr>
        <w:pStyle w:val="Textonotapie"/>
        <w:jc w:val="both"/>
        <w:rPr>
          <w:sz w:val="18"/>
          <w:szCs w:val="18"/>
          <w:lang w:val="es-CO"/>
        </w:rPr>
      </w:pPr>
      <w:r w:rsidRPr="00235715">
        <w:rPr>
          <w:rStyle w:val="Refdenotaalpie"/>
          <w:sz w:val="18"/>
          <w:szCs w:val="18"/>
        </w:rPr>
        <w:footnoteRef/>
      </w:r>
      <w:r w:rsidRPr="00235715">
        <w:rPr>
          <w:sz w:val="18"/>
          <w:szCs w:val="18"/>
        </w:rPr>
        <w:t xml:space="preserve"> </w:t>
      </w:r>
      <w:r w:rsidRPr="00235715">
        <w:rPr>
          <w:sz w:val="18"/>
          <w:szCs w:val="18"/>
          <w:lang w:val="es-CO"/>
        </w:rPr>
        <w:t xml:space="preserve">Ib., p. 120 </w:t>
      </w:r>
    </w:p>
  </w:footnote>
  <w:footnote w:id="6">
    <w:p w14:paraId="044398DD" w14:textId="6540633C" w:rsidR="005D64D7" w:rsidRPr="00235715" w:rsidRDefault="005D64D7" w:rsidP="00235715">
      <w:pPr>
        <w:pStyle w:val="Textonotapie"/>
        <w:jc w:val="both"/>
        <w:rPr>
          <w:sz w:val="18"/>
          <w:szCs w:val="18"/>
          <w:lang w:val="es-CO"/>
        </w:rPr>
      </w:pPr>
      <w:r w:rsidRPr="00235715">
        <w:rPr>
          <w:rStyle w:val="Refdenotaalpie"/>
          <w:sz w:val="18"/>
          <w:szCs w:val="18"/>
        </w:rPr>
        <w:footnoteRef/>
      </w:r>
      <w:r w:rsidRPr="00235715">
        <w:rPr>
          <w:sz w:val="18"/>
          <w:szCs w:val="18"/>
        </w:rPr>
        <w:t xml:space="preserve"> Ib., p. </w:t>
      </w:r>
      <w:r w:rsidRPr="00235715">
        <w:rPr>
          <w:sz w:val="18"/>
          <w:szCs w:val="18"/>
          <w:lang w:val="es-CO"/>
        </w:rPr>
        <w:t xml:space="preserve">145 </w:t>
      </w:r>
    </w:p>
  </w:footnote>
  <w:footnote w:id="7">
    <w:p w14:paraId="304BFED3" w14:textId="01B97F20" w:rsidR="005D64D7" w:rsidRPr="00235715" w:rsidRDefault="005D64D7" w:rsidP="00235715">
      <w:pPr>
        <w:pStyle w:val="Textonotapie"/>
        <w:jc w:val="both"/>
        <w:rPr>
          <w:sz w:val="18"/>
          <w:szCs w:val="18"/>
          <w:lang w:val="es-CO"/>
        </w:rPr>
      </w:pPr>
      <w:r w:rsidRPr="00235715">
        <w:rPr>
          <w:rStyle w:val="Refdenotaalpie"/>
          <w:sz w:val="18"/>
          <w:szCs w:val="18"/>
        </w:rPr>
        <w:footnoteRef/>
      </w:r>
      <w:r w:rsidRPr="00235715">
        <w:rPr>
          <w:sz w:val="18"/>
          <w:szCs w:val="18"/>
        </w:rPr>
        <w:t xml:space="preserve"> </w:t>
      </w:r>
      <w:proofErr w:type="spellStart"/>
      <w:r w:rsidRPr="00235715">
        <w:rPr>
          <w:rFonts w:eastAsia="Georgia"/>
          <w:color w:val="000000"/>
          <w:sz w:val="18"/>
          <w:szCs w:val="18"/>
        </w:rPr>
        <w:t>01</w:t>
      </w:r>
      <w:r w:rsidRPr="00235715">
        <w:rPr>
          <w:rFonts w:eastAsia="Georgia"/>
          <w:sz w:val="18"/>
          <w:szCs w:val="18"/>
        </w:rPr>
        <w:t>PrimeraInstancia</w:t>
      </w:r>
      <w:proofErr w:type="spellEnd"/>
      <w:r w:rsidRPr="00235715">
        <w:rPr>
          <w:rFonts w:eastAsia="Georgia"/>
          <w:sz w:val="18"/>
          <w:szCs w:val="18"/>
        </w:rPr>
        <w:t xml:space="preserve">, </w:t>
      </w:r>
      <w:proofErr w:type="spellStart"/>
      <w:r w:rsidRPr="00235715">
        <w:rPr>
          <w:rFonts w:eastAsia="Georgia"/>
          <w:sz w:val="18"/>
          <w:szCs w:val="18"/>
        </w:rPr>
        <w:t>C01Principal</w:t>
      </w:r>
      <w:proofErr w:type="spellEnd"/>
      <w:r w:rsidRPr="00235715">
        <w:rPr>
          <w:rFonts w:eastAsia="Georgia"/>
          <w:sz w:val="18"/>
          <w:szCs w:val="18"/>
        </w:rPr>
        <w:t xml:space="preserve">, </w:t>
      </w:r>
      <w:proofErr w:type="spellStart"/>
      <w:r w:rsidRPr="00235715">
        <w:rPr>
          <w:rFonts w:eastAsia="Georgia"/>
          <w:sz w:val="18"/>
          <w:szCs w:val="18"/>
        </w:rPr>
        <w:t>002CuadernoPrincipalParte2</w:t>
      </w:r>
      <w:proofErr w:type="spellEnd"/>
      <w:r w:rsidRPr="00235715">
        <w:rPr>
          <w:rFonts w:eastAsia="Georgia"/>
          <w:sz w:val="18"/>
          <w:szCs w:val="18"/>
        </w:rPr>
        <w:t>, p.</w:t>
      </w:r>
      <w:r w:rsidRPr="00235715">
        <w:rPr>
          <w:sz w:val="18"/>
          <w:szCs w:val="18"/>
          <w:lang w:val="es-CO"/>
        </w:rPr>
        <w:t xml:space="preserve"> 85</w:t>
      </w:r>
      <w:r w:rsidRPr="00235715">
        <w:rPr>
          <w:sz w:val="18"/>
          <w:szCs w:val="18"/>
        </w:rPr>
        <w:t xml:space="preserve"> </w:t>
      </w:r>
    </w:p>
  </w:footnote>
  <w:footnote w:id="8">
    <w:p w14:paraId="6E7BA264" w14:textId="27DE7C73" w:rsidR="005D64D7" w:rsidRPr="00235715" w:rsidRDefault="005D64D7" w:rsidP="00235715">
      <w:pPr>
        <w:pStyle w:val="Textonotapie"/>
        <w:jc w:val="both"/>
        <w:rPr>
          <w:sz w:val="18"/>
          <w:szCs w:val="18"/>
          <w:lang w:val="es-CO"/>
        </w:rPr>
      </w:pPr>
      <w:r w:rsidRPr="00235715">
        <w:rPr>
          <w:rStyle w:val="Refdenotaalpie"/>
          <w:sz w:val="18"/>
          <w:szCs w:val="18"/>
        </w:rPr>
        <w:footnoteRef/>
      </w:r>
      <w:r w:rsidRPr="00235715">
        <w:rPr>
          <w:sz w:val="18"/>
          <w:szCs w:val="18"/>
        </w:rPr>
        <w:t xml:space="preserve"> </w:t>
      </w:r>
      <w:proofErr w:type="spellStart"/>
      <w:r w:rsidRPr="00235715">
        <w:rPr>
          <w:sz w:val="18"/>
          <w:szCs w:val="18"/>
        </w:rPr>
        <w:t>Ibidem</w:t>
      </w:r>
      <w:proofErr w:type="spellEnd"/>
      <w:r w:rsidRPr="00235715">
        <w:rPr>
          <w:sz w:val="18"/>
          <w:szCs w:val="18"/>
        </w:rPr>
        <w:t>, p. 142</w:t>
      </w:r>
      <w:r w:rsidRPr="00235715">
        <w:rPr>
          <w:sz w:val="18"/>
          <w:szCs w:val="18"/>
          <w:lang w:val="es-CO"/>
        </w:rPr>
        <w:t xml:space="preserve"> </w:t>
      </w:r>
    </w:p>
  </w:footnote>
  <w:footnote w:id="9">
    <w:p w14:paraId="1811C9F2" w14:textId="1C19F477" w:rsidR="005D64D7" w:rsidRPr="00235715" w:rsidRDefault="005D64D7" w:rsidP="00235715">
      <w:pPr>
        <w:pStyle w:val="Textonotapie"/>
        <w:jc w:val="both"/>
        <w:rPr>
          <w:sz w:val="18"/>
          <w:szCs w:val="18"/>
          <w:lang w:val="es-CO"/>
        </w:rPr>
      </w:pPr>
      <w:r w:rsidRPr="00235715">
        <w:rPr>
          <w:rStyle w:val="Refdenotaalpie"/>
          <w:sz w:val="18"/>
          <w:szCs w:val="18"/>
        </w:rPr>
        <w:footnoteRef/>
      </w:r>
      <w:r w:rsidRPr="00235715">
        <w:rPr>
          <w:sz w:val="18"/>
          <w:szCs w:val="18"/>
        </w:rPr>
        <w:t xml:space="preserve"> Ib., p.</w:t>
      </w:r>
      <w:r w:rsidRPr="00235715">
        <w:rPr>
          <w:sz w:val="18"/>
          <w:szCs w:val="18"/>
          <w:lang w:val="es-CO"/>
        </w:rPr>
        <w:t xml:space="preserve"> 155</w:t>
      </w:r>
    </w:p>
  </w:footnote>
  <w:footnote w:id="10">
    <w:p w14:paraId="7D7D06E0" w14:textId="53C73502"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Ib., p. </w:t>
      </w:r>
      <w:r w:rsidRPr="00235715">
        <w:rPr>
          <w:sz w:val="18"/>
          <w:szCs w:val="18"/>
          <w:lang w:val="es-ES"/>
        </w:rPr>
        <w:t>161</w:t>
      </w:r>
    </w:p>
  </w:footnote>
  <w:footnote w:id="11">
    <w:p w14:paraId="407DC7E5" w14:textId="68EB8A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proofErr w:type="spellStart"/>
      <w:r w:rsidRPr="00235715">
        <w:rPr>
          <w:rFonts w:eastAsia="Georgia"/>
          <w:color w:val="000000"/>
          <w:sz w:val="18"/>
          <w:szCs w:val="18"/>
        </w:rPr>
        <w:t>01</w:t>
      </w:r>
      <w:r w:rsidRPr="00235715">
        <w:rPr>
          <w:rFonts w:eastAsia="Georgia"/>
          <w:sz w:val="18"/>
          <w:szCs w:val="18"/>
        </w:rPr>
        <w:t>PrimeraInstancia</w:t>
      </w:r>
      <w:proofErr w:type="spellEnd"/>
      <w:r w:rsidRPr="00235715">
        <w:rPr>
          <w:rFonts w:eastAsia="Georgia"/>
          <w:sz w:val="18"/>
          <w:szCs w:val="18"/>
        </w:rPr>
        <w:t xml:space="preserve">, </w:t>
      </w:r>
      <w:proofErr w:type="spellStart"/>
      <w:r w:rsidRPr="00235715">
        <w:rPr>
          <w:rFonts w:eastAsia="Georgia"/>
          <w:sz w:val="18"/>
          <w:szCs w:val="18"/>
        </w:rPr>
        <w:t>C01Principal</w:t>
      </w:r>
      <w:proofErr w:type="spellEnd"/>
      <w:r w:rsidRPr="00235715">
        <w:rPr>
          <w:rFonts w:eastAsia="Georgia"/>
          <w:sz w:val="18"/>
          <w:szCs w:val="18"/>
        </w:rPr>
        <w:t xml:space="preserve">, </w:t>
      </w:r>
      <w:proofErr w:type="spellStart"/>
      <w:r w:rsidRPr="00235715">
        <w:rPr>
          <w:rFonts w:eastAsia="Georgia"/>
          <w:sz w:val="18"/>
          <w:szCs w:val="18"/>
        </w:rPr>
        <w:t>005CuadernoPrincipalParte3</w:t>
      </w:r>
      <w:proofErr w:type="spellEnd"/>
      <w:r w:rsidRPr="00235715">
        <w:rPr>
          <w:rFonts w:eastAsia="Georgia"/>
          <w:sz w:val="18"/>
          <w:szCs w:val="18"/>
          <w:u w:val="words"/>
        </w:rPr>
        <w:t>, p. 98</w:t>
      </w:r>
    </w:p>
  </w:footnote>
  <w:footnote w:id="12">
    <w:p w14:paraId="346A743C" w14:textId="2039C66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proofErr w:type="spellStart"/>
      <w:r w:rsidRPr="00235715">
        <w:rPr>
          <w:sz w:val="18"/>
          <w:szCs w:val="18"/>
        </w:rPr>
        <w:t>Ibidem</w:t>
      </w:r>
      <w:proofErr w:type="spellEnd"/>
      <w:r w:rsidRPr="00235715">
        <w:rPr>
          <w:sz w:val="18"/>
          <w:szCs w:val="18"/>
        </w:rPr>
        <w:t>, p.</w:t>
      </w:r>
      <w:r w:rsidRPr="00235715">
        <w:rPr>
          <w:sz w:val="18"/>
          <w:szCs w:val="18"/>
          <w:lang w:val="es-CO"/>
        </w:rPr>
        <w:t xml:space="preserve"> 122</w:t>
      </w:r>
    </w:p>
  </w:footnote>
  <w:footnote w:id="13">
    <w:p w14:paraId="72F9E5AE" w14:textId="389D7085"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Ib., p. </w:t>
      </w:r>
      <w:r w:rsidRPr="00235715">
        <w:rPr>
          <w:sz w:val="18"/>
          <w:szCs w:val="18"/>
          <w:lang w:val="es-ES"/>
        </w:rPr>
        <w:t xml:space="preserve">134 </w:t>
      </w:r>
    </w:p>
  </w:footnote>
  <w:footnote w:id="14">
    <w:p w14:paraId="61E844F7" w14:textId="67CB017E"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r w:rsidRPr="00235715">
        <w:rPr>
          <w:sz w:val="18"/>
          <w:szCs w:val="18"/>
          <w:lang w:val="es-ES"/>
        </w:rPr>
        <w:t xml:space="preserve">Ib., p. 137 </w:t>
      </w:r>
    </w:p>
  </w:footnote>
  <w:footnote w:id="15">
    <w:p w14:paraId="26AA9252" w14:textId="724EF582" w:rsidR="005D64D7" w:rsidRPr="00235715" w:rsidRDefault="005D64D7" w:rsidP="00235715">
      <w:pPr>
        <w:pStyle w:val="Textonotapie"/>
        <w:jc w:val="both"/>
        <w:rPr>
          <w:sz w:val="18"/>
          <w:szCs w:val="18"/>
          <w:lang w:val="es-CO"/>
        </w:rPr>
      </w:pPr>
      <w:r w:rsidRPr="00235715">
        <w:rPr>
          <w:rStyle w:val="Refdenotaalpie"/>
          <w:sz w:val="18"/>
          <w:szCs w:val="18"/>
        </w:rPr>
        <w:footnoteRef/>
      </w:r>
      <w:r w:rsidRPr="00235715">
        <w:rPr>
          <w:sz w:val="18"/>
          <w:szCs w:val="18"/>
          <w:lang w:val="es-CO"/>
        </w:rPr>
        <w:t xml:space="preserve"> </w:t>
      </w:r>
      <w:proofErr w:type="spellStart"/>
      <w:r w:rsidRPr="00235715">
        <w:rPr>
          <w:sz w:val="18"/>
          <w:szCs w:val="18"/>
          <w:lang w:val="es-CO"/>
        </w:rPr>
        <w:t>01PrimeraInstancia</w:t>
      </w:r>
      <w:proofErr w:type="spellEnd"/>
      <w:r w:rsidRPr="00235715">
        <w:rPr>
          <w:sz w:val="18"/>
          <w:szCs w:val="18"/>
          <w:lang w:val="es-CO"/>
        </w:rPr>
        <w:t xml:space="preserve">, </w:t>
      </w:r>
      <w:proofErr w:type="spellStart"/>
      <w:r w:rsidRPr="00235715">
        <w:rPr>
          <w:sz w:val="18"/>
          <w:szCs w:val="18"/>
          <w:lang w:val="es-CO"/>
        </w:rPr>
        <w:t>03ConflictoJurisdiccion</w:t>
      </w:r>
      <w:proofErr w:type="spellEnd"/>
      <w:r w:rsidRPr="00235715">
        <w:rPr>
          <w:sz w:val="18"/>
          <w:szCs w:val="18"/>
          <w:lang w:val="es-CO"/>
        </w:rPr>
        <w:t xml:space="preserve">, </w:t>
      </w:r>
      <w:proofErr w:type="spellStart"/>
      <w:r w:rsidRPr="00235715">
        <w:rPr>
          <w:sz w:val="18"/>
          <w:szCs w:val="18"/>
          <w:lang w:val="es-CO"/>
        </w:rPr>
        <w:t>C01ConflictoJurisdicción</w:t>
      </w:r>
      <w:proofErr w:type="spellEnd"/>
      <w:r w:rsidRPr="00235715">
        <w:rPr>
          <w:sz w:val="18"/>
          <w:szCs w:val="18"/>
          <w:lang w:val="es-CO"/>
        </w:rPr>
        <w:t xml:space="preserve">, </w:t>
      </w:r>
      <w:proofErr w:type="spellStart"/>
      <w:r w:rsidRPr="00235715">
        <w:rPr>
          <w:sz w:val="18"/>
          <w:szCs w:val="18"/>
          <w:lang w:val="es-CO"/>
        </w:rPr>
        <w:t>arch</w:t>
      </w:r>
      <w:proofErr w:type="spellEnd"/>
      <w:r w:rsidRPr="00235715">
        <w:rPr>
          <w:sz w:val="18"/>
          <w:szCs w:val="18"/>
          <w:lang w:val="es-CO"/>
        </w:rPr>
        <w:t xml:space="preserve">. 001 </w:t>
      </w:r>
    </w:p>
  </w:footnote>
  <w:footnote w:id="16">
    <w:p w14:paraId="63E7C569" w14:textId="12AF2870" w:rsidR="005D64D7" w:rsidRPr="00235715" w:rsidRDefault="005D64D7" w:rsidP="00235715">
      <w:pPr>
        <w:pStyle w:val="Textonotapie"/>
        <w:jc w:val="both"/>
        <w:rPr>
          <w:sz w:val="18"/>
          <w:szCs w:val="18"/>
          <w:lang w:val="es-CO"/>
        </w:rPr>
      </w:pPr>
      <w:r w:rsidRPr="00235715">
        <w:rPr>
          <w:rStyle w:val="Refdenotaalpie"/>
          <w:sz w:val="18"/>
          <w:szCs w:val="18"/>
        </w:rPr>
        <w:footnoteRef/>
      </w:r>
      <w:r w:rsidRPr="00235715">
        <w:rPr>
          <w:sz w:val="18"/>
          <w:szCs w:val="18"/>
        </w:rPr>
        <w:t xml:space="preserve"> </w:t>
      </w:r>
      <w:proofErr w:type="spellStart"/>
      <w:r w:rsidRPr="00235715">
        <w:rPr>
          <w:sz w:val="18"/>
          <w:szCs w:val="18"/>
          <w:lang w:val="es-CO"/>
        </w:rPr>
        <w:t>01PrimeraInstancia</w:t>
      </w:r>
      <w:proofErr w:type="spellEnd"/>
      <w:r w:rsidRPr="00235715">
        <w:rPr>
          <w:sz w:val="18"/>
          <w:szCs w:val="18"/>
          <w:lang w:val="es-CO"/>
        </w:rPr>
        <w:t xml:space="preserve">, </w:t>
      </w:r>
      <w:proofErr w:type="spellStart"/>
      <w:r w:rsidRPr="00235715">
        <w:rPr>
          <w:sz w:val="18"/>
          <w:szCs w:val="18"/>
          <w:lang w:val="es-CO"/>
        </w:rPr>
        <w:t>C01Principal</w:t>
      </w:r>
      <w:proofErr w:type="spellEnd"/>
      <w:r w:rsidRPr="00235715">
        <w:rPr>
          <w:sz w:val="18"/>
          <w:szCs w:val="18"/>
          <w:lang w:val="es-CO"/>
        </w:rPr>
        <w:t xml:space="preserve">, </w:t>
      </w:r>
      <w:proofErr w:type="spellStart"/>
      <w:r w:rsidRPr="00235715">
        <w:rPr>
          <w:sz w:val="18"/>
          <w:szCs w:val="18"/>
          <w:lang w:val="es-CO"/>
        </w:rPr>
        <w:t>006CuadernoPrincipalParte4</w:t>
      </w:r>
      <w:proofErr w:type="spellEnd"/>
      <w:r w:rsidRPr="00235715">
        <w:rPr>
          <w:sz w:val="18"/>
          <w:szCs w:val="18"/>
          <w:lang w:val="es-CO"/>
        </w:rPr>
        <w:t>, p. 101</w:t>
      </w:r>
    </w:p>
  </w:footnote>
  <w:footnote w:id="17">
    <w:p w14:paraId="53B7B140" w14:textId="20151857" w:rsidR="005D64D7" w:rsidRPr="00235715" w:rsidRDefault="005D64D7" w:rsidP="00235715">
      <w:pPr>
        <w:pStyle w:val="Textonotapie"/>
        <w:jc w:val="both"/>
        <w:rPr>
          <w:sz w:val="18"/>
          <w:szCs w:val="18"/>
          <w:lang w:val="es-CO"/>
        </w:rPr>
      </w:pPr>
      <w:r w:rsidRPr="00235715">
        <w:rPr>
          <w:rStyle w:val="Refdenotaalpie"/>
          <w:sz w:val="18"/>
          <w:szCs w:val="18"/>
        </w:rPr>
        <w:footnoteRef/>
      </w:r>
      <w:r w:rsidRPr="00235715">
        <w:rPr>
          <w:sz w:val="18"/>
          <w:szCs w:val="18"/>
          <w:lang w:val="es-CO"/>
        </w:rPr>
        <w:t xml:space="preserve"> </w:t>
      </w:r>
      <w:proofErr w:type="spellStart"/>
      <w:r w:rsidRPr="00235715">
        <w:rPr>
          <w:sz w:val="18"/>
          <w:szCs w:val="18"/>
          <w:lang w:val="es-CO"/>
        </w:rPr>
        <w:t>01PrimeraInstancia</w:t>
      </w:r>
      <w:proofErr w:type="spellEnd"/>
      <w:r w:rsidRPr="00235715">
        <w:rPr>
          <w:sz w:val="18"/>
          <w:szCs w:val="18"/>
          <w:lang w:val="es-CO"/>
        </w:rPr>
        <w:t xml:space="preserve">, </w:t>
      </w:r>
      <w:proofErr w:type="spellStart"/>
      <w:r w:rsidRPr="00235715">
        <w:rPr>
          <w:sz w:val="18"/>
          <w:szCs w:val="18"/>
          <w:lang w:val="es-CO"/>
        </w:rPr>
        <w:t>C01Principal</w:t>
      </w:r>
      <w:proofErr w:type="spellEnd"/>
      <w:r w:rsidRPr="00235715">
        <w:rPr>
          <w:sz w:val="18"/>
          <w:szCs w:val="18"/>
          <w:lang w:val="es-CO"/>
        </w:rPr>
        <w:t xml:space="preserve">, </w:t>
      </w:r>
      <w:proofErr w:type="spellStart"/>
      <w:r w:rsidRPr="00235715">
        <w:rPr>
          <w:sz w:val="18"/>
          <w:szCs w:val="18"/>
          <w:lang w:val="es-CO"/>
        </w:rPr>
        <w:t>029ActaAudiencia</w:t>
      </w:r>
      <w:proofErr w:type="spellEnd"/>
      <w:r w:rsidRPr="00235715">
        <w:rPr>
          <w:sz w:val="18"/>
          <w:szCs w:val="18"/>
          <w:lang w:val="es-CO"/>
        </w:rPr>
        <w:t xml:space="preserve"> 372 </w:t>
      </w:r>
    </w:p>
  </w:footnote>
  <w:footnote w:id="18">
    <w:p w14:paraId="2846D5E0" w14:textId="35D9B5BE" w:rsidR="005D64D7" w:rsidRPr="00235715" w:rsidRDefault="005D64D7" w:rsidP="00235715">
      <w:pPr>
        <w:pStyle w:val="Textonotapie"/>
        <w:jc w:val="both"/>
        <w:rPr>
          <w:sz w:val="18"/>
          <w:szCs w:val="18"/>
          <w:lang w:val="es-CO"/>
        </w:rPr>
      </w:pPr>
      <w:r w:rsidRPr="00235715">
        <w:rPr>
          <w:rStyle w:val="Refdenotaalpie"/>
          <w:sz w:val="18"/>
          <w:szCs w:val="18"/>
        </w:rPr>
        <w:footnoteRef/>
      </w:r>
      <w:r w:rsidRPr="00235715">
        <w:rPr>
          <w:sz w:val="18"/>
          <w:szCs w:val="18"/>
          <w:lang w:val="es-CO"/>
        </w:rPr>
        <w:t xml:space="preserve"> </w:t>
      </w:r>
      <w:proofErr w:type="spellStart"/>
      <w:r w:rsidRPr="00235715">
        <w:rPr>
          <w:sz w:val="18"/>
          <w:szCs w:val="18"/>
          <w:lang w:val="es-CO"/>
        </w:rPr>
        <w:t>Ibidem</w:t>
      </w:r>
      <w:proofErr w:type="spellEnd"/>
      <w:r w:rsidRPr="00235715">
        <w:rPr>
          <w:sz w:val="18"/>
          <w:szCs w:val="18"/>
          <w:lang w:val="es-CO"/>
        </w:rPr>
        <w:t xml:space="preserve">, </w:t>
      </w:r>
      <w:proofErr w:type="spellStart"/>
      <w:r w:rsidRPr="00235715">
        <w:rPr>
          <w:sz w:val="18"/>
          <w:szCs w:val="18"/>
          <w:lang w:val="es-CO"/>
        </w:rPr>
        <w:t>051ActaAudienciaInstruccionJuzgamiento</w:t>
      </w:r>
      <w:proofErr w:type="spellEnd"/>
    </w:p>
  </w:footnote>
  <w:footnote w:id="19">
    <w:p w14:paraId="4087BCB4" w14:textId="29B9B55E"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r w:rsidRPr="00235715">
        <w:rPr>
          <w:sz w:val="18"/>
          <w:szCs w:val="18"/>
          <w:lang w:val="es-CO"/>
        </w:rPr>
        <w:t xml:space="preserve">Ib., </w:t>
      </w:r>
      <w:proofErr w:type="spellStart"/>
      <w:r w:rsidRPr="00235715">
        <w:rPr>
          <w:sz w:val="18"/>
          <w:szCs w:val="18"/>
          <w:lang w:val="es-CO"/>
        </w:rPr>
        <w:t>050EnlaceAudiencia373</w:t>
      </w:r>
      <w:proofErr w:type="spellEnd"/>
      <w:r w:rsidRPr="00235715">
        <w:rPr>
          <w:sz w:val="18"/>
          <w:szCs w:val="18"/>
        </w:rPr>
        <w:t>, 17:29</w:t>
      </w:r>
    </w:p>
  </w:footnote>
  <w:footnote w:id="20">
    <w:p w14:paraId="2EF367EE" w14:textId="77777777" w:rsidR="005D64D7" w:rsidRPr="00235715" w:rsidRDefault="005D64D7" w:rsidP="00235715">
      <w:pPr>
        <w:pBdr>
          <w:top w:val="nil"/>
          <w:left w:val="nil"/>
          <w:bottom w:val="nil"/>
          <w:right w:val="nil"/>
          <w:between w:val="nil"/>
        </w:pBdr>
        <w:spacing w:line="240" w:lineRule="auto"/>
        <w:jc w:val="both"/>
        <w:rPr>
          <w:color w:val="000000"/>
          <w:sz w:val="18"/>
          <w:szCs w:val="18"/>
        </w:rPr>
      </w:pPr>
      <w:r w:rsidRPr="00235715">
        <w:rPr>
          <w:sz w:val="18"/>
          <w:szCs w:val="18"/>
          <w:vertAlign w:val="superscript"/>
        </w:rPr>
        <w:footnoteRef/>
      </w:r>
      <w:r w:rsidRPr="00235715">
        <w:rPr>
          <w:color w:val="000000"/>
          <w:sz w:val="18"/>
          <w:szCs w:val="18"/>
        </w:rPr>
        <w:t xml:space="preserve"> Ib., </w:t>
      </w:r>
      <w:proofErr w:type="spellStart"/>
      <w:r w:rsidRPr="00235715">
        <w:rPr>
          <w:color w:val="000000"/>
          <w:sz w:val="18"/>
          <w:szCs w:val="18"/>
        </w:rPr>
        <w:t>052SustentacionRecursoApelacion</w:t>
      </w:r>
      <w:proofErr w:type="spellEnd"/>
      <w:r w:rsidRPr="00235715">
        <w:rPr>
          <w:color w:val="000000"/>
          <w:sz w:val="18"/>
          <w:szCs w:val="18"/>
        </w:rPr>
        <w:t xml:space="preserve"> </w:t>
      </w:r>
    </w:p>
  </w:footnote>
  <w:footnote w:id="21">
    <w:p w14:paraId="1688C4E4" w14:textId="0145CCCA"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proofErr w:type="spellStart"/>
      <w:r w:rsidRPr="00235715">
        <w:rPr>
          <w:sz w:val="18"/>
          <w:szCs w:val="18"/>
          <w:lang w:val="es-ES"/>
        </w:rPr>
        <w:t>02SegundaInstancia</w:t>
      </w:r>
      <w:proofErr w:type="spellEnd"/>
      <w:r w:rsidRPr="00235715">
        <w:rPr>
          <w:sz w:val="18"/>
          <w:szCs w:val="18"/>
          <w:lang w:val="es-ES"/>
        </w:rPr>
        <w:t xml:space="preserve">, </w:t>
      </w:r>
      <w:proofErr w:type="spellStart"/>
      <w:r w:rsidRPr="00235715">
        <w:rPr>
          <w:sz w:val="18"/>
          <w:szCs w:val="18"/>
          <w:lang w:val="es-ES"/>
        </w:rPr>
        <w:t>08AnexoCorreoReparos</w:t>
      </w:r>
      <w:proofErr w:type="spellEnd"/>
    </w:p>
  </w:footnote>
  <w:footnote w:id="22">
    <w:p w14:paraId="0751DFB2" w14:textId="6BBA9ABA"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proofErr w:type="spellStart"/>
      <w:r w:rsidRPr="00235715">
        <w:rPr>
          <w:sz w:val="18"/>
          <w:szCs w:val="18"/>
          <w:lang w:val="es-ES"/>
        </w:rPr>
        <w:t>01PrimeraInstancia</w:t>
      </w:r>
      <w:proofErr w:type="spellEnd"/>
      <w:r w:rsidRPr="00235715">
        <w:rPr>
          <w:sz w:val="18"/>
          <w:szCs w:val="18"/>
          <w:lang w:val="es-ES"/>
        </w:rPr>
        <w:t xml:space="preserve">, </w:t>
      </w:r>
      <w:proofErr w:type="spellStart"/>
      <w:r w:rsidRPr="00235715">
        <w:rPr>
          <w:sz w:val="18"/>
          <w:szCs w:val="18"/>
          <w:lang w:val="es-ES"/>
        </w:rPr>
        <w:t>C02Pruebas</w:t>
      </w:r>
      <w:proofErr w:type="spellEnd"/>
      <w:r w:rsidRPr="00235715">
        <w:rPr>
          <w:sz w:val="18"/>
          <w:szCs w:val="18"/>
          <w:lang w:val="es-ES"/>
        </w:rPr>
        <w:t xml:space="preserve">, </w:t>
      </w:r>
      <w:proofErr w:type="spellStart"/>
      <w:r w:rsidRPr="00235715">
        <w:rPr>
          <w:sz w:val="18"/>
          <w:szCs w:val="18"/>
          <w:lang w:val="es-ES"/>
        </w:rPr>
        <w:t>001CuadernoDosPruebas</w:t>
      </w:r>
      <w:proofErr w:type="spellEnd"/>
      <w:r w:rsidRPr="00235715">
        <w:rPr>
          <w:sz w:val="18"/>
          <w:szCs w:val="18"/>
          <w:lang w:val="es-ES"/>
        </w:rPr>
        <w:t xml:space="preserve">, p. 47 </w:t>
      </w:r>
    </w:p>
  </w:footnote>
  <w:footnote w:id="23">
    <w:p w14:paraId="6AFF56B3" w14:textId="67389E00"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Ib., p. 55</w:t>
      </w:r>
      <w:r w:rsidRPr="00235715">
        <w:rPr>
          <w:sz w:val="18"/>
          <w:szCs w:val="18"/>
          <w:lang w:val="es-ES"/>
        </w:rPr>
        <w:t xml:space="preserve"> </w:t>
      </w:r>
    </w:p>
  </w:footnote>
  <w:footnote w:id="24">
    <w:p w14:paraId="60AE0337" w14:textId="38EE4FEF" w:rsidR="005D64D7" w:rsidRPr="00235715" w:rsidRDefault="005D64D7" w:rsidP="00235715">
      <w:pPr>
        <w:pStyle w:val="Textonotapie"/>
        <w:jc w:val="both"/>
        <w:rPr>
          <w:sz w:val="18"/>
          <w:szCs w:val="18"/>
          <w:lang w:val="es-MX"/>
        </w:rPr>
      </w:pPr>
      <w:r w:rsidRPr="00235715">
        <w:rPr>
          <w:rStyle w:val="Refdenotaalpie"/>
          <w:sz w:val="18"/>
          <w:szCs w:val="18"/>
        </w:rPr>
        <w:footnoteRef/>
      </w:r>
      <w:r w:rsidRPr="00235715">
        <w:rPr>
          <w:sz w:val="18"/>
          <w:szCs w:val="18"/>
        </w:rPr>
        <w:t xml:space="preserve"> Ib., p. 75 </w:t>
      </w:r>
    </w:p>
  </w:footnote>
  <w:footnote w:id="25">
    <w:p w14:paraId="0EBE4E4B" w14:textId="1C7D8A23"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Ib., p. 39</w:t>
      </w:r>
    </w:p>
  </w:footnote>
  <w:footnote w:id="26">
    <w:p w14:paraId="35CE49A5" w14:textId="2EA0334B"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Ib., p. 41</w:t>
      </w:r>
      <w:r w:rsidRPr="00235715">
        <w:rPr>
          <w:sz w:val="18"/>
          <w:szCs w:val="18"/>
          <w:lang w:val="es-ES"/>
        </w:rPr>
        <w:t xml:space="preserve"> </w:t>
      </w:r>
    </w:p>
  </w:footnote>
  <w:footnote w:id="27">
    <w:p w14:paraId="1F94B2E4" w14:textId="3F6AA17C" w:rsidR="005D64D7" w:rsidRPr="00235715" w:rsidRDefault="005D64D7" w:rsidP="00235715">
      <w:pPr>
        <w:pStyle w:val="Textonotapie"/>
        <w:tabs>
          <w:tab w:val="left" w:pos="284"/>
        </w:tabs>
        <w:jc w:val="both"/>
        <w:rPr>
          <w:sz w:val="18"/>
          <w:szCs w:val="18"/>
          <w:lang w:val="es-ES"/>
        </w:rPr>
      </w:pPr>
      <w:r w:rsidRPr="00235715">
        <w:rPr>
          <w:rStyle w:val="Refdenotaalpie"/>
          <w:sz w:val="18"/>
          <w:szCs w:val="18"/>
        </w:rPr>
        <w:footnoteRef/>
      </w:r>
      <w:r w:rsidRPr="00235715">
        <w:rPr>
          <w:sz w:val="18"/>
          <w:szCs w:val="18"/>
        </w:rPr>
        <w:t xml:space="preserve"> Ib., p. 43 y p. 83 0</w:t>
      </w:r>
      <w:proofErr w:type="spellStart"/>
      <w:r w:rsidRPr="00235715">
        <w:rPr>
          <w:sz w:val="18"/>
          <w:szCs w:val="18"/>
          <w:lang w:val="es-ES"/>
        </w:rPr>
        <w:t>1PrimeraInstancia</w:t>
      </w:r>
      <w:proofErr w:type="spellEnd"/>
      <w:r w:rsidRPr="00235715">
        <w:rPr>
          <w:sz w:val="18"/>
          <w:szCs w:val="18"/>
          <w:lang w:val="es-ES"/>
        </w:rPr>
        <w:t xml:space="preserve">, </w:t>
      </w:r>
      <w:proofErr w:type="spellStart"/>
      <w:r w:rsidRPr="00235715">
        <w:rPr>
          <w:sz w:val="18"/>
          <w:szCs w:val="18"/>
          <w:lang w:val="es-ES"/>
        </w:rPr>
        <w:t>C01Principal</w:t>
      </w:r>
      <w:proofErr w:type="spellEnd"/>
      <w:r w:rsidRPr="00235715">
        <w:rPr>
          <w:sz w:val="18"/>
          <w:szCs w:val="18"/>
          <w:lang w:val="es-ES"/>
        </w:rPr>
        <w:t xml:space="preserve">, </w:t>
      </w:r>
      <w:proofErr w:type="spellStart"/>
      <w:r w:rsidRPr="00235715">
        <w:rPr>
          <w:sz w:val="18"/>
          <w:szCs w:val="18"/>
          <w:lang w:val="es-ES"/>
        </w:rPr>
        <w:t>001CuadernoPrincipal</w:t>
      </w:r>
      <w:proofErr w:type="spellEnd"/>
      <w:r w:rsidRPr="00235715">
        <w:rPr>
          <w:sz w:val="18"/>
          <w:szCs w:val="18"/>
          <w:lang w:val="es-ES"/>
        </w:rPr>
        <w:t xml:space="preserve"> </w:t>
      </w:r>
      <w:proofErr w:type="spellStart"/>
      <w:r w:rsidRPr="00235715">
        <w:rPr>
          <w:sz w:val="18"/>
          <w:szCs w:val="18"/>
          <w:lang w:val="es-ES"/>
        </w:rPr>
        <w:t>Parte1</w:t>
      </w:r>
      <w:proofErr w:type="spellEnd"/>
    </w:p>
  </w:footnote>
  <w:footnote w:id="28">
    <w:p w14:paraId="2DA92702" w14:textId="109C73FA"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Ib., p. 44 y p. 83 0</w:t>
      </w:r>
      <w:proofErr w:type="spellStart"/>
      <w:r w:rsidRPr="00235715">
        <w:rPr>
          <w:sz w:val="18"/>
          <w:szCs w:val="18"/>
          <w:lang w:val="es-ES"/>
        </w:rPr>
        <w:t>1PrimeraInstancia</w:t>
      </w:r>
      <w:proofErr w:type="spellEnd"/>
      <w:r w:rsidRPr="00235715">
        <w:rPr>
          <w:sz w:val="18"/>
          <w:szCs w:val="18"/>
          <w:lang w:val="es-ES"/>
        </w:rPr>
        <w:t xml:space="preserve">, </w:t>
      </w:r>
      <w:proofErr w:type="spellStart"/>
      <w:r w:rsidRPr="00235715">
        <w:rPr>
          <w:sz w:val="18"/>
          <w:szCs w:val="18"/>
          <w:lang w:val="es-ES"/>
        </w:rPr>
        <w:t>C01Principal</w:t>
      </w:r>
      <w:proofErr w:type="spellEnd"/>
      <w:r w:rsidRPr="00235715">
        <w:rPr>
          <w:sz w:val="18"/>
          <w:szCs w:val="18"/>
          <w:lang w:val="es-ES"/>
        </w:rPr>
        <w:t xml:space="preserve">, </w:t>
      </w:r>
      <w:proofErr w:type="spellStart"/>
      <w:r w:rsidRPr="00235715">
        <w:rPr>
          <w:sz w:val="18"/>
          <w:szCs w:val="18"/>
          <w:lang w:val="es-ES"/>
        </w:rPr>
        <w:t>001CuadernoPrincipal</w:t>
      </w:r>
      <w:proofErr w:type="spellEnd"/>
      <w:r w:rsidRPr="00235715">
        <w:rPr>
          <w:sz w:val="18"/>
          <w:szCs w:val="18"/>
          <w:lang w:val="es-ES"/>
        </w:rPr>
        <w:t xml:space="preserve"> </w:t>
      </w:r>
      <w:proofErr w:type="spellStart"/>
      <w:r w:rsidRPr="00235715">
        <w:rPr>
          <w:sz w:val="18"/>
          <w:szCs w:val="18"/>
          <w:lang w:val="es-ES"/>
        </w:rPr>
        <w:t>Parte1</w:t>
      </w:r>
      <w:proofErr w:type="spellEnd"/>
      <w:r w:rsidRPr="00235715">
        <w:rPr>
          <w:sz w:val="18"/>
          <w:szCs w:val="18"/>
          <w:lang w:val="es-ES"/>
        </w:rPr>
        <w:t xml:space="preserve"> </w:t>
      </w:r>
    </w:p>
  </w:footnote>
  <w:footnote w:id="29">
    <w:p w14:paraId="01905D20" w14:textId="307231A8"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Ib., p. </w:t>
      </w:r>
      <w:r w:rsidRPr="00235715">
        <w:rPr>
          <w:sz w:val="18"/>
          <w:szCs w:val="18"/>
          <w:lang w:val="es-ES"/>
        </w:rPr>
        <w:t xml:space="preserve">46  </w:t>
      </w:r>
    </w:p>
  </w:footnote>
  <w:footnote w:id="30">
    <w:p w14:paraId="570B3CC7" w14:textId="15F41BA4"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proofErr w:type="spellStart"/>
      <w:r w:rsidRPr="00235715">
        <w:rPr>
          <w:sz w:val="18"/>
          <w:szCs w:val="18"/>
          <w:lang w:val="es-ES"/>
        </w:rPr>
        <w:t>01PrimeraInstancia</w:t>
      </w:r>
      <w:proofErr w:type="spellEnd"/>
      <w:r w:rsidRPr="00235715">
        <w:rPr>
          <w:sz w:val="18"/>
          <w:szCs w:val="18"/>
          <w:lang w:val="es-ES"/>
        </w:rPr>
        <w:t xml:space="preserve">, </w:t>
      </w:r>
      <w:proofErr w:type="spellStart"/>
      <w:r w:rsidRPr="00235715">
        <w:rPr>
          <w:sz w:val="18"/>
          <w:szCs w:val="18"/>
          <w:lang w:val="es-ES"/>
        </w:rPr>
        <w:t>C02Pruebas</w:t>
      </w:r>
      <w:proofErr w:type="spellEnd"/>
      <w:r w:rsidRPr="00235715">
        <w:rPr>
          <w:sz w:val="18"/>
          <w:szCs w:val="18"/>
          <w:lang w:val="es-ES"/>
        </w:rPr>
        <w:t xml:space="preserve">, </w:t>
      </w:r>
      <w:proofErr w:type="spellStart"/>
      <w:r w:rsidRPr="00235715">
        <w:rPr>
          <w:sz w:val="18"/>
          <w:szCs w:val="18"/>
          <w:lang w:val="es-ES"/>
        </w:rPr>
        <w:t>001CuadernoDosPruebas</w:t>
      </w:r>
      <w:proofErr w:type="spellEnd"/>
      <w:r w:rsidRPr="00235715">
        <w:rPr>
          <w:sz w:val="18"/>
          <w:szCs w:val="18"/>
          <w:lang w:val="es-ES"/>
        </w:rPr>
        <w:t>, p. 47</w:t>
      </w:r>
    </w:p>
  </w:footnote>
  <w:footnote w:id="31">
    <w:p w14:paraId="675DC20F" w14:textId="74D7576B"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Ib., p. 55</w:t>
      </w:r>
    </w:p>
  </w:footnote>
  <w:footnote w:id="32">
    <w:p w14:paraId="63D959C8" w14:textId="77777777" w:rsidR="005D64D7" w:rsidRPr="00235715" w:rsidRDefault="005D64D7" w:rsidP="00235715">
      <w:pPr>
        <w:pStyle w:val="Textonotapie"/>
        <w:jc w:val="both"/>
        <w:rPr>
          <w:sz w:val="18"/>
          <w:szCs w:val="18"/>
        </w:rPr>
      </w:pPr>
      <w:r w:rsidRPr="00235715">
        <w:rPr>
          <w:sz w:val="18"/>
          <w:szCs w:val="18"/>
        </w:rPr>
        <w:footnoteRef/>
      </w:r>
      <w:r w:rsidRPr="00235715">
        <w:rPr>
          <w:sz w:val="18"/>
          <w:szCs w:val="18"/>
        </w:rPr>
        <w:t xml:space="preserve"> Sentencia del 19 de junio de 2018, radicado 2011-00193-01.</w:t>
      </w:r>
    </w:p>
  </w:footnote>
  <w:footnote w:id="33">
    <w:p w14:paraId="24562852" w14:textId="77777777" w:rsidR="005D64D7" w:rsidRPr="00235715" w:rsidRDefault="005D64D7" w:rsidP="00235715">
      <w:pPr>
        <w:pStyle w:val="Textonotapie"/>
        <w:jc w:val="both"/>
        <w:rPr>
          <w:sz w:val="18"/>
          <w:szCs w:val="18"/>
        </w:rPr>
      </w:pPr>
      <w:r w:rsidRPr="00235715">
        <w:rPr>
          <w:sz w:val="18"/>
          <w:szCs w:val="18"/>
        </w:rPr>
        <w:footnoteRef/>
      </w:r>
      <w:r w:rsidRPr="00235715">
        <w:rPr>
          <w:sz w:val="18"/>
          <w:szCs w:val="18"/>
        </w:rPr>
        <w:t xml:space="preserve"> Sentencia del 19 de junio de 2020, radicado 2019-00046-01, </w:t>
      </w:r>
      <w:proofErr w:type="spellStart"/>
      <w:r w:rsidRPr="00235715">
        <w:rPr>
          <w:sz w:val="18"/>
          <w:szCs w:val="18"/>
        </w:rPr>
        <w:t>M.P</w:t>
      </w:r>
      <w:proofErr w:type="spellEnd"/>
      <w:r w:rsidRPr="00235715">
        <w:rPr>
          <w:sz w:val="18"/>
          <w:szCs w:val="18"/>
        </w:rPr>
        <w:t xml:space="preserve">. </w:t>
      </w:r>
      <w:proofErr w:type="spellStart"/>
      <w:r w:rsidRPr="00235715">
        <w:rPr>
          <w:sz w:val="18"/>
          <w:szCs w:val="18"/>
        </w:rPr>
        <w:t>Duberney</w:t>
      </w:r>
      <w:proofErr w:type="spellEnd"/>
      <w:r w:rsidRPr="00235715">
        <w:rPr>
          <w:sz w:val="18"/>
          <w:szCs w:val="18"/>
        </w:rPr>
        <w:t xml:space="preserve"> Grisales Herrera.</w:t>
      </w:r>
    </w:p>
  </w:footnote>
  <w:footnote w:id="34">
    <w:p w14:paraId="1855A364" w14:textId="77777777" w:rsidR="005D64D7" w:rsidRPr="00235715" w:rsidRDefault="005D64D7" w:rsidP="00235715">
      <w:pPr>
        <w:pStyle w:val="Textonotapie"/>
        <w:jc w:val="both"/>
        <w:rPr>
          <w:sz w:val="18"/>
          <w:szCs w:val="18"/>
        </w:rPr>
      </w:pPr>
      <w:r w:rsidRPr="00235715">
        <w:rPr>
          <w:sz w:val="18"/>
          <w:szCs w:val="18"/>
        </w:rPr>
        <w:footnoteRef/>
      </w:r>
      <w:r w:rsidRPr="00235715">
        <w:rPr>
          <w:sz w:val="18"/>
          <w:szCs w:val="18"/>
        </w:rPr>
        <w:t xml:space="preserve"> </w:t>
      </w:r>
      <w:proofErr w:type="spellStart"/>
      <w:r w:rsidRPr="00235715">
        <w:rPr>
          <w:sz w:val="18"/>
          <w:szCs w:val="18"/>
        </w:rPr>
        <w:t>STC9587</w:t>
      </w:r>
      <w:proofErr w:type="spellEnd"/>
      <w:r w:rsidRPr="00235715">
        <w:rPr>
          <w:sz w:val="18"/>
          <w:szCs w:val="18"/>
        </w:rPr>
        <w:t xml:space="preserve">-2017, </w:t>
      </w:r>
      <w:proofErr w:type="spellStart"/>
      <w:r w:rsidRPr="00235715">
        <w:rPr>
          <w:sz w:val="18"/>
          <w:szCs w:val="18"/>
        </w:rPr>
        <w:t>STC15273</w:t>
      </w:r>
      <w:proofErr w:type="spellEnd"/>
      <w:r w:rsidRPr="00235715">
        <w:rPr>
          <w:sz w:val="18"/>
          <w:szCs w:val="18"/>
        </w:rPr>
        <w:t xml:space="preserve">-2019, </w:t>
      </w:r>
      <w:proofErr w:type="spellStart"/>
      <w:r w:rsidRPr="00235715">
        <w:rPr>
          <w:sz w:val="18"/>
          <w:szCs w:val="18"/>
        </w:rPr>
        <w:t>STC11328</w:t>
      </w:r>
      <w:proofErr w:type="spellEnd"/>
      <w:r w:rsidRPr="00235715">
        <w:rPr>
          <w:sz w:val="18"/>
          <w:szCs w:val="18"/>
        </w:rPr>
        <w:t xml:space="preserve">-2019 y </w:t>
      </w:r>
      <w:proofErr w:type="spellStart"/>
      <w:r w:rsidRPr="00235715">
        <w:rPr>
          <w:sz w:val="18"/>
          <w:szCs w:val="18"/>
        </w:rPr>
        <w:t>STC100</w:t>
      </w:r>
      <w:proofErr w:type="spellEnd"/>
      <w:r w:rsidRPr="00235715">
        <w:rPr>
          <w:sz w:val="18"/>
          <w:szCs w:val="18"/>
        </w:rPr>
        <w:t>-2019</w:t>
      </w:r>
    </w:p>
  </w:footnote>
  <w:footnote w:id="35">
    <w:p w14:paraId="2869DF63" w14:textId="77777777" w:rsidR="005D64D7" w:rsidRPr="00235715" w:rsidRDefault="005D64D7" w:rsidP="00235715">
      <w:pPr>
        <w:pStyle w:val="Textonotapie"/>
        <w:jc w:val="both"/>
        <w:rPr>
          <w:sz w:val="18"/>
          <w:szCs w:val="18"/>
        </w:rPr>
      </w:pPr>
      <w:r w:rsidRPr="00235715">
        <w:rPr>
          <w:sz w:val="18"/>
          <w:szCs w:val="18"/>
        </w:rPr>
        <w:footnoteRef/>
      </w:r>
      <w:r w:rsidRPr="00235715">
        <w:rPr>
          <w:sz w:val="18"/>
          <w:szCs w:val="18"/>
        </w:rPr>
        <w:t xml:space="preserve"> </w:t>
      </w:r>
      <w:proofErr w:type="spellStart"/>
      <w:r w:rsidRPr="00235715">
        <w:rPr>
          <w:sz w:val="18"/>
          <w:szCs w:val="18"/>
        </w:rPr>
        <w:t>SC2351</w:t>
      </w:r>
      <w:proofErr w:type="spellEnd"/>
      <w:r w:rsidRPr="00235715">
        <w:rPr>
          <w:sz w:val="18"/>
          <w:szCs w:val="18"/>
        </w:rPr>
        <w:t>-2019.</w:t>
      </w:r>
    </w:p>
  </w:footnote>
  <w:footnote w:id="36">
    <w:p w14:paraId="5D2CEC2A" w14:textId="77777777" w:rsidR="005D64D7" w:rsidRPr="00235715" w:rsidRDefault="005D64D7" w:rsidP="00235715">
      <w:pPr>
        <w:pStyle w:val="Textonotapie"/>
        <w:jc w:val="both"/>
        <w:rPr>
          <w:sz w:val="18"/>
          <w:szCs w:val="18"/>
        </w:rPr>
      </w:pPr>
      <w:r w:rsidRPr="00235715">
        <w:rPr>
          <w:sz w:val="18"/>
          <w:szCs w:val="18"/>
        </w:rPr>
        <w:footnoteRef/>
      </w:r>
      <w:r w:rsidRPr="00235715">
        <w:rPr>
          <w:sz w:val="18"/>
          <w:szCs w:val="18"/>
        </w:rPr>
        <w:t xml:space="preserve"> Sentencias de 01-09-2015, radicado 2012-00278-01; 19-04-2016, radicado 2012-00298-02; 20-09-2017, radicado 2012-00320-01; 17-05-18, radicado 2012-00294-02; 18-09-18, radicado 2015-00689-01; 18-12-2020, radicado 2012-00241-04; TSP.SC-0029-2021, 11-08-2021, radicado 2013-00180-01, entre otras.</w:t>
      </w:r>
    </w:p>
  </w:footnote>
  <w:footnote w:id="37">
    <w:p w14:paraId="1603B2FE" w14:textId="7D50DAFC"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proofErr w:type="spellStart"/>
      <w:r w:rsidRPr="00235715">
        <w:rPr>
          <w:sz w:val="18"/>
          <w:szCs w:val="18"/>
          <w:lang w:val="es-ES"/>
        </w:rPr>
        <w:t>TSP</w:t>
      </w:r>
      <w:proofErr w:type="spellEnd"/>
      <w:r w:rsidRPr="00235715">
        <w:rPr>
          <w:sz w:val="18"/>
          <w:szCs w:val="18"/>
          <w:lang w:val="es-ES"/>
        </w:rPr>
        <w:t>-SC-0033-2023</w:t>
      </w:r>
    </w:p>
  </w:footnote>
  <w:footnote w:id="38">
    <w:p w14:paraId="6D989A14"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r w:rsidRPr="00235715">
        <w:rPr>
          <w:sz w:val="18"/>
          <w:szCs w:val="18"/>
          <w:lang w:val="es-ES"/>
        </w:rPr>
        <w:t>Y se reiteró luego en la sentencia SC-0009-2023</w:t>
      </w:r>
    </w:p>
  </w:footnote>
  <w:footnote w:id="39">
    <w:p w14:paraId="125BE0E9" w14:textId="77777777" w:rsidR="005D64D7" w:rsidRPr="00235715" w:rsidRDefault="005D64D7" w:rsidP="00235715">
      <w:pPr>
        <w:pStyle w:val="Textonotapie"/>
        <w:jc w:val="both"/>
        <w:rPr>
          <w:sz w:val="18"/>
          <w:szCs w:val="18"/>
        </w:rPr>
      </w:pPr>
      <w:r w:rsidRPr="00235715">
        <w:rPr>
          <w:rStyle w:val="Refdenotaalpie"/>
          <w:sz w:val="18"/>
          <w:szCs w:val="18"/>
        </w:rPr>
        <w:footnoteRef/>
      </w:r>
      <w:r w:rsidRPr="00235715">
        <w:rPr>
          <w:sz w:val="18"/>
          <w:szCs w:val="18"/>
        </w:rPr>
        <w:t xml:space="preserve"> También se señaló así en la sentencia del 18 de diciembre de 2020, radicado 2012-00241-04 y en la TSP.SC-0029-2021, para citar las más recientes.</w:t>
      </w:r>
    </w:p>
  </w:footnote>
  <w:footnote w:id="40">
    <w:p w14:paraId="0FA6A031" w14:textId="7E0FA52D" w:rsidR="005D64D7" w:rsidRPr="00235715" w:rsidRDefault="005D64D7" w:rsidP="00235715">
      <w:pPr>
        <w:pStyle w:val="Textonotapie"/>
        <w:jc w:val="both"/>
        <w:rPr>
          <w:sz w:val="18"/>
          <w:szCs w:val="18"/>
          <w:lang w:val="es-CO"/>
        </w:rPr>
      </w:pPr>
      <w:r w:rsidRPr="00235715">
        <w:rPr>
          <w:rStyle w:val="Refdenotaalpie"/>
          <w:sz w:val="18"/>
          <w:szCs w:val="18"/>
        </w:rPr>
        <w:footnoteRef/>
      </w:r>
      <w:r w:rsidRPr="00235715">
        <w:rPr>
          <w:sz w:val="18"/>
          <w:szCs w:val="18"/>
        </w:rPr>
        <w:t xml:space="preserve"> </w:t>
      </w:r>
      <w:proofErr w:type="spellStart"/>
      <w:r w:rsidRPr="00235715">
        <w:rPr>
          <w:sz w:val="18"/>
          <w:szCs w:val="18"/>
        </w:rPr>
        <w:t>01PrimeraInstancia</w:t>
      </w:r>
      <w:proofErr w:type="spellEnd"/>
      <w:r w:rsidRPr="00235715">
        <w:rPr>
          <w:sz w:val="18"/>
          <w:szCs w:val="18"/>
        </w:rPr>
        <w:t xml:space="preserve">, </w:t>
      </w:r>
      <w:proofErr w:type="spellStart"/>
      <w:r w:rsidRPr="00235715">
        <w:rPr>
          <w:sz w:val="18"/>
          <w:szCs w:val="18"/>
        </w:rPr>
        <w:t>C01Principal</w:t>
      </w:r>
      <w:proofErr w:type="spellEnd"/>
      <w:r w:rsidRPr="00235715">
        <w:rPr>
          <w:sz w:val="18"/>
          <w:szCs w:val="18"/>
        </w:rPr>
        <w:t xml:space="preserve">, </w:t>
      </w:r>
      <w:proofErr w:type="spellStart"/>
      <w:r w:rsidRPr="00235715">
        <w:rPr>
          <w:sz w:val="18"/>
          <w:szCs w:val="18"/>
        </w:rPr>
        <w:t>050EnlaceAudiencia373Parte5</w:t>
      </w:r>
      <w:proofErr w:type="spellEnd"/>
      <w:r w:rsidRPr="00235715">
        <w:rPr>
          <w:sz w:val="18"/>
          <w:szCs w:val="18"/>
          <w:lang w:val="es-CO"/>
        </w:rPr>
        <w:t xml:space="preserve"> </w:t>
      </w:r>
    </w:p>
  </w:footnote>
  <w:footnote w:id="41">
    <w:p w14:paraId="699E9AA3"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proofErr w:type="spellStart"/>
      <w:r w:rsidRPr="00235715">
        <w:rPr>
          <w:sz w:val="18"/>
          <w:szCs w:val="18"/>
          <w:lang w:val="es-ES"/>
        </w:rPr>
        <w:t>02SegundaInstancia</w:t>
      </w:r>
      <w:proofErr w:type="spellEnd"/>
      <w:r w:rsidRPr="00235715">
        <w:rPr>
          <w:sz w:val="18"/>
          <w:szCs w:val="18"/>
          <w:lang w:val="es-ES"/>
        </w:rPr>
        <w:t xml:space="preserve">, </w:t>
      </w:r>
      <w:proofErr w:type="spellStart"/>
      <w:r w:rsidRPr="00235715">
        <w:rPr>
          <w:sz w:val="18"/>
          <w:szCs w:val="18"/>
          <w:lang w:val="es-ES"/>
        </w:rPr>
        <w:t>08AnexoCorreoReparos</w:t>
      </w:r>
      <w:proofErr w:type="spellEnd"/>
    </w:p>
  </w:footnote>
  <w:footnote w:id="42">
    <w:p w14:paraId="1568F78C"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TSP.SC-0063-2021, ver también </w:t>
      </w:r>
      <w:proofErr w:type="spellStart"/>
      <w:r w:rsidRPr="00235715">
        <w:rPr>
          <w:sz w:val="18"/>
          <w:szCs w:val="18"/>
        </w:rPr>
        <w:t>TPS</w:t>
      </w:r>
      <w:proofErr w:type="spellEnd"/>
      <w:r w:rsidRPr="00235715">
        <w:rPr>
          <w:sz w:val="18"/>
          <w:szCs w:val="18"/>
        </w:rPr>
        <w:t>-SC-0005-2022</w:t>
      </w:r>
    </w:p>
  </w:footnote>
  <w:footnote w:id="43">
    <w:p w14:paraId="76ED83EE"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Sentencia </w:t>
      </w:r>
      <w:proofErr w:type="spellStart"/>
      <w:r w:rsidRPr="00235715">
        <w:rPr>
          <w:sz w:val="18"/>
          <w:szCs w:val="18"/>
        </w:rPr>
        <w:t>SC2348</w:t>
      </w:r>
      <w:proofErr w:type="spellEnd"/>
      <w:r w:rsidRPr="00235715">
        <w:rPr>
          <w:sz w:val="18"/>
          <w:szCs w:val="18"/>
        </w:rPr>
        <w:t>-2021</w:t>
      </w:r>
    </w:p>
  </w:footnote>
  <w:footnote w:id="44">
    <w:p w14:paraId="7BA3DD4F" w14:textId="77777777" w:rsidR="005D64D7" w:rsidRPr="00235715" w:rsidRDefault="005D64D7" w:rsidP="00235715">
      <w:pPr>
        <w:tabs>
          <w:tab w:val="left" w:pos="2410"/>
        </w:tabs>
        <w:spacing w:line="240" w:lineRule="auto"/>
        <w:jc w:val="both"/>
        <w:rPr>
          <w:rFonts w:eastAsia="Calibri"/>
          <w:sz w:val="18"/>
          <w:szCs w:val="18"/>
        </w:rPr>
      </w:pPr>
      <w:r w:rsidRPr="00235715">
        <w:rPr>
          <w:rStyle w:val="Refdenotaalpie"/>
          <w:sz w:val="18"/>
          <w:szCs w:val="18"/>
        </w:rPr>
        <w:footnoteRef/>
      </w:r>
      <w:r w:rsidRPr="00235715">
        <w:rPr>
          <w:sz w:val="18"/>
          <w:szCs w:val="18"/>
        </w:rPr>
        <w:t xml:space="preserve"> </w:t>
      </w:r>
      <w:r w:rsidRPr="00235715">
        <w:rPr>
          <w:sz w:val="18"/>
          <w:szCs w:val="18"/>
          <w:lang w:val="es-ES"/>
        </w:rPr>
        <w:t>C-</w:t>
      </w:r>
      <w:proofErr w:type="spellStart"/>
      <w:r w:rsidRPr="00235715">
        <w:rPr>
          <w:sz w:val="18"/>
          <w:szCs w:val="18"/>
          <w:lang w:val="es-ES"/>
        </w:rPr>
        <w:t>01PrimeraInstancia</w:t>
      </w:r>
      <w:proofErr w:type="spellEnd"/>
      <w:r w:rsidRPr="00235715">
        <w:rPr>
          <w:sz w:val="18"/>
          <w:szCs w:val="18"/>
          <w:lang w:val="es-ES"/>
        </w:rPr>
        <w:t>, C-</w:t>
      </w:r>
      <w:proofErr w:type="spellStart"/>
      <w:r w:rsidRPr="00235715">
        <w:rPr>
          <w:sz w:val="18"/>
          <w:szCs w:val="18"/>
          <w:lang w:val="es-ES"/>
        </w:rPr>
        <w:t>01Principal</w:t>
      </w:r>
      <w:proofErr w:type="spellEnd"/>
      <w:r w:rsidRPr="00235715">
        <w:rPr>
          <w:sz w:val="18"/>
          <w:szCs w:val="18"/>
          <w:lang w:val="es-ES"/>
        </w:rPr>
        <w:t xml:space="preserve">, </w:t>
      </w:r>
      <w:proofErr w:type="spellStart"/>
      <w:r w:rsidRPr="00235715">
        <w:rPr>
          <w:sz w:val="18"/>
          <w:szCs w:val="18"/>
          <w:lang w:val="es-ES"/>
        </w:rPr>
        <w:t>aud</w:t>
      </w:r>
      <w:proofErr w:type="spellEnd"/>
      <w:r w:rsidRPr="00235715">
        <w:rPr>
          <w:sz w:val="18"/>
          <w:szCs w:val="18"/>
          <w:lang w:val="es-ES"/>
        </w:rPr>
        <w:t xml:space="preserve">. Instrucción y Juzgamiento, </w:t>
      </w:r>
      <w:proofErr w:type="spellStart"/>
      <w:r w:rsidRPr="00235715">
        <w:rPr>
          <w:sz w:val="18"/>
          <w:szCs w:val="18"/>
          <w:lang w:val="es-ES"/>
        </w:rPr>
        <w:t>arch</w:t>
      </w:r>
      <w:proofErr w:type="spellEnd"/>
      <w:r w:rsidRPr="00235715">
        <w:rPr>
          <w:sz w:val="18"/>
          <w:szCs w:val="18"/>
          <w:lang w:val="es-ES"/>
        </w:rPr>
        <w:t xml:space="preserve">. 042, </w:t>
      </w:r>
      <w:r w:rsidRPr="00235715">
        <w:rPr>
          <w:rFonts w:eastAsia="Calibri"/>
          <w:sz w:val="18"/>
          <w:szCs w:val="18"/>
        </w:rPr>
        <w:t>0:38:21</w:t>
      </w:r>
    </w:p>
  </w:footnote>
  <w:footnote w:id="45">
    <w:p w14:paraId="586E24D8"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01:26:50, </w:t>
      </w:r>
      <w:proofErr w:type="spellStart"/>
      <w:r w:rsidRPr="00235715">
        <w:rPr>
          <w:sz w:val="18"/>
          <w:szCs w:val="18"/>
        </w:rPr>
        <w:t>ibidem</w:t>
      </w:r>
      <w:proofErr w:type="spellEnd"/>
      <w:r w:rsidRPr="00235715">
        <w:rPr>
          <w:sz w:val="18"/>
          <w:szCs w:val="18"/>
        </w:rPr>
        <w:t xml:space="preserve">. </w:t>
      </w:r>
    </w:p>
  </w:footnote>
  <w:footnote w:id="46">
    <w:p w14:paraId="14886A22"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02:03:20, </w:t>
      </w:r>
      <w:proofErr w:type="spellStart"/>
      <w:r w:rsidRPr="00235715">
        <w:rPr>
          <w:sz w:val="18"/>
          <w:szCs w:val="18"/>
        </w:rPr>
        <w:t>ibidem</w:t>
      </w:r>
      <w:proofErr w:type="spellEnd"/>
      <w:r w:rsidRPr="00235715">
        <w:rPr>
          <w:sz w:val="18"/>
          <w:szCs w:val="18"/>
        </w:rPr>
        <w:t xml:space="preserve">. </w:t>
      </w:r>
    </w:p>
  </w:footnote>
  <w:footnote w:id="47">
    <w:p w14:paraId="505C50E6"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0</w:t>
      </w:r>
      <w:r w:rsidRPr="00235715">
        <w:rPr>
          <w:sz w:val="18"/>
          <w:szCs w:val="18"/>
          <w:lang w:val="es-ES"/>
        </w:rPr>
        <w:t xml:space="preserve">2:03:45, </w:t>
      </w:r>
      <w:proofErr w:type="spellStart"/>
      <w:r w:rsidRPr="00235715">
        <w:rPr>
          <w:sz w:val="18"/>
          <w:szCs w:val="18"/>
          <w:lang w:val="es-ES"/>
        </w:rPr>
        <w:t>ibidem</w:t>
      </w:r>
      <w:proofErr w:type="spellEnd"/>
      <w:r w:rsidRPr="00235715">
        <w:rPr>
          <w:sz w:val="18"/>
          <w:szCs w:val="18"/>
          <w:lang w:val="es-ES"/>
        </w:rPr>
        <w:t>.</w:t>
      </w:r>
    </w:p>
  </w:footnote>
  <w:footnote w:id="48">
    <w:p w14:paraId="00986A64"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02:04:10, </w:t>
      </w:r>
      <w:proofErr w:type="spellStart"/>
      <w:r w:rsidRPr="00235715">
        <w:rPr>
          <w:sz w:val="18"/>
          <w:szCs w:val="18"/>
        </w:rPr>
        <w:t>ibidem</w:t>
      </w:r>
      <w:proofErr w:type="spellEnd"/>
      <w:r w:rsidRPr="00235715">
        <w:rPr>
          <w:sz w:val="18"/>
          <w:szCs w:val="18"/>
        </w:rPr>
        <w:t>.</w:t>
      </w:r>
    </w:p>
  </w:footnote>
  <w:footnote w:id="49">
    <w:p w14:paraId="723621D7"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r w:rsidRPr="00235715">
        <w:rPr>
          <w:sz w:val="18"/>
          <w:szCs w:val="18"/>
          <w:lang w:val="es-ES"/>
        </w:rPr>
        <w:t>C-</w:t>
      </w:r>
      <w:proofErr w:type="spellStart"/>
      <w:r w:rsidRPr="00235715">
        <w:rPr>
          <w:sz w:val="18"/>
          <w:szCs w:val="18"/>
          <w:lang w:val="es-ES"/>
        </w:rPr>
        <w:t>01PrimeraInstancia</w:t>
      </w:r>
      <w:proofErr w:type="spellEnd"/>
      <w:r w:rsidRPr="00235715">
        <w:rPr>
          <w:sz w:val="18"/>
          <w:szCs w:val="18"/>
          <w:lang w:val="es-ES"/>
        </w:rPr>
        <w:t>, C-</w:t>
      </w:r>
      <w:proofErr w:type="spellStart"/>
      <w:r w:rsidRPr="00235715">
        <w:rPr>
          <w:sz w:val="18"/>
          <w:szCs w:val="18"/>
          <w:lang w:val="es-ES"/>
        </w:rPr>
        <w:t>01Principal</w:t>
      </w:r>
      <w:proofErr w:type="spellEnd"/>
      <w:r w:rsidRPr="00235715">
        <w:rPr>
          <w:sz w:val="18"/>
          <w:szCs w:val="18"/>
          <w:lang w:val="es-ES"/>
        </w:rPr>
        <w:t xml:space="preserve">, </w:t>
      </w:r>
      <w:proofErr w:type="spellStart"/>
      <w:r w:rsidRPr="00235715">
        <w:rPr>
          <w:sz w:val="18"/>
          <w:szCs w:val="18"/>
          <w:lang w:val="es-ES"/>
        </w:rPr>
        <w:t>aud</w:t>
      </w:r>
      <w:proofErr w:type="spellEnd"/>
      <w:r w:rsidRPr="00235715">
        <w:rPr>
          <w:sz w:val="18"/>
          <w:szCs w:val="18"/>
          <w:lang w:val="es-ES"/>
        </w:rPr>
        <w:t xml:space="preserve">. Instrucción y juzgamiento, </w:t>
      </w:r>
      <w:proofErr w:type="spellStart"/>
      <w:r w:rsidRPr="00235715">
        <w:rPr>
          <w:sz w:val="18"/>
          <w:szCs w:val="18"/>
          <w:lang w:val="es-ES"/>
        </w:rPr>
        <w:t>arch</w:t>
      </w:r>
      <w:proofErr w:type="spellEnd"/>
      <w:r w:rsidRPr="00235715">
        <w:rPr>
          <w:sz w:val="18"/>
          <w:szCs w:val="18"/>
          <w:lang w:val="es-ES"/>
        </w:rPr>
        <w:t>. 044, 00:24:30.</w:t>
      </w:r>
    </w:p>
  </w:footnote>
  <w:footnote w:id="50">
    <w:p w14:paraId="21BD390F"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r w:rsidRPr="00235715">
        <w:rPr>
          <w:sz w:val="18"/>
          <w:szCs w:val="18"/>
          <w:lang w:val="es-ES"/>
        </w:rPr>
        <w:t xml:space="preserve">00:25:34, </w:t>
      </w:r>
      <w:proofErr w:type="spellStart"/>
      <w:r w:rsidRPr="00235715">
        <w:rPr>
          <w:sz w:val="18"/>
          <w:szCs w:val="18"/>
          <w:lang w:val="es-ES"/>
        </w:rPr>
        <w:t>ibidem</w:t>
      </w:r>
      <w:proofErr w:type="spellEnd"/>
      <w:r w:rsidRPr="00235715">
        <w:rPr>
          <w:sz w:val="18"/>
          <w:szCs w:val="18"/>
          <w:lang w:val="es-ES"/>
        </w:rPr>
        <w:t xml:space="preserve">. </w:t>
      </w:r>
    </w:p>
  </w:footnote>
  <w:footnote w:id="51">
    <w:p w14:paraId="7342AE84"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r w:rsidRPr="00235715">
        <w:rPr>
          <w:sz w:val="18"/>
          <w:szCs w:val="18"/>
          <w:lang w:val="es-ES"/>
        </w:rPr>
        <w:t xml:space="preserve">00:26:20, </w:t>
      </w:r>
      <w:proofErr w:type="spellStart"/>
      <w:r w:rsidRPr="00235715">
        <w:rPr>
          <w:sz w:val="18"/>
          <w:szCs w:val="18"/>
          <w:lang w:val="es-ES"/>
        </w:rPr>
        <w:t>ibidem</w:t>
      </w:r>
      <w:proofErr w:type="spellEnd"/>
      <w:r w:rsidRPr="00235715">
        <w:rPr>
          <w:sz w:val="18"/>
          <w:szCs w:val="18"/>
          <w:lang w:val="es-ES"/>
        </w:rPr>
        <w:t xml:space="preserve">. </w:t>
      </w:r>
    </w:p>
  </w:footnote>
  <w:footnote w:id="52">
    <w:p w14:paraId="5043FCD0"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02:07:20, </w:t>
      </w:r>
      <w:proofErr w:type="spellStart"/>
      <w:r w:rsidRPr="00235715">
        <w:rPr>
          <w:sz w:val="18"/>
          <w:szCs w:val="18"/>
        </w:rPr>
        <w:t>ibidem</w:t>
      </w:r>
      <w:proofErr w:type="spellEnd"/>
      <w:r w:rsidRPr="00235715">
        <w:rPr>
          <w:sz w:val="18"/>
          <w:szCs w:val="18"/>
        </w:rPr>
        <w:t>.</w:t>
      </w:r>
    </w:p>
  </w:footnote>
  <w:footnote w:id="53">
    <w:p w14:paraId="5B469E70"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r w:rsidRPr="00235715">
        <w:rPr>
          <w:sz w:val="18"/>
          <w:szCs w:val="18"/>
          <w:lang w:val="es-ES"/>
        </w:rPr>
        <w:t>C-</w:t>
      </w:r>
      <w:proofErr w:type="spellStart"/>
      <w:r w:rsidRPr="00235715">
        <w:rPr>
          <w:sz w:val="18"/>
          <w:szCs w:val="18"/>
          <w:lang w:val="es-ES"/>
        </w:rPr>
        <w:t>01PrimeraInstancia</w:t>
      </w:r>
      <w:proofErr w:type="spellEnd"/>
      <w:r w:rsidRPr="00235715">
        <w:rPr>
          <w:sz w:val="18"/>
          <w:szCs w:val="18"/>
          <w:lang w:val="es-ES"/>
        </w:rPr>
        <w:t>, C-</w:t>
      </w:r>
      <w:proofErr w:type="spellStart"/>
      <w:r w:rsidRPr="00235715">
        <w:rPr>
          <w:sz w:val="18"/>
          <w:szCs w:val="18"/>
          <w:lang w:val="es-ES"/>
        </w:rPr>
        <w:t>01Principal</w:t>
      </w:r>
      <w:proofErr w:type="spellEnd"/>
      <w:r w:rsidRPr="00235715">
        <w:rPr>
          <w:sz w:val="18"/>
          <w:szCs w:val="18"/>
          <w:lang w:val="es-ES"/>
        </w:rPr>
        <w:t xml:space="preserve">, </w:t>
      </w:r>
      <w:proofErr w:type="spellStart"/>
      <w:r w:rsidRPr="00235715">
        <w:rPr>
          <w:sz w:val="18"/>
          <w:szCs w:val="18"/>
          <w:lang w:val="es-ES"/>
        </w:rPr>
        <w:t>aud</w:t>
      </w:r>
      <w:proofErr w:type="spellEnd"/>
      <w:r w:rsidRPr="00235715">
        <w:rPr>
          <w:sz w:val="18"/>
          <w:szCs w:val="18"/>
          <w:lang w:val="es-ES"/>
        </w:rPr>
        <w:t xml:space="preserve">. Instrucción y Juzgamiento, </w:t>
      </w:r>
      <w:proofErr w:type="spellStart"/>
      <w:r w:rsidRPr="00235715">
        <w:rPr>
          <w:sz w:val="18"/>
          <w:szCs w:val="18"/>
          <w:lang w:val="es-ES"/>
        </w:rPr>
        <w:t>arch</w:t>
      </w:r>
      <w:proofErr w:type="spellEnd"/>
      <w:r w:rsidRPr="00235715">
        <w:rPr>
          <w:sz w:val="18"/>
          <w:szCs w:val="18"/>
          <w:lang w:val="es-ES"/>
        </w:rPr>
        <w:t xml:space="preserve">. 042, 02:11:23. </w:t>
      </w:r>
    </w:p>
  </w:footnote>
  <w:footnote w:id="54">
    <w:p w14:paraId="3F391796"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r w:rsidRPr="00235715">
        <w:rPr>
          <w:sz w:val="18"/>
          <w:szCs w:val="18"/>
          <w:lang w:val="es-ES"/>
        </w:rPr>
        <w:t>C-</w:t>
      </w:r>
      <w:proofErr w:type="spellStart"/>
      <w:r w:rsidRPr="00235715">
        <w:rPr>
          <w:sz w:val="18"/>
          <w:szCs w:val="18"/>
          <w:lang w:val="es-ES"/>
        </w:rPr>
        <w:t>01PrimeraInstancia</w:t>
      </w:r>
      <w:proofErr w:type="spellEnd"/>
      <w:r w:rsidRPr="00235715">
        <w:rPr>
          <w:sz w:val="18"/>
          <w:szCs w:val="18"/>
          <w:lang w:val="es-ES"/>
        </w:rPr>
        <w:t>, C-</w:t>
      </w:r>
      <w:proofErr w:type="spellStart"/>
      <w:r w:rsidRPr="00235715">
        <w:rPr>
          <w:sz w:val="18"/>
          <w:szCs w:val="18"/>
          <w:lang w:val="es-ES"/>
        </w:rPr>
        <w:t>01Principal</w:t>
      </w:r>
      <w:proofErr w:type="spellEnd"/>
      <w:r w:rsidRPr="00235715">
        <w:rPr>
          <w:sz w:val="18"/>
          <w:szCs w:val="18"/>
          <w:lang w:val="es-ES"/>
        </w:rPr>
        <w:t xml:space="preserve">, </w:t>
      </w:r>
      <w:proofErr w:type="spellStart"/>
      <w:r w:rsidRPr="00235715">
        <w:rPr>
          <w:sz w:val="18"/>
          <w:szCs w:val="18"/>
          <w:lang w:val="es-ES"/>
        </w:rPr>
        <w:t>aud</w:t>
      </w:r>
      <w:proofErr w:type="spellEnd"/>
      <w:r w:rsidRPr="00235715">
        <w:rPr>
          <w:sz w:val="18"/>
          <w:szCs w:val="18"/>
          <w:lang w:val="es-ES"/>
        </w:rPr>
        <w:t xml:space="preserve">. Instrucción y Juzgamiento, </w:t>
      </w:r>
      <w:proofErr w:type="spellStart"/>
      <w:r w:rsidRPr="00235715">
        <w:rPr>
          <w:sz w:val="18"/>
          <w:szCs w:val="18"/>
          <w:lang w:val="es-ES"/>
        </w:rPr>
        <w:t>arch</w:t>
      </w:r>
      <w:proofErr w:type="spellEnd"/>
      <w:r w:rsidRPr="00235715">
        <w:rPr>
          <w:sz w:val="18"/>
          <w:szCs w:val="18"/>
          <w:lang w:val="es-ES"/>
        </w:rPr>
        <w:t xml:space="preserve">. 042, 0:55:50. </w:t>
      </w:r>
    </w:p>
  </w:footnote>
  <w:footnote w:id="55">
    <w:p w14:paraId="6FA7BCA1"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proofErr w:type="spellStart"/>
      <w:r w:rsidRPr="00235715">
        <w:rPr>
          <w:sz w:val="18"/>
          <w:szCs w:val="18"/>
          <w:lang w:val="es-ES"/>
        </w:rPr>
        <w:t>Aud</w:t>
      </w:r>
      <w:proofErr w:type="spellEnd"/>
      <w:r w:rsidRPr="00235715">
        <w:rPr>
          <w:sz w:val="18"/>
          <w:szCs w:val="18"/>
          <w:lang w:val="es-ES"/>
        </w:rPr>
        <w:t xml:space="preserve">. 373 </w:t>
      </w:r>
      <w:proofErr w:type="spellStart"/>
      <w:r w:rsidRPr="00235715">
        <w:rPr>
          <w:sz w:val="18"/>
          <w:szCs w:val="18"/>
          <w:lang w:val="es-ES"/>
        </w:rPr>
        <w:t>CGP</w:t>
      </w:r>
      <w:proofErr w:type="spellEnd"/>
      <w:r w:rsidRPr="00235715">
        <w:rPr>
          <w:sz w:val="18"/>
          <w:szCs w:val="18"/>
          <w:lang w:val="es-ES"/>
        </w:rPr>
        <w:t>, C-</w:t>
      </w:r>
      <w:proofErr w:type="spellStart"/>
      <w:r w:rsidRPr="00235715">
        <w:rPr>
          <w:sz w:val="18"/>
          <w:szCs w:val="18"/>
          <w:lang w:val="es-ES"/>
        </w:rPr>
        <w:t>01PrimeraInstancia</w:t>
      </w:r>
      <w:proofErr w:type="spellEnd"/>
      <w:r w:rsidRPr="00235715">
        <w:rPr>
          <w:sz w:val="18"/>
          <w:szCs w:val="18"/>
          <w:lang w:val="es-ES"/>
        </w:rPr>
        <w:t>, C-</w:t>
      </w:r>
      <w:proofErr w:type="spellStart"/>
      <w:r w:rsidRPr="00235715">
        <w:rPr>
          <w:sz w:val="18"/>
          <w:szCs w:val="18"/>
          <w:lang w:val="es-ES"/>
        </w:rPr>
        <w:t>01Principal</w:t>
      </w:r>
      <w:proofErr w:type="spellEnd"/>
      <w:r w:rsidRPr="00235715">
        <w:rPr>
          <w:sz w:val="18"/>
          <w:szCs w:val="18"/>
          <w:lang w:val="es-ES"/>
        </w:rPr>
        <w:t xml:space="preserve">, </w:t>
      </w:r>
      <w:proofErr w:type="spellStart"/>
      <w:r w:rsidRPr="00235715">
        <w:rPr>
          <w:sz w:val="18"/>
          <w:szCs w:val="18"/>
          <w:lang w:val="es-ES"/>
        </w:rPr>
        <w:t>arch</w:t>
      </w:r>
      <w:proofErr w:type="spellEnd"/>
      <w:r w:rsidRPr="00235715">
        <w:rPr>
          <w:sz w:val="18"/>
          <w:szCs w:val="18"/>
          <w:lang w:val="es-ES"/>
        </w:rPr>
        <w:t>. 044, 00:30:41</w:t>
      </w:r>
    </w:p>
  </w:footnote>
  <w:footnote w:id="56">
    <w:p w14:paraId="4B00ECA7" w14:textId="77777777"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proofErr w:type="spellStart"/>
      <w:r w:rsidRPr="00235715">
        <w:rPr>
          <w:sz w:val="18"/>
          <w:szCs w:val="18"/>
          <w:lang w:val="es-ES"/>
        </w:rPr>
        <w:t>Aud</w:t>
      </w:r>
      <w:proofErr w:type="spellEnd"/>
      <w:r w:rsidRPr="00235715">
        <w:rPr>
          <w:sz w:val="18"/>
          <w:szCs w:val="18"/>
          <w:lang w:val="es-ES"/>
        </w:rPr>
        <w:t xml:space="preserve">. 373 </w:t>
      </w:r>
      <w:proofErr w:type="spellStart"/>
      <w:r w:rsidRPr="00235715">
        <w:rPr>
          <w:sz w:val="18"/>
          <w:szCs w:val="18"/>
          <w:lang w:val="es-ES"/>
        </w:rPr>
        <w:t>CGP</w:t>
      </w:r>
      <w:proofErr w:type="spellEnd"/>
      <w:r w:rsidRPr="00235715">
        <w:rPr>
          <w:sz w:val="18"/>
          <w:szCs w:val="18"/>
          <w:lang w:val="es-ES"/>
        </w:rPr>
        <w:t>, C-</w:t>
      </w:r>
      <w:proofErr w:type="spellStart"/>
      <w:r w:rsidRPr="00235715">
        <w:rPr>
          <w:sz w:val="18"/>
          <w:szCs w:val="18"/>
          <w:lang w:val="es-ES"/>
        </w:rPr>
        <w:t>01PrimeraInstancia</w:t>
      </w:r>
      <w:proofErr w:type="spellEnd"/>
      <w:r w:rsidRPr="00235715">
        <w:rPr>
          <w:sz w:val="18"/>
          <w:szCs w:val="18"/>
          <w:lang w:val="es-ES"/>
        </w:rPr>
        <w:t>, C-</w:t>
      </w:r>
      <w:proofErr w:type="spellStart"/>
      <w:r w:rsidRPr="00235715">
        <w:rPr>
          <w:sz w:val="18"/>
          <w:szCs w:val="18"/>
          <w:lang w:val="es-ES"/>
        </w:rPr>
        <w:t>01Principal</w:t>
      </w:r>
      <w:proofErr w:type="spellEnd"/>
      <w:r w:rsidRPr="00235715">
        <w:rPr>
          <w:sz w:val="18"/>
          <w:szCs w:val="18"/>
          <w:lang w:val="es-ES"/>
        </w:rPr>
        <w:t xml:space="preserve">, </w:t>
      </w:r>
      <w:proofErr w:type="spellStart"/>
      <w:r w:rsidRPr="00235715">
        <w:rPr>
          <w:sz w:val="18"/>
          <w:szCs w:val="18"/>
          <w:lang w:val="es-ES"/>
        </w:rPr>
        <w:t>arch</w:t>
      </w:r>
      <w:proofErr w:type="spellEnd"/>
      <w:r w:rsidRPr="00235715">
        <w:rPr>
          <w:sz w:val="18"/>
          <w:szCs w:val="18"/>
          <w:lang w:val="es-ES"/>
        </w:rPr>
        <w:t>. 050, 00:58:44</w:t>
      </w:r>
    </w:p>
  </w:footnote>
  <w:footnote w:id="57">
    <w:p w14:paraId="3FA8EB0D" w14:textId="77777777" w:rsidR="005D64D7" w:rsidRPr="00235715" w:rsidRDefault="005D64D7" w:rsidP="00235715">
      <w:pPr>
        <w:pStyle w:val="Textonotapie"/>
        <w:jc w:val="both"/>
        <w:rPr>
          <w:sz w:val="18"/>
          <w:szCs w:val="18"/>
        </w:rPr>
      </w:pPr>
      <w:r w:rsidRPr="00235715">
        <w:rPr>
          <w:rStyle w:val="Refdenotaalpie"/>
          <w:sz w:val="18"/>
          <w:szCs w:val="18"/>
        </w:rPr>
        <w:footnoteRef/>
      </w:r>
      <w:r w:rsidRPr="00235715">
        <w:rPr>
          <w:sz w:val="18"/>
          <w:szCs w:val="18"/>
        </w:rPr>
        <w:t xml:space="preserve"> </w:t>
      </w:r>
      <w:proofErr w:type="spellStart"/>
      <w:r w:rsidRPr="00235715">
        <w:rPr>
          <w:sz w:val="18"/>
          <w:szCs w:val="18"/>
          <w:lang w:val="es-ES"/>
        </w:rPr>
        <w:t>Aud</w:t>
      </w:r>
      <w:proofErr w:type="spellEnd"/>
      <w:r w:rsidRPr="00235715">
        <w:rPr>
          <w:sz w:val="18"/>
          <w:szCs w:val="18"/>
          <w:lang w:val="es-ES"/>
        </w:rPr>
        <w:t xml:space="preserve">. 373 </w:t>
      </w:r>
      <w:proofErr w:type="spellStart"/>
      <w:r w:rsidRPr="00235715">
        <w:rPr>
          <w:sz w:val="18"/>
          <w:szCs w:val="18"/>
          <w:lang w:val="es-ES"/>
        </w:rPr>
        <w:t>CGP</w:t>
      </w:r>
      <w:proofErr w:type="spellEnd"/>
      <w:r w:rsidRPr="00235715">
        <w:rPr>
          <w:sz w:val="18"/>
          <w:szCs w:val="18"/>
          <w:lang w:val="es-ES"/>
        </w:rPr>
        <w:t>, C-</w:t>
      </w:r>
      <w:proofErr w:type="spellStart"/>
      <w:r w:rsidRPr="00235715">
        <w:rPr>
          <w:sz w:val="18"/>
          <w:szCs w:val="18"/>
          <w:lang w:val="es-ES"/>
        </w:rPr>
        <w:t>01PrimeraInstancia</w:t>
      </w:r>
      <w:proofErr w:type="spellEnd"/>
      <w:r w:rsidRPr="00235715">
        <w:rPr>
          <w:sz w:val="18"/>
          <w:szCs w:val="18"/>
          <w:lang w:val="es-ES"/>
        </w:rPr>
        <w:t>, C-</w:t>
      </w:r>
      <w:proofErr w:type="spellStart"/>
      <w:r w:rsidRPr="00235715">
        <w:rPr>
          <w:sz w:val="18"/>
          <w:szCs w:val="18"/>
          <w:lang w:val="es-ES"/>
        </w:rPr>
        <w:t>01Principal</w:t>
      </w:r>
      <w:proofErr w:type="spellEnd"/>
      <w:r w:rsidRPr="00235715">
        <w:rPr>
          <w:sz w:val="18"/>
          <w:szCs w:val="18"/>
          <w:lang w:val="es-ES"/>
        </w:rPr>
        <w:t xml:space="preserve">, </w:t>
      </w:r>
      <w:proofErr w:type="spellStart"/>
      <w:r w:rsidRPr="00235715">
        <w:rPr>
          <w:sz w:val="18"/>
          <w:szCs w:val="18"/>
          <w:lang w:val="es-ES"/>
        </w:rPr>
        <w:t>arch</w:t>
      </w:r>
      <w:proofErr w:type="spellEnd"/>
      <w:r w:rsidRPr="00235715">
        <w:rPr>
          <w:sz w:val="18"/>
          <w:szCs w:val="18"/>
          <w:lang w:val="es-ES"/>
        </w:rPr>
        <w:t xml:space="preserve">. 044, </w:t>
      </w:r>
      <w:r w:rsidRPr="00235715">
        <w:rPr>
          <w:sz w:val="18"/>
          <w:szCs w:val="18"/>
        </w:rPr>
        <w:t xml:space="preserve">0:30:45 </w:t>
      </w:r>
    </w:p>
  </w:footnote>
  <w:footnote w:id="58">
    <w:p w14:paraId="44E2968F" w14:textId="77777777" w:rsidR="005D64D7" w:rsidRPr="00235715" w:rsidRDefault="005D64D7" w:rsidP="00235715">
      <w:pPr>
        <w:pStyle w:val="Textonotapie"/>
        <w:jc w:val="both"/>
        <w:rPr>
          <w:sz w:val="18"/>
          <w:szCs w:val="18"/>
          <w:lang w:val="es-MX"/>
        </w:rPr>
      </w:pPr>
      <w:r w:rsidRPr="00235715">
        <w:rPr>
          <w:rStyle w:val="Refdenotaalpie"/>
          <w:sz w:val="18"/>
          <w:szCs w:val="18"/>
        </w:rPr>
        <w:footnoteRef/>
      </w:r>
      <w:r w:rsidRPr="00235715">
        <w:rPr>
          <w:sz w:val="18"/>
          <w:szCs w:val="18"/>
        </w:rPr>
        <w:t xml:space="preserve"> Tribunal Superior de Pereira, Sala Civil-Familia, sentencias del 1° de septiembre de 2015, radicado 2012-00278-01 y del 6 de marzo de 2018, radicado 2015-00159-02, </w:t>
      </w:r>
    </w:p>
  </w:footnote>
  <w:footnote w:id="59">
    <w:p w14:paraId="43B6C63D" w14:textId="77777777" w:rsidR="005D64D7" w:rsidRPr="00235715" w:rsidRDefault="005D64D7" w:rsidP="00235715">
      <w:pPr>
        <w:pStyle w:val="Textonotapie"/>
        <w:jc w:val="both"/>
        <w:rPr>
          <w:sz w:val="18"/>
          <w:szCs w:val="18"/>
          <w:lang w:val="es-MX"/>
        </w:rPr>
      </w:pPr>
      <w:r w:rsidRPr="00235715">
        <w:rPr>
          <w:rStyle w:val="Refdenotaalpie"/>
          <w:sz w:val="18"/>
          <w:szCs w:val="18"/>
        </w:rPr>
        <w:footnoteRef/>
      </w:r>
      <w:r w:rsidRPr="00235715">
        <w:rPr>
          <w:sz w:val="18"/>
          <w:szCs w:val="18"/>
        </w:rPr>
        <w:t xml:space="preserve"> </w:t>
      </w:r>
      <w:proofErr w:type="spellStart"/>
      <w:r w:rsidRPr="00235715">
        <w:rPr>
          <w:sz w:val="18"/>
          <w:szCs w:val="18"/>
          <w:lang w:val="es-MX"/>
        </w:rPr>
        <w:t>TSP</w:t>
      </w:r>
      <w:proofErr w:type="spellEnd"/>
      <w:r w:rsidRPr="00235715">
        <w:rPr>
          <w:sz w:val="18"/>
          <w:szCs w:val="18"/>
          <w:lang w:val="es-MX"/>
        </w:rPr>
        <w:t>-</w:t>
      </w:r>
      <w:proofErr w:type="spellStart"/>
      <w:r w:rsidRPr="00235715">
        <w:rPr>
          <w:sz w:val="18"/>
          <w:szCs w:val="18"/>
          <w:lang w:val="es-MX"/>
        </w:rPr>
        <w:t>SC0053</w:t>
      </w:r>
      <w:proofErr w:type="spellEnd"/>
      <w:r w:rsidRPr="00235715">
        <w:rPr>
          <w:sz w:val="18"/>
          <w:szCs w:val="18"/>
          <w:lang w:val="es-MX"/>
        </w:rPr>
        <w:t>-2022</w:t>
      </w:r>
    </w:p>
  </w:footnote>
  <w:footnote w:id="60">
    <w:p w14:paraId="416B51CC" w14:textId="77777777" w:rsidR="005D64D7" w:rsidRPr="00235715" w:rsidRDefault="005D64D7" w:rsidP="00235715">
      <w:pPr>
        <w:pStyle w:val="Textonotapie"/>
        <w:jc w:val="both"/>
        <w:rPr>
          <w:sz w:val="18"/>
          <w:szCs w:val="18"/>
          <w:lang w:val="es-ES"/>
        </w:rPr>
      </w:pPr>
      <w:r w:rsidRPr="00235715">
        <w:rPr>
          <w:sz w:val="18"/>
          <w:szCs w:val="18"/>
          <w:lang w:val="es-ES"/>
        </w:rPr>
        <w:footnoteRef/>
      </w:r>
      <w:r w:rsidRPr="00235715">
        <w:rPr>
          <w:sz w:val="18"/>
          <w:szCs w:val="18"/>
          <w:lang w:val="es-ES"/>
        </w:rPr>
        <w:t xml:space="preserve"> Sentencias del 19 de julio del 2019, radicado 661703103002201700034501; del 25 de agosto de 2020, radicado 66001310300320170035301; del 3 de diciembre de 2021, radicado 66-001-31-03-002-2019-00142-01 a la que se acumuló la demanda con radicado 66-001-31-03-004-2019-00165-00; y </w:t>
      </w:r>
      <w:proofErr w:type="spellStart"/>
      <w:r w:rsidRPr="00235715">
        <w:rPr>
          <w:sz w:val="18"/>
          <w:szCs w:val="18"/>
          <w:lang w:val="es-ES"/>
        </w:rPr>
        <w:t>TPS.SC0071</w:t>
      </w:r>
      <w:proofErr w:type="spellEnd"/>
      <w:r w:rsidRPr="00235715">
        <w:rPr>
          <w:sz w:val="18"/>
          <w:szCs w:val="18"/>
          <w:lang w:val="es-ES"/>
        </w:rPr>
        <w:t>-2021</w:t>
      </w:r>
    </w:p>
  </w:footnote>
  <w:footnote w:id="61">
    <w:p w14:paraId="24C64F0E" w14:textId="7DE1F7BF"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r w:rsidRPr="00235715">
        <w:rPr>
          <w:rFonts w:eastAsia="Calibri"/>
          <w:sz w:val="18"/>
          <w:szCs w:val="18"/>
          <w:lang w:val="es-CO"/>
        </w:rPr>
        <w:t xml:space="preserve">Sentencia </w:t>
      </w:r>
      <w:proofErr w:type="spellStart"/>
      <w:r w:rsidRPr="00235715">
        <w:rPr>
          <w:rFonts w:eastAsia="Calibri"/>
          <w:sz w:val="18"/>
          <w:szCs w:val="18"/>
          <w:lang w:val="es-CO"/>
        </w:rPr>
        <w:t>SC5686</w:t>
      </w:r>
      <w:proofErr w:type="spellEnd"/>
      <w:r w:rsidRPr="00235715">
        <w:rPr>
          <w:rFonts w:eastAsia="Calibri"/>
          <w:sz w:val="18"/>
          <w:szCs w:val="18"/>
          <w:lang w:val="es-CO"/>
        </w:rPr>
        <w:t>-2018</w:t>
      </w:r>
    </w:p>
  </w:footnote>
  <w:footnote w:id="62">
    <w:p w14:paraId="6EA3EFAF" w14:textId="77777777" w:rsidR="005D64D7" w:rsidRPr="00235715" w:rsidRDefault="005D64D7" w:rsidP="00235715">
      <w:pPr>
        <w:pStyle w:val="Textonotapie"/>
        <w:jc w:val="both"/>
        <w:rPr>
          <w:sz w:val="18"/>
          <w:szCs w:val="18"/>
          <w:lang w:val="es-ES"/>
        </w:rPr>
      </w:pPr>
      <w:r w:rsidRPr="00235715">
        <w:rPr>
          <w:sz w:val="18"/>
          <w:szCs w:val="18"/>
          <w:lang w:val="es-ES"/>
        </w:rPr>
        <w:footnoteRef/>
      </w:r>
      <w:r w:rsidRPr="00235715">
        <w:rPr>
          <w:sz w:val="18"/>
          <w:szCs w:val="18"/>
          <w:lang w:val="es-ES"/>
        </w:rPr>
        <w:t xml:space="preserve"> CSJ, Civil. Sentencia del 04-04-1968, </w:t>
      </w:r>
      <w:proofErr w:type="spellStart"/>
      <w:r w:rsidRPr="00235715">
        <w:rPr>
          <w:sz w:val="18"/>
          <w:szCs w:val="18"/>
          <w:lang w:val="es-ES"/>
        </w:rPr>
        <w:t>MP</w:t>
      </w:r>
      <w:proofErr w:type="spellEnd"/>
      <w:r w:rsidRPr="00235715">
        <w:rPr>
          <w:sz w:val="18"/>
          <w:szCs w:val="18"/>
          <w:lang w:val="es-ES"/>
        </w:rPr>
        <w:t xml:space="preserve">: </w:t>
      </w:r>
      <w:proofErr w:type="spellStart"/>
      <w:r w:rsidRPr="00235715">
        <w:rPr>
          <w:sz w:val="18"/>
          <w:szCs w:val="18"/>
          <w:lang w:val="es-ES"/>
        </w:rPr>
        <w:t>Hinestrosa</w:t>
      </w:r>
      <w:proofErr w:type="spellEnd"/>
      <w:r w:rsidRPr="00235715">
        <w:rPr>
          <w:sz w:val="18"/>
          <w:szCs w:val="18"/>
          <w:lang w:val="es-ES"/>
        </w:rPr>
        <w:t xml:space="preserve">, Gaceta Judicial, </w:t>
      </w:r>
      <w:proofErr w:type="spellStart"/>
      <w:r w:rsidRPr="00235715">
        <w:rPr>
          <w:sz w:val="18"/>
          <w:szCs w:val="18"/>
          <w:lang w:val="es-ES"/>
        </w:rPr>
        <w:t>Nos.2267</w:t>
      </w:r>
      <w:proofErr w:type="spellEnd"/>
      <w:r w:rsidRPr="00235715">
        <w:rPr>
          <w:sz w:val="18"/>
          <w:szCs w:val="18"/>
          <w:lang w:val="es-ES"/>
        </w:rPr>
        <w:t xml:space="preserve"> a 2299, </w:t>
      </w:r>
      <w:proofErr w:type="spellStart"/>
      <w:r w:rsidRPr="00235715">
        <w:rPr>
          <w:sz w:val="18"/>
          <w:szCs w:val="18"/>
          <w:lang w:val="es-ES"/>
        </w:rPr>
        <w:t>p.58</w:t>
      </w:r>
      <w:proofErr w:type="spellEnd"/>
      <w:r w:rsidRPr="00235715">
        <w:rPr>
          <w:sz w:val="18"/>
          <w:szCs w:val="18"/>
          <w:lang w:val="es-ES"/>
        </w:rPr>
        <w:t>-65.</w:t>
      </w:r>
    </w:p>
  </w:footnote>
  <w:footnote w:id="63">
    <w:p w14:paraId="222F0762" w14:textId="77777777" w:rsidR="005D64D7" w:rsidRPr="00235715" w:rsidRDefault="005D64D7" w:rsidP="00235715">
      <w:pPr>
        <w:pStyle w:val="Textonotapie"/>
        <w:jc w:val="both"/>
        <w:rPr>
          <w:sz w:val="18"/>
          <w:szCs w:val="18"/>
          <w:lang w:val="es-ES"/>
        </w:rPr>
      </w:pPr>
      <w:r w:rsidRPr="00235715">
        <w:rPr>
          <w:sz w:val="18"/>
          <w:szCs w:val="18"/>
          <w:lang w:val="es-ES"/>
        </w:rPr>
        <w:footnoteRef/>
      </w:r>
      <w:r w:rsidRPr="00235715">
        <w:rPr>
          <w:sz w:val="18"/>
          <w:szCs w:val="18"/>
          <w:lang w:val="es-ES"/>
        </w:rPr>
        <w:t xml:space="preserve"> GIL B., Enrique. La </w:t>
      </w:r>
      <w:proofErr w:type="spellStart"/>
      <w:r w:rsidRPr="00235715">
        <w:rPr>
          <w:sz w:val="18"/>
          <w:szCs w:val="18"/>
          <w:lang w:val="es-ES"/>
        </w:rPr>
        <w:t>constitucionalización</w:t>
      </w:r>
      <w:proofErr w:type="spellEnd"/>
      <w:r w:rsidRPr="00235715">
        <w:rPr>
          <w:sz w:val="18"/>
          <w:szCs w:val="18"/>
          <w:lang w:val="es-ES"/>
        </w:rPr>
        <w:t xml:space="preserve"> del derecho de daños, nuevo sistema de daños en la responsabilidad extracontractual del estado, 2014, Temis </w:t>
      </w:r>
      <w:proofErr w:type="spellStart"/>
      <w:r w:rsidRPr="00235715">
        <w:rPr>
          <w:sz w:val="18"/>
          <w:szCs w:val="18"/>
          <w:lang w:val="es-ES"/>
        </w:rPr>
        <w:t>SA</w:t>
      </w:r>
      <w:proofErr w:type="spellEnd"/>
      <w:r w:rsidRPr="00235715">
        <w:rPr>
          <w:sz w:val="18"/>
          <w:szCs w:val="18"/>
          <w:lang w:val="es-ES"/>
        </w:rPr>
        <w:t xml:space="preserve">, Bogotá DC, </w:t>
      </w:r>
      <w:proofErr w:type="spellStart"/>
      <w:r w:rsidRPr="00235715">
        <w:rPr>
          <w:sz w:val="18"/>
          <w:szCs w:val="18"/>
          <w:lang w:val="es-ES"/>
        </w:rPr>
        <w:t>p.113</w:t>
      </w:r>
      <w:proofErr w:type="spellEnd"/>
      <w:r w:rsidRPr="00235715">
        <w:rPr>
          <w:sz w:val="18"/>
          <w:szCs w:val="18"/>
          <w:lang w:val="es-ES"/>
        </w:rPr>
        <w:t>.</w:t>
      </w:r>
    </w:p>
  </w:footnote>
  <w:footnote w:id="64">
    <w:p w14:paraId="013B095B" w14:textId="77777777" w:rsidR="005D64D7" w:rsidRPr="00235715" w:rsidRDefault="005D64D7" w:rsidP="00235715">
      <w:pPr>
        <w:pStyle w:val="Textonotapie"/>
        <w:jc w:val="both"/>
        <w:rPr>
          <w:sz w:val="18"/>
          <w:szCs w:val="18"/>
          <w:lang w:val="es-ES"/>
        </w:rPr>
      </w:pPr>
      <w:r w:rsidRPr="00235715">
        <w:rPr>
          <w:sz w:val="18"/>
          <w:szCs w:val="18"/>
          <w:lang w:val="es-ES"/>
        </w:rPr>
        <w:footnoteRef/>
      </w:r>
      <w:r w:rsidRPr="00235715">
        <w:rPr>
          <w:sz w:val="18"/>
          <w:szCs w:val="18"/>
          <w:lang w:val="es-ES"/>
        </w:rPr>
        <w:t xml:space="preserve"> MARTÍNEZ V. María J. El daño a la salud en la jurisprudencia del Consejo de Estado, antecedentes, origen, evolución y estado actual, 2018, editorial </w:t>
      </w:r>
      <w:proofErr w:type="spellStart"/>
      <w:r w:rsidRPr="00235715">
        <w:rPr>
          <w:sz w:val="18"/>
          <w:szCs w:val="18"/>
          <w:lang w:val="es-ES"/>
        </w:rPr>
        <w:t>Ibañez</w:t>
      </w:r>
      <w:proofErr w:type="spellEnd"/>
      <w:r w:rsidRPr="00235715">
        <w:rPr>
          <w:sz w:val="18"/>
          <w:szCs w:val="18"/>
          <w:lang w:val="es-ES"/>
        </w:rPr>
        <w:t>, Bogotá DC.</w:t>
      </w:r>
    </w:p>
  </w:footnote>
  <w:footnote w:id="65">
    <w:p w14:paraId="50E297DD" w14:textId="77777777" w:rsidR="005D64D7" w:rsidRPr="00235715" w:rsidRDefault="005D64D7" w:rsidP="00235715">
      <w:pPr>
        <w:pStyle w:val="Textonotapie"/>
        <w:jc w:val="both"/>
        <w:rPr>
          <w:sz w:val="18"/>
          <w:szCs w:val="18"/>
          <w:lang w:val="es-ES"/>
        </w:rPr>
      </w:pPr>
      <w:r w:rsidRPr="00235715">
        <w:rPr>
          <w:sz w:val="18"/>
          <w:szCs w:val="18"/>
          <w:lang w:val="es-ES"/>
        </w:rPr>
        <w:footnoteRef/>
      </w:r>
      <w:r w:rsidRPr="00235715">
        <w:rPr>
          <w:sz w:val="18"/>
          <w:szCs w:val="18"/>
          <w:lang w:val="es-ES"/>
        </w:rPr>
        <w:t xml:space="preserve"> CE, Sección 3ª. Sentencia del 14-09-2011; </w:t>
      </w:r>
      <w:proofErr w:type="spellStart"/>
      <w:r w:rsidRPr="00235715">
        <w:rPr>
          <w:sz w:val="18"/>
          <w:szCs w:val="18"/>
          <w:lang w:val="es-ES"/>
        </w:rPr>
        <w:t>CP</w:t>
      </w:r>
      <w:proofErr w:type="spellEnd"/>
      <w:r w:rsidRPr="00235715">
        <w:rPr>
          <w:sz w:val="18"/>
          <w:szCs w:val="18"/>
          <w:lang w:val="es-ES"/>
        </w:rPr>
        <w:t xml:space="preserve">: Gil B., </w:t>
      </w:r>
      <w:proofErr w:type="spellStart"/>
      <w:r w:rsidRPr="00235715">
        <w:rPr>
          <w:sz w:val="18"/>
          <w:szCs w:val="18"/>
          <w:lang w:val="es-ES"/>
        </w:rPr>
        <w:t>No.19.031</w:t>
      </w:r>
      <w:proofErr w:type="spellEnd"/>
      <w:r w:rsidRPr="00235715">
        <w:rPr>
          <w:sz w:val="18"/>
          <w:szCs w:val="18"/>
          <w:lang w:val="es-ES"/>
        </w:rPr>
        <w:t>.</w:t>
      </w:r>
    </w:p>
  </w:footnote>
  <w:footnote w:id="66">
    <w:p w14:paraId="1FE8CEC8" w14:textId="77777777" w:rsidR="005D64D7" w:rsidRPr="00235715" w:rsidRDefault="005D64D7" w:rsidP="00235715">
      <w:pPr>
        <w:pStyle w:val="Textonotapie"/>
        <w:jc w:val="both"/>
        <w:rPr>
          <w:sz w:val="18"/>
          <w:szCs w:val="18"/>
          <w:lang w:val="es-ES"/>
        </w:rPr>
      </w:pPr>
      <w:r w:rsidRPr="00235715">
        <w:rPr>
          <w:sz w:val="18"/>
          <w:szCs w:val="18"/>
          <w:lang w:val="es-ES"/>
        </w:rPr>
        <w:footnoteRef/>
      </w:r>
      <w:r w:rsidRPr="00235715">
        <w:rPr>
          <w:sz w:val="18"/>
          <w:szCs w:val="18"/>
          <w:lang w:val="es-ES"/>
        </w:rPr>
        <w:t xml:space="preserve"> CE, Sección 3ª. Sentencia del 11-07-2013; </w:t>
      </w:r>
      <w:proofErr w:type="spellStart"/>
      <w:r w:rsidRPr="00235715">
        <w:rPr>
          <w:sz w:val="18"/>
          <w:szCs w:val="18"/>
          <w:lang w:val="es-ES"/>
        </w:rPr>
        <w:t>CP</w:t>
      </w:r>
      <w:proofErr w:type="spellEnd"/>
      <w:r w:rsidRPr="00235715">
        <w:rPr>
          <w:sz w:val="18"/>
          <w:szCs w:val="18"/>
          <w:lang w:val="es-ES"/>
        </w:rPr>
        <w:t xml:space="preserve">: </w:t>
      </w:r>
      <w:proofErr w:type="spellStart"/>
      <w:r w:rsidRPr="00235715">
        <w:rPr>
          <w:sz w:val="18"/>
          <w:szCs w:val="18"/>
          <w:lang w:val="es-ES"/>
        </w:rPr>
        <w:t>Santofimio</w:t>
      </w:r>
      <w:proofErr w:type="spellEnd"/>
      <w:r w:rsidRPr="00235715">
        <w:rPr>
          <w:sz w:val="18"/>
          <w:szCs w:val="18"/>
          <w:lang w:val="es-ES"/>
        </w:rPr>
        <w:t xml:space="preserve">, </w:t>
      </w:r>
      <w:proofErr w:type="spellStart"/>
      <w:r w:rsidRPr="00235715">
        <w:rPr>
          <w:sz w:val="18"/>
          <w:szCs w:val="18"/>
          <w:lang w:val="es-ES"/>
        </w:rPr>
        <w:t>No.28.792</w:t>
      </w:r>
      <w:proofErr w:type="spellEnd"/>
      <w:r w:rsidRPr="00235715">
        <w:rPr>
          <w:sz w:val="18"/>
          <w:szCs w:val="18"/>
          <w:lang w:val="es-ES"/>
        </w:rPr>
        <w:t xml:space="preserve"> y cinco (5) más acumulados.</w:t>
      </w:r>
    </w:p>
  </w:footnote>
  <w:footnote w:id="67">
    <w:p w14:paraId="41519743" w14:textId="77777777" w:rsidR="005D64D7" w:rsidRPr="00235715" w:rsidRDefault="005D64D7" w:rsidP="00235715">
      <w:pPr>
        <w:pStyle w:val="Textonotapie"/>
        <w:jc w:val="both"/>
        <w:rPr>
          <w:sz w:val="18"/>
          <w:szCs w:val="18"/>
          <w:lang w:val="es-ES"/>
        </w:rPr>
      </w:pPr>
      <w:r w:rsidRPr="00235715">
        <w:rPr>
          <w:sz w:val="18"/>
          <w:szCs w:val="18"/>
          <w:lang w:val="es-ES"/>
        </w:rPr>
        <w:footnoteRef/>
      </w:r>
      <w:r w:rsidRPr="00235715">
        <w:rPr>
          <w:sz w:val="18"/>
          <w:szCs w:val="18"/>
          <w:lang w:val="es-ES"/>
        </w:rPr>
        <w:t xml:space="preserve"> CSJ. SC-7824-2016, reiterada en SC-22036-2017.</w:t>
      </w:r>
    </w:p>
  </w:footnote>
  <w:footnote w:id="68">
    <w:p w14:paraId="7224BF8D" w14:textId="77777777" w:rsidR="005D64D7" w:rsidRPr="00235715" w:rsidRDefault="005D64D7" w:rsidP="00235715">
      <w:pPr>
        <w:pStyle w:val="Textonotapie"/>
        <w:jc w:val="both"/>
        <w:rPr>
          <w:sz w:val="18"/>
          <w:szCs w:val="18"/>
          <w:lang w:val="es-ES"/>
        </w:rPr>
      </w:pPr>
      <w:r w:rsidRPr="00235715">
        <w:rPr>
          <w:sz w:val="18"/>
          <w:szCs w:val="18"/>
          <w:lang w:val="es-ES"/>
        </w:rPr>
        <w:footnoteRef/>
      </w:r>
      <w:r w:rsidRPr="00235715">
        <w:rPr>
          <w:sz w:val="18"/>
          <w:szCs w:val="18"/>
          <w:lang w:val="es-ES"/>
        </w:rPr>
        <w:t xml:space="preserve"> CSJ, SC-5885-2016.</w:t>
      </w:r>
    </w:p>
  </w:footnote>
  <w:footnote w:id="69">
    <w:p w14:paraId="4A5AB4AE" w14:textId="0FE4EB55"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Tribunal Superior de Pereira, Sala </w:t>
      </w:r>
      <w:proofErr w:type="spellStart"/>
      <w:r w:rsidRPr="00235715">
        <w:rPr>
          <w:sz w:val="18"/>
          <w:szCs w:val="18"/>
        </w:rPr>
        <w:t>Civil.Familia</w:t>
      </w:r>
      <w:proofErr w:type="spellEnd"/>
      <w:r w:rsidRPr="00235715">
        <w:rPr>
          <w:sz w:val="18"/>
          <w:szCs w:val="18"/>
        </w:rPr>
        <w:t xml:space="preserve">, sentencia </w:t>
      </w:r>
      <w:proofErr w:type="spellStart"/>
      <w:r w:rsidRPr="00235715">
        <w:rPr>
          <w:sz w:val="18"/>
          <w:szCs w:val="18"/>
        </w:rPr>
        <w:t>STP</w:t>
      </w:r>
      <w:proofErr w:type="spellEnd"/>
      <w:r w:rsidRPr="00235715">
        <w:rPr>
          <w:sz w:val="18"/>
          <w:szCs w:val="18"/>
        </w:rPr>
        <w:t>-SC-0080-2021.</w:t>
      </w:r>
    </w:p>
  </w:footnote>
  <w:footnote w:id="70">
    <w:p w14:paraId="30C006F5" w14:textId="26F3D3A5"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CSJ. SC-10297-2014</w:t>
      </w:r>
    </w:p>
  </w:footnote>
  <w:footnote w:id="71">
    <w:p w14:paraId="4ADAE14A" w14:textId="41EAB355"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CSJ. SC-562-2020.</w:t>
      </w:r>
    </w:p>
  </w:footnote>
  <w:footnote w:id="72">
    <w:p w14:paraId="577187CB" w14:textId="5B4B1D31"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CSJ. SC-5686-2018</w:t>
      </w:r>
    </w:p>
  </w:footnote>
  <w:footnote w:id="73">
    <w:p w14:paraId="47D8DDE0" w14:textId="23F3F18E" w:rsidR="005D64D7" w:rsidRPr="00235715" w:rsidRDefault="005D64D7" w:rsidP="00235715">
      <w:pPr>
        <w:pStyle w:val="Textonotapie"/>
        <w:jc w:val="both"/>
        <w:rPr>
          <w:sz w:val="18"/>
          <w:szCs w:val="18"/>
          <w:lang w:val="en-US"/>
        </w:rPr>
      </w:pPr>
      <w:r w:rsidRPr="00235715">
        <w:rPr>
          <w:rStyle w:val="Refdenotaalpie"/>
          <w:sz w:val="18"/>
          <w:szCs w:val="18"/>
        </w:rPr>
        <w:footnoteRef/>
      </w:r>
      <w:r w:rsidRPr="00235715">
        <w:rPr>
          <w:sz w:val="18"/>
          <w:szCs w:val="18"/>
          <w:lang w:val="en-US"/>
        </w:rPr>
        <w:t xml:space="preserve"> </w:t>
      </w:r>
      <w:proofErr w:type="spellStart"/>
      <w:r w:rsidRPr="00235715">
        <w:rPr>
          <w:sz w:val="18"/>
          <w:szCs w:val="18"/>
          <w:lang w:val="en-US"/>
        </w:rPr>
        <w:t>CSJ</w:t>
      </w:r>
      <w:proofErr w:type="spellEnd"/>
      <w:r w:rsidRPr="00235715">
        <w:rPr>
          <w:sz w:val="18"/>
          <w:szCs w:val="18"/>
          <w:lang w:val="en-US"/>
        </w:rPr>
        <w:t>. SC-13925-2016 y SC-9193-2017.</w:t>
      </w:r>
    </w:p>
  </w:footnote>
  <w:footnote w:id="74">
    <w:p w14:paraId="54A7EC47" w14:textId="1D4A1DDE" w:rsidR="005D64D7" w:rsidRPr="00235715" w:rsidRDefault="005D64D7" w:rsidP="00235715">
      <w:pPr>
        <w:pStyle w:val="Textonotapie"/>
        <w:jc w:val="both"/>
        <w:rPr>
          <w:sz w:val="18"/>
          <w:szCs w:val="18"/>
          <w:lang w:val="en-US"/>
        </w:rPr>
      </w:pPr>
      <w:r w:rsidRPr="00235715">
        <w:rPr>
          <w:rStyle w:val="Refdenotaalpie"/>
          <w:sz w:val="18"/>
          <w:szCs w:val="18"/>
        </w:rPr>
        <w:footnoteRef/>
      </w:r>
      <w:r w:rsidRPr="00235715">
        <w:rPr>
          <w:sz w:val="18"/>
          <w:szCs w:val="18"/>
          <w:lang w:val="en-US"/>
        </w:rPr>
        <w:t xml:space="preserve"> </w:t>
      </w:r>
      <w:proofErr w:type="spellStart"/>
      <w:r w:rsidRPr="00235715">
        <w:rPr>
          <w:sz w:val="18"/>
          <w:szCs w:val="18"/>
          <w:lang w:val="en-US"/>
        </w:rPr>
        <w:t>CSJ</w:t>
      </w:r>
      <w:proofErr w:type="spellEnd"/>
      <w:r w:rsidRPr="00235715">
        <w:rPr>
          <w:sz w:val="18"/>
          <w:szCs w:val="18"/>
          <w:lang w:val="en-US"/>
        </w:rPr>
        <w:t>. SC-562-2020.</w:t>
      </w:r>
    </w:p>
  </w:footnote>
  <w:footnote w:id="75">
    <w:p w14:paraId="08BA5E9E" w14:textId="3CAF014D"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lang w:val="en-US"/>
        </w:rPr>
        <w:t xml:space="preserve"> </w:t>
      </w:r>
      <w:proofErr w:type="spellStart"/>
      <w:r w:rsidRPr="00235715">
        <w:rPr>
          <w:sz w:val="18"/>
          <w:szCs w:val="18"/>
          <w:lang w:val="en-US"/>
        </w:rPr>
        <w:t>MACAUSLAND</w:t>
      </w:r>
      <w:proofErr w:type="spellEnd"/>
      <w:r w:rsidRPr="00235715">
        <w:rPr>
          <w:sz w:val="18"/>
          <w:szCs w:val="18"/>
          <w:lang w:val="en-US"/>
        </w:rPr>
        <w:t xml:space="preserve"> S., Ma. </w:t>
      </w:r>
      <w:r w:rsidRPr="00235715">
        <w:rPr>
          <w:sz w:val="18"/>
          <w:szCs w:val="18"/>
        </w:rPr>
        <w:t xml:space="preserve">Cecilia. Tipología y reparación del daño inmaterial en Colombia, Universidad Externado de Colombia, Bogotá DC, 2015. También: (i) </w:t>
      </w:r>
      <w:proofErr w:type="spellStart"/>
      <w:r w:rsidRPr="00235715">
        <w:rPr>
          <w:sz w:val="18"/>
          <w:szCs w:val="18"/>
        </w:rPr>
        <w:t>MACAUSLAND</w:t>
      </w:r>
      <w:proofErr w:type="spellEnd"/>
      <w:r w:rsidRPr="00235715">
        <w:rPr>
          <w:sz w:val="18"/>
          <w:szCs w:val="18"/>
        </w:rPr>
        <w:t xml:space="preserve"> S., Ma. Cecilia. Equidad judicial y responsabilidad extracontractual, Universidad Externado de Colombia, Bogotá DC, 2020. (ii) MANTILLA E., Fabricio. Tendencias tendenciosas, dos ensayos sobre responsabilidad civil, Ibáñez, Bogotá DC, 2020. </w:t>
      </w:r>
    </w:p>
  </w:footnote>
  <w:footnote w:id="76">
    <w:p w14:paraId="4E9D6A88" w14:textId="2C7F019B"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CE, Sección 3ª. Sentencia del 14-09-2011; </w:t>
      </w:r>
      <w:proofErr w:type="spellStart"/>
      <w:r w:rsidRPr="00235715">
        <w:rPr>
          <w:sz w:val="18"/>
          <w:szCs w:val="18"/>
        </w:rPr>
        <w:t>CP</w:t>
      </w:r>
      <w:proofErr w:type="spellEnd"/>
      <w:r w:rsidRPr="00235715">
        <w:rPr>
          <w:sz w:val="18"/>
          <w:szCs w:val="18"/>
        </w:rPr>
        <w:t xml:space="preserve">: Gil B., </w:t>
      </w:r>
      <w:proofErr w:type="spellStart"/>
      <w:r w:rsidRPr="00235715">
        <w:rPr>
          <w:sz w:val="18"/>
          <w:szCs w:val="18"/>
        </w:rPr>
        <w:t>No.19.031</w:t>
      </w:r>
      <w:proofErr w:type="spellEnd"/>
      <w:r w:rsidRPr="00235715">
        <w:rPr>
          <w:sz w:val="18"/>
          <w:szCs w:val="18"/>
        </w:rPr>
        <w:t>.</w:t>
      </w:r>
    </w:p>
  </w:footnote>
  <w:footnote w:id="77">
    <w:p w14:paraId="2EA13503" w14:textId="185C037B"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CE, Sección 3ª. Sentencia del 11-07-2013; </w:t>
      </w:r>
      <w:proofErr w:type="spellStart"/>
      <w:r w:rsidRPr="00235715">
        <w:rPr>
          <w:sz w:val="18"/>
          <w:szCs w:val="18"/>
        </w:rPr>
        <w:t>CP</w:t>
      </w:r>
      <w:proofErr w:type="spellEnd"/>
      <w:r w:rsidRPr="00235715">
        <w:rPr>
          <w:sz w:val="18"/>
          <w:szCs w:val="18"/>
        </w:rPr>
        <w:t xml:space="preserve">: </w:t>
      </w:r>
      <w:proofErr w:type="spellStart"/>
      <w:r w:rsidRPr="00235715">
        <w:rPr>
          <w:sz w:val="18"/>
          <w:szCs w:val="18"/>
        </w:rPr>
        <w:t>Santofimio</w:t>
      </w:r>
      <w:proofErr w:type="spellEnd"/>
      <w:r w:rsidRPr="00235715">
        <w:rPr>
          <w:sz w:val="18"/>
          <w:szCs w:val="18"/>
        </w:rPr>
        <w:t xml:space="preserve">, </w:t>
      </w:r>
      <w:proofErr w:type="spellStart"/>
      <w:r w:rsidRPr="00235715">
        <w:rPr>
          <w:sz w:val="18"/>
          <w:szCs w:val="18"/>
        </w:rPr>
        <w:t>No.28.792</w:t>
      </w:r>
      <w:proofErr w:type="spellEnd"/>
      <w:r w:rsidRPr="00235715">
        <w:rPr>
          <w:sz w:val="18"/>
          <w:szCs w:val="18"/>
        </w:rPr>
        <w:t xml:space="preserve"> y cinco (5) más acumulados.</w:t>
      </w:r>
    </w:p>
  </w:footnote>
  <w:footnote w:id="78">
    <w:p w14:paraId="6548FFCC" w14:textId="46101DC0"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ROJAS Q., Sergio. Ob. cit., </w:t>
      </w:r>
      <w:proofErr w:type="spellStart"/>
      <w:r w:rsidRPr="00235715">
        <w:rPr>
          <w:sz w:val="18"/>
          <w:szCs w:val="18"/>
        </w:rPr>
        <w:t>p.130</w:t>
      </w:r>
      <w:proofErr w:type="spellEnd"/>
    </w:p>
  </w:footnote>
  <w:footnote w:id="79">
    <w:p w14:paraId="7FF6B258" w14:textId="5CD2E06F"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proofErr w:type="spellStart"/>
      <w:r w:rsidRPr="00235715">
        <w:rPr>
          <w:sz w:val="18"/>
          <w:szCs w:val="18"/>
        </w:rPr>
        <w:t>KHATIB</w:t>
      </w:r>
      <w:proofErr w:type="spellEnd"/>
      <w:r w:rsidRPr="00235715">
        <w:rPr>
          <w:sz w:val="18"/>
          <w:szCs w:val="18"/>
        </w:rPr>
        <w:t xml:space="preserve"> K., Milagros. Ob. cit.</w:t>
      </w:r>
    </w:p>
  </w:footnote>
  <w:footnote w:id="80">
    <w:p w14:paraId="2FE99DFC" w14:textId="30815E84" w:rsidR="005D64D7" w:rsidRPr="00837389" w:rsidRDefault="005D64D7" w:rsidP="00235715">
      <w:pPr>
        <w:pStyle w:val="Textonotapie"/>
        <w:jc w:val="both"/>
        <w:rPr>
          <w:color w:val="0D0D0D"/>
          <w:sz w:val="18"/>
          <w:szCs w:val="18"/>
        </w:rPr>
      </w:pPr>
      <w:r w:rsidRPr="00235715">
        <w:rPr>
          <w:rStyle w:val="Refdenotaalpie"/>
          <w:sz w:val="18"/>
          <w:szCs w:val="18"/>
        </w:rPr>
        <w:footnoteRef/>
      </w:r>
      <w:r w:rsidRPr="00235715">
        <w:rPr>
          <w:sz w:val="18"/>
          <w:szCs w:val="18"/>
        </w:rPr>
        <w:t xml:space="preserve"> </w:t>
      </w:r>
      <w:bookmarkStart w:id="3" w:name="_Hlk61339646"/>
      <w:r w:rsidRPr="00235715">
        <w:rPr>
          <w:color w:val="0D0D0D"/>
          <w:sz w:val="18"/>
          <w:szCs w:val="18"/>
        </w:rPr>
        <w:t xml:space="preserve">CSJ. </w:t>
      </w:r>
      <w:proofErr w:type="spellStart"/>
      <w:r w:rsidRPr="00235715">
        <w:rPr>
          <w:color w:val="0D0D0D"/>
          <w:sz w:val="18"/>
          <w:szCs w:val="18"/>
        </w:rPr>
        <w:t>SC10297</w:t>
      </w:r>
      <w:proofErr w:type="spellEnd"/>
      <w:r w:rsidRPr="00235715">
        <w:rPr>
          <w:color w:val="0D0D0D"/>
          <w:sz w:val="18"/>
          <w:szCs w:val="18"/>
        </w:rPr>
        <w:t xml:space="preserve">-2014 de 5 de agosto de 2014, </w:t>
      </w:r>
      <w:proofErr w:type="spellStart"/>
      <w:r w:rsidRPr="00235715">
        <w:rPr>
          <w:color w:val="0D0D0D"/>
          <w:sz w:val="18"/>
          <w:szCs w:val="18"/>
        </w:rPr>
        <w:t>exp</w:t>
      </w:r>
      <w:proofErr w:type="spellEnd"/>
      <w:r w:rsidRPr="00235715">
        <w:rPr>
          <w:color w:val="0D0D0D"/>
          <w:sz w:val="18"/>
          <w:szCs w:val="18"/>
        </w:rPr>
        <w:t>. 11001-31-03-003-2003-00660-01</w:t>
      </w:r>
      <w:bookmarkEnd w:id="3"/>
    </w:p>
  </w:footnote>
  <w:footnote w:id="81">
    <w:p w14:paraId="692440E1" w14:textId="0CE052B2"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proofErr w:type="spellStart"/>
      <w:r w:rsidRPr="00235715">
        <w:rPr>
          <w:sz w:val="18"/>
          <w:szCs w:val="18"/>
          <w:lang w:val="es-ES"/>
        </w:rPr>
        <w:t>01PrimeraInstancia</w:t>
      </w:r>
      <w:proofErr w:type="spellEnd"/>
      <w:r w:rsidRPr="00235715">
        <w:rPr>
          <w:sz w:val="18"/>
          <w:szCs w:val="18"/>
          <w:lang w:val="es-ES"/>
        </w:rPr>
        <w:t xml:space="preserve">, </w:t>
      </w:r>
      <w:proofErr w:type="spellStart"/>
      <w:r w:rsidRPr="00235715">
        <w:rPr>
          <w:sz w:val="18"/>
          <w:szCs w:val="18"/>
          <w:lang w:val="es-ES"/>
        </w:rPr>
        <w:t>C01Principal</w:t>
      </w:r>
      <w:proofErr w:type="spellEnd"/>
      <w:r w:rsidRPr="00235715">
        <w:rPr>
          <w:sz w:val="18"/>
          <w:szCs w:val="18"/>
          <w:lang w:val="es-ES"/>
        </w:rPr>
        <w:t xml:space="preserve">, </w:t>
      </w:r>
      <w:proofErr w:type="spellStart"/>
      <w:r w:rsidRPr="00235715">
        <w:rPr>
          <w:sz w:val="18"/>
          <w:szCs w:val="18"/>
          <w:lang w:val="es-ES"/>
        </w:rPr>
        <w:t>001CuadernoPrincipalParte1</w:t>
      </w:r>
      <w:proofErr w:type="spellEnd"/>
      <w:r w:rsidRPr="00235715">
        <w:rPr>
          <w:sz w:val="18"/>
          <w:szCs w:val="18"/>
          <w:lang w:val="es-ES"/>
        </w:rPr>
        <w:t>, p. 47</w:t>
      </w:r>
    </w:p>
  </w:footnote>
  <w:footnote w:id="82">
    <w:p w14:paraId="54EA1EE1" w14:textId="6C2F6DBE" w:rsidR="005D64D7" w:rsidRPr="00235715" w:rsidRDefault="005D64D7" w:rsidP="00235715">
      <w:pPr>
        <w:pStyle w:val="Textonotapie"/>
        <w:jc w:val="both"/>
        <w:rPr>
          <w:sz w:val="18"/>
          <w:szCs w:val="18"/>
          <w:lang w:val="es-ES"/>
        </w:rPr>
      </w:pPr>
      <w:r w:rsidRPr="00235715">
        <w:rPr>
          <w:rStyle w:val="Refdenotaalpie"/>
          <w:sz w:val="18"/>
          <w:szCs w:val="18"/>
        </w:rPr>
        <w:footnoteRef/>
      </w:r>
      <w:r w:rsidRPr="00235715">
        <w:rPr>
          <w:sz w:val="18"/>
          <w:szCs w:val="18"/>
        </w:rPr>
        <w:t xml:space="preserve"> </w:t>
      </w:r>
      <w:r w:rsidRPr="00235715">
        <w:rPr>
          <w:sz w:val="18"/>
          <w:szCs w:val="18"/>
          <w:lang w:val="es-ES"/>
        </w:rPr>
        <w:t xml:space="preserve">Tribunal Superior de Pereira, Sala Civil-Familia, sentencia del 8 de agosto de 2017, expediente </w:t>
      </w:r>
      <w:r w:rsidRPr="00235715">
        <w:rPr>
          <w:rFonts w:eastAsia="Malgun Gothic"/>
          <w:sz w:val="18"/>
          <w:szCs w:val="18"/>
        </w:rPr>
        <w:t>66001-31-03-005-2012-00465-03</w:t>
      </w:r>
    </w:p>
  </w:footnote>
  <w:footnote w:id="83">
    <w:p w14:paraId="3CCD07A8" w14:textId="77777777" w:rsidR="00AF006C" w:rsidRPr="00235715" w:rsidRDefault="00AF006C" w:rsidP="00235715">
      <w:pPr>
        <w:spacing w:line="240" w:lineRule="auto"/>
        <w:jc w:val="both"/>
        <w:rPr>
          <w:sz w:val="18"/>
          <w:szCs w:val="18"/>
          <w:lang w:val="es-419"/>
        </w:rPr>
      </w:pPr>
      <w:r w:rsidRPr="00235715">
        <w:rPr>
          <w:rStyle w:val="Refdenotaalpie"/>
          <w:sz w:val="18"/>
          <w:szCs w:val="18"/>
        </w:rPr>
        <w:footnoteRef/>
      </w:r>
      <w:r w:rsidRPr="00235715">
        <w:rPr>
          <w:sz w:val="18"/>
          <w:szCs w:val="18"/>
        </w:rPr>
        <w:t xml:space="preserve"> </w:t>
      </w:r>
      <w:r w:rsidRPr="00235715">
        <w:rPr>
          <w:sz w:val="18"/>
          <w:szCs w:val="18"/>
          <w:lang w:val="es-419"/>
        </w:rPr>
        <w:t xml:space="preserve">Corte Suprema de Justicia, Sala de casación Civil, sentencia de julio 21 de 1922, </w:t>
      </w:r>
      <w:proofErr w:type="spellStart"/>
      <w:r w:rsidRPr="00235715">
        <w:rPr>
          <w:sz w:val="18"/>
          <w:szCs w:val="18"/>
          <w:lang w:val="es-419"/>
        </w:rPr>
        <w:t>M.P</w:t>
      </w:r>
      <w:proofErr w:type="spellEnd"/>
      <w:r w:rsidRPr="00235715">
        <w:rPr>
          <w:sz w:val="18"/>
          <w:szCs w:val="18"/>
          <w:lang w:val="es-419"/>
        </w:rPr>
        <w:t xml:space="preserve">. </w:t>
      </w:r>
      <w:r w:rsidRPr="00235715">
        <w:rPr>
          <w:iCs/>
          <w:sz w:val="18"/>
          <w:szCs w:val="18"/>
        </w:rPr>
        <w:t xml:space="preserve">Tancredo </w:t>
      </w:r>
      <w:proofErr w:type="spellStart"/>
      <w:r w:rsidRPr="00235715">
        <w:rPr>
          <w:iCs/>
          <w:sz w:val="18"/>
          <w:szCs w:val="18"/>
        </w:rPr>
        <w:t>Nannetti</w:t>
      </w:r>
      <w:proofErr w:type="spellEnd"/>
      <w:r w:rsidRPr="00235715">
        <w:rPr>
          <w:iCs/>
          <w:sz w:val="18"/>
          <w:szCs w:val="18"/>
        </w:rPr>
        <w:t>.</w:t>
      </w:r>
    </w:p>
  </w:footnote>
  <w:footnote w:id="84">
    <w:p w14:paraId="7946EC5B" w14:textId="6EC0B345" w:rsidR="00AF006C" w:rsidRPr="00235715" w:rsidRDefault="00AF006C" w:rsidP="00235715">
      <w:pPr>
        <w:widowControl w:val="0"/>
        <w:spacing w:line="240" w:lineRule="auto"/>
        <w:jc w:val="both"/>
        <w:rPr>
          <w:sz w:val="18"/>
          <w:szCs w:val="18"/>
          <w:lang w:val="es-419"/>
        </w:rPr>
      </w:pPr>
      <w:r w:rsidRPr="00235715">
        <w:rPr>
          <w:rStyle w:val="Refdenotaalpie"/>
          <w:sz w:val="18"/>
          <w:szCs w:val="18"/>
        </w:rPr>
        <w:footnoteRef/>
      </w:r>
      <w:r w:rsidRPr="00235715">
        <w:rPr>
          <w:sz w:val="18"/>
          <w:szCs w:val="18"/>
        </w:rPr>
        <w:t xml:space="preserve"> </w:t>
      </w:r>
      <w:r w:rsidRPr="00235715">
        <w:rPr>
          <w:sz w:val="18"/>
          <w:szCs w:val="18"/>
          <w:lang w:val="es-419"/>
        </w:rPr>
        <w:t xml:space="preserve">Consejo de Estado, Sala de lo Contencioso Administrativo, Sección Tercera, radicado </w:t>
      </w:r>
      <w:r w:rsidRPr="00235715">
        <w:rPr>
          <w:rFonts w:eastAsia="Arial Unicode MS"/>
          <w:bCs/>
          <w:sz w:val="18"/>
          <w:szCs w:val="18"/>
        </w:rPr>
        <w:t>23001-23-31-000-2001-00278-01</w:t>
      </w:r>
      <w:r w:rsidRPr="00235715">
        <w:rPr>
          <w:rFonts w:eastAsia="Arial Unicode MS"/>
          <w:bCs/>
          <w:sz w:val="18"/>
          <w:szCs w:val="18"/>
          <w:lang w:val="es-419"/>
        </w:rPr>
        <w:t xml:space="preserve">, </w:t>
      </w:r>
      <w:proofErr w:type="spellStart"/>
      <w:r w:rsidRPr="00235715">
        <w:rPr>
          <w:rFonts w:eastAsia="Arial Unicode MS"/>
          <w:bCs/>
          <w:sz w:val="18"/>
          <w:szCs w:val="18"/>
          <w:lang w:val="es-419"/>
        </w:rPr>
        <w:t>M.P</w:t>
      </w:r>
      <w:proofErr w:type="spellEnd"/>
      <w:r w:rsidRPr="00235715">
        <w:rPr>
          <w:rFonts w:eastAsia="Arial Unicode MS"/>
          <w:bCs/>
          <w:sz w:val="18"/>
          <w:szCs w:val="18"/>
          <w:lang w:val="es-419"/>
        </w:rPr>
        <w:t xml:space="preserve">. </w:t>
      </w:r>
      <w:r w:rsidRPr="00235715">
        <w:rPr>
          <w:rFonts w:eastAsia="Arial Unicode MS"/>
          <w:bCs/>
          <w:sz w:val="18"/>
          <w:szCs w:val="18"/>
        </w:rPr>
        <w:t>Stella Conto D</w:t>
      </w:r>
      <w:r w:rsidRPr="00235715">
        <w:rPr>
          <w:rFonts w:eastAsia="Arial Unicode MS"/>
          <w:bCs/>
          <w:sz w:val="18"/>
          <w:szCs w:val="18"/>
          <w:lang w:val="es-419"/>
        </w:rPr>
        <w:t>í</w:t>
      </w:r>
      <w:proofErr w:type="spellStart"/>
      <w:r w:rsidRPr="00235715">
        <w:rPr>
          <w:rFonts w:eastAsia="Arial Unicode MS"/>
          <w:bCs/>
          <w:sz w:val="18"/>
          <w:szCs w:val="18"/>
        </w:rPr>
        <w:t>az</w:t>
      </w:r>
      <w:proofErr w:type="spellEnd"/>
      <w:r w:rsidRPr="00235715">
        <w:rPr>
          <w:rFonts w:eastAsia="Arial Unicode MS"/>
          <w:bCs/>
          <w:sz w:val="18"/>
          <w:szCs w:val="18"/>
        </w:rPr>
        <w:t xml:space="preserve"> </w:t>
      </w:r>
      <w:r w:rsidRPr="00235715">
        <w:rPr>
          <w:rFonts w:eastAsia="Arial Unicode MS"/>
          <w:bCs/>
          <w:sz w:val="18"/>
          <w:szCs w:val="18"/>
          <w:lang w:val="es-419"/>
        </w:rPr>
        <w:t>d</w:t>
      </w:r>
      <w:r w:rsidRPr="00235715">
        <w:rPr>
          <w:rFonts w:eastAsia="Arial Unicode MS"/>
          <w:bCs/>
          <w:sz w:val="18"/>
          <w:szCs w:val="18"/>
        </w:rPr>
        <w:t>el Castillo</w:t>
      </w:r>
      <w:r w:rsidRPr="00235715">
        <w:rPr>
          <w:rFonts w:eastAsia="Arial Unicode MS"/>
          <w:bCs/>
          <w:sz w:val="18"/>
          <w:szCs w:val="18"/>
          <w:lang w:val="es-419"/>
        </w:rPr>
        <w:t>.</w:t>
      </w:r>
    </w:p>
  </w:footnote>
  <w:footnote w:id="85">
    <w:p w14:paraId="00BA1B5C" w14:textId="77777777" w:rsidR="00D50DE9" w:rsidRPr="00235715" w:rsidRDefault="00D50DE9" w:rsidP="00235715">
      <w:pPr>
        <w:pStyle w:val="Textonotapie"/>
        <w:jc w:val="both"/>
        <w:rPr>
          <w:sz w:val="18"/>
          <w:szCs w:val="18"/>
          <w:lang w:val="es-CO"/>
        </w:rPr>
      </w:pPr>
      <w:r w:rsidRPr="00235715">
        <w:rPr>
          <w:rStyle w:val="Refdenotaalpie"/>
          <w:sz w:val="18"/>
          <w:szCs w:val="18"/>
        </w:rPr>
        <w:footnoteRef/>
      </w:r>
      <w:r w:rsidRPr="00235715">
        <w:rPr>
          <w:sz w:val="18"/>
          <w:szCs w:val="18"/>
        </w:rPr>
        <w:t xml:space="preserve"> </w:t>
      </w:r>
      <w:r w:rsidRPr="00235715">
        <w:rPr>
          <w:sz w:val="18"/>
          <w:szCs w:val="18"/>
          <w:lang w:val="es-CO"/>
        </w:rPr>
        <w:t xml:space="preserve">Henao, Juan Carlos. En la responsabilidad extracontractual del Estado. Universidad Externado de Colombia, p. 96, 97. </w:t>
      </w:r>
    </w:p>
  </w:footnote>
  <w:footnote w:id="86">
    <w:p w14:paraId="7EB84DC4" w14:textId="77777777" w:rsidR="00D50DE9" w:rsidRPr="00235715" w:rsidRDefault="00D50DE9" w:rsidP="00235715">
      <w:pPr>
        <w:pStyle w:val="Textonotapie"/>
        <w:jc w:val="both"/>
        <w:rPr>
          <w:sz w:val="18"/>
          <w:szCs w:val="18"/>
          <w:lang w:val="es-419"/>
        </w:rPr>
      </w:pPr>
      <w:r w:rsidRPr="00235715">
        <w:rPr>
          <w:rStyle w:val="Refdenotaalpie"/>
          <w:sz w:val="18"/>
          <w:szCs w:val="18"/>
        </w:rPr>
        <w:footnoteRef/>
      </w:r>
      <w:r w:rsidRPr="00235715">
        <w:rPr>
          <w:sz w:val="18"/>
          <w:szCs w:val="18"/>
        </w:rPr>
        <w:t xml:space="preserve"> </w:t>
      </w:r>
      <w:proofErr w:type="spellStart"/>
      <w:r w:rsidRPr="00235715">
        <w:rPr>
          <w:sz w:val="18"/>
          <w:szCs w:val="18"/>
          <w:lang w:val="es-419"/>
        </w:rPr>
        <w:t>M’Causland</w:t>
      </w:r>
      <w:proofErr w:type="spellEnd"/>
      <w:r w:rsidRPr="00235715">
        <w:rPr>
          <w:sz w:val="18"/>
          <w:szCs w:val="18"/>
          <w:lang w:val="es-419"/>
        </w:rPr>
        <w:t xml:space="preserve"> Sánchez, María Cecilia. Tipología y reparación del daño inmaterial en Colombia. Universidad Externado de Colombia, Bogotá DC, 2015, p. 92.</w:t>
      </w:r>
    </w:p>
  </w:footnote>
  <w:footnote w:id="87">
    <w:p w14:paraId="5C2C6741" w14:textId="77777777" w:rsidR="005D64D7" w:rsidRPr="00235715" w:rsidRDefault="005D64D7" w:rsidP="00235715">
      <w:pPr>
        <w:pStyle w:val="Textonotapie"/>
        <w:jc w:val="both"/>
        <w:rPr>
          <w:sz w:val="18"/>
          <w:szCs w:val="18"/>
          <w:lang w:val="es-CO"/>
        </w:rPr>
      </w:pPr>
      <w:r w:rsidRPr="00235715">
        <w:rPr>
          <w:rStyle w:val="Refdenotaalpie"/>
          <w:sz w:val="18"/>
          <w:szCs w:val="18"/>
        </w:rPr>
        <w:footnoteRef/>
      </w:r>
      <w:r w:rsidRPr="00235715">
        <w:rPr>
          <w:sz w:val="18"/>
          <w:szCs w:val="18"/>
        </w:rPr>
        <w:t xml:space="preserve"> </w:t>
      </w:r>
      <w:proofErr w:type="spellStart"/>
      <w:r w:rsidRPr="00235715">
        <w:rPr>
          <w:sz w:val="18"/>
          <w:szCs w:val="18"/>
        </w:rPr>
        <w:t>Ibidem</w:t>
      </w:r>
      <w:proofErr w:type="spellEnd"/>
      <w:r w:rsidRPr="00235715">
        <w:rPr>
          <w:sz w:val="18"/>
          <w:szCs w:val="18"/>
        </w:rPr>
        <w:t>, p. 142</w:t>
      </w:r>
      <w:r w:rsidRPr="00235715">
        <w:rPr>
          <w:sz w:val="18"/>
          <w:szCs w:val="18"/>
          <w:lang w:val="es-CO"/>
        </w:rPr>
        <w:t xml:space="preserve"> </w:t>
      </w:r>
    </w:p>
  </w:footnote>
  <w:footnote w:id="88">
    <w:p w14:paraId="2E821F73" w14:textId="77777777" w:rsidR="005D64D7" w:rsidRPr="00235715" w:rsidRDefault="005D64D7" w:rsidP="00235715">
      <w:pPr>
        <w:pStyle w:val="Textonotapie"/>
        <w:jc w:val="both"/>
        <w:rPr>
          <w:sz w:val="18"/>
          <w:szCs w:val="18"/>
          <w:lang w:val="es-CO"/>
        </w:rPr>
      </w:pPr>
      <w:r w:rsidRPr="00235715">
        <w:rPr>
          <w:rStyle w:val="Refdenotaalpie"/>
          <w:sz w:val="18"/>
          <w:szCs w:val="18"/>
        </w:rPr>
        <w:footnoteRef/>
      </w:r>
      <w:r w:rsidRPr="00235715">
        <w:rPr>
          <w:sz w:val="18"/>
          <w:szCs w:val="18"/>
        </w:rPr>
        <w:t xml:space="preserve"> Ib., p.</w:t>
      </w:r>
      <w:r w:rsidRPr="00235715">
        <w:rPr>
          <w:sz w:val="18"/>
          <w:szCs w:val="18"/>
          <w:lang w:val="es-CO"/>
        </w:rPr>
        <w:t xml:space="preserve"> 155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5E09"/>
    <w:multiLevelType w:val="multilevel"/>
    <w:tmpl w:val="92183078"/>
    <w:lvl w:ilvl="0">
      <w:start w:val="2"/>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FDD4994"/>
    <w:multiLevelType w:val="multilevel"/>
    <w:tmpl w:val="FDD0C5A8"/>
    <w:lvl w:ilvl="0">
      <w:start w:val="2"/>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4E137F8"/>
    <w:multiLevelType w:val="hybridMultilevel"/>
    <w:tmpl w:val="6D4EDE10"/>
    <w:lvl w:ilvl="0" w:tplc="B7D890E0">
      <w:start w:val="8"/>
      <w:numFmt w:val="lowerRoman"/>
      <w:lvlText w:val="(%1)"/>
      <w:lvlJc w:val="left"/>
      <w:pPr>
        <w:ind w:left="2781" w:hanging="1080"/>
      </w:pPr>
      <w:rPr>
        <w:rFonts w:hint="default"/>
      </w:rPr>
    </w:lvl>
    <w:lvl w:ilvl="1" w:tplc="580A0019" w:tentative="1">
      <w:start w:val="1"/>
      <w:numFmt w:val="lowerLetter"/>
      <w:lvlText w:val="%2."/>
      <w:lvlJc w:val="left"/>
      <w:pPr>
        <w:ind w:left="2781" w:hanging="360"/>
      </w:pPr>
    </w:lvl>
    <w:lvl w:ilvl="2" w:tplc="580A001B" w:tentative="1">
      <w:start w:val="1"/>
      <w:numFmt w:val="lowerRoman"/>
      <w:lvlText w:val="%3."/>
      <w:lvlJc w:val="right"/>
      <w:pPr>
        <w:ind w:left="3501" w:hanging="180"/>
      </w:pPr>
    </w:lvl>
    <w:lvl w:ilvl="3" w:tplc="580A000F" w:tentative="1">
      <w:start w:val="1"/>
      <w:numFmt w:val="decimal"/>
      <w:lvlText w:val="%4."/>
      <w:lvlJc w:val="left"/>
      <w:pPr>
        <w:ind w:left="4221" w:hanging="360"/>
      </w:pPr>
    </w:lvl>
    <w:lvl w:ilvl="4" w:tplc="580A0019" w:tentative="1">
      <w:start w:val="1"/>
      <w:numFmt w:val="lowerLetter"/>
      <w:lvlText w:val="%5."/>
      <w:lvlJc w:val="left"/>
      <w:pPr>
        <w:ind w:left="4941" w:hanging="360"/>
      </w:pPr>
    </w:lvl>
    <w:lvl w:ilvl="5" w:tplc="580A001B" w:tentative="1">
      <w:start w:val="1"/>
      <w:numFmt w:val="lowerRoman"/>
      <w:lvlText w:val="%6."/>
      <w:lvlJc w:val="right"/>
      <w:pPr>
        <w:ind w:left="5661" w:hanging="180"/>
      </w:pPr>
    </w:lvl>
    <w:lvl w:ilvl="6" w:tplc="580A000F" w:tentative="1">
      <w:start w:val="1"/>
      <w:numFmt w:val="decimal"/>
      <w:lvlText w:val="%7."/>
      <w:lvlJc w:val="left"/>
      <w:pPr>
        <w:ind w:left="6381" w:hanging="360"/>
      </w:pPr>
    </w:lvl>
    <w:lvl w:ilvl="7" w:tplc="580A0019" w:tentative="1">
      <w:start w:val="1"/>
      <w:numFmt w:val="lowerLetter"/>
      <w:lvlText w:val="%8."/>
      <w:lvlJc w:val="left"/>
      <w:pPr>
        <w:ind w:left="7101" w:hanging="360"/>
      </w:pPr>
    </w:lvl>
    <w:lvl w:ilvl="8" w:tplc="580A001B" w:tentative="1">
      <w:start w:val="1"/>
      <w:numFmt w:val="lowerRoman"/>
      <w:lvlText w:val="%9."/>
      <w:lvlJc w:val="right"/>
      <w:pPr>
        <w:ind w:left="7821" w:hanging="180"/>
      </w:pPr>
    </w:lvl>
  </w:abstractNum>
  <w:abstractNum w:abstractNumId="3" w15:restartNumberingAfterBreak="0">
    <w:nsid w:val="1A8750F1"/>
    <w:multiLevelType w:val="multilevel"/>
    <w:tmpl w:val="ED1AC78A"/>
    <w:lvl w:ilvl="0">
      <w:start w:val="2"/>
      <w:numFmt w:val="decimal"/>
      <w:lvlText w:val="%1"/>
      <w:lvlJc w:val="left"/>
      <w:pPr>
        <w:ind w:left="765" w:hanging="765"/>
      </w:pPr>
      <w:rPr>
        <w:rFonts w:hint="default"/>
      </w:rPr>
    </w:lvl>
    <w:lvl w:ilvl="1">
      <w:start w:val="13"/>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E2A7491"/>
    <w:multiLevelType w:val="hybridMultilevel"/>
    <w:tmpl w:val="6C1A9BE8"/>
    <w:lvl w:ilvl="0" w:tplc="56DCAF4C">
      <w:numFmt w:val="bullet"/>
      <w:lvlText w:val="-"/>
      <w:lvlJc w:val="left"/>
      <w:pPr>
        <w:ind w:left="720" w:hanging="360"/>
      </w:pPr>
      <w:rPr>
        <w:rFonts w:ascii="Gadugi" w:eastAsia="Georgia" w:hAnsi="Gadugi"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F3C09"/>
    <w:multiLevelType w:val="multilevel"/>
    <w:tmpl w:val="B4A4862C"/>
    <w:lvl w:ilvl="0">
      <w:start w:val="2"/>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75F3313"/>
    <w:multiLevelType w:val="multilevel"/>
    <w:tmpl w:val="5F8E6848"/>
    <w:lvl w:ilvl="0">
      <w:start w:val="2"/>
      <w:numFmt w:val="decimal"/>
      <w:lvlText w:val="%1."/>
      <w:lvlJc w:val="left"/>
      <w:pPr>
        <w:ind w:left="555" w:hanging="555"/>
      </w:pPr>
      <w:rPr>
        <w:rFonts w:eastAsia="Georgia" w:cs="Georgia" w:hint="default"/>
      </w:rPr>
    </w:lvl>
    <w:lvl w:ilvl="1">
      <w:start w:val="11"/>
      <w:numFmt w:val="decimal"/>
      <w:lvlText w:val="%1.%2."/>
      <w:lvlJc w:val="left"/>
      <w:pPr>
        <w:ind w:left="720" w:hanging="720"/>
      </w:pPr>
      <w:rPr>
        <w:rFonts w:eastAsia="Georgia" w:cs="Georgia" w:hint="default"/>
      </w:rPr>
    </w:lvl>
    <w:lvl w:ilvl="2">
      <w:start w:val="1"/>
      <w:numFmt w:val="decimal"/>
      <w:lvlText w:val="%1.%2.%3."/>
      <w:lvlJc w:val="left"/>
      <w:pPr>
        <w:ind w:left="1080" w:hanging="1080"/>
      </w:pPr>
      <w:rPr>
        <w:rFonts w:eastAsia="Georgia" w:cs="Georgia" w:hint="default"/>
      </w:rPr>
    </w:lvl>
    <w:lvl w:ilvl="3">
      <w:start w:val="1"/>
      <w:numFmt w:val="decimal"/>
      <w:lvlText w:val="%1.%2.%3.%4."/>
      <w:lvlJc w:val="left"/>
      <w:pPr>
        <w:ind w:left="1080" w:hanging="1080"/>
      </w:pPr>
      <w:rPr>
        <w:rFonts w:eastAsia="Georgia" w:cs="Georgia" w:hint="default"/>
      </w:rPr>
    </w:lvl>
    <w:lvl w:ilvl="4">
      <w:start w:val="1"/>
      <w:numFmt w:val="decimal"/>
      <w:lvlText w:val="%1.%2.%3.%4.%5."/>
      <w:lvlJc w:val="left"/>
      <w:pPr>
        <w:ind w:left="1440" w:hanging="1440"/>
      </w:pPr>
      <w:rPr>
        <w:rFonts w:eastAsia="Georgia" w:cs="Georgia" w:hint="default"/>
      </w:rPr>
    </w:lvl>
    <w:lvl w:ilvl="5">
      <w:start w:val="1"/>
      <w:numFmt w:val="decimal"/>
      <w:lvlText w:val="%1.%2.%3.%4.%5.%6."/>
      <w:lvlJc w:val="left"/>
      <w:pPr>
        <w:ind w:left="1800" w:hanging="1800"/>
      </w:pPr>
      <w:rPr>
        <w:rFonts w:eastAsia="Georgia" w:cs="Georgia" w:hint="default"/>
      </w:rPr>
    </w:lvl>
    <w:lvl w:ilvl="6">
      <w:start w:val="1"/>
      <w:numFmt w:val="decimal"/>
      <w:lvlText w:val="%1.%2.%3.%4.%5.%6.%7."/>
      <w:lvlJc w:val="left"/>
      <w:pPr>
        <w:ind w:left="1800" w:hanging="1800"/>
      </w:pPr>
      <w:rPr>
        <w:rFonts w:eastAsia="Georgia" w:cs="Georgia" w:hint="default"/>
      </w:rPr>
    </w:lvl>
    <w:lvl w:ilvl="7">
      <w:start w:val="1"/>
      <w:numFmt w:val="decimal"/>
      <w:lvlText w:val="%1.%2.%3.%4.%5.%6.%7.%8."/>
      <w:lvlJc w:val="left"/>
      <w:pPr>
        <w:ind w:left="2160" w:hanging="2160"/>
      </w:pPr>
      <w:rPr>
        <w:rFonts w:eastAsia="Georgia" w:cs="Georgia" w:hint="default"/>
      </w:rPr>
    </w:lvl>
    <w:lvl w:ilvl="8">
      <w:start w:val="1"/>
      <w:numFmt w:val="decimal"/>
      <w:lvlText w:val="%1.%2.%3.%4.%5.%6.%7.%8.%9."/>
      <w:lvlJc w:val="left"/>
      <w:pPr>
        <w:ind w:left="2520" w:hanging="2520"/>
      </w:pPr>
      <w:rPr>
        <w:rFonts w:eastAsia="Georgia" w:cs="Georgia" w:hint="default"/>
      </w:rPr>
    </w:lvl>
  </w:abstractNum>
  <w:abstractNum w:abstractNumId="7" w15:restartNumberingAfterBreak="0">
    <w:nsid w:val="2F0E633C"/>
    <w:multiLevelType w:val="multilevel"/>
    <w:tmpl w:val="6396D7A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2B3F13"/>
    <w:multiLevelType w:val="multilevel"/>
    <w:tmpl w:val="81B8EA2A"/>
    <w:lvl w:ilvl="0">
      <w:start w:val="1"/>
      <w:numFmt w:val="decimal"/>
      <w:lvlText w:val="%1."/>
      <w:lvlJc w:val="left"/>
      <w:pPr>
        <w:ind w:left="1200" w:hanging="84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CE3400"/>
    <w:multiLevelType w:val="multilevel"/>
    <w:tmpl w:val="21E49CCA"/>
    <w:lvl w:ilvl="0">
      <w:start w:val="2"/>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8DE666A"/>
    <w:multiLevelType w:val="hybridMultilevel"/>
    <w:tmpl w:val="0442BC6E"/>
    <w:lvl w:ilvl="0" w:tplc="E46819B8">
      <w:start w:val="1"/>
      <w:numFmt w:val="lowerRoman"/>
      <w:lvlText w:val="(%1)"/>
      <w:lvlJc w:val="left"/>
      <w:pPr>
        <w:ind w:left="5257" w:hanging="720"/>
      </w:pPr>
      <w:rPr>
        <w:rFonts w:hint="default"/>
      </w:rPr>
    </w:lvl>
    <w:lvl w:ilvl="1" w:tplc="240A0019">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1" w15:restartNumberingAfterBreak="0">
    <w:nsid w:val="39D274CF"/>
    <w:multiLevelType w:val="multilevel"/>
    <w:tmpl w:val="E224444C"/>
    <w:lvl w:ilvl="0">
      <w:start w:val="2"/>
      <w:numFmt w:val="decimal"/>
      <w:lvlText w:val="%1."/>
      <w:lvlJc w:val="left"/>
      <w:pPr>
        <w:ind w:left="825" w:hanging="825"/>
      </w:pPr>
      <w:rPr>
        <w:rFonts w:hint="default"/>
      </w:rPr>
    </w:lvl>
    <w:lvl w:ilvl="1">
      <w:start w:val="14"/>
      <w:numFmt w:val="decimal"/>
      <w:lvlText w:val="%1.%2."/>
      <w:lvlJc w:val="left"/>
      <w:pPr>
        <w:ind w:left="1675" w:hanging="825"/>
      </w:pPr>
      <w:rPr>
        <w:rFonts w:hint="default"/>
      </w:rPr>
    </w:lvl>
    <w:lvl w:ilvl="2">
      <w:start w:val="7"/>
      <w:numFmt w:val="decimal"/>
      <w:lvlText w:val="%1.%2.%3."/>
      <w:lvlJc w:val="left"/>
      <w:pPr>
        <w:ind w:left="2780" w:hanging="108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6050" w:hanging="180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9320" w:hanging="2520"/>
      </w:pPr>
      <w:rPr>
        <w:rFonts w:hint="default"/>
      </w:rPr>
    </w:lvl>
  </w:abstractNum>
  <w:abstractNum w:abstractNumId="12" w15:restartNumberingAfterBreak="0">
    <w:nsid w:val="3B52010B"/>
    <w:multiLevelType w:val="multilevel"/>
    <w:tmpl w:val="987A291C"/>
    <w:lvl w:ilvl="0">
      <w:start w:val="1"/>
      <w:numFmt w:val="decimal"/>
      <w:lvlText w:val="%1."/>
      <w:lvlJc w:val="left"/>
      <w:pPr>
        <w:ind w:left="3195" w:hanging="360"/>
      </w:pPr>
      <w:rPr>
        <w:rFonts w:hint="default"/>
      </w:rPr>
    </w:lvl>
    <w:lvl w:ilvl="1">
      <w:start w:val="1"/>
      <w:numFmt w:val="decimal"/>
      <w:isLgl/>
      <w:lvlText w:val="%1.%2."/>
      <w:lvlJc w:val="left"/>
      <w:pPr>
        <w:ind w:left="3555" w:hanging="720"/>
      </w:pPr>
      <w:rPr>
        <w:rFonts w:ascii="Georgia" w:hAnsi="Georgia" w:hint="default"/>
        <w:i w:val="0"/>
        <w:color w:val="auto"/>
        <w:sz w:val="28"/>
        <w:szCs w:val="28"/>
      </w:rPr>
    </w:lvl>
    <w:lvl w:ilvl="2">
      <w:start w:val="1"/>
      <w:numFmt w:val="decimal"/>
      <w:isLgl/>
      <w:lvlText w:val="%1.%2.%3."/>
      <w:lvlJc w:val="left"/>
      <w:pPr>
        <w:ind w:left="3555" w:hanging="72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4995" w:hanging="2160"/>
      </w:pPr>
      <w:rPr>
        <w:rFonts w:hint="default"/>
      </w:rPr>
    </w:lvl>
  </w:abstractNum>
  <w:abstractNum w:abstractNumId="13" w15:restartNumberingAfterBreak="0">
    <w:nsid w:val="46486CFE"/>
    <w:multiLevelType w:val="multilevel"/>
    <w:tmpl w:val="81B8EA2A"/>
    <w:lvl w:ilvl="0">
      <w:start w:val="1"/>
      <w:numFmt w:val="decimal"/>
      <w:lvlText w:val="%1."/>
      <w:lvlJc w:val="left"/>
      <w:pPr>
        <w:ind w:left="1200" w:hanging="84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5" w15:restartNumberingAfterBreak="0">
    <w:nsid w:val="7B540E90"/>
    <w:multiLevelType w:val="multilevel"/>
    <w:tmpl w:val="B25E4CAC"/>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E960DE1"/>
    <w:multiLevelType w:val="hybridMultilevel"/>
    <w:tmpl w:val="9078AD20"/>
    <w:lvl w:ilvl="0" w:tplc="CD62A28E">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2"/>
  </w:num>
  <w:num w:numId="5">
    <w:abstractNumId w:val="11"/>
  </w:num>
  <w:num w:numId="6">
    <w:abstractNumId w:val="7"/>
  </w:num>
  <w:num w:numId="7">
    <w:abstractNumId w:val="14"/>
  </w:num>
  <w:num w:numId="8">
    <w:abstractNumId w:val="4"/>
  </w:num>
  <w:num w:numId="9">
    <w:abstractNumId w:val="1"/>
  </w:num>
  <w:num w:numId="10">
    <w:abstractNumId w:val="9"/>
  </w:num>
  <w:num w:numId="11">
    <w:abstractNumId w:val="3"/>
  </w:num>
  <w:num w:numId="12">
    <w:abstractNumId w:val="5"/>
  </w:num>
  <w:num w:numId="13">
    <w:abstractNumId w:val="15"/>
  </w:num>
  <w:num w:numId="14">
    <w:abstractNumId w:val="16"/>
  </w:num>
  <w:num w:numId="15">
    <w:abstractNumId w:val="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CE"/>
    <w:rsid w:val="00002C22"/>
    <w:rsid w:val="00003A79"/>
    <w:rsid w:val="00004258"/>
    <w:rsid w:val="000058FE"/>
    <w:rsid w:val="00013FB1"/>
    <w:rsid w:val="0001635E"/>
    <w:rsid w:val="00016996"/>
    <w:rsid w:val="00025BCC"/>
    <w:rsid w:val="00032AE5"/>
    <w:rsid w:val="00032C5C"/>
    <w:rsid w:val="00034398"/>
    <w:rsid w:val="00034927"/>
    <w:rsid w:val="00034EA8"/>
    <w:rsid w:val="00035568"/>
    <w:rsid w:val="00036EDF"/>
    <w:rsid w:val="000370F9"/>
    <w:rsid w:val="00040853"/>
    <w:rsid w:val="00040967"/>
    <w:rsid w:val="00040C42"/>
    <w:rsid w:val="00042AFF"/>
    <w:rsid w:val="000430A0"/>
    <w:rsid w:val="00043535"/>
    <w:rsid w:val="000508C9"/>
    <w:rsid w:val="00053C7C"/>
    <w:rsid w:val="00056254"/>
    <w:rsid w:val="00056C04"/>
    <w:rsid w:val="00062931"/>
    <w:rsid w:val="00065451"/>
    <w:rsid w:val="00066DE0"/>
    <w:rsid w:val="000728A5"/>
    <w:rsid w:val="00075D3A"/>
    <w:rsid w:val="00081B2D"/>
    <w:rsid w:val="00085F2E"/>
    <w:rsid w:val="00090495"/>
    <w:rsid w:val="00091D76"/>
    <w:rsid w:val="0009733A"/>
    <w:rsid w:val="00097F8C"/>
    <w:rsid w:val="000A06DD"/>
    <w:rsid w:val="000A4C68"/>
    <w:rsid w:val="000B1034"/>
    <w:rsid w:val="000B1171"/>
    <w:rsid w:val="000C2E4E"/>
    <w:rsid w:val="000C73C8"/>
    <w:rsid w:val="000D09DA"/>
    <w:rsid w:val="000D530A"/>
    <w:rsid w:val="000E1506"/>
    <w:rsid w:val="000E3067"/>
    <w:rsid w:val="000E38AB"/>
    <w:rsid w:val="000E5BEE"/>
    <w:rsid w:val="000E6BBD"/>
    <w:rsid w:val="000F42EC"/>
    <w:rsid w:val="000F4468"/>
    <w:rsid w:val="000F79D5"/>
    <w:rsid w:val="00102BB5"/>
    <w:rsid w:val="00103061"/>
    <w:rsid w:val="00103DF0"/>
    <w:rsid w:val="0010650B"/>
    <w:rsid w:val="00107310"/>
    <w:rsid w:val="00111337"/>
    <w:rsid w:val="00112EFE"/>
    <w:rsid w:val="001159D0"/>
    <w:rsid w:val="00122FDB"/>
    <w:rsid w:val="00124740"/>
    <w:rsid w:val="001252FC"/>
    <w:rsid w:val="00125533"/>
    <w:rsid w:val="001355DB"/>
    <w:rsid w:val="00135C99"/>
    <w:rsid w:val="0014291E"/>
    <w:rsid w:val="00151D07"/>
    <w:rsid w:val="00154A86"/>
    <w:rsid w:val="00155049"/>
    <w:rsid w:val="0015627D"/>
    <w:rsid w:val="001633AB"/>
    <w:rsid w:val="00163651"/>
    <w:rsid w:val="00163994"/>
    <w:rsid w:val="00164238"/>
    <w:rsid w:val="0016434A"/>
    <w:rsid w:val="00166C15"/>
    <w:rsid w:val="001700AA"/>
    <w:rsid w:val="0017157C"/>
    <w:rsid w:val="001731F4"/>
    <w:rsid w:val="00176C3A"/>
    <w:rsid w:val="00177F2D"/>
    <w:rsid w:val="00177F93"/>
    <w:rsid w:val="00180CE3"/>
    <w:rsid w:val="001846FF"/>
    <w:rsid w:val="001857E5"/>
    <w:rsid w:val="001905E7"/>
    <w:rsid w:val="0019238F"/>
    <w:rsid w:val="001926B7"/>
    <w:rsid w:val="001A02BC"/>
    <w:rsid w:val="001A34DF"/>
    <w:rsid w:val="001A6328"/>
    <w:rsid w:val="001A6A9B"/>
    <w:rsid w:val="001B10FA"/>
    <w:rsid w:val="001B38CF"/>
    <w:rsid w:val="001C3672"/>
    <w:rsid w:val="001C5B4F"/>
    <w:rsid w:val="001C6705"/>
    <w:rsid w:val="001C7167"/>
    <w:rsid w:val="001C7396"/>
    <w:rsid w:val="001D405B"/>
    <w:rsid w:val="001D542A"/>
    <w:rsid w:val="001D6739"/>
    <w:rsid w:val="001D78E8"/>
    <w:rsid w:val="001E07C9"/>
    <w:rsid w:val="001E1B3C"/>
    <w:rsid w:val="001E5E4B"/>
    <w:rsid w:val="001F0115"/>
    <w:rsid w:val="001F1C6D"/>
    <w:rsid w:val="002004EA"/>
    <w:rsid w:val="00201CC2"/>
    <w:rsid w:val="00203273"/>
    <w:rsid w:val="0020468D"/>
    <w:rsid w:val="00204969"/>
    <w:rsid w:val="00210C99"/>
    <w:rsid w:val="002127CB"/>
    <w:rsid w:val="0022075C"/>
    <w:rsid w:val="00220D15"/>
    <w:rsid w:val="002225A8"/>
    <w:rsid w:val="00222BD6"/>
    <w:rsid w:val="00231075"/>
    <w:rsid w:val="00235715"/>
    <w:rsid w:val="00240C7E"/>
    <w:rsid w:val="0025006B"/>
    <w:rsid w:val="00261637"/>
    <w:rsid w:val="00261982"/>
    <w:rsid w:val="00263A15"/>
    <w:rsid w:val="00265943"/>
    <w:rsid w:val="002663B0"/>
    <w:rsid w:val="0026794E"/>
    <w:rsid w:val="00270EC7"/>
    <w:rsid w:val="00272BD6"/>
    <w:rsid w:val="0028322E"/>
    <w:rsid w:val="002878BA"/>
    <w:rsid w:val="00287D16"/>
    <w:rsid w:val="00292847"/>
    <w:rsid w:val="00292CDA"/>
    <w:rsid w:val="00292E24"/>
    <w:rsid w:val="002937AD"/>
    <w:rsid w:val="00294571"/>
    <w:rsid w:val="00295D3D"/>
    <w:rsid w:val="002A2C3C"/>
    <w:rsid w:val="002A4F3C"/>
    <w:rsid w:val="002A71A1"/>
    <w:rsid w:val="002A7915"/>
    <w:rsid w:val="002B1DD1"/>
    <w:rsid w:val="002B4D6F"/>
    <w:rsid w:val="002B76BB"/>
    <w:rsid w:val="002C5EB5"/>
    <w:rsid w:val="002D068B"/>
    <w:rsid w:val="002D579F"/>
    <w:rsid w:val="002D6361"/>
    <w:rsid w:val="002E0193"/>
    <w:rsid w:val="002E246B"/>
    <w:rsid w:val="002F263B"/>
    <w:rsid w:val="002F5E56"/>
    <w:rsid w:val="002F5E70"/>
    <w:rsid w:val="002F651B"/>
    <w:rsid w:val="002F6CC7"/>
    <w:rsid w:val="002F71B0"/>
    <w:rsid w:val="00301EF5"/>
    <w:rsid w:val="0030242E"/>
    <w:rsid w:val="00302C71"/>
    <w:rsid w:val="0030549A"/>
    <w:rsid w:val="00314B1F"/>
    <w:rsid w:val="00316225"/>
    <w:rsid w:val="003224DA"/>
    <w:rsid w:val="003244F7"/>
    <w:rsid w:val="00324700"/>
    <w:rsid w:val="003257BD"/>
    <w:rsid w:val="00326A37"/>
    <w:rsid w:val="00327DD7"/>
    <w:rsid w:val="00330710"/>
    <w:rsid w:val="003335D6"/>
    <w:rsid w:val="00333696"/>
    <w:rsid w:val="00333F08"/>
    <w:rsid w:val="003359E4"/>
    <w:rsid w:val="0033644C"/>
    <w:rsid w:val="00337D2E"/>
    <w:rsid w:val="00337DAF"/>
    <w:rsid w:val="003415EF"/>
    <w:rsid w:val="003423FA"/>
    <w:rsid w:val="00344B0D"/>
    <w:rsid w:val="003457B4"/>
    <w:rsid w:val="00345BA1"/>
    <w:rsid w:val="00346031"/>
    <w:rsid w:val="003467AE"/>
    <w:rsid w:val="00352A38"/>
    <w:rsid w:val="00363257"/>
    <w:rsid w:val="003642F7"/>
    <w:rsid w:val="00375A92"/>
    <w:rsid w:val="003816EA"/>
    <w:rsid w:val="00381D4F"/>
    <w:rsid w:val="0039237B"/>
    <w:rsid w:val="003945AA"/>
    <w:rsid w:val="003A02E7"/>
    <w:rsid w:val="003A2F09"/>
    <w:rsid w:val="003A7AB6"/>
    <w:rsid w:val="003B08C9"/>
    <w:rsid w:val="003B0C2F"/>
    <w:rsid w:val="003B0DB1"/>
    <w:rsid w:val="003B6E70"/>
    <w:rsid w:val="003C0358"/>
    <w:rsid w:val="003C0B35"/>
    <w:rsid w:val="003C3CD6"/>
    <w:rsid w:val="003C4419"/>
    <w:rsid w:val="003C58F7"/>
    <w:rsid w:val="003C5BDB"/>
    <w:rsid w:val="003D0A9A"/>
    <w:rsid w:val="003D10F7"/>
    <w:rsid w:val="003E3B0C"/>
    <w:rsid w:val="003E556B"/>
    <w:rsid w:val="003E5B82"/>
    <w:rsid w:val="003E749A"/>
    <w:rsid w:val="003F5528"/>
    <w:rsid w:val="003F75FD"/>
    <w:rsid w:val="00400B80"/>
    <w:rsid w:val="004018AB"/>
    <w:rsid w:val="00405FB0"/>
    <w:rsid w:val="004063DB"/>
    <w:rsid w:val="0040772F"/>
    <w:rsid w:val="00412490"/>
    <w:rsid w:val="00414D2B"/>
    <w:rsid w:val="004152C3"/>
    <w:rsid w:val="00415377"/>
    <w:rsid w:val="00421978"/>
    <w:rsid w:val="00424765"/>
    <w:rsid w:val="004267A6"/>
    <w:rsid w:val="00427567"/>
    <w:rsid w:val="00431DCD"/>
    <w:rsid w:val="004325B0"/>
    <w:rsid w:val="00433AF8"/>
    <w:rsid w:val="00434567"/>
    <w:rsid w:val="0044784B"/>
    <w:rsid w:val="00450308"/>
    <w:rsid w:val="00454CA4"/>
    <w:rsid w:val="0045671C"/>
    <w:rsid w:val="00457425"/>
    <w:rsid w:val="004611F3"/>
    <w:rsid w:val="004619DF"/>
    <w:rsid w:val="00463266"/>
    <w:rsid w:val="0046544A"/>
    <w:rsid w:val="0046704F"/>
    <w:rsid w:val="00473713"/>
    <w:rsid w:val="00473EAD"/>
    <w:rsid w:val="004759B1"/>
    <w:rsid w:val="00476D98"/>
    <w:rsid w:val="0048581F"/>
    <w:rsid w:val="004868F4"/>
    <w:rsid w:val="00486BF5"/>
    <w:rsid w:val="00490610"/>
    <w:rsid w:val="004922D2"/>
    <w:rsid w:val="004A0FD0"/>
    <w:rsid w:val="004A207C"/>
    <w:rsid w:val="004A243E"/>
    <w:rsid w:val="004A2BA2"/>
    <w:rsid w:val="004A48B9"/>
    <w:rsid w:val="004A72FC"/>
    <w:rsid w:val="004B4615"/>
    <w:rsid w:val="004C50A9"/>
    <w:rsid w:val="004C5618"/>
    <w:rsid w:val="004C5741"/>
    <w:rsid w:val="004D028C"/>
    <w:rsid w:val="004D211A"/>
    <w:rsid w:val="004D4EEE"/>
    <w:rsid w:val="004E4457"/>
    <w:rsid w:val="004E6E8A"/>
    <w:rsid w:val="004E7A3D"/>
    <w:rsid w:val="004F091D"/>
    <w:rsid w:val="004F5558"/>
    <w:rsid w:val="00502D81"/>
    <w:rsid w:val="0050355B"/>
    <w:rsid w:val="00504BDD"/>
    <w:rsid w:val="00516912"/>
    <w:rsid w:val="00517BD7"/>
    <w:rsid w:val="0052429C"/>
    <w:rsid w:val="005355A9"/>
    <w:rsid w:val="00537D78"/>
    <w:rsid w:val="00540F19"/>
    <w:rsid w:val="0054265C"/>
    <w:rsid w:val="00542877"/>
    <w:rsid w:val="00544B63"/>
    <w:rsid w:val="005506F7"/>
    <w:rsid w:val="00554A73"/>
    <w:rsid w:val="005557EC"/>
    <w:rsid w:val="00556C44"/>
    <w:rsid w:val="00560052"/>
    <w:rsid w:val="005622C6"/>
    <w:rsid w:val="00563328"/>
    <w:rsid w:val="00567010"/>
    <w:rsid w:val="00571A10"/>
    <w:rsid w:val="005777FE"/>
    <w:rsid w:val="00580D4B"/>
    <w:rsid w:val="005850F0"/>
    <w:rsid w:val="00585ADE"/>
    <w:rsid w:val="00587790"/>
    <w:rsid w:val="00587FB7"/>
    <w:rsid w:val="005906FE"/>
    <w:rsid w:val="00592EE1"/>
    <w:rsid w:val="005946BA"/>
    <w:rsid w:val="005963BD"/>
    <w:rsid w:val="005A1BAA"/>
    <w:rsid w:val="005A3E3D"/>
    <w:rsid w:val="005A5B1C"/>
    <w:rsid w:val="005A68E2"/>
    <w:rsid w:val="005B1991"/>
    <w:rsid w:val="005B1D1C"/>
    <w:rsid w:val="005B3913"/>
    <w:rsid w:val="005B5ED4"/>
    <w:rsid w:val="005C433A"/>
    <w:rsid w:val="005C791B"/>
    <w:rsid w:val="005D1EF2"/>
    <w:rsid w:val="005D64D7"/>
    <w:rsid w:val="005E0A0B"/>
    <w:rsid w:val="005E1161"/>
    <w:rsid w:val="005E34D2"/>
    <w:rsid w:val="005E3B36"/>
    <w:rsid w:val="005E77D9"/>
    <w:rsid w:val="005F012A"/>
    <w:rsid w:val="005F046F"/>
    <w:rsid w:val="005F2203"/>
    <w:rsid w:val="005F3B0A"/>
    <w:rsid w:val="005F400E"/>
    <w:rsid w:val="005F5165"/>
    <w:rsid w:val="005F748F"/>
    <w:rsid w:val="006001EF"/>
    <w:rsid w:val="00600FB3"/>
    <w:rsid w:val="00602210"/>
    <w:rsid w:val="0060571C"/>
    <w:rsid w:val="006103A0"/>
    <w:rsid w:val="0061251D"/>
    <w:rsid w:val="00612AD9"/>
    <w:rsid w:val="006166C7"/>
    <w:rsid w:val="00623B80"/>
    <w:rsid w:val="00623F69"/>
    <w:rsid w:val="006257D7"/>
    <w:rsid w:val="00630458"/>
    <w:rsid w:val="00631ABE"/>
    <w:rsid w:val="00632F05"/>
    <w:rsid w:val="00635B53"/>
    <w:rsid w:val="00636FC1"/>
    <w:rsid w:val="0063726F"/>
    <w:rsid w:val="00643580"/>
    <w:rsid w:val="006450DE"/>
    <w:rsid w:val="00646300"/>
    <w:rsid w:val="00651489"/>
    <w:rsid w:val="006524F6"/>
    <w:rsid w:val="00656B60"/>
    <w:rsid w:val="006627CC"/>
    <w:rsid w:val="00667DFF"/>
    <w:rsid w:val="0068142B"/>
    <w:rsid w:val="00686CD9"/>
    <w:rsid w:val="00690CE8"/>
    <w:rsid w:val="00692A78"/>
    <w:rsid w:val="00694450"/>
    <w:rsid w:val="006957A8"/>
    <w:rsid w:val="006A283C"/>
    <w:rsid w:val="006A5323"/>
    <w:rsid w:val="006A7114"/>
    <w:rsid w:val="006B3710"/>
    <w:rsid w:val="006B4BBE"/>
    <w:rsid w:val="006B4E5B"/>
    <w:rsid w:val="006B5569"/>
    <w:rsid w:val="006B6710"/>
    <w:rsid w:val="006B6F9D"/>
    <w:rsid w:val="006B787D"/>
    <w:rsid w:val="006B7B4A"/>
    <w:rsid w:val="006C0A14"/>
    <w:rsid w:val="006C2B6B"/>
    <w:rsid w:val="006C4BEE"/>
    <w:rsid w:val="006C4C35"/>
    <w:rsid w:val="006D1674"/>
    <w:rsid w:val="006D3028"/>
    <w:rsid w:val="006D4F28"/>
    <w:rsid w:val="006E1C65"/>
    <w:rsid w:val="006E2772"/>
    <w:rsid w:val="006E7DD6"/>
    <w:rsid w:val="007033A0"/>
    <w:rsid w:val="00704559"/>
    <w:rsid w:val="0070479C"/>
    <w:rsid w:val="00706A32"/>
    <w:rsid w:val="0070750A"/>
    <w:rsid w:val="00714862"/>
    <w:rsid w:val="00716A65"/>
    <w:rsid w:val="00723566"/>
    <w:rsid w:val="00725BD1"/>
    <w:rsid w:val="00727746"/>
    <w:rsid w:val="00735B22"/>
    <w:rsid w:val="00750EE0"/>
    <w:rsid w:val="00752C29"/>
    <w:rsid w:val="00753CF5"/>
    <w:rsid w:val="00754F99"/>
    <w:rsid w:val="00762649"/>
    <w:rsid w:val="00763AB3"/>
    <w:rsid w:val="00764E7C"/>
    <w:rsid w:val="00764FFE"/>
    <w:rsid w:val="007720D7"/>
    <w:rsid w:val="00777D95"/>
    <w:rsid w:val="00780B46"/>
    <w:rsid w:val="00783109"/>
    <w:rsid w:val="007865CF"/>
    <w:rsid w:val="007870D6"/>
    <w:rsid w:val="00787D23"/>
    <w:rsid w:val="007926BD"/>
    <w:rsid w:val="0079517C"/>
    <w:rsid w:val="00797A72"/>
    <w:rsid w:val="007A54EA"/>
    <w:rsid w:val="007A690B"/>
    <w:rsid w:val="007A7AFA"/>
    <w:rsid w:val="007A7B68"/>
    <w:rsid w:val="007B05AF"/>
    <w:rsid w:val="007B0D6D"/>
    <w:rsid w:val="007B5EA0"/>
    <w:rsid w:val="007B6A83"/>
    <w:rsid w:val="007B7860"/>
    <w:rsid w:val="007C2823"/>
    <w:rsid w:val="007C51B0"/>
    <w:rsid w:val="007C541B"/>
    <w:rsid w:val="007D08EA"/>
    <w:rsid w:val="007D1815"/>
    <w:rsid w:val="007D2126"/>
    <w:rsid w:val="007D218E"/>
    <w:rsid w:val="007D2C53"/>
    <w:rsid w:val="007D6CD3"/>
    <w:rsid w:val="007E14C4"/>
    <w:rsid w:val="007E5990"/>
    <w:rsid w:val="007E62C9"/>
    <w:rsid w:val="007F454E"/>
    <w:rsid w:val="007F71FB"/>
    <w:rsid w:val="00800DF2"/>
    <w:rsid w:val="008031EE"/>
    <w:rsid w:val="0081297A"/>
    <w:rsid w:val="00817B2D"/>
    <w:rsid w:val="00817FF7"/>
    <w:rsid w:val="00822812"/>
    <w:rsid w:val="00824E5F"/>
    <w:rsid w:val="008277FD"/>
    <w:rsid w:val="008352ED"/>
    <w:rsid w:val="00837389"/>
    <w:rsid w:val="00837D7F"/>
    <w:rsid w:val="00841C92"/>
    <w:rsid w:val="00842BD8"/>
    <w:rsid w:val="00845D99"/>
    <w:rsid w:val="0085097D"/>
    <w:rsid w:val="0085671F"/>
    <w:rsid w:val="008575EF"/>
    <w:rsid w:val="0086265C"/>
    <w:rsid w:val="00877E93"/>
    <w:rsid w:val="00881593"/>
    <w:rsid w:val="00881E7F"/>
    <w:rsid w:val="00883CB6"/>
    <w:rsid w:val="0088476A"/>
    <w:rsid w:val="00884F86"/>
    <w:rsid w:val="00886FB0"/>
    <w:rsid w:val="008875BD"/>
    <w:rsid w:val="00890ED3"/>
    <w:rsid w:val="00891244"/>
    <w:rsid w:val="008A17EC"/>
    <w:rsid w:val="008A6B8A"/>
    <w:rsid w:val="008C0F14"/>
    <w:rsid w:val="008C11CB"/>
    <w:rsid w:val="008C1242"/>
    <w:rsid w:val="008C15BA"/>
    <w:rsid w:val="008C3BEE"/>
    <w:rsid w:val="008C6C41"/>
    <w:rsid w:val="008D2858"/>
    <w:rsid w:val="008D524D"/>
    <w:rsid w:val="008D71FB"/>
    <w:rsid w:val="008D7A82"/>
    <w:rsid w:val="008D7E9B"/>
    <w:rsid w:val="008E199F"/>
    <w:rsid w:val="008E3C4E"/>
    <w:rsid w:val="008E45A6"/>
    <w:rsid w:val="008E4C38"/>
    <w:rsid w:val="008E505C"/>
    <w:rsid w:val="008E5173"/>
    <w:rsid w:val="008E5B4A"/>
    <w:rsid w:val="008F2325"/>
    <w:rsid w:val="008F2804"/>
    <w:rsid w:val="008F5EFA"/>
    <w:rsid w:val="00900A22"/>
    <w:rsid w:val="009029CB"/>
    <w:rsid w:val="009045FB"/>
    <w:rsid w:val="009065EA"/>
    <w:rsid w:val="00913242"/>
    <w:rsid w:val="00915FE2"/>
    <w:rsid w:val="0091714F"/>
    <w:rsid w:val="00920A16"/>
    <w:rsid w:val="0092183C"/>
    <w:rsid w:val="00923FF8"/>
    <w:rsid w:val="00925C4B"/>
    <w:rsid w:val="00926E5B"/>
    <w:rsid w:val="00930691"/>
    <w:rsid w:val="00930B91"/>
    <w:rsid w:val="00931C9A"/>
    <w:rsid w:val="009360B2"/>
    <w:rsid w:val="009375CE"/>
    <w:rsid w:val="00940D12"/>
    <w:rsid w:val="009429DC"/>
    <w:rsid w:val="00943E41"/>
    <w:rsid w:val="00946ECE"/>
    <w:rsid w:val="0094747B"/>
    <w:rsid w:val="009524EA"/>
    <w:rsid w:val="00956C58"/>
    <w:rsid w:val="009609DA"/>
    <w:rsid w:val="00970406"/>
    <w:rsid w:val="009741B9"/>
    <w:rsid w:val="009815D9"/>
    <w:rsid w:val="009929D4"/>
    <w:rsid w:val="009937B4"/>
    <w:rsid w:val="00996AF9"/>
    <w:rsid w:val="009A02E7"/>
    <w:rsid w:val="009A05BB"/>
    <w:rsid w:val="009A371A"/>
    <w:rsid w:val="009A5F55"/>
    <w:rsid w:val="009A645D"/>
    <w:rsid w:val="009B02C7"/>
    <w:rsid w:val="009B08A4"/>
    <w:rsid w:val="009B0CEC"/>
    <w:rsid w:val="009B1068"/>
    <w:rsid w:val="009B1B5B"/>
    <w:rsid w:val="009B3C1E"/>
    <w:rsid w:val="009B46D2"/>
    <w:rsid w:val="009C1E51"/>
    <w:rsid w:val="009C43DF"/>
    <w:rsid w:val="009C613E"/>
    <w:rsid w:val="009C66FC"/>
    <w:rsid w:val="009D08B2"/>
    <w:rsid w:val="009D3F3A"/>
    <w:rsid w:val="009D6129"/>
    <w:rsid w:val="009D6E3F"/>
    <w:rsid w:val="009D7CE4"/>
    <w:rsid w:val="009E2E13"/>
    <w:rsid w:val="009E3614"/>
    <w:rsid w:val="009E426D"/>
    <w:rsid w:val="009E54D7"/>
    <w:rsid w:val="009E612B"/>
    <w:rsid w:val="009F31A4"/>
    <w:rsid w:val="009F34F4"/>
    <w:rsid w:val="009F5B9E"/>
    <w:rsid w:val="009F5C27"/>
    <w:rsid w:val="009F5E8C"/>
    <w:rsid w:val="009F7E7E"/>
    <w:rsid w:val="00A02817"/>
    <w:rsid w:val="00A04EA0"/>
    <w:rsid w:val="00A05579"/>
    <w:rsid w:val="00A1068A"/>
    <w:rsid w:val="00A11546"/>
    <w:rsid w:val="00A23CBB"/>
    <w:rsid w:val="00A26200"/>
    <w:rsid w:val="00A26CFA"/>
    <w:rsid w:val="00A30F89"/>
    <w:rsid w:val="00A36612"/>
    <w:rsid w:val="00A429E6"/>
    <w:rsid w:val="00A45BBF"/>
    <w:rsid w:val="00A462BF"/>
    <w:rsid w:val="00A51077"/>
    <w:rsid w:val="00A535C6"/>
    <w:rsid w:val="00A5489D"/>
    <w:rsid w:val="00A5592C"/>
    <w:rsid w:val="00A55B8D"/>
    <w:rsid w:val="00A5614C"/>
    <w:rsid w:val="00A5755D"/>
    <w:rsid w:val="00A63F55"/>
    <w:rsid w:val="00A67CC7"/>
    <w:rsid w:val="00A7168D"/>
    <w:rsid w:val="00A738A5"/>
    <w:rsid w:val="00A74EAF"/>
    <w:rsid w:val="00A77D6C"/>
    <w:rsid w:val="00A80631"/>
    <w:rsid w:val="00A80F14"/>
    <w:rsid w:val="00A83CA9"/>
    <w:rsid w:val="00A84E4A"/>
    <w:rsid w:val="00A87860"/>
    <w:rsid w:val="00A933D6"/>
    <w:rsid w:val="00A948E7"/>
    <w:rsid w:val="00AA07CC"/>
    <w:rsid w:val="00AA1BD0"/>
    <w:rsid w:val="00AA2459"/>
    <w:rsid w:val="00AA3114"/>
    <w:rsid w:val="00AA327C"/>
    <w:rsid w:val="00AA469D"/>
    <w:rsid w:val="00AA6724"/>
    <w:rsid w:val="00AA786C"/>
    <w:rsid w:val="00AB0DB3"/>
    <w:rsid w:val="00AB5864"/>
    <w:rsid w:val="00AB6333"/>
    <w:rsid w:val="00AB63DF"/>
    <w:rsid w:val="00AB7098"/>
    <w:rsid w:val="00AB7245"/>
    <w:rsid w:val="00AC2461"/>
    <w:rsid w:val="00AC3DC8"/>
    <w:rsid w:val="00AC45ED"/>
    <w:rsid w:val="00AC4D3C"/>
    <w:rsid w:val="00AD04CE"/>
    <w:rsid w:val="00AD151E"/>
    <w:rsid w:val="00AD5145"/>
    <w:rsid w:val="00AD59A7"/>
    <w:rsid w:val="00AD5FE1"/>
    <w:rsid w:val="00AE3BE8"/>
    <w:rsid w:val="00AE41AA"/>
    <w:rsid w:val="00AE6AEA"/>
    <w:rsid w:val="00AF006C"/>
    <w:rsid w:val="00AF06A1"/>
    <w:rsid w:val="00AF19F7"/>
    <w:rsid w:val="00AF1CD2"/>
    <w:rsid w:val="00AF2CE4"/>
    <w:rsid w:val="00AF5125"/>
    <w:rsid w:val="00AF690A"/>
    <w:rsid w:val="00B02FCE"/>
    <w:rsid w:val="00B058DC"/>
    <w:rsid w:val="00B105FC"/>
    <w:rsid w:val="00B10E93"/>
    <w:rsid w:val="00B12B18"/>
    <w:rsid w:val="00B1498C"/>
    <w:rsid w:val="00B17EE2"/>
    <w:rsid w:val="00B25D9D"/>
    <w:rsid w:val="00B318EE"/>
    <w:rsid w:val="00B40261"/>
    <w:rsid w:val="00B4224B"/>
    <w:rsid w:val="00B430B7"/>
    <w:rsid w:val="00B45F63"/>
    <w:rsid w:val="00B5141E"/>
    <w:rsid w:val="00B53695"/>
    <w:rsid w:val="00B560A6"/>
    <w:rsid w:val="00B561B6"/>
    <w:rsid w:val="00B56C52"/>
    <w:rsid w:val="00B600E6"/>
    <w:rsid w:val="00B6252C"/>
    <w:rsid w:val="00B62882"/>
    <w:rsid w:val="00B70140"/>
    <w:rsid w:val="00B717FE"/>
    <w:rsid w:val="00B7503F"/>
    <w:rsid w:val="00B8062A"/>
    <w:rsid w:val="00B80D2E"/>
    <w:rsid w:val="00B81336"/>
    <w:rsid w:val="00B8756D"/>
    <w:rsid w:val="00B90039"/>
    <w:rsid w:val="00B92F68"/>
    <w:rsid w:val="00B934C6"/>
    <w:rsid w:val="00B93661"/>
    <w:rsid w:val="00B951B3"/>
    <w:rsid w:val="00B95DA4"/>
    <w:rsid w:val="00B9607B"/>
    <w:rsid w:val="00BA0A2B"/>
    <w:rsid w:val="00BA2A0C"/>
    <w:rsid w:val="00BA2C73"/>
    <w:rsid w:val="00BA6AF2"/>
    <w:rsid w:val="00BB0F36"/>
    <w:rsid w:val="00BB1345"/>
    <w:rsid w:val="00BB1E0D"/>
    <w:rsid w:val="00BB53B5"/>
    <w:rsid w:val="00BB5A47"/>
    <w:rsid w:val="00BB6FE4"/>
    <w:rsid w:val="00BC3F81"/>
    <w:rsid w:val="00BC4713"/>
    <w:rsid w:val="00BC4F10"/>
    <w:rsid w:val="00BD1FEE"/>
    <w:rsid w:val="00BD24BB"/>
    <w:rsid w:val="00BD2AC8"/>
    <w:rsid w:val="00BD2B7C"/>
    <w:rsid w:val="00BD348F"/>
    <w:rsid w:val="00BE1B51"/>
    <w:rsid w:val="00BE5031"/>
    <w:rsid w:val="00BE5E33"/>
    <w:rsid w:val="00BF02C7"/>
    <w:rsid w:val="00BF082D"/>
    <w:rsid w:val="00BF2D4A"/>
    <w:rsid w:val="00BF44B0"/>
    <w:rsid w:val="00BF7684"/>
    <w:rsid w:val="00C00EAA"/>
    <w:rsid w:val="00C01D61"/>
    <w:rsid w:val="00C061B6"/>
    <w:rsid w:val="00C07B05"/>
    <w:rsid w:val="00C110CC"/>
    <w:rsid w:val="00C15912"/>
    <w:rsid w:val="00C17505"/>
    <w:rsid w:val="00C215A9"/>
    <w:rsid w:val="00C21E04"/>
    <w:rsid w:val="00C23A75"/>
    <w:rsid w:val="00C24B03"/>
    <w:rsid w:val="00C31A44"/>
    <w:rsid w:val="00C32CAA"/>
    <w:rsid w:val="00C3365E"/>
    <w:rsid w:val="00C34747"/>
    <w:rsid w:val="00C35994"/>
    <w:rsid w:val="00C3717E"/>
    <w:rsid w:val="00C42899"/>
    <w:rsid w:val="00C524BF"/>
    <w:rsid w:val="00C52B41"/>
    <w:rsid w:val="00C53300"/>
    <w:rsid w:val="00C56538"/>
    <w:rsid w:val="00C658A4"/>
    <w:rsid w:val="00C662B1"/>
    <w:rsid w:val="00C74286"/>
    <w:rsid w:val="00C757DC"/>
    <w:rsid w:val="00C77722"/>
    <w:rsid w:val="00C82A78"/>
    <w:rsid w:val="00C82F3F"/>
    <w:rsid w:val="00C86703"/>
    <w:rsid w:val="00C9427A"/>
    <w:rsid w:val="00C97EE9"/>
    <w:rsid w:val="00CA053C"/>
    <w:rsid w:val="00CA69C7"/>
    <w:rsid w:val="00CB32A0"/>
    <w:rsid w:val="00CB445D"/>
    <w:rsid w:val="00CC0A58"/>
    <w:rsid w:val="00CC2A31"/>
    <w:rsid w:val="00CC300B"/>
    <w:rsid w:val="00CC6258"/>
    <w:rsid w:val="00CC7996"/>
    <w:rsid w:val="00CD4ED4"/>
    <w:rsid w:val="00CD78E8"/>
    <w:rsid w:val="00CD7DD8"/>
    <w:rsid w:val="00CE04E6"/>
    <w:rsid w:val="00CE10F3"/>
    <w:rsid w:val="00CE5846"/>
    <w:rsid w:val="00CE5975"/>
    <w:rsid w:val="00CF1A14"/>
    <w:rsid w:val="00D01655"/>
    <w:rsid w:val="00D0186B"/>
    <w:rsid w:val="00D058F5"/>
    <w:rsid w:val="00D07279"/>
    <w:rsid w:val="00D1386B"/>
    <w:rsid w:val="00D1396E"/>
    <w:rsid w:val="00D14386"/>
    <w:rsid w:val="00D150AE"/>
    <w:rsid w:val="00D150DD"/>
    <w:rsid w:val="00D16B23"/>
    <w:rsid w:val="00D36982"/>
    <w:rsid w:val="00D3767D"/>
    <w:rsid w:val="00D4096F"/>
    <w:rsid w:val="00D410B4"/>
    <w:rsid w:val="00D42DC9"/>
    <w:rsid w:val="00D46AB2"/>
    <w:rsid w:val="00D477AD"/>
    <w:rsid w:val="00D50C7D"/>
    <w:rsid w:val="00D50DE9"/>
    <w:rsid w:val="00D50E36"/>
    <w:rsid w:val="00D52250"/>
    <w:rsid w:val="00D537FD"/>
    <w:rsid w:val="00D548C0"/>
    <w:rsid w:val="00D57E5C"/>
    <w:rsid w:val="00D60171"/>
    <w:rsid w:val="00D63DEA"/>
    <w:rsid w:val="00D71F80"/>
    <w:rsid w:val="00D7224C"/>
    <w:rsid w:val="00D74C2B"/>
    <w:rsid w:val="00D76689"/>
    <w:rsid w:val="00D829AD"/>
    <w:rsid w:val="00D84474"/>
    <w:rsid w:val="00D847AA"/>
    <w:rsid w:val="00D94F07"/>
    <w:rsid w:val="00D94F9F"/>
    <w:rsid w:val="00D96E95"/>
    <w:rsid w:val="00DA0956"/>
    <w:rsid w:val="00DA1155"/>
    <w:rsid w:val="00DB050A"/>
    <w:rsid w:val="00DB43C7"/>
    <w:rsid w:val="00DB71AF"/>
    <w:rsid w:val="00DB7B3E"/>
    <w:rsid w:val="00DC0E31"/>
    <w:rsid w:val="00DD0A66"/>
    <w:rsid w:val="00DD0C64"/>
    <w:rsid w:val="00DE0CEA"/>
    <w:rsid w:val="00DE1088"/>
    <w:rsid w:val="00DE2878"/>
    <w:rsid w:val="00DE6CFB"/>
    <w:rsid w:val="00DF0D6A"/>
    <w:rsid w:val="00DF17F3"/>
    <w:rsid w:val="00DF2B06"/>
    <w:rsid w:val="00DF4E93"/>
    <w:rsid w:val="00E01F3F"/>
    <w:rsid w:val="00E02DD5"/>
    <w:rsid w:val="00E03165"/>
    <w:rsid w:val="00E04F33"/>
    <w:rsid w:val="00E0567F"/>
    <w:rsid w:val="00E11597"/>
    <w:rsid w:val="00E170F6"/>
    <w:rsid w:val="00E20426"/>
    <w:rsid w:val="00E23D12"/>
    <w:rsid w:val="00E317BD"/>
    <w:rsid w:val="00E33703"/>
    <w:rsid w:val="00E33BE2"/>
    <w:rsid w:val="00E34D76"/>
    <w:rsid w:val="00E35A31"/>
    <w:rsid w:val="00E5033F"/>
    <w:rsid w:val="00E5128D"/>
    <w:rsid w:val="00E54490"/>
    <w:rsid w:val="00E55287"/>
    <w:rsid w:val="00E62C07"/>
    <w:rsid w:val="00E65822"/>
    <w:rsid w:val="00E6744A"/>
    <w:rsid w:val="00E70B9F"/>
    <w:rsid w:val="00E71ED6"/>
    <w:rsid w:val="00E7539D"/>
    <w:rsid w:val="00E75DA1"/>
    <w:rsid w:val="00E76B65"/>
    <w:rsid w:val="00E8012D"/>
    <w:rsid w:val="00E8064D"/>
    <w:rsid w:val="00E80740"/>
    <w:rsid w:val="00E82580"/>
    <w:rsid w:val="00E861C5"/>
    <w:rsid w:val="00E865BB"/>
    <w:rsid w:val="00E86A7A"/>
    <w:rsid w:val="00E915EB"/>
    <w:rsid w:val="00E95BFB"/>
    <w:rsid w:val="00E96762"/>
    <w:rsid w:val="00EA3F47"/>
    <w:rsid w:val="00EA47DA"/>
    <w:rsid w:val="00EA66C8"/>
    <w:rsid w:val="00EB0212"/>
    <w:rsid w:val="00EB66A9"/>
    <w:rsid w:val="00EB7C8F"/>
    <w:rsid w:val="00EC4229"/>
    <w:rsid w:val="00EC74C1"/>
    <w:rsid w:val="00EC74D9"/>
    <w:rsid w:val="00EC7A5D"/>
    <w:rsid w:val="00ED0BFB"/>
    <w:rsid w:val="00ED111A"/>
    <w:rsid w:val="00ED364C"/>
    <w:rsid w:val="00EE2A0A"/>
    <w:rsid w:val="00EF10E2"/>
    <w:rsid w:val="00EF13F8"/>
    <w:rsid w:val="00EF18C7"/>
    <w:rsid w:val="00EF206F"/>
    <w:rsid w:val="00EF7174"/>
    <w:rsid w:val="00EF7CE8"/>
    <w:rsid w:val="00F01972"/>
    <w:rsid w:val="00F02621"/>
    <w:rsid w:val="00F0382C"/>
    <w:rsid w:val="00F03C23"/>
    <w:rsid w:val="00F10B7F"/>
    <w:rsid w:val="00F11B48"/>
    <w:rsid w:val="00F16D7B"/>
    <w:rsid w:val="00F215D9"/>
    <w:rsid w:val="00F251DD"/>
    <w:rsid w:val="00F26287"/>
    <w:rsid w:val="00F30FF6"/>
    <w:rsid w:val="00F34BAC"/>
    <w:rsid w:val="00F42226"/>
    <w:rsid w:val="00F43D85"/>
    <w:rsid w:val="00F50E4C"/>
    <w:rsid w:val="00F5227A"/>
    <w:rsid w:val="00F523D2"/>
    <w:rsid w:val="00F558B5"/>
    <w:rsid w:val="00F570FA"/>
    <w:rsid w:val="00F60BE8"/>
    <w:rsid w:val="00F61472"/>
    <w:rsid w:val="00F6287A"/>
    <w:rsid w:val="00F6352E"/>
    <w:rsid w:val="00F65FD1"/>
    <w:rsid w:val="00F66BCE"/>
    <w:rsid w:val="00F75A71"/>
    <w:rsid w:val="00F75E4D"/>
    <w:rsid w:val="00F853A1"/>
    <w:rsid w:val="00F90029"/>
    <w:rsid w:val="00F97A47"/>
    <w:rsid w:val="00FA193F"/>
    <w:rsid w:val="00FA1DED"/>
    <w:rsid w:val="00FA4D97"/>
    <w:rsid w:val="00FA79EA"/>
    <w:rsid w:val="00FA7D3A"/>
    <w:rsid w:val="00FB1FD4"/>
    <w:rsid w:val="00FB618B"/>
    <w:rsid w:val="00FC2E6A"/>
    <w:rsid w:val="00FD2F4C"/>
    <w:rsid w:val="00FD4DB1"/>
    <w:rsid w:val="00FD60F4"/>
    <w:rsid w:val="00FE1B76"/>
    <w:rsid w:val="00FE2F08"/>
    <w:rsid w:val="00FE34AA"/>
    <w:rsid w:val="00FE4407"/>
    <w:rsid w:val="00FE51B7"/>
    <w:rsid w:val="00FE6800"/>
    <w:rsid w:val="0230BD35"/>
    <w:rsid w:val="031D72B8"/>
    <w:rsid w:val="03CA92BD"/>
    <w:rsid w:val="0467A6AF"/>
    <w:rsid w:val="055684CF"/>
    <w:rsid w:val="0584D87F"/>
    <w:rsid w:val="06CFA894"/>
    <w:rsid w:val="06D16535"/>
    <w:rsid w:val="070B5DE0"/>
    <w:rsid w:val="077EA66E"/>
    <w:rsid w:val="084B3389"/>
    <w:rsid w:val="08BC7941"/>
    <w:rsid w:val="095B609C"/>
    <w:rsid w:val="0A074956"/>
    <w:rsid w:val="0B366423"/>
    <w:rsid w:val="0CF4FF18"/>
    <w:rsid w:val="0F004570"/>
    <w:rsid w:val="13CB749F"/>
    <w:rsid w:val="154B02CD"/>
    <w:rsid w:val="15A47C6B"/>
    <w:rsid w:val="1618B216"/>
    <w:rsid w:val="182F257E"/>
    <w:rsid w:val="1BE70CBA"/>
    <w:rsid w:val="1CD36ABB"/>
    <w:rsid w:val="1DBF8E66"/>
    <w:rsid w:val="1F50E3BF"/>
    <w:rsid w:val="202A7072"/>
    <w:rsid w:val="2046BB82"/>
    <w:rsid w:val="205DBCBE"/>
    <w:rsid w:val="20748266"/>
    <w:rsid w:val="20B80681"/>
    <w:rsid w:val="20D13637"/>
    <w:rsid w:val="221052C7"/>
    <w:rsid w:val="2340E6D2"/>
    <w:rsid w:val="238947C0"/>
    <w:rsid w:val="23A1F2A8"/>
    <w:rsid w:val="23AC2328"/>
    <w:rsid w:val="242669C6"/>
    <w:rsid w:val="24F21FEF"/>
    <w:rsid w:val="25599EB3"/>
    <w:rsid w:val="27DFAA56"/>
    <w:rsid w:val="28EF255C"/>
    <w:rsid w:val="296BAC02"/>
    <w:rsid w:val="2A48FBB8"/>
    <w:rsid w:val="2BE3F18A"/>
    <w:rsid w:val="2C87A1E3"/>
    <w:rsid w:val="2C93B83F"/>
    <w:rsid w:val="2E71F21A"/>
    <w:rsid w:val="2ED44A6D"/>
    <w:rsid w:val="2F274542"/>
    <w:rsid w:val="3178A7A7"/>
    <w:rsid w:val="32F76F22"/>
    <w:rsid w:val="33652129"/>
    <w:rsid w:val="33CA3478"/>
    <w:rsid w:val="358FA85C"/>
    <w:rsid w:val="35E0A8A8"/>
    <w:rsid w:val="3628C3C4"/>
    <w:rsid w:val="37941867"/>
    <w:rsid w:val="38E9F5BA"/>
    <w:rsid w:val="3918496A"/>
    <w:rsid w:val="399DD692"/>
    <w:rsid w:val="39E1EDE7"/>
    <w:rsid w:val="3A63197F"/>
    <w:rsid w:val="3B8669AA"/>
    <w:rsid w:val="3D9F716F"/>
    <w:rsid w:val="3ECE64B3"/>
    <w:rsid w:val="3F458FC5"/>
    <w:rsid w:val="3F8C542A"/>
    <w:rsid w:val="404F2540"/>
    <w:rsid w:val="412A0B60"/>
    <w:rsid w:val="41994A72"/>
    <w:rsid w:val="42885A91"/>
    <w:rsid w:val="434ABB75"/>
    <w:rsid w:val="44D21A6D"/>
    <w:rsid w:val="45180E8F"/>
    <w:rsid w:val="473982B9"/>
    <w:rsid w:val="47A9BE8D"/>
    <w:rsid w:val="48D17F8C"/>
    <w:rsid w:val="49DC6DB8"/>
    <w:rsid w:val="4CE11132"/>
    <w:rsid w:val="4D579B42"/>
    <w:rsid w:val="4D9473A1"/>
    <w:rsid w:val="4E362BDD"/>
    <w:rsid w:val="4F8CD501"/>
    <w:rsid w:val="4FEFFA9A"/>
    <w:rsid w:val="500CE4BB"/>
    <w:rsid w:val="518BCAFB"/>
    <w:rsid w:val="51C26A5D"/>
    <w:rsid w:val="528C3CB4"/>
    <w:rsid w:val="53354641"/>
    <w:rsid w:val="5436D8F9"/>
    <w:rsid w:val="55CD23C6"/>
    <w:rsid w:val="56115C85"/>
    <w:rsid w:val="56F039F5"/>
    <w:rsid w:val="5768CD6F"/>
    <w:rsid w:val="57C5BDCB"/>
    <w:rsid w:val="58325AE7"/>
    <w:rsid w:val="589B67E8"/>
    <w:rsid w:val="5B9A068A"/>
    <w:rsid w:val="5BF69A00"/>
    <w:rsid w:val="5D1D7BDE"/>
    <w:rsid w:val="5DD57016"/>
    <w:rsid w:val="614B7F96"/>
    <w:rsid w:val="61858B40"/>
    <w:rsid w:val="628E1F5D"/>
    <w:rsid w:val="63841242"/>
    <w:rsid w:val="63ACE2E4"/>
    <w:rsid w:val="649E365B"/>
    <w:rsid w:val="6A54DC42"/>
    <w:rsid w:val="6BD99CE2"/>
    <w:rsid w:val="6D792F9E"/>
    <w:rsid w:val="6DB7C490"/>
    <w:rsid w:val="6E826677"/>
    <w:rsid w:val="6F86EB2C"/>
    <w:rsid w:val="6FE3517A"/>
    <w:rsid w:val="704255BF"/>
    <w:rsid w:val="70555CEB"/>
    <w:rsid w:val="716990E6"/>
    <w:rsid w:val="72138BFA"/>
    <w:rsid w:val="725D5E71"/>
    <w:rsid w:val="72C035D8"/>
    <w:rsid w:val="731AF23C"/>
    <w:rsid w:val="73AF5C5B"/>
    <w:rsid w:val="73DAAE29"/>
    <w:rsid w:val="7594C7B9"/>
    <w:rsid w:val="75AF9D82"/>
    <w:rsid w:val="775EB30A"/>
    <w:rsid w:val="7774027F"/>
    <w:rsid w:val="7A1E9DDF"/>
    <w:rsid w:val="7A4F47F9"/>
    <w:rsid w:val="7A7DEF6F"/>
    <w:rsid w:val="7ACC82F4"/>
    <w:rsid w:val="7B15CC6D"/>
    <w:rsid w:val="7BADD188"/>
    <w:rsid w:val="7CB32961"/>
    <w:rsid w:val="7DB36B6B"/>
    <w:rsid w:val="7E0950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976CE"/>
  <w15:docId w15:val="{79397E56-0033-47CF-90BC-21287803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1F3"/>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uiPriority w:val="99"/>
    <w:unhideWhenUsed/>
    <w:qFormat/>
    <w:rsid w:val="006D0C08"/>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6D0C08"/>
    <w:rPr>
      <w:sz w:val="20"/>
      <w:szCs w:val="20"/>
    </w:rPr>
  </w:style>
  <w:style w:type="character" w:styleId="Refdenotaalpie">
    <w:name w:val="footnote reference"/>
    <w:aliases w:val="Texto de nota al pie,FC,referencia nota al pie,Ref. de nota al pie 2,Pie de Página,Appel note de bas de page,Footnotes refss,Footnote number,BVI fnr,f,4_G,16 Point,Superscript 6 Point,Texto nota al pie,Texto de nota al pi,Pie de Pàgi"/>
    <w:basedOn w:val="Fuentedeprrafopredeter"/>
    <w:link w:val="Refdenotaalpie2"/>
    <w:unhideWhenUsed/>
    <w:qFormat/>
    <w:rsid w:val="006D0C08"/>
    <w:rPr>
      <w:vertAlign w:val="superscript"/>
    </w:rPr>
  </w:style>
  <w:style w:type="paragraph" w:styleId="Prrafodelista">
    <w:name w:val="List Paragraph"/>
    <w:basedOn w:val="Normal"/>
    <w:link w:val="PrrafodelistaCar"/>
    <w:uiPriority w:val="34"/>
    <w:qFormat/>
    <w:rsid w:val="00694AF9"/>
    <w:pPr>
      <w:ind w:left="720"/>
      <w:contextualSpacing/>
    </w:pPr>
  </w:style>
  <w:style w:type="paragraph" w:styleId="Encabezado">
    <w:name w:val="header"/>
    <w:basedOn w:val="Normal"/>
    <w:link w:val="EncabezadoCar"/>
    <w:uiPriority w:val="99"/>
    <w:unhideWhenUsed/>
    <w:rsid w:val="002F6CC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F6CC7"/>
  </w:style>
  <w:style w:type="paragraph" w:styleId="Piedepgina">
    <w:name w:val="footer"/>
    <w:basedOn w:val="Normal"/>
    <w:link w:val="PiedepginaCar"/>
    <w:uiPriority w:val="99"/>
    <w:unhideWhenUsed/>
    <w:rsid w:val="002F6CC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F6CC7"/>
  </w:style>
  <w:style w:type="table" w:customStyle="1" w:styleId="NormalTable1">
    <w:name w:val="Normal Table1"/>
    <w:rsid w:val="00E76B65"/>
    <w:tblPr>
      <w:tblCellMar>
        <w:top w:w="0" w:type="dxa"/>
        <w:left w:w="0" w:type="dxa"/>
        <w:bottom w:w="0" w:type="dxa"/>
        <w:right w:w="0" w:type="dxa"/>
      </w:tblCellMar>
    </w:tblPr>
  </w:style>
  <w:style w:type="character" w:customStyle="1" w:styleId="normaltextrun">
    <w:name w:val="normaltextrun"/>
    <w:basedOn w:val="Fuentedeprrafopredeter"/>
    <w:rsid w:val="008277FD"/>
  </w:style>
  <w:style w:type="character" w:customStyle="1" w:styleId="eop">
    <w:name w:val="eop"/>
    <w:basedOn w:val="Fuentedeprrafopredeter"/>
    <w:rsid w:val="008277FD"/>
  </w:style>
  <w:style w:type="paragraph" w:customStyle="1" w:styleId="paragraph">
    <w:name w:val="paragraph"/>
    <w:basedOn w:val="Normal"/>
    <w:rsid w:val="008277FD"/>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Textoindependiente">
    <w:name w:val="Body Text"/>
    <w:basedOn w:val="Normal"/>
    <w:link w:val="TextoindependienteCar"/>
    <w:uiPriority w:val="1"/>
    <w:unhideWhenUsed/>
    <w:qFormat/>
    <w:rsid w:val="008277FD"/>
    <w:pPr>
      <w:widowControl w:val="0"/>
      <w:autoSpaceDE w:val="0"/>
      <w:autoSpaceDN w:val="0"/>
      <w:spacing w:line="240" w:lineRule="auto"/>
    </w:pPr>
    <w:rPr>
      <w:rFonts w:ascii="Gadugi" w:eastAsia="Gadugi" w:hAnsi="Gadugi" w:cs="Gadugi"/>
      <w:sz w:val="26"/>
      <w:szCs w:val="26"/>
      <w:lang w:val="es-ES" w:eastAsia="en-US"/>
    </w:rPr>
  </w:style>
  <w:style w:type="character" w:customStyle="1" w:styleId="TextoindependienteCar">
    <w:name w:val="Texto independiente Car"/>
    <w:basedOn w:val="Fuentedeprrafopredeter"/>
    <w:link w:val="Textoindependiente"/>
    <w:uiPriority w:val="1"/>
    <w:rsid w:val="008277FD"/>
    <w:rPr>
      <w:rFonts w:ascii="Gadugi" w:eastAsia="Gadugi" w:hAnsi="Gadugi" w:cs="Gadugi"/>
      <w:sz w:val="26"/>
      <w:szCs w:val="26"/>
      <w:lang w:val="es-ES" w:eastAsia="en-US"/>
    </w:rPr>
  </w:style>
  <w:style w:type="paragraph" w:customStyle="1" w:styleId="NormalCSJ">
    <w:name w:val="Normal CSJ"/>
    <w:basedOn w:val="Normal"/>
    <w:link w:val="NormalCSJCar"/>
    <w:qFormat/>
    <w:rsid w:val="008277FD"/>
    <w:pPr>
      <w:spacing w:line="360" w:lineRule="auto"/>
      <w:ind w:firstLine="709"/>
      <w:jc w:val="both"/>
    </w:pPr>
    <w:rPr>
      <w:rFonts w:ascii="Bookman Old Style" w:eastAsia="Calibri" w:hAnsi="Bookman Old Style" w:cs="Times New Roman"/>
      <w:sz w:val="28"/>
      <w:szCs w:val="28"/>
      <w:lang w:val="es-ES" w:eastAsia="es-ES"/>
    </w:rPr>
  </w:style>
  <w:style w:type="character" w:customStyle="1" w:styleId="NormalCSJCar">
    <w:name w:val="Normal CSJ Car"/>
    <w:link w:val="NormalCSJ"/>
    <w:rsid w:val="008277FD"/>
    <w:rPr>
      <w:rFonts w:ascii="Bookman Old Style" w:eastAsia="Calibri" w:hAnsi="Bookman Old Style" w:cs="Times New Roman"/>
      <w:sz w:val="28"/>
      <w:szCs w:val="28"/>
      <w:lang w:val="es-ES" w:eastAsia="es-ES"/>
    </w:rPr>
  </w:style>
  <w:style w:type="paragraph" w:customStyle="1" w:styleId="Refdenotaalpie2">
    <w:name w:val="Ref. de nota al pie2"/>
    <w:aliases w:val="Nota de pie,Pie de pagina"/>
    <w:basedOn w:val="Normal"/>
    <w:link w:val="Refdenotaalpie"/>
    <w:rsid w:val="008277FD"/>
    <w:pPr>
      <w:spacing w:after="160" w:line="240" w:lineRule="exact"/>
    </w:pPr>
    <w:rPr>
      <w:vertAlign w:val="superscript"/>
    </w:rPr>
  </w:style>
  <w:style w:type="character" w:customStyle="1" w:styleId="PrrafodelistaCar">
    <w:name w:val="Párrafo de lista Car"/>
    <w:link w:val="Prrafodelista"/>
    <w:uiPriority w:val="34"/>
    <w:locked/>
    <w:rsid w:val="008277FD"/>
  </w:style>
  <w:style w:type="character" w:styleId="Hipervnculo">
    <w:name w:val="Hyperlink"/>
    <w:basedOn w:val="Fuentedeprrafopredeter"/>
    <w:uiPriority w:val="99"/>
    <w:unhideWhenUsed/>
    <w:rsid w:val="008277FD"/>
    <w:rPr>
      <w:color w:val="0000FF" w:themeColor="hyperlink"/>
      <w:u w:val="single"/>
    </w:rPr>
  </w:style>
  <w:style w:type="character" w:customStyle="1" w:styleId="Mencinsinresolver1">
    <w:name w:val="Mención sin resolver1"/>
    <w:basedOn w:val="Fuentedeprrafopredeter"/>
    <w:uiPriority w:val="99"/>
    <w:semiHidden/>
    <w:unhideWhenUsed/>
    <w:rsid w:val="008277FD"/>
    <w:rPr>
      <w:color w:val="605E5C"/>
      <w:shd w:val="clear" w:color="auto" w:fill="E1DFDD"/>
    </w:rPr>
  </w:style>
  <w:style w:type="character" w:styleId="Hipervnculovisitado">
    <w:name w:val="FollowedHyperlink"/>
    <w:basedOn w:val="Fuentedeprrafopredeter"/>
    <w:uiPriority w:val="99"/>
    <w:semiHidden/>
    <w:unhideWhenUsed/>
    <w:rsid w:val="008277FD"/>
    <w:rPr>
      <w:color w:val="800080" w:themeColor="followedHyperlink"/>
      <w:u w:val="single"/>
    </w:rPr>
  </w:style>
  <w:style w:type="paragraph" w:styleId="NormalWeb">
    <w:name w:val="Normal (Web)"/>
    <w:basedOn w:val="Normal"/>
    <w:uiPriority w:val="99"/>
    <w:semiHidden/>
    <w:unhideWhenUsed/>
    <w:rsid w:val="008277FD"/>
    <w:rPr>
      <w:rFonts w:ascii="Times New Roman" w:hAnsi="Times New Roman" w:cs="Times New Roman"/>
      <w:sz w:val="24"/>
      <w:szCs w:val="24"/>
    </w:rPr>
  </w:style>
  <w:style w:type="character" w:customStyle="1" w:styleId="Ttulo1Car">
    <w:name w:val="Título 1 Car"/>
    <w:basedOn w:val="Fuentedeprrafopredeter"/>
    <w:link w:val="Ttulo1"/>
    <w:uiPriority w:val="9"/>
    <w:rsid w:val="008277FD"/>
    <w:rPr>
      <w:sz w:val="40"/>
      <w:szCs w:val="40"/>
    </w:rPr>
  </w:style>
  <w:style w:type="character" w:customStyle="1" w:styleId="Ttulo2Car">
    <w:name w:val="Título 2 Car"/>
    <w:basedOn w:val="Fuentedeprrafopredeter"/>
    <w:link w:val="Ttulo2"/>
    <w:uiPriority w:val="9"/>
    <w:semiHidden/>
    <w:rsid w:val="008277FD"/>
    <w:rPr>
      <w:sz w:val="32"/>
      <w:szCs w:val="32"/>
    </w:rPr>
  </w:style>
  <w:style w:type="character" w:customStyle="1" w:styleId="Ttulo3Car">
    <w:name w:val="Título 3 Car"/>
    <w:basedOn w:val="Fuentedeprrafopredeter"/>
    <w:link w:val="Ttulo3"/>
    <w:uiPriority w:val="9"/>
    <w:semiHidden/>
    <w:rsid w:val="008277FD"/>
    <w:rPr>
      <w:color w:val="434343"/>
      <w:sz w:val="28"/>
      <w:szCs w:val="28"/>
    </w:rPr>
  </w:style>
  <w:style w:type="character" w:customStyle="1" w:styleId="Ttulo4Car">
    <w:name w:val="Título 4 Car"/>
    <w:basedOn w:val="Fuentedeprrafopredeter"/>
    <w:link w:val="Ttulo4"/>
    <w:uiPriority w:val="9"/>
    <w:semiHidden/>
    <w:rsid w:val="008277FD"/>
    <w:rPr>
      <w:color w:val="666666"/>
      <w:sz w:val="24"/>
      <w:szCs w:val="24"/>
    </w:rPr>
  </w:style>
  <w:style w:type="character" w:customStyle="1" w:styleId="Ttulo5Car">
    <w:name w:val="Título 5 Car"/>
    <w:basedOn w:val="Fuentedeprrafopredeter"/>
    <w:link w:val="Ttulo5"/>
    <w:uiPriority w:val="9"/>
    <w:semiHidden/>
    <w:rsid w:val="008277FD"/>
    <w:rPr>
      <w:color w:val="666666"/>
    </w:rPr>
  </w:style>
  <w:style w:type="character" w:customStyle="1" w:styleId="Ttulo6Car">
    <w:name w:val="Título 6 Car"/>
    <w:basedOn w:val="Fuentedeprrafopredeter"/>
    <w:link w:val="Ttulo6"/>
    <w:uiPriority w:val="9"/>
    <w:semiHidden/>
    <w:rsid w:val="008277FD"/>
    <w:rPr>
      <w:i/>
      <w:color w:val="666666"/>
    </w:rPr>
  </w:style>
  <w:style w:type="character" w:customStyle="1" w:styleId="TtuloCar">
    <w:name w:val="Título Car"/>
    <w:basedOn w:val="Fuentedeprrafopredeter"/>
    <w:link w:val="Ttulo"/>
    <w:uiPriority w:val="10"/>
    <w:rsid w:val="008277FD"/>
    <w:rPr>
      <w:sz w:val="52"/>
      <w:szCs w:val="52"/>
    </w:rPr>
  </w:style>
  <w:style w:type="character" w:customStyle="1" w:styleId="SubttuloCar">
    <w:name w:val="Subtítulo Car"/>
    <w:basedOn w:val="Fuentedeprrafopredeter"/>
    <w:link w:val="Subttulo"/>
    <w:uiPriority w:val="11"/>
    <w:rsid w:val="008277FD"/>
    <w:rPr>
      <w:color w:val="666666"/>
      <w:sz w:val="30"/>
      <w:szCs w:val="3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30549A"/>
    <w:pPr>
      <w:spacing w:line="240" w:lineRule="auto"/>
    </w:pPr>
    <w:rPr>
      <w:rFonts w:ascii="Calibri" w:eastAsia="Calibri" w:hAnsi="Calibri" w:cs="Times New Roman"/>
      <w:sz w:val="20"/>
      <w:szCs w:val="20"/>
      <w:vertAlign w:val="superscript"/>
      <w:lang w:val="es-CO"/>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BB1E0D"/>
    <w:rPr>
      <w:b/>
      <w:bCs/>
    </w:rPr>
  </w:style>
  <w:style w:type="character" w:customStyle="1" w:styleId="AsuntodelcomentarioCar">
    <w:name w:val="Asunto del comentario Car"/>
    <w:basedOn w:val="TextocomentarioCar"/>
    <w:link w:val="Asuntodelcomentario"/>
    <w:uiPriority w:val="99"/>
    <w:semiHidden/>
    <w:rsid w:val="00BB1E0D"/>
    <w:rPr>
      <w:b/>
      <w:bCs/>
      <w:sz w:val="20"/>
      <w:szCs w:val="20"/>
    </w:rPr>
  </w:style>
  <w:style w:type="paragraph" w:styleId="Textodeglobo">
    <w:name w:val="Balloon Text"/>
    <w:basedOn w:val="Normal"/>
    <w:link w:val="TextodegloboCar"/>
    <w:uiPriority w:val="99"/>
    <w:semiHidden/>
    <w:unhideWhenUsed/>
    <w:rsid w:val="004D211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afROUIPrJpGf14lPnSUIXxG/Eg==">AMUW2mWYiZ2Z7KnSKJdygckiCHRncJPndaObikchZe33w+xImGVhQXh8Ce/GFJCvaWqPQBlfm9hFB+/0rrfMOnEGJRbZUYqpV4rr24m5bk+nNhZctOeA0UmKBgwcn0jIYewqOMWF03EK</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48B16-1C4F-4F22-B110-AB6D4C05E0DF}">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59C29961-0099-4EB9-A224-77EC94BACB40}">
  <ds:schemaRefs>
    <ds:schemaRef ds:uri="http://schemas.microsoft.com/sharepoint/v3/contenttype/forms"/>
  </ds:schemaRefs>
</ds:datastoreItem>
</file>

<file path=customXml/itemProps3.xml><?xml version="1.0" encoding="utf-8"?>
<ds:datastoreItem xmlns:ds="http://schemas.openxmlformats.org/officeDocument/2006/customXml" ds:itemID="{3C7CA3E4-8025-4E2C-89CC-0FBE98D68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51EB5CA-D713-4CD2-A98E-67D23DBF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11053</Words>
  <Characters>63008</Characters>
  <Application>Microsoft Office Word</Application>
  <DocSecurity>0</DocSecurity>
  <Lines>525</Lines>
  <Paragraphs>147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jasana</dc:creator>
  <cp:lastModifiedBy>samsung</cp:lastModifiedBy>
  <cp:revision>5</cp:revision>
  <dcterms:created xsi:type="dcterms:W3CDTF">2023-10-03T14:29:00Z</dcterms:created>
  <dcterms:modified xsi:type="dcterms:W3CDTF">2024-02-08T16:39:00Z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