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69A2B" w14:textId="0DE305FF" w:rsidR="0065007C" w:rsidRPr="00DE0875" w:rsidRDefault="00DE0875" w:rsidP="007E17C8">
      <w:pPr>
        <w:tabs>
          <w:tab w:val="center" w:pos="4419"/>
          <w:tab w:val="right" w:pos="8838"/>
        </w:tabs>
        <w:jc w:val="both"/>
        <w:rPr>
          <w:rFonts w:ascii="Arial" w:hAnsi="Arial" w:cs="Arial"/>
          <w:b/>
          <w:noProof/>
          <w:sz w:val="20"/>
          <w:szCs w:val="24"/>
        </w:rPr>
      </w:pPr>
      <w:r w:rsidRPr="00DE0875">
        <w:rPr>
          <w:rFonts w:ascii="Arial" w:hAnsi="Arial" w:cs="Arial"/>
          <w:b/>
          <w:noProof/>
          <w:sz w:val="20"/>
          <w:szCs w:val="24"/>
        </w:rPr>
        <w:t>DESISTIMIENTO TÁCITO / SITUACIONES QUE LO GENERAN</w:t>
      </w:r>
    </w:p>
    <w:p w14:paraId="21152A5B" w14:textId="1B465EDC" w:rsidR="0065007C" w:rsidRPr="00CC02B9" w:rsidRDefault="00EE5B57" w:rsidP="00EE5B57">
      <w:pPr>
        <w:tabs>
          <w:tab w:val="center" w:pos="4419"/>
          <w:tab w:val="right" w:pos="8838"/>
        </w:tabs>
        <w:jc w:val="both"/>
        <w:rPr>
          <w:rFonts w:ascii="Arial" w:hAnsi="Arial" w:cs="Arial"/>
          <w:noProof/>
          <w:sz w:val="20"/>
          <w:szCs w:val="24"/>
        </w:rPr>
      </w:pPr>
      <w:r>
        <w:rPr>
          <w:rFonts w:ascii="Arial" w:hAnsi="Arial" w:cs="Arial"/>
          <w:noProof/>
          <w:sz w:val="20"/>
          <w:szCs w:val="24"/>
        </w:rPr>
        <w:t xml:space="preserve">… </w:t>
      </w:r>
      <w:r w:rsidRPr="00EE5B57">
        <w:rPr>
          <w:rFonts w:ascii="Arial" w:hAnsi="Arial" w:cs="Arial"/>
          <w:noProof/>
          <w:sz w:val="20"/>
          <w:szCs w:val="24"/>
        </w:rPr>
        <w:t>la figura del desistimiento tácito, que es una especie de reciclaje de dos instituciones: la perención y el mismo desistimiento tácito, reguló tres situaciones en los dos numerales que lo conforman. (i)</w:t>
      </w:r>
      <w:r>
        <w:rPr>
          <w:rFonts w:ascii="Arial" w:hAnsi="Arial" w:cs="Arial"/>
          <w:noProof/>
          <w:sz w:val="20"/>
          <w:szCs w:val="24"/>
        </w:rPr>
        <w:t xml:space="preserve"> </w:t>
      </w:r>
      <w:r w:rsidRPr="00EE5B57">
        <w:rPr>
          <w:rFonts w:ascii="Arial" w:hAnsi="Arial" w:cs="Arial"/>
          <w:noProof/>
          <w:sz w:val="20"/>
          <w:szCs w:val="24"/>
        </w:rPr>
        <w:tab/>
        <w:t>Cuando para continuar el trámite de la demanda</w:t>
      </w:r>
      <w:r>
        <w:rPr>
          <w:rFonts w:ascii="Arial" w:hAnsi="Arial" w:cs="Arial"/>
          <w:noProof/>
          <w:sz w:val="20"/>
          <w:szCs w:val="24"/>
        </w:rPr>
        <w:t>…</w:t>
      </w:r>
      <w:r w:rsidRPr="00EE5B57">
        <w:rPr>
          <w:rFonts w:ascii="Arial" w:hAnsi="Arial" w:cs="Arial"/>
          <w:noProof/>
          <w:sz w:val="20"/>
          <w:szCs w:val="24"/>
        </w:rPr>
        <w:t xml:space="preserve"> se requiera el cumplimiento de una carga procesal o de un acto de la parte que haya formulado aquella</w:t>
      </w:r>
      <w:r>
        <w:rPr>
          <w:rFonts w:ascii="Arial" w:hAnsi="Arial" w:cs="Arial"/>
          <w:noProof/>
          <w:sz w:val="20"/>
          <w:szCs w:val="24"/>
        </w:rPr>
        <w:t>…</w:t>
      </w:r>
      <w:r w:rsidRPr="00EE5B57">
        <w:rPr>
          <w:rFonts w:ascii="Arial" w:hAnsi="Arial" w:cs="Arial"/>
          <w:noProof/>
          <w:sz w:val="20"/>
          <w:szCs w:val="24"/>
        </w:rPr>
        <w:t>, el juez le ordenará cumplirlo dentro de los treinta (30) días siguientes mediante providenci</w:t>
      </w:r>
      <w:r>
        <w:rPr>
          <w:rFonts w:ascii="Arial" w:hAnsi="Arial" w:cs="Arial"/>
          <w:noProof/>
          <w:sz w:val="20"/>
          <w:szCs w:val="24"/>
        </w:rPr>
        <w:t xml:space="preserve">a que se notificará por estado. </w:t>
      </w:r>
      <w:r w:rsidRPr="00EE5B57">
        <w:rPr>
          <w:rFonts w:ascii="Arial" w:hAnsi="Arial" w:cs="Arial"/>
          <w:noProof/>
          <w:sz w:val="20"/>
          <w:szCs w:val="24"/>
        </w:rPr>
        <w:t>(ii)</w:t>
      </w:r>
      <w:r w:rsidRPr="00EE5B57">
        <w:rPr>
          <w:rFonts w:ascii="Arial" w:hAnsi="Arial" w:cs="Arial"/>
          <w:noProof/>
          <w:sz w:val="20"/>
          <w:szCs w:val="24"/>
        </w:rPr>
        <w:tab/>
        <w:t xml:space="preserve"> Cuando un proceso o actuación de cualquier naturaleza, en cualquiera de sus etapas, permanezca inactivo en la secretaría del despacho, porque no se solicita o realiza ninguna actuación durante el plazo de un (1) año en primera o única instancia, contados desde el día siguiente a la última notificación</w:t>
      </w:r>
      <w:r w:rsidR="00DE0875">
        <w:rPr>
          <w:rFonts w:ascii="Arial" w:hAnsi="Arial" w:cs="Arial"/>
          <w:noProof/>
          <w:sz w:val="20"/>
          <w:szCs w:val="24"/>
        </w:rPr>
        <w:t xml:space="preserve">… </w:t>
      </w:r>
      <w:r w:rsidRPr="00EE5B57">
        <w:rPr>
          <w:rFonts w:ascii="Arial" w:hAnsi="Arial" w:cs="Arial"/>
          <w:noProof/>
          <w:sz w:val="20"/>
          <w:szCs w:val="24"/>
        </w:rPr>
        <w:t>(iii)</w:t>
      </w:r>
      <w:r w:rsidRPr="00EE5B57">
        <w:rPr>
          <w:rFonts w:ascii="Arial" w:hAnsi="Arial" w:cs="Arial"/>
          <w:noProof/>
          <w:sz w:val="20"/>
          <w:szCs w:val="24"/>
        </w:rPr>
        <w:tab/>
      </w:r>
      <w:r w:rsidR="00DE0875">
        <w:rPr>
          <w:rFonts w:ascii="Arial" w:hAnsi="Arial" w:cs="Arial"/>
          <w:noProof/>
          <w:sz w:val="20"/>
          <w:szCs w:val="24"/>
        </w:rPr>
        <w:t xml:space="preserve"> </w:t>
      </w:r>
      <w:r w:rsidRPr="00EE5B57">
        <w:rPr>
          <w:rFonts w:ascii="Arial" w:hAnsi="Arial" w:cs="Arial"/>
          <w:noProof/>
          <w:sz w:val="20"/>
          <w:szCs w:val="24"/>
        </w:rPr>
        <w:t>Cuando un</w:t>
      </w:r>
      <w:r w:rsidR="00DE0875">
        <w:rPr>
          <w:rFonts w:ascii="Arial" w:hAnsi="Arial" w:cs="Arial"/>
          <w:noProof/>
          <w:sz w:val="20"/>
          <w:szCs w:val="24"/>
        </w:rPr>
        <w:t xml:space="preserve"> </w:t>
      </w:r>
      <w:r w:rsidRPr="00EE5B57">
        <w:rPr>
          <w:rFonts w:ascii="Arial" w:hAnsi="Arial" w:cs="Arial"/>
          <w:noProof/>
          <w:sz w:val="20"/>
          <w:szCs w:val="24"/>
        </w:rPr>
        <w:t>proceso cuenta con sentencia ejecutoriada a favor del demandante o auto que ordena seguir adelante la ejecución, el plazo será de dos (2) años</w:t>
      </w:r>
      <w:r w:rsidR="00DE0875">
        <w:rPr>
          <w:rFonts w:ascii="Arial" w:hAnsi="Arial" w:cs="Arial"/>
          <w:noProof/>
          <w:sz w:val="20"/>
          <w:szCs w:val="24"/>
        </w:rPr>
        <w:t>…</w:t>
      </w:r>
    </w:p>
    <w:p w14:paraId="4406AA84" w14:textId="77777777" w:rsidR="0065007C" w:rsidRPr="00CC02B9" w:rsidRDefault="0065007C" w:rsidP="007E17C8">
      <w:pPr>
        <w:tabs>
          <w:tab w:val="center" w:pos="4419"/>
          <w:tab w:val="right" w:pos="8838"/>
        </w:tabs>
        <w:jc w:val="both"/>
        <w:rPr>
          <w:rFonts w:ascii="Arial" w:hAnsi="Arial" w:cs="Arial"/>
          <w:noProof/>
          <w:sz w:val="20"/>
          <w:szCs w:val="24"/>
        </w:rPr>
      </w:pPr>
    </w:p>
    <w:p w14:paraId="0FC774CE" w14:textId="5DDE9F83" w:rsidR="00DE0875" w:rsidRPr="00DE0875" w:rsidRDefault="00A17C7F" w:rsidP="00DE0875">
      <w:pPr>
        <w:tabs>
          <w:tab w:val="center" w:pos="4419"/>
          <w:tab w:val="right" w:pos="8838"/>
        </w:tabs>
        <w:jc w:val="both"/>
        <w:rPr>
          <w:rFonts w:ascii="Arial" w:hAnsi="Arial" w:cs="Arial"/>
          <w:b/>
          <w:noProof/>
          <w:sz w:val="20"/>
          <w:szCs w:val="24"/>
        </w:rPr>
      </w:pPr>
      <w:r w:rsidRPr="00DE0875">
        <w:rPr>
          <w:rFonts w:ascii="Arial" w:hAnsi="Arial" w:cs="Arial"/>
          <w:b/>
          <w:noProof/>
          <w:sz w:val="20"/>
          <w:szCs w:val="24"/>
        </w:rPr>
        <w:t xml:space="preserve">DESISTIMIENTO TÁCITO / </w:t>
      </w:r>
      <w:r>
        <w:rPr>
          <w:rFonts w:ascii="Arial" w:hAnsi="Arial" w:cs="Arial"/>
          <w:b/>
          <w:noProof/>
          <w:sz w:val="20"/>
          <w:szCs w:val="24"/>
        </w:rPr>
        <w:t>FINALIDAD / PROCESO CON SENTENCIA</w:t>
      </w:r>
    </w:p>
    <w:p w14:paraId="4EC87267" w14:textId="36E993C2" w:rsidR="0065007C" w:rsidRPr="00CC02B9" w:rsidRDefault="000D2EB6" w:rsidP="007E17C8">
      <w:pPr>
        <w:tabs>
          <w:tab w:val="center" w:pos="4419"/>
          <w:tab w:val="right" w:pos="8838"/>
        </w:tabs>
        <w:jc w:val="both"/>
        <w:rPr>
          <w:rFonts w:ascii="Arial" w:hAnsi="Arial" w:cs="Arial"/>
          <w:noProof/>
          <w:sz w:val="20"/>
          <w:szCs w:val="24"/>
        </w:rPr>
      </w:pPr>
      <w:r w:rsidRPr="000D2EB6">
        <w:rPr>
          <w:rFonts w:ascii="Arial" w:hAnsi="Arial" w:cs="Arial"/>
          <w:noProof/>
          <w:sz w:val="20"/>
          <w:szCs w:val="24"/>
        </w:rPr>
        <w:t>De manera que se trata de una forma de terminación anormal del proceso que castiga la desidia de la parte o de quien promueve una determinada actuación judicial por su abandono, o por omitir el cumplimiento de ciertas cargas, de una de tres formas, cada cual con características que las distinguen, al punto de poder afirmar, a juicio de esta Sala, que la última de ellas parte de una premisa explícita: que exista sentencia u orden de seguir adelante la ejecución, en cuyo caso, la regla que rige el desistimiento es la del abandono, traducido en inactividad, por más de dos años</w:t>
      </w:r>
      <w:r>
        <w:rPr>
          <w:rFonts w:ascii="Arial" w:hAnsi="Arial" w:cs="Arial"/>
          <w:noProof/>
          <w:sz w:val="20"/>
          <w:szCs w:val="24"/>
        </w:rPr>
        <w:t>.</w:t>
      </w:r>
    </w:p>
    <w:p w14:paraId="7AD9BB32" w14:textId="77777777" w:rsidR="0065007C" w:rsidRDefault="0065007C" w:rsidP="007E17C8">
      <w:pPr>
        <w:tabs>
          <w:tab w:val="center" w:pos="4419"/>
          <w:tab w:val="right" w:pos="8838"/>
        </w:tabs>
        <w:jc w:val="both"/>
        <w:rPr>
          <w:rFonts w:ascii="Arial" w:hAnsi="Arial" w:cs="Arial"/>
          <w:noProof/>
          <w:sz w:val="20"/>
          <w:szCs w:val="24"/>
        </w:rPr>
      </w:pPr>
    </w:p>
    <w:p w14:paraId="55CF62AF" w14:textId="4B290BA3" w:rsidR="00DE0875" w:rsidRPr="00DE0875" w:rsidRDefault="00A17C7F" w:rsidP="00DE0875">
      <w:pPr>
        <w:tabs>
          <w:tab w:val="center" w:pos="4419"/>
          <w:tab w:val="right" w:pos="8838"/>
        </w:tabs>
        <w:jc w:val="both"/>
        <w:rPr>
          <w:rFonts w:ascii="Arial" w:hAnsi="Arial" w:cs="Arial"/>
          <w:b/>
          <w:noProof/>
          <w:sz w:val="20"/>
          <w:szCs w:val="24"/>
        </w:rPr>
      </w:pPr>
      <w:r w:rsidRPr="00DE0875">
        <w:rPr>
          <w:rFonts w:ascii="Arial" w:hAnsi="Arial" w:cs="Arial"/>
          <w:b/>
          <w:noProof/>
          <w:sz w:val="20"/>
          <w:szCs w:val="24"/>
        </w:rPr>
        <w:t xml:space="preserve">DESISTIMIENTO TÁCITO / </w:t>
      </w:r>
      <w:r>
        <w:rPr>
          <w:rFonts w:ascii="Arial" w:hAnsi="Arial" w:cs="Arial"/>
          <w:b/>
          <w:noProof/>
          <w:sz w:val="20"/>
          <w:szCs w:val="24"/>
        </w:rPr>
        <w:t>TERCER SITUACIÓN / MÁS PROPICIA EN PROCESOS EJECUTIVOS</w:t>
      </w:r>
    </w:p>
    <w:p w14:paraId="357FDE1B" w14:textId="6AA71ED7" w:rsidR="0065007C" w:rsidRPr="00742F42" w:rsidRDefault="00742F42" w:rsidP="00742F42">
      <w:pPr>
        <w:tabs>
          <w:tab w:val="center" w:pos="4419"/>
          <w:tab w:val="right" w:pos="8838"/>
        </w:tabs>
        <w:jc w:val="both"/>
        <w:rPr>
          <w:rFonts w:ascii="Arial" w:hAnsi="Arial" w:cs="Arial"/>
          <w:noProof/>
          <w:sz w:val="20"/>
          <w:szCs w:val="24"/>
        </w:rPr>
      </w:pPr>
      <w:r w:rsidRPr="00742F42">
        <w:rPr>
          <w:rFonts w:ascii="Arial" w:hAnsi="Arial" w:cs="Arial"/>
          <w:noProof/>
          <w:sz w:val="20"/>
          <w:szCs w:val="24"/>
        </w:rPr>
        <w:t>En estricto sentido, diríase que en un proceso declarativo esta forma especial de terminación resultaría inaplicable, dado que, producida la sentencia y en firme la liquidación de costas, el proceso debe pasar al archivo, con independencia eso sí, de que luego se pueda ejecutar, lo que indicaría que ya no sería un asunto de aquella naturaleza, sino coercitivo. Por eso, al margen de esa percepción, se antoja más propicia la figura para los procesos ejecutivos que, bien se sabe, no terminan con la sentencia o la orden de seguir adelante la ejecución, sino, por regla general, con el pago de la obligación. De ahí que muchos hayan criticado la procedencia de esta figura en un caso tal, por cuanto sería dejar sin efecto una sentencia o una providencia que hizo tránsito a cosa juzgada.</w:t>
      </w:r>
    </w:p>
    <w:p w14:paraId="05788163" w14:textId="77777777" w:rsidR="0065007C" w:rsidRPr="00CC02B9" w:rsidRDefault="0065007C" w:rsidP="007E17C8">
      <w:pPr>
        <w:tabs>
          <w:tab w:val="center" w:pos="4419"/>
          <w:tab w:val="right" w:pos="8838"/>
        </w:tabs>
        <w:jc w:val="both"/>
        <w:rPr>
          <w:rFonts w:ascii="Arial" w:hAnsi="Arial" w:cs="Arial"/>
          <w:noProof/>
          <w:sz w:val="20"/>
          <w:szCs w:val="24"/>
        </w:rPr>
      </w:pPr>
    </w:p>
    <w:p w14:paraId="7B0862B1" w14:textId="77777777" w:rsidR="0065007C" w:rsidRPr="00CC02B9" w:rsidRDefault="0065007C" w:rsidP="007E17C8">
      <w:pPr>
        <w:tabs>
          <w:tab w:val="center" w:pos="4419"/>
          <w:tab w:val="right" w:pos="8838"/>
        </w:tabs>
        <w:jc w:val="both"/>
        <w:rPr>
          <w:rFonts w:ascii="Arial" w:hAnsi="Arial" w:cs="Arial"/>
          <w:noProof/>
          <w:sz w:val="20"/>
          <w:szCs w:val="24"/>
        </w:rPr>
      </w:pPr>
    </w:p>
    <w:p w14:paraId="0BBF1531" w14:textId="77777777" w:rsidR="0065007C" w:rsidRPr="00CC02B9" w:rsidRDefault="0065007C" w:rsidP="007E17C8">
      <w:pPr>
        <w:tabs>
          <w:tab w:val="center" w:pos="4419"/>
          <w:tab w:val="right" w:pos="8838"/>
        </w:tabs>
        <w:jc w:val="both"/>
        <w:rPr>
          <w:rFonts w:ascii="Arial" w:hAnsi="Arial" w:cs="Arial"/>
          <w:noProof/>
          <w:sz w:val="20"/>
          <w:szCs w:val="24"/>
        </w:rPr>
      </w:pPr>
    </w:p>
    <w:p w14:paraId="0D77D7EB" w14:textId="77777777" w:rsidR="006B5751" w:rsidRPr="005A3969" w:rsidRDefault="006B5751" w:rsidP="005A3969">
      <w:pPr>
        <w:pStyle w:val="Encabezado"/>
        <w:spacing w:line="276" w:lineRule="auto"/>
        <w:jc w:val="center"/>
        <w:rPr>
          <w:b/>
          <w:noProof/>
          <w:sz w:val="24"/>
          <w:szCs w:val="24"/>
        </w:rPr>
      </w:pPr>
      <w:r w:rsidRPr="005A3969">
        <w:rPr>
          <w:noProof/>
          <w:sz w:val="24"/>
          <w:szCs w:val="24"/>
          <w:lang w:val="en-US"/>
        </w:rPr>
        <w:drawing>
          <wp:inline distT="0" distB="0" distL="0" distR="0" wp14:anchorId="46406227" wp14:editId="2F025F31">
            <wp:extent cx="1162050" cy="590550"/>
            <wp:effectExtent l="0" t="0" r="0" b="0"/>
            <wp:docPr id="2" name="Imagen 2"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agram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590550"/>
                    </a:xfrm>
                    <a:prstGeom prst="rect">
                      <a:avLst/>
                    </a:prstGeom>
                    <a:noFill/>
                    <a:ln>
                      <a:noFill/>
                    </a:ln>
                  </pic:spPr>
                </pic:pic>
              </a:graphicData>
            </a:graphic>
          </wp:inline>
        </w:drawing>
      </w:r>
    </w:p>
    <w:p w14:paraId="49A3185B" w14:textId="77777777" w:rsidR="006B5751" w:rsidRPr="005A3969" w:rsidRDefault="006B5751" w:rsidP="005A3969">
      <w:pPr>
        <w:pStyle w:val="Encabezado"/>
        <w:spacing w:line="276" w:lineRule="auto"/>
        <w:jc w:val="center"/>
        <w:rPr>
          <w:b/>
          <w:noProof/>
          <w:sz w:val="24"/>
          <w:szCs w:val="24"/>
        </w:rPr>
      </w:pPr>
      <w:r w:rsidRPr="005A3969">
        <w:rPr>
          <w:b/>
          <w:noProof/>
          <w:sz w:val="24"/>
          <w:szCs w:val="24"/>
        </w:rPr>
        <w:t>TRIBUNAL SUPERIOR DEL DISTRITO JUDICIAL</w:t>
      </w:r>
    </w:p>
    <w:p w14:paraId="10EA2790" w14:textId="77777777" w:rsidR="006B5751" w:rsidRPr="005A3969" w:rsidRDefault="006B5751" w:rsidP="005A3969">
      <w:pPr>
        <w:pStyle w:val="Encabezado"/>
        <w:spacing w:line="276" w:lineRule="auto"/>
        <w:jc w:val="center"/>
        <w:rPr>
          <w:b/>
          <w:sz w:val="24"/>
          <w:szCs w:val="24"/>
        </w:rPr>
      </w:pPr>
      <w:r w:rsidRPr="005A3969">
        <w:rPr>
          <w:b/>
          <w:sz w:val="24"/>
          <w:szCs w:val="24"/>
        </w:rPr>
        <w:t>PEREIRA</w:t>
      </w:r>
    </w:p>
    <w:p w14:paraId="01FC8440" w14:textId="77777777" w:rsidR="006B5751" w:rsidRPr="005A3969" w:rsidRDefault="006B5751" w:rsidP="005A3969">
      <w:pPr>
        <w:pStyle w:val="Encabezado"/>
        <w:spacing w:line="276" w:lineRule="auto"/>
        <w:jc w:val="center"/>
        <w:rPr>
          <w:b/>
          <w:sz w:val="24"/>
          <w:szCs w:val="24"/>
        </w:rPr>
      </w:pPr>
      <w:r w:rsidRPr="005A3969">
        <w:rPr>
          <w:b/>
          <w:sz w:val="24"/>
          <w:szCs w:val="24"/>
        </w:rPr>
        <w:t>SALA CIVIL-FAMILIA</w:t>
      </w:r>
    </w:p>
    <w:p w14:paraId="4F6A42EC" w14:textId="11A2D0DE" w:rsidR="006B5751" w:rsidRPr="005A3969" w:rsidRDefault="006B5751" w:rsidP="005A3969">
      <w:pPr>
        <w:tabs>
          <w:tab w:val="left" w:pos="-720"/>
        </w:tabs>
        <w:suppressAutoHyphens/>
        <w:spacing w:line="276" w:lineRule="auto"/>
        <w:jc w:val="both"/>
        <w:rPr>
          <w:rFonts w:eastAsia="Times New Roman"/>
          <w:b/>
          <w:spacing w:val="-3"/>
          <w:sz w:val="24"/>
          <w:szCs w:val="24"/>
          <w:lang w:val="es-ES_tradnl" w:eastAsia="es-ES"/>
        </w:rPr>
      </w:pPr>
    </w:p>
    <w:p w14:paraId="3A963001" w14:textId="7C286FE9" w:rsidR="006B5751" w:rsidRPr="005A3969" w:rsidRDefault="006B5751" w:rsidP="005A3969">
      <w:pPr>
        <w:tabs>
          <w:tab w:val="left" w:pos="-720"/>
        </w:tabs>
        <w:suppressAutoHyphens/>
        <w:spacing w:line="276" w:lineRule="auto"/>
        <w:jc w:val="center"/>
        <w:rPr>
          <w:rFonts w:eastAsia="Times New Roman"/>
          <w:b/>
          <w:spacing w:val="-3"/>
          <w:sz w:val="24"/>
          <w:szCs w:val="24"/>
          <w:lang w:val="es-ES_tradnl" w:eastAsia="es-ES"/>
        </w:rPr>
      </w:pPr>
      <w:r w:rsidRPr="005A3969">
        <w:rPr>
          <w:rFonts w:eastAsia="Times New Roman"/>
          <w:b/>
          <w:spacing w:val="-3"/>
          <w:sz w:val="24"/>
          <w:szCs w:val="24"/>
          <w:lang w:val="es-ES_tradnl" w:eastAsia="es-ES"/>
        </w:rPr>
        <w:t>AC</w:t>
      </w:r>
      <w:r w:rsidR="00F1132A" w:rsidRPr="005A3969">
        <w:rPr>
          <w:rFonts w:eastAsia="Times New Roman"/>
          <w:b/>
          <w:spacing w:val="-3"/>
          <w:sz w:val="24"/>
          <w:szCs w:val="24"/>
          <w:lang w:val="es-ES_tradnl" w:eastAsia="es-ES"/>
        </w:rPr>
        <w:t>-0083-2023</w:t>
      </w:r>
    </w:p>
    <w:p w14:paraId="2EBC5FCB" w14:textId="77777777" w:rsidR="006B5751" w:rsidRPr="005A3969" w:rsidRDefault="006B5751" w:rsidP="005A3969">
      <w:pPr>
        <w:pStyle w:val="Textoindependiente"/>
        <w:tabs>
          <w:tab w:val="left" w:pos="1701"/>
          <w:tab w:val="left" w:pos="3544"/>
        </w:tabs>
        <w:spacing w:line="276" w:lineRule="auto"/>
        <w:rPr>
          <w:rFonts w:ascii="Gadugi" w:hAnsi="Gadugi"/>
          <w:sz w:val="24"/>
          <w:szCs w:val="24"/>
        </w:rPr>
      </w:pPr>
      <w:r w:rsidRPr="005A3969">
        <w:rPr>
          <w:rFonts w:ascii="Gadugi" w:hAnsi="Gadugi"/>
          <w:sz w:val="24"/>
          <w:szCs w:val="24"/>
        </w:rPr>
        <w:tab/>
      </w:r>
    </w:p>
    <w:p w14:paraId="0BB3C8E3" w14:textId="2E047B04" w:rsidR="006B5751" w:rsidRDefault="006B5751" w:rsidP="00AC4584">
      <w:pPr>
        <w:pStyle w:val="Textoindependiente"/>
        <w:tabs>
          <w:tab w:val="left" w:pos="1276"/>
          <w:tab w:val="left" w:pos="3119"/>
        </w:tabs>
        <w:spacing w:line="276" w:lineRule="auto"/>
        <w:jc w:val="center"/>
        <w:rPr>
          <w:rFonts w:ascii="Gadugi" w:hAnsi="Gadugi"/>
          <w:sz w:val="24"/>
          <w:szCs w:val="24"/>
        </w:rPr>
      </w:pPr>
      <w:r w:rsidRPr="005A3969">
        <w:rPr>
          <w:rFonts w:ascii="Gadugi" w:hAnsi="Gadugi"/>
          <w:sz w:val="24"/>
          <w:szCs w:val="24"/>
        </w:rPr>
        <w:t>Magistrado</w:t>
      </w:r>
      <w:r w:rsidR="00AC4584">
        <w:rPr>
          <w:rFonts w:ascii="Gadugi" w:hAnsi="Gadugi"/>
          <w:sz w:val="24"/>
          <w:szCs w:val="24"/>
        </w:rPr>
        <w:t xml:space="preserve"> Ponente</w:t>
      </w:r>
      <w:r w:rsidRPr="005A3969">
        <w:rPr>
          <w:rFonts w:ascii="Gadugi" w:hAnsi="Gadugi"/>
          <w:sz w:val="24"/>
          <w:szCs w:val="24"/>
        </w:rPr>
        <w:t>: Jaime Alberto Saraza Naranjo</w:t>
      </w:r>
    </w:p>
    <w:p w14:paraId="7CF00E18" w14:textId="77777777" w:rsidR="00AC4584" w:rsidRPr="005A3969" w:rsidRDefault="00AC4584" w:rsidP="00AC4584">
      <w:pPr>
        <w:pStyle w:val="Textoindependiente"/>
        <w:tabs>
          <w:tab w:val="left" w:pos="1276"/>
          <w:tab w:val="left" w:pos="3119"/>
        </w:tabs>
        <w:spacing w:line="276" w:lineRule="auto"/>
        <w:jc w:val="center"/>
        <w:rPr>
          <w:rFonts w:ascii="Gadugi" w:hAnsi="Gadugi"/>
          <w:sz w:val="24"/>
          <w:szCs w:val="24"/>
        </w:rPr>
      </w:pPr>
    </w:p>
    <w:p w14:paraId="0B2E73A6" w14:textId="1D4A52EC" w:rsidR="006B5751" w:rsidRPr="005A3969" w:rsidRDefault="006B5751" w:rsidP="00AC4584">
      <w:pPr>
        <w:pStyle w:val="Textoindependiente"/>
        <w:tabs>
          <w:tab w:val="left" w:pos="1276"/>
          <w:tab w:val="left" w:pos="3119"/>
        </w:tabs>
        <w:rPr>
          <w:rFonts w:ascii="Gadugi" w:hAnsi="Gadugi"/>
          <w:sz w:val="24"/>
          <w:szCs w:val="24"/>
        </w:rPr>
      </w:pPr>
      <w:r w:rsidRPr="005A3969">
        <w:rPr>
          <w:rFonts w:ascii="Gadugi" w:hAnsi="Gadugi"/>
          <w:sz w:val="24"/>
          <w:szCs w:val="24"/>
        </w:rPr>
        <w:tab/>
        <w:t xml:space="preserve">Pereira, </w:t>
      </w:r>
      <w:r w:rsidRPr="005A3969">
        <w:rPr>
          <w:rFonts w:ascii="Gadugi" w:hAnsi="Gadugi"/>
          <w:sz w:val="24"/>
          <w:szCs w:val="24"/>
        </w:rPr>
        <w:tab/>
        <w:t>Agosto</w:t>
      </w:r>
      <w:r w:rsidR="00EE5570" w:rsidRPr="005A3969">
        <w:rPr>
          <w:rFonts w:ascii="Gadugi" w:hAnsi="Gadugi"/>
          <w:sz w:val="24"/>
          <w:szCs w:val="24"/>
        </w:rPr>
        <w:t xml:space="preserve"> </w:t>
      </w:r>
      <w:r w:rsidR="00AC4A2B" w:rsidRPr="005A3969">
        <w:rPr>
          <w:rFonts w:ascii="Gadugi" w:hAnsi="Gadugi"/>
          <w:sz w:val="24"/>
          <w:szCs w:val="24"/>
        </w:rPr>
        <w:t>ocho</w:t>
      </w:r>
      <w:r w:rsidR="00EE5570" w:rsidRPr="005A3969">
        <w:rPr>
          <w:rFonts w:ascii="Gadugi" w:hAnsi="Gadugi"/>
          <w:sz w:val="24"/>
          <w:szCs w:val="24"/>
        </w:rPr>
        <w:t xml:space="preserve"> de </w:t>
      </w:r>
      <w:r w:rsidRPr="005A3969">
        <w:rPr>
          <w:rFonts w:ascii="Gadugi" w:hAnsi="Gadugi"/>
          <w:sz w:val="24"/>
          <w:szCs w:val="24"/>
        </w:rPr>
        <w:t xml:space="preserve">dos mil veintitrés </w:t>
      </w:r>
    </w:p>
    <w:p w14:paraId="10177037" w14:textId="1F76AC91" w:rsidR="006B5751" w:rsidRPr="005A3969" w:rsidRDefault="006B5751" w:rsidP="00AC4584">
      <w:pPr>
        <w:tabs>
          <w:tab w:val="left" w:pos="1276"/>
          <w:tab w:val="left" w:pos="3119"/>
        </w:tabs>
        <w:ind w:firstLine="1276"/>
        <w:rPr>
          <w:rFonts w:eastAsia="Georgia" w:cs="Georgia"/>
          <w:bCs/>
          <w:sz w:val="24"/>
          <w:szCs w:val="24"/>
        </w:rPr>
      </w:pPr>
      <w:r w:rsidRPr="005A3969">
        <w:rPr>
          <w:sz w:val="24"/>
          <w:szCs w:val="24"/>
        </w:rPr>
        <w:t xml:space="preserve">Expediente </w:t>
      </w:r>
      <w:r w:rsidRPr="005A3969">
        <w:rPr>
          <w:sz w:val="24"/>
          <w:szCs w:val="24"/>
        </w:rPr>
        <w:tab/>
      </w:r>
      <w:r w:rsidRPr="005A3969">
        <w:rPr>
          <w:rFonts w:eastAsia="Georgia" w:cs="Georgia"/>
          <w:bCs/>
          <w:sz w:val="24"/>
          <w:szCs w:val="24"/>
        </w:rPr>
        <w:t>66001310300</w:t>
      </w:r>
      <w:r w:rsidR="00EE5570" w:rsidRPr="005A3969">
        <w:rPr>
          <w:rFonts w:eastAsia="Georgia" w:cs="Georgia"/>
          <w:bCs/>
          <w:sz w:val="24"/>
          <w:szCs w:val="24"/>
        </w:rPr>
        <w:t>2</w:t>
      </w:r>
      <w:r w:rsidRPr="005A3969">
        <w:rPr>
          <w:rFonts w:eastAsia="Georgia" w:cs="Georgia"/>
          <w:bCs/>
          <w:sz w:val="24"/>
          <w:szCs w:val="24"/>
        </w:rPr>
        <w:t>201</w:t>
      </w:r>
      <w:r w:rsidR="00EE5570" w:rsidRPr="005A3969">
        <w:rPr>
          <w:rFonts w:eastAsia="Georgia" w:cs="Georgia"/>
          <w:bCs/>
          <w:sz w:val="24"/>
          <w:szCs w:val="24"/>
        </w:rPr>
        <w:t>6</w:t>
      </w:r>
      <w:r w:rsidRPr="005A3969">
        <w:rPr>
          <w:rFonts w:eastAsia="Georgia" w:cs="Georgia"/>
          <w:bCs/>
          <w:sz w:val="24"/>
          <w:szCs w:val="24"/>
        </w:rPr>
        <w:t>00</w:t>
      </w:r>
      <w:r w:rsidR="00056252" w:rsidRPr="005A3969">
        <w:rPr>
          <w:rFonts w:eastAsia="Georgia" w:cs="Georgia"/>
          <w:bCs/>
          <w:sz w:val="24"/>
          <w:szCs w:val="24"/>
        </w:rPr>
        <w:t>601</w:t>
      </w:r>
      <w:r w:rsidRPr="005A3969">
        <w:rPr>
          <w:rFonts w:eastAsia="Georgia" w:cs="Georgia"/>
          <w:bCs/>
          <w:sz w:val="24"/>
          <w:szCs w:val="24"/>
        </w:rPr>
        <w:t>01</w:t>
      </w:r>
    </w:p>
    <w:p w14:paraId="6E389757" w14:textId="20A6D061" w:rsidR="006B5751" w:rsidRPr="005A3969" w:rsidRDefault="006B5751" w:rsidP="00AC4584">
      <w:pPr>
        <w:pStyle w:val="Textoindependiente"/>
        <w:tabs>
          <w:tab w:val="left" w:pos="1276"/>
          <w:tab w:val="left" w:pos="3119"/>
        </w:tabs>
        <w:rPr>
          <w:rFonts w:ascii="Gadugi" w:hAnsi="Gadugi"/>
          <w:sz w:val="24"/>
          <w:szCs w:val="24"/>
        </w:rPr>
      </w:pPr>
      <w:r w:rsidRPr="005A3969">
        <w:rPr>
          <w:rFonts w:ascii="Gadugi" w:hAnsi="Gadugi"/>
          <w:sz w:val="24"/>
          <w:szCs w:val="24"/>
        </w:rPr>
        <w:tab/>
      </w:r>
      <w:r w:rsidR="00056252" w:rsidRPr="005A3969">
        <w:rPr>
          <w:rFonts w:ascii="Gadugi" w:hAnsi="Gadugi"/>
          <w:sz w:val="24"/>
          <w:szCs w:val="24"/>
        </w:rPr>
        <w:t>Asunto</w:t>
      </w:r>
      <w:r w:rsidR="00382433" w:rsidRPr="005A3969">
        <w:rPr>
          <w:rFonts w:ascii="Gadugi" w:hAnsi="Gadugi"/>
          <w:sz w:val="24"/>
          <w:szCs w:val="24"/>
        </w:rPr>
        <w:t>:</w:t>
      </w:r>
      <w:r w:rsidRPr="005A3969">
        <w:rPr>
          <w:rFonts w:ascii="Gadugi" w:hAnsi="Gadugi"/>
          <w:sz w:val="24"/>
          <w:szCs w:val="24"/>
        </w:rPr>
        <w:t xml:space="preserve"> </w:t>
      </w:r>
      <w:r w:rsidRPr="005A3969">
        <w:rPr>
          <w:rFonts w:ascii="Gadugi" w:hAnsi="Gadugi"/>
          <w:sz w:val="24"/>
          <w:szCs w:val="24"/>
        </w:rPr>
        <w:tab/>
      </w:r>
      <w:r w:rsidR="00056252" w:rsidRPr="005A3969">
        <w:rPr>
          <w:rFonts w:ascii="Gadugi" w:hAnsi="Gadugi"/>
          <w:sz w:val="24"/>
          <w:szCs w:val="24"/>
        </w:rPr>
        <w:t>Ejecutivo</w:t>
      </w:r>
      <w:r w:rsidRPr="005A3969">
        <w:rPr>
          <w:rFonts w:ascii="Gadugi" w:hAnsi="Gadugi"/>
          <w:sz w:val="24"/>
          <w:szCs w:val="24"/>
        </w:rPr>
        <w:t xml:space="preserve"> </w:t>
      </w:r>
    </w:p>
    <w:p w14:paraId="0C12C8A3" w14:textId="04087AB6" w:rsidR="006B5751" w:rsidRPr="005A3969" w:rsidRDefault="006B5751" w:rsidP="00AC4584">
      <w:pPr>
        <w:pStyle w:val="Textoindependiente"/>
        <w:tabs>
          <w:tab w:val="left" w:pos="1276"/>
          <w:tab w:val="left" w:pos="3119"/>
        </w:tabs>
        <w:rPr>
          <w:rFonts w:ascii="Gadugi" w:hAnsi="Gadugi"/>
          <w:sz w:val="24"/>
          <w:szCs w:val="24"/>
        </w:rPr>
      </w:pPr>
      <w:r w:rsidRPr="005A3969">
        <w:rPr>
          <w:rFonts w:ascii="Gadugi" w:hAnsi="Gadugi"/>
          <w:sz w:val="24"/>
          <w:szCs w:val="24"/>
        </w:rPr>
        <w:t xml:space="preserve"> </w:t>
      </w:r>
      <w:r w:rsidRPr="005A3969">
        <w:rPr>
          <w:rFonts w:ascii="Gadugi" w:hAnsi="Gadugi"/>
          <w:sz w:val="24"/>
          <w:szCs w:val="24"/>
        </w:rPr>
        <w:tab/>
        <w:t xml:space="preserve">Tema: </w:t>
      </w:r>
      <w:r w:rsidRPr="005A3969">
        <w:rPr>
          <w:rFonts w:ascii="Gadugi" w:hAnsi="Gadugi"/>
          <w:sz w:val="24"/>
          <w:szCs w:val="24"/>
        </w:rPr>
        <w:tab/>
      </w:r>
      <w:r w:rsidR="00382433" w:rsidRPr="005A3969">
        <w:rPr>
          <w:rFonts w:ascii="Gadugi" w:hAnsi="Gadugi"/>
          <w:sz w:val="24"/>
          <w:szCs w:val="24"/>
        </w:rPr>
        <w:t>Desistimiento tácito – dos años</w:t>
      </w:r>
      <w:r w:rsidRPr="005A3969">
        <w:rPr>
          <w:rFonts w:ascii="Gadugi" w:hAnsi="Gadugi"/>
          <w:sz w:val="24"/>
          <w:szCs w:val="24"/>
        </w:rPr>
        <w:t xml:space="preserve"> </w:t>
      </w:r>
    </w:p>
    <w:p w14:paraId="5E5C286A" w14:textId="77777777" w:rsidR="003B2A2A" w:rsidRPr="005A3969" w:rsidRDefault="006B5751" w:rsidP="00AC4584">
      <w:pPr>
        <w:pStyle w:val="Textoindependiente"/>
        <w:tabs>
          <w:tab w:val="left" w:pos="1276"/>
          <w:tab w:val="left" w:pos="3119"/>
        </w:tabs>
        <w:rPr>
          <w:rFonts w:ascii="Gadugi" w:hAnsi="Gadugi"/>
          <w:sz w:val="24"/>
          <w:szCs w:val="24"/>
        </w:rPr>
      </w:pPr>
      <w:r w:rsidRPr="005A3969">
        <w:rPr>
          <w:rFonts w:ascii="Gadugi" w:hAnsi="Gadugi"/>
          <w:sz w:val="24"/>
          <w:szCs w:val="24"/>
        </w:rPr>
        <w:tab/>
        <w:t xml:space="preserve">Demandante: </w:t>
      </w:r>
      <w:r w:rsidRPr="005A3969">
        <w:rPr>
          <w:rFonts w:ascii="Gadugi" w:hAnsi="Gadugi"/>
          <w:sz w:val="24"/>
          <w:szCs w:val="24"/>
        </w:rPr>
        <w:tab/>
      </w:r>
      <w:r w:rsidR="003B2A2A" w:rsidRPr="005A3969">
        <w:rPr>
          <w:rFonts w:ascii="Gadugi" w:hAnsi="Gadugi"/>
          <w:sz w:val="24"/>
          <w:szCs w:val="24"/>
        </w:rPr>
        <w:t>Central de Inversiones CISA</w:t>
      </w:r>
    </w:p>
    <w:p w14:paraId="6718916C" w14:textId="77777777" w:rsidR="00666361" w:rsidRPr="005A3969" w:rsidRDefault="003B2A2A" w:rsidP="00AC4584">
      <w:pPr>
        <w:pStyle w:val="Textoindependiente"/>
        <w:tabs>
          <w:tab w:val="left" w:pos="1276"/>
          <w:tab w:val="left" w:pos="3119"/>
        </w:tabs>
        <w:rPr>
          <w:rFonts w:ascii="Gadugi" w:hAnsi="Gadugi"/>
          <w:sz w:val="24"/>
          <w:szCs w:val="24"/>
        </w:rPr>
      </w:pPr>
      <w:r w:rsidRPr="005A3969">
        <w:rPr>
          <w:rFonts w:ascii="Gadugi" w:hAnsi="Gadugi"/>
          <w:sz w:val="24"/>
          <w:szCs w:val="24"/>
        </w:rPr>
        <w:tab/>
      </w:r>
      <w:r w:rsidRPr="005A3969">
        <w:rPr>
          <w:rFonts w:ascii="Gadugi" w:hAnsi="Gadugi"/>
          <w:sz w:val="24"/>
          <w:szCs w:val="24"/>
        </w:rPr>
        <w:tab/>
        <w:t xml:space="preserve">Fondo Nacional </w:t>
      </w:r>
      <w:r w:rsidR="003F3432" w:rsidRPr="005A3969">
        <w:rPr>
          <w:rFonts w:ascii="Gadugi" w:hAnsi="Gadugi"/>
          <w:sz w:val="24"/>
          <w:szCs w:val="24"/>
        </w:rPr>
        <w:t>de Garantías</w:t>
      </w:r>
      <w:r w:rsidRPr="005A3969">
        <w:rPr>
          <w:rFonts w:ascii="Gadugi" w:hAnsi="Gadugi"/>
          <w:sz w:val="24"/>
          <w:szCs w:val="24"/>
        </w:rPr>
        <w:t xml:space="preserve"> (cesionario)</w:t>
      </w:r>
    </w:p>
    <w:p w14:paraId="47A7DB93" w14:textId="11729B9A" w:rsidR="006B5751" w:rsidRPr="005A3969" w:rsidRDefault="00666361" w:rsidP="00AC4584">
      <w:pPr>
        <w:pStyle w:val="Textoindependiente"/>
        <w:tabs>
          <w:tab w:val="left" w:pos="1276"/>
          <w:tab w:val="left" w:pos="3119"/>
        </w:tabs>
        <w:rPr>
          <w:rFonts w:ascii="Gadugi" w:hAnsi="Gadugi"/>
          <w:sz w:val="24"/>
          <w:szCs w:val="24"/>
        </w:rPr>
      </w:pPr>
      <w:r w:rsidRPr="005A3969">
        <w:rPr>
          <w:rFonts w:ascii="Gadugi" w:hAnsi="Gadugi"/>
          <w:sz w:val="24"/>
          <w:szCs w:val="24"/>
        </w:rPr>
        <w:tab/>
      </w:r>
      <w:r w:rsidRPr="005A3969">
        <w:rPr>
          <w:rFonts w:ascii="Gadugi" w:hAnsi="Gadugi"/>
          <w:sz w:val="24"/>
          <w:szCs w:val="24"/>
        </w:rPr>
        <w:tab/>
        <w:t>Reintegra SAS (cesionario)</w:t>
      </w:r>
      <w:r w:rsidR="006B5751" w:rsidRPr="005A3969">
        <w:rPr>
          <w:rFonts w:ascii="Gadugi" w:hAnsi="Gadugi"/>
          <w:sz w:val="24"/>
          <w:szCs w:val="24"/>
        </w:rPr>
        <w:t xml:space="preserve"> </w:t>
      </w:r>
    </w:p>
    <w:p w14:paraId="0D9F5F63" w14:textId="79692D6C" w:rsidR="006B5751" w:rsidRPr="005A3969" w:rsidRDefault="006B5751" w:rsidP="00AC4584">
      <w:pPr>
        <w:pStyle w:val="Textoindependiente"/>
        <w:tabs>
          <w:tab w:val="left" w:pos="1276"/>
          <w:tab w:val="left" w:pos="3119"/>
        </w:tabs>
        <w:rPr>
          <w:rFonts w:ascii="Gadugi" w:hAnsi="Gadugi"/>
          <w:sz w:val="24"/>
          <w:szCs w:val="24"/>
        </w:rPr>
      </w:pPr>
      <w:r w:rsidRPr="005A3969">
        <w:rPr>
          <w:rFonts w:ascii="Gadugi" w:hAnsi="Gadugi"/>
          <w:sz w:val="24"/>
          <w:szCs w:val="24"/>
        </w:rPr>
        <w:t xml:space="preserve"> </w:t>
      </w:r>
      <w:r w:rsidRPr="005A3969">
        <w:rPr>
          <w:rFonts w:ascii="Gadugi" w:hAnsi="Gadugi"/>
          <w:sz w:val="24"/>
          <w:szCs w:val="24"/>
        </w:rPr>
        <w:tab/>
        <w:t xml:space="preserve">Demandado: </w:t>
      </w:r>
      <w:r w:rsidRPr="005A3969">
        <w:rPr>
          <w:rFonts w:ascii="Gadugi" w:hAnsi="Gadugi"/>
          <w:sz w:val="24"/>
          <w:szCs w:val="24"/>
        </w:rPr>
        <w:tab/>
      </w:r>
      <w:r w:rsidR="00240FFA" w:rsidRPr="005A3969">
        <w:rPr>
          <w:rFonts w:ascii="Gadugi" w:hAnsi="Gadugi"/>
          <w:sz w:val="24"/>
          <w:szCs w:val="24"/>
        </w:rPr>
        <w:t>Sebastián Ospina Osorio</w:t>
      </w:r>
    </w:p>
    <w:p w14:paraId="1EFA7F1F" w14:textId="08321140" w:rsidR="00FD0FCD" w:rsidRPr="005A3969" w:rsidRDefault="006B5751" w:rsidP="005A3969">
      <w:pPr>
        <w:pStyle w:val="Textoindependiente"/>
        <w:tabs>
          <w:tab w:val="left" w:pos="1276"/>
          <w:tab w:val="left" w:pos="3119"/>
        </w:tabs>
        <w:spacing w:line="276" w:lineRule="auto"/>
        <w:rPr>
          <w:rFonts w:ascii="Gadugi" w:hAnsi="Gadugi"/>
          <w:sz w:val="24"/>
          <w:szCs w:val="24"/>
        </w:rPr>
      </w:pPr>
      <w:r w:rsidRPr="005A3969">
        <w:rPr>
          <w:rFonts w:ascii="Gadugi" w:hAnsi="Gadugi"/>
          <w:sz w:val="24"/>
          <w:szCs w:val="24"/>
        </w:rPr>
        <w:t xml:space="preserve"> </w:t>
      </w:r>
      <w:r w:rsidRPr="005A3969">
        <w:rPr>
          <w:rFonts w:ascii="Gadugi" w:hAnsi="Gadugi"/>
          <w:sz w:val="24"/>
          <w:szCs w:val="24"/>
        </w:rPr>
        <w:tab/>
      </w:r>
    </w:p>
    <w:p w14:paraId="301DCC8F" w14:textId="28C9B75C" w:rsidR="00DE75C0" w:rsidRPr="005A3969" w:rsidRDefault="00DE75C0" w:rsidP="005A3969">
      <w:pPr>
        <w:spacing w:line="276" w:lineRule="auto"/>
        <w:ind w:firstLine="1701"/>
        <w:rPr>
          <w:sz w:val="24"/>
          <w:szCs w:val="24"/>
        </w:rPr>
      </w:pPr>
    </w:p>
    <w:p w14:paraId="37B15AC0" w14:textId="483028ED" w:rsidR="00EF4EDC" w:rsidRPr="005A3969" w:rsidRDefault="00143BB8" w:rsidP="005A3969">
      <w:pPr>
        <w:spacing w:line="276" w:lineRule="auto"/>
        <w:ind w:right="113"/>
        <w:jc w:val="both"/>
        <w:rPr>
          <w:spacing w:val="-4"/>
          <w:sz w:val="24"/>
          <w:szCs w:val="24"/>
        </w:rPr>
      </w:pPr>
      <w:r w:rsidRPr="005A3969">
        <w:rPr>
          <w:sz w:val="24"/>
          <w:szCs w:val="24"/>
        </w:rPr>
        <w:lastRenderedPageBreak/>
        <w:t>Procede</w:t>
      </w:r>
      <w:r w:rsidRPr="005A3969">
        <w:rPr>
          <w:spacing w:val="1"/>
          <w:sz w:val="24"/>
          <w:szCs w:val="24"/>
        </w:rPr>
        <w:t xml:space="preserve"> </w:t>
      </w:r>
      <w:r w:rsidRPr="005A3969">
        <w:rPr>
          <w:sz w:val="24"/>
          <w:szCs w:val="24"/>
        </w:rPr>
        <w:t>la</w:t>
      </w:r>
      <w:r w:rsidRPr="005A3969">
        <w:rPr>
          <w:spacing w:val="1"/>
          <w:sz w:val="24"/>
          <w:szCs w:val="24"/>
        </w:rPr>
        <w:t xml:space="preserve"> </w:t>
      </w:r>
      <w:r w:rsidRPr="005A3969">
        <w:rPr>
          <w:sz w:val="24"/>
          <w:szCs w:val="24"/>
        </w:rPr>
        <w:t>Sala</w:t>
      </w:r>
      <w:r w:rsidRPr="005A3969">
        <w:rPr>
          <w:spacing w:val="1"/>
          <w:sz w:val="24"/>
          <w:szCs w:val="24"/>
        </w:rPr>
        <w:t xml:space="preserve"> </w:t>
      </w:r>
      <w:r w:rsidRPr="005A3969">
        <w:rPr>
          <w:sz w:val="24"/>
          <w:szCs w:val="24"/>
        </w:rPr>
        <w:t>a</w:t>
      </w:r>
      <w:r w:rsidRPr="005A3969">
        <w:rPr>
          <w:spacing w:val="1"/>
          <w:sz w:val="24"/>
          <w:szCs w:val="24"/>
        </w:rPr>
        <w:t xml:space="preserve"> </w:t>
      </w:r>
      <w:r w:rsidRPr="005A3969">
        <w:rPr>
          <w:sz w:val="24"/>
          <w:szCs w:val="24"/>
        </w:rPr>
        <w:t>resolver</w:t>
      </w:r>
      <w:r w:rsidRPr="005A3969">
        <w:rPr>
          <w:spacing w:val="1"/>
          <w:sz w:val="24"/>
          <w:szCs w:val="24"/>
        </w:rPr>
        <w:t xml:space="preserve"> </w:t>
      </w:r>
      <w:r w:rsidRPr="005A3969">
        <w:rPr>
          <w:sz w:val="24"/>
          <w:szCs w:val="24"/>
        </w:rPr>
        <w:t>el</w:t>
      </w:r>
      <w:r w:rsidRPr="005A3969">
        <w:rPr>
          <w:spacing w:val="1"/>
          <w:sz w:val="24"/>
          <w:szCs w:val="24"/>
        </w:rPr>
        <w:t xml:space="preserve"> </w:t>
      </w:r>
      <w:r w:rsidRPr="005A3969">
        <w:rPr>
          <w:sz w:val="24"/>
          <w:szCs w:val="24"/>
        </w:rPr>
        <w:t>recurso</w:t>
      </w:r>
      <w:r w:rsidRPr="005A3969">
        <w:rPr>
          <w:spacing w:val="1"/>
          <w:sz w:val="24"/>
          <w:szCs w:val="24"/>
        </w:rPr>
        <w:t xml:space="preserve"> </w:t>
      </w:r>
      <w:r w:rsidRPr="005A3969">
        <w:rPr>
          <w:sz w:val="24"/>
          <w:szCs w:val="24"/>
        </w:rPr>
        <w:t>de</w:t>
      </w:r>
      <w:r w:rsidRPr="005A3969">
        <w:rPr>
          <w:spacing w:val="1"/>
          <w:sz w:val="24"/>
          <w:szCs w:val="24"/>
        </w:rPr>
        <w:t xml:space="preserve"> </w:t>
      </w:r>
      <w:r w:rsidRPr="005A3969">
        <w:rPr>
          <w:sz w:val="24"/>
          <w:szCs w:val="24"/>
        </w:rPr>
        <w:t>apelación</w:t>
      </w:r>
      <w:r w:rsidRPr="005A3969">
        <w:rPr>
          <w:spacing w:val="1"/>
          <w:sz w:val="24"/>
          <w:szCs w:val="24"/>
        </w:rPr>
        <w:t xml:space="preserve"> </w:t>
      </w:r>
      <w:r w:rsidRPr="005A3969">
        <w:rPr>
          <w:spacing w:val="-1"/>
          <w:sz w:val="24"/>
          <w:szCs w:val="24"/>
        </w:rPr>
        <w:t>interpuesto</w:t>
      </w:r>
      <w:r w:rsidRPr="005A3969">
        <w:rPr>
          <w:spacing w:val="-16"/>
          <w:sz w:val="24"/>
          <w:szCs w:val="24"/>
        </w:rPr>
        <w:t xml:space="preserve"> </w:t>
      </w:r>
      <w:r w:rsidRPr="005A3969">
        <w:rPr>
          <w:spacing w:val="-1"/>
          <w:sz w:val="24"/>
          <w:szCs w:val="24"/>
        </w:rPr>
        <w:t>por</w:t>
      </w:r>
      <w:r w:rsidRPr="005A3969">
        <w:rPr>
          <w:spacing w:val="-16"/>
          <w:sz w:val="24"/>
          <w:szCs w:val="24"/>
        </w:rPr>
        <w:t xml:space="preserve"> </w:t>
      </w:r>
      <w:r w:rsidR="00082B95" w:rsidRPr="005A3969">
        <w:rPr>
          <w:spacing w:val="-16"/>
          <w:sz w:val="24"/>
          <w:szCs w:val="24"/>
        </w:rPr>
        <w:t xml:space="preserve">la parte </w:t>
      </w:r>
      <w:r w:rsidR="00240FFA" w:rsidRPr="005A3969">
        <w:rPr>
          <w:spacing w:val="-16"/>
          <w:sz w:val="24"/>
          <w:szCs w:val="24"/>
        </w:rPr>
        <w:t xml:space="preserve">ejecutante </w:t>
      </w:r>
      <w:r w:rsidR="00082B95" w:rsidRPr="005A3969">
        <w:rPr>
          <w:spacing w:val="-16"/>
          <w:sz w:val="24"/>
          <w:szCs w:val="24"/>
        </w:rPr>
        <w:t>contra el a</w:t>
      </w:r>
      <w:r w:rsidR="00EF4EDC" w:rsidRPr="005A3969">
        <w:rPr>
          <w:spacing w:val="-16"/>
          <w:sz w:val="24"/>
          <w:szCs w:val="24"/>
        </w:rPr>
        <w:t>u</w:t>
      </w:r>
      <w:r w:rsidR="00082B95" w:rsidRPr="005A3969">
        <w:rPr>
          <w:spacing w:val="-16"/>
          <w:sz w:val="24"/>
          <w:szCs w:val="24"/>
        </w:rPr>
        <w:t xml:space="preserve">to del </w:t>
      </w:r>
      <w:r w:rsidR="00240FFA" w:rsidRPr="005A3969">
        <w:rPr>
          <w:spacing w:val="-16"/>
          <w:sz w:val="24"/>
          <w:szCs w:val="24"/>
        </w:rPr>
        <w:t>22</w:t>
      </w:r>
      <w:r w:rsidR="00621DC1" w:rsidRPr="005A3969">
        <w:rPr>
          <w:spacing w:val="-16"/>
          <w:sz w:val="24"/>
          <w:szCs w:val="24"/>
        </w:rPr>
        <w:t xml:space="preserve"> de </w:t>
      </w:r>
      <w:r w:rsidR="00240FFA" w:rsidRPr="005A3969">
        <w:rPr>
          <w:spacing w:val="-16"/>
          <w:sz w:val="24"/>
          <w:szCs w:val="24"/>
        </w:rPr>
        <w:t>marzo</w:t>
      </w:r>
      <w:r w:rsidR="00621DC1" w:rsidRPr="005A3969">
        <w:rPr>
          <w:spacing w:val="-16"/>
          <w:sz w:val="24"/>
          <w:szCs w:val="24"/>
        </w:rPr>
        <w:t xml:space="preserve"> de </w:t>
      </w:r>
      <w:r w:rsidR="00690E7C" w:rsidRPr="005A3969">
        <w:rPr>
          <w:spacing w:val="-16"/>
          <w:sz w:val="24"/>
          <w:szCs w:val="24"/>
        </w:rPr>
        <w:t>2022,</w:t>
      </w:r>
      <w:r w:rsidR="00082B95" w:rsidRPr="005A3969">
        <w:rPr>
          <w:spacing w:val="-16"/>
          <w:sz w:val="24"/>
          <w:szCs w:val="24"/>
        </w:rPr>
        <w:t xml:space="preserve"> proferido por el Juzgado </w:t>
      </w:r>
      <w:r w:rsidR="00EF4EDC" w:rsidRPr="005A3969">
        <w:rPr>
          <w:spacing w:val="-16"/>
          <w:sz w:val="24"/>
          <w:szCs w:val="24"/>
        </w:rPr>
        <w:t xml:space="preserve">Segundo </w:t>
      </w:r>
      <w:r w:rsidRPr="005A3969">
        <w:rPr>
          <w:sz w:val="24"/>
          <w:szCs w:val="24"/>
        </w:rPr>
        <w:t>Civil</w:t>
      </w:r>
      <w:r w:rsidRPr="005A3969">
        <w:rPr>
          <w:spacing w:val="-7"/>
          <w:sz w:val="24"/>
          <w:szCs w:val="24"/>
        </w:rPr>
        <w:t xml:space="preserve"> </w:t>
      </w:r>
      <w:r w:rsidRPr="005A3969">
        <w:rPr>
          <w:sz w:val="24"/>
          <w:szCs w:val="24"/>
        </w:rPr>
        <w:t>del</w:t>
      </w:r>
      <w:r w:rsidRPr="005A3969">
        <w:rPr>
          <w:spacing w:val="-6"/>
          <w:sz w:val="24"/>
          <w:szCs w:val="24"/>
        </w:rPr>
        <w:t xml:space="preserve"> </w:t>
      </w:r>
      <w:r w:rsidRPr="005A3969">
        <w:rPr>
          <w:sz w:val="24"/>
          <w:szCs w:val="24"/>
        </w:rPr>
        <w:t>Circuito</w:t>
      </w:r>
      <w:r w:rsidRPr="005A3969">
        <w:rPr>
          <w:spacing w:val="-5"/>
          <w:sz w:val="24"/>
          <w:szCs w:val="24"/>
        </w:rPr>
        <w:t xml:space="preserve"> </w:t>
      </w:r>
      <w:r w:rsidRPr="005A3969">
        <w:rPr>
          <w:sz w:val="24"/>
          <w:szCs w:val="24"/>
        </w:rPr>
        <w:t>de</w:t>
      </w:r>
      <w:r w:rsidRPr="005A3969">
        <w:rPr>
          <w:spacing w:val="-8"/>
          <w:sz w:val="24"/>
          <w:szCs w:val="24"/>
        </w:rPr>
        <w:t xml:space="preserve"> </w:t>
      </w:r>
      <w:r w:rsidRPr="005A3969">
        <w:rPr>
          <w:sz w:val="24"/>
          <w:szCs w:val="24"/>
        </w:rPr>
        <w:t>Pereira</w:t>
      </w:r>
      <w:r w:rsidRPr="005A3969">
        <w:rPr>
          <w:spacing w:val="-6"/>
          <w:sz w:val="24"/>
          <w:szCs w:val="24"/>
        </w:rPr>
        <w:t xml:space="preserve"> </w:t>
      </w:r>
      <w:r w:rsidRPr="005A3969">
        <w:rPr>
          <w:sz w:val="24"/>
          <w:szCs w:val="24"/>
        </w:rPr>
        <w:t>en</w:t>
      </w:r>
      <w:r w:rsidRPr="005A3969">
        <w:rPr>
          <w:spacing w:val="-7"/>
          <w:sz w:val="24"/>
          <w:szCs w:val="24"/>
        </w:rPr>
        <w:t xml:space="preserve"> </w:t>
      </w:r>
      <w:r w:rsidRPr="005A3969">
        <w:rPr>
          <w:sz w:val="24"/>
          <w:szCs w:val="24"/>
        </w:rPr>
        <w:t>este</w:t>
      </w:r>
      <w:r w:rsidRPr="005A3969">
        <w:rPr>
          <w:spacing w:val="-6"/>
          <w:sz w:val="24"/>
          <w:szCs w:val="24"/>
        </w:rPr>
        <w:t xml:space="preserve"> </w:t>
      </w:r>
      <w:r w:rsidRPr="005A3969">
        <w:rPr>
          <w:sz w:val="24"/>
          <w:szCs w:val="24"/>
        </w:rPr>
        <w:t>proceso</w:t>
      </w:r>
      <w:r w:rsidRPr="005A3969">
        <w:rPr>
          <w:spacing w:val="-4"/>
          <w:sz w:val="24"/>
          <w:szCs w:val="24"/>
        </w:rPr>
        <w:t xml:space="preserve"> </w:t>
      </w:r>
      <w:r w:rsidR="00690E7C" w:rsidRPr="00AC4584">
        <w:rPr>
          <w:b/>
          <w:spacing w:val="-4"/>
          <w:sz w:val="24"/>
          <w:szCs w:val="24"/>
        </w:rPr>
        <w:t>ejecutivo</w:t>
      </w:r>
      <w:r w:rsidR="00690E7C" w:rsidRPr="005A3969">
        <w:rPr>
          <w:spacing w:val="-4"/>
          <w:sz w:val="24"/>
          <w:szCs w:val="24"/>
        </w:rPr>
        <w:t xml:space="preserve"> </w:t>
      </w:r>
      <w:r w:rsidR="0033577C" w:rsidRPr="005A3969">
        <w:rPr>
          <w:spacing w:val="-4"/>
          <w:sz w:val="24"/>
          <w:szCs w:val="24"/>
        </w:rPr>
        <w:t xml:space="preserve">iniciado por </w:t>
      </w:r>
      <w:r w:rsidR="001452CB" w:rsidRPr="005A3969">
        <w:rPr>
          <w:spacing w:val="-4"/>
          <w:sz w:val="24"/>
          <w:szCs w:val="24"/>
        </w:rPr>
        <w:t xml:space="preserve">Bancolombia SA, </w:t>
      </w:r>
      <w:r w:rsidR="00A37FDF" w:rsidRPr="005A3969">
        <w:rPr>
          <w:spacing w:val="-4"/>
          <w:sz w:val="24"/>
          <w:szCs w:val="24"/>
        </w:rPr>
        <w:t xml:space="preserve">cesionarios el </w:t>
      </w:r>
      <w:r w:rsidR="00A37FDF" w:rsidRPr="005A3969">
        <w:rPr>
          <w:b/>
          <w:bCs/>
          <w:spacing w:val="-4"/>
          <w:sz w:val="24"/>
          <w:szCs w:val="24"/>
        </w:rPr>
        <w:t>Fondo Nacional de Garantías</w:t>
      </w:r>
      <w:r w:rsidR="000949BA" w:rsidRPr="005A3969">
        <w:rPr>
          <w:b/>
          <w:bCs/>
          <w:spacing w:val="-4"/>
          <w:sz w:val="24"/>
          <w:szCs w:val="24"/>
        </w:rPr>
        <w:t xml:space="preserve"> SA</w:t>
      </w:r>
      <w:r w:rsidR="00FC1CFA" w:rsidRPr="005A3969">
        <w:rPr>
          <w:rStyle w:val="Refdenotaalpie"/>
          <w:spacing w:val="-4"/>
          <w:sz w:val="24"/>
          <w:szCs w:val="24"/>
        </w:rPr>
        <w:footnoteReference w:id="1"/>
      </w:r>
      <w:r w:rsidR="00445C23" w:rsidRPr="005A3969">
        <w:rPr>
          <w:b/>
          <w:bCs/>
          <w:spacing w:val="-4"/>
          <w:sz w:val="24"/>
          <w:szCs w:val="24"/>
        </w:rPr>
        <w:t>, Reintegra SAS</w:t>
      </w:r>
      <w:r w:rsidR="00445C23" w:rsidRPr="005A3969">
        <w:rPr>
          <w:rStyle w:val="Refdenotaalpie"/>
          <w:spacing w:val="-4"/>
          <w:sz w:val="24"/>
          <w:szCs w:val="24"/>
        </w:rPr>
        <w:footnoteReference w:id="2"/>
      </w:r>
      <w:r w:rsidR="00AB12C6" w:rsidRPr="005A3969">
        <w:rPr>
          <w:spacing w:val="-4"/>
          <w:sz w:val="24"/>
          <w:szCs w:val="24"/>
        </w:rPr>
        <w:t>,</w:t>
      </w:r>
      <w:r w:rsidR="00A37FDF" w:rsidRPr="005A3969">
        <w:rPr>
          <w:spacing w:val="-4"/>
          <w:sz w:val="24"/>
          <w:szCs w:val="24"/>
        </w:rPr>
        <w:t xml:space="preserve"> </w:t>
      </w:r>
      <w:r w:rsidR="00386D6E" w:rsidRPr="005A3969">
        <w:rPr>
          <w:spacing w:val="-4"/>
          <w:sz w:val="24"/>
          <w:szCs w:val="24"/>
        </w:rPr>
        <w:t xml:space="preserve">la </w:t>
      </w:r>
      <w:r w:rsidR="00386D6E" w:rsidRPr="005A3969">
        <w:rPr>
          <w:b/>
          <w:bCs/>
          <w:spacing w:val="-4"/>
          <w:sz w:val="24"/>
          <w:szCs w:val="24"/>
        </w:rPr>
        <w:t xml:space="preserve">Central de Inversiones </w:t>
      </w:r>
      <w:r w:rsidR="00576A8E" w:rsidRPr="005A3969">
        <w:rPr>
          <w:b/>
          <w:bCs/>
          <w:spacing w:val="-4"/>
          <w:sz w:val="24"/>
          <w:szCs w:val="24"/>
        </w:rPr>
        <w:t>SA -</w:t>
      </w:r>
      <w:r w:rsidR="00386D6E" w:rsidRPr="005A3969">
        <w:rPr>
          <w:b/>
          <w:bCs/>
          <w:spacing w:val="-4"/>
          <w:sz w:val="24"/>
          <w:szCs w:val="24"/>
        </w:rPr>
        <w:t>CISA</w:t>
      </w:r>
      <w:r w:rsidR="00576A8E" w:rsidRPr="005A3969">
        <w:rPr>
          <w:b/>
          <w:bCs/>
          <w:spacing w:val="-4"/>
          <w:sz w:val="24"/>
          <w:szCs w:val="24"/>
        </w:rPr>
        <w:t>-</w:t>
      </w:r>
      <w:r w:rsidR="00AD5AA7" w:rsidRPr="005A3969">
        <w:rPr>
          <w:rStyle w:val="Refdenotaalpie"/>
          <w:b/>
          <w:bCs/>
          <w:spacing w:val="-4"/>
          <w:sz w:val="24"/>
          <w:szCs w:val="24"/>
        </w:rPr>
        <w:footnoteReference w:id="3"/>
      </w:r>
      <w:r w:rsidR="00386D6E" w:rsidRPr="005A3969">
        <w:rPr>
          <w:spacing w:val="-4"/>
          <w:sz w:val="24"/>
          <w:szCs w:val="24"/>
        </w:rPr>
        <w:t xml:space="preserve">, </w:t>
      </w:r>
      <w:r w:rsidR="00EF4EDC" w:rsidRPr="005A3969">
        <w:rPr>
          <w:spacing w:val="-4"/>
          <w:sz w:val="24"/>
          <w:szCs w:val="24"/>
        </w:rPr>
        <w:t xml:space="preserve">frente a </w:t>
      </w:r>
      <w:r w:rsidR="00924C66" w:rsidRPr="005A3969">
        <w:rPr>
          <w:b/>
          <w:bCs/>
          <w:spacing w:val="-4"/>
          <w:sz w:val="24"/>
          <w:szCs w:val="24"/>
        </w:rPr>
        <w:t>Sebastián Ospina Osorio</w:t>
      </w:r>
      <w:r w:rsidR="00924C66" w:rsidRPr="005A3969">
        <w:rPr>
          <w:spacing w:val="-4"/>
          <w:sz w:val="24"/>
          <w:szCs w:val="24"/>
        </w:rPr>
        <w:t xml:space="preserve">. </w:t>
      </w:r>
    </w:p>
    <w:p w14:paraId="06BA760D" w14:textId="046E3379" w:rsidR="00FD0FCD" w:rsidRPr="005A3969" w:rsidRDefault="00FD0FCD" w:rsidP="005A3969">
      <w:pPr>
        <w:spacing w:line="276" w:lineRule="auto"/>
        <w:rPr>
          <w:b/>
          <w:sz w:val="24"/>
          <w:szCs w:val="24"/>
        </w:rPr>
      </w:pPr>
    </w:p>
    <w:p w14:paraId="18F6BA09" w14:textId="6E57941A" w:rsidR="00FD0FCD" w:rsidRPr="005A3969" w:rsidRDefault="00143BB8" w:rsidP="005A3969">
      <w:pPr>
        <w:pStyle w:val="Ttulo2"/>
        <w:numPr>
          <w:ilvl w:val="0"/>
          <w:numId w:val="5"/>
        </w:numPr>
        <w:tabs>
          <w:tab w:val="left" w:pos="284"/>
        </w:tabs>
        <w:spacing w:before="0" w:line="276" w:lineRule="auto"/>
        <w:ind w:left="0" w:firstLine="0"/>
        <w:rPr>
          <w:b w:val="0"/>
          <w:sz w:val="24"/>
          <w:szCs w:val="24"/>
        </w:rPr>
      </w:pPr>
      <w:r w:rsidRPr="005A3969">
        <w:rPr>
          <w:sz w:val="24"/>
          <w:szCs w:val="24"/>
        </w:rPr>
        <w:t>ANTECEDENTES</w:t>
      </w:r>
    </w:p>
    <w:p w14:paraId="43E686DE" w14:textId="77777777" w:rsidR="00DE75C0" w:rsidRPr="005A3969" w:rsidRDefault="00DE75C0" w:rsidP="005A3969">
      <w:pPr>
        <w:spacing w:line="276" w:lineRule="auto"/>
        <w:rPr>
          <w:b/>
          <w:sz w:val="24"/>
          <w:szCs w:val="24"/>
        </w:rPr>
      </w:pPr>
    </w:p>
    <w:p w14:paraId="2B4F1995" w14:textId="763592B6" w:rsidR="00AA15F3" w:rsidRPr="005A3969" w:rsidRDefault="00143BB8" w:rsidP="005A3969">
      <w:pPr>
        <w:pStyle w:val="Textoindependiente"/>
        <w:spacing w:line="276" w:lineRule="auto"/>
        <w:ind w:right="114"/>
        <w:jc w:val="both"/>
        <w:rPr>
          <w:rFonts w:ascii="Gadugi" w:hAnsi="Gadugi"/>
          <w:spacing w:val="1"/>
          <w:sz w:val="24"/>
          <w:szCs w:val="24"/>
        </w:rPr>
      </w:pPr>
      <w:r w:rsidRPr="005A3969">
        <w:rPr>
          <w:rFonts w:ascii="Gadugi" w:hAnsi="Gadugi"/>
          <w:sz w:val="24"/>
          <w:szCs w:val="24"/>
        </w:rPr>
        <w:t>En</w:t>
      </w:r>
      <w:r w:rsidRPr="005A3969">
        <w:rPr>
          <w:rFonts w:ascii="Gadugi" w:hAnsi="Gadugi"/>
          <w:spacing w:val="1"/>
          <w:sz w:val="24"/>
          <w:szCs w:val="24"/>
        </w:rPr>
        <w:t xml:space="preserve"> </w:t>
      </w:r>
      <w:r w:rsidRPr="005A3969">
        <w:rPr>
          <w:rFonts w:ascii="Gadugi" w:hAnsi="Gadugi"/>
          <w:sz w:val="24"/>
          <w:szCs w:val="24"/>
        </w:rPr>
        <w:t>el</w:t>
      </w:r>
      <w:r w:rsidRPr="005A3969">
        <w:rPr>
          <w:rFonts w:ascii="Gadugi" w:hAnsi="Gadugi"/>
          <w:spacing w:val="1"/>
          <w:sz w:val="24"/>
          <w:szCs w:val="24"/>
        </w:rPr>
        <w:t xml:space="preserve"> </w:t>
      </w:r>
      <w:r w:rsidRPr="005A3969">
        <w:rPr>
          <w:rFonts w:ascii="Gadugi" w:hAnsi="Gadugi"/>
          <w:sz w:val="24"/>
          <w:szCs w:val="24"/>
        </w:rPr>
        <w:t>referido</w:t>
      </w:r>
      <w:r w:rsidRPr="005A3969">
        <w:rPr>
          <w:rFonts w:ascii="Gadugi" w:hAnsi="Gadugi"/>
          <w:spacing w:val="1"/>
          <w:sz w:val="24"/>
          <w:szCs w:val="24"/>
        </w:rPr>
        <w:t xml:space="preserve"> </w:t>
      </w:r>
      <w:r w:rsidR="00B8613D" w:rsidRPr="005A3969">
        <w:rPr>
          <w:rFonts w:ascii="Gadugi" w:hAnsi="Gadugi"/>
          <w:spacing w:val="1"/>
          <w:sz w:val="24"/>
          <w:szCs w:val="24"/>
        </w:rPr>
        <w:t xml:space="preserve">proceso, </w:t>
      </w:r>
      <w:r w:rsidR="000D16DA" w:rsidRPr="005A3969">
        <w:rPr>
          <w:rFonts w:ascii="Gadugi" w:hAnsi="Gadugi"/>
          <w:spacing w:val="1"/>
          <w:sz w:val="24"/>
          <w:szCs w:val="24"/>
        </w:rPr>
        <w:t xml:space="preserve">se profirió la orden de seguir adelante la ejecución </w:t>
      </w:r>
      <w:r w:rsidR="00F44155" w:rsidRPr="005A3969">
        <w:rPr>
          <w:rFonts w:ascii="Gadugi" w:hAnsi="Gadugi"/>
          <w:spacing w:val="1"/>
          <w:sz w:val="24"/>
          <w:szCs w:val="24"/>
        </w:rPr>
        <w:t xml:space="preserve">el </w:t>
      </w:r>
      <w:r w:rsidR="00CA509A" w:rsidRPr="005A3969">
        <w:rPr>
          <w:rFonts w:ascii="Gadugi" w:hAnsi="Gadugi"/>
          <w:spacing w:val="1"/>
          <w:sz w:val="24"/>
          <w:szCs w:val="24"/>
        </w:rPr>
        <w:t>8 de mayo de 2017</w:t>
      </w:r>
      <w:r w:rsidR="00CA509A" w:rsidRPr="005A3969">
        <w:rPr>
          <w:rStyle w:val="Refdenotaalpie"/>
          <w:rFonts w:ascii="Gadugi" w:hAnsi="Gadugi"/>
          <w:spacing w:val="1"/>
          <w:sz w:val="24"/>
          <w:szCs w:val="24"/>
        </w:rPr>
        <w:footnoteReference w:id="4"/>
      </w:r>
      <w:r w:rsidR="007A2A6C" w:rsidRPr="005A3969">
        <w:rPr>
          <w:rFonts w:ascii="Gadugi" w:hAnsi="Gadugi"/>
          <w:spacing w:val="1"/>
          <w:sz w:val="24"/>
          <w:szCs w:val="24"/>
        </w:rPr>
        <w:t xml:space="preserve">. </w:t>
      </w:r>
      <w:r w:rsidR="00777458" w:rsidRPr="005A3969">
        <w:rPr>
          <w:rFonts w:ascii="Gadugi" w:hAnsi="Gadugi"/>
          <w:spacing w:val="1"/>
          <w:sz w:val="24"/>
          <w:szCs w:val="24"/>
        </w:rPr>
        <w:t xml:space="preserve">En auto del </w:t>
      </w:r>
      <w:r w:rsidR="00146AB3" w:rsidRPr="005A3969">
        <w:rPr>
          <w:rFonts w:ascii="Gadugi" w:hAnsi="Gadugi"/>
          <w:spacing w:val="1"/>
          <w:sz w:val="24"/>
          <w:szCs w:val="24"/>
        </w:rPr>
        <w:t>24 de julio de 2020</w:t>
      </w:r>
      <w:r w:rsidR="00146AB3" w:rsidRPr="005A3969">
        <w:rPr>
          <w:rStyle w:val="Refdenotaalpie"/>
          <w:rFonts w:ascii="Gadugi" w:hAnsi="Gadugi"/>
          <w:spacing w:val="1"/>
          <w:sz w:val="24"/>
          <w:szCs w:val="24"/>
        </w:rPr>
        <w:footnoteReference w:id="5"/>
      </w:r>
      <w:r w:rsidR="00146AB3" w:rsidRPr="005A3969">
        <w:rPr>
          <w:rFonts w:ascii="Gadugi" w:hAnsi="Gadugi"/>
          <w:spacing w:val="1"/>
          <w:sz w:val="24"/>
          <w:szCs w:val="24"/>
        </w:rPr>
        <w:t>, se dispuso la entrega de títulos a la cesionaria y al rematante, previa su solicitud, y se ordenó el fra</w:t>
      </w:r>
      <w:r w:rsidR="00FE6F81" w:rsidRPr="005A3969">
        <w:rPr>
          <w:rFonts w:ascii="Gadugi" w:hAnsi="Gadugi"/>
          <w:spacing w:val="1"/>
          <w:sz w:val="24"/>
          <w:szCs w:val="24"/>
        </w:rPr>
        <w:t xml:space="preserve">ccionamiento de unos títulos de depósito judicial. Luego, el </w:t>
      </w:r>
      <w:r w:rsidR="007A2A6C" w:rsidRPr="005A3969">
        <w:rPr>
          <w:rFonts w:ascii="Gadugi" w:hAnsi="Gadugi"/>
          <w:spacing w:val="1"/>
          <w:sz w:val="24"/>
          <w:szCs w:val="24"/>
        </w:rPr>
        <w:t>4 de octubre de 2021</w:t>
      </w:r>
      <w:r w:rsidR="0076715B" w:rsidRPr="005A3969">
        <w:rPr>
          <w:rStyle w:val="Refdenotaalpie"/>
          <w:rFonts w:ascii="Gadugi" w:hAnsi="Gadugi"/>
          <w:spacing w:val="1"/>
          <w:sz w:val="24"/>
          <w:szCs w:val="24"/>
        </w:rPr>
        <w:footnoteReference w:id="6"/>
      </w:r>
      <w:r w:rsidR="007A2A6C" w:rsidRPr="005A3969">
        <w:rPr>
          <w:rFonts w:ascii="Gadugi" w:hAnsi="Gadugi"/>
          <w:spacing w:val="1"/>
          <w:sz w:val="24"/>
          <w:szCs w:val="24"/>
        </w:rPr>
        <w:t xml:space="preserve">, </w:t>
      </w:r>
      <w:r w:rsidR="00FE6F81" w:rsidRPr="005A3969">
        <w:rPr>
          <w:rFonts w:ascii="Gadugi" w:hAnsi="Gadugi"/>
          <w:spacing w:val="1"/>
          <w:sz w:val="24"/>
          <w:szCs w:val="24"/>
        </w:rPr>
        <w:t xml:space="preserve">ante la solicitud de entrega de dineros por parte de Reintegra SAS, se negó esa petición y, en su lugar, </w:t>
      </w:r>
      <w:r w:rsidR="007A2A6C" w:rsidRPr="005A3969">
        <w:rPr>
          <w:rFonts w:ascii="Gadugi" w:hAnsi="Gadugi"/>
          <w:spacing w:val="1"/>
          <w:sz w:val="24"/>
          <w:szCs w:val="24"/>
        </w:rPr>
        <w:t xml:space="preserve">se ordenó </w:t>
      </w:r>
      <w:r w:rsidR="008C7687" w:rsidRPr="005A3969">
        <w:rPr>
          <w:rFonts w:ascii="Gadugi" w:hAnsi="Gadugi"/>
          <w:spacing w:val="1"/>
          <w:sz w:val="24"/>
          <w:szCs w:val="24"/>
        </w:rPr>
        <w:t xml:space="preserve">a los </w:t>
      </w:r>
      <w:r w:rsidR="00C25E64" w:rsidRPr="005A3969">
        <w:rPr>
          <w:rFonts w:ascii="Gadugi" w:hAnsi="Gadugi"/>
          <w:spacing w:val="1"/>
          <w:sz w:val="24"/>
          <w:szCs w:val="24"/>
        </w:rPr>
        <w:t xml:space="preserve">acreedores que allegaran las liquidaciones actualizadas de sus créditos, dentro de los 30 días siguientes, so pena de aplicar el desistimiento tácito. </w:t>
      </w:r>
      <w:r w:rsidR="003F3432" w:rsidRPr="005A3969">
        <w:rPr>
          <w:rFonts w:ascii="Gadugi" w:hAnsi="Gadugi"/>
          <w:spacing w:val="1"/>
          <w:sz w:val="24"/>
          <w:szCs w:val="24"/>
        </w:rPr>
        <w:t xml:space="preserve">Como no lo hicieron en ese término, </w:t>
      </w:r>
      <w:r w:rsidR="006E2252" w:rsidRPr="005A3969">
        <w:rPr>
          <w:rFonts w:ascii="Gadugi" w:hAnsi="Gadugi"/>
          <w:spacing w:val="1"/>
          <w:sz w:val="24"/>
          <w:szCs w:val="24"/>
        </w:rPr>
        <w:t xml:space="preserve">con providencia del 22 de marzo de 2022, se le puso fin a la actuación, con fundamento en el numeral 1 del artículo 317 </w:t>
      </w:r>
      <w:r w:rsidR="00AA15F3" w:rsidRPr="005A3969">
        <w:rPr>
          <w:rFonts w:ascii="Gadugi" w:hAnsi="Gadugi"/>
          <w:spacing w:val="1"/>
          <w:sz w:val="24"/>
          <w:szCs w:val="24"/>
        </w:rPr>
        <w:t xml:space="preserve">citado. </w:t>
      </w:r>
    </w:p>
    <w:p w14:paraId="3A0C5A3C" w14:textId="77777777" w:rsidR="00AA15F3" w:rsidRPr="005A3969" w:rsidRDefault="00AA15F3" w:rsidP="005A3969">
      <w:pPr>
        <w:pStyle w:val="Textoindependiente"/>
        <w:spacing w:line="276" w:lineRule="auto"/>
        <w:ind w:right="114"/>
        <w:jc w:val="both"/>
        <w:rPr>
          <w:rFonts w:ascii="Gadugi" w:hAnsi="Gadugi"/>
          <w:spacing w:val="1"/>
          <w:sz w:val="24"/>
          <w:szCs w:val="24"/>
        </w:rPr>
      </w:pPr>
    </w:p>
    <w:p w14:paraId="25688EDA" w14:textId="73FD278A" w:rsidR="00493F0A" w:rsidRPr="005A3969" w:rsidRDefault="00FB6B08" w:rsidP="005A3969">
      <w:pPr>
        <w:pStyle w:val="Textoindependiente"/>
        <w:spacing w:line="276" w:lineRule="auto"/>
        <w:ind w:right="114"/>
        <w:jc w:val="both"/>
        <w:rPr>
          <w:rFonts w:ascii="Gadugi" w:hAnsi="Gadugi"/>
          <w:spacing w:val="1"/>
          <w:sz w:val="24"/>
          <w:szCs w:val="24"/>
        </w:rPr>
      </w:pPr>
      <w:r w:rsidRPr="005A3969">
        <w:rPr>
          <w:rFonts w:ascii="Gadugi" w:hAnsi="Gadugi"/>
          <w:spacing w:val="1"/>
          <w:sz w:val="24"/>
          <w:szCs w:val="24"/>
        </w:rPr>
        <w:t xml:space="preserve">Durante ese lapso, </w:t>
      </w:r>
      <w:r w:rsidR="000D403E" w:rsidRPr="005A3969">
        <w:rPr>
          <w:rFonts w:ascii="Gadugi" w:hAnsi="Gadugi"/>
          <w:spacing w:val="1"/>
          <w:sz w:val="24"/>
          <w:szCs w:val="24"/>
        </w:rPr>
        <w:t xml:space="preserve">se allegó un poder otorgado por la Central de Inversiones SA, por lo que </w:t>
      </w:r>
      <w:r w:rsidR="00C57224" w:rsidRPr="005A3969">
        <w:rPr>
          <w:rFonts w:ascii="Gadugi" w:hAnsi="Gadugi"/>
          <w:spacing w:val="1"/>
          <w:sz w:val="24"/>
          <w:szCs w:val="24"/>
        </w:rPr>
        <w:t xml:space="preserve">el 1 de diciembre de 2021, se reconoció personería y nuevamente se hizo el requerimiento para </w:t>
      </w:r>
      <w:r w:rsidR="000451FB" w:rsidRPr="005A3969">
        <w:rPr>
          <w:rFonts w:ascii="Gadugi" w:hAnsi="Gadugi"/>
          <w:spacing w:val="1"/>
          <w:sz w:val="24"/>
          <w:szCs w:val="24"/>
        </w:rPr>
        <w:t>aportar las liquidaciones</w:t>
      </w:r>
      <w:r w:rsidR="00230402" w:rsidRPr="005A3969">
        <w:rPr>
          <w:rStyle w:val="Refdenotaalpie"/>
          <w:rFonts w:ascii="Gadugi" w:hAnsi="Gadugi"/>
          <w:spacing w:val="1"/>
          <w:sz w:val="24"/>
          <w:szCs w:val="24"/>
        </w:rPr>
        <w:footnoteReference w:id="7"/>
      </w:r>
      <w:r w:rsidR="000451FB" w:rsidRPr="005A3969">
        <w:rPr>
          <w:rFonts w:ascii="Gadugi" w:hAnsi="Gadugi"/>
          <w:spacing w:val="1"/>
          <w:sz w:val="24"/>
          <w:szCs w:val="24"/>
        </w:rPr>
        <w:t xml:space="preserve">. </w:t>
      </w:r>
    </w:p>
    <w:p w14:paraId="58660739" w14:textId="77777777" w:rsidR="00D03C6A" w:rsidRPr="005A3969" w:rsidRDefault="00D03C6A" w:rsidP="005A3969">
      <w:pPr>
        <w:pStyle w:val="Textoindependiente"/>
        <w:spacing w:line="276" w:lineRule="auto"/>
        <w:ind w:right="114"/>
        <w:jc w:val="both"/>
        <w:rPr>
          <w:rFonts w:ascii="Gadugi" w:hAnsi="Gadugi"/>
          <w:spacing w:val="1"/>
          <w:sz w:val="24"/>
          <w:szCs w:val="24"/>
        </w:rPr>
      </w:pPr>
    </w:p>
    <w:p w14:paraId="2A3E192B" w14:textId="0159AB1B" w:rsidR="00FA30FB" w:rsidRPr="005A3969" w:rsidRDefault="00D03C6A" w:rsidP="005A3969">
      <w:pPr>
        <w:pStyle w:val="Textoindependiente"/>
        <w:spacing w:line="276" w:lineRule="auto"/>
        <w:ind w:right="114"/>
        <w:jc w:val="both"/>
        <w:rPr>
          <w:rFonts w:ascii="Gadugi" w:hAnsi="Gadugi"/>
          <w:spacing w:val="1"/>
          <w:sz w:val="24"/>
          <w:szCs w:val="24"/>
        </w:rPr>
      </w:pPr>
      <w:r w:rsidRPr="005A3969">
        <w:rPr>
          <w:rFonts w:ascii="Gadugi" w:hAnsi="Gadugi"/>
          <w:spacing w:val="1"/>
          <w:sz w:val="24"/>
          <w:szCs w:val="24"/>
        </w:rPr>
        <w:t xml:space="preserve">El asesor judicial de </w:t>
      </w:r>
      <w:r w:rsidR="00167FD8" w:rsidRPr="005A3969">
        <w:rPr>
          <w:rFonts w:ascii="Gadugi" w:hAnsi="Gadugi"/>
          <w:spacing w:val="1"/>
          <w:sz w:val="24"/>
          <w:szCs w:val="24"/>
        </w:rPr>
        <w:t>esta entidad envió la liquidación pertinente, el 17 de marzo de 2022</w:t>
      </w:r>
      <w:r w:rsidR="0052634A" w:rsidRPr="005A3969">
        <w:rPr>
          <w:rStyle w:val="Refdenotaalpie"/>
          <w:rFonts w:ascii="Gadugi" w:hAnsi="Gadugi"/>
          <w:spacing w:val="1"/>
          <w:sz w:val="24"/>
          <w:szCs w:val="24"/>
        </w:rPr>
        <w:footnoteReference w:id="8"/>
      </w:r>
      <w:r w:rsidR="00BF1B0D" w:rsidRPr="005A3969">
        <w:rPr>
          <w:rFonts w:ascii="Gadugi" w:hAnsi="Gadugi"/>
          <w:spacing w:val="1"/>
          <w:sz w:val="24"/>
          <w:szCs w:val="24"/>
        </w:rPr>
        <w:t xml:space="preserve"> y recibió como respuesta la terminación del proceso por incumplir la orden </w:t>
      </w:r>
      <w:r w:rsidR="003D075F" w:rsidRPr="005A3969">
        <w:rPr>
          <w:rFonts w:ascii="Gadugi" w:hAnsi="Gadugi"/>
          <w:spacing w:val="1"/>
          <w:sz w:val="24"/>
          <w:szCs w:val="24"/>
        </w:rPr>
        <w:t>en el término señalado</w:t>
      </w:r>
      <w:r w:rsidR="00FA30FB" w:rsidRPr="005A3969">
        <w:rPr>
          <w:rFonts w:ascii="Gadugi" w:hAnsi="Gadugi"/>
          <w:spacing w:val="1"/>
          <w:sz w:val="24"/>
          <w:szCs w:val="24"/>
        </w:rPr>
        <w:t>, según auto del 22 de marzo de 2022</w:t>
      </w:r>
      <w:r w:rsidR="009E65A4" w:rsidRPr="005A3969">
        <w:rPr>
          <w:rStyle w:val="Refdenotaalpie"/>
          <w:rFonts w:ascii="Gadugi" w:hAnsi="Gadugi"/>
          <w:spacing w:val="1"/>
          <w:sz w:val="24"/>
          <w:szCs w:val="24"/>
        </w:rPr>
        <w:footnoteReference w:id="9"/>
      </w:r>
      <w:r w:rsidR="00FA30FB" w:rsidRPr="005A3969">
        <w:rPr>
          <w:rFonts w:ascii="Gadugi" w:hAnsi="Gadugi"/>
          <w:spacing w:val="1"/>
          <w:sz w:val="24"/>
          <w:szCs w:val="24"/>
        </w:rPr>
        <w:t xml:space="preserve">. </w:t>
      </w:r>
    </w:p>
    <w:p w14:paraId="742C7211" w14:textId="77777777" w:rsidR="00FA30FB" w:rsidRPr="005A3969" w:rsidRDefault="00FA30FB" w:rsidP="005A3969">
      <w:pPr>
        <w:pStyle w:val="Textoindependiente"/>
        <w:spacing w:line="276" w:lineRule="auto"/>
        <w:ind w:right="114"/>
        <w:jc w:val="both"/>
        <w:rPr>
          <w:rFonts w:ascii="Gadugi" w:hAnsi="Gadugi"/>
          <w:spacing w:val="1"/>
          <w:sz w:val="24"/>
          <w:szCs w:val="24"/>
        </w:rPr>
      </w:pPr>
    </w:p>
    <w:p w14:paraId="5B41789A" w14:textId="7063C1FD" w:rsidR="00B107E7" w:rsidRPr="005A3969" w:rsidRDefault="003509CA" w:rsidP="005A3969">
      <w:pPr>
        <w:pStyle w:val="Textoindependiente"/>
        <w:spacing w:line="276" w:lineRule="auto"/>
        <w:ind w:right="114"/>
        <w:jc w:val="both"/>
        <w:rPr>
          <w:rFonts w:ascii="Gadugi" w:hAnsi="Gadugi"/>
          <w:spacing w:val="1"/>
          <w:sz w:val="24"/>
          <w:szCs w:val="24"/>
        </w:rPr>
      </w:pPr>
      <w:r w:rsidRPr="005A3969">
        <w:rPr>
          <w:rFonts w:ascii="Gadugi" w:hAnsi="Gadugi"/>
          <w:spacing w:val="1"/>
          <w:sz w:val="24"/>
          <w:szCs w:val="24"/>
        </w:rPr>
        <w:t>Recurrió en reposición y, en subsidio, apelación, la apoderada de Reintegra SA</w:t>
      </w:r>
      <w:r w:rsidR="00A54731" w:rsidRPr="005A3969">
        <w:rPr>
          <w:rFonts w:ascii="Gadugi" w:hAnsi="Gadugi"/>
          <w:spacing w:val="1"/>
          <w:sz w:val="24"/>
          <w:szCs w:val="24"/>
        </w:rPr>
        <w:t>S</w:t>
      </w:r>
      <w:r w:rsidRPr="005A3969">
        <w:rPr>
          <w:rFonts w:ascii="Gadugi" w:hAnsi="Gadugi"/>
          <w:spacing w:val="1"/>
          <w:sz w:val="24"/>
          <w:szCs w:val="24"/>
        </w:rPr>
        <w:t xml:space="preserve">. Sostuvo que </w:t>
      </w:r>
      <w:r w:rsidR="001D5DD6" w:rsidRPr="005A3969">
        <w:rPr>
          <w:rFonts w:ascii="Gadugi" w:hAnsi="Gadugi"/>
          <w:spacing w:val="1"/>
          <w:sz w:val="24"/>
          <w:szCs w:val="24"/>
        </w:rPr>
        <w:t xml:space="preserve">(i) la terminación no se ordenó respecto de ella; </w:t>
      </w:r>
      <w:r w:rsidR="00895BA5" w:rsidRPr="005A3969">
        <w:rPr>
          <w:rFonts w:ascii="Gadugi" w:hAnsi="Gadugi"/>
          <w:spacing w:val="1"/>
          <w:sz w:val="24"/>
          <w:szCs w:val="24"/>
        </w:rPr>
        <w:t xml:space="preserve">(ii) la </w:t>
      </w:r>
      <w:r w:rsidR="00EE7218" w:rsidRPr="005A3969">
        <w:rPr>
          <w:rFonts w:ascii="Gadugi" w:hAnsi="Gadugi"/>
          <w:spacing w:val="1"/>
          <w:sz w:val="24"/>
          <w:szCs w:val="24"/>
        </w:rPr>
        <w:t xml:space="preserve">inactividad se debe predicar del juzgado, que ordenó la entrega de unos títulos y no lo ha hecho; </w:t>
      </w:r>
      <w:r w:rsidR="001D5DD6" w:rsidRPr="005A3969">
        <w:rPr>
          <w:rFonts w:ascii="Gadugi" w:hAnsi="Gadugi"/>
          <w:spacing w:val="1"/>
          <w:sz w:val="24"/>
          <w:szCs w:val="24"/>
        </w:rPr>
        <w:t>y (ii</w:t>
      </w:r>
      <w:r w:rsidR="00EE7218" w:rsidRPr="005A3969">
        <w:rPr>
          <w:rFonts w:ascii="Gadugi" w:hAnsi="Gadugi"/>
          <w:spacing w:val="1"/>
          <w:sz w:val="24"/>
          <w:szCs w:val="24"/>
        </w:rPr>
        <w:t>i</w:t>
      </w:r>
      <w:r w:rsidR="001D5DD6" w:rsidRPr="005A3969">
        <w:rPr>
          <w:rFonts w:ascii="Gadugi" w:hAnsi="Gadugi"/>
          <w:spacing w:val="1"/>
          <w:sz w:val="24"/>
          <w:szCs w:val="24"/>
        </w:rPr>
        <w:t xml:space="preserve">) el juzgado </w:t>
      </w:r>
      <w:r w:rsidR="000F3893" w:rsidRPr="005A3969">
        <w:rPr>
          <w:rFonts w:ascii="Gadugi" w:hAnsi="Gadugi"/>
          <w:spacing w:val="1"/>
          <w:sz w:val="24"/>
          <w:szCs w:val="24"/>
        </w:rPr>
        <w:t xml:space="preserve">erró al terminar el proceso con fundamento en el numeral 1 del artículo 317, pues el asunto ya tiene orden de seguir adelante la ejecución y, por tanto, </w:t>
      </w:r>
      <w:r w:rsidR="00895BA5" w:rsidRPr="005A3969">
        <w:rPr>
          <w:rFonts w:ascii="Gadugi" w:hAnsi="Gadugi"/>
          <w:spacing w:val="1"/>
          <w:sz w:val="24"/>
          <w:szCs w:val="24"/>
        </w:rPr>
        <w:t xml:space="preserve">el presupuesto es que haya inactividad por más de dos años, lo que no aconteció aquí, pues </w:t>
      </w:r>
      <w:r w:rsidR="006D31E4" w:rsidRPr="005A3969">
        <w:rPr>
          <w:rFonts w:ascii="Gadugi" w:hAnsi="Gadugi"/>
          <w:spacing w:val="1"/>
          <w:sz w:val="24"/>
          <w:szCs w:val="24"/>
        </w:rPr>
        <w:t xml:space="preserve">la última actuación data del 4 de octubre de 2021. </w:t>
      </w:r>
    </w:p>
    <w:p w14:paraId="503FE35F" w14:textId="77777777" w:rsidR="00B107E7" w:rsidRPr="005A3969" w:rsidRDefault="00B107E7" w:rsidP="005A3969">
      <w:pPr>
        <w:pStyle w:val="Textoindependiente"/>
        <w:spacing w:line="276" w:lineRule="auto"/>
        <w:ind w:right="114"/>
        <w:jc w:val="both"/>
        <w:rPr>
          <w:rFonts w:ascii="Gadugi" w:hAnsi="Gadugi"/>
          <w:spacing w:val="1"/>
          <w:sz w:val="24"/>
          <w:szCs w:val="24"/>
        </w:rPr>
      </w:pPr>
    </w:p>
    <w:p w14:paraId="50F0A58D" w14:textId="222020AF" w:rsidR="00C20139" w:rsidRPr="005A3969" w:rsidRDefault="00B107E7" w:rsidP="005A3969">
      <w:pPr>
        <w:pStyle w:val="Textoindependiente"/>
        <w:spacing w:line="276" w:lineRule="auto"/>
        <w:ind w:right="114"/>
        <w:jc w:val="both"/>
        <w:rPr>
          <w:rFonts w:ascii="Gadugi" w:hAnsi="Gadugi"/>
          <w:spacing w:val="1"/>
          <w:sz w:val="24"/>
          <w:szCs w:val="24"/>
        </w:rPr>
      </w:pPr>
      <w:r w:rsidRPr="005A3969">
        <w:rPr>
          <w:rFonts w:ascii="Gadugi" w:hAnsi="Gadugi"/>
          <w:spacing w:val="1"/>
          <w:sz w:val="24"/>
          <w:szCs w:val="24"/>
        </w:rPr>
        <w:lastRenderedPageBreak/>
        <w:t>También CISA replicó el auto</w:t>
      </w:r>
      <w:r w:rsidR="00F16868" w:rsidRPr="005A3969">
        <w:rPr>
          <w:rFonts w:ascii="Gadugi" w:hAnsi="Gadugi"/>
          <w:spacing w:val="1"/>
          <w:sz w:val="24"/>
          <w:szCs w:val="24"/>
        </w:rPr>
        <w:t xml:space="preserve">. Manifestó </w:t>
      </w:r>
      <w:r w:rsidR="00F16868" w:rsidRPr="005A3969">
        <w:rPr>
          <w:rFonts w:ascii="Gadugi" w:hAnsi="Gadugi"/>
          <w:i/>
          <w:iCs/>
          <w:spacing w:val="1"/>
          <w:sz w:val="24"/>
          <w:szCs w:val="24"/>
        </w:rPr>
        <w:t xml:space="preserve">“su inconformidad” </w:t>
      </w:r>
      <w:r w:rsidR="00F16868" w:rsidRPr="005A3969">
        <w:rPr>
          <w:rFonts w:ascii="Gadugi" w:hAnsi="Gadugi"/>
          <w:spacing w:val="1"/>
          <w:sz w:val="24"/>
          <w:szCs w:val="24"/>
        </w:rPr>
        <w:t xml:space="preserve">sin precisar qué recurso interponía, y adujo que </w:t>
      </w:r>
      <w:r w:rsidR="0027736D" w:rsidRPr="005A3969">
        <w:rPr>
          <w:rFonts w:ascii="Gadugi" w:hAnsi="Gadugi"/>
          <w:spacing w:val="1"/>
          <w:sz w:val="24"/>
          <w:szCs w:val="24"/>
        </w:rPr>
        <w:t xml:space="preserve">el mismo juzgado incumplió el auto que previno sobre </w:t>
      </w:r>
      <w:r w:rsidR="00390D69" w:rsidRPr="005A3969">
        <w:rPr>
          <w:rFonts w:ascii="Gadugi" w:hAnsi="Gadugi"/>
          <w:spacing w:val="1"/>
          <w:sz w:val="24"/>
          <w:szCs w:val="24"/>
        </w:rPr>
        <w:t xml:space="preserve">el desistimiento tácito, pues antes de que ello ocurriera, la parte presentó la liquidación del crédito y no obtuvo respuesta sobe ella. </w:t>
      </w:r>
      <w:r w:rsidR="005B6FBE" w:rsidRPr="005A3969">
        <w:rPr>
          <w:rFonts w:ascii="Gadugi" w:hAnsi="Gadugi"/>
          <w:spacing w:val="1"/>
          <w:sz w:val="24"/>
          <w:szCs w:val="24"/>
        </w:rPr>
        <w:t xml:space="preserve">Pidió, entonces, que se </w:t>
      </w:r>
      <w:r w:rsidR="005B6FBE" w:rsidRPr="005A3969">
        <w:rPr>
          <w:rFonts w:ascii="Gadugi" w:hAnsi="Gadugi"/>
          <w:i/>
          <w:iCs/>
          <w:spacing w:val="1"/>
          <w:sz w:val="24"/>
          <w:szCs w:val="24"/>
        </w:rPr>
        <w:t>“…</w:t>
      </w:r>
      <w:r w:rsidR="00AC4584">
        <w:rPr>
          <w:rFonts w:ascii="Gadugi" w:hAnsi="Gadugi"/>
          <w:i/>
          <w:iCs/>
          <w:spacing w:val="1"/>
          <w:sz w:val="24"/>
          <w:szCs w:val="24"/>
        </w:rPr>
        <w:t xml:space="preserve"> </w:t>
      </w:r>
      <w:r w:rsidR="005B6FBE" w:rsidRPr="005A3969">
        <w:rPr>
          <w:rFonts w:ascii="Gadugi" w:hAnsi="Gadugi"/>
          <w:i/>
          <w:iCs/>
          <w:spacing w:val="1"/>
          <w:sz w:val="24"/>
          <w:szCs w:val="24"/>
        </w:rPr>
        <w:t>deje sin valor el auto</w:t>
      </w:r>
      <w:r w:rsidR="00C20139" w:rsidRPr="005A3969">
        <w:rPr>
          <w:rFonts w:ascii="Gadugi" w:hAnsi="Gadugi"/>
          <w:i/>
          <w:iCs/>
          <w:spacing w:val="1"/>
          <w:sz w:val="24"/>
          <w:szCs w:val="24"/>
        </w:rPr>
        <w:t>…”</w:t>
      </w:r>
      <w:r w:rsidR="00C20139" w:rsidRPr="005A3969">
        <w:rPr>
          <w:rFonts w:ascii="Gadugi" w:hAnsi="Gadugi"/>
          <w:spacing w:val="1"/>
          <w:sz w:val="24"/>
          <w:szCs w:val="24"/>
        </w:rPr>
        <w:t>.</w:t>
      </w:r>
    </w:p>
    <w:p w14:paraId="541E2B77" w14:textId="77777777" w:rsidR="00C20139" w:rsidRPr="005A3969" w:rsidRDefault="00C20139" w:rsidP="005A3969">
      <w:pPr>
        <w:pStyle w:val="Textoindependiente"/>
        <w:spacing w:line="276" w:lineRule="auto"/>
        <w:ind w:right="114"/>
        <w:jc w:val="both"/>
        <w:rPr>
          <w:rFonts w:ascii="Gadugi" w:hAnsi="Gadugi"/>
          <w:spacing w:val="1"/>
          <w:sz w:val="24"/>
          <w:szCs w:val="24"/>
        </w:rPr>
      </w:pPr>
    </w:p>
    <w:p w14:paraId="49F99AF3" w14:textId="2D1C3900" w:rsidR="00667995" w:rsidRPr="005A3969" w:rsidRDefault="00667995" w:rsidP="005A3969">
      <w:pPr>
        <w:pStyle w:val="Textoindependiente"/>
        <w:spacing w:line="276" w:lineRule="auto"/>
        <w:ind w:right="114"/>
        <w:jc w:val="both"/>
        <w:rPr>
          <w:rFonts w:ascii="Gadugi" w:hAnsi="Gadugi"/>
          <w:spacing w:val="1"/>
          <w:sz w:val="24"/>
          <w:szCs w:val="24"/>
        </w:rPr>
      </w:pPr>
      <w:r w:rsidRPr="005A3969">
        <w:rPr>
          <w:rFonts w:ascii="Gadugi" w:hAnsi="Gadugi"/>
          <w:spacing w:val="1"/>
          <w:sz w:val="24"/>
          <w:szCs w:val="24"/>
        </w:rPr>
        <w:t>El 30 de enero</w:t>
      </w:r>
      <w:r w:rsidR="00F45A97" w:rsidRPr="005A3969">
        <w:rPr>
          <w:rFonts w:ascii="Gadugi" w:hAnsi="Gadugi"/>
          <w:spacing w:val="1"/>
          <w:sz w:val="24"/>
          <w:szCs w:val="24"/>
        </w:rPr>
        <w:t xml:space="preserve"> de 2023</w:t>
      </w:r>
      <w:r w:rsidR="00F45A97" w:rsidRPr="005A3969">
        <w:rPr>
          <w:rStyle w:val="Refdenotaalpie"/>
          <w:rFonts w:ascii="Gadugi" w:hAnsi="Gadugi"/>
          <w:spacing w:val="1"/>
          <w:sz w:val="24"/>
          <w:szCs w:val="24"/>
        </w:rPr>
        <w:footnoteReference w:id="10"/>
      </w:r>
      <w:r w:rsidR="00F45A97" w:rsidRPr="005A3969">
        <w:rPr>
          <w:rFonts w:ascii="Gadugi" w:hAnsi="Gadugi"/>
          <w:spacing w:val="1"/>
          <w:sz w:val="24"/>
          <w:szCs w:val="24"/>
        </w:rPr>
        <w:t>, se resolvi</w:t>
      </w:r>
      <w:r w:rsidR="006C036E" w:rsidRPr="005A3969">
        <w:rPr>
          <w:rFonts w:ascii="Gadugi" w:hAnsi="Gadugi"/>
          <w:spacing w:val="1"/>
          <w:sz w:val="24"/>
          <w:szCs w:val="24"/>
        </w:rPr>
        <w:t xml:space="preserve">eron </w:t>
      </w:r>
      <w:r w:rsidR="006C036E" w:rsidRPr="005A3969">
        <w:rPr>
          <w:rFonts w:ascii="Gadugi" w:hAnsi="Gadugi"/>
          <w:i/>
          <w:iCs/>
          <w:spacing w:val="1"/>
          <w:sz w:val="24"/>
          <w:szCs w:val="24"/>
        </w:rPr>
        <w:t>“los recursos de reposición y en subsidio apelación</w:t>
      </w:r>
      <w:r w:rsidR="004F320C" w:rsidRPr="005A3969">
        <w:rPr>
          <w:rFonts w:ascii="Gadugi" w:hAnsi="Gadugi"/>
          <w:i/>
          <w:iCs/>
          <w:spacing w:val="1"/>
          <w:sz w:val="24"/>
          <w:szCs w:val="24"/>
        </w:rPr>
        <w:t>, interpuestos por las sociedades”</w:t>
      </w:r>
      <w:r w:rsidR="001C0876" w:rsidRPr="005A3969">
        <w:rPr>
          <w:rFonts w:ascii="Gadugi" w:hAnsi="Gadugi"/>
          <w:spacing w:val="1"/>
          <w:sz w:val="24"/>
          <w:szCs w:val="24"/>
        </w:rPr>
        <w:t xml:space="preserve"> de manera desfavorable, ya que, </w:t>
      </w:r>
      <w:r w:rsidR="003D5BF2" w:rsidRPr="005A3969">
        <w:rPr>
          <w:rFonts w:ascii="Gadugi" w:hAnsi="Gadugi"/>
          <w:spacing w:val="1"/>
          <w:sz w:val="24"/>
          <w:szCs w:val="24"/>
        </w:rPr>
        <w:t xml:space="preserve">para el caso de </w:t>
      </w:r>
      <w:proofErr w:type="spellStart"/>
      <w:r w:rsidR="003D5BF2" w:rsidRPr="005A3969">
        <w:rPr>
          <w:rFonts w:ascii="Gadugi" w:hAnsi="Gadugi"/>
          <w:spacing w:val="1"/>
          <w:sz w:val="24"/>
          <w:szCs w:val="24"/>
        </w:rPr>
        <w:t>Reintregra</w:t>
      </w:r>
      <w:proofErr w:type="spellEnd"/>
      <w:r w:rsidR="003D5BF2" w:rsidRPr="005A3969">
        <w:rPr>
          <w:rFonts w:ascii="Gadugi" w:hAnsi="Gadugi"/>
          <w:spacing w:val="1"/>
          <w:sz w:val="24"/>
          <w:szCs w:val="24"/>
        </w:rPr>
        <w:t xml:space="preserve"> SAS, </w:t>
      </w:r>
      <w:r w:rsidR="00633223" w:rsidRPr="005A3969">
        <w:rPr>
          <w:rFonts w:ascii="Gadugi" w:hAnsi="Gadugi"/>
          <w:spacing w:val="1"/>
          <w:sz w:val="24"/>
          <w:szCs w:val="24"/>
        </w:rPr>
        <w:t>insistió el juzgado en que el desistimiento t</w:t>
      </w:r>
      <w:r w:rsidR="00753DC1" w:rsidRPr="005A3969">
        <w:rPr>
          <w:rFonts w:ascii="Gadugi" w:hAnsi="Gadugi"/>
          <w:spacing w:val="1"/>
          <w:sz w:val="24"/>
          <w:szCs w:val="24"/>
        </w:rPr>
        <w:t>ácito en el presente asunto vino como consecuencia del requerimiento que se hizo en los términos del numeral 1 del artículo 317</w:t>
      </w:r>
      <w:r w:rsidR="00D23A4B" w:rsidRPr="005A3969">
        <w:rPr>
          <w:rFonts w:ascii="Gadugi" w:hAnsi="Gadugi"/>
          <w:spacing w:val="1"/>
          <w:sz w:val="24"/>
          <w:szCs w:val="24"/>
        </w:rPr>
        <w:t>, que es distinto al término señalado en el numeral 2 de esa norma. Y en lo que concierne a CISA, dijo que</w:t>
      </w:r>
      <w:r w:rsidR="00B965CD" w:rsidRPr="005A3969">
        <w:rPr>
          <w:rFonts w:ascii="Gadugi" w:hAnsi="Gadugi"/>
          <w:spacing w:val="1"/>
          <w:sz w:val="24"/>
          <w:szCs w:val="24"/>
        </w:rPr>
        <w:t>,</w:t>
      </w:r>
      <w:r w:rsidR="00D23A4B" w:rsidRPr="005A3969">
        <w:rPr>
          <w:rFonts w:ascii="Gadugi" w:hAnsi="Gadugi"/>
          <w:spacing w:val="1"/>
          <w:sz w:val="24"/>
          <w:szCs w:val="24"/>
        </w:rPr>
        <w:t xml:space="preserve"> su entendido recurso de reposición</w:t>
      </w:r>
      <w:r w:rsidR="00B965CD" w:rsidRPr="005A3969">
        <w:rPr>
          <w:rFonts w:ascii="Gadugi" w:hAnsi="Gadugi"/>
          <w:spacing w:val="1"/>
          <w:sz w:val="24"/>
          <w:szCs w:val="24"/>
        </w:rPr>
        <w:t>,</w:t>
      </w:r>
      <w:r w:rsidR="00D23A4B" w:rsidRPr="005A3969">
        <w:rPr>
          <w:rFonts w:ascii="Gadugi" w:hAnsi="Gadugi"/>
          <w:spacing w:val="1"/>
          <w:sz w:val="24"/>
          <w:szCs w:val="24"/>
        </w:rPr>
        <w:t xml:space="preserve"> fue extemporáneo. </w:t>
      </w:r>
    </w:p>
    <w:p w14:paraId="6D4AD783" w14:textId="77777777" w:rsidR="00D23A4B" w:rsidRPr="005A3969" w:rsidRDefault="00D23A4B" w:rsidP="005A3969">
      <w:pPr>
        <w:pStyle w:val="Textoindependiente"/>
        <w:spacing w:line="276" w:lineRule="auto"/>
        <w:ind w:right="114"/>
        <w:jc w:val="both"/>
        <w:rPr>
          <w:rFonts w:ascii="Gadugi" w:hAnsi="Gadugi"/>
          <w:spacing w:val="1"/>
          <w:sz w:val="24"/>
          <w:szCs w:val="24"/>
        </w:rPr>
      </w:pPr>
    </w:p>
    <w:p w14:paraId="4410F008" w14:textId="15406F83" w:rsidR="00D23A4B" w:rsidRPr="005A3969" w:rsidRDefault="00D23A4B" w:rsidP="005A3969">
      <w:pPr>
        <w:pStyle w:val="Textoindependiente"/>
        <w:spacing w:line="276" w:lineRule="auto"/>
        <w:ind w:right="114"/>
        <w:jc w:val="both"/>
        <w:rPr>
          <w:rFonts w:ascii="Gadugi" w:hAnsi="Gadugi"/>
          <w:spacing w:val="1"/>
          <w:sz w:val="24"/>
          <w:szCs w:val="24"/>
        </w:rPr>
      </w:pPr>
      <w:r w:rsidRPr="005A3969">
        <w:rPr>
          <w:rFonts w:ascii="Gadugi" w:hAnsi="Gadugi"/>
          <w:spacing w:val="1"/>
          <w:sz w:val="24"/>
          <w:szCs w:val="24"/>
        </w:rPr>
        <w:t xml:space="preserve">Concedió, en consecuencia, </w:t>
      </w:r>
      <w:r w:rsidR="00917CB6" w:rsidRPr="005A3969">
        <w:rPr>
          <w:rFonts w:ascii="Gadugi" w:hAnsi="Gadugi"/>
          <w:spacing w:val="1"/>
          <w:sz w:val="24"/>
          <w:szCs w:val="24"/>
        </w:rPr>
        <w:t xml:space="preserve">la alzada propuesta por Reintegra SAS. </w:t>
      </w:r>
      <w:r w:rsidR="00AF1628" w:rsidRPr="005A3969">
        <w:rPr>
          <w:rFonts w:ascii="Gadugi" w:hAnsi="Gadugi"/>
          <w:spacing w:val="1"/>
          <w:sz w:val="24"/>
          <w:szCs w:val="24"/>
        </w:rPr>
        <w:t xml:space="preserve">Fue remitida a esta sede el 16 de mayo de 2023. </w:t>
      </w:r>
    </w:p>
    <w:p w14:paraId="07F53E65" w14:textId="3B0BF0B5" w:rsidR="00BD4F0D" w:rsidRPr="005A3969" w:rsidRDefault="00BD4F0D" w:rsidP="005A3969">
      <w:pPr>
        <w:pStyle w:val="Textoindependiente"/>
        <w:spacing w:line="276" w:lineRule="auto"/>
        <w:ind w:right="114"/>
        <w:jc w:val="both"/>
        <w:rPr>
          <w:rFonts w:ascii="Gadugi" w:hAnsi="Gadugi"/>
          <w:spacing w:val="1"/>
          <w:sz w:val="24"/>
          <w:szCs w:val="24"/>
        </w:rPr>
      </w:pPr>
      <w:r w:rsidRPr="005A3969">
        <w:rPr>
          <w:rFonts w:ascii="Gadugi" w:hAnsi="Gadugi"/>
          <w:spacing w:val="1"/>
          <w:sz w:val="24"/>
          <w:szCs w:val="24"/>
        </w:rPr>
        <w:t xml:space="preserve"> </w:t>
      </w:r>
    </w:p>
    <w:p w14:paraId="1FAEA06D" w14:textId="44F68000" w:rsidR="00FD0FCD" w:rsidRPr="005A3969" w:rsidRDefault="00AF1628" w:rsidP="005A3969">
      <w:pPr>
        <w:pStyle w:val="Textoindependiente"/>
        <w:spacing w:line="276" w:lineRule="auto"/>
        <w:ind w:right="114"/>
        <w:jc w:val="both"/>
        <w:rPr>
          <w:rFonts w:ascii="Gadugi" w:hAnsi="Gadugi"/>
          <w:sz w:val="24"/>
          <w:szCs w:val="24"/>
        </w:rPr>
      </w:pPr>
      <w:r w:rsidRPr="005A3969">
        <w:rPr>
          <w:rFonts w:ascii="Gadugi" w:hAnsi="Gadugi"/>
          <w:spacing w:val="1"/>
          <w:sz w:val="24"/>
          <w:szCs w:val="24"/>
        </w:rPr>
        <w:t xml:space="preserve">2. </w:t>
      </w:r>
      <w:r w:rsidR="00F24738" w:rsidRPr="005A3969">
        <w:rPr>
          <w:rFonts w:ascii="Gadugi" w:hAnsi="Gadugi"/>
          <w:b/>
          <w:bCs/>
          <w:sz w:val="24"/>
          <w:szCs w:val="24"/>
        </w:rPr>
        <w:t>C</w:t>
      </w:r>
      <w:r w:rsidR="00143BB8" w:rsidRPr="005A3969">
        <w:rPr>
          <w:rFonts w:ascii="Gadugi" w:hAnsi="Gadugi"/>
          <w:b/>
          <w:bCs/>
          <w:sz w:val="24"/>
          <w:szCs w:val="24"/>
        </w:rPr>
        <w:t>ONSIDERACIONES</w:t>
      </w:r>
    </w:p>
    <w:p w14:paraId="094D470C" w14:textId="77777777" w:rsidR="00FD0FCD" w:rsidRPr="005A3969" w:rsidRDefault="00FD0FCD" w:rsidP="005A3969">
      <w:pPr>
        <w:spacing w:line="276" w:lineRule="auto"/>
        <w:rPr>
          <w:b/>
          <w:sz w:val="24"/>
          <w:szCs w:val="24"/>
        </w:rPr>
      </w:pPr>
    </w:p>
    <w:p w14:paraId="6CEF480E" w14:textId="24E6AD6A" w:rsidR="00FD0FCD" w:rsidRPr="005A3969" w:rsidRDefault="00143BB8" w:rsidP="005A3969">
      <w:pPr>
        <w:pStyle w:val="Prrafodelista"/>
        <w:numPr>
          <w:ilvl w:val="1"/>
          <w:numId w:val="2"/>
        </w:numPr>
        <w:tabs>
          <w:tab w:val="left" w:pos="284"/>
        </w:tabs>
        <w:spacing w:line="276" w:lineRule="auto"/>
        <w:ind w:left="0" w:right="120" w:firstLine="0"/>
        <w:rPr>
          <w:sz w:val="24"/>
          <w:szCs w:val="24"/>
        </w:rPr>
      </w:pPr>
      <w:r w:rsidRPr="005A3969">
        <w:rPr>
          <w:sz w:val="24"/>
          <w:szCs w:val="24"/>
        </w:rPr>
        <w:t xml:space="preserve">Esta Sala unitaria </w:t>
      </w:r>
      <w:r w:rsidR="00AC4A2B" w:rsidRPr="005A3969">
        <w:rPr>
          <w:sz w:val="24"/>
          <w:szCs w:val="24"/>
        </w:rPr>
        <w:t>e</w:t>
      </w:r>
      <w:r w:rsidRPr="005A3969">
        <w:rPr>
          <w:sz w:val="24"/>
          <w:szCs w:val="24"/>
        </w:rPr>
        <w:t xml:space="preserve">s competente para conocer </w:t>
      </w:r>
      <w:r w:rsidR="002C0660" w:rsidRPr="005A3969">
        <w:rPr>
          <w:sz w:val="24"/>
          <w:szCs w:val="24"/>
        </w:rPr>
        <w:t xml:space="preserve">de la </w:t>
      </w:r>
      <w:r w:rsidRPr="005A3969">
        <w:rPr>
          <w:sz w:val="24"/>
          <w:szCs w:val="24"/>
        </w:rPr>
        <w:t>alzada,</w:t>
      </w:r>
      <w:r w:rsidRPr="005A3969">
        <w:rPr>
          <w:spacing w:val="-1"/>
          <w:sz w:val="24"/>
          <w:szCs w:val="24"/>
        </w:rPr>
        <w:t xml:space="preserve"> </w:t>
      </w:r>
      <w:r w:rsidRPr="005A3969">
        <w:rPr>
          <w:sz w:val="24"/>
          <w:szCs w:val="24"/>
        </w:rPr>
        <w:t>en</w:t>
      </w:r>
      <w:r w:rsidRPr="005A3969">
        <w:rPr>
          <w:spacing w:val="-1"/>
          <w:sz w:val="24"/>
          <w:szCs w:val="24"/>
        </w:rPr>
        <w:t xml:space="preserve"> </w:t>
      </w:r>
      <w:r w:rsidRPr="005A3969">
        <w:rPr>
          <w:sz w:val="24"/>
          <w:szCs w:val="24"/>
        </w:rPr>
        <w:t>los</w:t>
      </w:r>
      <w:r w:rsidRPr="005A3969">
        <w:rPr>
          <w:spacing w:val="-3"/>
          <w:sz w:val="24"/>
          <w:szCs w:val="24"/>
        </w:rPr>
        <w:t xml:space="preserve"> </w:t>
      </w:r>
      <w:r w:rsidRPr="005A3969">
        <w:rPr>
          <w:sz w:val="24"/>
          <w:szCs w:val="24"/>
        </w:rPr>
        <w:t>términos</w:t>
      </w:r>
      <w:r w:rsidRPr="005A3969">
        <w:rPr>
          <w:spacing w:val="-2"/>
          <w:sz w:val="24"/>
          <w:szCs w:val="24"/>
        </w:rPr>
        <w:t xml:space="preserve"> </w:t>
      </w:r>
      <w:r w:rsidRPr="005A3969">
        <w:rPr>
          <w:sz w:val="24"/>
          <w:szCs w:val="24"/>
        </w:rPr>
        <w:t>de</w:t>
      </w:r>
      <w:r w:rsidR="00B8613D" w:rsidRPr="005A3969">
        <w:rPr>
          <w:sz w:val="24"/>
          <w:szCs w:val="24"/>
        </w:rPr>
        <w:t xml:space="preserve"> los artículos 31 y 35 del </w:t>
      </w:r>
      <w:r w:rsidRPr="005A3969">
        <w:rPr>
          <w:sz w:val="24"/>
          <w:szCs w:val="24"/>
        </w:rPr>
        <w:t>CGP.</w:t>
      </w:r>
    </w:p>
    <w:p w14:paraId="32AC3227" w14:textId="77777777" w:rsidR="00FD0FCD" w:rsidRPr="005A3969" w:rsidRDefault="00FD0FCD" w:rsidP="005A3969">
      <w:pPr>
        <w:spacing w:line="276" w:lineRule="auto"/>
        <w:rPr>
          <w:sz w:val="24"/>
          <w:szCs w:val="24"/>
        </w:rPr>
      </w:pPr>
    </w:p>
    <w:p w14:paraId="130CDFC2" w14:textId="6125D95F" w:rsidR="00FD0FCD" w:rsidRPr="005A3969" w:rsidRDefault="00143BB8" w:rsidP="005A3969">
      <w:pPr>
        <w:pStyle w:val="Textoindependiente"/>
        <w:spacing w:line="276" w:lineRule="auto"/>
        <w:ind w:right="116"/>
        <w:jc w:val="both"/>
        <w:rPr>
          <w:rFonts w:ascii="Gadugi" w:hAnsi="Gadugi"/>
          <w:sz w:val="24"/>
          <w:szCs w:val="24"/>
        </w:rPr>
      </w:pPr>
      <w:r w:rsidRPr="005A3969">
        <w:rPr>
          <w:rFonts w:ascii="Gadugi" w:hAnsi="Gadugi"/>
          <w:sz w:val="24"/>
          <w:szCs w:val="24"/>
        </w:rPr>
        <w:t>Además,</w:t>
      </w:r>
      <w:r w:rsidRPr="005A3969">
        <w:rPr>
          <w:rFonts w:ascii="Gadugi" w:hAnsi="Gadugi"/>
          <w:spacing w:val="1"/>
          <w:sz w:val="24"/>
          <w:szCs w:val="24"/>
        </w:rPr>
        <w:t xml:space="preserve"> </w:t>
      </w:r>
      <w:r w:rsidRPr="005A3969">
        <w:rPr>
          <w:rFonts w:ascii="Gadugi" w:hAnsi="Gadugi"/>
          <w:sz w:val="24"/>
          <w:szCs w:val="24"/>
        </w:rPr>
        <w:t>el</w:t>
      </w:r>
      <w:r w:rsidRPr="005A3969">
        <w:rPr>
          <w:rFonts w:ascii="Gadugi" w:hAnsi="Gadugi"/>
          <w:spacing w:val="1"/>
          <w:sz w:val="24"/>
          <w:szCs w:val="24"/>
        </w:rPr>
        <w:t xml:space="preserve"> </w:t>
      </w:r>
      <w:r w:rsidRPr="005A3969">
        <w:rPr>
          <w:rFonts w:ascii="Gadugi" w:hAnsi="Gadugi"/>
          <w:sz w:val="24"/>
          <w:szCs w:val="24"/>
        </w:rPr>
        <w:t>recurso</w:t>
      </w:r>
      <w:r w:rsidRPr="005A3969">
        <w:rPr>
          <w:rFonts w:ascii="Gadugi" w:hAnsi="Gadugi"/>
          <w:spacing w:val="1"/>
          <w:sz w:val="24"/>
          <w:szCs w:val="24"/>
        </w:rPr>
        <w:t xml:space="preserve"> </w:t>
      </w:r>
      <w:r w:rsidRPr="005A3969">
        <w:rPr>
          <w:rFonts w:ascii="Gadugi" w:hAnsi="Gadugi"/>
          <w:sz w:val="24"/>
          <w:szCs w:val="24"/>
        </w:rPr>
        <w:t>es</w:t>
      </w:r>
      <w:r w:rsidRPr="005A3969">
        <w:rPr>
          <w:rFonts w:ascii="Gadugi" w:hAnsi="Gadugi"/>
          <w:spacing w:val="1"/>
          <w:sz w:val="24"/>
          <w:szCs w:val="24"/>
        </w:rPr>
        <w:t xml:space="preserve"> </w:t>
      </w:r>
      <w:r w:rsidRPr="005A3969">
        <w:rPr>
          <w:rFonts w:ascii="Gadugi" w:hAnsi="Gadugi"/>
          <w:sz w:val="24"/>
          <w:szCs w:val="24"/>
        </w:rPr>
        <w:t>procedente,</w:t>
      </w:r>
      <w:r w:rsidRPr="005A3969">
        <w:rPr>
          <w:rFonts w:ascii="Gadugi" w:hAnsi="Gadugi"/>
          <w:spacing w:val="1"/>
          <w:sz w:val="24"/>
          <w:szCs w:val="24"/>
        </w:rPr>
        <w:t xml:space="preserve"> </w:t>
      </w:r>
      <w:r w:rsidRPr="005A3969">
        <w:rPr>
          <w:rFonts w:ascii="Gadugi" w:hAnsi="Gadugi"/>
          <w:sz w:val="24"/>
          <w:szCs w:val="24"/>
        </w:rPr>
        <w:t>según</w:t>
      </w:r>
      <w:r w:rsidRPr="005A3969">
        <w:rPr>
          <w:rFonts w:ascii="Gadugi" w:hAnsi="Gadugi"/>
          <w:spacing w:val="1"/>
          <w:sz w:val="24"/>
          <w:szCs w:val="24"/>
        </w:rPr>
        <w:t xml:space="preserve"> </w:t>
      </w:r>
      <w:r w:rsidRPr="005A3969">
        <w:rPr>
          <w:rFonts w:ascii="Gadugi" w:hAnsi="Gadugi"/>
          <w:sz w:val="24"/>
          <w:szCs w:val="24"/>
        </w:rPr>
        <w:t>establece</w:t>
      </w:r>
      <w:r w:rsidRPr="005A3969">
        <w:rPr>
          <w:rFonts w:ascii="Gadugi" w:hAnsi="Gadugi"/>
          <w:spacing w:val="1"/>
          <w:sz w:val="24"/>
          <w:szCs w:val="24"/>
        </w:rPr>
        <w:t xml:space="preserve"> </w:t>
      </w:r>
      <w:r w:rsidRPr="005A3969">
        <w:rPr>
          <w:rFonts w:ascii="Gadugi" w:hAnsi="Gadugi"/>
          <w:sz w:val="24"/>
          <w:szCs w:val="24"/>
        </w:rPr>
        <w:t xml:space="preserve">el </w:t>
      </w:r>
      <w:r w:rsidRPr="005A3969">
        <w:rPr>
          <w:rFonts w:ascii="Gadugi" w:hAnsi="Gadugi"/>
          <w:spacing w:val="-74"/>
          <w:sz w:val="24"/>
          <w:szCs w:val="24"/>
        </w:rPr>
        <w:t xml:space="preserve"> </w:t>
      </w:r>
      <w:r w:rsidR="00B8613D" w:rsidRPr="005A3969">
        <w:rPr>
          <w:rFonts w:ascii="Gadugi" w:hAnsi="Gadugi"/>
          <w:spacing w:val="-74"/>
          <w:sz w:val="24"/>
          <w:szCs w:val="24"/>
        </w:rPr>
        <w:t xml:space="preserve">   </w:t>
      </w:r>
      <w:r w:rsidRPr="005A3969">
        <w:rPr>
          <w:rFonts w:ascii="Gadugi" w:hAnsi="Gadugi"/>
          <w:spacing w:val="-74"/>
          <w:sz w:val="24"/>
          <w:szCs w:val="24"/>
        </w:rPr>
        <w:t xml:space="preserve"> </w:t>
      </w:r>
      <w:r w:rsidRPr="005A3969">
        <w:rPr>
          <w:rFonts w:ascii="Gadugi" w:hAnsi="Gadugi"/>
          <w:sz w:val="24"/>
          <w:szCs w:val="24"/>
        </w:rPr>
        <w:t>literal e) del inciso segundo del artículo 317 del mismo estatuto, fue</w:t>
      </w:r>
      <w:r w:rsidRPr="005A3969">
        <w:rPr>
          <w:rFonts w:ascii="Gadugi" w:hAnsi="Gadugi"/>
          <w:spacing w:val="1"/>
          <w:sz w:val="24"/>
          <w:szCs w:val="24"/>
        </w:rPr>
        <w:t xml:space="preserve"> </w:t>
      </w:r>
      <w:r w:rsidRPr="005A3969">
        <w:rPr>
          <w:rFonts w:ascii="Gadugi" w:hAnsi="Gadugi"/>
          <w:sz w:val="24"/>
          <w:szCs w:val="24"/>
        </w:rPr>
        <w:t>propuesto</w:t>
      </w:r>
      <w:r w:rsidRPr="005A3969">
        <w:rPr>
          <w:rFonts w:ascii="Gadugi" w:hAnsi="Gadugi"/>
          <w:spacing w:val="1"/>
          <w:sz w:val="24"/>
          <w:szCs w:val="24"/>
        </w:rPr>
        <w:t xml:space="preserve"> </w:t>
      </w:r>
      <w:r w:rsidRPr="005A3969">
        <w:rPr>
          <w:rFonts w:ascii="Gadugi" w:hAnsi="Gadugi"/>
          <w:sz w:val="24"/>
          <w:szCs w:val="24"/>
        </w:rPr>
        <w:t>oportunamente,</w:t>
      </w:r>
      <w:r w:rsidRPr="005A3969">
        <w:rPr>
          <w:rFonts w:ascii="Gadugi" w:hAnsi="Gadugi"/>
          <w:spacing w:val="1"/>
          <w:sz w:val="24"/>
          <w:szCs w:val="24"/>
        </w:rPr>
        <w:t xml:space="preserve"> </w:t>
      </w:r>
      <w:r w:rsidRPr="005A3969">
        <w:rPr>
          <w:rFonts w:ascii="Gadugi" w:hAnsi="Gadugi"/>
          <w:sz w:val="24"/>
          <w:szCs w:val="24"/>
        </w:rPr>
        <w:t>por</w:t>
      </w:r>
      <w:r w:rsidRPr="005A3969">
        <w:rPr>
          <w:rFonts w:ascii="Gadugi" w:hAnsi="Gadugi"/>
          <w:spacing w:val="1"/>
          <w:sz w:val="24"/>
          <w:szCs w:val="24"/>
        </w:rPr>
        <w:t xml:space="preserve"> </w:t>
      </w:r>
      <w:r w:rsidR="00A522A7" w:rsidRPr="005A3969">
        <w:rPr>
          <w:rFonts w:ascii="Gadugi" w:hAnsi="Gadugi"/>
          <w:spacing w:val="1"/>
          <w:sz w:val="24"/>
          <w:szCs w:val="24"/>
        </w:rPr>
        <w:t xml:space="preserve">quien estaba </w:t>
      </w:r>
      <w:r w:rsidRPr="005A3969">
        <w:rPr>
          <w:rFonts w:ascii="Gadugi" w:hAnsi="Gadugi"/>
          <w:sz w:val="24"/>
          <w:szCs w:val="24"/>
        </w:rPr>
        <w:t>legitimada</w:t>
      </w:r>
      <w:r w:rsidRPr="005A3969">
        <w:rPr>
          <w:rFonts w:ascii="Gadugi" w:hAnsi="Gadugi"/>
          <w:spacing w:val="1"/>
          <w:sz w:val="24"/>
          <w:szCs w:val="24"/>
        </w:rPr>
        <w:t xml:space="preserve"> </w:t>
      </w:r>
      <w:r w:rsidRPr="005A3969">
        <w:rPr>
          <w:rFonts w:ascii="Gadugi" w:hAnsi="Gadugi"/>
          <w:sz w:val="24"/>
          <w:szCs w:val="24"/>
        </w:rPr>
        <w:t>para</w:t>
      </w:r>
      <w:r w:rsidRPr="005A3969">
        <w:rPr>
          <w:rFonts w:ascii="Gadugi" w:hAnsi="Gadugi"/>
          <w:spacing w:val="1"/>
          <w:sz w:val="24"/>
          <w:szCs w:val="24"/>
        </w:rPr>
        <w:t xml:space="preserve"> </w:t>
      </w:r>
      <w:r w:rsidRPr="005A3969">
        <w:rPr>
          <w:rFonts w:ascii="Gadugi" w:hAnsi="Gadugi"/>
          <w:sz w:val="24"/>
          <w:szCs w:val="24"/>
        </w:rPr>
        <w:t>ello</w:t>
      </w:r>
      <w:r w:rsidRPr="005A3969">
        <w:rPr>
          <w:rFonts w:ascii="Gadugi" w:hAnsi="Gadugi"/>
          <w:spacing w:val="1"/>
          <w:sz w:val="24"/>
          <w:szCs w:val="24"/>
        </w:rPr>
        <w:t xml:space="preserve"> </w:t>
      </w:r>
      <w:r w:rsidRPr="005A3969">
        <w:rPr>
          <w:rFonts w:ascii="Gadugi" w:hAnsi="Gadugi"/>
          <w:sz w:val="24"/>
          <w:szCs w:val="24"/>
        </w:rPr>
        <w:t>y</w:t>
      </w:r>
      <w:r w:rsidRPr="005A3969">
        <w:rPr>
          <w:rFonts w:ascii="Gadugi" w:hAnsi="Gadugi"/>
          <w:spacing w:val="1"/>
          <w:sz w:val="24"/>
          <w:szCs w:val="24"/>
        </w:rPr>
        <w:t xml:space="preserve"> </w:t>
      </w:r>
      <w:r w:rsidRPr="005A3969">
        <w:rPr>
          <w:rFonts w:ascii="Gadugi" w:hAnsi="Gadugi"/>
          <w:sz w:val="24"/>
          <w:szCs w:val="24"/>
        </w:rPr>
        <w:t>se</w:t>
      </w:r>
      <w:r w:rsidRPr="005A3969">
        <w:rPr>
          <w:rFonts w:ascii="Gadugi" w:hAnsi="Gadugi"/>
          <w:spacing w:val="1"/>
          <w:sz w:val="24"/>
          <w:szCs w:val="24"/>
        </w:rPr>
        <w:t xml:space="preserve"> </w:t>
      </w:r>
      <w:r w:rsidRPr="005A3969">
        <w:rPr>
          <w:rFonts w:ascii="Gadugi" w:hAnsi="Gadugi"/>
          <w:sz w:val="24"/>
          <w:szCs w:val="24"/>
        </w:rPr>
        <w:t>sustentó</w:t>
      </w:r>
      <w:r w:rsidRPr="005A3969">
        <w:rPr>
          <w:rFonts w:ascii="Gadugi" w:hAnsi="Gadugi"/>
          <w:spacing w:val="-1"/>
          <w:sz w:val="24"/>
          <w:szCs w:val="24"/>
        </w:rPr>
        <w:t xml:space="preserve"> </w:t>
      </w:r>
      <w:r w:rsidR="003B6542" w:rsidRPr="005A3969">
        <w:rPr>
          <w:rFonts w:ascii="Gadugi" w:hAnsi="Gadugi"/>
          <w:spacing w:val="-1"/>
          <w:sz w:val="24"/>
          <w:szCs w:val="24"/>
        </w:rPr>
        <w:t>en tiempo</w:t>
      </w:r>
      <w:r w:rsidRPr="005A3969">
        <w:rPr>
          <w:rFonts w:ascii="Gadugi" w:hAnsi="Gadugi"/>
          <w:sz w:val="24"/>
          <w:szCs w:val="24"/>
        </w:rPr>
        <w:t>.</w:t>
      </w:r>
    </w:p>
    <w:p w14:paraId="6FF0C3EE" w14:textId="77777777" w:rsidR="00FD0FCD" w:rsidRPr="005A3969" w:rsidRDefault="00FD0FCD" w:rsidP="005A3969">
      <w:pPr>
        <w:spacing w:line="276" w:lineRule="auto"/>
        <w:rPr>
          <w:sz w:val="24"/>
          <w:szCs w:val="24"/>
        </w:rPr>
      </w:pPr>
    </w:p>
    <w:p w14:paraId="4395658C" w14:textId="48B53773" w:rsidR="00AC4A2B" w:rsidRPr="005A3969" w:rsidRDefault="00143BB8" w:rsidP="005A3969">
      <w:pPr>
        <w:pStyle w:val="Prrafodelista"/>
        <w:numPr>
          <w:ilvl w:val="1"/>
          <w:numId w:val="2"/>
        </w:numPr>
        <w:tabs>
          <w:tab w:val="left" w:pos="284"/>
          <w:tab w:val="left" w:pos="2227"/>
        </w:tabs>
        <w:spacing w:line="276" w:lineRule="auto"/>
        <w:ind w:left="0" w:firstLine="0"/>
        <w:rPr>
          <w:spacing w:val="-1"/>
          <w:sz w:val="24"/>
          <w:szCs w:val="24"/>
        </w:rPr>
      </w:pPr>
      <w:r w:rsidRPr="005A3969">
        <w:rPr>
          <w:sz w:val="24"/>
          <w:szCs w:val="24"/>
        </w:rPr>
        <w:t>El problema que debe afrontar la Sala es si confirma la</w:t>
      </w:r>
      <w:r w:rsidR="00E01ED2" w:rsidRPr="005A3969">
        <w:rPr>
          <w:sz w:val="24"/>
          <w:szCs w:val="24"/>
        </w:rPr>
        <w:t xml:space="preserve"> providencia</w:t>
      </w:r>
      <w:r w:rsidRPr="005A3969">
        <w:rPr>
          <w:sz w:val="24"/>
          <w:szCs w:val="24"/>
        </w:rPr>
        <w:t xml:space="preserve"> que </w:t>
      </w:r>
      <w:r w:rsidR="00BB2FE4" w:rsidRPr="005A3969">
        <w:rPr>
          <w:sz w:val="24"/>
          <w:szCs w:val="24"/>
        </w:rPr>
        <w:t xml:space="preserve">terminó el proceso por </w:t>
      </w:r>
      <w:r w:rsidR="003B6542" w:rsidRPr="005A3969">
        <w:rPr>
          <w:sz w:val="24"/>
          <w:szCs w:val="24"/>
        </w:rPr>
        <w:t xml:space="preserve">desistimiento tácito, </w:t>
      </w:r>
      <w:r w:rsidRPr="005A3969">
        <w:rPr>
          <w:sz w:val="24"/>
          <w:szCs w:val="24"/>
        </w:rPr>
        <w:t>pues</w:t>
      </w:r>
      <w:r w:rsidR="00BB2FE4" w:rsidRPr="005A3969">
        <w:rPr>
          <w:sz w:val="24"/>
          <w:szCs w:val="24"/>
        </w:rPr>
        <w:t>,</w:t>
      </w:r>
      <w:r w:rsidRPr="005A3969">
        <w:rPr>
          <w:sz w:val="24"/>
          <w:szCs w:val="24"/>
        </w:rPr>
        <w:t xml:space="preserve"> según la tesis del</w:t>
      </w:r>
      <w:r w:rsidRPr="005A3969">
        <w:rPr>
          <w:spacing w:val="1"/>
          <w:sz w:val="24"/>
          <w:szCs w:val="24"/>
        </w:rPr>
        <w:t xml:space="preserve"> </w:t>
      </w:r>
      <w:r w:rsidRPr="005A3969">
        <w:rPr>
          <w:sz w:val="24"/>
          <w:szCs w:val="24"/>
        </w:rPr>
        <w:t>juzgado</w:t>
      </w:r>
      <w:r w:rsidR="003B6542" w:rsidRPr="005A3969">
        <w:rPr>
          <w:sz w:val="24"/>
          <w:szCs w:val="24"/>
        </w:rPr>
        <w:t xml:space="preserve">, el término concedido a la parte ejecutante </w:t>
      </w:r>
      <w:r w:rsidR="000D6B8F" w:rsidRPr="005A3969">
        <w:rPr>
          <w:sz w:val="24"/>
          <w:szCs w:val="24"/>
        </w:rPr>
        <w:t xml:space="preserve">para activar el trámite se cumplió en silencio; o </w:t>
      </w:r>
      <w:r w:rsidR="003B6542" w:rsidRPr="005A3969">
        <w:rPr>
          <w:sz w:val="24"/>
          <w:szCs w:val="24"/>
        </w:rPr>
        <w:t xml:space="preserve">si se revoca, </w:t>
      </w:r>
      <w:r w:rsidRPr="005A3969">
        <w:rPr>
          <w:sz w:val="24"/>
          <w:szCs w:val="24"/>
        </w:rPr>
        <w:t>como</w:t>
      </w:r>
      <w:r w:rsidRPr="005A3969">
        <w:rPr>
          <w:spacing w:val="1"/>
          <w:sz w:val="24"/>
          <w:szCs w:val="24"/>
        </w:rPr>
        <w:t xml:space="preserve"> </w:t>
      </w:r>
      <w:r w:rsidRPr="005A3969">
        <w:rPr>
          <w:sz w:val="24"/>
          <w:szCs w:val="24"/>
        </w:rPr>
        <w:t>pretende</w:t>
      </w:r>
      <w:r w:rsidR="003139E7" w:rsidRPr="005A3969">
        <w:rPr>
          <w:sz w:val="24"/>
          <w:szCs w:val="24"/>
        </w:rPr>
        <w:t xml:space="preserve"> </w:t>
      </w:r>
      <w:r w:rsidR="003B6542" w:rsidRPr="005A3969">
        <w:rPr>
          <w:sz w:val="24"/>
          <w:szCs w:val="24"/>
        </w:rPr>
        <w:t xml:space="preserve">la </w:t>
      </w:r>
      <w:r w:rsidR="003314A5" w:rsidRPr="005A3969">
        <w:rPr>
          <w:sz w:val="24"/>
          <w:szCs w:val="24"/>
        </w:rPr>
        <w:t xml:space="preserve">cesionaria impugnante, </w:t>
      </w:r>
      <w:r w:rsidR="003B6542" w:rsidRPr="005A3969">
        <w:rPr>
          <w:sz w:val="24"/>
          <w:szCs w:val="24"/>
        </w:rPr>
        <w:t xml:space="preserve">por cuanto </w:t>
      </w:r>
      <w:r w:rsidR="00AC4A2B" w:rsidRPr="005A3969">
        <w:rPr>
          <w:sz w:val="24"/>
          <w:szCs w:val="24"/>
        </w:rPr>
        <w:t xml:space="preserve">no se dan los presupuestos para la terminación. </w:t>
      </w:r>
    </w:p>
    <w:p w14:paraId="6B1D07D9" w14:textId="77777777" w:rsidR="00AC4A2B" w:rsidRPr="005A3969" w:rsidRDefault="00AC4A2B" w:rsidP="005A3969">
      <w:pPr>
        <w:pStyle w:val="Prrafodelista"/>
        <w:tabs>
          <w:tab w:val="left" w:pos="284"/>
          <w:tab w:val="left" w:pos="2227"/>
        </w:tabs>
        <w:spacing w:line="276" w:lineRule="auto"/>
        <w:ind w:left="0" w:firstLine="0"/>
        <w:rPr>
          <w:spacing w:val="-1"/>
          <w:sz w:val="24"/>
          <w:szCs w:val="24"/>
        </w:rPr>
      </w:pPr>
    </w:p>
    <w:p w14:paraId="73923B11" w14:textId="77777777" w:rsidR="009F73DA" w:rsidRPr="005A3969" w:rsidRDefault="00264ECB" w:rsidP="005A3969">
      <w:pPr>
        <w:pStyle w:val="Prrafodelista"/>
        <w:numPr>
          <w:ilvl w:val="1"/>
          <w:numId w:val="2"/>
        </w:numPr>
        <w:tabs>
          <w:tab w:val="left" w:pos="284"/>
          <w:tab w:val="left" w:pos="2227"/>
        </w:tabs>
        <w:spacing w:line="276" w:lineRule="auto"/>
        <w:ind w:left="0" w:firstLine="0"/>
        <w:rPr>
          <w:spacing w:val="-1"/>
          <w:sz w:val="24"/>
          <w:szCs w:val="24"/>
        </w:rPr>
      </w:pPr>
      <w:r w:rsidRPr="005A3969">
        <w:rPr>
          <w:sz w:val="24"/>
          <w:szCs w:val="24"/>
        </w:rPr>
        <w:t>De entrada</w:t>
      </w:r>
      <w:r w:rsidR="003A55D9" w:rsidRPr="005A3969">
        <w:rPr>
          <w:sz w:val="24"/>
          <w:szCs w:val="24"/>
        </w:rPr>
        <w:t>,</w:t>
      </w:r>
      <w:r w:rsidRPr="005A3969">
        <w:rPr>
          <w:sz w:val="24"/>
          <w:szCs w:val="24"/>
        </w:rPr>
        <w:t xml:space="preserve"> se advierte que la providencia será revocada, pues el fundamento jurídico con el que se le puso fin al proceso no </w:t>
      </w:r>
      <w:r w:rsidR="003A55D9" w:rsidRPr="005A3969">
        <w:rPr>
          <w:sz w:val="24"/>
          <w:szCs w:val="24"/>
        </w:rPr>
        <w:t xml:space="preserve">se aviene a </w:t>
      </w:r>
      <w:r w:rsidRPr="005A3969">
        <w:rPr>
          <w:sz w:val="24"/>
          <w:szCs w:val="24"/>
        </w:rPr>
        <w:t>la situación en que se halla el proceso</w:t>
      </w:r>
      <w:r w:rsidR="003A55D9" w:rsidRPr="005A3969">
        <w:rPr>
          <w:sz w:val="24"/>
          <w:szCs w:val="24"/>
        </w:rPr>
        <w:t>.</w:t>
      </w:r>
    </w:p>
    <w:p w14:paraId="5CA9DD42" w14:textId="77777777" w:rsidR="009F73DA" w:rsidRPr="005A3969" w:rsidRDefault="009F73DA" w:rsidP="005A3969">
      <w:pPr>
        <w:pStyle w:val="Prrafodelista"/>
        <w:tabs>
          <w:tab w:val="left" w:pos="284"/>
          <w:tab w:val="left" w:pos="2227"/>
        </w:tabs>
        <w:spacing w:line="276" w:lineRule="auto"/>
        <w:ind w:left="0" w:firstLine="0"/>
        <w:rPr>
          <w:sz w:val="24"/>
          <w:szCs w:val="24"/>
        </w:rPr>
      </w:pPr>
    </w:p>
    <w:p w14:paraId="11BE9F48" w14:textId="53C2FE33" w:rsidR="004717A8" w:rsidRPr="005A3969" w:rsidRDefault="009F73DA" w:rsidP="005A3969">
      <w:pPr>
        <w:pStyle w:val="Prrafodelista"/>
        <w:numPr>
          <w:ilvl w:val="1"/>
          <w:numId w:val="2"/>
        </w:numPr>
        <w:tabs>
          <w:tab w:val="left" w:pos="284"/>
          <w:tab w:val="left" w:pos="2227"/>
        </w:tabs>
        <w:spacing w:line="276" w:lineRule="auto"/>
        <w:ind w:left="0" w:firstLine="0"/>
        <w:rPr>
          <w:sz w:val="24"/>
          <w:szCs w:val="24"/>
        </w:rPr>
      </w:pPr>
      <w:r w:rsidRPr="005A3969">
        <w:rPr>
          <w:sz w:val="24"/>
          <w:szCs w:val="24"/>
        </w:rPr>
        <w:t xml:space="preserve">En punto a dilucidarlo, </w:t>
      </w:r>
      <w:r w:rsidR="002111E4" w:rsidRPr="005A3969">
        <w:rPr>
          <w:sz w:val="24"/>
          <w:szCs w:val="24"/>
        </w:rPr>
        <w:t xml:space="preserve">conviene recordar, como se hizo </w:t>
      </w:r>
      <w:r w:rsidR="0036743B" w:rsidRPr="005A3969">
        <w:rPr>
          <w:sz w:val="24"/>
          <w:szCs w:val="24"/>
        </w:rPr>
        <w:t>por esta Sala</w:t>
      </w:r>
      <w:r w:rsidR="005E0F03" w:rsidRPr="005A3969">
        <w:rPr>
          <w:sz w:val="24"/>
          <w:szCs w:val="24"/>
        </w:rPr>
        <w:t xml:space="preserve"> en el auto </w:t>
      </w:r>
      <w:r w:rsidR="002111E4" w:rsidRPr="005A3969">
        <w:rPr>
          <w:sz w:val="24"/>
          <w:szCs w:val="24"/>
        </w:rPr>
        <w:t>AC</w:t>
      </w:r>
      <w:r w:rsidR="00F2785E" w:rsidRPr="005A3969">
        <w:rPr>
          <w:sz w:val="24"/>
          <w:szCs w:val="24"/>
        </w:rPr>
        <w:t xml:space="preserve">-0053-2022, </w:t>
      </w:r>
      <w:r w:rsidR="005E0F03" w:rsidRPr="005A3969">
        <w:rPr>
          <w:sz w:val="24"/>
          <w:szCs w:val="24"/>
        </w:rPr>
        <w:t xml:space="preserve">en </w:t>
      </w:r>
      <w:r w:rsidR="003934DA" w:rsidRPr="005A3969">
        <w:rPr>
          <w:sz w:val="24"/>
          <w:szCs w:val="24"/>
        </w:rPr>
        <w:t xml:space="preserve">el </w:t>
      </w:r>
      <w:r w:rsidR="005E0F03" w:rsidRPr="005A3969">
        <w:rPr>
          <w:sz w:val="24"/>
          <w:szCs w:val="24"/>
        </w:rPr>
        <w:t xml:space="preserve">que se citaron decisiones anteriores, jurisprudencia y doctrina, </w:t>
      </w:r>
      <w:r w:rsidR="00F2785E" w:rsidRPr="005A3969">
        <w:rPr>
          <w:sz w:val="24"/>
          <w:szCs w:val="24"/>
        </w:rPr>
        <w:t>que</w:t>
      </w:r>
      <w:r w:rsidR="0036743B" w:rsidRPr="005A3969">
        <w:rPr>
          <w:sz w:val="24"/>
          <w:szCs w:val="24"/>
        </w:rPr>
        <w:t xml:space="preserve"> la figura del desistimiento </w:t>
      </w:r>
      <w:r w:rsidR="00583BC4" w:rsidRPr="005A3969">
        <w:rPr>
          <w:sz w:val="24"/>
          <w:szCs w:val="24"/>
        </w:rPr>
        <w:t xml:space="preserve">tácito, que es una especie de reciclaje de dos instituciones: la perención y el mismo </w:t>
      </w:r>
      <w:r w:rsidR="00EF0A8C" w:rsidRPr="005A3969">
        <w:rPr>
          <w:sz w:val="24"/>
          <w:szCs w:val="24"/>
        </w:rPr>
        <w:t>desistimiento tácito, reguló tres situaciones</w:t>
      </w:r>
      <w:r w:rsidR="00DE2CC0" w:rsidRPr="005A3969">
        <w:rPr>
          <w:sz w:val="24"/>
          <w:szCs w:val="24"/>
        </w:rPr>
        <w:t xml:space="preserve"> </w:t>
      </w:r>
      <w:r w:rsidR="00DE2CC0" w:rsidRPr="005A3969">
        <w:rPr>
          <w:sz w:val="24"/>
          <w:szCs w:val="24"/>
        </w:rPr>
        <w:lastRenderedPageBreak/>
        <w:t xml:space="preserve">en los dos numerales que </w:t>
      </w:r>
      <w:r w:rsidR="00FB1DF4" w:rsidRPr="005A3969">
        <w:rPr>
          <w:sz w:val="24"/>
          <w:szCs w:val="24"/>
        </w:rPr>
        <w:t xml:space="preserve">lo conforman. </w:t>
      </w:r>
    </w:p>
    <w:p w14:paraId="3A159ADA" w14:textId="77777777" w:rsidR="004717A8" w:rsidRPr="005A3969" w:rsidRDefault="004717A8" w:rsidP="005A3969">
      <w:pPr>
        <w:pStyle w:val="Prrafodelista"/>
        <w:tabs>
          <w:tab w:val="left" w:pos="284"/>
          <w:tab w:val="left" w:pos="2227"/>
        </w:tabs>
        <w:spacing w:line="276" w:lineRule="auto"/>
        <w:ind w:left="0" w:firstLine="0"/>
        <w:rPr>
          <w:sz w:val="24"/>
          <w:szCs w:val="24"/>
        </w:rPr>
      </w:pPr>
    </w:p>
    <w:p w14:paraId="37D7AC76" w14:textId="649A7549" w:rsidR="007D6CB2" w:rsidRPr="005A3969" w:rsidRDefault="007D6CB2" w:rsidP="005A3969">
      <w:pPr>
        <w:pStyle w:val="Prrafodelista"/>
        <w:numPr>
          <w:ilvl w:val="0"/>
          <w:numId w:val="7"/>
        </w:numPr>
        <w:tabs>
          <w:tab w:val="left" w:pos="284"/>
          <w:tab w:val="left" w:pos="426"/>
          <w:tab w:val="left" w:pos="2227"/>
        </w:tabs>
        <w:spacing w:line="276" w:lineRule="auto"/>
        <w:ind w:left="0" w:firstLine="0"/>
        <w:rPr>
          <w:rFonts w:cs="Open Sans"/>
          <w:sz w:val="24"/>
          <w:szCs w:val="24"/>
          <w:lang w:val="es-CO"/>
        </w:rPr>
      </w:pPr>
      <w:r w:rsidRPr="005A3969">
        <w:rPr>
          <w:rFonts w:cs="Open Sans"/>
          <w:sz w:val="24"/>
          <w:szCs w:val="24"/>
        </w:rPr>
        <w:t>Cuando para continuar el trámite de la demanda, del llamamiento en garantía, de un incidente o de cualquiera otra actuación promovida a instancia de parte, se requiera el cumplimiento de una carga procesal o de un acto de la parte que haya formulado aquella o promovido estos, el juez le ordenará cumplirlo dentro de los treinta (30) días siguientes mediante providencia que se notificará por estado.</w:t>
      </w:r>
    </w:p>
    <w:p w14:paraId="1F62F5F9" w14:textId="77777777" w:rsidR="004717A8" w:rsidRPr="005A3969" w:rsidRDefault="004717A8" w:rsidP="005A3969">
      <w:pPr>
        <w:pStyle w:val="NormalWeb"/>
        <w:tabs>
          <w:tab w:val="left" w:pos="426"/>
        </w:tabs>
        <w:spacing w:before="0" w:beforeAutospacing="0" w:after="0" w:afterAutospacing="0" w:line="276" w:lineRule="auto"/>
        <w:jc w:val="both"/>
        <w:rPr>
          <w:rFonts w:ascii="Gadugi" w:hAnsi="Gadugi" w:cs="Open Sans"/>
        </w:rPr>
      </w:pPr>
    </w:p>
    <w:p w14:paraId="680004DB" w14:textId="6004489F" w:rsidR="007D6CB2" w:rsidRPr="005A3969" w:rsidRDefault="007D6CB2" w:rsidP="005A3969">
      <w:pPr>
        <w:pStyle w:val="NormalWeb"/>
        <w:tabs>
          <w:tab w:val="left" w:pos="426"/>
        </w:tabs>
        <w:spacing w:before="0" w:beforeAutospacing="0" w:after="0" w:afterAutospacing="0" w:line="276" w:lineRule="auto"/>
        <w:jc w:val="both"/>
        <w:rPr>
          <w:rFonts w:ascii="Gadugi" w:hAnsi="Gadugi" w:cs="Open Sans"/>
        </w:rPr>
      </w:pPr>
      <w:r w:rsidRPr="005A3969">
        <w:rPr>
          <w:rFonts w:ascii="Gadugi" w:hAnsi="Gadugi" w:cs="Open Sans"/>
        </w:rPr>
        <w:t>Vencido dicho término sin que quien haya promovido el trámite respectivo cumpla la carga o realice el acto de parte ordenado, el juez tendrá por desistida tácitamente la respectiva actuación y así lo declarará en providencia en la que además impondrá condena en costas.</w:t>
      </w:r>
    </w:p>
    <w:p w14:paraId="68D9A58D" w14:textId="77777777" w:rsidR="004717A8" w:rsidRPr="005A3969" w:rsidRDefault="004717A8" w:rsidP="005A3969">
      <w:pPr>
        <w:pStyle w:val="NormalWeb"/>
        <w:tabs>
          <w:tab w:val="left" w:pos="426"/>
        </w:tabs>
        <w:spacing w:before="0" w:beforeAutospacing="0" w:after="0" w:afterAutospacing="0" w:line="276" w:lineRule="auto"/>
        <w:jc w:val="both"/>
        <w:rPr>
          <w:rFonts w:ascii="Gadugi" w:hAnsi="Gadugi" w:cs="Open Sans"/>
        </w:rPr>
      </w:pPr>
    </w:p>
    <w:p w14:paraId="48A7A656" w14:textId="0CBD239F" w:rsidR="00EE7743" w:rsidRPr="00EE5B57" w:rsidRDefault="00EE5B57" w:rsidP="00EE5B57">
      <w:pPr>
        <w:pStyle w:val="Prrafodelista"/>
        <w:numPr>
          <w:ilvl w:val="0"/>
          <w:numId w:val="7"/>
        </w:numPr>
        <w:tabs>
          <w:tab w:val="left" w:pos="284"/>
          <w:tab w:val="left" w:pos="426"/>
          <w:tab w:val="left" w:pos="2227"/>
        </w:tabs>
        <w:spacing w:line="276" w:lineRule="auto"/>
        <w:ind w:left="0" w:firstLine="0"/>
        <w:rPr>
          <w:rFonts w:cs="Open Sans"/>
          <w:sz w:val="24"/>
          <w:szCs w:val="24"/>
        </w:rPr>
      </w:pPr>
      <w:r>
        <w:rPr>
          <w:rFonts w:cs="Open Sans"/>
          <w:sz w:val="24"/>
          <w:szCs w:val="24"/>
        </w:rPr>
        <w:t xml:space="preserve"> </w:t>
      </w:r>
      <w:r w:rsidR="00866CEA" w:rsidRPr="00EE5B57">
        <w:rPr>
          <w:rFonts w:cs="Open Sans"/>
          <w:sz w:val="24"/>
          <w:szCs w:val="24"/>
        </w:rPr>
        <w:t>Cuando un proceso o actuación de cualquier naturaleza, en cualquiera de sus etapas, permanezca inactivo en la secretaría del despacho, porque no se solicita o realiza ninguna actuación durante el plazo de un (1) año en primera o única instancia, contados desde el día siguiente a la última notificación o desde la última diligencia o actuación, a petición de parte o de oficio, se decretará la terminación por desistimiento tácito sin necesidad de requerimiento previo. En este evento no habrá condena en costas "o perjuicios" a cargo de las partes</w:t>
      </w:r>
      <w:r w:rsidR="00EE7743" w:rsidRPr="00EE5B57">
        <w:rPr>
          <w:rFonts w:cs="Open Sans"/>
          <w:sz w:val="24"/>
          <w:szCs w:val="24"/>
        </w:rPr>
        <w:t>.</w:t>
      </w:r>
    </w:p>
    <w:p w14:paraId="2BA35667" w14:textId="77777777" w:rsidR="003E5C8B" w:rsidRPr="005A3969" w:rsidRDefault="003E5C8B" w:rsidP="005A3969">
      <w:pPr>
        <w:pStyle w:val="NormalWeb"/>
        <w:tabs>
          <w:tab w:val="left" w:pos="426"/>
        </w:tabs>
        <w:spacing w:before="0" w:beforeAutospacing="0" w:after="0" w:afterAutospacing="0" w:line="276" w:lineRule="auto"/>
        <w:jc w:val="both"/>
        <w:rPr>
          <w:rFonts w:ascii="Gadugi" w:hAnsi="Gadugi" w:cs="Open Sans"/>
        </w:rPr>
      </w:pPr>
    </w:p>
    <w:p w14:paraId="4FBF3B42" w14:textId="49056A34" w:rsidR="00EE7743" w:rsidRPr="00EE5B57" w:rsidRDefault="00E06FD7" w:rsidP="00EE5B57">
      <w:pPr>
        <w:pStyle w:val="Prrafodelista"/>
        <w:numPr>
          <w:ilvl w:val="0"/>
          <w:numId w:val="7"/>
        </w:numPr>
        <w:tabs>
          <w:tab w:val="left" w:pos="284"/>
          <w:tab w:val="left" w:pos="426"/>
          <w:tab w:val="left" w:pos="2227"/>
        </w:tabs>
        <w:spacing w:line="276" w:lineRule="auto"/>
        <w:ind w:left="0" w:firstLine="0"/>
        <w:rPr>
          <w:rFonts w:cs="Open Sans"/>
          <w:sz w:val="24"/>
          <w:szCs w:val="24"/>
        </w:rPr>
      </w:pPr>
      <w:r w:rsidRPr="00EE5B57">
        <w:rPr>
          <w:rFonts w:cs="Open Sans"/>
          <w:sz w:val="24"/>
          <w:szCs w:val="24"/>
        </w:rPr>
        <w:t>Cuando un proceso cuenta con sentencia ejecutoriada a favor del demandante o auto que ordena seguir adelante la ejecución, el plazo será de dos (2) años, que, igual que en el evento anterior, se contarán desde el día siguiente a la última notificación o desde la última diligencia o actuación, a petición de parte o de oficio</w:t>
      </w:r>
      <w:r w:rsidR="00145DE3" w:rsidRPr="00EE5B57">
        <w:rPr>
          <w:rFonts w:cs="Open Sans"/>
          <w:sz w:val="24"/>
          <w:szCs w:val="24"/>
        </w:rPr>
        <w:t xml:space="preserve">. En tal caso, tampoco se impone un requerimiento previo. </w:t>
      </w:r>
    </w:p>
    <w:p w14:paraId="57D12051" w14:textId="77777777" w:rsidR="00C76F4D" w:rsidRPr="005A3969" w:rsidRDefault="00C76F4D" w:rsidP="005A3969">
      <w:pPr>
        <w:pStyle w:val="NormalWeb"/>
        <w:tabs>
          <w:tab w:val="left" w:pos="426"/>
        </w:tabs>
        <w:spacing w:before="0" w:beforeAutospacing="0" w:after="0" w:afterAutospacing="0" w:line="276" w:lineRule="auto"/>
        <w:jc w:val="both"/>
        <w:rPr>
          <w:rFonts w:ascii="Gadugi" w:hAnsi="Gadugi" w:cs="Open Sans"/>
        </w:rPr>
      </w:pPr>
    </w:p>
    <w:p w14:paraId="6920D3F2" w14:textId="5396BA42" w:rsidR="00EE7743" w:rsidRPr="005A3969" w:rsidRDefault="00C76F4D" w:rsidP="005A3969">
      <w:pPr>
        <w:pStyle w:val="NormalWeb"/>
        <w:tabs>
          <w:tab w:val="left" w:pos="426"/>
        </w:tabs>
        <w:spacing w:before="0" w:beforeAutospacing="0" w:after="0" w:afterAutospacing="0" w:line="276" w:lineRule="auto"/>
        <w:jc w:val="both"/>
        <w:rPr>
          <w:rFonts w:ascii="Gadugi" w:hAnsi="Gadugi" w:cs="Open Sans"/>
        </w:rPr>
      </w:pPr>
      <w:r w:rsidRPr="005A3969">
        <w:rPr>
          <w:rFonts w:ascii="Gadugi" w:hAnsi="Gadugi" w:cs="Open Sans"/>
        </w:rPr>
        <w:t>De manera que se trata de una forma de terminación anormal del proceso que</w:t>
      </w:r>
      <w:r w:rsidR="00C7366F" w:rsidRPr="005A3969">
        <w:rPr>
          <w:rFonts w:ascii="Gadugi" w:hAnsi="Gadugi" w:cs="Open Sans"/>
        </w:rPr>
        <w:t xml:space="preserve"> castiga la desidia de la parte o de quien promueve una determinada actuación judicial por su abandono, o por omitir el cumplimiento de ciertas cargas</w:t>
      </w:r>
      <w:r w:rsidR="002E18FB" w:rsidRPr="005A3969">
        <w:rPr>
          <w:rFonts w:ascii="Gadugi" w:hAnsi="Gadugi" w:cs="Open Sans"/>
        </w:rPr>
        <w:t xml:space="preserve">, de una de tres formas, cada </w:t>
      </w:r>
      <w:r w:rsidR="004717A8" w:rsidRPr="005A3969">
        <w:rPr>
          <w:rFonts w:ascii="Gadugi" w:hAnsi="Gadugi" w:cs="Open Sans"/>
        </w:rPr>
        <w:t>cual</w:t>
      </w:r>
      <w:r w:rsidR="002E18FB" w:rsidRPr="005A3969">
        <w:rPr>
          <w:rFonts w:ascii="Gadugi" w:hAnsi="Gadugi" w:cs="Open Sans"/>
        </w:rPr>
        <w:t xml:space="preserve"> con características que las dis</w:t>
      </w:r>
      <w:r w:rsidR="002652ED" w:rsidRPr="005A3969">
        <w:rPr>
          <w:rFonts w:ascii="Gadugi" w:hAnsi="Gadugi" w:cs="Open Sans"/>
        </w:rPr>
        <w:t xml:space="preserve">tinguen, al punto de poder afirmar, a juicio de esta Sala, que la última de ellas parte de una premisa explícita: que exista sentencia u orden de seguir adelante la ejecución, en cuyo caso, </w:t>
      </w:r>
      <w:r w:rsidR="00D25204" w:rsidRPr="005A3969">
        <w:rPr>
          <w:rFonts w:ascii="Gadugi" w:hAnsi="Gadugi" w:cs="Open Sans"/>
        </w:rPr>
        <w:t>la regla que rige el desistimiento es la del abandono, traducido en inactividad, por más de dos años. No cabe en tal hipótesis hablar de un año, y menos, frente a las partes</w:t>
      </w:r>
      <w:r w:rsidR="00AC4A2B" w:rsidRPr="005A3969">
        <w:rPr>
          <w:rFonts w:ascii="Gadugi" w:hAnsi="Gadugi" w:cs="Open Sans"/>
        </w:rPr>
        <w:t xml:space="preserve"> y el proceso como tal</w:t>
      </w:r>
      <w:r w:rsidR="00D25204" w:rsidRPr="005A3969">
        <w:rPr>
          <w:rFonts w:ascii="Gadugi" w:hAnsi="Gadugi" w:cs="Open Sans"/>
        </w:rPr>
        <w:t>, de los 30 días a los que se refiere el numeral 1</w:t>
      </w:r>
      <w:r w:rsidR="00366963" w:rsidRPr="005A3969">
        <w:rPr>
          <w:rFonts w:ascii="Gadugi" w:hAnsi="Gadugi" w:cs="Open Sans"/>
        </w:rPr>
        <w:t>, que, si se quiere, es una norma diseñada fundamentalmente para la etapa de la integración de la litis, con el propósito</w:t>
      </w:r>
      <w:r w:rsidR="00A70E14" w:rsidRPr="005A3969">
        <w:rPr>
          <w:rFonts w:ascii="Gadugi" w:hAnsi="Gadugi" w:cs="Open Sans"/>
        </w:rPr>
        <w:t xml:space="preserve"> </w:t>
      </w:r>
      <w:r w:rsidR="00366963" w:rsidRPr="005A3969">
        <w:rPr>
          <w:rFonts w:ascii="Gadugi" w:hAnsi="Gadugi" w:cs="Open Sans"/>
        </w:rPr>
        <w:t xml:space="preserve">claro de que el proceso no se paralice, por ejemplo, por la deficiencia de </w:t>
      </w:r>
      <w:r w:rsidR="00A70E14" w:rsidRPr="005A3969">
        <w:rPr>
          <w:rFonts w:ascii="Gadugi" w:hAnsi="Gadugi" w:cs="Open Sans"/>
        </w:rPr>
        <w:t xml:space="preserve">la parte demandante en la notificación del auto admisorio, o del mandamiento ejecutivo, o </w:t>
      </w:r>
      <w:r w:rsidR="00AC4782" w:rsidRPr="005A3969">
        <w:rPr>
          <w:rFonts w:ascii="Gadugi" w:hAnsi="Gadugi" w:cs="Open Sans"/>
        </w:rPr>
        <w:t xml:space="preserve">del auto que admite el llamamiento en garantía, </w:t>
      </w:r>
      <w:r w:rsidR="00A70E14" w:rsidRPr="005A3969">
        <w:rPr>
          <w:rFonts w:ascii="Gadugi" w:hAnsi="Gadugi" w:cs="Open Sans"/>
        </w:rPr>
        <w:t>o el adelantamiento de un incidente</w:t>
      </w:r>
      <w:r w:rsidR="00AC4782" w:rsidRPr="005A3969">
        <w:rPr>
          <w:rFonts w:ascii="Gadugi" w:hAnsi="Gadugi" w:cs="Open Sans"/>
        </w:rPr>
        <w:t xml:space="preserve">. </w:t>
      </w:r>
    </w:p>
    <w:p w14:paraId="1B17347C" w14:textId="77777777" w:rsidR="00AC4782" w:rsidRPr="005A3969" w:rsidRDefault="00AC4782" w:rsidP="005A3969">
      <w:pPr>
        <w:pStyle w:val="NormalWeb"/>
        <w:tabs>
          <w:tab w:val="left" w:pos="426"/>
        </w:tabs>
        <w:spacing w:before="0" w:beforeAutospacing="0" w:after="0" w:afterAutospacing="0" w:line="276" w:lineRule="auto"/>
        <w:jc w:val="both"/>
        <w:rPr>
          <w:rFonts w:ascii="Gadugi" w:hAnsi="Gadugi" w:cs="Open Sans"/>
        </w:rPr>
      </w:pPr>
    </w:p>
    <w:p w14:paraId="4F5F049B" w14:textId="62E31918" w:rsidR="00AC4782" w:rsidRPr="005A3969" w:rsidRDefault="00AC4782" w:rsidP="005A3969">
      <w:pPr>
        <w:pStyle w:val="NormalWeb"/>
        <w:tabs>
          <w:tab w:val="left" w:pos="426"/>
        </w:tabs>
        <w:spacing w:before="0" w:beforeAutospacing="0" w:after="0" w:afterAutospacing="0" w:line="276" w:lineRule="auto"/>
        <w:jc w:val="both"/>
        <w:rPr>
          <w:rFonts w:ascii="Gadugi" w:hAnsi="Gadugi" w:cs="Open Sans"/>
        </w:rPr>
      </w:pPr>
      <w:r w:rsidRPr="005A3969">
        <w:rPr>
          <w:rFonts w:ascii="Gadugi" w:hAnsi="Gadugi" w:cs="Open Sans"/>
        </w:rPr>
        <w:t xml:space="preserve">En estricto sentido, diríase que en un proceso declarativo esta forma especial de terminación resultaría </w:t>
      </w:r>
      <w:r w:rsidR="00E80C4D" w:rsidRPr="005A3969">
        <w:rPr>
          <w:rFonts w:ascii="Gadugi" w:hAnsi="Gadugi" w:cs="Open Sans"/>
        </w:rPr>
        <w:t>inaplicable, dado que, producida la sentencia y en firm</w:t>
      </w:r>
      <w:r w:rsidR="007C528A" w:rsidRPr="005A3969">
        <w:rPr>
          <w:rFonts w:ascii="Gadugi" w:hAnsi="Gadugi" w:cs="Open Sans"/>
        </w:rPr>
        <w:t>e</w:t>
      </w:r>
      <w:r w:rsidR="00E80C4D" w:rsidRPr="005A3969">
        <w:rPr>
          <w:rFonts w:ascii="Gadugi" w:hAnsi="Gadugi" w:cs="Open Sans"/>
        </w:rPr>
        <w:t xml:space="preserve"> la liquidación de costas, el proceso debe pasar al archivo, con independencia eso sí, de que luego se pueda ejecutar, lo que indicaría que ya no sería un asunto de aquella naturaleza, sino coercitivo. P</w:t>
      </w:r>
      <w:r w:rsidR="00BD5CC1" w:rsidRPr="005A3969">
        <w:rPr>
          <w:rFonts w:ascii="Gadugi" w:hAnsi="Gadugi" w:cs="Open Sans"/>
        </w:rPr>
        <w:t>or</w:t>
      </w:r>
      <w:r w:rsidR="00E80C4D" w:rsidRPr="005A3969">
        <w:rPr>
          <w:rFonts w:ascii="Gadugi" w:hAnsi="Gadugi" w:cs="Open Sans"/>
        </w:rPr>
        <w:t xml:space="preserve"> eso, </w:t>
      </w:r>
      <w:r w:rsidR="00BE5C49" w:rsidRPr="005A3969">
        <w:rPr>
          <w:rFonts w:ascii="Gadugi" w:hAnsi="Gadugi" w:cs="Open Sans"/>
        </w:rPr>
        <w:t xml:space="preserve">al margen de esa percepción, </w:t>
      </w:r>
      <w:r w:rsidR="00E80C4D" w:rsidRPr="005A3969">
        <w:rPr>
          <w:rFonts w:ascii="Gadugi" w:hAnsi="Gadugi" w:cs="Open Sans"/>
        </w:rPr>
        <w:t>se antoja más propici</w:t>
      </w:r>
      <w:r w:rsidR="00CB4A2C" w:rsidRPr="005A3969">
        <w:rPr>
          <w:rFonts w:ascii="Gadugi" w:hAnsi="Gadugi" w:cs="Open Sans"/>
        </w:rPr>
        <w:t xml:space="preserve">a </w:t>
      </w:r>
      <w:r w:rsidR="00660EB6" w:rsidRPr="005A3969">
        <w:rPr>
          <w:rFonts w:ascii="Gadugi" w:hAnsi="Gadugi" w:cs="Open Sans"/>
        </w:rPr>
        <w:t xml:space="preserve">la figura </w:t>
      </w:r>
      <w:r w:rsidR="00CB4A2C" w:rsidRPr="005A3969">
        <w:rPr>
          <w:rFonts w:ascii="Gadugi" w:hAnsi="Gadugi" w:cs="Open Sans"/>
        </w:rPr>
        <w:t xml:space="preserve">para los procesos ejecutivos que, bien se sabe, no terminan con la sentencia o la orden de seguir adelante la ejecución, sino, por regla general, con el pago de la obligación. De ahí que muchos hayan criticado la procedencia de esta figura en un caso tal, por cuanto sería dejar sin efecto una sentencia o una providencia que hizo tránsito a cosa juzgada. </w:t>
      </w:r>
    </w:p>
    <w:p w14:paraId="63A9FBE9" w14:textId="77777777" w:rsidR="00CB4A2C" w:rsidRPr="005A3969" w:rsidRDefault="00CB4A2C" w:rsidP="005A3969">
      <w:pPr>
        <w:pStyle w:val="NormalWeb"/>
        <w:tabs>
          <w:tab w:val="left" w:pos="426"/>
        </w:tabs>
        <w:spacing w:before="0" w:beforeAutospacing="0" w:after="0" w:afterAutospacing="0" w:line="276" w:lineRule="auto"/>
        <w:jc w:val="both"/>
        <w:rPr>
          <w:rFonts w:ascii="Gadugi" w:hAnsi="Gadugi" w:cs="Open Sans"/>
        </w:rPr>
      </w:pPr>
    </w:p>
    <w:p w14:paraId="1EA027E3" w14:textId="7F354AA8" w:rsidR="00A10453" w:rsidRPr="005A3969" w:rsidRDefault="00CB4A2C" w:rsidP="005A3969">
      <w:pPr>
        <w:pStyle w:val="NormalWeb"/>
        <w:tabs>
          <w:tab w:val="left" w:pos="426"/>
        </w:tabs>
        <w:spacing w:before="0" w:beforeAutospacing="0" w:after="0" w:afterAutospacing="0" w:line="276" w:lineRule="auto"/>
        <w:jc w:val="both"/>
        <w:rPr>
          <w:rFonts w:ascii="Gadugi" w:hAnsi="Gadugi" w:cs="Open Sans"/>
        </w:rPr>
      </w:pPr>
      <w:r w:rsidRPr="005A3969">
        <w:rPr>
          <w:rFonts w:ascii="Gadugi" w:hAnsi="Gadugi" w:cs="Open Sans"/>
        </w:rPr>
        <w:t>Pero sea de ello lo que fuere, lo cierto es que la regla es clara. El desistimiento tácito</w:t>
      </w:r>
      <w:r w:rsidR="00BD5CC1" w:rsidRPr="005A3969">
        <w:rPr>
          <w:rFonts w:ascii="Gadugi" w:hAnsi="Gadugi" w:cs="Open Sans"/>
        </w:rPr>
        <w:t xml:space="preserve"> con el fin de ponerle fin al proceso mismo</w:t>
      </w:r>
      <w:r w:rsidR="00AC4A2B" w:rsidRPr="005A3969">
        <w:rPr>
          <w:rFonts w:ascii="Gadugi" w:hAnsi="Gadugi" w:cs="Open Sans"/>
        </w:rPr>
        <w:t xml:space="preserve"> y no a una actuación determinada</w:t>
      </w:r>
      <w:r w:rsidR="00BD5CC1" w:rsidRPr="005A3969">
        <w:rPr>
          <w:rFonts w:ascii="Gadugi" w:hAnsi="Gadugi" w:cs="Open Sans"/>
        </w:rPr>
        <w:t xml:space="preserve">, </w:t>
      </w:r>
      <w:r w:rsidRPr="005A3969">
        <w:rPr>
          <w:rFonts w:ascii="Gadugi" w:hAnsi="Gadugi" w:cs="Open Sans"/>
        </w:rPr>
        <w:t>cuando ya existe una de estas providencias, solo puede tener lugar por la inactividad superior a los dos años</w:t>
      </w:r>
      <w:r w:rsidR="00A10453" w:rsidRPr="005A3969">
        <w:rPr>
          <w:rFonts w:ascii="Gadugi" w:hAnsi="Gadugi" w:cs="Open Sans"/>
        </w:rPr>
        <w:t xml:space="preserve">. Es decir, que no </w:t>
      </w:r>
      <w:r w:rsidR="005A7177" w:rsidRPr="005A3969">
        <w:rPr>
          <w:rFonts w:ascii="Gadugi" w:hAnsi="Gadugi" w:cs="Open Sans"/>
        </w:rPr>
        <w:t xml:space="preserve">procede </w:t>
      </w:r>
      <w:r w:rsidR="00A10453" w:rsidRPr="005A3969">
        <w:rPr>
          <w:rFonts w:ascii="Gadugi" w:hAnsi="Gadugi" w:cs="Open Sans"/>
        </w:rPr>
        <w:t xml:space="preserve">en tal supuesto, por el requerimiento previo del numeral primero, ni por la inactividad superior a un año. </w:t>
      </w:r>
    </w:p>
    <w:p w14:paraId="4BF9C7EE" w14:textId="77777777" w:rsidR="00A10453" w:rsidRPr="005A3969" w:rsidRDefault="00A10453" w:rsidP="005A3969">
      <w:pPr>
        <w:pStyle w:val="NormalWeb"/>
        <w:tabs>
          <w:tab w:val="left" w:pos="426"/>
        </w:tabs>
        <w:spacing w:before="0" w:beforeAutospacing="0" w:after="0" w:afterAutospacing="0" w:line="276" w:lineRule="auto"/>
        <w:jc w:val="both"/>
        <w:rPr>
          <w:rFonts w:ascii="Gadugi" w:hAnsi="Gadugi" w:cs="Open Sans"/>
        </w:rPr>
      </w:pPr>
    </w:p>
    <w:p w14:paraId="025661F2" w14:textId="77777777" w:rsidR="00C84FB7" w:rsidRPr="005A3969" w:rsidRDefault="00A10453" w:rsidP="005A3969">
      <w:pPr>
        <w:pStyle w:val="NormalWeb"/>
        <w:tabs>
          <w:tab w:val="left" w:pos="426"/>
        </w:tabs>
        <w:spacing w:before="0" w:beforeAutospacing="0" w:after="0" w:afterAutospacing="0" w:line="276" w:lineRule="auto"/>
        <w:jc w:val="both"/>
        <w:rPr>
          <w:rFonts w:ascii="Gadugi" w:hAnsi="Gadugi" w:cs="Open Sans"/>
        </w:rPr>
      </w:pPr>
      <w:r w:rsidRPr="005A3969">
        <w:rPr>
          <w:rFonts w:ascii="Gadugi" w:hAnsi="Gadugi" w:cs="Open Sans"/>
        </w:rPr>
        <w:t>Recientemente</w:t>
      </w:r>
      <w:r w:rsidR="00590024" w:rsidRPr="005A3969">
        <w:rPr>
          <w:rFonts w:ascii="Gadugi" w:hAnsi="Gadugi" w:cs="Open Sans"/>
        </w:rPr>
        <w:t xml:space="preserve">, dijo la Sala de Casación Civil Agraria y Rural de la Corte, en </w:t>
      </w:r>
      <w:r w:rsidR="00ED603D" w:rsidRPr="005A3969">
        <w:rPr>
          <w:rFonts w:ascii="Gadugi" w:hAnsi="Gadugi" w:cs="Open Sans"/>
        </w:rPr>
        <w:t>la sentencia STC6838</w:t>
      </w:r>
      <w:r w:rsidR="00C84FB7" w:rsidRPr="005A3969">
        <w:rPr>
          <w:rFonts w:ascii="Gadugi" w:hAnsi="Gadugi" w:cs="Open Sans"/>
        </w:rPr>
        <w:t>-2023, que se trae como criterio auxiliar, que:</w:t>
      </w:r>
    </w:p>
    <w:p w14:paraId="3A60991E" w14:textId="77777777" w:rsidR="00C84FB7" w:rsidRPr="005A3969" w:rsidRDefault="00C84FB7" w:rsidP="005A3969">
      <w:pPr>
        <w:pStyle w:val="NormalWeb"/>
        <w:tabs>
          <w:tab w:val="left" w:pos="426"/>
        </w:tabs>
        <w:spacing w:before="0" w:beforeAutospacing="0" w:after="0" w:afterAutospacing="0" w:line="276" w:lineRule="auto"/>
        <w:jc w:val="both"/>
        <w:rPr>
          <w:rFonts w:ascii="Gadugi" w:hAnsi="Gadugi" w:cs="Open Sans"/>
        </w:rPr>
      </w:pPr>
    </w:p>
    <w:p w14:paraId="7630F87A" w14:textId="77777777" w:rsidR="00F86E6A" w:rsidRPr="005A3969" w:rsidRDefault="00F86E6A" w:rsidP="00AC4584">
      <w:pPr>
        <w:tabs>
          <w:tab w:val="left" w:pos="1276"/>
        </w:tabs>
        <w:ind w:left="426" w:right="420"/>
        <w:contextualSpacing/>
        <w:jc w:val="both"/>
        <w:rPr>
          <w:sz w:val="24"/>
          <w:szCs w:val="24"/>
          <w:lang w:eastAsia="es-CO"/>
        </w:rPr>
      </w:pPr>
      <w:r w:rsidRPr="005A3969">
        <w:rPr>
          <w:rFonts w:cs="Arial"/>
          <w:sz w:val="24"/>
          <w:szCs w:val="24"/>
          <w:lang w:eastAsia="es-CO"/>
        </w:rPr>
        <w:t>3. El numeral 2° del artículo 317 del Código General del Proceso estipula que se entenderá desistido el proceso tácitamente cuando «</w:t>
      </w:r>
      <w:r w:rsidRPr="005A3969">
        <w:rPr>
          <w:rFonts w:cs="Arial"/>
          <w:i/>
          <w:iCs/>
          <w:sz w:val="24"/>
          <w:szCs w:val="24"/>
          <w:lang w:eastAsia="es-CO"/>
        </w:rPr>
        <w:t>permanezca inactivo en la secretaría del despacho, porque no se solicita o realiza ninguna actuación durante el plazo de un (1) año en primera o única instancia, contados desde el día siguiente a la última notificación o desde la última diligencia o actuación</w:t>
      </w:r>
      <w:r w:rsidRPr="005A3969">
        <w:rPr>
          <w:rFonts w:cs="Arial"/>
          <w:sz w:val="24"/>
          <w:szCs w:val="24"/>
          <w:lang w:eastAsia="es-CO"/>
        </w:rPr>
        <w:t xml:space="preserve">», pero </w:t>
      </w:r>
      <w:r w:rsidRPr="005A3969">
        <w:rPr>
          <w:rFonts w:cs="Arial"/>
          <w:i/>
          <w:iCs/>
          <w:sz w:val="24"/>
          <w:szCs w:val="24"/>
          <w:lang w:eastAsia="es-CO"/>
        </w:rPr>
        <w:t xml:space="preserve">«si el proceso cuenta con sentencia ejecutoriada a favor del demandante o auto que ordena seguir adelante la ejecución, el plazo previsto </w:t>
      </w:r>
      <w:r w:rsidRPr="005A3969">
        <w:rPr>
          <w:rFonts w:cs="Bookman Old Style"/>
          <w:sz w:val="24"/>
          <w:szCs w:val="24"/>
        </w:rPr>
        <w:t>[…]</w:t>
      </w:r>
      <w:r w:rsidRPr="005A3969">
        <w:rPr>
          <w:rFonts w:cs="Arial"/>
          <w:i/>
          <w:iCs/>
          <w:sz w:val="24"/>
          <w:szCs w:val="24"/>
          <w:lang w:eastAsia="es-CO"/>
        </w:rPr>
        <w:t xml:space="preserve"> será de dos (2) años</w:t>
      </w:r>
      <w:r w:rsidRPr="005A3969">
        <w:rPr>
          <w:rFonts w:cs="Arial"/>
          <w:sz w:val="24"/>
          <w:szCs w:val="24"/>
          <w:lang w:eastAsia="es-CO"/>
        </w:rPr>
        <w:t xml:space="preserve">», término que se interrumpirá por </w:t>
      </w:r>
      <w:r w:rsidRPr="005A3969">
        <w:rPr>
          <w:rFonts w:cs="Arial"/>
          <w:i/>
          <w:iCs/>
          <w:sz w:val="24"/>
          <w:szCs w:val="24"/>
          <w:lang w:eastAsia="es-CO"/>
        </w:rPr>
        <w:t>«cualquier actuación, de oficio o a petición de parte</w:t>
      </w:r>
      <w:r w:rsidRPr="005A3969">
        <w:rPr>
          <w:rFonts w:cs="Arial"/>
          <w:sz w:val="24"/>
          <w:szCs w:val="24"/>
          <w:lang w:eastAsia="es-CO"/>
        </w:rPr>
        <w:t>».</w:t>
      </w:r>
    </w:p>
    <w:p w14:paraId="4FB960BF" w14:textId="77777777" w:rsidR="00F86E6A" w:rsidRPr="005A3969" w:rsidRDefault="00F86E6A" w:rsidP="00AC4584">
      <w:pPr>
        <w:ind w:left="426" w:right="420"/>
        <w:contextualSpacing/>
        <w:jc w:val="both"/>
        <w:rPr>
          <w:rFonts w:cs="Arial"/>
          <w:sz w:val="24"/>
          <w:szCs w:val="24"/>
          <w:lang w:eastAsia="es-CO"/>
        </w:rPr>
      </w:pPr>
    </w:p>
    <w:p w14:paraId="15C1661E" w14:textId="77777777" w:rsidR="00F86E6A" w:rsidRPr="005A3969" w:rsidRDefault="00F86E6A" w:rsidP="00AC4584">
      <w:pPr>
        <w:tabs>
          <w:tab w:val="left" w:pos="1418"/>
        </w:tabs>
        <w:ind w:left="426" w:right="420"/>
        <w:contextualSpacing/>
        <w:jc w:val="both"/>
        <w:rPr>
          <w:rFonts w:cs="Arial"/>
          <w:sz w:val="24"/>
          <w:szCs w:val="24"/>
          <w:lang w:eastAsia="es-CO"/>
        </w:rPr>
      </w:pPr>
      <w:r w:rsidRPr="005A3969">
        <w:rPr>
          <w:rFonts w:cs="Arial"/>
          <w:sz w:val="24"/>
          <w:szCs w:val="24"/>
        </w:rPr>
        <w:t>Ahora bien, en cuanto a lo que se debe entender por «</w:t>
      </w:r>
      <w:r w:rsidRPr="005A3969">
        <w:rPr>
          <w:rFonts w:cs="Arial"/>
          <w:i/>
          <w:iCs/>
          <w:sz w:val="24"/>
          <w:szCs w:val="24"/>
        </w:rPr>
        <w:t>cualquier actuación»,</w:t>
      </w:r>
      <w:r w:rsidRPr="005A3969">
        <w:rPr>
          <w:rFonts w:cs="Arial"/>
          <w:sz w:val="24"/>
          <w:szCs w:val="24"/>
        </w:rPr>
        <w:t xml:space="preserve"> esta Sala, en Sentencia STC11191-2020, puntualizó que tal supuesto </w:t>
      </w:r>
      <w:r w:rsidRPr="005A3969">
        <w:rPr>
          <w:rFonts w:cs="Arial"/>
          <w:iCs/>
          <w:sz w:val="24"/>
          <w:szCs w:val="24"/>
          <w:lang w:eastAsia="es-CO"/>
        </w:rPr>
        <w:t xml:space="preserve">debe esclarecerse a la luz de las finalidades y principios que sustentan el desistimiento tácito y no bajo su simple </w:t>
      </w:r>
      <w:r w:rsidRPr="005A3969">
        <w:rPr>
          <w:rFonts w:cs="Arial"/>
          <w:i/>
          <w:sz w:val="24"/>
          <w:szCs w:val="24"/>
          <w:lang w:eastAsia="es-CO"/>
        </w:rPr>
        <w:t>«lectura gramatical»</w:t>
      </w:r>
      <w:r w:rsidRPr="005A3969">
        <w:rPr>
          <w:rFonts w:cs="Arial"/>
          <w:iCs/>
          <w:sz w:val="24"/>
          <w:szCs w:val="24"/>
          <w:lang w:eastAsia="es-CO"/>
        </w:rPr>
        <w:t xml:space="preserve">. </w:t>
      </w:r>
      <w:r w:rsidRPr="005A3969">
        <w:rPr>
          <w:rFonts w:cs="Arial"/>
          <w:sz w:val="24"/>
          <w:szCs w:val="24"/>
          <w:lang w:eastAsia="es-CO"/>
        </w:rPr>
        <w:t xml:space="preserve">Así, entonces, dado que dicha institución jurídica busca solucionar la parálisis de los procesos y con ello redundar en el adecuado funcionamiento de la administración de justicia, </w:t>
      </w:r>
      <w:r w:rsidRPr="005A3969">
        <w:rPr>
          <w:rFonts w:cs="Arial"/>
          <w:i/>
          <w:sz w:val="24"/>
          <w:szCs w:val="24"/>
          <w:lang w:eastAsia="es-CO"/>
        </w:rPr>
        <w:t>el acto</w:t>
      </w:r>
      <w:r w:rsidRPr="005A3969">
        <w:rPr>
          <w:rFonts w:cs="Arial"/>
          <w:sz w:val="24"/>
          <w:szCs w:val="24"/>
          <w:lang w:eastAsia="es-CO"/>
        </w:rPr>
        <w:t xml:space="preserve"> que conforme al literal c) de dicho precepto interrumpe los términos para que se decrete su terminación anticipada, </w:t>
      </w:r>
      <w:r w:rsidRPr="005A3969">
        <w:rPr>
          <w:rFonts w:cs="Arial"/>
          <w:i/>
          <w:sz w:val="24"/>
          <w:szCs w:val="24"/>
          <w:lang w:eastAsia="es-CO"/>
        </w:rPr>
        <w:t>es aquel que</w:t>
      </w:r>
      <w:r w:rsidRPr="005A3969">
        <w:rPr>
          <w:rFonts w:cs="Arial"/>
          <w:sz w:val="24"/>
          <w:szCs w:val="24"/>
          <w:lang w:eastAsia="es-CO"/>
        </w:rPr>
        <w:t xml:space="preserve"> conduzca a definir la controversia o a poner en marcha los procedimientos necesarios para la satisfacción de las prerrogativas que a través de ella se pretenden hacer valer.</w:t>
      </w:r>
    </w:p>
    <w:p w14:paraId="37774180" w14:textId="77777777" w:rsidR="00F86E6A" w:rsidRPr="005A3969" w:rsidRDefault="00F86E6A" w:rsidP="00AC4584">
      <w:pPr>
        <w:tabs>
          <w:tab w:val="left" w:pos="1418"/>
        </w:tabs>
        <w:ind w:left="426" w:right="420"/>
        <w:contextualSpacing/>
        <w:jc w:val="both"/>
        <w:rPr>
          <w:rFonts w:cs="Arial"/>
          <w:iCs/>
          <w:sz w:val="24"/>
          <w:szCs w:val="24"/>
          <w:lang w:eastAsia="es-CO"/>
        </w:rPr>
      </w:pPr>
    </w:p>
    <w:p w14:paraId="7518929B" w14:textId="77777777" w:rsidR="00F86E6A" w:rsidRPr="005A3969" w:rsidRDefault="00F86E6A" w:rsidP="00AC4584">
      <w:pPr>
        <w:ind w:left="426" w:right="420"/>
        <w:contextualSpacing/>
        <w:jc w:val="both"/>
        <w:rPr>
          <w:rFonts w:cs="Arial"/>
          <w:sz w:val="24"/>
          <w:szCs w:val="24"/>
          <w:lang w:eastAsia="es-CO"/>
        </w:rPr>
      </w:pPr>
      <w:r w:rsidRPr="005A3969">
        <w:rPr>
          <w:rFonts w:cs="Arial"/>
          <w:sz w:val="24"/>
          <w:szCs w:val="24"/>
          <w:lang w:eastAsia="es-CO"/>
        </w:rPr>
        <w:t xml:space="preserve">También señaló la Corte, que la actuación debe ser </w:t>
      </w:r>
      <w:r w:rsidRPr="005A3969">
        <w:rPr>
          <w:rFonts w:cs="Arial"/>
          <w:b/>
          <w:sz w:val="24"/>
          <w:szCs w:val="24"/>
          <w:lang w:eastAsia="es-CO"/>
        </w:rPr>
        <w:t>apta</w:t>
      </w:r>
      <w:r w:rsidRPr="005A3969">
        <w:rPr>
          <w:rFonts w:cs="Arial"/>
          <w:sz w:val="24"/>
          <w:szCs w:val="24"/>
          <w:lang w:eastAsia="es-CO"/>
        </w:rPr>
        <w:t xml:space="preserve"> y </w:t>
      </w:r>
      <w:r w:rsidRPr="005A3969">
        <w:rPr>
          <w:rFonts w:cs="Arial"/>
          <w:b/>
          <w:sz w:val="24"/>
          <w:szCs w:val="24"/>
          <w:lang w:eastAsia="es-CO"/>
        </w:rPr>
        <w:t>apropiada</w:t>
      </w:r>
      <w:r w:rsidRPr="005A3969">
        <w:rPr>
          <w:rFonts w:cs="Arial"/>
          <w:sz w:val="24"/>
          <w:szCs w:val="24"/>
          <w:lang w:eastAsia="es-CO"/>
        </w:rPr>
        <w:t xml:space="preserve"> para </w:t>
      </w:r>
      <w:r w:rsidRPr="005A3969">
        <w:rPr>
          <w:rFonts w:cs="Arial"/>
          <w:sz w:val="24"/>
          <w:szCs w:val="24"/>
          <w:lang w:eastAsia="es-CO"/>
        </w:rPr>
        <w:lastRenderedPageBreak/>
        <w:t xml:space="preserve">impulsar el proceso hacia su finalidad, por lo que </w:t>
      </w:r>
      <w:r w:rsidRPr="005A3969">
        <w:rPr>
          <w:rFonts w:cs="Arial"/>
          <w:i/>
          <w:iCs/>
          <w:sz w:val="24"/>
          <w:szCs w:val="24"/>
          <w:lang w:eastAsia="es-CO"/>
        </w:rPr>
        <w:t xml:space="preserve">«simples solicitudes de copias o sin propósitos serios de solución de la controversia, derechos de petición intrascendentes o inanes frente al petitum o causa petendi» </w:t>
      </w:r>
      <w:r w:rsidRPr="005A3969">
        <w:rPr>
          <w:rFonts w:cs="Arial"/>
          <w:sz w:val="24"/>
          <w:szCs w:val="24"/>
          <w:lang w:eastAsia="es-CO"/>
        </w:rPr>
        <w:t xml:space="preserve">carecen de esos efectos, ya que, en principio, no lo </w:t>
      </w:r>
      <w:r w:rsidRPr="005A3969">
        <w:rPr>
          <w:rFonts w:cs="Arial"/>
          <w:i/>
          <w:iCs/>
          <w:sz w:val="24"/>
          <w:szCs w:val="24"/>
          <w:lang w:eastAsia="es-CO"/>
        </w:rPr>
        <w:t>«ponen en marcha»</w:t>
      </w:r>
      <w:r w:rsidRPr="005A3969">
        <w:rPr>
          <w:rFonts w:cs="Arial"/>
          <w:sz w:val="24"/>
          <w:szCs w:val="24"/>
          <w:lang w:eastAsia="es-CO"/>
        </w:rPr>
        <w:t xml:space="preserve"> (CSJ. STC4021-2020, reiterada en CSJ STC9945-2020].</w:t>
      </w:r>
    </w:p>
    <w:p w14:paraId="4ABD2C9C" w14:textId="77777777" w:rsidR="00F86E6A" w:rsidRPr="005A3969" w:rsidRDefault="00F86E6A" w:rsidP="00AC4584">
      <w:pPr>
        <w:keepNext/>
        <w:tabs>
          <w:tab w:val="left" w:pos="1560"/>
        </w:tabs>
        <w:ind w:left="426" w:right="420"/>
        <w:contextualSpacing/>
        <w:jc w:val="both"/>
        <w:rPr>
          <w:rFonts w:cs="Arial"/>
          <w:sz w:val="24"/>
          <w:szCs w:val="24"/>
          <w:lang w:eastAsia="es-CO"/>
        </w:rPr>
      </w:pPr>
    </w:p>
    <w:p w14:paraId="56653084" w14:textId="77777777" w:rsidR="00F86E6A" w:rsidRPr="005A3969" w:rsidRDefault="00F86E6A" w:rsidP="00AC4584">
      <w:pPr>
        <w:keepNext/>
        <w:tabs>
          <w:tab w:val="left" w:pos="1560"/>
        </w:tabs>
        <w:ind w:left="426" w:right="420"/>
        <w:contextualSpacing/>
        <w:jc w:val="both"/>
        <w:rPr>
          <w:rFonts w:cs="Arial"/>
          <w:sz w:val="24"/>
          <w:szCs w:val="24"/>
        </w:rPr>
      </w:pPr>
      <w:r w:rsidRPr="005A3969">
        <w:rPr>
          <w:rFonts w:cs="Arial"/>
          <w:sz w:val="24"/>
          <w:szCs w:val="24"/>
          <w:lang w:eastAsia="es-CO"/>
        </w:rPr>
        <w:t xml:space="preserve">De suerte que, si se trata de un proceso ejecutivo con </w:t>
      </w:r>
      <w:r w:rsidRPr="005A3969">
        <w:rPr>
          <w:rFonts w:cs="Arial"/>
          <w:i/>
          <w:iCs/>
          <w:sz w:val="24"/>
          <w:szCs w:val="24"/>
          <w:lang w:eastAsia="es-CO"/>
        </w:rPr>
        <w:t>«sentencia o auto que ordena seguir adelante la ejecución»</w:t>
      </w:r>
      <w:r w:rsidRPr="005A3969">
        <w:rPr>
          <w:rFonts w:cs="Arial"/>
          <w:sz w:val="24"/>
          <w:szCs w:val="24"/>
          <w:lang w:eastAsia="es-CO"/>
        </w:rPr>
        <w:t xml:space="preserve">, la actuación que tendrá esa connotación será la relacionada con las fases siguientes a dicha etapa, como lo son las </w:t>
      </w:r>
      <w:r w:rsidRPr="005A3969">
        <w:rPr>
          <w:rFonts w:cs="Arial"/>
          <w:i/>
          <w:iCs/>
          <w:sz w:val="24"/>
          <w:szCs w:val="24"/>
          <w:lang w:eastAsia="es-CO"/>
        </w:rPr>
        <w:t xml:space="preserve">«liquidaciones de costas y de crédito», </w:t>
      </w:r>
      <w:r w:rsidRPr="005A3969">
        <w:rPr>
          <w:rFonts w:cs="Arial"/>
          <w:sz w:val="24"/>
          <w:szCs w:val="24"/>
          <w:lang w:eastAsia="es-CO"/>
        </w:rPr>
        <w:t>sus</w:t>
      </w:r>
      <w:r w:rsidRPr="005A3969">
        <w:rPr>
          <w:rFonts w:cs="Arial"/>
          <w:i/>
          <w:iCs/>
          <w:sz w:val="24"/>
          <w:szCs w:val="24"/>
          <w:lang w:eastAsia="es-CO"/>
        </w:rPr>
        <w:t xml:space="preserve"> </w:t>
      </w:r>
      <w:r w:rsidRPr="005A3969">
        <w:rPr>
          <w:rFonts w:cs="Arial"/>
          <w:iCs/>
          <w:sz w:val="24"/>
          <w:szCs w:val="24"/>
          <w:lang w:eastAsia="es-CO"/>
        </w:rPr>
        <w:t>actualizaciones</w:t>
      </w:r>
      <w:r w:rsidRPr="005A3969">
        <w:rPr>
          <w:rFonts w:cs="Arial"/>
          <w:sz w:val="24"/>
          <w:szCs w:val="24"/>
          <w:lang w:eastAsia="es-CO"/>
        </w:rPr>
        <w:t xml:space="preserve"> y aquellas encaminadas a satisfacer la obligación cobrada. (CSJ. STC11191-2020 </w:t>
      </w:r>
      <w:r w:rsidRPr="005A3969">
        <w:rPr>
          <w:sz w:val="24"/>
          <w:szCs w:val="24"/>
        </w:rPr>
        <w:t xml:space="preserve">reiterada en </w:t>
      </w:r>
      <w:r w:rsidRPr="005A3969">
        <w:rPr>
          <w:rFonts w:cs="Arial"/>
          <w:sz w:val="24"/>
          <w:szCs w:val="24"/>
        </w:rPr>
        <w:t>STC1130-2021 y, STC2400-2023, entre muchas).</w:t>
      </w:r>
    </w:p>
    <w:p w14:paraId="0AB3EFA8" w14:textId="77777777" w:rsidR="008B1763" w:rsidRPr="005A3969" w:rsidRDefault="008B1763" w:rsidP="005A3969">
      <w:pPr>
        <w:keepNext/>
        <w:tabs>
          <w:tab w:val="left" w:pos="1560"/>
        </w:tabs>
        <w:spacing w:line="276" w:lineRule="auto"/>
        <w:ind w:left="567" w:right="618"/>
        <w:contextualSpacing/>
        <w:jc w:val="both"/>
        <w:rPr>
          <w:rFonts w:cs="Arial"/>
          <w:sz w:val="24"/>
          <w:szCs w:val="24"/>
        </w:rPr>
      </w:pPr>
    </w:p>
    <w:p w14:paraId="28E1BC9F" w14:textId="641D5D7F" w:rsidR="008B1763" w:rsidRPr="005A3969" w:rsidRDefault="008B1763" w:rsidP="005A3969">
      <w:pPr>
        <w:keepNext/>
        <w:tabs>
          <w:tab w:val="left" w:pos="1560"/>
        </w:tabs>
        <w:spacing w:line="276" w:lineRule="auto"/>
        <w:ind w:right="51"/>
        <w:contextualSpacing/>
        <w:jc w:val="both"/>
        <w:rPr>
          <w:rFonts w:cs="Arial"/>
          <w:sz w:val="24"/>
          <w:szCs w:val="24"/>
        </w:rPr>
      </w:pPr>
      <w:r w:rsidRPr="005A3969">
        <w:rPr>
          <w:rFonts w:cs="Arial"/>
          <w:sz w:val="24"/>
          <w:szCs w:val="24"/>
        </w:rPr>
        <w:t xml:space="preserve">Se observa que, actuaciones como la que </w:t>
      </w:r>
      <w:r w:rsidR="00C8448E" w:rsidRPr="005A3969">
        <w:rPr>
          <w:rFonts w:cs="Arial"/>
          <w:sz w:val="24"/>
          <w:szCs w:val="24"/>
        </w:rPr>
        <w:t xml:space="preserve">el juzgado exigió en este caso, esto es, la actualización de la liquidación del crédito, son de aquellas que se enmarcan </w:t>
      </w:r>
      <w:r w:rsidR="00E15312" w:rsidRPr="005A3969">
        <w:rPr>
          <w:rFonts w:cs="Arial"/>
          <w:sz w:val="24"/>
          <w:szCs w:val="24"/>
        </w:rPr>
        <w:t>en</w:t>
      </w:r>
      <w:r w:rsidR="00C8448E" w:rsidRPr="005A3969">
        <w:rPr>
          <w:rFonts w:cs="Arial"/>
          <w:sz w:val="24"/>
          <w:szCs w:val="24"/>
        </w:rPr>
        <w:t xml:space="preserve"> de las que </w:t>
      </w:r>
      <w:r w:rsidR="003E3041" w:rsidRPr="005A3969">
        <w:rPr>
          <w:rFonts w:cs="Arial"/>
          <w:sz w:val="24"/>
          <w:szCs w:val="24"/>
        </w:rPr>
        <w:t xml:space="preserve">sirven para impedir que se cumplan los dos años de inactividad y que se le ponga fin al proceso </w:t>
      </w:r>
      <w:r w:rsidR="00EC6392" w:rsidRPr="005A3969">
        <w:rPr>
          <w:rFonts w:cs="Arial"/>
          <w:sz w:val="24"/>
          <w:szCs w:val="24"/>
        </w:rPr>
        <w:t xml:space="preserve">de manera anormal. </w:t>
      </w:r>
    </w:p>
    <w:p w14:paraId="478B3A81" w14:textId="77777777" w:rsidR="00EC6392" w:rsidRPr="005A3969" w:rsidRDefault="00EC6392" w:rsidP="005A3969">
      <w:pPr>
        <w:keepNext/>
        <w:tabs>
          <w:tab w:val="left" w:pos="1560"/>
        </w:tabs>
        <w:spacing w:line="276" w:lineRule="auto"/>
        <w:ind w:right="51"/>
        <w:contextualSpacing/>
        <w:jc w:val="both"/>
        <w:rPr>
          <w:rFonts w:cs="Arial"/>
          <w:sz w:val="24"/>
          <w:szCs w:val="24"/>
        </w:rPr>
      </w:pPr>
    </w:p>
    <w:p w14:paraId="796A4413" w14:textId="6EBB4F2F" w:rsidR="00EC6392" w:rsidRPr="005A3969" w:rsidRDefault="00EC6392" w:rsidP="005A3969">
      <w:pPr>
        <w:keepNext/>
        <w:tabs>
          <w:tab w:val="left" w:pos="1560"/>
        </w:tabs>
        <w:spacing w:line="276" w:lineRule="auto"/>
        <w:ind w:right="51"/>
        <w:contextualSpacing/>
        <w:jc w:val="both"/>
        <w:rPr>
          <w:rFonts w:cs="Arial"/>
          <w:sz w:val="24"/>
          <w:szCs w:val="24"/>
        </w:rPr>
      </w:pPr>
      <w:r w:rsidRPr="005A3969">
        <w:rPr>
          <w:rFonts w:cs="Arial"/>
          <w:sz w:val="24"/>
          <w:szCs w:val="24"/>
        </w:rPr>
        <w:t xml:space="preserve">Ya lo había señalado con mayor precisión la misma Corporación en la sentencia </w:t>
      </w:r>
      <w:r w:rsidR="00CF097A" w:rsidRPr="005A3969">
        <w:rPr>
          <w:rFonts w:cs="Arial"/>
          <w:sz w:val="24"/>
          <w:szCs w:val="24"/>
        </w:rPr>
        <w:t>STC</w:t>
      </w:r>
      <w:r w:rsidR="006B0257" w:rsidRPr="005A3969">
        <w:rPr>
          <w:rFonts w:cs="Arial"/>
          <w:sz w:val="24"/>
          <w:szCs w:val="24"/>
        </w:rPr>
        <w:t xml:space="preserve">16056-2018, en la que indicó que: </w:t>
      </w:r>
    </w:p>
    <w:p w14:paraId="145A5314" w14:textId="77777777" w:rsidR="006B0257" w:rsidRPr="005A3969" w:rsidRDefault="006B0257" w:rsidP="005A3969">
      <w:pPr>
        <w:keepNext/>
        <w:tabs>
          <w:tab w:val="left" w:pos="1560"/>
        </w:tabs>
        <w:spacing w:line="276" w:lineRule="auto"/>
        <w:ind w:right="51"/>
        <w:contextualSpacing/>
        <w:jc w:val="both"/>
        <w:rPr>
          <w:rFonts w:cs="Arial"/>
          <w:color w:val="FF0000"/>
          <w:sz w:val="24"/>
          <w:szCs w:val="24"/>
        </w:rPr>
      </w:pPr>
    </w:p>
    <w:p w14:paraId="7D573BD9" w14:textId="77777777" w:rsidR="006B0257" w:rsidRPr="005A3969" w:rsidRDefault="006B0257" w:rsidP="005A3969">
      <w:pPr>
        <w:keepNext/>
        <w:tabs>
          <w:tab w:val="left" w:pos="1560"/>
        </w:tabs>
        <w:spacing w:line="276" w:lineRule="auto"/>
        <w:ind w:right="51"/>
        <w:contextualSpacing/>
        <w:jc w:val="both"/>
        <w:rPr>
          <w:rFonts w:cs="Arial"/>
          <w:color w:val="FF0000"/>
          <w:sz w:val="24"/>
          <w:szCs w:val="24"/>
        </w:rPr>
      </w:pPr>
    </w:p>
    <w:p w14:paraId="10FA6AB6" w14:textId="28F19F6C" w:rsidR="006B0257" w:rsidRPr="005A3969" w:rsidRDefault="006B0257" w:rsidP="00AC4584">
      <w:pPr>
        <w:ind w:left="426" w:right="420"/>
        <w:jc w:val="both"/>
        <w:rPr>
          <w:rFonts w:cs="Arial"/>
          <w:sz w:val="24"/>
          <w:szCs w:val="24"/>
        </w:rPr>
      </w:pPr>
      <w:r w:rsidRPr="005A3969">
        <w:rPr>
          <w:rFonts w:cs="Arial"/>
          <w:sz w:val="24"/>
          <w:szCs w:val="24"/>
        </w:rPr>
        <w:t>…</w:t>
      </w:r>
      <w:r w:rsidR="00AC4584">
        <w:rPr>
          <w:rFonts w:cs="Arial"/>
          <w:sz w:val="24"/>
          <w:szCs w:val="24"/>
        </w:rPr>
        <w:t xml:space="preserve"> </w:t>
      </w:r>
      <w:r w:rsidRPr="005A3969">
        <w:rPr>
          <w:rFonts w:cs="Arial"/>
          <w:sz w:val="24"/>
          <w:szCs w:val="24"/>
        </w:rPr>
        <w:t xml:space="preserve">al tratarse de un decurso que ya tenía sentencia desde el 2010, es axiomático que solamente era pasible de la sanción contemplada en el canon 317 de la Ley 1564 de 2012, siempre que, esta era la condición, tal discusión permaneciera totalmente inactiva durante dos (2) años consecutivos, según lo dispone el literal b, numeral 2, artículo 317 ib., según el cual </w:t>
      </w:r>
      <w:r w:rsidRPr="005A3969">
        <w:rPr>
          <w:rFonts w:cs="Arial"/>
          <w:i/>
          <w:sz w:val="24"/>
          <w:szCs w:val="24"/>
        </w:rPr>
        <w:t xml:space="preserve">«[s]i el proceso cuenta con sentencia ejecutoriada a favor del demandante o auto que ordena seguir adelante la ejecución, el plazo previsto en este numeral será de dos (2) años (…)», </w:t>
      </w:r>
      <w:r w:rsidRPr="005A3969">
        <w:rPr>
          <w:rFonts w:cs="Arial"/>
          <w:sz w:val="24"/>
          <w:szCs w:val="24"/>
        </w:rPr>
        <w:t xml:space="preserve">panorama que no aconteció en este suceso, en el que ese lapso fue interrumpido por la actora el 28 de septiembre de 2015. </w:t>
      </w:r>
    </w:p>
    <w:p w14:paraId="6D44EE0E" w14:textId="77777777" w:rsidR="00C17EB4" w:rsidRPr="005A3969" w:rsidRDefault="00C17EB4" w:rsidP="005A3969">
      <w:pPr>
        <w:spacing w:line="276" w:lineRule="auto"/>
        <w:ind w:right="618"/>
        <w:jc w:val="both"/>
        <w:rPr>
          <w:rFonts w:cs="Arial"/>
          <w:sz w:val="24"/>
          <w:szCs w:val="24"/>
        </w:rPr>
      </w:pPr>
    </w:p>
    <w:p w14:paraId="506A01BF" w14:textId="482CA75D" w:rsidR="00097592" w:rsidRPr="005A3969" w:rsidRDefault="00097592" w:rsidP="005A3969">
      <w:pPr>
        <w:tabs>
          <w:tab w:val="left" w:pos="7938"/>
        </w:tabs>
        <w:spacing w:line="276" w:lineRule="auto"/>
        <w:ind w:right="51"/>
        <w:jc w:val="both"/>
        <w:rPr>
          <w:rFonts w:cs="Arial"/>
          <w:sz w:val="24"/>
          <w:szCs w:val="24"/>
        </w:rPr>
      </w:pPr>
      <w:r w:rsidRPr="005A3969">
        <w:rPr>
          <w:rFonts w:cs="Arial"/>
          <w:sz w:val="24"/>
          <w:szCs w:val="24"/>
        </w:rPr>
        <w:t>También lo anticipaba desde el primer momento la doctrina</w:t>
      </w:r>
      <w:r w:rsidR="00ED16DF" w:rsidRPr="005A3969">
        <w:rPr>
          <w:rStyle w:val="Refdenotaalpie"/>
          <w:rFonts w:cs="Arial"/>
          <w:sz w:val="24"/>
          <w:szCs w:val="24"/>
        </w:rPr>
        <w:footnoteReference w:id="11"/>
      </w:r>
      <w:r w:rsidRPr="005A3969">
        <w:rPr>
          <w:rFonts w:cs="Arial"/>
          <w:sz w:val="24"/>
          <w:szCs w:val="24"/>
        </w:rPr>
        <w:t xml:space="preserve"> que</w:t>
      </w:r>
      <w:r w:rsidR="004510A0" w:rsidRPr="005A3969">
        <w:rPr>
          <w:rFonts w:cs="Arial"/>
          <w:sz w:val="24"/>
          <w:szCs w:val="24"/>
        </w:rPr>
        <w:t xml:space="preserve">, al referirse a las tres alternativas de la norma, precisaba que: </w:t>
      </w:r>
    </w:p>
    <w:p w14:paraId="1A56DDB2" w14:textId="77777777" w:rsidR="004510A0" w:rsidRPr="005A3969" w:rsidRDefault="004510A0" w:rsidP="005A3969">
      <w:pPr>
        <w:spacing w:line="276" w:lineRule="auto"/>
        <w:ind w:right="618"/>
        <w:jc w:val="both"/>
        <w:rPr>
          <w:rFonts w:cs="Arial"/>
          <w:sz w:val="24"/>
          <w:szCs w:val="24"/>
        </w:rPr>
      </w:pPr>
    </w:p>
    <w:p w14:paraId="055B2077" w14:textId="1AE29ADC" w:rsidR="004510A0" w:rsidRPr="005A3969" w:rsidRDefault="004510A0" w:rsidP="00AC4584">
      <w:pPr>
        <w:ind w:left="426" w:right="420"/>
        <w:jc w:val="both"/>
        <w:rPr>
          <w:rFonts w:cs="Arial"/>
          <w:sz w:val="24"/>
          <w:szCs w:val="24"/>
        </w:rPr>
      </w:pPr>
      <w:r w:rsidRPr="005A3969">
        <w:rPr>
          <w:rFonts w:cs="Arial"/>
          <w:sz w:val="24"/>
          <w:szCs w:val="24"/>
        </w:rPr>
        <w:t>En el último evento</w:t>
      </w:r>
      <w:r w:rsidR="00F8524B" w:rsidRPr="005A3969">
        <w:rPr>
          <w:rFonts w:cs="Arial"/>
          <w:sz w:val="24"/>
          <w:szCs w:val="24"/>
        </w:rPr>
        <w:t>, es única y exclusivamente para el proceso que cuenta con sentencia ejecutoriada a favor del demandante</w:t>
      </w:r>
      <w:r w:rsidR="00BF1C58" w:rsidRPr="005A3969">
        <w:rPr>
          <w:rFonts w:cs="Arial"/>
          <w:sz w:val="24"/>
          <w:szCs w:val="24"/>
        </w:rPr>
        <w:t xml:space="preserve"> o con auto que ordena seguir adelante la ejecución, el plazo previsto en este nume</w:t>
      </w:r>
      <w:r w:rsidR="00ED16DF" w:rsidRPr="005A3969">
        <w:rPr>
          <w:rFonts w:cs="Arial"/>
          <w:sz w:val="24"/>
          <w:szCs w:val="24"/>
        </w:rPr>
        <w:t>r</w:t>
      </w:r>
      <w:r w:rsidR="00BF1C58" w:rsidRPr="005A3969">
        <w:rPr>
          <w:rFonts w:cs="Arial"/>
          <w:sz w:val="24"/>
          <w:szCs w:val="24"/>
        </w:rPr>
        <w:t>al será de</w:t>
      </w:r>
      <w:r w:rsidR="00ED16DF" w:rsidRPr="005A3969">
        <w:rPr>
          <w:rFonts w:cs="Arial"/>
          <w:sz w:val="24"/>
          <w:szCs w:val="24"/>
        </w:rPr>
        <w:t xml:space="preserve"> dos años</w:t>
      </w:r>
      <w:r w:rsidR="009376C1" w:rsidRPr="005A3969">
        <w:rPr>
          <w:rFonts w:cs="Arial"/>
          <w:sz w:val="24"/>
          <w:szCs w:val="24"/>
        </w:rPr>
        <w:t>.</w:t>
      </w:r>
      <w:r w:rsidR="00BF1C58" w:rsidRPr="005A3969">
        <w:rPr>
          <w:rFonts w:cs="Arial"/>
          <w:sz w:val="24"/>
          <w:szCs w:val="24"/>
        </w:rPr>
        <w:t xml:space="preserve"> </w:t>
      </w:r>
    </w:p>
    <w:p w14:paraId="5F9FCFF9" w14:textId="77777777" w:rsidR="006B0257" w:rsidRPr="005A3969" w:rsidRDefault="006B0257" w:rsidP="005A3969">
      <w:pPr>
        <w:keepNext/>
        <w:tabs>
          <w:tab w:val="left" w:pos="1560"/>
        </w:tabs>
        <w:spacing w:line="276" w:lineRule="auto"/>
        <w:ind w:right="51"/>
        <w:contextualSpacing/>
        <w:jc w:val="both"/>
        <w:rPr>
          <w:rFonts w:cs="Arial"/>
          <w:i/>
          <w:sz w:val="24"/>
          <w:szCs w:val="24"/>
        </w:rPr>
      </w:pPr>
    </w:p>
    <w:p w14:paraId="1EDFF7DA" w14:textId="5796B6B8" w:rsidR="00954242" w:rsidRPr="005A3969" w:rsidRDefault="00954242" w:rsidP="005A3969">
      <w:pPr>
        <w:pStyle w:val="Prrafodelista"/>
        <w:keepNext/>
        <w:numPr>
          <w:ilvl w:val="1"/>
          <w:numId w:val="2"/>
        </w:numPr>
        <w:tabs>
          <w:tab w:val="left" w:pos="284"/>
          <w:tab w:val="left" w:pos="1560"/>
        </w:tabs>
        <w:spacing w:line="276" w:lineRule="auto"/>
        <w:ind w:left="0" w:right="51" w:firstLine="0"/>
        <w:contextualSpacing/>
        <w:rPr>
          <w:rFonts w:cs="Arial"/>
          <w:iCs/>
          <w:sz w:val="24"/>
          <w:szCs w:val="24"/>
          <w:lang w:eastAsia="es-CO"/>
        </w:rPr>
      </w:pPr>
      <w:r w:rsidRPr="005A3969">
        <w:rPr>
          <w:rFonts w:cs="Arial"/>
          <w:iCs/>
          <w:sz w:val="24"/>
          <w:szCs w:val="24"/>
          <w:lang w:eastAsia="es-CO"/>
        </w:rPr>
        <w:t xml:space="preserve">De manera que la providencia venida en apelación se revocará, por cuanto </w:t>
      </w:r>
      <w:r w:rsidR="00E85273" w:rsidRPr="005A3969">
        <w:rPr>
          <w:rFonts w:cs="Arial"/>
          <w:iCs/>
          <w:sz w:val="24"/>
          <w:szCs w:val="24"/>
          <w:lang w:eastAsia="es-CO"/>
        </w:rPr>
        <w:t>lo resuelto parte de la aplicación inadecuada</w:t>
      </w:r>
      <w:r w:rsidR="009376C1" w:rsidRPr="005A3969">
        <w:rPr>
          <w:rFonts w:cs="Arial"/>
          <w:iCs/>
          <w:sz w:val="24"/>
          <w:szCs w:val="24"/>
          <w:lang w:eastAsia="es-CO"/>
        </w:rPr>
        <w:t xml:space="preserve">, en sentir de la </w:t>
      </w:r>
      <w:r w:rsidR="000D2EB6" w:rsidRPr="005A3969">
        <w:rPr>
          <w:rFonts w:cs="Arial"/>
          <w:iCs/>
          <w:sz w:val="24"/>
          <w:szCs w:val="24"/>
          <w:lang w:eastAsia="es-CO"/>
        </w:rPr>
        <w:t>Sala, de</w:t>
      </w:r>
      <w:r w:rsidR="00E85273" w:rsidRPr="005A3969">
        <w:rPr>
          <w:rFonts w:cs="Arial"/>
          <w:iCs/>
          <w:sz w:val="24"/>
          <w:szCs w:val="24"/>
          <w:lang w:eastAsia="es-CO"/>
        </w:rPr>
        <w:t xml:space="preserve"> la norma que </w:t>
      </w:r>
      <w:r w:rsidR="00E85273" w:rsidRPr="005A3969">
        <w:rPr>
          <w:rFonts w:cs="Arial"/>
          <w:iCs/>
          <w:sz w:val="24"/>
          <w:szCs w:val="24"/>
          <w:lang w:eastAsia="es-CO"/>
        </w:rPr>
        <w:lastRenderedPageBreak/>
        <w:t xml:space="preserve">prevé el desistimiento tácito, y habida cuenta de que, </w:t>
      </w:r>
      <w:r w:rsidR="00125F3F" w:rsidRPr="005A3969">
        <w:rPr>
          <w:rFonts w:cs="Arial"/>
          <w:iCs/>
          <w:sz w:val="24"/>
          <w:szCs w:val="24"/>
          <w:lang w:eastAsia="es-CO"/>
        </w:rPr>
        <w:t xml:space="preserve">la última actuación que </w:t>
      </w:r>
      <w:r w:rsidR="00243477" w:rsidRPr="005A3969">
        <w:rPr>
          <w:rFonts w:cs="Arial"/>
          <w:iCs/>
          <w:sz w:val="24"/>
          <w:szCs w:val="24"/>
          <w:lang w:eastAsia="es-CO"/>
        </w:rPr>
        <w:t>impulsó el trámite, como se anotó al comienzo, data del mes de octubre de 202</w:t>
      </w:r>
      <w:r w:rsidR="009376C1" w:rsidRPr="005A3969">
        <w:rPr>
          <w:rFonts w:cs="Arial"/>
          <w:iCs/>
          <w:sz w:val="24"/>
          <w:szCs w:val="24"/>
          <w:lang w:eastAsia="es-CO"/>
        </w:rPr>
        <w:t>1</w:t>
      </w:r>
      <w:r w:rsidR="00243477" w:rsidRPr="005A3969">
        <w:rPr>
          <w:rFonts w:cs="Arial"/>
          <w:iCs/>
          <w:sz w:val="24"/>
          <w:szCs w:val="24"/>
          <w:lang w:eastAsia="es-CO"/>
        </w:rPr>
        <w:t>, así que para cuando se decidió ponerle fin a</w:t>
      </w:r>
      <w:r w:rsidR="002B59B7" w:rsidRPr="005A3969">
        <w:rPr>
          <w:rFonts w:cs="Arial"/>
          <w:iCs/>
          <w:sz w:val="24"/>
          <w:szCs w:val="24"/>
          <w:lang w:eastAsia="es-CO"/>
        </w:rPr>
        <w:t xml:space="preserve">l proceso, no se había cumplido el tiempo que señala la norma. </w:t>
      </w:r>
    </w:p>
    <w:p w14:paraId="132BAF51" w14:textId="77777777" w:rsidR="002B59B7" w:rsidRPr="005A3969" w:rsidRDefault="002B59B7" w:rsidP="005A3969">
      <w:pPr>
        <w:keepNext/>
        <w:tabs>
          <w:tab w:val="left" w:pos="284"/>
          <w:tab w:val="left" w:pos="1560"/>
        </w:tabs>
        <w:spacing w:line="276" w:lineRule="auto"/>
        <w:ind w:right="51"/>
        <w:contextualSpacing/>
        <w:rPr>
          <w:rFonts w:cs="Arial"/>
          <w:iCs/>
          <w:sz w:val="24"/>
          <w:szCs w:val="24"/>
          <w:lang w:eastAsia="es-CO"/>
        </w:rPr>
      </w:pPr>
    </w:p>
    <w:p w14:paraId="2683006B" w14:textId="62C7E152" w:rsidR="002B59B7" w:rsidRPr="005A3969" w:rsidRDefault="002B59B7" w:rsidP="005A3969">
      <w:pPr>
        <w:keepNext/>
        <w:tabs>
          <w:tab w:val="left" w:pos="284"/>
          <w:tab w:val="left" w:pos="1560"/>
        </w:tabs>
        <w:spacing w:line="276" w:lineRule="auto"/>
        <w:ind w:right="51"/>
        <w:contextualSpacing/>
        <w:rPr>
          <w:rFonts w:cs="Arial"/>
          <w:iCs/>
          <w:sz w:val="24"/>
          <w:szCs w:val="24"/>
          <w:lang w:eastAsia="es-CO"/>
        </w:rPr>
      </w:pPr>
      <w:r w:rsidRPr="005A3969">
        <w:rPr>
          <w:rFonts w:cs="Arial"/>
          <w:iCs/>
          <w:sz w:val="24"/>
          <w:szCs w:val="24"/>
          <w:lang w:eastAsia="es-CO"/>
        </w:rPr>
        <w:t xml:space="preserve">Como el recurso sale avante, no habrá condena en costas (art. 365-1 CGP). </w:t>
      </w:r>
    </w:p>
    <w:p w14:paraId="6B3AC630" w14:textId="77777777" w:rsidR="008151AD" w:rsidRPr="005A3969" w:rsidRDefault="008151AD" w:rsidP="005A3969">
      <w:pPr>
        <w:pStyle w:val="Textoindependiente"/>
        <w:tabs>
          <w:tab w:val="left" w:pos="284"/>
        </w:tabs>
        <w:spacing w:line="276" w:lineRule="auto"/>
        <w:ind w:right="117"/>
        <w:jc w:val="both"/>
        <w:rPr>
          <w:rFonts w:ascii="Gadugi" w:hAnsi="Gadugi"/>
          <w:sz w:val="24"/>
          <w:szCs w:val="24"/>
        </w:rPr>
      </w:pPr>
    </w:p>
    <w:p w14:paraId="11BA627B" w14:textId="6C28B86F" w:rsidR="00FD0FCD" w:rsidRPr="005A3969" w:rsidRDefault="00143BB8" w:rsidP="005A3969">
      <w:pPr>
        <w:pStyle w:val="Ttulo2"/>
        <w:numPr>
          <w:ilvl w:val="0"/>
          <w:numId w:val="8"/>
        </w:numPr>
        <w:tabs>
          <w:tab w:val="left" w:pos="426"/>
        </w:tabs>
        <w:spacing w:before="0" w:line="276" w:lineRule="auto"/>
        <w:ind w:left="0" w:firstLine="0"/>
        <w:rPr>
          <w:sz w:val="24"/>
          <w:szCs w:val="24"/>
        </w:rPr>
      </w:pPr>
      <w:r w:rsidRPr="005A3969">
        <w:rPr>
          <w:sz w:val="24"/>
          <w:szCs w:val="24"/>
        </w:rPr>
        <w:t>DECISIÓN</w:t>
      </w:r>
    </w:p>
    <w:p w14:paraId="3660B7F7" w14:textId="77777777" w:rsidR="00FD0FCD" w:rsidRPr="005A3969" w:rsidRDefault="00FD0FCD" w:rsidP="005A3969">
      <w:pPr>
        <w:spacing w:line="276" w:lineRule="auto"/>
        <w:rPr>
          <w:b/>
          <w:sz w:val="24"/>
          <w:szCs w:val="24"/>
        </w:rPr>
      </w:pPr>
    </w:p>
    <w:p w14:paraId="2E551D7B" w14:textId="6C47E9C7" w:rsidR="008523D0" w:rsidRPr="005A3969" w:rsidRDefault="00143BB8" w:rsidP="005A3969">
      <w:pPr>
        <w:spacing w:line="276" w:lineRule="auto"/>
        <w:ind w:right="113"/>
        <w:jc w:val="both"/>
        <w:rPr>
          <w:spacing w:val="-4"/>
          <w:sz w:val="24"/>
          <w:szCs w:val="24"/>
        </w:rPr>
      </w:pPr>
      <w:r w:rsidRPr="005A3969">
        <w:rPr>
          <w:sz w:val="24"/>
          <w:szCs w:val="24"/>
        </w:rPr>
        <w:t xml:space="preserve">En armonía con lo expuesto, el </w:t>
      </w:r>
      <w:r w:rsidRPr="005A3969">
        <w:rPr>
          <w:b/>
          <w:sz w:val="24"/>
          <w:szCs w:val="24"/>
        </w:rPr>
        <w:t>Tribunal Superior del</w:t>
      </w:r>
      <w:r w:rsidRPr="005A3969">
        <w:rPr>
          <w:b/>
          <w:spacing w:val="1"/>
          <w:sz w:val="24"/>
          <w:szCs w:val="24"/>
        </w:rPr>
        <w:t xml:space="preserve"> </w:t>
      </w:r>
      <w:r w:rsidRPr="005A3969">
        <w:rPr>
          <w:b/>
          <w:spacing w:val="-1"/>
          <w:sz w:val="24"/>
          <w:szCs w:val="24"/>
        </w:rPr>
        <w:t>Distrito</w:t>
      </w:r>
      <w:r w:rsidRPr="005A3969">
        <w:rPr>
          <w:b/>
          <w:spacing w:val="-17"/>
          <w:sz w:val="24"/>
          <w:szCs w:val="24"/>
        </w:rPr>
        <w:t xml:space="preserve"> </w:t>
      </w:r>
      <w:r w:rsidRPr="005A3969">
        <w:rPr>
          <w:b/>
          <w:sz w:val="24"/>
          <w:szCs w:val="24"/>
        </w:rPr>
        <w:t>Judicial,</w:t>
      </w:r>
      <w:r w:rsidRPr="005A3969">
        <w:rPr>
          <w:b/>
          <w:spacing w:val="-16"/>
          <w:sz w:val="24"/>
          <w:szCs w:val="24"/>
        </w:rPr>
        <w:t xml:space="preserve"> </w:t>
      </w:r>
      <w:r w:rsidRPr="005A3969">
        <w:rPr>
          <w:b/>
          <w:sz w:val="24"/>
          <w:szCs w:val="24"/>
        </w:rPr>
        <w:t>Sala</w:t>
      </w:r>
      <w:r w:rsidRPr="005A3969">
        <w:rPr>
          <w:b/>
          <w:spacing w:val="-17"/>
          <w:sz w:val="24"/>
          <w:szCs w:val="24"/>
        </w:rPr>
        <w:t xml:space="preserve"> </w:t>
      </w:r>
      <w:r w:rsidRPr="005A3969">
        <w:rPr>
          <w:b/>
          <w:sz w:val="24"/>
          <w:szCs w:val="24"/>
        </w:rPr>
        <w:t>Unitaria</w:t>
      </w:r>
      <w:r w:rsidRPr="005A3969">
        <w:rPr>
          <w:b/>
          <w:spacing w:val="-17"/>
          <w:sz w:val="24"/>
          <w:szCs w:val="24"/>
        </w:rPr>
        <w:t xml:space="preserve"> </w:t>
      </w:r>
      <w:r w:rsidRPr="005A3969">
        <w:rPr>
          <w:b/>
          <w:sz w:val="24"/>
          <w:szCs w:val="24"/>
        </w:rPr>
        <w:t>Civil-Familia</w:t>
      </w:r>
      <w:r w:rsidRPr="005A3969">
        <w:rPr>
          <w:sz w:val="24"/>
          <w:szCs w:val="24"/>
        </w:rPr>
        <w:t>,</w:t>
      </w:r>
      <w:r w:rsidRPr="005A3969">
        <w:rPr>
          <w:spacing w:val="-17"/>
          <w:sz w:val="24"/>
          <w:szCs w:val="24"/>
        </w:rPr>
        <w:t xml:space="preserve"> </w:t>
      </w:r>
      <w:r w:rsidR="008523D0" w:rsidRPr="005A3969">
        <w:rPr>
          <w:b/>
          <w:bCs/>
          <w:spacing w:val="-17"/>
          <w:sz w:val="24"/>
          <w:szCs w:val="24"/>
        </w:rPr>
        <w:t>REVOCA</w:t>
      </w:r>
      <w:r w:rsidR="008523D0" w:rsidRPr="005A3969">
        <w:rPr>
          <w:b/>
          <w:sz w:val="24"/>
          <w:szCs w:val="24"/>
        </w:rPr>
        <w:t xml:space="preserve"> </w:t>
      </w:r>
      <w:r w:rsidR="008523D0" w:rsidRPr="005A3969">
        <w:rPr>
          <w:spacing w:val="-16"/>
          <w:sz w:val="24"/>
          <w:szCs w:val="24"/>
        </w:rPr>
        <w:t xml:space="preserve">el auto del 22 de marzo de 2022, proferido por el Juzgado Segundo </w:t>
      </w:r>
      <w:r w:rsidR="008523D0" w:rsidRPr="005A3969">
        <w:rPr>
          <w:sz w:val="24"/>
          <w:szCs w:val="24"/>
        </w:rPr>
        <w:t>Civil</w:t>
      </w:r>
      <w:r w:rsidR="008523D0" w:rsidRPr="005A3969">
        <w:rPr>
          <w:spacing w:val="-7"/>
          <w:sz w:val="24"/>
          <w:szCs w:val="24"/>
        </w:rPr>
        <w:t xml:space="preserve"> </w:t>
      </w:r>
      <w:r w:rsidR="008523D0" w:rsidRPr="005A3969">
        <w:rPr>
          <w:sz w:val="24"/>
          <w:szCs w:val="24"/>
        </w:rPr>
        <w:t>del</w:t>
      </w:r>
      <w:r w:rsidR="008523D0" w:rsidRPr="005A3969">
        <w:rPr>
          <w:spacing w:val="-6"/>
          <w:sz w:val="24"/>
          <w:szCs w:val="24"/>
        </w:rPr>
        <w:t xml:space="preserve"> </w:t>
      </w:r>
      <w:r w:rsidR="008523D0" w:rsidRPr="005A3969">
        <w:rPr>
          <w:sz w:val="24"/>
          <w:szCs w:val="24"/>
        </w:rPr>
        <w:t>Circuito</w:t>
      </w:r>
      <w:r w:rsidR="008523D0" w:rsidRPr="005A3969">
        <w:rPr>
          <w:spacing w:val="-5"/>
          <w:sz w:val="24"/>
          <w:szCs w:val="24"/>
        </w:rPr>
        <w:t xml:space="preserve"> </w:t>
      </w:r>
      <w:r w:rsidR="008523D0" w:rsidRPr="005A3969">
        <w:rPr>
          <w:sz w:val="24"/>
          <w:szCs w:val="24"/>
        </w:rPr>
        <w:t>de</w:t>
      </w:r>
      <w:r w:rsidR="008523D0" w:rsidRPr="005A3969">
        <w:rPr>
          <w:spacing w:val="-8"/>
          <w:sz w:val="24"/>
          <w:szCs w:val="24"/>
        </w:rPr>
        <w:t xml:space="preserve"> </w:t>
      </w:r>
      <w:r w:rsidR="008523D0" w:rsidRPr="005A3969">
        <w:rPr>
          <w:sz w:val="24"/>
          <w:szCs w:val="24"/>
        </w:rPr>
        <w:t>Pereira</w:t>
      </w:r>
      <w:r w:rsidR="008523D0" w:rsidRPr="005A3969">
        <w:rPr>
          <w:spacing w:val="-6"/>
          <w:sz w:val="24"/>
          <w:szCs w:val="24"/>
        </w:rPr>
        <w:t xml:space="preserve"> </w:t>
      </w:r>
      <w:r w:rsidR="008523D0" w:rsidRPr="005A3969">
        <w:rPr>
          <w:sz w:val="24"/>
          <w:szCs w:val="24"/>
        </w:rPr>
        <w:t>en</w:t>
      </w:r>
      <w:r w:rsidR="008523D0" w:rsidRPr="005A3969">
        <w:rPr>
          <w:spacing w:val="-7"/>
          <w:sz w:val="24"/>
          <w:szCs w:val="24"/>
        </w:rPr>
        <w:t xml:space="preserve"> </w:t>
      </w:r>
      <w:r w:rsidR="008523D0" w:rsidRPr="005A3969">
        <w:rPr>
          <w:sz w:val="24"/>
          <w:szCs w:val="24"/>
        </w:rPr>
        <w:t>este</w:t>
      </w:r>
      <w:r w:rsidR="008523D0" w:rsidRPr="005A3969">
        <w:rPr>
          <w:spacing w:val="-6"/>
          <w:sz w:val="24"/>
          <w:szCs w:val="24"/>
        </w:rPr>
        <w:t xml:space="preserve"> </w:t>
      </w:r>
      <w:r w:rsidR="008523D0" w:rsidRPr="005A3969">
        <w:rPr>
          <w:sz w:val="24"/>
          <w:szCs w:val="24"/>
        </w:rPr>
        <w:t>proceso</w:t>
      </w:r>
      <w:r w:rsidR="008523D0" w:rsidRPr="005A3969">
        <w:rPr>
          <w:spacing w:val="-4"/>
          <w:sz w:val="24"/>
          <w:szCs w:val="24"/>
        </w:rPr>
        <w:t xml:space="preserve"> ejecutivo iniciado por Bancolombia SA, cesionarios el </w:t>
      </w:r>
      <w:r w:rsidR="008523D0" w:rsidRPr="005A3969">
        <w:rPr>
          <w:b/>
          <w:bCs/>
          <w:spacing w:val="-4"/>
          <w:sz w:val="24"/>
          <w:szCs w:val="24"/>
        </w:rPr>
        <w:t>Fondo Nacional de Garantías SA, Reintegra SAS</w:t>
      </w:r>
      <w:r w:rsidR="008523D0" w:rsidRPr="005A3969">
        <w:rPr>
          <w:spacing w:val="-4"/>
          <w:sz w:val="24"/>
          <w:szCs w:val="24"/>
        </w:rPr>
        <w:t xml:space="preserve">, la </w:t>
      </w:r>
      <w:r w:rsidR="008523D0" w:rsidRPr="005A3969">
        <w:rPr>
          <w:b/>
          <w:bCs/>
          <w:spacing w:val="-4"/>
          <w:sz w:val="24"/>
          <w:szCs w:val="24"/>
        </w:rPr>
        <w:t>Central de Inversiones SA -CISA-</w:t>
      </w:r>
      <w:r w:rsidR="008523D0" w:rsidRPr="005A3969">
        <w:rPr>
          <w:spacing w:val="-4"/>
          <w:sz w:val="24"/>
          <w:szCs w:val="24"/>
        </w:rPr>
        <w:t xml:space="preserve">, frente a </w:t>
      </w:r>
      <w:r w:rsidR="008523D0" w:rsidRPr="005A3969">
        <w:rPr>
          <w:b/>
          <w:bCs/>
          <w:spacing w:val="-4"/>
          <w:sz w:val="24"/>
          <w:szCs w:val="24"/>
        </w:rPr>
        <w:t>Sebastián Ospina Osorio</w:t>
      </w:r>
      <w:r w:rsidR="008523D0" w:rsidRPr="005A3969">
        <w:rPr>
          <w:spacing w:val="-4"/>
          <w:sz w:val="24"/>
          <w:szCs w:val="24"/>
        </w:rPr>
        <w:t xml:space="preserve">. </w:t>
      </w:r>
    </w:p>
    <w:p w14:paraId="0329D7C7" w14:textId="1258D50C" w:rsidR="00FE6981" w:rsidRPr="005A3969" w:rsidRDefault="00FE6981" w:rsidP="005A3969">
      <w:pPr>
        <w:spacing w:line="276" w:lineRule="auto"/>
        <w:ind w:right="113"/>
        <w:jc w:val="both"/>
        <w:rPr>
          <w:spacing w:val="-4"/>
          <w:sz w:val="24"/>
          <w:szCs w:val="24"/>
        </w:rPr>
      </w:pPr>
    </w:p>
    <w:p w14:paraId="60D7126A" w14:textId="0BFC59F3" w:rsidR="002F1665" w:rsidRPr="005A3969" w:rsidRDefault="002F1665" w:rsidP="005A3969">
      <w:pPr>
        <w:spacing w:line="276" w:lineRule="auto"/>
        <w:ind w:right="113"/>
        <w:jc w:val="both"/>
        <w:rPr>
          <w:spacing w:val="-4"/>
          <w:sz w:val="24"/>
          <w:szCs w:val="24"/>
        </w:rPr>
      </w:pPr>
      <w:r w:rsidRPr="005A3969">
        <w:rPr>
          <w:spacing w:val="-4"/>
          <w:sz w:val="24"/>
          <w:szCs w:val="24"/>
        </w:rPr>
        <w:t xml:space="preserve">En su lugar, se </w:t>
      </w:r>
      <w:r w:rsidR="00BC27C8" w:rsidRPr="005A3969">
        <w:rPr>
          <w:spacing w:val="-4"/>
          <w:sz w:val="24"/>
          <w:szCs w:val="24"/>
        </w:rPr>
        <w:t xml:space="preserve">ordena </w:t>
      </w:r>
      <w:r w:rsidRPr="005A3969">
        <w:rPr>
          <w:spacing w:val="-4"/>
          <w:sz w:val="24"/>
          <w:szCs w:val="24"/>
        </w:rPr>
        <w:t xml:space="preserve">continuar la ejecución. </w:t>
      </w:r>
    </w:p>
    <w:p w14:paraId="24522217" w14:textId="77777777" w:rsidR="002F1665" w:rsidRPr="005A3969" w:rsidRDefault="002F1665" w:rsidP="005A3969">
      <w:pPr>
        <w:spacing w:line="276" w:lineRule="auto"/>
        <w:ind w:right="113"/>
        <w:jc w:val="both"/>
        <w:rPr>
          <w:spacing w:val="-4"/>
          <w:sz w:val="24"/>
          <w:szCs w:val="24"/>
        </w:rPr>
      </w:pPr>
    </w:p>
    <w:p w14:paraId="39B8CC66" w14:textId="7DF28DC4" w:rsidR="008151AD" w:rsidRPr="005A3969" w:rsidRDefault="002F1665" w:rsidP="005A3969">
      <w:pPr>
        <w:spacing w:line="276" w:lineRule="auto"/>
        <w:ind w:right="113"/>
        <w:jc w:val="both"/>
        <w:rPr>
          <w:spacing w:val="-4"/>
          <w:sz w:val="24"/>
          <w:szCs w:val="24"/>
        </w:rPr>
      </w:pPr>
      <w:r w:rsidRPr="005A3969">
        <w:rPr>
          <w:spacing w:val="-4"/>
          <w:sz w:val="24"/>
          <w:szCs w:val="24"/>
        </w:rPr>
        <w:t xml:space="preserve">Sin costas. </w:t>
      </w:r>
    </w:p>
    <w:p w14:paraId="16920415" w14:textId="77777777" w:rsidR="008151AD" w:rsidRPr="005A3969" w:rsidRDefault="008151AD" w:rsidP="005A3969">
      <w:pPr>
        <w:spacing w:line="276" w:lineRule="auto"/>
        <w:ind w:right="113"/>
        <w:jc w:val="both"/>
        <w:rPr>
          <w:spacing w:val="-4"/>
          <w:sz w:val="24"/>
          <w:szCs w:val="24"/>
        </w:rPr>
      </w:pPr>
    </w:p>
    <w:p w14:paraId="65AB6207" w14:textId="77777777" w:rsidR="0090386E" w:rsidRPr="005A3969" w:rsidRDefault="0090386E" w:rsidP="005A3969">
      <w:pPr>
        <w:pStyle w:val="Ttulo2"/>
        <w:spacing w:before="0" w:line="276" w:lineRule="auto"/>
        <w:ind w:left="0"/>
        <w:rPr>
          <w:b w:val="0"/>
          <w:sz w:val="24"/>
          <w:szCs w:val="24"/>
        </w:rPr>
      </w:pPr>
      <w:r w:rsidRPr="005A3969">
        <w:rPr>
          <w:b w:val="0"/>
          <w:sz w:val="24"/>
          <w:szCs w:val="24"/>
        </w:rPr>
        <w:t xml:space="preserve">Notifíquese, </w:t>
      </w:r>
    </w:p>
    <w:p w14:paraId="7D4F068E" w14:textId="77777777" w:rsidR="0090386E" w:rsidRPr="005A3969" w:rsidRDefault="0090386E" w:rsidP="005A3969">
      <w:pPr>
        <w:pStyle w:val="Ttulo2"/>
        <w:spacing w:before="0" w:line="276" w:lineRule="auto"/>
        <w:ind w:left="0"/>
        <w:rPr>
          <w:sz w:val="24"/>
          <w:szCs w:val="24"/>
        </w:rPr>
      </w:pPr>
    </w:p>
    <w:p w14:paraId="42E489A5" w14:textId="536DA7AC" w:rsidR="0090386E" w:rsidRDefault="0090386E" w:rsidP="005A3969">
      <w:pPr>
        <w:pStyle w:val="Ttulo2"/>
        <w:spacing w:before="0" w:line="276" w:lineRule="auto"/>
        <w:ind w:left="0"/>
        <w:rPr>
          <w:sz w:val="24"/>
          <w:szCs w:val="24"/>
        </w:rPr>
      </w:pPr>
    </w:p>
    <w:p w14:paraId="30C6493A" w14:textId="77777777" w:rsidR="00A17C7F" w:rsidRPr="005A3969" w:rsidRDefault="00A17C7F" w:rsidP="005A3969">
      <w:pPr>
        <w:pStyle w:val="Ttulo2"/>
        <w:spacing w:before="0" w:line="276" w:lineRule="auto"/>
        <w:ind w:left="0"/>
        <w:rPr>
          <w:sz w:val="24"/>
          <w:szCs w:val="24"/>
        </w:rPr>
      </w:pPr>
      <w:bookmarkStart w:id="0" w:name="_GoBack"/>
      <w:bookmarkEnd w:id="0"/>
    </w:p>
    <w:p w14:paraId="22764C62" w14:textId="5BBB7E2E" w:rsidR="00FD0FCD" w:rsidRPr="005A3969" w:rsidRDefault="00143BB8" w:rsidP="005A3969">
      <w:pPr>
        <w:pStyle w:val="Ttulo2"/>
        <w:spacing w:before="0" w:line="276" w:lineRule="auto"/>
        <w:ind w:left="0"/>
        <w:rPr>
          <w:sz w:val="24"/>
          <w:szCs w:val="24"/>
        </w:rPr>
      </w:pPr>
      <w:r w:rsidRPr="005A3969">
        <w:rPr>
          <w:sz w:val="24"/>
          <w:szCs w:val="24"/>
        </w:rPr>
        <w:t>JAIME</w:t>
      </w:r>
      <w:r w:rsidRPr="005A3969">
        <w:rPr>
          <w:spacing w:val="-5"/>
          <w:sz w:val="24"/>
          <w:szCs w:val="24"/>
        </w:rPr>
        <w:t xml:space="preserve"> </w:t>
      </w:r>
      <w:r w:rsidRPr="005A3969">
        <w:rPr>
          <w:sz w:val="24"/>
          <w:szCs w:val="24"/>
        </w:rPr>
        <w:t>ALBERTO</w:t>
      </w:r>
      <w:r w:rsidRPr="005A3969">
        <w:rPr>
          <w:spacing w:val="-6"/>
          <w:sz w:val="24"/>
          <w:szCs w:val="24"/>
        </w:rPr>
        <w:t xml:space="preserve"> </w:t>
      </w:r>
      <w:r w:rsidRPr="005A3969">
        <w:rPr>
          <w:sz w:val="24"/>
          <w:szCs w:val="24"/>
        </w:rPr>
        <w:t>SARAZA</w:t>
      </w:r>
      <w:r w:rsidRPr="005A3969">
        <w:rPr>
          <w:spacing w:val="-4"/>
          <w:sz w:val="24"/>
          <w:szCs w:val="24"/>
        </w:rPr>
        <w:t xml:space="preserve"> </w:t>
      </w:r>
      <w:r w:rsidRPr="005A3969">
        <w:rPr>
          <w:sz w:val="24"/>
          <w:szCs w:val="24"/>
        </w:rPr>
        <w:t>NARANJO</w:t>
      </w:r>
    </w:p>
    <w:p w14:paraId="64A16C32" w14:textId="6CD00B61" w:rsidR="00FD0FCD" w:rsidRPr="005A3969" w:rsidRDefault="00143BB8" w:rsidP="005A3969">
      <w:pPr>
        <w:pStyle w:val="Textoindependiente"/>
        <w:spacing w:line="276" w:lineRule="auto"/>
        <w:rPr>
          <w:rFonts w:ascii="Gadugi" w:hAnsi="Gadugi"/>
          <w:sz w:val="24"/>
          <w:szCs w:val="24"/>
        </w:rPr>
      </w:pPr>
      <w:r w:rsidRPr="005A3969">
        <w:rPr>
          <w:rFonts w:ascii="Gadugi" w:hAnsi="Gadugi"/>
          <w:sz w:val="24"/>
          <w:szCs w:val="24"/>
        </w:rPr>
        <w:t>Magist</w:t>
      </w:r>
      <w:r w:rsidR="002F37B7" w:rsidRPr="005A3969">
        <w:rPr>
          <w:rFonts w:ascii="Gadugi" w:hAnsi="Gadugi"/>
          <w:sz w:val="24"/>
          <w:szCs w:val="24"/>
        </w:rPr>
        <w:t>rado</w:t>
      </w:r>
    </w:p>
    <w:sectPr w:rsidR="00FD0FCD" w:rsidRPr="005A3969" w:rsidSect="00A17C7F">
      <w:footerReference w:type="default" r:id="rId12"/>
      <w:headerReference w:type="first" r:id="rId13"/>
      <w:pgSz w:w="12242" w:h="18722" w:code="258"/>
      <w:pgMar w:top="1985" w:right="1418" w:bottom="1418" w:left="1985"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6D1ED" w14:textId="77777777" w:rsidR="00F85F95" w:rsidRDefault="00F85F95" w:rsidP="008D52B1">
      <w:r>
        <w:separator/>
      </w:r>
    </w:p>
  </w:endnote>
  <w:endnote w:type="continuationSeparator" w:id="0">
    <w:p w14:paraId="659871F4" w14:textId="77777777" w:rsidR="00F85F95" w:rsidRDefault="00F85F95" w:rsidP="008D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Open Sans">
    <w:altName w:val="Open Sans"/>
    <w:charset w:val="00"/>
    <w:family w:val="swiss"/>
    <w:pitch w:val="variable"/>
    <w:sig w:usb0="E00002EF"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385050"/>
      <w:docPartObj>
        <w:docPartGallery w:val="Page Numbers (Bottom of Page)"/>
        <w:docPartUnique/>
      </w:docPartObj>
    </w:sdtPr>
    <w:sdtEndPr>
      <w:rPr>
        <w:rFonts w:ascii="Arial" w:hAnsi="Arial" w:cs="Arial"/>
        <w:sz w:val="18"/>
      </w:rPr>
    </w:sdtEndPr>
    <w:sdtContent>
      <w:p w14:paraId="2F1BCD3C" w14:textId="787975BB" w:rsidR="00BF0006" w:rsidRPr="00AC4584" w:rsidRDefault="00BF0006">
        <w:pPr>
          <w:pStyle w:val="Piedepgina"/>
          <w:jc w:val="right"/>
          <w:rPr>
            <w:rFonts w:ascii="Arial" w:hAnsi="Arial" w:cs="Arial"/>
            <w:sz w:val="18"/>
          </w:rPr>
        </w:pPr>
        <w:r w:rsidRPr="00AC4584">
          <w:rPr>
            <w:rFonts w:ascii="Arial" w:hAnsi="Arial" w:cs="Arial"/>
            <w:sz w:val="18"/>
          </w:rPr>
          <w:fldChar w:fldCharType="begin"/>
        </w:r>
        <w:r w:rsidRPr="00AC4584">
          <w:rPr>
            <w:rFonts w:ascii="Arial" w:hAnsi="Arial" w:cs="Arial"/>
            <w:sz w:val="18"/>
          </w:rPr>
          <w:instrText>PAGE   \* MERGEFORMAT</w:instrText>
        </w:r>
        <w:r w:rsidRPr="00AC4584">
          <w:rPr>
            <w:rFonts w:ascii="Arial" w:hAnsi="Arial" w:cs="Arial"/>
            <w:sz w:val="18"/>
          </w:rPr>
          <w:fldChar w:fldCharType="separate"/>
        </w:r>
        <w:r w:rsidR="00A17C7F">
          <w:rPr>
            <w:rFonts w:ascii="Arial" w:hAnsi="Arial" w:cs="Arial"/>
            <w:noProof/>
            <w:sz w:val="18"/>
          </w:rPr>
          <w:t>7</w:t>
        </w:r>
        <w:r w:rsidRPr="00AC4584">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C622C" w14:textId="77777777" w:rsidR="00F85F95" w:rsidRDefault="00F85F95" w:rsidP="008D52B1">
      <w:r>
        <w:separator/>
      </w:r>
    </w:p>
  </w:footnote>
  <w:footnote w:type="continuationSeparator" w:id="0">
    <w:p w14:paraId="7B00EA8D" w14:textId="77777777" w:rsidR="00F85F95" w:rsidRDefault="00F85F95" w:rsidP="008D52B1">
      <w:r>
        <w:continuationSeparator/>
      </w:r>
    </w:p>
  </w:footnote>
  <w:footnote w:id="1">
    <w:p w14:paraId="2BFF3891" w14:textId="16EF4E6C" w:rsidR="00FC1CFA" w:rsidRPr="00AC4584" w:rsidRDefault="00FC1CFA" w:rsidP="00AC4584">
      <w:pPr>
        <w:pStyle w:val="Textonotapie"/>
        <w:jc w:val="both"/>
        <w:rPr>
          <w:rFonts w:ascii="Arial" w:hAnsi="Arial" w:cs="Arial"/>
          <w:sz w:val="18"/>
          <w:szCs w:val="22"/>
        </w:rPr>
      </w:pPr>
      <w:r w:rsidRPr="00AC4584">
        <w:rPr>
          <w:rStyle w:val="Refdenotaalpie"/>
          <w:rFonts w:ascii="Arial" w:hAnsi="Arial" w:cs="Arial"/>
          <w:sz w:val="18"/>
          <w:szCs w:val="22"/>
        </w:rPr>
        <w:footnoteRef/>
      </w:r>
      <w:r w:rsidRPr="00AC4584">
        <w:rPr>
          <w:rFonts w:ascii="Arial" w:hAnsi="Arial" w:cs="Arial"/>
          <w:sz w:val="18"/>
          <w:szCs w:val="22"/>
        </w:rPr>
        <w:t xml:space="preserve"> 01</w:t>
      </w:r>
      <w:r w:rsidR="002D1E8A" w:rsidRPr="00AC4584">
        <w:rPr>
          <w:rFonts w:ascii="Arial" w:hAnsi="Arial" w:cs="Arial"/>
          <w:sz w:val="18"/>
          <w:szCs w:val="22"/>
        </w:rPr>
        <w:t>PrimeraInstancia</w:t>
      </w:r>
      <w:r w:rsidR="003533B2" w:rsidRPr="00AC4584">
        <w:rPr>
          <w:rFonts w:ascii="Arial" w:hAnsi="Arial" w:cs="Arial"/>
          <w:sz w:val="18"/>
          <w:szCs w:val="22"/>
        </w:rPr>
        <w:t xml:space="preserve">, C01Principal, 01. </w:t>
      </w:r>
      <w:proofErr w:type="spellStart"/>
      <w:r w:rsidRPr="00AC4584">
        <w:rPr>
          <w:rFonts w:ascii="Arial" w:hAnsi="Arial" w:cs="Arial"/>
          <w:sz w:val="18"/>
          <w:szCs w:val="22"/>
        </w:rPr>
        <w:t>CuadernoPrincipal</w:t>
      </w:r>
      <w:proofErr w:type="spellEnd"/>
      <w:r w:rsidRPr="00AC4584">
        <w:rPr>
          <w:rFonts w:ascii="Arial" w:hAnsi="Arial" w:cs="Arial"/>
          <w:sz w:val="18"/>
          <w:szCs w:val="22"/>
        </w:rPr>
        <w:t xml:space="preserve">, p. </w:t>
      </w:r>
      <w:r w:rsidR="0074321C" w:rsidRPr="00AC4584">
        <w:rPr>
          <w:rFonts w:ascii="Arial" w:hAnsi="Arial" w:cs="Arial"/>
          <w:sz w:val="18"/>
          <w:szCs w:val="22"/>
        </w:rPr>
        <w:t>93</w:t>
      </w:r>
    </w:p>
  </w:footnote>
  <w:footnote w:id="2">
    <w:p w14:paraId="476FAC80" w14:textId="77692635" w:rsidR="00445C23" w:rsidRPr="00AC4584" w:rsidRDefault="00445C23" w:rsidP="00AC4584">
      <w:pPr>
        <w:pStyle w:val="Textonotapie"/>
        <w:jc w:val="both"/>
        <w:rPr>
          <w:rFonts w:ascii="Arial" w:hAnsi="Arial" w:cs="Arial"/>
          <w:sz w:val="18"/>
          <w:szCs w:val="22"/>
        </w:rPr>
      </w:pPr>
      <w:r w:rsidRPr="00AC4584">
        <w:rPr>
          <w:rStyle w:val="Refdenotaalpie"/>
          <w:rFonts w:ascii="Arial" w:hAnsi="Arial" w:cs="Arial"/>
          <w:sz w:val="18"/>
          <w:szCs w:val="22"/>
        </w:rPr>
        <w:footnoteRef/>
      </w:r>
      <w:r w:rsidRPr="00AC4584">
        <w:rPr>
          <w:rFonts w:ascii="Arial" w:hAnsi="Arial" w:cs="Arial"/>
          <w:sz w:val="18"/>
          <w:szCs w:val="22"/>
        </w:rPr>
        <w:t xml:space="preserve"> Ib., p. </w:t>
      </w:r>
      <w:r w:rsidR="0009448D" w:rsidRPr="00AC4584">
        <w:rPr>
          <w:rFonts w:ascii="Arial" w:hAnsi="Arial" w:cs="Arial"/>
          <w:sz w:val="18"/>
          <w:szCs w:val="22"/>
        </w:rPr>
        <w:t>137</w:t>
      </w:r>
    </w:p>
  </w:footnote>
  <w:footnote w:id="3">
    <w:p w14:paraId="11C8D1A2" w14:textId="3B778032" w:rsidR="00AD5AA7" w:rsidRPr="00AC4584" w:rsidRDefault="00AD5AA7" w:rsidP="00AC4584">
      <w:pPr>
        <w:pStyle w:val="Textonotapie"/>
        <w:jc w:val="both"/>
        <w:rPr>
          <w:rFonts w:ascii="Arial" w:hAnsi="Arial" w:cs="Arial"/>
          <w:sz w:val="18"/>
          <w:szCs w:val="22"/>
        </w:rPr>
      </w:pPr>
      <w:r w:rsidRPr="00AC4584">
        <w:rPr>
          <w:rStyle w:val="Refdenotaalpie"/>
          <w:rFonts w:ascii="Arial" w:hAnsi="Arial" w:cs="Arial"/>
          <w:sz w:val="18"/>
          <w:szCs w:val="22"/>
        </w:rPr>
        <w:footnoteRef/>
      </w:r>
      <w:r w:rsidRPr="00AC4584">
        <w:rPr>
          <w:rFonts w:ascii="Arial" w:hAnsi="Arial" w:cs="Arial"/>
          <w:sz w:val="18"/>
          <w:szCs w:val="22"/>
        </w:rPr>
        <w:t xml:space="preserve"> </w:t>
      </w:r>
      <w:r w:rsidR="003533B2" w:rsidRPr="00AC4584">
        <w:rPr>
          <w:rFonts w:ascii="Arial" w:hAnsi="Arial" w:cs="Arial"/>
          <w:sz w:val="18"/>
          <w:szCs w:val="22"/>
        </w:rPr>
        <w:t>01PrimeraInstancia, C01Principal</w:t>
      </w:r>
      <w:r w:rsidR="00B83AFB" w:rsidRPr="00AC4584">
        <w:rPr>
          <w:rFonts w:ascii="Arial" w:hAnsi="Arial" w:cs="Arial"/>
          <w:sz w:val="18"/>
          <w:szCs w:val="22"/>
        </w:rPr>
        <w:t xml:space="preserve">, </w:t>
      </w:r>
      <w:proofErr w:type="spellStart"/>
      <w:r w:rsidR="00B83AFB" w:rsidRPr="00AC4584">
        <w:rPr>
          <w:rFonts w:ascii="Arial" w:hAnsi="Arial" w:cs="Arial"/>
          <w:sz w:val="18"/>
          <w:szCs w:val="22"/>
        </w:rPr>
        <w:t>arch</w:t>
      </w:r>
      <w:proofErr w:type="spellEnd"/>
      <w:r w:rsidR="00B83AFB" w:rsidRPr="00AC4584">
        <w:rPr>
          <w:rFonts w:ascii="Arial" w:hAnsi="Arial" w:cs="Arial"/>
          <w:sz w:val="18"/>
          <w:szCs w:val="22"/>
        </w:rPr>
        <w:t>. 12</w:t>
      </w:r>
      <w:r w:rsidR="00A7187E" w:rsidRPr="00AC4584">
        <w:rPr>
          <w:rFonts w:ascii="Arial" w:hAnsi="Arial" w:cs="Arial"/>
          <w:sz w:val="18"/>
          <w:szCs w:val="22"/>
        </w:rPr>
        <w:t xml:space="preserve">, </w:t>
      </w:r>
      <w:proofErr w:type="spellStart"/>
      <w:r w:rsidR="00A7187E" w:rsidRPr="00AC4584">
        <w:rPr>
          <w:rFonts w:ascii="Arial" w:hAnsi="Arial" w:cs="Arial"/>
          <w:sz w:val="18"/>
          <w:szCs w:val="22"/>
        </w:rPr>
        <w:t>arch</w:t>
      </w:r>
      <w:proofErr w:type="spellEnd"/>
      <w:r w:rsidR="00A7187E" w:rsidRPr="00AC4584">
        <w:rPr>
          <w:rFonts w:ascii="Arial" w:hAnsi="Arial" w:cs="Arial"/>
          <w:sz w:val="18"/>
          <w:szCs w:val="22"/>
        </w:rPr>
        <w:t>. 23</w:t>
      </w:r>
    </w:p>
  </w:footnote>
  <w:footnote w:id="4">
    <w:p w14:paraId="0768AD8A" w14:textId="59639BE5" w:rsidR="00CA509A" w:rsidRPr="00AC4584" w:rsidRDefault="00CA509A" w:rsidP="00AC4584">
      <w:pPr>
        <w:pStyle w:val="Textonotapie"/>
        <w:jc w:val="both"/>
        <w:rPr>
          <w:rFonts w:ascii="Arial" w:hAnsi="Arial" w:cs="Arial"/>
          <w:sz w:val="18"/>
          <w:szCs w:val="22"/>
        </w:rPr>
      </w:pPr>
      <w:r w:rsidRPr="00AC4584">
        <w:rPr>
          <w:rStyle w:val="Refdenotaalpie"/>
          <w:rFonts w:ascii="Arial" w:hAnsi="Arial" w:cs="Arial"/>
          <w:sz w:val="18"/>
          <w:szCs w:val="22"/>
        </w:rPr>
        <w:footnoteRef/>
      </w:r>
      <w:r w:rsidRPr="00AC4584">
        <w:rPr>
          <w:rFonts w:ascii="Arial" w:hAnsi="Arial" w:cs="Arial"/>
          <w:sz w:val="18"/>
          <w:szCs w:val="22"/>
        </w:rPr>
        <w:t xml:space="preserve"> </w:t>
      </w:r>
      <w:r w:rsidR="00B83AFB" w:rsidRPr="00AC4584">
        <w:rPr>
          <w:rFonts w:ascii="Arial" w:hAnsi="Arial" w:cs="Arial"/>
          <w:sz w:val="18"/>
          <w:szCs w:val="22"/>
        </w:rPr>
        <w:t xml:space="preserve">01PrimeraInstancia, C01Principal, 01. </w:t>
      </w:r>
      <w:proofErr w:type="spellStart"/>
      <w:r w:rsidR="00B83AFB" w:rsidRPr="00AC4584">
        <w:rPr>
          <w:rFonts w:ascii="Arial" w:hAnsi="Arial" w:cs="Arial"/>
          <w:sz w:val="18"/>
          <w:szCs w:val="22"/>
        </w:rPr>
        <w:t>CuadernoPrincipal</w:t>
      </w:r>
      <w:proofErr w:type="spellEnd"/>
      <w:r w:rsidRPr="00AC4584">
        <w:rPr>
          <w:rFonts w:ascii="Arial" w:hAnsi="Arial" w:cs="Arial"/>
          <w:sz w:val="18"/>
          <w:szCs w:val="22"/>
        </w:rPr>
        <w:t>, p. 50</w:t>
      </w:r>
    </w:p>
  </w:footnote>
  <w:footnote w:id="5">
    <w:p w14:paraId="22B00224" w14:textId="388977E3" w:rsidR="00146AB3" w:rsidRPr="00AC4584" w:rsidRDefault="00146AB3" w:rsidP="00AC4584">
      <w:pPr>
        <w:pStyle w:val="Textonotapie"/>
        <w:jc w:val="both"/>
        <w:rPr>
          <w:rFonts w:ascii="Arial" w:hAnsi="Arial" w:cs="Arial"/>
          <w:sz w:val="18"/>
          <w:szCs w:val="22"/>
        </w:rPr>
      </w:pPr>
      <w:r w:rsidRPr="00AC4584">
        <w:rPr>
          <w:rStyle w:val="Refdenotaalpie"/>
          <w:rFonts w:ascii="Arial" w:hAnsi="Arial" w:cs="Arial"/>
          <w:sz w:val="18"/>
          <w:szCs w:val="22"/>
        </w:rPr>
        <w:footnoteRef/>
      </w:r>
      <w:r w:rsidRPr="00AC4584">
        <w:rPr>
          <w:rFonts w:ascii="Arial" w:hAnsi="Arial" w:cs="Arial"/>
          <w:sz w:val="18"/>
          <w:szCs w:val="22"/>
        </w:rPr>
        <w:t xml:space="preserve"> 01PrimeraInstancia, C01Principal, </w:t>
      </w:r>
      <w:proofErr w:type="spellStart"/>
      <w:r w:rsidRPr="00AC4584">
        <w:rPr>
          <w:rFonts w:ascii="Arial" w:hAnsi="Arial" w:cs="Arial"/>
          <w:sz w:val="18"/>
          <w:szCs w:val="22"/>
        </w:rPr>
        <w:t>arch</w:t>
      </w:r>
      <w:proofErr w:type="spellEnd"/>
      <w:r w:rsidRPr="00AC4584">
        <w:rPr>
          <w:rFonts w:ascii="Arial" w:hAnsi="Arial" w:cs="Arial"/>
          <w:sz w:val="18"/>
          <w:szCs w:val="22"/>
        </w:rPr>
        <w:t>. 05</w:t>
      </w:r>
    </w:p>
  </w:footnote>
  <w:footnote w:id="6">
    <w:p w14:paraId="004A57D1" w14:textId="1542C1DD" w:rsidR="0076715B" w:rsidRPr="00AC4584" w:rsidRDefault="0076715B" w:rsidP="00AC4584">
      <w:pPr>
        <w:pStyle w:val="Textonotapie"/>
        <w:jc w:val="both"/>
        <w:rPr>
          <w:rFonts w:ascii="Arial" w:hAnsi="Arial" w:cs="Arial"/>
          <w:sz w:val="18"/>
          <w:szCs w:val="22"/>
        </w:rPr>
      </w:pPr>
      <w:r w:rsidRPr="00AC4584">
        <w:rPr>
          <w:rStyle w:val="Refdenotaalpie"/>
          <w:rFonts w:ascii="Arial" w:hAnsi="Arial" w:cs="Arial"/>
          <w:sz w:val="18"/>
          <w:szCs w:val="22"/>
        </w:rPr>
        <w:footnoteRef/>
      </w:r>
      <w:r w:rsidRPr="00AC4584">
        <w:rPr>
          <w:rFonts w:ascii="Arial" w:hAnsi="Arial" w:cs="Arial"/>
          <w:sz w:val="18"/>
          <w:szCs w:val="22"/>
        </w:rPr>
        <w:t xml:space="preserve"> Ib., </w:t>
      </w:r>
      <w:proofErr w:type="spellStart"/>
      <w:r w:rsidRPr="00AC4584">
        <w:rPr>
          <w:rFonts w:ascii="Arial" w:hAnsi="Arial" w:cs="Arial"/>
          <w:sz w:val="18"/>
          <w:szCs w:val="22"/>
        </w:rPr>
        <w:t>arch</w:t>
      </w:r>
      <w:proofErr w:type="spellEnd"/>
      <w:r w:rsidRPr="00AC4584">
        <w:rPr>
          <w:rFonts w:ascii="Arial" w:hAnsi="Arial" w:cs="Arial"/>
          <w:sz w:val="18"/>
          <w:szCs w:val="22"/>
        </w:rPr>
        <w:t>. 10</w:t>
      </w:r>
    </w:p>
  </w:footnote>
  <w:footnote w:id="7">
    <w:p w14:paraId="51E2E09A" w14:textId="4D88603C" w:rsidR="00230402" w:rsidRPr="00AC4584" w:rsidRDefault="00230402" w:rsidP="00AC4584">
      <w:pPr>
        <w:pStyle w:val="Textonotapie"/>
        <w:jc w:val="both"/>
        <w:rPr>
          <w:rFonts w:ascii="Arial" w:hAnsi="Arial" w:cs="Arial"/>
          <w:sz w:val="18"/>
          <w:szCs w:val="22"/>
        </w:rPr>
      </w:pPr>
      <w:r w:rsidRPr="00AC4584">
        <w:rPr>
          <w:rStyle w:val="Refdenotaalpie"/>
          <w:rFonts w:ascii="Arial" w:hAnsi="Arial" w:cs="Arial"/>
          <w:sz w:val="18"/>
          <w:szCs w:val="22"/>
        </w:rPr>
        <w:footnoteRef/>
      </w:r>
      <w:r w:rsidRPr="00AC4584">
        <w:rPr>
          <w:rFonts w:ascii="Arial" w:hAnsi="Arial" w:cs="Arial"/>
          <w:sz w:val="18"/>
          <w:szCs w:val="22"/>
        </w:rPr>
        <w:t xml:space="preserve"> Ib., </w:t>
      </w:r>
      <w:proofErr w:type="spellStart"/>
      <w:r w:rsidRPr="00AC4584">
        <w:rPr>
          <w:rFonts w:ascii="Arial" w:hAnsi="Arial" w:cs="Arial"/>
          <w:sz w:val="18"/>
          <w:szCs w:val="22"/>
        </w:rPr>
        <w:t>arch</w:t>
      </w:r>
      <w:proofErr w:type="spellEnd"/>
      <w:r w:rsidRPr="00AC4584">
        <w:rPr>
          <w:rFonts w:ascii="Arial" w:hAnsi="Arial" w:cs="Arial"/>
          <w:sz w:val="18"/>
          <w:szCs w:val="22"/>
        </w:rPr>
        <w:t>. 12</w:t>
      </w:r>
    </w:p>
  </w:footnote>
  <w:footnote w:id="8">
    <w:p w14:paraId="117572D9" w14:textId="517FCE77" w:rsidR="0052634A" w:rsidRPr="00AC4584" w:rsidRDefault="0052634A" w:rsidP="00AC4584">
      <w:pPr>
        <w:pStyle w:val="Textonotapie"/>
        <w:jc w:val="both"/>
        <w:rPr>
          <w:rFonts w:ascii="Arial" w:hAnsi="Arial" w:cs="Arial"/>
          <w:sz w:val="18"/>
          <w:szCs w:val="22"/>
        </w:rPr>
      </w:pPr>
      <w:r w:rsidRPr="00AC4584">
        <w:rPr>
          <w:rStyle w:val="Refdenotaalpie"/>
          <w:rFonts w:ascii="Arial" w:hAnsi="Arial" w:cs="Arial"/>
          <w:sz w:val="18"/>
          <w:szCs w:val="22"/>
        </w:rPr>
        <w:footnoteRef/>
      </w:r>
      <w:r w:rsidRPr="00AC4584">
        <w:rPr>
          <w:rFonts w:ascii="Arial" w:hAnsi="Arial" w:cs="Arial"/>
          <w:sz w:val="18"/>
          <w:szCs w:val="22"/>
        </w:rPr>
        <w:t xml:space="preserve"> Ib., </w:t>
      </w:r>
      <w:proofErr w:type="spellStart"/>
      <w:r w:rsidRPr="00AC4584">
        <w:rPr>
          <w:rFonts w:ascii="Arial" w:hAnsi="Arial" w:cs="Arial"/>
          <w:sz w:val="18"/>
          <w:szCs w:val="22"/>
        </w:rPr>
        <w:t>arch</w:t>
      </w:r>
      <w:proofErr w:type="spellEnd"/>
      <w:r w:rsidRPr="00AC4584">
        <w:rPr>
          <w:rFonts w:ascii="Arial" w:hAnsi="Arial" w:cs="Arial"/>
          <w:sz w:val="18"/>
          <w:szCs w:val="22"/>
        </w:rPr>
        <w:t>. 14</w:t>
      </w:r>
    </w:p>
  </w:footnote>
  <w:footnote w:id="9">
    <w:p w14:paraId="6805CAF3" w14:textId="6A32F72F" w:rsidR="009E65A4" w:rsidRPr="00AC4584" w:rsidRDefault="009E65A4" w:rsidP="00AC4584">
      <w:pPr>
        <w:pStyle w:val="Textonotapie"/>
        <w:jc w:val="both"/>
        <w:rPr>
          <w:rFonts w:ascii="Arial" w:hAnsi="Arial" w:cs="Arial"/>
          <w:sz w:val="18"/>
          <w:szCs w:val="22"/>
        </w:rPr>
      </w:pPr>
      <w:r w:rsidRPr="00AC4584">
        <w:rPr>
          <w:rStyle w:val="Refdenotaalpie"/>
          <w:rFonts w:ascii="Arial" w:hAnsi="Arial" w:cs="Arial"/>
          <w:sz w:val="18"/>
          <w:szCs w:val="22"/>
        </w:rPr>
        <w:footnoteRef/>
      </w:r>
      <w:r w:rsidRPr="00AC4584">
        <w:rPr>
          <w:rFonts w:ascii="Arial" w:hAnsi="Arial" w:cs="Arial"/>
          <w:sz w:val="18"/>
          <w:szCs w:val="22"/>
        </w:rPr>
        <w:t xml:space="preserve"> Ib., </w:t>
      </w:r>
      <w:proofErr w:type="spellStart"/>
      <w:r w:rsidRPr="00AC4584">
        <w:rPr>
          <w:rFonts w:ascii="Arial" w:hAnsi="Arial" w:cs="Arial"/>
          <w:sz w:val="18"/>
          <w:szCs w:val="22"/>
        </w:rPr>
        <w:t>arch</w:t>
      </w:r>
      <w:proofErr w:type="spellEnd"/>
      <w:r w:rsidRPr="00AC4584">
        <w:rPr>
          <w:rFonts w:ascii="Arial" w:hAnsi="Arial" w:cs="Arial"/>
          <w:sz w:val="18"/>
          <w:szCs w:val="22"/>
        </w:rPr>
        <w:t>. 15</w:t>
      </w:r>
    </w:p>
  </w:footnote>
  <w:footnote w:id="10">
    <w:p w14:paraId="15293E50" w14:textId="536D1DD4" w:rsidR="00F45A97" w:rsidRPr="00AC4584" w:rsidRDefault="00F45A97" w:rsidP="00AC4584">
      <w:pPr>
        <w:pStyle w:val="Textonotapie"/>
        <w:jc w:val="both"/>
        <w:rPr>
          <w:rFonts w:ascii="Arial" w:hAnsi="Arial" w:cs="Arial"/>
          <w:sz w:val="18"/>
          <w:szCs w:val="22"/>
        </w:rPr>
      </w:pPr>
      <w:r w:rsidRPr="00AC4584">
        <w:rPr>
          <w:rStyle w:val="Refdenotaalpie"/>
          <w:rFonts w:ascii="Arial" w:hAnsi="Arial" w:cs="Arial"/>
          <w:sz w:val="18"/>
          <w:szCs w:val="22"/>
        </w:rPr>
        <w:footnoteRef/>
      </w:r>
      <w:r w:rsidRPr="00AC4584">
        <w:rPr>
          <w:rFonts w:ascii="Arial" w:hAnsi="Arial" w:cs="Arial"/>
          <w:sz w:val="18"/>
          <w:szCs w:val="22"/>
        </w:rPr>
        <w:t xml:space="preserve"> Ib., </w:t>
      </w:r>
      <w:proofErr w:type="spellStart"/>
      <w:r w:rsidRPr="00AC4584">
        <w:rPr>
          <w:rFonts w:ascii="Arial" w:hAnsi="Arial" w:cs="Arial"/>
          <w:sz w:val="18"/>
          <w:szCs w:val="22"/>
        </w:rPr>
        <w:t>arch</w:t>
      </w:r>
      <w:proofErr w:type="spellEnd"/>
      <w:r w:rsidRPr="00AC4584">
        <w:rPr>
          <w:rFonts w:ascii="Arial" w:hAnsi="Arial" w:cs="Arial"/>
          <w:sz w:val="18"/>
          <w:szCs w:val="22"/>
        </w:rPr>
        <w:t>. 25</w:t>
      </w:r>
    </w:p>
  </w:footnote>
  <w:footnote w:id="11">
    <w:p w14:paraId="741D83E8" w14:textId="75EDE9B1" w:rsidR="00ED16DF" w:rsidRPr="00AC4584" w:rsidRDefault="00ED16DF" w:rsidP="00AC4584">
      <w:pPr>
        <w:pStyle w:val="Textonotapie"/>
        <w:jc w:val="both"/>
        <w:rPr>
          <w:rFonts w:ascii="Arial" w:hAnsi="Arial" w:cs="Arial"/>
          <w:sz w:val="16"/>
        </w:rPr>
      </w:pPr>
      <w:r w:rsidRPr="00AC4584">
        <w:rPr>
          <w:rStyle w:val="Refdenotaalpie"/>
          <w:rFonts w:ascii="Arial" w:hAnsi="Arial" w:cs="Arial"/>
          <w:sz w:val="18"/>
          <w:szCs w:val="22"/>
        </w:rPr>
        <w:footnoteRef/>
      </w:r>
      <w:r w:rsidRPr="00AC4584">
        <w:rPr>
          <w:rFonts w:ascii="Arial" w:hAnsi="Arial" w:cs="Arial"/>
          <w:sz w:val="18"/>
          <w:szCs w:val="22"/>
        </w:rPr>
        <w:t xml:space="preserve"> </w:t>
      </w:r>
      <w:r w:rsidR="007176DE" w:rsidRPr="00AC4584">
        <w:rPr>
          <w:rFonts w:ascii="Arial" w:hAnsi="Arial" w:cs="Arial"/>
          <w:sz w:val="18"/>
          <w:szCs w:val="22"/>
        </w:rPr>
        <w:t xml:space="preserve">Colmenares Uribe, Carlos Alberto, en </w:t>
      </w:r>
      <w:r w:rsidR="00AE3A11" w:rsidRPr="00AC4584">
        <w:rPr>
          <w:rFonts w:ascii="Arial" w:hAnsi="Arial" w:cs="Arial"/>
          <w:sz w:val="18"/>
          <w:szCs w:val="22"/>
        </w:rPr>
        <w:t xml:space="preserve">Código General del Proceso Comentado, ICDP, </w:t>
      </w:r>
      <w:r w:rsidR="009D710A" w:rsidRPr="00AC4584">
        <w:rPr>
          <w:rFonts w:ascii="Arial" w:hAnsi="Arial" w:cs="Arial"/>
          <w:sz w:val="18"/>
          <w:szCs w:val="22"/>
        </w:rPr>
        <w:t xml:space="preserve">2014, p. </w:t>
      </w:r>
      <w:r w:rsidR="00EF2E98" w:rsidRPr="00AC4584">
        <w:rPr>
          <w:rFonts w:ascii="Arial" w:hAnsi="Arial" w:cs="Arial"/>
          <w:sz w:val="18"/>
          <w:szCs w:val="22"/>
        </w:rPr>
        <w:t>332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713A6" w14:textId="070D96A8" w:rsidR="00537150" w:rsidRPr="00620EE9" w:rsidRDefault="00537150" w:rsidP="003C47E0">
    <w:pPr>
      <w:pStyle w:val="Encabezado"/>
      <w:rPr>
        <w:rFonts w:ascii="Bookman Old Style" w:hAnsi="Bookman Old Style"/>
        <w:b/>
      </w:rPr>
    </w:pPr>
  </w:p>
  <w:p w14:paraId="030BCED2" w14:textId="77777777" w:rsidR="00537150" w:rsidRDefault="0053715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C0A73"/>
    <w:multiLevelType w:val="hybridMultilevel"/>
    <w:tmpl w:val="F1482136"/>
    <w:lvl w:ilvl="0" w:tplc="20106B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67507F8"/>
    <w:multiLevelType w:val="hybridMultilevel"/>
    <w:tmpl w:val="0F3CF1F0"/>
    <w:lvl w:ilvl="0" w:tplc="240A0019">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2" w15:restartNumberingAfterBreak="0">
    <w:nsid w:val="26AA0EC5"/>
    <w:multiLevelType w:val="hybridMultilevel"/>
    <w:tmpl w:val="C0309296"/>
    <w:lvl w:ilvl="0" w:tplc="17882702">
      <w:start w:val="1"/>
      <w:numFmt w:val="lowerLetter"/>
      <w:lvlText w:val="%1)"/>
      <w:lvlJc w:val="left"/>
      <w:pPr>
        <w:ind w:left="668" w:hanging="264"/>
      </w:pPr>
      <w:rPr>
        <w:rFonts w:ascii="Arial" w:eastAsia="Arial" w:hAnsi="Arial" w:cs="Arial" w:hint="default"/>
        <w:i/>
        <w:iCs/>
        <w:spacing w:val="-1"/>
        <w:w w:val="82"/>
        <w:sz w:val="28"/>
        <w:szCs w:val="28"/>
        <w:lang w:val="es-ES" w:eastAsia="en-US" w:bidi="ar-SA"/>
      </w:rPr>
    </w:lvl>
    <w:lvl w:ilvl="1" w:tplc="C9F2BBC0">
      <w:numFmt w:val="bullet"/>
      <w:lvlText w:val="•"/>
      <w:lvlJc w:val="left"/>
      <w:pPr>
        <w:ind w:left="1500" w:hanging="264"/>
      </w:pPr>
      <w:rPr>
        <w:rFonts w:hint="default"/>
        <w:lang w:val="es-ES" w:eastAsia="en-US" w:bidi="ar-SA"/>
      </w:rPr>
    </w:lvl>
    <w:lvl w:ilvl="2" w:tplc="5F0607C2">
      <w:numFmt w:val="bullet"/>
      <w:lvlText w:val="•"/>
      <w:lvlJc w:val="left"/>
      <w:pPr>
        <w:ind w:left="2340" w:hanging="264"/>
      </w:pPr>
      <w:rPr>
        <w:rFonts w:hint="default"/>
        <w:lang w:val="es-ES" w:eastAsia="en-US" w:bidi="ar-SA"/>
      </w:rPr>
    </w:lvl>
    <w:lvl w:ilvl="3" w:tplc="00A07284">
      <w:numFmt w:val="bullet"/>
      <w:lvlText w:val="•"/>
      <w:lvlJc w:val="left"/>
      <w:pPr>
        <w:ind w:left="3180" w:hanging="264"/>
      </w:pPr>
      <w:rPr>
        <w:rFonts w:hint="default"/>
        <w:lang w:val="es-ES" w:eastAsia="en-US" w:bidi="ar-SA"/>
      </w:rPr>
    </w:lvl>
    <w:lvl w:ilvl="4" w:tplc="9A80AF6A">
      <w:numFmt w:val="bullet"/>
      <w:lvlText w:val="•"/>
      <w:lvlJc w:val="left"/>
      <w:pPr>
        <w:ind w:left="4020" w:hanging="264"/>
      </w:pPr>
      <w:rPr>
        <w:rFonts w:hint="default"/>
        <w:lang w:val="es-ES" w:eastAsia="en-US" w:bidi="ar-SA"/>
      </w:rPr>
    </w:lvl>
    <w:lvl w:ilvl="5" w:tplc="0EE84B04">
      <w:numFmt w:val="bullet"/>
      <w:lvlText w:val="•"/>
      <w:lvlJc w:val="left"/>
      <w:pPr>
        <w:ind w:left="4860" w:hanging="264"/>
      </w:pPr>
      <w:rPr>
        <w:rFonts w:hint="default"/>
        <w:lang w:val="es-ES" w:eastAsia="en-US" w:bidi="ar-SA"/>
      </w:rPr>
    </w:lvl>
    <w:lvl w:ilvl="6" w:tplc="5CAEDC78">
      <w:numFmt w:val="bullet"/>
      <w:lvlText w:val="•"/>
      <w:lvlJc w:val="left"/>
      <w:pPr>
        <w:ind w:left="5700" w:hanging="264"/>
      </w:pPr>
      <w:rPr>
        <w:rFonts w:hint="default"/>
        <w:lang w:val="es-ES" w:eastAsia="en-US" w:bidi="ar-SA"/>
      </w:rPr>
    </w:lvl>
    <w:lvl w:ilvl="7" w:tplc="9C90C886">
      <w:numFmt w:val="bullet"/>
      <w:lvlText w:val="•"/>
      <w:lvlJc w:val="left"/>
      <w:pPr>
        <w:ind w:left="6540" w:hanging="264"/>
      </w:pPr>
      <w:rPr>
        <w:rFonts w:hint="default"/>
        <w:lang w:val="es-ES" w:eastAsia="en-US" w:bidi="ar-SA"/>
      </w:rPr>
    </w:lvl>
    <w:lvl w:ilvl="8" w:tplc="3BEC1688">
      <w:numFmt w:val="bullet"/>
      <w:lvlText w:val="•"/>
      <w:lvlJc w:val="left"/>
      <w:pPr>
        <w:ind w:left="7380" w:hanging="264"/>
      </w:pPr>
      <w:rPr>
        <w:rFonts w:hint="default"/>
        <w:lang w:val="es-ES" w:eastAsia="en-US" w:bidi="ar-SA"/>
      </w:rPr>
    </w:lvl>
  </w:abstractNum>
  <w:abstractNum w:abstractNumId="3" w15:restartNumberingAfterBreak="0">
    <w:nsid w:val="31A2509F"/>
    <w:multiLevelType w:val="hybridMultilevel"/>
    <w:tmpl w:val="0512C36E"/>
    <w:lvl w:ilvl="0" w:tplc="C65431E8">
      <w:start w:val="3"/>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5329099B"/>
    <w:multiLevelType w:val="hybridMultilevel"/>
    <w:tmpl w:val="3A0434F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EF36D4D"/>
    <w:multiLevelType w:val="hybridMultilevel"/>
    <w:tmpl w:val="25C67B68"/>
    <w:lvl w:ilvl="0" w:tplc="230A9E54">
      <w:start w:val="2"/>
      <w:numFmt w:val="lowerLetter"/>
      <w:lvlText w:val="%1)"/>
      <w:lvlJc w:val="left"/>
      <w:pPr>
        <w:ind w:left="102" w:hanging="308"/>
      </w:pPr>
      <w:rPr>
        <w:rFonts w:ascii="Gadugi" w:eastAsia="Gadugi" w:hAnsi="Gadugi" w:cs="Gadugi" w:hint="default"/>
        <w:w w:val="100"/>
        <w:sz w:val="28"/>
        <w:szCs w:val="28"/>
        <w:lang w:val="es-ES" w:eastAsia="en-US" w:bidi="ar-SA"/>
      </w:rPr>
    </w:lvl>
    <w:lvl w:ilvl="1" w:tplc="B3787D70">
      <w:start w:val="1"/>
      <w:numFmt w:val="decimal"/>
      <w:lvlText w:val="%2."/>
      <w:lvlJc w:val="left"/>
      <w:pPr>
        <w:ind w:left="423" w:hanging="423"/>
      </w:pPr>
      <w:rPr>
        <w:rFonts w:ascii="Georgia" w:eastAsia="Gadugi" w:hAnsi="Georgia" w:cs="Gadugi" w:hint="default"/>
        <w:color w:val="auto"/>
        <w:spacing w:val="-1"/>
        <w:w w:val="100"/>
        <w:sz w:val="28"/>
        <w:szCs w:val="28"/>
        <w:lang w:val="es-ES" w:eastAsia="en-US" w:bidi="ar-SA"/>
      </w:rPr>
    </w:lvl>
    <w:lvl w:ilvl="2" w:tplc="6AFE3188">
      <w:numFmt w:val="bullet"/>
      <w:lvlText w:val="•"/>
      <w:lvlJc w:val="left"/>
      <w:pPr>
        <w:ind w:left="1892" w:hanging="423"/>
      </w:pPr>
      <w:rPr>
        <w:rFonts w:hint="default"/>
        <w:lang w:val="es-ES" w:eastAsia="en-US" w:bidi="ar-SA"/>
      </w:rPr>
    </w:lvl>
    <w:lvl w:ilvl="3" w:tplc="8B420032">
      <w:numFmt w:val="bullet"/>
      <w:lvlText w:val="•"/>
      <w:lvlJc w:val="left"/>
      <w:pPr>
        <w:ind w:left="2788" w:hanging="423"/>
      </w:pPr>
      <w:rPr>
        <w:rFonts w:hint="default"/>
        <w:lang w:val="es-ES" w:eastAsia="en-US" w:bidi="ar-SA"/>
      </w:rPr>
    </w:lvl>
    <w:lvl w:ilvl="4" w:tplc="D930B8D0">
      <w:numFmt w:val="bullet"/>
      <w:lvlText w:val="•"/>
      <w:lvlJc w:val="left"/>
      <w:pPr>
        <w:ind w:left="3684" w:hanging="423"/>
      </w:pPr>
      <w:rPr>
        <w:rFonts w:hint="default"/>
        <w:lang w:val="es-ES" w:eastAsia="en-US" w:bidi="ar-SA"/>
      </w:rPr>
    </w:lvl>
    <w:lvl w:ilvl="5" w:tplc="B7584EE6">
      <w:numFmt w:val="bullet"/>
      <w:lvlText w:val="•"/>
      <w:lvlJc w:val="left"/>
      <w:pPr>
        <w:ind w:left="4580" w:hanging="423"/>
      </w:pPr>
      <w:rPr>
        <w:rFonts w:hint="default"/>
        <w:lang w:val="es-ES" w:eastAsia="en-US" w:bidi="ar-SA"/>
      </w:rPr>
    </w:lvl>
    <w:lvl w:ilvl="6" w:tplc="41745FDC">
      <w:numFmt w:val="bullet"/>
      <w:lvlText w:val="•"/>
      <w:lvlJc w:val="left"/>
      <w:pPr>
        <w:ind w:left="5476" w:hanging="423"/>
      </w:pPr>
      <w:rPr>
        <w:rFonts w:hint="default"/>
        <w:lang w:val="es-ES" w:eastAsia="en-US" w:bidi="ar-SA"/>
      </w:rPr>
    </w:lvl>
    <w:lvl w:ilvl="7" w:tplc="D9C4DEAA">
      <w:numFmt w:val="bullet"/>
      <w:lvlText w:val="•"/>
      <w:lvlJc w:val="left"/>
      <w:pPr>
        <w:ind w:left="6372" w:hanging="423"/>
      </w:pPr>
      <w:rPr>
        <w:rFonts w:hint="default"/>
        <w:lang w:val="es-ES" w:eastAsia="en-US" w:bidi="ar-SA"/>
      </w:rPr>
    </w:lvl>
    <w:lvl w:ilvl="8" w:tplc="B05A142C">
      <w:numFmt w:val="bullet"/>
      <w:lvlText w:val="•"/>
      <w:lvlJc w:val="left"/>
      <w:pPr>
        <w:ind w:left="7268" w:hanging="423"/>
      </w:pPr>
      <w:rPr>
        <w:rFonts w:hint="default"/>
        <w:lang w:val="es-ES" w:eastAsia="en-US" w:bidi="ar-SA"/>
      </w:rPr>
    </w:lvl>
  </w:abstractNum>
  <w:abstractNum w:abstractNumId="6" w15:restartNumberingAfterBreak="0">
    <w:nsid w:val="686B318E"/>
    <w:multiLevelType w:val="hybridMultilevel"/>
    <w:tmpl w:val="9A0433F0"/>
    <w:lvl w:ilvl="0" w:tplc="FBEACDF4">
      <w:start w:val="1"/>
      <w:numFmt w:val="lowerRoman"/>
      <w:lvlText w:val="(%1)"/>
      <w:lvlJc w:val="left"/>
      <w:pPr>
        <w:ind w:left="1440" w:hanging="1080"/>
      </w:pPr>
      <w:rPr>
        <w:rFonts w:cs="Gadugi" w:hint="default"/>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72D82A91"/>
    <w:multiLevelType w:val="hybridMultilevel"/>
    <w:tmpl w:val="88BC031A"/>
    <w:lvl w:ilvl="0" w:tplc="377AB5D6">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CD"/>
    <w:rsid w:val="0003197A"/>
    <w:rsid w:val="000451FB"/>
    <w:rsid w:val="00053D22"/>
    <w:rsid w:val="00056252"/>
    <w:rsid w:val="00065D2A"/>
    <w:rsid w:val="00070316"/>
    <w:rsid w:val="00071EEF"/>
    <w:rsid w:val="000777B9"/>
    <w:rsid w:val="00080196"/>
    <w:rsid w:val="00082B95"/>
    <w:rsid w:val="00086BFF"/>
    <w:rsid w:val="0009448D"/>
    <w:rsid w:val="000949BA"/>
    <w:rsid w:val="00095133"/>
    <w:rsid w:val="00097592"/>
    <w:rsid w:val="000C3476"/>
    <w:rsid w:val="000D16DA"/>
    <w:rsid w:val="000D2EB6"/>
    <w:rsid w:val="000D403E"/>
    <w:rsid w:val="000D6B8F"/>
    <w:rsid w:val="000F06A8"/>
    <w:rsid w:val="000F252B"/>
    <w:rsid w:val="000F3893"/>
    <w:rsid w:val="0010326A"/>
    <w:rsid w:val="00107112"/>
    <w:rsid w:val="0010768F"/>
    <w:rsid w:val="001146DD"/>
    <w:rsid w:val="00115C74"/>
    <w:rsid w:val="00125F3F"/>
    <w:rsid w:val="00134F52"/>
    <w:rsid w:val="001374FC"/>
    <w:rsid w:val="00143BB8"/>
    <w:rsid w:val="001452CB"/>
    <w:rsid w:val="00145DE3"/>
    <w:rsid w:val="00146AB3"/>
    <w:rsid w:val="00167FD8"/>
    <w:rsid w:val="00176693"/>
    <w:rsid w:val="0018188F"/>
    <w:rsid w:val="001C0876"/>
    <w:rsid w:val="001D5DD6"/>
    <w:rsid w:val="001E5649"/>
    <w:rsid w:val="001F33BA"/>
    <w:rsid w:val="002111E4"/>
    <w:rsid w:val="002132E2"/>
    <w:rsid w:val="00230402"/>
    <w:rsid w:val="00240FFA"/>
    <w:rsid w:val="00243477"/>
    <w:rsid w:val="00263D1B"/>
    <w:rsid w:val="00264ECB"/>
    <w:rsid w:val="002652ED"/>
    <w:rsid w:val="002666E6"/>
    <w:rsid w:val="0027736D"/>
    <w:rsid w:val="00280634"/>
    <w:rsid w:val="002A4C9B"/>
    <w:rsid w:val="002B59B7"/>
    <w:rsid w:val="002B5F79"/>
    <w:rsid w:val="002C0660"/>
    <w:rsid w:val="002D1E8A"/>
    <w:rsid w:val="002E18FB"/>
    <w:rsid w:val="002F1665"/>
    <w:rsid w:val="002F37B7"/>
    <w:rsid w:val="002F48FE"/>
    <w:rsid w:val="003139E7"/>
    <w:rsid w:val="003314A5"/>
    <w:rsid w:val="0033577C"/>
    <w:rsid w:val="00344E3D"/>
    <w:rsid w:val="003509CA"/>
    <w:rsid w:val="003533B2"/>
    <w:rsid w:val="0035392E"/>
    <w:rsid w:val="00354BF7"/>
    <w:rsid w:val="0036123C"/>
    <w:rsid w:val="00366963"/>
    <w:rsid w:val="0036743B"/>
    <w:rsid w:val="00382060"/>
    <w:rsid w:val="00382433"/>
    <w:rsid w:val="00386D6E"/>
    <w:rsid w:val="00390D69"/>
    <w:rsid w:val="003934DA"/>
    <w:rsid w:val="003972E7"/>
    <w:rsid w:val="003A2EDC"/>
    <w:rsid w:val="003A3C3D"/>
    <w:rsid w:val="003A55D9"/>
    <w:rsid w:val="003B2A2A"/>
    <w:rsid w:val="003B6542"/>
    <w:rsid w:val="003C47E0"/>
    <w:rsid w:val="003D075F"/>
    <w:rsid w:val="003D5BF2"/>
    <w:rsid w:val="003E3041"/>
    <w:rsid w:val="003E5C8B"/>
    <w:rsid w:val="003F3432"/>
    <w:rsid w:val="004117C9"/>
    <w:rsid w:val="00416AF1"/>
    <w:rsid w:val="00434A1A"/>
    <w:rsid w:val="004362DD"/>
    <w:rsid w:val="00445C23"/>
    <w:rsid w:val="00445F28"/>
    <w:rsid w:val="00446B2B"/>
    <w:rsid w:val="004510A0"/>
    <w:rsid w:val="004717A8"/>
    <w:rsid w:val="004768F9"/>
    <w:rsid w:val="00493F0A"/>
    <w:rsid w:val="004A1992"/>
    <w:rsid w:val="004A49C6"/>
    <w:rsid w:val="004E0B5D"/>
    <w:rsid w:val="004F320C"/>
    <w:rsid w:val="004F3C6F"/>
    <w:rsid w:val="00517412"/>
    <w:rsid w:val="005206A5"/>
    <w:rsid w:val="00521F03"/>
    <w:rsid w:val="0052634A"/>
    <w:rsid w:val="00527B97"/>
    <w:rsid w:val="00537150"/>
    <w:rsid w:val="0053741D"/>
    <w:rsid w:val="0054458F"/>
    <w:rsid w:val="00563772"/>
    <w:rsid w:val="00576A8E"/>
    <w:rsid w:val="00583BC4"/>
    <w:rsid w:val="00590024"/>
    <w:rsid w:val="005A3969"/>
    <w:rsid w:val="005A7177"/>
    <w:rsid w:val="005B178F"/>
    <w:rsid w:val="005B29E6"/>
    <w:rsid w:val="005B6FBE"/>
    <w:rsid w:val="005E0F03"/>
    <w:rsid w:val="005E6327"/>
    <w:rsid w:val="005F6621"/>
    <w:rsid w:val="00621DC1"/>
    <w:rsid w:val="00626D2C"/>
    <w:rsid w:val="00633223"/>
    <w:rsid w:val="00636DB2"/>
    <w:rsid w:val="00642A58"/>
    <w:rsid w:val="0065007C"/>
    <w:rsid w:val="00660EB6"/>
    <w:rsid w:val="00666361"/>
    <w:rsid w:val="00667995"/>
    <w:rsid w:val="00690E7C"/>
    <w:rsid w:val="006B0257"/>
    <w:rsid w:val="006B5751"/>
    <w:rsid w:val="006C036E"/>
    <w:rsid w:val="006D31E4"/>
    <w:rsid w:val="006E2182"/>
    <w:rsid w:val="006E2252"/>
    <w:rsid w:val="006E62BD"/>
    <w:rsid w:val="006F4AEB"/>
    <w:rsid w:val="006F52FC"/>
    <w:rsid w:val="00703596"/>
    <w:rsid w:val="00703C24"/>
    <w:rsid w:val="00706AA7"/>
    <w:rsid w:val="007176DE"/>
    <w:rsid w:val="00742F42"/>
    <w:rsid w:val="0074321C"/>
    <w:rsid w:val="00753DC1"/>
    <w:rsid w:val="0076006D"/>
    <w:rsid w:val="0076715B"/>
    <w:rsid w:val="0077259A"/>
    <w:rsid w:val="00777458"/>
    <w:rsid w:val="0078297B"/>
    <w:rsid w:val="007901B4"/>
    <w:rsid w:val="00791C0C"/>
    <w:rsid w:val="007A2A6C"/>
    <w:rsid w:val="007B18A4"/>
    <w:rsid w:val="007C528A"/>
    <w:rsid w:val="007C6E28"/>
    <w:rsid w:val="007D2BB6"/>
    <w:rsid w:val="007D6CB2"/>
    <w:rsid w:val="007E17C8"/>
    <w:rsid w:val="008019A0"/>
    <w:rsid w:val="00803ED4"/>
    <w:rsid w:val="008151AD"/>
    <w:rsid w:val="0082186D"/>
    <w:rsid w:val="008237FF"/>
    <w:rsid w:val="00837EEB"/>
    <w:rsid w:val="008523D0"/>
    <w:rsid w:val="00853FEF"/>
    <w:rsid w:val="00861D82"/>
    <w:rsid w:val="00866CEA"/>
    <w:rsid w:val="0089270C"/>
    <w:rsid w:val="00894EA3"/>
    <w:rsid w:val="00895BA5"/>
    <w:rsid w:val="008A51C2"/>
    <w:rsid w:val="008B1763"/>
    <w:rsid w:val="008C7687"/>
    <w:rsid w:val="008D52B1"/>
    <w:rsid w:val="008F1D6E"/>
    <w:rsid w:val="009001A6"/>
    <w:rsid w:val="0090386E"/>
    <w:rsid w:val="009106D3"/>
    <w:rsid w:val="0091625B"/>
    <w:rsid w:val="00917CB6"/>
    <w:rsid w:val="00924C66"/>
    <w:rsid w:val="00927549"/>
    <w:rsid w:val="009376C1"/>
    <w:rsid w:val="00954242"/>
    <w:rsid w:val="00966C7A"/>
    <w:rsid w:val="00985378"/>
    <w:rsid w:val="00993E58"/>
    <w:rsid w:val="009B2AFD"/>
    <w:rsid w:val="009C7AA6"/>
    <w:rsid w:val="009D710A"/>
    <w:rsid w:val="009E4584"/>
    <w:rsid w:val="009E65A4"/>
    <w:rsid w:val="009F5818"/>
    <w:rsid w:val="009F73DA"/>
    <w:rsid w:val="00A02618"/>
    <w:rsid w:val="00A10453"/>
    <w:rsid w:val="00A134D3"/>
    <w:rsid w:val="00A17C7F"/>
    <w:rsid w:val="00A216E4"/>
    <w:rsid w:val="00A37FDF"/>
    <w:rsid w:val="00A404D4"/>
    <w:rsid w:val="00A522A7"/>
    <w:rsid w:val="00A54731"/>
    <w:rsid w:val="00A61BBB"/>
    <w:rsid w:val="00A66484"/>
    <w:rsid w:val="00A70E14"/>
    <w:rsid w:val="00A7187E"/>
    <w:rsid w:val="00AA15F3"/>
    <w:rsid w:val="00AB12C6"/>
    <w:rsid w:val="00AB36BA"/>
    <w:rsid w:val="00AC4584"/>
    <w:rsid w:val="00AC4782"/>
    <w:rsid w:val="00AC4A2B"/>
    <w:rsid w:val="00AC6AAF"/>
    <w:rsid w:val="00AC7CE1"/>
    <w:rsid w:val="00AD5AA7"/>
    <w:rsid w:val="00AE3A11"/>
    <w:rsid w:val="00AF1628"/>
    <w:rsid w:val="00B107E7"/>
    <w:rsid w:val="00B33527"/>
    <w:rsid w:val="00B731DB"/>
    <w:rsid w:val="00B83AFB"/>
    <w:rsid w:val="00B8613D"/>
    <w:rsid w:val="00B965CD"/>
    <w:rsid w:val="00BA4231"/>
    <w:rsid w:val="00BA7C74"/>
    <w:rsid w:val="00BB2FE4"/>
    <w:rsid w:val="00BC1657"/>
    <w:rsid w:val="00BC27C8"/>
    <w:rsid w:val="00BD4F0D"/>
    <w:rsid w:val="00BD5CC1"/>
    <w:rsid w:val="00BE5C49"/>
    <w:rsid w:val="00BF0006"/>
    <w:rsid w:val="00BF1B0D"/>
    <w:rsid w:val="00BF1C58"/>
    <w:rsid w:val="00BF4055"/>
    <w:rsid w:val="00BF66F8"/>
    <w:rsid w:val="00C10398"/>
    <w:rsid w:val="00C12679"/>
    <w:rsid w:val="00C13CF6"/>
    <w:rsid w:val="00C17EB4"/>
    <w:rsid w:val="00C20139"/>
    <w:rsid w:val="00C25E64"/>
    <w:rsid w:val="00C34631"/>
    <w:rsid w:val="00C37084"/>
    <w:rsid w:val="00C50B15"/>
    <w:rsid w:val="00C57224"/>
    <w:rsid w:val="00C7366F"/>
    <w:rsid w:val="00C76F4D"/>
    <w:rsid w:val="00C8448E"/>
    <w:rsid w:val="00C848E9"/>
    <w:rsid w:val="00C84FB7"/>
    <w:rsid w:val="00C86C69"/>
    <w:rsid w:val="00C92EF0"/>
    <w:rsid w:val="00CA2522"/>
    <w:rsid w:val="00CA509A"/>
    <w:rsid w:val="00CB4A2C"/>
    <w:rsid w:val="00CF097A"/>
    <w:rsid w:val="00CF7740"/>
    <w:rsid w:val="00D03C6A"/>
    <w:rsid w:val="00D217A1"/>
    <w:rsid w:val="00D218EC"/>
    <w:rsid w:val="00D23A4B"/>
    <w:rsid w:val="00D25204"/>
    <w:rsid w:val="00D40DD6"/>
    <w:rsid w:val="00D510D6"/>
    <w:rsid w:val="00D512CC"/>
    <w:rsid w:val="00D566E5"/>
    <w:rsid w:val="00D57241"/>
    <w:rsid w:val="00D72B6C"/>
    <w:rsid w:val="00D742F4"/>
    <w:rsid w:val="00D9592B"/>
    <w:rsid w:val="00D965BA"/>
    <w:rsid w:val="00DA569D"/>
    <w:rsid w:val="00DB179E"/>
    <w:rsid w:val="00DB5C04"/>
    <w:rsid w:val="00DD3D0E"/>
    <w:rsid w:val="00DE0875"/>
    <w:rsid w:val="00DE2CC0"/>
    <w:rsid w:val="00DE541D"/>
    <w:rsid w:val="00DE75C0"/>
    <w:rsid w:val="00E01ED2"/>
    <w:rsid w:val="00E02E7C"/>
    <w:rsid w:val="00E06FD7"/>
    <w:rsid w:val="00E15312"/>
    <w:rsid w:val="00E41B22"/>
    <w:rsid w:val="00E715B6"/>
    <w:rsid w:val="00E80C4D"/>
    <w:rsid w:val="00E85273"/>
    <w:rsid w:val="00E951BE"/>
    <w:rsid w:val="00EA7B5E"/>
    <w:rsid w:val="00EC6392"/>
    <w:rsid w:val="00ED16DF"/>
    <w:rsid w:val="00ED603D"/>
    <w:rsid w:val="00EE5570"/>
    <w:rsid w:val="00EE5B57"/>
    <w:rsid w:val="00EE7218"/>
    <w:rsid w:val="00EE7743"/>
    <w:rsid w:val="00EF0A8C"/>
    <w:rsid w:val="00EF2E98"/>
    <w:rsid w:val="00EF4EDC"/>
    <w:rsid w:val="00EF5031"/>
    <w:rsid w:val="00F1132A"/>
    <w:rsid w:val="00F16868"/>
    <w:rsid w:val="00F24738"/>
    <w:rsid w:val="00F2785E"/>
    <w:rsid w:val="00F31DF7"/>
    <w:rsid w:val="00F44155"/>
    <w:rsid w:val="00F45A97"/>
    <w:rsid w:val="00F8524B"/>
    <w:rsid w:val="00F85F95"/>
    <w:rsid w:val="00F86E6A"/>
    <w:rsid w:val="00F915D7"/>
    <w:rsid w:val="00FA1EEE"/>
    <w:rsid w:val="00FA30FB"/>
    <w:rsid w:val="00FA4D0C"/>
    <w:rsid w:val="00FB1DF4"/>
    <w:rsid w:val="00FB6B08"/>
    <w:rsid w:val="00FC1CFA"/>
    <w:rsid w:val="00FD0FCD"/>
    <w:rsid w:val="00FE162B"/>
    <w:rsid w:val="00FE5D75"/>
    <w:rsid w:val="00FE6981"/>
    <w:rsid w:val="00FE6F8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091A1"/>
  <w15:docId w15:val="{5E0099FF-AE25-4539-9BD2-F1E74B13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3D0"/>
    <w:rPr>
      <w:rFonts w:ascii="Gadugi" w:eastAsia="Gadugi" w:hAnsi="Gadugi" w:cs="Gadugi"/>
      <w:lang w:val="es-ES"/>
    </w:rPr>
  </w:style>
  <w:style w:type="paragraph" w:styleId="Ttulo1">
    <w:name w:val="heading 1"/>
    <w:basedOn w:val="Normal"/>
    <w:uiPriority w:val="9"/>
    <w:qFormat/>
    <w:pPr>
      <w:ind w:left="102"/>
      <w:outlineLvl w:val="0"/>
    </w:pPr>
    <w:rPr>
      <w:sz w:val="29"/>
      <w:szCs w:val="29"/>
    </w:rPr>
  </w:style>
  <w:style w:type="paragraph" w:styleId="Ttulo2">
    <w:name w:val="heading 2"/>
    <w:basedOn w:val="Normal"/>
    <w:link w:val="Ttulo2Car"/>
    <w:uiPriority w:val="9"/>
    <w:unhideWhenUsed/>
    <w:qFormat/>
    <w:pPr>
      <w:spacing w:before="189"/>
      <w:ind w:left="1803"/>
      <w:outlineLvl w:val="1"/>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rFonts w:ascii="Arial MT" w:eastAsia="Arial MT" w:hAnsi="Arial MT" w:cs="Arial MT"/>
      <w:sz w:val="28"/>
      <w:szCs w:val="28"/>
    </w:rPr>
  </w:style>
  <w:style w:type="paragraph" w:styleId="Prrafodelista">
    <w:name w:val="List Paragraph"/>
    <w:basedOn w:val="Normal"/>
    <w:uiPriority w:val="1"/>
    <w:qFormat/>
    <w:pPr>
      <w:ind w:left="102" w:right="119" w:firstLine="1135"/>
      <w:jc w:val="both"/>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8D52B1"/>
    <w:rPr>
      <w:sz w:val="20"/>
      <w:szCs w:val="20"/>
    </w:rPr>
  </w:style>
  <w:style w:type="character" w:customStyle="1" w:styleId="TextonotapieCar">
    <w:name w:val="Texto nota pie Car"/>
    <w:basedOn w:val="Fuentedeprrafopredeter"/>
    <w:link w:val="Textonotapie"/>
    <w:uiPriority w:val="99"/>
    <w:semiHidden/>
    <w:rsid w:val="008D52B1"/>
    <w:rPr>
      <w:rFonts w:ascii="Gadugi" w:eastAsia="Gadugi" w:hAnsi="Gadugi" w:cs="Gadugi"/>
      <w:sz w:val="20"/>
      <w:szCs w:val="20"/>
      <w:lang w:val="es-ES"/>
    </w:rPr>
  </w:style>
  <w:style w:type="character" w:styleId="Refdenotaalpie">
    <w:name w:val="footnote reference"/>
    <w:basedOn w:val="Fuentedeprrafopredeter"/>
    <w:uiPriority w:val="99"/>
    <w:semiHidden/>
    <w:unhideWhenUsed/>
    <w:rsid w:val="008D52B1"/>
    <w:rPr>
      <w:vertAlign w:val="superscript"/>
    </w:rPr>
  </w:style>
  <w:style w:type="paragraph" w:styleId="Encabezado">
    <w:name w:val="header"/>
    <w:basedOn w:val="Normal"/>
    <w:link w:val="EncabezadoCar"/>
    <w:uiPriority w:val="99"/>
    <w:unhideWhenUsed/>
    <w:rsid w:val="00DE75C0"/>
    <w:pPr>
      <w:tabs>
        <w:tab w:val="center" w:pos="4419"/>
        <w:tab w:val="right" w:pos="8838"/>
      </w:tabs>
    </w:pPr>
  </w:style>
  <w:style w:type="character" w:customStyle="1" w:styleId="EncabezadoCar">
    <w:name w:val="Encabezado Car"/>
    <w:basedOn w:val="Fuentedeprrafopredeter"/>
    <w:link w:val="Encabezado"/>
    <w:uiPriority w:val="99"/>
    <w:rsid w:val="00DE75C0"/>
    <w:rPr>
      <w:rFonts w:ascii="Gadugi" w:eastAsia="Gadugi" w:hAnsi="Gadugi" w:cs="Gadugi"/>
      <w:lang w:val="es-ES"/>
    </w:rPr>
  </w:style>
  <w:style w:type="paragraph" w:styleId="Piedepgina">
    <w:name w:val="footer"/>
    <w:basedOn w:val="Normal"/>
    <w:link w:val="PiedepginaCar"/>
    <w:uiPriority w:val="99"/>
    <w:unhideWhenUsed/>
    <w:rsid w:val="00DE75C0"/>
    <w:pPr>
      <w:tabs>
        <w:tab w:val="center" w:pos="4419"/>
        <w:tab w:val="right" w:pos="8838"/>
      </w:tabs>
    </w:pPr>
  </w:style>
  <w:style w:type="character" w:customStyle="1" w:styleId="PiedepginaCar">
    <w:name w:val="Pie de página Car"/>
    <w:basedOn w:val="Fuentedeprrafopredeter"/>
    <w:link w:val="Piedepgina"/>
    <w:uiPriority w:val="99"/>
    <w:rsid w:val="00DE75C0"/>
    <w:rPr>
      <w:rFonts w:ascii="Gadugi" w:eastAsia="Gadugi" w:hAnsi="Gadugi" w:cs="Gadugi"/>
      <w:lang w:val="es-ES"/>
    </w:rPr>
  </w:style>
  <w:style w:type="character" w:customStyle="1" w:styleId="TextoindependienteCar">
    <w:name w:val="Texto independiente Car"/>
    <w:basedOn w:val="Fuentedeprrafopredeter"/>
    <w:link w:val="Textoindependiente"/>
    <w:uiPriority w:val="1"/>
    <w:rsid w:val="0091625B"/>
    <w:rPr>
      <w:rFonts w:ascii="Arial MT" w:eastAsia="Arial MT" w:hAnsi="Arial MT" w:cs="Arial MT"/>
      <w:sz w:val="28"/>
      <w:szCs w:val="28"/>
      <w:lang w:val="es-ES"/>
    </w:rPr>
  </w:style>
  <w:style w:type="paragraph" w:styleId="NormalWeb">
    <w:name w:val="Normal (Web)"/>
    <w:basedOn w:val="Normal"/>
    <w:uiPriority w:val="99"/>
    <w:unhideWhenUsed/>
    <w:rsid w:val="00D218EC"/>
    <w:pPr>
      <w:widowControl/>
      <w:autoSpaceDE/>
      <w:autoSpaceDN/>
      <w:spacing w:before="100" w:beforeAutospacing="1" w:after="100" w:afterAutospacing="1"/>
    </w:pPr>
    <w:rPr>
      <w:rFonts w:ascii="Times New Roman" w:eastAsia="Times New Roman" w:hAnsi="Times New Roman" w:cs="Times New Roman"/>
      <w:sz w:val="24"/>
      <w:szCs w:val="24"/>
      <w:lang w:val="es-419" w:eastAsia="es-419"/>
    </w:rPr>
  </w:style>
  <w:style w:type="character" w:customStyle="1" w:styleId="Ttulo2Car">
    <w:name w:val="Título 2 Car"/>
    <w:basedOn w:val="Fuentedeprrafopredeter"/>
    <w:link w:val="Ttulo2"/>
    <w:uiPriority w:val="9"/>
    <w:rsid w:val="00FA1EEE"/>
    <w:rPr>
      <w:rFonts w:ascii="Gadugi" w:eastAsia="Gadugi" w:hAnsi="Gadugi" w:cs="Gadugi"/>
      <w:b/>
      <w:bCs/>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11763">
      <w:bodyDiv w:val="1"/>
      <w:marLeft w:val="0"/>
      <w:marRight w:val="0"/>
      <w:marTop w:val="0"/>
      <w:marBottom w:val="0"/>
      <w:divBdr>
        <w:top w:val="none" w:sz="0" w:space="0" w:color="auto"/>
        <w:left w:val="none" w:sz="0" w:space="0" w:color="auto"/>
        <w:bottom w:val="none" w:sz="0" w:space="0" w:color="auto"/>
        <w:right w:val="none" w:sz="0" w:space="0" w:color="auto"/>
      </w:divBdr>
    </w:div>
    <w:div w:id="773936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45f4ef-a5bd-4dbd-ab8f-e69291a39b0c" xsi:nil="true"/>
    <lcf76f155ced4ddcb4097134ff3c332f xmlns="930c81f1-e9ca-4bc6-a442-7e43bfe2584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0D3CA8A8F104B46A609B35E2806C01D" ma:contentTypeVersion="15" ma:contentTypeDescription="Crear nuevo documento." ma:contentTypeScope="" ma:versionID="71e8ce2996f1032db6d466bdf3d94e30">
  <xsd:schema xmlns:xsd="http://www.w3.org/2001/XMLSchema" xmlns:xs="http://www.w3.org/2001/XMLSchema" xmlns:p="http://schemas.microsoft.com/office/2006/metadata/properties" xmlns:ns2="930c81f1-e9ca-4bc6-a442-7e43bfe25841" xmlns:ns3="9845f4ef-a5bd-4dbd-ab8f-e69291a39b0c" targetNamespace="http://schemas.microsoft.com/office/2006/metadata/properties" ma:root="true" ma:fieldsID="a12ef200a9a70a89de408691e94ad04c" ns2:_="" ns3:_="">
    <xsd:import namespace="930c81f1-e9ca-4bc6-a442-7e43bfe25841"/>
    <xsd:import namespace="9845f4ef-a5bd-4dbd-ab8f-e69291a39b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c81f1-e9ca-4bc6-a442-7e43bfe25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45f4ef-a5bd-4dbd-ab8f-e69291a39b0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099792c6-f27b-4e16-90a0-038589a113ab}" ma:internalName="TaxCatchAll" ma:showField="CatchAllData" ma:web="9845f4ef-a5bd-4dbd-ab8f-e69291a39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FAFE7-098F-4B77-BC66-4102F9ADE839}">
  <ds:schemaRefs>
    <ds:schemaRef ds:uri="http://schemas.microsoft.com/office/2006/metadata/properties"/>
    <ds:schemaRef ds:uri="http://schemas.microsoft.com/office/infopath/2007/PartnerControls"/>
    <ds:schemaRef ds:uri="9845f4ef-a5bd-4dbd-ab8f-e69291a39b0c"/>
    <ds:schemaRef ds:uri="930c81f1-e9ca-4bc6-a442-7e43bfe25841"/>
  </ds:schemaRefs>
</ds:datastoreItem>
</file>

<file path=customXml/itemProps2.xml><?xml version="1.0" encoding="utf-8"?>
<ds:datastoreItem xmlns:ds="http://schemas.openxmlformats.org/officeDocument/2006/customXml" ds:itemID="{DE3FA5E1-53BE-49E4-B456-C124D2992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c81f1-e9ca-4bc6-a442-7e43bfe25841"/>
    <ds:schemaRef ds:uri="9845f4ef-a5bd-4dbd-ab8f-e69291a3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F5B5D1-ED1B-417A-A8E0-B4C9589A8FAD}">
  <ds:schemaRefs>
    <ds:schemaRef ds:uri="http://schemas.microsoft.com/sharepoint/v3/contenttype/forms"/>
  </ds:schemaRefs>
</ds:datastoreItem>
</file>

<file path=customXml/itemProps4.xml><?xml version="1.0" encoding="utf-8"?>
<ds:datastoreItem xmlns:ds="http://schemas.openxmlformats.org/officeDocument/2006/customXml" ds:itemID="{1467DCD4-BD0D-4932-9C4C-BEFA0C913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2414</Words>
  <Characters>13761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Alberto Saraza</dc:creator>
  <cp:lastModifiedBy>samsung</cp:lastModifiedBy>
  <cp:revision>7</cp:revision>
  <dcterms:created xsi:type="dcterms:W3CDTF">2023-08-08T16:38:00Z</dcterms:created>
  <dcterms:modified xsi:type="dcterms:W3CDTF">2023-09-18T13:43:00Z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2021-09-10T00:00:00Z</vt:filetime>
  </property>
  <property fmtid="{D5CDD505-2E9C-101B-9397-08002B2CF9AE}" pid="3" name="Creator">
    <vt:lpwstr>Microsoft® Word 2016</vt:lpwstr>
  </property>
  <property fmtid="{D5CDD505-2E9C-101B-9397-08002B2CF9AE}" pid="4" name="LastSaved">
    <vt:filetime>2022-03-31T00:00:00Z</vt:filetime>
  </property>
  <property fmtid="{D5CDD505-2E9C-101B-9397-08002B2CF9AE}" pid="5" name="ContentTypeId">
    <vt:lpwstr>0x01010050D3CA8A8F104B46A609B35E2806C01D</vt:lpwstr>
  </property>
</Properties>
</file>