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3C47A" w14:textId="772FBD94" w:rsidR="001F53F3" w:rsidRPr="001F53F3" w:rsidRDefault="001F53F3" w:rsidP="001F53F3">
      <w:pPr>
        <w:tabs>
          <w:tab w:val="center" w:pos="4419"/>
          <w:tab w:val="right" w:pos="8838"/>
        </w:tabs>
        <w:spacing w:line="240" w:lineRule="auto"/>
        <w:jc w:val="both"/>
        <w:rPr>
          <w:rFonts w:eastAsia="Gadugi"/>
          <w:b/>
          <w:noProof/>
          <w:sz w:val="20"/>
          <w:szCs w:val="24"/>
        </w:rPr>
      </w:pPr>
      <w:r w:rsidRPr="001F53F3">
        <w:rPr>
          <w:rFonts w:eastAsia="Gadugi"/>
          <w:b/>
          <w:noProof/>
          <w:sz w:val="20"/>
          <w:szCs w:val="24"/>
        </w:rPr>
        <w:t>PRUEBAS DE OFICIO / PROCEDENCIA EN APELACIÓN DE AUTOS</w:t>
      </w:r>
    </w:p>
    <w:p w14:paraId="42E143AB" w14:textId="56FE05DD" w:rsidR="008A1BCC" w:rsidRPr="001F53F3" w:rsidRDefault="001F53F3" w:rsidP="001F53F3">
      <w:pPr>
        <w:tabs>
          <w:tab w:val="center" w:pos="4419"/>
          <w:tab w:val="right" w:pos="8838"/>
        </w:tabs>
        <w:spacing w:line="240" w:lineRule="auto"/>
        <w:jc w:val="both"/>
        <w:rPr>
          <w:rFonts w:eastAsia="Gadugi"/>
          <w:noProof/>
          <w:sz w:val="20"/>
          <w:szCs w:val="24"/>
        </w:rPr>
      </w:pPr>
      <w:r w:rsidRPr="001F53F3">
        <w:rPr>
          <w:rFonts w:eastAsia="Gadugi"/>
          <w:noProof/>
          <w:sz w:val="20"/>
          <w:szCs w:val="24"/>
        </w:rPr>
        <w:tab/>
        <w:t>Preliminarmente se dirá que tiene claro esta Sala que, de acuerdo con el inciso tercero del artículo 328 del CGP, en la apelación de autos el superior solo adquiere competencia para tramitar y decidir el recurso, condenar en costas y ordenar copias. Y que, cuando el artículo 327 prevé la posibilidad de que se pidan pruebas en segunda instancia, limita ese trámite a la apelación de sentencias. De ahí que, pudiera pensarse, sin otro análisis, que en la apelación de autos no hay po</w:t>
      </w:r>
      <w:r>
        <w:rPr>
          <w:rFonts w:eastAsia="Gadugi"/>
          <w:noProof/>
          <w:sz w:val="20"/>
          <w:szCs w:val="24"/>
        </w:rPr>
        <w:t xml:space="preserve">sibilidad de decretar pruebas.  </w:t>
      </w:r>
      <w:r w:rsidRPr="001F53F3">
        <w:rPr>
          <w:rFonts w:eastAsia="Gadugi"/>
          <w:noProof/>
          <w:sz w:val="20"/>
          <w:szCs w:val="24"/>
        </w:rPr>
        <w:t>Pero ello no es tan sencillo. Por una parte, el artículo 169 del mismo estatuto prevé que las pruebas de oficio pueden decretarse cuando sean útiles para la verificación de hechos que interesen al proceso; por la otra, el artículo 170 siguiente, indica que el juez debe decretarlas, en las oportunidades probatorias del proceso y de los incidentes, o antes de fallar, cuando sean necesarias para esclarecer los hechos objeto de la controversia.</w:t>
      </w:r>
    </w:p>
    <w:p w14:paraId="56EDD215" w14:textId="77777777" w:rsidR="008A1BCC" w:rsidRPr="00CC02B9" w:rsidRDefault="008A1BCC" w:rsidP="0006722D">
      <w:pPr>
        <w:tabs>
          <w:tab w:val="center" w:pos="4419"/>
          <w:tab w:val="right" w:pos="8838"/>
        </w:tabs>
        <w:spacing w:line="240" w:lineRule="auto"/>
        <w:jc w:val="both"/>
        <w:rPr>
          <w:rFonts w:eastAsia="Gadugi"/>
          <w:noProof/>
          <w:sz w:val="20"/>
          <w:szCs w:val="24"/>
        </w:rPr>
      </w:pPr>
    </w:p>
    <w:p w14:paraId="034A5543" w14:textId="2F799377" w:rsidR="001F53F3" w:rsidRPr="001F53F3" w:rsidRDefault="001F53F3" w:rsidP="001F53F3">
      <w:pPr>
        <w:tabs>
          <w:tab w:val="center" w:pos="4419"/>
          <w:tab w:val="right" w:pos="8838"/>
        </w:tabs>
        <w:spacing w:line="240" w:lineRule="auto"/>
        <w:jc w:val="both"/>
        <w:rPr>
          <w:rFonts w:eastAsia="Gadugi"/>
          <w:b/>
          <w:noProof/>
          <w:sz w:val="20"/>
          <w:szCs w:val="24"/>
        </w:rPr>
      </w:pPr>
      <w:r w:rsidRPr="001F53F3">
        <w:rPr>
          <w:rFonts w:eastAsia="Gadugi"/>
          <w:b/>
          <w:noProof/>
          <w:sz w:val="20"/>
          <w:szCs w:val="24"/>
        </w:rPr>
        <w:t>PRUEBAS DE OFICIO / PROCE</w:t>
      </w:r>
      <w:r w:rsidR="00285323">
        <w:rPr>
          <w:rFonts w:eastAsia="Gadugi"/>
          <w:b/>
          <w:noProof/>
          <w:sz w:val="20"/>
          <w:szCs w:val="24"/>
        </w:rPr>
        <w:t>SO DIVISORIO / ETAPAS</w:t>
      </w:r>
    </w:p>
    <w:p w14:paraId="7CA15D19" w14:textId="0DF076C8" w:rsidR="008A1BCC" w:rsidRPr="00CC02B9" w:rsidRDefault="00285323" w:rsidP="0006722D">
      <w:pPr>
        <w:tabs>
          <w:tab w:val="center" w:pos="4419"/>
          <w:tab w:val="right" w:pos="8838"/>
        </w:tabs>
        <w:spacing w:line="240" w:lineRule="auto"/>
        <w:jc w:val="both"/>
        <w:rPr>
          <w:rFonts w:eastAsia="Gadugi"/>
          <w:noProof/>
          <w:sz w:val="20"/>
          <w:szCs w:val="24"/>
        </w:rPr>
      </w:pPr>
      <w:r w:rsidRPr="00285323">
        <w:rPr>
          <w:rFonts w:eastAsia="Gadugi"/>
          <w:noProof/>
          <w:sz w:val="20"/>
          <w:szCs w:val="24"/>
        </w:rPr>
        <w:t>3.</w:t>
      </w:r>
      <w:r w:rsidRPr="00285323">
        <w:rPr>
          <w:rFonts w:eastAsia="Gadugi"/>
          <w:noProof/>
          <w:sz w:val="20"/>
          <w:szCs w:val="24"/>
        </w:rPr>
        <w:tab/>
        <w:t>El proceso divisorio, que tiene dos etapas definidas: (i) la que concluye con la orden de división material o la venta en pública subasta; y (ii) la que culmina con la sentencia de distribución, sea material o por venta, representa uno de esos eventos en los que el juez debe ser sigiloso con las pruebas aportadas, y lo debe hacer también el superior, en cada fase.</w:t>
      </w:r>
    </w:p>
    <w:p w14:paraId="557D7062" w14:textId="77777777" w:rsidR="008A1BCC" w:rsidRPr="00CC02B9" w:rsidRDefault="008A1BCC" w:rsidP="0006722D">
      <w:pPr>
        <w:tabs>
          <w:tab w:val="center" w:pos="4419"/>
          <w:tab w:val="right" w:pos="8838"/>
        </w:tabs>
        <w:spacing w:line="240" w:lineRule="auto"/>
        <w:jc w:val="both"/>
        <w:rPr>
          <w:rFonts w:eastAsia="Gadugi"/>
          <w:noProof/>
          <w:sz w:val="20"/>
          <w:szCs w:val="24"/>
        </w:rPr>
      </w:pPr>
    </w:p>
    <w:p w14:paraId="55B59CB7" w14:textId="6D96FE28" w:rsidR="001F53F3" w:rsidRPr="001F53F3" w:rsidRDefault="003D0059" w:rsidP="00DD3D08">
      <w:pPr>
        <w:tabs>
          <w:tab w:val="center" w:pos="4419"/>
          <w:tab w:val="right" w:pos="8838"/>
        </w:tabs>
        <w:spacing w:line="240" w:lineRule="auto"/>
        <w:jc w:val="both"/>
        <w:rPr>
          <w:rFonts w:eastAsia="Gadugi"/>
          <w:b/>
          <w:noProof/>
          <w:sz w:val="20"/>
          <w:szCs w:val="24"/>
        </w:rPr>
      </w:pPr>
      <w:r w:rsidRPr="001F53F3">
        <w:rPr>
          <w:rFonts w:eastAsia="Gadugi"/>
          <w:b/>
          <w:noProof/>
          <w:sz w:val="20"/>
          <w:szCs w:val="24"/>
        </w:rPr>
        <w:t>PRUEBAS DE OFICIO / PROCE</w:t>
      </w:r>
      <w:r>
        <w:rPr>
          <w:rFonts w:eastAsia="Gadugi"/>
          <w:b/>
          <w:noProof/>
          <w:sz w:val="20"/>
          <w:szCs w:val="24"/>
        </w:rPr>
        <w:t>SO DIVISORIO / CARGA PROBATORIA DEMANDANTE</w:t>
      </w:r>
    </w:p>
    <w:p w14:paraId="54BB8011" w14:textId="2123CD04" w:rsidR="008A1BCC" w:rsidRPr="00DD3D08" w:rsidRDefault="00DD3D08" w:rsidP="00DD3D08">
      <w:pPr>
        <w:tabs>
          <w:tab w:val="center" w:pos="4419"/>
          <w:tab w:val="right" w:pos="8838"/>
        </w:tabs>
        <w:spacing w:line="240" w:lineRule="auto"/>
        <w:jc w:val="both"/>
        <w:rPr>
          <w:rFonts w:eastAsia="Gadugi"/>
          <w:noProof/>
          <w:sz w:val="20"/>
          <w:szCs w:val="24"/>
        </w:rPr>
      </w:pPr>
      <w:r w:rsidRPr="00DD3D08">
        <w:rPr>
          <w:rFonts w:eastAsia="Gadugi"/>
          <w:noProof/>
          <w:sz w:val="20"/>
          <w:szCs w:val="24"/>
        </w:rPr>
        <w:t>En ese estadio preliminar, el estatuto procesal, procurando la celeridad de este tipo de actuaciones, introdujo una exigencia clara al demandante en el artículo 406, consistente en presentar, junto con la demanda, un dictamen pericial que determine cuatro cosas: (i) el valor del bien; (ii) el tipo de división que fuere procedente; (iii) la partición, si fuere el caso; y (v) el valor de las mejoras que él reclame.</w:t>
      </w:r>
    </w:p>
    <w:p w14:paraId="382CFC58" w14:textId="77777777" w:rsidR="008A1BCC" w:rsidRDefault="008A1BCC" w:rsidP="0006722D">
      <w:pPr>
        <w:tabs>
          <w:tab w:val="center" w:pos="4419"/>
          <w:tab w:val="right" w:pos="8838"/>
        </w:tabs>
        <w:spacing w:line="240" w:lineRule="auto"/>
        <w:jc w:val="both"/>
        <w:rPr>
          <w:rFonts w:eastAsia="Gadugi"/>
          <w:noProof/>
          <w:sz w:val="20"/>
          <w:szCs w:val="24"/>
        </w:rPr>
      </w:pPr>
    </w:p>
    <w:p w14:paraId="674267EC" w14:textId="77777777" w:rsidR="008A1BCC" w:rsidRPr="00CC02B9" w:rsidRDefault="008A1BCC" w:rsidP="0006722D">
      <w:pPr>
        <w:tabs>
          <w:tab w:val="center" w:pos="4419"/>
          <w:tab w:val="right" w:pos="8838"/>
        </w:tabs>
        <w:spacing w:line="240" w:lineRule="auto"/>
        <w:jc w:val="both"/>
        <w:rPr>
          <w:rFonts w:eastAsia="Gadugi"/>
          <w:noProof/>
          <w:sz w:val="20"/>
          <w:szCs w:val="24"/>
        </w:rPr>
      </w:pPr>
    </w:p>
    <w:p w14:paraId="7999B8D3" w14:textId="77777777" w:rsidR="008A1BCC" w:rsidRPr="00CC02B9" w:rsidRDefault="008A1BCC" w:rsidP="0006722D">
      <w:pPr>
        <w:tabs>
          <w:tab w:val="center" w:pos="4419"/>
          <w:tab w:val="right" w:pos="8838"/>
        </w:tabs>
        <w:spacing w:line="240" w:lineRule="auto"/>
        <w:jc w:val="both"/>
        <w:rPr>
          <w:rFonts w:eastAsia="Gadugi"/>
          <w:noProof/>
          <w:sz w:val="20"/>
          <w:szCs w:val="24"/>
        </w:rPr>
      </w:pPr>
    </w:p>
    <w:p w14:paraId="05A46EA1" w14:textId="77777777" w:rsidR="008061F0" w:rsidRPr="00456C92" w:rsidRDefault="008061F0" w:rsidP="00456C92">
      <w:pPr>
        <w:pStyle w:val="Encabezado"/>
        <w:spacing w:line="276" w:lineRule="auto"/>
        <w:jc w:val="center"/>
        <w:rPr>
          <w:rFonts w:ascii="Gadugi" w:hAnsi="Gadugi"/>
          <w:b/>
          <w:noProof/>
          <w:sz w:val="24"/>
          <w:szCs w:val="24"/>
        </w:rPr>
      </w:pPr>
      <w:bookmarkStart w:id="0" w:name="_GoBack"/>
      <w:r w:rsidRPr="00456C92">
        <w:rPr>
          <w:rFonts w:ascii="Gadugi" w:hAnsi="Gadugi"/>
          <w:noProof/>
          <w:sz w:val="24"/>
          <w:szCs w:val="24"/>
          <w:lang w:val="en-US"/>
        </w:rPr>
        <w:drawing>
          <wp:inline distT="0" distB="0" distL="0" distR="0" wp14:anchorId="2B139B92" wp14:editId="2A440B01">
            <wp:extent cx="1162050" cy="590550"/>
            <wp:effectExtent l="0" t="0" r="0" b="0"/>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bookmarkEnd w:id="0"/>
    </w:p>
    <w:p w14:paraId="1034C16D" w14:textId="77777777" w:rsidR="008061F0" w:rsidRPr="00456C92" w:rsidRDefault="008061F0" w:rsidP="00456C92">
      <w:pPr>
        <w:pStyle w:val="Encabezado"/>
        <w:spacing w:line="276" w:lineRule="auto"/>
        <w:jc w:val="center"/>
        <w:rPr>
          <w:rFonts w:ascii="Gadugi" w:hAnsi="Gadugi"/>
          <w:b/>
          <w:noProof/>
          <w:sz w:val="24"/>
          <w:szCs w:val="24"/>
        </w:rPr>
      </w:pPr>
      <w:r w:rsidRPr="00456C92">
        <w:rPr>
          <w:rFonts w:ascii="Gadugi" w:hAnsi="Gadugi"/>
          <w:b/>
          <w:noProof/>
          <w:sz w:val="24"/>
          <w:szCs w:val="24"/>
        </w:rPr>
        <w:t>TRIBUNAL SUPERIOR DEL DISTRITO JUDICIAL</w:t>
      </w:r>
    </w:p>
    <w:p w14:paraId="52ED2925" w14:textId="77777777" w:rsidR="008061F0" w:rsidRPr="00456C92" w:rsidRDefault="008061F0" w:rsidP="00456C92">
      <w:pPr>
        <w:pStyle w:val="Encabezado"/>
        <w:spacing w:line="276" w:lineRule="auto"/>
        <w:jc w:val="center"/>
        <w:rPr>
          <w:rFonts w:ascii="Gadugi" w:hAnsi="Gadugi"/>
          <w:b/>
          <w:sz w:val="24"/>
          <w:szCs w:val="24"/>
        </w:rPr>
      </w:pPr>
      <w:r w:rsidRPr="00456C92">
        <w:rPr>
          <w:rFonts w:ascii="Gadugi" w:hAnsi="Gadugi"/>
          <w:b/>
          <w:sz w:val="24"/>
          <w:szCs w:val="24"/>
        </w:rPr>
        <w:t>PEREIRA</w:t>
      </w:r>
    </w:p>
    <w:p w14:paraId="6F505345" w14:textId="77777777" w:rsidR="008061F0" w:rsidRPr="00456C92" w:rsidRDefault="008061F0" w:rsidP="00456C92">
      <w:pPr>
        <w:pStyle w:val="Encabezado"/>
        <w:spacing w:line="276" w:lineRule="auto"/>
        <w:jc w:val="center"/>
        <w:rPr>
          <w:rFonts w:ascii="Gadugi" w:hAnsi="Gadugi"/>
          <w:b/>
          <w:sz w:val="24"/>
          <w:szCs w:val="24"/>
        </w:rPr>
      </w:pPr>
      <w:r w:rsidRPr="00456C92">
        <w:rPr>
          <w:rFonts w:ascii="Gadugi" w:hAnsi="Gadugi"/>
          <w:b/>
          <w:sz w:val="24"/>
          <w:szCs w:val="24"/>
        </w:rPr>
        <w:t>SALA CIVIL-FAMILIA</w:t>
      </w:r>
    </w:p>
    <w:p w14:paraId="77976E4E" w14:textId="009B2AAE" w:rsidR="008061F0" w:rsidRPr="00456C92" w:rsidRDefault="008061F0" w:rsidP="00456C92">
      <w:pPr>
        <w:tabs>
          <w:tab w:val="left" w:pos="-720"/>
        </w:tabs>
        <w:suppressAutoHyphens/>
        <w:jc w:val="both"/>
        <w:rPr>
          <w:rFonts w:ascii="Gadugi" w:eastAsia="Times New Roman" w:hAnsi="Gadugi"/>
          <w:b/>
          <w:spacing w:val="-3"/>
          <w:sz w:val="24"/>
          <w:szCs w:val="24"/>
          <w:lang w:val="es-ES_tradnl" w:eastAsia="es-ES"/>
        </w:rPr>
      </w:pPr>
    </w:p>
    <w:p w14:paraId="620CF9A5" w14:textId="174F2405" w:rsidR="00ED645A" w:rsidRPr="00456C92" w:rsidRDefault="00ED645A" w:rsidP="00456C92">
      <w:pPr>
        <w:tabs>
          <w:tab w:val="left" w:pos="-720"/>
        </w:tabs>
        <w:suppressAutoHyphens/>
        <w:jc w:val="center"/>
        <w:rPr>
          <w:rFonts w:ascii="Gadugi" w:eastAsia="Times New Roman" w:hAnsi="Gadugi"/>
          <w:b/>
          <w:spacing w:val="-3"/>
          <w:sz w:val="24"/>
          <w:szCs w:val="24"/>
          <w:lang w:val="es-ES_tradnl" w:eastAsia="es-ES"/>
        </w:rPr>
      </w:pPr>
      <w:r w:rsidRPr="00456C92">
        <w:rPr>
          <w:rFonts w:ascii="Gadugi" w:eastAsia="Times New Roman" w:hAnsi="Gadugi"/>
          <w:b/>
          <w:spacing w:val="-3"/>
          <w:sz w:val="24"/>
          <w:szCs w:val="24"/>
          <w:lang w:val="es-ES_tradnl" w:eastAsia="es-ES"/>
        </w:rPr>
        <w:t>AC</w:t>
      </w:r>
      <w:r w:rsidR="00F063C8" w:rsidRPr="00456C92">
        <w:rPr>
          <w:rFonts w:ascii="Gadugi" w:eastAsia="Times New Roman" w:hAnsi="Gadugi"/>
          <w:b/>
          <w:spacing w:val="-3"/>
          <w:sz w:val="24"/>
          <w:szCs w:val="24"/>
          <w:lang w:val="es-ES_tradnl" w:eastAsia="es-ES"/>
        </w:rPr>
        <w:t>-0084-2023</w:t>
      </w:r>
    </w:p>
    <w:p w14:paraId="02E40011" w14:textId="77777777" w:rsidR="00ED645A" w:rsidRPr="00456C92" w:rsidRDefault="008061F0" w:rsidP="00456C92">
      <w:pPr>
        <w:pStyle w:val="Textoindependiente"/>
        <w:tabs>
          <w:tab w:val="left" w:pos="1701"/>
          <w:tab w:val="left" w:pos="3544"/>
        </w:tabs>
        <w:spacing w:line="276" w:lineRule="auto"/>
        <w:rPr>
          <w:rFonts w:ascii="Gadugi" w:hAnsi="Gadugi"/>
          <w:sz w:val="24"/>
          <w:szCs w:val="24"/>
        </w:rPr>
      </w:pPr>
      <w:r w:rsidRPr="00456C92">
        <w:rPr>
          <w:rFonts w:ascii="Gadugi" w:hAnsi="Gadugi"/>
          <w:sz w:val="24"/>
          <w:szCs w:val="24"/>
        </w:rPr>
        <w:tab/>
      </w:r>
    </w:p>
    <w:p w14:paraId="076FAA70" w14:textId="7033CF48" w:rsidR="008061F0" w:rsidRDefault="008061F0" w:rsidP="00456C92">
      <w:pPr>
        <w:pStyle w:val="Textoindependiente"/>
        <w:tabs>
          <w:tab w:val="left" w:pos="1701"/>
          <w:tab w:val="left" w:pos="3544"/>
        </w:tabs>
        <w:spacing w:line="276" w:lineRule="auto"/>
        <w:jc w:val="center"/>
        <w:rPr>
          <w:rFonts w:ascii="Gadugi" w:hAnsi="Gadugi"/>
          <w:sz w:val="24"/>
          <w:szCs w:val="24"/>
        </w:rPr>
      </w:pPr>
      <w:r w:rsidRPr="00456C92">
        <w:rPr>
          <w:rFonts w:ascii="Gadugi" w:hAnsi="Gadugi"/>
          <w:sz w:val="24"/>
          <w:szCs w:val="24"/>
        </w:rPr>
        <w:t>Magistrado</w:t>
      </w:r>
      <w:r w:rsidR="00456C92">
        <w:rPr>
          <w:rFonts w:ascii="Gadugi" w:hAnsi="Gadugi"/>
          <w:sz w:val="24"/>
          <w:szCs w:val="24"/>
        </w:rPr>
        <w:t xml:space="preserve"> Ponente</w:t>
      </w:r>
      <w:r w:rsidRPr="00456C92">
        <w:rPr>
          <w:rFonts w:ascii="Gadugi" w:hAnsi="Gadugi"/>
          <w:sz w:val="24"/>
          <w:szCs w:val="24"/>
        </w:rPr>
        <w:t>:</w:t>
      </w:r>
      <w:r w:rsidR="00456C92">
        <w:rPr>
          <w:rFonts w:ascii="Gadugi" w:hAnsi="Gadugi"/>
          <w:sz w:val="24"/>
          <w:szCs w:val="24"/>
        </w:rPr>
        <w:t xml:space="preserve"> </w:t>
      </w:r>
      <w:r w:rsidRPr="00456C92">
        <w:rPr>
          <w:rFonts w:ascii="Gadugi" w:hAnsi="Gadugi"/>
          <w:sz w:val="24"/>
          <w:szCs w:val="24"/>
        </w:rPr>
        <w:t>Jaime Alberto Saraza Naranjo</w:t>
      </w:r>
    </w:p>
    <w:p w14:paraId="3D047CC8" w14:textId="77777777" w:rsidR="00456C92" w:rsidRPr="00456C92" w:rsidRDefault="00456C92" w:rsidP="00456C92">
      <w:pPr>
        <w:pStyle w:val="Textoindependiente"/>
        <w:tabs>
          <w:tab w:val="left" w:pos="1701"/>
          <w:tab w:val="left" w:pos="3544"/>
        </w:tabs>
        <w:spacing w:line="276" w:lineRule="auto"/>
        <w:rPr>
          <w:rFonts w:ascii="Gadugi" w:hAnsi="Gadugi"/>
          <w:sz w:val="24"/>
          <w:szCs w:val="24"/>
        </w:rPr>
      </w:pPr>
    </w:p>
    <w:p w14:paraId="61EA4727" w14:textId="3113FA50" w:rsidR="008061F0" w:rsidRPr="00456C92" w:rsidRDefault="008061F0" w:rsidP="00456C92">
      <w:pPr>
        <w:pStyle w:val="Textoindependiente"/>
        <w:tabs>
          <w:tab w:val="left" w:pos="1701"/>
          <w:tab w:val="left" w:pos="3544"/>
        </w:tabs>
        <w:spacing w:line="240" w:lineRule="auto"/>
        <w:rPr>
          <w:rFonts w:ascii="Gadugi" w:hAnsi="Gadugi"/>
          <w:sz w:val="24"/>
          <w:szCs w:val="24"/>
        </w:rPr>
      </w:pPr>
      <w:r w:rsidRPr="00456C92">
        <w:rPr>
          <w:rFonts w:ascii="Gadugi" w:hAnsi="Gadugi"/>
          <w:sz w:val="24"/>
          <w:szCs w:val="24"/>
        </w:rPr>
        <w:tab/>
        <w:t xml:space="preserve">Pereira, </w:t>
      </w:r>
      <w:r w:rsidRPr="00456C92">
        <w:rPr>
          <w:rFonts w:ascii="Gadugi" w:hAnsi="Gadugi"/>
          <w:sz w:val="24"/>
          <w:szCs w:val="24"/>
        </w:rPr>
        <w:tab/>
      </w:r>
      <w:r w:rsidR="0669F3E5" w:rsidRPr="00456C92">
        <w:rPr>
          <w:rFonts w:ascii="Gadugi" w:hAnsi="Gadugi"/>
          <w:sz w:val="24"/>
          <w:szCs w:val="24"/>
        </w:rPr>
        <w:t xml:space="preserve">Agosto ocho </w:t>
      </w:r>
      <w:r w:rsidR="00D03D59" w:rsidRPr="00456C92">
        <w:rPr>
          <w:rFonts w:ascii="Gadugi" w:hAnsi="Gadugi"/>
          <w:sz w:val="24"/>
          <w:szCs w:val="24"/>
        </w:rPr>
        <w:t xml:space="preserve">de </w:t>
      </w:r>
      <w:r w:rsidRPr="00456C92">
        <w:rPr>
          <w:rFonts w:ascii="Gadugi" w:hAnsi="Gadugi"/>
          <w:sz w:val="24"/>
          <w:szCs w:val="24"/>
        </w:rPr>
        <w:t xml:space="preserve">dos mil veintitrés </w:t>
      </w:r>
    </w:p>
    <w:p w14:paraId="719536E9" w14:textId="55E1D7B9" w:rsidR="00D03D59" w:rsidRPr="00456C92" w:rsidRDefault="008061F0" w:rsidP="00456C92">
      <w:pPr>
        <w:tabs>
          <w:tab w:val="left" w:pos="3544"/>
        </w:tabs>
        <w:spacing w:line="240" w:lineRule="auto"/>
        <w:ind w:left="1440" w:firstLine="261"/>
        <w:rPr>
          <w:rFonts w:ascii="Gadugi" w:eastAsia="Georgia" w:hAnsi="Gadugi" w:cs="Georgia"/>
          <w:bCs/>
          <w:sz w:val="24"/>
          <w:szCs w:val="24"/>
        </w:rPr>
      </w:pPr>
      <w:r w:rsidRPr="00456C92">
        <w:rPr>
          <w:rFonts w:ascii="Gadugi" w:hAnsi="Gadugi"/>
          <w:sz w:val="24"/>
          <w:szCs w:val="24"/>
        </w:rPr>
        <w:t xml:space="preserve">Expediente </w:t>
      </w:r>
      <w:r w:rsidRPr="00456C92">
        <w:rPr>
          <w:rFonts w:ascii="Gadugi" w:hAnsi="Gadugi"/>
          <w:sz w:val="24"/>
          <w:szCs w:val="24"/>
        </w:rPr>
        <w:tab/>
      </w:r>
      <w:r w:rsidR="00D03D59" w:rsidRPr="00456C92">
        <w:rPr>
          <w:rFonts w:ascii="Gadugi" w:eastAsia="Georgia" w:hAnsi="Gadugi" w:cs="Georgia"/>
          <w:bCs/>
          <w:sz w:val="24"/>
          <w:szCs w:val="24"/>
        </w:rPr>
        <w:t>66001310300320190044401</w:t>
      </w:r>
    </w:p>
    <w:p w14:paraId="0AFC00BC" w14:textId="1D306A68" w:rsidR="008061F0" w:rsidRPr="00456C92" w:rsidRDefault="008061F0" w:rsidP="00456C92">
      <w:pPr>
        <w:pStyle w:val="Textoindependiente"/>
        <w:tabs>
          <w:tab w:val="left" w:pos="1701"/>
          <w:tab w:val="left" w:pos="3544"/>
        </w:tabs>
        <w:spacing w:line="240" w:lineRule="auto"/>
        <w:rPr>
          <w:rFonts w:ascii="Gadugi" w:hAnsi="Gadugi"/>
          <w:sz w:val="24"/>
          <w:szCs w:val="24"/>
        </w:rPr>
      </w:pPr>
      <w:r w:rsidRPr="00456C92">
        <w:rPr>
          <w:rFonts w:ascii="Gadugi" w:hAnsi="Gadugi"/>
          <w:sz w:val="24"/>
          <w:szCs w:val="24"/>
        </w:rPr>
        <w:tab/>
        <w:t xml:space="preserve">Proceso: </w:t>
      </w:r>
      <w:r w:rsidRPr="00456C92">
        <w:rPr>
          <w:rFonts w:ascii="Gadugi" w:hAnsi="Gadugi"/>
          <w:sz w:val="24"/>
          <w:szCs w:val="24"/>
        </w:rPr>
        <w:tab/>
      </w:r>
      <w:r w:rsidR="00FC6682" w:rsidRPr="00456C92">
        <w:rPr>
          <w:rFonts w:ascii="Gadugi" w:hAnsi="Gadugi"/>
          <w:sz w:val="24"/>
          <w:szCs w:val="24"/>
        </w:rPr>
        <w:t>Divisorio</w:t>
      </w:r>
      <w:r w:rsidRPr="00456C92">
        <w:rPr>
          <w:rFonts w:ascii="Gadugi" w:hAnsi="Gadugi"/>
          <w:sz w:val="24"/>
          <w:szCs w:val="24"/>
        </w:rPr>
        <w:t xml:space="preserve"> </w:t>
      </w:r>
    </w:p>
    <w:p w14:paraId="00B4DAD5" w14:textId="22B4FB2A" w:rsidR="008061F0" w:rsidRPr="00456C92" w:rsidRDefault="008061F0" w:rsidP="00456C92">
      <w:pPr>
        <w:pStyle w:val="Textoindependiente"/>
        <w:tabs>
          <w:tab w:val="left" w:pos="1701"/>
          <w:tab w:val="left" w:pos="3544"/>
        </w:tabs>
        <w:spacing w:line="240" w:lineRule="auto"/>
        <w:rPr>
          <w:rFonts w:ascii="Gadugi" w:hAnsi="Gadugi"/>
          <w:sz w:val="24"/>
          <w:szCs w:val="24"/>
        </w:rPr>
      </w:pPr>
      <w:r w:rsidRPr="00456C92">
        <w:rPr>
          <w:rFonts w:ascii="Gadugi" w:hAnsi="Gadugi"/>
          <w:sz w:val="24"/>
          <w:szCs w:val="24"/>
        </w:rPr>
        <w:t xml:space="preserve"> </w:t>
      </w:r>
      <w:r w:rsidRPr="00456C92">
        <w:rPr>
          <w:rFonts w:ascii="Gadugi" w:hAnsi="Gadugi"/>
          <w:sz w:val="24"/>
          <w:szCs w:val="24"/>
        </w:rPr>
        <w:tab/>
        <w:t xml:space="preserve">Tema: </w:t>
      </w:r>
      <w:r w:rsidRPr="00456C92">
        <w:rPr>
          <w:rFonts w:ascii="Gadugi" w:hAnsi="Gadugi"/>
          <w:sz w:val="24"/>
          <w:szCs w:val="24"/>
        </w:rPr>
        <w:tab/>
      </w:r>
      <w:r w:rsidR="00FC6682" w:rsidRPr="00456C92">
        <w:rPr>
          <w:rFonts w:ascii="Gadugi" w:hAnsi="Gadugi"/>
          <w:sz w:val="24"/>
          <w:szCs w:val="24"/>
        </w:rPr>
        <w:t>Prueba de oficio – apelación de auto</w:t>
      </w:r>
      <w:r w:rsidRPr="00456C92">
        <w:rPr>
          <w:rFonts w:ascii="Gadugi" w:hAnsi="Gadugi"/>
          <w:sz w:val="24"/>
          <w:szCs w:val="24"/>
        </w:rPr>
        <w:t xml:space="preserve"> </w:t>
      </w:r>
    </w:p>
    <w:p w14:paraId="353BC923" w14:textId="2EEFC273" w:rsidR="008061F0" w:rsidRPr="00456C92" w:rsidRDefault="008061F0" w:rsidP="00456C92">
      <w:pPr>
        <w:pStyle w:val="Textoindependiente"/>
        <w:tabs>
          <w:tab w:val="left" w:pos="1701"/>
          <w:tab w:val="left" w:pos="3544"/>
        </w:tabs>
        <w:spacing w:line="240" w:lineRule="auto"/>
        <w:rPr>
          <w:rFonts w:ascii="Gadugi" w:hAnsi="Gadugi"/>
          <w:sz w:val="24"/>
          <w:szCs w:val="24"/>
        </w:rPr>
      </w:pPr>
      <w:r w:rsidRPr="00456C92">
        <w:rPr>
          <w:rFonts w:ascii="Gadugi" w:hAnsi="Gadugi"/>
          <w:sz w:val="24"/>
          <w:szCs w:val="24"/>
        </w:rPr>
        <w:tab/>
        <w:t xml:space="preserve">Demandante: </w:t>
      </w:r>
      <w:r w:rsidRPr="00456C92">
        <w:rPr>
          <w:rFonts w:ascii="Gadugi" w:hAnsi="Gadugi"/>
          <w:sz w:val="24"/>
          <w:szCs w:val="24"/>
        </w:rPr>
        <w:tab/>
      </w:r>
      <w:proofErr w:type="spellStart"/>
      <w:r w:rsidR="00EB4B88" w:rsidRPr="00456C92">
        <w:rPr>
          <w:rFonts w:ascii="Gadugi" w:hAnsi="Gadugi"/>
          <w:sz w:val="24"/>
          <w:szCs w:val="24"/>
        </w:rPr>
        <w:t>Esico</w:t>
      </w:r>
      <w:proofErr w:type="spellEnd"/>
      <w:r w:rsidR="00EB4B88" w:rsidRPr="00456C92">
        <w:rPr>
          <w:rFonts w:ascii="Gadugi" w:hAnsi="Gadugi"/>
          <w:sz w:val="24"/>
          <w:szCs w:val="24"/>
        </w:rPr>
        <w:t xml:space="preserve"> SA</w:t>
      </w:r>
    </w:p>
    <w:p w14:paraId="51A0208D" w14:textId="44CC5270" w:rsidR="008061F0" w:rsidRPr="00456C92" w:rsidRDefault="008061F0" w:rsidP="00456C92">
      <w:pPr>
        <w:pStyle w:val="Textoindependiente"/>
        <w:tabs>
          <w:tab w:val="left" w:pos="1701"/>
          <w:tab w:val="left" w:pos="3544"/>
        </w:tabs>
        <w:spacing w:line="240" w:lineRule="auto"/>
        <w:rPr>
          <w:rFonts w:ascii="Gadugi" w:hAnsi="Gadugi"/>
          <w:sz w:val="24"/>
          <w:szCs w:val="24"/>
        </w:rPr>
      </w:pPr>
      <w:r w:rsidRPr="00456C92">
        <w:rPr>
          <w:rFonts w:ascii="Gadugi" w:hAnsi="Gadugi"/>
          <w:sz w:val="24"/>
          <w:szCs w:val="24"/>
        </w:rPr>
        <w:t xml:space="preserve"> </w:t>
      </w:r>
      <w:r w:rsidRPr="00456C92">
        <w:rPr>
          <w:rFonts w:ascii="Gadugi" w:hAnsi="Gadugi"/>
          <w:sz w:val="24"/>
          <w:szCs w:val="24"/>
        </w:rPr>
        <w:tab/>
        <w:t xml:space="preserve">Demandado: </w:t>
      </w:r>
      <w:r w:rsidRPr="00456C92">
        <w:rPr>
          <w:rFonts w:ascii="Gadugi" w:hAnsi="Gadugi"/>
          <w:sz w:val="24"/>
          <w:szCs w:val="24"/>
        </w:rPr>
        <w:tab/>
      </w:r>
      <w:r w:rsidR="00ED645A" w:rsidRPr="00456C92">
        <w:rPr>
          <w:rFonts w:ascii="Gadugi" w:hAnsi="Gadugi"/>
          <w:sz w:val="24"/>
          <w:szCs w:val="24"/>
        </w:rPr>
        <w:t xml:space="preserve">Henry Rincón </w:t>
      </w:r>
      <w:proofErr w:type="spellStart"/>
      <w:r w:rsidR="00ED645A" w:rsidRPr="00456C92">
        <w:rPr>
          <w:rFonts w:ascii="Gadugi" w:hAnsi="Gadugi"/>
          <w:sz w:val="24"/>
          <w:szCs w:val="24"/>
        </w:rPr>
        <w:t>Alzate</w:t>
      </w:r>
      <w:proofErr w:type="spellEnd"/>
      <w:r w:rsidR="00ED645A" w:rsidRPr="00456C92">
        <w:rPr>
          <w:rFonts w:ascii="Gadugi" w:hAnsi="Gadugi"/>
          <w:sz w:val="24"/>
          <w:szCs w:val="24"/>
        </w:rPr>
        <w:t xml:space="preserve"> y otra</w:t>
      </w:r>
    </w:p>
    <w:p w14:paraId="186D3BE0" w14:textId="09BDFC39" w:rsidR="00190731" w:rsidRPr="00456C92" w:rsidRDefault="008061F0" w:rsidP="00456C92">
      <w:pPr>
        <w:pStyle w:val="Textoindependiente"/>
        <w:tabs>
          <w:tab w:val="left" w:pos="1701"/>
          <w:tab w:val="left" w:pos="3544"/>
        </w:tabs>
        <w:spacing w:line="276" w:lineRule="auto"/>
        <w:rPr>
          <w:rFonts w:ascii="Gadugi" w:hAnsi="Gadugi"/>
          <w:sz w:val="24"/>
          <w:szCs w:val="24"/>
          <w:lang w:val="es-MX"/>
        </w:rPr>
      </w:pPr>
      <w:r w:rsidRPr="00456C92">
        <w:rPr>
          <w:rFonts w:ascii="Gadugi" w:hAnsi="Gadugi"/>
          <w:sz w:val="24"/>
          <w:szCs w:val="24"/>
        </w:rPr>
        <w:t xml:space="preserve"> </w:t>
      </w:r>
      <w:r w:rsidR="00190731" w:rsidRPr="00456C92">
        <w:rPr>
          <w:rFonts w:ascii="Gadugi" w:hAnsi="Gadugi"/>
          <w:sz w:val="24"/>
          <w:szCs w:val="24"/>
        </w:rPr>
        <w:tab/>
      </w:r>
    </w:p>
    <w:p w14:paraId="3BCD8F10" w14:textId="6FB3A48D" w:rsidR="1CD68999" w:rsidRPr="00456C92" w:rsidRDefault="1CD68999" w:rsidP="00456C92">
      <w:pPr>
        <w:pStyle w:val="Textoindependiente"/>
        <w:tabs>
          <w:tab w:val="left" w:pos="1701"/>
          <w:tab w:val="left" w:pos="3544"/>
        </w:tabs>
        <w:spacing w:line="276" w:lineRule="auto"/>
        <w:rPr>
          <w:rFonts w:ascii="Gadugi" w:hAnsi="Gadugi"/>
          <w:sz w:val="24"/>
          <w:szCs w:val="24"/>
        </w:rPr>
      </w:pPr>
    </w:p>
    <w:p w14:paraId="29A13EBC" w14:textId="66A11655" w:rsidR="004707F8" w:rsidRPr="00456C92" w:rsidRDefault="009A5588" w:rsidP="00456C92">
      <w:pPr>
        <w:pStyle w:val="Prrafodelista"/>
        <w:numPr>
          <w:ilvl w:val="0"/>
          <w:numId w:val="3"/>
        </w:numPr>
        <w:tabs>
          <w:tab w:val="left" w:pos="284"/>
        </w:tabs>
        <w:spacing w:after="0" w:line="276" w:lineRule="auto"/>
        <w:ind w:left="0" w:firstLine="0"/>
        <w:jc w:val="both"/>
        <w:rPr>
          <w:rFonts w:ascii="Gadugi" w:hAnsi="Gadugi"/>
          <w:sz w:val="24"/>
          <w:szCs w:val="24"/>
          <w:lang w:val="es-MX"/>
        </w:rPr>
      </w:pPr>
      <w:r w:rsidRPr="00456C92">
        <w:rPr>
          <w:rFonts w:ascii="Gadugi" w:hAnsi="Gadugi"/>
          <w:sz w:val="24"/>
          <w:szCs w:val="24"/>
          <w:lang w:val="es-MX"/>
        </w:rPr>
        <w:t xml:space="preserve">Una vez se pudo asumir </w:t>
      </w:r>
      <w:r w:rsidR="00EB4523" w:rsidRPr="00456C92">
        <w:rPr>
          <w:rFonts w:ascii="Gadugi" w:hAnsi="Gadugi"/>
          <w:sz w:val="24"/>
          <w:szCs w:val="24"/>
          <w:lang w:val="es-MX"/>
        </w:rPr>
        <w:t xml:space="preserve">la revisión de este asunto, antes de resolver </w:t>
      </w:r>
      <w:r w:rsidR="004707F8" w:rsidRPr="00456C92">
        <w:rPr>
          <w:rFonts w:ascii="Gadugi" w:hAnsi="Gadugi"/>
          <w:sz w:val="24"/>
          <w:szCs w:val="24"/>
          <w:lang w:val="es-MX"/>
        </w:rPr>
        <w:t xml:space="preserve">estima la Sala pertinente ordenar la práctica de una prueba de oficio. </w:t>
      </w:r>
    </w:p>
    <w:p w14:paraId="6FE544EC" w14:textId="499203A0" w:rsidR="003D76BA" w:rsidRPr="00456C92" w:rsidRDefault="003D76BA" w:rsidP="00456C92">
      <w:pPr>
        <w:jc w:val="both"/>
        <w:rPr>
          <w:rFonts w:ascii="Gadugi" w:hAnsi="Gadugi"/>
          <w:sz w:val="24"/>
          <w:szCs w:val="24"/>
          <w:lang w:val="es-MX"/>
        </w:rPr>
      </w:pPr>
    </w:p>
    <w:p w14:paraId="01A1EE91" w14:textId="678558F2" w:rsidR="003D76BA" w:rsidRPr="00456C92" w:rsidRDefault="00190731" w:rsidP="00456C92">
      <w:pPr>
        <w:pStyle w:val="Prrafodelista"/>
        <w:numPr>
          <w:ilvl w:val="0"/>
          <w:numId w:val="3"/>
        </w:numPr>
        <w:tabs>
          <w:tab w:val="left" w:pos="284"/>
        </w:tabs>
        <w:spacing w:after="0" w:line="276" w:lineRule="auto"/>
        <w:ind w:left="0" w:firstLine="0"/>
        <w:jc w:val="both"/>
        <w:rPr>
          <w:rFonts w:ascii="Gadugi" w:hAnsi="Gadugi"/>
          <w:sz w:val="24"/>
          <w:szCs w:val="24"/>
          <w:lang w:val="es-MX"/>
        </w:rPr>
      </w:pPr>
      <w:r w:rsidRPr="00456C92">
        <w:rPr>
          <w:rFonts w:ascii="Gadugi" w:hAnsi="Gadugi"/>
          <w:sz w:val="24"/>
          <w:szCs w:val="24"/>
          <w:lang w:val="es-MX"/>
        </w:rPr>
        <w:t>Preliminarmente se dirá que t</w:t>
      </w:r>
      <w:r w:rsidR="003D76BA" w:rsidRPr="00456C92">
        <w:rPr>
          <w:rFonts w:ascii="Gadugi" w:hAnsi="Gadugi"/>
          <w:sz w:val="24"/>
          <w:szCs w:val="24"/>
          <w:lang w:val="es-MX"/>
        </w:rPr>
        <w:t xml:space="preserve">iene claro </w:t>
      </w:r>
      <w:r w:rsidR="00DC29FD" w:rsidRPr="00456C92">
        <w:rPr>
          <w:rFonts w:ascii="Gadugi" w:hAnsi="Gadugi"/>
          <w:sz w:val="24"/>
          <w:szCs w:val="24"/>
          <w:lang w:val="es-MX"/>
        </w:rPr>
        <w:t>esta</w:t>
      </w:r>
      <w:r w:rsidR="003D76BA" w:rsidRPr="00456C92">
        <w:rPr>
          <w:rFonts w:ascii="Gadugi" w:hAnsi="Gadugi"/>
          <w:sz w:val="24"/>
          <w:szCs w:val="24"/>
          <w:lang w:val="es-MX"/>
        </w:rPr>
        <w:t xml:space="preserve"> Sala que, de acuerdo con el inciso tercero del artículo 328 del CGP, en la apelación de autos el superior solo </w:t>
      </w:r>
      <w:r w:rsidR="00DC29FD" w:rsidRPr="00456C92">
        <w:rPr>
          <w:rFonts w:ascii="Gadugi" w:hAnsi="Gadugi"/>
          <w:sz w:val="24"/>
          <w:szCs w:val="24"/>
          <w:lang w:val="es-MX"/>
        </w:rPr>
        <w:t>adquiere</w:t>
      </w:r>
      <w:r w:rsidR="003D76BA" w:rsidRPr="00456C92">
        <w:rPr>
          <w:rFonts w:ascii="Gadugi" w:hAnsi="Gadugi"/>
          <w:sz w:val="24"/>
          <w:szCs w:val="24"/>
          <w:lang w:val="es-MX"/>
        </w:rPr>
        <w:t xml:space="preserve"> competencia para tramitar y decidir el recurso, condenar en costas y ordenar copias. Y que, cuando el artículo 327 prevé la posibilidad de que se pidan pruebas en segunda </w:t>
      </w:r>
      <w:r w:rsidR="003D76BA" w:rsidRPr="00456C92">
        <w:rPr>
          <w:rFonts w:ascii="Gadugi" w:hAnsi="Gadugi"/>
          <w:sz w:val="24"/>
          <w:szCs w:val="24"/>
          <w:lang w:val="es-MX"/>
        </w:rPr>
        <w:lastRenderedPageBreak/>
        <w:t xml:space="preserve">instancia, limita ese trámite a la apelación de sentencias. De ahí que, pudiera pensarse, sin otro análisis, que en la apelación de autos no hay posibilidad de decretar pruebas. </w:t>
      </w:r>
    </w:p>
    <w:p w14:paraId="4342B79A" w14:textId="718A6363" w:rsidR="003D76BA" w:rsidRPr="00456C92" w:rsidRDefault="003D76BA" w:rsidP="00456C92">
      <w:pPr>
        <w:jc w:val="both"/>
        <w:rPr>
          <w:rFonts w:ascii="Gadugi" w:hAnsi="Gadugi"/>
          <w:sz w:val="24"/>
          <w:szCs w:val="24"/>
          <w:lang w:val="es-MX"/>
        </w:rPr>
      </w:pPr>
    </w:p>
    <w:p w14:paraId="6513C200" w14:textId="4B335CFF" w:rsidR="003D76BA" w:rsidRPr="00456C92" w:rsidRDefault="003D76BA" w:rsidP="00456C92">
      <w:pPr>
        <w:jc w:val="both"/>
        <w:rPr>
          <w:rFonts w:ascii="Gadugi" w:hAnsi="Gadugi"/>
          <w:sz w:val="24"/>
          <w:szCs w:val="24"/>
          <w:lang w:val="es-MX"/>
        </w:rPr>
      </w:pPr>
      <w:r w:rsidRPr="00456C92">
        <w:rPr>
          <w:rFonts w:ascii="Gadugi" w:hAnsi="Gadugi"/>
          <w:sz w:val="24"/>
          <w:szCs w:val="24"/>
          <w:lang w:val="es-MX"/>
        </w:rPr>
        <w:t xml:space="preserve">Pero ello no es tan sencillo. Por una parte, el artículo 169 del mismo estatuto prevé que las pruebas de oficio pueden decretarse cuando sean útiles para la verificación de hechos que interesen al proceso; por la otra, el artículo 170 siguiente, indica que el juez debe decretarlas, en las oportunidades probatorias del proceso y de los incidentes, o antes de fallar, cuando sean necesarias para esclarecer los hechos objeto de la controversia. </w:t>
      </w:r>
    </w:p>
    <w:p w14:paraId="0C8373A3" w14:textId="29F7F541" w:rsidR="003D76BA" w:rsidRPr="00456C92" w:rsidRDefault="003D76BA" w:rsidP="00456C92">
      <w:pPr>
        <w:jc w:val="both"/>
        <w:rPr>
          <w:rFonts w:ascii="Gadugi" w:hAnsi="Gadugi"/>
          <w:sz w:val="24"/>
          <w:szCs w:val="24"/>
          <w:lang w:val="es-MX"/>
        </w:rPr>
      </w:pPr>
    </w:p>
    <w:p w14:paraId="28888B91" w14:textId="01B2281D" w:rsidR="003D76BA" w:rsidRPr="00456C92" w:rsidRDefault="003D76BA" w:rsidP="00456C92">
      <w:pPr>
        <w:jc w:val="both"/>
        <w:rPr>
          <w:rFonts w:ascii="Gadugi" w:hAnsi="Gadugi"/>
          <w:sz w:val="24"/>
          <w:szCs w:val="24"/>
          <w:lang w:val="es-MX"/>
        </w:rPr>
      </w:pPr>
      <w:r w:rsidRPr="00456C92">
        <w:rPr>
          <w:rFonts w:ascii="Gadugi" w:hAnsi="Gadugi"/>
          <w:sz w:val="24"/>
          <w:szCs w:val="24"/>
          <w:lang w:val="es-MX"/>
        </w:rPr>
        <w:t>Bajo estas premisas, esta Sala ha sido del parecer de que</w:t>
      </w:r>
      <w:r w:rsidR="00190731" w:rsidRPr="00456C92">
        <w:rPr>
          <w:rFonts w:ascii="Gadugi" w:hAnsi="Gadugi"/>
          <w:sz w:val="24"/>
          <w:szCs w:val="24"/>
          <w:lang w:val="es-MX"/>
        </w:rPr>
        <w:t>,</w:t>
      </w:r>
      <w:r w:rsidRPr="00456C92">
        <w:rPr>
          <w:rFonts w:ascii="Gadugi" w:hAnsi="Gadugi"/>
          <w:sz w:val="24"/>
          <w:szCs w:val="24"/>
          <w:lang w:val="es-MX"/>
        </w:rPr>
        <w:t xml:space="preserve"> aun en el trámite de la apelación de autos, el juez conserva intacta su facultad, hoy convertida en un deber, de recurrir a las pruebas de oficio cuando sea necesario dilucidar la cuestión que requiere su intervención, que en muchos casos es altamente relevante, tanto o más que </w:t>
      </w:r>
      <w:r w:rsidR="000E0A53" w:rsidRPr="00456C92">
        <w:rPr>
          <w:rFonts w:ascii="Gadugi" w:hAnsi="Gadugi"/>
          <w:sz w:val="24"/>
          <w:szCs w:val="24"/>
          <w:lang w:val="es-MX"/>
        </w:rPr>
        <w:t xml:space="preserve">en el caso de la </w:t>
      </w:r>
      <w:r w:rsidRPr="00456C92">
        <w:rPr>
          <w:rFonts w:ascii="Gadugi" w:hAnsi="Gadugi"/>
          <w:sz w:val="24"/>
          <w:szCs w:val="24"/>
          <w:lang w:val="es-MX"/>
        </w:rPr>
        <w:t xml:space="preserve">sentencia. </w:t>
      </w:r>
    </w:p>
    <w:p w14:paraId="0349276E" w14:textId="287A5B6A" w:rsidR="00544A0B" w:rsidRPr="00456C92" w:rsidRDefault="00544A0B" w:rsidP="00456C92">
      <w:pPr>
        <w:jc w:val="both"/>
        <w:rPr>
          <w:rFonts w:ascii="Gadugi" w:hAnsi="Gadugi"/>
          <w:sz w:val="24"/>
          <w:szCs w:val="24"/>
          <w:lang w:val="es-MX"/>
        </w:rPr>
      </w:pPr>
    </w:p>
    <w:p w14:paraId="7911AAAD" w14:textId="142D0A95" w:rsidR="00544A0B" w:rsidRPr="00456C92" w:rsidRDefault="00544A0B" w:rsidP="00456C92">
      <w:pPr>
        <w:jc w:val="both"/>
        <w:rPr>
          <w:rFonts w:ascii="Gadugi" w:hAnsi="Gadugi"/>
          <w:sz w:val="24"/>
          <w:szCs w:val="24"/>
          <w:lang w:val="es-MX"/>
        </w:rPr>
      </w:pPr>
      <w:r w:rsidRPr="00456C92">
        <w:rPr>
          <w:rFonts w:ascii="Gadugi" w:hAnsi="Gadugi"/>
          <w:sz w:val="24"/>
          <w:szCs w:val="24"/>
          <w:lang w:val="es-MX"/>
        </w:rPr>
        <w:t xml:space="preserve">Así lo reconoció la Sala de Casación Civil, en sede constitucional, en la sentencia STC11766-2020, que sirve como criterio auxiliar, providencia en la que destacó que: </w:t>
      </w:r>
    </w:p>
    <w:p w14:paraId="14FAA9AE" w14:textId="6F4C29E3" w:rsidR="00544A0B" w:rsidRPr="00456C92" w:rsidRDefault="00544A0B" w:rsidP="00456C92">
      <w:pPr>
        <w:jc w:val="both"/>
        <w:rPr>
          <w:rFonts w:ascii="Gadugi" w:hAnsi="Gadugi"/>
          <w:sz w:val="24"/>
          <w:szCs w:val="24"/>
          <w:lang w:val="es-MX"/>
        </w:rPr>
      </w:pPr>
    </w:p>
    <w:p w14:paraId="0123D8E3" w14:textId="77777777" w:rsidR="00544A0B" w:rsidRPr="00456C92" w:rsidRDefault="00544A0B" w:rsidP="00456C92">
      <w:pPr>
        <w:spacing w:line="240" w:lineRule="auto"/>
        <w:ind w:left="426" w:right="420"/>
        <w:jc w:val="both"/>
        <w:rPr>
          <w:rFonts w:ascii="Gadugi" w:hAnsi="Gadugi"/>
          <w:sz w:val="24"/>
          <w:szCs w:val="24"/>
        </w:rPr>
      </w:pPr>
      <w:r w:rsidRPr="00456C92">
        <w:rPr>
          <w:rFonts w:ascii="Gadugi" w:hAnsi="Gadugi"/>
          <w:sz w:val="24"/>
          <w:szCs w:val="24"/>
        </w:rPr>
        <w:t xml:space="preserve">Si el informe acopiado por …, de manera frontal, carecía de elementos que impidiesen un cotejo con las probanzas, dada la complejidad del caso, ha debido el tribunal recriminado hacer uso de sus poderes oficios en materia demostrativa, </w:t>
      </w:r>
      <w:r w:rsidRPr="00456C92">
        <w:rPr>
          <w:rFonts w:ascii="Gadugi" w:hAnsi="Gadugi"/>
          <w:b/>
          <w:sz w:val="24"/>
          <w:szCs w:val="24"/>
        </w:rPr>
        <w:t>pues, contrario a lo sostenido por esa corporación, no es cierto que tal obligación se encuentre reservada, exclusivamente, para el momento de dictar sentencias de segundo grado</w:t>
      </w:r>
      <w:r w:rsidRPr="00456C92">
        <w:rPr>
          <w:rFonts w:ascii="Gadugi" w:hAnsi="Gadugi"/>
          <w:sz w:val="24"/>
          <w:szCs w:val="24"/>
        </w:rPr>
        <w:t xml:space="preserve">. </w:t>
      </w:r>
    </w:p>
    <w:p w14:paraId="6C0D17F3" w14:textId="77777777" w:rsidR="00544A0B" w:rsidRPr="00456C92" w:rsidRDefault="00544A0B" w:rsidP="00456C92">
      <w:pPr>
        <w:spacing w:line="240" w:lineRule="auto"/>
        <w:ind w:left="426" w:right="420"/>
        <w:jc w:val="both"/>
        <w:rPr>
          <w:rFonts w:ascii="Gadugi" w:hAnsi="Gadugi"/>
          <w:sz w:val="24"/>
          <w:szCs w:val="24"/>
        </w:rPr>
      </w:pPr>
    </w:p>
    <w:p w14:paraId="6A3D482D" w14:textId="77777777" w:rsidR="00544A0B" w:rsidRPr="00456C92" w:rsidRDefault="00544A0B" w:rsidP="00456C92">
      <w:pPr>
        <w:spacing w:line="240" w:lineRule="auto"/>
        <w:ind w:left="426" w:right="420"/>
        <w:jc w:val="both"/>
        <w:rPr>
          <w:rFonts w:ascii="Gadugi" w:hAnsi="Gadugi"/>
          <w:sz w:val="24"/>
          <w:szCs w:val="24"/>
        </w:rPr>
      </w:pPr>
      <w:r w:rsidRPr="00456C92">
        <w:rPr>
          <w:rFonts w:ascii="Gadugi" w:hAnsi="Gadugi"/>
          <w:sz w:val="24"/>
          <w:szCs w:val="24"/>
        </w:rPr>
        <w:t>Ha dicho esta Corte, que cuando los litigios ofrecen deficiencia probatoria, es obligación del juzgador emplear tales herramientas para decretar todos los elementos de convicción que, a su juicio, considere convenientes para verificar los hechos alegados por las partes</w:t>
      </w:r>
      <w:r w:rsidRPr="00456C92">
        <w:rPr>
          <w:rStyle w:val="Refdenotaalpie"/>
          <w:rFonts w:ascii="Gadugi" w:hAnsi="Gadugi"/>
          <w:sz w:val="24"/>
          <w:szCs w:val="24"/>
        </w:rPr>
        <w:footnoteReference w:id="1"/>
      </w:r>
      <w:r w:rsidRPr="00456C92">
        <w:rPr>
          <w:rFonts w:ascii="Gadugi" w:hAnsi="Gadugi"/>
          <w:sz w:val="24"/>
          <w:szCs w:val="24"/>
        </w:rPr>
        <w:t xml:space="preserve">, ante todo, cuando se afectan los derechos fundamentales o el orden público. </w:t>
      </w:r>
    </w:p>
    <w:p w14:paraId="3B32B5A9" w14:textId="77777777" w:rsidR="00544A0B" w:rsidRPr="00456C92" w:rsidRDefault="00544A0B" w:rsidP="00456C92">
      <w:pPr>
        <w:spacing w:line="240" w:lineRule="auto"/>
        <w:ind w:left="426" w:right="420"/>
        <w:jc w:val="both"/>
        <w:rPr>
          <w:rFonts w:ascii="Gadugi" w:hAnsi="Gadugi"/>
          <w:sz w:val="24"/>
          <w:szCs w:val="24"/>
        </w:rPr>
      </w:pPr>
    </w:p>
    <w:p w14:paraId="170511A1" w14:textId="77777777" w:rsidR="00544A0B" w:rsidRPr="00456C92" w:rsidRDefault="00544A0B" w:rsidP="00456C92">
      <w:pPr>
        <w:spacing w:line="240" w:lineRule="auto"/>
        <w:ind w:left="426" w:right="420"/>
        <w:jc w:val="both"/>
        <w:rPr>
          <w:rFonts w:ascii="Gadugi" w:hAnsi="Gadugi"/>
          <w:sz w:val="24"/>
          <w:szCs w:val="24"/>
        </w:rPr>
      </w:pPr>
      <w:r w:rsidRPr="00456C92">
        <w:rPr>
          <w:rFonts w:ascii="Gadugi" w:hAnsi="Gadugi"/>
          <w:sz w:val="24"/>
          <w:szCs w:val="24"/>
        </w:rPr>
        <w:t xml:space="preserve">A esa filosofía responde el canon 170 del C.G.P. cuando reza: </w:t>
      </w:r>
    </w:p>
    <w:p w14:paraId="6EEA4FB6" w14:textId="77777777" w:rsidR="00544A0B" w:rsidRPr="00456C92" w:rsidRDefault="00544A0B" w:rsidP="00456C92">
      <w:pPr>
        <w:spacing w:line="240" w:lineRule="auto"/>
        <w:ind w:left="426" w:right="420"/>
        <w:jc w:val="both"/>
        <w:rPr>
          <w:rFonts w:ascii="Gadugi" w:hAnsi="Gadugi"/>
          <w:sz w:val="24"/>
          <w:szCs w:val="24"/>
        </w:rPr>
      </w:pPr>
    </w:p>
    <w:p w14:paraId="722B016B" w14:textId="77777777" w:rsidR="00544A0B" w:rsidRPr="00456C92" w:rsidRDefault="00544A0B" w:rsidP="00D543A1">
      <w:pPr>
        <w:spacing w:line="240" w:lineRule="auto"/>
        <w:ind w:left="426" w:right="420"/>
        <w:jc w:val="both"/>
        <w:rPr>
          <w:rFonts w:ascii="Gadugi" w:hAnsi="Gadugi"/>
          <w:i/>
          <w:sz w:val="24"/>
          <w:szCs w:val="24"/>
        </w:rPr>
      </w:pPr>
      <w:r w:rsidRPr="00456C92">
        <w:rPr>
          <w:rFonts w:ascii="Gadugi" w:hAnsi="Gadugi"/>
          <w:i/>
          <w:sz w:val="24"/>
          <w:szCs w:val="24"/>
        </w:rPr>
        <w:t xml:space="preserve">“(…) El juez deberá decretar pruebas de oficio, en las oportunidades probatorias del proceso y de los incidentes y antes de fallar, cuando sean necesarias para esclarecer los hechos objeto de la controversia (…)”. </w:t>
      </w:r>
    </w:p>
    <w:p w14:paraId="65282772" w14:textId="77777777" w:rsidR="00544A0B" w:rsidRPr="00456C92" w:rsidRDefault="00544A0B" w:rsidP="00D543A1">
      <w:pPr>
        <w:spacing w:line="240" w:lineRule="auto"/>
        <w:ind w:left="426" w:right="420"/>
        <w:jc w:val="both"/>
        <w:rPr>
          <w:rFonts w:ascii="Gadugi" w:hAnsi="Gadugi"/>
          <w:sz w:val="24"/>
          <w:szCs w:val="24"/>
        </w:rPr>
      </w:pPr>
    </w:p>
    <w:p w14:paraId="77B9D0E9" w14:textId="76E25D74" w:rsidR="00544A0B" w:rsidRPr="00456C92" w:rsidRDefault="00544A0B" w:rsidP="00D543A1">
      <w:pPr>
        <w:spacing w:line="240" w:lineRule="auto"/>
        <w:ind w:left="426" w:right="420"/>
        <w:jc w:val="both"/>
        <w:rPr>
          <w:rFonts w:ascii="Gadugi" w:hAnsi="Gadugi"/>
          <w:sz w:val="24"/>
          <w:szCs w:val="24"/>
          <w:lang w:val="es-MX"/>
        </w:rPr>
      </w:pPr>
      <w:r w:rsidRPr="00456C92">
        <w:rPr>
          <w:rFonts w:ascii="Gadugi" w:hAnsi="Gadugi"/>
          <w:sz w:val="24"/>
          <w:szCs w:val="24"/>
        </w:rPr>
        <w:t>Sin embargo, la obligación de decretar pruebas oficiosamente no es dictatorial o arbitraria, obedece a hipótesis precisas. En las demás, la ley concede al juzgador la potestad o facultad de hacerlo según su razonable y prudente arbitrio, y la instrucción compela.</w:t>
      </w:r>
    </w:p>
    <w:p w14:paraId="57360049" w14:textId="77777777" w:rsidR="00190731" w:rsidRPr="00456C92" w:rsidRDefault="00190731" w:rsidP="00456C92">
      <w:pPr>
        <w:jc w:val="both"/>
        <w:rPr>
          <w:rFonts w:ascii="Gadugi" w:hAnsi="Gadugi"/>
          <w:sz w:val="24"/>
          <w:szCs w:val="24"/>
          <w:lang w:val="es-MX"/>
        </w:rPr>
      </w:pPr>
    </w:p>
    <w:p w14:paraId="759801AA" w14:textId="4CD66037" w:rsidR="00544A0B" w:rsidRPr="00456C92" w:rsidRDefault="00544A0B" w:rsidP="00456C92">
      <w:pPr>
        <w:jc w:val="both"/>
        <w:rPr>
          <w:rFonts w:ascii="Gadugi" w:hAnsi="Gadugi"/>
          <w:sz w:val="24"/>
          <w:szCs w:val="24"/>
          <w:lang w:val="es-MX"/>
        </w:rPr>
      </w:pPr>
      <w:r w:rsidRPr="00456C92">
        <w:rPr>
          <w:rFonts w:ascii="Gadugi" w:hAnsi="Gadugi"/>
          <w:sz w:val="24"/>
          <w:szCs w:val="24"/>
          <w:lang w:val="es-MX"/>
        </w:rPr>
        <w:lastRenderedPageBreak/>
        <w:t xml:space="preserve">Y más adelante recalcó que: </w:t>
      </w:r>
    </w:p>
    <w:p w14:paraId="7A45CC64" w14:textId="77777777" w:rsidR="00544A0B" w:rsidRPr="00456C92" w:rsidRDefault="00544A0B" w:rsidP="00456C92">
      <w:pPr>
        <w:jc w:val="both"/>
        <w:rPr>
          <w:rFonts w:ascii="Gadugi" w:hAnsi="Gadugi"/>
          <w:sz w:val="24"/>
          <w:szCs w:val="24"/>
          <w:lang w:val="es-MX"/>
        </w:rPr>
      </w:pPr>
    </w:p>
    <w:p w14:paraId="31761895" w14:textId="2583031A" w:rsidR="00190731" w:rsidRPr="00456C92" w:rsidRDefault="00190731" w:rsidP="00D543A1">
      <w:pPr>
        <w:spacing w:line="240" w:lineRule="auto"/>
        <w:ind w:left="426" w:right="420"/>
        <w:jc w:val="both"/>
        <w:rPr>
          <w:rFonts w:ascii="Gadugi" w:hAnsi="Gadugi"/>
          <w:sz w:val="24"/>
          <w:szCs w:val="24"/>
        </w:rPr>
      </w:pPr>
      <w:r w:rsidRPr="00456C92">
        <w:rPr>
          <w:rFonts w:ascii="Gadugi" w:hAnsi="Gadugi"/>
          <w:sz w:val="24"/>
          <w:szCs w:val="24"/>
        </w:rPr>
        <w:t>…</w:t>
      </w:r>
      <w:r w:rsidR="00456C92">
        <w:rPr>
          <w:rFonts w:ascii="Gadugi" w:hAnsi="Gadugi"/>
          <w:sz w:val="24"/>
          <w:szCs w:val="24"/>
        </w:rPr>
        <w:t xml:space="preserve"> </w:t>
      </w:r>
      <w:r w:rsidRPr="00456C92">
        <w:rPr>
          <w:rFonts w:ascii="Gadugi" w:hAnsi="Gadugi"/>
          <w:sz w:val="24"/>
          <w:szCs w:val="24"/>
        </w:rPr>
        <w:t>Bajo ese panorama, si los elementos de acreditación no eran suficientes para zanjar el decurso criticado, el colegiado confutado debió hacer uso de sus facultades oficiosas en materia probatoria con el fin de dilucidar el asunto puesto a su conocimiento, decretando, por ejemplo, un peritaje y brindando a las partes un tiempo suficiente y determinable, que permita su análisis…</w:t>
      </w:r>
    </w:p>
    <w:p w14:paraId="2F16D023" w14:textId="77777777" w:rsidR="00190731" w:rsidRPr="00456C92" w:rsidRDefault="00190731" w:rsidP="00456C92">
      <w:pPr>
        <w:jc w:val="both"/>
        <w:rPr>
          <w:rFonts w:ascii="Gadugi" w:hAnsi="Gadugi"/>
          <w:sz w:val="24"/>
          <w:szCs w:val="24"/>
        </w:rPr>
      </w:pPr>
    </w:p>
    <w:p w14:paraId="185CD083" w14:textId="7273999C" w:rsidR="003D76BA" w:rsidRPr="00456C92" w:rsidRDefault="003D76BA" w:rsidP="00456C92">
      <w:pPr>
        <w:pStyle w:val="Prrafodelista"/>
        <w:numPr>
          <w:ilvl w:val="0"/>
          <w:numId w:val="3"/>
        </w:numPr>
        <w:tabs>
          <w:tab w:val="left" w:pos="284"/>
        </w:tabs>
        <w:spacing w:after="0" w:line="276" w:lineRule="auto"/>
        <w:ind w:left="0" w:firstLine="0"/>
        <w:jc w:val="both"/>
        <w:rPr>
          <w:rFonts w:ascii="Gadugi" w:hAnsi="Gadugi"/>
          <w:sz w:val="24"/>
          <w:szCs w:val="24"/>
          <w:lang w:val="es-MX"/>
        </w:rPr>
      </w:pPr>
      <w:r w:rsidRPr="00456C92">
        <w:rPr>
          <w:rFonts w:ascii="Gadugi" w:hAnsi="Gadugi"/>
          <w:sz w:val="24"/>
          <w:szCs w:val="24"/>
          <w:lang w:val="es-MX"/>
        </w:rPr>
        <w:t xml:space="preserve">El proceso divisorio, que tiene dos etapas definidas: (i) la que concluye con la orden de división material o la venta en pública subasta; y (ii) la que culmina con la sentencia de distribución, sea material o por venta, representa uno de esos eventos en los que el juez debe ser sigiloso con las pruebas aportadas, y lo debe hacer también el superior, en cada </w:t>
      </w:r>
      <w:r w:rsidR="00710667" w:rsidRPr="00456C92">
        <w:rPr>
          <w:rFonts w:ascii="Gadugi" w:hAnsi="Gadugi"/>
          <w:sz w:val="24"/>
          <w:szCs w:val="24"/>
          <w:lang w:val="es-MX"/>
        </w:rPr>
        <w:t>fase</w:t>
      </w:r>
      <w:r w:rsidRPr="00456C92">
        <w:rPr>
          <w:rFonts w:ascii="Gadugi" w:hAnsi="Gadugi"/>
          <w:sz w:val="24"/>
          <w:szCs w:val="24"/>
          <w:lang w:val="es-MX"/>
        </w:rPr>
        <w:t>.</w:t>
      </w:r>
    </w:p>
    <w:p w14:paraId="59E3A7ED" w14:textId="0DAE074B" w:rsidR="003D76BA" w:rsidRPr="00456C92" w:rsidRDefault="003D76BA" w:rsidP="00456C92">
      <w:pPr>
        <w:jc w:val="both"/>
        <w:rPr>
          <w:rFonts w:ascii="Gadugi" w:hAnsi="Gadugi"/>
          <w:sz w:val="24"/>
          <w:szCs w:val="24"/>
          <w:lang w:val="es-MX"/>
        </w:rPr>
      </w:pPr>
    </w:p>
    <w:p w14:paraId="52AD4C9B" w14:textId="721EE1E8" w:rsidR="00710667" w:rsidRPr="00456C92" w:rsidRDefault="003D76BA" w:rsidP="00456C92">
      <w:pPr>
        <w:jc w:val="both"/>
        <w:rPr>
          <w:rFonts w:ascii="Gadugi" w:hAnsi="Gadugi"/>
          <w:sz w:val="24"/>
          <w:szCs w:val="24"/>
          <w:lang w:val="es-MX"/>
        </w:rPr>
      </w:pPr>
      <w:r w:rsidRPr="00456C92">
        <w:rPr>
          <w:rFonts w:ascii="Gadugi" w:hAnsi="Gadugi"/>
          <w:sz w:val="24"/>
          <w:szCs w:val="24"/>
          <w:lang w:val="es-MX"/>
        </w:rPr>
        <w:t xml:space="preserve">Y esto, porque la primera </w:t>
      </w:r>
      <w:r w:rsidR="00710667" w:rsidRPr="00456C92">
        <w:rPr>
          <w:rFonts w:ascii="Gadugi" w:hAnsi="Gadugi"/>
          <w:sz w:val="24"/>
          <w:szCs w:val="24"/>
          <w:lang w:val="es-MX"/>
        </w:rPr>
        <w:t xml:space="preserve">parte, que es el pilar de la segunda, finaliza apenas con un auto, pero, para llegar a él se requiere todo el andamiaje probatorio del proceso. Ese auto, claro está, es susceptible de apelación. Y la segunda, concluye con la sentencia, también susceptible de apelación. </w:t>
      </w:r>
      <w:r w:rsidR="000E0A53" w:rsidRPr="00456C92">
        <w:rPr>
          <w:rFonts w:ascii="Gadugi" w:hAnsi="Gadugi"/>
          <w:sz w:val="24"/>
          <w:szCs w:val="24"/>
          <w:lang w:val="es-MX"/>
        </w:rPr>
        <w:t>Así se desprende de los</w:t>
      </w:r>
      <w:r w:rsidR="00DC29FD" w:rsidRPr="00456C92">
        <w:rPr>
          <w:rFonts w:ascii="Gadugi" w:hAnsi="Gadugi"/>
          <w:sz w:val="24"/>
          <w:szCs w:val="24"/>
          <w:lang w:val="es-MX"/>
        </w:rPr>
        <w:t xml:space="preserve"> artículos </w:t>
      </w:r>
      <w:r w:rsidR="000E0A53" w:rsidRPr="00456C92">
        <w:rPr>
          <w:rFonts w:ascii="Gadugi" w:hAnsi="Gadugi"/>
          <w:sz w:val="24"/>
          <w:szCs w:val="24"/>
          <w:lang w:val="es-MX"/>
        </w:rPr>
        <w:t xml:space="preserve">409, 410 y 411 del CGP. </w:t>
      </w:r>
    </w:p>
    <w:p w14:paraId="648E4E3B" w14:textId="77777777" w:rsidR="00710667" w:rsidRPr="00456C92" w:rsidRDefault="00710667" w:rsidP="00456C92">
      <w:pPr>
        <w:jc w:val="both"/>
        <w:rPr>
          <w:rFonts w:ascii="Gadugi" w:hAnsi="Gadugi"/>
          <w:sz w:val="24"/>
          <w:szCs w:val="24"/>
          <w:lang w:val="es-MX"/>
        </w:rPr>
      </w:pPr>
    </w:p>
    <w:p w14:paraId="231F998E" w14:textId="6C0BE41F" w:rsidR="00710667" w:rsidRPr="00456C92" w:rsidRDefault="00710667" w:rsidP="00456C92">
      <w:pPr>
        <w:jc w:val="both"/>
        <w:rPr>
          <w:rFonts w:ascii="Gadugi" w:hAnsi="Gadugi"/>
          <w:sz w:val="24"/>
          <w:szCs w:val="24"/>
          <w:lang w:val="es-MX"/>
        </w:rPr>
      </w:pPr>
      <w:r w:rsidRPr="00456C92">
        <w:rPr>
          <w:rFonts w:ascii="Gadugi" w:hAnsi="Gadugi"/>
          <w:sz w:val="24"/>
          <w:szCs w:val="24"/>
          <w:lang w:val="es-MX"/>
        </w:rPr>
        <w:t xml:space="preserve">En ese estadio preliminar, el </w:t>
      </w:r>
      <w:r w:rsidR="000E0A53" w:rsidRPr="00456C92">
        <w:rPr>
          <w:rFonts w:ascii="Gadugi" w:hAnsi="Gadugi"/>
          <w:sz w:val="24"/>
          <w:szCs w:val="24"/>
          <w:lang w:val="es-MX"/>
        </w:rPr>
        <w:t>estatuto procesal</w:t>
      </w:r>
      <w:r w:rsidRPr="00456C92">
        <w:rPr>
          <w:rFonts w:ascii="Gadugi" w:hAnsi="Gadugi"/>
          <w:sz w:val="24"/>
          <w:szCs w:val="24"/>
          <w:lang w:val="es-MX"/>
        </w:rPr>
        <w:t xml:space="preserve">, procurando la celeridad de este tipo de actuaciones, introdujo una exigencia clara al demandante en el artículo 406, consistente en presentar, junto con la demanda, un dictamen pericial que determine cuatro cosas: (i) el valor del bien; (ii) </w:t>
      </w:r>
      <w:r w:rsidRPr="00456C92">
        <w:rPr>
          <w:rFonts w:ascii="Gadugi" w:hAnsi="Gadugi"/>
          <w:b/>
          <w:sz w:val="24"/>
          <w:szCs w:val="24"/>
          <w:lang w:val="es-MX"/>
        </w:rPr>
        <w:t>el tipo de división que fuere procedente</w:t>
      </w:r>
      <w:r w:rsidRPr="00456C92">
        <w:rPr>
          <w:rFonts w:ascii="Gadugi" w:hAnsi="Gadugi"/>
          <w:sz w:val="24"/>
          <w:szCs w:val="24"/>
          <w:lang w:val="es-MX"/>
        </w:rPr>
        <w:t>; (iii) la partición, si fuere el caso; y (v) el valor de</w:t>
      </w:r>
      <w:r w:rsidR="00190731" w:rsidRPr="00456C92">
        <w:rPr>
          <w:rFonts w:ascii="Gadugi" w:hAnsi="Gadugi"/>
          <w:sz w:val="24"/>
          <w:szCs w:val="24"/>
          <w:lang w:val="es-MX"/>
        </w:rPr>
        <w:t xml:space="preserve"> </w:t>
      </w:r>
      <w:r w:rsidRPr="00456C92">
        <w:rPr>
          <w:rFonts w:ascii="Gadugi" w:hAnsi="Gadugi"/>
          <w:sz w:val="24"/>
          <w:szCs w:val="24"/>
          <w:lang w:val="es-MX"/>
        </w:rPr>
        <w:t xml:space="preserve">las mejoras que él reclame. </w:t>
      </w:r>
    </w:p>
    <w:p w14:paraId="12A98DC0" w14:textId="77777777" w:rsidR="00710667" w:rsidRPr="00456C92" w:rsidRDefault="00710667" w:rsidP="00456C92">
      <w:pPr>
        <w:jc w:val="both"/>
        <w:rPr>
          <w:rFonts w:ascii="Gadugi" w:hAnsi="Gadugi"/>
          <w:sz w:val="24"/>
          <w:szCs w:val="24"/>
          <w:lang w:val="es-MX"/>
        </w:rPr>
      </w:pPr>
    </w:p>
    <w:p w14:paraId="2BD8E444" w14:textId="535C35A2" w:rsidR="00710667" w:rsidRPr="00456C92" w:rsidRDefault="00710667" w:rsidP="00456C92">
      <w:pPr>
        <w:jc w:val="both"/>
        <w:rPr>
          <w:rFonts w:ascii="Gadugi" w:hAnsi="Gadugi"/>
          <w:sz w:val="24"/>
          <w:szCs w:val="24"/>
          <w:lang w:val="es-MX"/>
        </w:rPr>
      </w:pPr>
      <w:r w:rsidRPr="00456C92">
        <w:rPr>
          <w:rFonts w:ascii="Gadugi" w:hAnsi="Gadugi"/>
          <w:sz w:val="24"/>
          <w:szCs w:val="24"/>
          <w:lang w:val="es-MX"/>
        </w:rPr>
        <w:t xml:space="preserve">Y al demandado, le brinda la opción, en el artículo 409, de objetar ese dictamen, presentando uno nuevo o solicitando la convocatoria del perito a la audiencia. </w:t>
      </w:r>
    </w:p>
    <w:p w14:paraId="13826D88" w14:textId="0DB0C08B" w:rsidR="000C7BA3" w:rsidRPr="00456C92" w:rsidRDefault="000C7BA3" w:rsidP="00456C92">
      <w:pPr>
        <w:jc w:val="both"/>
        <w:rPr>
          <w:rFonts w:ascii="Gadugi" w:hAnsi="Gadugi"/>
          <w:sz w:val="24"/>
          <w:szCs w:val="24"/>
          <w:lang w:val="es-MX"/>
        </w:rPr>
      </w:pPr>
    </w:p>
    <w:p w14:paraId="50D74892" w14:textId="67D55C38" w:rsidR="000C7BA3" w:rsidRPr="00456C92" w:rsidRDefault="000C7BA3" w:rsidP="00456C92">
      <w:pPr>
        <w:jc w:val="both"/>
        <w:rPr>
          <w:rFonts w:ascii="Gadugi" w:hAnsi="Gadugi"/>
          <w:sz w:val="24"/>
          <w:szCs w:val="24"/>
          <w:lang w:val="es-MX"/>
        </w:rPr>
      </w:pPr>
      <w:r w:rsidRPr="00456C92">
        <w:rPr>
          <w:rFonts w:ascii="Gadugi" w:hAnsi="Gadugi"/>
          <w:sz w:val="24"/>
          <w:szCs w:val="24"/>
          <w:lang w:val="es-MX"/>
        </w:rPr>
        <w:t xml:space="preserve">Justamente, </w:t>
      </w:r>
      <w:r w:rsidR="009C0CDA" w:rsidRPr="00456C92">
        <w:rPr>
          <w:rFonts w:ascii="Gadugi" w:hAnsi="Gadugi"/>
          <w:sz w:val="24"/>
          <w:szCs w:val="24"/>
          <w:lang w:val="es-MX"/>
        </w:rPr>
        <w:t xml:space="preserve">explicó la Corte Constitucional en la sentencia C-284-2021, que se refirió a la exequibilidad del artículo 406 del CGP, que: </w:t>
      </w:r>
    </w:p>
    <w:p w14:paraId="7F3FCD2C" w14:textId="77777777" w:rsidR="009C0CDA" w:rsidRPr="00456C92" w:rsidRDefault="009C0CDA" w:rsidP="00456C92">
      <w:pPr>
        <w:jc w:val="both"/>
        <w:rPr>
          <w:rFonts w:ascii="Gadugi" w:hAnsi="Gadugi"/>
          <w:sz w:val="24"/>
          <w:szCs w:val="24"/>
          <w:lang w:val="es-MX"/>
        </w:rPr>
      </w:pPr>
    </w:p>
    <w:p w14:paraId="69991E4C" w14:textId="67E51DBD" w:rsidR="00710667" w:rsidRPr="00D543A1" w:rsidRDefault="009C0CDA" w:rsidP="00D543A1">
      <w:pPr>
        <w:spacing w:line="240" w:lineRule="auto"/>
        <w:ind w:left="426" w:right="420"/>
        <w:jc w:val="both"/>
      </w:pPr>
      <w:r w:rsidRPr="00456C92">
        <w:rPr>
          <w:rFonts w:ascii="Gadugi" w:hAnsi="Gadugi"/>
          <w:sz w:val="24"/>
          <w:szCs w:val="24"/>
        </w:rPr>
        <w:t>…</w:t>
      </w:r>
      <w:r w:rsidR="00456C92">
        <w:rPr>
          <w:rFonts w:ascii="Gadugi" w:hAnsi="Gadugi"/>
          <w:sz w:val="24"/>
          <w:szCs w:val="24"/>
        </w:rPr>
        <w:t xml:space="preserve"> </w:t>
      </w:r>
      <w:r w:rsidRPr="00456C92">
        <w:rPr>
          <w:rFonts w:ascii="Gadugi" w:hAnsi="Gadugi"/>
          <w:sz w:val="24"/>
          <w:szCs w:val="24"/>
        </w:rPr>
        <w:t xml:space="preserve">el CGP redujo las etapas procesales e impuso, desde la presentación de la demanda, cargas dirigidas a solventar las necesidades probatorias del trámite en aras de reducir las actuaciones y el tiempo del proceso. En efecto, la norma acusada le exige a la parte interesada que acuda a la jurisdicción con la prueba de todos los elementos relevantes para la pretensión divisoria (el valor del bien, el tipo de división que procede, la partición y la estimación de las mejoras). Con estos elementos, acreditados desde la admisión y la contestación correspondiente, se suprimen las actuaciones relacionadas con el decreto de las pruebas, el nombramiento de los peritos, el recaudo de los dictámenes, y se unifica la prueba en un solo medio de convicción. Por lo tanto, el juez puede definir con la demanda y la contestación si procede la división y dictar, sin </w:t>
      </w:r>
      <w:r w:rsidRPr="00456C92">
        <w:rPr>
          <w:rFonts w:ascii="Gadugi" w:hAnsi="Gadugi"/>
          <w:sz w:val="24"/>
          <w:szCs w:val="24"/>
        </w:rPr>
        <w:lastRenderedPageBreak/>
        <w:t>necesidad de elementos probatorios adicionales, la sentencia que determine cómo se adelantará la partición</w:t>
      </w:r>
      <w:bookmarkStart w:id="1" w:name="ref_endnote_151"/>
      <w:bookmarkEnd w:id="1"/>
      <w:r w:rsidRPr="00D543A1">
        <w:t>.</w:t>
      </w:r>
    </w:p>
    <w:p w14:paraId="53264CF7" w14:textId="3F512CE2" w:rsidR="002E2AB1" w:rsidRPr="00456C92" w:rsidRDefault="002E2AB1" w:rsidP="00456C92">
      <w:pPr>
        <w:ind w:right="567"/>
        <w:jc w:val="both"/>
        <w:rPr>
          <w:rFonts w:ascii="Gadugi" w:hAnsi="Gadugi"/>
          <w:sz w:val="24"/>
          <w:szCs w:val="24"/>
          <w:lang w:val="es-MX"/>
        </w:rPr>
      </w:pPr>
    </w:p>
    <w:p w14:paraId="48408D62" w14:textId="77777777" w:rsidR="00242BA8" w:rsidRPr="00456C92" w:rsidRDefault="00710667" w:rsidP="00456C92">
      <w:pPr>
        <w:jc w:val="both"/>
        <w:rPr>
          <w:rFonts w:ascii="Gadugi" w:hAnsi="Gadugi"/>
          <w:sz w:val="24"/>
          <w:szCs w:val="24"/>
          <w:lang w:val="es-MX"/>
        </w:rPr>
      </w:pPr>
      <w:r w:rsidRPr="00456C92">
        <w:rPr>
          <w:rFonts w:ascii="Gadugi" w:hAnsi="Gadugi"/>
          <w:sz w:val="24"/>
          <w:szCs w:val="24"/>
          <w:lang w:val="es-MX"/>
        </w:rPr>
        <w:t xml:space="preserve">Como dictámenes que son, y ya que la norma </w:t>
      </w:r>
      <w:r w:rsidR="00544A0B" w:rsidRPr="00456C92">
        <w:rPr>
          <w:rFonts w:ascii="Gadugi" w:hAnsi="Gadugi"/>
          <w:sz w:val="24"/>
          <w:szCs w:val="24"/>
          <w:lang w:val="es-MX"/>
        </w:rPr>
        <w:t>no hace</w:t>
      </w:r>
      <w:r w:rsidR="000E0A53" w:rsidRPr="00456C92">
        <w:rPr>
          <w:rFonts w:ascii="Gadugi" w:hAnsi="Gadugi"/>
          <w:sz w:val="24"/>
          <w:szCs w:val="24"/>
          <w:lang w:val="es-MX"/>
        </w:rPr>
        <w:t xml:space="preserve"> </w:t>
      </w:r>
      <w:r w:rsidR="00544A0B" w:rsidRPr="00456C92">
        <w:rPr>
          <w:rFonts w:ascii="Gadugi" w:hAnsi="Gadugi"/>
          <w:sz w:val="24"/>
          <w:szCs w:val="24"/>
          <w:lang w:val="es-MX"/>
        </w:rPr>
        <w:t xml:space="preserve">exclusión, deben someterse a las reglas propias de ese medio de prueba. </w:t>
      </w:r>
      <w:r w:rsidR="000E0A53" w:rsidRPr="00456C92">
        <w:rPr>
          <w:rFonts w:ascii="Gadugi" w:hAnsi="Gadugi"/>
          <w:sz w:val="24"/>
          <w:szCs w:val="24"/>
          <w:lang w:val="es-MX"/>
        </w:rPr>
        <w:t xml:space="preserve">En particular, deben cumplirse las específicas exigencias del artículo 226 del CGP, que en su inciso </w:t>
      </w:r>
      <w:r w:rsidR="00C713C9" w:rsidRPr="00456C92">
        <w:rPr>
          <w:rFonts w:ascii="Gadugi" w:hAnsi="Gadugi"/>
          <w:sz w:val="24"/>
          <w:szCs w:val="24"/>
          <w:lang w:val="es-MX"/>
        </w:rPr>
        <w:t>sexto</w:t>
      </w:r>
      <w:r w:rsidR="000E0A53" w:rsidRPr="00456C92">
        <w:rPr>
          <w:rFonts w:ascii="Gadugi" w:hAnsi="Gadugi"/>
          <w:sz w:val="24"/>
          <w:szCs w:val="24"/>
          <w:lang w:val="es-MX"/>
        </w:rPr>
        <w:t xml:space="preserve"> impone al perito brindar una serie de declaraciones e informaciones, </w:t>
      </w:r>
      <w:r w:rsidR="00C713C9" w:rsidRPr="00456C92">
        <w:rPr>
          <w:rFonts w:ascii="Gadugi" w:hAnsi="Gadugi"/>
          <w:sz w:val="24"/>
          <w:szCs w:val="24"/>
          <w:lang w:val="es-MX"/>
        </w:rPr>
        <w:t xml:space="preserve">que ninguno de los dictámenes aportados en este asunto satisfizo. </w:t>
      </w:r>
    </w:p>
    <w:p w14:paraId="23331895" w14:textId="77777777" w:rsidR="00242BA8" w:rsidRPr="00456C92" w:rsidRDefault="00242BA8" w:rsidP="00456C92">
      <w:pPr>
        <w:jc w:val="both"/>
        <w:rPr>
          <w:rFonts w:ascii="Gadugi" w:hAnsi="Gadugi"/>
          <w:sz w:val="24"/>
          <w:szCs w:val="24"/>
          <w:lang w:val="es-MX"/>
        </w:rPr>
      </w:pPr>
    </w:p>
    <w:p w14:paraId="64A8E9CE" w14:textId="3DC23E69" w:rsidR="00710667" w:rsidRPr="00456C92" w:rsidRDefault="00C713C9" w:rsidP="00456C92">
      <w:pPr>
        <w:jc w:val="both"/>
        <w:rPr>
          <w:rFonts w:ascii="Gadugi" w:hAnsi="Gadugi"/>
          <w:sz w:val="24"/>
          <w:szCs w:val="24"/>
          <w:lang w:val="es-MX"/>
        </w:rPr>
      </w:pPr>
      <w:r w:rsidRPr="00456C92">
        <w:rPr>
          <w:rFonts w:ascii="Gadugi" w:hAnsi="Gadugi"/>
          <w:sz w:val="24"/>
          <w:szCs w:val="24"/>
          <w:lang w:val="es-MX"/>
        </w:rPr>
        <w:t xml:space="preserve">Por ejemplo, el que aportó la parte demandante, apenas sí identifica al perito, pero nada más de los otros requerimientos trae. </w:t>
      </w:r>
      <w:r w:rsidR="007940C4" w:rsidRPr="00456C92">
        <w:rPr>
          <w:rFonts w:ascii="Gadugi" w:hAnsi="Gadugi"/>
          <w:sz w:val="24"/>
          <w:szCs w:val="24"/>
          <w:lang w:val="es-MX"/>
        </w:rPr>
        <w:t>Eso,</w:t>
      </w:r>
      <w:r w:rsidRPr="00456C92">
        <w:rPr>
          <w:rFonts w:ascii="Gadugi" w:hAnsi="Gadugi"/>
          <w:sz w:val="24"/>
          <w:szCs w:val="24"/>
          <w:lang w:val="es-MX"/>
        </w:rPr>
        <w:t xml:space="preserve"> por un lado</w:t>
      </w:r>
      <w:r w:rsidR="00DC29FD" w:rsidRPr="00456C92">
        <w:rPr>
          <w:rFonts w:ascii="Gadugi" w:hAnsi="Gadugi"/>
          <w:sz w:val="24"/>
          <w:szCs w:val="24"/>
          <w:lang w:val="es-MX"/>
        </w:rPr>
        <w:t>. Y</w:t>
      </w:r>
      <w:r w:rsidRPr="00456C92">
        <w:rPr>
          <w:rFonts w:ascii="Gadugi" w:hAnsi="Gadugi"/>
          <w:sz w:val="24"/>
          <w:szCs w:val="24"/>
          <w:lang w:val="es-MX"/>
        </w:rPr>
        <w:t xml:space="preserve"> por el otro, en un punto que es crucial para definir esta litis, tampoco se allana a las previsiones del inciso quinto</w:t>
      </w:r>
      <w:r w:rsidR="00DC29FD" w:rsidRPr="00456C92">
        <w:rPr>
          <w:rFonts w:ascii="Gadugi" w:hAnsi="Gadugi"/>
          <w:sz w:val="24"/>
          <w:szCs w:val="24"/>
          <w:lang w:val="es-MX"/>
        </w:rPr>
        <w:t xml:space="preserve"> de esta norma</w:t>
      </w:r>
      <w:r w:rsidRPr="00456C92">
        <w:rPr>
          <w:rFonts w:ascii="Gadugi" w:hAnsi="Gadugi"/>
          <w:sz w:val="24"/>
          <w:szCs w:val="24"/>
          <w:lang w:val="es-MX"/>
        </w:rPr>
        <w:t xml:space="preserve">, en cuanto </w:t>
      </w:r>
      <w:r w:rsidRPr="00456C92">
        <w:rPr>
          <w:rFonts w:ascii="Gadugi" w:hAnsi="Gadugi"/>
          <w:i/>
          <w:sz w:val="24"/>
          <w:szCs w:val="24"/>
          <w:lang w:val="es-MX"/>
        </w:rPr>
        <w:t>“</w:t>
      </w:r>
      <w:r w:rsidRPr="00456C92">
        <w:rPr>
          <w:rFonts w:ascii="Gadugi" w:hAnsi="Gadugi"/>
          <w:b/>
          <w:i/>
          <w:sz w:val="24"/>
          <w:szCs w:val="24"/>
          <w:lang w:val="es-MX"/>
        </w:rPr>
        <w:t xml:space="preserve">sobre el tipo de división que fuere procedente” </w:t>
      </w:r>
      <w:r w:rsidRPr="00456C92">
        <w:rPr>
          <w:rFonts w:ascii="Gadugi" w:hAnsi="Gadugi"/>
          <w:sz w:val="24"/>
          <w:szCs w:val="24"/>
          <w:lang w:val="es-MX"/>
        </w:rPr>
        <w:t xml:space="preserve">no explicó por qué, en este caso, siendo que el inmueble tiene un sector urbano y otro rural, la división material es procedente, simplemente se limitó a decir que a cada comunero se le adjudicaría en proporción a la dimensión del predio, una parte urbana y otra rural, sin un fundamento técnico para ello. </w:t>
      </w:r>
    </w:p>
    <w:p w14:paraId="34D5E694" w14:textId="0CFB83ED" w:rsidR="00C713C9" w:rsidRPr="00456C92" w:rsidRDefault="00C713C9" w:rsidP="00456C92">
      <w:pPr>
        <w:jc w:val="both"/>
        <w:rPr>
          <w:rFonts w:ascii="Gadugi" w:hAnsi="Gadugi"/>
          <w:sz w:val="24"/>
          <w:szCs w:val="24"/>
          <w:lang w:val="es-MX"/>
        </w:rPr>
      </w:pPr>
    </w:p>
    <w:p w14:paraId="2800CB81" w14:textId="7694FF34" w:rsidR="00C713C9" w:rsidRPr="00456C92" w:rsidRDefault="00662972" w:rsidP="00456C92">
      <w:pPr>
        <w:jc w:val="both"/>
        <w:rPr>
          <w:rFonts w:ascii="Gadugi" w:hAnsi="Gadugi"/>
          <w:sz w:val="24"/>
          <w:szCs w:val="24"/>
          <w:lang w:val="es-MX"/>
        </w:rPr>
      </w:pPr>
      <w:r w:rsidRPr="00456C92">
        <w:rPr>
          <w:rFonts w:ascii="Gadugi" w:hAnsi="Gadugi"/>
          <w:sz w:val="24"/>
          <w:szCs w:val="24"/>
          <w:lang w:val="es-MX"/>
        </w:rPr>
        <w:t xml:space="preserve">Y el que trajo la parte demandada, a la postre desechado por el juzgado, </w:t>
      </w:r>
      <w:r w:rsidR="00242BA8" w:rsidRPr="00456C92">
        <w:rPr>
          <w:rFonts w:ascii="Gadugi" w:hAnsi="Gadugi"/>
          <w:sz w:val="24"/>
          <w:szCs w:val="24"/>
          <w:lang w:val="es-MX"/>
        </w:rPr>
        <w:t xml:space="preserve">cuestión que se debate en la alzada, </w:t>
      </w:r>
      <w:r w:rsidRPr="00456C92">
        <w:rPr>
          <w:rFonts w:ascii="Gadugi" w:hAnsi="Gadugi"/>
          <w:sz w:val="24"/>
          <w:szCs w:val="24"/>
          <w:lang w:val="es-MX"/>
        </w:rPr>
        <w:t xml:space="preserve">más que un dictamen, es una réplica </w:t>
      </w:r>
      <w:r w:rsidR="00DC29FD" w:rsidRPr="00456C92">
        <w:rPr>
          <w:rFonts w:ascii="Gadugi" w:hAnsi="Gadugi"/>
          <w:sz w:val="24"/>
          <w:szCs w:val="24"/>
          <w:lang w:val="es-MX"/>
        </w:rPr>
        <w:t xml:space="preserve">o una opinión sobre </w:t>
      </w:r>
      <w:r w:rsidRPr="00456C92">
        <w:rPr>
          <w:rFonts w:ascii="Gadugi" w:hAnsi="Gadugi"/>
          <w:sz w:val="24"/>
          <w:szCs w:val="24"/>
          <w:lang w:val="es-MX"/>
        </w:rPr>
        <w:t>el</w:t>
      </w:r>
      <w:r w:rsidR="00DC29FD" w:rsidRPr="00456C92">
        <w:rPr>
          <w:rFonts w:ascii="Gadugi" w:hAnsi="Gadugi"/>
          <w:sz w:val="24"/>
          <w:szCs w:val="24"/>
          <w:lang w:val="es-MX"/>
        </w:rPr>
        <w:t xml:space="preserve"> </w:t>
      </w:r>
      <w:r w:rsidRPr="00456C92">
        <w:rPr>
          <w:rFonts w:ascii="Gadugi" w:hAnsi="Gadugi"/>
          <w:sz w:val="24"/>
          <w:szCs w:val="24"/>
          <w:lang w:val="es-MX"/>
        </w:rPr>
        <w:t>trabajo allegado por la demandante</w:t>
      </w:r>
      <w:r w:rsidR="00DC29FD" w:rsidRPr="00456C92">
        <w:rPr>
          <w:rFonts w:ascii="Gadugi" w:hAnsi="Gadugi"/>
          <w:sz w:val="24"/>
          <w:szCs w:val="24"/>
          <w:lang w:val="es-MX"/>
        </w:rPr>
        <w:t>. A</w:t>
      </w:r>
      <w:r w:rsidRPr="00456C92">
        <w:rPr>
          <w:rFonts w:ascii="Gadugi" w:hAnsi="Gadugi"/>
          <w:sz w:val="24"/>
          <w:szCs w:val="24"/>
          <w:lang w:val="es-MX"/>
        </w:rPr>
        <w:t>demás, tampoco se cumplen todas las exigencias del señalado artículo 226, ni se aducen</w:t>
      </w:r>
      <w:r w:rsidR="00DC29FD" w:rsidRPr="00456C92">
        <w:rPr>
          <w:rFonts w:ascii="Gadugi" w:hAnsi="Gadugi"/>
          <w:sz w:val="24"/>
          <w:szCs w:val="24"/>
          <w:lang w:val="es-MX"/>
        </w:rPr>
        <w:t xml:space="preserve">, como en el caso anterior, </w:t>
      </w:r>
      <w:r w:rsidRPr="00456C92">
        <w:rPr>
          <w:rFonts w:ascii="Gadugi" w:hAnsi="Gadugi"/>
          <w:sz w:val="24"/>
          <w:szCs w:val="24"/>
          <w:lang w:val="es-MX"/>
        </w:rPr>
        <w:t xml:space="preserve">razones técnicas por las cuales es viable la división material del predio. Esto sin contar con que la independencia que reclama el inciso tercero de la norma, parece venirse a menos, cuando </w:t>
      </w:r>
      <w:r w:rsidR="00242BA8" w:rsidRPr="00456C92">
        <w:rPr>
          <w:rFonts w:ascii="Gadugi" w:hAnsi="Gadugi"/>
          <w:sz w:val="24"/>
          <w:szCs w:val="24"/>
          <w:lang w:val="es-MX"/>
        </w:rPr>
        <w:t xml:space="preserve">el </w:t>
      </w:r>
      <w:r w:rsidRPr="00456C92">
        <w:rPr>
          <w:rFonts w:ascii="Gadugi" w:hAnsi="Gadugi"/>
          <w:sz w:val="24"/>
          <w:szCs w:val="24"/>
          <w:lang w:val="es-MX"/>
        </w:rPr>
        <w:t xml:space="preserve">trabajo </w:t>
      </w:r>
      <w:r w:rsidR="00242BA8" w:rsidRPr="00456C92">
        <w:rPr>
          <w:rFonts w:ascii="Gadugi" w:hAnsi="Gadugi"/>
          <w:sz w:val="24"/>
          <w:szCs w:val="24"/>
          <w:lang w:val="es-MX"/>
        </w:rPr>
        <w:t xml:space="preserve">del perito </w:t>
      </w:r>
      <w:r w:rsidRPr="00456C92">
        <w:rPr>
          <w:rFonts w:ascii="Gadugi" w:hAnsi="Gadugi"/>
          <w:sz w:val="24"/>
          <w:szCs w:val="24"/>
          <w:lang w:val="es-MX"/>
        </w:rPr>
        <w:t>viene presentado en conjunto con el apoderado judicial de</w:t>
      </w:r>
      <w:r w:rsidR="00DC29FD" w:rsidRPr="00456C92">
        <w:rPr>
          <w:rFonts w:ascii="Gadugi" w:hAnsi="Gadugi"/>
          <w:sz w:val="24"/>
          <w:szCs w:val="24"/>
          <w:lang w:val="es-MX"/>
        </w:rPr>
        <w:t>l demandado</w:t>
      </w:r>
      <w:r w:rsidRPr="00456C92">
        <w:rPr>
          <w:rFonts w:ascii="Gadugi" w:hAnsi="Gadugi"/>
          <w:sz w:val="24"/>
          <w:szCs w:val="24"/>
          <w:lang w:val="es-MX"/>
        </w:rPr>
        <w:t xml:space="preserve">. Por más que </w:t>
      </w:r>
      <w:r w:rsidR="00DC29FD" w:rsidRPr="00456C92">
        <w:rPr>
          <w:rFonts w:ascii="Gadugi" w:hAnsi="Gadugi"/>
          <w:sz w:val="24"/>
          <w:szCs w:val="24"/>
          <w:lang w:val="es-MX"/>
        </w:rPr>
        <w:t xml:space="preserve">hoy </w:t>
      </w:r>
      <w:r w:rsidRPr="00456C92">
        <w:rPr>
          <w:rFonts w:ascii="Gadugi" w:hAnsi="Gadugi"/>
          <w:sz w:val="24"/>
          <w:szCs w:val="24"/>
          <w:lang w:val="es-MX"/>
        </w:rPr>
        <w:t xml:space="preserve">el dictamen sea de parte, eso no se traduce en que el perito traiga a colación palabras que más parecen provenir del profesional del derecho, como que </w:t>
      </w:r>
      <w:r w:rsidR="000C7BA3" w:rsidRPr="00456C92">
        <w:rPr>
          <w:rFonts w:ascii="Gadugi" w:hAnsi="Gadugi"/>
          <w:sz w:val="24"/>
          <w:szCs w:val="24"/>
          <w:lang w:val="es-MX"/>
        </w:rPr>
        <w:t xml:space="preserve">el trabajo inicialmente presentado </w:t>
      </w:r>
      <w:r w:rsidR="000C7BA3" w:rsidRPr="00456C92">
        <w:rPr>
          <w:rFonts w:ascii="Gadugi" w:hAnsi="Gadugi"/>
          <w:i/>
          <w:sz w:val="24"/>
          <w:szCs w:val="24"/>
          <w:lang w:val="es-MX"/>
        </w:rPr>
        <w:t>“</w:t>
      </w:r>
      <w:r w:rsidR="000C7BA3" w:rsidRPr="00D543A1">
        <w:rPr>
          <w:rFonts w:ascii="Gadugi" w:hAnsi="Gadugi"/>
          <w:i/>
          <w:szCs w:val="24"/>
          <w:lang w:val="es-MX"/>
        </w:rPr>
        <w:t>raya con un fraude procesal, y debe ser objeto de sanción por parte del despacho</w:t>
      </w:r>
      <w:r w:rsidR="000C7BA3" w:rsidRPr="00456C92">
        <w:rPr>
          <w:rFonts w:ascii="Gadugi" w:hAnsi="Gadugi"/>
          <w:i/>
          <w:sz w:val="24"/>
          <w:szCs w:val="24"/>
          <w:lang w:val="es-MX"/>
        </w:rPr>
        <w:t xml:space="preserve">” </w:t>
      </w:r>
      <w:r w:rsidR="000C7BA3" w:rsidRPr="00456C92">
        <w:rPr>
          <w:rFonts w:ascii="Gadugi" w:hAnsi="Gadugi"/>
          <w:sz w:val="24"/>
          <w:szCs w:val="24"/>
          <w:lang w:val="es-MX"/>
        </w:rPr>
        <w:t>o</w:t>
      </w:r>
      <w:r w:rsidR="000C7BA3" w:rsidRPr="00456C92">
        <w:rPr>
          <w:rFonts w:ascii="Gadugi" w:hAnsi="Gadugi"/>
          <w:i/>
          <w:sz w:val="24"/>
          <w:szCs w:val="24"/>
          <w:lang w:val="es-MX"/>
        </w:rPr>
        <w:t xml:space="preserve"> </w:t>
      </w:r>
      <w:r w:rsidR="000C7BA3" w:rsidRPr="00456C92">
        <w:rPr>
          <w:rFonts w:ascii="Gadugi" w:hAnsi="Gadugi"/>
          <w:sz w:val="24"/>
          <w:szCs w:val="24"/>
          <w:lang w:val="es-MX"/>
        </w:rPr>
        <w:t xml:space="preserve">que remate señalando que tanto él como el abogado estarán dispuestos para atender los llamados del despacho, pues es </w:t>
      </w:r>
      <w:r w:rsidR="00DC29FD" w:rsidRPr="00456C92">
        <w:rPr>
          <w:rFonts w:ascii="Gadugi" w:hAnsi="Gadugi"/>
          <w:sz w:val="24"/>
          <w:szCs w:val="24"/>
          <w:lang w:val="es-MX"/>
        </w:rPr>
        <w:t xml:space="preserve">el auxiliar </w:t>
      </w:r>
      <w:r w:rsidR="000C7BA3" w:rsidRPr="00456C92">
        <w:rPr>
          <w:rFonts w:ascii="Gadugi" w:hAnsi="Gadugi"/>
          <w:sz w:val="24"/>
          <w:szCs w:val="24"/>
          <w:lang w:val="es-MX"/>
        </w:rPr>
        <w:t>quien debe sustentar su trabajo, no los apoderados de las partes</w:t>
      </w:r>
      <w:r w:rsidR="00242BA8" w:rsidRPr="00456C92">
        <w:rPr>
          <w:rFonts w:ascii="Gadugi" w:hAnsi="Gadugi"/>
          <w:sz w:val="24"/>
          <w:szCs w:val="24"/>
          <w:lang w:val="es-MX"/>
        </w:rPr>
        <w:t>;</w:t>
      </w:r>
      <w:r w:rsidR="000C7BA3" w:rsidRPr="00456C92">
        <w:rPr>
          <w:rFonts w:ascii="Gadugi" w:hAnsi="Gadugi"/>
          <w:sz w:val="24"/>
          <w:szCs w:val="24"/>
          <w:lang w:val="es-MX"/>
        </w:rPr>
        <w:t xml:space="preserve"> seguido de lo cual, ambos firman el trabajo. </w:t>
      </w:r>
    </w:p>
    <w:p w14:paraId="5B5E6A5C" w14:textId="50233EA9" w:rsidR="000C7BA3" w:rsidRPr="00456C92" w:rsidRDefault="000C7BA3" w:rsidP="00456C92">
      <w:pPr>
        <w:jc w:val="both"/>
        <w:rPr>
          <w:rFonts w:ascii="Gadugi" w:hAnsi="Gadugi"/>
          <w:sz w:val="24"/>
          <w:szCs w:val="24"/>
          <w:lang w:val="es-MX"/>
        </w:rPr>
      </w:pPr>
    </w:p>
    <w:p w14:paraId="0A499468" w14:textId="78048F68" w:rsidR="00242BA8" w:rsidRPr="00456C92" w:rsidRDefault="00242BA8" w:rsidP="00456C92">
      <w:pPr>
        <w:pStyle w:val="Prrafodelista"/>
        <w:numPr>
          <w:ilvl w:val="0"/>
          <w:numId w:val="3"/>
        </w:numPr>
        <w:tabs>
          <w:tab w:val="left" w:pos="284"/>
        </w:tabs>
        <w:spacing w:after="0" w:line="276" w:lineRule="auto"/>
        <w:ind w:left="0" w:firstLine="0"/>
        <w:jc w:val="both"/>
        <w:rPr>
          <w:rFonts w:ascii="Gadugi" w:hAnsi="Gadugi"/>
          <w:sz w:val="24"/>
          <w:szCs w:val="24"/>
          <w:lang w:val="es-MX"/>
        </w:rPr>
      </w:pPr>
      <w:r w:rsidRPr="00456C92">
        <w:rPr>
          <w:rFonts w:ascii="Gadugi" w:hAnsi="Gadugi"/>
          <w:sz w:val="24"/>
          <w:szCs w:val="24"/>
          <w:lang w:val="es-MX"/>
        </w:rPr>
        <w:t xml:space="preserve">En vista de ello, en parecer de la Sala debe acudirse al </w:t>
      </w:r>
      <w:r w:rsidR="009D67AA" w:rsidRPr="00456C92">
        <w:rPr>
          <w:rFonts w:ascii="Gadugi" w:hAnsi="Gadugi"/>
          <w:sz w:val="24"/>
          <w:szCs w:val="24"/>
          <w:lang w:val="es-MX"/>
        </w:rPr>
        <w:t>recaudo de</w:t>
      </w:r>
      <w:r w:rsidRPr="00456C92">
        <w:rPr>
          <w:rFonts w:ascii="Gadugi" w:hAnsi="Gadugi"/>
          <w:sz w:val="24"/>
          <w:szCs w:val="24"/>
          <w:lang w:val="es-MX"/>
        </w:rPr>
        <w:t xml:space="preserve"> una prueba de oficio que contribuya a esclarecer aquellos aspectos que </w:t>
      </w:r>
      <w:r w:rsidR="009D67AA" w:rsidRPr="00456C92">
        <w:rPr>
          <w:rFonts w:ascii="Gadugi" w:hAnsi="Gadugi"/>
          <w:sz w:val="24"/>
          <w:szCs w:val="24"/>
          <w:lang w:val="es-MX"/>
        </w:rPr>
        <w:t>incumbe</w:t>
      </w:r>
      <w:r w:rsidRPr="00456C92">
        <w:rPr>
          <w:rFonts w:ascii="Gadugi" w:hAnsi="Gadugi"/>
          <w:sz w:val="24"/>
          <w:szCs w:val="24"/>
          <w:lang w:val="es-MX"/>
        </w:rPr>
        <w:t xml:space="preserve"> conocer </w:t>
      </w:r>
      <w:r w:rsidR="009D67AA" w:rsidRPr="00456C92">
        <w:rPr>
          <w:rFonts w:ascii="Gadugi" w:hAnsi="Gadugi"/>
          <w:sz w:val="24"/>
          <w:szCs w:val="24"/>
          <w:lang w:val="es-MX"/>
        </w:rPr>
        <w:t>a</w:t>
      </w:r>
      <w:r w:rsidRPr="00456C92">
        <w:rPr>
          <w:rFonts w:ascii="Gadugi" w:hAnsi="Gadugi"/>
          <w:sz w:val="24"/>
          <w:szCs w:val="24"/>
          <w:lang w:val="es-MX"/>
        </w:rPr>
        <w:t xml:space="preserve">l juez para ordenar la división o la venta. </w:t>
      </w:r>
    </w:p>
    <w:p w14:paraId="7BD750A4" w14:textId="77777777" w:rsidR="00242BA8" w:rsidRPr="00456C92" w:rsidRDefault="00242BA8" w:rsidP="00456C92">
      <w:pPr>
        <w:pStyle w:val="Prrafodelista"/>
        <w:tabs>
          <w:tab w:val="left" w:pos="284"/>
        </w:tabs>
        <w:spacing w:after="0" w:line="276" w:lineRule="auto"/>
        <w:ind w:left="0"/>
        <w:jc w:val="both"/>
        <w:rPr>
          <w:rFonts w:ascii="Gadugi" w:hAnsi="Gadugi"/>
          <w:sz w:val="24"/>
          <w:szCs w:val="24"/>
          <w:lang w:val="es-MX"/>
        </w:rPr>
      </w:pPr>
    </w:p>
    <w:p w14:paraId="7327C12B" w14:textId="1DFD6CCF" w:rsidR="000C7BA3" w:rsidRPr="00456C92" w:rsidRDefault="00242BA8" w:rsidP="00456C92">
      <w:pPr>
        <w:pStyle w:val="Prrafodelista"/>
        <w:tabs>
          <w:tab w:val="left" w:pos="284"/>
        </w:tabs>
        <w:spacing w:after="0" w:line="276" w:lineRule="auto"/>
        <w:ind w:left="0"/>
        <w:jc w:val="both"/>
        <w:rPr>
          <w:rFonts w:ascii="Gadugi" w:hAnsi="Gadugi"/>
          <w:sz w:val="24"/>
          <w:szCs w:val="24"/>
          <w:lang w:val="es-MX"/>
        </w:rPr>
      </w:pPr>
      <w:r w:rsidRPr="00456C92">
        <w:rPr>
          <w:rFonts w:ascii="Gadugi" w:hAnsi="Gadugi"/>
          <w:sz w:val="24"/>
          <w:szCs w:val="24"/>
          <w:lang w:val="es-MX"/>
        </w:rPr>
        <w:t>Por tanto, se dispondrá la práctica de un dictamen pericial con el fin de que un experto, cumpliendo los mandatos del artículo 226 del CGP, determine: (i) el valor del bien objeto de divis</w:t>
      </w:r>
      <w:r w:rsidR="00341912" w:rsidRPr="00456C92">
        <w:rPr>
          <w:rFonts w:ascii="Gadugi" w:hAnsi="Gadugi"/>
          <w:sz w:val="24"/>
          <w:szCs w:val="24"/>
          <w:lang w:val="es-MX"/>
        </w:rPr>
        <w:t>i</w:t>
      </w:r>
      <w:r w:rsidRPr="00456C92">
        <w:rPr>
          <w:rFonts w:ascii="Gadugi" w:hAnsi="Gadugi"/>
          <w:sz w:val="24"/>
          <w:szCs w:val="24"/>
          <w:lang w:val="es-MX"/>
        </w:rPr>
        <w:t xml:space="preserve">ón; (ii) el tipo de división </w:t>
      </w:r>
      <w:r w:rsidR="00341912" w:rsidRPr="00456C92">
        <w:rPr>
          <w:rFonts w:ascii="Gadugi" w:hAnsi="Gadugi"/>
          <w:sz w:val="24"/>
          <w:szCs w:val="24"/>
          <w:lang w:val="es-MX"/>
        </w:rPr>
        <w:t xml:space="preserve">que es procedente, principalmente, si respecto del inmueble aquí comprometido es viable la división material; y (iii) en tal caso, cómo sería la división. </w:t>
      </w:r>
    </w:p>
    <w:p w14:paraId="71928EA9" w14:textId="4442A07F" w:rsidR="00710667" w:rsidRPr="00456C92" w:rsidRDefault="00710667" w:rsidP="00456C92">
      <w:pPr>
        <w:jc w:val="both"/>
        <w:rPr>
          <w:rFonts w:ascii="Gadugi" w:hAnsi="Gadugi"/>
          <w:sz w:val="24"/>
          <w:szCs w:val="24"/>
          <w:lang w:val="es-MX"/>
        </w:rPr>
      </w:pPr>
    </w:p>
    <w:p w14:paraId="171F0881" w14:textId="77777777" w:rsidR="00341912" w:rsidRPr="00456C92" w:rsidRDefault="00341912" w:rsidP="00456C92">
      <w:pPr>
        <w:jc w:val="both"/>
        <w:rPr>
          <w:rFonts w:ascii="Gadugi" w:hAnsi="Gadugi"/>
          <w:sz w:val="24"/>
          <w:szCs w:val="24"/>
          <w:lang w:val="es-MX"/>
        </w:rPr>
      </w:pPr>
      <w:r w:rsidRPr="00456C92">
        <w:rPr>
          <w:rFonts w:ascii="Gadugi" w:hAnsi="Gadugi"/>
          <w:sz w:val="24"/>
          <w:szCs w:val="24"/>
          <w:lang w:val="es-MX"/>
        </w:rPr>
        <w:t xml:space="preserve">Para ese fin se oficiará al Instituto Geográfico Agustín Codazzi (IGAC), con el fin de que designe un perito que realice visita técnica al predio y, en el término de un (1) mes, contado a partir de la notificación de la presente providencia, rinda el dictamen. </w:t>
      </w:r>
    </w:p>
    <w:p w14:paraId="2F67D06D" w14:textId="77777777" w:rsidR="00341912" w:rsidRPr="00456C92" w:rsidRDefault="00341912" w:rsidP="00456C92">
      <w:pPr>
        <w:jc w:val="both"/>
        <w:rPr>
          <w:rFonts w:ascii="Gadugi" w:hAnsi="Gadugi"/>
          <w:sz w:val="24"/>
          <w:szCs w:val="24"/>
          <w:lang w:val="es-MX"/>
        </w:rPr>
      </w:pPr>
    </w:p>
    <w:p w14:paraId="57341851" w14:textId="4F2504FF" w:rsidR="00341912" w:rsidRPr="00456C92" w:rsidRDefault="003C652A" w:rsidP="00456C92">
      <w:pPr>
        <w:jc w:val="both"/>
        <w:rPr>
          <w:rFonts w:ascii="Gadugi" w:hAnsi="Gadugi"/>
          <w:b/>
          <w:sz w:val="24"/>
          <w:szCs w:val="24"/>
          <w:lang w:val="es-MX"/>
        </w:rPr>
      </w:pPr>
      <w:r w:rsidRPr="00456C92">
        <w:rPr>
          <w:rFonts w:ascii="Gadugi" w:hAnsi="Gadugi"/>
          <w:b/>
          <w:sz w:val="24"/>
          <w:szCs w:val="24"/>
          <w:lang w:val="es-MX"/>
        </w:rPr>
        <w:t>DECISIÓN</w:t>
      </w:r>
    </w:p>
    <w:p w14:paraId="073DB4E8" w14:textId="77777777" w:rsidR="003C652A" w:rsidRPr="00456C92" w:rsidRDefault="003C652A" w:rsidP="00456C92">
      <w:pPr>
        <w:jc w:val="both"/>
        <w:rPr>
          <w:rFonts w:ascii="Gadugi" w:hAnsi="Gadugi"/>
          <w:sz w:val="24"/>
          <w:szCs w:val="24"/>
          <w:lang w:val="es-MX"/>
        </w:rPr>
      </w:pPr>
    </w:p>
    <w:p w14:paraId="69037CBA" w14:textId="45D4E88D" w:rsidR="003C652A" w:rsidRPr="00456C92" w:rsidRDefault="003C652A" w:rsidP="00456C92">
      <w:pPr>
        <w:pStyle w:val="Prrafodelista"/>
        <w:tabs>
          <w:tab w:val="left" w:pos="284"/>
        </w:tabs>
        <w:spacing w:after="0" w:line="276" w:lineRule="auto"/>
        <w:ind w:left="0"/>
        <w:jc w:val="both"/>
        <w:rPr>
          <w:rFonts w:ascii="Gadugi" w:hAnsi="Gadugi"/>
          <w:sz w:val="24"/>
          <w:szCs w:val="24"/>
          <w:lang w:val="es-MX"/>
        </w:rPr>
      </w:pPr>
      <w:r w:rsidRPr="00456C92">
        <w:rPr>
          <w:rFonts w:ascii="Gadugi" w:hAnsi="Gadugi"/>
          <w:sz w:val="24"/>
          <w:szCs w:val="24"/>
          <w:lang w:val="es-MX"/>
        </w:rPr>
        <w:t xml:space="preserve">En armonía con lo dicho, se ordena la práctica de un dictamen pericial con el fin de determinar (i) el valor del bien objeto de división; (ii) el tipo de división que es procedente, principalmente, si respecto del inmueble aquí comprometido es viable la división material; y (iii) en tal caso, cómo sería la división. </w:t>
      </w:r>
    </w:p>
    <w:p w14:paraId="13EA422A" w14:textId="1CF9100A" w:rsidR="003C652A" w:rsidRPr="00456C92" w:rsidRDefault="003C652A" w:rsidP="00456C92">
      <w:pPr>
        <w:pStyle w:val="Prrafodelista"/>
        <w:tabs>
          <w:tab w:val="left" w:pos="284"/>
        </w:tabs>
        <w:spacing w:after="0" w:line="276" w:lineRule="auto"/>
        <w:ind w:left="0"/>
        <w:jc w:val="both"/>
        <w:rPr>
          <w:rFonts w:ascii="Gadugi" w:hAnsi="Gadugi"/>
          <w:sz w:val="24"/>
          <w:szCs w:val="24"/>
          <w:lang w:val="es-MX"/>
        </w:rPr>
      </w:pPr>
    </w:p>
    <w:p w14:paraId="4EAEE45F" w14:textId="5B3CE8F6" w:rsidR="00341912" w:rsidRPr="00456C92" w:rsidRDefault="003C652A" w:rsidP="00456C92">
      <w:pPr>
        <w:pStyle w:val="Prrafodelista"/>
        <w:tabs>
          <w:tab w:val="left" w:pos="284"/>
        </w:tabs>
        <w:spacing w:after="0" w:line="276" w:lineRule="auto"/>
        <w:ind w:left="0"/>
        <w:jc w:val="both"/>
        <w:rPr>
          <w:rFonts w:ascii="Gadugi" w:hAnsi="Gadugi"/>
          <w:sz w:val="24"/>
          <w:szCs w:val="24"/>
          <w:lang w:val="es-MX"/>
        </w:rPr>
      </w:pPr>
      <w:r w:rsidRPr="00456C92">
        <w:rPr>
          <w:rFonts w:ascii="Gadugi" w:hAnsi="Gadugi"/>
          <w:sz w:val="24"/>
          <w:szCs w:val="24"/>
          <w:lang w:val="es-MX"/>
        </w:rPr>
        <w:t xml:space="preserve">Para </w:t>
      </w:r>
      <w:r w:rsidR="008C032F" w:rsidRPr="00456C92">
        <w:rPr>
          <w:rFonts w:ascii="Gadugi" w:hAnsi="Gadugi"/>
          <w:sz w:val="24"/>
          <w:szCs w:val="24"/>
          <w:lang w:val="es-MX"/>
        </w:rPr>
        <w:t>ello</w:t>
      </w:r>
      <w:r w:rsidRPr="00456C92">
        <w:rPr>
          <w:rFonts w:ascii="Gadugi" w:hAnsi="Gadugi"/>
          <w:sz w:val="24"/>
          <w:szCs w:val="24"/>
          <w:lang w:val="es-MX"/>
        </w:rPr>
        <w:t xml:space="preserve">, se acudirá al Instituto Geográfico Agustín Codazzi, como autoriza el artículo 229 del CGP, con el fin de que designe el perito que, previa visita técnica, rinda la experticia, </w:t>
      </w:r>
      <w:r w:rsidR="008C032F" w:rsidRPr="00456C92">
        <w:rPr>
          <w:rFonts w:ascii="Gadugi" w:hAnsi="Gadugi"/>
          <w:sz w:val="24"/>
          <w:szCs w:val="24"/>
          <w:lang w:val="es-MX"/>
        </w:rPr>
        <w:t xml:space="preserve">teniendo especial precaución de acatar </w:t>
      </w:r>
      <w:r w:rsidR="00341912" w:rsidRPr="00456C92">
        <w:rPr>
          <w:rFonts w:ascii="Gadugi" w:hAnsi="Gadugi"/>
          <w:sz w:val="24"/>
          <w:szCs w:val="24"/>
          <w:lang w:val="es-MX"/>
        </w:rPr>
        <w:t>los requisitos señalados en al artículo 226 del CGP</w:t>
      </w:r>
      <w:r w:rsidR="008C032F" w:rsidRPr="00456C92">
        <w:rPr>
          <w:rFonts w:ascii="Gadugi" w:hAnsi="Gadugi"/>
          <w:sz w:val="24"/>
          <w:szCs w:val="24"/>
          <w:lang w:val="es-MX"/>
        </w:rPr>
        <w:t xml:space="preserve">. </w:t>
      </w:r>
    </w:p>
    <w:p w14:paraId="6D80EF15" w14:textId="0660F53D" w:rsidR="008C032F" w:rsidRPr="00456C92" w:rsidRDefault="008C032F" w:rsidP="00456C92">
      <w:pPr>
        <w:pStyle w:val="Prrafodelista"/>
        <w:tabs>
          <w:tab w:val="left" w:pos="284"/>
        </w:tabs>
        <w:spacing w:after="0" w:line="276" w:lineRule="auto"/>
        <w:ind w:left="0"/>
        <w:jc w:val="both"/>
        <w:rPr>
          <w:rFonts w:ascii="Gadugi" w:hAnsi="Gadugi"/>
          <w:sz w:val="24"/>
          <w:szCs w:val="24"/>
          <w:lang w:val="es-MX"/>
        </w:rPr>
      </w:pPr>
    </w:p>
    <w:p w14:paraId="50ACDB55" w14:textId="15CC1922" w:rsidR="008C032F" w:rsidRPr="00456C92" w:rsidRDefault="008C032F" w:rsidP="00456C92">
      <w:pPr>
        <w:pStyle w:val="Prrafodelista"/>
        <w:tabs>
          <w:tab w:val="left" w:pos="284"/>
        </w:tabs>
        <w:spacing w:after="0" w:line="276" w:lineRule="auto"/>
        <w:ind w:left="0"/>
        <w:jc w:val="both"/>
        <w:rPr>
          <w:rFonts w:ascii="Gadugi" w:hAnsi="Gadugi"/>
          <w:sz w:val="24"/>
          <w:szCs w:val="24"/>
          <w:lang w:val="es-MX"/>
        </w:rPr>
      </w:pPr>
      <w:r w:rsidRPr="00456C92">
        <w:rPr>
          <w:rFonts w:ascii="Gadugi" w:hAnsi="Gadugi"/>
          <w:sz w:val="24"/>
          <w:szCs w:val="24"/>
          <w:lang w:val="es-MX"/>
        </w:rPr>
        <w:t xml:space="preserve">El perito podrá acceder al expediente para realizar su trabajo por medio de la secretaría de la Sala. En el oficio respectivo se informará sobre el enlace. </w:t>
      </w:r>
    </w:p>
    <w:p w14:paraId="267BFECF" w14:textId="1CDD83FE" w:rsidR="00341912" w:rsidRPr="00456C92" w:rsidRDefault="00341912" w:rsidP="00456C92">
      <w:pPr>
        <w:pStyle w:val="Prrafodelista"/>
        <w:tabs>
          <w:tab w:val="left" w:pos="0"/>
          <w:tab w:val="left" w:pos="142"/>
          <w:tab w:val="left" w:pos="567"/>
          <w:tab w:val="left" w:pos="993"/>
        </w:tabs>
        <w:spacing w:line="276" w:lineRule="auto"/>
        <w:ind w:left="0"/>
        <w:jc w:val="both"/>
        <w:rPr>
          <w:rFonts w:ascii="Gadugi" w:hAnsi="Gadugi"/>
          <w:b/>
          <w:sz w:val="24"/>
          <w:szCs w:val="24"/>
          <w:lang w:val="es-MX"/>
        </w:rPr>
      </w:pPr>
    </w:p>
    <w:p w14:paraId="7DEB0D0F" w14:textId="652CBE28" w:rsidR="00341912" w:rsidRPr="00456C92" w:rsidRDefault="008C032F" w:rsidP="00456C92">
      <w:pPr>
        <w:pStyle w:val="Prrafodelista"/>
        <w:tabs>
          <w:tab w:val="left" w:pos="0"/>
          <w:tab w:val="left" w:pos="142"/>
          <w:tab w:val="left" w:pos="567"/>
          <w:tab w:val="left" w:pos="993"/>
        </w:tabs>
        <w:spacing w:after="0" w:line="276" w:lineRule="auto"/>
        <w:ind w:left="0"/>
        <w:contextualSpacing/>
        <w:jc w:val="both"/>
        <w:rPr>
          <w:rFonts w:ascii="Gadugi" w:hAnsi="Gadugi"/>
          <w:sz w:val="24"/>
          <w:szCs w:val="24"/>
          <w:lang w:val="es-MX"/>
        </w:rPr>
      </w:pPr>
      <w:r w:rsidRPr="00456C92">
        <w:rPr>
          <w:rFonts w:ascii="Gadugi" w:hAnsi="Gadugi"/>
          <w:sz w:val="24"/>
          <w:szCs w:val="24"/>
          <w:lang w:val="es-MX"/>
        </w:rPr>
        <w:t>L</w:t>
      </w:r>
      <w:r w:rsidR="00341912" w:rsidRPr="00456C92">
        <w:rPr>
          <w:rFonts w:ascii="Gadugi" w:hAnsi="Gadugi"/>
          <w:sz w:val="24"/>
          <w:szCs w:val="24"/>
          <w:lang w:val="es-MX"/>
        </w:rPr>
        <w:t xml:space="preserve">as partes deberán prestar todo el apoyo, con el fin de que la prueba se evacúe en debida forma y en el término señalado. Si ella genera algún costo, deberá ser asumido por partes iguales. </w:t>
      </w:r>
    </w:p>
    <w:p w14:paraId="6EB0EEE6" w14:textId="77777777" w:rsidR="008061F0" w:rsidRPr="00456C92" w:rsidRDefault="008061F0" w:rsidP="00456C92">
      <w:pPr>
        <w:jc w:val="both"/>
        <w:rPr>
          <w:rFonts w:ascii="Gadugi" w:eastAsia="Times New Roman" w:hAnsi="Gadugi"/>
          <w:sz w:val="24"/>
          <w:szCs w:val="24"/>
          <w:lang w:val="es-419" w:eastAsia="es-ES"/>
        </w:rPr>
      </w:pPr>
    </w:p>
    <w:p w14:paraId="14C9E212" w14:textId="77777777" w:rsidR="008061F0" w:rsidRPr="00456C92" w:rsidRDefault="008061F0" w:rsidP="00456C92">
      <w:pPr>
        <w:jc w:val="both"/>
        <w:rPr>
          <w:rFonts w:ascii="Gadugi" w:eastAsia="Times New Roman" w:hAnsi="Gadugi"/>
          <w:sz w:val="24"/>
          <w:szCs w:val="24"/>
          <w:lang w:val="es-MX" w:eastAsia="es-ES"/>
        </w:rPr>
      </w:pPr>
      <w:r w:rsidRPr="00456C92">
        <w:rPr>
          <w:rFonts w:ascii="Gadugi" w:eastAsia="Times New Roman" w:hAnsi="Gadugi"/>
          <w:sz w:val="24"/>
          <w:szCs w:val="24"/>
          <w:lang w:val="es-MX" w:eastAsia="es-ES"/>
        </w:rPr>
        <w:t>Notifíquese</w:t>
      </w:r>
    </w:p>
    <w:p w14:paraId="1FF29167" w14:textId="77777777" w:rsidR="008061F0" w:rsidRPr="00456C92" w:rsidRDefault="008061F0" w:rsidP="00456C92">
      <w:pPr>
        <w:jc w:val="both"/>
        <w:rPr>
          <w:rFonts w:ascii="Gadugi" w:eastAsia="Times New Roman" w:hAnsi="Gadugi"/>
          <w:sz w:val="24"/>
          <w:szCs w:val="24"/>
          <w:lang w:val="es-MX" w:eastAsia="es-ES"/>
        </w:rPr>
      </w:pPr>
    </w:p>
    <w:p w14:paraId="37C0CD1F" w14:textId="77777777" w:rsidR="008061F0" w:rsidRPr="00456C92" w:rsidRDefault="008061F0" w:rsidP="00456C92">
      <w:pPr>
        <w:jc w:val="both"/>
        <w:rPr>
          <w:rFonts w:ascii="Gadugi" w:eastAsia="Times New Roman" w:hAnsi="Gadugi"/>
          <w:color w:val="000000"/>
          <w:sz w:val="24"/>
          <w:szCs w:val="24"/>
          <w:lang w:val="es-ES_tradnl" w:eastAsia="es-ES"/>
        </w:rPr>
      </w:pPr>
    </w:p>
    <w:p w14:paraId="7A89FAA5" w14:textId="77777777" w:rsidR="008061F0" w:rsidRPr="00456C92" w:rsidRDefault="008061F0" w:rsidP="00456C92">
      <w:pPr>
        <w:jc w:val="both"/>
        <w:rPr>
          <w:rFonts w:ascii="Gadugi" w:eastAsia="Times New Roman" w:hAnsi="Gadugi"/>
          <w:b/>
          <w:color w:val="000000"/>
          <w:sz w:val="24"/>
          <w:szCs w:val="24"/>
          <w:lang w:val="es-ES_tradnl" w:eastAsia="es-ES"/>
        </w:rPr>
      </w:pPr>
      <w:r w:rsidRPr="00456C92">
        <w:rPr>
          <w:rFonts w:ascii="Gadugi" w:eastAsia="Times New Roman" w:hAnsi="Gadugi"/>
          <w:b/>
          <w:color w:val="000000"/>
          <w:sz w:val="24"/>
          <w:szCs w:val="24"/>
          <w:lang w:val="es-ES_tradnl" w:eastAsia="es-ES"/>
        </w:rPr>
        <w:t>JAIME ALBERTO SARAZA NARANJO</w:t>
      </w:r>
    </w:p>
    <w:p w14:paraId="7DD42149" w14:textId="0952AB90" w:rsidR="00D93C28" w:rsidRPr="00D543A1" w:rsidRDefault="008061F0" w:rsidP="00D543A1">
      <w:pPr>
        <w:jc w:val="both"/>
        <w:rPr>
          <w:rFonts w:ascii="Gadugi" w:eastAsia="Times New Roman" w:hAnsi="Gadugi"/>
          <w:color w:val="000000"/>
          <w:sz w:val="24"/>
          <w:szCs w:val="24"/>
          <w:lang w:val="es-ES_tradnl" w:eastAsia="es-ES"/>
        </w:rPr>
      </w:pPr>
      <w:r w:rsidRPr="00456C92">
        <w:rPr>
          <w:rFonts w:ascii="Gadugi" w:eastAsia="Times New Roman" w:hAnsi="Gadugi"/>
          <w:color w:val="000000"/>
          <w:sz w:val="24"/>
          <w:szCs w:val="24"/>
          <w:lang w:val="es-ES_tradnl" w:eastAsia="es-ES"/>
        </w:rPr>
        <w:t>Magistrado</w:t>
      </w:r>
    </w:p>
    <w:sectPr w:rsidR="00D93C28" w:rsidRPr="00D543A1" w:rsidSect="00456C92">
      <w:pgSz w:w="12242" w:h="18722" w:code="258"/>
      <w:pgMar w:top="1871" w:right="1304" w:bottom="1304" w:left="187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BFEE" w14:textId="77777777" w:rsidR="00A31ACB" w:rsidRDefault="00A31ACB">
      <w:pPr>
        <w:spacing w:line="240" w:lineRule="auto"/>
      </w:pPr>
      <w:r>
        <w:separator/>
      </w:r>
    </w:p>
  </w:endnote>
  <w:endnote w:type="continuationSeparator" w:id="0">
    <w:p w14:paraId="49234CE9" w14:textId="77777777" w:rsidR="00A31ACB" w:rsidRDefault="00A31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8B34E" w14:textId="77777777" w:rsidR="00A31ACB" w:rsidRDefault="00A31ACB">
      <w:pPr>
        <w:spacing w:line="240" w:lineRule="auto"/>
      </w:pPr>
      <w:r>
        <w:separator/>
      </w:r>
    </w:p>
  </w:footnote>
  <w:footnote w:type="continuationSeparator" w:id="0">
    <w:p w14:paraId="6C7EB62E" w14:textId="77777777" w:rsidR="00A31ACB" w:rsidRDefault="00A31ACB">
      <w:pPr>
        <w:spacing w:line="240" w:lineRule="auto"/>
      </w:pPr>
      <w:r>
        <w:continuationSeparator/>
      </w:r>
    </w:p>
  </w:footnote>
  <w:footnote w:id="1">
    <w:p w14:paraId="773C9D9A" w14:textId="6706B65C" w:rsidR="00544A0B" w:rsidRPr="00285323" w:rsidRDefault="00544A0B" w:rsidP="00285323">
      <w:pPr>
        <w:pStyle w:val="Textonotapie"/>
        <w:spacing w:after="0" w:line="240" w:lineRule="auto"/>
        <w:jc w:val="both"/>
        <w:rPr>
          <w:rFonts w:ascii="Arial" w:hAnsi="Arial" w:cs="Arial"/>
          <w:szCs w:val="22"/>
          <w:lang w:val="es-MX"/>
        </w:rPr>
      </w:pPr>
      <w:r w:rsidRPr="00285323">
        <w:rPr>
          <w:rStyle w:val="Refdenotaalpie"/>
          <w:rFonts w:ascii="Arial" w:hAnsi="Arial" w:cs="Arial"/>
          <w:szCs w:val="22"/>
        </w:rPr>
        <w:footnoteRef/>
      </w:r>
      <w:r w:rsidRPr="00285323">
        <w:rPr>
          <w:rFonts w:ascii="Arial" w:hAnsi="Arial" w:cs="Arial"/>
          <w:szCs w:val="22"/>
        </w:rPr>
        <w:t xml:space="preserve"> CSJ. SC. Sentencia de 7 de septiembre de 1978. En sentido similar: CSJ. SC. Sentencia de 29 de noviembre de 2004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871"/>
    <w:multiLevelType w:val="multilevel"/>
    <w:tmpl w:val="D42E98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367A222D"/>
    <w:multiLevelType w:val="hybridMultilevel"/>
    <w:tmpl w:val="52BC7CC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BB82FDE"/>
    <w:multiLevelType w:val="hybridMultilevel"/>
    <w:tmpl w:val="406841CA"/>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4CE22F52"/>
    <w:multiLevelType w:val="hybridMultilevel"/>
    <w:tmpl w:val="6F102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79"/>
    <w:rsid w:val="00013440"/>
    <w:rsid w:val="000177FB"/>
    <w:rsid w:val="00027BFB"/>
    <w:rsid w:val="0006722D"/>
    <w:rsid w:val="00072320"/>
    <w:rsid w:val="0008567F"/>
    <w:rsid w:val="000B6694"/>
    <w:rsid w:val="000C7BA3"/>
    <w:rsid w:val="000D4B61"/>
    <w:rsid w:val="000D53AE"/>
    <w:rsid w:val="000E0A53"/>
    <w:rsid w:val="000F50C0"/>
    <w:rsid w:val="001315D8"/>
    <w:rsid w:val="00157E3A"/>
    <w:rsid w:val="00162FD5"/>
    <w:rsid w:val="0016597F"/>
    <w:rsid w:val="0017751C"/>
    <w:rsid w:val="00190731"/>
    <w:rsid w:val="001945C2"/>
    <w:rsid w:val="001F53F3"/>
    <w:rsid w:val="0021429A"/>
    <w:rsid w:val="00242BA8"/>
    <w:rsid w:val="00247982"/>
    <w:rsid w:val="00266443"/>
    <w:rsid w:val="0026697E"/>
    <w:rsid w:val="00267E0E"/>
    <w:rsid w:val="00285323"/>
    <w:rsid w:val="0029116B"/>
    <w:rsid w:val="002A0A7B"/>
    <w:rsid w:val="002A7811"/>
    <w:rsid w:val="002B5707"/>
    <w:rsid w:val="002D5584"/>
    <w:rsid w:val="002D7B94"/>
    <w:rsid w:val="002E2AB1"/>
    <w:rsid w:val="002F4C4E"/>
    <w:rsid w:val="00326573"/>
    <w:rsid w:val="00333424"/>
    <w:rsid w:val="003411BE"/>
    <w:rsid w:val="00341912"/>
    <w:rsid w:val="00341CF4"/>
    <w:rsid w:val="00342790"/>
    <w:rsid w:val="00357EBA"/>
    <w:rsid w:val="00366BA3"/>
    <w:rsid w:val="00372951"/>
    <w:rsid w:val="0038740E"/>
    <w:rsid w:val="00391D46"/>
    <w:rsid w:val="0039321B"/>
    <w:rsid w:val="003B3187"/>
    <w:rsid w:val="003B37BF"/>
    <w:rsid w:val="003C2B66"/>
    <w:rsid w:val="003C3968"/>
    <w:rsid w:val="003C652A"/>
    <w:rsid w:val="003D0059"/>
    <w:rsid w:val="003D5AA9"/>
    <w:rsid w:val="003D76BA"/>
    <w:rsid w:val="00400359"/>
    <w:rsid w:val="00437272"/>
    <w:rsid w:val="00445596"/>
    <w:rsid w:val="00456C92"/>
    <w:rsid w:val="00467878"/>
    <w:rsid w:val="004707F8"/>
    <w:rsid w:val="00484D0C"/>
    <w:rsid w:val="004E4424"/>
    <w:rsid w:val="004F000A"/>
    <w:rsid w:val="00513D4C"/>
    <w:rsid w:val="00514049"/>
    <w:rsid w:val="00520285"/>
    <w:rsid w:val="00522E7A"/>
    <w:rsid w:val="005233A0"/>
    <w:rsid w:val="00540949"/>
    <w:rsid w:val="0054298C"/>
    <w:rsid w:val="00543F17"/>
    <w:rsid w:val="005441AC"/>
    <w:rsid w:val="00544A0B"/>
    <w:rsid w:val="00544DE1"/>
    <w:rsid w:val="00547C59"/>
    <w:rsid w:val="0055003D"/>
    <w:rsid w:val="00565818"/>
    <w:rsid w:val="005749F7"/>
    <w:rsid w:val="0057673E"/>
    <w:rsid w:val="005C5BA7"/>
    <w:rsid w:val="005E273B"/>
    <w:rsid w:val="005F264C"/>
    <w:rsid w:val="005F6DE6"/>
    <w:rsid w:val="0060094B"/>
    <w:rsid w:val="00603370"/>
    <w:rsid w:val="00606231"/>
    <w:rsid w:val="00623B6C"/>
    <w:rsid w:val="0063583D"/>
    <w:rsid w:val="00643A12"/>
    <w:rsid w:val="00662972"/>
    <w:rsid w:val="0067161C"/>
    <w:rsid w:val="00673BEB"/>
    <w:rsid w:val="00685376"/>
    <w:rsid w:val="00686448"/>
    <w:rsid w:val="00695FA5"/>
    <w:rsid w:val="006A7AD0"/>
    <w:rsid w:val="006B28F8"/>
    <w:rsid w:val="006B64E0"/>
    <w:rsid w:val="006F6A28"/>
    <w:rsid w:val="00706841"/>
    <w:rsid w:val="00710667"/>
    <w:rsid w:val="00712B52"/>
    <w:rsid w:val="007512D7"/>
    <w:rsid w:val="00784A12"/>
    <w:rsid w:val="00785A37"/>
    <w:rsid w:val="007940C4"/>
    <w:rsid w:val="007B3CAE"/>
    <w:rsid w:val="007D52D8"/>
    <w:rsid w:val="007E2E46"/>
    <w:rsid w:val="007E52C4"/>
    <w:rsid w:val="007F18ED"/>
    <w:rsid w:val="0080107A"/>
    <w:rsid w:val="00804B10"/>
    <w:rsid w:val="00805CF2"/>
    <w:rsid w:val="008061F0"/>
    <w:rsid w:val="008067E1"/>
    <w:rsid w:val="0081227B"/>
    <w:rsid w:val="00814FD3"/>
    <w:rsid w:val="008259C1"/>
    <w:rsid w:val="00843736"/>
    <w:rsid w:val="008541BB"/>
    <w:rsid w:val="00860789"/>
    <w:rsid w:val="00861B3D"/>
    <w:rsid w:val="00864855"/>
    <w:rsid w:val="008824CD"/>
    <w:rsid w:val="008A1BCC"/>
    <w:rsid w:val="008C032F"/>
    <w:rsid w:val="008C79DF"/>
    <w:rsid w:val="008E38E8"/>
    <w:rsid w:val="008E53E0"/>
    <w:rsid w:val="00902092"/>
    <w:rsid w:val="009368FC"/>
    <w:rsid w:val="00966B08"/>
    <w:rsid w:val="00971513"/>
    <w:rsid w:val="00982B7A"/>
    <w:rsid w:val="009A3079"/>
    <w:rsid w:val="009A5588"/>
    <w:rsid w:val="009C0CDA"/>
    <w:rsid w:val="009D53C9"/>
    <w:rsid w:val="009D67AA"/>
    <w:rsid w:val="009E02F8"/>
    <w:rsid w:val="009E58E6"/>
    <w:rsid w:val="009E7AB6"/>
    <w:rsid w:val="009F4937"/>
    <w:rsid w:val="009F5863"/>
    <w:rsid w:val="00A02779"/>
    <w:rsid w:val="00A02DC0"/>
    <w:rsid w:val="00A04AA7"/>
    <w:rsid w:val="00A31ACB"/>
    <w:rsid w:val="00A4033B"/>
    <w:rsid w:val="00A57DA8"/>
    <w:rsid w:val="00A74EC2"/>
    <w:rsid w:val="00A776FD"/>
    <w:rsid w:val="00A83B87"/>
    <w:rsid w:val="00A9320C"/>
    <w:rsid w:val="00A96AF2"/>
    <w:rsid w:val="00AA2466"/>
    <w:rsid w:val="00AB2386"/>
    <w:rsid w:val="00AB27EB"/>
    <w:rsid w:val="00AB78E6"/>
    <w:rsid w:val="00AC350E"/>
    <w:rsid w:val="00AE1C2E"/>
    <w:rsid w:val="00AE1CF0"/>
    <w:rsid w:val="00AE3510"/>
    <w:rsid w:val="00AE6AF0"/>
    <w:rsid w:val="00B17935"/>
    <w:rsid w:val="00B3093F"/>
    <w:rsid w:val="00B42B2F"/>
    <w:rsid w:val="00B80B1F"/>
    <w:rsid w:val="00B910FE"/>
    <w:rsid w:val="00BA4F03"/>
    <w:rsid w:val="00BB7ACA"/>
    <w:rsid w:val="00BC5169"/>
    <w:rsid w:val="00BC5CD4"/>
    <w:rsid w:val="00BF2FF1"/>
    <w:rsid w:val="00C27578"/>
    <w:rsid w:val="00C343AF"/>
    <w:rsid w:val="00C401B7"/>
    <w:rsid w:val="00C713C9"/>
    <w:rsid w:val="00C8644F"/>
    <w:rsid w:val="00C92EEA"/>
    <w:rsid w:val="00D03D59"/>
    <w:rsid w:val="00D429D6"/>
    <w:rsid w:val="00D543A1"/>
    <w:rsid w:val="00D54C00"/>
    <w:rsid w:val="00D90B08"/>
    <w:rsid w:val="00D93C28"/>
    <w:rsid w:val="00DC29FD"/>
    <w:rsid w:val="00DD050B"/>
    <w:rsid w:val="00DD16D5"/>
    <w:rsid w:val="00DD3D08"/>
    <w:rsid w:val="00DE2ABB"/>
    <w:rsid w:val="00E078B0"/>
    <w:rsid w:val="00E12D85"/>
    <w:rsid w:val="00E149F8"/>
    <w:rsid w:val="00E20D6E"/>
    <w:rsid w:val="00E42180"/>
    <w:rsid w:val="00E45B4D"/>
    <w:rsid w:val="00E570C6"/>
    <w:rsid w:val="00E773BF"/>
    <w:rsid w:val="00E827F6"/>
    <w:rsid w:val="00E82F2B"/>
    <w:rsid w:val="00E931FD"/>
    <w:rsid w:val="00E93BD5"/>
    <w:rsid w:val="00EA41A2"/>
    <w:rsid w:val="00EB4523"/>
    <w:rsid w:val="00EB4B88"/>
    <w:rsid w:val="00EC7F5F"/>
    <w:rsid w:val="00ED645A"/>
    <w:rsid w:val="00F02338"/>
    <w:rsid w:val="00F063C8"/>
    <w:rsid w:val="00F20657"/>
    <w:rsid w:val="00F334EE"/>
    <w:rsid w:val="00F33ADD"/>
    <w:rsid w:val="00F44F3F"/>
    <w:rsid w:val="00F53EAE"/>
    <w:rsid w:val="00F64625"/>
    <w:rsid w:val="00F64B77"/>
    <w:rsid w:val="00F708B5"/>
    <w:rsid w:val="00F72AA3"/>
    <w:rsid w:val="00F80C6D"/>
    <w:rsid w:val="00F85946"/>
    <w:rsid w:val="00F97B6D"/>
    <w:rsid w:val="00FA02FD"/>
    <w:rsid w:val="00FB3D93"/>
    <w:rsid w:val="00FC0D5E"/>
    <w:rsid w:val="00FC6682"/>
    <w:rsid w:val="0669F3E5"/>
    <w:rsid w:val="1CD68999"/>
    <w:rsid w:val="2A63A0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ECE8"/>
  <w15:docId w15:val="{65256D64-A6E6-41CF-AE9E-F88754DB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D59"/>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Car,Ca"/>
    <w:basedOn w:val="Normal"/>
    <w:link w:val="TextonotapieCar"/>
    <w:uiPriority w:val="99"/>
    <w:unhideWhenUsed/>
    <w:qFormat/>
    <w:rsid w:val="00D93C28"/>
    <w:pPr>
      <w:spacing w:after="160" w:line="259" w:lineRule="auto"/>
    </w:pPr>
    <w:rPr>
      <w:rFonts w:ascii="Calibri" w:eastAsia="Calibri" w:hAnsi="Calibri" w:cs="Times New Roman"/>
      <w:sz w:val="20"/>
      <w:szCs w:val="20"/>
      <w:lang w:val="es-ES"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f Car,Car Car"/>
    <w:basedOn w:val="Fuentedeprrafopredeter"/>
    <w:link w:val="Textonotapie"/>
    <w:uiPriority w:val="99"/>
    <w:qFormat/>
    <w:rsid w:val="00D93C28"/>
    <w:rPr>
      <w:rFonts w:ascii="Calibri" w:eastAsia="Calibri" w:hAnsi="Calibri" w:cs="Times New Roman"/>
      <w:sz w:val="20"/>
      <w:szCs w:val="20"/>
      <w:lang w:val="es-ES" w:eastAsia="en-US"/>
    </w:rPr>
  </w:style>
  <w:style w:type="character" w:styleId="Refdenotaalpie">
    <w:name w:val="footnote reference"/>
    <w:aliases w:val="Ref,de nota al pie,FC,Appel note de bas de p,Ref. de nota al pie 2,Texto de nota al pie,Pie de Página,Texto de nota al p,Pie de Pàgina,F,Pie de P_gin,Pie de P_,Pie de P_g,Texto de nota al pi,Footnotes refss,Appel note de bas de page"/>
    <w:link w:val="Notadepie"/>
    <w:uiPriority w:val="99"/>
    <w:unhideWhenUsed/>
    <w:qFormat/>
    <w:rsid w:val="00D93C28"/>
    <w:rPr>
      <w:vertAlign w:val="superscript"/>
    </w:rPr>
  </w:style>
  <w:style w:type="paragraph" w:styleId="Prrafodelista">
    <w:name w:val="List Paragraph"/>
    <w:basedOn w:val="Normal"/>
    <w:uiPriority w:val="34"/>
    <w:qFormat/>
    <w:rsid w:val="00D93C28"/>
    <w:pPr>
      <w:spacing w:after="160" w:line="259" w:lineRule="auto"/>
      <w:ind w:left="708"/>
    </w:pPr>
    <w:rPr>
      <w:rFonts w:ascii="Calibri" w:eastAsia="Calibri" w:hAnsi="Calibri" w:cs="Times New Roman"/>
      <w:lang w:val="es-ES" w:eastAsia="en-US"/>
    </w:rPr>
  </w:style>
  <w:style w:type="paragraph" w:styleId="Textoindependiente">
    <w:name w:val="Body Text"/>
    <w:basedOn w:val="Normal"/>
    <w:link w:val="TextoindependienteCar"/>
    <w:rsid w:val="008061F0"/>
    <w:pPr>
      <w:spacing w:line="360" w:lineRule="auto"/>
      <w:jc w:val="both"/>
    </w:pPr>
    <w:rPr>
      <w:rFonts w:ascii="Century Gothic" w:eastAsia="Times New Roman" w:hAnsi="Century Gothic" w:cs="Times New Roman"/>
      <w:sz w:val="28"/>
      <w:szCs w:val="20"/>
      <w:lang w:val="es-ES" w:eastAsia="es-ES"/>
    </w:rPr>
  </w:style>
  <w:style w:type="character" w:customStyle="1" w:styleId="TextoindependienteCar">
    <w:name w:val="Texto independiente Car"/>
    <w:basedOn w:val="Fuentedeprrafopredeter"/>
    <w:link w:val="Textoindependiente"/>
    <w:rsid w:val="008061F0"/>
    <w:rPr>
      <w:rFonts w:ascii="Century Gothic" w:eastAsia="Times New Roman" w:hAnsi="Century Gothic" w:cs="Times New Roman"/>
      <w:sz w:val="28"/>
      <w:szCs w:val="20"/>
      <w:lang w:val="es-ES" w:eastAsia="es-ES"/>
    </w:rPr>
  </w:style>
  <w:style w:type="paragraph" w:styleId="Encabezado">
    <w:name w:val="header"/>
    <w:basedOn w:val="Normal"/>
    <w:link w:val="EncabezadoCar"/>
    <w:uiPriority w:val="99"/>
    <w:unhideWhenUsed/>
    <w:rsid w:val="008061F0"/>
    <w:pPr>
      <w:tabs>
        <w:tab w:val="center" w:pos="4252"/>
        <w:tab w:val="right" w:pos="8504"/>
      </w:tabs>
      <w:spacing w:line="240" w:lineRule="auto"/>
    </w:pPr>
    <w:rPr>
      <w:rFonts w:ascii="Calibri" w:eastAsia="Calibri" w:hAnsi="Calibri" w:cs="Times New Roman"/>
      <w:lang w:val="es-ES" w:eastAsia="en-US"/>
    </w:rPr>
  </w:style>
  <w:style w:type="character" w:customStyle="1" w:styleId="EncabezadoCar">
    <w:name w:val="Encabezado Car"/>
    <w:basedOn w:val="Fuentedeprrafopredeter"/>
    <w:link w:val="Encabezado"/>
    <w:uiPriority w:val="99"/>
    <w:rsid w:val="008061F0"/>
    <w:rPr>
      <w:rFonts w:ascii="Calibri" w:eastAsia="Calibri" w:hAnsi="Calibri" w:cs="Times New Roman"/>
      <w:lang w:val="es-ES" w:eastAsia="en-US"/>
    </w:rPr>
  </w:style>
  <w:style w:type="paragraph" w:customStyle="1" w:styleId="Notadepie">
    <w:name w:val="Nota de pie"/>
    <w:aliases w:val="Pie de pagina"/>
    <w:basedOn w:val="Normal"/>
    <w:link w:val="Refdenotaalpie"/>
    <w:uiPriority w:val="99"/>
    <w:rsid w:val="008061F0"/>
    <w:pPr>
      <w:spacing w:after="160" w:line="240" w:lineRule="exact"/>
    </w:pPr>
    <w:rPr>
      <w:vertAlign w:val="superscript"/>
    </w:rPr>
  </w:style>
  <w:style w:type="character" w:customStyle="1" w:styleId="letra14pt">
    <w:name w:val="letra14pt"/>
    <w:basedOn w:val="Fuentedeprrafopredeter"/>
    <w:rsid w:val="009C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20328">
      <w:bodyDiv w:val="1"/>
      <w:marLeft w:val="0"/>
      <w:marRight w:val="0"/>
      <w:marTop w:val="0"/>
      <w:marBottom w:val="0"/>
      <w:divBdr>
        <w:top w:val="none" w:sz="0" w:space="0" w:color="auto"/>
        <w:left w:val="none" w:sz="0" w:space="0" w:color="auto"/>
        <w:bottom w:val="none" w:sz="0" w:space="0" w:color="auto"/>
        <w:right w:val="none" w:sz="0" w:space="0" w:color="auto"/>
      </w:divBdr>
    </w:div>
    <w:div w:id="1245725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45BA-0E7D-4E17-BBA4-DBD917694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57E10-75F9-4811-AB7D-D39D50116B18}">
  <ds:schemaRefs>
    <ds:schemaRef ds:uri="http://schemas.microsoft.com/sharepoint/v3/contenttype/forms"/>
  </ds:schemaRefs>
</ds:datastoreItem>
</file>

<file path=customXml/itemProps3.xml><?xml version="1.0" encoding="utf-8"?>
<ds:datastoreItem xmlns:ds="http://schemas.openxmlformats.org/officeDocument/2006/customXml" ds:itemID="{159398BD-0628-4833-BAC8-B22D1F570A43}">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4.xml><?xml version="1.0" encoding="utf-8"?>
<ds:datastoreItem xmlns:ds="http://schemas.openxmlformats.org/officeDocument/2006/customXml" ds:itemID="{E2D447F5-FB4A-4166-981A-9D62D9C7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1799</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samsung</cp:lastModifiedBy>
  <cp:revision>6</cp:revision>
  <dcterms:created xsi:type="dcterms:W3CDTF">2023-08-08T16:41:00Z</dcterms:created>
  <dcterms:modified xsi:type="dcterms:W3CDTF">2023-09-18T14:00:00Z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