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6019A" w14:textId="38DBD93A" w:rsidR="0045461C" w:rsidRPr="001F20AD" w:rsidRDefault="001F20AD" w:rsidP="0045461C">
      <w:pPr>
        <w:spacing w:line="240" w:lineRule="auto"/>
        <w:jc w:val="both"/>
        <w:rPr>
          <w:rFonts w:eastAsia="Calibri"/>
          <w:b/>
          <w:noProof/>
          <w:sz w:val="20"/>
          <w:lang w:val="es-CO" w:eastAsia="en-US"/>
        </w:rPr>
      </w:pPr>
      <w:r>
        <w:rPr>
          <w:rFonts w:eastAsia="Calibri"/>
          <w:b/>
          <w:noProof/>
          <w:sz w:val="20"/>
          <w:lang w:val="es-CO" w:eastAsia="en-US"/>
        </w:rPr>
        <w:t>EJECUTIVO / CONTROL DE LEGALIDAD DEL TÍTULO EJECUTIVO</w:t>
      </w:r>
    </w:p>
    <w:p w14:paraId="4775E17D" w14:textId="3583FB87" w:rsidR="0045461C" w:rsidRDefault="0045461C" w:rsidP="0045461C">
      <w:pPr>
        <w:spacing w:line="240" w:lineRule="auto"/>
        <w:jc w:val="both"/>
        <w:rPr>
          <w:rFonts w:eastAsia="Calibri"/>
          <w:noProof/>
          <w:sz w:val="20"/>
          <w:lang w:val="es-CO" w:eastAsia="en-US"/>
        </w:rPr>
      </w:pPr>
      <w:r>
        <w:rPr>
          <w:rFonts w:eastAsia="Calibri"/>
          <w:noProof/>
          <w:sz w:val="20"/>
          <w:lang w:val="es-CO" w:eastAsia="en-US"/>
        </w:rPr>
        <w:t xml:space="preserve">… </w:t>
      </w:r>
      <w:r w:rsidRPr="0045461C">
        <w:rPr>
          <w:rFonts w:eastAsia="Calibri"/>
          <w:noProof/>
          <w:sz w:val="20"/>
          <w:lang w:val="es-CO" w:eastAsia="en-US"/>
        </w:rPr>
        <w:t>sobre el deber del juez de revisar el título ejecutivo al momento de proferir la orden de seguir adelante la ejecución, no obstante la previsión del artículo 430 del CGP, tiene señalado también la Corte que:</w:t>
      </w:r>
      <w:r w:rsidR="001F20AD">
        <w:rPr>
          <w:rFonts w:eastAsia="Calibri"/>
          <w:noProof/>
          <w:sz w:val="20"/>
          <w:lang w:val="es-CO" w:eastAsia="en-US"/>
        </w:rPr>
        <w:t xml:space="preserve"> </w:t>
      </w:r>
      <w:r w:rsidR="001F20AD" w:rsidRPr="001F20AD">
        <w:rPr>
          <w:rFonts w:eastAsia="Calibri"/>
          <w:noProof/>
          <w:sz w:val="20"/>
          <w:lang w:val="es-CO" w:eastAsia="en-US"/>
        </w:rPr>
        <w:t>“De ese modo las cosas, todo juzgador, no cabe duda, está habilitado para volver a estudiar, incluso ex officio y sin límite en cuanto atañe con ese preciso tópico, el título que se presenta como soporte del recaudo, pues tal proceder ha de adelantarlo tanto al analizar, por vía de impugnación, la orden de apremio impartida cuando la misma es de ese modo rebatida, como también a la hora de emitir el fallo con que finiquite lo atañedero con ese escrutinio judicial, en tanto que ese es el primer aspecto relativamente al cual se ha de pronunciar la jurisdicción, ya sea a través del juez a quo, ora por el ad quem”.</w:t>
      </w:r>
    </w:p>
    <w:p w14:paraId="04567D7F" w14:textId="05192CEF" w:rsidR="0045461C" w:rsidRDefault="0045461C" w:rsidP="0045461C">
      <w:pPr>
        <w:spacing w:line="240" w:lineRule="auto"/>
        <w:jc w:val="both"/>
        <w:rPr>
          <w:rFonts w:eastAsia="Calibri"/>
          <w:noProof/>
          <w:sz w:val="20"/>
          <w:lang w:val="es-CO" w:eastAsia="en-US"/>
        </w:rPr>
      </w:pPr>
    </w:p>
    <w:p w14:paraId="68C8414C" w14:textId="37E1558F" w:rsidR="00031696" w:rsidRPr="001F20AD" w:rsidRDefault="00031696" w:rsidP="00031696">
      <w:pPr>
        <w:spacing w:line="240" w:lineRule="auto"/>
        <w:jc w:val="both"/>
        <w:rPr>
          <w:rFonts w:eastAsia="Calibri"/>
          <w:b/>
          <w:noProof/>
          <w:sz w:val="20"/>
          <w:lang w:val="es-CO" w:eastAsia="en-US"/>
        </w:rPr>
      </w:pPr>
      <w:r>
        <w:rPr>
          <w:rFonts w:eastAsia="Calibri"/>
          <w:b/>
          <w:noProof/>
          <w:sz w:val="20"/>
          <w:lang w:val="es-CO" w:eastAsia="en-US"/>
        </w:rPr>
        <w:t>EJECUTIVO / FACTURA DE VENTA / REQUISITOS GENERALES Y ESPECÍFICOS</w:t>
      </w:r>
    </w:p>
    <w:p w14:paraId="31DD7E5A" w14:textId="4B1B3811" w:rsidR="0045461C" w:rsidRPr="00971B10" w:rsidRDefault="00971B10" w:rsidP="00971B10">
      <w:pPr>
        <w:spacing w:line="240" w:lineRule="auto"/>
        <w:jc w:val="both"/>
        <w:rPr>
          <w:rFonts w:eastAsia="Calibri"/>
          <w:noProof/>
          <w:sz w:val="20"/>
          <w:lang w:val="es-CO" w:eastAsia="en-US"/>
        </w:rPr>
      </w:pPr>
      <w:r>
        <w:rPr>
          <w:rFonts w:eastAsia="Calibri"/>
          <w:noProof/>
          <w:sz w:val="20"/>
          <w:lang w:val="es-CO" w:eastAsia="en-US"/>
        </w:rPr>
        <w:t xml:space="preserve">… </w:t>
      </w:r>
      <w:r w:rsidRPr="00971B10">
        <w:rPr>
          <w:rFonts w:eastAsia="Calibri"/>
          <w:noProof/>
          <w:sz w:val="20"/>
          <w:lang w:val="es-CO" w:eastAsia="en-US"/>
        </w:rPr>
        <w:t>si se trata, como en este caso, de una factura, el artículo 774 del citado Código, modificado por el artículo 3° de la Ley 1231 de 2008, dispuso que:</w:t>
      </w:r>
      <w:r>
        <w:rPr>
          <w:rFonts w:eastAsia="Calibri"/>
          <w:noProof/>
          <w:sz w:val="20"/>
          <w:lang w:val="es-CO" w:eastAsia="en-US"/>
        </w:rPr>
        <w:t xml:space="preserve"> </w:t>
      </w:r>
      <w:r w:rsidRPr="00971B10">
        <w:rPr>
          <w:rFonts w:eastAsia="Calibri"/>
          <w:noProof/>
          <w:sz w:val="20"/>
          <w:lang w:val="es-CO" w:eastAsia="en-US"/>
        </w:rPr>
        <w:t>La factura deberá reunir, además de los requisitos señalados en los artículos 621 del presente Código, y 617 del Estatuto Tributario Nacional o las normas que los modifiquen, adicionen o sustituyan, los siguientes:</w:t>
      </w:r>
      <w:r>
        <w:rPr>
          <w:rFonts w:eastAsia="Calibri"/>
          <w:noProof/>
          <w:sz w:val="20"/>
          <w:lang w:val="es-CO" w:eastAsia="en-US"/>
        </w:rPr>
        <w:t xml:space="preserve"> </w:t>
      </w:r>
      <w:r w:rsidRPr="00971B10">
        <w:rPr>
          <w:rFonts w:eastAsia="Calibri"/>
          <w:noProof/>
          <w:sz w:val="20"/>
          <w:lang w:val="es-CO" w:eastAsia="en-US"/>
        </w:rPr>
        <w:t>1. La fecha de vencimiento, sin perjuicio de lo dispuesto en el artículo 673</w:t>
      </w:r>
      <w:r>
        <w:rPr>
          <w:rFonts w:eastAsia="Calibri"/>
          <w:noProof/>
          <w:sz w:val="20"/>
          <w:lang w:val="es-CO" w:eastAsia="en-US"/>
        </w:rPr>
        <w:t xml:space="preserve">… </w:t>
      </w:r>
      <w:r w:rsidRPr="00971B10">
        <w:rPr>
          <w:rFonts w:eastAsia="Calibri"/>
          <w:noProof/>
          <w:sz w:val="20"/>
          <w:lang w:val="es-CO" w:eastAsia="en-US"/>
        </w:rPr>
        <w:t>2. La fecha de recibo de la factura</w:t>
      </w:r>
      <w:r>
        <w:rPr>
          <w:rFonts w:eastAsia="Calibri"/>
          <w:noProof/>
          <w:sz w:val="20"/>
          <w:lang w:val="es-CO" w:eastAsia="en-US"/>
        </w:rPr>
        <w:t xml:space="preserve">… </w:t>
      </w:r>
      <w:r w:rsidRPr="00971B10">
        <w:rPr>
          <w:rFonts w:eastAsia="Calibri"/>
          <w:noProof/>
          <w:sz w:val="20"/>
          <w:lang w:val="es-CO" w:eastAsia="en-US"/>
        </w:rPr>
        <w:t>3. El emisor vendedor o prestador del servicio, deberá dejar constancia en el original de la factura, del estado de pago del precio o remuneración y las condiciones del pago si fuere el caso</w:t>
      </w:r>
      <w:r w:rsidR="00031696">
        <w:rPr>
          <w:rFonts w:eastAsia="Calibri"/>
          <w:noProof/>
          <w:sz w:val="20"/>
          <w:lang w:val="es-CO" w:eastAsia="en-US"/>
        </w:rPr>
        <w:t xml:space="preserve">… </w:t>
      </w:r>
      <w:r w:rsidRPr="00971B10">
        <w:rPr>
          <w:rFonts w:eastAsia="Calibri"/>
          <w:noProof/>
          <w:sz w:val="20"/>
          <w:lang w:val="es-CO" w:eastAsia="en-US"/>
        </w:rPr>
        <w:t>No tendrá el carácter de título valor la factura que no cumpla con la totalidad de los requisitos legales señalados en el presente artículo.</w:t>
      </w:r>
    </w:p>
    <w:p w14:paraId="696D6BDD" w14:textId="25CFF89E" w:rsidR="0045461C" w:rsidRDefault="0045461C" w:rsidP="0045461C">
      <w:pPr>
        <w:spacing w:line="240" w:lineRule="auto"/>
        <w:jc w:val="both"/>
        <w:rPr>
          <w:rFonts w:eastAsia="Calibri"/>
          <w:noProof/>
          <w:sz w:val="20"/>
          <w:lang w:val="es-CO" w:eastAsia="en-US"/>
        </w:rPr>
      </w:pPr>
    </w:p>
    <w:p w14:paraId="66CE31ED" w14:textId="78902689" w:rsidR="008F06D8" w:rsidRPr="001F20AD" w:rsidRDefault="008F06D8" w:rsidP="008F06D8">
      <w:pPr>
        <w:spacing w:line="240" w:lineRule="auto"/>
        <w:jc w:val="both"/>
        <w:rPr>
          <w:rFonts w:eastAsia="Calibri"/>
          <w:b/>
          <w:noProof/>
          <w:sz w:val="20"/>
          <w:lang w:val="es-CO" w:eastAsia="en-US"/>
        </w:rPr>
      </w:pPr>
      <w:r>
        <w:rPr>
          <w:rFonts w:eastAsia="Calibri"/>
          <w:b/>
          <w:noProof/>
          <w:sz w:val="20"/>
          <w:lang w:val="es-CO" w:eastAsia="en-US"/>
        </w:rPr>
        <w:t>EJECUTIVO / VALORACIÓN PROBATORIA</w:t>
      </w:r>
    </w:p>
    <w:p w14:paraId="36819E7D" w14:textId="30FA9B6C" w:rsidR="0045461C" w:rsidRPr="00BF395D" w:rsidRDefault="00BF395D" w:rsidP="00BF395D">
      <w:pPr>
        <w:spacing w:line="240" w:lineRule="auto"/>
        <w:jc w:val="both"/>
        <w:rPr>
          <w:rFonts w:eastAsia="Calibri"/>
          <w:noProof/>
          <w:sz w:val="20"/>
          <w:lang w:val="es-CO" w:eastAsia="en-US"/>
        </w:rPr>
      </w:pPr>
      <w:r>
        <w:rPr>
          <w:rFonts w:eastAsia="Calibri"/>
          <w:noProof/>
          <w:sz w:val="20"/>
          <w:lang w:val="es-CO" w:eastAsia="en-US"/>
        </w:rPr>
        <w:t xml:space="preserve">… </w:t>
      </w:r>
      <w:r w:rsidRPr="00BF395D">
        <w:rPr>
          <w:rFonts w:eastAsia="Calibri"/>
          <w:noProof/>
          <w:sz w:val="20"/>
          <w:lang w:val="es-CO" w:eastAsia="en-US"/>
        </w:rPr>
        <w:t>sobre los requisitos que el título debe contener, concluyó, a la luz de los artículos 621 y 671 del C. de Comercio y la Ley 1231 de 2008, que, para el caso, la factura carece de los siguientes: la descripción específica del servicio prestado, en particular, porque se alude a una obra única, cuando el contrato había sufrido modificaciones y avances de obra, así que se desconoce con exactitud “la ejecución del contrato a cobrar”; el pago se estipuló de acuerdo con el avance de obra, además de adjuntar los comprobantes de pago de obligaciones laborales y de seguridad social y FIC y las actas de las obras, sin que exista constancia de que se aportaron con la factura; no se indicó si el vendedor es agente retenedor del impuesto sobre las ventas, como exige el estatuto tributario; tampoco se expidió en original y dos copias, como ordena el artículo 1 de la ley 1231 de 2008.</w:t>
      </w:r>
    </w:p>
    <w:p w14:paraId="653F1AEF" w14:textId="77777777" w:rsidR="0045461C" w:rsidRPr="0045461C" w:rsidRDefault="0045461C" w:rsidP="0045461C">
      <w:pPr>
        <w:spacing w:line="240" w:lineRule="auto"/>
        <w:jc w:val="both"/>
        <w:rPr>
          <w:rFonts w:eastAsia="Calibri"/>
          <w:noProof/>
          <w:sz w:val="20"/>
          <w:lang w:val="es-CO" w:eastAsia="en-US"/>
        </w:rPr>
      </w:pPr>
    </w:p>
    <w:p w14:paraId="28A5A3EC" w14:textId="77777777" w:rsidR="0045461C" w:rsidRPr="0045461C" w:rsidRDefault="0045461C" w:rsidP="0045461C">
      <w:pPr>
        <w:spacing w:line="240" w:lineRule="auto"/>
        <w:jc w:val="both"/>
        <w:rPr>
          <w:rFonts w:eastAsia="Calibri"/>
          <w:noProof/>
          <w:sz w:val="20"/>
          <w:lang w:val="es-CO" w:eastAsia="en-US"/>
        </w:rPr>
      </w:pPr>
    </w:p>
    <w:p w14:paraId="515D6B7A" w14:textId="77777777" w:rsidR="0045461C" w:rsidRPr="0045461C" w:rsidRDefault="0045461C" w:rsidP="0045461C">
      <w:pPr>
        <w:spacing w:line="240" w:lineRule="auto"/>
        <w:jc w:val="both"/>
        <w:rPr>
          <w:rFonts w:eastAsia="Calibri"/>
          <w:noProof/>
          <w:sz w:val="20"/>
          <w:lang w:val="es-CO" w:eastAsia="en-US"/>
        </w:rPr>
      </w:pPr>
    </w:p>
    <w:p w14:paraId="118694D9" w14:textId="751F92B2" w:rsidR="0079239A" w:rsidRPr="00E37B99" w:rsidRDefault="0079239A" w:rsidP="0079239A">
      <w:pPr>
        <w:spacing w:line="240" w:lineRule="auto"/>
        <w:jc w:val="center"/>
        <w:rPr>
          <w:rFonts w:ascii="Bookman Old Style" w:eastAsia="Calibri" w:hAnsi="Bookman Old Style" w:cs="Times New Roman"/>
          <w:b/>
          <w:noProof/>
          <w:lang w:val="es-CO" w:eastAsia="en-US"/>
        </w:rPr>
      </w:pPr>
      <w:r w:rsidRPr="00E37B99">
        <w:rPr>
          <w:rFonts w:ascii="Calibri" w:eastAsia="Calibri" w:hAnsi="Calibri" w:cs="Times New Roman"/>
          <w:noProof/>
          <w:lang w:val="en-US" w:eastAsia="en-US"/>
        </w:rPr>
        <w:drawing>
          <wp:inline distT="0" distB="0" distL="0" distR="0" wp14:anchorId="7889D4C4" wp14:editId="5AB4680D">
            <wp:extent cx="1162050" cy="5905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590550"/>
                    </a:xfrm>
                    <a:prstGeom prst="rect">
                      <a:avLst/>
                    </a:prstGeom>
                    <a:noFill/>
                    <a:ln>
                      <a:noFill/>
                    </a:ln>
                  </pic:spPr>
                </pic:pic>
              </a:graphicData>
            </a:graphic>
          </wp:inline>
        </w:drawing>
      </w:r>
    </w:p>
    <w:p w14:paraId="73091196" w14:textId="77777777" w:rsidR="0079239A" w:rsidRPr="00E37B99" w:rsidRDefault="0079239A" w:rsidP="0079239A">
      <w:pPr>
        <w:tabs>
          <w:tab w:val="center" w:pos="4419"/>
          <w:tab w:val="right" w:pos="8838"/>
        </w:tabs>
        <w:jc w:val="center"/>
        <w:rPr>
          <w:rFonts w:ascii="Gadugi" w:eastAsia="Calibri" w:hAnsi="Gadugi" w:cs="Times New Roman"/>
          <w:b/>
          <w:noProof/>
          <w:sz w:val="24"/>
          <w:szCs w:val="24"/>
          <w:lang w:val="es-CO" w:eastAsia="en-US"/>
        </w:rPr>
      </w:pPr>
      <w:r w:rsidRPr="00E37B99">
        <w:rPr>
          <w:rFonts w:ascii="Gadugi" w:eastAsia="Calibri" w:hAnsi="Gadugi" w:cs="Times New Roman"/>
          <w:b/>
          <w:noProof/>
          <w:sz w:val="24"/>
          <w:szCs w:val="24"/>
          <w:lang w:val="es-CO" w:eastAsia="en-US"/>
        </w:rPr>
        <w:t>TRIBUNAL SUPERIOR DEL DISTRITO JUDICIAL</w:t>
      </w:r>
    </w:p>
    <w:p w14:paraId="3DF48FA5" w14:textId="77777777" w:rsidR="0079239A" w:rsidRPr="00E37B99" w:rsidRDefault="0079239A" w:rsidP="0079239A">
      <w:pPr>
        <w:tabs>
          <w:tab w:val="center" w:pos="4419"/>
          <w:tab w:val="right" w:pos="8838"/>
        </w:tabs>
        <w:jc w:val="center"/>
        <w:rPr>
          <w:rFonts w:ascii="Gadugi" w:eastAsia="Calibri" w:hAnsi="Gadugi" w:cs="Times New Roman"/>
          <w:b/>
          <w:sz w:val="24"/>
          <w:szCs w:val="24"/>
          <w:lang w:val="es-CO" w:eastAsia="en-US"/>
        </w:rPr>
      </w:pPr>
      <w:r w:rsidRPr="00E37B99">
        <w:rPr>
          <w:rFonts w:ascii="Gadugi" w:eastAsia="Calibri" w:hAnsi="Gadugi" w:cs="Times New Roman"/>
          <w:b/>
          <w:sz w:val="24"/>
          <w:szCs w:val="24"/>
          <w:lang w:val="es-CO" w:eastAsia="en-US"/>
        </w:rPr>
        <w:t>PEREIRA</w:t>
      </w:r>
    </w:p>
    <w:p w14:paraId="6A3772FF" w14:textId="77777777" w:rsidR="0079239A" w:rsidRPr="00E37B99" w:rsidRDefault="0079239A" w:rsidP="0079239A">
      <w:pPr>
        <w:tabs>
          <w:tab w:val="center" w:pos="4419"/>
          <w:tab w:val="right" w:pos="8838"/>
        </w:tabs>
        <w:jc w:val="center"/>
        <w:rPr>
          <w:rFonts w:ascii="Gadugi" w:eastAsia="Calibri" w:hAnsi="Gadugi" w:cs="Times New Roman"/>
          <w:b/>
          <w:sz w:val="24"/>
          <w:szCs w:val="24"/>
          <w:lang w:val="es-CO" w:eastAsia="en-US"/>
        </w:rPr>
      </w:pPr>
      <w:r w:rsidRPr="00E37B99">
        <w:rPr>
          <w:rFonts w:ascii="Gadugi" w:eastAsia="Calibri" w:hAnsi="Gadugi" w:cs="Times New Roman"/>
          <w:b/>
          <w:sz w:val="24"/>
          <w:szCs w:val="24"/>
          <w:lang w:val="es-CO" w:eastAsia="en-US"/>
        </w:rPr>
        <w:t>SALA CIVIL-FAMILIA</w:t>
      </w:r>
    </w:p>
    <w:p w14:paraId="6C439A78" w14:textId="70FD3ABB" w:rsidR="0079239A" w:rsidRPr="00E37B99" w:rsidRDefault="0079239A" w:rsidP="0079239A">
      <w:pPr>
        <w:tabs>
          <w:tab w:val="left" w:pos="3261"/>
        </w:tabs>
        <w:jc w:val="both"/>
        <w:rPr>
          <w:rFonts w:ascii="Gadugi" w:eastAsia="Georgia" w:hAnsi="Gadugi" w:cs="Georgia"/>
          <w:b/>
          <w:sz w:val="24"/>
          <w:szCs w:val="24"/>
        </w:rPr>
      </w:pPr>
    </w:p>
    <w:p w14:paraId="51398267" w14:textId="3DEFB232" w:rsidR="004577A5" w:rsidRPr="000A682B" w:rsidRDefault="004577A5" w:rsidP="000A682B">
      <w:pPr>
        <w:keepNext/>
        <w:pBdr>
          <w:top w:val="nil"/>
          <w:left w:val="nil"/>
          <w:bottom w:val="nil"/>
          <w:right w:val="nil"/>
          <w:between w:val="nil"/>
        </w:pBdr>
        <w:tabs>
          <w:tab w:val="left" w:pos="3261"/>
        </w:tabs>
        <w:jc w:val="center"/>
        <w:rPr>
          <w:rFonts w:ascii="Gadugi" w:eastAsia="Georgia" w:hAnsi="Gadugi" w:cs="Georgia"/>
          <w:b/>
          <w:sz w:val="24"/>
          <w:szCs w:val="24"/>
        </w:rPr>
      </w:pPr>
      <w:r w:rsidRPr="000A682B">
        <w:rPr>
          <w:rFonts w:ascii="Gadugi" w:eastAsia="Georgia" w:hAnsi="Gadugi" w:cs="Georgia"/>
          <w:b/>
          <w:sz w:val="24"/>
          <w:szCs w:val="24"/>
        </w:rPr>
        <w:t>SC-</w:t>
      </w:r>
      <w:r w:rsidR="006C7FD0" w:rsidRPr="000A682B">
        <w:rPr>
          <w:rFonts w:ascii="Gadugi" w:eastAsia="Georgia" w:hAnsi="Gadugi" w:cs="Georgia"/>
          <w:b/>
          <w:sz w:val="24"/>
          <w:szCs w:val="24"/>
        </w:rPr>
        <w:t>0030-2023</w:t>
      </w:r>
    </w:p>
    <w:p w14:paraId="264C93F8" w14:textId="77777777" w:rsidR="004577A5" w:rsidRPr="000A682B" w:rsidRDefault="004577A5" w:rsidP="000A682B">
      <w:pPr>
        <w:tabs>
          <w:tab w:val="left" w:pos="3261"/>
        </w:tabs>
        <w:ind w:firstLine="1701"/>
        <w:jc w:val="both"/>
        <w:rPr>
          <w:rFonts w:ascii="Gadugi" w:eastAsia="Georgia" w:hAnsi="Gadugi" w:cs="Georgia"/>
          <w:b/>
          <w:sz w:val="24"/>
          <w:szCs w:val="24"/>
        </w:rPr>
      </w:pPr>
    </w:p>
    <w:p w14:paraId="62D54FCF" w14:textId="77777777" w:rsidR="004577A5" w:rsidRPr="000A682B" w:rsidRDefault="004577A5" w:rsidP="000A682B">
      <w:pPr>
        <w:tabs>
          <w:tab w:val="left" w:pos="3261"/>
        </w:tabs>
        <w:ind w:firstLine="1701"/>
        <w:jc w:val="both"/>
        <w:rPr>
          <w:rFonts w:ascii="Gadugi" w:eastAsia="Georgia" w:hAnsi="Gadugi" w:cs="Georgia"/>
          <w:b/>
          <w:sz w:val="24"/>
          <w:szCs w:val="24"/>
        </w:rPr>
      </w:pPr>
    </w:p>
    <w:p w14:paraId="2C639350" w14:textId="38875780" w:rsidR="004577A5" w:rsidRPr="000A682B" w:rsidRDefault="004577A5" w:rsidP="000A682B">
      <w:pPr>
        <w:tabs>
          <w:tab w:val="left" w:pos="3686"/>
          <w:tab w:val="left" w:pos="4536"/>
        </w:tabs>
        <w:spacing w:line="240" w:lineRule="auto"/>
        <w:ind w:firstLine="1701"/>
        <w:jc w:val="both"/>
        <w:rPr>
          <w:rFonts w:ascii="Gadugi" w:eastAsia="Georgia" w:hAnsi="Gadugi" w:cs="Georgia"/>
          <w:sz w:val="24"/>
          <w:szCs w:val="24"/>
        </w:rPr>
      </w:pPr>
      <w:r w:rsidRPr="000A682B">
        <w:rPr>
          <w:rFonts w:ascii="Gadugi" w:eastAsia="Georgia" w:hAnsi="Gadugi" w:cs="Georgia"/>
          <w:sz w:val="24"/>
          <w:szCs w:val="24"/>
        </w:rPr>
        <w:t>Magistrado</w:t>
      </w:r>
      <w:r w:rsidR="00BD70E6">
        <w:rPr>
          <w:rFonts w:ascii="Gadugi" w:eastAsia="Georgia" w:hAnsi="Gadugi" w:cs="Georgia"/>
          <w:sz w:val="24"/>
          <w:szCs w:val="24"/>
        </w:rPr>
        <w:t xml:space="preserve"> Ponente</w:t>
      </w:r>
      <w:r w:rsidRPr="000A682B">
        <w:rPr>
          <w:rFonts w:ascii="Gadugi" w:eastAsia="Georgia" w:hAnsi="Gadugi" w:cs="Georgia"/>
          <w:sz w:val="24"/>
          <w:szCs w:val="24"/>
        </w:rPr>
        <w:t>:</w:t>
      </w:r>
      <w:r w:rsidR="007C382F">
        <w:rPr>
          <w:rFonts w:ascii="Gadugi" w:eastAsia="Georgia" w:hAnsi="Gadugi" w:cs="Georgia"/>
          <w:sz w:val="24"/>
          <w:szCs w:val="24"/>
        </w:rPr>
        <w:t xml:space="preserve"> </w:t>
      </w:r>
      <w:r w:rsidRPr="000A682B">
        <w:rPr>
          <w:rFonts w:ascii="Gadugi" w:eastAsia="Georgia" w:hAnsi="Gadugi" w:cs="Georgia"/>
          <w:sz w:val="24"/>
          <w:szCs w:val="24"/>
        </w:rPr>
        <w:t>Jaime Alberto Saraza Naranjo</w:t>
      </w:r>
    </w:p>
    <w:p w14:paraId="0317391C" w14:textId="7CAC43BF" w:rsidR="004577A5" w:rsidRPr="000A682B" w:rsidRDefault="004577A5" w:rsidP="000A682B">
      <w:pPr>
        <w:tabs>
          <w:tab w:val="left" w:pos="3686"/>
          <w:tab w:val="left" w:pos="4536"/>
        </w:tabs>
        <w:spacing w:line="240" w:lineRule="auto"/>
        <w:ind w:firstLine="1701"/>
        <w:jc w:val="both"/>
        <w:rPr>
          <w:rFonts w:ascii="Gadugi" w:eastAsia="Georgia" w:hAnsi="Gadugi" w:cs="Georgia"/>
          <w:sz w:val="24"/>
          <w:szCs w:val="24"/>
        </w:rPr>
      </w:pPr>
      <w:r w:rsidRPr="000A682B">
        <w:rPr>
          <w:rFonts w:ascii="Gadugi" w:eastAsia="Georgia" w:hAnsi="Gadugi" w:cs="Georgia"/>
          <w:sz w:val="24"/>
          <w:szCs w:val="24"/>
        </w:rPr>
        <w:t xml:space="preserve">Pereira, </w:t>
      </w:r>
      <w:r w:rsidR="006C7FD0" w:rsidRPr="000A682B">
        <w:rPr>
          <w:rFonts w:ascii="Gadugi" w:eastAsia="Georgia" w:hAnsi="Gadugi" w:cs="Georgia"/>
          <w:sz w:val="24"/>
          <w:szCs w:val="24"/>
        </w:rPr>
        <w:t>Julio cuatro de dos mil veintitrés</w:t>
      </w:r>
    </w:p>
    <w:p w14:paraId="2CF6A0DE" w14:textId="23685131" w:rsidR="004577A5" w:rsidRPr="000A682B" w:rsidRDefault="004577A5" w:rsidP="000A682B">
      <w:pPr>
        <w:tabs>
          <w:tab w:val="left" w:pos="3686"/>
          <w:tab w:val="left" w:pos="4536"/>
        </w:tabs>
        <w:spacing w:line="240" w:lineRule="auto"/>
        <w:ind w:firstLine="1701"/>
        <w:jc w:val="both"/>
        <w:rPr>
          <w:rFonts w:ascii="Gadugi" w:eastAsia="Georgia" w:hAnsi="Gadugi" w:cs="Georgia"/>
          <w:sz w:val="24"/>
          <w:szCs w:val="24"/>
        </w:rPr>
      </w:pPr>
      <w:r w:rsidRPr="000A682B">
        <w:rPr>
          <w:rFonts w:ascii="Gadugi" w:eastAsia="Georgia" w:hAnsi="Gadugi" w:cs="Georgia"/>
          <w:sz w:val="24"/>
          <w:szCs w:val="24"/>
        </w:rPr>
        <w:t xml:space="preserve">Expediente: </w:t>
      </w:r>
      <w:r w:rsidRPr="000A682B">
        <w:rPr>
          <w:rFonts w:ascii="Gadugi" w:eastAsia="Georgia" w:hAnsi="Gadugi" w:cs="Georgia"/>
          <w:sz w:val="24"/>
          <w:szCs w:val="24"/>
          <w:highlight w:val="white"/>
        </w:rPr>
        <w:t>66001310300120210001301</w:t>
      </w:r>
    </w:p>
    <w:p w14:paraId="0C863940" w14:textId="14075590" w:rsidR="004577A5" w:rsidRPr="000A682B" w:rsidRDefault="004577A5" w:rsidP="000A682B">
      <w:pPr>
        <w:tabs>
          <w:tab w:val="left" w:pos="3686"/>
          <w:tab w:val="left" w:pos="4536"/>
        </w:tabs>
        <w:spacing w:line="240" w:lineRule="auto"/>
        <w:ind w:firstLine="1701"/>
        <w:jc w:val="both"/>
        <w:rPr>
          <w:rFonts w:ascii="Gadugi" w:eastAsia="Georgia" w:hAnsi="Gadugi" w:cs="Georgia"/>
          <w:sz w:val="24"/>
          <w:szCs w:val="24"/>
        </w:rPr>
      </w:pPr>
      <w:r w:rsidRPr="000A682B">
        <w:rPr>
          <w:rFonts w:ascii="Gadugi" w:eastAsia="Georgia" w:hAnsi="Gadugi" w:cs="Georgia"/>
          <w:sz w:val="24"/>
          <w:szCs w:val="24"/>
        </w:rPr>
        <w:t>Proceso: Ejecutivo Singular Mayor Cuantía</w:t>
      </w:r>
    </w:p>
    <w:p w14:paraId="144EF324" w14:textId="43CD2003" w:rsidR="004577A5" w:rsidRPr="000A682B" w:rsidRDefault="004577A5" w:rsidP="000A682B">
      <w:pPr>
        <w:tabs>
          <w:tab w:val="left" w:pos="3686"/>
          <w:tab w:val="left" w:pos="4536"/>
        </w:tabs>
        <w:spacing w:line="240" w:lineRule="auto"/>
        <w:ind w:firstLine="1701"/>
        <w:rPr>
          <w:rFonts w:ascii="Gadugi" w:eastAsia="Georgia" w:hAnsi="Gadugi" w:cs="Georgia"/>
          <w:sz w:val="24"/>
          <w:szCs w:val="24"/>
        </w:rPr>
      </w:pPr>
      <w:r w:rsidRPr="000A682B">
        <w:rPr>
          <w:rFonts w:ascii="Gadugi" w:eastAsia="Georgia" w:hAnsi="Gadugi" w:cs="Georgia"/>
          <w:sz w:val="24"/>
          <w:szCs w:val="24"/>
        </w:rPr>
        <w:t>Tema:</w:t>
      </w:r>
      <w:r w:rsidR="007C382F">
        <w:rPr>
          <w:rFonts w:ascii="Gadugi" w:eastAsia="Georgia" w:hAnsi="Gadugi" w:cs="Georgia"/>
          <w:sz w:val="24"/>
          <w:szCs w:val="24"/>
        </w:rPr>
        <w:t xml:space="preserve"> </w:t>
      </w:r>
      <w:r w:rsidRPr="000A682B">
        <w:rPr>
          <w:rFonts w:ascii="Gadugi" w:eastAsia="Georgia" w:hAnsi="Gadugi" w:cs="Georgia"/>
          <w:sz w:val="24"/>
          <w:szCs w:val="24"/>
        </w:rPr>
        <w:t xml:space="preserve">Factura </w:t>
      </w:r>
      <w:r w:rsidR="006418AE">
        <w:rPr>
          <w:rFonts w:ascii="Gadugi" w:eastAsia="Georgia" w:hAnsi="Gadugi" w:cs="Georgia"/>
          <w:sz w:val="24"/>
          <w:szCs w:val="24"/>
        </w:rPr>
        <w:t>–</w:t>
      </w:r>
      <w:r w:rsidRPr="000A682B">
        <w:rPr>
          <w:rFonts w:ascii="Gadugi" w:eastAsia="Georgia" w:hAnsi="Gadugi" w:cs="Georgia"/>
          <w:sz w:val="24"/>
          <w:szCs w:val="24"/>
        </w:rPr>
        <w:t xml:space="preserve"> requisitos</w:t>
      </w:r>
    </w:p>
    <w:p w14:paraId="33D269F8" w14:textId="4BD00373" w:rsidR="004577A5" w:rsidRPr="000A682B" w:rsidRDefault="007C382F" w:rsidP="000A682B">
      <w:pPr>
        <w:tabs>
          <w:tab w:val="left" w:pos="3686"/>
          <w:tab w:val="left" w:pos="4536"/>
        </w:tabs>
        <w:spacing w:line="240" w:lineRule="auto"/>
        <w:ind w:firstLine="1701"/>
        <w:rPr>
          <w:rFonts w:ascii="Gadugi" w:eastAsia="Georgia" w:hAnsi="Gadugi" w:cs="Georgia"/>
          <w:sz w:val="24"/>
          <w:szCs w:val="24"/>
        </w:rPr>
      </w:pPr>
      <w:r>
        <w:rPr>
          <w:rFonts w:ascii="Gadugi" w:eastAsia="Georgia" w:hAnsi="Gadugi" w:cs="Georgia"/>
          <w:sz w:val="24"/>
          <w:szCs w:val="24"/>
        </w:rPr>
        <w:t xml:space="preserve">Demandante: </w:t>
      </w:r>
      <w:r w:rsidR="000A682B">
        <w:rPr>
          <w:rFonts w:ascii="Gadugi" w:eastAsia="Georgia" w:hAnsi="Gadugi" w:cs="Georgia"/>
          <w:sz w:val="24"/>
          <w:szCs w:val="24"/>
          <w:highlight w:val="white"/>
        </w:rPr>
        <w:t xml:space="preserve">Home </w:t>
      </w:r>
      <w:proofErr w:type="spellStart"/>
      <w:r w:rsidR="000A682B">
        <w:rPr>
          <w:rFonts w:ascii="Gadugi" w:eastAsia="Georgia" w:hAnsi="Gadugi" w:cs="Georgia"/>
          <w:sz w:val="24"/>
          <w:szCs w:val="24"/>
          <w:highlight w:val="white"/>
        </w:rPr>
        <w:t>Builders</w:t>
      </w:r>
      <w:proofErr w:type="spellEnd"/>
      <w:r w:rsidR="000A682B">
        <w:rPr>
          <w:rFonts w:ascii="Gadugi" w:eastAsia="Georgia" w:hAnsi="Gadugi" w:cs="Georgia"/>
          <w:sz w:val="24"/>
          <w:szCs w:val="24"/>
          <w:highlight w:val="white"/>
        </w:rPr>
        <w:t xml:space="preserve"> SAS</w:t>
      </w:r>
    </w:p>
    <w:p w14:paraId="2A382A48" w14:textId="2A9FCE5B" w:rsidR="004577A5" w:rsidRPr="000A682B" w:rsidRDefault="004577A5" w:rsidP="000A682B">
      <w:pPr>
        <w:tabs>
          <w:tab w:val="left" w:pos="3686"/>
          <w:tab w:val="left" w:pos="4536"/>
        </w:tabs>
        <w:spacing w:line="240" w:lineRule="auto"/>
        <w:ind w:firstLine="1701"/>
        <w:jc w:val="both"/>
        <w:rPr>
          <w:rFonts w:ascii="Gadugi" w:eastAsia="Georgia" w:hAnsi="Gadugi" w:cs="Georgia"/>
          <w:sz w:val="24"/>
          <w:szCs w:val="24"/>
        </w:rPr>
      </w:pPr>
      <w:r w:rsidRPr="000A682B">
        <w:rPr>
          <w:rFonts w:ascii="Gadugi" w:eastAsia="Georgia" w:hAnsi="Gadugi" w:cs="Georgia"/>
          <w:sz w:val="24"/>
          <w:szCs w:val="24"/>
        </w:rPr>
        <w:t>Demandado:</w:t>
      </w:r>
      <w:r w:rsidR="007C382F">
        <w:rPr>
          <w:rFonts w:ascii="Gadugi" w:eastAsia="Georgia" w:hAnsi="Gadugi" w:cs="Georgia"/>
          <w:sz w:val="24"/>
          <w:szCs w:val="24"/>
        </w:rPr>
        <w:t xml:space="preserve"> </w:t>
      </w:r>
      <w:r w:rsidRPr="000A682B">
        <w:rPr>
          <w:rFonts w:ascii="Gadugi" w:eastAsia="Georgia" w:hAnsi="Gadugi" w:cs="Georgia"/>
          <w:sz w:val="24"/>
          <w:szCs w:val="24"/>
          <w:highlight w:val="white"/>
        </w:rPr>
        <w:t>Fundación La Merced</w:t>
      </w:r>
    </w:p>
    <w:p w14:paraId="47BAE82B" w14:textId="201A5FD3" w:rsidR="004577A5" w:rsidRPr="000A682B" w:rsidRDefault="004577A5" w:rsidP="000A682B">
      <w:pPr>
        <w:tabs>
          <w:tab w:val="left" w:pos="3686"/>
          <w:tab w:val="left" w:pos="4536"/>
        </w:tabs>
        <w:spacing w:line="240" w:lineRule="auto"/>
        <w:ind w:firstLine="1701"/>
        <w:jc w:val="both"/>
        <w:rPr>
          <w:rFonts w:ascii="Gadugi" w:eastAsia="Georgia" w:hAnsi="Gadugi" w:cs="Georgia"/>
          <w:sz w:val="24"/>
          <w:szCs w:val="24"/>
        </w:rPr>
      </w:pPr>
      <w:r w:rsidRPr="000A682B">
        <w:rPr>
          <w:rFonts w:ascii="Gadugi" w:eastAsia="Georgia" w:hAnsi="Gadugi" w:cs="Georgia"/>
          <w:sz w:val="24"/>
          <w:szCs w:val="24"/>
        </w:rPr>
        <w:t xml:space="preserve">Acta Nro. </w:t>
      </w:r>
      <w:r w:rsidR="006C7FD0" w:rsidRPr="000A682B">
        <w:rPr>
          <w:rFonts w:ascii="Gadugi" w:eastAsia="Georgia" w:hAnsi="Gadugi" w:cs="Georgia"/>
          <w:sz w:val="24"/>
          <w:szCs w:val="24"/>
        </w:rPr>
        <w:t>318 del 4 de julio de 2023</w:t>
      </w:r>
      <w:r w:rsidRPr="000A682B">
        <w:rPr>
          <w:rFonts w:ascii="Gadugi" w:eastAsia="Georgia" w:hAnsi="Gadugi" w:cs="Georgia"/>
          <w:sz w:val="24"/>
          <w:szCs w:val="24"/>
        </w:rPr>
        <w:tab/>
      </w:r>
    </w:p>
    <w:p w14:paraId="6869958E" w14:textId="77777777" w:rsidR="004577A5" w:rsidRPr="000A682B" w:rsidRDefault="004577A5" w:rsidP="000A682B">
      <w:pPr>
        <w:tabs>
          <w:tab w:val="left" w:pos="3686"/>
          <w:tab w:val="left" w:pos="4536"/>
        </w:tabs>
        <w:ind w:firstLine="1701"/>
        <w:jc w:val="both"/>
        <w:rPr>
          <w:rFonts w:ascii="Gadugi" w:eastAsia="Georgia" w:hAnsi="Gadugi" w:cs="Georgia"/>
          <w:sz w:val="24"/>
          <w:szCs w:val="24"/>
        </w:rPr>
      </w:pPr>
    </w:p>
    <w:p w14:paraId="359B63EB" w14:textId="77777777" w:rsidR="004577A5" w:rsidRPr="000A682B" w:rsidRDefault="004577A5" w:rsidP="000A682B">
      <w:pPr>
        <w:tabs>
          <w:tab w:val="left" w:pos="3686"/>
          <w:tab w:val="left" w:pos="4536"/>
        </w:tabs>
        <w:ind w:firstLine="1701"/>
        <w:jc w:val="both"/>
        <w:rPr>
          <w:rFonts w:ascii="Gadugi" w:eastAsia="Georgia" w:hAnsi="Gadugi" w:cs="Georgia"/>
          <w:sz w:val="24"/>
          <w:szCs w:val="24"/>
        </w:rPr>
      </w:pPr>
    </w:p>
    <w:p w14:paraId="25550776" w14:textId="77777777" w:rsidR="004577A5" w:rsidRPr="000A682B" w:rsidRDefault="004577A5" w:rsidP="000A682B">
      <w:pPr>
        <w:tabs>
          <w:tab w:val="left" w:pos="3686"/>
          <w:tab w:val="left" w:pos="4536"/>
        </w:tabs>
        <w:jc w:val="both"/>
        <w:rPr>
          <w:rFonts w:ascii="Gadugi" w:eastAsia="Georgia" w:hAnsi="Gadugi" w:cs="Georgia"/>
          <w:b/>
          <w:sz w:val="24"/>
          <w:szCs w:val="24"/>
        </w:rPr>
      </w:pPr>
      <w:r w:rsidRPr="000A682B">
        <w:rPr>
          <w:rFonts w:ascii="Gadugi" w:eastAsia="Georgia" w:hAnsi="Gadugi" w:cs="Georgia"/>
          <w:sz w:val="24"/>
          <w:szCs w:val="24"/>
        </w:rPr>
        <w:lastRenderedPageBreak/>
        <w:t xml:space="preserve">Resuelve la Sala el recurso de apelación interpuesto por la ejecutante contra la sentencia proferida el 8 de marzo de 2022, por el Juzgado Primero Civil del Circuito de Pereira - Risaralda, en este proceso </w:t>
      </w:r>
      <w:r w:rsidRPr="007078F8">
        <w:rPr>
          <w:rFonts w:ascii="Gadugi" w:eastAsia="Georgia" w:hAnsi="Gadugi" w:cs="Georgia"/>
          <w:b/>
          <w:sz w:val="24"/>
          <w:szCs w:val="24"/>
        </w:rPr>
        <w:t>ejecutivo</w:t>
      </w:r>
      <w:r w:rsidRPr="000A682B">
        <w:rPr>
          <w:rFonts w:ascii="Gadugi" w:eastAsia="Georgia" w:hAnsi="Gadugi" w:cs="Georgia"/>
          <w:sz w:val="24"/>
          <w:szCs w:val="24"/>
        </w:rPr>
        <w:t xml:space="preserve"> promovido por </w:t>
      </w:r>
      <w:r w:rsidRPr="000A682B">
        <w:rPr>
          <w:rFonts w:ascii="Gadugi" w:eastAsia="Georgia" w:hAnsi="Gadugi" w:cs="Georgia"/>
          <w:b/>
          <w:sz w:val="24"/>
          <w:szCs w:val="24"/>
          <w:highlight w:val="white"/>
        </w:rPr>
        <w:t xml:space="preserve">Home </w:t>
      </w:r>
      <w:proofErr w:type="spellStart"/>
      <w:r w:rsidRPr="000A682B">
        <w:rPr>
          <w:rFonts w:ascii="Gadugi" w:eastAsia="Georgia" w:hAnsi="Gadugi" w:cs="Georgia"/>
          <w:b/>
          <w:sz w:val="24"/>
          <w:szCs w:val="24"/>
          <w:highlight w:val="white"/>
        </w:rPr>
        <w:t>Builders</w:t>
      </w:r>
      <w:proofErr w:type="spellEnd"/>
      <w:r w:rsidRPr="000A682B">
        <w:rPr>
          <w:rFonts w:ascii="Gadugi" w:eastAsia="Georgia" w:hAnsi="Gadugi" w:cs="Georgia"/>
          <w:b/>
          <w:sz w:val="24"/>
          <w:szCs w:val="24"/>
          <w:highlight w:val="white"/>
        </w:rPr>
        <w:t xml:space="preserve"> SAS</w:t>
      </w:r>
      <w:r w:rsidRPr="000A682B">
        <w:rPr>
          <w:rFonts w:ascii="Gadugi" w:eastAsia="Georgia" w:hAnsi="Gadugi" w:cs="Georgia"/>
          <w:b/>
          <w:sz w:val="24"/>
          <w:szCs w:val="24"/>
        </w:rPr>
        <w:t xml:space="preserve"> </w:t>
      </w:r>
      <w:r w:rsidRPr="000A682B">
        <w:rPr>
          <w:rFonts w:ascii="Gadugi" w:eastAsia="Georgia" w:hAnsi="Gadugi" w:cs="Georgia"/>
          <w:sz w:val="24"/>
          <w:szCs w:val="24"/>
        </w:rPr>
        <w:t xml:space="preserve">frente a la </w:t>
      </w:r>
      <w:r w:rsidRPr="000A682B">
        <w:rPr>
          <w:rFonts w:ascii="Gadugi" w:eastAsia="Georgia" w:hAnsi="Gadugi" w:cs="Georgia"/>
          <w:b/>
          <w:sz w:val="24"/>
          <w:szCs w:val="24"/>
          <w:highlight w:val="white"/>
        </w:rPr>
        <w:t>Fundación LA MERCED</w:t>
      </w:r>
      <w:r w:rsidRPr="000A682B">
        <w:rPr>
          <w:rFonts w:ascii="Gadugi" w:eastAsia="Georgia" w:hAnsi="Gadugi" w:cs="Georgia"/>
          <w:b/>
          <w:sz w:val="24"/>
          <w:szCs w:val="24"/>
        </w:rPr>
        <w:t xml:space="preserve">. </w:t>
      </w:r>
    </w:p>
    <w:p w14:paraId="4A0C1295" w14:textId="77777777" w:rsidR="004577A5" w:rsidRPr="000A682B" w:rsidRDefault="004577A5" w:rsidP="000A682B">
      <w:pPr>
        <w:tabs>
          <w:tab w:val="left" w:pos="3686"/>
          <w:tab w:val="left" w:pos="4536"/>
        </w:tabs>
        <w:ind w:firstLine="1701"/>
        <w:jc w:val="both"/>
        <w:rPr>
          <w:rFonts w:ascii="Gadugi" w:eastAsia="Georgia" w:hAnsi="Gadugi" w:cs="Georgia"/>
          <w:sz w:val="24"/>
          <w:szCs w:val="24"/>
        </w:rPr>
      </w:pPr>
    </w:p>
    <w:p w14:paraId="4C31BA5D" w14:textId="77777777" w:rsidR="004577A5" w:rsidRPr="000A682B" w:rsidRDefault="004577A5" w:rsidP="000A682B">
      <w:pPr>
        <w:numPr>
          <w:ilvl w:val="0"/>
          <w:numId w:val="1"/>
        </w:numPr>
        <w:pBdr>
          <w:top w:val="nil"/>
          <w:left w:val="nil"/>
          <w:bottom w:val="nil"/>
          <w:right w:val="nil"/>
          <w:between w:val="nil"/>
        </w:pBdr>
        <w:tabs>
          <w:tab w:val="left" w:pos="284"/>
          <w:tab w:val="left" w:pos="4536"/>
        </w:tabs>
        <w:ind w:left="0" w:firstLine="0"/>
        <w:rPr>
          <w:rFonts w:ascii="Gadugi" w:eastAsia="Georgia" w:hAnsi="Gadugi" w:cs="Georgia"/>
          <w:b/>
          <w:sz w:val="24"/>
          <w:szCs w:val="24"/>
        </w:rPr>
      </w:pPr>
      <w:r w:rsidRPr="000A682B">
        <w:rPr>
          <w:rFonts w:ascii="Gadugi" w:eastAsia="Georgia" w:hAnsi="Gadugi" w:cs="Georgia"/>
          <w:b/>
          <w:sz w:val="24"/>
          <w:szCs w:val="24"/>
        </w:rPr>
        <w:t>ANTECEDENTES</w:t>
      </w:r>
    </w:p>
    <w:p w14:paraId="2AC772A1" w14:textId="77777777" w:rsidR="004577A5" w:rsidRPr="000A682B" w:rsidRDefault="004577A5" w:rsidP="000A682B">
      <w:pPr>
        <w:tabs>
          <w:tab w:val="left" w:pos="3686"/>
          <w:tab w:val="left" w:pos="4536"/>
        </w:tabs>
        <w:ind w:left="360"/>
        <w:rPr>
          <w:rFonts w:ascii="Gadugi" w:eastAsia="Georgia" w:hAnsi="Gadugi" w:cs="Georgia"/>
          <w:b/>
          <w:sz w:val="24"/>
          <w:szCs w:val="24"/>
        </w:rPr>
      </w:pPr>
    </w:p>
    <w:p w14:paraId="40855318" w14:textId="77777777" w:rsidR="004577A5" w:rsidRPr="000A682B" w:rsidRDefault="004577A5" w:rsidP="000A682B">
      <w:pPr>
        <w:pBdr>
          <w:top w:val="nil"/>
          <w:left w:val="nil"/>
          <w:bottom w:val="nil"/>
          <w:right w:val="nil"/>
          <w:between w:val="nil"/>
        </w:pBdr>
        <w:tabs>
          <w:tab w:val="left" w:pos="3686"/>
          <w:tab w:val="left" w:pos="4536"/>
        </w:tabs>
        <w:rPr>
          <w:rFonts w:ascii="Gadugi" w:eastAsia="Georgia" w:hAnsi="Gadugi" w:cs="Georgia"/>
          <w:b/>
          <w:sz w:val="24"/>
          <w:szCs w:val="24"/>
          <w:u w:val="single"/>
        </w:rPr>
      </w:pPr>
      <w:r w:rsidRPr="000A682B">
        <w:rPr>
          <w:rFonts w:ascii="Gadugi" w:eastAsia="Georgia" w:hAnsi="Gadugi" w:cs="Georgia"/>
          <w:b/>
          <w:sz w:val="24"/>
          <w:szCs w:val="24"/>
        </w:rPr>
        <w:t>1.1.  Hechos</w:t>
      </w:r>
      <w:r w:rsidRPr="000A682B">
        <w:rPr>
          <w:rFonts w:ascii="Gadugi" w:eastAsia="Georgia" w:hAnsi="Gadugi" w:cs="Georgia"/>
          <w:b/>
          <w:sz w:val="24"/>
          <w:szCs w:val="24"/>
          <w:vertAlign w:val="superscript"/>
        </w:rPr>
        <w:footnoteReference w:id="1"/>
      </w:r>
    </w:p>
    <w:p w14:paraId="55D199EE" w14:textId="77777777" w:rsidR="004577A5" w:rsidRPr="000A682B" w:rsidRDefault="004577A5" w:rsidP="000A682B">
      <w:pPr>
        <w:pBdr>
          <w:top w:val="nil"/>
          <w:left w:val="nil"/>
          <w:bottom w:val="nil"/>
          <w:right w:val="nil"/>
          <w:between w:val="nil"/>
        </w:pBdr>
        <w:tabs>
          <w:tab w:val="left" w:pos="3686"/>
          <w:tab w:val="left" w:pos="4536"/>
        </w:tabs>
        <w:rPr>
          <w:rFonts w:ascii="Gadugi" w:eastAsia="Georgia" w:hAnsi="Gadugi" w:cs="Georgia"/>
          <w:sz w:val="24"/>
          <w:szCs w:val="24"/>
        </w:rPr>
      </w:pPr>
    </w:p>
    <w:p w14:paraId="650B33F9" w14:textId="0C320AD1" w:rsidR="004577A5" w:rsidRPr="000A682B" w:rsidRDefault="004577A5" w:rsidP="000A682B">
      <w:pPr>
        <w:pBdr>
          <w:top w:val="nil"/>
          <w:left w:val="nil"/>
          <w:bottom w:val="nil"/>
          <w:right w:val="nil"/>
          <w:between w:val="nil"/>
        </w:pBdr>
        <w:tabs>
          <w:tab w:val="left" w:pos="3686"/>
          <w:tab w:val="left" w:pos="4536"/>
        </w:tabs>
        <w:jc w:val="both"/>
        <w:rPr>
          <w:rFonts w:ascii="Gadugi" w:eastAsia="Georgia" w:hAnsi="Gadugi" w:cs="Georgia"/>
          <w:sz w:val="24"/>
          <w:szCs w:val="24"/>
        </w:rPr>
      </w:pPr>
      <w:r w:rsidRPr="000A682B">
        <w:rPr>
          <w:rFonts w:ascii="Gadugi" w:eastAsia="Georgia" w:hAnsi="Gadugi" w:cs="Georgia"/>
          <w:sz w:val="24"/>
          <w:szCs w:val="24"/>
        </w:rPr>
        <w:t>Relata la demanda que entre las partes se celebró un contrato civil de obra a precio único que t</w:t>
      </w:r>
      <w:r w:rsidR="005127A2" w:rsidRPr="000A682B">
        <w:rPr>
          <w:rFonts w:ascii="Gadugi" w:eastAsia="Georgia" w:hAnsi="Gadugi" w:cs="Georgia"/>
          <w:sz w:val="24"/>
          <w:szCs w:val="24"/>
        </w:rPr>
        <w:t>uvo</w:t>
      </w:r>
      <w:r w:rsidRPr="000A682B">
        <w:rPr>
          <w:rFonts w:ascii="Gadugi" w:eastAsia="Georgia" w:hAnsi="Gadugi" w:cs="Georgia"/>
          <w:sz w:val="24"/>
          <w:szCs w:val="24"/>
        </w:rPr>
        <w:t xml:space="preserve"> por objeto la construcción de 3 viviendas unifamiliares, con un área promedio de 330,3854m2 cada una, modalidad llave en mano, por un valor de $842’482.770</w:t>
      </w:r>
      <w:r w:rsidR="000A682B">
        <w:rPr>
          <w:rFonts w:ascii="Gadugi" w:eastAsia="Georgia" w:hAnsi="Gadugi" w:cs="Georgia"/>
          <w:sz w:val="24"/>
          <w:szCs w:val="24"/>
        </w:rPr>
        <w:t>,00</w:t>
      </w:r>
      <w:r w:rsidRPr="000A682B">
        <w:rPr>
          <w:rFonts w:ascii="Gadugi" w:eastAsia="Georgia" w:hAnsi="Gadugi" w:cs="Georgia"/>
          <w:sz w:val="24"/>
          <w:szCs w:val="24"/>
        </w:rPr>
        <w:t xml:space="preserve">, pagaderos con un anticipo del 30% y el valor restante lo sería en actas parciales mensuales de obra, según la cláusula quinta. Sin embargo, hubo acuerdos entre las partes sobre la forma de pago y el cobro se realizó de manera diferente. Así que Home </w:t>
      </w:r>
      <w:proofErr w:type="spellStart"/>
      <w:r w:rsidRPr="000A682B">
        <w:rPr>
          <w:rFonts w:ascii="Gadugi" w:eastAsia="Georgia" w:hAnsi="Gadugi" w:cs="Georgia"/>
          <w:sz w:val="24"/>
          <w:szCs w:val="24"/>
        </w:rPr>
        <w:t>Builders</w:t>
      </w:r>
      <w:proofErr w:type="spellEnd"/>
      <w:r w:rsidRPr="000A682B">
        <w:rPr>
          <w:rFonts w:ascii="Gadugi" w:eastAsia="Georgia" w:hAnsi="Gadugi" w:cs="Georgia"/>
          <w:sz w:val="24"/>
          <w:szCs w:val="24"/>
        </w:rPr>
        <w:t xml:space="preserve"> SAS expidió la factura de venta No. 0013, con el fin de cobrar el </w:t>
      </w:r>
      <w:r w:rsidRPr="000A682B">
        <w:rPr>
          <w:rFonts w:ascii="Gadugi" w:eastAsia="Georgia" w:hAnsi="Gadugi" w:cs="Georgia"/>
          <w:i/>
          <w:sz w:val="24"/>
          <w:szCs w:val="24"/>
        </w:rPr>
        <w:t>“acta de obra única”</w:t>
      </w:r>
      <w:r w:rsidRPr="000A682B">
        <w:rPr>
          <w:rFonts w:ascii="Gadugi" w:eastAsia="Georgia" w:hAnsi="Gadugi" w:cs="Georgia"/>
          <w:sz w:val="24"/>
          <w:szCs w:val="24"/>
        </w:rPr>
        <w:t>, creada el 24-01-2020, para ser pagadera el 23-02-2020, por un valor total de $485’902.500</w:t>
      </w:r>
      <w:r w:rsidR="000A682B">
        <w:rPr>
          <w:rFonts w:ascii="Gadugi" w:eastAsia="Georgia" w:hAnsi="Gadugi" w:cs="Georgia"/>
          <w:sz w:val="24"/>
          <w:szCs w:val="24"/>
        </w:rPr>
        <w:t>,00</w:t>
      </w:r>
      <w:r w:rsidRPr="000A682B">
        <w:rPr>
          <w:rFonts w:ascii="Gadugi" w:eastAsia="Georgia" w:hAnsi="Gadugi" w:cs="Georgia"/>
          <w:sz w:val="24"/>
          <w:szCs w:val="24"/>
        </w:rPr>
        <w:t xml:space="preserve">, debidamente aceptada, pues se recibió por persona autorizada y no hubo devolución u objeción en los términos del artículo 773 del C. de Comercio. </w:t>
      </w:r>
    </w:p>
    <w:p w14:paraId="79D5C29A" w14:textId="77777777" w:rsidR="004577A5" w:rsidRPr="000A682B" w:rsidRDefault="004577A5" w:rsidP="000A682B">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18978469" w14:textId="23CA3BE8" w:rsidR="004577A5" w:rsidRPr="000A682B" w:rsidRDefault="004577A5" w:rsidP="000A682B">
      <w:pPr>
        <w:pBdr>
          <w:top w:val="nil"/>
          <w:left w:val="nil"/>
          <w:bottom w:val="nil"/>
          <w:right w:val="nil"/>
          <w:between w:val="nil"/>
        </w:pBdr>
        <w:tabs>
          <w:tab w:val="left" w:pos="3686"/>
          <w:tab w:val="left" w:pos="4536"/>
        </w:tabs>
        <w:jc w:val="both"/>
        <w:rPr>
          <w:rFonts w:ascii="Gadugi" w:eastAsia="Georgia" w:hAnsi="Gadugi" w:cs="Georgia"/>
          <w:sz w:val="24"/>
          <w:szCs w:val="24"/>
        </w:rPr>
      </w:pPr>
      <w:r w:rsidRPr="000A682B">
        <w:rPr>
          <w:rFonts w:ascii="Gadugi" w:eastAsia="Georgia" w:hAnsi="Gadugi" w:cs="Georgia"/>
          <w:sz w:val="24"/>
          <w:szCs w:val="24"/>
        </w:rPr>
        <w:t>Agrega que se pactaron intereses moratorios por el incumplimiento del pago en la fecha acordada; y que, del monto señalado, la demandada adeuda $162’620.100,</w:t>
      </w:r>
      <w:r w:rsidR="000473BB">
        <w:rPr>
          <w:rFonts w:ascii="Gadugi" w:eastAsia="Georgia" w:hAnsi="Gadugi" w:cs="Georgia"/>
          <w:sz w:val="24"/>
          <w:szCs w:val="24"/>
        </w:rPr>
        <w:t>00</w:t>
      </w:r>
      <w:r w:rsidRPr="000A682B">
        <w:rPr>
          <w:rFonts w:ascii="Gadugi" w:eastAsia="Georgia" w:hAnsi="Gadugi" w:cs="Georgia"/>
          <w:sz w:val="24"/>
          <w:szCs w:val="24"/>
        </w:rPr>
        <w:t xml:space="preserve">. </w:t>
      </w:r>
    </w:p>
    <w:p w14:paraId="07BF6A5E" w14:textId="77777777" w:rsidR="004577A5" w:rsidRPr="000A682B" w:rsidRDefault="004577A5" w:rsidP="000A682B">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556050CB" w14:textId="77777777" w:rsidR="004577A5" w:rsidRPr="000A682B" w:rsidRDefault="004577A5" w:rsidP="000A682B">
      <w:pPr>
        <w:pBdr>
          <w:top w:val="nil"/>
          <w:left w:val="nil"/>
          <w:bottom w:val="nil"/>
          <w:right w:val="nil"/>
          <w:between w:val="nil"/>
        </w:pBdr>
        <w:tabs>
          <w:tab w:val="left" w:pos="3686"/>
          <w:tab w:val="left" w:pos="4536"/>
        </w:tabs>
        <w:rPr>
          <w:rFonts w:ascii="Gadugi" w:eastAsia="Georgia" w:hAnsi="Gadugi" w:cs="Georgia"/>
          <w:b/>
          <w:bCs/>
          <w:sz w:val="24"/>
          <w:szCs w:val="24"/>
        </w:rPr>
      </w:pPr>
      <w:r w:rsidRPr="000A682B">
        <w:rPr>
          <w:rFonts w:ascii="Gadugi" w:eastAsia="Georgia" w:hAnsi="Gadugi" w:cs="Georgia"/>
          <w:b/>
          <w:bCs/>
          <w:sz w:val="24"/>
          <w:szCs w:val="24"/>
        </w:rPr>
        <w:t>1.2.  Pretensiones</w:t>
      </w:r>
      <w:r w:rsidRPr="000A682B">
        <w:rPr>
          <w:rFonts w:ascii="Gadugi" w:eastAsia="Georgia" w:hAnsi="Gadugi" w:cs="Georgia"/>
          <w:b/>
          <w:bCs/>
          <w:sz w:val="24"/>
          <w:szCs w:val="24"/>
          <w:vertAlign w:val="superscript"/>
        </w:rPr>
        <w:footnoteReference w:id="2"/>
      </w:r>
    </w:p>
    <w:p w14:paraId="6B0861DF" w14:textId="77777777" w:rsidR="004577A5" w:rsidRPr="000A682B" w:rsidRDefault="004577A5" w:rsidP="000A682B">
      <w:pPr>
        <w:jc w:val="both"/>
        <w:rPr>
          <w:rFonts w:ascii="Gadugi" w:eastAsia="Georgia" w:hAnsi="Gadugi" w:cs="Georgia"/>
          <w:sz w:val="24"/>
          <w:szCs w:val="24"/>
        </w:rPr>
      </w:pPr>
    </w:p>
    <w:p w14:paraId="3B9F97F5" w14:textId="77777777" w:rsidR="004577A5" w:rsidRPr="000A682B" w:rsidRDefault="004577A5" w:rsidP="000A682B">
      <w:pPr>
        <w:jc w:val="both"/>
        <w:rPr>
          <w:rFonts w:ascii="Gadugi" w:eastAsia="Georgia" w:hAnsi="Gadugi" w:cs="Georgia"/>
          <w:sz w:val="24"/>
          <w:szCs w:val="24"/>
        </w:rPr>
      </w:pPr>
      <w:r w:rsidRPr="000A682B">
        <w:rPr>
          <w:rFonts w:ascii="Gadugi" w:eastAsia="Georgia" w:hAnsi="Gadugi" w:cs="Georgia"/>
          <w:sz w:val="24"/>
          <w:szCs w:val="24"/>
        </w:rPr>
        <w:t xml:space="preserve">Se solicitó que se librara mandamiento de pago por la última suma señalada, junto con los intereses moratorios desde el 24 de febrero de 2020, estimados hasta ese momento en $31’880.426,52, más el 20% de esos valores a título de cobro jurídico, equivalente a $38´900.105,30. </w:t>
      </w:r>
    </w:p>
    <w:p w14:paraId="749553DD" w14:textId="77777777" w:rsidR="004577A5" w:rsidRPr="000A682B" w:rsidRDefault="004577A5" w:rsidP="000A682B">
      <w:pPr>
        <w:jc w:val="both"/>
        <w:rPr>
          <w:rFonts w:ascii="Gadugi" w:eastAsia="Georgia" w:hAnsi="Gadugi" w:cs="Georgia"/>
          <w:sz w:val="24"/>
          <w:szCs w:val="24"/>
        </w:rPr>
      </w:pPr>
    </w:p>
    <w:p w14:paraId="1FBF3887" w14:textId="77777777" w:rsidR="004577A5" w:rsidRPr="000A682B" w:rsidRDefault="004577A5" w:rsidP="000A682B">
      <w:pPr>
        <w:rPr>
          <w:rFonts w:ascii="Gadugi" w:eastAsia="Georgia" w:hAnsi="Gadugi" w:cs="Georgia"/>
          <w:b/>
          <w:sz w:val="24"/>
          <w:szCs w:val="24"/>
        </w:rPr>
      </w:pPr>
      <w:r w:rsidRPr="000A682B">
        <w:rPr>
          <w:rFonts w:ascii="Gadugi" w:eastAsia="Georgia" w:hAnsi="Gadugi" w:cs="Georgia"/>
          <w:b/>
          <w:sz w:val="24"/>
          <w:szCs w:val="24"/>
        </w:rPr>
        <w:t>1.3.    Trámite</w:t>
      </w:r>
    </w:p>
    <w:p w14:paraId="05E8549C" w14:textId="77777777" w:rsidR="004577A5" w:rsidRPr="000A682B" w:rsidRDefault="004577A5" w:rsidP="000A682B">
      <w:pPr>
        <w:jc w:val="both"/>
        <w:rPr>
          <w:rFonts w:ascii="Gadugi" w:eastAsia="Georgia" w:hAnsi="Gadugi" w:cs="Georgia"/>
          <w:sz w:val="24"/>
          <w:szCs w:val="24"/>
        </w:rPr>
      </w:pPr>
    </w:p>
    <w:p w14:paraId="3D0295AD" w14:textId="77777777" w:rsidR="004577A5" w:rsidRPr="000A682B" w:rsidRDefault="004577A5" w:rsidP="000A682B">
      <w:pPr>
        <w:jc w:val="both"/>
        <w:rPr>
          <w:rFonts w:ascii="Gadugi" w:eastAsia="Georgia" w:hAnsi="Gadugi" w:cs="Georgia"/>
          <w:sz w:val="24"/>
          <w:szCs w:val="24"/>
        </w:rPr>
      </w:pPr>
      <w:r w:rsidRPr="000A682B">
        <w:rPr>
          <w:rFonts w:ascii="Gadugi" w:eastAsia="Georgia" w:hAnsi="Gadugi" w:cs="Georgia"/>
          <w:sz w:val="24"/>
          <w:szCs w:val="24"/>
        </w:rPr>
        <w:t>Se libró parcialmente la orden ejecutiva</w:t>
      </w:r>
      <w:r w:rsidRPr="000A682B">
        <w:rPr>
          <w:rStyle w:val="Refdenotaalpie"/>
          <w:rFonts w:ascii="Gadugi" w:eastAsia="Georgia" w:hAnsi="Gadugi" w:cs="Georgia"/>
          <w:sz w:val="24"/>
          <w:szCs w:val="24"/>
        </w:rPr>
        <w:footnoteReference w:id="3"/>
      </w:r>
      <w:r w:rsidRPr="000A682B">
        <w:rPr>
          <w:rFonts w:ascii="Gadugi" w:eastAsia="Georgia" w:hAnsi="Gadugi" w:cs="Georgia"/>
          <w:sz w:val="24"/>
          <w:szCs w:val="24"/>
        </w:rPr>
        <w:t xml:space="preserve">,  ya que se negó respecto del denominado valor por cobro jurídico. </w:t>
      </w:r>
    </w:p>
    <w:p w14:paraId="6F3224B2" w14:textId="77777777" w:rsidR="0017292F" w:rsidRPr="000A682B" w:rsidRDefault="0017292F" w:rsidP="000A682B">
      <w:pPr>
        <w:jc w:val="both"/>
        <w:rPr>
          <w:rFonts w:ascii="Gadugi" w:eastAsia="Georgia" w:hAnsi="Gadugi" w:cs="Georgia"/>
          <w:sz w:val="24"/>
          <w:szCs w:val="24"/>
        </w:rPr>
      </w:pPr>
    </w:p>
    <w:p w14:paraId="32786A52" w14:textId="21E527BC" w:rsidR="004577A5" w:rsidRPr="000A682B" w:rsidRDefault="004577A5" w:rsidP="000A682B">
      <w:pPr>
        <w:jc w:val="both"/>
        <w:rPr>
          <w:rFonts w:ascii="Gadugi" w:eastAsia="Georgia" w:hAnsi="Gadugi" w:cs="Georgia"/>
          <w:sz w:val="24"/>
          <w:szCs w:val="24"/>
        </w:rPr>
      </w:pPr>
      <w:r w:rsidRPr="000A682B">
        <w:rPr>
          <w:rFonts w:ascii="Gadugi" w:eastAsia="Georgia" w:hAnsi="Gadugi" w:cs="Georgia"/>
          <w:sz w:val="24"/>
          <w:szCs w:val="24"/>
        </w:rPr>
        <w:t>La entidad demandada se pronunció</w:t>
      </w:r>
      <w:r w:rsidRPr="000A682B">
        <w:rPr>
          <w:rStyle w:val="Refdenotaalpie"/>
          <w:rFonts w:ascii="Gadugi" w:eastAsia="Georgia" w:hAnsi="Gadugi" w:cs="Georgia"/>
          <w:sz w:val="24"/>
          <w:szCs w:val="24"/>
        </w:rPr>
        <w:footnoteReference w:id="4"/>
      </w:r>
      <w:r w:rsidRPr="000A682B">
        <w:rPr>
          <w:rFonts w:ascii="Gadugi" w:eastAsia="Georgia" w:hAnsi="Gadugi" w:cs="Georgia"/>
          <w:sz w:val="24"/>
          <w:szCs w:val="24"/>
        </w:rPr>
        <w:t xml:space="preserve"> sobre los hechos, opugnó las pretensiones y propuso estas excepciones: (i) las que se funden en el hecho de no haber sido el demandado quien suscribió el título; (ii) las de falta de representación o de poder </w:t>
      </w:r>
      <w:r w:rsidRPr="000A682B">
        <w:rPr>
          <w:rFonts w:ascii="Gadugi" w:eastAsia="Georgia" w:hAnsi="Gadugi" w:cs="Georgia"/>
          <w:sz w:val="24"/>
          <w:szCs w:val="24"/>
        </w:rPr>
        <w:lastRenderedPageBreak/>
        <w:t xml:space="preserve">bastante de quien haya suscrito el título a nombre del demandado; (iii) las fundadas en la omisión de los requisitos que el título deba contener y que la ley no supla expresamente; (iv) las de prescripción o caducidad; y (v) las demás personales que pudiere oponer el demandado contra el actor – mala fe, cobro de lo no debido, buena fe. </w:t>
      </w:r>
    </w:p>
    <w:p w14:paraId="50938DA6" w14:textId="77777777" w:rsidR="004577A5" w:rsidRPr="000A682B" w:rsidRDefault="004577A5" w:rsidP="000A682B">
      <w:pPr>
        <w:jc w:val="both"/>
        <w:rPr>
          <w:rFonts w:ascii="Gadugi" w:eastAsia="Georgia" w:hAnsi="Gadugi" w:cs="Georgia"/>
          <w:sz w:val="24"/>
          <w:szCs w:val="24"/>
        </w:rPr>
      </w:pPr>
    </w:p>
    <w:p w14:paraId="47AE0C8B" w14:textId="71C19D31" w:rsidR="004577A5" w:rsidRPr="000A682B" w:rsidRDefault="004577A5" w:rsidP="000A682B">
      <w:pPr>
        <w:rPr>
          <w:rFonts w:ascii="Gadugi" w:eastAsia="Georgia" w:hAnsi="Gadugi" w:cs="Georgia"/>
          <w:b/>
          <w:bCs/>
          <w:sz w:val="24"/>
          <w:szCs w:val="24"/>
        </w:rPr>
      </w:pPr>
      <w:r w:rsidRPr="000A682B">
        <w:rPr>
          <w:rFonts w:ascii="Gadugi" w:eastAsia="Georgia" w:hAnsi="Gadugi" w:cs="Georgia"/>
          <w:b/>
          <w:bCs/>
          <w:sz w:val="24"/>
          <w:szCs w:val="24"/>
        </w:rPr>
        <w:t xml:space="preserve">1.4.   Sentencia de </w:t>
      </w:r>
      <w:r w:rsidR="005127A2" w:rsidRPr="000A682B">
        <w:rPr>
          <w:rFonts w:ascii="Gadugi" w:eastAsia="Georgia" w:hAnsi="Gadugi" w:cs="Georgia"/>
          <w:b/>
          <w:bCs/>
          <w:sz w:val="24"/>
          <w:szCs w:val="24"/>
        </w:rPr>
        <w:t>p</w:t>
      </w:r>
      <w:r w:rsidRPr="000A682B">
        <w:rPr>
          <w:rFonts w:ascii="Gadugi" w:eastAsia="Georgia" w:hAnsi="Gadugi" w:cs="Georgia"/>
          <w:b/>
          <w:bCs/>
          <w:sz w:val="24"/>
          <w:szCs w:val="24"/>
        </w:rPr>
        <w:t xml:space="preserve">rimera </w:t>
      </w:r>
      <w:r w:rsidR="005127A2" w:rsidRPr="000A682B">
        <w:rPr>
          <w:rFonts w:ascii="Gadugi" w:eastAsia="Georgia" w:hAnsi="Gadugi" w:cs="Georgia"/>
          <w:b/>
          <w:bCs/>
          <w:sz w:val="24"/>
          <w:szCs w:val="24"/>
        </w:rPr>
        <w:t>i</w:t>
      </w:r>
      <w:r w:rsidRPr="000A682B">
        <w:rPr>
          <w:rFonts w:ascii="Gadugi" w:eastAsia="Georgia" w:hAnsi="Gadugi" w:cs="Georgia"/>
          <w:b/>
          <w:bCs/>
          <w:sz w:val="24"/>
          <w:szCs w:val="24"/>
        </w:rPr>
        <w:t>nstancia</w:t>
      </w:r>
      <w:r w:rsidRPr="000A682B">
        <w:rPr>
          <w:rStyle w:val="Refdenotaalpie"/>
          <w:rFonts w:ascii="Gadugi" w:eastAsia="Georgia" w:hAnsi="Gadugi" w:cs="Georgia"/>
          <w:b/>
          <w:bCs/>
          <w:sz w:val="24"/>
          <w:szCs w:val="24"/>
        </w:rPr>
        <w:footnoteReference w:id="5"/>
      </w:r>
    </w:p>
    <w:p w14:paraId="7B241845" w14:textId="77777777" w:rsidR="004577A5" w:rsidRPr="000A682B" w:rsidRDefault="004577A5" w:rsidP="000A682B">
      <w:pPr>
        <w:jc w:val="both"/>
        <w:rPr>
          <w:rFonts w:ascii="Gadugi" w:eastAsia="Georgia" w:hAnsi="Gadugi" w:cs="Georgia"/>
          <w:sz w:val="24"/>
          <w:szCs w:val="24"/>
        </w:rPr>
      </w:pPr>
    </w:p>
    <w:p w14:paraId="58F8B15B" w14:textId="77777777" w:rsidR="005127A2" w:rsidRPr="000A682B" w:rsidRDefault="004577A5" w:rsidP="000A682B">
      <w:pPr>
        <w:jc w:val="both"/>
        <w:rPr>
          <w:rFonts w:ascii="Gadugi" w:eastAsia="Georgia" w:hAnsi="Gadugi" w:cs="Georgia"/>
          <w:sz w:val="24"/>
          <w:szCs w:val="24"/>
        </w:rPr>
      </w:pPr>
      <w:r w:rsidRPr="000A682B">
        <w:rPr>
          <w:rFonts w:ascii="Gadugi" w:eastAsia="Georgia" w:hAnsi="Gadugi" w:cs="Georgia"/>
          <w:sz w:val="24"/>
          <w:szCs w:val="24"/>
        </w:rPr>
        <w:t>Surtido el trámite de la instancia, se produjo el fallo, en el que el juzgado (i) desechó la excepción de prescripción; (ii) declaró probada la excepción denominada “</w:t>
      </w:r>
      <w:r w:rsidRPr="00893D87">
        <w:rPr>
          <w:rFonts w:ascii="Gadugi" w:eastAsia="Georgia" w:hAnsi="Gadugi" w:cs="Georgia"/>
          <w:i/>
          <w:iCs/>
          <w:szCs w:val="24"/>
        </w:rPr>
        <w:t>las fundadas en la omisión de los requisitos que el titulo deba contener y que la ley no supla expresamente</w:t>
      </w:r>
      <w:r w:rsidRPr="000A682B">
        <w:rPr>
          <w:rFonts w:ascii="Gadugi" w:eastAsia="Georgia" w:hAnsi="Gadugi" w:cs="Georgia"/>
          <w:sz w:val="24"/>
          <w:szCs w:val="24"/>
        </w:rPr>
        <w:t xml:space="preserve">”; (iii) se abstuvo de seguir adelante la ejecución; (iv) dispuso el levantamiento de las medidas cautelares; y (v) condenó en costas y perjuicios a la parte demandante, a favor de la demandada. </w:t>
      </w:r>
    </w:p>
    <w:p w14:paraId="6A1A4C36" w14:textId="77777777" w:rsidR="005127A2" w:rsidRPr="000A682B" w:rsidRDefault="005127A2" w:rsidP="000A682B">
      <w:pPr>
        <w:jc w:val="both"/>
        <w:rPr>
          <w:rFonts w:ascii="Gadugi" w:eastAsia="Georgia" w:hAnsi="Gadugi" w:cs="Georgia"/>
          <w:sz w:val="24"/>
          <w:szCs w:val="24"/>
        </w:rPr>
      </w:pPr>
    </w:p>
    <w:p w14:paraId="5848E4FE" w14:textId="57B8DD9A" w:rsidR="004577A5" w:rsidRPr="000A682B" w:rsidRDefault="004577A5" w:rsidP="000A682B">
      <w:pPr>
        <w:jc w:val="both"/>
        <w:rPr>
          <w:rFonts w:ascii="Gadugi" w:eastAsia="Georgia" w:hAnsi="Gadugi" w:cs="Georgia"/>
          <w:sz w:val="24"/>
          <w:szCs w:val="24"/>
        </w:rPr>
      </w:pPr>
      <w:r w:rsidRPr="000A682B">
        <w:rPr>
          <w:rFonts w:ascii="Gadugi" w:eastAsia="Georgia" w:hAnsi="Gadugi" w:cs="Georgia"/>
          <w:sz w:val="24"/>
          <w:szCs w:val="24"/>
        </w:rPr>
        <w:t xml:space="preserve">En otro aparte se resumirán los fundamentos para ello. </w:t>
      </w:r>
    </w:p>
    <w:p w14:paraId="7F85D38A" w14:textId="77777777" w:rsidR="004577A5" w:rsidRPr="000A682B" w:rsidRDefault="004577A5" w:rsidP="000A682B">
      <w:pPr>
        <w:jc w:val="both"/>
        <w:rPr>
          <w:rFonts w:ascii="Gadugi" w:eastAsia="Georgia" w:hAnsi="Gadugi" w:cs="Georgia"/>
          <w:sz w:val="24"/>
          <w:szCs w:val="24"/>
        </w:rPr>
      </w:pPr>
    </w:p>
    <w:p w14:paraId="4C114B38" w14:textId="77777777" w:rsidR="004577A5" w:rsidRPr="000A682B" w:rsidRDefault="004577A5" w:rsidP="000A682B">
      <w:pPr>
        <w:jc w:val="both"/>
        <w:rPr>
          <w:rFonts w:ascii="Gadugi" w:eastAsia="Georgia" w:hAnsi="Gadugi" w:cs="Georgia"/>
          <w:b/>
          <w:sz w:val="24"/>
          <w:szCs w:val="24"/>
        </w:rPr>
      </w:pPr>
      <w:r w:rsidRPr="000A682B">
        <w:rPr>
          <w:rFonts w:ascii="Gadugi" w:eastAsia="Georgia" w:hAnsi="Gadugi" w:cs="Georgia"/>
          <w:b/>
          <w:sz w:val="24"/>
          <w:szCs w:val="24"/>
        </w:rPr>
        <w:t>1.5.  Apelación</w:t>
      </w:r>
    </w:p>
    <w:p w14:paraId="4E7F875F" w14:textId="77777777" w:rsidR="004577A5" w:rsidRPr="000A682B" w:rsidRDefault="004577A5" w:rsidP="000A682B">
      <w:pPr>
        <w:jc w:val="both"/>
        <w:rPr>
          <w:rFonts w:ascii="Gadugi" w:eastAsia="Georgia" w:hAnsi="Gadugi" w:cs="Georgia"/>
          <w:b/>
          <w:sz w:val="24"/>
          <w:szCs w:val="24"/>
        </w:rPr>
      </w:pPr>
    </w:p>
    <w:p w14:paraId="7E7D426B" w14:textId="77777777" w:rsidR="005127A2" w:rsidRPr="000A682B" w:rsidRDefault="004577A5" w:rsidP="000A682B">
      <w:pPr>
        <w:jc w:val="both"/>
        <w:rPr>
          <w:rFonts w:ascii="Gadugi" w:eastAsia="Georgia" w:hAnsi="Gadugi" w:cs="Georgia"/>
          <w:bCs/>
          <w:sz w:val="24"/>
          <w:szCs w:val="24"/>
        </w:rPr>
      </w:pPr>
      <w:r w:rsidRPr="000A682B">
        <w:rPr>
          <w:rFonts w:ascii="Gadugi" w:eastAsia="Georgia" w:hAnsi="Gadugi" w:cs="Georgia"/>
          <w:bCs/>
          <w:sz w:val="24"/>
          <w:szCs w:val="24"/>
        </w:rPr>
        <w:t>La parte ejecutante impugnó el fallo</w:t>
      </w:r>
      <w:r w:rsidRPr="000A682B">
        <w:rPr>
          <w:rStyle w:val="Refdenotaalpie"/>
          <w:rFonts w:ascii="Gadugi" w:eastAsia="Georgia" w:hAnsi="Gadugi" w:cs="Georgia"/>
          <w:bCs/>
          <w:sz w:val="24"/>
          <w:szCs w:val="24"/>
        </w:rPr>
        <w:footnoteReference w:id="6"/>
      </w:r>
      <w:r w:rsidRPr="000A682B">
        <w:rPr>
          <w:rFonts w:ascii="Gadugi" w:eastAsia="Georgia" w:hAnsi="Gadugi" w:cs="Georgia"/>
          <w:bCs/>
          <w:sz w:val="24"/>
          <w:szCs w:val="24"/>
        </w:rPr>
        <w:t>; concedido el recurso en la misma audiencia, presentó sus reparos concretos en los tres días siguientes</w:t>
      </w:r>
      <w:r w:rsidRPr="000A682B">
        <w:rPr>
          <w:rFonts w:ascii="Gadugi" w:eastAsia="Georgia" w:hAnsi="Gadugi" w:cs="Georgia"/>
          <w:bCs/>
          <w:sz w:val="24"/>
          <w:szCs w:val="24"/>
          <w:vertAlign w:val="superscript"/>
        </w:rPr>
        <w:footnoteReference w:id="7"/>
      </w:r>
      <w:r w:rsidRPr="000A682B">
        <w:rPr>
          <w:rFonts w:ascii="Gadugi" w:eastAsia="Georgia" w:hAnsi="Gadugi" w:cs="Georgia"/>
          <w:bCs/>
          <w:sz w:val="24"/>
          <w:szCs w:val="24"/>
        </w:rPr>
        <w:t xml:space="preserve">. </w:t>
      </w:r>
    </w:p>
    <w:p w14:paraId="4916837A" w14:textId="77777777" w:rsidR="005127A2" w:rsidRPr="000A682B" w:rsidRDefault="005127A2" w:rsidP="000A682B">
      <w:pPr>
        <w:jc w:val="both"/>
        <w:rPr>
          <w:rFonts w:ascii="Gadugi" w:eastAsia="Georgia" w:hAnsi="Gadugi" w:cs="Georgia"/>
          <w:bCs/>
          <w:sz w:val="24"/>
          <w:szCs w:val="24"/>
        </w:rPr>
      </w:pPr>
    </w:p>
    <w:p w14:paraId="1ABF0119" w14:textId="7FBEC811" w:rsidR="004577A5" w:rsidRPr="000A682B" w:rsidRDefault="004577A5" w:rsidP="000A682B">
      <w:pPr>
        <w:jc w:val="both"/>
        <w:rPr>
          <w:rFonts w:ascii="Gadugi" w:eastAsia="Georgia" w:hAnsi="Gadugi" w:cs="Georgia"/>
          <w:bCs/>
          <w:sz w:val="24"/>
          <w:szCs w:val="24"/>
        </w:rPr>
      </w:pPr>
      <w:r w:rsidRPr="000A682B">
        <w:rPr>
          <w:rFonts w:ascii="Gadugi" w:eastAsia="Georgia" w:hAnsi="Gadugi" w:cs="Georgia"/>
          <w:bCs/>
          <w:sz w:val="24"/>
          <w:szCs w:val="24"/>
        </w:rPr>
        <w:t xml:space="preserve">A ellos se aludirá más adelante. </w:t>
      </w:r>
    </w:p>
    <w:p w14:paraId="1C9A8362" w14:textId="77777777" w:rsidR="005127A2" w:rsidRPr="000A682B" w:rsidRDefault="005127A2" w:rsidP="000A682B">
      <w:pPr>
        <w:rPr>
          <w:rFonts w:ascii="Gadugi" w:eastAsia="Georgia" w:hAnsi="Gadugi" w:cs="Georgia"/>
          <w:b/>
          <w:bCs/>
          <w:sz w:val="24"/>
          <w:szCs w:val="24"/>
        </w:rPr>
      </w:pPr>
    </w:p>
    <w:p w14:paraId="7F819D1F" w14:textId="77777777" w:rsidR="00E80914" w:rsidRPr="000A682B" w:rsidRDefault="00E80914" w:rsidP="000A682B">
      <w:pPr>
        <w:rPr>
          <w:rFonts w:ascii="Gadugi" w:eastAsia="Georgia" w:hAnsi="Gadugi" w:cs="Georgia"/>
          <w:b/>
          <w:bCs/>
          <w:sz w:val="24"/>
          <w:szCs w:val="24"/>
        </w:rPr>
      </w:pPr>
      <w:r w:rsidRPr="000A682B">
        <w:rPr>
          <w:rFonts w:ascii="Gadugi" w:eastAsia="Georgia" w:hAnsi="Gadugi" w:cs="Georgia"/>
          <w:b/>
          <w:bCs/>
          <w:sz w:val="24"/>
          <w:szCs w:val="24"/>
        </w:rPr>
        <w:t>2. CONSIDERACIONES</w:t>
      </w:r>
    </w:p>
    <w:p w14:paraId="2A75BC7A" w14:textId="77777777" w:rsidR="00E80914" w:rsidRPr="000A682B" w:rsidRDefault="00E80914" w:rsidP="000A682B">
      <w:pPr>
        <w:rPr>
          <w:rFonts w:ascii="Gadugi" w:eastAsia="Georgia" w:hAnsi="Gadugi" w:cs="Georgia"/>
          <w:b/>
          <w:bCs/>
          <w:sz w:val="24"/>
          <w:szCs w:val="24"/>
        </w:rPr>
      </w:pPr>
    </w:p>
    <w:p w14:paraId="76CC7469" w14:textId="77777777" w:rsidR="00A96EAC" w:rsidRPr="000A682B" w:rsidRDefault="00A96EAC" w:rsidP="000A682B">
      <w:pPr>
        <w:tabs>
          <w:tab w:val="left" w:pos="567"/>
        </w:tabs>
        <w:jc w:val="both"/>
        <w:rPr>
          <w:rFonts w:ascii="Gadugi" w:eastAsia="Georgia" w:hAnsi="Gadugi" w:cs="Georgia"/>
          <w:bCs/>
          <w:sz w:val="24"/>
          <w:szCs w:val="24"/>
        </w:rPr>
      </w:pPr>
      <w:r w:rsidRPr="000A682B">
        <w:rPr>
          <w:rFonts w:ascii="Gadugi" w:eastAsia="Georgia" w:hAnsi="Gadugi" w:cs="Georgia"/>
          <w:bCs/>
          <w:sz w:val="24"/>
          <w:szCs w:val="24"/>
        </w:rPr>
        <w:t xml:space="preserve">2.1. Los denominados presupuestos del proceso concurren a cabalidad y no se vislumbra aquí causal que haga írrito lo actuado. Por tanto, la decisión será de fondo. </w:t>
      </w:r>
    </w:p>
    <w:p w14:paraId="1C9AE5BF" w14:textId="77777777" w:rsidR="00A96EAC" w:rsidRPr="000A682B" w:rsidRDefault="00A96EAC" w:rsidP="000A682B">
      <w:pPr>
        <w:tabs>
          <w:tab w:val="left" w:pos="567"/>
        </w:tabs>
        <w:jc w:val="both"/>
        <w:rPr>
          <w:rFonts w:ascii="Gadugi" w:eastAsia="Georgia" w:hAnsi="Gadugi" w:cs="Georgia"/>
          <w:bCs/>
          <w:sz w:val="24"/>
          <w:szCs w:val="24"/>
        </w:rPr>
      </w:pPr>
    </w:p>
    <w:p w14:paraId="7D6C7EC4" w14:textId="77777777" w:rsidR="00A96EAC" w:rsidRPr="000A682B" w:rsidRDefault="00A96EAC" w:rsidP="000A682B">
      <w:pPr>
        <w:tabs>
          <w:tab w:val="left" w:pos="567"/>
        </w:tabs>
        <w:jc w:val="both"/>
        <w:rPr>
          <w:rFonts w:ascii="Gadugi" w:eastAsia="Georgia" w:hAnsi="Gadugi" w:cs="Georgia"/>
          <w:bCs/>
          <w:sz w:val="24"/>
          <w:szCs w:val="24"/>
        </w:rPr>
      </w:pPr>
      <w:r w:rsidRPr="000A682B">
        <w:rPr>
          <w:rFonts w:ascii="Gadugi" w:eastAsia="Georgia" w:hAnsi="Gadugi" w:cs="Georgia"/>
          <w:bCs/>
          <w:sz w:val="24"/>
          <w:szCs w:val="24"/>
        </w:rPr>
        <w:t xml:space="preserve">2.2. </w:t>
      </w:r>
      <w:r w:rsidRPr="000A682B">
        <w:rPr>
          <w:rFonts w:ascii="Gadugi" w:eastAsia="Georgia" w:hAnsi="Gadugi" w:cs="Georgia"/>
          <w:bCs/>
          <w:sz w:val="24"/>
          <w:szCs w:val="24"/>
        </w:rPr>
        <w:tab/>
        <w:t>La legitimación de las partes surgió del contenido de la factura adosada como recaudo ejecutivo</w:t>
      </w:r>
      <w:r w:rsidRPr="000A682B">
        <w:rPr>
          <w:rStyle w:val="Refdenotaalpie"/>
          <w:rFonts w:ascii="Gadugi" w:eastAsia="Georgia" w:hAnsi="Gadugi" w:cs="Georgia"/>
          <w:bCs/>
          <w:sz w:val="24"/>
          <w:szCs w:val="24"/>
        </w:rPr>
        <w:footnoteReference w:id="8"/>
      </w:r>
      <w:r w:rsidRPr="000A682B">
        <w:rPr>
          <w:rFonts w:ascii="Gadugi" w:eastAsia="Georgia" w:hAnsi="Gadugi" w:cs="Georgia"/>
          <w:bCs/>
          <w:sz w:val="24"/>
          <w:szCs w:val="24"/>
        </w:rPr>
        <w:t xml:space="preserve">, en la que Home </w:t>
      </w:r>
      <w:proofErr w:type="spellStart"/>
      <w:r w:rsidRPr="000A682B">
        <w:rPr>
          <w:rFonts w:ascii="Gadugi" w:eastAsia="Georgia" w:hAnsi="Gadugi" w:cs="Georgia"/>
          <w:bCs/>
          <w:sz w:val="24"/>
          <w:szCs w:val="24"/>
        </w:rPr>
        <w:t>Builders</w:t>
      </w:r>
      <w:proofErr w:type="spellEnd"/>
      <w:r w:rsidRPr="000A682B">
        <w:rPr>
          <w:rFonts w:ascii="Gadugi" w:eastAsia="Georgia" w:hAnsi="Gadugi" w:cs="Georgia"/>
          <w:bCs/>
          <w:sz w:val="24"/>
          <w:szCs w:val="24"/>
        </w:rPr>
        <w:t xml:space="preserve"> SAS refiere a la Fundación La Meced el valor de unos servicios prestados. Esto, con independencia de la discusión que se plantea acerca del mérito ejecutivo que ese documento pueda tener.</w:t>
      </w:r>
    </w:p>
    <w:p w14:paraId="0CC9F424" w14:textId="77777777" w:rsidR="007D7560" w:rsidRPr="000A682B" w:rsidRDefault="007D7560" w:rsidP="000A682B">
      <w:pPr>
        <w:tabs>
          <w:tab w:val="left" w:pos="567"/>
        </w:tabs>
        <w:jc w:val="both"/>
        <w:rPr>
          <w:rFonts w:ascii="Gadugi" w:eastAsia="Georgia" w:hAnsi="Gadugi" w:cs="Georgia"/>
          <w:bCs/>
          <w:sz w:val="24"/>
          <w:szCs w:val="24"/>
        </w:rPr>
      </w:pPr>
    </w:p>
    <w:p w14:paraId="5183338A" w14:textId="7C6E2E53" w:rsidR="007D7560" w:rsidRPr="000A682B" w:rsidRDefault="007D4155" w:rsidP="000A682B">
      <w:pPr>
        <w:pStyle w:val="Prrafodelista"/>
        <w:numPr>
          <w:ilvl w:val="1"/>
          <w:numId w:val="4"/>
        </w:numPr>
        <w:tabs>
          <w:tab w:val="left" w:pos="567"/>
        </w:tabs>
        <w:ind w:left="0" w:firstLine="0"/>
        <w:jc w:val="both"/>
        <w:rPr>
          <w:rFonts w:ascii="Gadugi" w:eastAsia="Georgia" w:hAnsi="Gadugi" w:cs="Georgia"/>
          <w:bCs/>
          <w:sz w:val="24"/>
          <w:szCs w:val="24"/>
        </w:rPr>
      </w:pPr>
      <w:r w:rsidRPr="000A682B">
        <w:rPr>
          <w:rFonts w:ascii="Gadugi" w:eastAsia="Georgia" w:hAnsi="Gadugi" w:cs="Georgia"/>
          <w:bCs/>
          <w:sz w:val="24"/>
          <w:szCs w:val="24"/>
        </w:rPr>
        <w:t>Corresponde a la Sala resolver si confirma la sentencia</w:t>
      </w:r>
      <w:r w:rsidR="00965303" w:rsidRPr="000A682B">
        <w:rPr>
          <w:rFonts w:ascii="Gadugi" w:eastAsia="Georgia" w:hAnsi="Gadugi" w:cs="Georgia"/>
          <w:bCs/>
          <w:sz w:val="24"/>
          <w:szCs w:val="24"/>
        </w:rPr>
        <w:t xml:space="preserve"> que le pone fin a la ejecución</w:t>
      </w:r>
      <w:r w:rsidR="009501DA" w:rsidRPr="000A682B">
        <w:rPr>
          <w:rFonts w:ascii="Gadugi" w:eastAsia="Georgia" w:hAnsi="Gadugi" w:cs="Georgia"/>
          <w:bCs/>
          <w:sz w:val="24"/>
          <w:szCs w:val="24"/>
        </w:rPr>
        <w:t xml:space="preserve">, por cuanto el documento arrimado como base de la ejecución carece de los requisitos </w:t>
      </w:r>
      <w:r w:rsidR="00E445FC" w:rsidRPr="000A682B">
        <w:rPr>
          <w:rFonts w:ascii="Gadugi" w:eastAsia="Georgia" w:hAnsi="Gadugi" w:cs="Georgia"/>
          <w:bCs/>
          <w:sz w:val="24"/>
          <w:szCs w:val="24"/>
        </w:rPr>
        <w:t>legales para ser considerado título valor</w:t>
      </w:r>
      <w:r w:rsidR="00B77546" w:rsidRPr="000A682B">
        <w:rPr>
          <w:rFonts w:ascii="Gadugi" w:eastAsia="Georgia" w:hAnsi="Gadugi" w:cs="Georgia"/>
          <w:bCs/>
          <w:sz w:val="24"/>
          <w:szCs w:val="24"/>
        </w:rPr>
        <w:t>; o si la revoca, como pretende</w:t>
      </w:r>
      <w:r w:rsidR="003E5F7C" w:rsidRPr="000A682B">
        <w:rPr>
          <w:rFonts w:ascii="Gadugi" w:eastAsia="Georgia" w:hAnsi="Gadugi" w:cs="Georgia"/>
          <w:bCs/>
          <w:sz w:val="24"/>
          <w:szCs w:val="24"/>
        </w:rPr>
        <w:t xml:space="preserve"> la demandante, pues, a su juicio, la factura satisface todas esas exigencias. </w:t>
      </w:r>
    </w:p>
    <w:p w14:paraId="2E174A3D" w14:textId="77777777" w:rsidR="00CE1515" w:rsidRPr="000A682B" w:rsidRDefault="00CE1515" w:rsidP="000A682B">
      <w:pPr>
        <w:tabs>
          <w:tab w:val="left" w:pos="567"/>
        </w:tabs>
        <w:jc w:val="both"/>
        <w:rPr>
          <w:rFonts w:ascii="Gadugi" w:eastAsia="Georgia" w:hAnsi="Gadugi" w:cs="Georgia"/>
          <w:bCs/>
          <w:sz w:val="24"/>
          <w:szCs w:val="24"/>
        </w:rPr>
      </w:pPr>
    </w:p>
    <w:p w14:paraId="7DE57BD5" w14:textId="1DEBA242" w:rsidR="00CE1515" w:rsidRPr="000A682B" w:rsidRDefault="00CE1515" w:rsidP="000A682B">
      <w:pPr>
        <w:tabs>
          <w:tab w:val="left" w:pos="567"/>
        </w:tabs>
        <w:jc w:val="both"/>
        <w:rPr>
          <w:rFonts w:ascii="Gadugi" w:eastAsia="Georgia" w:hAnsi="Gadugi" w:cs="Georgia"/>
          <w:bCs/>
          <w:sz w:val="24"/>
          <w:szCs w:val="24"/>
        </w:rPr>
      </w:pPr>
      <w:r w:rsidRPr="000A682B">
        <w:rPr>
          <w:rFonts w:ascii="Gadugi" w:eastAsia="Georgia" w:hAnsi="Gadugi" w:cs="Georgia"/>
          <w:bCs/>
          <w:sz w:val="24"/>
          <w:szCs w:val="24"/>
        </w:rPr>
        <w:lastRenderedPageBreak/>
        <w:t>Por anticipado se advierte que la sentencia será confirmada, en la medida en que la Sala coincide con la funcionaria en que la factura incumple varia</w:t>
      </w:r>
      <w:r w:rsidR="00A24B80" w:rsidRPr="000A682B">
        <w:rPr>
          <w:rFonts w:ascii="Gadugi" w:eastAsia="Georgia" w:hAnsi="Gadugi" w:cs="Georgia"/>
          <w:bCs/>
          <w:sz w:val="24"/>
          <w:szCs w:val="24"/>
        </w:rPr>
        <w:t>s de las exigencias de la ley establece para que pueda ser considerada como título valor</w:t>
      </w:r>
      <w:r w:rsidR="002952D9" w:rsidRPr="000A682B">
        <w:rPr>
          <w:rFonts w:ascii="Gadugi" w:eastAsia="Georgia" w:hAnsi="Gadugi" w:cs="Georgia"/>
          <w:bCs/>
          <w:sz w:val="24"/>
          <w:szCs w:val="24"/>
        </w:rPr>
        <w:t xml:space="preserve">. </w:t>
      </w:r>
    </w:p>
    <w:p w14:paraId="46480FC0" w14:textId="77777777" w:rsidR="00A96EAC" w:rsidRPr="000A682B" w:rsidRDefault="00A96EAC" w:rsidP="000A682B">
      <w:pPr>
        <w:tabs>
          <w:tab w:val="left" w:pos="567"/>
        </w:tabs>
        <w:jc w:val="both"/>
        <w:rPr>
          <w:rFonts w:ascii="Gadugi" w:eastAsia="Georgia" w:hAnsi="Gadugi" w:cs="Georgia"/>
          <w:bCs/>
          <w:sz w:val="24"/>
          <w:szCs w:val="24"/>
        </w:rPr>
      </w:pPr>
    </w:p>
    <w:p w14:paraId="55911DFA" w14:textId="77777777" w:rsidR="00A96EAC" w:rsidRPr="000A682B" w:rsidRDefault="00A96EAC" w:rsidP="000A682B">
      <w:pPr>
        <w:pStyle w:val="Prrafodelista"/>
        <w:numPr>
          <w:ilvl w:val="1"/>
          <w:numId w:val="4"/>
        </w:numPr>
        <w:tabs>
          <w:tab w:val="left" w:pos="426"/>
          <w:tab w:val="left" w:pos="567"/>
        </w:tabs>
        <w:ind w:left="0" w:firstLine="0"/>
        <w:jc w:val="both"/>
        <w:rPr>
          <w:rFonts w:ascii="Gadugi" w:eastAsia="Georgia" w:hAnsi="Gadugi" w:cs="Georgia"/>
          <w:bCs/>
          <w:sz w:val="24"/>
          <w:szCs w:val="24"/>
          <w:lang w:val="es-CO"/>
        </w:rPr>
      </w:pPr>
      <w:r w:rsidRPr="000A682B">
        <w:rPr>
          <w:rFonts w:ascii="Gadugi" w:eastAsia="Georgia" w:hAnsi="Gadugi" w:cs="Georgia"/>
          <w:bCs/>
          <w:sz w:val="24"/>
          <w:szCs w:val="24"/>
        </w:rPr>
        <w:t xml:space="preserve">Para abordar lo que es motivo de disenso, se recuerda </w:t>
      </w:r>
      <w:r w:rsidRPr="000A682B">
        <w:rPr>
          <w:rFonts w:ascii="Gadugi" w:eastAsia="Georgia" w:hAnsi="Gadugi" w:cs="Georgia"/>
          <w:sz w:val="24"/>
          <w:szCs w:val="24"/>
        </w:rPr>
        <w:t>que</w:t>
      </w:r>
      <w:r w:rsidRPr="000A682B">
        <w:rPr>
          <w:rFonts w:ascii="Gadugi" w:eastAsia="Georgia" w:hAnsi="Gadugi" w:cs="Georgia"/>
          <w:bCs/>
          <w:sz w:val="24"/>
          <w:szCs w:val="24"/>
          <w:lang w:val="es-CO"/>
        </w:rPr>
        <w:t>, producto de la redacción del artículo 328 del CGP, el sendero que traza la competencia del Superior está dado por aquellos aspectos que fueron objeto de impugnación, sin perjuicio de algunas situaciones que permiten decidir de oficio, y están siendo decantadas por la jurisprudencia</w:t>
      </w:r>
      <w:r w:rsidRPr="000A682B">
        <w:rPr>
          <w:rStyle w:val="Refdenotaalpie"/>
          <w:rFonts w:ascii="Gadugi" w:eastAsia="Georgia" w:hAnsi="Gadugi" w:cs="Georgia"/>
          <w:bCs/>
          <w:sz w:val="24"/>
          <w:szCs w:val="24"/>
          <w:lang w:val="es-CO"/>
        </w:rPr>
        <w:footnoteReference w:id="9"/>
      </w:r>
      <w:r w:rsidRPr="000A682B">
        <w:rPr>
          <w:rFonts w:ascii="Gadugi" w:eastAsia="Georgia" w:hAnsi="Gadugi" w:cs="Georgia"/>
          <w:bCs/>
          <w:sz w:val="24"/>
          <w:szCs w:val="24"/>
          <w:lang w:val="es-CO"/>
        </w:rPr>
        <w:t xml:space="preserve">, </w:t>
      </w:r>
      <w:r w:rsidRPr="000A682B">
        <w:rPr>
          <w:rFonts w:ascii="Gadugi" w:eastAsia="Georgia" w:hAnsi="Gadugi" w:cs="Georgia"/>
          <w:bCs/>
          <w:i/>
          <w:iCs/>
          <w:sz w:val="24"/>
          <w:szCs w:val="24"/>
          <w:lang w:val="es-CO"/>
        </w:rPr>
        <w:t>“</w:t>
      </w:r>
      <w:r w:rsidRPr="00893D87">
        <w:rPr>
          <w:rFonts w:ascii="Gadugi" w:eastAsia="Georgia" w:hAnsi="Gadugi" w:cs="Georgia"/>
          <w:bCs/>
          <w:i/>
          <w:iCs/>
          <w:szCs w:val="24"/>
          <w:lang w:val="es-CO"/>
        </w:rPr>
        <w:t>sin ánimo de exhaustividad</w:t>
      </w:r>
      <w:r w:rsidRPr="000A682B">
        <w:rPr>
          <w:rFonts w:ascii="Gadugi" w:eastAsia="Georgia" w:hAnsi="Gadugi" w:cs="Georgia"/>
          <w:bCs/>
          <w:i/>
          <w:iCs/>
          <w:sz w:val="24"/>
          <w:szCs w:val="24"/>
          <w:lang w:val="es-CO"/>
        </w:rPr>
        <w:t xml:space="preserve">” </w:t>
      </w:r>
      <w:r w:rsidRPr="000A682B">
        <w:rPr>
          <w:rFonts w:ascii="Gadugi" w:eastAsia="Georgia" w:hAnsi="Gadugi" w:cs="Georgia"/>
          <w:bCs/>
          <w:sz w:val="24"/>
          <w:szCs w:val="24"/>
          <w:lang w:val="es-CO"/>
        </w:rPr>
        <w:t xml:space="preserve">como </w:t>
      </w:r>
      <w:r w:rsidRPr="000A682B">
        <w:rPr>
          <w:rFonts w:ascii="Gadugi" w:hAnsi="Gadugi"/>
          <w:sz w:val="24"/>
          <w:szCs w:val="24"/>
        </w:rPr>
        <w:t xml:space="preserve">la </w:t>
      </w:r>
      <w:r w:rsidRPr="000A682B">
        <w:rPr>
          <w:rFonts w:ascii="Gadugi" w:hAnsi="Gadugi"/>
          <w:i/>
          <w:iCs/>
          <w:sz w:val="24"/>
          <w:szCs w:val="24"/>
        </w:rPr>
        <w:t xml:space="preserve">(I) satisfacción de los presupuestos de la acción (SC5473, 16 dic. 2017, rad. n.° 2017-40845-01); (II) restituciones mutuas a consecuencia de la extinción retroactiva de negocios jurídicos (SC2217, 9 jun. 2021, rad. n.° 2010-00633-02); (III) presupuestos procesales, esto es, los requisitos exigidos por la ley para la regular formación y el perfecto desarrollo del proceso (SC, 15 </w:t>
      </w:r>
      <w:proofErr w:type="spellStart"/>
      <w:r w:rsidRPr="000A682B">
        <w:rPr>
          <w:rFonts w:ascii="Gadugi" w:hAnsi="Gadugi"/>
          <w:i/>
          <w:iCs/>
          <w:sz w:val="24"/>
          <w:szCs w:val="24"/>
        </w:rPr>
        <w:t>may</w:t>
      </w:r>
      <w:proofErr w:type="spellEnd"/>
      <w:r w:rsidRPr="000A682B">
        <w:rPr>
          <w:rFonts w:ascii="Gadugi" w:hAnsi="Gadugi"/>
          <w:i/>
          <w:iCs/>
          <w:sz w:val="24"/>
          <w:szCs w:val="24"/>
        </w:rPr>
        <w:t>. 1985, reiterado AC3048, 28 jul. 2021, rad. n.° 2011-00487-01); (IV) orden público, como sucede con la nulidad absoluta de ciertos actos o declaraciones de voluntad (</w:t>
      </w:r>
      <w:proofErr w:type="spellStart"/>
      <w:r w:rsidRPr="000A682B">
        <w:rPr>
          <w:rFonts w:ascii="Gadugi" w:hAnsi="Gadugi"/>
          <w:i/>
          <w:iCs/>
          <w:sz w:val="24"/>
          <w:szCs w:val="24"/>
        </w:rPr>
        <w:t>idem</w:t>
      </w:r>
      <w:proofErr w:type="spellEnd"/>
      <w:r w:rsidRPr="000A682B">
        <w:rPr>
          <w:rFonts w:ascii="Gadugi" w:hAnsi="Gadugi"/>
          <w:i/>
          <w:iCs/>
          <w:sz w:val="24"/>
          <w:szCs w:val="24"/>
        </w:rPr>
        <w:t xml:space="preserve">); y (V) </w:t>
      </w:r>
      <w:r w:rsidRPr="000A682B">
        <w:rPr>
          <w:rFonts w:ascii="Gadugi" w:hAnsi="Gadugi"/>
          <w:b/>
          <w:bCs/>
          <w:i/>
          <w:iCs/>
          <w:sz w:val="24"/>
          <w:szCs w:val="24"/>
        </w:rPr>
        <w:t>satisfacción de los requisitos de los títulos ejecutivos para ordenar el cumplimiento coactivo</w:t>
      </w:r>
      <w:r w:rsidRPr="000A682B">
        <w:rPr>
          <w:rFonts w:ascii="Gadugi" w:hAnsi="Gadugi"/>
          <w:i/>
          <w:iCs/>
          <w:sz w:val="24"/>
          <w:szCs w:val="24"/>
        </w:rPr>
        <w:t xml:space="preserve"> (STC15169, 7 nov. 2019, rad. n.° 2019-01721-01)</w:t>
      </w:r>
      <w:r w:rsidRPr="000A682B">
        <w:rPr>
          <w:rStyle w:val="Refdenotaalpie"/>
          <w:rFonts w:ascii="Gadugi" w:hAnsi="Gadugi"/>
          <w:i/>
          <w:iCs/>
          <w:sz w:val="24"/>
          <w:szCs w:val="24"/>
        </w:rPr>
        <w:footnoteReference w:id="10"/>
      </w:r>
      <w:r w:rsidRPr="000A682B">
        <w:rPr>
          <w:rFonts w:ascii="Gadugi" w:hAnsi="Gadugi"/>
          <w:i/>
          <w:iCs/>
          <w:sz w:val="24"/>
          <w:szCs w:val="24"/>
        </w:rPr>
        <w:t xml:space="preserve">. </w:t>
      </w:r>
    </w:p>
    <w:p w14:paraId="30C68AD3" w14:textId="77777777" w:rsidR="003903C7" w:rsidRPr="000A682B" w:rsidRDefault="003903C7" w:rsidP="000A682B">
      <w:pPr>
        <w:pStyle w:val="Prrafodelista"/>
        <w:tabs>
          <w:tab w:val="left" w:pos="426"/>
        </w:tabs>
        <w:ind w:left="0"/>
        <w:jc w:val="both"/>
        <w:rPr>
          <w:rFonts w:ascii="Gadugi" w:eastAsia="Georgia" w:hAnsi="Gadugi" w:cs="Georgia"/>
          <w:bCs/>
          <w:sz w:val="24"/>
          <w:szCs w:val="24"/>
          <w:lang w:val="es-CO"/>
        </w:rPr>
      </w:pPr>
    </w:p>
    <w:p w14:paraId="3B37E8DF" w14:textId="2BCB4944" w:rsidR="00A96EAC" w:rsidRPr="000A682B" w:rsidRDefault="00A96EAC" w:rsidP="000A682B">
      <w:pPr>
        <w:pStyle w:val="Prrafodelista"/>
        <w:tabs>
          <w:tab w:val="left" w:pos="426"/>
        </w:tabs>
        <w:ind w:left="0"/>
        <w:jc w:val="both"/>
        <w:rPr>
          <w:rFonts w:ascii="Gadugi" w:eastAsia="Georgia" w:hAnsi="Gadugi" w:cs="Georgia"/>
          <w:bCs/>
          <w:sz w:val="24"/>
          <w:szCs w:val="24"/>
          <w:lang w:val="es-CO"/>
        </w:rPr>
      </w:pPr>
      <w:r w:rsidRPr="000A682B">
        <w:rPr>
          <w:rFonts w:ascii="Gadugi" w:eastAsia="Georgia" w:hAnsi="Gadugi" w:cs="Georgia"/>
          <w:bCs/>
          <w:sz w:val="24"/>
          <w:szCs w:val="24"/>
          <w:lang w:val="es-CO"/>
        </w:rPr>
        <w:t xml:space="preserve">Es lo que se ha dado en denominar la pretensión </w:t>
      </w:r>
      <w:proofErr w:type="spellStart"/>
      <w:r w:rsidRPr="000A682B">
        <w:rPr>
          <w:rFonts w:ascii="Gadugi" w:eastAsia="Georgia" w:hAnsi="Gadugi" w:cs="Georgia"/>
          <w:bCs/>
          <w:sz w:val="24"/>
          <w:szCs w:val="24"/>
          <w:lang w:val="es-CO"/>
        </w:rPr>
        <w:t>impugnaticia</w:t>
      </w:r>
      <w:proofErr w:type="spellEnd"/>
      <w:r w:rsidRPr="000A682B">
        <w:rPr>
          <w:rFonts w:ascii="Gadugi" w:eastAsia="Georgia" w:hAnsi="Gadugi" w:cs="Georgia"/>
          <w:bCs/>
          <w:sz w:val="24"/>
          <w:szCs w:val="24"/>
          <w:lang w:val="es-CO"/>
        </w:rPr>
        <w:t>, como ha sido reconocido por esta Sala de tiempo atrás</w:t>
      </w:r>
      <w:r w:rsidRPr="000A682B">
        <w:rPr>
          <w:rFonts w:ascii="Gadugi" w:eastAsia="Georgia" w:hAnsi="Gadugi" w:cs="Georgia"/>
          <w:bCs/>
          <w:sz w:val="24"/>
          <w:szCs w:val="24"/>
          <w:vertAlign w:val="superscript"/>
          <w:lang w:val="es-CO"/>
        </w:rPr>
        <w:footnoteReference w:id="11"/>
      </w:r>
      <w:r w:rsidRPr="000A682B">
        <w:rPr>
          <w:rFonts w:ascii="Gadugi" w:eastAsia="Georgia" w:hAnsi="Gadugi" w:cs="Georgia"/>
          <w:bCs/>
          <w:sz w:val="24"/>
          <w:szCs w:val="24"/>
          <w:lang w:val="es-CO"/>
        </w:rPr>
        <w:t xml:space="preserve"> y lo han reiterado otras</w:t>
      </w:r>
      <w:r w:rsidRPr="000A682B">
        <w:rPr>
          <w:rFonts w:ascii="Gadugi" w:eastAsia="Georgia" w:hAnsi="Gadugi" w:cs="Georgia"/>
          <w:bCs/>
          <w:sz w:val="24"/>
          <w:szCs w:val="24"/>
          <w:vertAlign w:val="superscript"/>
          <w:lang w:val="es-CO"/>
        </w:rPr>
        <w:footnoteReference w:id="12"/>
      </w:r>
      <w:r w:rsidRPr="000A682B">
        <w:rPr>
          <w:rFonts w:ascii="Gadugi" w:eastAsia="Georgia" w:hAnsi="Gadugi" w:cs="Georgia"/>
          <w:bCs/>
          <w:sz w:val="24"/>
          <w:szCs w:val="24"/>
          <w:lang w:val="es-CO"/>
        </w:rPr>
        <w:t>, con soporte en decisiones de la Corte, unas de tutela</w:t>
      </w:r>
      <w:r w:rsidRPr="000A682B">
        <w:rPr>
          <w:rFonts w:ascii="Gadugi" w:eastAsia="Georgia" w:hAnsi="Gadugi" w:cs="Georgia"/>
          <w:bCs/>
          <w:sz w:val="24"/>
          <w:szCs w:val="24"/>
          <w:vertAlign w:val="superscript"/>
          <w:lang w:val="es-CO"/>
        </w:rPr>
        <w:footnoteReference w:id="13"/>
      </w:r>
      <w:r w:rsidRPr="000A682B">
        <w:rPr>
          <w:rFonts w:ascii="Gadugi" w:eastAsia="Georgia" w:hAnsi="Gadugi" w:cs="Georgia"/>
          <w:bCs/>
          <w:sz w:val="24"/>
          <w:szCs w:val="24"/>
          <w:lang w:val="es-CO"/>
        </w:rPr>
        <w:t>, que se acogen como criterio auxiliar, y otras de casación</w:t>
      </w:r>
      <w:r w:rsidRPr="000A682B">
        <w:rPr>
          <w:rFonts w:ascii="Gadugi" w:eastAsia="Georgia" w:hAnsi="Gadugi" w:cs="Georgia"/>
          <w:bCs/>
          <w:sz w:val="24"/>
          <w:szCs w:val="24"/>
          <w:vertAlign w:val="superscript"/>
          <w:lang w:val="es-CO"/>
        </w:rPr>
        <w:footnoteReference w:id="14"/>
      </w:r>
      <w:r w:rsidRPr="000A682B">
        <w:rPr>
          <w:rFonts w:ascii="Gadugi" w:eastAsia="Georgia" w:hAnsi="Gadugi" w:cs="Georgia"/>
          <w:bCs/>
          <w:sz w:val="24"/>
          <w:szCs w:val="24"/>
          <w:lang w:val="es-CO"/>
        </w:rPr>
        <w:t xml:space="preserve">. </w:t>
      </w:r>
    </w:p>
    <w:p w14:paraId="6AED7FD0" w14:textId="77777777" w:rsidR="00A96EAC" w:rsidRPr="000A682B" w:rsidRDefault="00A96EAC" w:rsidP="000A682B">
      <w:pPr>
        <w:jc w:val="both"/>
        <w:rPr>
          <w:rFonts w:ascii="Gadugi" w:eastAsia="Georgia" w:hAnsi="Gadugi" w:cs="Georgia"/>
          <w:bCs/>
          <w:sz w:val="24"/>
          <w:szCs w:val="24"/>
        </w:rPr>
      </w:pPr>
      <w:r w:rsidRPr="000A682B">
        <w:rPr>
          <w:rFonts w:ascii="Gadugi" w:eastAsia="Georgia" w:hAnsi="Gadugi" w:cs="Georgia"/>
          <w:bCs/>
          <w:sz w:val="24"/>
          <w:szCs w:val="24"/>
        </w:rPr>
        <w:t xml:space="preserve">  </w:t>
      </w:r>
    </w:p>
    <w:p w14:paraId="344D2F5F" w14:textId="6CFD91CE" w:rsidR="00A96EAC" w:rsidRPr="000A682B" w:rsidRDefault="00A96EAC" w:rsidP="000A682B">
      <w:pPr>
        <w:jc w:val="both"/>
        <w:rPr>
          <w:rFonts w:ascii="Gadugi" w:eastAsia="Georgia" w:hAnsi="Gadugi" w:cs="Georgia"/>
          <w:bCs/>
          <w:sz w:val="24"/>
          <w:szCs w:val="24"/>
        </w:rPr>
      </w:pPr>
      <w:r w:rsidRPr="000A682B">
        <w:rPr>
          <w:rFonts w:ascii="Gadugi" w:eastAsia="Georgia" w:hAnsi="Gadugi" w:cs="Georgia"/>
          <w:bCs/>
          <w:sz w:val="24"/>
          <w:szCs w:val="24"/>
        </w:rPr>
        <w:t xml:space="preserve">Concretamente, sobre el deber del juez de revisar el título ejecutivo al momento de proferir la orden de seguir adelante la ejecución, no obstante la previsión del artículo 430 del CGP, tiene </w:t>
      </w:r>
      <w:r w:rsidR="00A01C60" w:rsidRPr="000A682B">
        <w:rPr>
          <w:rFonts w:ascii="Gadugi" w:eastAsia="Georgia" w:hAnsi="Gadugi" w:cs="Georgia"/>
          <w:bCs/>
          <w:sz w:val="24"/>
          <w:szCs w:val="24"/>
        </w:rPr>
        <w:t>señalado</w:t>
      </w:r>
      <w:r w:rsidRPr="000A682B">
        <w:rPr>
          <w:rFonts w:ascii="Gadugi" w:eastAsia="Georgia" w:hAnsi="Gadugi" w:cs="Georgia"/>
          <w:bCs/>
          <w:sz w:val="24"/>
          <w:szCs w:val="24"/>
        </w:rPr>
        <w:t xml:space="preserve"> también la Corte</w:t>
      </w:r>
      <w:r w:rsidRPr="000A682B">
        <w:rPr>
          <w:rStyle w:val="Refdenotaalpie"/>
          <w:rFonts w:ascii="Gadugi" w:eastAsia="Georgia" w:hAnsi="Gadugi" w:cs="Georgia"/>
          <w:bCs/>
          <w:sz w:val="24"/>
          <w:szCs w:val="24"/>
        </w:rPr>
        <w:footnoteReference w:id="15"/>
      </w:r>
      <w:r w:rsidRPr="000A682B">
        <w:rPr>
          <w:rFonts w:ascii="Gadugi" w:eastAsia="Georgia" w:hAnsi="Gadugi" w:cs="Georgia"/>
          <w:bCs/>
          <w:sz w:val="24"/>
          <w:szCs w:val="24"/>
        </w:rPr>
        <w:t xml:space="preserve"> que:</w:t>
      </w:r>
    </w:p>
    <w:p w14:paraId="101F1D11" w14:textId="77777777" w:rsidR="00A96EAC" w:rsidRPr="000A682B" w:rsidRDefault="00A96EAC" w:rsidP="000A682B">
      <w:pPr>
        <w:tabs>
          <w:tab w:val="left" w:pos="851"/>
        </w:tabs>
        <w:overflowPunct w:val="0"/>
        <w:autoSpaceDE w:val="0"/>
        <w:ind w:right="-91"/>
        <w:jc w:val="both"/>
        <w:rPr>
          <w:rFonts w:ascii="Gadugi" w:eastAsia="Times New Roman" w:hAnsi="Gadugi"/>
          <w:sz w:val="24"/>
          <w:szCs w:val="24"/>
        </w:rPr>
      </w:pPr>
    </w:p>
    <w:p w14:paraId="14AAC894" w14:textId="0A3DE6E5" w:rsidR="00A96EAC" w:rsidRPr="000A682B" w:rsidRDefault="005D1354" w:rsidP="005D1354">
      <w:pPr>
        <w:tabs>
          <w:tab w:val="left" w:pos="851"/>
        </w:tabs>
        <w:overflowPunct w:val="0"/>
        <w:autoSpaceDE w:val="0"/>
        <w:spacing w:line="240" w:lineRule="auto"/>
        <w:ind w:left="426" w:right="420"/>
        <w:jc w:val="both"/>
        <w:rPr>
          <w:rFonts w:ascii="Gadugi" w:eastAsia="Times New Roman" w:hAnsi="Gadugi"/>
          <w:szCs w:val="24"/>
        </w:rPr>
      </w:pPr>
      <w:r>
        <w:rPr>
          <w:rFonts w:ascii="Gadugi" w:eastAsia="Times New Roman" w:hAnsi="Gadugi"/>
          <w:szCs w:val="24"/>
        </w:rPr>
        <w:t xml:space="preserve">“… </w:t>
      </w:r>
      <w:r w:rsidR="00A96EAC" w:rsidRPr="000A682B">
        <w:rPr>
          <w:rFonts w:ascii="Gadugi" w:eastAsia="Times New Roman" w:hAnsi="Gadugi"/>
          <w:szCs w:val="24"/>
        </w:rPr>
        <w:t>aunque la norma prevé la revisión del «</w:t>
      </w:r>
      <w:r w:rsidR="00A96EAC" w:rsidRPr="000A682B">
        <w:rPr>
          <w:rFonts w:ascii="Gadugi" w:eastAsia="Times New Roman" w:hAnsi="Gadugi"/>
          <w:i/>
          <w:szCs w:val="24"/>
        </w:rPr>
        <w:t>título ejecutivo</w:t>
      </w:r>
      <w:r w:rsidR="00A96EAC" w:rsidRPr="000A682B">
        <w:rPr>
          <w:rFonts w:ascii="Gadugi" w:eastAsia="Times New Roman" w:hAnsi="Gadugi"/>
          <w:szCs w:val="24"/>
        </w:rPr>
        <w:t xml:space="preserve">» con antelación a la </w:t>
      </w:r>
      <w:r w:rsidR="00A96EAC" w:rsidRPr="000A682B">
        <w:rPr>
          <w:rFonts w:ascii="Gadugi" w:eastAsia="Times New Roman" w:hAnsi="Gadugi"/>
          <w:i/>
          <w:szCs w:val="24"/>
        </w:rPr>
        <w:t>«emisión de la orden de apremio</w:t>
      </w:r>
      <w:r w:rsidR="00A96EAC" w:rsidRPr="000A682B">
        <w:rPr>
          <w:rFonts w:ascii="Gadugi" w:eastAsia="Times New Roman" w:hAnsi="Gadugi"/>
          <w:szCs w:val="24"/>
        </w:rPr>
        <w:t>», también puede efectuarse en la sentencia en cualquiera de las instancias, etapa que aquí aún no se ha surtido.</w:t>
      </w:r>
    </w:p>
    <w:p w14:paraId="76DDA077" w14:textId="77777777" w:rsidR="00A96EAC" w:rsidRPr="000A682B" w:rsidRDefault="00A96EAC" w:rsidP="005D1354">
      <w:pPr>
        <w:tabs>
          <w:tab w:val="left" w:pos="851"/>
        </w:tabs>
        <w:overflowPunct w:val="0"/>
        <w:autoSpaceDE w:val="0"/>
        <w:spacing w:line="240" w:lineRule="auto"/>
        <w:ind w:left="426" w:right="420" w:firstLine="851"/>
        <w:jc w:val="both"/>
        <w:rPr>
          <w:rFonts w:ascii="Gadugi" w:eastAsia="Times New Roman" w:hAnsi="Gadugi"/>
          <w:szCs w:val="24"/>
        </w:rPr>
      </w:pPr>
    </w:p>
    <w:p w14:paraId="2F61F91B" w14:textId="77777777" w:rsidR="00A96EAC" w:rsidRPr="000A682B" w:rsidRDefault="00A96EAC" w:rsidP="005D1354">
      <w:pPr>
        <w:tabs>
          <w:tab w:val="left" w:pos="851"/>
        </w:tabs>
        <w:overflowPunct w:val="0"/>
        <w:autoSpaceDE w:val="0"/>
        <w:spacing w:line="240" w:lineRule="auto"/>
        <w:ind w:left="426" w:right="420"/>
        <w:jc w:val="both"/>
        <w:rPr>
          <w:rFonts w:ascii="Gadugi" w:eastAsia="Times New Roman" w:hAnsi="Gadugi"/>
          <w:szCs w:val="24"/>
        </w:rPr>
      </w:pPr>
      <w:r w:rsidRPr="000A682B">
        <w:rPr>
          <w:rFonts w:ascii="Gadugi" w:eastAsia="Times New Roman" w:hAnsi="Gadugi"/>
          <w:szCs w:val="24"/>
        </w:rPr>
        <w:t xml:space="preserve">En efecto, en la </w:t>
      </w:r>
      <w:r w:rsidRPr="000A682B">
        <w:rPr>
          <w:rFonts w:ascii="Gadugi" w:hAnsi="Gadugi"/>
          <w:szCs w:val="24"/>
          <w:lang w:val="es-ES_tradnl"/>
        </w:rPr>
        <w:t>STC18432-2016, de 15 de diciembre de 2016, reiterada en STC 2725 de 2020 (rad. 2020-00675-00) y STC1463-2022, (rad. 2022-00361), precisó:</w:t>
      </w:r>
    </w:p>
    <w:p w14:paraId="5C9E4EA8" w14:textId="77777777" w:rsidR="00A96EAC" w:rsidRPr="000A682B" w:rsidRDefault="00A96EAC" w:rsidP="005D1354">
      <w:pPr>
        <w:tabs>
          <w:tab w:val="left" w:pos="851"/>
        </w:tabs>
        <w:overflowPunct w:val="0"/>
        <w:autoSpaceDE w:val="0"/>
        <w:spacing w:line="240" w:lineRule="auto"/>
        <w:ind w:left="426" w:right="420" w:firstLine="851"/>
        <w:jc w:val="both"/>
        <w:rPr>
          <w:rFonts w:ascii="Gadugi" w:eastAsia="Times New Roman" w:hAnsi="Gadugi"/>
          <w:szCs w:val="24"/>
        </w:rPr>
      </w:pPr>
    </w:p>
    <w:p w14:paraId="403C78AB" w14:textId="77777777" w:rsidR="00A96EAC" w:rsidRPr="000A682B" w:rsidRDefault="00A96EAC" w:rsidP="005D1354">
      <w:pPr>
        <w:overflowPunct w:val="0"/>
        <w:autoSpaceDE w:val="0"/>
        <w:adjustRightInd w:val="0"/>
        <w:spacing w:line="240" w:lineRule="auto"/>
        <w:ind w:left="426" w:right="420"/>
        <w:jc w:val="both"/>
        <w:textAlignment w:val="baseline"/>
        <w:rPr>
          <w:rFonts w:ascii="Gadugi" w:hAnsi="Gadugi"/>
          <w:i/>
          <w:szCs w:val="24"/>
          <w:lang w:val="es-ES_tradnl"/>
        </w:rPr>
      </w:pPr>
      <w:r w:rsidRPr="000A682B">
        <w:rPr>
          <w:rFonts w:ascii="Gadugi" w:hAnsi="Gadugi"/>
          <w:i/>
          <w:szCs w:val="24"/>
          <w:lang w:val="es-ES_tradnl"/>
        </w:rPr>
        <w:t xml:space="preserve">(…) en lo que atañe con el control que oficiosamente ha de realizarse sobre el título ejecutivo que se presenta ante la jurisdicción en pro de soportar los diferentes recaudos, ha de predicarse que, si bien el precepto 430 del Código General del Proceso estipula, en uno de sus segmentos, en concreto en su inciso segundo, que </w:t>
      </w:r>
      <w:r w:rsidRPr="000A682B">
        <w:rPr>
          <w:rFonts w:ascii="Gadugi" w:hAnsi="Gadugi"/>
          <w:i/>
          <w:szCs w:val="24"/>
          <w:lang w:val="es-ES_tradnl"/>
        </w:rPr>
        <w:lastRenderedPageBreak/>
        <w:t xml:space="preserve">«[l]os requisitos formales del título ejecutivo sólo podrán discutirse mediante recurso de reposición contra el mandamiento ejecutivo. No se admitirá ninguna controversia sobre los requisitos del título que no haya sido planteada por medio de dicho recurso. En consecuencia, los defectos formales del título ejecutivo no podrán reconocerse o declararse por el juez en la sentencia o en el auto que ordene seguir adelante la ejecución, según fuere el caso», lo cierto es que ese fragmento también debe armonizarse con otros que obran en esa misma regla, así como también con otras normas que hacen parte del entramado legal, verbigracia, con los cánones 4º, 11, 42-2º y 430 inciso 1º </w:t>
      </w:r>
      <w:proofErr w:type="spellStart"/>
      <w:r w:rsidRPr="000A682B">
        <w:rPr>
          <w:rFonts w:ascii="Gadugi" w:hAnsi="Gadugi"/>
          <w:i/>
          <w:szCs w:val="24"/>
          <w:lang w:val="es-ES_tradnl"/>
        </w:rPr>
        <w:t>ejúsdem</w:t>
      </w:r>
      <w:proofErr w:type="spellEnd"/>
      <w:r w:rsidRPr="000A682B">
        <w:rPr>
          <w:rFonts w:ascii="Gadugi" w:hAnsi="Gadugi"/>
          <w:i/>
          <w:szCs w:val="24"/>
          <w:lang w:val="es-ES_tradnl"/>
        </w:rPr>
        <w:t>, amén del mandato constitucional enantes aludido</w:t>
      </w:r>
      <w:r w:rsidRPr="000A682B">
        <w:rPr>
          <w:rFonts w:ascii="Gadugi" w:hAnsi="Gadugi"/>
          <w:szCs w:val="24"/>
          <w:lang w:val="es-ES_tradnl"/>
        </w:rPr>
        <w:t>”.</w:t>
      </w:r>
    </w:p>
    <w:p w14:paraId="6AEE18B4" w14:textId="77777777" w:rsidR="00A96EAC" w:rsidRPr="000A682B" w:rsidRDefault="00A96EAC" w:rsidP="000A682B">
      <w:pPr>
        <w:overflowPunct w:val="0"/>
        <w:autoSpaceDE w:val="0"/>
        <w:adjustRightInd w:val="0"/>
        <w:spacing w:line="240" w:lineRule="auto"/>
        <w:ind w:left="426" w:right="420"/>
        <w:jc w:val="both"/>
        <w:textAlignment w:val="baseline"/>
        <w:rPr>
          <w:rFonts w:ascii="Gadugi" w:hAnsi="Gadugi"/>
          <w:i/>
          <w:szCs w:val="24"/>
          <w:lang w:val="es-ES_tradnl"/>
        </w:rPr>
      </w:pPr>
    </w:p>
    <w:p w14:paraId="4B369066" w14:textId="77777777" w:rsidR="00A96EAC" w:rsidRPr="000A682B" w:rsidRDefault="00A96EAC" w:rsidP="000A682B">
      <w:pPr>
        <w:overflowPunct w:val="0"/>
        <w:autoSpaceDE w:val="0"/>
        <w:adjustRightInd w:val="0"/>
        <w:spacing w:line="240" w:lineRule="auto"/>
        <w:ind w:left="426" w:right="420"/>
        <w:jc w:val="both"/>
        <w:textAlignment w:val="baseline"/>
        <w:rPr>
          <w:rFonts w:ascii="Gadugi" w:hAnsi="Gadugi"/>
          <w:i/>
          <w:szCs w:val="24"/>
          <w:lang w:val="es-ES_tradnl"/>
        </w:rPr>
      </w:pPr>
      <w:r w:rsidRPr="000A682B">
        <w:rPr>
          <w:rFonts w:ascii="Gadugi" w:hAnsi="Gadugi"/>
          <w:szCs w:val="24"/>
          <w:lang w:val="es-ES_tradnl"/>
        </w:rPr>
        <w:t>“</w:t>
      </w:r>
      <w:r w:rsidRPr="000A682B">
        <w:rPr>
          <w:rFonts w:ascii="Gadugi" w:hAnsi="Gadugi"/>
          <w:i/>
          <w:szCs w:val="24"/>
          <w:lang w:val="es-ES_tradnl"/>
        </w:rPr>
        <w:t xml:space="preserve">Por ende, mal puede olvidarse que, así como el legislador estipuló lo </w:t>
      </w:r>
      <w:proofErr w:type="spellStart"/>
      <w:r w:rsidRPr="000A682B">
        <w:rPr>
          <w:rFonts w:ascii="Gadugi" w:hAnsi="Gadugi"/>
          <w:i/>
          <w:szCs w:val="24"/>
          <w:lang w:val="es-ES_tradnl"/>
        </w:rPr>
        <w:t>utsupra</w:t>
      </w:r>
      <w:proofErr w:type="spellEnd"/>
      <w:r w:rsidRPr="000A682B">
        <w:rPr>
          <w:rFonts w:ascii="Gadugi" w:hAnsi="Gadugi"/>
          <w:i/>
          <w:szCs w:val="24"/>
          <w:lang w:val="es-ES_tradnl"/>
        </w:rPr>
        <w:t xml:space="preserve"> preceptuado, asimismo en la última de las citadas regulaciones, puntualmente en su inciso primero, determinó que «[p]</w:t>
      </w:r>
      <w:proofErr w:type="spellStart"/>
      <w:r w:rsidRPr="000A682B">
        <w:rPr>
          <w:rFonts w:ascii="Gadugi" w:hAnsi="Gadugi"/>
          <w:i/>
          <w:szCs w:val="24"/>
          <w:lang w:val="es-ES_tradnl"/>
        </w:rPr>
        <w:t>resentada</w:t>
      </w:r>
      <w:proofErr w:type="spellEnd"/>
      <w:r w:rsidRPr="000A682B">
        <w:rPr>
          <w:rFonts w:ascii="Gadugi" w:hAnsi="Gadugi"/>
          <w:i/>
          <w:szCs w:val="24"/>
          <w:lang w:val="es-ES_tradnl"/>
        </w:rPr>
        <w:t xml:space="preserve"> la demanda acompañada de documento que preste mérito ejecutivo, el juez librará mandamiento ordenando al demandado que cumpla la obligación en la forma pedida, si fuere procedente, o en la que aquel considere legal</w:t>
      </w:r>
      <w:r w:rsidRPr="000A682B">
        <w:rPr>
          <w:rFonts w:ascii="Gadugi" w:hAnsi="Gadugi"/>
          <w:szCs w:val="24"/>
          <w:lang w:val="es-ES_tradnl"/>
        </w:rPr>
        <w:t>”.</w:t>
      </w:r>
    </w:p>
    <w:p w14:paraId="074E7F30" w14:textId="77777777" w:rsidR="00A96EAC" w:rsidRPr="000A682B" w:rsidRDefault="00A96EAC" w:rsidP="000A682B">
      <w:pPr>
        <w:overflowPunct w:val="0"/>
        <w:autoSpaceDE w:val="0"/>
        <w:adjustRightInd w:val="0"/>
        <w:spacing w:line="240" w:lineRule="auto"/>
        <w:ind w:left="426" w:right="420"/>
        <w:jc w:val="both"/>
        <w:textAlignment w:val="baseline"/>
        <w:rPr>
          <w:rFonts w:ascii="Gadugi" w:hAnsi="Gadugi"/>
          <w:i/>
          <w:szCs w:val="24"/>
          <w:lang w:val="es-ES_tradnl"/>
        </w:rPr>
      </w:pPr>
    </w:p>
    <w:p w14:paraId="6971F7A7" w14:textId="77777777" w:rsidR="00A96EAC" w:rsidRPr="000A682B" w:rsidRDefault="00A96EAC" w:rsidP="000A682B">
      <w:pPr>
        <w:overflowPunct w:val="0"/>
        <w:autoSpaceDE w:val="0"/>
        <w:adjustRightInd w:val="0"/>
        <w:spacing w:line="240" w:lineRule="auto"/>
        <w:ind w:left="426" w:right="420"/>
        <w:jc w:val="both"/>
        <w:textAlignment w:val="baseline"/>
        <w:rPr>
          <w:rFonts w:ascii="Gadugi" w:hAnsi="Gadugi"/>
          <w:szCs w:val="24"/>
          <w:lang w:val="es-ES_tradnl"/>
        </w:rPr>
      </w:pPr>
      <w:r w:rsidRPr="000A682B">
        <w:rPr>
          <w:rFonts w:ascii="Gadugi" w:hAnsi="Gadugi"/>
          <w:szCs w:val="24"/>
          <w:lang w:val="es-ES_tradnl"/>
        </w:rPr>
        <w:t>“</w:t>
      </w:r>
      <w:r w:rsidRPr="000A682B">
        <w:rPr>
          <w:rFonts w:ascii="Gadugi" w:hAnsi="Gadugi"/>
          <w:i/>
          <w:szCs w:val="24"/>
          <w:lang w:val="es-ES_tradnl"/>
        </w:rPr>
        <w:t xml:space="preserve">De ese modo las cosas, todo juzgador, no cabe duda, está habilitado para volver a estudiar, incluso ex </w:t>
      </w:r>
      <w:proofErr w:type="spellStart"/>
      <w:r w:rsidRPr="000A682B">
        <w:rPr>
          <w:rFonts w:ascii="Gadugi" w:hAnsi="Gadugi"/>
          <w:i/>
          <w:szCs w:val="24"/>
          <w:lang w:val="es-ES_tradnl"/>
        </w:rPr>
        <w:t>officio</w:t>
      </w:r>
      <w:proofErr w:type="spellEnd"/>
      <w:r w:rsidRPr="000A682B">
        <w:rPr>
          <w:rFonts w:ascii="Gadugi" w:hAnsi="Gadugi"/>
          <w:i/>
          <w:szCs w:val="24"/>
          <w:lang w:val="es-ES_tradnl"/>
        </w:rPr>
        <w:t xml:space="preserve"> y sin límite en cuanto atañe con ese preciso tópico, el título que se presenta como soporte del recaudo, pues tal proceder ha de adelantarlo tanto al analizar, por vía de impugnación, la orden de apremio impartida cuando la misma es de ese modo rebatida, como también a la hora de emitir el fallo con que finiquite lo atañedero con ese escrutinio judicial, en tanto que ese es el primer aspecto relativamente al cual se ha de pronunciar la jurisdicción, ya sea a través del juez a quo, ora por el ad </w:t>
      </w:r>
      <w:proofErr w:type="spellStart"/>
      <w:r w:rsidRPr="000A682B">
        <w:rPr>
          <w:rFonts w:ascii="Gadugi" w:hAnsi="Gadugi"/>
          <w:i/>
          <w:szCs w:val="24"/>
          <w:lang w:val="es-ES_tradnl"/>
        </w:rPr>
        <w:t>quem</w:t>
      </w:r>
      <w:proofErr w:type="spellEnd"/>
      <w:r w:rsidRPr="000A682B">
        <w:rPr>
          <w:rFonts w:ascii="Gadugi" w:hAnsi="Gadugi"/>
          <w:szCs w:val="24"/>
          <w:lang w:val="es-ES_tradnl"/>
        </w:rPr>
        <w:t>”.</w:t>
      </w:r>
    </w:p>
    <w:p w14:paraId="5436A9BE" w14:textId="77777777" w:rsidR="00A96EAC" w:rsidRPr="000A682B" w:rsidRDefault="00A96EAC" w:rsidP="000A682B">
      <w:pPr>
        <w:overflowPunct w:val="0"/>
        <w:autoSpaceDE w:val="0"/>
        <w:adjustRightInd w:val="0"/>
        <w:ind w:left="567" w:right="567"/>
        <w:jc w:val="both"/>
        <w:textAlignment w:val="baseline"/>
        <w:rPr>
          <w:rFonts w:ascii="Gadugi" w:hAnsi="Gadugi"/>
          <w:sz w:val="24"/>
          <w:szCs w:val="24"/>
          <w:lang w:val="es-ES_tradnl"/>
        </w:rPr>
      </w:pPr>
    </w:p>
    <w:p w14:paraId="2DC4372C" w14:textId="256415CA" w:rsidR="00A96EAC" w:rsidRPr="000A682B" w:rsidRDefault="00A96EAC" w:rsidP="000A682B">
      <w:pPr>
        <w:jc w:val="both"/>
        <w:rPr>
          <w:rFonts w:ascii="Gadugi" w:eastAsia="Georgia" w:hAnsi="Gadugi" w:cs="Georgia"/>
          <w:bCs/>
          <w:sz w:val="24"/>
          <w:szCs w:val="24"/>
        </w:rPr>
      </w:pPr>
      <w:r w:rsidRPr="000A682B">
        <w:rPr>
          <w:rFonts w:ascii="Gadugi" w:eastAsia="Georgia" w:hAnsi="Gadugi" w:cs="Georgia"/>
          <w:bCs/>
          <w:sz w:val="24"/>
          <w:szCs w:val="24"/>
        </w:rPr>
        <w:t xml:space="preserve">Es menester destacar lo anterior, pues, como se verá, buena parte del </w:t>
      </w:r>
      <w:r w:rsidR="00404C45" w:rsidRPr="000A682B">
        <w:rPr>
          <w:rFonts w:ascii="Gadugi" w:eastAsia="Georgia" w:hAnsi="Gadugi" w:cs="Georgia"/>
          <w:bCs/>
          <w:sz w:val="24"/>
          <w:szCs w:val="24"/>
        </w:rPr>
        <w:t>d</w:t>
      </w:r>
      <w:r w:rsidRPr="000A682B">
        <w:rPr>
          <w:rFonts w:ascii="Gadugi" w:eastAsia="Georgia" w:hAnsi="Gadugi" w:cs="Georgia"/>
          <w:bCs/>
          <w:sz w:val="24"/>
          <w:szCs w:val="24"/>
        </w:rPr>
        <w:t>iscurso, tanto del juzgado, como de las partes, viene edificado en los requisitos formales del título aquí allegado como base de la ejecución</w:t>
      </w:r>
      <w:r w:rsidR="005127A2" w:rsidRPr="000A682B">
        <w:rPr>
          <w:rFonts w:ascii="Gadugi" w:eastAsia="Georgia" w:hAnsi="Gadugi" w:cs="Georgia"/>
          <w:bCs/>
          <w:sz w:val="24"/>
          <w:szCs w:val="24"/>
        </w:rPr>
        <w:t>, que fueron analizados en la sentencia misma</w:t>
      </w:r>
      <w:r w:rsidRPr="000A682B">
        <w:rPr>
          <w:rFonts w:ascii="Gadugi" w:eastAsia="Georgia" w:hAnsi="Gadugi" w:cs="Georgia"/>
          <w:bCs/>
          <w:sz w:val="24"/>
          <w:szCs w:val="24"/>
        </w:rPr>
        <w:t xml:space="preserve">. </w:t>
      </w:r>
    </w:p>
    <w:p w14:paraId="5B855BAA" w14:textId="77777777" w:rsidR="00A96EAC" w:rsidRPr="000A682B" w:rsidRDefault="00A96EAC" w:rsidP="000A682B">
      <w:pPr>
        <w:jc w:val="center"/>
        <w:rPr>
          <w:rFonts w:ascii="Gadugi" w:eastAsia="Georgia" w:hAnsi="Gadugi" w:cs="Georgia"/>
          <w:b/>
          <w:sz w:val="24"/>
          <w:szCs w:val="24"/>
        </w:rPr>
      </w:pPr>
    </w:p>
    <w:p w14:paraId="261A69F1" w14:textId="77777777" w:rsidR="00A96EAC" w:rsidRPr="000A682B" w:rsidRDefault="00A96EAC" w:rsidP="000A682B">
      <w:pPr>
        <w:pStyle w:val="Prrafodelista"/>
        <w:numPr>
          <w:ilvl w:val="1"/>
          <w:numId w:val="4"/>
        </w:numPr>
        <w:ind w:left="0" w:firstLine="0"/>
        <w:jc w:val="both"/>
        <w:rPr>
          <w:rFonts w:ascii="Gadugi" w:eastAsia="Georgia" w:hAnsi="Gadugi" w:cs="Georgia"/>
          <w:sz w:val="24"/>
          <w:szCs w:val="24"/>
        </w:rPr>
      </w:pPr>
      <w:r w:rsidRPr="000A682B">
        <w:rPr>
          <w:rFonts w:ascii="Gadugi" w:eastAsia="Georgia" w:hAnsi="Gadugi" w:cs="Georgia"/>
          <w:sz w:val="24"/>
          <w:szCs w:val="24"/>
        </w:rPr>
        <w:t>Señala el artículo 422 del CGP que p</w:t>
      </w:r>
      <w:r w:rsidRPr="000A682B">
        <w:rPr>
          <w:rFonts w:ascii="Gadugi" w:hAnsi="Gadugi" w:cs="Open Sans"/>
          <w:sz w:val="24"/>
          <w:szCs w:val="24"/>
        </w:rPr>
        <w:t xml:space="preserve">ueden demandarse ejecutivamente las obligaciones expresas, claras y exigibles que consten en documentos que provengan del deudor o de su causante, y constituyan plena prueba contra él. </w:t>
      </w:r>
    </w:p>
    <w:p w14:paraId="5E5F0C94" w14:textId="77777777" w:rsidR="00A96EAC" w:rsidRPr="000A682B" w:rsidRDefault="00A96EAC" w:rsidP="000A682B">
      <w:pPr>
        <w:jc w:val="both"/>
        <w:rPr>
          <w:rFonts w:ascii="Gadugi" w:eastAsia="Georgia" w:hAnsi="Gadugi" w:cs="Georgia"/>
          <w:sz w:val="24"/>
          <w:szCs w:val="24"/>
        </w:rPr>
      </w:pPr>
    </w:p>
    <w:p w14:paraId="370DDDAE" w14:textId="77777777" w:rsidR="009C6C00" w:rsidRPr="000A682B" w:rsidRDefault="00A96EAC" w:rsidP="000A682B">
      <w:pPr>
        <w:jc w:val="both"/>
        <w:rPr>
          <w:rFonts w:ascii="Gadugi" w:eastAsia="Georgia" w:hAnsi="Gadugi" w:cs="Georgia"/>
          <w:sz w:val="24"/>
          <w:szCs w:val="24"/>
        </w:rPr>
      </w:pPr>
      <w:r w:rsidRPr="000A682B">
        <w:rPr>
          <w:rFonts w:ascii="Gadugi" w:eastAsia="Georgia" w:hAnsi="Gadugi" w:cs="Georgia"/>
          <w:sz w:val="24"/>
          <w:szCs w:val="24"/>
        </w:rPr>
        <w:t xml:space="preserve">Presentado ante el juez un documento que contenga tales exigencias, se abre paso librar el mandamiento ejecutivo impetrado. </w:t>
      </w:r>
    </w:p>
    <w:p w14:paraId="48110576" w14:textId="77777777" w:rsidR="002C136B" w:rsidRPr="000A682B" w:rsidRDefault="002C136B" w:rsidP="000A682B">
      <w:pPr>
        <w:jc w:val="both"/>
        <w:rPr>
          <w:rFonts w:ascii="Gadugi" w:eastAsia="Georgia" w:hAnsi="Gadugi" w:cs="Georgia"/>
          <w:sz w:val="24"/>
          <w:szCs w:val="24"/>
        </w:rPr>
      </w:pPr>
    </w:p>
    <w:p w14:paraId="50DA1597" w14:textId="1B236F2A" w:rsidR="002C136B" w:rsidRPr="000A682B" w:rsidRDefault="002C136B" w:rsidP="000A682B">
      <w:pPr>
        <w:jc w:val="both"/>
        <w:rPr>
          <w:rFonts w:ascii="Gadugi" w:eastAsia="Georgia" w:hAnsi="Gadugi" w:cs="Georgia"/>
          <w:sz w:val="24"/>
          <w:szCs w:val="24"/>
        </w:rPr>
      </w:pPr>
      <w:r w:rsidRPr="000A682B">
        <w:rPr>
          <w:rFonts w:ascii="Gadugi" w:eastAsia="Georgia" w:hAnsi="Gadugi" w:cs="Georgia"/>
          <w:sz w:val="24"/>
          <w:szCs w:val="24"/>
        </w:rPr>
        <w:t xml:space="preserve">Es normal que un proceso ejecutivo se sirva </w:t>
      </w:r>
      <w:r w:rsidR="00787833" w:rsidRPr="000A682B">
        <w:rPr>
          <w:rFonts w:ascii="Gadugi" w:eastAsia="Georgia" w:hAnsi="Gadugi" w:cs="Georgia"/>
          <w:sz w:val="24"/>
          <w:szCs w:val="24"/>
        </w:rPr>
        <w:t>de un título valor</w:t>
      </w:r>
      <w:r w:rsidR="00F44552" w:rsidRPr="000A682B">
        <w:rPr>
          <w:rFonts w:ascii="Gadugi" w:eastAsia="Georgia" w:hAnsi="Gadugi" w:cs="Georgia"/>
          <w:sz w:val="24"/>
          <w:szCs w:val="24"/>
        </w:rPr>
        <w:t xml:space="preserve">, </w:t>
      </w:r>
      <w:r w:rsidR="008A62C4" w:rsidRPr="000A682B">
        <w:rPr>
          <w:rFonts w:ascii="Gadugi" w:eastAsia="Georgia" w:hAnsi="Gadugi" w:cs="Georgia"/>
          <w:sz w:val="24"/>
          <w:szCs w:val="24"/>
        </w:rPr>
        <w:t xml:space="preserve">es decir, en los términos del artículo 619 del estatuto mercantil, </w:t>
      </w:r>
      <w:r w:rsidR="00DD2F10" w:rsidRPr="000A682B">
        <w:rPr>
          <w:rFonts w:ascii="Gadugi" w:eastAsia="Georgia" w:hAnsi="Gadugi" w:cs="Georgia"/>
          <w:sz w:val="24"/>
          <w:szCs w:val="24"/>
        </w:rPr>
        <w:t xml:space="preserve">de </w:t>
      </w:r>
      <w:r w:rsidR="008B3DF0" w:rsidRPr="000A682B">
        <w:rPr>
          <w:rFonts w:ascii="Gadugi" w:eastAsia="Georgia" w:hAnsi="Gadugi" w:cs="Georgia"/>
          <w:sz w:val="24"/>
          <w:szCs w:val="24"/>
        </w:rPr>
        <w:t>“</w:t>
      </w:r>
      <w:r w:rsidR="00DD2F10" w:rsidRPr="00893D87">
        <w:rPr>
          <w:rFonts w:ascii="Gadugi" w:eastAsia="Georgia" w:hAnsi="Gadugi" w:cs="Georgia"/>
          <w:i/>
          <w:iCs/>
          <w:szCs w:val="24"/>
        </w:rPr>
        <w:t>documentos necesarios para legitimar el ejercicio del derecho literal y autónomo que en ellos se incorpora</w:t>
      </w:r>
      <w:r w:rsidR="008B3DF0" w:rsidRPr="000A682B">
        <w:rPr>
          <w:rFonts w:ascii="Gadugi" w:eastAsia="Georgia" w:hAnsi="Gadugi" w:cs="Georgia"/>
          <w:i/>
          <w:iCs/>
          <w:sz w:val="24"/>
          <w:szCs w:val="24"/>
        </w:rPr>
        <w:t>”</w:t>
      </w:r>
      <w:r w:rsidR="00DD2F10" w:rsidRPr="000A682B">
        <w:rPr>
          <w:rFonts w:ascii="Gadugi" w:eastAsia="Georgia" w:hAnsi="Gadugi" w:cs="Georgia"/>
          <w:i/>
          <w:iCs/>
          <w:sz w:val="24"/>
          <w:szCs w:val="24"/>
        </w:rPr>
        <w:t>.</w:t>
      </w:r>
      <w:r w:rsidR="008B3DF0" w:rsidRPr="000A682B">
        <w:rPr>
          <w:rFonts w:ascii="Gadugi" w:eastAsia="Georgia" w:hAnsi="Gadugi" w:cs="Georgia"/>
          <w:i/>
          <w:iCs/>
          <w:sz w:val="24"/>
          <w:szCs w:val="24"/>
        </w:rPr>
        <w:t xml:space="preserve"> </w:t>
      </w:r>
      <w:r w:rsidR="008B3DF0" w:rsidRPr="000A682B">
        <w:rPr>
          <w:rFonts w:ascii="Gadugi" w:eastAsia="Georgia" w:hAnsi="Gadugi" w:cs="Georgia"/>
          <w:sz w:val="24"/>
          <w:szCs w:val="24"/>
        </w:rPr>
        <w:t xml:space="preserve">En presencia de </w:t>
      </w:r>
      <w:r w:rsidR="00474D61" w:rsidRPr="000A682B">
        <w:rPr>
          <w:rFonts w:ascii="Gadugi" w:eastAsia="Georgia" w:hAnsi="Gadugi" w:cs="Georgia"/>
          <w:sz w:val="24"/>
          <w:szCs w:val="24"/>
        </w:rPr>
        <w:t>ellos</w:t>
      </w:r>
      <w:r w:rsidR="009D636F" w:rsidRPr="000A682B">
        <w:rPr>
          <w:rFonts w:ascii="Gadugi" w:eastAsia="Georgia" w:hAnsi="Gadugi" w:cs="Georgia"/>
          <w:sz w:val="24"/>
          <w:szCs w:val="24"/>
        </w:rPr>
        <w:t xml:space="preserve">, </w:t>
      </w:r>
      <w:r w:rsidR="00787833" w:rsidRPr="000A682B">
        <w:rPr>
          <w:rFonts w:ascii="Gadugi" w:eastAsia="Georgia" w:hAnsi="Gadugi" w:cs="Georgia"/>
          <w:sz w:val="24"/>
          <w:szCs w:val="24"/>
        </w:rPr>
        <w:t xml:space="preserve">se abre paso la acción cambiaria </w:t>
      </w:r>
      <w:r w:rsidR="009D636F" w:rsidRPr="000A682B">
        <w:rPr>
          <w:rFonts w:ascii="Gadugi" w:eastAsia="Georgia" w:hAnsi="Gadugi" w:cs="Georgia"/>
          <w:sz w:val="24"/>
          <w:szCs w:val="24"/>
        </w:rPr>
        <w:t xml:space="preserve">de que trata el artículo 780 del </w:t>
      </w:r>
      <w:r w:rsidR="009106A9" w:rsidRPr="000A682B">
        <w:rPr>
          <w:rFonts w:ascii="Gadugi" w:eastAsia="Georgia" w:hAnsi="Gadugi" w:cs="Georgia"/>
          <w:sz w:val="24"/>
          <w:szCs w:val="24"/>
        </w:rPr>
        <w:t xml:space="preserve">mismo código. </w:t>
      </w:r>
    </w:p>
    <w:p w14:paraId="0C5481CA" w14:textId="77777777" w:rsidR="009106A9" w:rsidRPr="000A682B" w:rsidRDefault="009106A9" w:rsidP="000A682B">
      <w:pPr>
        <w:jc w:val="both"/>
        <w:rPr>
          <w:rFonts w:ascii="Gadugi" w:eastAsia="Georgia" w:hAnsi="Gadugi" w:cs="Georgia"/>
          <w:sz w:val="24"/>
          <w:szCs w:val="24"/>
        </w:rPr>
      </w:pPr>
    </w:p>
    <w:p w14:paraId="470F471F" w14:textId="7CAA908D" w:rsidR="00056017" w:rsidRPr="000A682B" w:rsidRDefault="00471793" w:rsidP="000A682B">
      <w:pPr>
        <w:jc w:val="both"/>
        <w:rPr>
          <w:rFonts w:ascii="Gadugi" w:eastAsia="Georgia" w:hAnsi="Gadugi" w:cs="Georgia"/>
          <w:sz w:val="24"/>
          <w:szCs w:val="24"/>
        </w:rPr>
      </w:pPr>
      <w:r w:rsidRPr="000A682B">
        <w:rPr>
          <w:rFonts w:ascii="Gadugi" w:eastAsia="Georgia" w:hAnsi="Gadugi" w:cs="Georgia"/>
          <w:sz w:val="24"/>
          <w:szCs w:val="24"/>
        </w:rPr>
        <w:t xml:space="preserve">Estos títulos </w:t>
      </w:r>
      <w:r w:rsidR="00983D0D" w:rsidRPr="000A682B">
        <w:rPr>
          <w:rFonts w:ascii="Gadugi" w:eastAsia="Georgia" w:hAnsi="Gadugi" w:cs="Georgia"/>
          <w:sz w:val="24"/>
          <w:szCs w:val="24"/>
        </w:rPr>
        <w:t>están precedidos de unos requisitos generales</w:t>
      </w:r>
      <w:r w:rsidR="00BB3458" w:rsidRPr="000A682B">
        <w:rPr>
          <w:rFonts w:ascii="Gadugi" w:eastAsia="Georgia" w:hAnsi="Gadugi" w:cs="Georgia"/>
          <w:sz w:val="24"/>
          <w:szCs w:val="24"/>
        </w:rPr>
        <w:t xml:space="preserve"> (art. 621 Código de Comercio)</w:t>
      </w:r>
      <w:r w:rsidR="00983D0D" w:rsidRPr="000A682B">
        <w:rPr>
          <w:rFonts w:ascii="Gadugi" w:eastAsia="Georgia" w:hAnsi="Gadugi" w:cs="Georgia"/>
          <w:sz w:val="24"/>
          <w:szCs w:val="24"/>
        </w:rPr>
        <w:t xml:space="preserve"> y de otros especiales para cada especie. Y si se trata, como en este caso, </w:t>
      </w:r>
      <w:r w:rsidR="00983D0D" w:rsidRPr="000A682B">
        <w:rPr>
          <w:rFonts w:ascii="Gadugi" w:eastAsia="Georgia" w:hAnsi="Gadugi" w:cs="Georgia"/>
          <w:sz w:val="24"/>
          <w:szCs w:val="24"/>
        </w:rPr>
        <w:lastRenderedPageBreak/>
        <w:t xml:space="preserve">de una factura, </w:t>
      </w:r>
      <w:r w:rsidR="008B35D4" w:rsidRPr="000A682B">
        <w:rPr>
          <w:rFonts w:ascii="Gadugi" w:eastAsia="Georgia" w:hAnsi="Gadugi" w:cs="Georgia"/>
          <w:sz w:val="24"/>
          <w:szCs w:val="24"/>
        </w:rPr>
        <w:t xml:space="preserve">el artículo </w:t>
      </w:r>
      <w:r w:rsidR="00A34923" w:rsidRPr="000A682B">
        <w:rPr>
          <w:rFonts w:ascii="Gadugi" w:eastAsia="Georgia" w:hAnsi="Gadugi" w:cs="Georgia"/>
          <w:sz w:val="24"/>
          <w:szCs w:val="24"/>
        </w:rPr>
        <w:t xml:space="preserve">774 del </w:t>
      </w:r>
      <w:r w:rsidR="00BB3458" w:rsidRPr="000A682B">
        <w:rPr>
          <w:rFonts w:ascii="Gadugi" w:eastAsia="Georgia" w:hAnsi="Gadugi" w:cs="Georgia"/>
          <w:sz w:val="24"/>
          <w:szCs w:val="24"/>
        </w:rPr>
        <w:t xml:space="preserve">citado </w:t>
      </w:r>
      <w:r w:rsidR="00C602EB" w:rsidRPr="000A682B">
        <w:rPr>
          <w:rFonts w:ascii="Gadugi" w:eastAsia="Georgia" w:hAnsi="Gadugi" w:cs="Georgia"/>
          <w:sz w:val="24"/>
          <w:szCs w:val="24"/>
        </w:rPr>
        <w:t>C</w:t>
      </w:r>
      <w:r w:rsidR="00A34923" w:rsidRPr="000A682B">
        <w:rPr>
          <w:rFonts w:ascii="Gadugi" w:eastAsia="Georgia" w:hAnsi="Gadugi" w:cs="Georgia"/>
          <w:sz w:val="24"/>
          <w:szCs w:val="24"/>
        </w:rPr>
        <w:t xml:space="preserve">ódigo, </w:t>
      </w:r>
      <w:r w:rsidR="00695AFF" w:rsidRPr="000A682B">
        <w:rPr>
          <w:rFonts w:ascii="Gadugi" w:eastAsia="Georgia" w:hAnsi="Gadugi" w:cs="Georgia"/>
          <w:sz w:val="24"/>
          <w:szCs w:val="24"/>
        </w:rPr>
        <w:t xml:space="preserve">modificado por el artículo </w:t>
      </w:r>
      <w:r w:rsidR="008B35D4" w:rsidRPr="000A682B">
        <w:rPr>
          <w:rFonts w:ascii="Gadugi" w:eastAsia="Georgia" w:hAnsi="Gadugi" w:cs="Georgia"/>
          <w:sz w:val="24"/>
          <w:szCs w:val="24"/>
        </w:rPr>
        <w:t>3° de la Ley 1231 de 2008</w:t>
      </w:r>
      <w:r w:rsidR="00695AFF" w:rsidRPr="000A682B">
        <w:rPr>
          <w:rFonts w:ascii="Gadugi" w:eastAsia="Georgia" w:hAnsi="Gadugi" w:cs="Georgia"/>
          <w:sz w:val="24"/>
          <w:szCs w:val="24"/>
        </w:rPr>
        <w:t xml:space="preserve">, </w:t>
      </w:r>
      <w:r w:rsidR="00056017" w:rsidRPr="000A682B">
        <w:rPr>
          <w:rFonts w:ascii="Gadugi" w:eastAsia="Georgia" w:hAnsi="Gadugi" w:cs="Georgia"/>
          <w:sz w:val="24"/>
          <w:szCs w:val="24"/>
        </w:rPr>
        <w:t>dispuso que:</w:t>
      </w:r>
    </w:p>
    <w:p w14:paraId="7954D399" w14:textId="77777777" w:rsidR="00106490" w:rsidRPr="000A682B" w:rsidRDefault="00106490" w:rsidP="000A682B">
      <w:pPr>
        <w:jc w:val="both"/>
        <w:rPr>
          <w:rFonts w:ascii="Gadugi" w:hAnsi="Gadugi"/>
          <w:sz w:val="24"/>
          <w:szCs w:val="24"/>
          <w:shd w:val="clear" w:color="auto" w:fill="FFFFFF"/>
        </w:rPr>
      </w:pPr>
    </w:p>
    <w:p w14:paraId="30A05DD3" w14:textId="6BEC681F" w:rsidR="008B35D4" w:rsidRPr="000A682B" w:rsidRDefault="00106490" w:rsidP="000A682B">
      <w:pPr>
        <w:spacing w:line="240" w:lineRule="auto"/>
        <w:ind w:left="426" w:right="420"/>
        <w:jc w:val="both"/>
        <w:rPr>
          <w:rFonts w:ascii="Gadugi" w:hAnsi="Gadugi"/>
          <w:szCs w:val="24"/>
          <w:shd w:val="clear" w:color="auto" w:fill="FFFFFF"/>
        </w:rPr>
      </w:pPr>
      <w:r w:rsidRPr="000A682B">
        <w:rPr>
          <w:rFonts w:ascii="Gadugi" w:hAnsi="Gadugi"/>
          <w:szCs w:val="24"/>
          <w:shd w:val="clear" w:color="auto" w:fill="FFFFFF"/>
        </w:rPr>
        <w:t>La factura deberá reunir, además de los requisitos señalados en los artículos 621 del presente Código, y 617 del Estatuto Tributario Nacional o las normas que los modifiquen, adicionen o sustituyan, los siguientes:</w:t>
      </w:r>
    </w:p>
    <w:p w14:paraId="676364B2" w14:textId="77777777" w:rsidR="0044658E" w:rsidRPr="000A682B" w:rsidRDefault="0044658E" w:rsidP="000A682B">
      <w:pPr>
        <w:spacing w:line="240" w:lineRule="auto"/>
        <w:ind w:left="426" w:right="420"/>
        <w:jc w:val="both"/>
        <w:rPr>
          <w:rFonts w:ascii="Gadugi" w:eastAsia="Georgia" w:hAnsi="Gadugi" w:cs="Georgia"/>
          <w:szCs w:val="24"/>
        </w:rPr>
      </w:pPr>
    </w:p>
    <w:p w14:paraId="133C3A00" w14:textId="1E950C0E" w:rsidR="008B35D4" w:rsidRPr="000A682B" w:rsidRDefault="008B35D4" w:rsidP="000A682B">
      <w:pPr>
        <w:spacing w:line="240" w:lineRule="auto"/>
        <w:ind w:left="426" w:right="420"/>
        <w:jc w:val="both"/>
        <w:rPr>
          <w:rFonts w:ascii="Gadugi" w:eastAsia="Georgia" w:hAnsi="Gadugi" w:cs="Georgia"/>
          <w:szCs w:val="24"/>
        </w:rPr>
      </w:pPr>
      <w:r w:rsidRPr="000A682B">
        <w:rPr>
          <w:rFonts w:ascii="Gadugi" w:eastAsia="Georgia" w:hAnsi="Gadugi" w:cs="Georgia"/>
          <w:szCs w:val="24"/>
        </w:rPr>
        <w:t>1. La fecha de vencimiento, sin perjuicio de lo dispuesto en el artículo 673. En ausencia de mención expresa en la factura de la fecha de vencimiento, se entenderá que debe ser pagada dentro de los treinta días calendario siguientes a la emisión.</w:t>
      </w:r>
    </w:p>
    <w:p w14:paraId="0889DD62" w14:textId="77777777" w:rsidR="008B35D4" w:rsidRPr="000A682B" w:rsidRDefault="008B35D4" w:rsidP="000A682B">
      <w:pPr>
        <w:spacing w:line="240" w:lineRule="auto"/>
        <w:ind w:left="426" w:right="420"/>
        <w:jc w:val="both"/>
        <w:rPr>
          <w:rFonts w:ascii="Gadugi" w:eastAsia="Georgia" w:hAnsi="Gadugi" w:cs="Georgia"/>
          <w:szCs w:val="24"/>
        </w:rPr>
      </w:pPr>
    </w:p>
    <w:p w14:paraId="2BFEA1BD" w14:textId="77777777" w:rsidR="008B35D4" w:rsidRPr="000A682B" w:rsidRDefault="008B35D4" w:rsidP="000A682B">
      <w:pPr>
        <w:spacing w:line="240" w:lineRule="auto"/>
        <w:ind w:left="426" w:right="420"/>
        <w:jc w:val="both"/>
        <w:rPr>
          <w:rFonts w:ascii="Gadugi" w:eastAsia="Georgia" w:hAnsi="Gadugi" w:cs="Georgia"/>
          <w:szCs w:val="24"/>
        </w:rPr>
      </w:pPr>
      <w:r w:rsidRPr="000A682B">
        <w:rPr>
          <w:rFonts w:ascii="Gadugi" w:eastAsia="Georgia" w:hAnsi="Gadugi" w:cs="Georgia"/>
          <w:szCs w:val="24"/>
        </w:rPr>
        <w:t>2. La fecha de recibo de la factura, con indicación del nombre, o identificación o firma de quien sea el encargado de recibirla según lo establecido en la presente ley.</w:t>
      </w:r>
    </w:p>
    <w:p w14:paraId="628F9EC8" w14:textId="77777777" w:rsidR="008B35D4" w:rsidRPr="000A682B" w:rsidRDefault="008B35D4" w:rsidP="000A682B">
      <w:pPr>
        <w:spacing w:line="240" w:lineRule="auto"/>
        <w:ind w:left="426" w:right="420"/>
        <w:jc w:val="both"/>
        <w:rPr>
          <w:rFonts w:ascii="Gadugi" w:eastAsia="Georgia" w:hAnsi="Gadugi" w:cs="Georgia"/>
          <w:szCs w:val="24"/>
        </w:rPr>
      </w:pPr>
    </w:p>
    <w:p w14:paraId="3ACB57AB" w14:textId="77777777" w:rsidR="008B35D4" w:rsidRPr="000A682B" w:rsidRDefault="008B35D4" w:rsidP="000A682B">
      <w:pPr>
        <w:spacing w:line="240" w:lineRule="auto"/>
        <w:ind w:left="426" w:right="420"/>
        <w:jc w:val="both"/>
        <w:rPr>
          <w:rFonts w:ascii="Gadugi" w:eastAsia="Georgia" w:hAnsi="Gadugi" w:cs="Georgia"/>
          <w:szCs w:val="24"/>
        </w:rPr>
      </w:pPr>
      <w:r w:rsidRPr="000A682B">
        <w:rPr>
          <w:rFonts w:ascii="Gadugi" w:eastAsia="Georgia" w:hAnsi="Gadugi" w:cs="Georgia"/>
          <w:szCs w:val="24"/>
        </w:rPr>
        <w:t>3. El emisor vendedor o prestador del servicio, deberá dejar constancia en el original de la factura, del estado de pago del precio o remuneración y las condiciones del pago si fuere el caso. A la misma obligación están sujetos los terceros a quienes se haya transferido la factura.</w:t>
      </w:r>
    </w:p>
    <w:p w14:paraId="25EEFC03" w14:textId="77777777" w:rsidR="008B35D4" w:rsidRPr="000A682B" w:rsidRDefault="008B35D4" w:rsidP="000A682B">
      <w:pPr>
        <w:spacing w:line="240" w:lineRule="auto"/>
        <w:ind w:left="426" w:right="420"/>
        <w:jc w:val="both"/>
        <w:rPr>
          <w:rFonts w:ascii="Gadugi" w:eastAsia="Georgia" w:hAnsi="Gadugi" w:cs="Georgia"/>
          <w:szCs w:val="24"/>
        </w:rPr>
      </w:pPr>
    </w:p>
    <w:p w14:paraId="5C46BE1A" w14:textId="77777777" w:rsidR="008B35D4" w:rsidRPr="000A682B" w:rsidRDefault="008B35D4" w:rsidP="000A682B">
      <w:pPr>
        <w:spacing w:line="240" w:lineRule="auto"/>
        <w:ind w:left="426" w:right="420"/>
        <w:jc w:val="both"/>
        <w:rPr>
          <w:rFonts w:ascii="Gadugi" w:eastAsia="Georgia" w:hAnsi="Gadugi" w:cs="Georgia"/>
          <w:szCs w:val="24"/>
        </w:rPr>
      </w:pPr>
      <w:r w:rsidRPr="000A682B">
        <w:rPr>
          <w:rFonts w:ascii="Gadugi" w:eastAsia="Georgia" w:hAnsi="Gadugi" w:cs="Georgia"/>
          <w:b/>
          <w:bCs/>
          <w:szCs w:val="24"/>
        </w:rPr>
        <w:t>No tendrá el carácter de título valor la factura que no cumpla con la totalidad de los requisitos legales señalados en el presente artículo</w:t>
      </w:r>
      <w:r w:rsidRPr="000A682B">
        <w:rPr>
          <w:rFonts w:ascii="Gadugi" w:eastAsia="Georgia" w:hAnsi="Gadugi" w:cs="Georgia"/>
          <w:szCs w:val="24"/>
        </w:rPr>
        <w:t>. Sin embargo, la omisión de cualquiera de estos requisitos, no afectará la validez del negocio jurídico que dio origen a la factura.</w:t>
      </w:r>
    </w:p>
    <w:p w14:paraId="20F7E26F" w14:textId="77777777" w:rsidR="008B35D4" w:rsidRPr="000A682B" w:rsidRDefault="008B35D4" w:rsidP="000A682B">
      <w:pPr>
        <w:spacing w:line="240" w:lineRule="auto"/>
        <w:ind w:left="426" w:right="420"/>
        <w:jc w:val="both"/>
        <w:rPr>
          <w:rFonts w:ascii="Gadugi" w:eastAsia="Georgia" w:hAnsi="Gadugi" w:cs="Georgia"/>
          <w:szCs w:val="24"/>
        </w:rPr>
      </w:pPr>
    </w:p>
    <w:p w14:paraId="60B680E2" w14:textId="77777777" w:rsidR="008B35D4" w:rsidRPr="000A682B" w:rsidRDefault="008B35D4" w:rsidP="000A682B">
      <w:pPr>
        <w:spacing w:line="240" w:lineRule="auto"/>
        <w:ind w:left="426" w:right="420"/>
        <w:jc w:val="both"/>
        <w:rPr>
          <w:rFonts w:ascii="Gadugi" w:eastAsia="Georgia" w:hAnsi="Gadugi" w:cs="Georgia"/>
          <w:szCs w:val="24"/>
        </w:rPr>
      </w:pPr>
      <w:r w:rsidRPr="000A682B">
        <w:rPr>
          <w:rFonts w:ascii="Gadugi" w:eastAsia="Georgia" w:hAnsi="Gadugi" w:cs="Georgia"/>
          <w:szCs w:val="24"/>
        </w:rPr>
        <w:t>En todo caso, todo comprador o beneficiario del servicio tiene derecho a exigir del vendedor o prestador del servicio la formación y entrega de una factura que corresponda al negocio causal con indicación del precio y de su pago total o de la parte que hubiere sido cancelada.</w:t>
      </w:r>
    </w:p>
    <w:p w14:paraId="547B3FA8" w14:textId="77777777" w:rsidR="008B35D4" w:rsidRPr="000A682B" w:rsidRDefault="008B35D4" w:rsidP="000A682B">
      <w:pPr>
        <w:spacing w:line="240" w:lineRule="auto"/>
        <w:ind w:left="426" w:right="420"/>
        <w:jc w:val="both"/>
        <w:rPr>
          <w:rFonts w:ascii="Gadugi" w:eastAsia="Georgia" w:hAnsi="Gadugi" w:cs="Georgia"/>
          <w:szCs w:val="24"/>
        </w:rPr>
      </w:pPr>
    </w:p>
    <w:p w14:paraId="1745FCE8" w14:textId="44199CF1" w:rsidR="008B35D4" w:rsidRPr="000A682B" w:rsidRDefault="008B35D4" w:rsidP="000A682B">
      <w:pPr>
        <w:spacing w:line="240" w:lineRule="auto"/>
        <w:ind w:left="426" w:right="420"/>
        <w:jc w:val="both"/>
        <w:rPr>
          <w:rFonts w:ascii="Gadugi" w:eastAsia="Georgia" w:hAnsi="Gadugi" w:cs="Georgia"/>
          <w:szCs w:val="24"/>
        </w:rPr>
      </w:pPr>
      <w:r w:rsidRPr="000A682B">
        <w:rPr>
          <w:rFonts w:ascii="Gadugi" w:eastAsia="Georgia" w:hAnsi="Gadugi" w:cs="Georgia"/>
          <w:b/>
          <w:bCs/>
          <w:szCs w:val="24"/>
        </w:rPr>
        <w:t>La omisión de requisitos adicionales que establezcan normas distintas a las señaladas en el presente artículo, no afectará la calidad de título valor de las facturas.</w:t>
      </w:r>
      <w:r w:rsidR="004333D1" w:rsidRPr="000A682B">
        <w:rPr>
          <w:rFonts w:ascii="Gadugi" w:eastAsia="Georgia" w:hAnsi="Gadugi" w:cs="Georgia"/>
          <w:b/>
          <w:bCs/>
          <w:szCs w:val="24"/>
        </w:rPr>
        <w:t xml:space="preserve"> </w:t>
      </w:r>
      <w:r w:rsidR="004333D1" w:rsidRPr="000A682B">
        <w:rPr>
          <w:rFonts w:ascii="Gadugi" w:eastAsia="Georgia" w:hAnsi="Gadugi" w:cs="Georgia"/>
          <w:szCs w:val="24"/>
        </w:rPr>
        <w:t>(se destaca).</w:t>
      </w:r>
    </w:p>
    <w:p w14:paraId="2627B147" w14:textId="77777777" w:rsidR="00FC0186" w:rsidRPr="000A682B" w:rsidRDefault="00FC0186" w:rsidP="000A682B">
      <w:pPr>
        <w:jc w:val="both"/>
        <w:rPr>
          <w:rFonts w:ascii="Gadugi" w:eastAsia="Georgia" w:hAnsi="Gadugi" w:cs="Georgia"/>
          <w:sz w:val="24"/>
          <w:szCs w:val="24"/>
        </w:rPr>
      </w:pPr>
    </w:p>
    <w:p w14:paraId="462E2E23" w14:textId="47D43F16" w:rsidR="00C602EB" w:rsidRPr="000A682B" w:rsidRDefault="009343EF" w:rsidP="00374FF1">
      <w:pPr>
        <w:ind w:right="240"/>
        <w:jc w:val="both"/>
        <w:rPr>
          <w:rFonts w:ascii="Gadugi" w:eastAsia="Georgia" w:hAnsi="Gadugi" w:cs="Georgia"/>
          <w:sz w:val="24"/>
          <w:szCs w:val="24"/>
        </w:rPr>
      </w:pPr>
      <w:r w:rsidRPr="000A682B">
        <w:rPr>
          <w:rFonts w:ascii="Gadugi" w:eastAsia="Georgia" w:hAnsi="Gadugi" w:cs="Georgia"/>
          <w:sz w:val="24"/>
          <w:szCs w:val="24"/>
        </w:rPr>
        <w:t>Es decir, que a los tres requisitos que anteceden, se su</w:t>
      </w:r>
      <w:r w:rsidR="00497E61" w:rsidRPr="000A682B">
        <w:rPr>
          <w:rFonts w:ascii="Gadugi" w:eastAsia="Georgia" w:hAnsi="Gadugi" w:cs="Georgia"/>
          <w:sz w:val="24"/>
          <w:szCs w:val="24"/>
        </w:rPr>
        <w:t>m</w:t>
      </w:r>
      <w:r w:rsidRPr="000A682B">
        <w:rPr>
          <w:rFonts w:ascii="Gadugi" w:eastAsia="Georgia" w:hAnsi="Gadugi" w:cs="Georgia"/>
          <w:sz w:val="24"/>
          <w:szCs w:val="24"/>
        </w:rPr>
        <w:t>an los del artículo 621, esto es:</w:t>
      </w:r>
    </w:p>
    <w:p w14:paraId="392EDC80" w14:textId="77777777" w:rsidR="009343EF" w:rsidRPr="000A682B" w:rsidRDefault="009343EF" w:rsidP="000A682B">
      <w:pPr>
        <w:ind w:left="284" w:right="240"/>
        <w:jc w:val="both"/>
        <w:rPr>
          <w:rFonts w:ascii="Gadugi" w:eastAsia="Georgia" w:hAnsi="Gadugi" w:cs="Georgia"/>
          <w:sz w:val="24"/>
          <w:szCs w:val="24"/>
        </w:rPr>
      </w:pPr>
    </w:p>
    <w:p w14:paraId="0ED43D02" w14:textId="119EC568" w:rsidR="00374FF1" w:rsidRPr="00374FF1" w:rsidRDefault="00FC0186" w:rsidP="00374FF1">
      <w:pPr>
        <w:pStyle w:val="Prrafodelista"/>
        <w:numPr>
          <w:ilvl w:val="0"/>
          <w:numId w:val="5"/>
        </w:numPr>
        <w:spacing w:line="240" w:lineRule="auto"/>
        <w:ind w:left="709" w:right="420"/>
        <w:jc w:val="both"/>
        <w:rPr>
          <w:rFonts w:ascii="Gadugi" w:eastAsia="Georgia" w:hAnsi="Gadugi" w:cs="Georgia"/>
          <w:szCs w:val="24"/>
        </w:rPr>
      </w:pPr>
      <w:r w:rsidRPr="00374FF1">
        <w:rPr>
          <w:rFonts w:ascii="Gadugi" w:eastAsia="Georgia" w:hAnsi="Gadugi" w:cs="Georgia"/>
          <w:szCs w:val="24"/>
        </w:rPr>
        <w:t>La mención del derecho que en el título se incorpora, y</w:t>
      </w:r>
    </w:p>
    <w:p w14:paraId="1307DFF4" w14:textId="77777777" w:rsidR="00374FF1" w:rsidRPr="00374FF1" w:rsidRDefault="00374FF1" w:rsidP="00374FF1">
      <w:pPr>
        <w:pStyle w:val="Prrafodelista"/>
        <w:spacing w:line="240" w:lineRule="auto"/>
        <w:ind w:left="709" w:right="420"/>
        <w:jc w:val="both"/>
        <w:rPr>
          <w:rFonts w:ascii="Gadugi" w:eastAsia="Georgia" w:hAnsi="Gadugi" w:cs="Georgia"/>
          <w:szCs w:val="24"/>
        </w:rPr>
      </w:pPr>
    </w:p>
    <w:p w14:paraId="23E1B860" w14:textId="131CC4BA" w:rsidR="00FC0186" w:rsidRPr="00374FF1" w:rsidRDefault="00FC0186" w:rsidP="00374FF1">
      <w:pPr>
        <w:pStyle w:val="Prrafodelista"/>
        <w:numPr>
          <w:ilvl w:val="0"/>
          <w:numId w:val="5"/>
        </w:numPr>
        <w:spacing w:line="240" w:lineRule="auto"/>
        <w:ind w:left="709" w:right="420"/>
        <w:jc w:val="both"/>
        <w:rPr>
          <w:rFonts w:ascii="Gadugi" w:eastAsia="Georgia" w:hAnsi="Gadugi" w:cs="Georgia"/>
          <w:szCs w:val="24"/>
        </w:rPr>
      </w:pPr>
      <w:r w:rsidRPr="00374FF1">
        <w:rPr>
          <w:rFonts w:ascii="Gadugi" w:eastAsia="Georgia" w:hAnsi="Gadugi" w:cs="Georgia"/>
          <w:szCs w:val="24"/>
        </w:rPr>
        <w:t>La firma de quién lo crea.</w:t>
      </w:r>
    </w:p>
    <w:p w14:paraId="256AFD7D" w14:textId="77777777" w:rsidR="00FC0186" w:rsidRPr="00374FF1" w:rsidRDefault="00FC0186" w:rsidP="00374FF1">
      <w:pPr>
        <w:spacing w:line="240" w:lineRule="auto"/>
        <w:ind w:left="709" w:right="420"/>
        <w:jc w:val="both"/>
        <w:rPr>
          <w:rFonts w:ascii="Gadugi" w:eastAsia="Georgia" w:hAnsi="Gadugi" w:cs="Georgia"/>
          <w:szCs w:val="24"/>
        </w:rPr>
      </w:pPr>
    </w:p>
    <w:p w14:paraId="148B6A3F" w14:textId="77777777" w:rsidR="00FC0186" w:rsidRPr="00374FF1" w:rsidRDefault="00FC0186" w:rsidP="00374FF1">
      <w:pPr>
        <w:spacing w:line="240" w:lineRule="auto"/>
        <w:ind w:left="709" w:right="420"/>
        <w:jc w:val="both"/>
        <w:rPr>
          <w:rFonts w:ascii="Gadugi" w:eastAsia="Georgia" w:hAnsi="Gadugi" w:cs="Georgia"/>
          <w:szCs w:val="24"/>
        </w:rPr>
      </w:pPr>
      <w:r w:rsidRPr="00374FF1">
        <w:rPr>
          <w:rFonts w:ascii="Gadugi" w:eastAsia="Georgia" w:hAnsi="Gadugi" w:cs="Georgia"/>
          <w:szCs w:val="24"/>
        </w:rPr>
        <w:t>La firma podrá sustituirse, bajo la responsabilidad del creador del título, por un signo o contraseña que puede ser mecánicamente impuesto.</w:t>
      </w:r>
    </w:p>
    <w:p w14:paraId="2D27DD7E" w14:textId="77777777" w:rsidR="005127A2" w:rsidRPr="000A682B" w:rsidRDefault="005127A2" w:rsidP="000A682B">
      <w:pPr>
        <w:ind w:right="-43"/>
        <w:jc w:val="both"/>
        <w:rPr>
          <w:rFonts w:ascii="Gadugi" w:eastAsia="Georgia" w:hAnsi="Gadugi" w:cs="Georgia"/>
          <w:sz w:val="24"/>
          <w:szCs w:val="24"/>
        </w:rPr>
      </w:pPr>
    </w:p>
    <w:p w14:paraId="61ECBF34" w14:textId="0976C9C9" w:rsidR="0064100D" w:rsidRPr="000A682B" w:rsidRDefault="00603813" w:rsidP="000A682B">
      <w:pPr>
        <w:ind w:right="-43"/>
        <w:jc w:val="both"/>
        <w:rPr>
          <w:rFonts w:ascii="Gadugi" w:eastAsia="Georgia" w:hAnsi="Gadugi" w:cs="Georgia"/>
          <w:sz w:val="24"/>
          <w:szCs w:val="24"/>
        </w:rPr>
      </w:pPr>
      <w:r w:rsidRPr="000A682B">
        <w:rPr>
          <w:rFonts w:ascii="Gadugi" w:eastAsia="Georgia" w:hAnsi="Gadugi" w:cs="Georgia"/>
          <w:sz w:val="24"/>
          <w:szCs w:val="24"/>
        </w:rPr>
        <w:t xml:space="preserve">Y también los que prevé el </w:t>
      </w:r>
      <w:r w:rsidR="00FC0186" w:rsidRPr="000A682B">
        <w:rPr>
          <w:rFonts w:ascii="Gadugi" w:eastAsia="Georgia" w:hAnsi="Gadugi" w:cs="Georgia"/>
          <w:sz w:val="24"/>
          <w:szCs w:val="24"/>
        </w:rPr>
        <w:t>artículo 617 del estatuto tributario</w:t>
      </w:r>
      <w:r w:rsidR="00BE3731" w:rsidRPr="000A682B">
        <w:rPr>
          <w:rFonts w:ascii="Gadugi" w:eastAsia="Georgia" w:hAnsi="Gadugi" w:cs="Georgia"/>
          <w:sz w:val="24"/>
          <w:szCs w:val="24"/>
        </w:rPr>
        <w:t>, modificado por el artículo 40 de la Ley 223 de 1995</w:t>
      </w:r>
      <w:r w:rsidR="00FA6202" w:rsidRPr="000A682B">
        <w:rPr>
          <w:rFonts w:ascii="Gadugi" w:eastAsia="Georgia" w:hAnsi="Gadugi" w:cs="Georgia"/>
          <w:sz w:val="24"/>
          <w:szCs w:val="24"/>
        </w:rPr>
        <w:t xml:space="preserve">, </w:t>
      </w:r>
      <w:r w:rsidRPr="000A682B">
        <w:rPr>
          <w:rFonts w:ascii="Gadugi" w:eastAsia="Georgia" w:hAnsi="Gadugi" w:cs="Georgia"/>
          <w:sz w:val="24"/>
          <w:szCs w:val="24"/>
        </w:rPr>
        <w:t>que establece:</w:t>
      </w:r>
    </w:p>
    <w:p w14:paraId="340CC73F" w14:textId="77777777" w:rsidR="0064100D" w:rsidRPr="000A682B" w:rsidRDefault="0064100D" w:rsidP="000A682B">
      <w:pPr>
        <w:ind w:right="-43"/>
        <w:jc w:val="both"/>
        <w:rPr>
          <w:rFonts w:ascii="Gadugi" w:eastAsia="Georgia" w:hAnsi="Gadugi" w:cs="Georgia"/>
          <w:sz w:val="24"/>
          <w:szCs w:val="24"/>
        </w:rPr>
      </w:pPr>
    </w:p>
    <w:p w14:paraId="47A77EA7" w14:textId="6F17C4DC" w:rsidR="00FC0186" w:rsidRPr="00374FF1" w:rsidRDefault="00FC0186" w:rsidP="00374FF1">
      <w:pPr>
        <w:spacing w:line="240" w:lineRule="auto"/>
        <w:ind w:left="426" w:right="420"/>
        <w:jc w:val="both"/>
        <w:rPr>
          <w:rFonts w:ascii="Gadugi" w:eastAsia="Georgia" w:hAnsi="Gadugi" w:cs="Georgia"/>
          <w:szCs w:val="24"/>
        </w:rPr>
      </w:pPr>
      <w:r w:rsidRPr="00374FF1">
        <w:rPr>
          <w:rFonts w:ascii="Gadugi" w:eastAsia="Georgia" w:hAnsi="Gadugi" w:cs="Georgia"/>
          <w:szCs w:val="24"/>
        </w:rPr>
        <w:t>REQUISITOS DE LA FACTURA DE VENTA. Para efectos tributarios, la expedición de factura a que se refiere el artículo 615 consiste en entregar el original de la misma, con el lleno de los siguientes requisitos:</w:t>
      </w:r>
    </w:p>
    <w:p w14:paraId="7FB2B6FD" w14:textId="77777777" w:rsidR="00FC0186" w:rsidRPr="00374FF1" w:rsidRDefault="00FC0186" w:rsidP="00374FF1">
      <w:pPr>
        <w:spacing w:line="240" w:lineRule="auto"/>
        <w:ind w:left="426" w:right="420"/>
        <w:jc w:val="both"/>
        <w:rPr>
          <w:rFonts w:ascii="Gadugi" w:eastAsia="Georgia" w:hAnsi="Gadugi" w:cs="Georgia"/>
          <w:szCs w:val="24"/>
        </w:rPr>
      </w:pPr>
    </w:p>
    <w:p w14:paraId="0622FE73" w14:textId="77777777" w:rsidR="00FC0186" w:rsidRPr="00374FF1" w:rsidRDefault="00FC0186" w:rsidP="00374FF1">
      <w:pPr>
        <w:spacing w:line="240" w:lineRule="auto"/>
        <w:ind w:left="426" w:right="420"/>
        <w:jc w:val="both"/>
        <w:rPr>
          <w:rFonts w:ascii="Gadugi" w:eastAsia="Georgia" w:hAnsi="Gadugi" w:cs="Georgia"/>
          <w:szCs w:val="24"/>
        </w:rPr>
      </w:pPr>
      <w:r w:rsidRPr="00374FF1">
        <w:rPr>
          <w:rFonts w:ascii="Gadugi" w:eastAsia="Georgia" w:hAnsi="Gadugi" w:cs="Georgia"/>
          <w:szCs w:val="24"/>
        </w:rPr>
        <w:t>a. Estar denominada expresamente como factura de venta.</w:t>
      </w:r>
    </w:p>
    <w:p w14:paraId="0788430B" w14:textId="77777777" w:rsidR="00FC0186" w:rsidRPr="00374FF1" w:rsidRDefault="00FC0186" w:rsidP="00374FF1">
      <w:pPr>
        <w:spacing w:line="240" w:lineRule="auto"/>
        <w:ind w:left="426" w:right="420"/>
        <w:jc w:val="both"/>
        <w:rPr>
          <w:rFonts w:ascii="Gadugi" w:eastAsia="Georgia" w:hAnsi="Gadugi" w:cs="Georgia"/>
          <w:szCs w:val="24"/>
        </w:rPr>
      </w:pPr>
    </w:p>
    <w:p w14:paraId="1180B87E" w14:textId="77777777" w:rsidR="00FC0186" w:rsidRPr="00374FF1" w:rsidRDefault="00FC0186" w:rsidP="00374FF1">
      <w:pPr>
        <w:spacing w:line="240" w:lineRule="auto"/>
        <w:ind w:left="426" w:right="420"/>
        <w:jc w:val="both"/>
        <w:rPr>
          <w:rFonts w:ascii="Gadugi" w:eastAsia="Georgia" w:hAnsi="Gadugi" w:cs="Georgia"/>
          <w:szCs w:val="24"/>
        </w:rPr>
      </w:pPr>
      <w:r w:rsidRPr="00374FF1">
        <w:rPr>
          <w:rFonts w:ascii="Gadugi" w:eastAsia="Georgia" w:hAnsi="Gadugi" w:cs="Georgia"/>
          <w:szCs w:val="24"/>
        </w:rPr>
        <w:t>b. Apellidos y nombre o razón y NIT del vendedor o de quien presta el servicio.</w:t>
      </w:r>
    </w:p>
    <w:p w14:paraId="123275CB" w14:textId="77777777" w:rsidR="00FC0186" w:rsidRPr="00374FF1" w:rsidRDefault="00FC0186" w:rsidP="00374FF1">
      <w:pPr>
        <w:spacing w:line="240" w:lineRule="auto"/>
        <w:ind w:left="426" w:right="420"/>
        <w:jc w:val="both"/>
        <w:rPr>
          <w:rFonts w:ascii="Gadugi" w:eastAsia="Georgia" w:hAnsi="Gadugi" w:cs="Georgia"/>
          <w:szCs w:val="24"/>
        </w:rPr>
      </w:pPr>
    </w:p>
    <w:p w14:paraId="34DDB32E" w14:textId="77777777" w:rsidR="00FC0186" w:rsidRPr="00374FF1" w:rsidRDefault="00FC0186" w:rsidP="00374FF1">
      <w:pPr>
        <w:spacing w:line="240" w:lineRule="auto"/>
        <w:ind w:left="426" w:right="420"/>
        <w:jc w:val="both"/>
        <w:rPr>
          <w:rFonts w:ascii="Gadugi" w:eastAsia="Georgia" w:hAnsi="Gadugi" w:cs="Georgia"/>
          <w:szCs w:val="24"/>
        </w:rPr>
      </w:pPr>
      <w:r w:rsidRPr="00374FF1">
        <w:rPr>
          <w:rFonts w:ascii="Gadugi" w:eastAsia="Georgia" w:hAnsi="Gadugi" w:cs="Georgia"/>
          <w:szCs w:val="24"/>
        </w:rPr>
        <w:t>c. &lt;Literal modificado por el artículo 64 de la Ley 788 de 2002. El nuevo texto es el siguiente:&gt; Apellidos y nombre o razón social y NIT del adquirente de los bienes o servicios, junto con la discriminación del IVA pagado.</w:t>
      </w:r>
    </w:p>
    <w:p w14:paraId="382FBBA9" w14:textId="77777777" w:rsidR="00FC0186" w:rsidRPr="00374FF1" w:rsidRDefault="00FC0186" w:rsidP="00374FF1">
      <w:pPr>
        <w:spacing w:line="240" w:lineRule="auto"/>
        <w:ind w:left="426" w:right="420"/>
        <w:jc w:val="both"/>
        <w:rPr>
          <w:rFonts w:ascii="Gadugi" w:eastAsia="Georgia" w:hAnsi="Gadugi" w:cs="Georgia"/>
          <w:szCs w:val="24"/>
        </w:rPr>
      </w:pPr>
    </w:p>
    <w:p w14:paraId="1A3F14F8" w14:textId="77777777" w:rsidR="00FC0186" w:rsidRPr="00374FF1" w:rsidRDefault="00FC0186" w:rsidP="00374FF1">
      <w:pPr>
        <w:spacing w:line="240" w:lineRule="auto"/>
        <w:ind w:left="426" w:right="420"/>
        <w:jc w:val="both"/>
        <w:rPr>
          <w:rFonts w:ascii="Gadugi" w:eastAsia="Georgia" w:hAnsi="Gadugi" w:cs="Georgia"/>
          <w:szCs w:val="24"/>
        </w:rPr>
      </w:pPr>
      <w:r w:rsidRPr="00374FF1">
        <w:rPr>
          <w:rFonts w:ascii="Gadugi" w:eastAsia="Georgia" w:hAnsi="Gadugi" w:cs="Georgia"/>
          <w:szCs w:val="24"/>
        </w:rPr>
        <w:t>d. Llevar un número que corresponda a un sistema de numeración consecutiva de facturas de venta.</w:t>
      </w:r>
    </w:p>
    <w:p w14:paraId="01142804" w14:textId="77777777" w:rsidR="00FC0186" w:rsidRPr="00374FF1" w:rsidRDefault="00FC0186" w:rsidP="00374FF1">
      <w:pPr>
        <w:spacing w:line="240" w:lineRule="auto"/>
        <w:ind w:left="426" w:right="420"/>
        <w:jc w:val="both"/>
        <w:rPr>
          <w:rFonts w:ascii="Gadugi" w:eastAsia="Georgia" w:hAnsi="Gadugi" w:cs="Georgia"/>
          <w:szCs w:val="24"/>
        </w:rPr>
      </w:pPr>
    </w:p>
    <w:p w14:paraId="7D4FE496" w14:textId="77777777" w:rsidR="00FC0186" w:rsidRPr="00374FF1" w:rsidRDefault="00FC0186" w:rsidP="00374FF1">
      <w:pPr>
        <w:spacing w:line="240" w:lineRule="auto"/>
        <w:ind w:left="426" w:right="420"/>
        <w:jc w:val="both"/>
        <w:rPr>
          <w:rFonts w:ascii="Gadugi" w:eastAsia="Georgia" w:hAnsi="Gadugi" w:cs="Georgia"/>
          <w:szCs w:val="24"/>
        </w:rPr>
      </w:pPr>
      <w:r w:rsidRPr="00374FF1">
        <w:rPr>
          <w:rFonts w:ascii="Gadugi" w:eastAsia="Georgia" w:hAnsi="Gadugi" w:cs="Georgia"/>
          <w:szCs w:val="24"/>
        </w:rPr>
        <w:t>e. Fecha de su expedición.</w:t>
      </w:r>
    </w:p>
    <w:p w14:paraId="7D01451A" w14:textId="77777777" w:rsidR="00FC0186" w:rsidRPr="00374FF1" w:rsidRDefault="00FC0186" w:rsidP="00374FF1">
      <w:pPr>
        <w:spacing w:line="240" w:lineRule="auto"/>
        <w:ind w:left="426" w:right="420"/>
        <w:jc w:val="both"/>
        <w:rPr>
          <w:rFonts w:ascii="Gadugi" w:eastAsia="Georgia" w:hAnsi="Gadugi" w:cs="Georgia"/>
          <w:szCs w:val="24"/>
        </w:rPr>
      </w:pPr>
    </w:p>
    <w:p w14:paraId="34C4F081" w14:textId="77777777" w:rsidR="00FC0186" w:rsidRPr="00374FF1" w:rsidRDefault="00FC0186" w:rsidP="00374FF1">
      <w:pPr>
        <w:spacing w:line="240" w:lineRule="auto"/>
        <w:ind w:left="426" w:right="420"/>
        <w:jc w:val="both"/>
        <w:rPr>
          <w:rFonts w:ascii="Gadugi" w:eastAsia="Georgia" w:hAnsi="Gadugi" w:cs="Georgia"/>
          <w:szCs w:val="24"/>
        </w:rPr>
      </w:pPr>
      <w:r w:rsidRPr="00374FF1">
        <w:rPr>
          <w:rFonts w:ascii="Gadugi" w:eastAsia="Georgia" w:hAnsi="Gadugi" w:cs="Georgia"/>
          <w:szCs w:val="24"/>
        </w:rPr>
        <w:t>f. Descripción específica o genérica de los artículos vendidos o servicios prestados.</w:t>
      </w:r>
    </w:p>
    <w:p w14:paraId="024B5AA9" w14:textId="77777777" w:rsidR="00FC0186" w:rsidRPr="00374FF1" w:rsidRDefault="00FC0186" w:rsidP="00374FF1">
      <w:pPr>
        <w:spacing w:line="240" w:lineRule="auto"/>
        <w:ind w:left="426" w:right="420"/>
        <w:jc w:val="both"/>
        <w:rPr>
          <w:rFonts w:ascii="Gadugi" w:eastAsia="Georgia" w:hAnsi="Gadugi" w:cs="Georgia"/>
          <w:szCs w:val="24"/>
        </w:rPr>
      </w:pPr>
    </w:p>
    <w:p w14:paraId="1FE1B80C" w14:textId="77777777" w:rsidR="00FC0186" w:rsidRPr="00374FF1" w:rsidRDefault="00FC0186" w:rsidP="00374FF1">
      <w:pPr>
        <w:spacing w:line="240" w:lineRule="auto"/>
        <w:ind w:left="426" w:right="420"/>
        <w:jc w:val="both"/>
        <w:rPr>
          <w:rFonts w:ascii="Gadugi" w:eastAsia="Georgia" w:hAnsi="Gadugi" w:cs="Georgia"/>
          <w:szCs w:val="24"/>
        </w:rPr>
      </w:pPr>
      <w:r w:rsidRPr="00374FF1">
        <w:rPr>
          <w:rFonts w:ascii="Gadugi" w:eastAsia="Georgia" w:hAnsi="Gadugi" w:cs="Georgia"/>
          <w:szCs w:val="24"/>
        </w:rPr>
        <w:t>g. Valor total de la operación.</w:t>
      </w:r>
    </w:p>
    <w:p w14:paraId="315E761C" w14:textId="77777777" w:rsidR="00FC0186" w:rsidRPr="00374FF1" w:rsidRDefault="00FC0186" w:rsidP="00374FF1">
      <w:pPr>
        <w:spacing w:line="240" w:lineRule="auto"/>
        <w:ind w:left="426" w:right="420"/>
        <w:jc w:val="both"/>
        <w:rPr>
          <w:rFonts w:ascii="Gadugi" w:eastAsia="Georgia" w:hAnsi="Gadugi" w:cs="Georgia"/>
          <w:szCs w:val="24"/>
        </w:rPr>
      </w:pPr>
    </w:p>
    <w:p w14:paraId="0FE5E12C" w14:textId="77777777" w:rsidR="00FC0186" w:rsidRPr="00374FF1" w:rsidRDefault="00FC0186" w:rsidP="00374FF1">
      <w:pPr>
        <w:spacing w:line="240" w:lineRule="auto"/>
        <w:ind w:left="426" w:right="420"/>
        <w:jc w:val="both"/>
        <w:rPr>
          <w:rFonts w:ascii="Gadugi" w:eastAsia="Georgia" w:hAnsi="Gadugi" w:cs="Georgia"/>
          <w:szCs w:val="24"/>
        </w:rPr>
      </w:pPr>
      <w:r w:rsidRPr="00374FF1">
        <w:rPr>
          <w:rFonts w:ascii="Gadugi" w:eastAsia="Georgia" w:hAnsi="Gadugi" w:cs="Georgia"/>
          <w:szCs w:val="24"/>
        </w:rPr>
        <w:t>h. El nombre o razón social y el NIT del impresor de la factura.</w:t>
      </w:r>
    </w:p>
    <w:p w14:paraId="00FC1607" w14:textId="77777777" w:rsidR="00FC0186" w:rsidRPr="00374FF1" w:rsidRDefault="00FC0186" w:rsidP="00374FF1">
      <w:pPr>
        <w:spacing w:line="240" w:lineRule="auto"/>
        <w:ind w:left="426" w:right="420"/>
        <w:jc w:val="both"/>
        <w:rPr>
          <w:rFonts w:ascii="Gadugi" w:eastAsia="Georgia" w:hAnsi="Gadugi" w:cs="Georgia"/>
          <w:szCs w:val="24"/>
        </w:rPr>
      </w:pPr>
    </w:p>
    <w:p w14:paraId="61E5B121" w14:textId="77777777" w:rsidR="00FC0186" w:rsidRPr="00374FF1" w:rsidRDefault="00FC0186" w:rsidP="00374FF1">
      <w:pPr>
        <w:spacing w:line="240" w:lineRule="auto"/>
        <w:ind w:left="426" w:right="420"/>
        <w:jc w:val="both"/>
        <w:rPr>
          <w:rFonts w:ascii="Gadugi" w:eastAsia="Georgia" w:hAnsi="Gadugi" w:cs="Georgia"/>
          <w:szCs w:val="24"/>
        </w:rPr>
      </w:pPr>
      <w:r w:rsidRPr="00374FF1">
        <w:rPr>
          <w:rFonts w:ascii="Gadugi" w:eastAsia="Georgia" w:hAnsi="Gadugi" w:cs="Georgia"/>
          <w:szCs w:val="24"/>
        </w:rPr>
        <w:t>i. Indicar la calidad de retenedor del impuesto sobre las ventas.</w:t>
      </w:r>
    </w:p>
    <w:p w14:paraId="43C92DBC" w14:textId="77777777" w:rsidR="00FC0186" w:rsidRPr="00374FF1" w:rsidRDefault="00FC0186" w:rsidP="00374FF1">
      <w:pPr>
        <w:spacing w:line="240" w:lineRule="auto"/>
        <w:ind w:left="426" w:right="420"/>
        <w:jc w:val="both"/>
        <w:rPr>
          <w:rFonts w:ascii="Gadugi" w:eastAsia="Georgia" w:hAnsi="Gadugi" w:cs="Georgia"/>
          <w:szCs w:val="24"/>
        </w:rPr>
      </w:pPr>
    </w:p>
    <w:p w14:paraId="17EC5613" w14:textId="77777777" w:rsidR="00FC0186" w:rsidRPr="00374FF1" w:rsidRDefault="00FC0186" w:rsidP="00374FF1">
      <w:pPr>
        <w:spacing w:line="240" w:lineRule="auto"/>
        <w:ind w:left="426" w:right="420"/>
        <w:jc w:val="both"/>
        <w:rPr>
          <w:rFonts w:ascii="Gadugi" w:eastAsia="Georgia" w:hAnsi="Gadugi" w:cs="Georgia"/>
          <w:szCs w:val="24"/>
        </w:rPr>
      </w:pPr>
      <w:r w:rsidRPr="00374FF1">
        <w:rPr>
          <w:rFonts w:ascii="Gadugi" w:eastAsia="Georgia" w:hAnsi="Gadugi" w:cs="Georgia"/>
          <w:szCs w:val="24"/>
        </w:rPr>
        <w:t>j. &lt;Literal INEXEQUIBLE&gt;</w:t>
      </w:r>
    </w:p>
    <w:p w14:paraId="60AEC309" w14:textId="77777777" w:rsidR="00FC0186" w:rsidRPr="00374FF1" w:rsidRDefault="00FC0186" w:rsidP="00374FF1">
      <w:pPr>
        <w:spacing w:line="240" w:lineRule="auto"/>
        <w:ind w:left="426" w:right="420"/>
        <w:jc w:val="both"/>
        <w:rPr>
          <w:rFonts w:ascii="Gadugi" w:eastAsia="Georgia" w:hAnsi="Gadugi" w:cs="Georgia"/>
          <w:szCs w:val="24"/>
        </w:rPr>
      </w:pPr>
    </w:p>
    <w:p w14:paraId="2B7D0996" w14:textId="77777777" w:rsidR="00FC0186" w:rsidRPr="00374FF1" w:rsidRDefault="00FC0186" w:rsidP="00374FF1">
      <w:pPr>
        <w:spacing w:line="240" w:lineRule="auto"/>
        <w:ind w:left="426" w:right="420"/>
        <w:jc w:val="both"/>
        <w:rPr>
          <w:rFonts w:ascii="Gadugi" w:eastAsia="Georgia" w:hAnsi="Gadugi" w:cs="Georgia"/>
          <w:szCs w:val="24"/>
        </w:rPr>
      </w:pPr>
      <w:r w:rsidRPr="00374FF1">
        <w:rPr>
          <w:rFonts w:ascii="Gadugi" w:eastAsia="Georgia" w:hAnsi="Gadugi" w:cs="Georgia"/>
          <w:szCs w:val="24"/>
        </w:rPr>
        <w:t>Al momento de la expedición de la factura los requisitos de los literales a), b), d) y h), deberán estar previamente impresos a través de medios litográficos, tipográficos o de técnicas industriales de carácter similar. Cuando el contribuyente utilice un sistema de facturación por computador o máquinas registradoras, con la impresión efectuada por tales medios se entienden cumplidos los requisitos de impresión previa. El sistema de facturación deberá numerar en forma consecutiva las facturas y se deberán proveer los medios necesarios para su verificación y auditoría.</w:t>
      </w:r>
    </w:p>
    <w:p w14:paraId="76E586BF" w14:textId="77777777" w:rsidR="00FC0186" w:rsidRPr="00374FF1" w:rsidRDefault="00FC0186" w:rsidP="00374FF1">
      <w:pPr>
        <w:spacing w:line="240" w:lineRule="auto"/>
        <w:ind w:left="426" w:right="420"/>
        <w:jc w:val="both"/>
        <w:rPr>
          <w:rFonts w:ascii="Gadugi" w:eastAsia="Georgia" w:hAnsi="Gadugi" w:cs="Georgia"/>
          <w:szCs w:val="24"/>
        </w:rPr>
      </w:pPr>
    </w:p>
    <w:p w14:paraId="5E6F439F" w14:textId="77777777" w:rsidR="00FC0186" w:rsidRPr="00374FF1" w:rsidRDefault="00FC0186" w:rsidP="00374FF1">
      <w:pPr>
        <w:spacing w:line="240" w:lineRule="auto"/>
        <w:ind w:left="426" w:right="420"/>
        <w:jc w:val="both"/>
        <w:rPr>
          <w:rFonts w:ascii="Gadugi" w:eastAsia="Georgia" w:hAnsi="Gadugi" w:cs="Georgia"/>
          <w:szCs w:val="24"/>
        </w:rPr>
      </w:pPr>
      <w:r w:rsidRPr="00374FF1">
        <w:rPr>
          <w:rFonts w:ascii="Gadugi" w:eastAsia="Georgia" w:hAnsi="Gadugi" w:cs="Georgia"/>
          <w:szCs w:val="24"/>
        </w:rPr>
        <w:t>PARAGRAFO. En el caso de las Empresas que venden tiquetes de transporte no será obligatorio entregar el original de la factura. Al efecto, será suficiente entregar copia de la misma.</w:t>
      </w:r>
    </w:p>
    <w:p w14:paraId="6D821CE0" w14:textId="77777777" w:rsidR="00FC0186" w:rsidRPr="00374FF1" w:rsidRDefault="00FC0186" w:rsidP="00374FF1">
      <w:pPr>
        <w:spacing w:line="240" w:lineRule="auto"/>
        <w:ind w:left="426" w:right="420"/>
        <w:jc w:val="both"/>
        <w:rPr>
          <w:rFonts w:ascii="Gadugi" w:eastAsia="Georgia" w:hAnsi="Gadugi" w:cs="Georgia"/>
          <w:szCs w:val="24"/>
        </w:rPr>
      </w:pPr>
    </w:p>
    <w:p w14:paraId="339AAFB7" w14:textId="77777777" w:rsidR="00FC0186" w:rsidRPr="00374FF1" w:rsidRDefault="00FC0186" w:rsidP="00374FF1">
      <w:pPr>
        <w:spacing w:line="240" w:lineRule="auto"/>
        <w:ind w:left="426" w:right="420"/>
        <w:jc w:val="both"/>
        <w:rPr>
          <w:rFonts w:ascii="Gadugi" w:eastAsia="Georgia" w:hAnsi="Gadugi" w:cs="Georgia"/>
          <w:szCs w:val="24"/>
        </w:rPr>
      </w:pPr>
      <w:r w:rsidRPr="00374FF1">
        <w:rPr>
          <w:rFonts w:ascii="Gadugi" w:eastAsia="Georgia" w:hAnsi="Gadugi" w:cs="Georgia"/>
          <w:szCs w:val="24"/>
        </w:rPr>
        <w:t>PARÁGRAFO. &lt;Parágrafo adicionado por el artículo 45 de la Ley 962 de 2005. El nuevo texto es el siguiente:&gt; Para el caso de facturación por máquinas registradoras será admisible la utilización de numeración diaria o periódica, siempre y cuando corresponda a un sistema consecutivo que permita individualizar y distinguir de manera inequívoca cada operación facturada, ya sea mediante prefijos numéricos, alfabéticos o alfanuméricos o mecanismos similares.</w:t>
      </w:r>
    </w:p>
    <w:p w14:paraId="5053E083" w14:textId="77777777" w:rsidR="00FC0186" w:rsidRPr="000A682B" w:rsidRDefault="00FC0186" w:rsidP="000A682B">
      <w:pPr>
        <w:jc w:val="both"/>
        <w:rPr>
          <w:rFonts w:ascii="Gadugi" w:eastAsia="Georgia" w:hAnsi="Gadugi" w:cs="Georgia"/>
          <w:sz w:val="24"/>
          <w:szCs w:val="24"/>
        </w:rPr>
      </w:pPr>
    </w:p>
    <w:p w14:paraId="7F727549" w14:textId="43619FEB" w:rsidR="00A96EAC" w:rsidRPr="000A682B" w:rsidRDefault="00284A83" w:rsidP="000A682B">
      <w:pPr>
        <w:jc w:val="both"/>
        <w:rPr>
          <w:rFonts w:ascii="Gadugi" w:eastAsia="Georgia" w:hAnsi="Gadugi" w:cs="Georgia"/>
          <w:sz w:val="24"/>
          <w:szCs w:val="24"/>
        </w:rPr>
      </w:pPr>
      <w:r w:rsidRPr="000A682B">
        <w:rPr>
          <w:rFonts w:ascii="Gadugi" w:eastAsia="Georgia" w:hAnsi="Gadugi" w:cs="Georgia"/>
          <w:sz w:val="24"/>
          <w:szCs w:val="24"/>
        </w:rPr>
        <w:t xml:space="preserve">2.6. </w:t>
      </w:r>
      <w:r w:rsidR="00DD71FD" w:rsidRPr="000A682B">
        <w:rPr>
          <w:rFonts w:ascii="Gadugi" w:eastAsia="Georgia" w:hAnsi="Gadugi" w:cs="Georgia"/>
          <w:sz w:val="24"/>
          <w:szCs w:val="24"/>
        </w:rPr>
        <w:t>P</w:t>
      </w:r>
      <w:r w:rsidR="00A96EAC" w:rsidRPr="000A682B">
        <w:rPr>
          <w:rFonts w:ascii="Gadugi" w:eastAsia="Georgia" w:hAnsi="Gadugi" w:cs="Georgia"/>
          <w:sz w:val="24"/>
          <w:szCs w:val="24"/>
        </w:rPr>
        <w:t>ara este caso, en su momento, la funcionaria consideró que la factura de venta número 13, por valor de $485´902.500,</w:t>
      </w:r>
      <w:r w:rsidR="00374FF1">
        <w:rPr>
          <w:rFonts w:ascii="Gadugi" w:eastAsia="Georgia" w:hAnsi="Gadugi" w:cs="Georgia"/>
          <w:sz w:val="24"/>
          <w:szCs w:val="24"/>
        </w:rPr>
        <w:t>00</w:t>
      </w:r>
      <w:r w:rsidR="00A96EAC" w:rsidRPr="000A682B">
        <w:rPr>
          <w:rFonts w:ascii="Gadugi" w:eastAsia="Georgia" w:hAnsi="Gadugi" w:cs="Georgia"/>
          <w:sz w:val="24"/>
          <w:szCs w:val="24"/>
        </w:rPr>
        <w:t xml:space="preserve"> se ceñía a las prescripciones de los artículos 774 y 621 del Código de Comercio, por lo que libró el mandamiento de pago por la suma de $162’620.1000,</w:t>
      </w:r>
      <w:r w:rsidR="00374FF1">
        <w:rPr>
          <w:rFonts w:ascii="Gadugi" w:eastAsia="Georgia" w:hAnsi="Gadugi" w:cs="Georgia"/>
          <w:sz w:val="24"/>
          <w:szCs w:val="24"/>
        </w:rPr>
        <w:t>00</w:t>
      </w:r>
      <w:r w:rsidR="00A96EAC" w:rsidRPr="000A682B">
        <w:rPr>
          <w:rFonts w:ascii="Gadugi" w:eastAsia="Georgia" w:hAnsi="Gadugi" w:cs="Georgia"/>
          <w:sz w:val="24"/>
          <w:szCs w:val="24"/>
        </w:rPr>
        <w:t xml:space="preserve"> como saldo adeudado, </w:t>
      </w:r>
      <w:r w:rsidR="00DD71FD" w:rsidRPr="000A682B">
        <w:rPr>
          <w:rFonts w:ascii="Gadugi" w:eastAsia="Georgia" w:hAnsi="Gadugi" w:cs="Georgia"/>
          <w:sz w:val="24"/>
          <w:szCs w:val="24"/>
        </w:rPr>
        <w:t xml:space="preserve">según la demandante, </w:t>
      </w:r>
      <w:r w:rsidR="00A96EAC" w:rsidRPr="000A682B">
        <w:rPr>
          <w:rFonts w:ascii="Gadugi" w:eastAsia="Georgia" w:hAnsi="Gadugi" w:cs="Georgia"/>
          <w:sz w:val="24"/>
          <w:szCs w:val="24"/>
        </w:rPr>
        <w:t xml:space="preserve">más los intereses moratorios de esa suma desde el 24 de febrero de 2020. </w:t>
      </w:r>
    </w:p>
    <w:p w14:paraId="650A6475" w14:textId="77777777" w:rsidR="00A96EAC" w:rsidRPr="000A682B" w:rsidRDefault="00A96EAC" w:rsidP="000A682B">
      <w:pPr>
        <w:jc w:val="both"/>
        <w:rPr>
          <w:rFonts w:ascii="Gadugi" w:eastAsia="Georgia" w:hAnsi="Gadugi" w:cs="Georgia"/>
          <w:sz w:val="24"/>
          <w:szCs w:val="24"/>
        </w:rPr>
      </w:pPr>
    </w:p>
    <w:p w14:paraId="5ABCCEEB" w14:textId="22D60AD1" w:rsidR="00A96EAC" w:rsidRPr="000A682B" w:rsidRDefault="00A96EAC" w:rsidP="000A682B">
      <w:pPr>
        <w:jc w:val="both"/>
        <w:rPr>
          <w:rFonts w:ascii="Gadugi" w:eastAsia="Georgia" w:hAnsi="Gadugi" w:cs="Georgia"/>
          <w:sz w:val="24"/>
          <w:szCs w:val="24"/>
        </w:rPr>
      </w:pPr>
      <w:r w:rsidRPr="000A682B">
        <w:rPr>
          <w:rFonts w:ascii="Gadugi" w:eastAsia="Georgia" w:hAnsi="Gadugi" w:cs="Georgia"/>
          <w:sz w:val="24"/>
          <w:szCs w:val="24"/>
        </w:rPr>
        <w:lastRenderedPageBreak/>
        <w:t>Sin embargo, opuestas las excepciones por parte de la demandada, arribó a una conclusión diferente, ya que la sentencia (i) declaró no probada la excepción de prescripción propuesta, porque se fundó en normas del Código Sustantivo del Trabajo, no del Código de Comercio, con lo que se quedó sin sustento; (ii) sobre las que se fundan en que no fue la demandada la que suscribió el título y en la falta de representación o poder bastante de quien suscribe el título, luego de aludir a la aceptación expresa o tácita de la factura, señaló que</w:t>
      </w:r>
      <w:r w:rsidR="007B50C4" w:rsidRPr="000A682B">
        <w:rPr>
          <w:rFonts w:ascii="Gadugi" w:eastAsia="Georgia" w:hAnsi="Gadugi" w:cs="Georgia"/>
          <w:sz w:val="24"/>
          <w:szCs w:val="24"/>
        </w:rPr>
        <w:t xml:space="preserve">, aunque </w:t>
      </w:r>
      <w:r w:rsidR="00980754" w:rsidRPr="000A682B">
        <w:rPr>
          <w:rFonts w:ascii="Gadugi" w:eastAsia="Georgia" w:hAnsi="Gadugi" w:cs="Georgia"/>
          <w:sz w:val="24"/>
          <w:szCs w:val="24"/>
        </w:rPr>
        <w:t xml:space="preserve">nada se oponía a que la contadora recibiera la factura, sí fue entregada en </w:t>
      </w:r>
      <w:r w:rsidRPr="000A682B">
        <w:rPr>
          <w:rFonts w:ascii="Gadugi" w:eastAsia="Georgia" w:hAnsi="Gadugi" w:cs="Georgia"/>
          <w:sz w:val="24"/>
          <w:szCs w:val="24"/>
        </w:rPr>
        <w:t xml:space="preserve">una dirección diferente a la de la fundación demandada, concretamente, en la oficina de </w:t>
      </w:r>
      <w:r w:rsidR="00980754" w:rsidRPr="000A682B">
        <w:rPr>
          <w:rFonts w:ascii="Gadugi" w:eastAsia="Georgia" w:hAnsi="Gadugi" w:cs="Georgia"/>
          <w:sz w:val="24"/>
          <w:szCs w:val="24"/>
        </w:rPr>
        <w:t>dicha profesional</w:t>
      </w:r>
      <w:r w:rsidRPr="000A682B">
        <w:rPr>
          <w:rFonts w:ascii="Gadugi" w:eastAsia="Georgia" w:hAnsi="Gadugi" w:cs="Georgia"/>
          <w:sz w:val="24"/>
          <w:szCs w:val="24"/>
        </w:rPr>
        <w:t xml:space="preserve">; (iii) sobre los requisitos que el título debe contener, concluyó, a la luz de los artículos 621 y 671 del C. de Comercio y la Ley 1231 de 2008, que, para el caso, la factura carece de los siguientes: la descripción específica del servicio prestado, en particular, porque se alude a una obra única, cuando el contrato había sufrido modificaciones y avances de obra, así que se desconoce con exactitud </w:t>
      </w:r>
      <w:r w:rsidRPr="000A682B">
        <w:rPr>
          <w:rFonts w:ascii="Gadugi" w:eastAsia="Georgia" w:hAnsi="Gadugi" w:cs="Georgia"/>
          <w:i/>
          <w:iCs/>
          <w:sz w:val="24"/>
          <w:szCs w:val="24"/>
        </w:rPr>
        <w:t>“</w:t>
      </w:r>
      <w:r w:rsidRPr="00893D87">
        <w:rPr>
          <w:rFonts w:ascii="Gadugi" w:eastAsia="Georgia" w:hAnsi="Gadugi" w:cs="Georgia"/>
          <w:i/>
          <w:iCs/>
          <w:szCs w:val="24"/>
        </w:rPr>
        <w:t>la ejecución del contrato a cobrar</w:t>
      </w:r>
      <w:r w:rsidRPr="000A682B">
        <w:rPr>
          <w:rFonts w:ascii="Gadugi" w:eastAsia="Georgia" w:hAnsi="Gadugi" w:cs="Georgia"/>
          <w:i/>
          <w:iCs/>
          <w:sz w:val="24"/>
          <w:szCs w:val="24"/>
        </w:rPr>
        <w:t>”</w:t>
      </w:r>
      <w:r w:rsidRPr="000A682B">
        <w:rPr>
          <w:rFonts w:ascii="Gadugi" w:eastAsia="Georgia" w:hAnsi="Gadugi" w:cs="Georgia"/>
          <w:sz w:val="24"/>
          <w:szCs w:val="24"/>
        </w:rPr>
        <w:t>;</w:t>
      </w:r>
      <w:r w:rsidRPr="000A682B">
        <w:rPr>
          <w:rFonts w:ascii="Gadugi" w:eastAsia="Georgia" w:hAnsi="Gadugi" w:cs="Georgia"/>
          <w:i/>
          <w:iCs/>
          <w:sz w:val="24"/>
          <w:szCs w:val="24"/>
        </w:rPr>
        <w:t xml:space="preserve"> </w:t>
      </w:r>
      <w:r w:rsidRPr="000A682B">
        <w:rPr>
          <w:rFonts w:ascii="Gadugi" w:eastAsia="Georgia" w:hAnsi="Gadugi" w:cs="Georgia"/>
          <w:sz w:val="24"/>
          <w:szCs w:val="24"/>
        </w:rPr>
        <w:t xml:space="preserve">el pago se estipuló de acuerdo con el avance de obra, además de adjuntar los comprobantes de pago de obligaciones laborales y de seguridad social y FIC y las actas de las obras, sin que exista constancia de que se aportaron con la factura; </w:t>
      </w:r>
      <w:r w:rsidRPr="000A682B">
        <w:rPr>
          <w:rFonts w:ascii="Gadugi" w:eastAsia="Georgia" w:hAnsi="Gadugi" w:cs="Georgia"/>
          <w:i/>
          <w:iCs/>
          <w:sz w:val="24"/>
          <w:szCs w:val="24"/>
        </w:rPr>
        <w:t xml:space="preserve"> </w:t>
      </w:r>
      <w:r w:rsidRPr="000A682B">
        <w:rPr>
          <w:rFonts w:ascii="Gadugi" w:eastAsia="Georgia" w:hAnsi="Gadugi" w:cs="Georgia"/>
          <w:sz w:val="24"/>
          <w:szCs w:val="24"/>
        </w:rPr>
        <w:t xml:space="preserve">no se indicó si el vendedor es agente retenedor del impuesto sobre las ventas, como exige el estatuto tributario; tampoco se expidió en original y dos copias, como ordena el artículo 1 de la ley 1231 de 2008. </w:t>
      </w:r>
    </w:p>
    <w:p w14:paraId="185AF539" w14:textId="77777777" w:rsidR="00A96EAC" w:rsidRPr="000A682B" w:rsidRDefault="00A96EAC" w:rsidP="000A682B">
      <w:pPr>
        <w:jc w:val="both"/>
        <w:rPr>
          <w:rFonts w:ascii="Gadugi" w:eastAsia="Georgia" w:hAnsi="Gadugi" w:cs="Georgia"/>
          <w:sz w:val="24"/>
          <w:szCs w:val="24"/>
        </w:rPr>
      </w:pPr>
    </w:p>
    <w:p w14:paraId="21AEACD9" w14:textId="3FB5EBE2" w:rsidR="00F216F8" w:rsidRPr="000A682B" w:rsidRDefault="009E73D1" w:rsidP="000A682B">
      <w:pPr>
        <w:jc w:val="both"/>
        <w:rPr>
          <w:rFonts w:ascii="Gadugi" w:eastAsia="Georgia" w:hAnsi="Gadugi" w:cs="Georgia"/>
          <w:bCs/>
          <w:sz w:val="24"/>
          <w:szCs w:val="24"/>
        </w:rPr>
      </w:pPr>
      <w:r w:rsidRPr="000A682B">
        <w:rPr>
          <w:rFonts w:ascii="Gadugi" w:eastAsia="Georgia" w:hAnsi="Gadugi" w:cs="Georgia"/>
          <w:bCs/>
          <w:sz w:val="24"/>
          <w:szCs w:val="24"/>
        </w:rPr>
        <w:t>Frente a esas conclu</w:t>
      </w:r>
      <w:r w:rsidR="00F216F8" w:rsidRPr="000A682B">
        <w:rPr>
          <w:rFonts w:ascii="Gadugi" w:eastAsia="Georgia" w:hAnsi="Gadugi" w:cs="Georgia"/>
          <w:bCs/>
          <w:sz w:val="24"/>
          <w:szCs w:val="24"/>
        </w:rPr>
        <w:t>siones vinieron los reparos de la demanda</w:t>
      </w:r>
      <w:r w:rsidR="00E1409F" w:rsidRPr="000A682B">
        <w:rPr>
          <w:rFonts w:ascii="Gadugi" w:eastAsia="Georgia" w:hAnsi="Gadugi" w:cs="Georgia"/>
          <w:bCs/>
          <w:sz w:val="24"/>
          <w:szCs w:val="24"/>
        </w:rPr>
        <w:t>n</w:t>
      </w:r>
      <w:r w:rsidR="00F216F8" w:rsidRPr="000A682B">
        <w:rPr>
          <w:rFonts w:ascii="Gadugi" w:eastAsia="Georgia" w:hAnsi="Gadugi" w:cs="Georgia"/>
          <w:bCs/>
          <w:sz w:val="24"/>
          <w:szCs w:val="24"/>
        </w:rPr>
        <w:t>te que, uno a uno</w:t>
      </w:r>
      <w:r w:rsidR="006C7FD0" w:rsidRPr="000A682B">
        <w:rPr>
          <w:rFonts w:ascii="Gadugi" w:eastAsia="Georgia" w:hAnsi="Gadugi" w:cs="Georgia"/>
          <w:bCs/>
          <w:sz w:val="24"/>
          <w:szCs w:val="24"/>
        </w:rPr>
        <w:t>,</w:t>
      </w:r>
      <w:r w:rsidR="00F216F8" w:rsidRPr="000A682B">
        <w:rPr>
          <w:rFonts w:ascii="Gadugi" w:eastAsia="Georgia" w:hAnsi="Gadugi" w:cs="Georgia"/>
          <w:bCs/>
          <w:sz w:val="24"/>
          <w:szCs w:val="24"/>
        </w:rPr>
        <w:t xml:space="preserve"> se analizan: </w:t>
      </w:r>
    </w:p>
    <w:p w14:paraId="6D447D5E" w14:textId="77777777" w:rsidR="00F216F8" w:rsidRPr="000A682B" w:rsidRDefault="00F216F8" w:rsidP="000A682B">
      <w:pPr>
        <w:jc w:val="both"/>
        <w:rPr>
          <w:rFonts w:ascii="Gadugi" w:eastAsia="Georgia" w:hAnsi="Gadugi" w:cs="Georgia"/>
          <w:bCs/>
          <w:sz w:val="24"/>
          <w:szCs w:val="24"/>
        </w:rPr>
      </w:pPr>
    </w:p>
    <w:p w14:paraId="2EA04DD4" w14:textId="76FAE849" w:rsidR="00A96EAC" w:rsidRPr="000A682B" w:rsidRDefault="00F216F8" w:rsidP="000A682B">
      <w:pPr>
        <w:pStyle w:val="Prrafodelista"/>
        <w:numPr>
          <w:ilvl w:val="1"/>
          <w:numId w:val="4"/>
        </w:numPr>
        <w:ind w:left="0" w:firstLine="0"/>
        <w:jc w:val="both"/>
        <w:rPr>
          <w:rFonts w:ascii="Gadugi" w:eastAsia="Georgia" w:hAnsi="Gadugi" w:cs="Georgia"/>
          <w:bCs/>
          <w:sz w:val="24"/>
          <w:szCs w:val="24"/>
        </w:rPr>
      </w:pPr>
      <w:r w:rsidRPr="000A682B">
        <w:rPr>
          <w:rFonts w:ascii="Gadugi" w:eastAsia="Georgia" w:hAnsi="Gadugi" w:cs="Georgia"/>
          <w:bCs/>
          <w:sz w:val="24"/>
          <w:szCs w:val="24"/>
        </w:rPr>
        <w:t xml:space="preserve">El primero señala </w:t>
      </w:r>
      <w:r w:rsidR="00770358" w:rsidRPr="000A682B">
        <w:rPr>
          <w:rFonts w:ascii="Gadugi" w:eastAsia="Georgia" w:hAnsi="Gadugi" w:cs="Georgia"/>
          <w:bCs/>
          <w:sz w:val="24"/>
          <w:szCs w:val="24"/>
        </w:rPr>
        <w:t xml:space="preserve">que </w:t>
      </w:r>
      <w:r w:rsidR="00A96EAC" w:rsidRPr="000A682B">
        <w:rPr>
          <w:rFonts w:ascii="Gadugi" w:eastAsia="Georgia" w:hAnsi="Gadugi" w:cs="Georgia"/>
          <w:bCs/>
          <w:sz w:val="24"/>
          <w:szCs w:val="24"/>
        </w:rPr>
        <w:t xml:space="preserve">el título valor aportado cumple los requisitos esenciales para ser considerado como tal. Para soportarlo, aludió al artículo 621, a la Ley 1231 de 2008 y su definición de la factura, a los requisitos formales que, recuerda, son los que expresa el artículo 774 del C. de Comercio, que remite al 621, y los detallados en el artículo 617 del Estatuto Tributario. Señala que la factura satisface las exigencias de los literales a, b, d y h del último artículo citado. Enseguida establece una distinción entre las facturas de papel y las realizadas por computador y concluye que ambas deben cumplir los requisitos de la mentada norma; además, aduce que ellas serán desplazadas por las facturas electrónicas y que la demandante está autorizada para la expedir estas últimas. </w:t>
      </w:r>
    </w:p>
    <w:p w14:paraId="424CB129" w14:textId="77777777" w:rsidR="00770358" w:rsidRPr="000A682B" w:rsidRDefault="00770358" w:rsidP="000A682B">
      <w:pPr>
        <w:jc w:val="both"/>
        <w:rPr>
          <w:rFonts w:ascii="Gadugi" w:eastAsia="Georgia" w:hAnsi="Gadugi" w:cs="Georgia"/>
          <w:bCs/>
          <w:sz w:val="24"/>
          <w:szCs w:val="24"/>
        </w:rPr>
      </w:pPr>
    </w:p>
    <w:p w14:paraId="05528203" w14:textId="7E3FCCBE" w:rsidR="00770358" w:rsidRPr="000A682B" w:rsidRDefault="00770358" w:rsidP="000A682B">
      <w:pPr>
        <w:jc w:val="both"/>
        <w:rPr>
          <w:rFonts w:ascii="Gadugi" w:eastAsia="Georgia" w:hAnsi="Gadugi" w:cs="Georgia"/>
          <w:bCs/>
          <w:sz w:val="24"/>
          <w:szCs w:val="24"/>
        </w:rPr>
      </w:pPr>
      <w:r w:rsidRPr="000A682B">
        <w:rPr>
          <w:rFonts w:ascii="Gadugi" w:eastAsia="Georgia" w:hAnsi="Gadugi" w:cs="Georgia"/>
          <w:bCs/>
          <w:sz w:val="24"/>
          <w:szCs w:val="24"/>
        </w:rPr>
        <w:t xml:space="preserve">Tal réplica </w:t>
      </w:r>
      <w:r w:rsidR="00863DC6" w:rsidRPr="000A682B">
        <w:rPr>
          <w:rFonts w:ascii="Gadugi" w:eastAsia="Georgia" w:hAnsi="Gadugi" w:cs="Georgia"/>
          <w:bCs/>
          <w:sz w:val="24"/>
          <w:szCs w:val="24"/>
        </w:rPr>
        <w:t>debe fracasar, por cuanto, en estricto sentido, nada dice contra el fallo en forma concreta. Solo atina a mencionar que la factura reúne todos los</w:t>
      </w:r>
      <w:r w:rsidR="00226AAF" w:rsidRPr="000A682B">
        <w:rPr>
          <w:rFonts w:ascii="Gadugi" w:eastAsia="Georgia" w:hAnsi="Gadugi" w:cs="Georgia"/>
          <w:bCs/>
          <w:sz w:val="24"/>
          <w:szCs w:val="24"/>
        </w:rPr>
        <w:t xml:space="preserve"> requisitos que prevé el artículo 774, pero no apunta en dirección a ninguno de los argumentos del juzgado</w:t>
      </w:r>
      <w:r w:rsidR="00EF29A5" w:rsidRPr="000A682B">
        <w:rPr>
          <w:rFonts w:ascii="Gadugi" w:eastAsia="Georgia" w:hAnsi="Gadugi" w:cs="Georgia"/>
          <w:bCs/>
          <w:sz w:val="24"/>
          <w:szCs w:val="24"/>
        </w:rPr>
        <w:t xml:space="preserve">, relacionados con que la factura fue recibida en un lugar distinto al domicilio de la demandada, o que </w:t>
      </w:r>
      <w:r w:rsidR="005172A6" w:rsidRPr="000A682B">
        <w:rPr>
          <w:rFonts w:ascii="Gadugi" w:eastAsia="Georgia" w:hAnsi="Gadugi" w:cs="Georgia"/>
          <w:bCs/>
          <w:sz w:val="24"/>
          <w:szCs w:val="24"/>
        </w:rPr>
        <w:t xml:space="preserve">no se describió con suficiencia el servicio prestado, tampoco se </w:t>
      </w:r>
      <w:r w:rsidR="00C51DFD" w:rsidRPr="000A682B">
        <w:rPr>
          <w:rFonts w:ascii="Gadugi" w:eastAsia="Georgia" w:hAnsi="Gadugi" w:cs="Georgia"/>
          <w:bCs/>
          <w:sz w:val="24"/>
          <w:szCs w:val="24"/>
        </w:rPr>
        <w:t>estableció si al momento de presentar la factura se allegaron los comprobantes de</w:t>
      </w:r>
      <w:r w:rsidR="00AE0962" w:rsidRPr="000A682B">
        <w:rPr>
          <w:rFonts w:ascii="Gadugi" w:eastAsia="Georgia" w:hAnsi="Gadugi" w:cs="Georgia"/>
          <w:bCs/>
          <w:sz w:val="24"/>
          <w:szCs w:val="24"/>
        </w:rPr>
        <w:t xml:space="preserve"> pago de las obligaciones laborales y de seguridad social y </w:t>
      </w:r>
      <w:r w:rsidR="00CF1B1D" w:rsidRPr="000A682B">
        <w:rPr>
          <w:rFonts w:ascii="Gadugi" w:eastAsia="Georgia" w:hAnsi="Gadugi" w:cs="Georgia"/>
          <w:bCs/>
          <w:sz w:val="24"/>
          <w:szCs w:val="24"/>
        </w:rPr>
        <w:t xml:space="preserve">al FIC, como tampoco las </w:t>
      </w:r>
      <w:r w:rsidR="00CF1B1D" w:rsidRPr="000A682B">
        <w:rPr>
          <w:rFonts w:ascii="Gadugi" w:eastAsia="Georgia" w:hAnsi="Gadugi" w:cs="Georgia"/>
          <w:bCs/>
          <w:sz w:val="24"/>
          <w:szCs w:val="24"/>
        </w:rPr>
        <w:lastRenderedPageBreak/>
        <w:t xml:space="preserve">actas de las obras; no se indicó </w:t>
      </w:r>
      <w:r w:rsidR="00CD7B48" w:rsidRPr="000A682B">
        <w:rPr>
          <w:rFonts w:ascii="Gadugi" w:eastAsia="Georgia" w:hAnsi="Gadugi" w:cs="Georgia"/>
          <w:bCs/>
          <w:sz w:val="24"/>
          <w:szCs w:val="24"/>
        </w:rPr>
        <w:t>si el vendedor es agente retenedor del impuesto sobre las ventas, ni se expidió la factura en original y dos copias</w:t>
      </w:r>
      <w:r w:rsidR="001630D0" w:rsidRPr="000A682B">
        <w:rPr>
          <w:rFonts w:ascii="Gadugi" w:eastAsia="Georgia" w:hAnsi="Gadugi" w:cs="Georgia"/>
          <w:bCs/>
          <w:sz w:val="24"/>
          <w:szCs w:val="24"/>
        </w:rPr>
        <w:t xml:space="preserve">. </w:t>
      </w:r>
      <w:r w:rsidR="00CD7B48" w:rsidRPr="000A682B">
        <w:rPr>
          <w:rFonts w:ascii="Gadugi" w:eastAsia="Georgia" w:hAnsi="Gadugi" w:cs="Georgia"/>
          <w:bCs/>
          <w:sz w:val="24"/>
          <w:szCs w:val="24"/>
        </w:rPr>
        <w:t xml:space="preserve"> </w:t>
      </w:r>
    </w:p>
    <w:p w14:paraId="1626726D" w14:textId="77777777" w:rsidR="001630D0" w:rsidRPr="000A682B" w:rsidRDefault="001630D0" w:rsidP="000A682B">
      <w:pPr>
        <w:jc w:val="both"/>
        <w:rPr>
          <w:rFonts w:ascii="Gadugi" w:eastAsia="Georgia" w:hAnsi="Gadugi" w:cs="Georgia"/>
          <w:bCs/>
          <w:sz w:val="24"/>
          <w:szCs w:val="24"/>
        </w:rPr>
      </w:pPr>
    </w:p>
    <w:p w14:paraId="19C120C4" w14:textId="6CF799D7" w:rsidR="001630D0" w:rsidRPr="000A682B" w:rsidRDefault="001630D0" w:rsidP="000A682B">
      <w:pPr>
        <w:jc w:val="both"/>
        <w:rPr>
          <w:rFonts w:ascii="Gadugi" w:eastAsia="Georgia" w:hAnsi="Gadugi" w:cs="Georgia"/>
          <w:bCs/>
          <w:sz w:val="24"/>
          <w:szCs w:val="24"/>
        </w:rPr>
      </w:pPr>
      <w:r w:rsidRPr="000A682B">
        <w:rPr>
          <w:rFonts w:ascii="Gadugi" w:eastAsia="Georgia" w:hAnsi="Gadugi" w:cs="Georgia"/>
          <w:bCs/>
          <w:sz w:val="24"/>
          <w:szCs w:val="24"/>
        </w:rPr>
        <w:t xml:space="preserve">En este primer embate, entonces, no se pone al descubierto </w:t>
      </w:r>
      <w:r w:rsidR="00864274" w:rsidRPr="000A682B">
        <w:rPr>
          <w:rFonts w:ascii="Gadugi" w:eastAsia="Georgia" w:hAnsi="Gadugi" w:cs="Georgia"/>
          <w:bCs/>
          <w:sz w:val="24"/>
          <w:szCs w:val="24"/>
        </w:rPr>
        <w:t>el desacierto del juzgado, que es lo que debe hacerse al sustentar un recurso. Solo, se reitera, de manera genérica se alude al cumplimiento de los requisitos, pero como el juzgado echó de menos varios de ellos, era menester</w:t>
      </w:r>
      <w:r w:rsidR="00C87DAC" w:rsidRPr="000A682B">
        <w:rPr>
          <w:rFonts w:ascii="Gadugi" w:eastAsia="Georgia" w:hAnsi="Gadugi" w:cs="Georgia"/>
          <w:bCs/>
          <w:sz w:val="24"/>
          <w:szCs w:val="24"/>
        </w:rPr>
        <w:t xml:space="preserve"> señalar </w:t>
      </w:r>
      <w:r w:rsidR="001D4F31" w:rsidRPr="000A682B">
        <w:rPr>
          <w:rFonts w:ascii="Gadugi" w:eastAsia="Georgia" w:hAnsi="Gadugi" w:cs="Georgia"/>
          <w:bCs/>
          <w:sz w:val="24"/>
          <w:szCs w:val="24"/>
        </w:rPr>
        <w:t xml:space="preserve">en qué estuvo equivocado. Y ello no se suple con solo decir que las facturas de papel y las que se elaboran en </w:t>
      </w:r>
      <w:r w:rsidR="00411994" w:rsidRPr="000A682B">
        <w:rPr>
          <w:rFonts w:ascii="Gadugi" w:eastAsia="Georgia" w:hAnsi="Gadugi" w:cs="Georgia"/>
          <w:bCs/>
          <w:sz w:val="24"/>
          <w:szCs w:val="24"/>
        </w:rPr>
        <w:t>computador deben atender los mismos requisitos, lo cual, además de ser claro, en nada modifica lo dicho por el juzgado</w:t>
      </w:r>
      <w:r w:rsidR="005127A2" w:rsidRPr="000A682B">
        <w:rPr>
          <w:rFonts w:ascii="Gadugi" w:eastAsia="Georgia" w:hAnsi="Gadugi" w:cs="Georgia"/>
          <w:bCs/>
          <w:sz w:val="24"/>
          <w:szCs w:val="24"/>
        </w:rPr>
        <w:t>;</w:t>
      </w:r>
      <w:r w:rsidR="00411994" w:rsidRPr="000A682B">
        <w:rPr>
          <w:rFonts w:ascii="Gadugi" w:eastAsia="Georgia" w:hAnsi="Gadugi" w:cs="Georgia"/>
          <w:bCs/>
          <w:sz w:val="24"/>
          <w:szCs w:val="24"/>
        </w:rPr>
        <w:t xml:space="preserve"> y menos con señalar que la demandante está autorizada </w:t>
      </w:r>
      <w:r w:rsidR="00D8150C" w:rsidRPr="000A682B">
        <w:rPr>
          <w:rFonts w:ascii="Gadugi" w:eastAsia="Georgia" w:hAnsi="Gadugi" w:cs="Georgia"/>
          <w:bCs/>
          <w:sz w:val="24"/>
          <w:szCs w:val="24"/>
        </w:rPr>
        <w:t xml:space="preserve">para expedir facturas electrónicas, pues ese no es siquiera el punto en debate. </w:t>
      </w:r>
    </w:p>
    <w:p w14:paraId="3ED0E0A2" w14:textId="77777777" w:rsidR="00093E9A" w:rsidRPr="000A682B" w:rsidRDefault="00093E9A" w:rsidP="000A682B">
      <w:pPr>
        <w:jc w:val="both"/>
        <w:rPr>
          <w:rFonts w:ascii="Gadugi" w:eastAsia="Georgia" w:hAnsi="Gadugi" w:cs="Georgia"/>
          <w:bCs/>
          <w:sz w:val="24"/>
          <w:szCs w:val="24"/>
        </w:rPr>
      </w:pPr>
    </w:p>
    <w:p w14:paraId="7ECF1DC8" w14:textId="3F79404F" w:rsidR="00A96EAC" w:rsidRPr="000A682B" w:rsidRDefault="00E77F80" w:rsidP="000A682B">
      <w:pPr>
        <w:pStyle w:val="Prrafodelista"/>
        <w:numPr>
          <w:ilvl w:val="1"/>
          <w:numId w:val="4"/>
        </w:numPr>
        <w:tabs>
          <w:tab w:val="left" w:pos="567"/>
        </w:tabs>
        <w:ind w:left="0" w:firstLine="0"/>
        <w:jc w:val="both"/>
        <w:rPr>
          <w:rFonts w:ascii="Gadugi" w:eastAsia="Georgia" w:hAnsi="Gadugi" w:cs="Georgia"/>
          <w:bCs/>
          <w:sz w:val="24"/>
          <w:szCs w:val="24"/>
        </w:rPr>
      </w:pPr>
      <w:r w:rsidRPr="000A682B">
        <w:rPr>
          <w:rFonts w:ascii="Gadugi" w:eastAsia="Georgia" w:hAnsi="Gadugi" w:cs="Georgia"/>
          <w:bCs/>
          <w:sz w:val="24"/>
          <w:szCs w:val="24"/>
        </w:rPr>
        <w:t xml:space="preserve">La segunda censura </w:t>
      </w:r>
      <w:r w:rsidR="001E2970" w:rsidRPr="000A682B">
        <w:rPr>
          <w:rFonts w:ascii="Gadugi" w:eastAsia="Georgia" w:hAnsi="Gadugi" w:cs="Georgia"/>
          <w:bCs/>
          <w:sz w:val="24"/>
          <w:szCs w:val="24"/>
        </w:rPr>
        <w:t>parte de que, q</w:t>
      </w:r>
      <w:r w:rsidR="00A96EAC" w:rsidRPr="000A682B">
        <w:rPr>
          <w:rFonts w:ascii="Gadugi" w:eastAsia="Georgia" w:hAnsi="Gadugi" w:cs="Georgia"/>
          <w:bCs/>
          <w:sz w:val="24"/>
          <w:szCs w:val="24"/>
        </w:rPr>
        <w:t xml:space="preserve">uien suscribió el título valor, estaba autorizado para ello. En efecto, dice, el </w:t>
      </w:r>
      <w:r w:rsidR="00A96EAC" w:rsidRPr="000A682B">
        <w:rPr>
          <w:rFonts w:ascii="Gadugi" w:eastAsia="Georgia" w:hAnsi="Gadugi" w:cs="Georgia"/>
          <w:bCs/>
          <w:i/>
          <w:iCs/>
          <w:sz w:val="24"/>
          <w:szCs w:val="24"/>
        </w:rPr>
        <w:t xml:space="preserve">“Señor Castaño”, </w:t>
      </w:r>
      <w:r w:rsidR="00A96EAC" w:rsidRPr="000A682B">
        <w:rPr>
          <w:rFonts w:ascii="Gadugi" w:eastAsia="Georgia" w:hAnsi="Gadugi" w:cs="Georgia"/>
          <w:bCs/>
          <w:sz w:val="24"/>
          <w:szCs w:val="24"/>
        </w:rPr>
        <w:t xml:space="preserve">como reconoció en el proceso, ejecutó actos de administración, gestión y representación de la entidad demandada en ejecución del contrato de obra celebrado, por lo que no es de recibo que ahora lo desconozca; eso mismo lo facultaba para ordenar al contratista, como en efecto lo hizo, radicar la factura en el despacho de la contadora. </w:t>
      </w:r>
    </w:p>
    <w:p w14:paraId="6AB68980" w14:textId="77777777" w:rsidR="00A96EAC" w:rsidRPr="000A682B" w:rsidRDefault="00A96EAC" w:rsidP="000A682B">
      <w:pPr>
        <w:jc w:val="both"/>
        <w:rPr>
          <w:rFonts w:ascii="Gadugi" w:eastAsia="Georgia" w:hAnsi="Gadugi" w:cs="Georgia"/>
          <w:bCs/>
          <w:sz w:val="24"/>
          <w:szCs w:val="24"/>
        </w:rPr>
      </w:pPr>
    </w:p>
    <w:p w14:paraId="77C5D979" w14:textId="77777777" w:rsidR="00A96EAC" w:rsidRPr="000A682B" w:rsidRDefault="00A96EAC" w:rsidP="000A682B">
      <w:pPr>
        <w:jc w:val="both"/>
        <w:rPr>
          <w:rFonts w:ascii="Gadugi" w:eastAsia="Georgia" w:hAnsi="Gadugi" w:cs="Georgia"/>
          <w:bCs/>
          <w:sz w:val="24"/>
          <w:szCs w:val="24"/>
        </w:rPr>
      </w:pPr>
      <w:r w:rsidRPr="000A682B">
        <w:rPr>
          <w:rFonts w:ascii="Gadugi" w:eastAsia="Georgia" w:hAnsi="Gadugi" w:cs="Georgia"/>
          <w:bCs/>
          <w:sz w:val="24"/>
          <w:szCs w:val="24"/>
        </w:rPr>
        <w:t xml:space="preserve">Además, pudiendo hacerlo, omitió, dentro de los 3 días calendario siguientes a la recepción de la factura, solicitar al emisor la presentación del original del documento para firmarlo como constancia de aceptación y recibo de los bienes o servicios, o manifestar su rechazo; tampoco la rechazó o la aceptó expresamente en documento separado. Es decir, que hubo una aceptación tácita. </w:t>
      </w:r>
    </w:p>
    <w:p w14:paraId="7C34FF53" w14:textId="77777777" w:rsidR="00A96EAC" w:rsidRPr="000A682B" w:rsidRDefault="00A96EAC" w:rsidP="000A682B">
      <w:pPr>
        <w:jc w:val="both"/>
        <w:rPr>
          <w:rFonts w:ascii="Gadugi" w:eastAsia="Georgia" w:hAnsi="Gadugi" w:cs="Georgia"/>
          <w:bCs/>
          <w:sz w:val="24"/>
          <w:szCs w:val="24"/>
        </w:rPr>
      </w:pPr>
    </w:p>
    <w:p w14:paraId="18340379" w14:textId="77777777" w:rsidR="00A96EAC" w:rsidRPr="000A682B" w:rsidRDefault="00A96EAC" w:rsidP="000A682B">
      <w:pPr>
        <w:jc w:val="both"/>
        <w:rPr>
          <w:rFonts w:ascii="Gadugi" w:eastAsia="Georgia" w:hAnsi="Gadugi" w:cs="Georgia"/>
          <w:bCs/>
          <w:sz w:val="24"/>
          <w:szCs w:val="24"/>
        </w:rPr>
      </w:pPr>
      <w:r w:rsidRPr="000A682B">
        <w:rPr>
          <w:rFonts w:ascii="Gadugi" w:eastAsia="Georgia" w:hAnsi="Gadugi" w:cs="Georgia"/>
          <w:bCs/>
          <w:sz w:val="24"/>
          <w:szCs w:val="24"/>
        </w:rPr>
        <w:t xml:space="preserve">Señala que la contadora, a pesar de su profesión, actuó como si fuera lego en las condiciones de facturación, recepción, aceptación, objeción o rechazo de títulos; y dijo que luego de haber recibido la factura se le realizaron más pagos y abonos de las deudas que la fundación presentaba. Ella tenía la facultad de objetar y comunicar sobre las facturas. </w:t>
      </w:r>
    </w:p>
    <w:p w14:paraId="4C34E650" w14:textId="77777777" w:rsidR="006E2487" w:rsidRPr="000A682B" w:rsidRDefault="006E2487" w:rsidP="000A682B">
      <w:pPr>
        <w:jc w:val="both"/>
        <w:rPr>
          <w:rFonts w:ascii="Gadugi" w:eastAsia="Georgia" w:hAnsi="Gadugi" w:cs="Georgia"/>
          <w:bCs/>
          <w:sz w:val="24"/>
          <w:szCs w:val="24"/>
        </w:rPr>
      </w:pPr>
    </w:p>
    <w:p w14:paraId="21D6B201" w14:textId="0C8E4615" w:rsidR="006E2487" w:rsidRPr="000A682B" w:rsidRDefault="006E2487" w:rsidP="000A682B">
      <w:pPr>
        <w:jc w:val="both"/>
        <w:rPr>
          <w:rFonts w:ascii="Gadugi" w:eastAsia="Georgia" w:hAnsi="Gadugi" w:cs="Georgia"/>
          <w:bCs/>
          <w:sz w:val="24"/>
          <w:szCs w:val="24"/>
        </w:rPr>
      </w:pPr>
      <w:r w:rsidRPr="000A682B">
        <w:rPr>
          <w:rFonts w:ascii="Gadugi" w:eastAsia="Georgia" w:hAnsi="Gadugi" w:cs="Georgia"/>
          <w:bCs/>
          <w:sz w:val="24"/>
          <w:szCs w:val="24"/>
        </w:rPr>
        <w:t xml:space="preserve">Tampoco prospera. </w:t>
      </w:r>
    </w:p>
    <w:p w14:paraId="676BFF80" w14:textId="77777777" w:rsidR="006E2487" w:rsidRPr="000A682B" w:rsidRDefault="006E2487" w:rsidP="000A682B">
      <w:pPr>
        <w:jc w:val="both"/>
        <w:rPr>
          <w:rFonts w:ascii="Gadugi" w:eastAsia="Georgia" w:hAnsi="Gadugi" w:cs="Georgia"/>
          <w:bCs/>
          <w:sz w:val="24"/>
          <w:szCs w:val="24"/>
        </w:rPr>
      </w:pPr>
    </w:p>
    <w:p w14:paraId="382B2A1D" w14:textId="12092E7F" w:rsidR="001E2970" w:rsidRPr="000A682B" w:rsidRDefault="006A53C5" w:rsidP="000A682B">
      <w:pPr>
        <w:jc w:val="both"/>
        <w:rPr>
          <w:rFonts w:ascii="Gadugi" w:eastAsia="Georgia" w:hAnsi="Gadugi" w:cs="Georgia"/>
          <w:bCs/>
          <w:sz w:val="24"/>
          <w:szCs w:val="24"/>
        </w:rPr>
      </w:pPr>
      <w:r w:rsidRPr="000A682B">
        <w:rPr>
          <w:rFonts w:ascii="Gadugi" w:eastAsia="Georgia" w:hAnsi="Gadugi" w:cs="Georgia"/>
          <w:bCs/>
          <w:sz w:val="24"/>
          <w:szCs w:val="24"/>
        </w:rPr>
        <w:t xml:space="preserve">La primera parte del razonamiento de la recurrente </w:t>
      </w:r>
      <w:r w:rsidR="00F04D4E" w:rsidRPr="000A682B">
        <w:rPr>
          <w:rFonts w:ascii="Gadugi" w:eastAsia="Georgia" w:hAnsi="Gadugi" w:cs="Georgia"/>
          <w:bCs/>
          <w:sz w:val="24"/>
          <w:szCs w:val="24"/>
        </w:rPr>
        <w:t xml:space="preserve">carece de relevancia, por cuanto eso mismo dijo el juzgado. Es decir, en el fallo se reconoció que </w:t>
      </w:r>
      <w:r w:rsidR="00DD7EE2" w:rsidRPr="000A682B">
        <w:rPr>
          <w:rFonts w:ascii="Gadugi" w:eastAsia="Georgia" w:hAnsi="Gadugi" w:cs="Georgia"/>
          <w:bCs/>
          <w:sz w:val="24"/>
          <w:szCs w:val="24"/>
        </w:rPr>
        <w:t xml:space="preserve">no era indispensable que fuera la representante legal de la demandada o quien ella había delegado para entenderse con la demandante, quien </w:t>
      </w:r>
      <w:r w:rsidR="00A74A94" w:rsidRPr="000A682B">
        <w:rPr>
          <w:rFonts w:ascii="Gadugi" w:eastAsia="Georgia" w:hAnsi="Gadugi" w:cs="Georgia"/>
          <w:bCs/>
          <w:sz w:val="24"/>
          <w:szCs w:val="24"/>
        </w:rPr>
        <w:t>suscribiera el título como constancia de recibido</w:t>
      </w:r>
      <w:r w:rsidR="00E15483" w:rsidRPr="000A682B">
        <w:rPr>
          <w:rFonts w:ascii="Gadugi" w:eastAsia="Georgia" w:hAnsi="Gadugi" w:cs="Georgia"/>
          <w:bCs/>
          <w:sz w:val="24"/>
          <w:szCs w:val="24"/>
        </w:rPr>
        <w:t xml:space="preserve">, por la especialidad que corresponde a </w:t>
      </w:r>
      <w:r w:rsidR="00E1409F" w:rsidRPr="000A682B">
        <w:rPr>
          <w:rFonts w:ascii="Gadugi" w:eastAsia="Georgia" w:hAnsi="Gadugi" w:cs="Georgia"/>
          <w:bCs/>
          <w:sz w:val="24"/>
          <w:szCs w:val="24"/>
        </w:rPr>
        <w:t>la factura.</w:t>
      </w:r>
      <w:r w:rsidR="00E15483" w:rsidRPr="000A682B">
        <w:rPr>
          <w:rFonts w:ascii="Gadugi" w:eastAsia="Georgia" w:hAnsi="Gadugi" w:cs="Georgia"/>
          <w:bCs/>
          <w:sz w:val="24"/>
          <w:szCs w:val="24"/>
        </w:rPr>
        <w:t xml:space="preserve"> </w:t>
      </w:r>
    </w:p>
    <w:p w14:paraId="4D2D8737" w14:textId="77777777" w:rsidR="001E2970" w:rsidRPr="000A682B" w:rsidRDefault="001E2970" w:rsidP="000A682B">
      <w:pPr>
        <w:jc w:val="both"/>
        <w:rPr>
          <w:rFonts w:ascii="Gadugi" w:eastAsia="Georgia" w:hAnsi="Gadugi" w:cs="Georgia"/>
          <w:bCs/>
          <w:sz w:val="24"/>
          <w:szCs w:val="24"/>
        </w:rPr>
      </w:pPr>
    </w:p>
    <w:p w14:paraId="3C9A9A64" w14:textId="3739CB14" w:rsidR="0061549E" w:rsidRPr="000A682B" w:rsidRDefault="001E2970" w:rsidP="000A682B">
      <w:pPr>
        <w:jc w:val="both"/>
        <w:rPr>
          <w:rFonts w:ascii="Gadugi" w:eastAsia="Georgia" w:hAnsi="Gadugi" w:cs="Georgia"/>
          <w:bCs/>
          <w:sz w:val="24"/>
          <w:szCs w:val="24"/>
        </w:rPr>
      </w:pPr>
      <w:r w:rsidRPr="000A682B">
        <w:rPr>
          <w:rFonts w:ascii="Gadugi" w:eastAsia="Georgia" w:hAnsi="Gadugi" w:cs="Georgia"/>
          <w:bCs/>
          <w:sz w:val="24"/>
          <w:szCs w:val="24"/>
        </w:rPr>
        <w:t xml:space="preserve">Más bien lo que </w:t>
      </w:r>
      <w:r w:rsidR="0037380B" w:rsidRPr="000A682B">
        <w:rPr>
          <w:rFonts w:ascii="Gadugi" w:eastAsia="Georgia" w:hAnsi="Gadugi" w:cs="Georgia"/>
          <w:bCs/>
          <w:sz w:val="24"/>
          <w:szCs w:val="24"/>
        </w:rPr>
        <w:t xml:space="preserve">se dijo en el fallo es que, a la luz de la parte final del inciso segundo del artículo 2 </w:t>
      </w:r>
      <w:r w:rsidR="00BE0790" w:rsidRPr="000A682B">
        <w:rPr>
          <w:rFonts w:ascii="Gadugi" w:eastAsia="Georgia" w:hAnsi="Gadugi" w:cs="Georgia"/>
          <w:bCs/>
          <w:sz w:val="24"/>
          <w:szCs w:val="24"/>
        </w:rPr>
        <w:t>de la Le</w:t>
      </w:r>
      <w:r w:rsidR="0061549E" w:rsidRPr="000A682B">
        <w:rPr>
          <w:rFonts w:ascii="Gadugi" w:eastAsia="Georgia" w:hAnsi="Gadugi" w:cs="Georgia"/>
          <w:bCs/>
          <w:sz w:val="24"/>
          <w:szCs w:val="24"/>
        </w:rPr>
        <w:t>y</w:t>
      </w:r>
      <w:r w:rsidR="00BE0790" w:rsidRPr="000A682B">
        <w:rPr>
          <w:rFonts w:ascii="Gadugi" w:eastAsia="Georgia" w:hAnsi="Gadugi" w:cs="Georgia"/>
          <w:bCs/>
          <w:sz w:val="24"/>
          <w:szCs w:val="24"/>
        </w:rPr>
        <w:t xml:space="preserve"> 1231, que modificó el artículo 773 del C. de Comercio</w:t>
      </w:r>
      <w:r w:rsidR="0061549E" w:rsidRPr="000A682B">
        <w:rPr>
          <w:rFonts w:ascii="Gadugi" w:eastAsia="Georgia" w:hAnsi="Gadugi" w:cs="Georgia"/>
          <w:bCs/>
          <w:sz w:val="24"/>
          <w:szCs w:val="24"/>
        </w:rPr>
        <w:t xml:space="preserve">, </w:t>
      </w:r>
      <w:r w:rsidR="00F17FAE" w:rsidRPr="000A682B">
        <w:rPr>
          <w:rFonts w:ascii="Gadugi" w:eastAsia="Georgia" w:hAnsi="Gadugi" w:cs="Georgia"/>
          <w:bCs/>
          <w:sz w:val="24"/>
          <w:szCs w:val="24"/>
        </w:rPr>
        <w:t xml:space="preserve">no se puede pretextar la falta de representación o indebida representación por razón de la </w:t>
      </w:r>
      <w:r w:rsidR="00F17FAE" w:rsidRPr="000A682B">
        <w:rPr>
          <w:rFonts w:ascii="Gadugi" w:eastAsia="Georgia" w:hAnsi="Gadugi" w:cs="Georgia"/>
          <w:bCs/>
          <w:sz w:val="24"/>
          <w:szCs w:val="24"/>
        </w:rPr>
        <w:lastRenderedPageBreak/>
        <w:t xml:space="preserve">persona que reciba </w:t>
      </w:r>
      <w:r w:rsidR="00663D01" w:rsidRPr="000A682B">
        <w:rPr>
          <w:rFonts w:ascii="Gadugi" w:eastAsia="Georgia" w:hAnsi="Gadugi" w:cs="Georgia"/>
          <w:bCs/>
          <w:sz w:val="24"/>
          <w:szCs w:val="24"/>
        </w:rPr>
        <w:t>la mercancía o el servicio en sus dependencias, para efectos de la aceptación del título valor</w:t>
      </w:r>
      <w:r w:rsidR="00041052" w:rsidRPr="000A682B">
        <w:rPr>
          <w:rFonts w:ascii="Gadugi" w:eastAsia="Georgia" w:hAnsi="Gadugi" w:cs="Georgia"/>
          <w:bCs/>
          <w:sz w:val="24"/>
          <w:szCs w:val="24"/>
        </w:rPr>
        <w:t>. P</w:t>
      </w:r>
      <w:r w:rsidR="00663D01" w:rsidRPr="000A682B">
        <w:rPr>
          <w:rFonts w:ascii="Gadugi" w:eastAsia="Georgia" w:hAnsi="Gadugi" w:cs="Georgia"/>
          <w:bCs/>
          <w:sz w:val="24"/>
          <w:szCs w:val="24"/>
        </w:rPr>
        <w:t xml:space="preserve">ero, </w:t>
      </w:r>
      <w:r w:rsidR="00E1409F" w:rsidRPr="000A682B">
        <w:rPr>
          <w:rFonts w:ascii="Gadugi" w:eastAsia="Georgia" w:hAnsi="Gadugi" w:cs="Georgia"/>
          <w:bCs/>
          <w:sz w:val="24"/>
          <w:szCs w:val="24"/>
        </w:rPr>
        <w:t xml:space="preserve">señaló </w:t>
      </w:r>
      <w:r w:rsidR="00663D01" w:rsidRPr="000A682B">
        <w:rPr>
          <w:rFonts w:ascii="Gadugi" w:eastAsia="Georgia" w:hAnsi="Gadugi" w:cs="Georgia"/>
          <w:bCs/>
          <w:sz w:val="24"/>
          <w:szCs w:val="24"/>
        </w:rPr>
        <w:t xml:space="preserve">el Juzgado, y ello no admite discusión, </w:t>
      </w:r>
      <w:r w:rsidR="00041052" w:rsidRPr="000A682B">
        <w:rPr>
          <w:rFonts w:ascii="Gadugi" w:eastAsia="Georgia" w:hAnsi="Gadugi" w:cs="Georgia"/>
          <w:bCs/>
          <w:sz w:val="24"/>
          <w:szCs w:val="24"/>
        </w:rPr>
        <w:t>que la factura fue llevada a la oficina de</w:t>
      </w:r>
      <w:r w:rsidR="007D489F" w:rsidRPr="000A682B">
        <w:rPr>
          <w:rFonts w:ascii="Gadugi" w:eastAsia="Georgia" w:hAnsi="Gadugi" w:cs="Georgia"/>
          <w:bCs/>
          <w:sz w:val="24"/>
          <w:szCs w:val="24"/>
        </w:rPr>
        <w:t xml:space="preserve"> </w:t>
      </w:r>
      <w:r w:rsidR="00041052" w:rsidRPr="000A682B">
        <w:rPr>
          <w:rFonts w:ascii="Gadugi" w:eastAsia="Georgia" w:hAnsi="Gadugi" w:cs="Georgia"/>
          <w:bCs/>
          <w:sz w:val="24"/>
          <w:szCs w:val="24"/>
        </w:rPr>
        <w:t>la contadora, no a las dependencias de la demandada</w:t>
      </w:r>
      <w:r w:rsidR="00752487" w:rsidRPr="000A682B">
        <w:rPr>
          <w:rFonts w:ascii="Gadugi" w:eastAsia="Georgia" w:hAnsi="Gadugi" w:cs="Georgia"/>
          <w:bCs/>
          <w:sz w:val="24"/>
          <w:szCs w:val="24"/>
        </w:rPr>
        <w:t xml:space="preserve">. </w:t>
      </w:r>
    </w:p>
    <w:p w14:paraId="26697719" w14:textId="77777777" w:rsidR="00752487" w:rsidRPr="000A682B" w:rsidRDefault="00752487" w:rsidP="000A682B">
      <w:pPr>
        <w:jc w:val="both"/>
        <w:rPr>
          <w:rFonts w:ascii="Gadugi" w:eastAsia="Georgia" w:hAnsi="Gadugi" w:cs="Georgia"/>
          <w:bCs/>
          <w:sz w:val="24"/>
          <w:szCs w:val="24"/>
        </w:rPr>
      </w:pPr>
    </w:p>
    <w:p w14:paraId="30970E47" w14:textId="7209E411" w:rsidR="00752487" w:rsidRPr="000A682B" w:rsidRDefault="00752487" w:rsidP="000A682B">
      <w:pPr>
        <w:jc w:val="both"/>
        <w:rPr>
          <w:rFonts w:ascii="Gadugi" w:eastAsia="Georgia" w:hAnsi="Gadugi" w:cs="Georgia"/>
          <w:bCs/>
          <w:sz w:val="24"/>
          <w:szCs w:val="24"/>
        </w:rPr>
      </w:pPr>
      <w:r w:rsidRPr="000A682B">
        <w:rPr>
          <w:rFonts w:ascii="Gadugi" w:eastAsia="Georgia" w:hAnsi="Gadugi" w:cs="Georgia"/>
          <w:bCs/>
          <w:sz w:val="24"/>
          <w:szCs w:val="24"/>
        </w:rPr>
        <w:t xml:space="preserve">Ahora, sostiene la recurrente que </w:t>
      </w:r>
      <w:r w:rsidR="00666DC4" w:rsidRPr="000A682B">
        <w:rPr>
          <w:rFonts w:ascii="Gadugi" w:eastAsia="Georgia" w:hAnsi="Gadugi" w:cs="Georgia"/>
          <w:bCs/>
          <w:sz w:val="24"/>
          <w:szCs w:val="24"/>
        </w:rPr>
        <w:t>el abogado autorizado por la junta directiva de la fundación para manejar este contrato, auto</w:t>
      </w:r>
      <w:r w:rsidR="00587D5B" w:rsidRPr="000A682B">
        <w:rPr>
          <w:rFonts w:ascii="Gadugi" w:eastAsia="Georgia" w:hAnsi="Gadugi" w:cs="Georgia"/>
          <w:bCs/>
          <w:sz w:val="24"/>
          <w:szCs w:val="24"/>
        </w:rPr>
        <w:t xml:space="preserve">rizó al contratista para que </w:t>
      </w:r>
      <w:r w:rsidR="005127A2" w:rsidRPr="000A682B">
        <w:rPr>
          <w:rFonts w:ascii="Gadugi" w:eastAsia="Georgia" w:hAnsi="Gadugi" w:cs="Georgia"/>
          <w:bCs/>
          <w:sz w:val="24"/>
          <w:szCs w:val="24"/>
        </w:rPr>
        <w:t xml:space="preserve">entregar </w:t>
      </w:r>
      <w:r w:rsidR="00587D5B" w:rsidRPr="000A682B">
        <w:rPr>
          <w:rFonts w:ascii="Gadugi" w:eastAsia="Georgia" w:hAnsi="Gadugi" w:cs="Georgia"/>
          <w:bCs/>
          <w:sz w:val="24"/>
          <w:szCs w:val="24"/>
        </w:rPr>
        <w:t xml:space="preserve">la factura </w:t>
      </w:r>
      <w:r w:rsidR="005127A2" w:rsidRPr="000A682B">
        <w:rPr>
          <w:rFonts w:ascii="Gadugi" w:eastAsia="Georgia" w:hAnsi="Gadugi" w:cs="Georgia"/>
          <w:bCs/>
          <w:sz w:val="24"/>
          <w:szCs w:val="24"/>
        </w:rPr>
        <w:t xml:space="preserve">en la </w:t>
      </w:r>
      <w:r w:rsidR="00587D5B" w:rsidRPr="000A682B">
        <w:rPr>
          <w:rFonts w:ascii="Gadugi" w:eastAsia="Georgia" w:hAnsi="Gadugi" w:cs="Georgia"/>
          <w:bCs/>
          <w:sz w:val="24"/>
          <w:szCs w:val="24"/>
        </w:rPr>
        <w:t xml:space="preserve">oficina de la </w:t>
      </w:r>
      <w:r w:rsidR="007D5AFD" w:rsidRPr="000A682B">
        <w:rPr>
          <w:rFonts w:ascii="Gadugi" w:eastAsia="Georgia" w:hAnsi="Gadugi" w:cs="Georgia"/>
          <w:bCs/>
          <w:sz w:val="24"/>
          <w:szCs w:val="24"/>
        </w:rPr>
        <w:t>profesional</w:t>
      </w:r>
      <w:r w:rsidR="00587D5B" w:rsidRPr="000A682B">
        <w:rPr>
          <w:rFonts w:ascii="Gadugi" w:eastAsia="Georgia" w:hAnsi="Gadugi" w:cs="Georgia"/>
          <w:bCs/>
          <w:sz w:val="24"/>
          <w:szCs w:val="24"/>
        </w:rPr>
        <w:t xml:space="preserve">. Pero, a decir verdad, de ello no hay ninguna prueba en el proceso. </w:t>
      </w:r>
    </w:p>
    <w:p w14:paraId="457BFEAA" w14:textId="40E58AD6" w:rsidR="00E1409F" w:rsidRPr="000A682B" w:rsidRDefault="00E1409F" w:rsidP="000A682B">
      <w:pPr>
        <w:jc w:val="both"/>
        <w:rPr>
          <w:rFonts w:ascii="Gadugi" w:eastAsia="Georgia" w:hAnsi="Gadugi" w:cs="Georgia"/>
          <w:bCs/>
          <w:sz w:val="24"/>
          <w:szCs w:val="24"/>
        </w:rPr>
      </w:pPr>
    </w:p>
    <w:p w14:paraId="410C0DBB" w14:textId="2E6B2B83" w:rsidR="00E1409F" w:rsidRPr="000A682B" w:rsidRDefault="00E1409F" w:rsidP="000A682B">
      <w:pPr>
        <w:jc w:val="both"/>
        <w:rPr>
          <w:rFonts w:ascii="Gadugi" w:eastAsia="Georgia" w:hAnsi="Gadugi" w:cs="Georgia"/>
          <w:bCs/>
          <w:sz w:val="24"/>
          <w:szCs w:val="24"/>
        </w:rPr>
      </w:pPr>
      <w:r w:rsidRPr="000A682B">
        <w:rPr>
          <w:rFonts w:ascii="Gadugi" w:eastAsia="Georgia" w:hAnsi="Gadugi" w:cs="Georgia"/>
          <w:bCs/>
          <w:sz w:val="24"/>
          <w:szCs w:val="24"/>
        </w:rPr>
        <w:t>Cuando se le preguntó a Héctor Jaime Castaño por ello</w:t>
      </w:r>
      <w:r w:rsidRPr="000A682B">
        <w:rPr>
          <w:rStyle w:val="Refdenotaalpie"/>
          <w:rFonts w:ascii="Gadugi" w:eastAsia="Georgia" w:hAnsi="Gadugi" w:cs="Georgia"/>
          <w:bCs/>
          <w:sz w:val="24"/>
          <w:szCs w:val="24"/>
        </w:rPr>
        <w:footnoteReference w:id="16"/>
      </w:r>
      <w:r w:rsidRPr="000A682B">
        <w:rPr>
          <w:rFonts w:ascii="Gadugi" w:eastAsia="Georgia" w:hAnsi="Gadugi" w:cs="Georgia"/>
          <w:bCs/>
          <w:sz w:val="24"/>
          <w:szCs w:val="24"/>
        </w:rPr>
        <w:t>, dijo que a él nunca se le habl</w:t>
      </w:r>
      <w:r w:rsidR="007D5AFD" w:rsidRPr="000A682B">
        <w:rPr>
          <w:rFonts w:ascii="Gadugi" w:eastAsia="Georgia" w:hAnsi="Gadugi" w:cs="Georgia"/>
          <w:bCs/>
          <w:sz w:val="24"/>
          <w:szCs w:val="24"/>
        </w:rPr>
        <w:t>ó</w:t>
      </w:r>
      <w:r w:rsidRPr="000A682B">
        <w:rPr>
          <w:rFonts w:ascii="Gadugi" w:eastAsia="Georgia" w:hAnsi="Gadugi" w:cs="Georgia"/>
          <w:bCs/>
          <w:sz w:val="24"/>
          <w:szCs w:val="24"/>
        </w:rPr>
        <w:t xml:space="preserve"> de la factura, a pesar de las varias reuniones que sostuvo con el representante legal de la demandante y de que este sabía que él era el conducto regular, pues enteraba a la junta directiva de la fundación de lo que acontecía con el contrato de obra. Ni siquiera supo de la existencia de la factura</w:t>
      </w:r>
      <w:r w:rsidR="00981A85" w:rsidRPr="000A682B">
        <w:rPr>
          <w:rFonts w:ascii="Gadugi" w:eastAsia="Georgia" w:hAnsi="Gadugi" w:cs="Georgia"/>
          <w:bCs/>
          <w:sz w:val="24"/>
          <w:szCs w:val="24"/>
        </w:rPr>
        <w:t xml:space="preserve">. </w:t>
      </w:r>
      <w:r w:rsidRPr="000A682B">
        <w:rPr>
          <w:rFonts w:ascii="Gadugi" w:eastAsia="Georgia" w:hAnsi="Gadugi" w:cs="Georgia"/>
          <w:bCs/>
          <w:sz w:val="24"/>
          <w:szCs w:val="24"/>
        </w:rPr>
        <w:t xml:space="preserve"> </w:t>
      </w:r>
    </w:p>
    <w:p w14:paraId="74DCF7D1" w14:textId="51F56832" w:rsidR="00981A85" w:rsidRPr="000A682B" w:rsidRDefault="00981A85" w:rsidP="000A682B">
      <w:pPr>
        <w:jc w:val="both"/>
        <w:rPr>
          <w:rFonts w:ascii="Gadugi" w:eastAsia="Georgia" w:hAnsi="Gadugi" w:cs="Georgia"/>
          <w:bCs/>
          <w:sz w:val="24"/>
          <w:szCs w:val="24"/>
        </w:rPr>
      </w:pPr>
    </w:p>
    <w:p w14:paraId="4EAB1FED" w14:textId="34F49DF6" w:rsidR="00981A85" w:rsidRPr="000A682B" w:rsidRDefault="00981A85" w:rsidP="000A682B">
      <w:pPr>
        <w:jc w:val="both"/>
        <w:rPr>
          <w:rFonts w:ascii="Gadugi" w:eastAsia="Georgia" w:hAnsi="Gadugi" w:cs="Georgia"/>
          <w:bCs/>
          <w:sz w:val="24"/>
          <w:szCs w:val="24"/>
        </w:rPr>
      </w:pPr>
      <w:r w:rsidRPr="000A682B">
        <w:rPr>
          <w:rFonts w:ascii="Gadugi" w:eastAsia="Georgia" w:hAnsi="Gadugi" w:cs="Georgia"/>
          <w:bCs/>
          <w:sz w:val="24"/>
          <w:szCs w:val="24"/>
        </w:rPr>
        <w:t>Y al interrogar a la contadora Diana Milena Pérez Ríos</w:t>
      </w:r>
      <w:r w:rsidRPr="000A682B">
        <w:rPr>
          <w:rStyle w:val="Refdenotaalpie"/>
          <w:rFonts w:ascii="Gadugi" w:eastAsia="Georgia" w:hAnsi="Gadugi" w:cs="Georgia"/>
          <w:bCs/>
          <w:sz w:val="24"/>
          <w:szCs w:val="24"/>
        </w:rPr>
        <w:footnoteReference w:id="17"/>
      </w:r>
      <w:r w:rsidRPr="000A682B">
        <w:rPr>
          <w:rFonts w:ascii="Gadugi" w:eastAsia="Georgia" w:hAnsi="Gadugi" w:cs="Georgia"/>
          <w:bCs/>
          <w:sz w:val="24"/>
          <w:szCs w:val="24"/>
        </w:rPr>
        <w:t xml:space="preserve">, precisó que el representante legal de la demandante se presentó a su oficina y le exhibió la factura, de la que nunca tuvo copia y por ello tampoco se la puso de presente a la Fundación, ni a Héctor Jaime Castaño, ni siquiera la reflejó en los estados financieros. Agregó que cuando el ingeniero Tobón le llevó </w:t>
      </w:r>
      <w:r w:rsidR="00AA59A0" w:rsidRPr="000A682B">
        <w:rPr>
          <w:rFonts w:ascii="Gadugi" w:eastAsia="Georgia" w:hAnsi="Gadugi" w:cs="Georgia"/>
          <w:bCs/>
          <w:sz w:val="24"/>
          <w:szCs w:val="24"/>
        </w:rPr>
        <w:t>el título</w:t>
      </w:r>
      <w:r w:rsidRPr="000A682B">
        <w:rPr>
          <w:rFonts w:ascii="Gadugi" w:eastAsia="Georgia" w:hAnsi="Gadugi" w:cs="Georgia"/>
          <w:bCs/>
          <w:sz w:val="24"/>
          <w:szCs w:val="24"/>
        </w:rPr>
        <w:t xml:space="preserve"> y le relacionó los anticipos hechos hasta ese momento, le dijo que lo tomaba para constatar esos adelantos, pero no como una factura, porque él nunca le llevó el acta de terminación de la obra y le manifestó que eso no era válido, por eso nunca tuvo el documento como </w:t>
      </w:r>
      <w:r w:rsidR="00AA59A0" w:rsidRPr="000A682B">
        <w:rPr>
          <w:rFonts w:ascii="Gadugi" w:eastAsia="Georgia" w:hAnsi="Gadugi" w:cs="Georgia"/>
          <w:bCs/>
          <w:sz w:val="24"/>
          <w:szCs w:val="24"/>
        </w:rPr>
        <w:t>tal</w:t>
      </w:r>
      <w:r w:rsidRPr="000A682B">
        <w:rPr>
          <w:rFonts w:ascii="Gadugi" w:eastAsia="Georgia" w:hAnsi="Gadugi" w:cs="Georgia"/>
          <w:bCs/>
          <w:sz w:val="24"/>
          <w:szCs w:val="24"/>
        </w:rPr>
        <w:t xml:space="preserve">. Señaló que </w:t>
      </w:r>
      <w:r w:rsidR="0044658E" w:rsidRPr="000A682B">
        <w:rPr>
          <w:rFonts w:ascii="Gadugi" w:eastAsia="Georgia" w:hAnsi="Gadugi" w:cs="Georgia"/>
          <w:bCs/>
          <w:sz w:val="24"/>
          <w:szCs w:val="24"/>
        </w:rPr>
        <w:t>tampoco</w:t>
      </w:r>
      <w:r w:rsidRPr="000A682B">
        <w:rPr>
          <w:rFonts w:ascii="Gadugi" w:eastAsia="Georgia" w:hAnsi="Gadugi" w:cs="Georgia"/>
          <w:bCs/>
          <w:sz w:val="24"/>
          <w:szCs w:val="24"/>
        </w:rPr>
        <w:t xml:space="preserve"> hubo forma de devolverla, sencillamente, porque no le entregaron una copia, el ingeniero llegó, le dijo que firmara y se llevó el documento. Y aclaró que </w:t>
      </w:r>
      <w:r w:rsidR="00501847" w:rsidRPr="000A682B">
        <w:rPr>
          <w:rFonts w:ascii="Gadugi" w:eastAsia="Georgia" w:hAnsi="Gadugi" w:cs="Georgia"/>
          <w:bCs/>
          <w:sz w:val="24"/>
          <w:szCs w:val="24"/>
        </w:rPr>
        <w:t xml:space="preserve">fue recibida en su oficina, que tiene dirección </w:t>
      </w:r>
      <w:r w:rsidR="00AA59A0" w:rsidRPr="000A682B">
        <w:rPr>
          <w:rFonts w:ascii="Gadugi" w:eastAsia="Georgia" w:hAnsi="Gadugi" w:cs="Georgia"/>
          <w:bCs/>
          <w:sz w:val="24"/>
          <w:szCs w:val="24"/>
        </w:rPr>
        <w:t>diferente a la de la Fundación. Expuso que requirió verbalmente al ingeniero para que le llevara el acta de entrega de la obra o de terminación del contrato, pero nunca lo hizo, de ahí que entendió que esa factura estaba anulada. Y agregó que no está autorizada por la demandada para recibir documentos, o para aceptarlos</w:t>
      </w:r>
      <w:r w:rsidR="007D5AFD" w:rsidRPr="000A682B">
        <w:rPr>
          <w:rFonts w:ascii="Gadugi" w:eastAsia="Georgia" w:hAnsi="Gadugi" w:cs="Georgia"/>
          <w:bCs/>
          <w:sz w:val="24"/>
          <w:szCs w:val="24"/>
        </w:rPr>
        <w:t>.</w:t>
      </w:r>
      <w:r w:rsidR="00AA59A0" w:rsidRPr="000A682B">
        <w:rPr>
          <w:rFonts w:ascii="Gadugi" w:eastAsia="Georgia" w:hAnsi="Gadugi" w:cs="Georgia"/>
          <w:bCs/>
          <w:sz w:val="24"/>
          <w:szCs w:val="24"/>
        </w:rPr>
        <w:t xml:space="preserve"> </w:t>
      </w:r>
    </w:p>
    <w:p w14:paraId="1B2C1A4C" w14:textId="05F9A004" w:rsidR="00AA59A0" w:rsidRPr="000A682B" w:rsidRDefault="00AA59A0" w:rsidP="000A682B">
      <w:pPr>
        <w:jc w:val="both"/>
        <w:rPr>
          <w:rFonts w:ascii="Gadugi" w:eastAsia="Georgia" w:hAnsi="Gadugi" w:cs="Georgia"/>
          <w:bCs/>
          <w:sz w:val="24"/>
          <w:szCs w:val="24"/>
        </w:rPr>
      </w:pPr>
    </w:p>
    <w:p w14:paraId="34DB898F" w14:textId="42B90276" w:rsidR="00BF5028" w:rsidRPr="000A682B" w:rsidRDefault="00B34073" w:rsidP="000A682B">
      <w:pPr>
        <w:jc w:val="both"/>
        <w:rPr>
          <w:rFonts w:ascii="Gadugi" w:eastAsia="Georgia" w:hAnsi="Gadugi" w:cs="Georgia"/>
          <w:sz w:val="24"/>
          <w:szCs w:val="24"/>
        </w:rPr>
      </w:pPr>
      <w:r w:rsidRPr="000A682B">
        <w:rPr>
          <w:rFonts w:ascii="Gadugi" w:eastAsia="Georgia" w:hAnsi="Gadugi" w:cs="Georgia"/>
          <w:sz w:val="24"/>
          <w:szCs w:val="24"/>
        </w:rPr>
        <w:t>Por su parte, el ingeniero Juan Carlos Tobón, representante legal de la demandante, relató</w:t>
      </w:r>
      <w:r w:rsidRPr="000A682B">
        <w:rPr>
          <w:rStyle w:val="Refdenotaalpie"/>
          <w:rFonts w:ascii="Gadugi" w:eastAsia="Georgia" w:hAnsi="Gadugi" w:cs="Georgia"/>
          <w:sz w:val="24"/>
          <w:szCs w:val="24"/>
        </w:rPr>
        <w:footnoteReference w:id="18"/>
      </w:r>
      <w:r w:rsidRPr="000A682B">
        <w:rPr>
          <w:rFonts w:ascii="Gadugi" w:eastAsia="Georgia" w:hAnsi="Gadugi" w:cs="Georgia"/>
          <w:sz w:val="24"/>
          <w:szCs w:val="24"/>
        </w:rPr>
        <w:t xml:space="preserve"> que la factura fue elaborada con la contadora de la Fundación, pues el abogado Jaime Castaño le dijo que esas cosas se hicieran con ella. </w:t>
      </w:r>
    </w:p>
    <w:p w14:paraId="1E43CFFF" w14:textId="2A8F3923" w:rsidR="00B34073" w:rsidRPr="000A682B" w:rsidRDefault="00B34073" w:rsidP="000A682B">
      <w:pPr>
        <w:jc w:val="both"/>
        <w:rPr>
          <w:rFonts w:ascii="Gadugi" w:eastAsia="Georgia" w:hAnsi="Gadugi" w:cs="Georgia"/>
          <w:sz w:val="24"/>
          <w:szCs w:val="24"/>
        </w:rPr>
      </w:pPr>
    </w:p>
    <w:p w14:paraId="538FC2D7" w14:textId="1C077E87" w:rsidR="00B34073" w:rsidRPr="000A682B" w:rsidRDefault="00B34073" w:rsidP="000A682B">
      <w:pPr>
        <w:jc w:val="both"/>
        <w:rPr>
          <w:rFonts w:ascii="Gadugi" w:eastAsia="Georgia" w:hAnsi="Gadugi" w:cs="Georgia"/>
          <w:sz w:val="24"/>
          <w:szCs w:val="24"/>
        </w:rPr>
      </w:pPr>
      <w:r w:rsidRPr="000A682B">
        <w:rPr>
          <w:rFonts w:ascii="Gadugi" w:eastAsia="Georgia" w:hAnsi="Gadugi" w:cs="Georgia"/>
          <w:sz w:val="24"/>
          <w:szCs w:val="24"/>
        </w:rPr>
        <w:t xml:space="preserve">De esta última circunstancia no existe otra prueba que corrobore que, en efecto, quien estaba delegada para recibir facturas fuera del domicilio de la demandada, que es lo que en realidad importa aquí, era la contadora. Se hace esta aclaración, por cuanto ya </w:t>
      </w:r>
      <w:r w:rsidRPr="000A682B">
        <w:rPr>
          <w:rFonts w:ascii="Gadugi" w:eastAsia="Georgia" w:hAnsi="Gadugi" w:cs="Georgia"/>
          <w:sz w:val="24"/>
          <w:szCs w:val="24"/>
        </w:rPr>
        <w:lastRenderedPageBreak/>
        <w:t>se dijo, y eso concluyó el juzgado, que la factura puede ser recibida por cualquier persona que se encuentre en el</w:t>
      </w:r>
      <w:r w:rsidR="004D2570" w:rsidRPr="000A682B">
        <w:rPr>
          <w:rFonts w:ascii="Gadugi" w:eastAsia="Georgia" w:hAnsi="Gadugi" w:cs="Georgia"/>
          <w:sz w:val="24"/>
          <w:szCs w:val="24"/>
        </w:rPr>
        <w:t xml:space="preserve"> domicilio del receptor, pero, en este caso, no ocurrió de esa manera, sino que fue llevada a un lugar distinto, que fue la oficina de la contadora. </w:t>
      </w:r>
    </w:p>
    <w:p w14:paraId="668DB50B" w14:textId="65674315" w:rsidR="004D2570" w:rsidRPr="000A682B" w:rsidRDefault="004D2570" w:rsidP="000A682B">
      <w:pPr>
        <w:jc w:val="both"/>
        <w:rPr>
          <w:rFonts w:ascii="Gadugi" w:eastAsia="Georgia" w:hAnsi="Gadugi" w:cs="Georgia"/>
          <w:sz w:val="24"/>
          <w:szCs w:val="24"/>
        </w:rPr>
      </w:pPr>
    </w:p>
    <w:p w14:paraId="5ED2D7DB" w14:textId="27C34C67" w:rsidR="00837CC7" w:rsidRPr="000A682B" w:rsidRDefault="004D2570" w:rsidP="000A682B">
      <w:pPr>
        <w:jc w:val="both"/>
        <w:rPr>
          <w:rFonts w:ascii="Gadugi" w:eastAsia="Georgia" w:hAnsi="Gadugi" w:cs="Georgia"/>
          <w:sz w:val="24"/>
          <w:szCs w:val="24"/>
        </w:rPr>
      </w:pPr>
      <w:r w:rsidRPr="000A682B">
        <w:rPr>
          <w:rFonts w:ascii="Gadugi" w:eastAsia="Georgia" w:hAnsi="Gadugi" w:cs="Georgia"/>
          <w:sz w:val="24"/>
          <w:szCs w:val="24"/>
        </w:rPr>
        <w:t>Debía entonces la demandante probar que sí hubo tal delegación, pero, adicionalmente, le incumbía demostrar que, cual lo establece la ley, entregó una copia del instrumento a quien le recibió. Nada de ello ocurrió, y esto resulta relevant</w:t>
      </w:r>
      <w:r w:rsidR="0044658E" w:rsidRPr="000A682B">
        <w:rPr>
          <w:rFonts w:ascii="Gadugi" w:eastAsia="Georgia" w:hAnsi="Gadugi" w:cs="Georgia"/>
          <w:sz w:val="24"/>
          <w:szCs w:val="24"/>
        </w:rPr>
        <w:t>e</w:t>
      </w:r>
      <w:r w:rsidRPr="000A682B">
        <w:rPr>
          <w:rFonts w:ascii="Gadugi" w:eastAsia="Georgia" w:hAnsi="Gadugi" w:cs="Georgia"/>
          <w:sz w:val="24"/>
          <w:szCs w:val="24"/>
        </w:rPr>
        <w:t xml:space="preserve">, en la medida en que, de acuerdo con lo relatado por la contadora, nunca informó a la Fundación o a Jaime Castaño de la existencia de esa factura, ni pudo habérselas remitido, ya que no se le dejó copia. </w:t>
      </w:r>
      <w:r w:rsidR="00837CC7" w:rsidRPr="000A682B">
        <w:rPr>
          <w:rFonts w:ascii="Gadugi" w:eastAsia="Georgia" w:hAnsi="Gadugi" w:cs="Georgia"/>
          <w:sz w:val="24"/>
          <w:szCs w:val="24"/>
        </w:rPr>
        <w:t xml:space="preserve">Y adicionalmente, señaló que fue enfática con el representante de la ejecutante acerca de que era necesario conocer el estado final de las obras, o la terminación del contrato, para poder establecer el monto adeudado, lo que tampoco ocurrió. </w:t>
      </w:r>
    </w:p>
    <w:p w14:paraId="48FEB5D8" w14:textId="77777777" w:rsidR="00837CC7" w:rsidRPr="000A682B" w:rsidRDefault="00837CC7" w:rsidP="000A682B">
      <w:pPr>
        <w:jc w:val="both"/>
        <w:rPr>
          <w:rFonts w:ascii="Gadugi" w:eastAsia="Georgia" w:hAnsi="Gadugi" w:cs="Georgia"/>
          <w:sz w:val="24"/>
          <w:szCs w:val="24"/>
        </w:rPr>
      </w:pPr>
    </w:p>
    <w:p w14:paraId="5A542E50" w14:textId="50632C64" w:rsidR="00837CC7" w:rsidRPr="000A682B" w:rsidRDefault="00837CC7" w:rsidP="000A682B">
      <w:pPr>
        <w:jc w:val="both"/>
        <w:rPr>
          <w:rFonts w:ascii="Gadugi" w:eastAsia="Georgia" w:hAnsi="Gadugi" w:cs="Georgia"/>
          <w:sz w:val="24"/>
          <w:szCs w:val="24"/>
        </w:rPr>
      </w:pPr>
      <w:r w:rsidRPr="000A682B">
        <w:rPr>
          <w:rFonts w:ascii="Gadugi" w:eastAsia="Georgia" w:hAnsi="Gadugi" w:cs="Georgia"/>
          <w:sz w:val="24"/>
          <w:szCs w:val="24"/>
        </w:rPr>
        <w:t xml:space="preserve">De ahí surge otra circunstancia importante, y es que, si el documento fue recibido sin copias, en lugar diferente al de las dependencias de la Fundación, por quien no tenía la autorización para comprometer pagos, y sin los soportes necesarios para concretar los montos adeudados, y todo ello contribuyó a que la contadora no le informara a la demandada sobre la existencia del título, es bastante discutible que, en este caso, se pueda hablar de la aceptación, que puede ser expresa o tácita, según lo prevé el inciso 3 del artículo 773 del C. de Comercio, modificado por el artículo 86 de la Ley 1676 de 2013. Expresa no lo fue, porque la contadora, según se conoce, no era quien estaba autorizada para dar ese aval, otra cosa es que ella o cualquier otra persona pudiera recibirla en la sede del receptor; y menos se le informó a la emisora que se aceptaba. </w:t>
      </w:r>
    </w:p>
    <w:p w14:paraId="06FEABFB" w14:textId="77777777" w:rsidR="00837CC7" w:rsidRPr="000A682B" w:rsidRDefault="00837CC7" w:rsidP="000A682B">
      <w:pPr>
        <w:jc w:val="both"/>
        <w:rPr>
          <w:rFonts w:ascii="Gadugi" w:eastAsia="Georgia" w:hAnsi="Gadugi" w:cs="Georgia"/>
          <w:sz w:val="24"/>
          <w:szCs w:val="24"/>
        </w:rPr>
      </w:pPr>
    </w:p>
    <w:p w14:paraId="45855F89" w14:textId="0A56E077" w:rsidR="004D2570" w:rsidRPr="000A682B" w:rsidRDefault="00837CC7" w:rsidP="000A682B">
      <w:pPr>
        <w:jc w:val="both"/>
        <w:rPr>
          <w:rFonts w:ascii="Gadugi" w:eastAsia="Georgia" w:hAnsi="Gadugi" w:cs="Georgia"/>
          <w:sz w:val="24"/>
          <w:szCs w:val="24"/>
        </w:rPr>
      </w:pPr>
      <w:r w:rsidRPr="000A682B">
        <w:rPr>
          <w:rFonts w:ascii="Gadugi" w:eastAsia="Georgia" w:hAnsi="Gadugi" w:cs="Georgia"/>
          <w:sz w:val="24"/>
          <w:szCs w:val="24"/>
        </w:rPr>
        <w:t xml:space="preserve">Y tácita tampoco, porque, de un lado, no había documento para devolver, ya que no se dejó copia; y del otro, es que la Fundación o quien estaba autorizado para representarla en ese contrato de obra, no conocieron de la </w:t>
      </w:r>
      <w:r w:rsidR="00FC6608" w:rsidRPr="000A682B">
        <w:rPr>
          <w:rFonts w:ascii="Gadugi" w:eastAsia="Georgia" w:hAnsi="Gadugi" w:cs="Georgia"/>
          <w:sz w:val="24"/>
          <w:szCs w:val="24"/>
        </w:rPr>
        <w:t xml:space="preserve">emisión de la factura, como lo dio a conocer la contadora, de ahí que era improbable que procedieran a la devolución de que trata esa norma, o al envío de algún escrito de </w:t>
      </w:r>
      <w:r w:rsidR="007D5AFD" w:rsidRPr="000A682B">
        <w:rPr>
          <w:rFonts w:ascii="Gadugi" w:eastAsia="Georgia" w:hAnsi="Gadugi" w:cs="Georgia"/>
          <w:sz w:val="24"/>
          <w:szCs w:val="24"/>
        </w:rPr>
        <w:t>objeción</w:t>
      </w:r>
      <w:r w:rsidR="00FC6608" w:rsidRPr="000A682B">
        <w:rPr>
          <w:rFonts w:ascii="Gadugi" w:eastAsia="Georgia" w:hAnsi="Gadugi" w:cs="Georgia"/>
          <w:sz w:val="24"/>
          <w:szCs w:val="24"/>
        </w:rPr>
        <w:t xml:space="preserve"> a la ejecutante. </w:t>
      </w:r>
    </w:p>
    <w:p w14:paraId="41EDEEED" w14:textId="274D38EA" w:rsidR="0044658E" w:rsidRPr="000A682B" w:rsidRDefault="0044658E" w:rsidP="000A682B">
      <w:pPr>
        <w:jc w:val="both"/>
        <w:rPr>
          <w:rFonts w:ascii="Gadugi" w:eastAsia="Georgia" w:hAnsi="Gadugi" w:cs="Georgia"/>
          <w:sz w:val="24"/>
          <w:szCs w:val="24"/>
        </w:rPr>
      </w:pPr>
    </w:p>
    <w:p w14:paraId="588D2FF7" w14:textId="3E9A5235" w:rsidR="0044658E" w:rsidRPr="000A682B" w:rsidRDefault="009E5770" w:rsidP="000A682B">
      <w:pPr>
        <w:jc w:val="both"/>
        <w:rPr>
          <w:rFonts w:ascii="Gadugi" w:eastAsia="Georgia" w:hAnsi="Gadugi" w:cs="Georgia"/>
          <w:sz w:val="24"/>
          <w:szCs w:val="24"/>
        </w:rPr>
      </w:pPr>
      <w:r w:rsidRPr="000A682B">
        <w:rPr>
          <w:rFonts w:ascii="Gadugi" w:eastAsia="Georgia" w:hAnsi="Gadugi" w:cs="Georgia"/>
          <w:sz w:val="24"/>
          <w:szCs w:val="24"/>
        </w:rPr>
        <w:t xml:space="preserve">A lo que se agrega que, cualquier discusión sobre la aceptación sobraría, por cuanto el documento mismo carece de los requisitos para ser considerado como una factura. </w:t>
      </w:r>
    </w:p>
    <w:p w14:paraId="3D7D12FE" w14:textId="024E782A" w:rsidR="004D2570" w:rsidRPr="000A682B" w:rsidRDefault="004D2570" w:rsidP="000A682B">
      <w:pPr>
        <w:jc w:val="both"/>
        <w:rPr>
          <w:rFonts w:ascii="Gadugi" w:eastAsia="Georgia" w:hAnsi="Gadugi" w:cs="Georgia"/>
          <w:sz w:val="24"/>
          <w:szCs w:val="24"/>
        </w:rPr>
      </w:pPr>
    </w:p>
    <w:p w14:paraId="76AE8F7C" w14:textId="48A358C4" w:rsidR="00FC6608" w:rsidRPr="000A682B" w:rsidRDefault="00FC6608" w:rsidP="000A682B">
      <w:pPr>
        <w:jc w:val="both"/>
        <w:rPr>
          <w:rFonts w:ascii="Gadugi" w:eastAsia="Georgia" w:hAnsi="Gadugi" w:cs="Georgia"/>
          <w:sz w:val="24"/>
          <w:szCs w:val="24"/>
        </w:rPr>
      </w:pPr>
      <w:r w:rsidRPr="000A682B">
        <w:rPr>
          <w:rFonts w:ascii="Gadugi" w:eastAsia="Georgia" w:hAnsi="Gadugi" w:cs="Georgia"/>
          <w:sz w:val="24"/>
          <w:szCs w:val="24"/>
        </w:rPr>
        <w:t xml:space="preserve">De manera que los reparos que blande la recurrente se vienen a menos, pues no demostró que se le hubiera autorizado llevar la factura a un lugar diferente a la sede de la Fundación; y como no acató la solicitud de la contadora de llevar los soportes de la misma, </w:t>
      </w:r>
      <w:r w:rsidR="007D5AFD" w:rsidRPr="000A682B">
        <w:rPr>
          <w:rFonts w:ascii="Gadugi" w:eastAsia="Georgia" w:hAnsi="Gadugi" w:cs="Georgia"/>
          <w:sz w:val="24"/>
          <w:szCs w:val="24"/>
        </w:rPr>
        <w:t>eso</w:t>
      </w:r>
      <w:r w:rsidRPr="000A682B">
        <w:rPr>
          <w:rFonts w:ascii="Gadugi" w:eastAsia="Georgia" w:hAnsi="Gadugi" w:cs="Georgia"/>
          <w:sz w:val="24"/>
          <w:szCs w:val="24"/>
        </w:rPr>
        <w:t xml:space="preserve"> motivó que ella no la tuviera en cuenta dentro de los registros contables ni le informara a la demandada o a la persona autorizada para </w:t>
      </w:r>
      <w:r w:rsidRPr="000A682B">
        <w:rPr>
          <w:rFonts w:ascii="Gadugi" w:eastAsia="Georgia" w:hAnsi="Gadugi" w:cs="Georgia"/>
          <w:sz w:val="24"/>
          <w:szCs w:val="24"/>
        </w:rPr>
        <w:lastRenderedPageBreak/>
        <w:t xml:space="preserve">comprometerla, que era el abogado Jaime Castaño, con lo que no pudo tener lugar el término de los tres días para objetarla. </w:t>
      </w:r>
    </w:p>
    <w:p w14:paraId="64AAF871" w14:textId="77777777" w:rsidR="00FC6608" w:rsidRPr="000A682B" w:rsidRDefault="00FC6608" w:rsidP="000A682B">
      <w:pPr>
        <w:jc w:val="both"/>
        <w:rPr>
          <w:rFonts w:ascii="Gadugi" w:eastAsia="Georgia" w:hAnsi="Gadugi" w:cs="Georgia"/>
          <w:sz w:val="24"/>
          <w:szCs w:val="24"/>
        </w:rPr>
      </w:pPr>
    </w:p>
    <w:p w14:paraId="4DB755EE" w14:textId="22F6FBE5" w:rsidR="00FC6608" w:rsidRPr="000A682B" w:rsidRDefault="00FC6608" w:rsidP="000A682B">
      <w:pPr>
        <w:jc w:val="both"/>
        <w:rPr>
          <w:rFonts w:ascii="Gadugi" w:eastAsia="Georgia" w:hAnsi="Gadugi" w:cs="Georgia"/>
          <w:sz w:val="24"/>
          <w:szCs w:val="24"/>
        </w:rPr>
      </w:pPr>
      <w:r w:rsidRPr="000A682B">
        <w:rPr>
          <w:rFonts w:ascii="Gadugi" w:eastAsia="Georgia" w:hAnsi="Gadugi" w:cs="Georgia"/>
          <w:sz w:val="24"/>
          <w:szCs w:val="24"/>
        </w:rPr>
        <w:t xml:space="preserve">Ahora, señalar que la contadora, a pesar de su profesión desconoció las reglas propias de la factura, poco favor le hace a la recurrente, porque, para endilgarle esa responsabilidad con efectos en este asunto, ha debido acreditarse primero que ella estaba autorizada por la Fundación para representarla en la ejecución y terminación del contrato de obra, lo cual no aconteció. </w:t>
      </w:r>
    </w:p>
    <w:p w14:paraId="7A4D9DC5" w14:textId="77777777" w:rsidR="00FC6608" w:rsidRPr="000A682B" w:rsidRDefault="00FC6608" w:rsidP="000A682B">
      <w:pPr>
        <w:jc w:val="both"/>
        <w:rPr>
          <w:rFonts w:ascii="Gadugi" w:eastAsia="Georgia" w:hAnsi="Gadugi" w:cs="Georgia"/>
          <w:sz w:val="24"/>
          <w:szCs w:val="24"/>
        </w:rPr>
      </w:pPr>
    </w:p>
    <w:p w14:paraId="2E9A1D60" w14:textId="0ADE05D6" w:rsidR="00A96EAC" w:rsidRPr="000A682B" w:rsidRDefault="00E203C3" w:rsidP="000A682B">
      <w:pPr>
        <w:pStyle w:val="Prrafodelista"/>
        <w:numPr>
          <w:ilvl w:val="1"/>
          <w:numId w:val="4"/>
        </w:numPr>
        <w:ind w:left="0" w:firstLine="0"/>
        <w:jc w:val="both"/>
        <w:rPr>
          <w:rFonts w:ascii="Gadugi" w:eastAsia="Georgia" w:hAnsi="Gadugi" w:cs="Georgia"/>
          <w:bCs/>
          <w:sz w:val="24"/>
          <w:szCs w:val="24"/>
        </w:rPr>
      </w:pPr>
      <w:r w:rsidRPr="000A682B">
        <w:rPr>
          <w:rFonts w:ascii="Gadugi" w:eastAsia="Georgia" w:hAnsi="Gadugi" w:cs="Georgia"/>
          <w:bCs/>
          <w:sz w:val="24"/>
          <w:szCs w:val="24"/>
        </w:rPr>
        <w:t>Finalmente, se critica la sentencia, porque en ella se</w:t>
      </w:r>
      <w:r w:rsidR="00A96EAC" w:rsidRPr="000A682B">
        <w:rPr>
          <w:rFonts w:ascii="Gadugi" w:eastAsia="Georgia" w:hAnsi="Gadugi" w:cs="Georgia"/>
          <w:bCs/>
          <w:sz w:val="24"/>
          <w:szCs w:val="24"/>
        </w:rPr>
        <w:t xml:space="preserve"> dijo que la factura no describió las actividades por las que fue creada, pero, es claro que  </w:t>
      </w:r>
      <w:r w:rsidR="00A96EAC" w:rsidRPr="000A682B">
        <w:rPr>
          <w:rFonts w:ascii="Gadugi" w:eastAsia="Georgia" w:hAnsi="Gadugi" w:cs="Georgia"/>
          <w:bCs/>
          <w:i/>
          <w:iCs/>
          <w:sz w:val="24"/>
          <w:szCs w:val="24"/>
        </w:rPr>
        <w:t>“</w:t>
      </w:r>
      <w:r w:rsidR="00A96EAC" w:rsidRPr="00893D87">
        <w:rPr>
          <w:rFonts w:ascii="Gadugi" w:eastAsia="Georgia" w:hAnsi="Gadugi" w:cs="Georgia"/>
          <w:bCs/>
          <w:i/>
          <w:iCs/>
          <w:szCs w:val="24"/>
        </w:rPr>
        <w:t>dentro del contrato de obra ejecutado y según las alegaciones realizadas por el representante legal del demandante, todas las cantidades y valores habían sido efectivamente concertadas con el administrador de la Fundación la merced señor Héctor Jaime Castaño, quien aun cuando su dicho sea contrario a esto, ejecutaba labores de dirección administración y gestión de la sociedad demandada… La factura que da pie a este proceso se creó con las concertaciones y acuerdos llegados por parte de este representante mencionado y del ingeniero Tobón, quienes acordaron el precio de la factura y las cantidades a facturar y eventualmente cobrar, según la ejecución del contrato celebrado con la modalidad de pago por metros cuadrados efectivamente ejecutados o construidos… El hecho de que toda esta situación se desconozca, así como que se diga que la factura no se encuentra sustentada en la realidad, son alegaciones que no obedecen a la realidad, ni menos a la actividad constructiva desplegada, aceptada y que se puede percibir con los informes finales presentados y puestos de presente</w:t>
      </w:r>
      <w:r w:rsidR="00A96EAC" w:rsidRPr="000A682B">
        <w:rPr>
          <w:rFonts w:ascii="Gadugi" w:eastAsia="Georgia" w:hAnsi="Gadugi" w:cs="Georgia"/>
          <w:bCs/>
          <w:i/>
          <w:iCs/>
          <w:sz w:val="24"/>
          <w:szCs w:val="24"/>
        </w:rPr>
        <w:t>”</w:t>
      </w:r>
      <w:r w:rsidR="00A96EAC" w:rsidRPr="000A682B">
        <w:rPr>
          <w:rFonts w:ascii="Gadugi" w:eastAsia="Georgia" w:hAnsi="Gadugi" w:cs="Georgia"/>
          <w:bCs/>
          <w:sz w:val="24"/>
          <w:szCs w:val="24"/>
        </w:rPr>
        <w:t>.</w:t>
      </w:r>
    </w:p>
    <w:p w14:paraId="5C58AE33" w14:textId="17AA2EA7" w:rsidR="00E80914" w:rsidRPr="000A682B" w:rsidRDefault="00E80914" w:rsidP="000A682B">
      <w:pPr>
        <w:tabs>
          <w:tab w:val="left" w:pos="2127"/>
        </w:tabs>
        <w:jc w:val="both"/>
        <w:rPr>
          <w:rFonts w:ascii="Gadugi" w:eastAsia="Calibri" w:hAnsi="Gadugi" w:cs="Times New Roman"/>
          <w:sz w:val="24"/>
          <w:szCs w:val="24"/>
          <w:lang w:val="es-CO" w:eastAsia="en-US"/>
        </w:rPr>
      </w:pPr>
    </w:p>
    <w:p w14:paraId="3C909A58" w14:textId="77777777" w:rsidR="00F40F7A" w:rsidRPr="000A682B" w:rsidRDefault="00F40F7A" w:rsidP="000A682B">
      <w:pPr>
        <w:jc w:val="both"/>
        <w:rPr>
          <w:rFonts w:ascii="Gadugi" w:eastAsia="Georgia" w:hAnsi="Gadugi" w:cs="Georgia"/>
          <w:sz w:val="24"/>
          <w:szCs w:val="24"/>
        </w:rPr>
      </w:pPr>
      <w:r w:rsidRPr="000A682B">
        <w:rPr>
          <w:rFonts w:ascii="Gadugi" w:eastAsia="Georgia" w:hAnsi="Gadugi" w:cs="Georgia"/>
          <w:sz w:val="24"/>
          <w:szCs w:val="24"/>
        </w:rPr>
        <w:t xml:space="preserve">La censura no puede salir avante. </w:t>
      </w:r>
    </w:p>
    <w:p w14:paraId="07C193E6" w14:textId="77777777" w:rsidR="00F40F7A" w:rsidRPr="000A682B" w:rsidRDefault="00F40F7A" w:rsidP="000A682B">
      <w:pPr>
        <w:jc w:val="both"/>
        <w:rPr>
          <w:rFonts w:ascii="Gadugi" w:eastAsia="Georgia" w:hAnsi="Gadugi" w:cs="Georgia"/>
          <w:sz w:val="24"/>
          <w:szCs w:val="24"/>
        </w:rPr>
      </w:pPr>
    </w:p>
    <w:p w14:paraId="336ECA34" w14:textId="127E063A" w:rsidR="00E203C3" w:rsidRPr="000A682B" w:rsidRDefault="00E203C3" w:rsidP="000A682B">
      <w:pPr>
        <w:jc w:val="both"/>
        <w:rPr>
          <w:rFonts w:ascii="Gadugi" w:eastAsia="Georgia" w:hAnsi="Gadugi" w:cs="Georgia"/>
          <w:sz w:val="24"/>
          <w:szCs w:val="24"/>
        </w:rPr>
      </w:pPr>
      <w:r w:rsidRPr="000A682B">
        <w:rPr>
          <w:rFonts w:ascii="Gadugi" w:eastAsia="Georgia" w:hAnsi="Gadugi" w:cs="Georgia"/>
          <w:sz w:val="24"/>
          <w:szCs w:val="24"/>
        </w:rPr>
        <w:t xml:space="preserve">Si se mira bien, la discusión de la demandada se centra en situaciones diversas a las que planteó el fallo. Lo que dice la sentencia es que la factura no describió adecuadamente el servicio por el que fue expedida, en particular, porque, en el caso de ahora, hubo varios ajustes al contrato inicialmente pactado, modificaciones que se reflejaban en el precio mismo, de ahí que el documento debía relacionar claramente qué obra era la que se estaba cobrando. </w:t>
      </w:r>
    </w:p>
    <w:p w14:paraId="63C33541" w14:textId="77777777" w:rsidR="00E203C3" w:rsidRPr="000A682B" w:rsidRDefault="00E203C3" w:rsidP="000A682B">
      <w:pPr>
        <w:jc w:val="both"/>
        <w:rPr>
          <w:rFonts w:ascii="Gadugi" w:eastAsia="Georgia" w:hAnsi="Gadugi" w:cs="Georgia"/>
          <w:sz w:val="24"/>
          <w:szCs w:val="24"/>
        </w:rPr>
      </w:pPr>
    </w:p>
    <w:p w14:paraId="6534932A" w14:textId="46C2A9F4" w:rsidR="00E80914" w:rsidRPr="000A682B" w:rsidRDefault="00E203C3" w:rsidP="000A682B">
      <w:pPr>
        <w:jc w:val="both"/>
        <w:rPr>
          <w:rFonts w:ascii="Gadugi" w:eastAsia="Georgia" w:hAnsi="Gadugi" w:cs="Georgia"/>
          <w:sz w:val="24"/>
          <w:szCs w:val="24"/>
        </w:rPr>
      </w:pPr>
      <w:r w:rsidRPr="000A682B">
        <w:rPr>
          <w:rFonts w:ascii="Gadugi" w:eastAsia="Georgia" w:hAnsi="Gadugi" w:cs="Georgia"/>
          <w:sz w:val="24"/>
          <w:szCs w:val="24"/>
        </w:rPr>
        <w:t xml:space="preserve">Entre tanto, la alzada se </w:t>
      </w:r>
      <w:r w:rsidR="00CA621D" w:rsidRPr="000A682B">
        <w:rPr>
          <w:rFonts w:ascii="Gadugi" w:eastAsia="Georgia" w:hAnsi="Gadugi" w:cs="Georgia"/>
          <w:sz w:val="24"/>
          <w:szCs w:val="24"/>
        </w:rPr>
        <w:t>funda</w:t>
      </w:r>
      <w:r w:rsidRPr="000A682B">
        <w:rPr>
          <w:rFonts w:ascii="Gadugi" w:eastAsia="Georgia" w:hAnsi="Gadugi" w:cs="Georgia"/>
          <w:sz w:val="24"/>
          <w:szCs w:val="24"/>
        </w:rPr>
        <w:t xml:space="preserve"> en que las cantidades y valores fueron concertadas con el administrador de la Fundación. Pero, es que esa no es la falencia que se destaca en el título, es decir, el valor; sino la descripción del servicio prestado que</w:t>
      </w:r>
      <w:r w:rsidR="00020E03" w:rsidRPr="000A682B">
        <w:rPr>
          <w:rFonts w:ascii="Gadugi" w:eastAsia="Georgia" w:hAnsi="Gadugi" w:cs="Georgia"/>
          <w:sz w:val="24"/>
          <w:szCs w:val="24"/>
        </w:rPr>
        <w:t>, sin duda, se incumplió, pues la sola mención de un “</w:t>
      </w:r>
      <w:r w:rsidR="00643AD2" w:rsidRPr="000A682B">
        <w:rPr>
          <w:rFonts w:ascii="Gadugi" w:eastAsia="Georgia" w:hAnsi="Gadugi" w:cs="Georgia"/>
          <w:i/>
          <w:sz w:val="24"/>
          <w:szCs w:val="24"/>
        </w:rPr>
        <w:t>acta de</w:t>
      </w:r>
      <w:r w:rsidR="007D5AFD" w:rsidRPr="000A682B">
        <w:rPr>
          <w:rFonts w:ascii="Gadugi" w:eastAsia="Georgia" w:hAnsi="Gadugi" w:cs="Georgia"/>
          <w:i/>
          <w:sz w:val="24"/>
          <w:szCs w:val="24"/>
        </w:rPr>
        <w:t xml:space="preserve"> </w:t>
      </w:r>
      <w:r w:rsidR="00020E03" w:rsidRPr="000A682B">
        <w:rPr>
          <w:rFonts w:ascii="Gadugi" w:eastAsia="Georgia" w:hAnsi="Gadugi" w:cs="Georgia"/>
          <w:i/>
          <w:sz w:val="24"/>
          <w:szCs w:val="24"/>
        </w:rPr>
        <w:t xml:space="preserve">obra única”, </w:t>
      </w:r>
      <w:r w:rsidR="00020E03" w:rsidRPr="000A682B">
        <w:rPr>
          <w:rFonts w:ascii="Gadugi" w:eastAsia="Georgia" w:hAnsi="Gadugi" w:cs="Georgia"/>
          <w:sz w:val="24"/>
          <w:szCs w:val="24"/>
        </w:rPr>
        <w:t>sin detalle alguno de qué tipo de obra fue, o donde, con qué finalidad</w:t>
      </w:r>
      <w:r w:rsidR="004F2539" w:rsidRPr="000A682B">
        <w:rPr>
          <w:rFonts w:ascii="Gadugi" w:eastAsia="Georgia" w:hAnsi="Gadugi" w:cs="Georgia"/>
          <w:sz w:val="24"/>
          <w:szCs w:val="24"/>
        </w:rPr>
        <w:t xml:space="preserve">, nada </w:t>
      </w:r>
      <w:r w:rsidR="00933571" w:rsidRPr="000A682B">
        <w:rPr>
          <w:rFonts w:ascii="Gadugi" w:eastAsia="Georgia" w:hAnsi="Gadugi" w:cs="Georgia"/>
          <w:sz w:val="24"/>
          <w:szCs w:val="24"/>
        </w:rPr>
        <w:t>indica.</w:t>
      </w:r>
      <w:r w:rsidR="00020E03" w:rsidRPr="000A682B">
        <w:rPr>
          <w:rFonts w:ascii="Gadugi" w:eastAsia="Georgia" w:hAnsi="Gadugi" w:cs="Georgia"/>
          <w:sz w:val="24"/>
          <w:szCs w:val="24"/>
        </w:rPr>
        <w:t xml:space="preserve"> Menos aún se hizo constar que ese saldo </w:t>
      </w:r>
      <w:r w:rsidR="00933571" w:rsidRPr="000A682B">
        <w:rPr>
          <w:rFonts w:ascii="Gadugi" w:eastAsia="Georgia" w:hAnsi="Gadugi" w:cs="Georgia"/>
          <w:sz w:val="24"/>
          <w:szCs w:val="24"/>
        </w:rPr>
        <w:t>fue</w:t>
      </w:r>
      <w:r w:rsidR="00020E03" w:rsidRPr="000A682B">
        <w:rPr>
          <w:rFonts w:ascii="Gadugi" w:eastAsia="Georgia" w:hAnsi="Gadugi" w:cs="Georgia"/>
          <w:sz w:val="24"/>
          <w:szCs w:val="24"/>
        </w:rPr>
        <w:t xml:space="preserve">ra el resultado de las modificaciones que la misma demandante acepta que hubo en la ejecución del contrato. </w:t>
      </w:r>
    </w:p>
    <w:p w14:paraId="71BAD2C7" w14:textId="50875565" w:rsidR="00E80914" w:rsidRPr="000A682B" w:rsidRDefault="00E80914" w:rsidP="000A682B">
      <w:pPr>
        <w:jc w:val="both"/>
        <w:rPr>
          <w:rFonts w:ascii="Gadugi" w:eastAsia="Georgia" w:hAnsi="Gadugi" w:cs="Georgia"/>
          <w:sz w:val="24"/>
          <w:szCs w:val="24"/>
        </w:rPr>
      </w:pPr>
    </w:p>
    <w:p w14:paraId="5D0B4B6B" w14:textId="5AB9CA71" w:rsidR="00C03EC2" w:rsidRPr="000A682B" w:rsidRDefault="00020E03" w:rsidP="000A682B">
      <w:pPr>
        <w:jc w:val="both"/>
        <w:rPr>
          <w:rFonts w:ascii="Gadugi" w:eastAsia="Georgia" w:hAnsi="Gadugi" w:cs="Georgia"/>
          <w:sz w:val="24"/>
          <w:szCs w:val="24"/>
        </w:rPr>
      </w:pPr>
      <w:r w:rsidRPr="000A682B">
        <w:rPr>
          <w:rFonts w:ascii="Gadugi" w:eastAsia="Georgia" w:hAnsi="Gadugi" w:cs="Georgia"/>
          <w:sz w:val="24"/>
          <w:szCs w:val="24"/>
        </w:rPr>
        <w:t xml:space="preserve">Es claro que el artículo 617 del Estatuto Tributario prevé que la descripción de los artículos vendidos o los servicios prestados pueda ser específica o genérica. </w:t>
      </w:r>
      <w:r w:rsidR="00CA621D" w:rsidRPr="000A682B">
        <w:rPr>
          <w:rFonts w:ascii="Gadugi" w:eastAsia="Georgia" w:hAnsi="Gadugi" w:cs="Georgia"/>
          <w:sz w:val="24"/>
          <w:szCs w:val="24"/>
        </w:rPr>
        <w:t xml:space="preserve">Ahora, </w:t>
      </w:r>
      <w:r w:rsidR="00C03EC2" w:rsidRPr="000A682B">
        <w:rPr>
          <w:rFonts w:ascii="Gadugi" w:eastAsia="Georgia" w:hAnsi="Gadugi" w:cs="Georgia"/>
          <w:sz w:val="24"/>
          <w:szCs w:val="24"/>
        </w:rPr>
        <w:t xml:space="preserve">en </w:t>
      </w:r>
      <w:r w:rsidR="00C03EC2" w:rsidRPr="000A682B">
        <w:rPr>
          <w:rFonts w:ascii="Gadugi" w:eastAsia="Georgia" w:hAnsi="Gadugi" w:cs="Georgia"/>
          <w:sz w:val="24"/>
          <w:szCs w:val="24"/>
        </w:rPr>
        <w:lastRenderedPageBreak/>
        <w:t>este caso no hubo una identificación específica, es decir, al detalle, del servicio prestado. Pero tampoco puede tenerse como genérica esa simple mención de “</w:t>
      </w:r>
      <w:r w:rsidR="00643AD2" w:rsidRPr="000A682B">
        <w:rPr>
          <w:rFonts w:ascii="Gadugi" w:eastAsia="Georgia" w:hAnsi="Gadugi" w:cs="Georgia"/>
          <w:i/>
          <w:sz w:val="24"/>
          <w:szCs w:val="24"/>
        </w:rPr>
        <w:t>acta de</w:t>
      </w:r>
      <w:r w:rsidR="00643AD2" w:rsidRPr="000A682B">
        <w:rPr>
          <w:rFonts w:ascii="Gadugi" w:eastAsia="Georgia" w:hAnsi="Gadugi" w:cs="Georgia"/>
          <w:sz w:val="24"/>
          <w:szCs w:val="24"/>
        </w:rPr>
        <w:t xml:space="preserve"> </w:t>
      </w:r>
      <w:r w:rsidR="00C03EC2" w:rsidRPr="000A682B">
        <w:rPr>
          <w:rFonts w:ascii="Gadugi" w:eastAsia="Georgia" w:hAnsi="Gadugi" w:cs="Georgia"/>
          <w:i/>
          <w:sz w:val="24"/>
          <w:szCs w:val="24"/>
        </w:rPr>
        <w:t>obra única</w:t>
      </w:r>
      <w:r w:rsidR="00C03EC2" w:rsidRPr="000A682B">
        <w:rPr>
          <w:rFonts w:ascii="Gadugi" w:eastAsia="Georgia" w:hAnsi="Gadugi" w:cs="Georgia"/>
          <w:sz w:val="24"/>
          <w:szCs w:val="24"/>
        </w:rPr>
        <w:t xml:space="preserve">”, por las razones aducidas, en cuanto no permite identificar el negocio subyacente, máxime, cuando el mismo fue modificado al arbitrio de las partes. </w:t>
      </w:r>
    </w:p>
    <w:p w14:paraId="29696AD4" w14:textId="77777777" w:rsidR="00F40F7A" w:rsidRPr="000A682B" w:rsidRDefault="00F40F7A" w:rsidP="000A682B">
      <w:pPr>
        <w:jc w:val="both"/>
        <w:rPr>
          <w:rFonts w:ascii="Gadugi" w:eastAsia="Georgia" w:hAnsi="Gadugi" w:cs="Georgia"/>
          <w:sz w:val="24"/>
          <w:szCs w:val="24"/>
        </w:rPr>
      </w:pPr>
    </w:p>
    <w:p w14:paraId="0A0BB1CF" w14:textId="272FBF22" w:rsidR="00E80914" w:rsidRPr="000A682B" w:rsidRDefault="00E80914" w:rsidP="000A682B">
      <w:pPr>
        <w:jc w:val="both"/>
        <w:rPr>
          <w:rFonts w:ascii="Gadugi" w:eastAsia="Georgia" w:hAnsi="Gadugi" w:cs="Georgia"/>
          <w:sz w:val="24"/>
          <w:szCs w:val="24"/>
          <w:lang w:val="es-CO"/>
        </w:rPr>
      </w:pPr>
      <w:r w:rsidRPr="000A682B">
        <w:rPr>
          <w:rFonts w:ascii="Gadugi" w:eastAsia="Georgia" w:hAnsi="Gadugi" w:cs="Georgia"/>
          <w:sz w:val="24"/>
          <w:szCs w:val="24"/>
          <w:lang w:val="es-CO"/>
        </w:rPr>
        <w:t xml:space="preserve">Aunque la regla es optativa, es decir, la descripción en la factura puede ser específica o genérica, son las circunstancias particulares de cada negocio comercial </w:t>
      </w:r>
      <w:r w:rsidR="009E5770" w:rsidRPr="000A682B">
        <w:rPr>
          <w:rFonts w:ascii="Gadugi" w:eastAsia="Georgia" w:hAnsi="Gadugi" w:cs="Georgia"/>
          <w:sz w:val="24"/>
          <w:szCs w:val="24"/>
          <w:lang w:val="es-CO"/>
        </w:rPr>
        <w:t xml:space="preserve">las que </w:t>
      </w:r>
      <w:r w:rsidRPr="000A682B">
        <w:rPr>
          <w:rFonts w:ascii="Gadugi" w:eastAsia="Georgia" w:hAnsi="Gadugi" w:cs="Georgia"/>
          <w:sz w:val="24"/>
          <w:szCs w:val="24"/>
          <w:lang w:val="es-CO"/>
        </w:rPr>
        <w:t>habilita</w:t>
      </w:r>
      <w:r w:rsidR="009E5770" w:rsidRPr="000A682B">
        <w:rPr>
          <w:rFonts w:ascii="Gadugi" w:eastAsia="Georgia" w:hAnsi="Gadugi" w:cs="Georgia"/>
          <w:sz w:val="24"/>
          <w:szCs w:val="24"/>
          <w:lang w:val="es-CO"/>
        </w:rPr>
        <w:t>n</w:t>
      </w:r>
      <w:r w:rsidRPr="000A682B">
        <w:rPr>
          <w:rFonts w:ascii="Gadugi" w:eastAsia="Georgia" w:hAnsi="Gadugi" w:cs="Georgia"/>
          <w:sz w:val="24"/>
          <w:szCs w:val="24"/>
          <w:lang w:val="es-CO"/>
        </w:rPr>
        <w:t xml:space="preserve"> </w:t>
      </w:r>
      <w:r w:rsidR="00C03EC2" w:rsidRPr="000A682B">
        <w:rPr>
          <w:rFonts w:ascii="Gadugi" w:eastAsia="Georgia" w:hAnsi="Gadugi" w:cs="Georgia"/>
          <w:sz w:val="24"/>
          <w:szCs w:val="24"/>
          <w:lang w:val="es-CO"/>
        </w:rPr>
        <w:t xml:space="preserve">la </w:t>
      </w:r>
      <w:r w:rsidRPr="000A682B">
        <w:rPr>
          <w:rFonts w:ascii="Gadugi" w:eastAsia="Georgia" w:hAnsi="Gadugi" w:cs="Georgia"/>
          <w:sz w:val="24"/>
          <w:szCs w:val="24"/>
          <w:lang w:val="es-CO"/>
        </w:rPr>
        <w:t xml:space="preserve">información </w:t>
      </w:r>
      <w:r w:rsidR="00CA621D" w:rsidRPr="000A682B">
        <w:rPr>
          <w:rFonts w:ascii="Gadugi" w:eastAsia="Georgia" w:hAnsi="Gadugi" w:cs="Georgia"/>
          <w:sz w:val="24"/>
          <w:szCs w:val="24"/>
          <w:lang w:val="es-CO"/>
        </w:rPr>
        <w:t xml:space="preserve">que </w:t>
      </w:r>
      <w:r w:rsidRPr="000A682B">
        <w:rPr>
          <w:rFonts w:ascii="Gadugi" w:eastAsia="Georgia" w:hAnsi="Gadugi" w:cs="Georgia"/>
          <w:sz w:val="24"/>
          <w:szCs w:val="24"/>
          <w:lang w:val="es-CO"/>
        </w:rPr>
        <w:t xml:space="preserve">debe contener el documento. </w:t>
      </w:r>
    </w:p>
    <w:p w14:paraId="7DB11B1A" w14:textId="77777777" w:rsidR="00E80914" w:rsidRPr="000A682B" w:rsidRDefault="00E80914" w:rsidP="000A682B">
      <w:pPr>
        <w:jc w:val="both"/>
        <w:rPr>
          <w:rFonts w:ascii="Gadugi" w:eastAsia="Georgia" w:hAnsi="Gadugi" w:cs="Georgia"/>
          <w:sz w:val="24"/>
          <w:szCs w:val="24"/>
          <w:lang w:val="es-CO"/>
        </w:rPr>
      </w:pPr>
    </w:p>
    <w:p w14:paraId="764DFD6B" w14:textId="79366832" w:rsidR="00C03EC2" w:rsidRPr="000A682B" w:rsidRDefault="00C03EC2" w:rsidP="000A682B">
      <w:pPr>
        <w:jc w:val="both"/>
        <w:rPr>
          <w:rFonts w:ascii="Gadugi" w:eastAsia="Georgia" w:hAnsi="Gadugi" w:cs="Georgia"/>
          <w:sz w:val="24"/>
          <w:szCs w:val="24"/>
          <w:lang w:val="es-CO"/>
        </w:rPr>
      </w:pPr>
      <w:r w:rsidRPr="000A682B">
        <w:rPr>
          <w:rFonts w:ascii="Gadugi" w:eastAsia="Georgia" w:hAnsi="Gadugi" w:cs="Georgia"/>
          <w:sz w:val="24"/>
          <w:szCs w:val="24"/>
          <w:lang w:val="es-CO"/>
        </w:rPr>
        <w:t xml:space="preserve">Y es que, recuérdese, para el caso se trataba de un contrato civil de obra a precio único, a todo costo, </w:t>
      </w:r>
      <w:r w:rsidR="00E80914" w:rsidRPr="000A682B">
        <w:rPr>
          <w:rFonts w:ascii="Gadugi" w:eastAsia="Georgia" w:hAnsi="Gadugi" w:cs="Georgia"/>
          <w:sz w:val="24"/>
          <w:szCs w:val="24"/>
          <w:lang w:val="es-CO"/>
        </w:rPr>
        <w:t>según se dice en el expediente</w:t>
      </w:r>
      <w:r w:rsidR="00E80914" w:rsidRPr="000A682B">
        <w:rPr>
          <w:rStyle w:val="Refdenotaalpie"/>
          <w:rFonts w:ascii="Gadugi" w:eastAsia="Georgia" w:hAnsi="Gadugi" w:cs="Georgia"/>
          <w:sz w:val="24"/>
          <w:szCs w:val="24"/>
          <w:lang w:val="es-CO"/>
        </w:rPr>
        <w:footnoteReference w:id="19"/>
      </w:r>
      <w:r w:rsidR="00E80914" w:rsidRPr="000A682B">
        <w:rPr>
          <w:rFonts w:ascii="Gadugi" w:eastAsia="Georgia" w:hAnsi="Gadugi" w:cs="Georgia"/>
          <w:sz w:val="24"/>
          <w:szCs w:val="24"/>
          <w:lang w:val="es-CO"/>
        </w:rPr>
        <w:t>,</w:t>
      </w:r>
      <w:r w:rsidRPr="000A682B">
        <w:rPr>
          <w:rFonts w:ascii="Gadugi" w:eastAsia="Georgia" w:hAnsi="Gadugi" w:cs="Georgia"/>
          <w:sz w:val="24"/>
          <w:szCs w:val="24"/>
          <w:lang w:val="es-CO"/>
        </w:rPr>
        <w:t xml:space="preserve"> cuyo valor era de </w:t>
      </w:r>
      <w:r w:rsidR="00E80914" w:rsidRPr="000A682B">
        <w:rPr>
          <w:rFonts w:ascii="Gadugi" w:eastAsia="Georgia" w:hAnsi="Gadugi" w:cs="Georgia"/>
          <w:sz w:val="24"/>
          <w:szCs w:val="24"/>
          <w:lang w:val="es-CO"/>
        </w:rPr>
        <w:t>$842</w:t>
      </w:r>
      <w:r w:rsidRPr="000A682B">
        <w:rPr>
          <w:rFonts w:ascii="Gadugi" w:eastAsia="Georgia" w:hAnsi="Gadugi" w:cs="Georgia"/>
          <w:sz w:val="24"/>
          <w:szCs w:val="24"/>
          <w:lang w:val="es-CO"/>
        </w:rPr>
        <w:t>’</w:t>
      </w:r>
      <w:r w:rsidR="00E80914" w:rsidRPr="000A682B">
        <w:rPr>
          <w:rFonts w:ascii="Gadugi" w:eastAsia="Georgia" w:hAnsi="Gadugi" w:cs="Georgia"/>
          <w:sz w:val="24"/>
          <w:szCs w:val="24"/>
          <w:lang w:val="es-CO"/>
        </w:rPr>
        <w:t>482.770,</w:t>
      </w:r>
      <w:r w:rsidR="000473BB">
        <w:rPr>
          <w:rFonts w:ascii="Gadugi" w:eastAsia="Georgia" w:hAnsi="Gadugi" w:cs="Georgia"/>
          <w:sz w:val="24"/>
          <w:szCs w:val="24"/>
          <w:lang w:val="es-CO"/>
        </w:rPr>
        <w:t>00</w:t>
      </w:r>
      <w:r w:rsidRPr="000A682B">
        <w:rPr>
          <w:rFonts w:ascii="Gadugi" w:eastAsia="Georgia" w:hAnsi="Gadugi" w:cs="Georgia"/>
          <w:sz w:val="24"/>
          <w:szCs w:val="24"/>
          <w:lang w:val="es-CO"/>
        </w:rPr>
        <w:t xml:space="preserve">; pero allí se aludía a la construcción de tres viviendas, y al final, por lo que el mismo representante legal de la demandante aceptó, solo </w:t>
      </w:r>
      <w:r w:rsidR="00CA621D" w:rsidRPr="000A682B">
        <w:rPr>
          <w:rFonts w:ascii="Gadugi" w:eastAsia="Georgia" w:hAnsi="Gadugi" w:cs="Georgia"/>
          <w:sz w:val="24"/>
          <w:szCs w:val="24"/>
          <w:lang w:val="es-CO"/>
        </w:rPr>
        <w:t>se construyó una</w:t>
      </w:r>
      <w:r w:rsidR="00E80914" w:rsidRPr="000A682B">
        <w:rPr>
          <w:rFonts w:ascii="Gadugi" w:eastAsia="Georgia" w:hAnsi="Gadugi" w:cs="Georgia"/>
          <w:sz w:val="24"/>
          <w:szCs w:val="24"/>
          <w:lang w:val="es-CO"/>
        </w:rPr>
        <w:t xml:space="preserve">. </w:t>
      </w:r>
      <w:r w:rsidRPr="000A682B">
        <w:rPr>
          <w:rFonts w:ascii="Gadugi" w:eastAsia="Georgia" w:hAnsi="Gadugi" w:cs="Georgia"/>
          <w:sz w:val="24"/>
          <w:szCs w:val="24"/>
          <w:lang w:val="es-CO"/>
        </w:rPr>
        <w:t xml:space="preserve">También la forma de pago varió, y al final vino a plasmarse así, sin ninguna descripción adicional, una </w:t>
      </w:r>
      <w:r w:rsidRPr="000A682B">
        <w:rPr>
          <w:rFonts w:ascii="Gadugi" w:eastAsia="Georgia" w:hAnsi="Gadugi" w:cs="Georgia"/>
          <w:i/>
          <w:sz w:val="24"/>
          <w:szCs w:val="24"/>
          <w:lang w:val="es-CO"/>
        </w:rPr>
        <w:t>“</w:t>
      </w:r>
      <w:r w:rsidR="00643AD2" w:rsidRPr="000A682B">
        <w:rPr>
          <w:rFonts w:ascii="Gadugi" w:eastAsia="Georgia" w:hAnsi="Gadugi" w:cs="Georgia"/>
          <w:i/>
          <w:sz w:val="24"/>
          <w:szCs w:val="24"/>
          <w:lang w:val="es-CO"/>
        </w:rPr>
        <w:t xml:space="preserve">acta de </w:t>
      </w:r>
      <w:r w:rsidRPr="000A682B">
        <w:rPr>
          <w:rFonts w:ascii="Gadugi" w:eastAsia="Georgia" w:hAnsi="Gadugi" w:cs="Georgia"/>
          <w:i/>
          <w:sz w:val="24"/>
          <w:szCs w:val="24"/>
          <w:lang w:val="es-CO"/>
        </w:rPr>
        <w:t xml:space="preserve">obra única” </w:t>
      </w:r>
      <w:r w:rsidRPr="000A682B">
        <w:rPr>
          <w:rFonts w:ascii="Gadugi" w:eastAsia="Georgia" w:hAnsi="Gadugi" w:cs="Georgia"/>
          <w:sz w:val="24"/>
          <w:szCs w:val="24"/>
          <w:lang w:val="es-CO"/>
        </w:rPr>
        <w:t xml:space="preserve">por un valor completamente diverso, de </w:t>
      </w:r>
      <w:r w:rsidR="00E80914" w:rsidRPr="000A682B">
        <w:rPr>
          <w:rFonts w:ascii="Gadugi" w:eastAsia="Georgia" w:hAnsi="Gadugi" w:cs="Georgia"/>
          <w:sz w:val="24"/>
          <w:szCs w:val="24"/>
          <w:lang w:val="es-CO"/>
        </w:rPr>
        <w:t>$485</w:t>
      </w:r>
      <w:r w:rsidRPr="000A682B">
        <w:rPr>
          <w:rFonts w:ascii="Gadugi" w:eastAsia="Georgia" w:hAnsi="Gadugi" w:cs="Georgia"/>
          <w:sz w:val="24"/>
          <w:szCs w:val="24"/>
          <w:lang w:val="es-CO"/>
        </w:rPr>
        <w:t>’</w:t>
      </w:r>
      <w:r w:rsidR="00E80914" w:rsidRPr="000A682B">
        <w:rPr>
          <w:rFonts w:ascii="Gadugi" w:eastAsia="Georgia" w:hAnsi="Gadugi" w:cs="Georgia"/>
          <w:sz w:val="24"/>
          <w:szCs w:val="24"/>
          <w:lang w:val="es-CO"/>
        </w:rPr>
        <w:t>902.500</w:t>
      </w:r>
      <w:r w:rsidR="000473BB">
        <w:rPr>
          <w:rFonts w:ascii="Gadugi" w:eastAsia="Georgia" w:hAnsi="Gadugi" w:cs="Georgia"/>
          <w:sz w:val="24"/>
          <w:szCs w:val="24"/>
          <w:lang w:val="es-CO"/>
        </w:rPr>
        <w:t>,00</w:t>
      </w:r>
      <w:r w:rsidRPr="000A682B">
        <w:rPr>
          <w:rFonts w:ascii="Gadugi" w:eastAsia="Georgia" w:hAnsi="Gadugi" w:cs="Georgia"/>
          <w:sz w:val="24"/>
          <w:szCs w:val="24"/>
          <w:lang w:val="es-CO"/>
        </w:rPr>
        <w:t>, de los cuales, solo se reclaman $162’620.100,</w:t>
      </w:r>
      <w:r w:rsidR="000473BB">
        <w:rPr>
          <w:rFonts w:ascii="Gadugi" w:eastAsia="Georgia" w:hAnsi="Gadugi" w:cs="Georgia"/>
          <w:sz w:val="24"/>
          <w:szCs w:val="24"/>
          <w:lang w:val="es-CO"/>
        </w:rPr>
        <w:t>00</w:t>
      </w:r>
      <w:r w:rsidRPr="000A682B">
        <w:rPr>
          <w:rFonts w:ascii="Gadugi" w:eastAsia="Georgia" w:hAnsi="Gadugi" w:cs="Georgia"/>
          <w:sz w:val="24"/>
          <w:szCs w:val="24"/>
          <w:lang w:val="es-CO"/>
        </w:rPr>
        <w:t>, sin posibilidad de establecer, desde lo que está probado</w:t>
      </w:r>
      <w:r w:rsidR="00CA621D" w:rsidRPr="000A682B">
        <w:rPr>
          <w:rFonts w:ascii="Gadugi" w:eastAsia="Georgia" w:hAnsi="Gadugi" w:cs="Georgia"/>
          <w:sz w:val="24"/>
          <w:szCs w:val="24"/>
          <w:lang w:val="es-CO"/>
        </w:rPr>
        <w:t>,</w:t>
      </w:r>
      <w:r w:rsidRPr="000A682B">
        <w:rPr>
          <w:rFonts w:ascii="Gadugi" w:eastAsia="Georgia" w:hAnsi="Gadugi" w:cs="Georgia"/>
          <w:sz w:val="24"/>
          <w:szCs w:val="24"/>
          <w:lang w:val="es-CO"/>
        </w:rPr>
        <w:t xml:space="preserve"> de dónde es que sale ese saldo. </w:t>
      </w:r>
    </w:p>
    <w:p w14:paraId="79C0A511" w14:textId="77777777" w:rsidR="00C03EC2" w:rsidRPr="000A682B" w:rsidRDefault="00C03EC2" w:rsidP="000A682B">
      <w:pPr>
        <w:jc w:val="both"/>
        <w:rPr>
          <w:rFonts w:ascii="Gadugi" w:eastAsia="Georgia" w:hAnsi="Gadugi" w:cs="Georgia"/>
          <w:sz w:val="24"/>
          <w:szCs w:val="24"/>
          <w:lang w:val="es-CO"/>
        </w:rPr>
      </w:pPr>
    </w:p>
    <w:p w14:paraId="47B7458D" w14:textId="02BB5B20" w:rsidR="00E80914" w:rsidRPr="000A682B" w:rsidRDefault="00E80914" w:rsidP="000A682B">
      <w:pPr>
        <w:jc w:val="both"/>
        <w:rPr>
          <w:rFonts w:ascii="Gadugi" w:eastAsia="Georgia" w:hAnsi="Gadugi" w:cs="Georgia"/>
          <w:i/>
          <w:iCs/>
          <w:sz w:val="24"/>
          <w:szCs w:val="24"/>
          <w:lang w:val="es-CO"/>
        </w:rPr>
      </w:pPr>
      <w:r w:rsidRPr="000A682B">
        <w:rPr>
          <w:rFonts w:ascii="Gadugi" w:eastAsia="Georgia" w:hAnsi="Gadugi" w:cs="Georgia"/>
          <w:sz w:val="24"/>
          <w:szCs w:val="24"/>
          <w:lang w:val="es-CO"/>
        </w:rPr>
        <w:t xml:space="preserve">Aunado a lo anterior, se estipuló en la cláusula quinta del contrato civil de obra, sobre la forma de pago, que luego del anticipo por el 30%, </w:t>
      </w:r>
      <w:r w:rsidRPr="000A682B">
        <w:rPr>
          <w:rFonts w:ascii="Gadugi" w:eastAsia="Georgia" w:hAnsi="Gadugi" w:cs="Georgia"/>
          <w:i/>
          <w:iCs/>
          <w:sz w:val="24"/>
          <w:szCs w:val="24"/>
          <w:lang w:val="es-CO"/>
        </w:rPr>
        <w:t>el restante se pagará en actas parciales mensuales de obra (según avances de obra, verificados por el supervisor que designe el contratante)</w:t>
      </w:r>
      <w:r w:rsidR="00EB52FD" w:rsidRPr="000A682B">
        <w:rPr>
          <w:rFonts w:ascii="Gadugi" w:eastAsia="Georgia" w:hAnsi="Gadugi" w:cs="Georgia"/>
          <w:i/>
          <w:iCs/>
          <w:sz w:val="24"/>
          <w:szCs w:val="24"/>
          <w:lang w:val="es-CO"/>
        </w:rPr>
        <w:t xml:space="preserve">. </w:t>
      </w:r>
      <w:r w:rsidR="00EB52FD" w:rsidRPr="000A682B">
        <w:rPr>
          <w:rFonts w:ascii="Gadugi" w:eastAsia="Georgia" w:hAnsi="Gadugi" w:cs="Georgia"/>
          <w:iCs/>
          <w:sz w:val="24"/>
          <w:szCs w:val="24"/>
          <w:lang w:val="es-CO"/>
        </w:rPr>
        <w:t>Y</w:t>
      </w:r>
      <w:r w:rsidRPr="000A682B">
        <w:rPr>
          <w:rFonts w:ascii="Gadugi" w:eastAsia="Georgia" w:hAnsi="Gadugi" w:cs="Georgia"/>
          <w:i/>
          <w:iCs/>
          <w:sz w:val="24"/>
          <w:szCs w:val="24"/>
          <w:lang w:val="es-CO"/>
        </w:rPr>
        <w:t xml:space="preserve">, </w:t>
      </w:r>
      <w:r w:rsidRPr="000A682B">
        <w:rPr>
          <w:rFonts w:ascii="Gadugi" w:eastAsia="Georgia" w:hAnsi="Gadugi" w:cs="Georgia"/>
          <w:sz w:val="24"/>
          <w:szCs w:val="24"/>
          <w:lang w:val="es-CO"/>
        </w:rPr>
        <w:t xml:space="preserve">en el parágrafo primero se pactó que </w:t>
      </w:r>
      <w:r w:rsidR="00EB52FD" w:rsidRPr="000A682B">
        <w:rPr>
          <w:rFonts w:ascii="Gadugi" w:eastAsia="Georgia" w:hAnsi="Gadugi" w:cs="Georgia"/>
          <w:sz w:val="24"/>
          <w:szCs w:val="24"/>
          <w:lang w:val="es-CO"/>
        </w:rPr>
        <w:t>“</w:t>
      </w:r>
      <w:r w:rsidRPr="00893D87">
        <w:rPr>
          <w:rFonts w:ascii="Gadugi" w:eastAsia="Georgia" w:hAnsi="Gadugi" w:cs="Georgia"/>
          <w:i/>
          <w:iCs/>
          <w:szCs w:val="24"/>
          <w:lang w:val="es-CO"/>
        </w:rPr>
        <w:t xml:space="preserve">Las partes convienen que el valor del contrato resulta de multiplicar los precios unitarios por metro cuadrado por las cantidades de obra a ejecutar de acuerdo con la cotización presentada </w:t>
      </w:r>
      <w:r w:rsidRPr="00893D87">
        <w:rPr>
          <w:rFonts w:ascii="Gadugi" w:eastAsia="Georgia" w:hAnsi="Gadugi" w:cs="Georgia"/>
          <w:szCs w:val="24"/>
          <w:lang w:val="es-CO"/>
        </w:rPr>
        <w:t xml:space="preserve">(…) </w:t>
      </w:r>
      <w:r w:rsidRPr="00893D87">
        <w:rPr>
          <w:rFonts w:ascii="Gadugi" w:eastAsia="Georgia" w:hAnsi="Gadugi" w:cs="Georgia"/>
          <w:i/>
          <w:iCs/>
          <w:szCs w:val="24"/>
          <w:lang w:val="es-CO"/>
        </w:rPr>
        <w:t>En consecuencia, el valor final del contrato será el que resulte de multiplicar las cantidades de obra realmente ejecutadas y recibidas a satisfacción por EL CONTRATANTE, por los precios por metro cuadrado estipulados en el contrato</w:t>
      </w:r>
      <w:r w:rsidR="00893D87">
        <w:rPr>
          <w:rFonts w:ascii="Gadugi" w:eastAsia="Georgia" w:hAnsi="Gadugi" w:cs="Georgia"/>
          <w:i/>
          <w:iCs/>
          <w:sz w:val="24"/>
          <w:szCs w:val="24"/>
          <w:lang w:val="es-CO"/>
        </w:rPr>
        <w:t>”</w:t>
      </w:r>
      <w:r w:rsidRPr="000A682B">
        <w:rPr>
          <w:rFonts w:ascii="Gadugi" w:eastAsia="Georgia" w:hAnsi="Gadugi" w:cs="Georgia"/>
          <w:i/>
          <w:iCs/>
          <w:sz w:val="24"/>
          <w:szCs w:val="24"/>
          <w:lang w:val="es-CO"/>
        </w:rPr>
        <w:t xml:space="preserve">. </w:t>
      </w:r>
    </w:p>
    <w:p w14:paraId="5CF40518" w14:textId="77777777" w:rsidR="00E80914" w:rsidRPr="000A682B" w:rsidRDefault="00E80914" w:rsidP="000A682B">
      <w:pPr>
        <w:jc w:val="both"/>
        <w:rPr>
          <w:rFonts w:ascii="Gadugi" w:eastAsia="Georgia" w:hAnsi="Gadugi" w:cs="Georgia"/>
          <w:i/>
          <w:iCs/>
          <w:sz w:val="24"/>
          <w:szCs w:val="24"/>
          <w:lang w:val="es-CO"/>
        </w:rPr>
      </w:pPr>
    </w:p>
    <w:p w14:paraId="18743F84" w14:textId="2853CBCA" w:rsidR="00E80914" w:rsidRPr="000A682B" w:rsidRDefault="00EB52FD" w:rsidP="000A682B">
      <w:pPr>
        <w:jc w:val="both"/>
        <w:rPr>
          <w:rFonts w:ascii="Gadugi" w:eastAsia="Georgia" w:hAnsi="Gadugi" w:cs="Georgia"/>
          <w:sz w:val="24"/>
          <w:szCs w:val="24"/>
          <w:lang w:val="es-CO"/>
        </w:rPr>
      </w:pPr>
      <w:r w:rsidRPr="000A682B">
        <w:rPr>
          <w:rFonts w:ascii="Gadugi" w:eastAsia="Georgia" w:hAnsi="Gadugi" w:cs="Georgia"/>
          <w:sz w:val="24"/>
          <w:szCs w:val="24"/>
          <w:lang w:val="es-CO"/>
        </w:rPr>
        <w:t xml:space="preserve">Al revisar la factura, que, se recuerda, no cubre el valor del contrato original, en ella </w:t>
      </w:r>
      <w:r w:rsidR="00643AD2" w:rsidRPr="000A682B">
        <w:rPr>
          <w:rFonts w:ascii="Gadugi" w:eastAsia="Georgia" w:hAnsi="Gadugi" w:cs="Georgia"/>
          <w:sz w:val="24"/>
          <w:szCs w:val="24"/>
          <w:lang w:val="es-CO"/>
        </w:rPr>
        <w:t>tampoco</w:t>
      </w:r>
      <w:r w:rsidRPr="000A682B">
        <w:rPr>
          <w:rFonts w:ascii="Gadugi" w:eastAsia="Georgia" w:hAnsi="Gadugi" w:cs="Georgia"/>
          <w:sz w:val="24"/>
          <w:szCs w:val="24"/>
          <w:lang w:val="es-CO"/>
        </w:rPr>
        <w:t xml:space="preserve"> se indica (</w:t>
      </w:r>
      <w:r w:rsidR="00E80914" w:rsidRPr="000A682B">
        <w:rPr>
          <w:rFonts w:ascii="Gadugi" w:eastAsia="Georgia" w:hAnsi="Gadugi" w:cs="Georgia"/>
          <w:sz w:val="24"/>
          <w:szCs w:val="24"/>
          <w:lang w:val="es-CO"/>
        </w:rPr>
        <w:t>i) qu</w:t>
      </w:r>
      <w:r w:rsidR="00643AD2" w:rsidRPr="000A682B">
        <w:rPr>
          <w:rFonts w:ascii="Gadugi" w:eastAsia="Georgia" w:hAnsi="Gadugi" w:cs="Georgia"/>
          <w:sz w:val="24"/>
          <w:szCs w:val="24"/>
          <w:lang w:val="es-CO"/>
        </w:rPr>
        <w:t>é</w:t>
      </w:r>
      <w:r w:rsidR="00E80914" w:rsidRPr="000A682B">
        <w:rPr>
          <w:rFonts w:ascii="Gadugi" w:eastAsia="Georgia" w:hAnsi="Gadugi" w:cs="Georgia"/>
          <w:sz w:val="24"/>
          <w:szCs w:val="24"/>
          <w:lang w:val="es-CO"/>
        </w:rPr>
        <w:t xml:space="preserve"> acta parcial mensual se está cobrando</w:t>
      </w:r>
      <w:r w:rsidRPr="000A682B">
        <w:rPr>
          <w:rFonts w:ascii="Gadugi" w:eastAsia="Georgia" w:hAnsi="Gadugi" w:cs="Georgia"/>
          <w:sz w:val="24"/>
          <w:szCs w:val="24"/>
          <w:lang w:val="es-CO"/>
        </w:rPr>
        <w:t>;</w:t>
      </w:r>
      <w:r w:rsidR="00E80914" w:rsidRPr="000A682B">
        <w:rPr>
          <w:rFonts w:ascii="Gadugi" w:eastAsia="Georgia" w:hAnsi="Gadugi" w:cs="Georgia"/>
          <w:sz w:val="24"/>
          <w:szCs w:val="24"/>
          <w:lang w:val="es-CO"/>
        </w:rPr>
        <w:t xml:space="preserve"> </w:t>
      </w:r>
      <w:r w:rsidRPr="000A682B">
        <w:rPr>
          <w:rFonts w:ascii="Gadugi" w:eastAsia="Georgia" w:hAnsi="Gadugi" w:cs="Georgia"/>
          <w:sz w:val="24"/>
          <w:szCs w:val="24"/>
          <w:lang w:val="es-CO"/>
        </w:rPr>
        <w:t>(</w:t>
      </w:r>
      <w:r w:rsidR="00E80914" w:rsidRPr="000A682B">
        <w:rPr>
          <w:rFonts w:ascii="Gadugi" w:eastAsia="Georgia" w:hAnsi="Gadugi" w:cs="Georgia"/>
          <w:sz w:val="24"/>
          <w:szCs w:val="24"/>
          <w:lang w:val="es-CO"/>
        </w:rPr>
        <w:t>ii) sobre cu</w:t>
      </w:r>
      <w:r w:rsidR="00643AD2" w:rsidRPr="000A682B">
        <w:rPr>
          <w:rFonts w:ascii="Gadugi" w:eastAsia="Georgia" w:hAnsi="Gadugi" w:cs="Georgia"/>
          <w:sz w:val="24"/>
          <w:szCs w:val="24"/>
          <w:lang w:val="es-CO"/>
        </w:rPr>
        <w:t>á</w:t>
      </w:r>
      <w:r w:rsidR="00E80914" w:rsidRPr="000A682B">
        <w:rPr>
          <w:rFonts w:ascii="Gadugi" w:eastAsia="Georgia" w:hAnsi="Gadugi" w:cs="Georgia"/>
          <w:sz w:val="24"/>
          <w:szCs w:val="24"/>
          <w:lang w:val="es-CO"/>
        </w:rPr>
        <w:t xml:space="preserve">l avance de obra verificada por el supervisor designado se </w:t>
      </w:r>
      <w:r w:rsidR="00374FF1" w:rsidRPr="000A682B">
        <w:rPr>
          <w:rFonts w:ascii="Gadugi" w:eastAsia="Georgia" w:hAnsi="Gadugi" w:cs="Georgia"/>
          <w:sz w:val="24"/>
          <w:szCs w:val="24"/>
          <w:lang w:val="es-CO"/>
        </w:rPr>
        <w:t>refiere; o</w:t>
      </w:r>
      <w:r w:rsidRPr="000A682B">
        <w:rPr>
          <w:rFonts w:ascii="Gadugi" w:eastAsia="Georgia" w:hAnsi="Gadugi" w:cs="Georgia"/>
          <w:sz w:val="24"/>
          <w:szCs w:val="24"/>
          <w:lang w:val="es-CO"/>
        </w:rPr>
        <w:t xml:space="preserve"> (</w:t>
      </w:r>
      <w:r w:rsidR="00E80914" w:rsidRPr="000A682B">
        <w:rPr>
          <w:rFonts w:ascii="Gadugi" w:eastAsia="Georgia" w:hAnsi="Gadugi" w:cs="Georgia"/>
          <w:sz w:val="24"/>
          <w:szCs w:val="24"/>
          <w:lang w:val="es-CO"/>
        </w:rPr>
        <w:t xml:space="preserve">iii) </w:t>
      </w:r>
      <w:r w:rsidR="00643AD2" w:rsidRPr="000A682B">
        <w:rPr>
          <w:rFonts w:ascii="Gadugi" w:eastAsia="Georgia" w:hAnsi="Gadugi" w:cs="Georgia"/>
          <w:sz w:val="24"/>
          <w:szCs w:val="24"/>
          <w:lang w:val="es-CO"/>
        </w:rPr>
        <w:t xml:space="preserve">a </w:t>
      </w:r>
      <w:r w:rsidR="00E80914" w:rsidRPr="000A682B">
        <w:rPr>
          <w:rFonts w:ascii="Gadugi" w:eastAsia="Georgia" w:hAnsi="Gadugi" w:cs="Georgia"/>
          <w:sz w:val="24"/>
          <w:szCs w:val="24"/>
          <w:lang w:val="es-CO"/>
        </w:rPr>
        <w:t xml:space="preserve">cuantos metros cuadrados de obra debidamente ejecutada y recibida a satisfacción </w:t>
      </w:r>
      <w:r w:rsidRPr="000A682B">
        <w:rPr>
          <w:rFonts w:ascii="Gadugi" w:eastAsia="Georgia" w:hAnsi="Gadugi" w:cs="Georgia"/>
          <w:sz w:val="24"/>
          <w:szCs w:val="24"/>
          <w:lang w:val="es-CO"/>
        </w:rPr>
        <w:t xml:space="preserve">corresponde el </w:t>
      </w:r>
      <w:r w:rsidR="00E80914" w:rsidRPr="000A682B">
        <w:rPr>
          <w:rFonts w:ascii="Gadugi" w:eastAsia="Georgia" w:hAnsi="Gadugi" w:cs="Georgia"/>
          <w:sz w:val="24"/>
          <w:szCs w:val="24"/>
          <w:lang w:val="es-CO"/>
        </w:rPr>
        <w:t xml:space="preserve">cobro. </w:t>
      </w:r>
    </w:p>
    <w:p w14:paraId="3EB55D9B" w14:textId="071B8BC3" w:rsidR="00E80914" w:rsidRPr="000A682B" w:rsidRDefault="00E80914" w:rsidP="000A682B">
      <w:pPr>
        <w:jc w:val="both"/>
        <w:rPr>
          <w:rFonts w:ascii="Gadugi" w:eastAsia="Georgia" w:hAnsi="Gadugi" w:cs="Georgia"/>
          <w:sz w:val="24"/>
          <w:szCs w:val="24"/>
          <w:lang w:val="es-CO"/>
        </w:rPr>
      </w:pPr>
    </w:p>
    <w:p w14:paraId="5019A56D" w14:textId="7BB172B7" w:rsidR="00EB52FD" w:rsidRPr="000A682B" w:rsidRDefault="00EB52FD" w:rsidP="000A682B">
      <w:pPr>
        <w:jc w:val="both"/>
        <w:rPr>
          <w:rFonts w:ascii="Gadugi" w:eastAsia="Georgia" w:hAnsi="Gadugi" w:cs="Georgia"/>
          <w:sz w:val="24"/>
          <w:szCs w:val="24"/>
          <w:lang w:val="es-CO"/>
        </w:rPr>
      </w:pPr>
      <w:r w:rsidRPr="000A682B">
        <w:rPr>
          <w:rFonts w:ascii="Gadugi" w:eastAsia="Georgia" w:hAnsi="Gadugi" w:cs="Georgia"/>
          <w:sz w:val="24"/>
          <w:szCs w:val="24"/>
          <w:lang w:val="es-CO"/>
        </w:rPr>
        <w:t xml:space="preserve">Ello imponía, en vista de las características especiales bajo las cuales se desarrolló el negocio </w:t>
      </w:r>
      <w:r w:rsidR="00CA621D" w:rsidRPr="000A682B">
        <w:rPr>
          <w:rFonts w:ascii="Gadugi" w:eastAsia="Georgia" w:hAnsi="Gadugi" w:cs="Georgia"/>
          <w:sz w:val="24"/>
          <w:szCs w:val="24"/>
          <w:lang w:val="es-CO"/>
        </w:rPr>
        <w:t>causal</w:t>
      </w:r>
      <w:r w:rsidRPr="000A682B">
        <w:rPr>
          <w:rFonts w:ascii="Gadugi" w:eastAsia="Georgia" w:hAnsi="Gadugi" w:cs="Georgia"/>
          <w:sz w:val="24"/>
          <w:szCs w:val="24"/>
          <w:lang w:val="es-CO"/>
        </w:rPr>
        <w:t xml:space="preserve">, una descripción más amplía y específica en la factura de venta, aun cuando fuera genérica, para poder verificar cuál fue el servicio que, al final, se quiso cobrar. </w:t>
      </w:r>
    </w:p>
    <w:p w14:paraId="46CD6146" w14:textId="77777777" w:rsidR="00EB52FD" w:rsidRPr="000A682B" w:rsidRDefault="00EB52FD" w:rsidP="000A682B">
      <w:pPr>
        <w:jc w:val="both"/>
        <w:rPr>
          <w:rFonts w:ascii="Gadugi" w:eastAsia="Georgia" w:hAnsi="Gadugi" w:cs="Georgia"/>
          <w:sz w:val="24"/>
          <w:szCs w:val="24"/>
          <w:lang w:val="es-CO"/>
        </w:rPr>
      </w:pPr>
    </w:p>
    <w:p w14:paraId="53544E7C" w14:textId="3C8C0A67" w:rsidR="00EB52FD" w:rsidRPr="000A682B" w:rsidRDefault="00E80914" w:rsidP="000A682B">
      <w:pPr>
        <w:jc w:val="both"/>
        <w:rPr>
          <w:rFonts w:ascii="Gadugi" w:eastAsia="Georgia" w:hAnsi="Gadugi" w:cs="Georgia"/>
          <w:sz w:val="24"/>
          <w:szCs w:val="24"/>
          <w:lang w:val="es-CO"/>
        </w:rPr>
      </w:pPr>
      <w:r w:rsidRPr="000A682B">
        <w:rPr>
          <w:rFonts w:ascii="Gadugi" w:eastAsia="Georgia" w:hAnsi="Gadugi" w:cs="Georgia"/>
          <w:sz w:val="24"/>
          <w:szCs w:val="24"/>
          <w:lang w:val="es-CO"/>
        </w:rPr>
        <w:lastRenderedPageBreak/>
        <w:t xml:space="preserve">De tiempo atrás, </w:t>
      </w:r>
      <w:r w:rsidR="00EB52FD" w:rsidRPr="000A682B">
        <w:rPr>
          <w:rFonts w:ascii="Gadugi" w:eastAsia="Georgia" w:hAnsi="Gadugi" w:cs="Georgia"/>
          <w:sz w:val="24"/>
          <w:szCs w:val="24"/>
          <w:lang w:val="es-CO"/>
        </w:rPr>
        <w:t>esta Colegiatura</w:t>
      </w:r>
      <w:r w:rsidR="00EB52FD" w:rsidRPr="000A682B">
        <w:rPr>
          <w:rStyle w:val="Refdenotaalpie"/>
          <w:rFonts w:ascii="Gadugi" w:eastAsia="Georgia" w:hAnsi="Gadugi" w:cs="Georgia"/>
          <w:sz w:val="24"/>
          <w:szCs w:val="24"/>
          <w:lang w:val="es-CO"/>
        </w:rPr>
        <w:footnoteReference w:id="20"/>
      </w:r>
      <w:r w:rsidR="00EB52FD" w:rsidRPr="000A682B">
        <w:rPr>
          <w:rFonts w:ascii="Gadugi" w:eastAsia="Georgia" w:hAnsi="Gadugi" w:cs="Georgia"/>
          <w:sz w:val="24"/>
          <w:szCs w:val="24"/>
          <w:lang w:val="es-CO"/>
        </w:rPr>
        <w:t xml:space="preserve"> se refirió a esta exigencia. Se dijo en su momento que: </w:t>
      </w:r>
    </w:p>
    <w:p w14:paraId="7C78ACD9" w14:textId="77777777" w:rsidR="00EB52FD" w:rsidRPr="000A682B" w:rsidRDefault="00EB52FD" w:rsidP="000A682B">
      <w:pPr>
        <w:jc w:val="both"/>
        <w:rPr>
          <w:rFonts w:ascii="Gadugi" w:eastAsia="Georgia" w:hAnsi="Gadugi" w:cs="Georgia"/>
          <w:sz w:val="24"/>
          <w:szCs w:val="24"/>
          <w:lang w:val="es-CO"/>
        </w:rPr>
      </w:pPr>
    </w:p>
    <w:p w14:paraId="19E09185" w14:textId="77777777" w:rsidR="00E80914" w:rsidRPr="00374FF1" w:rsidRDefault="00E80914" w:rsidP="00374FF1">
      <w:pPr>
        <w:spacing w:line="240" w:lineRule="auto"/>
        <w:ind w:left="426" w:right="420"/>
        <w:jc w:val="both"/>
        <w:rPr>
          <w:rFonts w:ascii="Gadugi" w:eastAsia="Georgia" w:hAnsi="Gadugi" w:cs="Georgia"/>
          <w:szCs w:val="24"/>
          <w:lang w:val="es-CO"/>
        </w:rPr>
      </w:pPr>
      <w:r w:rsidRPr="00374FF1">
        <w:rPr>
          <w:rFonts w:ascii="Gadugi" w:eastAsia="Georgia" w:hAnsi="Gadugi" w:cs="Georgia"/>
          <w:szCs w:val="24"/>
          <w:lang w:val="es-CO"/>
        </w:rPr>
        <w:t>El mentado requisito, al decir de la doctrina</w:t>
      </w:r>
      <w:r w:rsidRPr="00374FF1">
        <w:rPr>
          <w:rFonts w:ascii="Gadugi" w:eastAsia="Georgia" w:hAnsi="Gadugi" w:cs="Georgia"/>
          <w:szCs w:val="24"/>
          <w:vertAlign w:val="superscript"/>
          <w:lang w:val="es-CO"/>
        </w:rPr>
        <w:footnoteReference w:id="21"/>
      </w:r>
      <w:r w:rsidRPr="00374FF1">
        <w:rPr>
          <w:rFonts w:ascii="Gadugi" w:eastAsia="Georgia" w:hAnsi="Gadugi" w:cs="Georgia"/>
          <w:szCs w:val="24"/>
          <w:lang w:val="es-CO"/>
        </w:rPr>
        <w:t xml:space="preserve">: </w:t>
      </w:r>
      <w:r w:rsidRPr="00374FF1">
        <w:rPr>
          <w:rFonts w:ascii="Gadugi" w:eastAsia="Georgia" w:hAnsi="Gadugi" w:cs="Georgia"/>
          <w:i/>
          <w:szCs w:val="24"/>
          <w:lang w:val="es-CO"/>
        </w:rPr>
        <w:t>“(…) por ser un título de contenido concreto o causal, sabemos cuál fue la causa que originó el título valor, qué tipo de mercancía o de servicios fueron prestados o se vendieron con la determinación del IVA, siempre debe constar en el título factura de venta la relación subyacente, esto es la compraventa de mercancías o servicios”.</w:t>
      </w:r>
      <w:r w:rsidRPr="00374FF1">
        <w:rPr>
          <w:rFonts w:ascii="Gadugi" w:eastAsia="Georgia" w:hAnsi="Gadugi" w:cs="Georgia"/>
          <w:szCs w:val="24"/>
          <w:lang w:val="es-CO"/>
        </w:rPr>
        <w:t xml:space="preserve"> Y en torno a su clasificación refiere el mismo tratadista</w:t>
      </w:r>
      <w:r w:rsidRPr="00374FF1">
        <w:rPr>
          <w:rFonts w:ascii="Gadugi" w:eastAsia="Georgia" w:hAnsi="Gadugi" w:cs="Georgia"/>
          <w:szCs w:val="24"/>
          <w:vertAlign w:val="superscript"/>
          <w:lang w:val="es-CO"/>
        </w:rPr>
        <w:footnoteReference w:id="22"/>
      </w:r>
      <w:r w:rsidRPr="00374FF1">
        <w:rPr>
          <w:rFonts w:ascii="Gadugi" w:eastAsia="Georgia" w:hAnsi="Gadugi" w:cs="Georgia"/>
          <w:szCs w:val="24"/>
          <w:lang w:val="es-CO"/>
        </w:rPr>
        <w:t xml:space="preserve">: </w:t>
      </w:r>
      <w:r w:rsidRPr="00374FF1">
        <w:rPr>
          <w:rFonts w:ascii="Gadugi" w:eastAsia="Georgia" w:hAnsi="Gadugi" w:cs="Georgia"/>
          <w:i/>
          <w:szCs w:val="24"/>
          <w:lang w:val="es-CO"/>
        </w:rPr>
        <w:t>“Son causales porque la causa que dio origen al título valor permanece incólume en el instrumento desde que se crea hasta que se descarga, independiente de que circule, porque, siempre vamos a saber cuál fue el negocio jurídico a través del cual se creó (…)”.</w:t>
      </w:r>
      <w:r w:rsidRPr="00374FF1">
        <w:rPr>
          <w:rFonts w:ascii="Gadugi" w:eastAsia="Georgia" w:hAnsi="Gadugi" w:cs="Georgia"/>
          <w:szCs w:val="24"/>
          <w:lang w:val="es-CO"/>
        </w:rPr>
        <w:t xml:space="preserve"> </w:t>
      </w:r>
    </w:p>
    <w:p w14:paraId="15845F4B" w14:textId="77777777" w:rsidR="00E80914" w:rsidRPr="00374FF1" w:rsidRDefault="00E80914" w:rsidP="00374FF1">
      <w:pPr>
        <w:spacing w:line="240" w:lineRule="auto"/>
        <w:ind w:left="426" w:right="420"/>
        <w:jc w:val="both"/>
        <w:rPr>
          <w:rFonts w:ascii="Gadugi" w:eastAsia="Georgia" w:hAnsi="Gadugi" w:cs="Georgia"/>
          <w:szCs w:val="24"/>
          <w:lang w:val="es-CO"/>
        </w:rPr>
      </w:pPr>
    </w:p>
    <w:p w14:paraId="12487047" w14:textId="77777777" w:rsidR="00E80914" w:rsidRPr="00374FF1" w:rsidRDefault="00E80914" w:rsidP="00374FF1">
      <w:pPr>
        <w:spacing w:line="240" w:lineRule="auto"/>
        <w:ind w:left="426" w:right="420"/>
        <w:jc w:val="both"/>
        <w:rPr>
          <w:rFonts w:ascii="Gadugi" w:eastAsia="Georgia" w:hAnsi="Gadugi" w:cs="Georgia"/>
          <w:i/>
          <w:szCs w:val="24"/>
          <w:lang w:val="es-CO"/>
        </w:rPr>
      </w:pPr>
      <w:r w:rsidRPr="00374FF1">
        <w:rPr>
          <w:rFonts w:ascii="Gadugi" w:eastAsia="Georgia" w:hAnsi="Gadugi" w:cs="Georgia"/>
          <w:szCs w:val="24"/>
          <w:lang w:val="es-CO"/>
        </w:rPr>
        <w:t>También ha expuesto el doctor Parra García</w:t>
      </w:r>
      <w:r w:rsidRPr="00374FF1">
        <w:rPr>
          <w:rFonts w:ascii="Gadugi" w:eastAsia="Georgia" w:hAnsi="Gadugi" w:cs="Georgia"/>
          <w:szCs w:val="24"/>
          <w:vertAlign w:val="superscript"/>
          <w:lang w:val="es-CO"/>
        </w:rPr>
        <w:footnoteReference w:id="23"/>
      </w:r>
      <w:r w:rsidRPr="00374FF1">
        <w:rPr>
          <w:rFonts w:ascii="Gadugi" w:eastAsia="Georgia" w:hAnsi="Gadugi" w:cs="Georgia"/>
          <w:szCs w:val="24"/>
          <w:lang w:val="es-CO"/>
        </w:rPr>
        <w:t xml:space="preserve">: </w:t>
      </w:r>
      <w:r w:rsidRPr="00374FF1">
        <w:rPr>
          <w:rFonts w:ascii="Gadugi" w:eastAsia="Georgia" w:hAnsi="Gadugi" w:cs="Georgia"/>
          <w:i/>
          <w:szCs w:val="24"/>
          <w:lang w:val="es-CO"/>
        </w:rPr>
        <w:t>“(…) es necesario describir con precisión las mercancías o los servicios, de modo tal que sea posible identificar sin dificultad esas mercaderías, o saber cuál fue el servicio lícito prestado, con sus características, calidad, y valor, y su entrega real y a satisfacción del comprador o el beneficiario del servicio, porque de un lado este queda obligado a pagar el precio y de otro, si no objeta oportunamente la factura, no puede aducir frente a terceros la falta de entrega, o la mala calidad o el defectuoso servicio, hecho que lo desliga de la causa y ampara al tercero adquirente del título frente a posibles vicios posteriores.”.</w:t>
      </w:r>
      <w:r w:rsidRPr="00374FF1">
        <w:rPr>
          <w:rFonts w:ascii="Gadugi" w:eastAsia="Georgia" w:hAnsi="Gadugi" w:cs="Georgia"/>
          <w:szCs w:val="24"/>
          <w:lang w:val="es-CO"/>
        </w:rPr>
        <w:t xml:space="preserve">   </w:t>
      </w:r>
    </w:p>
    <w:p w14:paraId="5186F728" w14:textId="77777777" w:rsidR="00E80914" w:rsidRPr="000A682B" w:rsidRDefault="00E80914" w:rsidP="000A682B">
      <w:pPr>
        <w:jc w:val="both"/>
        <w:rPr>
          <w:rFonts w:ascii="Gadugi" w:eastAsia="Georgia" w:hAnsi="Gadugi" w:cs="Georgia"/>
          <w:sz w:val="24"/>
          <w:szCs w:val="24"/>
          <w:lang w:val="es-CO"/>
        </w:rPr>
      </w:pPr>
    </w:p>
    <w:p w14:paraId="41C49CE3" w14:textId="7634D92D" w:rsidR="00E80914" w:rsidRPr="000A682B" w:rsidRDefault="00E80914" w:rsidP="000A682B">
      <w:pPr>
        <w:jc w:val="both"/>
        <w:rPr>
          <w:rFonts w:ascii="Gadugi" w:eastAsia="Georgia" w:hAnsi="Gadugi" w:cs="Georgia"/>
          <w:sz w:val="24"/>
          <w:szCs w:val="24"/>
          <w:lang w:val="es-CO"/>
        </w:rPr>
      </w:pPr>
      <w:r w:rsidRPr="000A682B">
        <w:rPr>
          <w:rFonts w:ascii="Gadugi" w:eastAsia="Georgia" w:hAnsi="Gadugi" w:cs="Georgia"/>
          <w:sz w:val="24"/>
          <w:szCs w:val="24"/>
          <w:lang w:val="es-CO"/>
        </w:rPr>
        <w:t xml:space="preserve">Está información es inherente al título-valor que se pretende ejecutar, de allí la </w:t>
      </w:r>
      <w:r w:rsidR="00EB52FD" w:rsidRPr="000A682B">
        <w:rPr>
          <w:rFonts w:ascii="Gadugi" w:eastAsia="Georgia" w:hAnsi="Gadugi" w:cs="Georgia"/>
          <w:sz w:val="24"/>
          <w:szCs w:val="24"/>
          <w:lang w:val="es-CO"/>
        </w:rPr>
        <w:t xml:space="preserve">exigencia de que </w:t>
      </w:r>
      <w:r w:rsidRPr="000A682B">
        <w:rPr>
          <w:rFonts w:ascii="Gadugi" w:eastAsia="Georgia" w:hAnsi="Gadugi" w:cs="Georgia"/>
          <w:sz w:val="24"/>
          <w:szCs w:val="24"/>
          <w:lang w:val="es-CO"/>
        </w:rPr>
        <w:t>deba ser claro y expreso</w:t>
      </w:r>
      <w:r w:rsidR="00EB52FD" w:rsidRPr="000A682B">
        <w:rPr>
          <w:rFonts w:ascii="Gadugi" w:eastAsia="Georgia" w:hAnsi="Gadugi" w:cs="Georgia"/>
          <w:sz w:val="24"/>
          <w:szCs w:val="24"/>
          <w:lang w:val="es-CO"/>
        </w:rPr>
        <w:t>; es</w:t>
      </w:r>
      <w:r w:rsidRPr="000A682B">
        <w:rPr>
          <w:rFonts w:ascii="Gadugi" w:eastAsia="Georgia" w:hAnsi="Gadugi" w:cs="Georgia"/>
          <w:sz w:val="24"/>
          <w:szCs w:val="24"/>
          <w:lang w:val="es-CO"/>
        </w:rPr>
        <w:t xml:space="preserve"> decir, el documento debe revelar por sí solo la obligación, sin que </w:t>
      </w:r>
      <w:r w:rsidR="00EB52FD" w:rsidRPr="000A682B">
        <w:rPr>
          <w:rFonts w:ascii="Gadugi" w:eastAsia="Georgia" w:hAnsi="Gadugi" w:cs="Georgia"/>
          <w:sz w:val="24"/>
          <w:szCs w:val="24"/>
          <w:lang w:val="es-CO"/>
        </w:rPr>
        <w:t xml:space="preserve">tenga que ser </w:t>
      </w:r>
      <w:r w:rsidRPr="000A682B">
        <w:rPr>
          <w:rFonts w:ascii="Gadugi" w:eastAsia="Georgia" w:hAnsi="Gadugi" w:cs="Georgia"/>
          <w:sz w:val="24"/>
          <w:szCs w:val="24"/>
          <w:lang w:val="es-CO"/>
        </w:rPr>
        <w:t xml:space="preserve">interpretado o complementado con los dichos de la demanda o manifestaciones extra o </w:t>
      </w:r>
      <w:proofErr w:type="spellStart"/>
      <w:r w:rsidRPr="000A682B">
        <w:rPr>
          <w:rFonts w:ascii="Gadugi" w:eastAsia="Georgia" w:hAnsi="Gadugi" w:cs="Georgia"/>
          <w:sz w:val="24"/>
          <w:szCs w:val="24"/>
          <w:lang w:val="es-CO"/>
        </w:rPr>
        <w:t>intraprocesales</w:t>
      </w:r>
      <w:proofErr w:type="spellEnd"/>
      <w:r w:rsidR="00EB52FD" w:rsidRPr="000A682B">
        <w:rPr>
          <w:rFonts w:ascii="Gadugi" w:eastAsia="Georgia" w:hAnsi="Gadugi" w:cs="Georgia"/>
          <w:sz w:val="24"/>
          <w:szCs w:val="24"/>
          <w:lang w:val="es-CO"/>
        </w:rPr>
        <w:t xml:space="preserve">. </w:t>
      </w:r>
    </w:p>
    <w:p w14:paraId="2EC39266" w14:textId="718824ED" w:rsidR="00E80914" w:rsidRPr="000A682B" w:rsidRDefault="00E80914" w:rsidP="000A682B">
      <w:pPr>
        <w:jc w:val="both"/>
        <w:rPr>
          <w:rFonts w:ascii="Gadugi" w:eastAsia="Georgia" w:hAnsi="Gadugi" w:cs="Georgia"/>
          <w:sz w:val="24"/>
          <w:szCs w:val="24"/>
          <w:lang w:val="es-CO"/>
        </w:rPr>
      </w:pPr>
    </w:p>
    <w:p w14:paraId="0EFD9AB3" w14:textId="3D9B77ED" w:rsidR="00F40F7A" w:rsidRPr="000A682B" w:rsidRDefault="00F40F7A" w:rsidP="000A682B">
      <w:pPr>
        <w:pStyle w:val="Prrafodelista"/>
        <w:numPr>
          <w:ilvl w:val="1"/>
          <w:numId w:val="4"/>
        </w:numPr>
        <w:tabs>
          <w:tab w:val="left" w:pos="567"/>
        </w:tabs>
        <w:ind w:left="0" w:firstLine="0"/>
        <w:jc w:val="both"/>
        <w:rPr>
          <w:rFonts w:ascii="Gadugi" w:eastAsia="Georgia" w:hAnsi="Gadugi" w:cs="Georgia"/>
          <w:sz w:val="24"/>
          <w:szCs w:val="24"/>
          <w:lang w:val="es-CO"/>
        </w:rPr>
      </w:pPr>
      <w:r w:rsidRPr="000A682B">
        <w:rPr>
          <w:rFonts w:ascii="Gadugi" w:eastAsia="Georgia" w:hAnsi="Gadugi" w:cs="Georgia"/>
          <w:sz w:val="24"/>
          <w:szCs w:val="24"/>
          <w:lang w:val="es-CO"/>
        </w:rPr>
        <w:t xml:space="preserve">Como viene de verse, ninguno de los reparos de la parte demandante tiene visos de prosperidad. Sin embargo, para abundar en la confirmación del fallo, advierte la Sala que parte de su motivación se mantiene incólume, en cuanto no fue protestada. </w:t>
      </w:r>
    </w:p>
    <w:p w14:paraId="10548C47" w14:textId="058CC54C" w:rsidR="00F40F7A" w:rsidRPr="000A682B" w:rsidRDefault="00F40F7A" w:rsidP="000A682B">
      <w:pPr>
        <w:jc w:val="both"/>
        <w:rPr>
          <w:rFonts w:ascii="Gadugi" w:eastAsia="Georgia" w:hAnsi="Gadugi" w:cs="Georgia"/>
          <w:sz w:val="24"/>
          <w:szCs w:val="24"/>
          <w:lang w:val="es-CO"/>
        </w:rPr>
      </w:pPr>
    </w:p>
    <w:p w14:paraId="014375BE" w14:textId="54436016" w:rsidR="00F40F7A" w:rsidRPr="000A682B" w:rsidRDefault="00F40F7A" w:rsidP="000A682B">
      <w:pPr>
        <w:jc w:val="both"/>
        <w:rPr>
          <w:rFonts w:ascii="Gadugi" w:eastAsia="Georgia" w:hAnsi="Gadugi" w:cs="Georgia"/>
          <w:sz w:val="24"/>
          <w:szCs w:val="24"/>
        </w:rPr>
      </w:pPr>
      <w:r w:rsidRPr="000A682B">
        <w:rPr>
          <w:rFonts w:ascii="Gadugi" w:eastAsia="Georgia" w:hAnsi="Gadugi" w:cs="Georgia"/>
          <w:sz w:val="24"/>
          <w:szCs w:val="24"/>
          <w:lang w:val="es-CO"/>
        </w:rPr>
        <w:t xml:space="preserve">En efecto, se recuerda que también fueron razones para abstenerse de continuar la ejecución, que: (i) </w:t>
      </w:r>
      <w:r w:rsidRPr="000A682B">
        <w:rPr>
          <w:rFonts w:ascii="Gadugi" w:eastAsia="Georgia" w:hAnsi="Gadugi" w:cs="Georgia"/>
          <w:sz w:val="24"/>
          <w:szCs w:val="24"/>
        </w:rPr>
        <w:t xml:space="preserve">el pago se estipuló de acuerdo con el avance de obra, además de adjuntar los comprobantes de pago de obligaciones laborales y de seguridad social y FIC y las actas de las obras, sin que exista constancia de que se aportaron con la factura; </w:t>
      </w:r>
      <w:r w:rsidRPr="000A682B">
        <w:rPr>
          <w:rFonts w:ascii="Gadugi" w:eastAsia="Georgia" w:hAnsi="Gadugi" w:cs="Georgia"/>
          <w:i/>
          <w:iCs/>
          <w:sz w:val="24"/>
          <w:szCs w:val="24"/>
        </w:rPr>
        <w:t xml:space="preserve"> </w:t>
      </w:r>
      <w:r w:rsidRPr="000A682B">
        <w:rPr>
          <w:rFonts w:ascii="Gadugi" w:eastAsia="Georgia" w:hAnsi="Gadugi" w:cs="Georgia"/>
          <w:iCs/>
          <w:sz w:val="24"/>
          <w:szCs w:val="24"/>
        </w:rPr>
        <w:t xml:space="preserve">(ii) </w:t>
      </w:r>
      <w:r w:rsidRPr="000A682B">
        <w:rPr>
          <w:rFonts w:ascii="Gadugi" w:eastAsia="Georgia" w:hAnsi="Gadugi" w:cs="Georgia"/>
          <w:sz w:val="24"/>
          <w:szCs w:val="24"/>
        </w:rPr>
        <w:t xml:space="preserve">no se indicó si el vendedor es agente retenedor del impuesto sobre las ventas, como exige el estatuto tributario; (iii) tampoco se expidió en original y dos copias, como ordena el artículo 1 de la ley 1231 de 2008. </w:t>
      </w:r>
    </w:p>
    <w:p w14:paraId="37CA1D36" w14:textId="5FCF65B3" w:rsidR="00F40F7A" w:rsidRPr="000A682B" w:rsidRDefault="00F40F7A" w:rsidP="000A682B">
      <w:pPr>
        <w:jc w:val="both"/>
        <w:rPr>
          <w:rFonts w:ascii="Gadugi" w:eastAsia="Georgia" w:hAnsi="Gadugi" w:cs="Georgia"/>
          <w:sz w:val="24"/>
          <w:szCs w:val="24"/>
        </w:rPr>
      </w:pPr>
    </w:p>
    <w:p w14:paraId="3462C6AD" w14:textId="0FD7D678" w:rsidR="00F40F7A" w:rsidRPr="000A682B" w:rsidRDefault="00F40F7A" w:rsidP="000A682B">
      <w:pPr>
        <w:jc w:val="both"/>
        <w:rPr>
          <w:rFonts w:ascii="Gadugi" w:eastAsia="Georgia" w:hAnsi="Gadugi" w:cs="Georgia"/>
          <w:sz w:val="24"/>
          <w:szCs w:val="24"/>
        </w:rPr>
      </w:pPr>
      <w:r w:rsidRPr="000A682B">
        <w:rPr>
          <w:rFonts w:ascii="Gadugi" w:eastAsia="Georgia" w:hAnsi="Gadugi" w:cs="Georgia"/>
          <w:sz w:val="24"/>
          <w:szCs w:val="24"/>
        </w:rPr>
        <w:lastRenderedPageBreak/>
        <w:t xml:space="preserve">Aunque sobre el primero y el tercero de estos puntos algo se dijo con antelación, lo cierto es que en la impugnación ninguna protesta se levantó frente a estos argumentos de la sentencia, con lo que causaron firmeza, lo cual, por sí solo, hubiera sido suficiente para prohijarla, dado lo restringido de la competencia del superior, según quedó consignado. </w:t>
      </w:r>
    </w:p>
    <w:p w14:paraId="7D1E067E" w14:textId="77777777" w:rsidR="00F40F7A" w:rsidRPr="000A682B" w:rsidRDefault="00F40F7A" w:rsidP="000A682B">
      <w:pPr>
        <w:jc w:val="both"/>
        <w:rPr>
          <w:rFonts w:ascii="Gadugi" w:eastAsia="Georgia" w:hAnsi="Gadugi" w:cs="Georgia"/>
          <w:sz w:val="24"/>
          <w:szCs w:val="24"/>
        </w:rPr>
      </w:pPr>
    </w:p>
    <w:p w14:paraId="168F7531" w14:textId="77777777" w:rsidR="005127A2" w:rsidRPr="000A682B" w:rsidRDefault="00F40F7A" w:rsidP="000A682B">
      <w:pPr>
        <w:pStyle w:val="Prrafodelista"/>
        <w:numPr>
          <w:ilvl w:val="1"/>
          <w:numId w:val="4"/>
        </w:numPr>
        <w:ind w:left="0" w:firstLine="0"/>
        <w:jc w:val="both"/>
        <w:rPr>
          <w:rFonts w:ascii="Gadugi" w:eastAsia="Georgia" w:hAnsi="Gadugi" w:cs="Georgia"/>
          <w:sz w:val="24"/>
          <w:szCs w:val="24"/>
          <w:lang w:val="es-CO"/>
        </w:rPr>
      </w:pPr>
      <w:r w:rsidRPr="000A682B">
        <w:rPr>
          <w:rFonts w:ascii="Gadugi" w:eastAsia="Georgia" w:hAnsi="Gadugi" w:cs="Georgia"/>
          <w:sz w:val="24"/>
          <w:szCs w:val="24"/>
        </w:rPr>
        <w:t xml:space="preserve">Viene, como consecuencia de lo dicho, </w:t>
      </w:r>
      <w:r w:rsidR="005127A2" w:rsidRPr="000A682B">
        <w:rPr>
          <w:rFonts w:ascii="Gadugi" w:eastAsia="Georgia" w:hAnsi="Gadugi" w:cs="Georgia"/>
          <w:sz w:val="24"/>
          <w:szCs w:val="24"/>
        </w:rPr>
        <w:t xml:space="preserve">la confirmación del fallo. </w:t>
      </w:r>
    </w:p>
    <w:p w14:paraId="55E2D304" w14:textId="79C624EE" w:rsidR="005127A2" w:rsidRPr="000A682B" w:rsidRDefault="005127A2" w:rsidP="000A682B">
      <w:pPr>
        <w:pStyle w:val="Prrafodelista"/>
        <w:ind w:left="0"/>
        <w:jc w:val="both"/>
        <w:rPr>
          <w:rFonts w:ascii="Gadugi" w:eastAsia="Georgia" w:hAnsi="Gadugi" w:cs="Georgia"/>
          <w:sz w:val="24"/>
          <w:szCs w:val="24"/>
          <w:lang w:val="es-CO"/>
        </w:rPr>
      </w:pPr>
    </w:p>
    <w:p w14:paraId="430A0309" w14:textId="77777777" w:rsidR="00E80914" w:rsidRPr="000A682B" w:rsidRDefault="00E80914" w:rsidP="000A682B">
      <w:pPr>
        <w:jc w:val="both"/>
        <w:rPr>
          <w:rFonts w:ascii="Gadugi" w:eastAsia="Georgia" w:hAnsi="Gadugi" w:cs="Georgia"/>
          <w:sz w:val="24"/>
          <w:szCs w:val="24"/>
          <w:lang w:val="es-CO"/>
        </w:rPr>
      </w:pPr>
      <w:r w:rsidRPr="000A682B">
        <w:rPr>
          <w:rFonts w:ascii="Gadugi" w:eastAsia="Georgia" w:hAnsi="Gadugi" w:cs="Georgia"/>
          <w:sz w:val="24"/>
          <w:szCs w:val="24"/>
          <w:lang w:val="es-CO"/>
        </w:rPr>
        <w:t xml:space="preserve">En esta sede, se condenará en costas a la recurrente y a favor de la demandada, por mandato del artículo 365-1 del CGP. Ellas se liquidarán en el juzgado de primera instancia, siguiendo las pautas del artículo 366 </w:t>
      </w:r>
      <w:proofErr w:type="spellStart"/>
      <w:r w:rsidRPr="000A682B">
        <w:rPr>
          <w:rFonts w:ascii="Gadugi" w:eastAsia="Georgia" w:hAnsi="Gadugi" w:cs="Georgia"/>
          <w:sz w:val="24"/>
          <w:szCs w:val="24"/>
          <w:lang w:val="es-CO"/>
        </w:rPr>
        <w:t>ibidem</w:t>
      </w:r>
      <w:proofErr w:type="spellEnd"/>
      <w:r w:rsidRPr="000A682B">
        <w:rPr>
          <w:rFonts w:ascii="Gadugi" w:eastAsia="Georgia" w:hAnsi="Gadugi" w:cs="Georgia"/>
          <w:sz w:val="24"/>
          <w:szCs w:val="24"/>
          <w:lang w:val="es-CO"/>
        </w:rPr>
        <w:t>. Para tal fin, en auto separado, se fijarán las agencias en derecho.</w:t>
      </w:r>
    </w:p>
    <w:p w14:paraId="7223417D" w14:textId="77777777" w:rsidR="00E80914" w:rsidRPr="000A682B" w:rsidRDefault="00E80914" w:rsidP="000A682B">
      <w:pPr>
        <w:jc w:val="both"/>
        <w:rPr>
          <w:rFonts w:ascii="Gadugi" w:eastAsia="Georgia" w:hAnsi="Gadugi" w:cs="Georgia"/>
          <w:sz w:val="24"/>
          <w:szCs w:val="24"/>
          <w:lang w:val="es-CO"/>
        </w:rPr>
      </w:pPr>
    </w:p>
    <w:p w14:paraId="4D9454B7" w14:textId="49637CD8" w:rsidR="00E80914" w:rsidRPr="000A682B" w:rsidRDefault="00E80914" w:rsidP="000A682B">
      <w:pPr>
        <w:pStyle w:val="Prrafodelista"/>
        <w:numPr>
          <w:ilvl w:val="0"/>
          <w:numId w:val="4"/>
        </w:numPr>
        <w:jc w:val="both"/>
        <w:rPr>
          <w:rFonts w:ascii="Gadugi" w:eastAsia="Georgia" w:hAnsi="Gadugi" w:cs="Georgia"/>
          <w:b/>
          <w:sz w:val="24"/>
          <w:szCs w:val="24"/>
          <w:lang w:val="es-CO"/>
        </w:rPr>
      </w:pPr>
      <w:r w:rsidRPr="000A682B">
        <w:rPr>
          <w:rFonts w:ascii="Gadugi" w:eastAsia="Georgia" w:hAnsi="Gadugi" w:cs="Georgia"/>
          <w:b/>
          <w:sz w:val="24"/>
          <w:szCs w:val="24"/>
          <w:lang w:val="es-CO"/>
        </w:rPr>
        <w:t xml:space="preserve">DECISIÓN. </w:t>
      </w:r>
    </w:p>
    <w:p w14:paraId="4E82D782" w14:textId="77777777" w:rsidR="00E80914" w:rsidRPr="000A682B" w:rsidRDefault="00E80914" w:rsidP="000A682B">
      <w:pPr>
        <w:jc w:val="both"/>
        <w:rPr>
          <w:rFonts w:ascii="Gadugi" w:eastAsia="Georgia" w:hAnsi="Gadugi" w:cs="Georgia"/>
          <w:sz w:val="24"/>
          <w:szCs w:val="24"/>
          <w:lang w:val="es-CO"/>
        </w:rPr>
      </w:pPr>
    </w:p>
    <w:p w14:paraId="0C9266B4" w14:textId="46A5DA26" w:rsidR="00E80914" w:rsidRPr="000A682B" w:rsidRDefault="00E80914" w:rsidP="000A682B">
      <w:pPr>
        <w:jc w:val="both"/>
        <w:rPr>
          <w:rFonts w:ascii="Gadugi" w:eastAsia="Georgia" w:hAnsi="Gadugi" w:cs="Georgia"/>
          <w:b/>
          <w:sz w:val="24"/>
          <w:szCs w:val="24"/>
        </w:rPr>
      </w:pPr>
      <w:r w:rsidRPr="000A682B">
        <w:rPr>
          <w:rFonts w:ascii="Gadugi" w:eastAsia="Georgia" w:hAnsi="Gadugi" w:cs="Georgia"/>
          <w:sz w:val="24"/>
          <w:szCs w:val="24"/>
          <w:lang w:val="es-CO"/>
        </w:rPr>
        <w:t xml:space="preserve">En armonía con lo dicho, esta Sala de Decisión Civil-Familia del Tribunal Superior de Pereira, administrando justicia en nombre de la República y por autoridad de la Ley, </w:t>
      </w:r>
      <w:r w:rsidRPr="000A682B">
        <w:rPr>
          <w:rFonts w:ascii="Gadugi" w:eastAsia="Georgia" w:hAnsi="Gadugi" w:cs="Georgia"/>
          <w:b/>
          <w:sz w:val="24"/>
          <w:szCs w:val="24"/>
          <w:lang w:val="es-CO"/>
        </w:rPr>
        <w:t xml:space="preserve">CONFIRMA </w:t>
      </w:r>
      <w:r w:rsidRPr="000A682B">
        <w:rPr>
          <w:rFonts w:ascii="Gadugi" w:eastAsia="Georgia" w:hAnsi="Gadugi" w:cs="Georgia"/>
          <w:sz w:val="24"/>
          <w:szCs w:val="24"/>
          <w:lang w:val="es-CO"/>
        </w:rPr>
        <w:t xml:space="preserve">la sentencia proferida </w:t>
      </w:r>
      <w:r w:rsidRPr="000A682B">
        <w:rPr>
          <w:rFonts w:ascii="Gadugi" w:eastAsia="Georgia" w:hAnsi="Gadugi" w:cs="Georgia"/>
          <w:sz w:val="24"/>
          <w:szCs w:val="24"/>
        </w:rPr>
        <w:t xml:space="preserve">el 8 de marzo de 2022 por el Juzgado Primero Civil del Circuito de Pereira - Risaralda, al interior del presente proceso Ejecutivo Singular adelantado por </w:t>
      </w:r>
      <w:r w:rsidR="005127A2" w:rsidRPr="000A682B">
        <w:rPr>
          <w:rFonts w:ascii="Gadugi" w:eastAsia="Georgia" w:hAnsi="Gadugi" w:cs="Georgia"/>
          <w:b/>
          <w:sz w:val="24"/>
          <w:szCs w:val="24"/>
          <w:highlight w:val="white"/>
        </w:rPr>
        <w:t xml:space="preserve">Home </w:t>
      </w:r>
      <w:proofErr w:type="spellStart"/>
      <w:r w:rsidR="005127A2" w:rsidRPr="000A682B">
        <w:rPr>
          <w:rFonts w:ascii="Gadugi" w:eastAsia="Georgia" w:hAnsi="Gadugi" w:cs="Georgia"/>
          <w:b/>
          <w:sz w:val="24"/>
          <w:szCs w:val="24"/>
          <w:highlight w:val="white"/>
        </w:rPr>
        <w:t>Builders</w:t>
      </w:r>
      <w:proofErr w:type="spellEnd"/>
      <w:r w:rsidR="005127A2" w:rsidRPr="000A682B">
        <w:rPr>
          <w:rFonts w:ascii="Gadugi" w:eastAsia="Georgia" w:hAnsi="Gadugi" w:cs="Georgia"/>
          <w:b/>
          <w:sz w:val="24"/>
          <w:szCs w:val="24"/>
          <w:highlight w:val="white"/>
        </w:rPr>
        <w:t xml:space="preserve"> </w:t>
      </w:r>
      <w:r w:rsidRPr="000A682B">
        <w:rPr>
          <w:rFonts w:ascii="Gadugi" w:eastAsia="Georgia" w:hAnsi="Gadugi" w:cs="Georgia"/>
          <w:b/>
          <w:sz w:val="24"/>
          <w:szCs w:val="24"/>
          <w:highlight w:val="white"/>
        </w:rPr>
        <w:t>SAS</w:t>
      </w:r>
      <w:r w:rsidRPr="000A682B">
        <w:rPr>
          <w:rFonts w:ascii="Gadugi" w:eastAsia="Georgia" w:hAnsi="Gadugi" w:cs="Georgia"/>
          <w:sz w:val="24"/>
          <w:szCs w:val="24"/>
        </w:rPr>
        <w:t>,</w:t>
      </w:r>
      <w:r w:rsidRPr="000A682B">
        <w:rPr>
          <w:rFonts w:ascii="Gadugi" w:eastAsia="Georgia" w:hAnsi="Gadugi" w:cs="Georgia"/>
          <w:b/>
          <w:sz w:val="24"/>
          <w:szCs w:val="24"/>
        </w:rPr>
        <w:t xml:space="preserve"> </w:t>
      </w:r>
      <w:r w:rsidRPr="000A682B">
        <w:rPr>
          <w:rFonts w:ascii="Gadugi" w:eastAsia="Georgia" w:hAnsi="Gadugi" w:cs="Georgia"/>
          <w:sz w:val="24"/>
          <w:szCs w:val="24"/>
        </w:rPr>
        <w:t xml:space="preserve">en contra de la </w:t>
      </w:r>
      <w:r w:rsidRPr="000A682B">
        <w:rPr>
          <w:rFonts w:ascii="Gadugi" w:eastAsia="Georgia" w:hAnsi="Gadugi" w:cs="Georgia"/>
          <w:b/>
          <w:sz w:val="24"/>
          <w:szCs w:val="24"/>
        </w:rPr>
        <w:t xml:space="preserve">Fundación </w:t>
      </w:r>
      <w:r w:rsidR="005127A2" w:rsidRPr="000A682B">
        <w:rPr>
          <w:rFonts w:ascii="Gadugi" w:eastAsia="Georgia" w:hAnsi="Gadugi" w:cs="Georgia"/>
          <w:b/>
          <w:sz w:val="24"/>
          <w:szCs w:val="24"/>
        </w:rPr>
        <w:t>La Merced</w:t>
      </w:r>
      <w:r w:rsidRPr="000A682B">
        <w:rPr>
          <w:rFonts w:ascii="Gadugi" w:eastAsia="Georgia" w:hAnsi="Gadugi" w:cs="Georgia"/>
          <w:b/>
          <w:sz w:val="24"/>
          <w:szCs w:val="24"/>
        </w:rPr>
        <w:t xml:space="preserve">. </w:t>
      </w:r>
    </w:p>
    <w:p w14:paraId="677ABE03" w14:textId="77777777" w:rsidR="00E80914" w:rsidRPr="000A682B" w:rsidRDefault="00E80914" w:rsidP="000A682B">
      <w:pPr>
        <w:jc w:val="both"/>
        <w:rPr>
          <w:rFonts w:ascii="Gadugi" w:eastAsia="Georgia" w:hAnsi="Gadugi" w:cs="Georgia"/>
          <w:sz w:val="24"/>
          <w:szCs w:val="24"/>
          <w:lang w:val="es-CO"/>
        </w:rPr>
      </w:pPr>
    </w:p>
    <w:p w14:paraId="6AD862E3" w14:textId="39FB7741" w:rsidR="00E80914" w:rsidRPr="000A682B" w:rsidRDefault="00E80914" w:rsidP="000A682B">
      <w:pPr>
        <w:jc w:val="both"/>
        <w:rPr>
          <w:rFonts w:ascii="Gadugi" w:eastAsia="Georgia" w:hAnsi="Gadugi" w:cs="Georgia"/>
          <w:sz w:val="24"/>
          <w:szCs w:val="24"/>
          <w:lang w:val="es-CO"/>
        </w:rPr>
      </w:pPr>
      <w:r w:rsidRPr="000A682B">
        <w:rPr>
          <w:rFonts w:ascii="Gadugi" w:eastAsia="Georgia" w:hAnsi="Gadugi" w:cs="Georgia"/>
          <w:sz w:val="24"/>
          <w:szCs w:val="24"/>
          <w:lang w:val="es-CO"/>
        </w:rPr>
        <w:t xml:space="preserve">Costas </w:t>
      </w:r>
      <w:r w:rsidR="005127A2" w:rsidRPr="000A682B">
        <w:rPr>
          <w:rFonts w:ascii="Gadugi" w:eastAsia="Georgia" w:hAnsi="Gadugi" w:cs="Georgia"/>
          <w:sz w:val="24"/>
          <w:szCs w:val="24"/>
          <w:lang w:val="es-CO"/>
        </w:rPr>
        <w:t>e</w:t>
      </w:r>
      <w:r w:rsidRPr="000A682B">
        <w:rPr>
          <w:rFonts w:ascii="Gadugi" w:eastAsia="Georgia" w:hAnsi="Gadugi" w:cs="Georgia"/>
          <w:sz w:val="24"/>
          <w:szCs w:val="24"/>
          <w:lang w:val="es-CO"/>
        </w:rPr>
        <w:t>n esta sede a cargo de la recurrente y a favor de</w:t>
      </w:r>
      <w:r w:rsidR="005127A2" w:rsidRPr="000A682B">
        <w:rPr>
          <w:rFonts w:ascii="Gadugi" w:eastAsia="Georgia" w:hAnsi="Gadugi" w:cs="Georgia"/>
          <w:sz w:val="24"/>
          <w:szCs w:val="24"/>
          <w:lang w:val="es-CO"/>
        </w:rPr>
        <w:t xml:space="preserve"> la demandada</w:t>
      </w:r>
      <w:r w:rsidRPr="000A682B">
        <w:rPr>
          <w:rFonts w:ascii="Gadugi" w:eastAsia="Georgia" w:hAnsi="Gadugi" w:cs="Georgia"/>
          <w:sz w:val="24"/>
          <w:szCs w:val="24"/>
          <w:lang w:val="es-CO"/>
        </w:rPr>
        <w:t xml:space="preserve">. </w:t>
      </w:r>
    </w:p>
    <w:p w14:paraId="05FF0F98" w14:textId="77777777" w:rsidR="00374FF1" w:rsidRPr="00E37B99" w:rsidRDefault="00374FF1" w:rsidP="00374FF1">
      <w:pPr>
        <w:jc w:val="both"/>
        <w:rPr>
          <w:rFonts w:ascii="Gadugi" w:eastAsia="Georgia" w:hAnsi="Gadugi" w:cs="Georgia"/>
          <w:bCs/>
          <w:sz w:val="24"/>
          <w:szCs w:val="24"/>
          <w:lang w:val="es-CO"/>
        </w:rPr>
      </w:pPr>
    </w:p>
    <w:p w14:paraId="2505F1BE" w14:textId="77777777" w:rsidR="00374FF1" w:rsidRPr="00E37B99" w:rsidRDefault="00374FF1" w:rsidP="00374FF1">
      <w:pPr>
        <w:jc w:val="both"/>
        <w:rPr>
          <w:rFonts w:ascii="Gadugi" w:eastAsia="Georgia" w:hAnsi="Gadugi" w:cs="Georgia"/>
          <w:bCs/>
          <w:sz w:val="24"/>
          <w:szCs w:val="24"/>
          <w:lang w:val="es-CO"/>
        </w:rPr>
      </w:pPr>
      <w:r w:rsidRPr="00E37B99">
        <w:rPr>
          <w:rFonts w:ascii="Gadugi" w:eastAsia="Georgia" w:hAnsi="Gadugi" w:cs="Georgia"/>
          <w:bCs/>
          <w:sz w:val="24"/>
          <w:szCs w:val="24"/>
          <w:lang w:val="es-CO"/>
        </w:rPr>
        <w:t>Notifíquese,</w:t>
      </w:r>
    </w:p>
    <w:p w14:paraId="7017D05A" w14:textId="77777777" w:rsidR="00374FF1" w:rsidRPr="00B61717" w:rsidRDefault="00374FF1" w:rsidP="00374FF1">
      <w:pPr>
        <w:tabs>
          <w:tab w:val="left" w:pos="1701"/>
          <w:tab w:val="left" w:pos="2127"/>
          <w:tab w:val="left" w:pos="2977"/>
        </w:tabs>
        <w:jc w:val="both"/>
        <w:rPr>
          <w:rFonts w:ascii="Gadugi" w:eastAsia="Malgun Gothic" w:hAnsi="Gadugi" w:cs="Estrangelo Edessa"/>
          <w:sz w:val="24"/>
          <w:szCs w:val="24"/>
          <w:lang w:val="es-CO" w:eastAsia="en-US"/>
        </w:rPr>
      </w:pPr>
    </w:p>
    <w:p w14:paraId="5CA0EDBA" w14:textId="77777777" w:rsidR="00374FF1" w:rsidRPr="00B61717" w:rsidRDefault="00374FF1" w:rsidP="00374FF1">
      <w:pPr>
        <w:tabs>
          <w:tab w:val="left" w:pos="1701"/>
          <w:tab w:val="left" w:pos="2127"/>
          <w:tab w:val="left" w:pos="2977"/>
        </w:tabs>
        <w:jc w:val="both"/>
        <w:rPr>
          <w:rFonts w:ascii="Gadugi" w:eastAsia="Malgun Gothic" w:hAnsi="Gadugi" w:cs="Estrangelo Edessa"/>
          <w:sz w:val="24"/>
          <w:szCs w:val="24"/>
          <w:lang w:val="es-CO" w:eastAsia="en-US"/>
        </w:rPr>
      </w:pPr>
      <w:r w:rsidRPr="00B61717">
        <w:rPr>
          <w:rFonts w:ascii="Gadugi" w:eastAsia="Malgun Gothic" w:hAnsi="Gadugi" w:cs="Estrangelo Edessa"/>
          <w:sz w:val="24"/>
          <w:szCs w:val="24"/>
          <w:lang w:val="es-CO" w:eastAsia="en-US"/>
        </w:rPr>
        <w:tab/>
        <w:t xml:space="preserve">Los Magistrados, </w:t>
      </w:r>
    </w:p>
    <w:p w14:paraId="24CCDB1A" w14:textId="77777777" w:rsidR="00374FF1" w:rsidRPr="00B61717" w:rsidRDefault="00374FF1" w:rsidP="00374FF1">
      <w:pPr>
        <w:tabs>
          <w:tab w:val="left" w:pos="1701"/>
          <w:tab w:val="left" w:pos="2127"/>
          <w:tab w:val="left" w:pos="2977"/>
        </w:tabs>
        <w:jc w:val="both"/>
        <w:rPr>
          <w:rFonts w:ascii="Gadugi" w:eastAsia="Malgun Gothic" w:hAnsi="Gadugi" w:cs="Estrangelo Edessa"/>
          <w:sz w:val="24"/>
          <w:szCs w:val="24"/>
          <w:lang w:val="es-CO" w:eastAsia="en-US"/>
        </w:rPr>
      </w:pPr>
    </w:p>
    <w:p w14:paraId="61FE48D0" w14:textId="77777777" w:rsidR="00374FF1" w:rsidRPr="00B61717" w:rsidRDefault="00374FF1" w:rsidP="00374FF1">
      <w:pPr>
        <w:tabs>
          <w:tab w:val="left" w:pos="1701"/>
          <w:tab w:val="left" w:pos="2127"/>
          <w:tab w:val="left" w:pos="2977"/>
        </w:tabs>
        <w:jc w:val="both"/>
        <w:rPr>
          <w:rFonts w:ascii="Gadugi" w:eastAsia="Malgun Gothic" w:hAnsi="Gadugi" w:cs="Estrangelo Edessa"/>
          <w:b/>
          <w:sz w:val="24"/>
          <w:szCs w:val="24"/>
          <w:lang w:val="es-CO" w:eastAsia="en-US"/>
        </w:rPr>
      </w:pPr>
    </w:p>
    <w:p w14:paraId="733C41A1" w14:textId="77777777" w:rsidR="00374FF1" w:rsidRPr="00B61717" w:rsidRDefault="00374FF1" w:rsidP="00374FF1">
      <w:pPr>
        <w:ind w:left="993" w:firstLine="708"/>
        <w:jc w:val="both"/>
        <w:rPr>
          <w:rFonts w:ascii="Gadugi" w:eastAsia="Malgun Gothic" w:hAnsi="Gadugi" w:cs="Estrangelo Edessa"/>
          <w:b/>
          <w:bCs/>
          <w:sz w:val="24"/>
          <w:szCs w:val="24"/>
          <w:lang w:val="es-CO" w:eastAsia="en-US"/>
        </w:rPr>
      </w:pPr>
      <w:r w:rsidRPr="00B61717">
        <w:rPr>
          <w:rFonts w:ascii="Gadugi" w:eastAsia="Malgun Gothic" w:hAnsi="Gadugi" w:cs="Estrangelo Edessa"/>
          <w:b/>
          <w:bCs/>
          <w:sz w:val="24"/>
          <w:szCs w:val="24"/>
          <w:lang w:val="es-CO" w:eastAsia="en-US"/>
        </w:rPr>
        <w:t>JAIME ALBERTO SARAZA NARANJO</w:t>
      </w:r>
    </w:p>
    <w:p w14:paraId="69AEB72B" w14:textId="77777777" w:rsidR="00374FF1" w:rsidRPr="00B61717" w:rsidRDefault="00374FF1" w:rsidP="00374FF1">
      <w:pPr>
        <w:tabs>
          <w:tab w:val="left" w:pos="1701"/>
          <w:tab w:val="left" w:pos="2127"/>
          <w:tab w:val="left" w:pos="2977"/>
        </w:tabs>
        <w:ind w:firstLine="1701"/>
        <w:jc w:val="both"/>
        <w:rPr>
          <w:rFonts w:ascii="Gadugi" w:eastAsia="Malgun Gothic" w:hAnsi="Gadugi" w:cs="Estrangelo Edessa"/>
          <w:b/>
          <w:sz w:val="24"/>
          <w:szCs w:val="24"/>
          <w:lang w:val="es-CO" w:eastAsia="en-US"/>
        </w:rPr>
      </w:pPr>
    </w:p>
    <w:p w14:paraId="6EB5EC39" w14:textId="77777777" w:rsidR="00374FF1" w:rsidRPr="00B61717" w:rsidRDefault="00374FF1" w:rsidP="00374FF1">
      <w:pPr>
        <w:tabs>
          <w:tab w:val="left" w:pos="1701"/>
          <w:tab w:val="left" w:pos="2127"/>
          <w:tab w:val="left" w:pos="2977"/>
        </w:tabs>
        <w:ind w:firstLine="1701"/>
        <w:jc w:val="both"/>
        <w:rPr>
          <w:rFonts w:ascii="Gadugi" w:eastAsia="Malgun Gothic" w:hAnsi="Gadugi" w:cs="Estrangelo Edessa"/>
          <w:b/>
          <w:sz w:val="24"/>
          <w:szCs w:val="24"/>
          <w:lang w:val="es-CO" w:eastAsia="en-US"/>
        </w:rPr>
      </w:pPr>
    </w:p>
    <w:p w14:paraId="54342D5C" w14:textId="77777777" w:rsidR="00374FF1" w:rsidRPr="00B61717" w:rsidRDefault="00374FF1" w:rsidP="00374FF1">
      <w:pPr>
        <w:ind w:left="993" w:firstLine="708"/>
        <w:jc w:val="both"/>
        <w:rPr>
          <w:rFonts w:ascii="Gadugi" w:eastAsia="Malgun Gothic" w:hAnsi="Gadugi" w:cs="Estrangelo Edessa"/>
          <w:b/>
          <w:bCs/>
          <w:sz w:val="24"/>
          <w:szCs w:val="24"/>
          <w:lang w:val="es-CO" w:eastAsia="en-US"/>
        </w:rPr>
      </w:pPr>
      <w:r w:rsidRPr="00B61717">
        <w:rPr>
          <w:rFonts w:ascii="Gadugi" w:eastAsia="Malgun Gothic" w:hAnsi="Gadugi" w:cs="Estrangelo Edessa"/>
          <w:b/>
          <w:bCs/>
          <w:sz w:val="24"/>
          <w:szCs w:val="24"/>
          <w:lang w:val="es-CO" w:eastAsia="en-US"/>
        </w:rPr>
        <w:t>CARLOS MAURICIO GARCÍA BARAJAS</w:t>
      </w:r>
    </w:p>
    <w:p w14:paraId="70BCF690" w14:textId="77777777" w:rsidR="00374FF1" w:rsidRPr="00B61717" w:rsidRDefault="00374FF1" w:rsidP="00374FF1">
      <w:pPr>
        <w:tabs>
          <w:tab w:val="left" w:pos="1701"/>
          <w:tab w:val="left" w:pos="2127"/>
          <w:tab w:val="left" w:pos="2977"/>
        </w:tabs>
        <w:ind w:firstLine="1701"/>
        <w:jc w:val="both"/>
        <w:rPr>
          <w:rFonts w:ascii="Gadugi" w:eastAsia="Malgun Gothic" w:hAnsi="Gadugi" w:cs="Estrangelo Edessa"/>
          <w:b/>
          <w:sz w:val="24"/>
          <w:szCs w:val="24"/>
          <w:lang w:val="es-CO" w:eastAsia="en-US"/>
        </w:rPr>
      </w:pPr>
    </w:p>
    <w:p w14:paraId="1C4BF1D8" w14:textId="77777777" w:rsidR="00374FF1" w:rsidRPr="00B61717" w:rsidRDefault="00374FF1" w:rsidP="00374FF1">
      <w:pPr>
        <w:tabs>
          <w:tab w:val="left" w:pos="1701"/>
          <w:tab w:val="left" w:pos="2127"/>
          <w:tab w:val="left" w:pos="2977"/>
        </w:tabs>
        <w:ind w:firstLine="1701"/>
        <w:jc w:val="both"/>
        <w:rPr>
          <w:rFonts w:ascii="Gadugi" w:eastAsia="Malgun Gothic" w:hAnsi="Gadugi" w:cs="Estrangelo Edessa"/>
          <w:b/>
          <w:sz w:val="24"/>
          <w:szCs w:val="24"/>
          <w:lang w:val="es-CO" w:eastAsia="en-US"/>
        </w:rPr>
      </w:pPr>
    </w:p>
    <w:p w14:paraId="2889A4F1" w14:textId="77777777" w:rsidR="00374FF1" w:rsidRPr="00B61717" w:rsidRDefault="00374FF1" w:rsidP="00374FF1">
      <w:pPr>
        <w:ind w:left="993" w:firstLine="708"/>
        <w:jc w:val="both"/>
        <w:rPr>
          <w:rFonts w:ascii="Gadugi" w:eastAsia="Malgun Gothic" w:hAnsi="Gadugi" w:cs="Estrangelo Edessa"/>
          <w:bCs/>
          <w:sz w:val="24"/>
          <w:szCs w:val="24"/>
          <w:lang w:val="es-CO" w:eastAsia="en-US"/>
        </w:rPr>
      </w:pPr>
      <w:r w:rsidRPr="00B61717">
        <w:rPr>
          <w:rFonts w:ascii="Gadugi" w:eastAsia="Malgun Gothic" w:hAnsi="Gadugi" w:cs="Estrangelo Edessa"/>
          <w:b/>
          <w:bCs/>
          <w:sz w:val="24"/>
          <w:szCs w:val="24"/>
          <w:lang w:val="es-CO" w:eastAsia="en-US"/>
        </w:rPr>
        <w:t>DUBERNEY GRISALES HERRERA</w:t>
      </w:r>
    </w:p>
    <w:p w14:paraId="610B1DC0" w14:textId="67E7CC5B" w:rsidR="00E80914" w:rsidRPr="00374FF1" w:rsidRDefault="006C7FD0" w:rsidP="00374FF1">
      <w:pPr>
        <w:ind w:left="981" w:firstLine="720"/>
        <w:jc w:val="both"/>
        <w:rPr>
          <w:rFonts w:ascii="Gadugi" w:eastAsia="Bookman Old Style" w:hAnsi="Gadugi" w:cs="Bookman Old Style"/>
          <w:b/>
          <w:sz w:val="24"/>
          <w:szCs w:val="24"/>
        </w:rPr>
      </w:pPr>
      <w:r w:rsidRPr="000A682B">
        <w:rPr>
          <w:rFonts w:ascii="Gadugi" w:eastAsia="Georgia" w:hAnsi="Gadugi" w:cs="Georgia"/>
          <w:bCs/>
          <w:sz w:val="24"/>
          <w:szCs w:val="24"/>
          <w:lang w:val="es-CO"/>
        </w:rPr>
        <w:t>Ausente con justificación</w:t>
      </w:r>
    </w:p>
    <w:sectPr w:rsidR="00E80914" w:rsidRPr="00374FF1" w:rsidSect="008F06D8">
      <w:headerReference w:type="default" r:id="rId12"/>
      <w:footerReference w:type="default" r:id="rId13"/>
      <w:pgSz w:w="12242" w:h="18722" w:code="258"/>
      <w:pgMar w:top="1928" w:right="1361" w:bottom="1361" w:left="1928" w:header="567" w:footer="567" w:gutter="0"/>
      <w:pgNumType w:start="1"/>
      <w:cols w:space="720"/>
      <w:titlePg/>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7BAEA1" w16cex:dateUtc="2023-06-28T19:48:42.004Z"/>
  <w16cex:commentExtensible w16cex:durableId="2018CB7C" w16cex:dateUtc="2023-06-28T19:54:31.86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044F8" w14:textId="77777777" w:rsidR="002B6439" w:rsidRDefault="002B6439" w:rsidP="0094600A">
      <w:pPr>
        <w:spacing w:line="240" w:lineRule="auto"/>
      </w:pPr>
      <w:r>
        <w:separator/>
      </w:r>
    </w:p>
  </w:endnote>
  <w:endnote w:type="continuationSeparator" w:id="0">
    <w:p w14:paraId="194C311A" w14:textId="77777777" w:rsidR="002B6439" w:rsidRDefault="002B6439" w:rsidP="00946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772582"/>
      <w:docPartObj>
        <w:docPartGallery w:val="Page Numbers (Bottom of Page)"/>
        <w:docPartUnique/>
      </w:docPartObj>
    </w:sdtPr>
    <w:sdtEndPr>
      <w:rPr>
        <w:rFonts w:ascii="Arial" w:hAnsi="Arial" w:cs="Arial"/>
        <w:sz w:val="18"/>
      </w:rPr>
    </w:sdtEndPr>
    <w:sdtContent>
      <w:p w14:paraId="52FAC55A" w14:textId="2EBB5557" w:rsidR="00E1409F" w:rsidRPr="00893D87" w:rsidRDefault="00E1409F">
        <w:pPr>
          <w:pStyle w:val="Piedepgina"/>
          <w:jc w:val="right"/>
          <w:rPr>
            <w:rFonts w:ascii="Arial" w:hAnsi="Arial" w:cs="Arial"/>
            <w:sz w:val="18"/>
          </w:rPr>
        </w:pPr>
        <w:r w:rsidRPr="00893D87">
          <w:rPr>
            <w:rFonts w:ascii="Arial" w:hAnsi="Arial" w:cs="Arial"/>
            <w:sz w:val="18"/>
          </w:rPr>
          <w:fldChar w:fldCharType="begin"/>
        </w:r>
        <w:r w:rsidRPr="00893D87">
          <w:rPr>
            <w:rFonts w:ascii="Arial" w:hAnsi="Arial" w:cs="Arial"/>
            <w:sz w:val="18"/>
          </w:rPr>
          <w:instrText>PAGE   \* MERGEFORMAT</w:instrText>
        </w:r>
        <w:r w:rsidRPr="00893D87">
          <w:rPr>
            <w:rFonts w:ascii="Arial" w:hAnsi="Arial" w:cs="Arial"/>
            <w:sz w:val="18"/>
          </w:rPr>
          <w:fldChar w:fldCharType="separate"/>
        </w:r>
        <w:r w:rsidR="0002332E" w:rsidRPr="0002332E">
          <w:rPr>
            <w:rFonts w:ascii="Arial" w:hAnsi="Arial" w:cs="Arial"/>
            <w:noProof/>
            <w:sz w:val="18"/>
            <w:lang w:val="es-ES"/>
          </w:rPr>
          <w:t>15</w:t>
        </w:r>
        <w:r w:rsidRPr="00893D87">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89545" w14:textId="77777777" w:rsidR="002B6439" w:rsidRDefault="002B6439" w:rsidP="0094600A">
      <w:pPr>
        <w:spacing w:line="240" w:lineRule="auto"/>
      </w:pPr>
      <w:r>
        <w:separator/>
      </w:r>
    </w:p>
  </w:footnote>
  <w:footnote w:type="continuationSeparator" w:id="0">
    <w:p w14:paraId="697D4EA6" w14:textId="77777777" w:rsidR="002B6439" w:rsidRDefault="002B6439" w:rsidP="0094600A">
      <w:pPr>
        <w:spacing w:line="240" w:lineRule="auto"/>
      </w:pPr>
      <w:r>
        <w:continuationSeparator/>
      </w:r>
    </w:p>
  </w:footnote>
  <w:footnote w:id="1">
    <w:p w14:paraId="4C6D86D7" w14:textId="77777777" w:rsidR="00E1409F" w:rsidRPr="000A682B" w:rsidRDefault="00E1409F" w:rsidP="000A682B">
      <w:pPr>
        <w:pBdr>
          <w:top w:val="nil"/>
          <w:left w:val="nil"/>
          <w:bottom w:val="nil"/>
          <w:right w:val="nil"/>
          <w:between w:val="nil"/>
        </w:pBdr>
        <w:spacing w:line="240" w:lineRule="auto"/>
        <w:jc w:val="both"/>
        <w:rPr>
          <w:rFonts w:eastAsia="Georgia"/>
          <w:color w:val="000000"/>
          <w:sz w:val="18"/>
          <w:szCs w:val="18"/>
        </w:rPr>
      </w:pPr>
      <w:bookmarkStart w:id="0" w:name="_GoBack"/>
      <w:r w:rsidRPr="000A682B">
        <w:rPr>
          <w:sz w:val="18"/>
          <w:szCs w:val="18"/>
          <w:vertAlign w:val="superscript"/>
        </w:rPr>
        <w:footnoteRef/>
      </w:r>
      <w:r w:rsidRPr="000A682B">
        <w:rPr>
          <w:rFonts w:eastAsia="Georgia"/>
          <w:color w:val="000000"/>
          <w:sz w:val="18"/>
          <w:szCs w:val="18"/>
        </w:rPr>
        <w:t xml:space="preserve"> 01PrimeraInstancia, 07Demanda </w:t>
      </w:r>
    </w:p>
  </w:footnote>
  <w:footnote w:id="2">
    <w:p w14:paraId="20DAD0CE" w14:textId="77777777" w:rsidR="00E1409F" w:rsidRPr="000A682B" w:rsidRDefault="00E1409F" w:rsidP="000A682B">
      <w:pPr>
        <w:pBdr>
          <w:top w:val="nil"/>
          <w:left w:val="nil"/>
          <w:bottom w:val="nil"/>
          <w:right w:val="nil"/>
          <w:between w:val="nil"/>
        </w:pBdr>
        <w:spacing w:line="240" w:lineRule="auto"/>
        <w:jc w:val="both"/>
        <w:rPr>
          <w:color w:val="000000"/>
          <w:sz w:val="18"/>
          <w:szCs w:val="18"/>
        </w:rPr>
      </w:pPr>
      <w:r w:rsidRPr="000A682B">
        <w:rPr>
          <w:sz w:val="18"/>
          <w:szCs w:val="18"/>
          <w:vertAlign w:val="superscript"/>
        </w:rPr>
        <w:footnoteRef/>
      </w:r>
      <w:r w:rsidRPr="000A682B">
        <w:rPr>
          <w:rFonts w:eastAsia="Georgia"/>
          <w:color w:val="000000"/>
          <w:sz w:val="18"/>
          <w:szCs w:val="18"/>
        </w:rPr>
        <w:t xml:space="preserve"> </w:t>
      </w:r>
      <w:r w:rsidRPr="000A682B">
        <w:rPr>
          <w:rFonts w:eastAsia="Georgia"/>
          <w:sz w:val="18"/>
          <w:szCs w:val="18"/>
        </w:rPr>
        <w:t xml:space="preserve"> Ib., p. 6</w:t>
      </w:r>
    </w:p>
  </w:footnote>
  <w:footnote w:id="3">
    <w:p w14:paraId="05893B7E" w14:textId="77777777" w:rsidR="00E1409F" w:rsidRPr="000A682B" w:rsidRDefault="00E1409F" w:rsidP="000A682B">
      <w:pPr>
        <w:pStyle w:val="Textonotapie"/>
        <w:jc w:val="both"/>
        <w:rPr>
          <w:sz w:val="18"/>
          <w:szCs w:val="18"/>
          <w:lang w:val="es-MX"/>
        </w:rPr>
      </w:pPr>
      <w:r w:rsidRPr="000A682B">
        <w:rPr>
          <w:rStyle w:val="Refdenotaalpie"/>
          <w:sz w:val="18"/>
          <w:szCs w:val="18"/>
        </w:rPr>
        <w:footnoteRef/>
      </w:r>
      <w:r w:rsidRPr="000A682B">
        <w:rPr>
          <w:sz w:val="18"/>
          <w:szCs w:val="18"/>
        </w:rPr>
        <w:t xml:space="preserve"> </w:t>
      </w:r>
      <w:r w:rsidRPr="000A682B">
        <w:rPr>
          <w:rFonts w:eastAsia="Georgia"/>
          <w:color w:val="000000"/>
          <w:sz w:val="18"/>
          <w:szCs w:val="18"/>
        </w:rPr>
        <w:t>01PrimeraInstancia, 09Auto</w:t>
      </w:r>
    </w:p>
  </w:footnote>
  <w:footnote w:id="4">
    <w:p w14:paraId="7CBBFD47" w14:textId="77777777" w:rsidR="00E1409F" w:rsidRPr="000A682B" w:rsidRDefault="00E1409F" w:rsidP="000A682B">
      <w:pPr>
        <w:pStyle w:val="Textonotapie"/>
        <w:jc w:val="both"/>
        <w:rPr>
          <w:sz w:val="18"/>
          <w:szCs w:val="18"/>
          <w:lang w:val="es-MX"/>
        </w:rPr>
      </w:pPr>
      <w:r w:rsidRPr="000A682B">
        <w:rPr>
          <w:rStyle w:val="Refdenotaalpie"/>
          <w:sz w:val="18"/>
          <w:szCs w:val="18"/>
        </w:rPr>
        <w:footnoteRef/>
      </w:r>
      <w:r w:rsidRPr="000A682B">
        <w:rPr>
          <w:sz w:val="18"/>
          <w:szCs w:val="18"/>
        </w:rPr>
        <w:t xml:space="preserve"> </w:t>
      </w:r>
      <w:r w:rsidRPr="000A682B">
        <w:rPr>
          <w:sz w:val="18"/>
          <w:szCs w:val="18"/>
          <w:lang w:val="es-MX"/>
        </w:rPr>
        <w:t>Ib., 22ContestaciónDemanda</w:t>
      </w:r>
    </w:p>
  </w:footnote>
  <w:footnote w:id="5">
    <w:p w14:paraId="52F088F3" w14:textId="77777777" w:rsidR="00E1409F" w:rsidRPr="000A682B" w:rsidRDefault="00E1409F" w:rsidP="000A682B">
      <w:pPr>
        <w:pStyle w:val="Textonotapie"/>
        <w:jc w:val="both"/>
        <w:rPr>
          <w:sz w:val="18"/>
          <w:szCs w:val="18"/>
          <w:lang w:val="es-ES"/>
        </w:rPr>
      </w:pPr>
      <w:r w:rsidRPr="000A682B">
        <w:rPr>
          <w:rStyle w:val="Refdenotaalpie"/>
          <w:sz w:val="18"/>
          <w:szCs w:val="18"/>
        </w:rPr>
        <w:footnoteRef/>
      </w:r>
      <w:r w:rsidRPr="000A682B">
        <w:rPr>
          <w:sz w:val="18"/>
          <w:szCs w:val="18"/>
        </w:rPr>
        <w:t xml:space="preserve"> </w:t>
      </w:r>
      <w:r w:rsidRPr="000A682B">
        <w:rPr>
          <w:sz w:val="18"/>
          <w:szCs w:val="18"/>
          <w:lang w:val="es-ES"/>
        </w:rPr>
        <w:t>01PrimeraInstancia, 01Cdno1, 67AudArt373</w:t>
      </w:r>
      <w:proofErr w:type="gramStart"/>
      <w:r w:rsidRPr="000A682B">
        <w:rPr>
          <w:sz w:val="18"/>
          <w:szCs w:val="18"/>
          <w:lang w:val="es-ES"/>
        </w:rPr>
        <w:t>CGP(</w:t>
      </w:r>
      <w:proofErr w:type="gramEnd"/>
      <w:r w:rsidRPr="000A682B">
        <w:rPr>
          <w:sz w:val="18"/>
          <w:szCs w:val="18"/>
          <w:lang w:val="es-ES"/>
        </w:rPr>
        <w:t>4)</w:t>
      </w:r>
    </w:p>
  </w:footnote>
  <w:footnote w:id="6">
    <w:p w14:paraId="70C2AB5D" w14:textId="77777777" w:rsidR="00E1409F" w:rsidRPr="000A682B" w:rsidRDefault="00E1409F" w:rsidP="000A682B">
      <w:pPr>
        <w:pStyle w:val="Textonotapie"/>
        <w:jc w:val="both"/>
        <w:rPr>
          <w:sz w:val="18"/>
          <w:szCs w:val="18"/>
          <w:lang w:val="es-ES"/>
        </w:rPr>
      </w:pPr>
      <w:r w:rsidRPr="000A682B">
        <w:rPr>
          <w:rStyle w:val="Refdenotaalpie"/>
          <w:sz w:val="18"/>
          <w:szCs w:val="18"/>
        </w:rPr>
        <w:footnoteRef/>
      </w:r>
      <w:r w:rsidRPr="000A682B">
        <w:rPr>
          <w:sz w:val="18"/>
          <w:szCs w:val="18"/>
        </w:rPr>
        <w:t xml:space="preserve"> Ib., 00:22:28</w:t>
      </w:r>
    </w:p>
  </w:footnote>
  <w:footnote w:id="7">
    <w:p w14:paraId="77350DDC" w14:textId="77777777" w:rsidR="00E1409F" w:rsidRPr="000A682B" w:rsidRDefault="00E1409F" w:rsidP="000A682B">
      <w:pPr>
        <w:pBdr>
          <w:top w:val="nil"/>
          <w:left w:val="nil"/>
          <w:bottom w:val="nil"/>
          <w:right w:val="nil"/>
          <w:between w:val="nil"/>
        </w:pBdr>
        <w:spacing w:line="240" w:lineRule="auto"/>
        <w:jc w:val="both"/>
        <w:rPr>
          <w:color w:val="000000"/>
          <w:sz w:val="18"/>
          <w:szCs w:val="18"/>
        </w:rPr>
      </w:pPr>
      <w:r w:rsidRPr="000A682B">
        <w:rPr>
          <w:sz w:val="18"/>
          <w:szCs w:val="18"/>
          <w:vertAlign w:val="superscript"/>
        </w:rPr>
        <w:footnoteRef/>
      </w:r>
      <w:r w:rsidRPr="000A682B">
        <w:rPr>
          <w:color w:val="000000"/>
          <w:sz w:val="18"/>
          <w:szCs w:val="18"/>
        </w:rPr>
        <w:t xml:space="preserve"> Ib., </w:t>
      </w:r>
      <w:r w:rsidRPr="000A682B">
        <w:rPr>
          <w:rFonts w:eastAsia="Georgia"/>
          <w:sz w:val="18"/>
          <w:szCs w:val="18"/>
        </w:rPr>
        <w:t>Cdno1., 73ReparosSentencia</w:t>
      </w:r>
      <w:proofErr w:type="gramStart"/>
      <w:r w:rsidRPr="000A682B">
        <w:rPr>
          <w:rFonts w:eastAsia="Georgia"/>
          <w:sz w:val="18"/>
          <w:szCs w:val="18"/>
        </w:rPr>
        <w:t xml:space="preserve">. </w:t>
      </w:r>
      <w:r w:rsidRPr="000A682B">
        <w:rPr>
          <w:sz w:val="18"/>
          <w:szCs w:val="18"/>
        </w:rPr>
        <w:t>.</w:t>
      </w:r>
      <w:proofErr w:type="gramEnd"/>
      <w:r w:rsidRPr="000A682B">
        <w:rPr>
          <w:sz w:val="18"/>
          <w:szCs w:val="18"/>
        </w:rPr>
        <w:t xml:space="preserve"> </w:t>
      </w:r>
    </w:p>
  </w:footnote>
  <w:footnote w:id="8">
    <w:p w14:paraId="6965B348" w14:textId="77777777" w:rsidR="00E1409F" w:rsidRPr="000A682B" w:rsidRDefault="00E1409F" w:rsidP="000A682B">
      <w:pPr>
        <w:pStyle w:val="Textonotapie"/>
        <w:jc w:val="both"/>
        <w:rPr>
          <w:sz w:val="18"/>
          <w:szCs w:val="18"/>
          <w:lang w:val="es-ES"/>
        </w:rPr>
      </w:pPr>
      <w:r w:rsidRPr="000A682B">
        <w:rPr>
          <w:rStyle w:val="Refdenotaalpie"/>
          <w:sz w:val="18"/>
          <w:szCs w:val="18"/>
        </w:rPr>
        <w:footnoteRef/>
      </w:r>
      <w:r w:rsidRPr="000A682B">
        <w:rPr>
          <w:sz w:val="18"/>
          <w:szCs w:val="18"/>
        </w:rPr>
        <w:t xml:space="preserve"> </w:t>
      </w:r>
      <w:r w:rsidRPr="000A682B">
        <w:rPr>
          <w:color w:val="000000"/>
          <w:sz w:val="18"/>
          <w:szCs w:val="18"/>
        </w:rPr>
        <w:t xml:space="preserve">Ib., </w:t>
      </w:r>
      <w:r w:rsidRPr="000A682B">
        <w:rPr>
          <w:rFonts w:eastAsia="Georgia"/>
          <w:sz w:val="18"/>
          <w:szCs w:val="18"/>
        </w:rPr>
        <w:t>Cdno1., 01Factura</w:t>
      </w:r>
    </w:p>
  </w:footnote>
  <w:footnote w:id="9">
    <w:p w14:paraId="7D9BAEF7" w14:textId="77777777" w:rsidR="00E1409F" w:rsidRPr="000A682B" w:rsidRDefault="00E1409F" w:rsidP="000A682B">
      <w:pPr>
        <w:pStyle w:val="Textonotapie"/>
        <w:jc w:val="both"/>
        <w:rPr>
          <w:bCs/>
          <w:sz w:val="18"/>
          <w:szCs w:val="18"/>
          <w:lang w:val="es-ES"/>
        </w:rPr>
      </w:pPr>
      <w:r w:rsidRPr="000A682B">
        <w:rPr>
          <w:rStyle w:val="Refdenotaalpie"/>
          <w:sz w:val="18"/>
          <w:szCs w:val="18"/>
        </w:rPr>
        <w:footnoteRef/>
      </w:r>
      <w:r w:rsidRPr="000A682B">
        <w:rPr>
          <w:sz w:val="18"/>
          <w:szCs w:val="18"/>
        </w:rPr>
        <w:t xml:space="preserve"> </w:t>
      </w:r>
      <w:r w:rsidRPr="000A682B">
        <w:rPr>
          <w:sz w:val="18"/>
          <w:szCs w:val="18"/>
          <w:lang w:val="es-ES"/>
        </w:rPr>
        <w:t xml:space="preserve">Corte Suprema de Justicia, Sala de Casación Civil, sentencias </w:t>
      </w:r>
      <w:r w:rsidRPr="000A682B">
        <w:rPr>
          <w:rFonts w:eastAsia="Georgia"/>
          <w:bCs/>
          <w:sz w:val="18"/>
          <w:szCs w:val="18"/>
        </w:rPr>
        <w:t>SC3918-2021, invocada también en la sc1303-2022</w:t>
      </w:r>
    </w:p>
  </w:footnote>
  <w:footnote w:id="10">
    <w:p w14:paraId="58942374" w14:textId="77777777" w:rsidR="00E1409F" w:rsidRPr="000A682B" w:rsidRDefault="00E1409F" w:rsidP="000A682B">
      <w:pPr>
        <w:pStyle w:val="Textonotapie"/>
        <w:jc w:val="both"/>
        <w:rPr>
          <w:sz w:val="18"/>
          <w:szCs w:val="18"/>
          <w:lang w:val="es-ES"/>
        </w:rPr>
      </w:pPr>
      <w:r w:rsidRPr="000A682B">
        <w:rPr>
          <w:rStyle w:val="Refdenotaalpie"/>
          <w:sz w:val="18"/>
          <w:szCs w:val="18"/>
        </w:rPr>
        <w:footnoteRef/>
      </w:r>
      <w:r w:rsidRPr="000A682B">
        <w:rPr>
          <w:sz w:val="18"/>
          <w:szCs w:val="18"/>
        </w:rPr>
        <w:t xml:space="preserve"> </w:t>
      </w:r>
      <w:r w:rsidRPr="000A682B">
        <w:rPr>
          <w:sz w:val="18"/>
          <w:szCs w:val="18"/>
          <w:lang w:val="es-ES"/>
        </w:rPr>
        <w:t>Corte Suprema de Justicia, Sala de Casación Civil, sentencia SC1641-2022</w:t>
      </w:r>
    </w:p>
  </w:footnote>
  <w:footnote w:id="11">
    <w:p w14:paraId="4620FE5E" w14:textId="77777777" w:rsidR="00E1409F" w:rsidRPr="000A682B" w:rsidRDefault="00E1409F" w:rsidP="000A682B">
      <w:pPr>
        <w:pBdr>
          <w:top w:val="nil"/>
          <w:left w:val="nil"/>
          <w:bottom w:val="nil"/>
          <w:right w:val="nil"/>
          <w:between w:val="nil"/>
        </w:pBdr>
        <w:spacing w:line="240" w:lineRule="auto"/>
        <w:jc w:val="both"/>
        <w:rPr>
          <w:rFonts w:eastAsia="Georgia"/>
          <w:color w:val="000000"/>
          <w:sz w:val="18"/>
          <w:szCs w:val="18"/>
        </w:rPr>
      </w:pPr>
      <w:r w:rsidRPr="000A682B">
        <w:rPr>
          <w:rFonts w:eastAsia="Georgia"/>
          <w:color w:val="000000"/>
          <w:sz w:val="18"/>
          <w:szCs w:val="18"/>
          <w:vertAlign w:val="superscript"/>
        </w:rPr>
        <w:footnoteRef/>
      </w:r>
      <w:r w:rsidRPr="000A682B">
        <w:rPr>
          <w:rFonts w:eastAsia="Georgia"/>
          <w:color w:val="000000"/>
          <w:sz w:val="18"/>
          <w:szCs w:val="18"/>
        </w:rPr>
        <w:t xml:space="preserve"> Sentencia del 19 de junio de 2018, radicado 2011-00193-01,</w:t>
      </w:r>
    </w:p>
  </w:footnote>
  <w:footnote w:id="12">
    <w:p w14:paraId="7ACB4532" w14:textId="77777777" w:rsidR="00E1409F" w:rsidRPr="000A682B" w:rsidRDefault="00E1409F" w:rsidP="000A682B">
      <w:pPr>
        <w:pBdr>
          <w:top w:val="nil"/>
          <w:left w:val="nil"/>
          <w:bottom w:val="nil"/>
          <w:right w:val="nil"/>
          <w:between w:val="nil"/>
        </w:pBdr>
        <w:spacing w:line="240" w:lineRule="auto"/>
        <w:jc w:val="both"/>
        <w:rPr>
          <w:rFonts w:eastAsia="Georgia"/>
          <w:color w:val="000000"/>
          <w:sz w:val="18"/>
          <w:szCs w:val="18"/>
        </w:rPr>
      </w:pPr>
      <w:r w:rsidRPr="000A682B">
        <w:rPr>
          <w:rFonts w:eastAsia="Georgia"/>
          <w:color w:val="000000"/>
          <w:sz w:val="18"/>
          <w:szCs w:val="18"/>
          <w:vertAlign w:val="superscript"/>
        </w:rPr>
        <w:footnoteRef/>
      </w:r>
      <w:r w:rsidRPr="000A682B">
        <w:rPr>
          <w:rFonts w:eastAsia="Georgia"/>
          <w:color w:val="000000"/>
          <w:sz w:val="18"/>
          <w:szCs w:val="18"/>
        </w:rPr>
        <w:t xml:space="preserve"> Sentencia del 19 de junio de 2020, radicado 2019-00046-01, M.P. </w:t>
      </w:r>
      <w:proofErr w:type="spellStart"/>
      <w:r w:rsidRPr="000A682B">
        <w:rPr>
          <w:rFonts w:eastAsia="Georgia"/>
          <w:color w:val="000000"/>
          <w:sz w:val="18"/>
          <w:szCs w:val="18"/>
        </w:rPr>
        <w:t>Duberney</w:t>
      </w:r>
      <w:proofErr w:type="spellEnd"/>
      <w:r w:rsidRPr="000A682B">
        <w:rPr>
          <w:rFonts w:eastAsia="Georgia"/>
          <w:color w:val="000000"/>
          <w:sz w:val="18"/>
          <w:szCs w:val="18"/>
        </w:rPr>
        <w:t xml:space="preserve"> Grisales Herrera.</w:t>
      </w:r>
    </w:p>
  </w:footnote>
  <w:footnote w:id="13">
    <w:p w14:paraId="632A8254" w14:textId="77777777" w:rsidR="00E1409F" w:rsidRPr="000A682B" w:rsidRDefault="00E1409F" w:rsidP="000A682B">
      <w:pPr>
        <w:pBdr>
          <w:top w:val="nil"/>
          <w:left w:val="nil"/>
          <w:bottom w:val="nil"/>
          <w:right w:val="nil"/>
          <w:between w:val="nil"/>
        </w:pBdr>
        <w:spacing w:line="240" w:lineRule="auto"/>
        <w:jc w:val="both"/>
        <w:rPr>
          <w:rFonts w:eastAsia="Georgia"/>
          <w:color w:val="000000"/>
          <w:sz w:val="18"/>
          <w:szCs w:val="18"/>
        </w:rPr>
      </w:pPr>
      <w:r w:rsidRPr="000A682B">
        <w:rPr>
          <w:rFonts w:eastAsia="Georgia"/>
          <w:color w:val="000000"/>
          <w:sz w:val="18"/>
          <w:szCs w:val="18"/>
          <w:vertAlign w:val="superscript"/>
        </w:rPr>
        <w:footnoteRef/>
      </w:r>
      <w:r w:rsidRPr="000A682B">
        <w:rPr>
          <w:rFonts w:eastAsia="Georgia"/>
          <w:color w:val="000000"/>
          <w:sz w:val="18"/>
          <w:szCs w:val="18"/>
          <w:vertAlign w:val="superscript"/>
        </w:rPr>
        <w:t xml:space="preserve"> </w:t>
      </w:r>
      <w:r w:rsidRPr="000A682B">
        <w:rPr>
          <w:rFonts w:eastAsia="Georgia"/>
          <w:color w:val="000000"/>
          <w:sz w:val="18"/>
          <w:szCs w:val="18"/>
        </w:rPr>
        <w:t>STC9587-2017, STC15273-2019, STC11328-2019 y STC100-2019</w:t>
      </w:r>
    </w:p>
  </w:footnote>
  <w:footnote w:id="14">
    <w:p w14:paraId="70D6B165" w14:textId="77777777" w:rsidR="00E1409F" w:rsidRPr="000A682B" w:rsidRDefault="00E1409F" w:rsidP="000A682B">
      <w:pPr>
        <w:pBdr>
          <w:top w:val="nil"/>
          <w:left w:val="nil"/>
          <w:bottom w:val="nil"/>
          <w:right w:val="nil"/>
          <w:between w:val="nil"/>
        </w:pBdr>
        <w:spacing w:line="240" w:lineRule="auto"/>
        <w:jc w:val="both"/>
        <w:rPr>
          <w:rFonts w:eastAsia="Georgia"/>
          <w:color w:val="000000"/>
          <w:sz w:val="18"/>
          <w:szCs w:val="18"/>
          <w:lang w:val="en-US"/>
        </w:rPr>
      </w:pPr>
      <w:r w:rsidRPr="000A682B">
        <w:rPr>
          <w:rFonts w:eastAsia="Georgia"/>
          <w:color w:val="000000"/>
          <w:sz w:val="18"/>
          <w:szCs w:val="18"/>
          <w:vertAlign w:val="superscript"/>
        </w:rPr>
        <w:footnoteRef/>
      </w:r>
      <w:r w:rsidRPr="000A682B">
        <w:rPr>
          <w:rFonts w:eastAsia="Georgia"/>
          <w:color w:val="000000"/>
          <w:sz w:val="18"/>
          <w:szCs w:val="18"/>
          <w:vertAlign w:val="superscript"/>
          <w:lang w:val="en-US"/>
        </w:rPr>
        <w:t xml:space="preserve"> </w:t>
      </w:r>
      <w:r w:rsidRPr="000A682B">
        <w:rPr>
          <w:rFonts w:eastAsia="Georgia"/>
          <w:color w:val="000000"/>
          <w:sz w:val="18"/>
          <w:szCs w:val="18"/>
          <w:lang w:val="en-US"/>
        </w:rPr>
        <w:t>SC2351-2019.</w:t>
      </w:r>
    </w:p>
  </w:footnote>
  <w:footnote w:id="15">
    <w:p w14:paraId="77606A92" w14:textId="77777777" w:rsidR="00E1409F" w:rsidRPr="000A682B" w:rsidRDefault="00E1409F" w:rsidP="000A682B">
      <w:pPr>
        <w:pStyle w:val="Textonotapie"/>
        <w:jc w:val="both"/>
        <w:rPr>
          <w:sz w:val="18"/>
          <w:szCs w:val="18"/>
          <w:lang w:val="en-US"/>
        </w:rPr>
      </w:pPr>
      <w:r w:rsidRPr="000A682B">
        <w:rPr>
          <w:rStyle w:val="Refdenotaalpie"/>
          <w:sz w:val="18"/>
          <w:szCs w:val="18"/>
        </w:rPr>
        <w:footnoteRef/>
      </w:r>
      <w:r w:rsidRPr="000A682B">
        <w:rPr>
          <w:sz w:val="18"/>
          <w:szCs w:val="18"/>
          <w:lang w:val="en-US"/>
        </w:rPr>
        <w:t xml:space="preserve"> STC3899-2023</w:t>
      </w:r>
    </w:p>
  </w:footnote>
  <w:footnote w:id="16">
    <w:p w14:paraId="2FF67B31" w14:textId="75D6EAF6" w:rsidR="00E1409F" w:rsidRPr="000A682B" w:rsidRDefault="00E1409F" w:rsidP="000A682B">
      <w:pPr>
        <w:pStyle w:val="Textonotapie"/>
        <w:jc w:val="both"/>
        <w:rPr>
          <w:sz w:val="18"/>
          <w:szCs w:val="18"/>
          <w:lang w:val="en-US"/>
        </w:rPr>
      </w:pPr>
      <w:r w:rsidRPr="000A682B">
        <w:rPr>
          <w:rStyle w:val="Refdenotaalpie"/>
          <w:sz w:val="18"/>
          <w:szCs w:val="18"/>
        </w:rPr>
        <w:footnoteRef/>
      </w:r>
      <w:r w:rsidRPr="000A682B">
        <w:rPr>
          <w:sz w:val="18"/>
          <w:szCs w:val="18"/>
          <w:lang w:val="en-US"/>
        </w:rPr>
        <w:t xml:space="preserve"> Aud</w:t>
      </w:r>
      <w:r w:rsidR="00981A85" w:rsidRPr="000A682B">
        <w:rPr>
          <w:sz w:val="18"/>
          <w:szCs w:val="18"/>
          <w:lang w:val="en-US"/>
        </w:rPr>
        <w:t>A</w:t>
      </w:r>
      <w:r w:rsidRPr="000A682B">
        <w:rPr>
          <w:sz w:val="18"/>
          <w:szCs w:val="18"/>
          <w:lang w:val="en-US"/>
        </w:rPr>
        <w:t>rt373</w:t>
      </w:r>
      <w:r w:rsidR="00981A85" w:rsidRPr="000A682B">
        <w:rPr>
          <w:sz w:val="18"/>
          <w:szCs w:val="18"/>
          <w:lang w:val="en-US"/>
        </w:rPr>
        <w:t>CGP (</w:t>
      </w:r>
      <w:r w:rsidRPr="000A682B">
        <w:rPr>
          <w:sz w:val="18"/>
          <w:szCs w:val="18"/>
          <w:lang w:val="en-US"/>
        </w:rPr>
        <w:t>1</w:t>
      </w:r>
      <w:r w:rsidR="00981A85" w:rsidRPr="000A682B">
        <w:rPr>
          <w:sz w:val="18"/>
          <w:szCs w:val="18"/>
          <w:lang w:val="en-US"/>
        </w:rPr>
        <w:t>)</w:t>
      </w:r>
      <w:r w:rsidRPr="000A682B">
        <w:rPr>
          <w:sz w:val="18"/>
          <w:szCs w:val="18"/>
          <w:lang w:val="en-US"/>
        </w:rPr>
        <w:t>, 1:31:30 a 2:18:06</w:t>
      </w:r>
    </w:p>
  </w:footnote>
  <w:footnote w:id="17">
    <w:p w14:paraId="2E24EE36" w14:textId="7079F71C" w:rsidR="00981A85" w:rsidRPr="000A682B" w:rsidRDefault="00981A85" w:rsidP="000A682B">
      <w:pPr>
        <w:pStyle w:val="Textonotapie"/>
        <w:jc w:val="both"/>
        <w:rPr>
          <w:sz w:val="18"/>
          <w:szCs w:val="18"/>
          <w:lang w:val="en-US"/>
        </w:rPr>
      </w:pPr>
      <w:r w:rsidRPr="000A682B">
        <w:rPr>
          <w:rStyle w:val="Refdenotaalpie"/>
          <w:sz w:val="18"/>
          <w:szCs w:val="18"/>
        </w:rPr>
        <w:footnoteRef/>
      </w:r>
      <w:r w:rsidRPr="000A682B">
        <w:rPr>
          <w:sz w:val="18"/>
          <w:szCs w:val="18"/>
          <w:lang w:val="en-US"/>
        </w:rPr>
        <w:t xml:space="preserve"> AudArt373CGP (2), 00.05.46 a 00:19.50</w:t>
      </w:r>
    </w:p>
  </w:footnote>
  <w:footnote w:id="18">
    <w:p w14:paraId="4EA03239" w14:textId="7049CCAF" w:rsidR="00B34073" w:rsidRPr="000A682B" w:rsidRDefault="00B34073" w:rsidP="000A682B">
      <w:pPr>
        <w:pStyle w:val="Textonotapie"/>
        <w:jc w:val="both"/>
        <w:rPr>
          <w:sz w:val="18"/>
          <w:szCs w:val="18"/>
          <w:lang w:val="es-MX"/>
        </w:rPr>
      </w:pPr>
      <w:r w:rsidRPr="000A682B">
        <w:rPr>
          <w:rStyle w:val="Refdenotaalpie"/>
          <w:sz w:val="18"/>
          <w:szCs w:val="18"/>
        </w:rPr>
        <w:footnoteRef/>
      </w:r>
      <w:r w:rsidRPr="000A682B">
        <w:rPr>
          <w:sz w:val="18"/>
          <w:szCs w:val="18"/>
        </w:rPr>
        <w:t xml:space="preserve"> </w:t>
      </w:r>
      <w:r w:rsidRPr="000A682B">
        <w:rPr>
          <w:rFonts w:eastAsia="Georgia"/>
          <w:sz w:val="18"/>
          <w:szCs w:val="18"/>
        </w:rPr>
        <w:t xml:space="preserve">01PrimeraInstancia,01Cdno1, </w:t>
      </w:r>
      <w:proofErr w:type="spellStart"/>
      <w:r w:rsidRPr="000A682B">
        <w:rPr>
          <w:rFonts w:eastAsia="Georgia"/>
          <w:sz w:val="18"/>
          <w:szCs w:val="18"/>
        </w:rPr>
        <w:t>Arch</w:t>
      </w:r>
      <w:proofErr w:type="spellEnd"/>
      <w:r w:rsidRPr="000A682B">
        <w:rPr>
          <w:rFonts w:eastAsia="Georgia"/>
          <w:sz w:val="18"/>
          <w:szCs w:val="18"/>
        </w:rPr>
        <w:t xml:space="preserve"> 60, 1:02::28 – 1:42:57”.</w:t>
      </w:r>
    </w:p>
  </w:footnote>
  <w:footnote w:id="19">
    <w:p w14:paraId="10830B04" w14:textId="77777777" w:rsidR="00E1409F" w:rsidRPr="000A682B" w:rsidRDefault="00E1409F" w:rsidP="000A682B">
      <w:pPr>
        <w:pStyle w:val="Textonotapie"/>
        <w:jc w:val="both"/>
        <w:rPr>
          <w:sz w:val="18"/>
          <w:szCs w:val="18"/>
          <w:lang w:val="es-ES"/>
        </w:rPr>
      </w:pPr>
      <w:r w:rsidRPr="000A682B">
        <w:rPr>
          <w:rStyle w:val="Refdenotaalpie"/>
          <w:sz w:val="18"/>
          <w:szCs w:val="18"/>
        </w:rPr>
        <w:footnoteRef/>
      </w:r>
      <w:r w:rsidRPr="000A682B">
        <w:rPr>
          <w:sz w:val="18"/>
          <w:szCs w:val="18"/>
        </w:rPr>
        <w:t xml:space="preserve"> C-1 Primera instancia, archivo 07, pág. 2.</w:t>
      </w:r>
    </w:p>
  </w:footnote>
  <w:footnote w:id="20">
    <w:p w14:paraId="6377D7C6" w14:textId="0EBC11EC" w:rsidR="00EB52FD" w:rsidRPr="000A682B" w:rsidRDefault="00EB52FD" w:rsidP="000A682B">
      <w:pPr>
        <w:pStyle w:val="Textonotapie"/>
        <w:jc w:val="both"/>
        <w:rPr>
          <w:sz w:val="18"/>
          <w:szCs w:val="18"/>
          <w:lang w:val="es-MX"/>
        </w:rPr>
      </w:pPr>
      <w:r w:rsidRPr="000A682B">
        <w:rPr>
          <w:rStyle w:val="Refdenotaalpie"/>
          <w:sz w:val="18"/>
          <w:szCs w:val="18"/>
        </w:rPr>
        <w:footnoteRef/>
      </w:r>
      <w:r w:rsidRPr="000A682B">
        <w:rPr>
          <w:sz w:val="18"/>
          <w:szCs w:val="18"/>
        </w:rPr>
        <w:t xml:space="preserve"> </w:t>
      </w:r>
      <w:r w:rsidRPr="000A682B">
        <w:rPr>
          <w:sz w:val="18"/>
          <w:szCs w:val="18"/>
          <w:lang w:val="es-MX"/>
        </w:rPr>
        <w:t xml:space="preserve">Tribunal Superior de Pereira, Sala Civil-Familia, sentencia del 22 de junio de 2018, radicado 2018-00026-01, M.P. </w:t>
      </w:r>
      <w:proofErr w:type="spellStart"/>
      <w:r w:rsidRPr="000A682B">
        <w:rPr>
          <w:sz w:val="18"/>
          <w:szCs w:val="18"/>
          <w:lang w:val="es-MX"/>
        </w:rPr>
        <w:t>Duberney</w:t>
      </w:r>
      <w:proofErr w:type="spellEnd"/>
      <w:r w:rsidRPr="000A682B">
        <w:rPr>
          <w:sz w:val="18"/>
          <w:szCs w:val="18"/>
          <w:lang w:val="es-MX"/>
        </w:rPr>
        <w:t xml:space="preserve"> Grisales Herrera </w:t>
      </w:r>
    </w:p>
  </w:footnote>
  <w:footnote w:id="21">
    <w:p w14:paraId="0E4A44BD" w14:textId="77777777" w:rsidR="00E1409F" w:rsidRPr="000A682B" w:rsidRDefault="00E1409F" w:rsidP="000A682B">
      <w:pPr>
        <w:pStyle w:val="Textonotapie"/>
        <w:jc w:val="both"/>
        <w:rPr>
          <w:sz w:val="18"/>
          <w:szCs w:val="18"/>
          <w:lang w:val="es-CO"/>
        </w:rPr>
      </w:pPr>
      <w:r w:rsidRPr="000A682B">
        <w:rPr>
          <w:rStyle w:val="Refdenotaalpie"/>
          <w:sz w:val="18"/>
          <w:szCs w:val="18"/>
        </w:rPr>
        <w:footnoteRef/>
      </w:r>
      <w:r w:rsidRPr="000A682B">
        <w:rPr>
          <w:sz w:val="18"/>
          <w:szCs w:val="18"/>
        </w:rPr>
        <w:t xml:space="preserve"> </w:t>
      </w:r>
      <w:r w:rsidRPr="000A682B">
        <w:rPr>
          <w:sz w:val="18"/>
          <w:szCs w:val="18"/>
          <w:lang w:val="es-CO"/>
        </w:rPr>
        <w:t xml:space="preserve">CUARTAS A., Alberto I. Instrumentos negociables, biblioteca jurídica </w:t>
      </w:r>
      <w:proofErr w:type="spellStart"/>
      <w:r w:rsidRPr="000A682B">
        <w:rPr>
          <w:sz w:val="18"/>
          <w:szCs w:val="18"/>
          <w:lang w:val="es-CO"/>
        </w:rPr>
        <w:t>Diké</w:t>
      </w:r>
      <w:proofErr w:type="spellEnd"/>
      <w:r w:rsidRPr="000A682B">
        <w:rPr>
          <w:sz w:val="18"/>
          <w:szCs w:val="18"/>
          <w:lang w:val="es-CO"/>
        </w:rPr>
        <w:t>, 2015, Medellín, A., p.504.</w:t>
      </w:r>
    </w:p>
  </w:footnote>
  <w:footnote w:id="22">
    <w:p w14:paraId="523BC78C" w14:textId="77777777" w:rsidR="00E1409F" w:rsidRPr="000A682B" w:rsidRDefault="00E1409F" w:rsidP="000A682B">
      <w:pPr>
        <w:pStyle w:val="Textonotapie"/>
        <w:jc w:val="both"/>
        <w:rPr>
          <w:sz w:val="18"/>
          <w:szCs w:val="18"/>
          <w:lang w:val="es-CO"/>
        </w:rPr>
      </w:pPr>
      <w:r w:rsidRPr="000A682B">
        <w:rPr>
          <w:rStyle w:val="Refdenotaalpie"/>
          <w:sz w:val="18"/>
          <w:szCs w:val="18"/>
        </w:rPr>
        <w:footnoteRef/>
      </w:r>
      <w:r w:rsidRPr="000A682B">
        <w:rPr>
          <w:sz w:val="18"/>
          <w:szCs w:val="18"/>
        </w:rPr>
        <w:t xml:space="preserve"> </w:t>
      </w:r>
      <w:r w:rsidRPr="000A682B">
        <w:rPr>
          <w:sz w:val="18"/>
          <w:szCs w:val="18"/>
          <w:lang w:val="es-CO"/>
        </w:rPr>
        <w:t>CUARTAS A., Alberto I. Instrumentos negociables. Ob. cit., p. 146.</w:t>
      </w:r>
    </w:p>
  </w:footnote>
  <w:footnote w:id="23">
    <w:p w14:paraId="5A632B3C" w14:textId="77777777" w:rsidR="00E1409F" w:rsidRPr="000A682B" w:rsidRDefault="00E1409F" w:rsidP="000A682B">
      <w:pPr>
        <w:pStyle w:val="Textonotapie"/>
        <w:jc w:val="both"/>
        <w:rPr>
          <w:sz w:val="18"/>
          <w:szCs w:val="18"/>
          <w:lang w:val="es-CO"/>
        </w:rPr>
      </w:pPr>
      <w:r w:rsidRPr="000A682B">
        <w:rPr>
          <w:rStyle w:val="Refdenotaalpie"/>
          <w:sz w:val="18"/>
          <w:szCs w:val="18"/>
        </w:rPr>
        <w:footnoteRef/>
      </w:r>
      <w:r w:rsidRPr="000A682B">
        <w:rPr>
          <w:sz w:val="18"/>
          <w:szCs w:val="18"/>
        </w:rPr>
        <w:t xml:space="preserve"> </w:t>
      </w:r>
      <w:r w:rsidRPr="000A682B">
        <w:rPr>
          <w:sz w:val="18"/>
          <w:szCs w:val="18"/>
          <w:lang w:val="es-CO"/>
        </w:rPr>
        <w:t xml:space="preserve">PARRA G., Germán. Nuevo régimen de la factura cambiaria y la factura comercial, Temis SA, 2009, Bogotá, p.61.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E1409F" w14:paraId="414B52FC" w14:textId="77777777" w:rsidTr="009C6174">
      <w:trPr>
        <w:trHeight w:val="300"/>
      </w:trPr>
      <w:tc>
        <w:tcPr>
          <w:tcW w:w="3005" w:type="dxa"/>
        </w:tcPr>
        <w:p w14:paraId="5E131513" w14:textId="77777777" w:rsidR="00E1409F" w:rsidRDefault="00E1409F" w:rsidP="009C6174">
          <w:pPr>
            <w:pStyle w:val="Encabezado"/>
            <w:ind w:left="-115"/>
          </w:pPr>
        </w:p>
      </w:tc>
      <w:tc>
        <w:tcPr>
          <w:tcW w:w="3005" w:type="dxa"/>
        </w:tcPr>
        <w:p w14:paraId="1D1C6859" w14:textId="77777777" w:rsidR="00E1409F" w:rsidRDefault="00E1409F" w:rsidP="009C6174">
          <w:pPr>
            <w:pStyle w:val="Encabezado"/>
            <w:jc w:val="center"/>
          </w:pPr>
        </w:p>
      </w:tc>
      <w:tc>
        <w:tcPr>
          <w:tcW w:w="3005" w:type="dxa"/>
        </w:tcPr>
        <w:p w14:paraId="65DBEE21" w14:textId="77777777" w:rsidR="00E1409F" w:rsidRDefault="00E1409F" w:rsidP="009C6174">
          <w:pPr>
            <w:pStyle w:val="Encabezado"/>
            <w:ind w:right="-115"/>
            <w:jc w:val="right"/>
          </w:pPr>
        </w:p>
      </w:tc>
    </w:tr>
  </w:tbl>
  <w:p w14:paraId="01BB7613" w14:textId="77777777" w:rsidR="00E1409F" w:rsidRDefault="00E1409F" w:rsidP="009C617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7AD3"/>
    <w:multiLevelType w:val="multilevel"/>
    <w:tmpl w:val="840A1C98"/>
    <w:lvl w:ilvl="0">
      <w:start w:val="1"/>
      <w:numFmt w:val="decimal"/>
      <w:lvlText w:val="%1."/>
      <w:lvlJc w:val="left"/>
      <w:pPr>
        <w:ind w:left="1200" w:hanging="84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52010B"/>
    <w:multiLevelType w:val="multilevel"/>
    <w:tmpl w:val="D046BC3E"/>
    <w:lvl w:ilvl="0">
      <w:start w:val="1"/>
      <w:numFmt w:val="decimal"/>
      <w:lvlText w:val="%1."/>
      <w:lvlJc w:val="left"/>
      <w:pPr>
        <w:ind w:left="3195" w:hanging="360"/>
      </w:pPr>
    </w:lvl>
    <w:lvl w:ilvl="1">
      <w:start w:val="1"/>
      <w:numFmt w:val="decimal"/>
      <w:isLgl/>
      <w:lvlText w:val="%1.%2."/>
      <w:lvlJc w:val="left"/>
      <w:pPr>
        <w:ind w:left="4406" w:hanging="720"/>
      </w:pPr>
      <w:rPr>
        <w:rFonts w:ascii="Gadugi" w:hAnsi="Gadugi" w:hint="default"/>
        <w:i w:val="0"/>
        <w:color w:val="auto"/>
        <w:sz w:val="28"/>
        <w:szCs w:val="28"/>
      </w:rPr>
    </w:lvl>
    <w:lvl w:ilvl="2">
      <w:start w:val="1"/>
      <w:numFmt w:val="decimal"/>
      <w:isLgl/>
      <w:lvlText w:val="%1.%2.%3."/>
      <w:lvlJc w:val="left"/>
      <w:pPr>
        <w:ind w:left="3555" w:hanging="720"/>
      </w:pPr>
    </w:lvl>
    <w:lvl w:ilvl="3">
      <w:start w:val="1"/>
      <w:numFmt w:val="decimal"/>
      <w:isLgl/>
      <w:lvlText w:val="%1.%2.%3.%4."/>
      <w:lvlJc w:val="left"/>
      <w:pPr>
        <w:ind w:left="3915" w:hanging="1080"/>
      </w:pPr>
    </w:lvl>
    <w:lvl w:ilvl="4">
      <w:start w:val="1"/>
      <w:numFmt w:val="decimal"/>
      <w:isLgl/>
      <w:lvlText w:val="%1.%2.%3.%4.%5."/>
      <w:lvlJc w:val="left"/>
      <w:pPr>
        <w:ind w:left="3915" w:hanging="1080"/>
      </w:pPr>
    </w:lvl>
    <w:lvl w:ilvl="5">
      <w:start w:val="1"/>
      <w:numFmt w:val="decimal"/>
      <w:isLgl/>
      <w:lvlText w:val="%1.%2.%3.%4.%5.%6."/>
      <w:lvlJc w:val="left"/>
      <w:pPr>
        <w:ind w:left="4275" w:hanging="1440"/>
      </w:pPr>
    </w:lvl>
    <w:lvl w:ilvl="6">
      <w:start w:val="1"/>
      <w:numFmt w:val="decimal"/>
      <w:isLgl/>
      <w:lvlText w:val="%1.%2.%3.%4.%5.%6.%7."/>
      <w:lvlJc w:val="left"/>
      <w:pPr>
        <w:ind w:left="4635" w:hanging="1800"/>
      </w:pPr>
    </w:lvl>
    <w:lvl w:ilvl="7">
      <w:start w:val="1"/>
      <w:numFmt w:val="decimal"/>
      <w:isLgl/>
      <w:lvlText w:val="%1.%2.%3.%4.%5.%6.%7.%8."/>
      <w:lvlJc w:val="left"/>
      <w:pPr>
        <w:ind w:left="4635" w:hanging="1800"/>
      </w:pPr>
    </w:lvl>
    <w:lvl w:ilvl="8">
      <w:start w:val="1"/>
      <w:numFmt w:val="decimal"/>
      <w:isLgl/>
      <w:lvlText w:val="%1.%2.%3.%4.%5.%6.%7.%8.%9."/>
      <w:lvlJc w:val="left"/>
      <w:pPr>
        <w:ind w:left="4995" w:hanging="2160"/>
      </w:pPr>
    </w:lvl>
  </w:abstractNum>
  <w:abstractNum w:abstractNumId="2" w15:restartNumberingAfterBreak="0">
    <w:nsid w:val="55F735C4"/>
    <w:multiLevelType w:val="multilevel"/>
    <w:tmpl w:val="1D4678FC"/>
    <w:lvl w:ilvl="0">
      <w:start w:val="2"/>
      <w:numFmt w:val="decimal"/>
      <w:lvlText w:val="%1."/>
      <w:lvlJc w:val="left"/>
      <w:pPr>
        <w:ind w:left="480" w:hanging="480"/>
      </w:pPr>
      <w:rPr>
        <w:rFonts w:hint="default"/>
        <w:color w:val="000000" w:themeColor="text1"/>
      </w:rPr>
    </w:lvl>
    <w:lvl w:ilvl="1">
      <w:start w:val="3"/>
      <w:numFmt w:val="decimal"/>
      <w:lvlText w:val="%1.%2."/>
      <w:lvlJc w:val="left"/>
      <w:pPr>
        <w:ind w:left="1080" w:hanging="720"/>
      </w:pPr>
      <w:rPr>
        <w:rFonts w:hint="default"/>
        <w:b w:val="0"/>
        <w:bCs/>
        <w:i w:val="0"/>
        <w:color w:val="000000" w:themeColor="text1"/>
      </w:rPr>
    </w:lvl>
    <w:lvl w:ilvl="2">
      <w:start w:val="1"/>
      <w:numFmt w:val="decimal"/>
      <w:lvlText w:val="%1.%2.%3."/>
      <w:lvlJc w:val="left"/>
      <w:pPr>
        <w:ind w:left="1800" w:hanging="1080"/>
      </w:pPr>
      <w:rPr>
        <w:rFonts w:hint="default"/>
        <w:color w:val="000000" w:themeColor="text1"/>
      </w:rPr>
    </w:lvl>
    <w:lvl w:ilvl="3">
      <w:start w:val="1"/>
      <w:numFmt w:val="decimal"/>
      <w:lvlText w:val="%1.%2.%3.%4."/>
      <w:lvlJc w:val="left"/>
      <w:pPr>
        <w:ind w:left="2160" w:hanging="1080"/>
      </w:pPr>
      <w:rPr>
        <w:rFonts w:hint="default"/>
        <w:color w:val="000000" w:themeColor="text1"/>
      </w:rPr>
    </w:lvl>
    <w:lvl w:ilvl="4">
      <w:start w:val="1"/>
      <w:numFmt w:val="decimal"/>
      <w:lvlText w:val="%1.%2.%3.%4.%5."/>
      <w:lvlJc w:val="left"/>
      <w:pPr>
        <w:ind w:left="2880" w:hanging="1440"/>
      </w:pPr>
      <w:rPr>
        <w:rFonts w:hint="default"/>
        <w:color w:val="000000" w:themeColor="text1"/>
      </w:rPr>
    </w:lvl>
    <w:lvl w:ilvl="5">
      <w:start w:val="1"/>
      <w:numFmt w:val="decimal"/>
      <w:lvlText w:val="%1.%2.%3.%4.%5.%6."/>
      <w:lvlJc w:val="left"/>
      <w:pPr>
        <w:ind w:left="3600" w:hanging="1800"/>
      </w:pPr>
      <w:rPr>
        <w:rFonts w:hint="default"/>
        <w:color w:val="000000" w:themeColor="text1"/>
      </w:rPr>
    </w:lvl>
    <w:lvl w:ilvl="6">
      <w:start w:val="1"/>
      <w:numFmt w:val="decimal"/>
      <w:lvlText w:val="%1.%2.%3.%4.%5.%6.%7."/>
      <w:lvlJc w:val="left"/>
      <w:pPr>
        <w:ind w:left="3960" w:hanging="1800"/>
      </w:pPr>
      <w:rPr>
        <w:rFonts w:hint="default"/>
        <w:color w:val="000000" w:themeColor="text1"/>
      </w:rPr>
    </w:lvl>
    <w:lvl w:ilvl="7">
      <w:start w:val="1"/>
      <w:numFmt w:val="decimal"/>
      <w:lvlText w:val="%1.%2.%3.%4.%5.%6.%7.%8."/>
      <w:lvlJc w:val="left"/>
      <w:pPr>
        <w:ind w:left="4680" w:hanging="2160"/>
      </w:pPr>
      <w:rPr>
        <w:rFonts w:hint="default"/>
        <w:color w:val="000000" w:themeColor="text1"/>
      </w:rPr>
    </w:lvl>
    <w:lvl w:ilvl="8">
      <w:start w:val="1"/>
      <w:numFmt w:val="decimal"/>
      <w:lvlText w:val="%1.%2.%3.%4.%5.%6.%7.%8.%9."/>
      <w:lvlJc w:val="left"/>
      <w:pPr>
        <w:ind w:left="5400" w:hanging="2520"/>
      </w:pPr>
      <w:rPr>
        <w:rFonts w:hint="default"/>
        <w:color w:val="000000" w:themeColor="text1"/>
      </w:rPr>
    </w:lvl>
  </w:abstractNum>
  <w:abstractNum w:abstractNumId="3" w15:restartNumberingAfterBreak="0">
    <w:nsid w:val="621E5D18"/>
    <w:multiLevelType w:val="hybridMultilevel"/>
    <w:tmpl w:val="95B4AFF8"/>
    <w:lvl w:ilvl="0" w:tplc="F2CC04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2F26E0A"/>
    <w:multiLevelType w:val="hybridMultilevel"/>
    <w:tmpl w:val="26001DEC"/>
    <w:lvl w:ilvl="0" w:tplc="6E90F8C8">
      <w:start w:val="1"/>
      <w:numFmt w:val="lowerRoman"/>
      <w:lvlText w:val="(%1)"/>
      <w:lvlJc w:val="left"/>
      <w:pPr>
        <w:ind w:left="3981" w:hanging="720"/>
      </w:pPr>
      <w:rPr>
        <w:i w:val="0"/>
      </w:rPr>
    </w:lvl>
    <w:lvl w:ilvl="1" w:tplc="240A0019">
      <w:start w:val="1"/>
      <w:numFmt w:val="lowerLetter"/>
      <w:lvlText w:val="%2."/>
      <w:lvlJc w:val="left"/>
      <w:pPr>
        <w:ind w:left="2781" w:hanging="360"/>
      </w:pPr>
    </w:lvl>
    <w:lvl w:ilvl="2" w:tplc="240A001B">
      <w:start w:val="1"/>
      <w:numFmt w:val="lowerRoman"/>
      <w:lvlText w:val="%3."/>
      <w:lvlJc w:val="right"/>
      <w:pPr>
        <w:ind w:left="3501" w:hanging="180"/>
      </w:pPr>
    </w:lvl>
    <w:lvl w:ilvl="3" w:tplc="240A000F">
      <w:start w:val="1"/>
      <w:numFmt w:val="decimal"/>
      <w:lvlText w:val="%4."/>
      <w:lvlJc w:val="left"/>
      <w:pPr>
        <w:ind w:left="4221" w:hanging="360"/>
      </w:pPr>
    </w:lvl>
    <w:lvl w:ilvl="4" w:tplc="240A0019">
      <w:start w:val="1"/>
      <w:numFmt w:val="lowerLetter"/>
      <w:lvlText w:val="%5."/>
      <w:lvlJc w:val="left"/>
      <w:pPr>
        <w:ind w:left="4941" w:hanging="360"/>
      </w:pPr>
    </w:lvl>
    <w:lvl w:ilvl="5" w:tplc="240A001B">
      <w:start w:val="1"/>
      <w:numFmt w:val="lowerRoman"/>
      <w:lvlText w:val="%6."/>
      <w:lvlJc w:val="right"/>
      <w:pPr>
        <w:ind w:left="5661" w:hanging="180"/>
      </w:pPr>
    </w:lvl>
    <w:lvl w:ilvl="6" w:tplc="240A000F">
      <w:start w:val="1"/>
      <w:numFmt w:val="decimal"/>
      <w:lvlText w:val="%7."/>
      <w:lvlJc w:val="left"/>
      <w:pPr>
        <w:ind w:left="6381" w:hanging="360"/>
      </w:pPr>
    </w:lvl>
    <w:lvl w:ilvl="7" w:tplc="240A0019">
      <w:start w:val="1"/>
      <w:numFmt w:val="lowerLetter"/>
      <w:lvlText w:val="%8."/>
      <w:lvlJc w:val="left"/>
      <w:pPr>
        <w:ind w:left="7101" w:hanging="360"/>
      </w:pPr>
    </w:lvl>
    <w:lvl w:ilvl="8" w:tplc="240A001B">
      <w:start w:val="1"/>
      <w:numFmt w:val="lowerRoman"/>
      <w:lvlText w:val="%9."/>
      <w:lvlJc w:val="right"/>
      <w:pPr>
        <w:ind w:left="7821"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0A"/>
    <w:rsid w:val="00010815"/>
    <w:rsid w:val="00020E03"/>
    <w:rsid w:val="0002332E"/>
    <w:rsid w:val="00031696"/>
    <w:rsid w:val="00040969"/>
    <w:rsid w:val="00041052"/>
    <w:rsid w:val="000473BB"/>
    <w:rsid w:val="00055913"/>
    <w:rsid w:val="00056017"/>
    <w:rsid w:val="000576E9"/>
    <w:rsid w:val="00066F6E"/>
    <w:rsid w:val="00093E9A"/>
    <w:rsid w:val="000A682B"/>
    <w:rsid w:val="000C36E3"/>
    <w:rsid w:val="000F6EE9"/>
    <w:rsid w:val="00106490"/>
    <w:rsid w:val="00114E05"/>
    <w:rsid w:val="001630D0"/>
    <w:rsid w:val="0017292F"/>
    <w:rsid w:val="001831E8"/>
    <w:rsid w:val="00197D20"/>
    <w:rsid w:val="001D4F31"/>
    <w:rsid w:val="001E2970"/>
    <w:rsid w:val="001E36CE"/>
    <w:rsid w:val="001F20AD"/>
    <w:rsid w:val="00226AAF"/>
    <w:rsid w:val="00284A83"/>
    <w:rsid w:val="002952D9"/>
    <w:rsid w:val="002B6439"/>
    <w:rsid w:val="002C136B"/>
    <w:rsid w:val="002E1C86"/>
    <w:rsid w:val="00312646"/>
    <w:rsid w:val="00356226"/>
    <w:rsid w:val="00364F88"/>
    <w:rsid w:val="00366D1D"/>
    <w:rsid w:val="00367687"/>
    <w:rsid w:val="0037380B"/>
    <w:rsid w:val="00374842"/>
    <w:rsid w:val="00374FF1"/>
    <w:rsid w:val="00381E8F"/>
    <w:rsid w:val="003903C7"/>
    <w:rsid w:val="003A304D"/>
    <w:rsid w:val="003D77A9"/>
    <w:rsid w:val="003E5F7C"/>
    <w:rsid w:val="00404C45"/>
    <w:rsid w:val="00411994"/>
    <w:rsid w:val="004333D1"/>
    <w:rsid w:val="0044658E"/>
    <w:rsid w:val="0045461C"/>
    <w:rsid w:val="004577A5"/>
    <w:rsid w:val="00471793"/>
    <w:rsid w:val="004733A1"/>
    <w:rsid w:val="00474D61"/>
    <w:rsid w:val="00497E61"/>
    <w:rsid w:val="004D2570"/>
    <w:rsid w:val="004F2539"/>
    <w:rsid w:val="004F7DF0"/>
    <w:rsid w:val="00501847"/>
    <w:rsid w:val="005127A2"/>
    <w:rsid w:val="005172A6"/>
    <w:rsid w:val="00572812"/>
    <w:rsid w:val="0058415E"/>
    <w:rsid w:val="00587D5B"/>
    <w:rsid w:val="005C4D2E"/>
    <w:rsid w:val="005D1354"/>
    <w:rsid w:val="005E625F"/>
    <w:rsid w:val="00603813"/>
    <w:rsid w:val="0060507F"/>
    <w:rsid w:val="0061549E"/>
    <w:rsid w:val="0064100D"/>
    <w:rsid w:val="006418AE"/>
    <w:rsid w:val="00643AD2"/>
    <w:rsid w:val="00655644"/>
    <w:rsid w:val="00663D01"/>
    <w:rsid w:val="00666DC4"/>
    <w:rsid w:val="00695AFF"/>
    <w:rsid w:val="006A53C5"/>
    <w:rsid w:val="006B3CE0"/>
    <w:rsid w:val="006C7FD0"/>
    <w:rsid w:val="006D25AA"/>
    <w:rsid w:val="006E2487"/>
    <w:rsid w:val="006F7F0A"/>
    <w:rsid w:val="007078F8"/>
    <w:rsid w:val="0072724D"/>
    <w:rsid w:val="00752487"/>
    <w:rsid w:val="00766C39"/>
    <w:rsid w:val="00770358"/>
    <w:rsid w:val="00787833"/>
    <w:rsid w:val="0079239A"/>
    <w:rsid w:val="007B50C4"/>
    <w:rsid w:val="007C382F"/>
    <w:rsid w:val="007D4155"/>
    <w:rsid w:val="007D489F"/>
    <w:rsid w:val="007D5AFD"/>
    <w:rsid w:val="007D7560"/>
    <w:rsid w:val="007E0544"/>
    <w:rsid w:val="007F5B7E"/>
    <w:rsid w:val="00837CC7"/>
    <w:rsid w:val="00863DC6"/>
    <w:rsid w:val="00864274"/>
    <w:rsid w:val="00871517"/>
    <w:rsid w:val="00893D87"/>
    <w:rsid w:val="008A53E5"/>
    <w:rsid w:val="008A62C4"/>
    <w:rsid w:val="008B35D4"/>
    <w:rsid w:val="008B3DF0"/>
    <w:rsid w:val="008F06D8"/>
    <w:rsid w:val="00906F2C"/>
    <w:rsid w:val="009106A9"/>
    <w:rsid w:val="00913582"/>
    <w:rsid w:val="00917C92"/>
    <w:rsid w:val="00924EAA"/>
    <w:rsid w:val="00933571"/>
    <w:rsid w:val="009343EF"/>
    <w:rsid w:val="00937222"/>
    <w:rsid w:val="0094600A"/>
    <w:rsid w:val="009501DA"/>
    <w:rsid w:val="00965303"/>
    <w:rsid w:val="00971B10"/>
    <w:rsid w:val="00980754"/>
    <w:rsid w:val="00981A85"/>
    <w:rsid w:val="00983D0D"/>
    <w:rsid w:val="009A2E0A"/>
    <w:rsid w:val="009B7BF4"/>
    <w:rsid w:val="009C6174"/>
    <w:rsid w:val="009C6C00"/>
    <w:rsid w:val="009D636F"/>
    <w:rsid w:val="009E5770"/>
    <w:rsid w:val="009E73D1"/>
    <w:rsid w:val="00A01C60"/>
    <w:rsid w:val="00A22298"/>
    <w:rsid w:val="00A24B80"/>
    <w:rsid w:val="00A34923"/>
    <w:rsid w:val="00A43F27"/>
    <w:rsid w:val="00A44D95"/>
    <w:rsid w:val="00A74A94"/>
    <w:rsid w:val="00A96EAC"/>
    <w:rsid w:val="00AA59A0"/>
    <w:rsid w:val="00AE0962"/>
    <w:rsid w:val="00AE3475"/>
    <w:rsid w:val="00AE506B"/>
    <w:rsid w:val="00B07100"/>
    <w:rsid w:val="00B15EB4"/>
    <w:rsid w:val="00B34073"/>
    <w:rsid w:val="00B50C3F"/>
    <w:rsid w:val="00B77546"/>
    <w:rsid w:val="00BB3458"/>
    <w:rsid w:val="00BB52E7"/>
    <w:rsid w:val="00BC0628"/>
    <w:rsid w:val="00BD70E6"/>
    <w:rsid w:val="00BE0790"/>
    <w:rsid w:val="00BE3731"/>
    <w:rsid w:val="00BF395D"/>
    <w:rsid w:val="00BF5028"/>
    <w:rsid w:val="00C03EC2"/>
    <w:rsid w:val="00C51DFD"/>
    <w:rsid w:val="00C53441"/>
    <w:rsid w:val="00C602EB"/>
    <w:rsid w:val="00C671B3"/>
    <w:rsid w:val="00C87DAC"/>
    <w:rsid w:val="00CA621D"/>
    <w:rsid w:val="00CD7B48"/>
    <w:rsid w:val="00CE1515"/>
    <w:rsid w:val="00CF1B1D"/>
    <w:rsid w:val="00D04373"/>
    <w:rsid w:val="00D72E8B"/>
    <w:rsid w:val="00D8150C"/>
    <w:rsid w:val="00D946CC"/>
    <w:rsid w:val="00DD20B0"/>
    <w:rsid w:val="00DD2F10"/>
    <w:rsid w:val="00DD71FD"/>
    <w:rsid w:val="00DD7EE2"/>
    <w:rsid w:val="00DE7406"/>
    <w:rsid w:val="00DF0BD6"/>
    <w:rsid w:val="00E12BC3"/>
    <w:rsid w:val="00E1409F"/>
    <w:rsid w:val="00E15483"/>
    <w:rsid w:val="00E203C3"/>
    <w:rsid w:val="00E445FC"/>
    <w:rsid w:val="00E44AD4"/>
    <w:rsid w:val="00E55F65"/>
    <w:rsid w:val="00E77F80"/>
    <w:rsid w:val="00E80914"/>
    <w:rsid w:val="00EB52FD"/>
    <w:rsid w:val="00EC1259"/>
    <w:rsid w:val="00EF29A5"/>
    <w:rsid w:val="00F04D4E"/>
    <w:rsid w:val="00F152F6"/>
    <w:rsid w:val="00F17FAE"/>
    <w:rsid w:val="00F216F8"/>
    <w:rsid w:val="00F36F87"/>
    <w:rsid w:val="00F40F7A"/>
    <w:rsid w:val="00F44552"/>
    <w:rsid w:val="00FA6202"/>
    <w:rsid w:val="00FC0186"/>
    <w:rsid w:val="00FC6608"/>
    <w:rsid w:val="2722DBEE"/>
    <w:rsid w:val="326A7AED"/>
    <w:rsid w:val="39AE0344"/>
    <w:rsid w:val="4935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F771"/>
  <w15:chartTrackingRefBased/>
  <w15:docId w15:val="{E5E789CE-3AB4-435A-9A6A-DDF5481D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186"/>
    <w:pPr>
      <w:spacing w:after="0" w:line="276" w:lineRule="auto"/>
    </w:pPr>
    <w:rPr>
      <w:rFonts w:ascii="Arial" w:eastAsia="Arial" w:hAnsi="Arial" w:cs="Arial"/>
      <w:lang w:val="es" w:eastAsia="es-CO"/>
    </w:rPr>
  </w:style>
  <w:style w:type="paragraph" w:styleId="Ttulo1">
    <w:name w:val="heading 1"/>
    <w:basedOn w:val="Normal"/>
    <w:next w:val="Normal"/>
    <w:link w:val="Ttulo1Car"/>
    <w:uiPriority w:val="9"/>
    <w:qFormat/>
    <w:rsid w:val="0094600A"/>
    <w:pPr>
      <w:keepNext/>
      <w:keepLines/>
      <w:spacing w:before="400" w:after="120"/>
      <w:outlineLvl w:val="0"/>
    </w:pPr>
    <w:rPr>
      <w:sz w:val="40"/>
      <w:szCs w:val="40"/>
    </w:rPr>
  </w:style>
  <w:style w:type="paragraph" w:styleId="Ttulo2">
    <w:name w:val="heading 2"/>
    <w:basedOn w:val="Normal"/>
    <w:next w:val="Normal"/>
    <w:link w:val="Ttulo2Car"/>
    <w:uiPriority w:val="9"/>
    <w:semiHidden/>
    <w:unhideWhenUsed/>
    <w:qFormat/>
    <w:rsid w:val="0094600A"/>
    <w:pPr>
      <w:keepNext/>
      <w:keepLines/>
      <w:spacing w:before="360" w:after="120"/>
      <w:outlineLvl w:val="1"/>
    </w:pPr>
    <w:rPr>
      <w:sz w:val="32"/>
      <w:szCs w:val="32"/>
    </w:rPr>
  </w:style>
  <w:style w:type="paragraph" w:styleId="Ttulo3">
    <w:name w:val="heading 3"/>
    <w:basedOn w:val="Normal"/>
    <w:next w:val="Normal"/>
    <w:link w:val="Ttulo3Car"/>
    <w:uiPriority w:val="9"/>
    <w:semiHidden/>
    <w:unhideWhenUsed/>
    <w:qFormat/>
    <w:rsid w:val="0094600A"/>
    <w:pPr>
      <w:keepNext/>
      <w:keepLines/>
      <w:spacing w:before="320" w:after="80"/>
      <w:outlineLvl w:val="2"/>
    </w:pPr>
    <w:rPr>
      <w:color w:val="434343"/>
      <w:sz w:val="28"/>
      <w:szCs w:val="28"/>
    </w:rPr>
  </w:style>
  <w:style w:type="paragraph" w:styleId="Ttulo4">
    <w:name w:val="heading 4"/>
    <w:basedOn w:val="Normal"/>
    <w:next w:val="Normal"/>
    <w:link w:val="Ttulo4Car"/>
    <w:uiPriority w:val="9"/>
    <w:semiHidden/>
    <w:unhideWhenUsed/>
    <w:qFormat/>
    <w:rsid w:val="0094600A"/>
    <w:pPr>
      <w:keepNext/>
      <w:keepLines/>
      <w:spacing w:before="280" w:after="80"/>
      <w:outlineLvl w:val="3"/>
    </w:pPr>
    <w:rPr>
      <w:color w:val="666666"/>
      <w:sz w:val="24"/>
      <w:szCs w:val="24"/>
    </w:rPr>
  </w:style>
  <w:style w:type="paragraph" w:styleId="Ttulo5">
    <w:name w:val="heading 5"/>
    <w:basedOn w:val="Normal"/>
    <w:next w:val="Normal"/>
    <w:link w:val="Ttulo5Car"/>
    <w:uiPriority w:val="9"/>
    <w:semiHidden/>
    <w:unhideWhenUsed/>
    <w:qFormat/>
    <w:rsid w:val="0094600A"/>
    <w:pPr>
      <w:keepNext/>
      <w:keepLines/>
      <w:spacing w:before="240" w:after="80"/>
      <w:outlineLvl w:val="4"/>
    </w:pPr>
    <w:rPr>
      <w:color w:val="666666"/>
    </w:rPr>
  </w:style>
  <w:style w:type="paragraph" w:styleId="Ttulo6">
    <w:name w:val="heading 6"/>
    <w:basedOn w:val="Normal"/>
    <w:next w:val="Normal"/>
    <w:link w:val="Ttulo6Car"/>
    <w:uiPriority w:val="9"/>
    <w:semiHidden/>
    <w:unhideWhenUsed/>
    <w:qFormat/>
    <w:rsid w:val="0094600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600A"/>
    <w:rPr>
      <w:rFonts w:ascii="Arial" w:eastAsia="Arial" w:hAnsi="Arial" w:cs="Arial"/>
      <w:sz w:val="40"/>
      <w:szCs w:val="40"/>
      <w:lang w:val="es" w:eastAsia="es-CO"/>
    </w:rPr>
  </w:style>
  <w:style w:type="character" w:customStyle="1" w:styleId="Ttulo2Car">
    <w:name w:val="Título 2 Car"/>
    <w:basedOn w:val="Fuentedeprrafopredeter"/>
    <w:link w:val="Ttulo2"/>
    <w:uiPriority w:val="9"/>
    <w:semiHidden/>
    <w:rsid w:val="0094600A"/>
    <w:rPr>
      <w:rFonts w:ascii="Arial" w:eastAsia="Arial" w:hAnsi="Arial" w:cs="Arial"/>
      <w:sz w:val="32"/>
      <w:szCs w:val="32"/>
      <w:lang w:val="es" w:eastAsia="es-CO"/>
    </w:rPr>
  </w:style>
  <w:style w:type="character" w:customStyle="1" w:styleId="Ttulo3Car">
    <w:name w:val="Título 3 Car"/>
    <w:basedOn w:val="Fuentedeprrafopredeter"/>
    <w:link w:val="Ttulo3"/>
    <w:uiPriority w:val="9"/>
    <w:semiHidden/>
    <w:rsid w:val="0094600A"/>
    <w:rPr>
      <w:rFonts w:ascii="Arial" w:eastAsia="Arial" w:hAnsi="Arial" w:cs="Arial"/>
      <w:color w:val="434343"/>
      <w:sz w:val="28"/>
      <w:szCs w:val="28"/>
      <w:lang w:val="es" w:eastAsia="es-CO"/>
    </w:rPr>
  </w:style>
  <w:style w:type="character" w:customStyle="1" w:styleId="Ttulo4Car">
    <w:name w:val="Título 4 Car"/>
    <w:basedOn w:val="Fuentedeprrafopredeter"/>
    <w:link w:val="Ttulo4"/>
    <w:uiPriority w:val="9"/>
    <w:semiHidden/>
    <w:rsid w:val="0094600A"/>
    <w:rPr>
      <w:rFonts w:ascii="Arial" w:eastAsia="Arial" w:hAnsi="Arial" w:cs="Arial"/>
      <w:color w:val="666666"/>
      <w:sz w:val="24"/>
      <w:szCs w:val="24"/>
      <w:lang w:val="es" w:eastAsia="es-CO"/>
    </w:rPr>
  </w:style>
  <w:style w:type="character" w:customStyle="1" w:styleId="Ttulo5Car">
    <w:name w:val="Título 5 Car"/>
    <w:basedOn w:val="Fuentedeprrafopredeter"/>
    <w:link w:val="Ttulo5"/>
    <w:uiPriority w:val="9"/>
    <w:semiHidden/>
    <w:rsid w:val="0094600A"/>
    <w:rPr>
      <w:rFonts w:ascii="Arial" w:eastAsia="Arial" w:hAnsi="Arial" w:cs="Arial"/>
      <w:color w:val="666666"/>
      <w:lang w:val="es" w:eastAsia="es-CO"/>
    </w:rPr>
  </w:style>
  <w:style w:type="character" w:customStyle="1" w:styleId="Ttulo6Car">
    <w:name w:val="Título 6 Car"/>
    <w:basedOn w:val="Fuentedeprrafopredeter"/>
    <w:link w:val="Ttulo6"/>
    <w:uiPriority w:val="9"/>
    <w:semiHidden/>
    <w:rsid w:val="0094600A"/>
    <w:rPr>
      <w:rFonts w:ascii="Arial" w:eastAsia="Arial" w:hAnsi="Arial" w:cs="Arial"/>
      <w:i/>
      <w:color w:val="666666"/>
      <w:lang w:val="es" w:eastAsia="es-CO"/>
    </w:rPr>
  </w:style>
  <w:style w:type="table" w:customStyle="1" w:styleId="NormalTable0">
    <w:name w:val="Normal Table0"/>
    <w:rsid w:val="0094600A"/>
    <w:pPr>
      <w:spacing w:after="0" w:line="276" w:lineRule="auto"/>
    </w:pPr>
    <w:rPr>
      <w:rFonts w:ascii="Arial" w:eastAsia="Arial" w:hAnsi="Arial" w:cs="Arial"/>
      <w:lang w:val="es"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94600A"/>
    <w:pPr>
      <w:keepNext/>
      <w:keepLines/>
      <w:spacing w:after="60"/>
    </w:pPr>
    <w:rPr>
      <w:sz w:val="52"/>
      <w:szCs w:val="52"/>
    </w:rPr>
  </w:style>
  <w:style w:type="character" w:customStyle="1" w:styleId="TtuloCar">
    <w:name w:val="Título Car"/>
    <w:basedOn w:val="Fuentedeprrafopredeter"/>
    <w:link w:val="Ttulo"/>
    <w:uiPriority w:val="10"/>
    <w:rsid w:val="0094600A"/>
    <w:rPr>
      <w:rFonts w:ascii="Arial" w:eastAsia="Arial" w:hAnsi="Arial" w:cs="Arial"/>
      <w:sz w:val="52"/>
      <w:szCs w:val="52"/>
      <w:lang w:val="es" w:eastAsia="es-CO"/>
    </w:rPr>
  </w:style>
  <w:style w:type="table" w:customStyle="1" w:styleId="NormalTable1">
    <w:name w:val="Normal Table1"/>
    <w:rsid w:val="0094600A"/>
    <w:pPr>
      <w:spacing w:after="0" w:line="276" w:lineRule="auto"/>
    </w:pPr>
    <w:rPr>
      <w:rFonts w:ascii="Arial" w:eastAsia="Arial" w:hAnsi="Arial" w:cs="Arial"/>
      <w:lang w:val="es" w:eastAsia="es-CO"/>
    </w:rPr>
    <w:tblPr>
      <w:tblCellMar>
        <w:top w:w="0" w:type="dxa"/>
        <w:left w:w="0" w:type="dxa"/>
        <w:bottom w:w="0" w:type="dxa"/>
        <w:right w:w="0" w:type="dxa"/>
      </w:tblCellMar>
    </w:tblPr>
  </w:style>
  <w:style w:type="table" w:customStyle="1" w:styleId="TableNormal0">
    <w:name w:val="Table Normal0"/>
    <w:rsid w:val="0094600A"/>
    <w:pPr>
      <w:spacing w:after="0" w:line="276" w:lineRule="auto"/>
    </w:pPr>
    <w:rPr>
      <w:rFonts w:ascii="Arial" w:eastAsia="Arial" w:hAnsi="Arial" w:cs="Arial"/>
      <w:lang w:val="es" w:eastAsia="es-CO"/>
    </w:rPr>
    <w:tblPr>
      <w:tblCellMar>
        <w:top w:w="0" w:type="dxa"/>
        <w:left w:w="0" w:type="dxa"/>
        <w:bottom w:w="0" w:type="dxa"/>
        <w:right w:w="0" w:type="dxa"/>
      </w:tblCellMar>
    </w:tblPr>
  </w:style>
  <w:style w:type="paragraph" w:styleId="Subttulo">
    <w:name w:val="Subtitle"/>
    <w:basedOn w:val="Normal"/>
    <w:next w:val="Normal"/>
    <w:link w:val="SubttuloCar"/>
    <w:uiPriority w:val="11"/>
    <w:qFormat/>
    <w:rsid w:val="0094600A"/>
    <w:pPr>
      <w:keepNext/>
      <w:keepLines/>
      <w:spacing w:after="320"/>
    </w:pPr>
    <w:rPr>
      <w:color w:val="666666"/>
      <w:sz w:val="30"/>
      <w:szCs w:val="30"/>
    </w:rPr>
  </w:style>
  <w:style w:type="character" w:customStyle="1" w:styleId="SubttuloCar">
    <w:name w:val="Subtítulo Car"/>
    <w:basedOn w:val="Fuentedeprrafopredeter"/>
    <w:link w:val="Subttulo"/>
    <w:uiPriority w:val="11"/>
    <w:rsid w:val="0094600A"/>
    <w:rPr>
      <w:rFonts w:ascii="Arial" w:eastAsia="Arial" w:hAnsi="Arial" w:cs="Arial"/>
      <w:color w:val="666666"/>
      <w:sz w:val="30"/>
      <w:szCs w:val="30"/>
      <w:lang w:val="es"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ootnote Text Char"/>
    <w:basedOn w:val="Normal"/>
    <w:link w:val="TextonotapieCar"/>
    <w:uiPriority w:val="99"/>
    <w:semiHidden/>
    <w:unhideWhenUsed/>
    <w:qFormat/>
    <w:rsid w:val="0094600A"/>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semiHidden/>
    <w:qFormat/>
    <w:rsid w:val="0094600A"/>
    <w:rPr>
      <w:rFonts w:ascii="Arial" w:eastAsia="Arial" w:hAnsi="Arial" w:cs="Arial"/>
      <w:sz w:val="20"/>
      <w:szCs w:val="20"/>
      <w:lang w:val="es" w:eastAsia="es-CO"/>
    </w:rPr>
  </w:style>
  <w:style w:type="character" w:styleId="Refdenotaalpie">
    <w:name w:val="footnote reference"/>
    <w:aliases w:val="Texto de nota al pie,FC,Footnotes refss,Appel note de bas de page,referencia nota al pie,Footnote number,BVI fnr,f,Ref. de nota al pie 2,Fago Fußnotenzeichen,4_G,16 Point,Superscript 6 Point,Ref,de nota al pie,Footnote symbol,Footnot"/>
    <w:basedOn w:val="Fuentedeprrafopredeter"/>
    <w:link w:val="Refdenotaalpie2"/>
    <w:uiPriority w:val="99"/>
    <w:unhideWhenUsed/>
    <w:qFormat/>
    <w:rsid w:val="0094600A"/>
    <w:rPr>
      <w:vertAlign w:val="superscript"/>
    </w:rPr>
  </w:style>
  <w:style w:type="paragraph" w:styleId="Prrafodelista">
    <w:name w:val="List Paragraph"/>
    <w:basedOn w:val="Normal"/>
    <w:uiPriority w:val="34"/>
    <w:qFormat/>
    <w:rsid w:val="0094600A"/>
    <w:pPr>
      <w:ind w:left="720"/>
      <w:contextualSpacing/>
    </w:pPr>
  </w:style>
  <w:style w:type="character" w:styleId="Refdenotaalfinal">
    <w:name w:val="endnote reference"/>
    <w:basedOn w:val="Fuentedeprrafopredeter"/>
    <w:uiPriority w:val="99"/>
    <w:semiHidden/>
    <w:unhideWhenUsed/>
    <w:rsid w:val="0094600A"/>
    <w:rPr>
      <w:vertAlign w:val="superscript"/>
    </w:rPr>
  </w:style>
  <w:style w:type="table" w:styleId="Tablaconcuadrcula">
    <w:name w:val="Table Grid"/>
    <w:basedOn w:val="Tablanormal"/>
    <w:uiPriority w:val="59"/>
    <w:rsid w:val="0094600A"/>
    <w:pPr>
      <w:spacing w:after="0" w:line="240" w:lineRule="auto"/>
    </w:pPr>
    <w:rPr>
      <w:rFonts w:ascii="Arial" w:eastAsia="Arial" w:hAnsi="Arial" w:cs="Arial"/>
      <w:lang w:val="es"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rsid w:val="0094600A"/>
  </w:style>
  <w:style w:type="paragraph" w:styleId="Encabezado">
    <w:name w:val="header"/>
    <w:basedOn w:val="Normal"/>
    <w:link w:val="EncabezadoCar"/>
    <w:uiPriority w:val="99"/>
    <w:unhideWhenUsed/>
    <w:rsid w:val="0094600A"/>
    <w:pPr>
      <w:tabs>
        <w:tab w:val="center" w:pos="4680"/>
        <w:tab w:val="right" w:pos="9360"/>
      </w:tabs>
      <w:spacing w:line="240" w:lineRule="auto"/>
    </w:pPr>
    <w:rPr>
      <w:rFonts w:asciiTheme="minorHAnsi" w:eastAsiaTheme="minorHAnsi" w:hAnsiTheme="minorHAnsi" w:cstheme="minorBidi"/>
      <w:lang w:val="en-US" w:eastAsia="en-US"/>
    </w:rPr>
  </w:style>
  <w:style w:type="character" w:customStyle="1" w:styleId="EncabezadoCar1">
    <w:name w:val="Encabezado Car1"/>
    <w:basedOn w:val="Fuentedeprrafopredeter"/>
    <w:uiPriority w:val="99"/>
    <w:semiHidden/>
    <w:rsid w:val="0094600A"/>
    <w:rPr>
      <w:rFonts w:ascii="Arial" w:eastAsia="Arial" w:hAnsi="Arial" w:cs="Arial"/>
      <w:lang w:val="es" w:eastAsia="es-CO"/>
    </w:rPr>
  </w:style>
  <w:style w:type="character" w:customStyle="1" w:styleId="PiedepginaCar">
    <w:name w:val="Pie de página Car"/>
    <w:basedOn w:val="Fuentedeprrafopredeter"/>
    <w:link w:val="Piedepgina"/>
    <w:uiPriority w:val="99"/>
    <w:rsid w:val="0094600A"/>
  </w:style>
  <w:style w:type="paragraph" w:styleId="Piedepgina">
    <w:name w:val="footer"/>
    <w:basedOn w:val="Normal"/>
    <w:link w:val="PiedepginaCar"/>
    <w:uiPriority w:val="99"/>
    <w:unhideWhenUsed/>
    <w:rsid w:val="0094600A"/>
    <w:pPr>
      <w:tabs>
        <w:tab w:val="center" w:pos="4680"/>
        <w:tab w:val="right" w:pos="9360"/>
      </w:tabs>
      <w:spacing w:line="240" w:lineRule="auto"/>
    </w:pPr>
    <w:rPr>
      <w:rFonts w:asciiTheme="minorHAnsi" w:eastAsiaTheme="minorHAnsi" w:hAnsiTheme="minorHAnsi" w:cstheme="minorBidi"/>
      <w:lang w:val="en-US" w:eastAsia="en-US"/>
    </w:rPr>
  </w:style>
  <w:style w:type="character" w:customStyle="1" w:styleId="PiedepginaCar1">
    <w:name w:val="Pie de página Car1"/>
    <w:basedOn w:val="Fuentedeprrafopredeter"/>
    <w:uiPriority w:val="99"/>
    <w:semiHidden/>
    <w:rsid w:val="0094600A"/>
    <w:rPr>
      <w:rFonts w:ascii="Arial" w:eastAsia="Arial" w:hAnsi="Arial" w:cs="Arial"/>
      <w:lang w:val="es" w:eastAsia="es-CO"/>
    </w:rPr>
  </w:style>
  <w:style w:type="paragraph" w:customStyle="1" w:styleId="Refdenotaalpie2">
    <w:name w:val="Ref. de nota al pie2"/>
    <w:aliases w:val="Nota de pie,Pie de pagina"/>
    <w:basedOn w:val="Normal"/>
    <w:link w:val="Refdenotaalpie"/>
    <w:uiPriority w:val="99"/>
    <w:rsid w:val="0094600A"/>
    <w:pPr>
      <w:spacing w:after="160" w:line="240" w:lineRule="exact"/>
    </w:pPr>
    <w:rPr>
      <w:rFonts w:asciiTheme="minorHAnsi" w:eastAsiaTheme="minorHAnsi" w:hAnsiTheme="minorHAnsi" w:cstheme="minorBidi"/>
      <w:vertAlign w:val="superscript"/>
      <w:lang w:val="en-US" w:eastAsia="en-US"/>
    </w:rPr>
  </w:style>
  <w:style w:type="character" w:styleId="Hipervnculo">
    <w:name w:val="Hyperlink"/>
    <w:basedOn w:val="Fuentedeprrafopredeter"/>
    <w:uiPriority w:val="99"/>
    <w:unhideWhenUsed/>
    <w:rsid w:val="0094600A"/>
    <w:rPr>
      <w:color w:val="0563C1" w:themeColor="hyperlink"/>
      <w:u w:val="single"/>
    </w:rPr>
  </w:style>
  <w:style w:type="character" w:customStyle="1" w:styleId="Mencinsinresolver1">
    <w:name w:val="Mención sin resolver1"/>
    <w:basedOn w:val="Fuentedeprrafopredeter"/>
    <w:uiPriority w:val="99"/>
    <w:semiHidden/>
    <w:unhideWhenUsed/>
    <w:rsid w:val="0094600A"/>
    <w:rPr>
      <w:color w:val="605E5C"/>
      <w:shd w:val="clear" w:color="auto" w:fill="E1DFDD"/>
    </w:rPr>
  </w:style>
  <w:style w:type="paragraph" w:styleId="NormalWeb">
    <w:name w:val="Normal (Web)"/>
    <w:basedOn w:val="Normal"/>
    <w:uiPriority w:val="99"/>
    <w:semiHidden/>
    <w:unhideWhenUsed/>
    <w:rsid w:val="0094600A"/>
    <w:rPr>
      <w:rFonts w:ascii="Times New Roman" w:hAnsi="Times New Roman" w:cs="Times New Roman"/>
      <w:sz w:val="24"/>
      <w:szCs w:val="24"/>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Arial" w:eastAsia="Arial" w:hAnsi="Arial" w:cs="Arial"/>
      <w:sz w:val="20"/>
      <w:szCs w:val="20"/>
      <w:lang w:val="es" w:eastAsia="es-CO"/>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465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658E"/>
    <w:rPr>
      <w:rFonts w:ascii="Segoe UI" w:eastAsia="Arial" w:hAnsi="Segoe UI" w:cs="Segoe UI"/>
      <w:sz w:val="18"/>
      <w:szCs w:val="18"/>
      <w:lang w:val="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877678fe494047ca"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2a54a552194392007c71d66290d537c6">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4869e3f5828ed557c8962221d789dedd"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B296-C3B8-4E12-B507-D7D1F2B82BF6}">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ADE0B07A-6EBE-439F-884C-EA172396F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9A622-A376-4B62-BDB5-CF5D7DC5AD7C}">
  <ds:schemaRefs>
    <ds:schemaRef ds:uri="http://schemas.microsoft.com/sharepoint/v3/contenttype/forms"/>
  </ds:schemaRefs>
</ds:datastoreItem>
</file>

<file path=customXml/itemProps4.xml><?xml version="1.0" encoding="utf-8"?>
<ds:datastoreItem xmlns:ds="http://schemas.openxmlformats.org/officeDocument/2006/customXml" ds:itemID="{AEB82D87-3037-456E-89DF-97840FAA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15</Pages>
  <Words>5676</Words>
  <Characters>32358</Characters>
  <Application>Microsoft Office Word</Application>
  <DocSecurity>0</DocSecurity>
  <Lines>269</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Ospina Grisales</dc:creator>
  <cp:keywords/>
  <dc:description/>
  <cp:lastModifiedBy>samsung</cp:lastModifiedBy>
  <cp:revision>21</cp:revision>
  <dcterms:created xsi:type="dcterms:W3CDTF">2023-07-04T13:34:00Z</dcterms:created>
  <dcterms:modified xsi:type="dcterms:W3CDTF">2023-09-15T15:58:00Z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44f16160-503a-490a-b46c-d0e7eeafb41f</vt:lpwstr>
  </property>
  <property fmtid="{D5CDD505-2E9C-101B-9397-08002B2CF9AE}" pid="3" name="ContentTypeId">
    <vt:lpwstr>0x010100CCD5AFAD2AB8B04697BA6D3B76A92F30</vt:lpwstr>
  </property>
  <property fmtid="{D5CDD505-2E9C-101B-9397-08002B2CF9AE}" pid="4" name="MediaServiceImageTags">
    <vt:lpwstr/>
  </property>
</Properties>
</file>