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53D3" w14:textId="38A2D3AA" w:rsidR="00597763" w:rsidRPr="00597763" w:rsidRDefault="00597763" w:rsidP="00597763">
      <w:pPr>
        <w:overflowPunct/>
        <w:autoSpaceDE/>
        <w:autoSpaceDN/>
        <w:adjustRightInd/>
        <w:jc w:val="both"/>
        <w:textAlignment w:val="auto"/>
        <w:rPr>
          <w:rFonts w:ascii="Arial" w:eastAsia="Calibri" w:hAnsi="Arial" w:cs="Arial"/>
          <w:b/>
          <w:noProof/>
          <w:szCs w:val="22"/>
          <w:lang w:val="es-CO" w:eastAsia="en-US"/>
        </w:rPr>
      </w:pPr>
      <w:r>
        <w:rPr>
          <w:rFonts w:ascii="Arial" w:eastAsia="Calibri" w:hAnsi="Arial" w:cs="Arial"/>
          <w:b/>
          <w:noProof/>
          <w:szCs w:val="22"/>
          <w:lang w:val="es-CO" w:eastAsia="en-US"/>
        </w:rPr>
        <w:t>DEBIDO PROCESO / TUTELA CONTRA DECISIÓN JUDICIAL</w:t>
      </w:r>
    </w:p>
    <w:p w14:paraId="5E262381" w14:textId="190E81EE" w:rsidR="00597763" w:rsidRPr="00597763" w:rsidRDefault="00597763" w:rsidP="00597763">
      <w:pPr>
        <w:overflowPunct/>
        <w:autoSpaceDE/>
        <w:autoSpaceDN/>
        <w:adjustRightInd/>
        <w:jc w:val="both"/>
        <w:textAlignment w:val="auto"/>
        <w:rPr>
          <w:rFonts w:ascii="Arial" w:eastAsia="Calibri" w:hAnsi="Arial" w:cs="Arial"/>
          <w:noProof/>
          <w:szCs w:val="22"/>
          <w:lang w:val="es-CO" w:eastAsia="en-US"/>
        </w:rPr>
      </w:pPr>
      <w:r w:rsidRPr="00597763">
        <w:rPr>
          <w:rFonts w:ascii="Arial" w:eastAsia="Calibri" w:hAnsi="Arial" w:cs="Arial"/>
          <w:noProof/>
          <w:szCs w:val="22"/>
          <w:lang w:val="es-CO" w:eastAsia="en-US"/>
        </w:rPr>
        <w:t>La demanda se resume a que, en el proceso de resolución de contrato con radicado 661703103001-2022-00401-00, en audiencia celebrada el 22 de junio de 2023 “(…) mediante sentencia en equidad del día 22 de junio de 2023 surtida por el juez del Juzgado Civil del Circuito de Dosquebradas el doctor Rodrigo Ramos García se niega el derecho a la doble instancia y al debido proceso siendo este una grave afectación para las partes del proceso (…)”.</w:t>
      </w:r>
    </w:p>
    <w:p w14:paraId="72462494" w14:textId="77777777" w:rsidR="00597763" w:rsidRPr="00597763" w:rsidRDefault="00597763" w:rsidP="00597763">
      <w:pPr>
        <w:overflowPunct/>
        <w:autoSpaceDE/>
        <w:autoSpaceDN/>
        <w:adjustRightInd/>
        <w:jc w:val="both"/>
        <w:textAlignment w:val="auto"/>
        <w:rPr>
          <w:rFonts w:ascii="Arial" w:eastAsia="Calibri" w:hAnsi="Arial" w:cs="Arial"/>
          <w:noProof/>
          <w:szCs w:val="22"/>
          <w:lang w:val="es-CO" w:eastAsia="en-US"/>
        </w:rPr>
      </w:pPr>
    </w:p>
    <w:p w14:paraId="56209FE9" w14:textId="77777777" w:rsidR="00634272" w:rsidRPr="00205715" w:rsidRDefault="00634272" w:rsidP="00634272">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REQUISITOS GENERALES Y ESPECÍFICOS DE PROCEDIBILIDAD</w:t>
      </w:r>
    </w:p>
    <w:p w14:paraId="3CA380BE" w14:textId="3DEA5177" w:rsidR="00634272" w:rsidRPr="00285173" w:rsidRDefault="00634272" w:rsidP="00634272">
      <w:pPr>
        <w:pStyle w:val="Encabezado"/>
        <w:tabs>
          <w:tab w:val="clear" w:pos="4419"/>
          <w:tab w:val="left" w:pos="2175"/>
          <w:tab w:val="center" w:pos="4420"/>
        </w:tabs>
        <w:jc w:val="both"/>
        <w:rPr>
          <w:rFonts w:ascii="Arial" w:hAnsi="Arial" w:cs="Arial"/>
          <w:noProof/>
          <w:szCs w:val="24"/>
        </w:rPr>
      </w:pPr>
      <w:r>
        <w:rPr>
          <w:rFonts w:ascii="Arial" w:hAnsi="Arial" w:cs="Arial"/>
          <w:noProof/>
          <w:szCs w:val="24"/>
        </w:rPr>
        <w:t>R</w:t>
      </w:r>
      <w:r w:rsidRPr="00285173">
        <w:rPr>
          <w:rFonts w:ascii="Arial" w:hAnsi="Arial" w:cs="Arial"/>
          <w:noProof/>
          <w:szCs w:val="24"/>
        </w:rPr>
        <w:t>eiteradamente se ha expuesto que a pesar de la inexequibilidad de las normas que en el Decreto 2591 de 1991 preveían la improcedencia de la acción de tutela contra providencias judiciales,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0CC39F0D" w14:textId="77777777" w:rsidR="00597763" w:rsidRPr="00634272" w:rsidRDefault="00597763" w:rsidP="00597763">
      <w:pPr>
        <w:overflowPunct/>
        <w:autoSpaceDE/>
        <w:autoSpaceDN/>
        <w:adjustRightInd/>
        <w:jc w:val="both"/>
        <w:textAlignment w:val="auto"/>
        <w:rPr>
          <w:rFonts w:ascii="Arial" w:eastAsia="Calibri" w:hAnsi="Arial" w:cs="Arial"/>
          <w:noProof/>
          <w:szCs w:val="22"/>
          <w:lang w:eastAsia="en-US"/>
        </w:rPr>
      </w:pPr>
    </w:p>
    <w:p w14:paraId="0491D760" w14:textId="450FFA16" w:rsidR="001671F8" w:rsidRPr="00205715" w:rsidRDefault="001671F8" w:rsidP="001671F8">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DEFECTO SUSTANTIVO</w:t>
      </w:r>
    </w:p>
    <w:p w14:paraId="3D56A0E1" w14:textId="1851FD08" w:rsidR="00597763" w:rsidRPr="00597763" w:rsidRDefault="001671F8" w:rsidP="00597763">
      <w:pPr>
        <w:overflowPunct/>
        <w:autoSpaceDE/>
        <w:autoSpaceDN/>
        <w:adjustRightInd/>
        <w:jc w:val="both"/>
        <w:textAlignment w:val="auto"/>
        <w:rPr>
          <w:rFonts w:ascii="Arial" w:eastAsia="Calibri" w:hAnsi="Arial" w:cs="Arial"/>
          <w:noProof/>
          <w:szCs w:val="22"/>
          <w:lang w:val="es-CO" w:eastAsia="en-US"/>
        </w:rPr>
      </w:pPr>
      <w:r>
        <w:rPr>
          <w:rFonts w:ascii="Arial" w:eastAsia="Calibri" w:hAnsi="Arial" w:cs="Arial"/>
          <w:noProof/>
          <w:szCs w:val="22"/>
          <w:lang w:val="es-CO" w:eastAsia="en-US"/>
        </w:rPr>
        <w:t xml:space="preserve">… </w:t>
      </w:r>
      <w:r w:rsidRPr="001671F8">
        <w:rPr>
          <w:rFonts w:ascii="Arial" w:eastAsia="Calibri" w:hAnsi="Arial" w:cs="Arial"/>
          <w:noProof/>
          <w:szCs w:val="22"/>
          <w:lang w:val="es-CO" w:eastAsia="en-US"/>
        </w:rPr>
        <w:t>como lo que se alega es la particular culminación del proceso, mediante sentencia en equidad, y entonces, una indebida interpretación del numeral 1° del artículo 43 del CGP, la queja se enmarca en un presunto defecto sustantivo que ocurre cuando “(…) el juez “en ejercicio de su autonomía e independencia, desborda la Constitución o la ley en desconocimiento de los principios, derechos y deberes superiores”. Lo cual puede ocurrir, entre otros, por la errónea interpretación o aplicación de la norma. Como puede suceder, por ejemplo, cuando se desborda el contenido de la norma y se imponen mayores barreras a las exigidas por el legislador para conceder el derecho o se desconocen normas que debían aplicarse.”</w:t>
      </w:r>
    </w:p>
    <w:p w14:paraId="33EC161D" w14:textId="77777777" w:rsidR="00597763" w:rsidRPr="00597763" w:rsidRDefault="00597763" w:rsidP="00597763">
      <w:pPr>
        <w:overflowPunct/>
        <w:autoSpaceDE/>
        <w:autoSpaceDN/>
        <w:adjustRightInd/>
        <w:jc w:val="both"/>
        <w:textAlignment w:val="auto"/>
        <w:rPr>
          <w:rFonts w:ascii="Arial" w:eastAsia="Calibri" w:hAnsi="Arial" w:cs="Arial"/>
          <w:noProof/>
          <w:szCs w:val="22"/>
          <w:lang w:val="es-CO" w:eastAsia="en-US"/>
        </w:rPr>
      </w:pPr>
    </w:p>
    <w:p w14:paraId="2DB8FBA3" w14:textId="7390943A" w:rsidR="006E3255" w:rsidRPr="00205715" w:rsidRDefault="006E3255" w:rsidP="006E3255">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SENTENCIA EN EQUIDAD / REQUISITOS</w:t>
      </w:r>
    </w:p>
    <w:p w14:paraId="799256D6" w14:textId="665F3D36" w:rsidR="00597763" w:rsidRDefault="006E3255" w:rsidP="006E3255">
      <w:pPr>
        <w:overflowPunct/>
        <w:autoSpaceDE/>
        <w:autoSpaceDN/>
        <w:adjustRightInd/>
        <w:jc w:val="both"/>
        <w:textAlignment w:val="auto"/>
        <w:rPr>
          <w:rFonts w:ascii="Arial" w:eastAsia="Calibri" w:hAnsi="Arial" w:cs="Arial"/>
          <w:noProof/>
          <w:szCs w:val="22"/>
          <w:lang w:val="es-CO" w:eastAsia="en-US"/>
        </w:rPr>
      </w:pPr>
      <w:r>
        <w:rPr>
          <w:rFonts w:ascii="Arial" w:eastAsia="Calibri" w:hAnsi="Arial" w:cs="Arial"/>
          <w:noProof/>
          <w:szCs w:val="22"/>
          <w:lang w:val="es-CO" w:eastAsia="en-US"/>
        </w:rPr>
        <w:t xml:space="preserve">… </w:t>
      </w:r>
      <w:r w:rsidRPr="006E3255">
        <w:rPr>
          <w:rFonts w:ascii="Arial" w:eastAsia="Calibri" w:hAnsi="Arial" w:cs="Arial"/>
          <w:noProof/>
          <w:szCs w:val="22"/>
          <w:lang w:val="es-CO" w:eastAsia="en-US"/>
        </w:rPr>
        <w:t>la razón está de parte de la accionante, porque distinto a lo que aduce el funcionario, en el juicio que tramitó, no se daban las condiciones para proferir sentencia en equidad. Establece el numeral 1° del artículo 43 del CGP que:</w:t>
      </w:r>
      <w:r>
        <w:rPr>
          <w:rFonts w:ascii="Arial" w:eastAsia="Calibri" w:hAnsi="Arial" w:cs="Arial"/>
          <w:noProof/>
          <w:szCs w:val="22"/>
          <w:lang w:val="es-CO" w:eastAsia="en-US"/>
        </w:rPr>
        <w:t xml:space="preserve"> “</w:t>
      </w:r>
      <w:r w:rsidRPr="006E3255">
        <w:rPr>
          <w:rFonts w:ascii="Arial" w:eastAsia="Calibri" w:hAnsi="Arial" w:cs="Arial"/>
          <w:noProof/>
          <w:szCs w:val="22"/>
          <w:lang w:val="es-CO" w:eastAsia="en-US"/>
        </w:rPr>
        <w:t>El juez tendrá los siguientes poderes de ordenación e instrucción:</w:t>
      </w:r>
      <w:r>
        <w:rPr>
          <w:rFonts w:ascii="Arial" w:eastAsia="Calibri" w:hAnsi="Arial" w:cs="Arial"/>
          <w:noProof/>
          <w:szCs w:val="22"/>
          <w:lang w:val="es-CO" w:eastAsia="en-US"/>
        </w:rPr>
        <w:t xml:space="preserve"> </w:t>
      </w:r>
      <w:r w:rsidRPr="006E3255">
        <w:rPr>
          <w:rFonts w:ascii="Arial" w:eastAsia="Calibri" w:hAnsi="Arial" w:cs="Arial"/>
          <w:noProof/>
          <w:szCs w:val="22"/>
          <w:lang w:val="es-CO" w:eastAsia="en-US"/>
        </w:rPr>
        <w:t>1. Resolver los procesos en equidad si versan sobre derechos disponibles, las partes lo solicitan y son capaces, o la ley lo autoriza.</w:t>
      </w:r>
      <w:r>
        <w:rPr>
          <w:rFonts w:ascii="Arial" w:eastAsia="Calibri" w:hAnsi="Arial" w:cs="Arial"/>
          <w:noProof/>
          <w:szCs w:val="22"/>
          <w:lang w:val="es-CO" w:eastAsia="en-US"/>
        </w:rPr>
        <w:t>”</w:t>
      </w:r>
    </w:p>
    <w:p w14:paraId="5BB24CBD" w14:textId="77777777" w:rsidR="006E3255" w:rsidRPr="006E3255" w:rsidRDefault="006E3255" w:rsidP="006E3255">
      <w:pPr>
        <w:overflowPunct/>
        <w:autoSpaceDE/>
        <w:autoSpaceDN/>
        <w:adjustRightInd/>
        <w:jc w:val="both"/>
        <w:textAlignment w:val="auto"/>
        <w:rPr>
          <w:rFonts w:ascii="Arial" w:eastAsia="Calibri" w:hAnsi="Arial" w:cs="Arial"/>
          <w:noProof/>
          <w:szCs w:val="22"/>
          <w:lang w:val="es-CO" w:eastAsia="en-US"/>
        </w:rPr>
      </w:pPr>
    </w:p>
    <w:p w14:paraId="4FBE3395" w14:textId="77777777" w:rsidR="00597763" w:rsidRPr="006E3255" w:rsidRDefault="00597763" w:rsidP="006E3255">
      <w:pPr>
        <w:overflowPunct/>
        <w:autoSpaceDE/>
        <w:autoSpaceDN/>
        <w:adjustRightInd/>
        <w:jc w:val="both"/>
        <w:textAlignment w:val="auto"/>
        <w:rPr>
          <w:rFonts w:ascii="Arial" w:eastAsia="Calibri" w:hAnsi="Arial" w:cs="Arial"/>
          <w:noProof/>
          <w:szCs w:val="22"/>
          <w:lang w:val="es-CO" w:eastAsia="en-US"/>
        </w:rPr>
      </w:pPr>
    </w:p>
    <w:p w14:paraId="74001C4F" w14:textId="77777777" w:rsidR="00597763" w:rsidRPr="00597763" w:rsidRDefault="00597763" w:rsidP="00597763">
      <w:pPr>
        <w:overflowPunct/>
        <w:autoSpaceDE/>
        <w:autoSpaceDN/>
        <w:adjustRightInd/>
        <w:jc w:val="both"/>
        <w:textAlignment w:val="auto"/>
        <w:rPr>
          <w:rFonts w:ascii="Arial" w:eastAsia="Calibri" w:hAnsi="Arial" w:cs="Arial"/>
          <w:noProof/>
          <w:szCs w:val="22"/>
          <w:lang w:val="es-CO" w:eastAsia="en-US"/>
        </w:rPr>
      </w:pPr>
    </w:p>
    <w:p w14:paraId="217A0D35" w14:textId="18A10316" w:rsidR="00E375C5" w:rsidRPr="00E375C5" w:rsidRDefault="00E375C5" w:rsidP="00E375C5">
      <w:pPr>
        <w:overflowPunct/>
        <w:autoSpaceDE/>
        <w:autoSpaceDN/>
        <w:adjustRightInd/>
        <w:jc w:val="center"/>
        <w:textAlignment w:val="auto"/>
        <w:rPr>
          <w:rFonts w:ascii="Bookman Old Style" w:eastAsia="Calibri" w:hAnsi="Bookman Old Style"/>
          <w:b/>
          <w:noProof/>
          <w:sz w:val="22"/>
          <w:szCs w:val="22"/>
          <w:lang w:val="es-CO" w:eastAsia="en-US"/>
        </w:rPr>
      </w:pPr>
      <w:r w:rsidRPr="00E375C5">
        <w:rPr>
          <w:rFonts w:ascii="Calibri" w:eastAsia="Calibri" w:hAnsi="Calibri"/>
          <w:noProof/>
          <w:sz w:val="22"/>
          <w:szCs w:val="22"/>
          <w:lang w:val="en-US" w:eastAsia="en-US"/>
        </w:rPr>
        <w:drawing>
          <wp:inline distT="0" distB="0" distL="0" distR="0" wp14:anchorId="78E3FE67" wp14:editId="5DA3BFA9">
            <wp:extent cx="11620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625977BA" w14:textId="77777777" w:rsidR="00E375C5" w:rsidRPr="00E375C5" w:rsidRDefault="00E375C5" w:rsidP="00E375C5">
      <w:pPr>
        <w:tabs>
          <w:tab w:val="center" w:pos="4419"/>
          <w:tab w:val="right" w:pos="8838"/>
        </w:tabs>
        <w:overflowPunct/>
        <w:autoSpaceDE/>
        <w:autoSpaceDN/>
        <w:adjustRightInd/>
        <w:spacing w:line="276" w:lineRule="auto"/>
        <w:jc w:val="center"/>
        <w:textAlignment w:val="auto"/>
        <w:rPr>
          <w:rFonts w:ascii="Gadugi" w:eastAsia="Calibri" w:hAnsi="Gadugi"/>
          <w:b/>
          <w:noProof/>
          <w:sz w:val="24"/>
          <w:szCs w:val="24"/>
          <w:lang w:val="es-CO" w:eastAsia="en-US"/>
        </w:rPr>
      </w:pPr>
      <w:r w:rsidRPr="00E375C5">
        <w:rPr>
          <w:rFonts w:ascii="Gadugi" w:eastAsia="Calibri" w:hAnsi="Gadugi"/>
          <w:b/>
          <w:noProof/>
          <w:sz w:val="24"/>
          <w:szCs w:val="24"/>
          <w:lang w:val="es-CO" w:eastAsia="en-US"/>
        </w:rPr>
        <w:t>TRIBUNAL SUPERIOR DEL DISTRITO JUDICIAL</w:t>
      </w:r>
    </w:p>
    <w:p w14:paraId="1D5313BB" w14:textId="77777777" w:rsidR="00E375C5" w:rsidRPr="00E375C5" w:rsidRDefault="00E375C5" w:rsidP="00E375C5">
      <w:pPr>
        <w:tabs>
          <w:tab w:val="center" w:pos="4419"/>
          <w:tab w:val="right" w:pos="8838"/>
        </w:tabs>
        <w:overflowPunct/>
        <w:autoSpaceDE/>
        <w:autoSpaceDN/>
        <w:adjustRightInd/>
        <w:spacing w:line="276" w:lineRule="auto"/>
        <w:jc w:val="center"/>
        <w:textAlignment w:val="auto"/>
        <w:rPr>
          <w:rFonts w:ascii="Gadugi" w:eastAsia="Calibri" w:hAnsi="Gadugi"/>
          <w:b/>
          <w:sz w:val="24"/>
          <w:szCs w:val="24"/>
          <w:lang w:val="es-CO" w:eastAsia="en-US"/>
        </w:rPr>
      </w:pPr>
      <w:r w:rsidRPr="00E375C5">
        <w:rPr>
          <w:rFonts w:ascii="Gadugi" w:eastAsia="Calibri" w:hAnsi="Gadugi"/>
          <w:b/>
          <w:sz w:val="24"/>
          <w:szCs w:val="24"/>
          <w:lang w:val="es-CO" w:eastAsia="en-US"/>
        </w:rPr>
        <w:t>PEREIRA</w:t>
      </w:r>
    </w:p>
    <w:p w14:paraId="1728BBC3" w14:textId="77777777" w:rsidR="00E375C5" w:rsidRPr="00E375C5" w:rsidRDefault="00E375C5" w:rsidP="00E375C5">
      <w:pPr>
        <w:tabs>
          <w:tab w:val="center" w:pos="4419"/>
          <w:tab w:val="right" w:pos="8838"/>
        </w:tabs>
        <w:overflowPunct/>
        <w:autoSpaceDE/>
        <w:autoSpaceDN/>
        <w:adjustRightInd/>
        <w:spacing w:line="276" w:lineRule="auto"/>
        <w:jc w:val="center"/>
        <w:textAlignment w:val="auto"/>
        <w:rPr>
          <w:rFonts w:ascii="Gadugi" w:eastAsia="Calibri" w:hAnsi="Gadugi"/>
          <w:b/>
          <w:sz w:val="24"/>
          <w:szCs w:val="24"/>
          <w:lang w:val="es-CO" w:eastAsia="en-US"/>
        </w:rPr>
      </w:pPr>
      <w:r w:rsidRPr="00E375C5">
        <w:rPr>
          <w:rFonts w:ascii="Gadugi" w:eastAsia="Calibri" w:hAnsi="Gadugi"/>
          <w:b/>
          <w:sz w:val="24"/>
          <w:szCs w:val="24"/>
          <w:lang w:val="es-CO" w:eastAsia="en-US"/>
        </w:rPr>
        <w:t>SALA CIVIL-FAMILIA</w:t>
      </w:r>
    </w:p>
    <w:p w14:paraId="10B7DE9E" w14:textId="6363F926" w:rsidR="00E375C5" w:rsidRDefault="00E375C5" w:rsidP="00E375C5">
      <w:pPr>
        <w:tabs>
          <w:tab w:val="left" w:pos="3261"/>
        </w:tabs>
        <w:overflowPunct/>
        <w:autoSpaceDE/>
        <w:autoSpaceDN/>
        <w:adjustRightInd/>
        <w:spacing w:line="276" w:lineRule="auto"/>
        <w:jc w:val="both"/>
        <w:textAlignment w:val="auto"/>
        <w:rPr>
          <w:rFonts w:ascii="Gadugi" w:eastAsia="Georgia" w:hAnsi="Gadugi" w:cs="Georgia"/>
          <w:b/>
          <w:sz w:val="24"/>
          <w:szCs w:val="24"/>
          <w:lang w:val="es" w:eastAsia="es-CO"/>
        </w:rPr>
      </w:pPr>
    </w:p>
    <w:p w14:paraId="5310B202" w14:textId="77777777" w:rsidR="00FF7731" w:rsidRPr="000B5692" w:rsidRDefault="00FF7731" w:rsidP="00FF7731">
      <w:pPr>
        <w:pStyle w:val="Encabezado"/>
        <w:spacing w:line="276" w:lineRule="auto"/>
        <w:jc w:val="center"/>
        <w:rPr>
          <w:rFonts w:ascii="Gadugi" w:hAnsi="Gadugi"/>
          <w:b/>
          <w:sz w:val="24"/>
          <w:szCs w:val="24"/>
        </w:rPr>
      </w:pPr>
      <w:r w:rsidRPr="000B5692">
        <w:rPr>
          <w:rFonts w:ascii="Gadugi" w:hAnsi="Gadugi"/>
          <w:b/>
          <w:sz w:val="24"/>
          <w:szCs w:val="24"/>
        </w:rPr>
        <w:tab/>
      </w:r>
      <w:r w:rsidRPr="000B5692">
        <w:rPr>
          <w:rFonts w:ascii="Gadugi" w:hAnsi="Gadugi"/>
          <w:sz w:val="24"/>
          <w:szCs w:val="24"/>
        </w:rPr>
        <w:t>Magistrado Ponente:</w:t>
      </w:r>
      <w:r w:rsidRPr="000B5692">
        <w:rPr>
          <w:rFonts w:ascii="Gadugi" w:hAnsi="Gadugi"/>
          <w:b/>
          <w:sz w:val="24"/>
          <w:szCs w:val="24"/>
        </w:rPr>
        <w:t xml:space="preserve"> JAIME ALBERTO SARAZA NARANJO</w:t>
      </w:r>
    </w:p>
    <w:p w14:paraId="0D5A0F7C" w14:textId="6424F97A" w:rsidR="00FF7731" w:rsidRDefault="00FF7731" w:rsidP="00E375C5">
      <w:pPr>
        <w:tabs>
          <w:tab w:val="left" w:pos="3261"/>
        </w:tabs>
        <w:overflowPunct/>
        <w:autoSpaceDE/>
        <w:autoSpaceDN/>
        <w:adjustRightInd/>
        <w:spacing w:line="276" w:lineRule="auto"/>
        <w:jc w:val="both"/>
        <w:textAlignment w:val="auto"/>
        <w:rPr>
          <w:rFonts w:ascii="Gadugi" w:eastAsia="Georgia" w:hAnsi="Gadugi" w:cs="Georgia"/>
          <w:b/>
          <w:sz w:val="24"/>
          <w:szCs w:val="24"/>
          <w:lang w:eastAsia="es-CO"/>
        </w:rPr>
      </w:pPr>
    </w:p>
    <w:p w14:paraId="7983ABFC" w14:textId="77777777" w:rsidR="00FF7731" w:rsidRPr="00FF7731" w:rsidRDefault="00FF7731" w:rsidP="00E375C5">
      <w:pPr>
        <w:tabs>
          <w:tab w:val="left" w:pos="3261"/>
        </w:tabs>
        <w:overflowPunct/>
        <w:autoSpaceDE/>
        <w:autoSpaceDN/>
        <w:adjustRightInd/>
        <w:spacing w:line="276" w:lineRule="auto"/>
        <w:jc w:val="both"/>
        <w:textAlignment w:val="auto"/>
        <w:rPr>
          <w:rFonts w:ascii="Gadugi" w:eastAsia="Georgia" w:hAnsi="Gadugi" w:cs="Georgia"/>
          <w:b/>
          <w:sz w:val="24"/>
          <w:szCs w:val="24"/>
          <w:lang w:eastAsia="es-CO"/>
        </w:rPr>
      </w:pPr>
    </w:p>
    <w:p w14:paraId="20F034CF" w14:textId="412FCBA8" w:rsidR="005C4051" w:rsidRPr="00E375C5" w:rsidRDefault="005C4051" w:rsidP="00E375C5">
      <w:pPr>
        <w:spacing w:line="276" w:lineRule="auto"/>
        <w:jc w:val="center"/>
        <w:rPr>
          <w:rFonts w:ascii="Gadugi" w:hAnsi="Gadugi"/>
          <w:b/>
          <w:sz w:val="24"/>
          <w:szCs w:val="24"/>
        </w:rPr>
      </w:pPr>
      <w:r w:rsidRPr="00E375C5">
        <w:rPr>
          <w:rFonts w:ascii="Gadugi" w:hAnsi="Gadugi"/>
          <w:b/>
          <w:sz w:val="24"/>
          <w:szCs w:val="24"/>
        </w:rPr>
        <w:t>ST1-</w:t>
      </w:r>
      <w:r w:rsidR="005A6D86" w:rsidRPr="00E375C5">
        <w:rPr>
          <w:rFonts w:ascii="Gadugi" w:hAnsi="Gadugi"/>
          <w:b/>
          <w:sz w:val="24"/>
          <w:szCs w:val="24"/>
        </w:rPr>
        <w:t>0225</w:t>
      </w:r>
      <w:r w:rsidR="00582F9C" w:rsidRPr="00E375C5">
        <w:rPr>
          <w:rFonts w:ascii="Gadugi" w:hAnsi="Gadugi"/>
          <w:b/>
          <w:sz w:val="24"/>
          <w:szCs w:val="24"/>
        </w:rPr>
        <w:t>-</w:t>
      </w:r>
      <w:r w:rsidRPr="00E375C5">
        <w:rPr>
          <w:rFonts w:ascii="Gadugi" w:hAnsi="Gadugi"/>
          <w:b/>
          <w:sz w:val="24"/>
          <w:szCs w:val="24"/>
        </w:rPr>
        <w:t>2023</w:t>
      </w:r>
    </w:p>
    <w:p w14:paraId="7A9119C3" w14:textId="572FECF7" w:rsidR="005C4051" w:rsidRPr="00E375C5" w:rsidRDefault="005C4051" w:rsidP="00E375C5">
      <w:pPr>
        <w:spacing w:line="276" w:lineRule="auto"/>
        <w:jc w:val="both"/>
        <w:rPr>
          <w:rFonts w:ascii="Gadugi" w:hAnsi="Gadugi"/>
          <w:sz w:val="24"/>
          <w:szCs w:val="24"/>
        </w:rPr>
      </w:pPr>
    </w:p>
    <w:p w14:paraId="64A2A1E2" w14:textId="77777777" w:rsidR="005C4051" w:rsidRPr="00E375C5" w:rsidRDefault="005C4051" w:rsidP="00E375C5">
      <w:pPr>
        <w:spacing w:line="276" w:lineRule="auto"/>
        <w:jc w:val="both"/>
        <w:rPr>
          <w:rFonts w:ascii="Gadugi" w:hAnsi="Gadugi"/>
          <w:sz w:val="24"/>
          <w:szCs w:val="24"/>
        </w:rPr>
      </w:pPr>
    </w:p>
    <w:p w14:paraId="0AD6FEC9" w14:textId="575CF346" w:rsidR="00622EA3" w:rsidRPr="00E375C5" w:rsidRDefault="002E76F4" w:rsidP="00E375C5">
      <w:pPr>
        <w:jc w:val="both"/>
        <w:rPr>
          <w:rFonts w:ascii="Gadugi" w:hAnsi="Gadugi"/>
          <w:sz w:val="24"/>
          <w:szCs w:val="24"/>
        </w:rPr>
      </w:pPr>
      <w:r w:rsidRPr="00E375C5">
        <w:rPr>
          <w:rFonts w:ascii="Gadugi" w:hAnsi="Gadugi"/>
          <w:sz w:val="24"/>
          <w:szCs w:val="24"/>
        </w:rPr>
        <w:tab/>
      </w:r>
      <w:r w:rsidRPr="00E375C5">
        <w:rPr>
          <w:rFonts w:ascii="Gadugi" w:hAnsi="Gadugi"/>
          <w:sz w:val="24"/>
          <w:szCs w:val="24"/>
        </w:rPr>
        <w:tab/>
      </w:r>
      <w:r w:rsidRPr="00E375C5">
        <w:rPr>
          <w:rFonts w:ascii="Gadugi" w:hAnsi="Gadugi"/>
          <w:sz w:val="24"/>
          <w:szCs w:val="24"/>
        </w:rPr>
        <w:tab/>
      </w:r>
      <w:r w:rsidR="00622EA3" w:rsidRPr="00E375C5">
        <w:rPr>
          <w:rFonts w:ascii="Gadugi" w:hAnsi="Gadugi"/>
          <w:sz w:val="24"/>
          <w:szCs w:val="24"/>
        </w:rPr>
        <w:t>Expediente: 660012213000202</w:t>
      </w:r>
      <w:r w:rsidR="001C41CD" w:rsidRPr="00E375C5">
        <w:rPr>
          <w:rFonts w:ascii="Gadugi" w:hAnsi="Gadugi"/>
          <w:sz w:val="24"/>
          <w:szCs w:val="24"/>
        </w:rPr>
        <w:t>3</w:t>
      </w:r>
      <w:r w:rsidR="00622EA3" w:rsidRPr="00E375C5">
        <w:rPr>
          <w:rFonts w:ascii="Gadugi" w:hAnsi="Gadugi"/>
          <w:sz w:val="24"/>
          <w:szCs w:val="24"/>
        </w:rPr>
        <w:t>00</w:t>
      </w:r>
      <w:r w:rsidR="005C4051" w:rsidRPr="00E375C5">
        <w:rPr>
          <w:rFonts w:ascii="Gadugi" w:hAnsi="Gadugi"/>
          <w:sz w:val="24"/>
          <w:szCs w:val="24"/>
        </w:rPr>
        <w:t>2</w:t>
      </w:r>
      <w:r w:rsidR="00DB0FC5" w:rsidRPr="00E375C5">
        <w:rPr>
          <w:rFonts w:ascii="Gadugi" w:hAnsi="Gadugi"/>
          <w:sz w:val="24"/>
          <w:szCs w:val="24"/>
        </w:rPr>
        <w:t>55</w:t>
      </w:r>
      <w:r w:rsidR="00622EA3" w:rsidRPr="00E375C5">
        <w:rPr>
          <w:rFonts w:ascii="Gadugi" w:hAnsi="Gadugi"/>
          <w:sz w:val="24"/>
          <w:szCs w:val="24"/>
        </w:rPr>
        <w:t>00</w:t>
      </w:r>
    </w:p>
    <w:p w14:paraId="22EA31AF" w14:textId="3F7C1C7F" w:rsidR="002E76F4" w:rsidRPr="00E375C5" w:rsidRDefault="002E76F4" w:rsidP="00E375C5">
      <w:pPr>
        <w:jc w:val="both"/>
        <w:rPr>
          <w:rFonts w:ascii="Gadugi" w:hAnsi="Gadugi"/>
          <w:sz w:val="24"/>
          <w:szCs w:val="24"/>
        </w:rPr>
      </w:pPr>
      <w:r w:rsidRPr="00E375C5">
        <w:rPr>
          <w:rFonts w:ascii="Gadugi" w:hAnsi="Gadugi"/>
          <w:sz w:val="24"/>
          <w:szCs w:val="24"/>
        </w:rPr>
        <w:tab/>
      </w:r>
      <w:r w:rsidRPr="00E375C5">
        <w:rPr>
          <w:rFonts w:ascii="Gadugi" w:hAnsi="Gadugi"/>
          <w:sz w:val="24"/>
          <w:szCs w:val="24"/>
        </w:rPr>
        <w:tab/>
      </w:r>
      <w:r w:rsidRPr="00E375C5">
        <w:rPr>
          <w:rFonts w:ascii="Gadugi" w:hAnsi="Gadugi"/>
          <w:sz w:val="24"/>
          <w:szCs w:val="24"/>
        </w:rPr>
        <w:tab/>
      </w:r>
      <w:r w:rsidR="00622EA3" w:rsidRPr="00E375C5">
        <w:rPr>
          <w:rFonts w:ascii="Gadugi" w:hAnsi="Gadugi"/>
          <w:sz w:val="24"/>
          <w:szCs w:val="24"/>
        </w:rPr>
        <w:t>Acta:</w:t>
      </w:r>
      <w:r w:rsidR="005A6D86" w:rsidRPr="00E375C5">
        <w:rPr>
          <w:rFonts w:ascii="Gadugi" w:hAnsi="Gadugi"/>
          <w:sz w:val="24"/>
          <w:szCs w:val="24"/>
        </w:rPr>
        <w:t xml:space="preserve"> 361 </w:t>
      </w:r>
      <w:r w:rsidR="00AD0050" w:rsidRPr="00E375C5">
        <w:rPr>
          <w:rFonts w:ascii="Gadugi" w:hAnsi="Gadugi"/>
          <w:sz w:val="24"/>
          <w:szCs w:val="24"/>
        </w:rPr>
        <w:t>del 26 de julio de 2023</w:t>
      </w:r>
    </w:p>
    <w:p w14:paraId="4C566052" w14:textId="36339CFE" w:rsidR="00062CEF" w:rsidRDefault="00062CEF" w:rsidP="00E375C5">
      <w:pPr>
        <w:spacing w:line="276" w:lineRule="auto"/>
        <w:jc w:val="both"/>
        <w:rPr>
          <w:rFonts w:ascii="Gadugi" w:hAnsi="Gadugi" w:cs="Century Gothic"/>
          <w:sz w:val="24"/>
          <w:szCs w:val="24"/>
        </w:rPr>
      </w:pPr>
    </w:p>
    <w:p w14:paraId="751A83E7" w14:textId="2373BB89" w:rsidR="00FF7731" w:rsidRDefault="00FF7731" w:rsidP="00E375C5">
      <w:pPr>
        <w:spacing w:line="276" w:lineRule="auto"/>
        <w:jc w:val="both"/>
        <w:rPr>
          <w:rFonts w:ascii="Gadugi" w:hAnsi="Gadugi" w:cs="Century Gothic"/>
          <w:sz w:val="24"/>
          <w:szCs w:val="24"/>
        </w:rPr>
      </w:pPr>
    </w:p>
    <w:p w14:paraId="353B71FE" w14:textId="4D624C79" w:rsidR="00FF7731" w:rsidRPr="00E375C5" w:rsidRDefault="00FF7731" w:rsidP="00FF7731">
      <w:pPr>
        <w:jc w:val="both"/>
        <w:rPr>
          <w:rFonts w:ascii="Gadugi" w:hAnsi="Gadugi"/>
          <w:sz w:val="24"/>
          <w:szCs w:val="24"/>
        </w:rPr>
      </w:pPr>
      <w:r w:rsidRPr="00E375C5">
        <w:rPr>
          <w:rFonts w:ascii="Gadugi" w:hAnsi="Gadugi"/>
          <w:sz w:val="24"/>
          <w:szCs w:val="24"/>
        </w:rPr>
        <w:tab/>
      </w:r>
      <w:r w:rsidRPr="00E375C5">
        <w:rPr>
          <w:rFonts w:ascii="Gadugi" w:hAnsi="Gadugi"/>
          <w:sz w:val="24"/>
          <w:szCs w:val="24"/>
        </w:rPr>
        <w:tab/>
      </w:r>
      <w:r w:rsidRPr="00E375C5">
        <w:rPr>
          <w:rFonts w:ascii="Gadugi" w:hAnsi="Gadugi"/>
          <w:sz w:val="24"/>
          <w:szCs w:val="24"/>
        </w:rPr>
        <w:tab/>
        <w:t xml:space="preserve">Pereira, </w:t>
      </w:r>
      <w:bookmarkStart w:id="0" w:name="_GoBack"/>
      <w:r w:rsidR="009A7B40" w:rsidRPr="003704FE">
        <w:rPr>
          <w:rFonts w:ascii="Gadugi" w:hAnsi="Gadugi"/>
          <w:b/>
          <w:sz w:val="24"/>
          <w:szCs w:val="24"/>
        </w:rPr>
        <w:t xml:space="preserve">veintiséis </w:t>
      </w:r>
      <w:r w:rsidR="009A7B40" w:rsidRPr="003704FE">
        <w:rPr>
          <w:rFonts w:ascii="Gadugi" w:hAnsi="Gadugi"/>
          <w:b/>
          <w:sz w:val="24"/>
          <w:szCs w:val="24"/>
        </w:rPr>
        <w:t xml:space="preserve">de </w:t>
      </w:r>
      <w:r w:rsidRPr="003704FE">
        <w:rPr>
          <w:rFonts w:ascii="Gadugi" w:hAnsi="Gadugi"/>
          <w:b/>
          <w:sz w:val="24"/>
          <w:szCs w:val="24"/>
        </w:rPr>
        <w:t>julio de dos mil veintitrés</w:t>
      </w:r>
      <w:bookmarkEnd w:id="0"/>
    </w:p>
    <w:p w14:paraId="29EE478B" w14:textId="77777777" w:rsidR="00FF7731" w:rsidRPr="00E375C5" w:rsidRDefault="00FF7731" w:rsidP="00E375C5">
      <w:pPr>
        <w:spacing w:line="276" w:lineRule="auto"/>
        <w:jc w:val="both"/>
        <w:rPr>
          <w:rFonts w:ascii="Gadugi" w:hAnsi="Gadugi" w:cs="Century Gothic"/>
          <w:sz w:val="24"/>
          <w:szCs w:val="24"/>
        </w:rPr>
      </w:pPr>
    </w:p>
    <w:p w14:paraId="4368D078" w14:textId="5A108FEB" w:rsidR="00094095" w:rsidRPr="003D1FB4" w:rsidRDefault="00094095" w:rsidP="00E375C5">
      <w:pPr>
        <w:spacing w:line="276" w:lineRule="auto"/>
        <w:jc w:val="both"/>
        <w:rPr>
          <w:rFonts w:ascii="Gadugi" w:hAnsi="Gadugi" w:cs="Century Gothic"/>
          <w:sz w:val="24"/>
          <w:szCs w:val="24"/>
        </w:rPr>
      </w:pPr>
    </w:p>
    <w:p w14:paraId="47904B01" w14:textId="35C588FD" w:rsidR="00DB0FC5" w:rsidRPr="00600EB2" w:rsidRDefault="009F7EA7" w:rsidP="00E375C5">
      <w:pPr>
        <w:spacing w:line="276" w:lineRule="auto"/>
        <w:jc w:val="both"/>
        <w:rPr>
          <w:rFonts w:ascii="Gadugi" w:hAnsi="Gadugi" w:cs="Century Gothic"/>
          <w:b/>
          <w:sz w:val="24"/>
          <w:szCs w:val="24"/>
        </w:rPr>
      </w:pPr>
      <w:r w:rsidRPr="00E375C5">
        <w:rPr>
          <w:rFonts w:ascii="Gadugi" w:hAnsi="Gadugi" w:cs="Century Gothic"/>
          <w:sz w:val="24"/>
          <w:szCs w:val="24"/>
        </w:rPr>
        <w:t xml:space="preserve">Decide la Sala la </w:t>
      </w:r>
      <w:r w:rsidRPr="00600EB2">
        <w:rPr>
          <w:rFonts w:ascii="Gadugi" w:hAnsi="Gadugi" w:cs="Century Gothic"/>
          <w:b/>
          <w:sz w:val="24"/>
          <w:szCs w:val="24"/>
        </w:rPr>
        <w:t>acción de tutela</w:t>
      </w:r>
      <w:r w:rsidRPr="00E375C5">
        <w:rPr>
          <w:rFonts w:ascii="Gadugi" w:hAnsi="Gadugi" w:cs="Century Gothic"/>
          <w:sz w:val="24"/>
          <w:szCs w:val="24"/>
        </w:rPr>
        <w:t xml:space="preserve"> promovida por</w:t>
      </w:r>
      <w:r w:rsidR="00603B62" w:rsidRPr="00E375C5">
        <w:rPr>
          <w:rFonts w:ascii="Gadugi" w:hAnsi="Gadugi" w:cs="Century Gothic"/>
          <w:b/>
          <w:bCs/>
          <w:sz w:val="24"/>
          <w:szCs w:val="24"/>
        </w:rPr>
        <w:t xml:space="preserve"> </w:t>
      </w:r>
      <w:r w:rsidR="00DB0FC5" w:rsidRPr="00600EB2">
        <w:rPr>
          <w:rFonts w:ascii="Gadugi" w:hAnsi="Gadugi" w:cs="Century Gothic"/>
          <w:b/>
          <w:bCs/>
          <w:sz w:val="24"/>
          <w:szCs w:val="24"/>
        </w:rPr>
        <w:t>Magdalena Silva Martínez</w:t>
      </w:r>
      <w:r w:rsidR="005C4051" w:rsidRPr="00E375C5">
        <w:rPr>
          <w:rFonts w:ascii="Gadugi" w:hAnsi="Gadugi" w:cs="Century Gothic"/>
          <w:b/>
          <w:bCs/>
          <w:sz w:val="24"/>
          <w:szCs w:val="24"/>
        </w:rPr>
        <w:t xml:space="preserve"> </w:t>
      </w:r>
      <w:r w:rsidRPr="00E375C5">
        <w:rPr>
          <w:rFonts w:ascii="Gadugi" w:hAnsi="Gadugi" w:cs="Century Gothic"/>
          <w:sz w:val="24"/>
          <w:szCs w:val="24"/>
        </w:rPr>
        <w:t>contra</w:t>
      </w:r>
      <w:r w:rsidR="00DB0FC5" w:rsidRPr="00E375C5">
        <w:rPr>
          <w:rFonts w:ascii="Gadugi" w:hAnsi="Gadugi" w:cs="Century Gothic"/>
          <w:sz w:val="24"/>
          <w:szCs w:val="24"/>
        </w:rPr>
        <w:t xml:space="preserve"> el </w:t>
      </w:r>
      <w:r w:rsidR="00DB0FC5" w:rsidRPr="00600EB2">
        <w:rPr>
          <w:rFonts w:ascii="Gadugi" w:hAnsi="Gadugi" w:cs="Century Gothic"/>
          <w:b/>
          <w:sz w:val="24"/>
          <w:szCs w:val="24"/>
        </w:rPr>
        <w:t>Juzgado Civil del Circuito de Dosquebradas</w:t>
      </w:r>
      <w:r w:rsidR="00DB0FC5" w:rsidRPr="00E375C5">
        <w:rPr>
          <w:rFonts w:ascii="Gadugi" w:hAnsi="Gadugi" w:cs="Century Gothic"/>
          <w:sz w:val="24"/>
          <w:szCs w:val="24"/>
        </w:rPr>
        <w:t xml:space="preserve">, a la que fueron vinculados </w:t>
      </w:r>
      <w:r w:rsidR="00DB0FC5" w:rsidRPr="00600EB2">
        <w:rPr>
          <w:rFonts w:ascii="Gadugi" w:hAnsi="Gadugi" w:cs="Century Gothic"/>
          <w:b/>
          <w:sz w:val="24"/>
          <w:szCs w:val="24"/>
        </w:rPr>
        <w:t xml:space="preserve">María </w:t>
      </w:r>
      <w:r w:rsidR="00DB0FC5" w:rsidRPr="00600EB2">
        <w:rPr>
          <w:rFonts w:ascii="Gadugi" w:hAnsi="Gadugi" w:cs="Century Gothic"/>
          <w:b/>
          <w:sz w:val="24"/>
          <w:szCs w:val="24"/>
        </w:rPr>
        <w:lastRenderedPageBreak/>
        <w:t>Mélida Molina Castaño, Luz Mary Molina Castaño, Luz Stella Molina Castaño y Joyce Patricia Molina Castaño.</w:t>
      </w:r>
    </w:p>
    <w:p w14:paraId="424AD4EA" w14:textId="6C80F6CB" w:rsidR="00A00442" w:rsidRPr="00E375C5" w:rsidRDefault="00A00442" w:rsidP="00E375C5">
      <w:pPr>
        <w:spacing w:line="276" w:lineRule="auto"/>
        <w:jc w:val="both"/>
        <w:rPr>
          <w:rFonts w:ascii="Gadugi" w:hAnsi="Gadugi"/>
          <w:b/>
          <w:bCs/>
          <w:sz w:val="24"/>
          <w:szCs w:val="24"/>
        </w:rPr>
      </w:pPr>
    </w:p>
    <w:p w14:paraId="5D6240C2" w14:textId="49EA14A6" w:rsidR="009F7EA7" w:rsidRPr="00E375C5" w:rsidRDefault="009F7EA7" w:rsidP="00E375C5">
      <w:pPr>
        <w:pStyle w:val="Ttulo4"/>
        <w:spacing w:line="276" w:lineRule="auto"/>
        <w:ind w:firstLine="0"/>
        <w:rPr>
          <w:rFonts w:ascii="Gadugi" w:hAnsi="Gadugi"/>
          <w:b/>
          <w:sz w:val="24"/>
          <w:szCs w:val="24"/>
        </w:rPr>
      </w:pPr>
      <w:r w:rsidRPr="00E375C5">
        <w:rPr>
          <w:rFonts w:ascii="Gadugi" w:hAnsi="Gadugi"/>
          <w:b/>
          <w:sz w:val="24"/>
          <w:szCs w:val="24"/>
        </w:rPr>
        <w:t>1. ANTECEDENTES</w:t>
      </w:r>
    </w:p>
    <w:p w14:paraId="4E4FAAA1" w14:textId="19BF9957" w:rsidR="009F7EA7" w:rsidRPr="00E375C5" w:rsidRDefault="009F7EA7" w:rsidP="00E375C5">
      <w:pPr>
        <w:spacing w:line="276" w:lineRule="auto"/>
        <w:jc w:val="both"/>
        <w:rPr>
          <w:rFonts w:ascii="Gadugi" w:hAnsi="Gadugi" w:cs="Century Gothic"/>
          <w:sz w:val="24"/>
          <w:szCs w:val="24"/>
          <w:lang w:val="es-CO"/>
        </w:rPr>
      </w:pPr>
    </w:p>
    <w:p w14:paraId="4E976DC8" w14:textId="56EFC807" w:rsidR="00DB0FC5" w:rsidRPr="00E375C5" w:rsidRDefault="009F7EA7" w:rsidP="00E375C5">
      <w:pPr>
        <w:spacing w:line="276" w:lineRule="auto"/>
        <w:jc w:val="both"/>
        <w:rPr>
          <w:rFonts w:ascii="Gadugi" w:hAnsi="Gadugi" w:cs="Century Gothic"/>
          <w:sz w:val="24"/>
          <w:szCs w:val="24"/>
          <w:lang w:val="es-CO"/>
        </w:rPr>
      </w:pPr>
      <w:r w:rsidRPr="00E375C5">
        <w:rPr>
          <w:rFonts w:ascii="Gadugi" w:hAnsi="Gadugi" w:cs="Century Gothic"/>
          <w:sz w:val="24"/>
          <w:szCs w:val="24"/>
          <w:lang w:val="es-CO"/>
        </w:rPr>
        <w:t xml:space="preserve">1.1. </w:t>
      </w:r>
      <w:r w:rsidR="00DB0FC5" w:rsidRPr="00E375C5">
        <w:rPr>
          <w:rFonts w:ascii="Gadugi" w:hAnsi="Gadugi" w:cs="Century Gothic"/>
          <w:sz w:val="24"/>
          <w:szCs w:val="24"/>
          <w:lang w:val="es-CO"/>
        </w:rPr>
        <w:t>La demanda se resume a que, en el proceso de resolución de contrato con radicado 661703103001-</w:t>
      </w:r>
      <w:r w:rsidR="00DB0FC5" w:rsidRPr="00E375C5">
        <w:rPr>
          <w:rFonts w:ascii="Gadugi" w:hAnsi="Gadugi" w:cs="Century Gothic"/>
          <w:b/>
          <w:sz w:val="24"/>
          <w:szCs w:val="24"/>
          <w:lang w:val="es-CO"/>
        </w:rPr>
        <w:t>2022-00401-00</w:t>
      </w:r>
      <w:r w:rsidR="00DB0FC5" w:rsidRPr="00E375C5">
        <w:rPr>
          <w:rFonts w:ascii="Gadugi" w:hAnsi="Gadugi" w:cs="Century Gothic"/>
          <w:sz w:val="24"/>
          <w:szCs w:val="24"/>
          <w:lang w:val="es-CO"/>
        </w:rPr>
        <w:t xml:space="preserve">, </w:t>
      </w:r>
      <w:r w:rsidR="00BA0B31" w:rsidRPr="00E375C5">
        <w:rPr>
          <w:rFonts w:ascii="Gadugi" w:hAnsi="Gadugi" w:cs="Century Gothic"/>
          <w:sz w:val="24"/>
          <w:szCs w:val="24"/>
          <w:lang w:val="es-CO"/>
        </w:rPr>
        <w:t>en audiencia celebrada el 22 de junio de 2023</w:t>
      </w:r>
      <w:r w:rsidR="00D22F79" w:rsidRPr="00E375C5">
        <w:rPr>
          <w:rFonts w:ascii="Gadugi" w:hAnsi="Gadugi" w:cs="Century Gothic"/>
          <w:i/>
          <w:sz w:val="24"/>
          <w:szCs w:val="24"/>
          <w:lang w:val="es-CO"/>
        </w:rPr>
        <w:t xml:space="preserve"> “</w:t>
      </w:r>
      <w:r w:rsidR="00D22F79" w:rsidRPr="00E375C5">
        <w:rPr>
          <w:rFonts w:ascii="Gadugi" w:hAnsi="Gadugi" w:cs="Century Gothic"/>
          <w:i/>
          <w:sz w:val="22"/>
          <w:szCs w:val="24"/>
          <w:lang w:val="es-CO"/>
        </w:rPr>
        <w:t xml:space="preserve">(…) mediante sentencia en equidad del día 22 de junio de 2023 surtida por el juez del Juzgado Civil </w:t>
      </w:r>
      <w:r w:rsidR="00597763" w:rsidRPr="00E375C5">
        <w:rPr>
          <w:rFonts w:ascii="Gadugi" w:hAnsi="Gadugi" w:cs="Century Gothic"/>
          <w:i/>
          <w:sz w:val="22"/>
          <w:szCs w:val="24"/>
          <w:lang w:val="es-CO"/>
        </w:rPr>
        <w:t xml:space="preserve">del </w:t>
      </w:r>
      <w:r w:rsidR="00D22F79" w:rsidRPr="00E375C5">
        <w:rPr>
          <w:rFonts w:ascii="Gadugi" w:hAnsi="Gadugi" w:cs="Century Gothic"/>
          <w:i/>
          <w:sz w:val="22"/>
          <w:szCs w:val="24"/>
          <w:lang w:val="es-CO"/>
        </w:rPr>
        <w:t xml:space="preserve">Circuito </w:t>
      </w:r>
      <w:r w:rsidR="00597763" w:rsidRPr="00E375C5">
        <w:rPr>
          <w:rFonts w:ascii="Gadugi" w:hAnsi="Gadugi" w:cs="Century Gothic"/>
          <w:i/>
          <w:sz w:val="22"/>
          <w:szCs w:val="24"/>
          <w:lang w:val="es-CO"/>
        </w:rPr>
        <w:t xml:space="preserve">de </w:t>
      </w:r>
      <w:r w:rsidR="00D22F79" w:rsidRPr="00E375C5">
        <w:rPr>
          <w:rFonts w:ascii="Gadugi" w:hAnsi="Gadugi" w:cs="Century Gothic"/>
          <w:i/>
          <w:sz w:val="22"/>
          <w:szCs w:val="24"/>
          <w:lang w:val="es-CO"/>
        </w:rPr>
        <w:t>Dosquebradas el doctor Rodrigo Ramos García se niega el derecho a la DOBLE INSTANCIA y AL DEBIDO PROCESO siendo este una grave afectación para las partes del proceso (…)</w:t>
      </w:r>
      <w:r w:rsidR="00D22F79" w:rsidRPr="00E375C5">
        <w:rPr>
          <w:rFonts w:ascii="Gadugi" w:hAnsi="Gadugi" w:cs="Century Gothic"/>
          <w:i/>
          <w:sz w:val="24"/>
          <w:szCs w:val="24"/>
          <w:lang w:val="es-CO"/>
        </w:rPr>
        <w:t>”.</w:t>
      </w:r>
    </w:p>
    <w:p w14:paraId="3A78C2EF" w14:textId="2A52E048" w:rsidR="00DB0FC5" w:rsidRPr="00E375C5" w:rsidRDefault="00DB0FC5" w:rsidP="00E375C5">
      <w:pPr>
        <w:spacing w:line="276" w:lineRule="auto"/>
        <w:jc w:val="both"/>
        <w:rPr>
          <w:rFonts w:ascii="Gadugi" w:hAnsi="Gadugi" w:cs="Century Gothic"/>
          <w:sz w:val="24"/>
          <w:szCs w:val="24"/>
          <w:lang w:val="es-CO"/>
        </w:rPr>
      </w:pPr>
    </w:p>
    <w:p w14:paraId="48730305" w14:textId="7D44C372" w:rsidR="00D22F79" w:rsidRPr="00E375C5" w:rsidRDefault="00D22F79" w:rsidP="00E375C5">
      <w:pPr>
        <w:spacing w:line="276" w:lineRule="auto"/>
        <w:jc w:val="both"/>
        <w:rPr>
          <w:rFonts w:ascii="Gadugi" w:hAnsi="Gadugi" w:cs="Century Gothic"/>
          <w:sz w:val="24"/>
          <w:szCs w:val="24"/>
          <w:lang w:val="es-CO"/>
        </w:rPr>
      </w:pPr>
      <w:r w:rsidRPr="00E375C5">
        <w:rPr>
          <w:rFonts w:ascii="Gadugi" w:hAnsi="Gadugi" w:cs="Century Gothic"/>
          <w:sz w:val="24"/>
          <w:szCs w:val="24"/>
          <w:lang w:val="es-CO"/>
        </w:rPr>
        <w:t xml:space="preserve">Pidió, entonces </w:t>
      </w:r>
      <w:r w:rsidR="006B0631" w:rsidRPr="00E375C5">
        <w:rPr>
          <w:rFonts w:ascii="Gadugi" w:hAnsi="Gadugi" w:cs="Century Gothic"/>
          <w:sz w:val="24"/>
          <w:szCs w:val="24"/>
          <w:lang w:val="es-CO"/>
        </w:rPr>
        <w:t xml:space="preserve">suspender la aludida sentencia y ordenarle al juzgado fallar en </w:t>
      </w:r>
      <w:r w:rsidR="00D31D86" w:rsidRPr="00E375C5">
        <w:rPr>
          <w:rFonts w:ascii="Gadugi" w:hAnsi="Gadugi" w:cs="Century Gothic"/>
          <w:sz w:val="24"/>
          <w:szCs w:val="24"/>
          <w:lang w:val="es-CO"/>
        </w:rPr>
        <w:t>derecho.</w:t>
      </w:r>
      <w:r w:rsidR="009D11FB" w:rsidRPr="00E375C5">
        <w:rPr>
          <w:rStyle w:val="Refdenotaalpie"/>
          <w:rFonts w:ascii="Gadugi" w:hAnsi="Gadugi"/>
          <w:sz w:val="24"/>
          <w:szCs w:val="24"/>
          <w:lang w:val="es-CO"/>
        </w:rPr>
        <w:footnoteReference w:id="1"/>
      </w:r>
      <w:r w:rsidR="00D31D86" w:rsidRPr="00E375C5">
        <w:rPr>
          <w:rFonts w:ascii="Gadugi" w:hAnsi="Gadugi" w:cs="Century Gothic"/>
          <w:sz w:val="24"/>
          <w:szCs w:val="24"/>
          <w:lang w:val="es-CO"/>
        </w:rPr>
        <w:t xml:space="preserve"> </w:t>
      </w:r>
    </w:p>
    <w:p w14:paraId="04636E4B" w14:textId="77777777" w:rsidR="00D31D86" w:rsidRPr="00E375C5" w:rsidRDefault="00D31D86" w:rsidP="00E375C5">
      <w:pPr>
        <w:spacing w:line="276" w:lineRule="auto"/>
        <w:jc w:val="both"/>
        <w:rPr>
          <w:rFonts w:ascii="Gadugi" w:hAnsi="Gadugi" w:cs="Century Gothic"/>
          <w:sz w:val="24"/>
          <w:szCs w:val="24"/>
          <w:lang w:val="es-CO"/>
        </w:rPr>
      </w:pPr>
    </w:p>
    <w:p w14:paraId="6B349136" w14:textId="11855113" w:rsidR="00604BDE" w:rsidRPr="00E375C5" w:rsidRDefault="000C2A4E" w:rsidP="00E375C5">
      <w:pPr>
        <w:spacing w:line="276" w:lineRule="auto"/>
        <w:jc w:val="both"/>
        <w:rPr>
          <w:rFonts w:ascii="Gadugi" w:hAnsi="Gadugi" w:cs="Century Gothic"/>
          <w:sz w:val="24"/>
          <w:szCs w:val="24"/>
          <w:lang w:val="es-CO"/>
        </w:rPr>
      </w:pPr>
      <w:r w:rsidRPr="00E375C5">
        <w:rPr>
          <w:rFonts w:ascii="Gadugi" w:hAnsi="Gadugi" w:cs="Century Gothic"/>
          <w:sz w:val="24"/>
          <w:szCs w:val="24"/>
          <w:lang w:val="es-CO"/>
        </w:rPr>
        <w:t xml:space="preserve">1.2. </w:t>
      </w:r>
      <w:r w:rsidR="00B21399" w:rsidRPr="00E375C5">
        <w:rPr>
          <w:rFonts w:ascii="Gadugi" w:hAnsi="Gadugi" w:cs="Century Gothic"/>
          <w:sz w:val="24"/>
          <w:szCs w:val="24"/>
          <w:lang w:val="es-CO"/>
        </w:rPr>
        <w:t>Se dio impul</w:t>
      </w:r>
      <w:r w:rsidR="00FE5091" w:rsidRPr="00E375C5">
        <w:rPr>
          <w:rFonts w:ascii="Gadugi" w:hAnsi="Gadugi" w:cs="Century Gothic"/>
          <w:sz w:val="24"/>
          <w:szCs w:val="24"/>
          <w:lang w:val="es-CO"/>
        </w:rPr>
        <w:t xml:space="preserve">so a la tutela con auto del </w:t>
      </w:r>
      <w:r w:rsidR="00D31D86" w:rsidRPr="00E375C5">
        <w:rPr>
          <w:rFonts w:ascii="Gadugi" w:hAnsi="Gadugi" w:cs="Century Gothic"/>
          <w:sz w:val="24"/>
          <w:szCs w:val="24"/>
          <w:lang w:val="es-CO"/>
        </w:rPr>
        <w:t>11</w:t>
      </w:r>
      <w:r w:rsidR="00FE5091" w:rsidRPr="00E375C5">
        <w:rPr>
          <w:rFonts w:ascii="Gadugi" w:hAnsi="Gadugi" w:cs="Century Gothic"/>
          <w:sz w:val="24"/>
          <w:szCs w:val="24"/>
          <w:lang w:val="es-CO"/>
        </w:rPr>
        <w:t xml:space="preserve"> de </w:t>
      </w:r>
      <w:r w:rsidR="00201AE2" w:rsidRPr="00E375C5">
        <w:rPr>
          <w:rFonts w:ascii="Gadugi" w:hAnsi="Gadugi" w:cs="Century Gothic"/>
          <w:sz w:val="24"/>
          <w:szCs w:val="24"/>
          <w:lang w:val="es-CO"/>
        </w:rPr>
        <w:t>ju</w:t>
      </w:r>
      <w:r w:rsidR="00D31D86" w:rsidRPr="00E375C5">
        <w:rPr>
          <w:rFonts w:ascii="Gadugi" w:hAnsi="Gadugi" w:cs="Century Gothic"/>
          <w:sz w:val="24"/>
          <w:szCs w:val="24"/>
          <w:lang w:val="es-CO"/>
        </w:rPr>
        <w:t>l</w:t>
      </w:r>
      <w:r w:rsidR="00201AE2" w:rsidRPr="00E375C5">
        <w:rPr>
          <w:rFonts w:ascii="Gadugi" w:hAnsi="Gadugi" w:cs="Century Gothic"/>
          <w:sz w:val="24"/>
          <w:szCs w:val="24"/>
          <w:lang w:val="es-CO"/>
        </w:rPr>
        <w:t>io</w:t>
      </w:r>
      <w:r w:rsidR="00D31D86" w:rsidRPr="00E375C5">
        <w:rPr>
          <w:rFonts w:ascii="Gadugi" w:hAnsi="Gadugi" w:cs="Century Gothic"/>
          <w:sz w:val="24"/>
          <w:szCs w:val="24"/>
          <w:lang w:val="es-CO"/>
        </w:rPr>
        <w:t xml:space="preserve"> de 2023.</w:t>
      </w:r>
      <w:r w:rsidR="009D11FB" w:rsidRPr="00E375C5">
        <w:rPr>
          <w:rStyle w:val="Refdenotaalpie"/>
          <w:rFonts w:ascii="Gadugi" w:hAnsi="Gadugi"/>
          <w:sz w:val="24"/>
          <w:szCs w:val="24"/>
          <w:lang w:val="es-CO"/>
        </w:rPr>
        <w:footnoteReference w:id="2"/>
      </w:r>
      <w:r w:rsidR="00D31D86" w:rsidRPr="00E375C5">
        <w:rPr>
          <w:rFonts w:ascii="Gadugi" w:hAnsi="Gadugi" w:cs="Century Gothic"/>
          <w:sz w:val="24"/>
          <w:szCs w:val="24"/>
          <w:lang w:val="es-CO"/>
        </w:rPr>
        <w:t xml:space="preserve"> </w:t>
      </w:r>
    </w:p>
    <w:p w14:paraId="676DB427" w14:textId="036F6E5F" w:rsidR="00D31D86" w:rsidRPr="00E375C5" w:rsidRDefault="00D31D86" w:rsidP="00E375C5">
      <w:pPr>
        <w:spacing w:line="276" w:lineRule="auto"/>
        <w:jc w:val="both"/>
        <w:rPr>
          <w:rFonts w:ascii="Gadugi" w:hAnsi="Gadugi" w:cs="Century Gothic"/>
          <w:sz w:val="24"/>
          <w:szCs w:val="24"/>
          <w:lang w:val="es-CO"/>
        </w:rPr>
      </w:pPr>
    </w:p>
    <w:p w14:paraId="64E9E0BE" w14:textId="3FD3B11B" w:rsidR="00D31D86" w:rsidRPr="00E375C5" w:rsidRDefault="00D31D86" w:rsidP="00E375C5">
      <w:pPr>
        <w:spacing w:line="276" w:lineRule="auto"/>
        <w:jc w:val="both"/>
        <w:rPr>
          <w:rFonts w:ascii="Gadugi" w:hAnsi="Gadugi" w:cs="Century Gothic"/>
          <w:sz w:val="24"/>
          <w:szCs w:val="24"/>
          <w:lang w:val="es-CO"/>
        </w:rPr>
      </w:pPr>
      <w:r w:rsidRPr="00E375C5">
        <w:rPr>
          <w:rFonts w:ascii="Gadugi" w:hAnsi="Gadugi" w:cs="Century Gothic"/>
          <w:sz w:val="24"/>
          <w:szCs w:val="24"/>
          <w:lang w:val="es-CO"/>
        </w:rPr>
        <w:t xml:space="preserve">1.3. El juzgado encausado </w:t>
      </w:r>
      <w:r w:rsidR="009D11FB" w:rsidRPr="00E375C5">
        <w:rPr>
          <w:rFonts w:ascii="Gadugi" w:hAnsi="Gadugi" w:cs="Century Gothic"/>
          <w:sz w:val="24"/>
          <w:szCs w:val="24"/>
          <w:lang w:val="es-CO"/>
        </w:rPr>
        <w:t xml:space="preserve">remitió </w:t>
      </w:r>
      <w:r w:rsidRPr="00E375C5">
        <w:rPr>
          <w:rFonts w:ascii="Gadugi" w:hAnsi="Gadugi" w:cs="Century Gothic"/>
          <w:sz w:val="24"/>
          <w:szCs w:val="24"/>
          <w:lang w:val="es-CO"/>
        </w:rPr>
        <w:t>el referido proceso</w:t>
      </w:r>
      <w:r w:rsidR="009D11FB" w:rsidRPr="00E375C5">
        <w:rPr>
          <w:rStyle w:val="Refdenotaalpie"/>
          <w:rFonts w:ascii="Gadugi" w:hAnsi="Gadugi"/>
          <w:sz w:val="24"/>
          <w:szCs w:val="24"/>
          <w:lang w:val="es-CO"/>
        </w:rPr>
        <w:footnoteReference w:id="3"/>
      </w:r>
      <w:r w:rsidRPr="00E375C5">
        <w:rPr>
          <w:rFonts w:ascii="Gadugi" w:hAnsi="Gadugi" w:cs="Century Gothic"/>
          <w:sz w:val="24"/>
          <w:szCs w:val="24"/>
          <w:lang w:val="es-CO"/>
        </w:rPr>
        <w:t xml:space="preserve">, explicó que las partes habían llegado a una conciliación previa, en el entendido de que la demanda se comprometió a consignar el saldo </w:t>
      </w:r>
      <w:r w:rsidR="00D878F2" w:rsidRPr="00E375C5">
        <w:rPr>
          <w:rFonts w:ascii="Gadugi" w:hAnsi="Gadugi" w:cs="Century Gothic"/>
          <w:sz w:val="24"/>
          <w:szCs w:val="24"/>
          <w:lang w:val="es-CO"/>
        </w:rPr>
        <w:t xml:space="preserve">de $80.000.000 que le quedó debiendo a la demandante por la compraventa de una casa, sin embargo, al fin y al cabo no se concretó ese pago, entonces, profirió sentencia en equidad </w:t>
      </w:r>
      <w:r w:rsidR="00D878F2" w:rsidRPr="00E375C5">
        <w:rPr>
          <w:rFonts w:ascii="Gadugi" w:hAnsi="Gadugi" w:cs="Century Gothic"/>
          <w:i/>
          <w:sz w:val="24"/>
          <w:szCs w:val="24"/>
          <w:lang w:val="es-CO"/>
        </w:rPr>
        <w:t>“</w:t>
      </w:r>
      <w:r w:rsidR="00D878F2" w:rsidRPr="00E375C5">
        <w:rPr>
          <w:rFonts w:ascii="Gadugi" w:hAnsi="Gadugi" w:cs="Century Gothic"/>
          <w:i/>
          <w:sz w:val="22"/>
          <w:szCs w:val="24"/>
          <w:lang w:val="es-CO"/>
        </w:rPr>
        <w:t>(…) dado que se cumplen los presupuestos procesales para ello</w:t>
      </w:r>
      <w:r w:rsidR="00D878F2" w:rsidRPr="00E375C5">
        <w:rPr>
          <w:rFonts w:ascii="Gadugi" w:hAnsi="Gadugi" w:cs="Century Gothic"/>
          <w:i/>
          <w:sz w:val="24"/>
          <w:szCs w:val="24"/>
          <w:lang w:val="es-CO"/>
        </w:rPr>
        <w:t>.”</w:t>
      </w:r>
      <w:r w:rsidR="00E375C5">
        <w:rPr>
          <w:rFonts w:ascii="Gadugi" w:hAnsi="Gadugi" w:cs="Century Gothic"/>
          <w:i/>
          <w:sz w:val="24"/>
          <w:szCs w:val="24"/>
          <w:lang w:val="es-CO"/>
        </w:rPr>
        <w:t xml:space="preserve"> </w:t>
      </w:r>
      <w:r w:rsidR="009D11FB" w:rsidRPr="00E375C5">
        <w:rPr>
          <w:rStyle w:val="Refdenotaalpie"/>
          <w:rFonts w:ascii="Gadugi" w:hAnsi="Gadugi"/>
          <w:i/>
          <w:sz w:val="24"/>
          <w:szCs w:val="24"/>
          <w:lang w:val="es-CO"/>
        </w:rPr>
        <w:footnoteReference w:id="4"/>
      </w:r>
    </w:p>
    <w:p w14:paraId="3A7F1B36" w14:textId="6B367302" w:rsidR="00FE5091" w:rsidRPr="00E375C5" w:rsidRDefault="00FE5091" w:rsidP="00E375C5">
      <w:pPr>
        <w:spacing w:line="276" w:lineRule="auto"/>
        <w:jc w:val="both"/>
        <w:rPr>
          <w:rFonts w:ascii="Gadugi" w:hAnsi="Gadugi" w:cs="Century Gothic"/>
          <w:sz w:val="24"/>
          <w:szCs w:val="24"/>
          <w:lang w:val="es-CO"/>
        </w:rPr>
      </w:pPr>
    </w:p>
    <w:p w14:paraId="1F7D4794" w14:textId="3D7F0747" w:rsidR="00D878F2" w:rsidRPr="00E375C5" w:rsidRDefault="00D878F2" w:rsidP="00E375C5">
      <w:pPr>
        <w:spacing w:line="276" w:lineRule="auto"/>
        <w:jc w:val="both"/>
        <w:rPr>
          <w:rFonts w:ascii="Gadugi" w:hAnsi="Gadugi" w:cs="Century Gothic"/>
          <w:sz w:val="24"/>
          <w:szCs w:val="24"/>
        </w:rPr>
      </w:pPr>
      <w:r w:rsidRPr="00E375C5">
        <w:rPr>
          <w:rFonts w:ascii="Gadugi" w:hAnsi="Gadugi" w:cs="Century Gothic"/>
          <w:sz w:val="24"/>
          <w:szCs w:val="24"/>
          <w:lang w:val="es-CO"/>
        </w:rPr>
        <w:t xml:space="preserve">1.4. </w:t>
      </w:r>
      <w:r w:rsidRPr="00E375C5">
        <w:rPr>
          <w:rFonts w:ascii="Gadugi" w:hAnsi="Gadugi" w:cs="Century Gothic"/>
          <w:sz w:val="24"/>
          <w:szCs w:val="24"/>
        </w:rPr>
        <w:t>María Mélida Molina Castaño, Luz Mary Molina Castaño, Luz Stella Molina Castaño y Joyce Patricia Molina Castaño, demandantes en aquel juicio, invocaron la subsidiariedad del amparo, toda vez que</w:t>
      </w:r>
      <w:r w:rsidRPr="00E375C5">
        <w:rPr>
          <w:rFonts w:ascii="Gadugi" w:hAnsi="Gadugi" w:cs="Century Gothic"/>
          <w:i/>
          <w:sz w:val="24"/>
          <w:szCs w:val="24"/>
        </w:rPr>
        <w:t xml:space="preserve"> “</w:t>
      </w:r>
      <w:r w:rsidRPr="00E375C5">
        <w:rPr>
          <w:rFonts w:ascii="Gadugi" w:hAnsi="Gadugi" w:cs="Century Gothic"/>
          <w:i/>
          <w:sz w:val="22"/>
          <w:szCs w:val="24"/>
        </w:rPr>
        <w:t>(…) el vocero judicial de la demandada dentro de ese proceso ahora accionante no manifestó su inconformidad o desaprobación con respecto a la naturaleza de la sentencia dictada dentro de la oportunidad en la que debía de hacerlo, ya que</w:t>
      </w:r>
      <w:r w:rsidR="00FE4151" w:rsidRPr="00E375C5">
        <w:rPr>
          <w:rFonts w:ascii="Gadugi" w:hAnsi="Gadugi" w:cs="Century Gothic"/>
          <w:i/>
          <w:sz w:val="22"/>
          <w:szCs w:val="24"/>
        </w:rPr>
        <w:t xml:space="preserve"> </w:t>
      </w:r>
      <w:r w:rsidRPr="00E375C5">
        <w:rPr>
          <w:rFonts w:ascii="Gadugi" w:hAnsi="Gadugi" w:cs="Century Gothic"/>
          <w:i/>
          <w:sz w:val="22"/>
          <w:szCs w:val="24"/>
        </w:rPr>
        <w:t>guardó un silencio complaciente que sólo ahora pretende desconocer y deslegitimar</w:t>
      </w:r>
      <w:r w:rsidR="00FE4151" w:rsidRPr="00E375C5">
        <w:rPr>
          <w:rFonts w:ascii="Gadugi" w:hAnsi="Gadugi" w:cs="Century Gothic"/>
          <w:i/>
          <w:sz w:val="22"/>
          <w:szCs w:val="24"/>
        </w:rPr>
        <w:t xml:space="preserve"> </w:t>
      </w:r>
      <w:r w:rsidRPr="00E375C5">
        <w:rPr>
          <w:rFonts w:ascii="Gadugi" w:hAnsi="Gadugi" w:cs="Century Gothic"/>
          <w:i/>
          <w:sz w:val="22"/>
          <w:szCs w:val="24"/>
        </w:rPr>
        <w:t>sin razón, pues no atinó en interponer recurso alguno en contra de la sentencia</w:t>
      </w:r>
      <w:r w:rsidR="00FE4151" w:rsidRPr="00E375C5">
        <w:rPr>
          <w:rFonts w:ascii="Gadugi" w:hAnsi="Gadugi" w:cs="Century Gothic"/>
          <w:i/>
          <w:sz w:val="22"/>
          <w:szCs w:val="24"/>
        </w:rPr>
        <w:t xml:space="preserve"> </w:t>
      </w:r>
      <w:r w:rsidRPr="00E375C5">
        <w:rPr>
          <w:rFonts w:ascii="Gadugi" w:hAnsi="Gadugi" w:cs="Century Gothic"/>
          <w:i/>
          <w:sz w:val="22"/>
          <w:szCs w:val="24"/>
        </w:rPr>
        <w:t>proferida que hubiere dado lugar a la negativa en su formulación</w:t>
      </w:r>
      <w:r w:rsidR="00FE4151" w:rsidRPr="00E375C5">
        <w:rPr>
          <w:rFonts w:ascii="Gadugi" w:hAnsi="Gadugi" w:cs="Century Gothic"/>
          <w:i/>
          <w:sz w:val="24"/>
          <w:szCs w:val="24"/>
        </w:rPr>
        <w:t>”.</w:t>
      </w:r>
      <w:r w:rsidR="009D11FB" w:rsidRPr="00E375C5">
        <w:rPr>
          <w:rStyle w:val="Refdenotaalpie"/>
          <w:rFonts w:ascii="Gadugi" w:hAnsi="Gadugi"/>
          <w:i/>
          <w:sz w:val="24"/>
          <w:szCs w:val="24"/>
        </w:rPr>
        <w:footnoteReference w:id="5"/>
      </w:r>
      <w:r w:rsidR="00FE4151" w:rsidRPr="00E375C5">
        <w:rPr>
          <w:rFonts w:ascii="Gadugi" w:hAnsi="Gadugi" w:cs="Century Gothic"/>
          <w:sz w:val="24"/>
          <w:szCs w:val="24"/>
        </w:rPr>
        <w:t xml:space="preserve"> </w:t>
      </w:r>
    </w:p>
    <w:p w14:paraId="0ABDD105" w14:textId="28BA0E6B" w:rsidR="00E079BD" w:rsidRPr="00E375C5" w:rsidRDefault="00E079BD" w:rsidP="00E375C5">
      <w:pPr>
        <w:spacing w:line="276" w:lineRule="auto"/>
        <w:jc w:val="both"/>
        <w:rPr>
          <w:rFonts w:ascii="Gadugi" w:hAnsi="Gadugi" w:cs="Century Gothic"/>
          <w:sz w:val="24"/>
          <w:szCs w:val="24"/>
          <w:lang w:val="es-CO"/>
        </w:rPr>
      </w:pPr>
    </w:p>
    <w:p w14:paraId="44416D29" w14:textId="1D26CA40" w:rsidR="00622EA3" w:rsidRPr="00E375C5" w:rsidRDefault="0010022C" w:rsidP="00E375C5">
      <w:pPr>
        <w:pStyle w:val="Textoindependiente22"/>
        <w:spacing w:line="276" w:lineRule="auto"/>
        <w:ind w:firstLine="0"/>
        <w:rPr>
          <w:rFonts w:ascii="Gadugi" w:hAnsi="Gadugi" w:cs="Arial"/>
          <w:b/>
          <w:szCs w:val="24"/>
        </w:rPr>
      </w:pPr>
      <w:r w:rsidRPr="00E375C5">
        <w:rPr>
          <w:rFonts w:ascii="Gadugi" w:hAnsi="Gadugi" w:cs="Arial"/>
          <w:b/>
          <w:szCs w:val="24"/>
        </w:rPr>
        <w:t xml:space="preserve">2. </w:t>
      </w:r>
      <w:r w:rsidR="00622EA3" w:rsidRPr="00E375C5">
        <w:rPr>
          <w:rFonts w:ascii="Gadugi" w:hAnsi="Gadugi" w:cs="Arial"/>
          <w:b/>
          <w:szCs w:val="24"/>
        </w:rPr>
        <w:t>CONSIDERACIONES</w:t>
      </w:r>
    </w:p>
    <w:p w14:paraId="666F5167" w14:textId="73008F7B" w:rsidR="002E76F4" w:rsidRPr="00E375C5" w:rsidRDefault="002E76F4" w:rsidP="00E375C5">
      <w:pPr>
        <w:pStyle w:val="Textoindependiente22"/>
        <w:spacing w:line="276" w:lineRule="auto"/>
        <w:ind w:firstLine="0"/>
        <w:rPr>
          <w:rFonts w:ascii="Gadugi" w:hAnsi="Gadugi"/>
          <w:szCs w:val="24"/>
        </w:rPr>
      </w:pPr>
    </w:p>
    <w:p w14:paraId="1B756C73" w14:textId="5E6842F7" w:rsidR="0092590C" w:rsidRPr="00E375C5" w:rsidRDefault="0010022C" w:rsidP="00E375C5">
      <w:pPr>
        <w:pStyle w:val="Textoindependiente22"/>
        <w:spacing w:line="276" w:lineRule="auto"/>
        <w:ind w:firstLine="0"/>
        <w:rPr>
          <w:rFonts w:ascii="Gadugi" w:hAnsi="Gadugi"/>
          <w:szCs w:val="24"/>
        </w:rPr>
      </w:pPr>
      <w:r w:rsidRPr="00E375C5">
        <w:rPr>
          <w:rFonts w:ascii="Gadugi" w:hAnsi="Gadugi"/>
          <w:szCs w:val="24"/>
        </w:rPr>
        <w:t xml:space="preserve">2.1. </w:t>
      </w:r>
      <w:r w:rsidR="00622EA3" w:rsidRPr="00E375C5">
        <w:rPr>
          <w:rFonts w:ascii="Gadugi" w:hAnsi="Gadugi"/>
          <w:szCs w:val="24"/>
        </w:rPr>
        <w:t>La acción de tutela se constituye en un medio ágil y expedito para que toda persona pueda reclamar ante los jueces, en cualquier momento y lugar, la protección de sus derechos fundamentales, si ellos son vulnerados o amenazados por la acción o la omisión de una autoridad pública y, en determinados casos, por particulares.</w:t>
      </w:r>
    </w:p>
    <w:p w14:paraId="6C765393" w14:textId="1F040D29" w:rsidR="002E76F4" w:rsidRPr="00E375C5" w:rsidRDefault="002E76F4" w:rsidP="00E375C5">
      <w:pPr>
        <w:spacing w:line="276" w:lineRule="auto"/>
        <w:jc w:val="both"/>
        <w:rPr>
          <w:rFonts w:ascii="Gadugi" w:hAnsi="Gadugi"/>
          <w:sz w:val="24"/>
          <w:szCs w:val="24"/>
        </w:rPr>
      </w:pPr>
    </w:p>
    <w:p w14:paraId="48547CA8" w14:textId="783CAF93" w:rsidR="00F72F41" w:rsidRPr="00E375C5" w:rsidRDefault="009A2FB8" w:rsidP="00E375C5">
      <w:pPr>
        <w:spacing w:line="276" w:lineRule="auto"/>
        <w:jc w:val="both"/>
        <w:rPr>
          <w:rFonts w:ascii="Gadugi" w:hAnsi="Gadugi"/>
          <w:sz w:val="24"/>
          <w:szCs w:val="24"/>
        </w:rPr>
      </w:pPr>
      <w:r w:rsidRPr="00E375C5">
        <w:rPr>
          <w:rFonts w:ascii="Gadugi" w:hAnsi="Gadugi"/>
          <w:sz w:val="24"/>
          <w:szCs w:val="24"/>
        </w:rPr>
        <w:t xml:space="preserve">Acude en esta oportunidad </w:t>
      </w:r>
      <w:r w:rsidR="00FE4151" w:rsidRPr="00E375C5">
        <w:rPr>
          <w:rFonts w:ascii="Gadugi" w:hAnsi="Gadugi"/>
          <w:sz w:val="24"/>
          <w:szCs w:val="24"/>
        </w:rPr>
        <w:t>la</w:t>
      </w:r>
      <w:r w:rsidRPr="00E375C5">
        <w:rPr>
          <w:rFonts w:ascii="Gadugi" w:hAnsi="Gadugi"/>
          <w:sz w:val="24"/>
          <w:szCs w:val="24"/>
        </w:rPr>
        <w:t xml:space="preserve"> accionante en procura de la protección de su derecho fundamental al debido proceso, presuntamente vulnerado por la </w:t>
      </w:r>
      <w:r w:rsidR="00BA33B0" w:rsidRPr="00E375C5">
        <w:rPr>
          <w:rFonts w:ascii="Gadugi" w:hAnsi="Gadugi"/>
          <w:sz w:val="24"/>
          <w:szCs w:val="24"/>
        </w:rPr>
        <w:t xml:space="preserve">célula judicial </w:t>
      </w:r>
      <w:r w:rsidR="00E433B3" w:rsidRPr="00E375C5">
        <w:rPr>
          <w:rFonts w:ascii="Gadugi" w:hAnsi="Gadugi"/>
          <w:sz w:val="24"/>
          <w:szCs w:val="24"/>
        </w:rPr>
        <w:t>acusada que</w:t>
      </w:r>
      <w:r w:rsidR="00FE4151" w:rsidRPr="00E375C5">
        <w:rPr>
          <w:rFonts w:ascii="Gadugi" w:hAnsi="Gadugi"/>
          <w:sz w:val="24"/>
          <w:szCs w:val="24"/>
        </w:rPr>
        <w:t xml:space="preserve"> profirió sentencia en equidad lo cual impide que contra esa decisión se interpongan recursos.  </w:t>
      </w:r>
      <w:r w:rsidR="00E15681" w:rsidRPr="00E375C5">
        <w:rPr>
          <w:rFonts w:ascii="Gadugi" w:hAnsi="Gadugi"/>
          <w:sz w:val="24"/>
          <w:szCs w:val="24"/>
        </w:rPr>
        <w:t xml:space="preserve">  </w:t>
      </w:r>
    </w:p>
    <w:p w14:paraId="494857C1" w14:textId="77777777" w:rsidR="00F72F41" w:rsidRPr="00E375C5" w:rsidRDefault="00F72F41" w:rsidP="00E375C5">
      <w:pPr>
        <w:spacing w:line="276" w:lineRule="auto"/>
        <w:jc w:val="both"/>
        <w:rPr>
          <w:rFonts w:ascii="Gadugi" w:hAnsi="Gadugi"/>
          <w:sz w:val="24"/>
          <w:szCs w:val="24"/>
        </w:rPr>
      </w:pPr>
    </w:p>
    <w:p w14:paraId="261CF3FF" w14:textId="77777777" w:rsidR="00BA33B0" w:rsidRPr="00E375C5" w:rsidRDefault="00F273F7" w:rsidP="00E375C5">
      <w:pPr>
        <w:spacing w:line="276" w:lineRule="auto"/>
        <w:jc w:val="both"/>
        <w:rPr>
          <w:rFonts w:ascii="Gadugi" w:hAnsi="Gadugi" w:cs="Arial"/>
          <w:sz w:val="24"/>
          <w:szCs w:val="24"/>
        </w:rPr>
      </w:pPr>
      <w:r w:rsidRPr="00E375C5">
        <w:rPr>
          <w:rFonts w:ascii="Gadugi" w:hAnsi="Gadugi"/>
          <w:sz w:val="24"/>
          <w:szCs w:val="24"/>
        </w:rPr>
        <w:t>2.2.</w:t>
      </w:r>
      <w:r w:rsidR="00BA33B0" w:rsidRPr="00E375C5">
        <w:rPr>
          <w:rFonts w:ascii="Gadugi" w:hAnsi="Gadugi"/>
          <w:sz w:val="24"/>
          <w:szCs w:val="24"/>
        </w:rPr>
        <w:t xml:space="preserve"> </w:t>
      </w:r>
      <w:r w:rsidR="00BA33B0" w:rsidRPr="00E375C5">
        <w:rPr>
          <w:rFonts w:ascii="Gadugi" w:hAnsi="Gadugi" w:cs="Century Gothic"/>
          <w:sz w:val="24"/>
          <w:szCs w:val="24"/>
          <w:lang w:val="es-CO"/>
        </w:rPr>
        <w:t>Reiteradamente</w:t>
      </w:r>
      <w:r w:rsidR="00BA33B0" w:rsidRPr="00E375C5">
        <w:rPr>
          <w:rFonts w:ascii="Gadugi" w:hAnsi="Gadugi" w:cs="Arial"/>
          <w:sz w:val="24"/>
          <w:szCs w:val="24"/>
        </w:rPr>
        <w:t xml:space="preserve"> se ha expuesto que </w:t>
      </w:r>
      <w:r w:rsidR="00BA33B0" w:rsidRPr="00E375C5">
        <w:rPr>
          <w:rFonts w:ascii="Gadugi" w:hAnsi="Gadugi"/>
          <w:sz w:val="24"/>
          <w:szCs w:val="24"/>
        </w:rPr>
        <w:t>a pesar de la inexequibilidad de las normas que en el Decreto 2591 de 1991 preveían la improcedencia de la acción de tutela contra providencias judiciales</w:t>
      </w:r>
      <w:r w:rsidR="00BA33B0" w:rsidRPr="00E375C5">
        <w:rPr>
          <w:rStyle w:val="Refdenotaalpie"/>
          <w:rFonts w:ascii="Gadugi" w:hAnsi="Gadugi"/>
          <w:sz w:val="24"/>
          <w:szCs w:val="24"/>
        </w:rPr>
        <w:footnoteReference w:id="6"/>
      </w:r>
      <w:r w:rsidR="00BA33B0" w:rsidRPr="00E375C5">
        <w:rPr>
          <w:rFonts w:ascii="Gadugi" w:hAnsi="Gadugi"/>
          <w:sz w:val="24"/>
          <w:szCs w:val="24"/>
        </w:rPr>
        <w:t>,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w:t>
      </w:r>
      <w:r w:rsidR="00BA33B0" w:rsidRPr="00E375C5">
        <w:rPr>
          <w:rFonts w:ascii="Gadugi" w:hAnsi="Gadugi" w:cs="Arial"/>
          <w:sz w:val="24"/>
          <w:szCs w:val="24"/>
        </w:rPr>
        <w:t xml:space="preserve"> en múltiples ocasiones. </w:t>
      </w:r>
    </w:p>
    <w:p w14:paraId="3FC93802" w14:textId="77777777" w:rsidR="00BA33B0" w:rsidRPr="00E375C5" w:rsidRDefault="00BA33B0" w:rsidP="00E375C5">
      <w:pPr>
        <w:spacing w:line="276" w:lineRule="auto"/>
        <w:jc w:val="both"/>
        <w:rPr>
          <w:rFonts w:ascii="Gadugi" w:hAnsi="Gadugi" w:cs="Arial"/>
          <w:sz w:val="24"/>
          <w:szCs w:val="24"/>
        </w:rPr>
      </w:pPr>
    </w:p>
    <w:p w14:paraId="25766B50" w14:textId="77777777" w:rsidR="00BA33B0" w:rsidRPr="00E375C5" w:rsidRDefault="00BA33B0" w:rsidP="00E375C5">
      <w:pPr>
        <w:spacing w:line="276" w:lineRule="auto"/>
        <w:jc w:val="both"/>
        <w:rPr>
          <w:rFonts w:ascii="Gadugi" w:hAnsi="Gadugi"/>
          <w:sz w:val="24"/>
          <w:szCs w:val="24"/>
        </w:rPr>
      </w:pPr>
      <w:r w:rsidRPr="00E375C5">
        <w:rPr>
          <w:rFonts w:ascii="Gadugi" w:hAnsi="Gadugi" w:cs="Arial"/>
          <w:sz w:val="24"/>
          <w:szCs w:val="24"/>
        </w:rPr>
        <w:t xml:space="preserve">Sobre ellas, en las sentencias SU-222/16, SU573/17, SU-004/18, </w:t>
      </w:r>
      <w:r w:rsidRPr="00E375C5">
        <w:rPr>
          <w:rFonts w:ascii="Gadugi" w:hAnsi="Gadugi" w:cs="Arial"/>
          <w:sz w:val="24"/>
          <w:szCs w:val="24"/>
          <w:lang w:val="es-419"/>
        </w:rPr>
        <w:t xml:space="preserve">reiteradas en las sentencias T-075/19, </w:t>
      </w:r>
      <w:r w:rsidRPr="00E375C5">
        <w:rPr>
          <w:rFonts w:ascii="Gadugi" w:hAnsi="Gadugi" w:cs="Arial"/>
          <w:sz w:val="24"/>
          <w:szCs w:val="24"/>
        </w:rPr>
        <w:t>T-053/20, SU128/21,</w:t>
      </w:r>
      <w:r w:rsidRPr="00E375C5">
        <w:rPr>
          <w:rFonts w:ascii="Gadugi" w:hAnsi="Gadugi"/>
          <w:sz w:val="24"/>
          <w:szCs w:val="24"/>
        </w:rPr>
        <w:t xml:space="preserve"> y más recientemente en la </w:t>
      </w:r>
      <w:r w:rsidRPr="00E375C5">
        <w:rPr>
          <w:rFonts w:ascii="Gadugi" w:hAnsi="Gadugi" w:cs="Arial"/>
          <w:sz w:val="24"/>
          <w:szCs w:val="24"/>
        </w:rPr>
        <w:t xml:space="preserve">T-001/22 todas aludiendo a la C-590 de 2005, recordó que las primeras obedecen a </w:t>
      </w:r>
      <w:r w:rsidRPr="00E375C5">
        <w:rPr>
          <w:rFonts w:ascii="Gadugi" w:hAnsi="Gadugi"/>
          <w:sz w:val="24"/>
          <w:szCs w:val="24"/>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E375C5">
        <w:rPr>
          <w:rFonts w:ascii="Gadugi" w:hAnsi="Gadugi"/>
          <w:sz w:val="24"/>
          <w:szCs w:val="24"/>
        </w:rPr>
        <w:t xml:space="preserve"> </w:t>
      </w:r>
      <w:r w:rsidRPr="00E375C5">
        <w:rPr>
          <w:rFonts w:ascii="Gadugi" w:hAnsi="Gadugi" w:cs="Arial"/>
          <w:sz w:val="24"/>
          <w:szCs w:val="24"/>
        </w:rPr>
        <w:t>Y en cuanto a las segundas, es decir, las causales específicas, se compendian en los defectos</w:t>
      </w:r>
      <w:r w:rsidRPr="00E375C5">
        <w:rPr>
          <w:rFonts w:ascii="Gadugi" w:hAnsi="Gadugi"/>
          <w:sz w:val="24"/>
          <w:szCs w:val="24"/>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E375C5">
        <w:rPr>
          <w:rFonts w:ascii="Gadugi" w:hAnsi="Gadugi"/>
          <w:sz w:val="24"/>
          <w:szCs w:val="24"/>
        </w:rPr>
        <w:t xml:space="preserve"> </w:t>
      </w:r>
    </w:p>
    <w:p w14:paraId="0996D9BF" w14:textId="30024BE8" w:rsidR="00603068" w:rsidRPr="00E375C5" w:rsidRDefault="00603068" w:rsidP="00E375C5">
      <w:pPr>
        <w:spacing w:line="276" w:lineRule="auto"/>
        <w:jc w:val="both"/>
        <w:rPr>
          <w:rFonts w:ascii="Gadugi" w:hAnsi="Gadugi"/>
          <w:sz w:val="24"/>
          <w:szCs w:val="24"/>
        </w:rPr>
      </w:pPr>
    </w:p>
    <w:p w14:paraId="6326BF99" w14:textId="212332AC" w:rsidR="00E305F1" w:rsidRPr="00E375C5" w:rsidRDefault="00E305F1" w:rsidP="00E375C5">
      <w:pPr>
        <w:spacing w:line="276" w:lineRule="auto"/>
        <w:jc w:val="both"/>
        <w:rPr>
          <w:rFonts w:ascii="Gadugi" w:hAnsi="Gadugi"/>
          <w:sz w:val="24"/>
          <w:szCs w:val="24"/>
        </w:rPr>
      </w:pPr>
      <w:r w:rsidRPr="00E375C5">
        <w:rPr>
          <w:rFonts w:ascii="Gadugi" w:hAnsi="Gadugi"/>
          <w:sz w:val="24"/>
          <w:szCs w:val="24"/>
        </w:rPr>
        <w:t xml:space="preserve">2.3. Requisitos de procedencia de la demanda. </w:t>
      </w:r>
    </w:p>
    <w:p w14:paraId="5E5BAAED" w14:textId="0AB2D0CC" w:rsidR="00E305F1" w:rsidRPr="00E375C5" w:rsidRDefault="00E305F1" w:rsidP="00E375C5">
      <w:pPr>
        <w:spacing w:line="276" w:lineRule="auto"/>
        <w:jc w:val="both"/>
        <w:rPr>
          <w:rFonts w:ascii="Gadugi" w:hAnsi="Gadugi"/>
          <w:sz w:val="24"/>
          <w:szCs w:val="24"/>
        </w:rPr>
      </w:pPr>
    </w:p>
    <w:p w14:paraId="09029A80" w14:textId="11DFCF94" w:rsidR="00E305F1" w:rsidRPr="00E375C5" w:rsidRDefault="00E305F1" w:rsidP="00E375C5">
      <w:pPr>
        <w:spacing w:line="276" w:lineRule="auto"/>
        <w:jc w:val="both"/>
        <w:rPr>
          <w:rFonts w:ascii="Gadugi" w:hAnsi="Gadugi" w:cs="Century Gothic"/>
          <w:sz w:val="24"/>
          <w:szCs w:val="24"/>
        </w:rPr>
      </w:pPr>
      <w:r w:rsidRPr="00E375C5">
        <w:rPr>
          <w:rFonts w:ascii="Gadugi" w:hAnsi="Gadugi" w:cs="Century Gothic"/>
          <w:sz w:val="24"/>
          <w:szCs w:val="24"/>
        </w:rPr>
        <w:t>Se satisface la legitimación en la causa por activa pues la accionante es demandada en el juicio cuestionado. Y por pasiva también, dado que ante el juzgado accionado se tramita.</w:t>
      </w:r>
    </w:p>
    <w:p w14:paraId="43EDDA92" w14:textId="77777777" w:rsidR="00E305F1" w:rsidRPr="00E375C5" w:rsidRDefault="00E305F1" w:rsidP="00E375C5">
      <w:pPr>
        <w:spacing w:line="276" w:lineRule="auto"/>
        <w:jc w:val="both"/>
        <w:rPr>
          <w:rFonts w:ascii="Gadugi" w:hAnsi="Gadugi" w:cs="Century Gothic"/>
          <w:sz w:val="24"/>
          <w:szCs w:val="24"/>
        </w:rPr>
      </w:pPr>
    </w:p>
    <w:p w14:paraId="16E6E41D" w14:textId="08A4AF47" w:rsidR="00E305F1" w:rsidRPr="00E375C5" w:rsidRDefault="00E305F1" w:rsidP="00E375C5">
      <w:pPr>
        <w:spacing w:line="276" w:lineRule="auto"/>
        <w:jc w:val="both"/>
        <w:rPr>
          <w:rFonts w:ascii="Gadugi" w:hAnsi="Gadugi"/>
          <w:sz w:val="24"/>
          <w:szCs w:val="24"/>
          <w:lang w:val="es-CO" w:eastAsia="es-CO"/>
        </w:rPr>
      </w:pPr>
      <w:r w:rsidRPr="00E375C5">
        <w:rPr>
          <w:rFonts w:ascii="Gadugi" w:hAnsi="Gadugi" w:cs="Century Gothic"/>
          <w:sz w:val="24"/>
          <w:szCs w:val="24"/>
        </w:rPr>
        <w:t xml:space="preserve">Se supera la inmediatez, ya que el fallo </w:t>
      </w:r>
      <w:r w:rsidR="009D11FB" w:rsidRPr="00E375C5">
        <w:rPr>
          <w:rFonts w:ascii="Gadugi" w:hAnsi="Gadugi" w:cs="Century Gothic"/>
          <w:sz w:val="24"/>
          <w:szCs w:val="24"/>
        </w:rPr>
        <w:t xml:space="preserve">cuestionado </w:t>
      </w:r>
      <w:r w:rsidRPr="00E375C5">
        <w:rPr>
          <w:rFonts w:ascii="Gadugi" w:hAnsi="Gadugi" w:cs="Century Gothic"/>
          <w:sz w:val="24"/>
          <w:szCs w:val="24"/>
        </w:rPr>
        <w:t>data del 22 de junio de 2023</w:t>
      </w:r>
      <w:r w:rsidR="009D11FB" w:rsidRPr="00E375C5">
        <w:rPr>
          <w:rStyle w:val="Refdenotaalpie"/>
          <w:rFonts w:ascii="Gadugi" w:hAnsi="Gadugi"/>
          <w:sz w:val="24"/>
          <w:szCs w:val="24"/>
        </w:rPr>
        <w:footnoteReference w:id="7"/>
      </w:r>
      <w:r w:rsidRPr="00E375C5">
        <w:rPr>
          <w:rFonts w:ascii="Gadugi" w:hAnsi="Gadugi" w:cs="Century Gothic"/>
          <w:sz w:val="24"/>
          <w:szCs w:val="24"/>
        </w:rPr>
        <w:t>, y esta demanda se radicó, con prontitud, el 1</w:t>
      </w:r>
      <w:r w:rsidR="000C52EF" w:rsidRPr="00E375C5">
        <w:rPr>
          <w:rFonts w:ascii="Gadugi" w:hAnsi="Gadugi" w:cs="Century Gothic"/>
          <w:sz w:val="24"/>
          <w:szCs w:val="24"/>
        </w:rPr>
        <w:t>1</w:t>
      </w:r>
      <w:r w:rsidRPr="00E375C5">
        <w:rPr>
          <w:rFonts w:ascii="Gadugi" w:hAnsi="Gadugi" w:cs="Century Gothic"/>
          <w:sz w:val="24"/>
          <w:szCs w:val="24"/>
        </w:rPr>
        <w:t xml:space="preserve"> de </w:t>
      </w:r>
      <w:r w:rsidR="000C52EF" w:rsidRPr="00E375C5">
        <w:rPr>
          <w:rFonts w:ascii="Gadugi" w:hAnsi="Gadugi" w:cs="Century Gothic"/>
          <w:sz w:val="24"/>
          <w:szCs w:val="24"/>
        </w:rPr>
        <w:t>julio</w:t>
      </w:r>
      <w:r w:rsidRPr="00E375C5">
        <w:rPr>
          <w:rFonts w:ascii="Gadugi" w:hAnsi="Gadugi" w:cs="Century Gothic"/>
          <w:sz w:val="24"/>
          <w:szCs w:val="24"/>
        </w:rPr>
        <w:t xml:space="preserve"> siguiente</w:t>
      </w:r>
      <w:r w:rsidR="009D11FB" w:rsidRPr="00E375C5">
        <w:rPr>
          <w:rStyle w:val="Refdenotaalpie"/>
          <w:rFonts w:ascii="Gadugi" w:hAnsi="Gadugi"/>
          <w:sz w:val="24"/>
          <w:szCs w:val="24"/>
        </w:rPr>
        <w:footnoteReference w:id="8"/>
      </w:r>
      <w:r w:rsidRPr="00E375C5">
        <w:rPr>
          <w:rFonts w:ascii="Gadugi" w:hAnsi="Gadugi" w:cs="Arial"/>
          <w:sz w:val="24"/>
          <w:szCs w:val="24"/>
          <w:lang w:val="es-419"/>
        </w:rPr>
        <w:t xml:space="preserve">, </w:t>
      </w:r>
      <w:r w:rsidRPr="00E375C5">
        <w:rPr>
          <w:rFonts w:ascii="Gadugi" w:hAnsi="Gadugi"/>
          <w:sz w:val="24"/>
          <w:szCs w:val="24"/>
          <w:lang w:val="es-CO"/>
        </w:rPr>
        <w:t>dentro d</w:t>
      </w:r>
      <w:r w:rsidRPr="00E375C5">
        <w:rPr>
          <w:rFonts w:ascii="Gadugi" w:hAnsi="Gadugi"/>
          <w:sz w:val="24"/>
          <w:szCs w:val="24"/>
        </w:rPr>
        <w:t>el plazo de 6 meses que, en general, tiene establecido la Corte Constitucional</w:t>
      </w:r>
      <w:r w:rsidRPr="00E375C5">
        <w:rPr>
          <w:rStyle w:val="Refdenotaalpie"/>
          <w:rFonts w:ascii="Gadugi" w:hAnsi="Gadugi"/>
          <w:sz w:val="24"/>
          <w:szCs w:val="24"/>
        </w:rPr>
        <w:footnoteReference w:id="9"/>
      </w:r>
      <w:r w:rsidRPr="00E375C5">
        <w:rPr>
          <w:rFonts w:ascii="Gadugi" w:hAnsi="Gadugi"/>
          <w:sz w:val="24"/>
          <w:szCs w:val="24"/>
        </w:rPr>
        <w:t xml:space="preserve">.  </w:t>
      </w:r>
    </w:p>
    <w:p w14:paraId="32C9F48B" w14:textId="77777777" w:rsidR="00E305F1" w:rsidRPr="00E375C5" w:rsidRDefault="00E305F1" w:rsidP="00E375C5">
      <w:pPr>
        <w:spacing w:line="276" w:lineRule="auto"/>
        <w:jc w:val="both"/>
        <w:rPr>
          <w:rFonts w:ascii="Gadugi" w:hAnsi="Gadugi" w:cs="Century Gothic"/>
          <w:sz w:val="24"/>
          <w:szCs w:val="24"/>
        </w:rPr>
      </w:pPr>
    </w:p>
    <w:p w14:paraId="7BEF26A8" w14:textId="4CF2AE77" w:rsidR="000C52EF" w:rsidRPr="00E375C5" w:rsidRDefault="00E305F1" w:rsidP="00E375C5">
      <w:pPr>
        <w:spacing w:line="276" w:lineRule="auto"/>
        <w:jc w:val="both"/>
        <w:rPr>
          <w:rFonts w:ascii="Gadugi" w:hAnsi="Gadugi" w:cs="Century Gothic"/>
          <w:sz w:val="24"/>
          <w:szCs w:val="24"/>
        </w:rPr>
      </w:pPr>
      <w:r w:rsidRPr="00E375C5">
        <w:rPr>
          <w:rFonts w:ascii="Gadugi" w:hAnsi="Gadugi" w:cs="Century Gothic"/>
          <w:sz w:val="24"/>
          <w:szCs w:val="24"/>
        </w:rPr>
        <w:t>Y se supera la subsidiariedad</w:t>
      </w:r>
      <w:r w:rsidR="000C52EF" w:rsidRPr="00E375C5">
        <w:rPr>
          <w:rFonts w:ascii="Gadugi" w:hAnsi="Gadugi" w:cs="Century Gothic"/>
          <w:sz w:val="24"/>
          <w:szCs w:val="24"/>
        </w:rPr>
        <w:t xml:space="preserve">, porque </w:t>
      </w:r>
      <w:r w:rsidRPr="00E375C5">
        <w:rPr>
          <w:rFonts w:ascii="Gadugi" w:hAnsi="Gadugi" w:cs="Century Gothic"/>
          <w:sz w:val="24"/>
          <w:szCs w:val="24"/>
        </w:rPr>
        <w:t>contra la sentencia</w:t>
      </w:r>
      <w:r w:rsidR="000C52EF" w:rsidRPr="00E375C5">
        <w:rPr>
          <w:rFonts w:ascii="Gadugi" w:hAnsi="Gadugi" w:cs="Century Gothic"/>
          <w:sz w:val="24"/>
          <w:szCs w:val="24"/>
        </w:rPr>
        <w:t xml:space="preserve"> que el juez accionado profirió en equidad, es improcedente algún recurso (Art. 321 CGP). </w:t>
      </w:r>
    </w:p>
    <w:p w14:paraId="191BC836" w14:textId="2321D9F4" w:rsidR="00E305F1" w:rsidRPr="00E375C5" w:rsidRDefault="00E305F1" w:rsidP="00E375C5">
      <w:pPr>
        <w:spacing w:line="276" w:lineRule="auto"/>
        <w:jc w:val="both"/>
        <w:rPr>
          <w:rFonts w:ascii="Gadugi" w:hAnsi="Gadugi"/>
          <w:sz w:val="24"/>
          <w:szCs w:val="24"/>
        </w:rPr>
      </w:pPr>
    </w:p>
    <w:p w14:paraId="7599FE41" w14:textId="456FE612" w:rsidR="00E435B7" w:rsidRPr="00E375C5" w:rsidRDefault="00BA7BE0" w:rsidP="00E375C5">
      <w:pPr>
        <w:spacing w:line="276" w:lineRule="auto"/>
        <w:jc w:val="both"/>
        <w:rPr>
          <w:rFonts w:ascii="Gadugi" w:hAnsi="Gadugi"/>
          <w:iCs/>
          <w:sz w:val="24"/>
          <w:szCs w:val="24"/>
          <w:lang w:val="es-419"/>
        </w:rPr>
      </w:pPr>
      <w:r w:rsidRPr="00E375C5">
        <w:rPr>
          <w:rFonts w:ascii="Gadugi" w:hAnsi="Gadugi"/>
          <w:sz w:val="24"/>
          <w:szCs w:val="24"/>
        </w:rPr>
        <w:t>Ahora bien, c</w:t>
      </w:r>
      <w:r w:rsidR="000C52EF" w:rsidRPr="00E375C5">
        <w:rPr>
          <w:rFonts w:ascii="Gadugi" w:hAnsi="Gadugi"/>
          <w:sz w:val="24"/>
          <w:szCs w:val="24"/>
        </w:rPr>
        <w:t xml:space="preserve">omo lo que se alega es </w:t>
      </w:r>
      <w:r w:rsidR="00E435B7" w:rsidRPr="00E375C5">
        <w:rPr>
          <w:rFonts w:ascii="Gadugi" w:hAnsi="Gadugi"/>
          <w:sz w:val="24"/>
          <w:szCs w:val="24"/>
        </w:rPr>
        <w:t>la particular culminación</w:t>
      </w:r>
      <w:r w:rsidR="0025321D" w:rsidRPr="00E375C5">
        <w:rPr>
          <w:rFonts w:ascii="Gadugi" w:hAnsi="Gadugi"/>
          <w:sz w:val="24"/>
          <w:szCs w:val="24"/>
        </w:rPr>
        <w:t xml:space="preserve"> del proceso, mediante sentencia en equidad, y entonces, una indebida interpretación del numeral 1° del </w:t>
      </w:r>
      <w:r w:rsidR="00E435B7" w:rsidRPr="00E375C5">
        <w:rPr>
          <w:rFonts w:ascii="Gadugi" w:hAnsi="Gadugi"/>
          <w:sz w:val="24"/>
          <w:szCs w:val="24"/>
        </w:rPr>
        <w:t xml:space="preserve">artículo 43 del CGP, la queja se enmarca en un presunto defecto sustantivo que </w:t>
      </w:r>
      <w:r w:rsidR="00E435B7" w:rsidRPr="00E375C5">
        <w:rPr>
          <w:rFonts w:ascii="Gadugi" w:hAnsi="Gadugi" w:cs="Arial"/>
          <w:sz w:val="24"/>
          <w:szCs w:val="24"/>
        </w:rPr>
        <w:t xml:space="preserve">ocurre cuando </w:t>
      </w:r>
      <w:r w:rsidR="00E435B7" w:rsidRPr="00E375C5">
        <w:rPr>
          <w:rFonts w:ascii="Gadugi" w:hAnsi="Gadugi"/>
          <w:i/>
          <w:iCs/>
          <w:sz w:val="24"/>
          <w:szCs w:val="24"/>
          <w:lang w:val="es-419"/>
        </w:rPr>
        <w:t>“</w:t>
      </w:r>
      <w:r w:rsidR="00E435B7" w:rsidRPr="00E375C5">
        <w:rPr>
          <w:rFonts w:ascii="Gadugi" w:hAnsi="Gadugi"/>
          <w:i/>
          <w:iCs/>
          <w:sz w:val="22"/>
          <w:szCs w:val="24"/>
          <w:lang w:val="es-419"/>
        </w:rPr>
        <w:t xml:space="preserve">(…) el juez “en ejercicio de su autonomía e independencia, </w:t>
      </w:r>
      <w:r w:rsidR="00E435B7" w:rsidRPr="00E375C5">
        <w:rPr>
          <w:rFonts w:ascii="Gadugi" w:hAnsi="Gadugi"/>
          <w:bCs/>
          <w:i/>
          <w:iCs/>
          <w:sz w:val="22"/>
          <w:szCs w:val="24"/>
          <w:lang w:val="es-419"/>
        </w:rPr>
        <w:t>desborda la Constitución o la ley en desconocimiento de los principios</w:t>
      </w:r>
      <w:r w:rsidR="00E435B7" w:rsidRPr="00E375C5">
        <w:rPr>
          <w:rFonts w:ascii="Gadugi" w:hAnsi="Gadugi"/>
          <w:i/>
          <w:iCs/>
          <w:sz w:val="22"/>
          <w:szCs w:val="24"/>
          <w:lang w:val="es-419"/>
        </w:rPr>
        <w:t xml:space="preserve">, derechos y deberes superiores”. </w:t>
      </w:r>
      <w:r w:rsidR="00E435B7" w:rsidRPr="00E375C5">
        <w:rPr>
          <w:rFonts w:ascii="Gadugi" w:hAnsi="Gadugi"/>
          <w:i/>
          <w:iCs/>
          <w:sz w:val="22"/>
          <w:szCs w:val="24"/>
          <w:u w:val="single"/>
          <w:lang w:val="es-419"/>
        </w:rPr>
        <w:t>Lo cual puede ocurrir, entre otros, por la errónea interpretación o aplicación de la norma</w:t>
      </w:r>
      <w:r w:rsidR="00E435B7" w:rsidRPr="00E375C5">
        <w:rPr>
          <w:rFonts w:ascii="Gadugi" w:hAnsi="Gadugi"/>
          <w:i/>
          <w:iCs/>
          <w:sz w:val="22"/>
          <w:szCs w:val="24"/>
          <w:lang w:val="es-419"/>
        </w:rPr>
        <w:t>.</w:t>
      </w:r>
      <w:r w:rsidR="00E435B7" w:rsidRPr="00E375C5">
        <w:rPr>
          <w:rFonts w:ascii="Gadugi" w:hAnsi="Gadugi"/>
          <w:b/>
          <w:i/>
          <w:iCs/>
          <w:sz w:val="22"/>
          <w:szCs w:val="24"/>
          <w:lang w:val="es-419"/>
        </w:rPr>
        <w:t xml:space="preserve"> </w:t>
      </w:r>
      <w:r w:rsidR="00E435B7" w:rsidRPr="00E375C5">
        <w:rPr>
          <w:rFonts w:ascii="Gadugi" w:hAnsi="Gadugi"/>
          <w:i/>
          <w:iCs/>
          <w:sz w:val="22"/>
          <w:szCs w:val="24"/>
          <w:lang w:val="es-419"/>
        </w:rPr>
        <w:t xml:space="preserve">Como puede suceder, por ejemplo, </w:t>
      </w:r>
      <w:r w:rsidR="00E435B7" w:rsidRPr="00E375C5">
        <w:rPr>
          <w:rFonts w:ascii="Gadugi" w:hAnsi="Gadugi"/>
          <w:bCs/>
          <w:i/>
          <w:iCs/>
          <w:sz w:val="22"/>
          <w:szCs w:val="24"/>
          <w:lang w:val="es-419"/>
        </w:rPr>
        <w:t>cuando se desborda el contenido de la norma</w:t>
      </w:r>
      <w:r w:rsidR="00E435B7" w:rsidRPr="00E375C5">
        <w:rPr>
          <w:rFonts w:ascii="Gadugi" w:hAnsi="Gadugi"/>
          <w:i/>
          <w:iCs/>
          <w:sz w:val="22"/>
          <w:szCs w:val="24"/>
          <w:lang w:val="es-419"/>
        </w:rPr>
        <w:t xml:space="preserve"> y se imponen mayores barreras a las exigidas por el legislador para conceder el derecho o se desconocen normas que debían aplicarse</w:t>
      </w:r>
      <w:r w:rsidR="00E435B7" w:rsidRPr="00E375C5">
        <w:rPr>
          <w:rFonts w:ascii="Gadugi" w:hAnsi="Gadugi"/>
          <w:i/>
          <w:iCs/>
          <w:sz w:val="24"/>
          <w:szCs w:val="24"/>
          <w:lang w:val="es-419"/>
        </w:rPr>
        <w:t>.”</w:t>
      </w:r>
      <w:r w:rsidR="00E435B7" w:rsidRPr="00E375C5">
        <w:rPr>
          <w:rStyle w:val="Refdenotaalpie"/>
          <w:rFonts w:ascii="Gadugi" w:hAnsi="Gadugi"/>
          <w:i/>
          <w:iCs/>
          <w:sz w:val="24"/>
          <w:szCs w:val="24"/>
          <w:lang w:val="es-419"/>
        </w:rPr>
        <w:footnoteReference w:id="10"/>
      </w:r>
      <w:r w:rsidR="00E435B7" w:rsidRPr="00E375C5">
        <w:rPr>
          <w:rFonts w:ascii="Gadugi" w:hAnsi="Gadugi"/>
          <w:i/>
          <w:iCs/>
          <w:sz w:val="24"/>
          <w:szCs w:val="24"/>
          <w:lang w:val="es-419"/>
        </w:rPr>
        <w:t xml:space="preserve"> </w:t>
      </w:r>
      <w:r w:rsidR="00E435B7" w:rsidRPr="00E375C5">
        <w:rPr>
          <w:rFonts w:ascii="Gadugi" w:hAnsi="Gadugi"/>
          <w:iCs/>
          <w:sz w:val="24"/>
          <w:szCs w:val="24"/>
          <w:lang w:val="es-419"/>
        </w:rPr>
        <w:t>(Subraya la Sala).</w:t>
      </w:r>
    </w:p>
    <w:p w14:paraId="70DA1E6C" w14:textId="1446DAC3" w:rsidR="00E435B7" w:rsidRPr="00E375C5" w:rsidRDefault="00E435B7" w:rsidP="00E375C5">
      <w:pPr>
        <w:spacing w:line="276" w:lineRule="auto"/>
        <w:jc w:val="both"/>
        <w:rPr>
          <w:rFonts w:ascii="Gadugi" w:hAnsi="Gadugi"/>
          <w:iCs/>
          <w:sz w:val="24"/>
          <w:szCs w:val="24"/>
          <w:lang w:val="es-419"/>
        </w:rPr>
      </w:pPr>
    </w:p>
    <w:p w14:paraId="7D431851" w14:textId="2CA42BA0" w:rsidR="00E435B7" w:rsidRPr="00E375C5" w:rsidRDefault="00E435B7" w:rsidP="00E375C5">
      <w:pPr>
        <w:spacing w:line="276" w:lineRule="auto"/>
        <w:jc w:val="both"/>
        <w:rPr>
          <w:rFonts w:ascii="Gadugi" w:hAnsi="Gadugi"/>
          <w:iCs/>
          <w:sz w:val="24"/>
          <w:szCs w:val="24"/>
          <w:lang w:val="es-419"/>
        </w:rPr>
      </w:pPr>
      <w:r w:rsidRPr="00E375C5">
        <w:rPr>
          <w:rFonts w:ascii="Gadugi" w:hAnsi="Gadugi"/>
          <w:iCs/>
          <w:sz w:val="24"/>
          <w:szCs w:val="24"/>
          <w:lang w:val="es-419"/>
        </w:rPr>
        <w:t xml:space="preserve">2.4. En el caso concreto rápido se advierte que la razón está de parte de la accionante, porque distinto a lo que aduce el funcionario, en el juicio que tramitó, no se daban las condiciones para proferir sentencia en equidad. </w:t>
      </w:r>
    </w:p>
    <w:p w14:paraId="312A6AF3" w14:textId="2C166B89" w:rsidR="00E435B7" w:rsidRPr="00E375C5" w:rsidRDefault="00E435B7" w:rsidP="00E375C5">
      <w:pPr>
        <w:spacing w:line="276" w:lineRule="auto"/>
        <w:jc w:val="both"/>
        <w:rPr>
          <w:rFonts w:ascii="Gadugi" w:hAnsi="Gadugi"/>
          <w:iCs/>
          <w:sz w:val="24"/>
          <w:szCs w:val="24"/>
          <w:lang w:val="es-419"/>
        </w:rPr>
      </w:pPr>
    </w:p>
    <w:p w14:paraId="73283152" w14:textId="57600B4C" w:rsidR="00E435B7" w:rsidRPr="00E375C5" w:rsidRDefault="00E435B7" w:rsidP="00E375C5">
      <w:pPr>
        <w:spacing w:line="276" w:lineRule="auto"/>
        <w:jc w:val="both"/>
        <w:rPr>
          <w:rFonts w:ascii="Gadugi" w:hAnsi="Gadugi"/>
          <w:iCs/>
          <w:sz w:val="24"/>
          <w:szCs w:val="24"/>
          <w:lang w:val="es-419"/>
        </w:rPr>
      </w:pPr>
      <w:r w:rsidRPr="00E375C5">
        <w:rPr>
          <w:rFonts w:ascii="Gadugi" w:hAnsi="Gadugi"/>
          <w:iCs/>
          <w:sz w:val="24"/>
          <w:szCs w:val="24"/>
          <w:lang w:val="es-419"/>
        </w:rPr>
        <w:t xml:space="preserve">Establece el numeral 1° del artículo 43 </w:t>
      </w:r>
      <w:r w:rsidR="009D11FB" w:rsidRPr="00E375C5">
        <w:rPr>
          <w:rFonts w:ascii="Gadugi" w:hAnsi="Gadugi"/>
          <w:iCs/>
          <w:sz w:val="24"/>
          <w:szCs w:val="24"/>
          <w:lang w:val="es-419"/>
        </w:rPr>
        <w:t xml:space="preserve">del CGP </w:t>
      </w:r>
      <w:r w:rsidRPr="00E375C5">
        <w:rPr>
          <w:rFonts w:ascii="Gadugi" w:hAnsi="Gadugi"/>
          <w:iCs/>
          <w:sz w:val="24"/>
          <w:szCs w:val="24"/>
          <w:lang w:val="es-419"/>
        </w:rPr>
        <w:t>que:</w:t>
      </w:r>
    </w:p>
    <w:p w14:paraId="3CB55C8A" w14:textId="37532566" w:rsidR="00E435B7" w:rsidRPr="00E375C5" w:rsidRDefault="00E435B7" w:rsidP="00E375C5">
      <w:pPr>
        <w:spacing w:line="276" w:lineRule="auto"/>
        <w:jc w:val="both"/>
        <w:rPr>
          <w:rFonts w:ascii="Gadugi" w:hAnsi="Gadugi"/>
          <w:iCs/>
          <w:sz w:val="24"/>
          <w:szCs w:val="24"/>
          <w:lang w:val="es-419"/>
        </w:rPr>
      </w:pPr>
    </w:p>
    <w:p w14:paraId="0FFF8B7F" w14:textId="77777777" w:rsidR="00E435B7" w:rsidRPr="00582E4D" w:rsidRDefault="00E435B7" w:rsidP="00582E4D">
      <w:pPr>
        <w:ind w:left="426" w:right="420"/>
        <w:jc w:val="both"/>
        <w:rPr>
          <w:rFonts w:ascii="Gadugi" w:hAnsi="Gadugi" w:cs="Arial"/>
          <w:sz w:val="22"/>
          <w:szCs w:val="24"/>
        </w:rPr>
      </w:pPr>
      <w:r w:rsidRPr="00582E4D">
        <w:rPr>
          <w:rFonts w:ascii="Gadugi" w:hAnsi="Gadugi" w:cs="Arial"/>
          <w:sz w:val="22"/>
          <w:szCs w:val="24"/>
        </w:rPr>
        <w:t>El juez tendrá los siguientes poderes de ordenación e instrucción:</w:t>
      </w:r>
    </w:p>
    <w:p w14:paraId="59973C69" w14:textId="77777777" w:rsidR="00E435B7" w:rsidRPr="00582E4D" w:rsidRDefault="00E435B7" w:rsidP="00582E4D">
      <w:pPr>
        <w:ind w:left="426" w:right="420"/>
        <w:jc w:val="both"/>
        <w:rPr>
          <w:rFonts w:ascii="Gadugi" w:hAnsi="Gadugi" w:cs="Arial"/>
          <w:sz w:val="22"/>
          <w:szCs w:val="24"/>
        </w:rPr>
      </w:pPr>
    </w:p>
    <w:p w14:paraId="0BCE7F11" w14:textId="195FBE85" w:rsidR="00E435B7" w:rsidRPr="00582E4D" w:rsidRDefault="00E435B7" w:rsidP="00582E4D">
      <w:pPr>
        <w:ind w:left="426" w:right="420"/>
        <w:jc w:val="both"/>
        <w:rPr>
          <w:rFonts w:ascii="Gadugi" w:hAnsi="Gadugi" w:cs="Arial"/>
          <w:sz w:val="22"/>
          <w:szCs w:val="24"/>
        </w:rPr>
      </w:pPr>
      <w:r w:rsidRPr="00582E4D">
        <w:rPr>
          <w:rFonts w:ascii="Gadugi" w:hAnsi="Gadugi" w:cs="Arial"/>
          <w:sz w:val="22"/>
          <w:szCs w:val="24"/>
        </w:rPr>
        <w:t xml:space="preserve">1. Resolver los procesos en equidad si versan sobre derechos disponibles, </w:t>
      </w:r>
      <w:r w:rsidRPr="00582E4D">
        <w:rPr>
          <w:rFonts w:ascii="Gadugi" w:hAnsi="Gadugi" w:cs="Arial"/>
          <w:sz w:val="22"/>
          <w:szCs w:val="24"/>
          <w:u w:val="single"/>
        </w:rPr>
        <w:t>las partes lo solicitan</w:t>
      </w:r>
      <w:r w:rsidRPr="00582E4D">
        <w:rPr>
          <w:rFonts w:ascii="Gadugi" w:hAnsi="Gadugi" w:cs="Arial"/>
          <w:sz w:val="22"/>
          <w:szCs w:val="24"/>
        </w:rPr>
        <w:t xml:space="preserve"> y son capaces, o la ley lo autoriza. (Destaca la Sala)</w:t>
      </w:r>
    </w:p>
    <w:p w14:paraId="64B31837" w14:textId="5A61499C" w:rsidR="000C52EF" w:rsidRPr="00E375C5" w:rsidRDefault="000C52EF" w:rsidP="00E375C5">
      <w:pPr>
        <w:spacing w:line="276" w:lineRule="auto"/>
        <w:jc w:val="both"/>
        <w:rPr>
          <w:rFonts w:ascii="Gadugi" w:hAnsi="Gadugi"/>
          <w:sz w:val="24"/>
          <w:szCs w:val="24"/>
        </w:rPr>
      </w:pPr>
    </w:p>
    <w:p w14:paraId="39B740B7" w14:textId="4EC03146" w:rsidR="00E435B7" w:rsidRPr="00E375C5" w:rsidRDefault="00E435B7" w:rsidP="00E375C5">
      <w:pPr>
        <w:spacing w:line="276" w:lineRule="auto"/>
        <w:jc w:val="both"/>
        <w:rPr>
          <w:rFonts w:ascii="Gadugi" w:hAnsi="Gadugi"/>
          <w:sz w:val="24"/>
          <w:szCs w:val="24"/>
        </w:rPr>
      </w:pPr>
      <w:r w:rsidRPr="00E375C5">
        <w:rPr>
          <w:rFonts w:ascii="Gadugi" w:hAnsi="Gadugi"/>
          <w:sz w:val="24"/>
          <w:szCs w:val="24"/>
        </w:rPr>
        <w:t>Se empieza a ver por dónde viene la equivocación</w:t>
      </w:r>
      <w:r w:rsidR="00062CEF" w:rsidRPr="00E375C5">
        <w:rPr>
          <w:rFonts w:ascii="Gadugi" w:hAnsi="Gadugi"/>
          <w:sz w:val="24"/>
          <w:szCs w:val="24"/>
        </w:rPr>
        <w:t>,</w:t>
      </w:r>
      <w:r w:rsidRPr="00E375C5">
        <w:rPr>
          <w:rFonts w:ascii="Gadugi" w:hAnsi="Gadugi"/>
          <w:sz w:val="24"/>
          <w:szCs w:val="24"/>
        </w:rPr>
        <w:t xml:space="preserve"> porque en aquel proceso, las partes no solicitaron que se profiriera sentencia en equidad.</w:t>
      </w:r>
    </w:p>
    <w:p w14:paraId="76BE6691" w14:textId="77777777" w:rsidR="00E435B7" w:rsidRPr="00E375C5" w:rsidRDefault="00E435B7" w:rsidP="00E375C5">
      <w:pPr>
        <w:spacing w:line="276" w:lineRule="auto"/>
        <w:jc w:val="both"/>
        <w:rPr>
          <w:rFonts w:ascii="Gadugi" w:hAnsi="Gadugi"/>
          <w:sz w:val="24"/>
          <w:szCs w:val="24"/>
        </w:rPr>
      </w:pPr>
    </w:p>
    <w:p w14:paraId="6B427295" w14:textId="6867B6BF" w:rsidR="00E435B7" w:rsidRPr="00E375C5" w:rsidRDefault="00E435B7" w:rsidP="00E375C5">
      <w:pPr>
        <w:spacing w:line="276" w:lineRule="auto"/>
        <w:jc w:val="both"/>
        <w:rPr>
          <w:rFonts w:ascii="Gadugi" w:hAnsi="Gadugi"/>
          <w:sz w:val="24"/>
          <w:szCs w:val="24"/>
        </w:rPr>
      </w:pPr>
      <w:r w:rsidRPr="00E375C5">
        <w:rPr>
          <w:rFonts w:ascii="Gadugi" w:hAnsi="Gadugi"/>
          <w:sz w:val="24"/>
          <w:szCs w:val="24"/>
        </w:rPr>
        <w:t xml:space="preserve">En efecto, cuando transcurría la audiencia, y al ver que la demandada no se afanó en concretar el pago por $80.000.000 a las demandantes, con lo que se terminaría el proceso, el juez anunció: </w:t>
      </w:r>
      <w:r w:rsidRPr="00E375C5">
        <w:rPr>
          <w:rFonts w:ascii="Gadugi" w:hAnsi="Gadugi"/>
          <w:i/>
          <w:sz w:val="24"/>
          <w:szCs w:val="24"/>
        </w:rPr>
        <w:t>“</w:t>
      </w:r>
      <w:r w:rsidRPr="00582E4D">
        <w:rPr>
          <w:rFonts w:ascii="Gadugi" w:hAnsi="Gadugi"/>
          <w:i/>
          <w:sz w:val="22"/>
          <w:szCs w:val="24"/>
        </w:rPr>
        <w:t xml:space="preserve">Se va a dictar una sentencia en </w:t>
      </w:r>
      <w:r w:rsidR="00DE47FC" w:rsidRPr="00582E4D">
        <w:rPr>
          <w:rFonts w:ascii="Gadugi" w:hAnsi="Gadugi"/>
          <w:i/>
          <w:sz w:val="22"/>
          <w:szCs w:val="24"/>
        </w:rPr>
        <w:t>equidad,</w:t>
      </w:r>
      <w:r w:rsidRPr="00582E4D">
        <w:rPr>
          <w:rFonts w:ascii="Gadugi" w:hAnsi="Gadugi"/>
          <w:i/>
          <w:sz w:val="22"/>
          <w:szCs w:val="24"/>
        </w:rPr>
        <w:t xml:space="preserve"> por lo tanto, d</w:t>
      </w:r>
      <w:r w:rsidR="00DE47FC" w:rsidRPr="00582E4D">
        <w:rPr>
          <w:rFonts w:ascii="Gadugi" w:hAnsi="Gadugi"/>
          <w:i/>
          <w:sz w:val="22"/>
          <w:szCs w:val="24"/>
        </w:rPr>
        <w:t>e acuerdo a la l</w:t>
      </w:r>
      <w:r w:rsidRPr="00582E4D">
        <w:rPr>
          <w:rFonts w:ascii="Gadugi" w:hAnsi="Gadugi"/>
          <w:i/>
          <w:sz w:val="22"/>
          <w:szCs w:val="24"/>
        </w:rPr>
        <w:t>ey</w:t>
      </w:r>
      <w:r w:rsidR="00DE47FC" w:rsidRPr="00582E4D">
        <w:rPr>
          <w:rFonts w:ascii="Gadugi" w:hAnsi="Gadugi"/>
          <w:i/>
          <w:sz w:val="22"/>
          <w:szCs w:val="24"/>
        </w:rPr>
        <w:t>,</w:t>
      </w:r>
      <w:r w:rsidRPr="00582E4D">
        <w:rPr>
          <w:rFonts w:ascii="Gadugi" w:hAnsi="Gadugi"/>
          <w:i/>
          <w:sz w:val="22"/>
          <w:szCs w:val="24"/>
        </w:rPr>
        <w:t xml:space="preserve"> esta sentencia no tendrá recursos</w:t>
      </w:r>
      <w:r w:rsidRPr="00E375C5">
        <w:rPr>
          <w:rFonts w:ascii="Gadugi" w:hAnsi="Gadugi"/>
          <w:i/>
          <w:sz w:val="24"/>
          <w:szCs w:val="24"/>
        </w:rPr>
        <w:t>”</w:t>
      </w:r>
      <w:r w:rsidR="009D11FB" w:rsidRPr="00E375C5">
        <w:rPr>
          <w:rStyle w:val="Refdenotaalpie"/>
          <w:rFonts w:ascii="Gadugi" w:hAnsi="Gadugi"/>
          <w:i/>
          <w:sz w:val="24"/>
          <w:szCs w:val="24"/>
        </w:rPr>
        <w:footnoteReference w:id="11"/>
      </w:r>
      <w:r w:rsidR="00062CEF" w:rsidRPr="00E375C5">
        <w:rPr>
          <w:rFonts w:ascii="Gadugi" w:hAnsi="Gadugi"/>
          <w:i/>
          <w:sz w:val="24"/>
          <w:szCs w:val="24"/>
        </w:rPr>
        <w:t xml:space="preserve">. </w:t>
      </w:r>
      <w:r w:rsidR="00062CEF" w:rsidRPr="00E375C5">
        <w:rPr>
          <w:rFonts w:ascii="Gadugi" w:hAnsi="Gadugi"/>
          <w:sz w:val="24"/>
          <w:szCs w:val="24"/>
        </w:rPr>
        <w:t>L</w:t>
      </w:r>
      <w:r w:rsidR="00DE47FC" w:rsidRPr="00E375C5">
        <w:rPr>
          <w:rFonts w:ascii="Gadugi" w:hAnsi="Gadugi"/>
          <w:sz w:val="24"/>
          <w:szCs w:val="24"/>
        </w:rPr>
        <w:t xml:space="preserve">uego, cuando profirió fallo, y tras emitir las condenas contra la demandada, finiquitó diciendo </w:t>
      </w:r>
      <w:r w:rsidR="00DE47FC" w:rsidRPr="00E375C5">
        <w:rPr>
          <w:rFonts w:ascii="Gadugi" w:hAnsi="Gadugi"/>
          <w:i/>
          <w:sz w:val="24"/>
          <w:szCs w:val="24"/>
        </w:rPr>
        <w:t>“</w:t>
      </w:r>
      <w:r w:rsidR="00DE47FC" w:rsidRPr="00582E4D">
        <w:rPr>
          <w:rFonts w:ascii="Gadugi" w:hAnsi="Gadugi"/>
          <w:i/>
          <w:sz w:val="22"/>
          <w:szCs w:val="24"/>
        </w:rPr>
        <w:t xml:space="preserve">Esta </w:t>
      </w:r>
      <w:r w:rsidR="009D11FB" w:rsidRPr="00582E4D">
        <w:rPr>
          <w:rFonts w:ascii="Gadugi" w:hAnsi="Gadugi"/>
          <w:i/>
          <w:sz w:val="22"/>
          <w:szCs w:val="24"/>
        </w:rPr>
        <w:t>sentencia</w:t>
      </w:r>
      <w:r w:rsidR="00DE47FC" w:rsidRPr="00582E4D">
        <w:rPr>
          <w:rFonts w:ascii="Gadugi" w:hAnsi="Gadugi"/>
          <w:i/>
          <w:sz w:val="22"/>
          <w:szCs w:val="24"/>
        </w:rPr>
        <w:t xml:space="preserve"> se encuentra notificada en estrados, conforme al artículo 321 del CGP, esta sentencia, en primera instancia, no es apelable, por cuanto se profirió en equidad</w:t>
      </w:r>
      <w:r w:rsidR="009D11FB" w:rsidRPr="00E375C5">
        <w:rPr>
          <w:rStyle w:val="Refdenotaalpie"/>
          <w:rFonts w:ascii="Gadugi" w:hAnsi="Gadugi"/>
          <w:i/>
          <w:sz w:val="24"/>
          <w:szCs w:val="24"/>
        </w:rPr>
        <w:footnoteReference w:id="12"/>
      </w:r>
      <w:r w:rsidR="00DE47FC" w:rsidRPr="00E375C5">
        <w:rPr>
          <w:rFonts w:ascii="Gadugi" w:hAnsi="Gadugi"/>
          <w:i/>
          <w:sz w:val="24"/>
          <w:szCs w:val="24"/>
        </w:rPr>
        <w:t>”.</w:t>
      </w:r>
      <w:r w:rsidR="00DE47FC" w:rsidRPr="00E375C5">
        <w:rPr>
          <w:rFonts w:ascii="Gadugi" w:hAnsi="Gadugi"/>
          <w:sz w:val="24"/>
          <w:szCs w:val="24"/>
        </w:rPr>
        <w:t xml:space="preserve"> </w:t>
      </w:r>
    </w:p>
    <w:p w14:paraId="3687F37D" w14:textId="13174442" w:rsidR="000C52EF" w:rsidRPr="00E375C5" w:rsidRDefault="000C52EF" w:rsidP="00E375C5">
      <w:pPr>
        <w:spacing w:line="276" w:lineRule="auto"/>
        <w:jc w:val="both"/>
        <w:rPr>
          <w:rFonts w:ascii="Gadugi" w:hAnsi="Gadugi"/>
          <w:sz w:val="24"/>
          <w:szCs w:val="24"/>
        </w:rPr>
      </w:pPr>
    </w:p>
    <w:p w14:paraId="75EDD174" w14:textId="38DA008C" w:rsidR="00FB510A" w:rsidRPr="00E375C5" w:rsidRDefault="00121C55" w:rsidP="00E375C5">
      <w:pPr>
        <w:spacing w:line="276" w:lineRule="auto"/>
        <w:jc w:val="both"/>
        <w:rPr>
          <w:rFonts w:ascii="Gadugi" w:hAnsi="Gadugi"/>
          <w:sz w:val="24"/>
          <w:szCs w:val="24"/>
        </w:rPr>
      </w:pPr>
      <w:r w:rsidRPr="00E375C5">
        <w:rPr>
          <w:rFonts w:ascii="Gadugi" w:hAnsi="Gadugi"/>
          <w:sz w:val="24"/>
          <w:szCs w:val="24"/>
        </w:rPr>
        <w:t xml:space="preserve">Surge entonces la pregunta, ¿podía el juez proferir sentencia en equidad sin el consentimiento de las partes?, y al </w:t>
      </w:r>
      <w:proofErr w:type="spellStart"/>
      <w:r w:rsidRPr="00E375C5">
        <w:rPr>
          <w:rFonts w:ascii="Gadugi" w:hAnsi="Gadugi"/>
          <w:sz w:val="24"/>
          <w:szCs w:val="24"/>
        </w:rPr>
        <w:t>rompe</w:t>
      </w:r>
      <w:proofErr w:type="spellEnd"/>
      <w:r w:rsidR="00062CEF" w:rsidRPr="00E375C5">
        <w:rPr>
          <w:rFonts w:ascii="Gadugi" w:hAnsi="Gadugi"/>
          <w:sz w:val="24"/>
          <w:szCs w:val="24"/>
        </w:rPr>
        <w:t>,</w:t>
      </w:r>
      <w:r w:rsidRPr="00E375C5">
        <w:rPr>
          <w:rFonts w:ascii="Gadugi" w:hAnsi="Gadugi"/>
          <w:sz w:val="24"/>
          <w:szCs w:val="24"/>
        </w:rPr>
        <w:t xml:space="preserve"> la respuesta</w:t>
      </w:r>
      <w:r w:rsidR="00062CEF" w:rsidRPr="00E375C5">
        <w:rPr>
          <w:rFonts w:ascii="Gadugi" w:hAnsi="Gadugi"/>
          <w:sz w:val="24"/>
          <w:szCs w:val="24"/>
        </w:rPr>
        <w:t xml:space="preserve"> es</w:t>
      </w:r>
      <w:r w:rsidRPr="00E375C5">
        <w:rPr>
          <w:rFonts w:ascii="Gadugi" w:hAnsi="Gadugi"/>
          <w:sz w:val="24"/>
          <w:szCs w:val="24"/>
        </w:rPr>
        <w:t xml:space="preserve"> </w:t>
      </w:r>
      <w:r w:rsidRPr="00E375C5">
        <w:rPr>
          <w:rFonts w:ascii="Gadugi" w:hAnsi="Gadugi"/>
          <w:sz w:val="24"/>
          <w:szCs w:val="24"/>
          <w:u w:val="single"/>
        </w:rPr>
        <w:t>no</w:t>
      </w:r>
      <w:r w:rsidRPr="00E375C5">
        <w:rPr>
          <w:rFonts w:ascii="Gadugi" w:hAnsi="Gadugi"/>
          <w:sz w:val="24"/>
          <w:szCs w:val="24"/>
        </w:rPr>
        <w:t>. Así lo tiene explicado de antaño la Corte Constitucional</w:t>
      </w:r>
      <w:r w:rsidR="00FB510A" w:rsidRPr="00E375C5">
        <w:rPr>
          <w:rFonts w:ascii="Gadugi" w:hAnsi="Gadugi"/>
          <w:sz w:val="24"/>
          <w:szCs w:val="24"/>
        </w:rPr>
        <w:t xml:space="preserve"> que, además, deja claro que para poder clausurar el </w:t>
      </w:r>
      <w:r w:rsidR="00FB510A" w:rsidRPr="00E375C5">
        <w:rPr>
          <w:rFonts w:ascii="Gadugi" w:hAnsi="Gadugi"/>
          <w:sz w:val="24"/>
          <w:szCs w:val="24"/>
        </w:rPr>
        <w:lastRenderedPageBreak/>
        <w:t xml:space="preserve">proceso en equidad, deben satisfacerse de manera concurrente, los requisitos previstos en el </w:t>
      </w:r>
      <w:r w:rsidR="009D11FB" w:rsidRPr="00E375C5">
        <w:rPr>
          <w:rFonts w:ascii="Gadugi" w:hAnsi="Gadugi"/>
          <w:sz w:val="24"/>
          <w:szCs w:val="24"/>
        </w:rPr>
        <w:t xml:space="preserve">numeral 1° del </w:t>
      </w:r>
      <w:r w:rsidR="00FB510A" w:rsidRPr="00E375C5">
        <w:rPr>
          <w:rFonts w:ascii="Gadugi" w:hAnsi="Gadugi"/>
          <w:sz w:val="24"/>
          <w:szCs w:val="24"/>
        </w:rPr>
        <w:t>artículo 43 del CGP</w:t>
      </w:r>
      <w:r w:rsidR="00FB510A" w:rsidRPr="00E375C5">
        <w:rPr>
          <w:rStyle w:val="Refdenotaalpie"/>
          <w:rFonts w:ascii="Gadugi" w:hAnsi="Gadugi"/>
          <w:sz w:val="24"/>
          <w:szCs w:val="24"/>
        </w:rPr>
        <w:footnoteReference w:id="13"/>
      </w:r>
      <w:r w:rsidR="00FB510A" w:rsidRPr="00E375C5">
        <w:rPr>
          <w:rFonts w:ascii="Gadugi" w:hAnsi="Gadugi"/>
          <w:sz w:val="24"/>
          <w:szCs w:val="24"/>
        </w:rPr>
        <w:t>:</w:t>
      </w:r>
    </w:p>
    <w:p w14:paraId="5CCAC9D7" w14:textId="0C29E806" w:rsidR="00B12A48" w:rsidRPr="00E375C5" w:rsidRDefault="00B12A48" w:rsidP="00E375C5">
      <w:pPr>
        <w:spacing w:line="276" w:lineRule="auto"/>
        <w:jc w:val="both"/>
        <w:rPr>
          <w:rFonts w:ascii="Gadugi" w:hAnsi="Gadugi"/>
          <w:sz w:val="24"/>
          <w:szCs w:val="24"/>
        </w:rPr>
      </w:pPr>
    </w:p>
    <w:p w14:paraId="470032F5" w14:textId="1DC7F31C" w:rsidR="00B12A48" w:rsidRPr="00BE2089" w:rsidRDefault="00B12A48" w:rsidP="00BE2089">
      <w:pPr>
        <w:pStyle w:val="Textoindependiente"/>
        <w:spacing w:after="0"/>
        <w:ind w:left="426" w:right="420"/>
        <w:jc w:val="both"/>
        <w:rPr>
          <w:rFonts w:ascii="Gadugi" w:hAnsi="Gadugi"/>
          <w:bCs/>
          <w:sz w:val="22"/>
          <w:szCs w:val="24"/>
          <w:u w:val="single"/>
        </w:rPr>
      </w:pPr>
      <w:r w:rsidRPr="00BE2089">
        <w:rPr>
          <w:rFonts w:ascii="Gadugi" w:hAnsi="Gadugi"/>
          <w:bCs/>
          <w:sz w:val="22"/>
          <w:szCs w:val="24"/>
        </w:rPr>
        <w:t xml:space="preserve">8. Adicionalmente, el acceso a la administración de justicia, como lo ha establecido en reiteradas ocasiones la jurisprudencia constitucional, constituye un derecho fundamental.  Este derecho, materialmente, comporta mucho más que la posibilidad de acudir a un juez para que este aplique la ley.  Implica un conjunto de libertades y garantías.  </w:t>
      </w:r>
      <w:r w:rsidRPr="00BE2089">
        <w:rPr>
          <w:rFonts w:ascii="Gadugi" w:hAnsi="Gadugi"/>
          <w:bCs/>
          <w:sz w:val="22"/>
          <w:szCs w:val="24"/>
          <w:u w:val="single"/>
        </w:rPr>
        <w:t xml:space="preserve">Dentro de dichas libertades, se encuentra la de que, cuando el ordenamiento jurídico lo permita, y de acuerdo con las limitaciones razonables que les imponga, los particulares puedan escoger no sólo el juez –o árbitro- ante quien desean llevar sus pretensiones, sino también la de que ellas sean consideradas en derecho o en equidad. </w:t>
      </w:r>
    </w:p>
    <w:p w14:paraId="6DAFC0C3" w14:textId="77777777" w:rsidR="00B12A48" w:rsidRPr="00BE2089" w:rsidRDefault="00B12A48" w:rsidP="00BE2089">
      <w:pPr>
        <w:pStyle w:val="Textoindependiente"/>
        <w:spacing w:after="0"/>
        <w:ind w:left="426" w:right="420"/>
        <w:jc w:val="both"/>
        <w:rPr>
          <w:rFonts w:ascii="Gadugi" w:hAnsi="Gadugi"/>
          <w:bCs/>
          <w:sz w:val="22"/>
          <w:szCs w:val="24"/>
        </w:rPr>
      </w:pPr>
    </w:p>
    <w:p w14:paraId="0A82D7ED" w14:textId="4DC28F6D" w:rsidR="00B12A48" w:rsidRPr="00BE2089" w:rsidRDefault="00B12A48" w:rsidP="00BE2089">
      <w:pPr>
        <w:pStyle w:val="Textoindependiente"/>
        <w:spacing w:after="0"/>
        <w:ind w:left="426" w:right="420"/>
        <w:jc w:val="both"/>
        <w:rPr>
          <w:rFonts w:ascii="Gadugi" w:hAnsi="Gadugi"/>
          <w:sz w:val="22"/>
          <w:szCs w:val="24"/>
        </w:rPr>
      </w:pPr>
      <w:r w:rsidRPr="00BE2089">
        <w:rPr>
          <w:rFonts w:ascii="Gadugi" w:hAnsi="Gadugi"/>
          <w:bCs/>
          <w:sz w:val="22"/>
          <w:szCs w:val="24"/>
        </w:rPr>
        <w:t xml:space="preserve">En tal medida, una interpretación sistemática de la Carta lleva, necesariamente, a dos conclusiones: el artículo 116, al no mencionar expresamente a los jueces, no es una proscripción de la posibilidad de que profieran fallos en equidad y; el sometimiento de los mismos al imperio de la ley, consagrado en el artículo 230, </w:t>
      </w:r>
      <w:r w:rsidRPr="00BE2089">
        <w:rPr>
          <w:rFonts w:ascii="Gadugi" w:hAnsi="Gadugi"/>
          <w:bCs/>
          <w:sz w:val="22"/>
          <w:szCs w:val="24"/>
          <w:u w:val="single"/>
        </w:rPr>
        <w:t>no tiene el alcance de restringir la autonomía de las partes para solicitarle al juez que profiera una decisión en equidad sobre derechos respecto de los cuales tengan capacidad de disposición.</w:t>
      </w:r>
      <w:r w:rsidRPr="00BE2089">
        <w:rPr>
          <w:rFonts w:ascii="Gadugi" w:hAnsi="Gadugi"/>
          <w:bCs/>
          <w:sz w:val="22"/>
          <w:szCs w:val="24"/>
        </w:rPr>
        <w:t xml:space="preserve">  En efecto, si lo determinante para este caso es la función que se ejerce –administración de justicia- y no la calidad de funcionario público, </w:t>
      </w:r>
      <w:r w:rsidRPr="00BE2089">
        <w:rPr>
          <w:rFonts w:ascii="Gadugi" w:hAnsi="Gadugi"/>
          <w:bCs/>
          <w:sz w:val="22"/>
          <w:szCs w:val="24"/>
          <w:u w:val="single"/>
        </w:rPr>
        <w:t>es una conclusión necesaria la de que los jueces civiles puedan proferir fallos en equidad, siempre que se den las condiciones establecidas en el artículo 38.1 del Código de Procedimiento Civil</w:t>
      </w:r>
      <w:r w:rsidR="00FB510A" w:rsidRPr="00BE2089">
        <w:rPr>
          <w:rStyle w:val="Refdenotaalpie"/>
          <w:rFonts w:ascii="Gadugi" w:hAnsi="Gadugi"/>
          <w:bCs/>
          <w:sz w:val="22"/>
          <w:szCs w:val="24"/>
          <w:u w:val="single"/>
        </w:rPr>
        <w:footnoteReference w:id="14"/>
      </w:r>
      <w:r w:rsidRPr="00BE2089">
        <w:rPr>
          <w:rFonts w:ascii="Gadugi" w:hAnsi="Gadugi"/>
          <w:bCs/>
          <w:sz w:val="22"/>
          <w:szCs w:val="24"/>
          <w:u w:val="single"/>
        </w:rPr>
        <w:t>.</w:t>
      </w:r>
      <w:r w:rsidRPr="00BE2089">
        <w:rPr>
          <w:rFonts w:ascii="Gadugi" w:hAnsi="Gadugi"/>
          <w:bCs/>
          <w:sz w:val="22"/>
          <w:szCs w:val="24"/>
        </w:rPr>
        <w:t xml:space="preserve">  Esto es, que se trate de derechos de libre disposición, </w:t>
      </w:r>
      <w:r w:rsidRPr="00BE2089">
        <w:rPr>
          <w:rFonts w:ascii="Gadugi" w:hAnsi="Gadugi"/>
          <w:bCs/>
          <w:sz w:val="22"/>
          <w:szCs w:val="24"/>
          <w:u w:val="single"/>
        </w:rPr>
        <w:t>que las partes lo soliciten</w:t>
      </w:r>
      <w:r w:rsidRPr="00BE2089">
        <w:rPr>
          <w:rFonts w:ascii="Gadugi" w:hAnsi="Gadugi"/>
          <w:bCs/>
          <w:sz w:val="22"/>
          <w:szCs w:val="24"/>
        </w:rPr>
        <w:t>, que tengan capacidad, o que la ley lo autorice.</w:t>
      </w:r>
    </w:p>
    <w:p w14:paraId="3EB6F8CF" w14:textId="77777777" w:rsidR="00B12A48" w:rsidRPr="00E375C5" w:rsidRDefault="00B12A48" w:rsidP="00E375C5">
      <w:pPr>
        <w:spacing w:line="276" w:lineRule="auto"/>
        <w:jc w:val="both"/>
        <w:rPr>
          <w:rFonts w:ascii="Gadugi" w:hAnsi="Gadugi"/>
          <w:sz w:val="24"/>
          <w:szCs w:val="24"/>
        </w:rPr>
      </w:pPr>
    </w:p>
    <w:p w14:paraId="0E2196E0" w14:textId="57EA6C3E" w:rsidR="00B12A48" w:rsidRPr="00E375C5" w:rsidRDefault="00121C55" w:rsidP="00E375C5">
      <w:pPr>
        <w:spacing w:line="276" w:lineRule="auto"/>
        <w:jc w:val="both"/>
        <w:rPr>
          <w:rFonts w:ascii="Gadugi" w:hAnsi="Gadugi"/>
          <w:sz w:val="24"/>
          <w:szCs w:val="24"/>
        </w:rPr>
      </w:pPr>
      <w:r w:rsidRPr="00E375C5">
        <w:rPr>
          <w:rFonts w:ascii="Gadugi" w:hAnsi="Gadugi"/>
          <w:sz w:val="24"/>
          <w:szCs w:val="24"/>
        </w:rPr>
        <w:t>Y con la alta Corporación coincide la doctrina</w:t>
      </w:r>
      <w:r w:rsidR="00391D5B" w:rsidRPr="00E375C5">
        <w:rPr>
          <w:rStyle w:val="Refdenotaalpie"/>
          <w:rFonts w:ascii="Gadugi" w:hAnsi="Gadugi"/>
          <w:sz w:val="24"/>
          <w:szCs w:val="24"/>
        </w:rPr>
        <w:footnoteReference w:id="15"/>
      </w:r>
      <w:r w:rsidRPr="00E375C5">
        <w:rPr>
          <w:rFonts w:ascii="Gadugi" w:hAnsi="Gadugi"/>
          <w:sz w:val="24"/>
          <w:szCs w:val="24"/>
        </w:rPr>
        <w:t>:</w:t>
      </w:r>
    </w:p>
    <w:p w14:paraId="55C69725" w14:textId="77777777" w:rsidR="00121C55" w:rsidRPr="00E375C5" w:rsidRDefault="00121C55" w:rsidP="00E375C5">
      <w:pPr>
        <w:spacing w:line="276" w:lineRule="auto"/>
        <w:jc w:val="both"/>
        <w:rPr>
          <w:rFonts w:ascii="Gadugi" w:hAnsi="Gadugi"/>
          <w:sz w:val="24"/>
          <w:szCs w:val="24"/>
        </w:rPr>
      </w:pPr>
    </w:p>
    <w:p w14:paraId="5B09E1A2" w14:textId="27B3BE55" w:rsidR="00B12A48" w:rsidRPr="00BE2089" w:rsidRDefault="00B12A48" w:rsidP="00BE2089">
      <w:pPr>
        <w:ind w:left="426" w:right="420"/>
        <w:jc w:val="both"/>
        <w:rPr>
          <w:rFonts w:ascii="Gadugi" w:hAnsi="Gadugi"/>
          <w:sz w:val="22"/>
          <w:szCs w:val="24"/>
        </w:rPr>
      </w:pPr>
      <w:r w:rsidRPr="00BE2089">
        <w:rPr>
          <w:rFonts w:ascii="Gadugi" w:hAnsi="Gadugi"/>
          <w:sz w:val="22"/>
          <w:szCs w:val="24"/>
        </w:rPr>
        <w:t>10.9.2. Poderes de los jueces.</w:t>
      </w:r>
    </w:p>
    <w:p w14:paraId="3599923B" w14:textId="7EEAB12B" w:rsidR="00B12A48" w:rsidRPr="00BE2089" w:rsidRDefault="00B12A48" w:rsidP="00BE2089">
      <w:pPr>
        <w:ind w:left="426" w:right="420"/>
        <w:jc w:val="both"/>
        <w:rPr>
          <w:rFonts w:ascii="Gadugi" w:hAnsi="Gadugi"/>
          <w:sz w:val="22"/>
          <w:szCs w:val="24"/>
        </w:rPr>
      </w:pPr>
    </w:p>
    <w:p w14:paraId="0C9BC280" w14:textId="40C2CDED" w:rsidR="00B12A48" w:rsidRPr="00BE2089" w:rsidRDefault="00B12A48" w:rsidP="00BE2089">
      <w:pPr>
        <w:ind w:left="426" w:right="420"/>
        <w:jc w:val="both"/>
        <w:rPr>
          <w:rFonts w:ascii="Gadugi" w:hAnsi="Gadugi"/>
          <w:sz w:val="22"/>
          <w:szCs w:val="24"/>
        </w:rPr>
      </w:pPr>
      <w:r w:rsidRPr="00BE2089">
        <w:rPr>
          <w:rFonts w:ascii="Gadugi" w:hAnsi="Gadugi"/>
          <w:sz w:val="22"/>
          <w:szCs w:val="24"/>
        </w:rPr>
        <w:t>Los divide el Código en dos: Los poderes de ordenación e instrucción y los correccionales:</w:t>
      </w:r>
    </w:p>
    <w:p w14:paraId="0C62D9B6" w14:textId="713194B8" w:rsidR="00B12A48" w:rsidRPr="00BE2089" w:rsidRDefault="00B12A48" w:rsidP="00BE2089">
      <w:pPr>
        <w:ind w:left="426" w:right="420"/>
        <w:jc w:val="both"/>
        <w:rPr>
          <w:rFonts w:ascii="Gadugi" w:hAnsi="Gadugi"/>
          <w:sz w:val="22"/>
          <w:szCs w:val="24"/>
        </w:rPr>
      </w:pPr>
    </w:p>
    <w:p w14:paraId="0D6D106B" w14:textId="77777777" w:rsidR="00B12A48" w:rsidRPr="00BE2089" w:rsidRDefault="00B12A48" w:rsidP="00BE2089">
      <w:pPr>
        <w:ind w:left="426" w:right="420"/>
        <w:jc w:val="both"/>
        <w:rPr>
          <w:rFonts w:ascii="Gadugi" w:hAnsi="Gadugi"/>
          <w:sz w:val="22"/>
          <w:szCs w:val="24"/>
        </w:rPr>
      </w:pPr>
      <w:r w:rsidRPr="00BE2089">
        <w:rPr>
          <w:rFonts w:ascii="Gadugi" w:hAnsi="Gadugi"/>
          <w:sz w:val="22"/>
          <w:szCs w:val="24"/>
        </w:rPr>
        <w:t>Con relación a los primeros en el numeral 1° del art. 43, se refiere a la facultad que tiene el juez de decidir un proceso en equidad, siempre que se reúnan los requisitos señalados en la norma, de manera que se trate de controversia (…).</w:t>
      </w:r>
    </w:p>
    <w:p w14:paraId="1A9E5DC8" w14:textId="77777777" w:rsidR="00B12A48" w:rsidRPr="00BE2089" w:rsidRDefault="00B12A48" w:rsidP="00BE2089">
      <w:pPr>
        <w:ind w:left="426" w:right="420"/>
        <w:jc w:val="both"/>
        <w:rPr>
          <w:rFonts w:ascii="Gadugi" w:hAnsi="Gadugi"/>
          <w:sz w:val="22"/>
          <w:szCs w:val="24"/>
        </w:rPr>
      </w:pPr>
    </w:p>
    <w:p w14:paraId="16235793" w14:textId="6DFBB1DD" w:rsidR="00B12A48" w:rsidRPr="00BE2089" w:rsidRDefault="00B12A48" w:rsidP="00BE2089">
      <w:pPr>
        <w:ind w:left="426" w:right="420"/>
        <w:jc w:val="both"/>
        <w:rPr>
          <w:rFonts w:ascii="Gadugi" w:hAnsi="Gadugi"/>
          <w:sz w:val="22"/>
          <w:szCs w:val="24"/>
          <w:u w:val="single"/>
        </w:rPr>
      </w:pPr>
      <w:r w:rsidRPr="00BE2089">
        <w:rPr>
          <w:rFonts w:ascii="Gadugi" w:hAnsi="Gadugi"/>
          <w:sz w:val="22"/>
          <w:szCs w:val="24"/>
        </w:rPr>
        <w:t xml:space="preserve">(…) se requiere (…) que las partes sean capaces y que de modo expreso lo soliciten. </w:t>
      </w:r>
      <w:r w:rsidRPr="00BE2089">
        <w:rPr>
          <w:rFonts w:ascii="Gadugi" w:hAnsi="Gadugi"/>
          <w:sz w:val="22"/>
          <w:szCs w:val="24"/>
          <w:u w:val="single"/>
        </w:rPr>
        <w:t xml:space="preserve">Ciertamente, no basta una manifestación tácita de aceptar que el proceso sea resuelto en equidad, sino que ella debe formularse en forma específica e inequívoca por las dos partes. </w:t>
      </w:r>
    </w:p>
    <w:p w14:paraId="4B8ACFDD" w14:textId="5BDC2FF9" w:rsidR="00B12A48" w:rsidRPr="00E375C5" w:rsidRDefault="00B12A48" w:rsidP="00E375C5">
      <w:pPr>
        <w:spacing w:line="276" w:lineRule="auto"/>
        <w:jc w:val="both"/>
        <w:rPr>
          <w:rFonts w:ascii="Gadugi" w:hAnsi="Gadugi"/>
          <w:sz w:val="24"/>
          <w:szCs w:val="24"/>
        </w:rPr>
      </w:pPr>
    </w:p>
    <w:p w14:paraId="29293FD8" w14:textId="055FCE5F" w:rsidR="003B3A28" w:rsidRDefault="003B3A28" w:rsidP="00E375C5">
      <w:pPr>
        <w:spacing w:line="276" w:lineRule="auto"/>
        <w:jc w:val="both"/>
        <w:rPr>
          <w:rFonts w:ascii="Gadugi" w:hAnsi="Gadugi"/>
          <w:sz w:val="24"/>
          <w:szCs w:val="24"/>
        </w:rPr>
      </w:pPr>
      <w:r w:rsidRPr="00E375C5">
        <w:rPr>
          <w:rFonts w:ascii="Gadugi" w:hAnsi="Gadugi"/>
          <w:sz w:val="24"/>
          <w:szCs w:val="24"/>
        </w:rPr>
        <w:t>Así que, aunque el juez anunció que iba proferir sentencia en equidad, y las partes guardaron silencio, eso era insuficiente para concluir que avalaban esa for</w:t>
      </w:r>
      <w:r w:rsidR="00BE2089">
        <w:rPr>
          <w:rFonts w:ascii="Gadugi" w:hAnsi="Gadugi"/>
          <w:sz w:val="24"/>
          <w:szCs w:val="24"/>
        </w:rPr>
        <w:t>ma de terminación del proceso.</w:t>
      </w:r>
    </w:p>
    <w:p w14:paraId="477CC05E" w14:textId="77777777" w:rsidR="00BE2089" w:rsidRPr="00E375C5" w:rsidRDefault="00BE2089" w:rsidP="00E375C5">
      <w:pPr>
        <w:spacing w:line="276" w:lineRule="auto"/>
        <w:jc w:val="both"/>
        <w:rPr>
          <w:rFonts w:ascii="Gadugi" w:hAnsi="Gadugi"/>
          <w:sz w:val="24"/>
          <w:szCs w:val="24"/>
        </w:rPr>
      </w:pPr>
    </w:p>
    <w:p w14:paraId="672B5CB3" w14:textId="488EB119" w:rsidR="00DE47FC" w:rsidRPr="00E375C5" w:rsidRDefault="00391D5B" w:rsidP="00E375C5">
      <w:pPr>
        <w:spacing w:line="276" w:lineRule="auto"/>
        <w:jc w:val="both"/>
        <w:rPr>
          <w:rFonts w:ascii="Gadugi" w:hAnsi="Gadugi"/>
          <w:sz w:val="24"/>
          <w:szCs w:val="24"/>
        </w:rPr>
      </w:pPr>
      <w:r w:rsidRPr="00E375C5">
        <w:rPr>
          <w:rFonts w:ascii="Gadugi" w:hAnsi="Gadugi"/>
          <w:sz w:val="24"/>
          <w:szCs w:val="24"/>
        </w:rPr>
        <w:lastRenderedPageBreak/>
        <w:t xml:space="preserve">Se hace evidente la vía de hecho en la que incurrió el juzgado, cuya consecuencia, fue que la parte vencida no pudo apelar la resolución del juicio, a pesar de que se trataba de un proceso de primera instancia. </w:t>
      </w:r>
    </w:p>
    <w:p w14:paraId="57E0D576" w14:textId="77777777" w:rsidR="003B3A28" w:rsidRPr="00E375C5" w:rsidRDefault="003B3A28" w:rsidP="00E375C5">
      <w:pPr>
        <w:spacing w:line="276" w:lineRule="auto"/>
        <w:jc w:val="both"/>
        <w:rPr>
          <w:rFonts w:ascii="Gadugi" w:hAnsi="Gadugi"/>
          <w:sz w:val="24"/>
          <w:szCs w:val="24"/>
        </w:rPr>
      </w:pPr>
    </w:p>
    <w:p w14:paraId="24E36C7B" w14:textId="646220C9" w:rsidR="00F95F50" w:rsidRPr="00E375C5" w:rsidRDefault="008915BC" w:rsidP="00E375C5">
      <w:pPr>
        <w:spacing w:line="276" w:lineRule="auto"/>
        <w:jc w:val="both"/>
        <w:rPr>
          <w:rFonts w:ascii="Gadugi" w:hAnsi="Gadugi" w:cs="Arial"/>
          <w:sz w:val="24"/>
          <w:szCs w:val="24"/>
        </w:rPr>
      </w:pPr>
      <w:r w:rsidRPr="00E375C5">
        <w:rPr>
          <w:rFonts w:ascii="Gadugi" w:hAnsi="Gadugi"/>
          <w:sz w:val="24"/>
          <w:szCs w:val="24"/>
        </w:rPr>
        <w:t xml:space="preserve">Sin más consideraciones, </w:t>
      </w:r>
      <w:r w:rsidR="003B3A28" w:rsidRPr="00E375C5">
        <w:rPr>
          <w:rFonts w:ascii="Gadugi" w:hAnsi="Gadugi"/>
          <w:sz w:val="24"/>
          <w:szCs w:val="24"/>
        </w:rPr>
        <w:t xml:space="preserve">se concederá el amparo, se dejará sin efecto el fallo confutado, y se le ordenará al despacho resolver de nuevo el proceso, en derecho. </w:t>
      </w:r>
      <w:r w:rsidR="00A67C3F" w:rsidRPr="00E375C5">
        <w:rPr>
          <w:rFonts w:ascii="Gadugi" w:hAnsi="Gadugi"/>
          <w:sz w:val="24"/>
          <w:szCs w:val="24"/>
        </w:rPr>
        <w:t xml:space="preserve"> </w:t>
      </w:r>
    </w:p>
    <w:p w14:paraId="4B6E6A67" w14:textId="77777777" w:rsidR="0081156F" w:rsidRPr="00E375C5" w:rsidRDefault="0081156F" w:rsidP="00E375C5">
      <w:pPr>
        <w:spacing w:line="276" w:lineRule="auto"/>
        <w:jc w:val="both"/>
        <w:rPr>
          <w:rFonts w:ascii="Gadugi" w:hAnsi="Gadugi"/>
          <w:sz w:val="24"/>
          <w:szCs w:val="24"/>
        </w:rPr>
      </w:pPr>
    </w:p>
    <w:p w14:paraId="0EF677F5" w14:textId="6857659C" w:rsidR="00622EA3" w:rsidRPr="00E375C5" w:rsidRDefault="0010022C" w:rsidP="00E375C5">
      <w:pPr>
        <w:spacing w:line="276" w:lineRule="auto"/>
        <w:jc w:val="both"/>
        <w:rPr>
          <w:rFonts w:ascii="Gadugi" w:hAnsi="Gadugi" w:cs="Arial"/>
          <w:b/>
          <w:sz w:val="24"/>
          <w:szCs w:val="24"/>
        </w:rPr>
      </w:pPr>
      <w:r w:rsidRPr="00E375C5">
        <w:rPr>
          <w:rFonts w:ascii="Gadugi" w:hAnsi="Gadugi" w:cs="Arial"/>
          <w:b/>
          <w:sz w:val="24"/>
          <w:szCs w:val="24"/>
        </w:rPr>
        <w:t xml:space="preserve">3. </w:t>
      </w:r>
      <w:r w:rsidR="00622EA3" w:rsidRPr="00E375C5">
        <w:rPr>
          <w:rFonts w:ascii="Gadugi" w:hAnsi="Gadugi" w:cs="Arial"/>
          <w:b/>
          <w:sz w:val="24"/>
          <w:szCs w:val="24"/>
        </w:rPr>
        <w:t>DECISIÓN</w:t>
      </w:r>
    </w:p>
    <w:p w14:paraId="4A6EB79D" w14:textId="682020B6" w:rsidR="009A07DB" w:rsidRPr="00E375C5" w:rsidRDefault="009A07DB" w:rsidP="00E375C5">
      <w:pPr>
        <w:spacing w:line="276" w:lineRule="auto"/>
        <w:jc w:val="both"/>
        <w:rPr>
          <w:rFonts w:ascii="Gadugi" w:hAnsi="Gadugi"/>
          <w:sz w:val="24"/>
          <w:szCs w:val="24"/>
        </w:rPr>
      </w:pPr>
    </w:p>
    <w:p w14:paraId="44CD7F57" w14:textId="72BAFC6C" w:rsidR="003B3A28" w:rsidRPr="00E375C5" w:rsidRDefault="00622EA3" w:rsidP="00E375C5">
      <w:pPr>
        <w:spacing w:line="276" w:lineRule="auto"/>
        <w:jc w:val="both"/>
        <w:rPr>
          <w:rFonts w:ascii="Gadugi" w:hAnsi="Gadugi"/>
          <w:sz w:val="24"/>
          <w:szCs w:val="24"/>
          <w:lang w:val="es-419"/>
        </w:rPr>
      </w:pPr>
      <w:r w:rsidRPr="00E375C5">
        <w:rPr>
          <w:rFonts w:ascii="Gadugi" w:hAnsi="Gadugi" w:cs="Arial"/>
          <w:sz w:val="24"/>
          <w:szCs w:val="24"/>
        </w:rPr>
        <w:t>En armonía con lo dicho, la Sala Civil Familia del Tribunal Superior de Pereira, administrando justicia en nombre de la República y por autoridad de la Ley</w:t>
      </w:r>
      <w:r w:rsidR="000A3D51" w:rsidRPr="00E375C5">
        <w:rPr>
          <w:rFonts w:ascii="Gadugi" w:hAnsi="Gadugi" w:cs="Arial"/>
          <w:sz w:val="24"/>
          <w:szCs w:val="24"/>
        </w:rPr>
        <w:t xml:space="preserve"> </w:t>
      </w:r>
      <w:r w:rsidR="003B3A28" w:rsidRPr="00E375C5">
        <w:rPr>
          <w:rFonts w:ascii="Gadugi" w:hAnsi="Gadugi"/>
          <w:b/>
          <w:sz w:val="24"/>
          <w:szCs w:val="24"/>
          <w:lang w:val="es-419"/>
        </w:rPr>
        <w:t>CONCEDE</w:t>
      </w:r>
      <w:r w:rsidR="001F3DFE" w:rsidRPr="00E375C5">
        <w:rPr>
          <w:rFonts w:ascii="Gadugi" w:hAnsi="Gadugi"/>
          <w:sz w:val="24"/>
          <w:szCs w:val="24"/>
          <w:lang w:val="es-419"/>
        </w:rPr>
        <w:t xml:space="preserve"> </w:t>
      </w:r>
      <w:r w:rsidR="003B3A28" w:rsidRPr="00E375C5">
        <w:rPr>
          <w:rFonts w:ascii="Gadugi" w:hAnsi="Gadugi"/>
          <w:sz w:val="24"/>
          <w:szCs w:val="24"/>
          <w:lang w:val="es-419"/>
        </w:rPr>
        <w:t xml:space="preserve">la presente acción de tutela, en consecuencia, se </w:t>
      </w:r>
      <w:r w:rsidR="003B3A28" w:rsidRPr="00E375C5">
        <w:rPr>
          <w:rFonts w:ascii="Gadugi" w:hAnsi="Gadugi"/>
          <w:b/>
          <w:sz w:val="24"/>
          <w:szCs w:val="24"/>
          <w:lang w:val="es-419"/>
        </w:rPr>
        <w:t>DEJA SIN EFECTO</w:t>
      </w:r>
      <w:r w:rsidR="003B3A28" w:rsidRPr="00E375C5">
        <w:rPr>
          <w:rFonts w:ascii="Gadugi" w:hAnsi="Gadugi"/>
          <w:sz w:val="24"/>
          <w:szCs w:val="24"/>
          <w:lang w:val="es-419"/>
        </w:rPr>
        <w:t xml:space="preserve"> la sentencia proferida en equidad el 22 de junio de 2023, dentro del proceso con radicado 66170-31-03-001-</w:t>
      </w:r>
      <w:r w:rsidR="003B3A28" w:rsidRPr="00E375C5">
        <w:rPr>
          <w:rFonts w:ascii="Gadugi" w:hAnsi="Gadugi"/>
          <w:b/>
          <w:sz w:val="24"/>
          <w:szCs w:val="24"/>
          <w:lang w:val="es-419"/>
        </w:rPr>
        <w:t>2022-00401-00</w:t>
      </w:r>
      <w:r w:rsidR="001F303C" w:rsidRPr="00E375C5">
        <w:rPr>
          <w:rFonts w:ascii="Gadugi" w:hAnsi="Gadugi"/>
          <w:sz w:val="24"/>
          <w:szCs w:val="24"/>
          <w:lang w:val="es-419"/>
        </w:rPr>
        <w:t>; y en su lugar:</w:t>
      </w:r>
    </w:p>
    <w:p w14:paraId="381E47B3" w14:textId="77777777" w:rsidR="003B3A28" w:rsidRPr="00E375C5" w:rsidRDefault="003B3A28" w:rsidP="00E375C5">
      <w:pPr>
        <w:spacing w:line="276" w:lineRule="auto"/>
        <w:jc w:val="both"/>
        <w:rPr>
          <w:rFonts w:ascii="Gadugi" w:hAnsi="Gadugi"/>
          <w:sz w:val="24"/>
          <w:szCs w:val="24"/>
          <w:lang w:val="es-419"/>
        </w:rPr>
      </w:pPr>
    </w:p>
    <w:p w14:paraId="7A75DF2A" w14:textId="20AA22B1" w:rsidR="003B3A28" w:rsidRPr="00E375C5" w:rsidRDefault="001F303C" w:rsidP="00E375C5">
      <w:pPr>
        <w:spacing w:line="276" w:lineRule="auto"/>
        <w:jc w:val="both"/>
        <w:rPr>
          <w:rFonts w:ascii="Gadugi" w:hAnsi="Gadugi" w:cs="Arial"/>
          <w:sz w:val="24"/>
          <w:szCs w:val="24"/>
        </w:rPr>
      </w:pPr>
      <w:r w:rsidRPr="00E375C5">
        <w:rPr>
          <w:rFonts w:ascii="Gadugi" w:hAnsi="Gadugi"/>
          <w:sz w:val="24"/>
          <w:szCs w:val="24"/>
          <w:lang w:val="es-419"/>
        </w:rPr>
        <w:t xml:space="preserve">(i) </w:t>
      </w:r>
      <w:r w:rsidR="003B3A28" w:rsidRPr="00E375C5">
        <w:rPr>
          <w:rFonts w:ascii="Gadugi" w:hAnsi="Gadugi"/>
          <w:sz w:val="24"/>
          <w:szCs w:val="24"/>
          <w:lang w:val="es-419"/>
        </w:rPr>
        <w:t xml:space="preserve">Se le </w:t>
      </w:r>
      <w:r w:rsidR="003B3A28" w:rsidRPr="00E375C5">
        <w:rPr>
          <w:rFonts w:ascii="Gadugi" w:hAnsi="Gadugi"/>
          <w:b/>
          <w:sz w:val="24"/>
          <w:szCs w:val="24"/>
          <w:lang w:val="es-419"/>
        </w:rPr>
        <w:t>ORDENA</w:t>
      </w:r>
      <w:r w:rsidR="003B3A28" w:rsidRPr="00E375C5">
        <w:rPr>
          <w:rFonts w:ascii="Gadugi" w:hAnsi="Gadugi"/>
          <w:sz w:val="24"/>
          <w:szCs w:val="24"/>
          <w:lang w:val="es-419"/>
        </w:rPr>
        <w:t xml:space="preserve"> al Juzgado Civil del Circuito de Dosquebradas, por medio de su titular que, en el término de 48 horas contadas a partir de la notificación de esta providencia, </w:t>
      </w:r>
      <w:r w:rsidR="003B3A28" w:rsidRPr="00E375C5">
        <w:rPr>
          <w:rFonts w:ascii="Gadugi" w:hAnsi="Gadugi"/>
          <w:sz w:val="24"/>
          <w:szCs w:val="24"/>
        </w:rPr>
        <w:t xml:space="preserve">proferir de nuevo sentencia en el aludido proceso, </w:t>
      </w:r>
      <w:r w:rsidR="003B3A28" w:rsidRPr="00E375C5">
        <w:rPr>
          <w:rFonts w:ascii="Gadugi" w:hAnsi="Gadugi"/>
          <w:sz w:val="24"/>
          <w:szCs w:val="24"/>
          <w:u w:val="single"/>
        </w:rPr>
        <w:t>en derecho</w:t>
      </w:r>
      <w:r w:rsidR="003B3A28" w:rsidRPr="00E375C5">
        <w:rPr>
          <w:rFonts w:ascii="Gadugi" w:hAnsi="Gadugi"/>
          <w:sz w:val="24"/>
          <w:szCs w:val="24"/>
        </w:rPr>
        <w:t xml:space="preserve">.  </w:t>
      </w:r>
    </w:p>
    <w:p w14:paraId="22FD7E9A" w14:textId="3FBE67AF" w:rsidR="002E76F4" w:rsidRPr="00E375C5" w:rsidRDefault="002E76F4" w:rsidP="00E375C5">
      <w:pPr>
        <w:spacing w:line="276" w:lineRule="auto"/>
        <w:jc w:val="both"/>
        <w:rPr>
          <w:rFonts w:ascii="Gadugi" w:hAnsi="Gadugi" w:cs="Arial"/>
          <w:sz w:val="24"/>
          <w:szCs w:val="24"/>
          <w:lang w:val="es-419"/>
        </w:rPr>
      </w:pPr>
    </w:p>
    <w:p w14:paraId="1B75A3D0" w14:textId="20BD8E01" w:rsidR="00622EA3" w:rsidRPr="00E375C5" w:rsidRDefault="00622EA3" w:rsidP="00E375C5">
      <w:pPr>
        <w:spacing w:line="276" w:lineRule="auto"/>
        <w:ind w:right="51"/>
        <w:jc w:val="both"/>
        <w:rPr>
          <w:rFonts w:ascii="Gadugi" w:hAnsi="Gadugi" w:cs="Arial"/>
          <w:sz w:val="24"/>
          <w:szCs w:val="24"/>
          <w:lang w:val="es-CO"/>
        </w:rPr>
      </w:pPr>
      <w:r w:rsidRPr="00E375C5">
        <w:rPr>
          <w:rFonts w:ascii="Gadugi" w:hAnsi="Gadugi" w:cs="Arial"/>
          <w:sz w:val="24"/>
          <w:szCs w:val="24"/>
        </w:rPr>
        <w:t>Notifíquese la decisión a las partes en la forma prevista en el artículo 5º del Decreto 306 de 1992</w:t>
      </w:r>
      <w:r w:rsidRPr="00E375C5">
        <w:rPr>
          <w:rFonts w:ascii="Gadugi" w:hAnsi="Gadugi" w:cs="Arial"/>
          <w:sz w:val="24"/>
          <w:szCs w:val="24"/>
          <w:lang w:val="es-419"/>
        </w:rPr>
        <w:t>, y si no es impugnada</w:t>
      </w:r>
      <w:r w:rsidR="00A355BC" w:rsidRPr="00E375C5">
        <w:rPr>
          <w:rFonts w:ascii="Gadugi" w:hAnsi="Gadugi" w:cs="Arial"/>
          <w:sz w:val="24"/>
          <w:szCs w:val="24"/>
          <w:lang w:val="es-419"/>
        </w:rPr>
        <w:t>,</w:t>
      </w:r>
      <w:r w:rsidRPr="00E375C5">
        <w:rPr>
          <w:rFonts w:ascii="Gadugi" w:hAnsi="Gadugi" w:cs="Arial"/>
          <w:sz w:val="24"/>
          <w:szCs w:val="24"/>
          <w:lang w:val="es-419"/>
        </w:rPr>
        <w:t xml:space="preserve"> </w:t>
      </w:r>
      <w:r w:rsidR="00A355BC" w:rsidRPr="00E375C5">
        <w:rPr>
          <w:rFonts w:ascii="Gadugi" w:hAnsi="Gadugi" w:cs="Arial"/>
          <w:sz w:val="24"/>
          <w:szCs w:val="24"/>
          <w:lang w:val="es-419"/>
        </w:rPr>
        <w:t>remítase</w:t>
      </w:r>
      <w:r w:rsidRPr="00E375C5">
        <w:rPr>
          <w:rFonts w:ascii="Gadugi" w:hAnsi="Gadugi" w:cs="Arial"/>
          <w:sz w:val="24"/>
          <w:szCs w:val="24"/>
          <w:lang w:val="es-CO"/>
        </w:rPr>
        <w:t xml:space="preserve"> a la Corte Constitucional para su eventual revisión.</w:t>
      </w:r>
    </w:p>
    <w:p w14:paraId="516799BC" w14:textId="49CF6A22" w:rsidR="002E76F4" w:rsidRPr="00E375C5" w:rsidRDefault="002E76F4" w:rsidP="00E375C5">
      <w:pPr>
        <w:spacing w:line="276" w:lineRule="auto"/>
        <w:ind w:right="51"/>
        <w:jc w:val="both"/>
        <w:rPr>
          <w:rFonts w:ascii="Gadugi" w:hAnsi="Gadugi" w:cs="Arial"/>
          <w:sz w:val="24"/>
          <w:szCs w:val="24"/>
          <w:lang w:val="es-CO"/>
        </w:rPr>
      </w:pPr>
    </w:p>
    <w:p w14:paraId="050295D5" w14:textId="506F1AE5" w:rsidR="00622EA3" w:rsidRPr="00E375C5" w:rsidRDefault="00622EA3" w:rsidP="00E375C5">
      <w:pPr>
        <w:spacing w:line="276" w:lineRule="auto"/>
        <w:ind w:right="51"/>
        <w:jc w:val="both"/>
        <w:rPr>
          <w:rFonts w:ascii="Gadugi" w:hAnsi="Gadugi" w:cs="Arial"/>
          <w:sz w:val="24"/>
          <w:szCs w:val="24"/>
          <w:lang w:val="es-CO"/>
        </w:rPr>
      </w:pPr>
      <w:r w:rsidRPr="00E375C5">
        <w:rPr>
          <w:rFonts w:ascii="Gadugi" w:hAnsi="Gadugi" w:cs="Arial"/>
          <w:sz w:val="24"/>
          <w:szCs w:val="24"/>
          <w:lang w:val="es-CO"/>
        </w:rPr>
        <w:t>A su regreso, archívese el expediente</w:t>
      </w:r>
      <w:r w:rsidRPr="00E375C5">
        <w:rPr>
          <w:rFonts w:ascii="Gadugi" w:hAnsi="Gadugi" w:cs="Arial"/>
          <w:sz w:val="24"/>
          <w:szCs w:val="24"/>
          <w:lang w:val="es-419"/>
        </w:rPr>
        <w:t>.</w:t>
      </w:r>
      <w:r w:rsidRPr="00E375C5">
        <w:rPr>
          <w:rFonts w:ascii="Gadugi" w:hAnsi="Gadugi" w:cs="Arial"/>
          <w:sz w:val="24"/>
          <w:szCs w:val="24"/>
          <w:lang w:val="es-CO"/>
        </w:rPr>
        <w:t xml:space="preserve"> </w:t>
      </w:r>
    </w:p>
    <w:p w14:paraId="6816BC26" w14:textId="77777777" w:rsidR="00E375C5" w:rsidRPr="00E375C5" w:rsidRDefault="00E375C5" w:rsidP="00E375C5">
      <w:pPr>
        <w:overflowPunct/>
        <w:autoSpaceDE/>
        <w:autoSpaceDN/>
        <w:adjustRightInd/>
        <w:spacing w:line="276" w:lineRule="auto"/>
        <w:jc w:val="both"/>
        <w:textAlignment w:val="auto"/>
        <w:rPr>
          <w:rFonts w:ascii="Gadugi" w:eastAsia="Georgia" w:hAnsi="Gadugi" w:cs="Georgia"/>
          <w:bCs/>
          <w:sz w:val="24"/>
          <w:szCs w:val="24"/>
          <w:lang w:val="es-CO" w:eastAsia="es-CO"/>
        </w:rPr>
      </w:pPr>
    </w:p>
    <w:p w14:paraId="7CB05E20" w14:textId="468E3862" w:rsidR="00E375C5" w:rsidRPr="00E375C5" w:rsidRDefault="00E375C5" w:rsidP="00E375C5">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E375C5">
        <w:rPr>
          <w:rFonts w:ascii="Gadugi" w:eastAsia="Malgun Gothic" w:hAnsi="Gadugi" w:cs="Estrangelo Edessa"/>
          <w:sz w:val="24"/>
          <w:szCs w:val="24"/>
          <w:lang w:val="es-CO" w:eastAsia="en-US"/>
        </w:rPr>
        <w:t xml:space="preserve">Los Magistrados, </w:t>
      </w:r>
    </w:p>
    <w:p w14:paraId="1517EE3C" w14:textId="77777777" w:rsidR="00E375C5" w:rsidRPr="00E375C5" w:rsidRDefault="00E375C5" w:rsidP="00E375C5">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21B29F8" w14:textId="77777777" w:rsidR="00E375C5" w:rsidRPr="00E375C5" w:rsidRDefault="00E375C5" w:rsidP="00E375C5">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7725F571" w14:textId="77777777" w:rsidR="00E375C5" w:rsidRPr="00E375C5" w:rsidRDefault="00E375C5" w:rsidP="00E375C5">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E375C5">
        <w:rPr>
          <w:rFonts w:ascii="Gadugi" w:eastAsia="Malgun Gothic" w:hAnsi="Gadugi" w:cs="Estrangelo Edessa"/>
          <w:b/>
          <w:bCs/>
          <w:sz w:val="24"/>
          <w:szCs w:val="24"/>
          <w:lang w:val="es-CO" w:eastAsia="en-US"/>
        </w:rPr>
        <w:t>JAIME ALBERTO SARAZA NARANJO</w:t>
      </w:r>
    </w:p>
    <w:p w14:paraId="0645F4E7" w14:textId="77777777" w:rsidR="00E375C5" w:rsidRPr="00E375C5" w:rsidRDefault="00E375C5" w:rsidP="00E375C5">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44D0F758" w14:textId="77777777" w:rsidR="00E375C5" w:rsidRPr="00E375C5" w:rsidRDefault="00E375C5" w:rsidP="00E375C5">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1FADB201" w14:textId="77777777" w:rsidR="00E375C5" w:rsidRPr="00E375C5" w:rsidRDefault="00E375C5" w:rsidP="00E375C5">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E375C5">
        <w:rPr>
          <w:rFonts w:ascii="Gadugi" w:eastAsia="Malgun Gothic" w:hAnsi="Gadugi" w:cs="Estrangelo Edessa"/>
          <w:b/>
          <w:bCs/>
          <w:sz w:val="24"/>
          <w:szCs w:val="24"/>
          <w:lang w:val="es-CO" w:eastAsia="en-US"/>
        </w:rPr>
        <w:t>CARLOS MAURICIO GARCÍA BARAJAS</w:t>
      </w:r>
    </w:p>
    <w:p w14:paraId="65928B54" w14:textId="77777777" w:rsidR="00E375C5" w:rsidRPr="00E375C5" w:rsidRDefault="00E375C5" w:rsidP="00E375C5">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41F813D8" w14:textId="77777777" w:rsidR="00E375C5" w:rsidRPr="00E375C5" w:rsidRDefault="00E375C5" w:rsidP="00E375C5">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2883A68F" w14:textId="1A4BD4CF" w:rsidR="007A6F96" w:rsidRPr="004B2FB5" w:rsidRDefault="00E375C5" w:rsidP="004B2FB5">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r w:rsidRPr="00E375C5">
        <w:rPr>
          <w:rFonts w:ascii="Gadugi" w:eastAsia="Malgun Gothic" w:hAnsi="Gadugi" w:cs="Estrangelo Edessa"/>
          <w:b/>
          <w:bCs/>
          <w:sz w:val="24"/>
          <w:szCs w:val="24"/>
          <w:lang w:val="es-CO" w:eastAsia="en-US"/>
        </w:rPr>
        <w:t>DUBERNEY GRISALES HERRERA</w:t>
      </w:r>
    </w:p>
    <w:sectPr w:rsidR="007A6F96" w:rsidRPr="004B2FB5" w:rsidSect="00E375C5">
      <w:headerReference w:type="default" r:id="rId12"/>
      <w:footerReference w:type="default" r:id="rId13"/>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E3DE47" w16cex:dateUtc="2023-02-03T13:22:40.421Z"/>
  <w16cex:commentExtensible w16cex:durableId="550463D3" w16cex:dateUtc="2023-02-03T15:45:37.64Z"/>
  <w16cex:commentExtensible w16cex:durableId="501B80EE" w16cex:dateUtc="2023-02-06T20:55:12.924Z"/>
  <w16cex:commentExtensible w16cex:durableId="233F1398" w16cex:dateUtc="2023-02-07T13:05:57.313Z"/>
  <w16cex:commentExtensible w16cex:durableId="01F45B74" w16cex:dateUtc="2023-02-10T14:02:10.158Z"/>
  <w16cex:commentExtensible w16cex:durableId="5D74F745" w16cex:dateUtc="2023-02-10T19:18:41.732Z"/>
  <w16cex:commentExtensible w16cex:durableId="0E6506D7" w16cex:dateUtc="2023-06-08T20:06:27.834Z"/>
  <w16cex:commentExtensible w16cex:durableId="2A7FBF03" w16cex:dateUtc="2023-06-09T12:57:32.02Z"/>
  <w16cex:commentExtensible w16cex:durableId="385052C3" w16cex:dateUtc="2023-07-05T15:06:46.168Z"/>
  <w16cex:commentExtensible w16cex:durableId="4D954D72" w16cex:dateUtc="2023-07-26T19:55:11.1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B8E4" w14:textId="77777777" w:rsidR="0064717F" w:rsidRDefault="0064717F" w:rsidP="00CD73E5">
      <w:r>
        <w:separator/>
      </w:r>
    </w:p>
  </w:endnote>
  <w:endnote w:type="continuationSeparator" w:id="0">
    <w:p w14:paraId="13BC45F2" w14:textId="77777777" w:rsidR="0064717F" w:rsidRDefault="0064717F" w:rsidP="00C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D357" w14:textId="1AB6075C" w:rsidR="00436A51" w:rsidRPr="00582E4D" w:rsidRDefault="00436A51" w:rsidP="00582E4D">
    <w:pPr>
      <w:pStyle w:val="Piedepgina"/>
      <w:framePr w:wrap="auto" w:vAnchor="text" w:hAnchor="margin" w:xAlign="right" w:y="1"/>
      <w:rPr>
        <w:rStyle w:val="Nmerodepgina"/>
        <w:rFonts w:ascii="Arial" w:hAnsi="Arial" w:cs="Arial"/>
        <w:sz w:val="18"/>
      </w:rPr>
    </w:pPr>
    <w:r w:rsidRPr="00582E4D">
      <w:rPr>
        <w:rStyle w:val="Nmerodepgina"/>
        <w:rFonts w:ascii="Arial" w:hAnsi="Arial" w:cs="Arial"/>
        <w:sz w:val="18"/>
      </w:rPr>
      <w:fldChar w:fldCharType="begin"/>
    </w:r>
    <w:r w:rsidRPr="00582E4D">
      <w:rPr>
        <w:rStyle w:val="Nmerodepgina"/>
        <w:rFonts w:ascii="Arial" w:hAnsi="Arial" w:cs="Arial"/>
        <w:sz w:val="18"/>
      </w:rPr>
      <w:instrText xml:space="preserve">PAGE  </w:instrText>
    </w:r>
    <w:r w:rsidRPr="00582E4D">
      <w:rPr>
        <w:rStyle w:val="Nmerodepgina"/>
        <w:rFonts w:ascii="Arial" w:hAnsi="Arial" w:cs="Arial"/>
        <w:sz w:val="18"/>
      </w:rPr>
      <w:fldChar w:fldCharType="separate"/>
    </w:r>
    <w:r w:rsidR="003704FE">
      <w:rPr>
        <w:rStyle w:val="Nmerodepgina"/>
        <w:rFonts w:ascii="Arial" w:hAnsi="Arial" w:cs="Arial"/>
        <w:noProof/>
        <w:sz w:val="18"/>
      </w:rPr>
      <w:t>6</w:t>
    </w:r>
    <w:r w:rsidRPr="00582E4D">
      <w:rPr>
        <w:rStyle w:val="Nmerodepgina"/>
        <w:rFonts w:ascii="Arial" w:hAnsi="Arial" w:cs="Arial"/>
        <w:sz w:val="18"/>
      </w:rPr>
      <w:fldChar w:fldCharType="end"/>
    </w:r>
  </w:p>
  <w:p w14:paraId="51C0B288" w14:textId="77777777" w:rsidR="00436A51" w:rsidRPr="00582E4D" w:rsidRDefault="00436A51" w:rsidP="00582E4D">
    <w:pPr>
      <w:pStyle w:val="Piedepgina"/>
      <w:ind w:right="360"/>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ADCA" w14:textId="77777777" w:rsidR="0064717F" w:rsidRDefault="0064717F" w:rsidP="00CD73E5">
      <w:r>
        <w:separator/>
      </w:r>
    </w:p>
  </w:footnote>
  <w:footnote w:type="continuationSeparator" w:id="0">
    <w:p w14:paraId="0DF95462" w14:textId="77777777" w:rsidR="0064717F" w:rsidRDefault="0064717F" w:rsidP="00CD73E5">
      <w:r>
        <w:continuationSeparator/>
      </w:r>
    </w:p>
  </w:footnote>
  <w:footnote w:id="1">
    <w:p w14:paraId="520AE965" w14:textId="0082540E"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002., C. 1</w:t>
      </w:r>
    </w:p>
  </w:footnote>
  <w:footnote w:id="2">
    <w:p w14:paraId="428406CA" w14:textId="5B2C5B56"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007., C. 1</w:t>
      </w:r>
    </w:p>
  </w:footnote>
  <w:footnote w:id="3">
    <w:p w14:paraId="4401AD8E" w14:textId="5212F417"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009., C. 1 (En este archivo está el enlace)</w:t>
      </w:r>
    </w:p>
  </w:footnote>
  <w:footnote w:id="4">
    <w:p w14:paraId="520A01C2" w14:textId="45FA980E"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010., C. 1</w:t>
      </w:r>
    </w:p>
  </w:footnote>
  <w:footnote w:id="5">
    <w:p w14:paraId="4D46FFB7" w14:textId="213C5F8D"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012., C. 1</w:t>
      </w:r>
    </w:p>
  </w:footnote>
  <w:footnote w:id="6">
    <w:p w14:paraId="4AFF9396" w14:textId="77777777" w:rsidR="00BA33B0" w:rsidRPr="00582E4D" w:rsidRDefault="00BA33B0" w:rsidP="00BF2ACA">
      <w:pPr>
        <w:pStyle w:val="Textonotapie"/>
        <w:tabs>
          <w:tab w:val="left" w:pos="426"/>
        </w:tabs>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vertAlign w:val="superscript"/>
        </w:rPr>
        <w:t xml:space="preserve"> </w:t>
      </w:r>
      <w:r w:rsidRPr="00582E4D">
        <w:rPr>
          <w:rFonts w:ascii="Arial" w:hAnsi="Arial" w:cs="Arial"/>
          <w:sz w:val="18"/>
          <w:szCs w:val="22"/>
        </w:rPr>
        <w:t>Sentencia C-543-92</w:t>
      </w:r>
    </w:p>
  </w:footnote>
  <w:footnote w:id="7">
    <w:p w14:paraId="35F63604" w14:textId="5A9020B4"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 xml:space="preserve">Documento 030., C. 1. Expediente resolución de contrato. </w:t>
      </w:r>
    </w:p>
  </w:footnote>
  <w:footnote w:id="8">
    <w:p w14:paraId="30E4E39A" w14:textId="1BA401B2"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Documento 005., C. 1</w:t>
      </w:r>
    </w:p>
  </w:footnote>
  <w:footnote w:id="9">
    <w:p w14:paraId="324BE967" w14:textId="77777777" w:rsidR="00E305F1" w:rsidRPr="00582E4D" w:rsidRDefault="00E305F1"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CC. SU-037 de 2019 y SU-499 de 2016.</w:t>
      </w:r>
    </w:p>
  </w:footnote>
  <w:footnote w:id="10">
    <w:p w14:paraId="2FBC0D2F" w14:textId="77777777" w:rsidR="00E435B7" w:rsidRPr="00582E4D" w:rsidRDefault="00E435B7"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Sentencia SU-573/17</w:t>
      </w:r>
    </w:p>
  </w:footnote>
  <w:footnote w:id="11">
    <w:p w14:paraId="608C85AD" w14:textId="6BA81526"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Min. 45:41, Primera parte de la audiencia (Enlace en el archivo 30 del expediente del proceso de resolución de contrato)</w:t>
      </w:r>
    </w:p>
  </w:footnote>
  <w:footnote w:id="12">
    <w:p w14:paraId="67180115" w14:textId="4812F847" w:rsidR="009D11FB" w:rsidRPr="00582E4D" w:rsidRDefault="009D11F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Min. 20:10, Segunda parte de la audiencia (Enlace en el archivo 30 del expediente del proceso de resolución de contrato)</w:t>
      </w:r>
    </w:p>
  </w:footnote>
  <w:footnote w:id="13">
    <w:p w14:paraId="715242C4" w14:textId="77777777" w:rsidR="00FB510A" w:rsidRPr="00582E4D" w:rsidRDefault="00FB510A"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Sentencia C-1547/00.</w:t>
      </w:r>
    </w:p>
  </w:footnote>
  <w:footnote w:id="14">
    <w:p w14:paraId="3C052788" w14:textId="0915D9DE" w:rsidR="00FB510A" w:rsidRPr="00582E4D" w:rsidRDefault="00FB510A"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Pr="00582E4D">
        <w:rPr>
          <w:rFonts w:ascii="Arial" w:hAnsi="Arial" w:cs="Arial"/>
          <w:sz w:val="18"/>
          <w:szCs w:val="22"/>
          <w:lang w:val="es-CO"/>
        </w:rPr>
        <w:t>Hoy, numeral 1° del artículo 43 del CGP.</w:t>
      </w:r>
    </w:p>
  </w:footnote>
  <w:footnote w:id="15">
    <w:p w14:paraId="6899A147" w14:textId="7343F98D" w:rsidR="00391D5B" w:rsidRPr="00582E4D" w:rsidRDefault="00391D5B" w:rsidP="00BF2ACA">
      <w:pPr>
        <w:pStyle w:val="Textonotapie"/>
        <w:jc w:val="both"/>
        <w:rPr>
          <w:rFonts w:ascii="Arial" w:hAnsi="Arial" w:cs="Arial"/>
          <w:sz w:val="18"/>
          <w:szCs w:val="22"/>
          <w:lang w:val="es-CO"/>
        </w:rPr>
      </w:pPr>
      <w:r w:rsidRPr="00582E4D">
        <w:rPr>
          <w:rStyle w:val="Refdenotaalpie"/>
          <w:rFonts w:ascii="Arial" w:hAnsi="Arial" w:cs="Arial"/>
          <w:sz w:val="18"/>
          <w:szCs w:val="22"/>
        </w:rPr>
        <w:footnoteRef/>
      </w:r>
      <w:r w:rsidRPr="00582E4D">
        <w:rPr>
          <w:rFonts w:ascii="Arial" w:hAnsi="Arial" w:cs="Arial"/>
          <w:sz w:val="18"/>
          <w:szCs w:val="22"/>
        </w:rPr>
        <w:t xml:space="preserve"> </w:t>
      </w:r>
      <w:r w:rsidR="007110F7" w:rsidRPr="00582E4D">
        <w:rPr>
          <w:rFonts w:ascii="Arial" w:hAnsi="Arial" w:cs="Arial"/>
          <w:sz w:val="18"/>
          <w:szCs w:val="22"/>
          <w:lang w:val="es-CO"/>
        </w:rPr>
        <w:t xml:space="preserve">López Blanco. CÓDIGO GENERAL DEL PROCESO. - Parte General-, 2016, Pág. 217.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4AEE" w14:textId="77777777" w:rsidR="00436A51" w:rsidRDefault="00436A51" w:rsidP="00A54986">
    <w:pPr>
      <w:spacing w:line="360" w:lineRule="auto"/>
      <w:ind w:hanging="1134"/>
    </w:pPr>
    <w:r>
      <w:tab/>
    </w:r>
    <w:r>
      <w:tab/>
    </w:r>
    <w:r>
      <w:tab/>
    </w:r>
    <w:r>
      <w:tab/>
    </w:r>
    <w:r>
      <w:rPr>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9C1"/>
    <w:multiLevelType w:val="hybridMultilevel"/>
    <w:tmpl w:val="681A417E"/>
    <w:lvl w:ilvl="0" w:tplc="49B61F12">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30833EFA"/>
    <w:multiLevelType w:val="hybridMultilevel"/>
    <w:tmpl w:val="68C6E986"/>
    <w:lvl w:ilvl="0" w:tplc="57B8B74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2" w15:restartNumberingAfterBreak="0">
    <w:nsid w:val="3EAD385E"/>
    <w:multiLevelType w:val="hybridMultilevel"/>
    <w:tmpl w:val="BF165C4C"/>
    <w:lvl w:ilvl="0" w:tplc="0D2A6AD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3" w15:restartNumberingAfterBreak="0">
    <w:nsid w:val="40B40A7C"/>
    <w:multiLevelType w:val="hybridMultilevel"/>
    <w:tmpl w:val="D278B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5"/>
    <w:rsid w:val="000012FD"/>
    <w:rsid w:val="00004178"/>
    <w:rsid w:val="000108E4"/>
    <w:rsid w:val="0001094C"/>
    <w:rsid w:val="0001169F"/>
    <w:rsid w:val="000209CA"/>
    <w:rsid w:val="00020EE0"/>
    <w:rsid w:val="000222F5"/>
    <w:rsid w:val="000412C9"/>
    <w:rsid w:val="00041D47"/>
    <w:rsid w:val="00042088"/>
    <w:rsid w:val="000439A4"/>
    <w:rsid w:val="000568A3"/>
    <w:rsid w:val="00061E67"/>
    <w:rsid w:val="00062CEF"/>
    <w:rsid w:val="0006301B"/>
    <w:rsid w:val="0006318D"/>
    <w:rsid w:val="00064E9E"/>
    <w:rsid w:val="000655FC"/>
    <w:rsid w:val="00066D3E"/>
    <w:rsid w:val="00067041"/>
    <w:rsid w:val="000676BA"/>
    <w:rsid w:val="00071B57"/>
    <w:rsid w:val="00072F3A"/>
    <w:rsid w:val="00073027"/>
    <w:rsid w:val="00082968"/>
    <w:rsid w:val="00083F6F"/>
    <w:rsid w:val="00091497"/>
    <w:rsid w:val="00093868"/>
    <w:rsid w:val="00094044"/>
    <w:rsid w:val="00094095"/>
    <w:rsid w:val="00095C04"/>
    <w:rsid w:val="00097919"/>
    <w:rsid w:val="000A02B8"/>
    <w:rsid w:val="000A3D51"/>
    <w:rsid w:val="000A4468"/>
    <w:rsid w:val="000A6C3A"/>
    <w:rsid w:val="000A7AC2"/>
    <w:rsid w:val="000B1515"/>
    <w:rsid w:val="000C0169"/>
    <w:rsid w:val="000C1EAF"/>
    <w:rsid w:val="000C2A4E"/>
    <w:rsid w:val="000C52EF"/>
    <w:rsid w:val="000D07BF"/>
    <w:rsid w:val="000D165B"/>
    <w:rsid w:val="000D1EAA"/>
    <w:rsid w:val="000D6EA2"/>
    <w:rsid w:val="000D72C6"/>
    <w:rsid w:val="000D75BD"/>
    <w:rsid w:val="000E177B"/>
    <w:rsid w:val="000E4189"/>
    <w:rsid w:val="000E4D42"/>
    <w:rsid w:val="000E4F08"/>
    <w:rsid w:val="000F189F"/>
    <w:rsid w:val="000F1C02"/>
    <w:rsid w:val="000F4F93"/>
    <w:rsid w:val="0010022C"/>
    <w:rsid w:val="00102D3D"/>
    <w:rsid w:val="001031D1"/>
    <w:rsid w:val="00103548"/>
    <w:rsid w:val="0010491D"/>
    <w:rsid w:val="00104F3A"/>
    <w:rsid w:val="0010676D"/>
    <w:rsid w:val="00112AC6"/>
    <w:rsid w:val="0012003F"/>
    <w:rsid w:val="001200C9"/>
    <w:rsid w:val="001215F1"/>
    <w:rsid w:val="001217B9"/>
    <w:rsid w:val="00121C55"/>
    <w:rsid w:val="0012267F"/>
    <w:rsid w:val="00123442"/>
    <w:rsid w:val="001242AD"/>
    <w:rsid w:val="001247B9"/>
    <w:rsid w:val="001312D4"/>
    <w:rsid w:val="00132C6C"/>
    <w:rsid w:val="00135480"/>
    <w:rsid w:val="001355B9"/>
    <w:rsid w:val="00136F68"/>
    <w:rsid w:val="0013748A"/>
    <w:rsid w:val="00141402"/>
    <w:rsid w:val="00144607"/>
    <w:rsid w:val="001456E2"/>
    <w:rsid w:val="00152BB5"/>
    <w:rsid w:val="00153968"/>
    <w:rsid w:val="001628B3"/>
    <w:rsid w:val="001644BC"/>
    <w:rsid w:val="00164BAD"/>
    <w:rsid w:val="001671F8"/>
    <w:rsid w:val="00167505"/>
    <w:rsid w:val="00167C1B"/>
    <w:rsid w:val="001731C5"/>
    <w:rsid w:val="0017328F"/>
    <w:rsid w:val="00176E4E"/>
    <w:rsid w:val="0017701D"/>
    <w:rsid w:val="0018022F"/>
    <w:rsid w:val="001812A1"/>
    <w:rsid w:val="00183F10"/>
    <w:rsid w:val="00184157"/>
    <w:rsid w:val="00186126"/>
    <w:rsid w:val="001870A4"/>
    <w:rsid w:val="00191C81"/>
    <w:rsid w:val="001920FD"/>
    <w:rsid w:val="001924A5"/>
    <w:rsid w:val="00193310"/>
    <w:rsid w:val="00194362"/>
    <w:rsid w:val="00195D64"/>
    <w:rsid w:val="00197B6A"/>
    <w:rsid w:val="001A134E"/>
    <w:rsid w:val="001A4277"/>
    <w:rsid w:val="001A46A3"/>
    <w:rsid w:val="001A6C2E"/>
    <w:rsid w:val="001A6E73"/>
    <w:rsid w:val="001C1144"/>
    <w:rsid w:val="001C1543"/>
    <w:rsid w:val="001C21AB"/>
    <w:rsid w:val="001C401E"/>
    <w:rsid w:val="001C41CD"/>
    <w:rsid w:val="001C4FAC"/>
    <w:rsid w:val="001C62C3"/>
    <w:rsid w:val="001C63F2"/>
    <w:rsid w:val="001C68B3"/>
    <w:rsid w:val="001D14D9"/>
    <w:rsid w:val="001D7EF0"/>
    <w:rsid w:val="001E0739"/>
    <w:rsid w:val="001E11BE"/>
    <w:rsid w:val="001E2D3A"/>
    <w:rsid w:val="001E3731"/>
    <w:rsid w:val="001E4638"/>
    <w:rsid w:val="001E59D1"/>
    <w:rsid w:val="001E7213"/>
    <w:rsid w:val="001F0D45"/>
    <w:rsid w:val="001F2042"/>
    <w:rsid w:val="001F303C"/>
    <w:rsid w:val="001F3DFE"/>
    <w:rsid w:val="001F6C80"/>
    <w:rsid w:val="0020061A"/>
    <w:rsid w:val="00201343"/>
    <w:rsid w:val="00201AE2"/>
    <w:rsid w:val="002030E2"/>
    <w:rsid w:val="0020386E"/>
    <w:rsid w:val="002066B0"/>
    <w:rsid w:val="0021665D"/>
    <w:rsid w:val="00217CBF"/>
    <w:rsid w:val="00220E6C"/>
    <w:rsid w:val="002245DD"/>
    <w:rsid w:val="00224703"/>
    <w:rsid w:val="00224ED5"/>
    <w:rsid w:val="00224F77"/>
    <w:rsid w:val="00227E21"/>
    <w:rsid w:val="00231DD2"/>
    <w:rsid w:val="00232F65"/>
    <w:rsid w:val="00233DDD"/>
    <w:rsid w:val="0023575C"/>
    <w:rsid w:val="00235AF5"/>
    <w:rsid w:val="0023761D"/>
    <w:rsid w:val="00240A24"/>
    <w:rsid w:val="002452B5"/>
    <w:rsid w:val="00245B9F"/>
    <w:rsid w:val="002460BB"/>
    <w:rsid w:val="0025321D"/>
    <w:rsid w:val="00253C0F"/>
    <w:rsid w:val="00254040"/>
    <w:rsid w:val="00254315"/>
    <w:rsid w:val="00254CA3"/>
    <w:rsid w:val="00254ECB"/>
    <w:rsid w:val="00260FD5"/>
    <w:rsid w:val="00261ADD"/>
    <w:rsid w:val="002623D4"/>
    <w:rsid w:val="00262C82"/>
    <w:rsid w:val="00266BC0"/>
    <w:rsid w:val="002703FA"/>
    <w:rsid w:val="0027127C"/>
    <w:rsid w:val="002722F9"/>
    <w:rsid w:val="00276D0E"/>
    <w:rsid w:val="00285265"/>
    <w:rsid w:val="00286746"/>
    <w:rsid w:val="00287908"/>
    <w:rsid w:val="002916DB"/>
    <w:rsid w:val="002A13BB"/>
    <w:rsid w:val="002A2B38"/>
    <w:rsid w:val="002A79BC"/>
    <w:rsid w:val="002B175E"/>
    <w:rsid w:val="002B2D36"/>
    <w:rsid w:val="002C07C2"/>
    <w:rsid w:val="002C12E9"/>
    <w:rsid w:val="002C1510"/>
    <w:rsid w:val="002C168E"/>
    <w:rsid w:val="002C2AD5"/>
    <w:rsid w:val="002C2D8D"/>
    <w:rsid w:val="002C41EF"/>
    <w:rsid w:val="002C4C8A"/>
    <w:rsid w:val="002C6530"/>
    <w:rsid w:val="002D0D29"/>
    <w:rsid w:val="002D0DAE"/>
    <w:rsid w:val="002D1942"/>
    <w:rsid w:val="002D2DB6"/>
    <w:rsid w:val="002E0B7F"/>
    <w:rsid w:val="002E0E95"/>
    <w:rsid w:val="002E1E18"/>
    <w:rsid w:val="002E273C"/>
    <w:rsid w:val="002E6434"/>
    <w:rsid w:val="002E76F4"/>
    <w:rsid w:val="002E7EB5"/>
    <w:rsid w:val="002F1B01"/>
    <w:rsid w:val="002F4460"/>
    <w:rsid w:val="002F6BF1"/>
    <w:rsid w:val="002F7103"/>
    <w:rsid w:val="002F7F4F"/>
    <w:rsid w:val="00300E4C"/>
    <w:rsid w:val="0030149B"/>
    <w:rsid w:val="0030320A"/>
    <w:rsid w:val="003049BB"/>
    <w:rsid w:val="00304D7B"/>
    <w:rsid w:val="00305D5A"/>
    <w:rsid w:val="00306C9C"/>
    <w:rsid w:val="003105F8"/>
    <w:rsid w:val="003127B8"/>
    <w:rsid w:val="00312B3F"/>
    <w:rsid w:val="00312F65"/>
    <w:rsid w:val="00316520"/>
    <w:rsid w:val="00322E6F"/>
    <w:rsid w:val="00323452"/>
    <w:rsid w:val="00326A40"/>
    <w:rsid w:val="0033181A"/>
    <w:rsid w:val="00334BA2"/>
    <w:rsid w:val="00337EB0"/>
    <w:rsid w:val="00343C64"/>
    <w:rsid w:val="0034685F"/>
    <w:rsid w:val="00352AEF"/>
    <w:rsid w:val="003538FF"/>
    <w:rsid w:val="00353DD6"/>
    <w:rsid w:val="0036170A"/>
    <w:rsid w:val="003664F0"/>
    <w:rsid w:val="00367871"/>
    <w:rsid w:val="00367F04"/>
    <w:rsid w:val="003704FE"/>
    <w:rsid w:val="00372B17"/>
    <w:rsid w:val="003774F9"/>
    <w:rsid w:val="00381CEB"/>
    <w:rsid w:val="00382E5E"/>
    <w:rsid w:val="00384216"/>
    <w:rsid w:val="00384C32"/>
    <w:rsid w:val="00385AAE"/>
    <w:rsid w:val="00387AE2"/>
    <w:rsid w:val="00387C4E"/>
    <w:rsid w:val="00391D5B"/>
    <w:rsid w:val="00392809"/>
    <w:rsid w:val="00396707"/>
    <w:rsid w:val="003969EA"/>
    <w:rsid w:val="003A0DE4"/>
    <w:rsid w:val="003A22C9"/>
    <w:rsid w:val="003A2345"/>
    <w:rsid w:val="003A3389"/>
    <w:rsid w:val="003A347D"/>
    <w:rsid w:val="003A4E57"/>
    <w:rsid w:val="003A75E1"/>
    <w:rsid w:val="003B06D3"/>
    <w:rsid w:val="003B2C3D"/>
    <w:rsid w:val="003B3A28"/>
    <w:rsid w:val="003B3B92"/>
    <w:rsid w:val="003B57C8"/>
    <w:rsid w:val="003C1950"/>
    <w:rsid w:val="003C228C"/>
    <w:rsid w:val="003C422B"/>
    <w:rsid w:val="003C603F"/>
    <w:rsid w:val="003D0477"/>
    <w:rsid w:val="003D1FB4"/>
    <w:rsid w:val="003D3D5A"/>
    <w:rsid w:val="003D65C3"/>
    <w:rsid w:val="003D6FE4"/>
    <w:rsid w:val="003E5B22"/>
    <w:rsid w:val="003E5C4B"/>
    <w:rsid w:val="003F0EBB"/>
    <w:rsid w:val="003F378D"/>
    <w:rsid w:val="003F45D8"/>
    <w:rsid w:val="003F5B8E"/>
    <w:rsid w:val="0040171A"/>
    <w:rsid w:val="004041EC"/>
    <w:rsid w:val="00405635"/>
    <w:rsid w:val="0041227C"/>
    <w:rsid w:val="00412DDB"/>
    <w:rsid w:val="004159C6"/>
    <w:rsid w:val="00417307"/>
    <w:rsid w:val="00417FDE"/>
    <w:rsid w:val="00421D19"/>
    <w:rsid w:val="00422527"/>
    <w:rsid w:val="00424BF8"/>
    <w:rsid w:val="00426B0C"/>
    <w:rsid w:val="004322F0"/>
    <w:rsid w:val="00434395"/>
    <w:rsid w:val="0043509E"/>
    <w:rsid w:val="004357F2"/>
    <w:rsid w:val="00436A51"/>
    <w:rsid w:val="0044045C"/>
    <w:rsid w:val="0044415A"/>
    <w:rsid w:val="0044444E"/>
    <w:rsid w:val="0044480D"/>
    <w:rsid w:val="00444E53"/>
    <w:rsid w:val="00451F7F"/>
    <w:rsid w:val="004526DA"/>
    <w:rsid w:val="004541EC"/>
    <w:rsid w:val="00460E1E"/>
    <w:rsid w:val="00464776"/>
    <w:rsid w:val="004659D1"/>
    <w:rsid w:val="0047092A"/>
    <w:rsid w:val="00470CCC"/>
    <w:rsid w:val="004729FF"/>
    <w:rsid w:val="004752D2"/>
    <w:rsid w:val="0047610A"/>
    <w:rsid w:val="004802DA"/>
    <w:rsid w:val="00481A2A"/>
    <w:rsid w:val="004826F0"/>
    <w:rsid w:val="00482762"/>
    <w:rsid w:val="0048696C"/>
    <w:rsid w:val="00491C8D"/>
    <w:rsid w:val="00492A3D"/>
    <w:rsid w:val="00496CF1"/>
    <w:rsid w:val="004A161D"/>
    <w:rsid w:val="004A1CCE"/>
    <w:rsid w:val="004A40A7"/>
    <w:rsid w:val="004A6B4E"/>
    <w:rsid w:val="004A6EA8"/>
    <w:rsid w:val="004B0D1C"/>
    <w:rsid w:val="004B2FB5"/>
    <w:rsid w:val="004B708A"/>
    <w:rsid w:val="004B75F7"/>
    <w:rsid w:val="004B7C8B"/>
    <w:rsid w:val="004C6CE8"/>
    <w:rsid w:val="004D029D"/>
    <w:rsid w:val="004D0A58"/>
    <w:rsid w:val="004D0C07"/>
    <w:rsid w:val="004D0DB1"/>
    <w:rsid w:val="004D2BBE"/>
    <w:rsid w:val="004D3E0D"/>
    <w:rsid w:val="004D5085"/>
    <w:rsid w:val="004E25CC"/>
    <w:rsid w:val="004E35A9"/>
    <w:rsid w:val="004E4BF5"/>
    <w:rsid w:val="004E6AE1"/>
    <w:rsid w:val="004E7E04"/>
    <w:rsid w:val="004F1F88"/>
    <w:rsid w:val="004F22BB"/>
    <w:rsid w:val="004F2C3D"/>
    <w:rsid w:val="004F5294"/>
    <w:rsid w:val="004F56B7"/>
    <w:rsid w:val="004F7151"/>
    <w:rsid w:val="005000FC"/>
    <w:rsid w:val="005002F1"/>
    <w:rsid w:val="0050340A"/>
    <w:rsid w:val="00504EF2"/>
    <w:rsid w:val="00507912"/>
    <w:rsid w:val="00511613"/>
    <w:rsid w:val="00511D1E"/>
    <w:rsid w:val="00516BFE"/>
    <w:rsid w:val="00522667"/>
    <w:rsid w:val="005257D0"/>
    <w:rsid w:val="00526F23"/>
    <w:rsid w:val="005279F6"/>
    <w:rsid w:val="00540152"/>
    <w:rsid w:val="005402BA"/>
    <w:rsid w:val="00543A5E"/>
    <w:rsid w:val="00552BB7"/>
    <w:rsid w:val="00553F54"/>
    <w:rsid w:val="005559ED"/>
    <w:rsid w:val="00560147"/>
    <w:rsid w:val="00564DDB"/>
    <w:rsid w:val="0056671F"/>
    <w:rsid w:val="00570FFC"/>
    <w:rsid w:val="005729AD"/>
    <w:rsid w:val="00572EE3"/>
    <w:rsid w:val="00573BA8"/>
    <w:rsid w:val="00574A34"/>
    <w:rsid w:val="005768F7"/>
    <w:rsid w:val="0057786D"/>
    <w:rsid w:val="00580F41"/>
    <w:rsid w:val="00582E4D"/>
    <w:rsid w:val="00582F9C"/>
    <w:rsid w:val="00583D48"/>
    <w:rsid w:val="005848F5"/>
    <w:rsid w:val="00584980"/>
    <w:rsid w:val="00585313"/>
    <w:rsid w:val="0059222F"/>
    <w:rsid w:val="005930DD"/>
    <w:rsid w:val="00596AA9"/>
    <w:rsid w:val="00596FE7"/>
    <w:rsid w:val="00597763"/>
    <w:rsid w:val="005A033A"/>
    <w:rsid w:val="005A044B"/>
    <w:rsid w:val="005A1133"/>
    <w:rsid w:val="005A6D86"/>
    <w:rsid w:val="005A7048"/>
    <w:rsid w:val="005A793D"/>
    <w:rsid w:val="005A79E1"/>
    <w:rsid w:val="005B227F"/>
    <w:rsid w:val="005B401B"/>
    <w:rsid w:val="005B4AFA"/>
    <w:rsid w:val="005B55D5"/>
    <w:rsid w:val="005B5C51"/>
    <w:rsid w:val="005B610A"/>
    <w:rsid w:val="005B7E61"/>
    <w:rsid w:val="005C0471"/>
    <w:rsid w:val="005C4051"/>
    <w:rsid w:val="005C54D7"/>
    <w:rsid w:val="005C668F"/>
    <w:rsid w:val="005D2439"/>
    <w:rsid w:val="005D5FC7"/>
    <w:rsid w:val="005D6060"/>
    <w:rsid w:val="005E0D2B"/>
    <w:rsid w:val="005E273D"/>
    <w:rsid w:val="005E4A00"/>
    <w:rsid w:val="005E7034"/>
    <w:rsid w:val="005E78C6"/>
    <w:rsid w:val="005E7EEC"/>
    <w:rsid w:val="005E7F0B"/>
    <w:rsid w:val="005F02D6"/>
    <w:rsid w:val="005F030A"/>
    <w:rsid w:val="005F0F38"/>
    <w:rsid w:val="005F271D"/>
    <w:rsid w:val="005F5DDC"/>
    <w:rsid w:val="005F7531"/>
    <w:rsid w:val="00600EB2"/>
    <w:rsid w:val="00601FE4"/>
    <w:rsid w:val="00603068"/>
    <w:rsid w:val="006039FA"/>
    <w:rsid w:val="00603B62"/>
    <w:rsid w:val="00603CCC"/>
    <w:rsid w:val="00604BDE"/>
    <w:rsid w:val="00605E5F"/>
    <w:rsid w:val="00606AF6"/>
    <w:rsid w:val="0060733E"/>
    <w:rsid w:val="00611B7C"/>
    <w:rsid w:val="006124D0"/>
    <w:rsid w:val="006143D6"/>
    <w:rsid w:val="00614ABD"/>
    <w:rsid w:val="0061791A"/>
    <w:rsid w:val="006207BC"/>
    <w:rsid w:val="00620FF4"/>
    <w:rsid w:val="00622276"/>
    <w:rsid w:val="00622EA3"/>
    <w:rsid w:val="006258CE"/>
    <w:rsid w:val="006264E5"/>
    <w:rsid w:val="00632258"/>
    <w:rsid w:val="00634223"/>
    <w:rsid w:val="00634272"/>
    <w:rsid w:val="00635F1D"/>
    <w:rsid w:val="00636664"/>
    <w:rsid w:val="006417A9"/>
    <w:rsid w:val="00642D59"/>
    <w:rsid w:val="00645BC9"/>
    <w:rsid w:val="0064717F"/>
    <w:rsid w:val="00647E6B"/>
    <w:rsid w:val="00651A12"/>
    <w:rsid w:val="0065257D"/>
    <w:rsid w:val="006577D7"/>
    <w:rsid w:val="0066132B"/>
    <w:rsid w:val="00663872"/>
    <w:rsid w:val="00667A1A"/>
    <w:rsid w:val="006700B8"/>
    <w:rsid w:val="00671EB7"/>
    <w:rsid w:val="006733C8"/>
    <w:rsid w:val="0068051C"/>
    <w:rsid w:val="0068071E"/>
    <w:rsid w:val="006820DF"/>
    <w:rsid w:val="00682FC9"/>
    <w:rsid w:val="00685931"/>
    <w:rsid w:val="00693D3C"/>
    <w:rsid w:val="006A212D"/>
    <w:rsid w:val="006A73A1"/>
    <w:rsid w:val="006A73B7"/>
    <w:rsid w:val="006B0631"/>
    <w:rsid w:val="006B16B9"/>
    <w:rsid w:val="006B3724"/>
    <w:rsid w:val="006B72E6"/>
    <w:rsid w:val="006B732F"/>
    <w:rsid w:val="006D2671"/>
    <w:rsid w:val="006D2FF0"/>
    <w:rsid w:val="006D3A43"/>
    <w:rsid w:val="006D7206"/>
    <w:rsid w:val="006E3255"/>
    <w:rsid w:val="006E416D"/>
    <w:rsid w:val="006E487E"/>
    <w:rsid w:val="006F06F7"/>
    <w:rsid w:val="006F0D91"/>
    <w:rsid w:val="006F13CC"/>
    <w:rsid w:val="006F2100"/>
    <w:rsid w:val="006F55EB"/>
    <w:rsid w:val="006F7900"/>
    <w:rsid w:val="00707E92"/>
    <w:rsid w:val="007110F7"/>
    <w:rsid w:val="00713293"/>
    <w:rsid w:val="00713CBA"/>
    <w:rsid w:val="00715996"/>
    <w:rsid w:val="00717F9F"/>
    <w:rsid w:val="0072010C"/>
    <w:rsid w:val="00721897"/>
    <w:rsid w:val="007224E3"/>
    <w:rsid w:val="007227F4"/>
    <w:rsid w:val="00724576"/>
    <w:rsid w:val="0072477F"/>
    <w:rsid w:val="0072668A"/>
    <w:rsid w:val="00726A23"/>
    <w:rsid w:val="0073025A"/>
    <w:rsid w:val="007338EC"/>
    <w:rsid w:val="0073799D"/>
    <w:rsid w:val="00737EA8"/>
    <w:rsid w:val="007404FB"/>
    <w:rsid w:val="007414DD"/>
    <w:rsid w:val="007429CA"/>
    <w:rsid w:val="007442FC"/>
    <w:rsid w:val="007462C9"/>
    <w:rsid w:val="0075048E"/>
    <w:rsid w:val="00751938"/>
    <w:rsid w:val="007526A9"/>
    <w:rsid w:val="0075284A"/>
    <w:rsid w:val="0075606B"/>
    <w:rsid w:val="00756073"/>
    <w:rsid w:val="007606D7"/>
    <w:rsid w:val="00761C04"/>
    <w:rsid w:val="00763241"/>
    <w:rsid w:val="00763818"/>
    <w:rsid w:val="00764C1D"/>
    <w:rsid w:val="00764E59"/>
    <w:rsid w:val="0076766B"/>
    <w:rsid w:val="007679BD"/>
    <w:rsid w:val="007702D8"/>
    <w:rsid w:val="00772119"/>
    <w:rsid w:val="00772C38"/>
    <w:rsid w:val="00776793"/>
    <w:rsid w:val="007807A2"/>
    <w:rsid w:val="00780B0B"/>
    <w:rsid w:val="00781014"/>
    <w:rsid w:val="00781027"/>
    <w:rsid w:val="00781296"/>
    <w:rsid w:val="00782550"/>
    <w:rsid w:val="00782A71"/>
    <w:rsid w:val="007857F8"/>
    <w:rsid w:val="00785A72"/>
    <w:rsid w:val="0079179A"/>
    <w:rsid w:val="00791A11"/>
    <w:rsid w:val="007926E7"/>
    <w:rsid w:val="00792F26"/>
    <w:rsid w:val="007954C8"/>
    <w:rsid w:val="0079559B"/>
    <w:rsid w:val="00795F6C"/>
    <w:rsid w:val="00797787"/>
    <w:rsid w:val="007A1BFF"/>
    <w:rsid w:val="007A4345"/>
    <w:rsid w:val="007A448B"/>
    <w:rsid w:val="007A4F97"/>
    <w:rsid w:val="007A5ACE"/>
    <w:rsid w:val="007A6015"/>
    <w:rsid w:val="007A6CD6"/>
    <w:rsid w:val="007A6F96"/>
    <w:rsid w:val="007A7C07"/>
    <w:rsid w:val="007B1F52"/>
    <w:rsid w:val="007B2477"/>
    <w:rsid w:val="007B3053"/>
    <w:rsid w:val="007C2B9B"/>
    <w:rsid w:val="007C7130"/>
    <w:rsid w:val="007D0A14"/>
    <w:rsid w:val="007D0DB4"/>
    <w:rsid w:val="007D152A"/>
    <w:rsid w:val="007D3321"/>
    <w:rsid w:val="007D6FE9"/>
    <w:rsid w:val="007D7008"/>
    <w:rsid w:val="007E5244"/>
    <w:rsid w:val="007E57D0"/>
    <w:rsid w:val="007F21BE"/>
    <w:rsid w:val="007F3009"/>
    <w:rsid w:val="007F5B06"/>
    <w:rsid w:val="007F6489"/>
    <w:rsid w:val="007F6C2E"/>
    <w:rsid w:val="007F7C64"/>
    <w:rsid w:val="00801030"/>
    <w:rsid w:val="00806DA2"/>
    <w:rsid w:val="0081156F"/>
    <w:rsid w:val="008133EF"/>
    <w:rsid w:val="00813AE7"/>
    <w:rsid w:val="0083127D"/>
    <w:rsid w:val="0083178D"/>
    <w:rsid w:val="00831DA5"/>
    <w:rsid w:val="00831DE8"/>
    <w:rsid w:val="00831F7C"/>
    <w:rsid w:val="00833381"/>
    <w:rsid w:val="00837BE4"/>
    <w:rsid w:val="0084530D"/>
    <w:rsid w:val="008453F5"/>
    <w:rsid w:val="0084695B"/>
    <w:rsid w:val="00850350"/>
    <w:rsid w:val="00850B1A"/>
    <w:rsid w:val="00852065"/>
    <w:rsid w:val="00852561"/>
    <w:rsid w:val="00852B5D"/>
    <w:rsid w:val="0085355E"/>
    <w:rsid w:val="00853577"/>
    <w:rsid w:val="00853D15"/>
    <w:rsid w:val="00861B10"/>
    <w:rsid w:val="00862709"/>
    <w:rsid w:val="00864C42"/>
    <w:rsid w:val="00865CC7"/>
    <w:rsid w:val="00867FFE"/>
    <w:rsid w:val="008718AA"/>
    <w:rsid w:val="00874343"/>
    <w:rsid w:val="008762E3"/>
    <w:rsid w:val="00876BFD"/>
    <w:rsid w:val="00882211"/>
    <w:rsid w:val="00885088"/>
    <w:rsid w:val="00886098"/>
    <w:rsid w:val="0088614D"/>
    <w:rsid w:val="0089015B"/>
    <w:rsid w:val="008905AF"/>
    <w:rsid w:val="008915BC"/>
    <w:rsid w:val="0089318E"/>
    <w:rsid w:val="008941E9"/>
    <w:rsid w:val="0089515D"/>
    <w:rsid w:val="0089683B"/>
    <w:rsid w:val="00896CBB"/>
    <w:rsid w:val="008A0096"/>
    <w:rsid w:val="008A1A39"/>
    <w:rsid w:val="008A1B4E"/>
    <w:rsid w:val="008A5882"/>
    <w:rsid w:val="008A700A"/>
    <w:rsid w:val="008B237F"/>
    <w:rsid w:val="008B4F77"/>
    <w:rsid w:val="008B7AA7"/>
    <w:rsid w:val="008C0977"/>
    <w:rsid w:val="008C2D90"/>
    <w:rsid w:val="008C3403"/>
    <w:rsid w:val="008C4FE5"/>
    <w:rsid w:val="008C590D"/>
    <w:rsid w:val="008C7B94"/>
    <w:rsid w:val="008D25E4"/>
    <w:rsid w:val="008D38B4"/>
    <w:rsid w:val="008D3FE0"/>
    <w:rsid w:val="008D5264"/>
    <w:rsid w:val="008D78AA"/>
    <w:rsid w:val="008D7E1A"/>
    <w:rsid w:val="008E1E32"/>
    <w:rsid w:val="008E37EF"/>
    <w:rsid w:val="008E507B"/>
    <w:rsid w:val="008F0A69"/>
    <w:rsid w:val="008F1BED"/>
    <w:rsid w:val="008F1F32"/>
    <w:rsid w:val="008F3AA0"/>
    <w:rsid w:val="008F5A0D"/>
    <w:rsid w:val="008F60B4"/>
    <w:rsid w:val="008F7FD3"/>
    <w:rsid w:val="00901AB2"/>
    <w:rsid w:val="009022F5"/>
    <w:rsid w:val="00904820"/>
    <w:rsid w:val="0090559D"/>
    <w:rsid w:val="009059B2"/>
    <w:rsid w:val="009170CD"/>
    <w:rsid w:val="009204C8"/>
    <w:rsid w:val="00920B0C"/>
    <w:rsid w:val="00921E87"/>
    <w:rsid w:val="00922285"/>
    <w:rsid w:val="0092276A"/>
    <w:rsid w:val="0092590C"/>
    <w:rsid w:val="009318C3"/>
    <w:rsid w:val="009358BC"/>
    <w:rsid w:val="00937CC3"/>
    <w:rsid w:val="00940C67"/>
    <w:rsid w:val="009426D1"/>
    <w:rsid w:val="00942AF3"/>
    <w:rsid w:val="00943664"/>
    <w:rsid w:val="00943FF1"/>
    <w:rsid w:val="0094405D"/>
    <w:rsid w:val="009513A3"/>
    <w:rsid w:val="0096059A"/>
    <w:rsid w:val="00961AAE"/>
    <w:rsid w:val="00965768"/>
    <w:rsid w:val="00966586"/>
    <w:rsid w:val="00970A5F"/>
    <w:rsid w:val="00972F33"/>
    <w:rsid w:val="00974547"/>
    <w:rsid w:val="00976105"/>
    <w:rsid w:val="00976977"/>
    <w:rsid w:val="00976B2E"/>
    <w:rsid w:val="00987327"/>
    <w:rsid w:val="009878F9"/>
    <w:rsid w:val="009901D3"/>
    <w:rsid w:val="00994430"/>
    <w:rsid w:val="00994E40"/>
    <w:rsid w:val="00996AEA"/>
    <w:rsid w:val="009A07DB"/>
    <w:rsid w:val="009A2618"/>
    <w:rsid w:val="009A2FB8"/>
    <w:rsid w:val="009A30A9"/>
    <w:rsid w:val="009A633D"/>
    <w:rsid w:val="009A7ADB"/>
    <w:rsid w:val="009A7B40"/>
    <w:rsid w:val="009B011D"/>
    <w:rsid w:val="009B0E00"/>
    <w:rsid w:val="009B17E8"/>
    <w:rsid w:val="009B2A2A"/>
    <w:rsid w:val="009B2FBD"/>
    <w:rsid w:val="009C3244"/>
    <w:rsid w:val="009C4207"/>
    <w:rsid w:val="009C6B54"/>
    <w:rsid w:val="009D0F3B"/>
    <w:rsid w:val="009D11FB"/>
    <w:rsid w:val="009D2200"/>
    <w:rsid w:val="009D4C7B"/>
    <w:rsid w:val="009D5349"/>
    <w:rsid w:val="009D67D9"/>
    <w:rsid w:val="009D6EA3"/>
    <w:rsid w:val="009D7704"/>
    <w:rsid w:val="009E0B51"/>
    <w:rsid w:val="009E0FD8"/>
    <w:rsid w:val="009E431D"/>
    <w:rsid w:val="009E4741"/>
    <w:rsid w:val="009E7C38"/>
    <w:rsid w:val="009F21F9"/>
    <w:rsid w:val="009F3E84"/>
    <w:rsid w:val="009F65B9"/>
    <w:rsid w:val="009F7EA7"/>
    <w:rsid w:val="00A00372"/>
    <w:rsid w:val="00A00442"/>
    <w:rsid w:val="00A006BB"/>
    <w:rsid w:val="00A021CD"/>
    <w:rsid w:val="00A0360C"/>
    <w:rsid w:val="00A06824"/>
    <w:rsid w:val="00A1052E"/>
    <w:rsid w:val="00A108E0"/>
    <w:rsid w:val="00A11B7B"/>
    <w:rsid w:val="00A12F74"/>
    <w:rsid w:val="00A133A5"/>
    <w:rsid w:val="00A135D1"/>
    <w:rsid w:val="00A1540A"/>
    <w:rsid w:val="00A15720"/>
    <w:rsid w:val="00A16252"/>
    <w:rsid w:val="00A22663"/>
    <w:rsid w:val="00A27193"/>
    <w:rsid w:val="00A322C1"/>
    <w:rsid w:val="00A333E3"/>
    <w:rsid w:val="00A34B2C"/>
    <w:rsid w:val="00A35114"/>
    <w:rsid w:val="00A355BC"/>
    <w:rsid w:val="00A37894"/>
    <w:rsid w:val="00A378B6"/>
    <w:rsid w:val="00A4037B"/>
    <w:rsid w:val="00A4273F"/>
    <w:rsid w:val="00A42D85"/>
    <w:rsid w:val="00A43E9F"/>
    <w:rsid w:val="00A44ED2"/>
    <w:rsid w:val="00A4780F"/>
    <w:rsid w:val="00A52ACC"/>
    <w:rsid w:val="00A52D8C"/>
    <w:rsid w:val="00A54986"/>
    <w:rsid w:val="00A54FF8"/>
    <w:rsid w:val="00A56695"/>
    <w:rsid w:val="00A6223C"/>
    <w:rsid w:val="00A633EE"/>
    <w:rsid w:val="00A64DDC"/>
    <w:rsid w:val="00A65192"/>
    <w:rsid w:val="00A659BB"/>
    <w:rsid w:val="00A66628"/>
    <w:rsid w:val="00A67C3F"/>
    <w:rsid w:val="00A7268E"/>
    <w:rsid w:val="00A745F1"/>
    <w:rsid w:val="00A74732"/>
    <w:rsid w:val="00A777DB"/>
    <w:rsid w:val="00A80E17"/>
    <w:rsid w:val="00A80E46"/>
    <w:rsid w:val="00A8218F"/>
    <w:rsid w:val="00A827B7"/>
    <w:rsid w:val="00A854B9"/>
    <w:rsid w:val="00A86AD2"/>
    <w:rsid w:val="00A9246B"/>
    <w:rsid w:val="00A93E5B"/>
    <w:rsid w:val="00A95053"/>
    <w:rsid w:val="00A956BD"/>
    <w:rsid w:val="00A97ED4"/>
    <w:rsid w:val="00AA1030"/>
    <w:rsid w:val="00AA69FE"/>
    <w:rsid w:val="00AA7448"/>
    <w:rsid w:val="00AB381E"/>
    <w:rsid w:val="00AB4B0F"/>
    <w:rsid w:val="00AC3596"/>
    <w:rsid w:val="00AC5562"/>
    <w:rsid w:val="00AC6C06"/>
    <w:rsid w:val="00AC7344"/>
    <w:rsid w:val="00AD0050"/>
    <w:rsid w:val="00AD08D8"/>
    <w:rsid w:val="00AD4788"/>
    <w:rsid w:val="00AD47A5"/>
    <w:rsid w:val="00AD5A79"/>
    <w:rsid w:val="00AE58D7"/>
    <w:rsid w:val="00AE6090"/>
    <w:rsid w:val="00AE790F"/>
    <w:rsid w:val="00AE7954"/>
    <w:rsid w:val="00AF0370"/>
    <w:rsid w:val="00AF1A43"/>
    <w:rsid w:val="00AF3B8C"/>
    <w:rsid w:val="00AF434C"/>
    <w:rsid w:val="00AF4AD3"/>
    <w:rsid w:val="00AF578D"/>
    <w:rsid w:val="00AF5B39"/>
    <w:rsid w:val="00AF711D"/>
    <w:rsid w:val="00B0265C"/>
    <w:rsid w:val="00B02BE9"/>
    <w:rsid w:val="00B109D3"/>
    <w:rsid w:val="00B1186B"/>
    <w:rsid w:val="00B11C7F"/>
    <w:rsid w:val="00B12327"/>
    <w:rsid w:val="00B12A48"/>
    <w:rsid w:val="00B14829"/>
    <w:rsid w:val="00B14B67"/>
    <w:rsid w:val="00B21399"/>
    <w:rsid w:val="00B226B8"/>
    <w:rsid w:val="00B24A4E"/>
    <w:rsid w:val="00B30A80"/>
    <w:rsid w:val="00B30B13"/>
    <w:rsid w:val="00B32EEF"/>
    <w:rsid w:val="00B34201"/>
    <w:rsid w:val="00B34553"/>
    <w:rsid w:val="00B36C88"/>
    <w:rsid w:val="00B40BCA"/>
    <w:rsid w:val="00B468E1"/>
    <w:rsid w:val="00B470C8"/>
    <w:rsid w:val="00B50E85"/>
    <w:rsid w:val="00B519AC"/>
    <w:rsid w:val="00B51AFC"/>
    <w:rsid w:val="00B5444E"/>
    <w:rsid w:val="00B56957"/>
    <w:rsid w:val="00B60D3F"/>
    <w:rsid w:val="00B627E2"/>
    <w:rsid w:val="00B63A8D"/>
    <w:rsid w:val="00B63C61"/>
    <w:rsid w:val="00B702C3"/>
    <w:rsid w:val="00B754D2"/>
    <w:rsid w:val="00B82EC0"/>
    <w:rsid w:val="00B8427B"/>
    <w:rsid w:val="00B84F11"/>
    <w:rsid w:val="00B85916"/>
    <w:rsid w:val="00B85A9D"/>
    <w:rsid w:val="00B87A7E"/>
    <w:rsid w:val="00B937FF"/>
    <w:rsid w:val="00B93B44"/>
    <w:rsid w:val="00B94A29"/>
    <w:rsid w:val="00B96466"/>
    <w:rsid w:val="00B976E0"/>
    <w:rsid w:val="00BA0B31"/>
    <w:rsid w:val="00BA33B0"/>
    <w:rsid w:val="00BA3F09"/>
    <w:rsid w:val="00BA7BE0"/>
    <w:rsid w:val="00BB225A"/>
    <w:rsid w:val="00BB3CA8"/>
    <w:rsid w:val="00BC1096"/>
    <w:rsid w:val="00BC4222"/>
    <w:rsid w:val="00BC45F3"/>
    <w:rsid w:val="00BC48E7"/>
    <w:rsid w:val="00BD49B7"/>
    <w:rsid w:val="00BD51D7"/>
    <w:rsid w:val="00BD6634"/>
    <w:rsid w:val="00BE2089"/>
    <w:rsid w:val="00BE20E7"/>
    <w:rsid w:val="00BE3D4C"/>
    <w:rsid w:val="00BE6754"/>
    <w:rsid w:val="00BF0AFA"/>
    <w:rsid w:val="00BF18C1"/>
    <w:rsid w:val="00BF2ACA"/>
    <w:rsid w:val="00BF2C8F"/>
    <w:rsid w:val="00BF426C"/>
    <w:rsid w:val="00BF7F1C"/>
    <w:rsid w:val="00C041F6"/>
    <w:rsid w:val="00C04C71"/>
    <w:rsid w:val="00C124BB"/>
    <w:rsid w:val="00C15062"/>
    <w:rsid w:val="00C16E25"/>
    <w:rsid w:val="00C16F99"/>
    <w:rsid w:val="00C16FCB"/>
    <w:rsid w:val="00C2303D"/>
    <w:rsid w:val="00C231B8"/>
    <w:rsid w:val="00C269C8"/>
    <w:rsid w:val="00C30014"/>
    <w:rsid w:val="00C3027E"/>
    <w:rsid w:val="00C325B0"/>
    <w:rsid w:val="00C36F68"/>
    <w:rsid w:val="00C3737B"/>
    <w:rsid w:val="00C40A0C"/>
    <w:rsid w:val="00C4363F"/>
    <w:rsid w:val="00C4475C"/>
    <w:rsid w:val="00C457E9"/>
    <w:rsid w:val="00C45A3A"/>
    <w:rsid w:val="00C47BB2"/>
    <w:rsid w:val="00C52965"/>
    <w:rsid w:val="00C545D0"/>
    <w:rsid w:val="00C54BA0"/>
    <w:rsid w:val="00C5517D"/>
    <w:rsid w:val="00C57B9E"/>
    <w:rsid w:val="00C60402"/>
    <w:rsid w:val="00C60AAB"/>
    <w:rsid w:val="00C611C3"/>
    <w:rsid w:val="00C62B4F"/>
    <w:rsid w:val="00C63A7B"/>
    <w:rsid w:val="00C665D5"/>
    <w:rsid w:val="00C67C66"/>
    <w:rsid w:val="00C71F28"/>
    <w:rsid w:val="00C77708"/>
    <w:rsid w:val="00C805F6"/>
    <w:rsid w:val="00C806F1"/>
    <w:rsid w:val="00C817D4"/>
    <w:rsid w:val="00C82097"/>
    <w:rsid w:val="00C834B6"/>
    <w:rsid w:val="00C83E82"/>
    <w:rsid w:val="00C8411D"/>
    <w:rsid w:val="00C8489D"/>
    <w:rsid w:val="00C850DC"/>
    <w:rsid w:val="00C9231A"/>
    <w:rsid w:val="00C92507"/>
    <w:rsid w:val="00C947FB"/>
    <w:rsid w:val="00C94BA2"/>
    <w:rsid w:val="00C9743B"/>
    <w:rsid w:val="00CA1642"/>
    <w:rsid w:val="00CA22AE"/>
    <w:rsid w:val="00CA49BC"/>
    <w:rsid w:val="00CA53A4"/>
    <w:rsid w:val="00CA5BD1"/>
    <w:rsid w:val="00CA686B"/>
    <w:rsid w:val="00CB34BE"/>
    <w:rsid w:val="00CB4C68"/>
    <w:rsid w:val="00CB678B"/>
    <w:rsid w:val="00CB7141"/>
    <w:rsid w:val="00CB75FF"/>
    <w:rsid w:val="00CB761D"/>
    <w:rsid w:val="00CB7F71"/>
    <w:rsid w:val="00CC173B"/>
    <w:rsid w:val="00CC542E"/>
    <w:rsid w:val="00CC7259"/>
    <w:rsid w:val="00CD0F98"/>
    <w:rsid w:val="00CD34E9"/>
    <w:rsid w:val="00CD6629"/>
    <w:rsid w:val="00CD73E5"/>
    <w:rsid w:val="00CE1889"/>
    <w:rsid w:val="00CE19F5"/>
    <w:rsid w:val="00CE1C94"/>
    <w:rsid w:val="00CE21AC"/>
    <w:rsid w:val="00CE2759"/>
    <w:rsid w:val="00CE2AFF"/>
    <w:rsid w:val="00CE3F51"/>
    <w:rsid w:val="00CE400D"/>
    <w:rsid w:val="00CE40FD"/>
    <w:rsid w:val="00CE7353"/>
    <w:rsid w:val="00CE7D4B"/>
    <w:rsid w:val="00CF00AE"/>
    <w:rsid w:val="00CF17CA"/>
    <w:rsid w:val="00CF57B8"/>
    <w:rsid w:val="00D000A4"/>
    <w:rsid w:val="00D0502A"/>
    <w:rsid w:val="00D050E8"/>
    <w:rsid w:val="00D06DAA"/>
    <w:rsid w:val="00D17EE1"/>
    <w:rsid w:val="00D20A4B"/>
    <w:rsid w:val="00D212FB"/>
    <w:rsid w:val="00D22A74"/>
    <w:rsid w:val="00D22F79"/>
    <w:rsid w:val="00D24263"/>
    <w:rsid w:val="00D24A86"/>
    <w:rsid w:val="00D30A01"/>
    <w:rsid w:val="00D31D86"/>
    <w:rsid w:val="00D32AED"/>
    <w:rsid w:val="00D33F47"/>
    <w:rsid w:val="00D412F5"/>
    <w:rsid w:val="00D45A2C"/>
    <w:rsid w:val="00D4632B"/>
    <w:rsid w:val="00D46456"/>
    <w:rsid w:val="00D475CE"/>
    <w:rsid w:val="00D51969"/>
    <w:rsid w:val="00D52BD4"/>
    <w:rsid w:val="00D638DD"/>
    <w:rsid w:val="00D7085A"/>
    <w:rsid w:val="00D728FC"/>
    <w:rsid w:val="00D72BDC"/>
    <w:rsid w:val="00D758BF"/>
    <w:rsid w:val="00D75EE4"/>
    <w:rsid w:val="00D8186A"/>
    <w:rsid w:val="00D8303F"/>
    <w:rsid w:val="00D85042"/>
    <w:rsid w:val="00D862A3"/>
    <w:rsid w:val="00D878F2"/>
    <w:rsid w:val="00D93BB8"/>
    <w:rsid w:val="00DA007F"/>
    <w:rsid w:val="00DA1066"/>
    <w:rsid w:val="00DA2EB8"/>
    <w:rsid w:val="00DA4626"/>
    <w:rsid w:val="00DA5B0C"/>
    <w:rsid w:val="00DB0FC5"/>
    <w:rsid w:val="00DB2B97"/>
    <w:rsid w:val="00DB37D6"/>
    <w:rsid w:val="00DB68A5"/>
    <w:rsid w:val="00DC3035"/>
    <w:rsid w:val="00DC5750"/>
    <w:rsid w:val="00DC636F"/>
    <w:rsid w:val="00DC7196"/>
    <w:rsid w:val="00DD047E"/>
    <w:rsid w:val="00DD16CD"/>
    <w:rsid w:val="00DD2A2A"/>
    <w:rsid w:val="00DD2FE9"/>
    <w:rsid w:val="00DD6B2A"/>
    <w:rsid w:val="00DD7802"/>
    <w:rsid w:val="00DE031B"/>
    <w:rsid w:val="00DE03C8"/>
    <w:rsid w:val="00DE0931"/>
    <w:rsid w:val="00DE0A5B"/>
    <w:rsid w:val="00DE292D"/>
    <w:rsid w:val="00DE2D75"/>
    <w:rsid w:val="00DE41E8"/>
    <w:rsid w:val="00DE44C7"/>
    <w:rsid w:val="00DE47FC"/>
    <w:rsid w:val="00DE700F"/>
    <w:rsid w:val="00DE7566"/>
    <w:rsid w:val="00DF0CA3"/>
    <w:rsid w:val="00DF15CD"/>
    <w:rsid w:val="00DF4420"/>
    <w:rsid w:val="00DF5E59"/>
    <w:rsid w:val="00E00E45"/>
    <w:rsid w:val="00E019D7"/>
    <w:rsid w:val="00E01A9F"/>
    <w:rsid w:val="00E03443"/>
    <w:rsid w:val="00E040C3"/>
    <w:rsid w:val="00E04900"/>
    <w:rsid w:val="00E079BD"/>
    <w:rsid w:val="00E14A3F"/>
    <w:rsid w:val="00E15681"/>
    <w:rsid w:val="00E16379"/>
    <w:rsid w:val="00E21D4D"/>
    <w:rsid w:val="00E253B5"/>
    <w:rsid w:val="00E264C2"/>
    <w:rsid w:val="00E2726D"/>
    <w:rsid w:val="00E2768B"/>
    <w:rsid w:val="00E305F1"/>
    <w:rsid w:val="00E31BED"/>
    <w:rsid w:val="00E32527"/>
    <w:rsid w:val="00E375C5"/>
    <w:rsid w:val="00E37BB5"/>
    <w:rsid w:val="00E37E1F"/>
    <w:rsid w:val="00E43323"/>
    <w:rsid w:val="00E433B3"/>
    <w:rsid w:val="00E435B7"/>
    <w:rsid w:val="00E43609"/>
    <w:rsid w:val="00E44841"/>
    <w:rsid w:val="00E45B97"/>
    <w:rsid w:val="00E51237"/>
    <w:rsid w:val="00E523B1"/>
    <w:rsid w:val="00E54632"/>
    <w:rsid w:val="00E56441"/>
    <w:rsid w:val="00E56E8B"/>
    <w:rsid w:val="00E6002C"/>
    <w:rsid w:val="00E60F1F"/>
    <w:rsid w:val="00E610DE"/>
    <w:rsid w:val="00E62F96"/>
    <w:rsid w:val="00E64FFE"/>
    <w:rsid w:val="00E65F44"/>
    <w:rsid w:val="00E74BA5"/>
    <w:rsid w:val="00E776C3"/>
    <w:rsid w:val="00E8047F"/>
    <w:rsid w:val="00E81C46"/>
    <w:rsid w:val="00E8304A"/>
    <w:rsid w:val="00E842D3"/>
    <w:rsid w:val="00E84EB7"/>
    <w:rsid w:val="00E9471C"/>
    <w:rsid w:val="00EA359C"/>
    <w:rsid w:val="00EA4A42"/>
    <w:rsid w:val="00EB397A"/>
    <w:rsid w:val="00EC12BC"/>
    <w:rsid w:val="00EC3881"/>
    <w:rsid w:val="00EC3BA3"/>
    <w:rsid w:val="00EC4FFB"/>
    <w:rsid w:val="00EC7D99"/>
    <w:rsid w:val="00ED3C77"/>
    <w:rsid w:val="00ED3FEF"/>
    <w:rsid w:val="00ED4685"/>
    <w:rsid w:val="00ED4BD8"/>
    <w:rsid w:val="00ED79B2"/>
    <w:rsid w:val="00EE2DA7"/>
    <w:rsid w:val="00EE3C66"/>
    <w:rsid w:val="00EE3F38"/>
    <w:rsid w:val="00EE4976"/>
    <w:rsid w:val="00EF1DF7"/>
    <w:rsid w:val="00EF3E02"/>
    <w:rsid w:val="00F0315C"/>
    <w:rsid w:val="00F05BE1"/>
    <w:rsid w:val="00F111E5"/>
    <w:rsid w:val="00F139AB"/>
    <w:rsid w:val="00F1637D"/>
    <w:rsid w:val="00F17766"/>
    <w:rsid w:val="00F20A47"/>
    <w:rsid w:val="00F20F4E"/>
    <w:rsid w:val="00F223EB"/>
    <w:rsid w:val="00F22946"/>
    <w:rsid w:val="00F23445"/>
    <w:rsid w:val="00F23829"/>
    <w:rsid w:val="00F25E25"/>
    <w:rsid w:val="00F273F7"/>
    <w:rsid w:val="00F34452"/>
    <w:rsid w:val="00F3585D"/>
    <w:rsid w:val="00F37521"/>
    <w:rsid w:val="00F50958"/>
    <w:rsid w:val="00F515C2"/>
    <w:rsid w:val="00F52C02"/>
    <w:rsid w:val="00F56DE1"/>
    <w:rsid w:val="00F575BF"/>
    <w:rsid w:val="00F5784B"/>
    <w:rsid w:val="00F611DC"/>
    <w:rsid w:val="00F621CD"/>
    <w:rsid w:val="00F62896"/>
    <w:rsid w:val="00F63AAA"/>
    <w:rsid w:val="00F65078"/>
    <w:rsid w:val="00F65D4F"/>
    <w:rsid w:val="00F66464"/>
    <w:rsid w:val="00F70803"/>
    <w:rsid w:val="00F70A56"/>
    <w:rsid w:val="00F71D34"/>
    <w:rsid w:val="00F7210C"/>
    <w:rsid w:val="00F72CBD"/>
    <w:rsid w:val="00F72F41"/>
    <w:rsid w:val="00F76594"/>
    <w:rsid w:val="00F8047B"/>
    <w:rsid w:val="00F82AF8"/>
    <w:rsid w:val="00F90CD5"/>
    <w:rsid w:val="00F925B2"/>
    <w:rsid w:val="00F932F9"/>
    <w:rsid w:val="00F95F50"/>
    <w:rsid w:val="00FA037D"/>
    <w:rsid w:val="00FA0411"/>
    <w:rsid w:val="00FA6DFA"/>
    <w:rsid w:val="00FA726C"/>
    <w:rsid w:val="00FA7E52"/>
    <w:rsid w:val="00FB0D6F"/>
    <w:rsid w:val="00FB0E44"/>
    <w:rsid w:val="00FB2968"/>
    <w:rsid w:val="00FB2B2E"/>
    <w:rsid w:val="00FB39E6"/>
    <w:rsid w:val="00FB4917"/>
    <w:rsid w:val="00FB510A"/>
    <w:rsid w:val="00FB5BBA"/>
    <w:rsid w:val="00FB5C72"/>
    <w:rsid w:val="00FB7F2B"/>
    <w:rsid w:val="00FC513B"/>
    <w:rsid w:val="00FD633E"/>
    <w:rsid w:val="00FD6F14"/>
    <w:rsid w:val="00FE4151"/>
    <w:rsid w:val="00FE4251"/>
    <w:rsid w:val="00FE5091"/>
    <w:rsid w:val="00FE5FF5"/>
    <w:rsid w:val="00FF01C7"/>
    <w:rsid w:val="00FF0520"/>
    <w:rsid w:val="00FF06CC"/>
    <w:rsid w:val="00FF19E7"/>
    <w:rsid w:val="00FF2B3F"/>
    <w:rsid w:val="00FF3E93"/>
    <w:rsid w:val="00FF4225"/>
    <w:rsid w:val="00FF55E7"/>
    <w:rsid w:val="00FF6842"/>
    <w:rsid w:val="00FF7731"/>
    <w:rsid w:val="010CBFC3"/>
    <w:rsid w:val="0191BEFA"/>
    <w:rsid w:val="01B75FB3"/>
    <w:rsid w:val="01F13EDD"/>
    <w:rsid w:val="02322B1C"/>
    <w:rsid w:val="0247FAC9"/>
    <w:rsid w:val="051BE517"/>
    <w:rsid w:val="0995BA02"/>
    <w:rsid w:val="09A874F6"/>
    <w:rsid w:val="0A8A983C"/>
    <w:rsid w:val="0AB818B9"/>
    <w:rsid w:val="0B4747FE"/>
    <w:rsid w:val="0B67BFD3"/>
    <w:rsid w:val="0BDAAE6A"/>
    <w:rsid w:val="0CFAE481"/>
    <w:rsid w:val="0DAE133F"/>
    <w:rsid w:val="0E2DA76F"/>
    <w:rsid w:val="0E332C80"/>
    <w:rsid w:val="0E505D1C"/>
    <w:rsid w:val="0E808454"/>
    <w:rsid w:val="1124B92E"/>
    <w:rsid w:val="12E0FD8B"/>
    <w:rsid w:val="13386FD6"/>
    <w:rsid w:val="137C1B61"/>
    <w:rsid w:val="139AFB39"/>
    <w:rsid w:val="13AB0E56"/>
    <w:rsid w:val="14819A2D"/>
    <w:rsid w:val="148EA093"/>
    <w:rsid w:val="15EB77AE"/>
    <w:rsid w:val="15EC8D79"/>
    <w:rsid w:val="16833AEA"/>
    <w:rsid w:val="16B6D183"/>
    <w:rsid w:val="18989E57"/>
    <w:rsid w:val="1B48C8DE"/>
    <w:rsid w:val="1BACA6BB"/>
    <w:rsid w:val="1C2AD919"/>
    <w:rsid w:val="1C72B9CD"/>
    <w:rsid w:val="1CEB2D3A"/>
    <w:rsid w:val="1DF6C47C"/>
    <w:rsid w:val="1E899D41"/>
    <w:rsid w:val="2174FB0A"/>
    <w:rsid w:val="21E40371"/>
    <w:rsid w:val="222C1534"/>
    <w:rsid w:val="2366DCDB"/>
    <w:rsid w:val="252413DD"/>
    <w:rsid w:val="255D9782"/>
    <w:rsid w:val="25EF03E2"/>
    <w:rsid w:val="2600908E"/>
    <w:rsid w:val="266E4100"/>
    <w:rsid w:val="272A0B28"/>
    <w:rsid w:val="28A10B95"/>
    <w:rsid w:val="28F4FB0E"/>
    <w:rsid w:val="2B173D59"/>
    <w:rsid w:val="2B923032"/>
    <w:rsid w:val="2BB16B3B"/>
    <w:rsid w:val="2C61B428"/>
    <w:rsid w:val="2CC5DEA8"/>
    <w:rsid w:val="2DA8E53F"/>
    <w:rsid w:val="2DD2F451"/>
    <w:rsid w:val="2F76229E"/>
    <w:rsid w:val="3114C54D"/>
    <w:rsid w:val="313B7E3F"/>
    <w:rsid w:val="3390B5BF"/>
    <w:rsid w:val="3483D57D"/>
    <w:rsid w:val="34FA0FA9"/>
    <w:rsid w:val="361A92DF"/>
    <w:rsid w:val="3634AABC"/>
    <w:rsid w:val="3689A869"/>
    <w:rsid w:val="36A534C2"/>
    <w:rsid w:val="37D07B1D"/>
    <w:rsid w:val="39361892"/>
    <w:rsid w:val="396B83AC"/>
    <w:rsid w:val="396C4B7E"/>
    <w:rsid w:val="3B128E0A"/>
    <w:rsid w:val="3B1CFE81"/>
    <w:rsid w:val="3C3F42B0"/>
    <w:rsid w:val="3CA2F021"/>
    <w:rsid w:val="3D72B7AC"/>
    <w:rsid w:val="3DC0565C"/>
    <w:rsid w:val="3F3A1191"/>
    <w:rsid w:val="3FF8BCB6"/>
    <w:rsid w:val="413B7E71"/>
    <w:rsid w:val="41EB90F0"/>
    <w:rsid w:val="44B0D7D4"/>
    <w:rsid w:val="458ED285"/>
    <w:rsid w:val="45DE4E21"/>
    <w:rsid w:val="45E4F599"/>
    <w:rsid w:val="47C675AA"/>
    <w:rsid w:val="4A26B566"/>
    <w:rsid w:val="4A35A7BC"/>
    <w:rsid w:val="4A62B845"/>
    <w:rsid w:val="4A70EEAC"/>
    <w:rsid w:val="4A894C17"/>
    <w:rsid w:val="4B60BE89"/>
    <w:rsid w:val="4C0235DA"/>
    <w:rsid w:val="4C201427"/>
    <w:rsid w:val="4DAF636A"/>
    <w:rsid w:val="4E88E081"/>
    <w:rsid w:val="4EFD54B4"/>
    <w:rsid w:val="4FAE9B9B"/>
    <w:rsid w:val="50850B74"/>
    <w:rsid w:val="51EA5B34"/>
    <w:rsid w:val="525598AC"/>
    <w:rsid w:val="52987E38"/>
    <w:rsid w:val="5367A22D"/>
    <w:rsid w:val="53895389"/>
    <w:rsid w:val="53A8E161"/>
    <w:rsid w:val="54AE2057"/>
    <w:rsid w:val="54CC031D"/>
    <w:rsid w:val="55105CCC"/>
    <w:rsid w:val="590FC3D7"/>
    <w:rsid w:val="5A324E74"/>
    <w:rsid w:val="5B88F4E6"/>
    <w:rsid w:val="5BFFB376"/>
    <w:rsid w:val="5EC64C15"/>
    <w:rsid w:val="5FEDD0B3"/>
    <w:rsid w:val="607A5F2D"/>
    <w:rsid w:val="60DB546C"/>
    <w:rsid w:val="62DB2AC0"/>
    <w:rsid w:val="63C5F0C4"/>
    <w:rsid w:val="63D16961"/>
    <w:rsid w:val="65144679"/>
    <w:rsid w:val="65B13FA5"/>
    <w:rsid w:val="65BF2E58"/>
    <w:rsid w:val="66D472E7"/>
    <w:rsid w:val="66E34B09"/>
    <w:rsid w:val="675E4B5E"/>
    <w:rsid w:val="6A1C3832"/>
    <w:rsid w:val="6B7D838D"/>
    <w:rsid w:val="6BCC82B2"/>
    <w:rsid w:val="6C8237AE"/>
    <w:rsid w:val="6E3C1272"/>
    <w:rsid w:val="6E3EE5AF"/>
    <w:rsid w:val="6E5818D1"/>
    <w:rsid w:val="6F687F16"/>
    <w:rsid w:val="70F44441"/>
    <w:rsid w:val="7258036C"/>
    <w:rsid w:val="72A4B8BD"/>
    <w:rsid w:val="73CCD7C0"/>
    <w:rsid w:val="73FC2530"/>
    <w:rsid w:val="744F1C6E"/>
    <w:rsid w:val="7650EED5"/>
    <w:rsid w:val="77837608"/>
    <w:rsid w:val="779D4F00"/>
    <w:rsid w:val="77B1F3C8"/>
    <w:rsid w:val="7A413F1A"/>
    <w:rsid w:val="7A975D80"/>
    <w:rsid w:val="7ADC7E72"/>
    <w:rsid w:val="7B3CED56"/>
    <w:rsid w:val="7B75C39E"/>
    <w:rsid w:val="7BD48A10"/>
    <w:rsid w:val="7CD7028F"/>
    <w:rsid w:val="7EAA8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EA85"/>
  <w15:chartTrackingRefBased/>
  <w15:docId w15:val="{05A3BCD2-343A-4BDF-8B23-CC82022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E5"/>
    <w:pPr>
      <w:overflowPunct w:val="0"/>
      <w:autoSpaceDE w:val="0"/>
      <w:autoSpaceDN w:val="0"/>
      <w:adjustRightInd w:val="0"/>
      <w:textAlignment w:val="baseline"/>
    </w:pPr>
    <w:rPr>
      <w:rFonts w:ascii="Times New Roman" w:eastAsia="Times New Roman" w:hAnsi="Times New Roman"/>
      <w:lang w:val="es-ES" w:eastAsia="es-ES"/>
    </w:rPr>
  </w:style>
  <w:style w:type="paragraph" w:styleId="Ttulo4">
    <w:name w:val="heading 4"/>
    <w:basedOn w:val="Normal"/>
    <w:next w:val="Normal"/>
    <w:link w:val="Ttulo4Car"/>
    <w:qFormat/>
    <w:rsid w:val="00CD73E5"/>
    <w:pPr>
      <w:keepNext/>
      <w:spacing w:line="312" w:lineRule="auto"/>
      <w:ind w:firstLine="2835"/>
      <w:jc w:val="both"/>
      <w:outlineLvl w:val="3"/>
    </w:pPr>
    <w:rPr>
      <w:rFonts w:ascii="Perpetua" w:hAnsi="Perpetu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D73E5"/>
    <w:rPr>
      <w:rFonts w:ascii="Perpetua" w:eastAsia="Times New Roman" w:hAnsi="Perpetua" w:cs="Times New Roman"/>
      <w:sz w:val="28"/>
      <w:szCs w:val="20"/>
      <w:lang w:eastAsia="es-ES"/>
    </w:rPr>
  </w:style>
  <w:style w:type="paragraph" w:styleId="Piedepgina">
    <w:name w:val="footer"/>
    <w:basedOn w:val="Normal"/>
    <w:link w:val="PiedepginaCar"/>
    <w:uiPriority w:val="99"/>
    <w:rsid w:val="00CD73E5"/>
    <w:pPr>
      <w:tabs>
        <w:tab w:val="center" w:pos="4419"/>
        <w:tab w:val="right" w:pos="8838"/>
      </w:tabs>
    </w:pPr>
  </w:style>
  <w:style w:type="character" w:customStyle="1" w:styleId="PiedepginaCar">
    <w:name w:val="Pie de página Car"/>
    <w:link w:val="Piedepgina"/>
    <w:uiPriority w:val="99"/>
    <w:rsid w:val="00CD73E5"/>
    <w:rPr>
      <w:rFonts w:ascii="Times New Roman" w:eastAsia="Times New Roman" w:hAnsi="Times New Roman" w:cs="Times New Roman"/>
      <w:sz w:val="20"/>
      <w:szCs w:val="20"/>
      <w:lang w:val="es-ES" w:eastAsia="es-ES"/>
    </w:rPr>
  </w:style>
  <w:style w:type="character" w:styleId="Nmerodepgina">
    <w:name w:val="page number"/>
    <w:rsid w:val="00CD73E5"/>
    <w:rPr>
      <w:rFonts w:cs="Times New Roman"/>
    </w:rPr>
  </w:style>
  <w:style w:type="paragraph" w:styleId="Textonotapie">
    <w:name w:val="footnote text"/>
    <w:aliases w:val="Footnote Text Char Char Char Char Char,Footnote Text Char Char Char Char,Footnote reference,FA Fu,Footnote Text Char Char Char,Footnote Text,texto de nota al pie,Footnote Text Char,Footnote referenc,texto de nota al pi,f,Footnote number"/>
    <w:basedOn w:val="Normal"/>
    <w:link w:val="TextonotapieCar1"/>
    <w:uiPriority w:val="99"/>
    <w:qFormat/>
    <w:rsid w:val="00CD73E5"/>
  </w:style>
  <w:style w:type="character" w:customStyle="1" w:styleId="TextonotapieCar">
    <w:name w:val="Texto nota pie Car"/>
    <w:aliases w:val="Footnote Text Char Char Char Char Char Car1,Footnote Text Char Char Char Char Car1,Footnote reference Car1,FA Fu Car1,Footnote Text Char Char Char Car1,Footnote Text Car1,texto de nota al pie Car1,Footnote Text Char Car1,f Car1"/>
    <w:uiPriority w:val="99"/>
    <w:rsid w:val="00CD73E5"/>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BVI fnr,Footnote symbol,Footnote,Ref. de nota al pie2,Nota de pie,Ref,de nota al pie,Pie de pagina,Ref. ...,Ref1,FC,Ref. de nota al pie 2,Footnotes refss,Nota a pi"/>
    <w:link w:val="4GChar"/>
    <w:uiPriority w:val="99"/>
    <w:qFormat/>
    <w:rsid w:val="00CD73E5"/>
    <w:rPr>
      <w:rFonts w:cs="Times New Roman"/>
      <w:vertAlign w:val="superscript"/>
    </w:rPr>
  </w:style>
  <w:style w:type="paragraph" w:customStyle="1" w:styleId="Textoindependiente21">
    <w:name w:val="Texto independiente 21"/>
    <w:basedOn w:val="Normal"/>
    <w:rsid w:val="00CD73E5"/>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Footnote Text Char Char Char Char Char Car,Footnote Text Char Char Char Char Car,Footnote reference Car,FA Fu Car,Footnote Text Char Char Char Car,Footnote Text Car,texto de nota al pie Car,Footnote Text Char Car,f Car"/>
    <w:link w:val="Textonotapie"/>
    <w:uiPriority w:val="99"/>
    <w:qFormat/>
    <w:locked/>
    <w:rsid w:val="00CD73E5"/>
    <w:rPr>
      <w:rFonts w:ascii="Times New Roman" w:eastAsia="Times New Roman" w:hAnsi="Times New Roman" w:cs="Times New Roman"/>
      <w:sz w:val="20"/>
      <w:szCs w:val="20"/>
      <w:lang w:val="es-ES" w:eastAsia="es-ES"/>
    </w:rPr>
  </w:style>
  <w:style w:type="paragraph" w:customStyle="1" w:styleId="Sinespaciado1">
    <w:name w:val="Sin espaciado1"/>
    <w:rsid w:val="00CD73E5"/>
    <w:rPr>
      <w:rFonts w:ascii="Times New Roman" w:eastAsia="Times New Roman" w:hAnsi="Times New Roman"/>
      <w:sz w:val="24"/>
      <w:szCs w:val="24"/>
      <w:lang w:val="es-ES" w:eastAsia="es-ES"/>
    </w:rPr>
  </w:style>
  <w:style w:type="paragraph" w:customStyle="1" w:styleId="Sinespaciado2">
    <w:name w:val="Sin espaciado2"/>
    <w:rsid w:val="00CD73E5"/>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E0E95"/>
    <w:rPr>
      <w:rFonts w:ascii="Segoe UI" w:hAnsi="Segoe UI" w:cs="Segoe UI"/>
      <w:sz w:val="18"/>
      <w:szCs w:val="18"/>
    </w:rPr>
  </w:style>
  <w:style w:type="character" w:customStyle="1" w:styleId="TextodegloboCar">
    <w:name w:val="Texto de globo Car"/>
    <w:link w:val="Textodeglobo"/>
    <w:uiPriority w:val="99"/>
    <w:semiHidden/>
    <w:rsid w:val="002E0E95"/>
    <w:rPr>
      <w:rFonts w:ascii="Segoe UI" w:eastAsia="Times New Roman" w:hAnsi="Segoe UI" w:cs="Segoe UI"/>
      <w:sz w:val="18"/>
      <w:szCs w:val="18"/>
      <w:lang w:val="es-ES" w:eastAsia="es-ES"/>
    </w:rPr>
  </w:style>
  <w:style w:type="paragraph" w:customStyle="1" w:styleId="Sinespaciado3">
    <w:name w:val="Sin espaciado3"/>
    <w:rsid w:val="001A6E73"/>
    <w:rPr>
      <w:rFonts w:ascii="Times New Roman" w:eastAsia="Times New Roman" w:hAnsi="Times New Roman"/>
      <w:sz w:val="24"/>
      <w:szCs w:val="24"/>
      <w:lang w:val="es-ES" w:eastAsia="es-ES"/>
    </w:rPr>
  </w:style>
  <w:style w:type="paragraph" w:customStyle="1" w:styleId="Sinespaciado4">
    <w:name w:val="Sin espaciado4"/>
    <w:rsid w:val="00042088"/>
    <w:rPr>
      <w:rFonts w:ascii="Times New Roman" w:eastAsia="Times New Roman" w:hAnsi="Times New Roman"/>
      <w:sz w:val="24"/>
      <w:szCs w:val="24"/>
      <w:lang w:val="es-ES" w:eastAsia="es-ES"/>
    </w:rPr>
  </w:style>
  <w:style w:type="paragraph" w:customStyle="1" w:styleId="Textoindependiente22">
    <w:name w:val="Texto independiente 22"/>
    <w:basedOn w:val="Normal"/>
    <w:rsid w:val="00DF5E59"/>
    <w:pPr>
      <w:overflowPunct/>
      <w:autoSpaceDE/>
      <w:autoSpaceDN/>
      <w:adjustRightInd/>
      <w:spacing w:line="336" w:lineRule="auto"/>
      <w:ind w:firstLine="2835"/>
      <w:jc w:val="both"/>
      <w:textAlignment w:val="auto"/>
    </w:pPr>
    <w:rPr>
      <w:rFonts w:ascii="Verdana" w:hAnsi="Verdana"/>
      <w:sz w:val="24"/>
    </w:rPr>
  </w:style>
  <w:style w:type="paragraph" w:styleId="Textoindependiente2">
    <w:name w:val="Body Text 2"/>
    <w:basedOn w:val="Normal"/>
    <w:link w:val="Textoindependiente2Car"/>
    <w:rsid w:val="008762E3"/>
    <w:pPr>
      <w:spacing w:after="120" w:line="480" w:lineRule="auto"/>
    </w:pPr>
  </w:style>
  <w:style w:type="character" w:customStyle="1" w:styleId="Textoindependiente2Car">
    <w:name w:val="Texto independiente 2 Car"/>
    <w:link w:val="Textoindependiente2"/>
    <w:rsid w:val="008762E3"/>
    <w:rPr>
      <w:rFonts w:ascii="Times New Roman" w:eastAsia="Times New Roman" w:hAnsi="Times New Roman"/>
      <w:lang w:val="es-ES" w:eastAsia="es-ES"/>
    </w:rPr>
  </w:style>
  <w:style w:type="paragraph" w:styleId="Sangradetextonormal">
    <w:name w:val="Body Text Indent"/>
    <w:basedOn w:val="Normal"/>
    <w:link w:val="SangradetextonormalCar"/>
    <w:rsid w:val="008762E3"/>
    <w:pPr>
      <w:spacing w:after="120"/>
      <w:ind w:left="283"/>
    </w:pPr>
  </w:style>
  <w:style w:type="character" w:customStyle="1" w:styleId="SangradetextonormalCar">
    <w:name w:val="Sangría de texto normal Car"/>
    <w:link w:val="Sangradetextonormal"/>
    <w:rsid w:val="008762E3"/>
    <w:rPr>
      <w:rFonts w:ascii="Times New Roman" w:eastAsia="Times New Roman" w:hAnsi="Times New Roman"/>
      <w:lang w:val="es-ES" w:eastAsia="es-ES"/>
    </w:rPr>
  </w:style>
  <w:style w:type="paragraph" w:customStyle="1" w:styleId="Sinespaciado5">
    <w:name w:val="Sin espaciado5"/>
    <w:rsid w:val="008762E3"/>
    <w:rPr>
      <w:rFonts w:ascii="Times New Roman" w:eastAsia="Times New Roman" w:hAnsi="Times New Roman"/>
      <w:sz w:val="24"/>
      <w:szCs w:val="24"/>
      <w:lang w:val="es-ES" w:eastAsia="es-ES"/>
    </w:rPr>
  </w:style>
  <w:style w:type="paragraph" w:customStyle="1" w:styleId="BodyText25">
    <w:name w:val="Body Text 25"/>
    <w:basedOn w:val="Normal"/>
    <w:rsid w:val="008762E3"/>
    <w:pPr>
      <w:overflowPunct/>
      <w:autoSpaceDE/>
      <w:autoSpaceDN/>
      <w:adjustRightInd/>
      <w:ind w:right="51"/>
      <w:jc w:val="both"/>
      <w:textAlignment w:val="auto"/>
    </w:pPr>
    <w:rPr>
      <w:rFonts w:ascii="Arial" w:hAnsi="Arial"/>
      <w:sz w:val="28"/>
    </w:rPr>
  </w:style>
  <w:style w:type="paragraph" w:styleId="Encabezado">
    <w:name w:val="header"/>
    <w:basedOn w:val="Normal"/>
    <w:link w:val="EncabezadoCar"/>
    <w:uiPriority w:val="99"/>
    <w:unhideWhenUsed/>
    <w:rsid w:val="0075284A"/>
    <w:pPr>
      <w:tabs>
        <w:tab w:val="center" w:pos="4419"/>
        <w:tab w:val="right" w:pos="8838"/>
      </w:tabs>
    </w:pPr>
  </w:style>
  <w:style w:type="character" w:customStyle="1" w:styleId="EncabezadoCar">
    <w:name w:val="Encabezado Car"/>
    <w:basedOn w:val="Fuentedeprrafopredeter"/>
    <w:link w:val="Encabezado"/>
    <w:uiPriority w:val="99"/>
    <w:rsid w:val="0075284A"/>
    <w:rPr>
      <w:rFonts w:ascii="Times New Roman" w:eastAsia="Times New Roman" w:hAnsi="Times New Roman"/>
      <w:lang w:val="es-ES" w:eastAsia="es-E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01030"/>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54315"/>
    <w:pPr>
      <w:overflowPunct/>
      <w:autoSpaceDE/>
      <w:autoSpaceDN/>
      <w:adjustRightInd/>
      <w:jc w:val="both"/>
      <w:textAlignment w:val="auto"/>
    </w:pPr>
    <w:rPr>
      <w:rFonts w:ascii="Calibri" w:eastAsia="Calibri" w:hAnsi="Calibri"/>
      <w:vertAlign w:val="superscript"/>
      <w:lang w:val="es-CO" w:eastAsia="es-CO"/>
    </w:rPr>
  </w:style>
  <w:style w:type="character" w:styleId="Hipervnculo">
    <w:name w:val="Hyperlink"/>
    <w:basedOn w:val="Fuentedeprrafopredeter"/>
    <w:uiPriority w:val="99"/>
    <w:semiHidden/>
    <w:unhideWhenUsed/>
    <w:rsid w:val="0010491D"/>
    <w:rPr>
      <w:color w:val="0000FF"/>
      <w:u w:val="single"/>
    </w:rPr>
  </w:style>
  <w:style w:type="paragraph" w:styleId="Textoindependiente">
    <w:name w:val="Body Text"/>
    <w:basedOn w:val="Normal"/>
    <w:link w:val="TextoindependienteCar"/>
    <w:uiPriority w:val="99"/>
    <w:semiHidden/>
    <w:unhideWhenUsed/>
    <w:rsid w:val="00B12A48"/>
    <w:pPr>
      <w:spacing w:after="120"/>
    </w:pPr>
  </w:style>
  <w:style w:type="character" w:customStyle="1" w:styleId="TextoindependienteCar">
    <w:name w:val="Texto independiente Car"/>
    <w:basedOn w:val="Fuentedeprrafopredeter"/>
    <w:link w:val="Textoindependiente"/>
    <w:uiPriority w:val="99"/>
    <w:semiHidden/>
    <w:rsid w:val="00B12A48"/>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784">
      <w:bodyDiv w:val="1"/>
      <w:marLeft w:val="0"/>
      <w:marRight w:val="0"/>
      <w:marTop w:val="0"/>
      <w:marBottom w:val="0"/>
      <w:divBdr>
        <w:top w:val="none" w:sz="0" w:space="0" w:color="auto"/>
        <w:left w:val="none" w:sz="0" w:space="0" w:color="auto"/>
        <w:bottom w:val="none" w:sz="0" w:space="0" w:color="auto"/>
        <w:right w:val="none" w:sz="0" w:space="0" w:color="auto"/>
      </w:divBdr>
    </w:div>
    <w:div w:id="303580956">
      <w:bodyDiv w:val="1"/>
      <w:marLeft w:val="0"/>
      <w:marRight w:val="0"/>
      <w:marTop w:val="0"/>
      <w:marBottom w:val="0"/>
      <w:divBdr>
        <w:top w:val="none" w:sz="0" w:space="0" w:color="auto"/>
        <w:left w:val="none" w:sz="0" w:space="0" w:color="auto"/>
        <w:bottom w:val="none" w:sz="0" w:space="0" w:color="auto"/>
        <w:right w:val="none" w:sz="0" w:space="0" w:color="auto"/>
      </w:divBdr>
    </w:div>
    <w:div w:id="373847236">
      <w:bodyDiv w:val="1"/>
      <w:marLeft w:val="0"/>
      <w:marRight w:val="0"/>
      <w:marTop w:val="0"/>
      <w:marBottom w:val="0"/>
      <w:divBdr>
        <w:top w:val="none" w:sz="0" w:space="0" w:color="auto"/>
        <w:left w:val="none" w:sz="0" w:space="0" w:color="auto"/>
        <w:bottom w:val="none" w:sz="0" w:space="0" w:color="auto"/>
        <w:right w:val="none" w:sz="0" w:space="0" w:color="auto"/>
      </w:divBdr>
    </w:div>
    <w:div w:id="377441851">
      <w:bodyDiv w:val="1"/>
      <w:marLeft w:val="0"/>
      <w:marRight w:val="0"/>
      <w:marTop w:val="0"/>
      <w:marBottom w:val="0"/>
      <w:divBdr>
        <w:top w:val="none" w:sz="0" w:space="0" w:color="auto"/>
        <w:left w:val="none" w:sz="0" w:space="0" w:color="auto"/>
        <w:bottom w:val="none" w:sz="0" w:space="0" w:color="auto"/>
        <w:right w:val="none" w:sz="0" w:space="0" w:color="auto"/>
      </w:divBdr>
    </w:div>
    <w:div w:id="613244236">
      <w:bodyDiv w:val="1"/>
      <w:marLeft w:val="0"/>
      <w:marRight w:val="0"/>
      <w:marTop w:val="0"/>
      <w:marBottom w:val="0"/>
      <w:divBdr>
        <w:top w:val="none" w:sz="0" w:space="0" w:color="auto"/>
        <w:left w:val="none" w:sz="0" w:space="0" w:color="auto"/>
        <w:bottom w:val="none" w:sz="0" w:space="0" w:color="auto"/>
        <w:right w:val="none" w:sz="0" w:space="0" w:color="auto"/>
      </w:divBdr>
    </w:div>
    <w:div w:id="934552591">
      <w:bodyDiv w:val="1"/>
      <w:marLeft w:val="0"/>
      <w:marRight w:val="0"/>
      <w:marTop w:val="0"/>
      <w:marBottom w:val="0"/>
      <w:divBdr>
        <w:top w:val="none" w:sz="0" w:space="0" w:color="auto"/>
        <w:left w:val="none" w:sz="0" w:space="0" w:color="auto"/>
        <w:bottom w:val="none" w:sz="0" w:space="0" w:color="auto"/>
        <w:right w:val="none" w:sz="0" w:space="0" w:color="auto"/>
      </w:divBdr>
    </w:div>
    <w:div w:id="944650303">
      <w:bodyDiv w:val="1"/>
      <w:marLeft w:val="0"/>
      <w:marRight w:val="0"/>
      <w:marTop w:val="0"/>
      <w:marBottom w:val="0"/>
      <w:divBdr>
        <w:top w:val="none" w:sz="0" w:space="0" w:color="auto"/>
        <w:left w:val="none" w:sz="0" w:space="0" w:color="auto"/>
        <w:bottom w:val="none" w:sz="0" w:space="0" w:color="auto"/>
        <w:right w:val="none" w:sz="0" w:space="0" w:color="auto"/>
      </w:divBdr>
    </w:div>
    <w:div w:id="1038318901">
      <w:bodyDiv w:val="1"/>
      <w:marLeft w:val="0"/>
      <w:marRight w:val="0"/>
      <w:marTop w:val="0"/>
      <w:marBottom w:val="0"/>
      <w:divBdr>
        <w:top w:val="none" w:sz="0" w:space="0" w:color="auto"/>
        <w:left w:val="none" w:sz="0" w:space="0" w:color="auto"/>
        <w:bottom w:val="none" w:sz="0" w:space="0" w:color="auto"/>
        <w:right w:val="none" w:sz="0" w:space="0" w:color="auto"/>
      </w:divBdr>
    </w:div>
    <w:div w:id="1041787714">
      <w:bodyDiv w:val="1"/>
      <w:marLeft w:val="0"/>
      <w:marRight w:val="0"/>
      <w:marTop w:val="0"/>
      <w:marBottom w:val="0"/>
      <w:divBdr>
        <w:top w:val="none" w:sz="0" w:space="0" w:color="auto"/>
        <w:left w:val="none" w:sz="0" w:space="0" w:color="auto"/>
        <w:bottom w:val="none" w:sz="0" w:space="0" w:color="auto"/>
        <w:right w:val="none" w:sz="0" w:space="0" w:color="auto"/>
      </w:divBdr>
    </w:div>
    <w:div w:id="1206454873">
      <w:bodyDiv w:val="1"/>
      <w:marLeft w:val="0"/>
      <w:marRight w:val="0"/>
      <w:marTop w:val="0"/>
      <w:marBottom w:val="0"/>
      <w:divBdr>
        <w:top w:val="none" w:sz="0" w:space="0" w:color="auto"/>
        <w:left w:val="none" w:sz="0" w:space="0" w:color="auto"/>
        <w:bottom w:val="none" w:sz="0" w:space="0" w:color="auto"/>
        <w:right w:val="none" w:sz="0" w:space="0" w:color="auto"/>
      </w:divBdr>
    </w:div>
    <w:div w:id="1276400235">
      <w:bodyDiv w:val="1"/>
      <w:marLeft w:val="0"/>
      <w:marRight w:val="0"/>
      <w:marTop w:val="0"/>
      <w:marBottom w:val="0"/>
      <w:divBdr>
        <w:top w:val="none" w:sz="0" w:space="0" w:color="auto"/>
        <w:left w:val="none" w:sz="0" w:space="0" w:color="auto"/>
        <w:bottom w:val="none" w:sz="0" w:space="0" w:color="auto"/>
        <w:right w:val="none" w:sz="0" w:space="0" w:color="auto"/>
      </w:divBdr>
    </w:div>
    <w:div w:id="1572500343">
      <w:bodyDiv w:val="1"/>
      <w:marLeft w:val="0"/>
      <w:marRight w:val="0"/>
      <w:marTop w:val="0"/>
      <w:marBottom w:val="0"/>
      <w:divBdr>
        <w:top w:val="none" w:sz="0" w:space="0" w:color="auto"/>
        <w:left w:val="none" w:sz="0" w:space="0" w:color="auto"/>
        <w:bottom w:val="none" w:sz="0" w:space="0" w:color="auto"/>
        <w:right w:val="none" w:sz="0" w:space="0" w:color="auto"/>
      </w:divBdr>
    </w:div>
    <w:div w:id="1693262177">
      <w:bodyDiv w:val="1"/>
      <w:marLeft w:val="0"/>
      <w:marRight w:val="0"/>
      <w:marTop w:val="0"/>
      <w:marBottom w:val="0"/>
      <w:divBdr>
        <w:top w:val="none" w:sz="0" w:space="0" w:color="auto"/>
        <w:left w:val="none" w:sz="0" w:space="0" w:color="auto"/>
        <w:bottom w:val="none" w:sz="0" w:space="0" w:color="auto"/>
        <w:right w:val="none" w:sz="0" w:space="0" w:color="auto"/>
      </w:divBdr>
    </w:div>
    <w:div w:id="1730573611">
      <w:bodyDiv w:val="1"/>
      <w:marLeft w:val="0"/>
      <w:marRight w:val="0"/>
      <w:marTop w:val="0"/>
      <w:marBottom w:val="0"/>
      <w:divBdr>
        <w:top w:val="none" w:sz="0" w:space="0" w:color="auto"/>
        <w:left w:val="none" w:sz="0" w:space="0" w:color="auto"/>
        <w:bottom w:val="none" w:sz="0" w:space="0" w:color="auto"/>
        <w:right w:val="none" w:sz="0" w:space="0" w:color="auto"/>
      </w:divBdr>
    </w:div>
    <w:div w:id="1878350596">
      <w:bodyDiv w:val="1"/>
      <w:marLeft w:val="0"/>
      <w:marRight w:val="0"/>
      <w:marTop w:val="0"/>
      <w:marBottom w:val="0"/>
      <w:divBdr>
        <w:top w:val="none" w:sz="0" w:space="0" w:color="auto"/>
        <w:left w:val="none" w:sz="0" w:space="0" w:color="auto"/>
        <w:bottom w:val="none" w:sz="0" w:space="0" w:color="auto"/>
        <w:right w:val="none" w:sz="0" w:space="0" w:color="auto"/>
      </w:divBdr>
    </w:div>
    <w:div w:id="19354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1ee1f6eaaa5c448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4CD4-50FC-4DB7-81EF-DB42AFBE0D9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7EDCE4D5-EF7A-4D3E-87C4-C85ABE042F96}">
  <ds:schemaRefs>
    <ds:schemaRef ds:uri="http://schemas.microsoft.com/sharepoint/v3/contenttype/forms"/>
  </ds:schemaRefs>
</ds:datastoreItem>
</file>

<file path=customXml/itemProps3.xml><?xml version="1.0" encoding="utf-8"?>
<ds:datastoreItem xmlns:ds="http://schemas.openxmlformats.org/officeDocument/2006/customXml" ds:itemID="{C9873C13-481A-4303-A4D7-A7A6A055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B1AF6-71C7-4B22-A18C-5534A1EC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2084</Words>
  <Characters>11884</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Barrera Hurtado</dc:creator>
  <cp:keywords/>
  <dc:description/>
  <cp:lastModifiedBy>samsung</cp:lastModifiedBy>
  <cp:revision>15</cp:revision>
  <cp:lastPrinted>2019-08-13T19:36:00Z</cp:lastPrinted>
  <dcterms:created xsi:type="dcterms:W3CDTF">2023-07-26T20:17:00Z</dcterms:created>
  <dcterms:modified xsi:type="dcterms:W3CDTF">2023-09-11T17:16:00Z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