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3535C" w14:textId="24F845DE" w:rsidR="00192BE7" w:rsidRPr="00192BE7" w:rsidRDefault="00192BE7" w:rsidP="00192BE7">
      <w:pPr>
        <w:tabs>
          <w:tab w:val="left" w:pos="2175"/>
          <w:tab w:val="center" w:pos="4420"/>
          <w:tab w:val="right" w:pos="8838"/>
        </w:tabs>
        <w:overflowPunct w:val="0"/>
        <w:autoSpaceDE w:val="0"/>
        <w:autoSpaceDN w:val="0"/>
        <w:adjustRightInd w:val="0"/>
        <w:jc w:val="both"/>
        <w:textAlignment w:val="baseline"/>
        <w:rPr>
          <w:rFonts w:ascii="Arial" w:hAnsi="Arial" w:cs="Arial"/>
          <w:b/>
          <w:noProof/>
          <w:sz w:val="20"/>
        </w:rPr>
      </w:pPr>
      <w:bookmarkStart w:id="0" w:name="_Hlk116973114"/>
      <w:bookmarkStart w:id="1" w:name="_GoBack"/>
      <w:bookmarkEnd w:id="1"/>
      <w:r w:rsidRPr="00192BE7">
        <w:rPr>
          <w:rFonts w:ascii="Arial" w:hAnsi="Arial" w:cs="Arial"/>
          <w:b/>
          <w:noProof/>
          <w:sz w:val="20"/>
        </w:rPr>
        <w:t xml:space="preserve">DEBIDO PROCESO / </w:t>
      </w:r>
      <w:r w:rsidR="002C080B">
        <w:rPr>
          <w:rFonts w:ascii="Arial" w:hAnsi="Arial" w:cs="Arial"/>
          <w:b/>
          <w:noProof/>
          <w:sz w:val="20"/>
        </w:rPr>
        <w:t>TUTELA CONTRA DECISIÓN JUDICIAL</w:t>
      </w:r>
    </w:p>
    <w:p w14:paraId="0A547708" w14:textId="3B89F57E" w:rsidR="00192BE7" w:rsidRPr="00192BE7" w:rsidRDefault="00192BE7" w:rsidP="00192BE7">
      <w:pPr>
        <w:pStyle w:val="Encabezado"/>
        <w:tabs>
          <w:tab w:val="clear" w:pos="4419"/>
          <w:tab w:val="left" w:pos="2175"/>
          <w:tab w:val="center" w:pos="4420"/>
        </w:tabs>
        <w:jc w:val="both"/>
        <w:rPr>
          <w:rFonts w:ascii="Arial" w:hAnsi="Arial" w:cs="Arial"/>
          <w:noProof/>
          <w:sz w:val="20"/>
        </w:rPr>
      </w:pPr>
      <w:r w:rsidRPr="00192BE7">
        <w:rPr>
          <w:rFonts w:ascii="Arial" w:hAnsi="Arial" w:cs="Arial"/>
          <w:noProof/>
          <w:sz w:val="20"/>
        </w:rPr>
        <w:t>En este caso, el accionante invocó la tutela en procura de la protección de su derecho al debido proceso, presuntamente vulnerado por el juzgado encartado que profirió sentencia en un proceso de regulación de perjuicios, desconociendo las normas aplicables al caso.</w:t>
      </w:r>
    </w:p>
    <w:p w14:paraId="673AA8E5" w14:textId="506E3C3F" w:rsidR="00192BE7" w:rsidRDefault="00192BE7" w:rsidP="00192BE7">
      <w:pPr>
        <w:pStyle w:val="Encabezado"/>
        <w:tabs>
          <w:tab w:val="clear" w:pos="4419"/>
          <w:tab w:val="left" w:pos="2175"/>
          <w:tab w:val="center" w:pos="4420"/>
        </w:tabs>
        <w:jc w:val="both"/>
        <w:rPr>
          <w:rFonts w:ascii="Arial" w:hAnsi="Arial" w:cs="Arial"/>
          <w:noProof/>
          <w:sz w:val="20"/>
        </w:rPr>
      </w:pPr>
    </w:p>
    <w:p w14:paraId="0E3BC28E" w14:textId="77777777" w:rsidR="00192BE7" w:rsidRPr="00192BE7" w:rsidRDefault="00192BE7" w:rsidP="00192BE7">
      <w:pPr>
        <w:tabs>
          <w:tab w:val="left" w:pos="2175"/>
          <w:tab w:val="center" w:pos="4420"/>
          <w:tab w:val="right" w:pos="8838"/>
        </w:tabs>
        <w:overflowPunct w:val="0"/>
        <w:autoSpaceDE w:val="0"/>
        <w:autoSpaceDN w:val="0"/>
        <w:adjustRightInd w:val="0"/>
        <w:jc w:val="both"/>
        <w:textAlignment w:val="baseline"/>
        <w:rPr>
          <w:rFonts w:ascii="Arial" w:hAnsi="Arial" w:cs="Arial"/>
          <w:b/>
          <w:noProof/>
          <w:sz w:val="20"/>
        </w:rPr>
      </w:pPr>
      <w:r w:rsidRPr="00192BE7">
        <w:rPr>
          <w:rFonts w:ascii="Arial" w:hAnsi="Arial" w:cs="Arial"/>
          <w:b/>
          <w:noProof/>
          <w:sz w:val="20"/>
        </w:rPr>
        <w:t>DEBIDO PROCESO / REQUISITOS GENERALES Y ESPECÍFICOS DE PROCEDIBILIDAD</w:t>
      </w:r>
    </w:p>
    <w:p w14:paraId="300A1BAC" w14:textId="25A3883F" w:rsidR="00192BE7" w:rsidRDefault="00192BE7" w:rsidP="00192BE7">
      <w:pPr>
        <w:pStyle w:val="Encabezado"/>
        <w:tabs>
          <w:tab w:val="clear" w:pos="4419"/>
          <w:tab w:val="left" w:pos="2175"/>
          <w:tab w:val="center" w:pos="4420"/>
        </w:tabs>
        <w:jc w:val="both"/>
        <w:rPr>
          <w:rFonts w:ascii="Arial" w:hAnsi="Arial" w:cs="Arial"/>
          <w:noProof/>
          <w:sz w:val="20"/>
        </w:rPr>
      </w:pPr>
      <w:r w:rsidRPr="00192BE7">
        <w:rPr>
          <w:rFonts w:ascii="Arial" w:hAnsi="Arial" w:cs="Arial"/>
          <w:noProof/>
          <w:sz w:val="20"/>
        </w:rPr>
        <w:t>Reiteradamente se ha expuesto que a pesar de la inexequibilidad de las normas que en el Decreto 2591 de 1991 preveían la improcedencia de la acción de tutela contra providencias judiciales, tal mecanismo se abre paso en aquellos eventos en los que se incurra en una vía de hecho, o como se denominan hoy, criterios de procedibilidad de la acción de tutela contra decisiones de los jueces, en que solo cabe un amparo de esta naturaleza en la medida en que concurra alguna de las causales generales o específicas, delineadas por la Corte Constitucional en múltiples ocasiones</w:t>
      </w:r>
    </w:p>
    <w:p w14:paraId="057503B3" w14:textId="751BAA9D" w:rsidR="00192BE7" w:rsidRDefault="00192BE7" w:rsidP="00192BE7">
      <w:pPr>
        <w:pStyle w:val="Encabezado"/>
        <w:tabs>
          <w:tab w:val="clear" w:pos="4419"/>
          <w:tab w:val="left" w:pos="2175"/>
          <w:tab w:val="center" w:pos="4420"/>
        </w:tabs>
        <w:jc w:val="both"/>
        <w:rPr>
          <w:rFonts w:ascii="Arial" w:hAnsi="Arial" w:cs="Arial"/>
          <w:noProof/>
          <w:sz w:val="20"/>
        </w:rPr>
      </w:pPr>
    </w:p>
    <w:p w14:paraId="4CC91CE3" w14:textId="60CD225C" w:rsidR="002C080B" w:rsidRPr="00192BE7" w:rsidRDefault="002C080B" w:rsidP="002C080B">
      <w:pPr>
        <w:tabs>
          <w:tab w:val="left" w:pos="2175"/>
          <w:tab w:val="center" w:pos="4420"/>
          <w:tab w:val="right" w:pos="8838"/>
        </w:tabs>
        <w:overflowPunct w:val="0"/>
        <w:autoSpaceDE w:val="0"/>
        <w:autoSpaceDN w:val="0"/>
        <w:adjustRightInd w:val="0"/>
        <w:jc w:val="both"/>
        <w:textAlignment w:val="baseline"/>
        <w:rPr>
          <w:rFonts w:ascii="Arial" w:hAnsi="Arial" w:cs="Arial"/>
          <w:b/>
          <w:noProof/>
          <w:sz w:val="20"/>
        </w:rPr>
      </w:pPr>
      <w:r w:rsidRPr="00192BE7">
        <w:rPr>
          <w:rFonts w:ascii="Arial" w:hAnsi="Arial" w:cs="Arial"/>
          <w:b/>
          <w:noProof/>
          <w:sz w:val="20"/>
        </w:rPr>
        <w:t xml:space="preserve">DEBIDO PROCESO / </w:t>
      </w:r>
      <w:r w:rsidR="00596E51">
        <w:rPr>
          <w:rFonts w:ascii="Arial" w:hAnsi="Arial" w:cs="Arial"/>
          <w:b/>
          <w:noProof/>
          <w:sz w:val="20"/>
        </w:rPr>
        <w:t>DEFECTO SUSTANTIVO</w:t>
      </w:r>
    </w:p>
    <w:p w14:paraId="418C71DC" w14:textId="140151AD" w:rsidR="00192BE7" w:rsidRPr="00192BE7" w:rsidRDefault="00596E51" w:rsidP="00596E51">
      <w:pPr>
        <w:pStyle w:val="Encabezado"/>
        <w:tabs>
          <w:tab w:val="clear" w:pos="4419"/>
          <w:tab w:val="left" w:pos="2175"/>
          <w:tab w:val="center" w:pos="4420"/>
        </w:tabs>
        <w:jc w:val="both"/>
        <w:rPr>
          <w:rFonts w:ascii="Arial" w:hAnsi="Arial" w:cs="Arial"/>
          <w:noProof/>
          <w:sz w:val="20"/>
        </w:rPr>
      </w:pPr>
      <w:r w:rsidRPr="00596E51">
        <w:rPr>
          <w:rFonts w:ascii="Arial" w:hAnsi="Arial" w:cs="Arial"/>
          <w:noProof/>
          <w:sz w:val="20"/>
        </w:rPr>
        <w:t>Aunque en la demanda se alude a un defecto procedimental, la Sala entiende que lo que realmente alega el accionante, es un defecto sustantivo por la indebida interpretación del artículo 283 del CGP</w:t>
      </w:r>
      <w:r>
        <w:rPr>
          <w:rFonts w:ascii="Arial" w:hAnsi="Arial" w:cs="Arial"/>
          <w:noProof/>
          <w:sz w:val="20"/>
        </w:rPr>
        <w:t>…</w:t>
      </w:r>
      <w:r w:rsidRPr="00596E51">
        <w:rPr>
          <w:rFonts w:ascii="Arial" w:hAnsi="Arial" w:cs="Arial"/>
          <w:noProof/>
          <w:sz w:val="20"/>
        </w:rPr>
        <w:t>; y también un defecto fáctico, porque hubo condena por daño moral, sin fundamento probatorio. El primero ocurre cuando “(…) el juez “en ejercicio de su autonomía e independencia, desborda la Constitución o la ley en desconocimiento de los principios, derechos y deberes superiores”. Lo cual puede ocurrir, entre otros, por la errónea interpretación o aplicación de la norma. Como puede suceder, por ejemplo, cuando se desborda el contenido de la norma y se imponen mayores barreras a las exigidas por el legislador para conceder el derecho o se desconocen normas que debían aplicarse.”</w:t>
      </w:r>
    </w:p>
    <w:p w14:paraId="3BA985FB" w14:textId="77777777" w:rsidR="00192BE7" w:rsidRPr="00192BE7" w:rsidRDefault="00192BE7" w:rsidP="00192BE7">
      <w:pPr>
        <w:pStyle w:val="Encabezado"/>
        <w:tabs>
          <w:tab w:val="clear" w:pos="4419"/>
          <w:tab w:val="left" w:pos="2175"/>
          <w:tab w:val="center" w:pos="4420"/>
        </w:tabs>
        <w:jc w:val="both"/>
        <w:rPr>
          <w:rFonts w:ascii="Arial" w:hAnsi="Arial" w:cs="Arial"/>
          <w:noProof/>
          <w:sz w:val="20"/>
        </w:rPr>
      </w:pPr>
    </w:p>
    <w:p w14:paraId="7725443D" w14:textId="7FCF23A0" w:rsidR="000D0D9C" w:rsidRPr="00192BE7" w:rsidRDefault="000D0D9C" w:rsidP="000D0D9C">
      <w:pPr>
        <w:tabs>
          <w:tab w:val="left" w:pos="2175"/>
          <w:tab w:val="center" w:pos="4420"/>
          <w:tab w:val="right" w:pos="8838"/>
        </w:tabs>
        <w:overflowPunct w:val="0"/>
        <w:autoSpaceDE w:val="0"/>
        <w:autoSpaceDN w:val="0"/>
        <w:adjustRightInd w:val="0"/>
        <w:jc w:val="both"/>
        <w:textAlignment w:val="baseline"/>
        <w:rPr>
          <w:rFonts w:ascii="Arial" w:hAnsi="Arial" w:cs="Arial"/>
          <w:b/>
          <w:noProof/>
          <w:sz w:val="20"/>
        </w:rPr>
      </w:pPr>
      <w:r w:rsidRPr="00192BE7">
        <w:rPr>
          <w:rFonts w:ascii="Arial" w:hAnsi="Arial" w:cs="Arial"/>
          <w:b/>
          <w:noProof/>
          <w:sz w:val="20"/>
        </w:rPr>
        <w:t xml:space="preserve">DEBIDO PROCESO / </w:t>
      </w:r>
      <w:r>
        <w:rPr>
          <w:rFonts w:ascii="Arial" w:hAnsi="Arial" w:cs="Arial"/>
          <w:b/>
          <w:noProof/>
          <w:sz w:val="20"/>
        </w:rPr>
        <w:t>DEFECTO FACTICO</w:t>
      </w:r>
    </w:p>
    <w:p w14:paraId="334EEBC0" w14:textId="005E7F5A" w:rsidR="00192BE7" w:rsidRPr="00192BE7" w:rsidRDefault="000D0D9C" w:rsidP="00192BE7">
      <w:pPr>
        <w:pStyle w:val="Encabezado"/>
        <w:tabs>
          <w:tab w:val="clear" w:pos="4419"/>
          <w:tab w:val="left" w:pos="2175"/>
          <w:tab w:val="center" w:pos="4420"/>
        </w:tabs>
        <w:jc w:val="both"/>
        <w:rPr>
          <w:rFonts w:ascii="Arial" w:hAnsi="Arial" w:cs="Arial"/>
          <w:noProof/>
          <w:sz w:val="20"/>
        </w:rPr>
      </w:pPr>
      <w:r w:rsidRPr="000D0D9C">
        <w:rPr>
          <w:rFonts w:ascii="Arial" w:hAnsi="Arial" w:cs="Arial"/>
          <w:noProof/>
          <w:sz w:val="20"/>
        </w:rPr>
        <w:t>Y el segundo “Se erige sobre la malinterpretación de los hechos expuestos en un proceso, la cual deviene de una inapropiada valoración probatoria, bien porque el juez no contaba con pruebas para sustentar sus afirmaciones, ora porque al estimar su valor demostrativo fue arbitrario; La Corte ha dicho que tal arbitrariedad debe ser “de tal magnitud que pueda advertirse de manera evidente y flagrante, sin que quepa margen de objetividad alguno que permita explicar razonablemente la conclusión a la cual llegó el juez</w:t>
      </w:r>
      <w:r>
        <w:rPr>
          <w:rFonts w:ascii="Arial" w:hAnsi="Arial" w:cs="Arial"/>
          <w:noProof/>
          <w:sz w:val="20"/>
        </w:rPr>
        <w:t>…”</w:t>
      </w:r>
    </w:p>
    <w:p w14:paraId="0799C0CF" w14:textId="77777777" w:rsidR="00192BE7" w:rsidRPr="00192BE7" w:rsidRDefault="00192BE7" w:rsidP="00192BE7">
      <w:pPr>
        <w:pStyle w:val="Encabezado"/>
        <w:tabs>
          <w:tab w:val="clear" w:pos="4419"/>
          <w:tab w:val="left" w:pos="2175"/>
          <w:tab w:val="center" w:pos="4420"/>
        </w:tabs>
        <w:jc w:val="both"/>
        <w:rPr>
          <w:rFonts w:ascii="Arial" w:hAnsi="Arial" w:cs="Arial"/>
          <w:noProof/>
          <w:sz w:val="20"/>
        </w:rPr>
      </w:pPr>
    </w:p>
    <w:p w14:paraId="310CDF51" w14:textId="77777777" w:rsidR="00192BE7" w:rsidRPr="00192BE7" w:rsidRDefault="00192BE7" w:rsidP="00192BE7">
      <w:pPr>
        <w:pStyle w:val="Encabezado"/>
        <w:tabs>
          <w:tab w:val="clear" w:pos="4419"/>
          <w:tab w:val="left" w:pos="2175"/>
          <w:tab w:val="center" w:pos="4420"/>
        </w:tabs>
        <w:jc w:val="both"/>
        <w:rPr>
          <w:rFonts w:ascii="Arial" w:hAnsi="Arial" w:cs="Arial"/>
          <w:noProof/>
          <w:sz w:val="20"/>
        </w:rPr>
      </w:pPr>
    </w:p>
    <w:p w14:paraId="09667132" w14:textId="77777777" w:rsidR="00192BE7" w:rsidRPr="00192BE7" w:rsidRDefault="00192BE7" w:rsidP="00192BE7">
      <w:pPr>
        <w:pStyle w:val="Encabezado"/>
        <w:tabs>
          <w:tab w:val="clear" w:pos="4419"/>
          <w:tab w:val="left" w:pos="2175"/>
          <w:tab w:val="center" w:pos="4420"/>
        </w:tabs>
        <w:jc w:val="both"/>
        <w:rPr>
          <w:rFonts w:ascii="Arial" w:hAnsi="Arial" w:cs="Arial"/>
          <w:noProof/>
          <w:sz w:val="20"/>
        </w:rPr>
      </w:pPr>
    </w:p>
    <w:p w14:paraId="76B69BA5" w14:textId="55DFE524" w:rsidR="009D1701" w:rsidRPr="003A484D" w:rsidRDefault="009D1701" w:rsidP="003A484D">
      <w:pPr>
        <w:pStyle w:val="Encabezado"/>
        <w:tabs>
          <w:tab w:val="clear" w:pos="4419"/>
          <w:tab w:val="left" w:pos="2175"/>
          <w:tab w:val="center" w:pos="4420"/>
        </w:tabs>
        <w:spacing w:line="276" w:lineRule="auto"/>
        <w:jc w:val="center"/>
        <w:rPr>
          <w:rFonts w:ascii="Gadugi" w:hAnsi="Gadugi"/>
          <w:b/>
          <w:noProof/>
        </w:rPr>
      </w:pPr>
      <w:r w:rsidRPr="003A484D">
        <w:rPr>
          <w:rFonts w:ascii="Gadugi" w:hAnsi="Gadugi"/>
          <w:noProof/>
          <w:lang w:val="en-US" w:eastAsia="en-US"/>
        </w:rPr>
        <w:drawing>
          <wp:inline distT="0" distB="0" distL="0" distR="0" wp14:anchorId="2DA59DD3" wp14:editId="45A4762D">
            <wp:extent cx="1159200" cy="59182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869" cy="617689"/>
                    </a:xfrm>
                    <a:prstGeom prst="rect">
                      <a:avLst/>
                    </a:prstGeom>
                    <a:noFill/>
                    <a:ln>
                      <a:noFill/>
                    </a:ln>
                  </pic:spPr>
                </pic:pic>
              </a:graphicData>
            </a:graphic>
          </wp:inline>
        </w:drawing>
      </w:r>
    </w:p>
    <w:p w14:paraId="567E0C5D" w14:textId="77777777" w:rsidR="009D1701" w:rsidRPr="003A484D" w:rsidRDefault="009D1701" w:rsidP="003A484D">
      <w:pPr>
        <w:pStyle w:val="Encabezado"/>
        <w:spacing w:line="276" w:lineRule="auto"/>
        <w:jc w:val="center"/>
        <w:rPr>
          <w:rFonts w:ascii="Gadugi" w:hAnsi="Gadugi"/>
          <w:b/>
          <w:noProof/>
        </w:rPr>
      </w:pPr>
      <w:r w:rsidRPr="003A484D">
        <w:rPr>
          <w:rFonts w:ascii="Gadugi" w:hAnsi="Gadugi"/>
          <w:b/>
          <w:noProof/>
        </w:rPr>
        <w:t>TRIBUNAL SUPERIOR DEL DISTRITO JUDICIAL</w:t>
      </w:r>
    </w:p>
    <w:p w14:paraId="3CAD3CB4" w14:textId="77777777" w:rsidR="009D1701" w:rsidRPr="003A484D" w:rsidRDefault="009D1701" w:rsidP="003A484D">
      <w:pPr>
        <w:pStyle w:val="Encabezado"/>
        <w:spacing w:line="276" w:lineRule="auto"/>
        <w:jc w:val="center"/>
        <w:rPr>
          <w:rFonts w:ascii="Gadugi" w:hAnsi="Gadugi"/>
          <w:b/>
        </w:rPr>
      </w:pPr>
      <w:r w:rsidRPr="003A484D">
        <w:rPr>
          <w:rFonts w:ascii="Gadugi" w:hAnsi="Gadugi"/>
          <w:b/>
        </w:rPr>
        <w:t>PEREIRA</w:t>
      </w:r>
    </w:p>
    <w:p w14:paraId="5CFE94F7" w14:textId="77777777" w:rsidR="009D1701" w:rsidRPr="003A484D" w:rsidRDefault="009D1701" w:rsidP="003A484D">
      <w:pPr>
        <w:pStyle w:val="Encabezado"/>
        <w:spacing w:line="276" w:lineRule="auto"/>
        <w:jc w:val="center"/>
        <w:rPr>
          <w:rFonts w:ascii="Gadugi" w:hAnsi="Gadugi"/>
          <w:b/>
        </w:rPr>
      </w:pPr>
      <w:r w:rsidRPr="003A484D">
        <w:rPr>
          <w:rFonts w:ascii="Gadugi" w:hAnsi="Gadugi"/>
          <w:b/>
        </w:rPr>
        <w:t>SALA CIVIL-FAMILIA</w:t>
      </w:r>
    </w:p>
    <w:bookmarkEnd w:id="0"/>
    <w:p w14:paraId="7315C7A6" w14:textId="6F99B0D1" w:rsidR="009D1701" w:rsidRDefault="009D1701" w:rsidP="003A484D">
      <w:pPr>
        <w:spacing w:line="276" w:lineRule="auto"/>
        <w:jc w:val="both"/>
        <w:rPr>
          <w:rFonts w:ascii="Gadugi" w:hAnsi="Gadugi"/>
        </w:rPr>
      </w:pPr>
    </w:p>
    <w:p w14:paraId="71946488" w14:textId="77777777" w:rsidR="008D1FD8" w:rsidRPr="000B5692" w:rsidRDefault="008D1FD8" w:rsidP="008D1FD8">
      <w:pPr>
        <w:pStyle w:val="Encabezado"/>
        <w:spacing w:line="276" w:lineRule="auto"/>
        <w:jc w:val="center"/>
        <w:rPr>
          <w:rFonts w:ascii="Gadugi" w:hAnsi="Gadugi"/>
          <w:b/>
        </w:rPr>
      </w:pPr>
      <w:r w:rsidRPr="000B5692">
        <w:rPr>
          <w:rFonts w:ascii="Gadugi" w:hAnsi="Gadugi"/>
          <w:b/>
        </w:rPr>
        <w:tab/>
      </w:r>
      <w:r w:rsidRPr="000B5692">
        <w:rPr>
          <w:rFonts w:ascii="Gadugi" w:hAnsi="Gadugi"/>
        </w:rPr>
        <w:t>Magistrado Ponente:</w:t>
      </w:r>
      <w:r w:rsidRPr="000B5692">
        <w:rPr>
          <w:rFonts w:ascii="Gadugi" w:hAnsi="Gadugi"/>
          <w:b/>
        </w:rPr>
        <w:t xml:space="preserve"> JAIME ALBERTO SARAZA NARANJO</w:t>
      </w:r>
    </w:p>
    <w:p w14:paraId="76212BA6" w14:textId="77777777" w:rsidR="008D1FD8" w:rsidRPr="003A484D" w:rsidRDefault="008D1FD8" w:rsidP="003A484D">
      <w:pPr>
        <w:spacing w:line="276" w:lineRule="auto"/>
        <w:jc w:val="both"/>
        <w:rPr>
          <w:rFonts w:ascii="Gadugi" w:hAnsi="Gadugi"/>
        </w:rPr>
      </w:pPr>
    </w:p>
    <w:p w14:paraId="7E720B2B" w14:textId="5FB59FB1" w:rsidR="009D1701" w:rsidRPr="003A484D" w:rsidRDefault="009D1701" w:rsidP="003A484D">
      <w:pPr>
        <w:spacing w:line="276" w:lineRule="auto"/>
        <w:jc w:val="center"/>
        <w:rPr>
          <w:rFonts w:ascii="Gadugi" w:hAnsi="Gadugi" w:cs="Century Gothic"/>
          <w:b/>
        </w:rPr>
      </w:pPr>
      <w:r w:rsidRPr="003A484D">
        <w:rPr>
          <w:rFonts w:ascii="Gadugi" w:hAnsi="Gadugi" w:cs="Century Gothic"/>
          <w:b/>
        </w:rPr>
        <w:t>ST2-</w:t>
      </w:r>
      <w:r w:rsidR="009B24F2" w:rsidRPr="003A484D">
        <w:rPr>
          <w:rFonts w:ascii="Gadugi" w:hAnsi="Gadugi" w:cs="Century Gothic"/>
          <w:b/>
        </w:rPr>
        <w:t>0272</w:t>
      </w:r>
      <w:r w:rsidRPr="003A484D">
        <w:rPr>
          <w:rFonts w:ascii="Gadugi" w:hAnsi="Gadugi" w:cs="Century Gothic"/>
          <w:b/>
        </w:rPr>
        <w:t xml:space="preserve">-2023    </w:t>
      </w:r>
    </w:p>
    <w:p w14:paraId="63D6D13F" w14:textId="0A815776" w:rsidR="009D1701" w:rsidRDefault="009D1701" w:rsidP="003A484D">
      <w:pPr>
        <w:spacing w:line="276" w:lineRule="auto"/>
        <w:jc w:val="center"/>
        <w:rPr>
          <w:rFonts w:ascii="Gadugi" w:hAnsi="Gadugi"/>
        </w:rPr>
      </w:pPr>
    </w:p>
    <w:p w14:paraId="639EF2E5" w14:textId="1C6E5FEF" w:rsidR="00054057" w:rsidRPr="003A484D" w:rsidRDefault="00A12EBE" w:rsidP="003A484D">
      <w:pPr>
        <w:jc w:val="both"/>
        <w:rPr>
          <w:rFonts w:ascii="Gadugi" w:hAnsi="Gadugi" w:cs="Century Gothic"/>
        </w:rPr>
      </w:pPr>
      <w:r w:rsidRPr="003A484D">
        <w:rPr>
          <w:rFonts w:ascii="Gadugi" w:hAnsi="Gadugi" w:cs="Century Gothic"/>
          <w:lang w:val="es-419"/>
        </w:rPr>
        <w:tab/>
      </w:r>
      <w:r w:rsidRPr="003A484D">
        <w:rPr>
          <w:rFonts w:ascii="Gadugi" w:hAnsi="Gadugi" w:cs="Century Gothic"/>
          <w:lang w:val="es-419"/>
        </w:rPr>
        <w:tab/>
      </w:r>
      <w:r w:rsidRPr="003A484D">
        <w:rPr>
          <w:rFonts w:ascii="Gadugi" w:hAnsi="Gadugi" w:cs="Century Gothic"/>
          <w:lang w:val="es-419"/>
        </w:rPr>
        <w:tab/>
      </w:r>
      <w:r w:rsidR="00054057" w:rsidRPr="003A484D">
        <w:rPr>
          <w:rFonts w:ascii="Gadugi" w:hAnsi="Gadugi" w:cs="Century Gothic"/>
        </w:rPr>
        <w:t>Expediente</w:t>
      </w:r>
      <w:r w:rsidR="00CE0647" w:rsidRPr="003A484D">
        <w:rPr>
          <w:rFonts w:ascii="Gadugi" w:hAnsi="Gadugi" w:cs="Century Gothic"/>
        </w:rPr>
        <w:t>:</w:t>
      </w:r>
      <w:r w:rsidR="00054057" w:rsidRPr="003A484D">
        <w:rPr>
          <w:rFonts w:ascii="Gadugi" w:hAnsi="Gadugi" w:cs="Century Gothic"/>
        </w:rPr>
        <w:t xml:space="preserve"> </w:t>
      </w:r>
      <w:r w:rsidR="00FF4495" w:rsidRPr="003A484D">
        <w:rPr>
          <w:rFonts w:ascii="Gadugi" w:hAnsi="Gadugi" w:cs="Century Gothic"/>
        </w:rPr>
        <w:t>66001310300420230011301</w:t>
      </w:r>
    </w:p>
    <w:p w14:paraId="63D9316D" w14:textId="49BA2A44" w:rsidR="00054057" w:rsidRPr="003A484D" w:rsidRDefault="00A12EBE" w:rsidP="003A484D">
      <w:pPr>
        <w:jc w:val="both"/>
        <w:rPr>
          <w:rFonts w:ascii="Gadugi" w:hAnsi="Gadugi" w:cs="Century Gothic"/>
        </w:rPr>
      </w:pPr>
      <w:r w:rsidRPr="003A484D">
        <w:rPr>
          <w:rFonts w:ascii="Gadugi" w:hAnsi="Gadugi" w:cs="Century Gothic"/>
          <w:i/>
        </w:rPr>
        <w:tab/>
      </w:r>
      <w:r w:rsidRPr="003A484D">
        <w:rPr>
          <w:rFonts w:ascii="Gadugi" w:hAnsi="Gadugi" w:cs="Century Gothic"/>
          <w:i/>
        </w:rPr>
        <w:tab/>
      </w:r>
      <w:r w:rsidRPr="003A484D">
        <w:rPr>
          <w:rFonts w:ascii="Gadugi" w:hAnsi="Gadugi" w:cs="Century Gothic"/>
          <w:i/>
        </w:rPr>
        <w:tab/>
      </w:r>
      <w:r w:rsidR="00054057" w:rsidRPr="003A484D">
        <w:rPr>
          <w:rFonts w:ascii="Gadugi" w:hAnsi="Gadugi" w:cs="Century Gothic"/>
        </w:rPr>
        <w:t>Acta</w:t>
      </w:r>
      <w:r w:rsidR="00CE0647" w:rsidRPr="003A484D">
        <w:rPr>
          <w:rFonts w:ascii="Gadugi" w:hAnsi="Gadugi" w:cs="Century Gothic"/>
        </w:rPr>
        <w:t>:</w:t>
      </w:r>
      <w:r w:rsidR="009B24F2" w:rsidRPr="003A484D">
        <w:rPr>
          <w:rFonts w:ascii="Gadugi" w:hAnsi="Gadugi" w:cs="Century Gothic"/>
        </w:rPr>
        <w:t xml:space="preserve"> 355 del 24 de julio de 2023</w:t>
      </w:r>
      <w:r w:rsidR="00894485" w:rsidRPr="003A484D">
        <w:rPr>
          <w:rFonts w:ascii="Gadugi" w:hAnsi="Gadugi" w:cs="Century Gothic"/>
        </w:rPr>
        <w:t xml:space="preserve"> </w:t>
      </w:r>
      <w:r w:rsidR="00447650" w:rsidRPr="003A484D">
        <w:rPr>
          <w:rFonts w:ascii="Gadugi" w:hAnsi="Gadugi" w:cs="Century Gothic"/>
        </w:rPr>
        <w:t xml:space="preserve"> </w:t>
      </w:r>
    </w:p>
    <w:p w14:paraId="7A2B67AA" w14:textId="0D87DC4A" w:rsidR="005A2AF8" w:rsidRDefault="005A2AF8" w:rsidP="003A484D">
      <w:pPr>
        <w:spacing w:line="276" w:lineRule="auto"/>
        <w:jc w:val="both"/>
        <w:rPr>
          <w:rFonts w:ascii="Gadugi" w:hAnsi="Gadugi" w:cs="Century Gothic"/>
        </w:rPr>
      </w:pPr>
    </w:p>
    <w:p w14:paraId="09EFCED3" w14:textId="77777777" w:rsidR="00C562C9" w:rsidRPr="003A484D" w:rsidRDefault="00C562C9" w:rsidP="00C562C9">
      <w:pPr>
        <w:jc w:val="both"/>
        <w:rPr>
          <w:rFonts w:ascii="Gadugi" w:hAnsi="Gadugi" w:cs="Century Gothic"/>
        </w:rPr>
      </w:pPr>
      <w:r w:rsidRPr="003A484D">
        <w:rPr>
          <w:rFonts w:ascii="Gadugi" w:hAnsi="Gadugi" w:cs="Century Gothic"/>
        </w:rPr>
        <w:tab/>
      </w:r>
      <w:r w:rsidRPr="003A484D">
        <w:rPr>
          <w:rFonts w:ascii="Gadugi" w:hAnsi="Gadugi" w:cs="Century Gothic"/>
        </w:rPr>
        <w:tab/>
      </w:r>
      <w:r w:rsidRPr="003A484D">
        <w:rPr>
          <w:rFonts w:ascii="Gadugi" w:hAnsi="Gadugi" w:cs="Century Gothic"/>
        </w:rPr>
        <w:tab/>
        <w:t>Pereira, julio vei</w:t>
      </w:r>
      <w:r>
        <w:rPr>
          <w:rFonts w:ascii="Gadugi" w:hAnsi="Gadugi" w:cs="Century Gothic"/>
        </w:rPr>
        <w:t>nticuatro de dos mil veintitrés</w:t>
      </w:r>
    </w:p>
    <w:p w14:paraId="301AA9C6" w14:textId="77777777" w:rsidR="00C562C9" w:rsidRDefault="00C562C9" w:rsidP="003A484D">
      <w:pPr>
        <w:spacing w:line="276" w:lineRule="auto"/>
        <w:jc w:val="both"/>
        <w:rPr>
          <w:rFonts w:ascii="Gadugi" w:hAnsi="Gadugi" w:cs="Century Gothic"/>
        </w:rPr>
      </w:pPr>
    </w:p>
    <w:p w14:paraId="02BEF149" w14:textId="77777777" w:rsidR="003A484D" w:rsidRPr="003A484D" w:rsidRDefault="003A484D" w:rsidP="003A484D">
      <w:pPr>
        <w:spacing w:line="276" w:lineRule="auto"/>
        <w:jc w:val="both"/>
        <w:rPr>
          <w:rFonts w:ascii="Gadugi" w:hAnsi="Gadugi" w:cs="Century Gothic"/>
        </w:rPr>
      </w:pPr>
    </w:p>
    <w:p w14:paraId="28C9778F" w14:textId="39BEA50C" w:rsidR="00FF4495" w:rsidRPr="003A484D" w:rsidRDefault="001E1FB4" w:rsidP="003A484D">
      <w:pPr>
        <w:spacing w:line="276" w:lineRule="auto"/>
        <w:jc w:val="both"/>
        <w:rPr>
          <w:rFonts w:ascii="Gadugi" w:hAnsi="Gadugi" w:cs="Century Gothic"/>
        </w:rPr>
      </w:pPr>
      <w:r w:rsidRPr="003A484D">
        <w:rPr>
          <w:rFonts w:ascii="Gadugi" w:hAnsi="Gadugi" w:cs="Century Gothic"/>
        </w:rPr>
        <w:t>Procede la Sala a decidir la impugnaci</w:t>
      </w:r>
      <w:r w:rsidR="009D1701" w:rsidRPr="003A484D">
        <w:rPr>
          <w:rFonts w:ascii="Gadugi" w:hAnsi="Gadugi" w:cs="Century Gothic"/>
        </w:rPr>
        <w:t>ón</w:t>
      </w:r>
      <w:r w:rsidRPr="003A484D">
        <w:rPr>
          <w:rFonts w:ascii="Gadugi" w:hAnsi="Gadugi" w:cs="Century Gothic"/>
        </w:rPr>
        <w:t xml:space="preserve"> presentada </w:t>
      </w:r>
      <w:r w:rsidR="007B770B" w:rsidRPr="003A484D">
        <w:rPr>
          <w:rFonts w:ascii="Gadugi" w:hAnsi="Gadugi" w:cs="Century Gothic"/>
        </w:rPr>
        <w:t>al</w:t>
      </w:r>
      <w:r w:rsidR="00D56FDA" w:rsidRPr="003A484D">
        <w:rPr>
          <w:rFonts w:ascii="Gadugi" w:hAnsi="Gadugi" w:cs="Century Gothic"/>
        </w:rPr>
        <w:t xml:space="preserve"> fallo</w:t>
      </w:r>
      <w:r w:rsidR="002A7E0F" w:rsidRPr="003A484D">
        <w:rPr>
          <w:rFonts w:ascii="Gadugi" w:hAnsi="Gadugi" w:cs="Century Gothic"/>
        </w:rPr>
        <w:t xml:space="preserve"> del </w:t>
      </w:r>
      <w:r w:rsidR="00FF4495" w:rsidRPr="003A484D">
        <w:rPr>
          <w:rFonts w:ascii="Gadugi" w:hAnsi="Gadugi" w:cs="Century Gothic"/>
        </w:rPr>
        <w:t>30</w:t>
      </w:r>
      <w:r w:rsidR="00BB3D5E" w:rsidRPr="003A484D">
        <w:rPr>
          <w:rFonts w:ascii="Gadugi" w:hAnsi="Gadugi" w:cs="Century Gothic"/>
        </w:rPr>
        <w:t xml:space="preserve"> </w:t>
      </w:r>
      <w:r w:rsidR="002A7E0F" w:rsidRPr="003A484D">
        <w:rPr>
          <w:rFonts w:ascii="Gadugi" w:hAnsi="Gadugi" w:cs="Century Gothic"/>
        </w:rPr>
        <w:t xml:space="preserve">de </w:t>
      </w:r>
      <w:r w:rsidR="00447650" w:rsidRPr="003A484D">
        <w:rPr>
          <w:rFonts w:ascii="Gadugi" w:hAnsi="Gadugi" w:cs="Century Gothic"/>
        </w:rPr>
        <w:t xml:space="preserve">mayo </w:t>
      </w:r>
      <w:r w:rsidR="002A7E0F" w:rsidRPr="003A484D">
        <w:rPr>
          <w:rFonts w:ascii="Gadugi" w:hAnsi="Gadugi" w:cs="Century Gothic"/>
        </w:rPr>
        <w:t>de 202</w:t>
      </w:r>
      <w:r w:rsidR="008D38B0" w:rsidRPr="003A484D">
        <w:rPr>
          <w:rFonts w:ascii="Gadugi" w:hAnsi="Gadugi" w:cs="Century Gothic"/>
        </w:rPr>
        <w:t>3</w:t>
      </w:r>
      <w:r w:rsidR="002A7E0F" w:rsidRPr="003A484D">
        <w:rPr>
          <w:rFonts w:ascii="Gadugi" w:hAnsi="Gadugi" w:cs="Century Gothic"/>
        </w:rPr>
        <w:t>,</w:t>
      </w:r>
      <w:r w:rsidR="00D56FDA" w:rsidRPr="003A484D">
        <w:rPr>
          <w:rFonts w:ascii="Gadugi" w:hAnsi="Gadugi" w:cs="Century Gothic"/>
        </w:rPr>
        <w:t xml:space="preserve"> dictado</w:t>
      </w:r>
      <w:r w:rsidRPr="003A484D">
        <w:rPr>
          <w:rFonts w:ascii="Gadugi" w:hAnsi="Gadugi" w:cs="Century Gothic"/>
        </w:rPr>
        <w:t xml:space="preserve"> por el </w:t>
      </w:r>
      <w:r w:rsidR="00131F99" w:rsidRPr="003A484D">
        <w:rPr>
          <w:rFonts w:ascii="Gadugi" w:hAnsi="Gadugi" w:cs="Century Gothic"/>
        </w:rPr>
        <w:t xml:space="preserve">Juzgado </w:t>
      </w:r>
      <w:r w:rsidR="007B770B" w:rsidRPr="003A484D">
        <w:rPr>
          <w:rFonts w:ascii="Gadugi" w:hAnsi="Gadugi" w:cs="Century Gothic"/>
        </w:rPr>
        <w:t xml:space="preserve">de </w:t>
      </w:r>
      <w:r w:rsidR="00FF4495" w:rsidRPr="003A484D">
        <w:rPr>
          <w:rFonts w:ascii="Gadugi" w:hAnsi="Gadugi" w:cs="Century Gothic"/>
        </w:rPr>
        <w:t>Cuarto C</w:t>
      </w:r>
      <w:r w:rsidR="00447650" w:rsidRPr="003A484D">
        <w:rPr>
          <w:rFonts w:ascii="Gadugi" w:hAnsi="Gadugi" w:cs="Century Gothic"/>
        </w:rPr>
        <w:t>ivil del Circuito de Pereira</w:t>
      </w:r>
      <w:r w:rsidRPr="003A484D">
        <w:rPr>
          <w:rFonts w:ascii="Gadugi" w:hAnsi="Gadugi" w:cs="Century Gothic"/>
        </w:rPr>
        <w:t xml:space="preserve">, </w:t>
      </w:r>
      <w:r w:rsidR="00F11A24" w:rsidRPr="003A484D">
        <w:rPr>
          <w:rFonts w:ascii="Gadugi" w:hAnsi="Gadugi" w:cs="Century Gothic"/>
        </w:rPr>
        <w:t>e</w:t>
      </w:r>
      <w:r w:rsidRPr="003A484D">
        <w:rPr>
          <w:rFonts w:ascii="Gadugi" w:hAnsi="Gadugi" w:cs="Century Gothic"/>
        </w:rPr>
        <w:t xml:space="preserve">n esta </w:t>
      </w:r>
      <w:r w:rsidRPr="00C215C0">
        <w:rPr>
          <w:rFonts w:ascii="Gadugi" w:hAnsi="Gadugi" w:cs="Century Gothic"/>
          <w:b/>
        </w:rPr>
        <w:t>acción de tutela</w:t>
      </w:r>
      <w:r w:rsidRPr="003A484D">
        <w:rPr>
          <w:rFonts w:ascii="Gadugi" w:hAnsi="Gadugi" w:cs="Century Gothic"/>
        </w:rPr>
        <w:t xml:space="preserve"> que</w:t>
      </w:r>
      <w:r w:rsidR="007B770B" w:rsidRPr="003A484D">
        <w:rPr>
          <w:rFonts w:ascii="Gadugi" w:hAnsi="Gadugi" w:cs="Century Gothic"/>
        </w:rPr>
        <w:t xml:space="preserve"> </w:t>
      </w:r>
      <w:r w:rsidR="00FF4495" w:rsidRPr="00C215C0">
        <w:rPr>
          <w:rFonts w:ascii="Gadugi" w:hAnsi="Gadugi" w:cs="Century Gothic"/>
          <w:b/>
        </w:rPr>
        <w:t>José Alberto Bermúdez Hernández</w:t>
      </w:r>
      <w:r w:rsidR="00FF4495" w:rsidRPr="003A484D">
        <w:rPr>
          <w:rFonts w:ascii="Gadugi" w:hAnsi="Gadugi" w:cs="Century Gothic"/>
        </w:rPr>
        <w:t xml:space="preserve"> </w:t>
      </w:r>
      <w:r w:rsidR="007B770B" w:rsidRPr="003A484D">
        <w:rPr>
          <w:rFonts w:ascii="Gadugi" w:hAnsi="Gadugi" w:cs="Century Gothic"/>
        </w:rPr>
        <w:t xml:space="preserve">promovió </w:t>
      </w:r>
      <w:r w:rsidRPr="003A484D">
        <w:rPr>
          <w:rFonts w:ascii="Gadugi" w:hAnsi="Gadugi" w:cs="Century Gothic"/>
        </w:rPr>
        <w:t>contra</w:t>
      </w:r>
      <w:r w:rsidR="00FA3FC9" w:rsidRPr="003A484D">
        <w:rPr>
          <w:rFonts w:ascii="Gadugi" w:hAnsi="Gadugi" w:cs="Century Gothic"/>
        </w:rPr>
        <w:t xml:space="preserve"> </w:t>
      </w:r>
      <w:r w:rsidR="00447650" w:rsidRPr="003A484D">
        <w:rPr>
          <w:rFonts w:ascii="Gadugi" w:hAnsi="Gadugi" w:cs="Century Gothic"/>
        </w:rPr>
        <w:t xml:space="preserve">el </w:t>
      </w:r>
      <w:r w:rsidR="00FF4495" w:rsidRPr="00C215C0">
        <w:rPr>
          <w:rFonts w:ascii="Gadugi" w:hAnsi="Gadugi" w:cs="Century Gothic"/>
          <w:b/>
        </w:rPr>
        <w:t>Juzgado Primero de Pequeñas Causas y Competencia Múltiple de Pereira</w:t>
      </w:r>
      <w:r w:rsidR="00FF4495" w:rsidRPr="003A484D">
        <w:rPr>
          <w:rFonts w:ascii="Gadugi" w:hAnsi="Gadugi" w:cs="Century Gothic"/>
        </w:rPr>
        <w:t xml:space="preserve">, y a la que fueron vinculados </w:t>
      </w:r>
      <w:r w:rsidR="00FF4495" w:rsidRPr="00C215C0">
        <w:rPr>
          <w:rFonts w:ascii="Gadugi" w:hAnsi="Gadugi" w:cs="Century Gothic"/>
          <w:b/>
        </w:rPr>
        <w:t>Luz Enith Cardona Marín y Luis Salcedo Cañaveral</w:t>
      </w:r>
      <w:r w:rsidR="00FF4495" w:rsidRPr="003A484D">
        <w:rPr>
          <w:rFonts w:ascii="Gadugi" w:hAnsi="Gadugi" w:cs="Century Gothic"/>
        </w:rPr>
        <w:t>.</w:t>
      </w:r>
    </w:p>
    <w:p w14:paraId="59A5577B" w14:textId="3B6863F6" w:rsidR="002A7E0F" w:rsidRPr="003A484D" w:rsidRDefault="00084CAD" w:rsidP="003A484D">
      <w:pPr>
        <w:spacing w:line="276" w:lineRule="auto"/>
        <w:jc w:val="both"/>
        <w:rPr>
          <w:rFonts w:ascii="Gadugi" w:hAnsi="Gadugi" w:cs="Century Gothic"/>
        </w:rPr>
      </w:pPr>
      <w:r w:rsidRPr="003A484D">
        <w:rPr>
          <w:rFonts w:ascii="Gadugi" w:hAnsi="Gadugi" w:cs="Century Gothic"/>
        </w:rPr>
        <w:lastRenderedPageBreak/>
        <w:tab/>
      </w:r>
      <w:r w:rsidRPr="003A484D">
        <w:rPr>
          <w:rFonts w:ascii="Gadugi" w:hAnsi="Gadugi" w:cs="Century Gothic"/>
        </w:rPr>
        <w:tab/>
      </w:r>
      <w:r w:rsidRPr="003A484D">
        <w:rPr>
          <w:rFonts w:ascii="Gadugi" w:hAnsi="Gadugi" w:cs="Century Gothic"/>
        </w:rPr>
        <w:tab/>
      </w:r>
      <w:r w:rsidRPr="003A484D">
        <w:rPr>
          <w:rFonts w:ascii="Gadugi" w:hAnsi="Gadugi" w:cs="Century Gothic"/>
        </w:rPr>
        <w:tab/>
      </w:r>
    </w:p>
    <w:p w14:paraId="5202D04E" w14:textId="2FC25D75" w:rsidR="00054057" w:rsidRPr="003A484D" w:rsidRDefault="00A12EBE" w:rsidP="003A484D">
      <w:pPr>
        <w:spacing w:line="276" w:lineRule="auto"/>
        <w:jc w:val="both"/>
        <w:rPr>
          <w:rFonts w:ascii="Gadugi" w:hAnsi="Gadugi" w:cs="Century Gothic"/>
        </w:rPr>
      </w:pPr>
      <w:r w:rsidRPr="003A484D">
        <w:rPr>
          <w:rFonts w:ascii="Gadugi" w:hAnsi="Gadugi" w:cs="Century Gothic"/>
          <w:b/>
          <w:bCs/>
        </w:rPr>
        <w:t xml:space="preserve">1. </w:t>
      </w:r>
      <w:r w:rsidR="00054057" w:rsidRPr="003A484D">
        <w:rPr>
          <w:rFonts w:ascii="Gadugi" w:hAnsi="Gadugi" w:cs="Century Gothic"/>
          <w:b/>
          <w:bCs/>
        </w:rPr>
        <w:t>ANTECEDENTES</w:t>
      </w:r>
    </w:p>
    <w:p w14:paraId="50FE34B3" w14:textId="21485CA5" w:rsidR="00054057" w:rsidRPr="003A484D" w:rsidRDefault="00131F99" w:rsidP="003A484D">
      <w:pPr>
        <w:spacing w:line="276" w:lineRule="auto"/>
        <w:jc w:val="both"/>
        <w:rPr>
          <w:rFonts w:ascii="Gadugi" w:hAnsi="Gadugi" w:cs="Century Gothic"/>
        </w:rPr>
      </w:pPr>
      <w:r w:rsidRPr="003A484D">
        <w:rPr>
          <w:rFonts w:ascii="Gadugi" w:hAnsi="Gadugi" w:cs="Century Gothic"/>
        </w:rPr>
        <w:tab/>
      </w:r>
      <w:r w:rsidRPr="003A484D">
        <w:rPr>
          <w:rFonts w:ascii="Gadugi" w:hAnsi="Gadugi" w:cs="Century Gothic"/>
        </w:rPr>
        <w:tab/>
      </w:r>
      <w:r w:rsidRPr="003A484D">
        <w:rPr>
          <w:rFonts w:ascii="Gadugi" w:hAnsi="Gadugi" w:cs="Century Gothic"/>
        </w:rPr>
        <w:tab/>
      </w:r>
      <w:r w:rsidRPr="003A484D">
        <w:rPr>
          <w:rFonts w:ascii="Gadugi" w:hAnsi="Gadugi" w:cs="Century Gothic"/>
        </w:rPr>
        <w:tab/>
      </w:r>
    </w:p>
    <w:p w14:paraId="25DE93F7" w14:textId="58B7C355" w:rsidR="009961E4" w:rsidRPr="003A484D" w:rsidRDefault="00A12EBE" w:rsidP="003A484D">
      <w:pPr>
        <w:spacing w:line="276" w:lineRule="auto"/>
        <w:jc w:val="both"/>
        <w:rPr>
          <w:rFonts w:ascii="Gadugi" w:hAnsi="Gadugi" w:cs="Century Gothic"/>
        </w:rPr>
      </w:pPr>
      <w:r w:rsidRPr="003A484D">
        <w:rPr>
          <w:rFonts w:ascii="Gadugi" w:hAnsi="Gadugi" w:cs="Century Gothic"/>
        </w:rPr>
        <w:t>1.1.</w:t>
      </w:r>
      <w:r w:rsidR="00447650" w:rsidRPr="003A484D">
        <w:rPr>
          <w:rFonts w:ascii="Gadugi" w:hAnsi="Gadugi" w:cs="Century Gothic"/>
        </w:rPr>
        <w:t xml:space="preserve"> </w:t>
      </w:r>
      <w:r w:rsidR="006150B5" w:rsidRPr="003A484D">
        <w:rPr>
          <w:rFonts w:ascii="Gadugi" w:hAnsi="Gadugi" w:cs="Century Gothic"/>
        </w:rPr>
        <w:t>Dijo el demandante</w:t>
      </w:r>
      <w:r w:rsidR="00885347" w:rsidRPr="003A484D">
        <w:rPr>
          <w:rFonts w:ascii="Gadugi" w:hAnsi="Gadugi" w:cs="Century Gothic"/>
        </w:rPr>
        <w:t xml:space="preserve"> que ante el juzgado accionado se tramitó un proceso verbal sumario de regulación de perj</w:t>
      </w:r>
      <w:r w:rsidR="009B24F2" w:rsidRPr="003A484D">
        <w:rPr>
          <w:rFonts w:ascii="Gadugi" w:hAnsi="Gadugi" w:cs="Century Gothic"/>
        </w:rPr>
        <w:t>uicios con radi</w:t>
      </w:r>
      <w:r w:rsidR="00192BE7">
        <w:rPr>
          <w:rFonts w:ascii="Gadugi" w:hAnsi="Gadugi" w:cs="Century Gothic"/>
        </w:rPr>
        <w:t>c</w:t>
      </w:r>
      <w:r w:rsidR="009B24F2" w:rsidRPr="003A484D">
        <w:rPr>
          <w:rFonts w:ascii="Gadugi" w:hAnsi="Gadugi" w:cs="Century Gothic"/>
        </w:rPr>
        <w:t>ado 2020-00334-00</w:t>
      </w:r>
      <w:r w:rsidR="00885347" w:rsidRPr="003A484D">
        <w:rPr>
          <w:rFonts w:ascii="Gadugi" w:hAnsi="Gadugi" w:cs="Century Gothic"/>
        </w:rPr>
        <w:t xml:space="preserve">, </w:t>
      </w:r>
      <w:r w:rsidR="009961E4" w:rsidRPr="003A484D">
        <w:rPr>
          <w:rFonts w:ascii="Gadugi" w:hAnsi="Gadugi" w:cs="Century Gothic"/>
        </w:rPr>
        <w:t>en el que él es demandado y en el que se profirió sentencia el 8 de mayo de 2023, la cual vulneró su derecho al debido proceso</w:t>
      </w:r>
      <w:r w:rsidR="006150B5" w:rsidRPr="003A484D">
        <w:rPr>
          <w:rFonts w:ascii="Gadugi" w:hAnsi="Gadugi" w:cs="Century Gothic"/>
        </w:rPr>
        <w:t>; las razones para ello la Sala las resume así de la demanda:</w:t>
      </w:r>
    </w:p>
    <w:p w14:paraId="00D5C32A" w14:textId="77777777" w:rsidR="009961E4" w:rsidRPr="003A484D" w:rsidRDefault="009961E4" w:rsidP="003A484D">
      <w:pPr>
        <w:spacing w:line="276" w:lineRule="auto"/>
        <w:jc w:val="both"/>
        <w:rPr>
          <w:rFonts w:ascii="Gadugi" w:hAnsi="Gadugi" w:cs="Century Gothic"/>
        </w:rPr>
      </w:pPr>
    </w:p>
    <w:p w14:paraId="3A87A604" w14:textId="60A5EC13" w:rsidR="006150B5" w:rsidRPr="003A484D" w:rsidRDefault="009961E4" w:rsidP="003A484D">
      <w:pPr>
        <w:spacing w:line="276" w:lineRule="auto"/>
        <w:jc w:val="both"/>
        <w:rPr>
          <w:rFonts w:ascii="Gadugi" w:hAnsi="Gadugi" w:cs="Century Gothic"/>
        </w:rPr>
      </w:pPr>
      <w:r w:rsidRPr="003A484D">
        <w:rPr>
          <w:rFonts w:ascii="Gadugi" w:hAnsi="Gadugi" w:cs="Century Gothic"/>
        </w:rPr>
        <w:t xml:space="preserve">Sucedió que, ante la Corregiduría del Corregimiento de Arabia, en primera instancia, y la Alcaldía de Pereira, en segunda instancia, se tramitó un proceso policivo de perturbación a la posesión, en el que </w:t>
      </w:r>
      <w:r w:rsidR="006150B5" w:rsidRPr="003A484D">
        <w:rPr>
          <w:rFonts w:ascii="Gadugi" w:hAnsi="Gadugi" w:cs="Century Gothic"/>
        </w:rPr>
        <w:t>él resultó vencido, y en el cual se le ordenó demoler una pared que estaba afectando a la querellante</w:t>
      </w:r>
      <w:r w:rsidR="020D1271" w:rsidRPr="003A484D">
        <w:rPr>
          <w:rFonts w:ascii="Gadugi" w:hAnsi="Gadugi" w:cs="Century Gothic"/>
        </w:rPr>
        <w:t>. E</w:t>
      </w:r>
      <w:r w:rsidR="006150B5" w:rsidRPr="003A484D">
        <w:rPr>
          <w:rFonts w:ascii="Gadugi" w:hAnsi="Gadugi" w:cs="Century Gothic"/>
        </w:rPr>
        <w:t>se proceso culminó el 27 de julio de 2017.</w:t>
      </w:r>
    </w:p>
    <w:p w14:paraId="6297C65B" w14:textId="77777777" w:rsidR="006150B5" w:rsidRPr="003A484D" w:rsidRDefault="006150B5" w:rsidP="003A484D">
      <w:pPr>
        <w:spacing w:line="276" w:lineRule="auto"/>
        <w:jc w:val="both"/>
        <w:rPr>
          <w:rFonts w:ascii="Gadugi" w:hAnsi="Gadugi" w:cs="Century Gothic"/>
        </w:rPr>
      </w:pPr>
    </w:p>
    <w:p w14:paraId="129610A0" w14:textId="6E263E87" w:rsidR="00A0764A" w:rsidRPr="003A484D" w:rsidRDefault="006150B5" w:rsidP="003A484D">
      <w:pPr>
        <w:spacing w:line="276" w:lineRule="auto"/>
        <w:jc w:val="both"/>
        <w:rPr>
          <w:rFonts w:ascii="Gadugi" w:hAnsi="Gadugi" w:cs="Century Gothic"/>
        </w:rPr>
      </w:pPr>
      <w:r w:rsidRPr="003A484D">
        <w:rPr>
          <w:rFonts w:ascii="Gadugi" w:hAnsi="Gadugi" w:cs="Century Gothic"/>
        </w:rPr>
        <w:t xml:space="preserve">Con ocasión </w:t>
      </w:r>
      <w:r w:rsidR="5EA2313B" w:rsidRPr="003A484D">
        <w:rPr>
          <w:rFonts w:ascii="Gadugi" w:hAnsi="Gadugi" w:cs="Century Gothic"/>
        </w:rPr>
        <w:t>de</w:t>
      </w:r>
      <w:r w:rsidRPr="003A484D">
        <w:rPr>
          <w:rFonts w:ascii="Gadugi" w:hAnsi="Gadugi" w:cs="Century Gothic"/>
        </w:rPr>
        <w:t xml:space="preserve"> los perjuicios causados por la perturbación a la posesión, la querellante inco</w:t>
      </w:r>
      <w:r w:rsidR="00245494" w:rsidRPr="003A484D">
        <w:rPr>
          <w:rFonts w:ascii="Gadugi" w:hAnsi="Gadugi" w:cs="Century Gothic"/>
        </w:rPr>
        <w:t>ó</w:t>
      </w:r>
      <w:r w:rsidRPr="003A484D">
        <w:rPr>
          <w:rFonts w:ascii="Gadugi" w:hAnsi="Gadugi" w:cs="Century Gothic"/>
        </w:rPr>
        <w:t xml:space="preserve"> una demanda </w:t>
      </w:r>
      <w:r w:rsidR="4228D226" w:rsidRPr="003A484D">
        <w:rPr>
          <w:rFonts w:ascii="Gadugi" w:hAnsi="Gadugi" w:cs="Century Gothic"/>
        </w:rPr>
        <w:t xml:space="preserve">para su </w:t>
      </w:r>
      <w:r w:rsidRPr="003A484D">
        <w:rPr>
          <w:rFonts w:ascii="Gadugi" w:hAnsi="Gadugi" w:cs="Century Gothic"/>
        </w:rPr>
        <w:t xml:space="preserve">regulación cuando ya habían transcurrido más de tres años desde la culminación del proceso policivo. Es decir, </w:t>
      </w:r>
      <w:r w:rsidR="00245494" w:rsidRPr="003A484D">
        <w:rPr>
          <w:rFonts w:ascii="Gadugi" w:hAnsi="Gadugi" w:cs="Century Gothic"/>
        </w:rPr>
        <w:t>dejó</w:t>
      </w:r>
      <w:r w:rsidRPr="003A484D">
        <w:rPr>
          <w:rFonts w:ascii="Gadugi" w:hAnsi="Gadugi" w:cs="Century Gothic"/>
        </w:rPr>
        <w:t xml:space="preserve"> de lado que el artículo 283 del CGP, prevé el término de 30 días siguientes a la ejecutoria de la providencia que impuso una condena en abstracto, para promover el respectivo incidente ante la misma autoridad, para así obtener una condena en concreto, y como eso no se hizo, se extinguió el derecho. </w:t>
      </w:r>
    </w:p>
    <w:p w14:paraId="471DD4E1" w14:textId="2A88096B" w:rsidR="009961E4" w:rsidRPr="003A484D" w:rsidRDefault="009961E4" w:rsidP="003A484D">
      <w:pPr>
        <w:spacing w:line="276" w:lineRule="auto"/>
        <w:jc w:val="both"/>
        <w:rPr>
          <w:rFonts w:ascii="Gadugi" w:hAnsi="Gadugi" w:cs="Century Gothic"/>
        </w:rPr>
      </w:pPr>
    </w:p>
    <w:p w14:paraId="3FDE120E" w14:textId="47298227" w:rsidR="006150B5" w:rsidRPr="003A484D" w:rsidRDefault="006150B5" w:rsidP="003A484D">
      <w:pPr>
        <w:spacing w:line="276" w:lineRule="auto"/>
        <w:jc w:val="both"/>
        <w:rPr>
          <w:rFonts w:ascii="Gadugi" w:hAnsi="Gadugi" w:cs="Century Gothic"/>
        </w:rPr>
      </w:pPr>
      <w:r w:rsidRPr="003A484D">
        <w:rPr>
          <w:rFonts w:ascii="Gadugi" w:hAnsi="Gadugi" w:cs="Century Gothic"/>
        </w:rPr>
        <w:t>Y, aunque a la jueza que conoció del proceso civil</w:t>
      </w:r>
      <w:r w:rsidR="4F1FDCEB" w:rsidRPr="003A484D">
        <w:rPr>
          <w:rFonts w:ascii="Gadugi" w:hAnsi="Gadugi" w:cs="Century Gothic"/>
        </w:rPr>
        <w:t xml:space="preserve"> </w:t>
      </w:r>
      <w:r w:rsidRPr="003A484D">
        <w:rPr>
          <w:rFonts w:ascii="Gadugi" w:hAnsi="Gadugi" w:cs="Century Gothic"/>
        </w:rPr>
        <w:t>se le propuso esa excepción, en la sentencia la desestimó con un argumento opuesto al estatuto procesal, pues ella solo dijo que</w:t>
      </w:r>
      <w:r w:rsidR="00245494" w:rsidRPr="003A484D">
        <w:rPr>
          <w:rFonts w:ascii="Gadugi" w:hAnsi="Gadugi" w:cs="Century Gothic"/>
        </w:rPr>
        <w:t xml:space="preserve"> </w:t>
      </w:r>
      <w:r w:rsidR="00245494" w:rsidRPr="003A484D">
        <w:rPr>
          <w:rFonts w:ascii="Gadugi" w:hAnsi="Gadugi" w:cs="Century Gothic"/>
          <w:i/>
          <w:iCs/>
        </w:rPr>
        <w:t>“</w:t>
      </w:r>
      <w:r w:rsidR="00245494" w:rsidRPr="006D1BBB">
        <w:rPr>
          <w:rFonts w:ascii="Gadugi" w:hAnsi="Gadugi" w:cs="Century Gothic"/>
          <w:i/>
          <w:iCs/>
          <w:sz w:val="22"/>
        </w:rPr>
        <w:t xml:space="preserve">(…) en aquella resolución ninguna condena respecto de las que acá se solicita hubo de disponerse como para pretender como lo infiere el </w:t>
      </w:r>
      <w:proofErr w:type="spellStart"/>
      <w:r w:rsidR="00245494" w:rsidRPr="006D1BBB">
        <w:rPr>
          <w:rFonts w:ascii="Gadugi" w:hAnsi="Gadugi" w:cs="Century Gothic"/>
          <w:i/>
          <w:iCs/>
          <w:sz w:val="22"/>
        </w:rPr>
        <w:t>excepcionante</w:t>
      </w:r>
      <w:proofErr w:type="spellEnd"/>
      <w:r w:rsidR="00245494" w:rsidRPr="003A484D">
        <w:rPr>
          <w:rFonts w:ascii="Gadugi" w:hAnsi="Gadugi" w:cs="Century Gothic"/>
          <w:i/>
          <w:iCs/>
        </w:rPr>
        <w:t>”</w:t>
      </w:r>
      <w:r w:rsidR="00245494" w:rsidRPr="003A484D">
        <w:rPr>
          <w:rFonts w:ascii="Gadugi" w:hAnsi="Gadugi" w:cs="Century Gothic"/>
        </w:rPr>
        <w:t xml:space="preserve"> (sic). </w:t>
      </w:r>
    </w:p>
    <w:p w14:paraId="3C8DE49C" w14:textId="6C3976F9" w:rsidR="006150B5" w:rsidRPr="003A484D" w:rsidRDefault="006150B5" w:rsidP="003A484D">
      <w:pPr>
        <w:spacing w:line="276" w:lineRule="auto"/>
        <w:jc w:val="both"/>
        <w:rPr>
          <w:rFonts w:ascii="Gadugi" w:hAnsi="Gadugi" w:cs="Century Gothic"/>
        </w:rPr>
      </w:pPr>
    </w:p>
    <w:p w14:paraId="7396243E" w14:textId="2D151DA1" w:rsidR="00245494" w:rsidRPr="003A484D" w:rsidRDefault="00245494" w:rsidP="003A484D">
      <w:pPr>
        <w:spacing w:line="276" w:lineRule="auto"/>
        <w:jc w:val="both"/>
        <w:rPr>
          <w:rFonts w:ascii="Gadugi" w:hAnsi="Gadugi" w:cs="Century Gothic"/>
        </w:rPr>
      </w:pPr>
      <w:r w:rsidRPr="003A484D">
        <w:rPr>
          <w:rFonts w:ascii="Gadugi" w:hAnsi="Gadugi" w:cs="Century Gothic"/>
        </w:rPr>
        <w:t>Hasta ahí una queja</w:t>
      </w:r>
      <w:r w:rsidR="1C8E9FC8" w:rsidRPr="003A484D">
        <w:rPr>
          <w:rFonts w:ascii="Gadugi" w:hAnsi="Gadugi" w:cs="Century Gothic"/>
        </w:rPr>
        <w:t>. O</w:t>
      </w:r>
      <w:r w:rsidRPr="003A484D">
        <w:rPr>
          <w:rFonts w:ascii="Gadugi" w:hAnsi="Gadugi" w:cs="Century Gothic"/>
        </w:rPr>
        <w:t>tra consiste en que</w:t>
      </w:r>
      <w:r w:rsidR="6C6DBBB0" w:rsidRPr="003A484D">
        <w:rPr>
          <w:rFonts w:ascii="Gadugi" w:hAnsi="Gadugi" w:cs="Century Gothic"/>
        </w:rPr>
        <w:t xml:space="preserve">, </w:t>
      </w:r>
      <w:r w:rsidRPr="003A484D">
        <w:rPr>
          <w:rFonts w:ascii="Gadugi" w:hAnsi="Gadugi" w:cs="Century Gothic"/>
        </w:rPr>
        <w:t xml:space="preserve">en el fallo se le ordenó el pago de los honorarios al abogado que presentó la querella policiva, a pesar de que </w:t>
      </w:r>
      <w:r w:rsidRPr="003A484D">
        <w:rPr>
          <w:rFonts w:ascii="Gadugi" w:hAnsi="Gadugi" w:cs="Century Gothic"/>
          <w:i/>
          <w:iCs/>
        </w:rPr>
        <w:t>“</w:t>
      </w:r>
      <w:r w:rsidRPr="006D1BBB">
        <w:rPr>
          <w:rFonts w:ascii="Gadugi" w:hAnsi="Gadugi" w:cs="Century Gothic"/>
          <w:i/>
          <w:iCs/>
          <w:sz w:val="22"/>
        </w:rPr>
        <w:t>La Corte Suprema de Justicia ha determinado en reiterados fallos que los honorarios pagados a un abogado no es un rubro que pueda ser incluido como perjuicio indemnizable</w:t>
      </w:r>
      <w:r w:rsidRPr="003A484D">
        <w:rPr>
          <w:rFonts w:ascii="Gadugi" w:hAnsi="Gadugi" w:cs="Century Gothic"/>
          <w:i/>
          <w:iCs/>
        </w:rPr>
        <w:t>”.</w:t>
      </w:r>
    </w:p>
    <w:p w14:paraId="09325D7F" w14:textId="6A28A5C8" w:rsidR="00245494" w:rsidRPr="003A484D" w:rsidRDefault="00245494" w:rsidP="003A484D">
      <w:pPr>
        <w:spacing w:line="276" w:lineRule="auto"/>
        <w:jc w:val="both"/>
        <w:rPr>
          <w:rFonts w:ascii="Gadugi" w:hAnsi="Gadugi" w:cs="Century Gothic"/>
        </w:rPr>
      </w:pPr>
    </w:p>
    <w:p w14:paraId="25F346EE" w14:textId="2A12C248" w:rsidR="00245494" w:rsidRPr="003A484D" w:rsidRDefault="00245494" w:rsidP="003A484D">
      <w:pPr>
        <w:spacing w:line="276" w:lineRule="auto"/>
        <w:jc w:val="both"/>
        <w:rPr>
          <w:rFonts w:ascii="Gadugi" w:hAnsi="Gadugi" w:cs="Century Gothic"/>
        </w:rPr>
      </w:pPr>
      <w:r w:rsidRPr="003A484D">
        <w:rPr>
          <w:rFonts w:ascii="Gadugi" w:hAnsi="Gadugi" w:cs="Century Gothic"/>
        </w:rPr>
        <w:t xml:space="preserve">El último reproche nace por la inconformidad que le causa que a la demandante se le haya reconocido un perjuicio moral, a pesar de que ella no aportó ninguna prueba para respaldarlo. </w:t>
      </w:r>
    </w:p>
    <w:p w14:paraId="4FD52795" w14:textId="77777777" w:rsidR="00245494" w:rsidRPr="003A484D" w:rsidRDefault="00245494" w:rsidP="003A484D">
      <w:pPr>
        <w:spacing w:line="276" w:lineRule="auto"/>
        <w:jc w:val="both"/>
        <w:rPr>
          <w:rFonts w:ascii="Gadugi" w:hAnsi="Gadugi" w:cs="Century Gothic"/>
        </w:rPr>
      </w:pPr>
    </w:p>
    <w:p w14:paraId="31944BB8" w14:textId="4C39C165" w:rsidR="008310A0" w:rsidRPr="003A484D" w:rsidRDefault="00245494" w:rsidP="003A484D">
      <w:pPr>
        <w:spacing w:line="276" w:lineRule="auto"/>
        <w:jc w:val="both"/>
        <w:rPr>
          <w:rFonts w:ascii="Gadugi" w:hAnsi="Gadugi" w:cs="Century Gothic"/>
        </w:rPr>
      </w:pPr>
      <w:r w:rsidRPr="003A484D">
        <w:rPr>
          <w:rFonts w:ascii="Gadugi" w:hAnsi="Gadugi" w:cs="Century Gothic"/>
        </w:rPr>
        <w:t>Pidió, entonces, declarar la nulidad del citado fallo y declarar extinguido el derecho de las querellantes a reclamar perjuicios.</w:t>
      </w:r>
      <w:r w:rsidR="000B72A5" w:rsidRPr="003A484D">
        <w:rPr>
          <w:rStyle w:val="Refdenotaalpie"/>
          <w:rFonts w:ascii="Gadugi" w:hAnsi="Gadugi"/>
        </w:rPr>
        <w:footnoteReference w:id="1"/>
      </w:r>
      <w:r w:rsidRPr="003A484D">
        <w:rPr>
          <w:rFonts w:ascii="Gadugi" w:hAnsi="Gadugi" w:cs="Century Gothic"/>
        </w:rPr>
        <w:t xml:space="preserve"> </w:t>
      </w:r>
    </w:p>
    <w:p w14:paraId="242C96C9" w14:textId="77777777" w:rsidR="008310A0" w:rsidRPr="003A484D" w:rsidRDefault="008310A0" w:rsidP="003A484D">
      <w:pPr>
        <w:spacing w:line="276" w:lineRule="auto"/>
        <w:jc w:val="both"/>
        <w:rPr>
          <w:rFonts w:ascii="Gadugi" w:hAnsi="Gadugi" w:cs="Century Gothic"/>
        </w:rPr>
      </w:pPr>
    </w:p>
    <w:p w14:paraId="4149D581" w14:textId="18631217" w:rsidR="00245494" w:rsidRPr="003A484D" w:rsidRDefault="00AD0D76" w:rsidP="003A484D">
      <w:pPr>
        <w:spacing w:line="276" w:lineRule="auto"/>
        <w:jc w:val="both"/>
        <w:rPr>
          <w:rFonts w:ascii="Gadugi" w:hAnsi="Gadugi" w:cs="Century Gothic"/>
        </w:rPr>
      </w:pPr>
      <w:r w:rsidRPr="003A484D">
        <w:rPr>
          <w:rFonts w:ascii="Gadugi" w:hAnsi="Gadugi" w:cs="Century Gothic"/>
        </w:rPr>
        <w:lastRenderedPageBreak/>
        <w:t xml:space="preserve">1.2. En primera instancia se dio impulso a la acción con auto del </w:t>
      </w:r>
      <w:r w:rsidR="000008AD" w:rsidRPr="003A484D">
        <w:rPr>
          <w:rFonts w:ascii="Gadugi" w:hAnsi="Gadugi" w:cs="Century Gothic"/>
        </w:rPr>
        <w:t>1</w:t>
      </w:r>
      <w:r w:rsidR="00245494" w:rsidRPr="003A484D">
        <w:rPr>
          <w:rFonts w:ascii="Gadugi" w:hAnsi="Gadugi" w:cs="Century Gothic"/>
        </w:rPr>
        <w:t>9</w:t>
      </w:r>
      <w:r w:rsidRPr="003A484D">
        <w:rPr>
          <w:rFonts w:ascii="Gadugi" w:hAnsi="Gadugi" w:cs="Century Gothic"/>
        </w:rPr>
        <w:t xml:space="preserve"> de </w:t>
      </w:r>
      <w:r w:rsidR="000008AD" w:rsidRPr="003A484D">
        <w:rPr>
          <w:rFonts w:ascii="Gadugi" w:hAnsi="Gadugi" w:cs="Century Gothic"/>
        </w:rPr>
        <w:t xml:space="preserve">mayo </w:t>
      </w:r>
      <w:r w:rsidRPr="003A484D">
        <w:rPr>
          <w:rFonts w:ascii="Gadugi" w:hAnsi="Gadugi" w:cs="Century Gothic"/>
        </w:rPr>
        <w:t>de 202</w:t>
      </w:r>
      <w:r w:rsidR="000008AD" w:rsidRPr="003A484D">
        <w:rPr>
          <w:rFonts w:ascii="Gadugi" w:hAnsi="Gadugi" w:cs="Century Gothic"/>
        </w:rPr>
        <w:t>3</w:t>
      </w:r>
      <w:r w:rsidR="00245494" w:rsidRPr="003A484D">
        <w:rPr>
          <w:rFonts w:ascii="Gadugi" w:hAnsi="Gadugi" w:cs="Century Gothic"/>
        </w:rPr>
        <w:t>, allí fueron vinculados la demandante en el proceso de marras y su abogado.</w:t>
      </w:r>
      <w:r w:rsidR="00DD530B" w:rsidRPr="003A484D">
        <w:rPr>
          <w:rStyle w:val="Refdenotaalpie"/>
          <w:rFonts w:ascii="Gadugi" w:hAnsi="Gadugi"/>
        </w:rPr>
        <w:footnoteReference w:id="2"/>
      </w:r>
      <w:r w:rsidR="00245494" w:rsidRPr="003A484D">
        <w:rPr>
          <w:rFonts w:ascii="Gadugi" w:hAnsi="Gadugi" w:cs="Century Gothic"/>
        </w:rPr>
        <w:t xml:space="preserve"> </w:t>
      </w:r>
    </w:p>
    <w:p w14:paraId="767E2D19" w14:textId="77777777" w:rsidR="00245494" w:rsidRPr="003A484D" w:rsidRDefault="00245494" w:rsidP="003A484D">
      <w:pPr>
        <w:spacing w:line="276" w:lineRule="auto"/>
        <w:jc w:val="both"/>
        <w:rPr>
          <w:rFonts w:ascii="Gadugi" w:hAnsi="Gadugi" w:cs="Century Gothic"/>
        </w:rPr>
      </w:pPr>
    </w:p>
    <w:p w14:paraId="2E95487E" w14:textId="0F5EA460" w:rsidR="00245494" w:rsidRPr="003A484D" w:rsidRDefault="005C31A8" w:rsidP="003A484D">
      <w:pPr>
        <w:spacing w:line="276" w:lineRule="auto"/>
        <w:jc w:val="both"/>
        <w:rPr>
          <w:rFonts w:ascii="Gadugi" w:hAnsi="Gadugi" w:cs="Century Gothic"/>
        </w:rPr>
      </w:pPr>
      <w:r w:rsidRPr="003A484D">
        <w:rPr>
          <w:rFonts w:ascii="Gadugi" w:hAnsi="Gadugi" w:cs="Century Gothic"/>
        </w:rPr>
        <w:t>1.</w:t>
      </w:r>
      <w:r w:rsidR="00AD0D76" w:rsidRPr="003A484D">
        <w:rPr>
          <w:rFonts w:ascii="Gadugi" w:hAnsi="Gadugi" w:cs="Century Gothic"/>
        </w:rPr>
        <w:t>3</w:t>
      </w:r>
      <w:r w:rsidRPr="003A484D">
        <w:rPr>
          <w:rFonts w:ascii="Gadugi" w:hAnsi="Gadugi" w:cs="Century Gothic"/>
        </w:rPr>
        <w:t>.</w:t>
      </w:r>
      <w:r w:rsidR="00245494" w:rsidRPr="003A484D">
        <w:rPr>
          <w:rFonts w:ascii="Gadugi" w:hAnsi="Gadugi" w:cs="Century Gothic"/>
        </w:rPr>
        <w:t xml:space="preserve"> Los vinculados solicitaron desestimar la tutela</w:t>
      </w:r>
      <w:r w:rsidR="6BFF6D70" w:rsidRPr="003A484D">
        <w:rPr>
          <w:rFonts w:ascii="Gadugi" w:hAnsi="Gadugi" w:cs="Century Gothic"/>
        </w:rPr>
        <w:t xml:space="preserve">. </w:t>
      </w:r>
      <w:r w:rsidR="00074ADD" w:rsidRPr="003A484D">
        <w:rPr>
          <w:rFonts w:ascii="Gadugi" w:hAnsi="Gadugi" w:cs="Century Gothic"/>
        </w:rPr>
        <w:t>P</w:t>
      </w:r>
      <w:r w:rsidR="00245494" w:rsidRPr="003A484D">
        <w:rPr>
          <w:rFonts w:ascii="Gadugi" w:hAnsi="Gadugi" w:cs="Century Gothic"/>
        </w:rPr>
        <w:t>lantearon que</w:t>
      </w:r>
      <w:r w:rsidR="00074ADD" w:rsidRPr="003A484D">
        <w:rPr>
          <w:rFonts w:ascii="Gadugi" w:hAnsi="Gadugi" w:cs="Century Gothic"/>
        </w:rPr>
        <w:t xml:space="preserve"> el </w:t>
      </w:r>
      <w:r w:rsidR="6988CF0C" w:rsidRPr="003A484D">
        <w:rPr>
          <w:rFonts w:ascii="Gadugi" w:hAnsi="Gadugi" w:cs="Century Gothic"/>
        </w:rPr>
        <w:t>p</w:t>
      </w:r>
      <w:r w:rsidR="00074ADD" w:rsidRPr="003A484D">
        <w:rPr>
          <w:rFonts w:ascii="Gadugi" w:hAnsi="Gadugi" w:cs="Century Gothic"/>
        </w:rPr>
        <w:t xml:space="preserve">rocedimiento </w:t>
      </w:r>
      <w:r w:rsidR="62152B5E" w:rsidRPr="003A484D">
        <w:rPr>
          <w:rFonts w:ascii="Gadugi" w:hAnsi="Gadugi" w:cs="Century Gothic"/>
        </w:rPr>
        <w:t>e</w:t>
      </w:r>
      <w:r w:rsidR="00074ADD" w:rsidRPr="003A484D">
        <w:rPr>
          <w:rFonts w:ascii="Gadugi" w:hAnsi="Gadugi" w:cs="Century Gothic"/>
        </w:rPr>
        <w:t xml:space="preserve">special de </w:t>
      </w:r>
      <w:r w:rsidR="3B91CF04" w:rsidRPr="003A484D">
        <w:rPr>
          <w:rFonts w:ascii="Gadugi" w:hAnsi="Gadugi" w:cs="Century Gothic"/>
        </w:rPr>
        <w:t>p</w:t>
      </w:r>
      <w:r w:rsidR="00074ADD" w:rsidRPr="003A484D">
        <w:rPr>
          <w:rFonts w:ascii="Gadugi" w:hAnsi="Gadugi" w:cs="Century Gothic"/>
        </w:rPr>
        <w:t>olicía en el que se ordenó el cese a la perturbación de la señora Luz Enith Cardona Marín, no prevé algún incidente para reclamar perjuicios</w:t>
      </w:r>
      <w:r w:rsidR="66DE2724" w:rsidRPr="003A484D">
        <w:rPr>
          <w:rFonts w:ascii="Gadugi" w:hAnsi="Gadugi" w:cs="Century Gothic"/>
        </w:rPr>
        <w:t>. D</w:t>
      </w:r>
      <w:r w:rsidR="00074ADD" w:rsidRPr="003A484D">
        <w:rPr>
          <w:rFonts w:ascii="Gadugi" w:hAnsi="Gadugi" w:cs="Century Gothic"/>
        </w:rPr>
        <w:t xml:space="preserve">istinto a eso, </w:t>
      </w:r>
      <w:r w:rsidR="3F08E563" w:rsidRPr="003A484D">
        <w:rPr>
          <w:rFonts w:ascii="Gadugi" w:hAnsi="Gadugi" w:cs="Century Gothic"/>
        </w:rPr>
        <w:t>tales</w:t>
      </w:r>
      <w:r w:rsidR="00074ADD" w:rsidRPr="003A484D">
        <w:rPr>
          <w:rFonts w:ascii="Gadugi" w:hAnsi="Gadugi" w:cs="Century Gothic"/>
        </w:rPr>
        <w:t xml:space="preserve"> trámites solo buscan establecer medidas correctivas para la sana convivencia ciudadana como, por ejemplo, la restitución y protección de bienes inmuebles, en ese orden de ideas la prescripción que aquí opera es la civil, prevista en el artículo 2536 del Código Civil, y aquí no sucedió porque la demanda se promovió dentro del </w:t>
      </w:r>
      <w:r w:rsidR="00192BE7" w:rsidRPr="003A484D">
        <w:rPr>
          <w:rFonts w:ascii="Gadugi" w:hAnsi="Gadugi" w:cs="Century Gothic"/>
        </w:rPr>
        <w:t>término</w:t>
      </w:r>
      <w:r w:rsidR="00074ADD" w:rsidRPr="003A484D">
        <w:rPr>
          <w:rFonts w:ascii="Gadugi" w:hAnsi="Gadugi" w:cs="Century Gothic"/>
        </w:rPr>
        <w:t xml:space="preserve"> de 5 años, contados desde que culminó el trámite administrativo. </w:t>
      </w:r>
    </w:p>
    <w:p w14:paraId="4658FD48" w14:textId="5EF98C3F" w:rsidR="00074ADD" w:rsidRPr="003A484D" w:rsidRDefault="00074ADD" w:rsidP="003A484D">
      <w:pPr>
        <w:spacing w:line="276" w:lineRule="auto"/>
        <w:jc w:val="both"/>
        <w:rPr>
          <w:rFonts w:ascii="Gadugi" w:hAnsi="Gadugi" w:cs="Century Gothic"/>
        </w:rPr>
      </w:pPr>
    </w:p>
    <w:p w14:paraId="2686259B" w14:textId="50D9DCCA" w:rsidR="00074ADD" w:rsidRPr="003A484D" w:rsidRDefault="00074ADD" w:rsidP="003A484D">
      <w:pPr>
        <w:spacing w:line="276" w:lineRule="auto"/>
        <w:jc w:val="both"/>
        <w:rPr>
          <w:rFonts w:ascii="Gadugi" w:hAnsi="Gadugi" w:cs="Century Gothic"/>
        </w:rPr>
      </w:pPr>
      <w:r w:rsidRPr="003A484D">
        <w:rPr>
          <w:rFonts w:ascii="Gadugi" w:hAnsi="Gadugi" w:cs="Century Gothic"/>
        </w:rPr>
        <w:t xml:space="preserve">Hicieron énfasis en que </w:t>
      </w:r>
      <w:r w:rsidRPr="003A484D">
        <w:rPr>
          <w:rFonts w:ascii="Gadugi" w:hAnsi="Gadugi" w:cs="Century Gothic"/>
          <w:i/>
        </w:rPr>
        <w:t>“</w:t>
      </w:r>
      <w:r w:rsidRPr="006D1BBB">
        <w:rPr>
          <w:rFonts w:ascii="Gadugi" w:hAnsi="Gadugi" w:cs="Century Gothic"/>
          <w:i/>
          <w:sz w:val="22"/>
        </w:rPr>
        <w:t xml:space="preserve">(…) Esa norma </w:t>
      </w:r>
      <w:r w:rsidRPr="006D1BBB">
        <w:rPr>
          <w:rFonts w:ascii="Gadugi" w:hAnsi="Gadugi" w:cs="Century Gothic"/>
          <w:sz w:val="22"/>
        </w:rPr>
        <w:t>[Art. 283 del CGP</w:t>
      </w:r>
      <w:r w:rsidR="00B91B09" w:rsidRPr="006D1BBB">
        <w:rPr>
          <w:rFonts w:ascii="Gadugi" w:hAnsi="Gadugi" w:cs="Century Gothic"/>
          <w:sz w:val="22"/>
        </w:rPr>
        <w:t>]</w:t>
      </w:r>
      <w:r w:rsidR="00B91B09" w:rsidRPr="006D1BBB">
        <w:rPr>
          <w:rFonts w:ascii="Gadugi" w:hAnsi="Gadugi" w:cs="Century Gothic"/>
          <w:i/>
          <w:sz w:val="22"/>
        </w:rPr>
        <w:t xml:space="preserve"> hace referencia a las sentencias (…) proferidas por los jueces ordinarios (…) y su campo de aplicación no está dado a autoridades de policía que (…) no efectúan condenas en concreto ni en abstracto por expresa disposición de la Ley 1801 de 2016</w:t>
      </w:r>
      <w:r w:rsidR="00B91B09" w:rsidRPr="003A484D">
        <w:rPr>
          <w:rFonts w:ascii="Gadugi" w:hAnsi="Gadugi" w:cs="Century Gothic"/>
          <w:i/>
        </w:rPr>
        <w:t>.”</w:t>
      </w:r>
    </w:p>
    <w:p w14:paraId="2CB6B09D" w14:textId="77777777" w:rsidR="00245494" w:rsidRPr="003A484D" w:rsidRDefault="00245494" w:rsidP="003A484D">
      <w:pPr>
        <w:spacing w:line="276" w:lineRule="auto"/>
        <w:jc w:val="both"/>
        <w:rPr>
          <w:rFonts w:ascii="Gadugi" w:hAnsi="Gadugi" w:cs="Century Gothic"/>
        </w:rPr>
      </w:pPr>
    </w:p>
    <w:p w14:paraId="27872440" w14:textId="30F1EE8A" w:rsidR="00245494" w:rsidRPr="003A484D" w:rsidRDefault="00B91B09" w:rsidP="003A484D">
      <w:pPr>
        <w:spacing w:line="276" w:lineRule="auto"/>
        <w:jc w:val="both"/>
        <w:rPr>
          <w:rFonts w:ascii="Gadugi" w:hAnsi="Gadugi" w:cs="Century Gothic"/>
        </w:rPr>
      </w:pPr>
      <w:r w:rsidRPr="003A484D">
        <w:rPr>
          <w:rFonts w:ascii="Gadugi" w:hAnsi="Gadugi" w:cs="Century Gothic"/>
        </w:rPr>
        <w:t>Finalmente estimaron razonables los perjuicios reconocidos en el fallo, comoquiera que fueron gastos en que tuvo que incurrir la señora Cardona Marín por la conducta arbitraria del señor José Alberto Bermúdez Hernández.</w:t>
      </w:r>
      <w:r w:rsidR="00DD530B" w:rsidRPr="003A484D">
        <w:rPr>
          <w:rStyle w:val="Refdenotaalpie"/>
          <w:rFonts w:ascii="Gadugi" w:hAnsi="Gadugi"/>
        </w:rPr>
        <w:footnoteReference w:id="3"/>
      </w:r>
      <w:r w:rsidR="00DD530B" w:rsidRPr="003A484D">
        <w:rPr>
          <w:rFonts w:ascii="Gadugi" w:hAnsi="Gadugi"/>
          <w:lang w:val="es-CO"/>
        </w:rPr>
        <w:t xml:space="preserve"> </w:t>
      </w:r>
    </w:p>
    <w:p w14:paraId="5666204B" w14:textId="1E2C88A6" w:rsidR="00B91B09" w:rsidRPr="003A484D" w:rsidRDefault="00B91B09" w:rsidP="003A484D">
      <w:pPr>
        <w:spacing w:line="276" w:lineRule="auto"/>
        <w:jc w:val="both"/>
        <w:rPr>
          <w:rFonts w:ascii="Gadugi" w:hAnsi="Gadugi" w:cs="Century Gothic"/>
        </w:rPr>
      </w:pPr>
    </w:p>
    <w:p w14:paraId="2D82F9AF" w14:textId="08B8BD50" w:rsidR="00B91B09" w:rsidRPr="003A484D" w:rsidRDefault="00B91B09" w:rsidP="003A484D">
      <w:pPr>
        <w:spacing w:line="276" w:lineRule="auto"/>
        <w:jc w:val="both"/>
        <w:rPr>
          <w:rFonts w:ascii="Gadugi" w:hAnsi="Gadugi" w:cs="Century Gothic"/>
        </w:rPr>
      </w:pPr>
      <w:r w:rsidRPr="003A484D">
        <w:rPr>
          <w:rFonts w:ascii="Gadugi" w:hAnsi="Gadugi" w:cs="Century Gothic"/>
        </w:rPr>
        <w:t>1.4. El juzgado accionado remitió el enlace para acceder al juicio cuestionado.</w:t>
      </w:r>
      <w:r w:rsidR="00DD530B" w:rsidRPr="003A484D">
        <w:rPr>
          <w:rStyle w:val="Refdenotaalpie"/>
          <w:rFonts w:ascii="Gadugi" w:hAnsi="Gadugi"/>
        </w:rPr>
        <w:footnoteReference w:id="4"/>
      </w:r>
    </w:p>
    <w:p w14:paraId="506EE097" w14:textId="48AAEE2D" w:rsidR="00B91B09" w:rsidRPr="003A484D" w:rsidRDefault="00B91B09" w:rsidP="003A484D">
      <w:pPr>
        <w:spacing w:line="276" w:lineRule="auto"/>
        <w:jc w:val="both"/>
        <w:rPr>
          <w:rFonts w:ascii="Gadugi" w:hAnsi="Gadugi" w:cs="Century Gothic"/>
        </w:rPr>
      </w:pPr>
    </w:p>
    <w:p w14:paraId="60800EB6" w14:textId="0E8C57B2" w:rsidR="00B91B09" w:rsidRPr="003A484D" w:rsidRDefault="00B91B09" w:rsidP="003A484D">
      <w:pPr>
        <w:spacing w:line="276" w:lineRule="auto"/>
        <w:jc w:val="both"/>
        <w:rPr>
          <w:rFonts w:ascii="Gadugi" w:hAnsi="Gadugi" w:cs="Century Gothic"/>
        </w:rPr>
      </w:pPr>
      <w:r w:rsidRPr="003A484D">
        <w:rPr>
          <w:rFonts w:ascii="Gadugi" w:hAnsi="Gadugi" w:cs="Century Gothic"/>
        </w:rPr>
        <w:t>1.5. Sobrevino el fallo de primera instancia que negó el amparo</w:t>
      </w:r>
      <w:r w:rsidR="0044449B" w:rsidRPr="003A484D">
        <w:rPr>
          <w:rFonts w:ascii="Gadugi" w:hAnsi="Gadugi" w:cs="Century Gothic"/>
        </w:rPr>
        <w:t xml:space="preserve"> luego de concluir que la decisión del juzgado encausado era razonable.</w:t>
      </w:r>
      <w:r w:rsidR="00DD530B" w:rsidRPr="003A484D">
        <w:rPr>
          <w:rStyle w:val="Refdenotaalpie"/>
          <w:rFonts w:ascii="Gadugi" w:hAnsi="Gadugi"/>
        </w:rPr>
        <w:footnoteReference w:id="5"/>
      </w:r>
    </w:p>
    <w:p w14:paraId="07BC3BE8" w14:textId="5B52E7A8" w:rsidR="0044449B" w:rsidRPr="003A484D" w:rsidRDefault="0044449B" w:rsidP="003A484D">
      <w:pPr>
        <w:spacing w:line="276" w:lineRule="auto"/>
        <w:jc w:val="both"/>
        <w:rPr>
          <w:rFonts w:ascii="Gadugi" w:hAnsi="Gadugi" w:cs="Century Gothic"/>
        </w:rPr>
      </w:pPr>
    </w:p>
    <w:p w14:paraId="3005CBA8" w14:textId="4AE90579" w:rsidR="00B4396D" w:rsidRPr="003A484D" w:rsidRDefault="0044449B" w:rsidP="003A484D">
      <w:pPr>
        <w:spacing w:line="276" w:lineRule="auto"/>
        <w:jc w:val="both"/>
        <w:rPr>
          <w:rFonts w:ascii="Gadugi" w:hAnsi="Gadugi"/>
        </w:rPr>
      </w:pPr>
      <w:r w:rsidRPr="003A484D">
        <w:rPr>
          <w:rFonts w:ascii="Gadugi" w:hAnsi="Gadugi" w:cs="Century Gothic"/>
        </w:rPr>
        <w:t>1.6. Impugnó el actor, planteando que, como no existe norma que regule el reconocimiento de perjuicios en los procesos policivos, debe acudirse al CGP, y, en consecuencia, debió declararse extinto el derecho de conformidad con el artículo 283 de ese código.</w:t>
      </w:r>
      <w:r w:rsidR="00DD530B" w:rsidRPr="003A484D">
        <w:rPr>
          <w:rStyle w:val="Refdenotaalpie"/>
          <w:rFonts w:ascii="Gadugi" w:hAnsi="Gadugi"/>
        </w:rPr>
        <w:footnoteReference w:id="6"/>
      </w:r>
      <w:r w:rsidRPr="003A484D">
        <w:rPr>
          <w:rFonts w:ascii="Gadugi" w:hAnsi="Gadugi" w:cs="Century Gothic"/>
        </w:rPr>
        <w:t xml:space="preserve"> </w:t>
      </w:r>
    </w:p>
    <w:p w14:paraId="316FF619" w14:textId="1BF635ED" w:rsidR="004C5439" w:rsidRPr="003A484D" w:rsidRDefault="008B2938" w:rsidP="003A484D">
      <w:pPr>
        <w:spacing w:line="276" w:lineRule="auto"/>
        <w:jc w:val="both"/>
        <w:rPr>
          <w:rFonts w:ascii="Gadugi" w:hAnsi="Gadugi"/>
          <w:b/>
        </w:rPr>
      </w:pPr>
      <w:r w:rsidRPr="003A484D">
        <w:rPr>
          <w:rFonts w:ascii="Gadugi" w:hAnsi="Gadugi"/>
          <w:b/>
        </w:rPr>
        <w:tab/>
      </w:r>
      <w:r w:rsidRPr="003A484D">
        <w:rPr>
          <w:rFonts w:ascii="Gadugi" w:hAnsi="Gadugi"/>
          <w:b/>
        </w:rPr>
        <w:tab/>
      </w:r>
      <w:r w:rsidRPr="003A484D">
        <w:rPr>
          <w:rFonts w:ascii="Gadugi" w:hAnsi="Gadugi"/>
          <w:b/>
        </w:rPr>
        <w:tab/>
      </w:r>
      <w:r w:rsidRPr="003A484D">
        <w:rPr>
          <w:rFonts w:ascii="Gadugi" w:hAnsi="Gadugi"/>
          <w:b/>
        </w:rPr>
        <w:tab/>
      </w:r>
      <w:r w:rsidRPr="003A484D">
        <w:rPr>
          <w:rFonts w:ascii="Gadugi" w:hAnsi="Gadugi"/>
          <w:b/>
        </w:rPr>
        <w:tab/>
      </w:r>
    </w:p>
    <w:p w14:paraId="7916682E" w14:textId="46588890" w:rsidR="00054057" w:rsidRPr="003A484D" w:rsidRDefault="00A12EBE" w:rsidP="003A484D">
      <w:pPr>
        <w:spacing w:line="276" w:lineRule="auto"/>
        <w:jc w:val="both"/>
        <w:rPr>
          <w:rFonts w:ascii="Gadugi" w:hAnsi="Gadugi" w:cs="Century Gothic"/>
        </w:rPr>
      </w:pPr>
      <w:r w:rsidRPr="003A484D">
        <w:rPr>
          <w:rFonts w:ascii="Gadugi" w:hAnsi="Gadugi"/>
          <w:b/>
        </w:rPr>
        <w:t xml:space="preserve">2. </w:t>
      </w:r>
      <w:r w:rsidR="00054057" w:rsidRPr="003A484D">
        <w:rPr>
          <w:rFonts w:ascii="Gadugi" w:hAnsi="Gadugi"/>
          <w:b/>
        </w:rPr>
        <w:t>CONSIDERACIONES</w:t>
      </w:r>
    </w:p>
    <w:p w14:paraId="61A7D3CD" w14:textId="65DE0FF5" w:rsidR="00293341" w:rsidRPr="003A484D" w:rsidRDefault="00FA3746" w:rsidP="003A484D">
      <w:pPr>
        <w:spacing w:line="276" w:lineRule="auto"/>
        <w:jc w:val="both"/>
        <w:rPr>
          <w:rFonts w:ascii="Gadugi" w:hAnsi="Gadugi"/>
          <w:b/>
        </w:rPr>
      </w:pPr>
      <w:r w:rsidRPr="003A484D">
        <w:rPr>
          <w:rFonts w:ascii="Gadugi" w:hAnsi="Gadugi"/>
          <w:b/>
        </w:rPr>
        <w:tab/>
      </w:r>
      <w:r w:rsidRPr="003A484D">
        <w:rPr>
          <w:rFonts w:ascii="Gadugi" w:hAnsi="Gadugi"/>
          <w:b/>
        </w:rPr>
        <w:tab/>
      </w:r>
      <w:r w:rsidRPr="003A484D">
        <w:rPr>
          <w:rFonts w:ascii="Gadugi" w:hAnsi="Gadugi"/>
          <w:b/>
        </w:rPr>
        <w:tab/>
      </w:r>
      <w:r w:rsidRPr="003A484D">
        <w:rPr>
          <w:rFonts w:ascii="Gadugi" w:hAnsi="Gadugi"/>
          <w:b/>
        </w:rPr>
        <w:tab/>
      </w:r>
      <w:r w:rsidRPr="003A484D">
        <w:rPr>
          <w:rFonts w:ascii="Gadugi" w:hAnsi="Gadugi"/>
          <w:b/>
        </w:rPr>
        <w:tab/>
      </w:r>
    </w:p>
    <w:p w14:paraId="0D1EA829" w14:textId="169EE197" w:rsidR="00FB4194" w:rsidRPr="003A484D" w:rsidRDefault="00A80D6C" w:rsidP="003A484D">
      <w:pPr>
        <w:spacing w:line="276" w:lineRule="auto"/>
        <w:ind w:firstLine="1"/>
        <w:jc w:val="both"/>
        <w:rPr>
          <w:rFonts w:ascii="Gadugi" w:hAnsi="Gadugi" w:cs="Arial"/>
        </w:rPr>
      </w:pPr>
      <w:r w:rsidRPr="003A484D">
        <w:rPr>
          <w:rFonts w:ascii="Gadugi" w:hAnsi="Gadugi" w:cs="Arial"/>
        </w:rPr>
        <w:t>2.1.</w:t>
      </w:r>
      <w:r w:rsidR="00862028" w:rsidRPr="003A484D">
        <w:rPr>
          <w:rFonts w:ascii="Gadugi" w:hAnsi="Gadugi" w:cs="Arial"/>
        </w:rPr>
        <w:t xml:space="preserve"> </w:t>
      </w:r>
      <w:r w:rsidR="00FB4194" w:rsidRPr="003A484D">
        <w:rPr>
          <w:rFonts w:ascii="Gadugi" w:hAnsi="Gadugi" w:cs="Arial"/>
        </w:rPr>
        <w:t>El artículo 86 de la Constitución Nacional faculta a toda persona para reclamar ante los jueces la protección inmediata de los derechos constitucionales fundamentales cuando considere que estos resulten vulnerados o amenazados por la acción o la omisión de cualquier autoridad pública o, eventualmente, por particulares.</w:t>
      </w:r>
    </w:p>
    <w:p w14:paraId="6C25F02E" w14:textId="4EB33D92" w:rsidR="00FB4194" w:rsidRPr="003A484D" w:rsidRDefault="00FB4194" w:rsidP="003A484D">
      <w:pPr>
        <w:spacing w:line="276" w:lineRule="auto"/>
        <w:jc w:val="both"/>
        <w:rPr>
          <w:rFonts w:ascii="Gadugi" w:hAnsi="Gadugi" w:cs="Arial"/>
          <w:bCs/>
        </w:rPr>
      </w:pPr>
      <w:r w:rsidRPr="003A484D">
        <w:rPr>
          <w:rFonts w:ascii="Gadugi" w:hAnsi="Gadugi" w:cs="Arial"/>
          <w:bCs/>
        </w:rPr>
        <w:t xml:space="preserve">  </w:t>
      </w:r>
      <w:r w:rsidRPr="003A484D">
        <w:rPr>
          <w:rFonts w:ascii="Gadugi" w:hAnsi="Gadugi" w:cs="Arial"/>
          <w:bCs/>
        </w:rPr>
        <w:tab/>
      </w:r>
      <w:r w:rsidRPr="003A484D">
        <w:rPr>
          <w:rFonts w:ascii="Gadugi" w:hAnsi="Gadugi" w:cs="Arial"/>
          <w:bCs/>
        </w:rPr>
        <w:tab/>
      </w:r>
      <w:r w:rsidRPr="003A484D">
        <w:rPr>
          <w:rFonts w:ascii="Gadugi" w:hAnsi="Gadugi" w:cs="Arial"/>
          <w:bCs/>
        </w:rPr>
        <w:tab/>
      </w:r>
    </w:p>
    <w:p w14:paraId="07B81A26" w14:textId="35DA6281" w:rsidR="00F7392E" w:rsidRPr="003A484D" w:rsidRDefault="00FB2585" w:rsidP="003A484D">
      <w:pPr>
        <w:spacing w:line="276" w:lineRule="auto"/>
        <w:jc w:val="both"/>
        <w:rPr>
          <w:rFonts w:ascii="Gadugi" w:hAnsi="Gadugi" w:cs="Arial"/>
          <w:bCs/>
        </w:rPr>
      </w:pPr>
      <w:r w:rsidRPr="003A484D">
        <w:rPr>
          <w:rFonts w:ascii="Gadugi" w:hAnsi="Gadugi" w:cs="Arial"/>
          <w:bCs/>
        </w:rPr>
        <w:lastRenderedPageBreak/>
        <w:t xml:space="preserve">En este caso, </w:t>
      </w:r>
      <w:r w:rsidR="00EB5BFD" w:rsidRPr="003A484D">
        <w:rPr>
          <w:rFonts w:ascii="Gadugi" w:hAnsi="Gadugi" w:cs="Arial"/>
          <w:bCs/>
        </w:rPr>
        <w:t>el</w:t>
      </w:r>
      <w:r w:rsidR="00694D9A" w:rsidRPr="003A484D">
        <w:rPr>
          <w:rFonts w:ascii="Gadugi" w:hAnsi="Gadugi" w:cs="Arial"/>
          <w:bCs/>
        </w:rPr>
        <w:t xml:space="preserve"> accionante </w:t>
      </w:r>
      <w:r w:rsidR="00A96B8A" w:rsidRPr="003A484D">
        <w:rPr>
          <w:rFonts w:ascii="Gadugi" w:hAnsi="Gadugi" w:cs="Arial"/>
          <w:bCs/>
        </w:rPr>
        <w:t xml:space="preserve">invocó la tutela en procura de la protección </w:t>
      </w:r>
      <w:r w:rsidR="00694D9A" w:rsidRPr="003A484D">
        <w:rPr>
          <w:rFonts w:ascii="Gadugi" w:hAnsi="Gadugi" w:cs="Arial"/>
          <w:bCs/>
        </w:rPr>
        <w:t>de su</w:t>
      </w:r>
      <w:r w:rsidR="00A96B8A" w:rsidRPr="003A484D">
        <w:rPr>
          <w:rFonts w:ascii="Gadugi" w:hAnsi="Gadugi" w:cs="Arial"/>
          <w:bCs/>
        </w:rPr>
        <w:t xml:space="preserve"> derecho </w:t>
      </w:r>
      <w:r w:rsidR="00FA3746" w:rsidRPr="003A484D">
        <w:rPr>
          <w:rFonts w:ascii="Gadugi" w:hAnsi="Gadugi" w:cs="Arial"/>
          <w:bCs/>
        </w:rPr>
        <w:t>al debido proceso, presuntamente</w:t>
      </w:r>
      <w:r w:rsidR="00EB5BFD" w:rsidRPr="003A484D">
        <w:rPr>
          <w:rFonts w:ascii="Gadugi" w:hAnsi="Gadugi" w:cs="Arial"/>
          <w:bCs/>
        </w:rPr>
        <w:t xml:space="preserve"> vulnerado por el juzgado encartado que</w:t>
      </w:r>
      <w:r w:rsidR="00F7392E" w:rsidRPr="003A484D">
        <w:rPr>
          <w:rFonts w:ascii="Gadugi" w:hAnsi="Gadugi" w:cs="Arial"/>
          <w:bCs/>
        </w:rPr>
        <w:t xml:space="preserve"> profirió sentencia en un proceso de regulación de perjuicios, desconociendo las normas aplicables al caso. </w:t>
      </w:r>
    </w:p>
    <w:p w14:paraId="0494C80A" w14:textId="77777777" w:rsidR="00EB5BFD" w:rsidRPr="003A484D" w:rsidRDefault="00EB5BFD" w:rsidP="003A484D">
      <w:pPr>
        <w:tabs>
          <w:tab w:val="left" w:pos="3108"/>
        </w:tabs>
        <w:spacing w:line="276" w:lineRule="auto"/>
        <w:jc w:val="both"/>
        <w:rPr>
          <w:rFonts w:ascii="Gadugi" w:hAnsi="Gadugi" w:cs="Arial"/>
        </w:rPr>
      </w:pPr>
    </w:p>
    <w:p w14:paraId="5ACACBD2" w14:textId="77777777" w:rsidR="00EB5BFD" w:rsidRPr="003A484D" w:rsidRDefault="00EB5BFD" w:rsidP="003A484D">
      <w:pPr>
        <w:spacing w:line="276" w:lineRule="auto"/>
        <w:jc w:val="both"/>
        <w:rPr>
          <w:rFonts w:ascii="Gadugi" w:hAnsi="Gadugi" w:cs="Arial"/>
        </w:rPr>
      </w:pPr>
      <w:r w:rsidRPr="003A484D">
        <w:rPr>
          <w:rFonts w:ascii="Gadugi" w:hAnsi="Gadugi" w:cs="Century Gothic"/>
          <w:lang w:val="es-CO"/>
        </w:rPr>
        <w:t>2.2. Reiteradamente</w:t>
      </w:r>
      <w:r w:rsidRPr="003A484D">
        <w:rPr>
          <w:rFonts w:ascii="Gadugi" w:hAnsi="Gadugi" w:cs="Arial"/>
        </w:rPr>
        <w:t xml:space="preserve"> se ha expuesto que </w:t>
      </w:r>
      <w:r w:rsidRPr="003A484D">
        <w:rPr>
          <w:rFonts w:ascii="Gadugi" w:hAnsi="Gadugi"/>
        </w:rPr>
        <w:t>a pesar de la inexequibilidad de las normas que en el Decreto 2591 de 1991 preveían la acción de tutela contra providencias judiciales</w:t>
      </w:r>
      <w:r w:rsidRPr="003A484D">
        <w:rPr>
          <w:rStyle w:val="Refdenotaalpie"/>
          <w:rFonts w:ascii="Gadugi" w:hAnsi="Gadugi"/>
        </w:rPr>
        <w:footnoteReference w:id="7"/>
      </w:r>
      <w:r w:rsidRPr="003A484D">
        <w:rPr>
          <w:rFonts w:ascii="Gadugi" w:hAnsi="Gadugi"/>
        </w:rPr>
        <w:t>, tal mecanismo se abre paso en aquellos eventos en los que se incurra en una vía de hecho, o como se denominan hoy, criterios de procedibilidad de la acción de tutela contra decisiones de los jueces, en que solo cabe un amparo de esta naturaleza en la medida en que concurra alguna de las causales generales o específicas, delineadas por la Corte Constitucional</w:t>
      </w:r>
      <w:r w:rsidRPr="003A484D">
        <w:rPr>
          <w:rFonts w:ascii="Gadugi" w:hAnsi="Gadugi" w:cs="Arial"/>
        </w:rPr>
        <w:t xml:space="preserve"> en múltiples ocasiones. </w:t>
      </w:r>
    </w:p>
    <w:p w14:paraId="30FA2D3A" w14:textId="77777777" w:rsidR="00EB5BFD" w:rsidRPr="003A484D" w:rsidRDefault="00EB5BFD" w:rsidP="003A484D">
      <w:pPr>
        <w:spacing w:line="276" w:lineRule="auto"/>
        <w:jc w:val="both"/>
        <w:rPr>
          <w:rFonts w:ascii="Gadugi" w:hAnsi="Gadugi" w:cs="Arial"/>
        </w:rPr>
      </w:pPr>
    </w:p>
    <w:p w14:paraId="08A5E02B" w14:textId="77777777" w:rsidR="00EB5BFD" w:rsidRPr="003A484D" w:rsidRDefault="00EB5BFD" w:rsidP="003A484D">
      <w:pPr>
        <w:spacing w:line="276" w:lineRule="auto"/>
        <w:jc w:val="both"/>
        <w:rPr>
          <w:rFonts w:ascii="Gadugi" w:hAnsi="Gadugi"/>
        </w:rPr>
      </w:pPr>
      <w:r w:rsidRPr="003A484D">
        <w:rPr>
          <w:rFonts w:ascii="Gadugi" w:hAnsi="Gadugi" w:cs="Arial"/>
        </w:rPr>
        <w:t xml:space="preserve">Sobre ellas, en las sentencias SU-222/16, SU573/17, SU-004/18, </w:t>
      </w:r>
      <w:r w:rsidRPr="003A484D">
        <w:rPr>
          <w:rFonts w:ascii="Gadugi" w:hAnsi="Gadugi" w:cs="Arial"/>
          <w:lang w:val="es-419"/>
        </w:rPr>
        <w:t xml:space="preserve">reiteradas en las sentencias T-075/19, </w:t>
      </w:r>
      <w:r w:rsidRPr="003A484D">
        <w:rPr>
          <w:rFonts w:ascii="Gadugi" w:hAnsi="Gadugi" w:cs="Arial"/>
        </w:rPr>
        <w:t>T-053/20, SU128/21,</w:t>
      </w:r>
      <w:r w:rsidRPr="003A484D">
        <w:rPr>
          <w:rFonts w:ascii="Gadugi" w:hAnsi="Gadugi"/>
        </w:rPr>
        <w:t xml:space="preserve"> y más recientemente en la </w:t>
      </w:r>
      <w:r w:rsidRPr="003A484D">
        <w:rPr>
          <w:rFonts w:ascii="Gadugi" w:hAnsi="Gadugi" w:cs="Arial"/>
        </w:rPr>
        <w:t xml:space="preserve">T-001/22 todas aludiendo a la C-590 de 2005, recordó que las primeras obedecen a </w:t>
      </w:r>
      <w:r w:rsidRPr="003A484D">
        <w:rPr>
          <w:rFonts w:ascii="Gadugi" w:hAnsi="Gadugi"/>
          <w:bdr w:val="none" w:sz="0" w:space="0" w:color="auto" w:frame="1"/>
          <w:lang w:val="es-CO"/>
        </w:rPr>
        <w:t>(i) que el asunto sometido a estudio del juez de tutela tenga relevancia constitucional; (ii) que el actor haya agotado los recursos judiciales ordinarios y extraordinarios antes de acudir al juez de tutela; (iii) que la petición cumpla con el requisito de inmediatez, de acuerdo con criterios de razonabilidad y proporcionalidad; (iv) que, en caso de tratarse de una irregularidad procesal, ésta tenga incidencia directa en la decisión que presuntamente amenaza o desconoce derechos fundamentales; (v) que el actor identifique, de forma razonable, los hechos que generan la violación y que la haya alegada en el proceso judicial respectivo, si ello era posible; (vi) que el fallo impugnado no sea de tutela.</w:t>
      </w:r>
      <w:r w:rsidRPr="003A484D">
        <w:rPr>
          <w:rFonts w:ascii="Gadugi" w:hAnsi="Gadugi"/>
        </w:rPr>
        <w:t xml:space="preserve"> </w:t>
      </w:r>
      <w:r w:rsidRPr="003A484D">
        <w:rPr>
          <w:rFonts w:ascii="Gadugi" w:hAnsi="Gadugi" w:cs="Arial"/>
        </w:rPr>
        <w:t>Y en cuanto a las segundas, es decir, las causales específicas, se compendian en los defectos</w:t>
      </w:r>
      <w:r w:rsidRPr="003A484D">
        <w:rPr>
          <w:rFonts w:ascii="Gadugi" w:hAnsi="Gadugi"/>
          <w:bdr w:val="none" w:sz="0" w:space="0" w:color="auto" w:frame="1"/>
          <w:lang w:val="es-CO"/>
        </w:rPr>
        <w:t xml:space="preserve"> (i) orgánico, (ii) sustantivo, (iii) procedimental o fáctico; (iv) error inducido; (v) decisión sin motivación; (vi) desconocimiento del precedente constitucional; y (vii) violación directa a la constitución.</w:t>
      </w:r>
      <w:r w:rsidRPr="003A484D">
        <w:rPr>
          <w:rFonts w:ascii="Gadugi" w:hAnsi="Gadugi"/>
        </w:rPr>
        <w:t xml:space="preserve"> </w:t>
      </w:r>
    </w:p>
    <w:p w14:paraId="2B5C025B" w14:textId="1A4C55C9" w:rsidR="00A96B8A" w:rsidRPr="003A484D" w:rsidRDefault="00A96B8A" w:rsidP="003A484D">
      <w:pPr>
        <w:spacing w:line="276" w:lineRule="auto"/>
        <w:jc w:val="both"/>
        <w:rPr>
          <w:rFonts w:ascii="Gadugi" w:hAnsi="Gadugi" w:cs="Arial"/>
        </w:rPr>
      </w:pPr>
    </w:p>
    <w:p w14:paraId="1311255B" w14:textId="5C274E91" w:rsidR="000A0E04" w:rsidRPr="003A484D" w:rsidRDefault="00544253" w:rsidP="003A484D">
      <w:pPr>
        <w:spacing w:line="276" w:lineRule="auto"/>
        <w:jc w:val="both"/>
        <w:rPr>
          <w:rFonts w:ascii="Gadugi" w:hAnsi="Gadugi" w:cs="Arial"/>
        </w:rPr>
      </w:pPr>
      <w:r w:rsidRPr="003A484D">
        <w:rPr>
          <w:rFonts w:ascii="Gadugi" w:hAnsi="Gadugi" w:cs="Arial"/>
        </w:rPr>
        <w:t>2.</w:t>
      </w:r>
      <w:r w:rsidR="00A80D6C" w:rsidRPr="003A484D">
        <w:rPr>
          <w:rFonts w:ascii="Gadugi" w:hAnsi="Gadugi" w:cs="Arial"/>
        </w:rPr>
        <w:t>3</w:t>
      </w:r>
      <w:r w:rsidRPr="003A484D">
        <w:rPr>
          <w:rFonts w:ascii="Gadugi" w:hAnsi="Gadugi" w:cs="Arial"/>
        </w:rPr>
        <w:t xml:space="preserve">. </w:t>
      </w:r>
      <w:r w:rsidR="0063385B" w:rsidRPr="003A484D">
        <w:rPr>
          <w:rFonts w:ascii="Gadugi" w:hAnsi="Gadugi" w:cs="Arial"/>
        </w:rPr>
        <w:t>Aclarado lo anterior sigue el examen de p</w:t>
      </w:r>
      <w:r w:rsidR="00EB5BFD" w:rsidRPr="003A484D">
        <w:rPr>
          <w:rFonts w:ascii="Gadugi" w:hAnsi="Gadugi" w:cs="Arial"/>
        </w:rPr>
        <w:t>rocedencia de la demanda:</w:t>
      </w:r>
    </w:p>
    <w:p w14:paraId="34E0F7EF" w14:textId="77777777" w:rsidR="00EB5BFD" w:rsidRPr="003A484D" w:rsidRDefault="00EB5BFD" w:rsidP="003A484D">
      <w:pPr>
        <w:spacing w:line="276" w:lineRule="auto"/>
        <w:jc w:val="both"/>
        <w:rPr>
          <w:rFonts w:ascii="Gadugi" w:hAnsi="Gadugi" w:cs="Arial"/>
        </w:rPr>
      </w:pPr>
    </w:p>
    <w:p w14:paraId="64382AFC" w14:textId="1252FB15" w:rsidR="00EB5BFD" w:rsidRPr="003A484D" w:rsidRDefault="00EB5BFD" w:rsidP="003A484D">
      <w:pPr>
        <w:spacing w:line="276" w:lineRule="auto"/>
        <w:jc w:val="both"/>
        <w:rPr>
          <w:rFonts w:ascii="Gadugi" w:hAnsi="Gadugi" w:cs="Century Gothic"/>
        </w:rPr>
      </w:pPr>
      <w:r w:rsidRPr="003A484D">
        <w:rPr>
          <w:rFonts w:ascii="Gadugi" w:hAnsi="Gadugi" w:cs="Century Gothic"/>
        </w:rPr>
        <w:t xml:space="preserve">Se </w:t>
      </w:r>
      <w:r w:rsidR="0063385B" w:rsidRPr="003A484D">
        <w:rPr>
          <w:rFonts w:ascii="Gadugi" w:hAnsi="Gadugi" w:cs="Century Gothic"/>
        </w:rPr>
        <w:t>satisface</w:t>
      </w:r>
      <w:r w:rsidRPr="003A484D">
        <w:rPr>
          <w:rFonts w:ascii="Gadugi" w:hAnsi="Gadugi" w:cs="Century Gothic"/>
        </w:rPr>
        <w:t xml:space="preserve"> la legitimación en la causa por activa pues el accionante </w:t>
      </w:r>
      <w:r w:rsidR="00F7392E" w:rsidRPr="003A484D">
        <w:rPr>
          <w:rFonts w:ascii="Gadugi" w:hAnsi="Gadugi" w:cs="Century Gothic"/>
        </w:rPr>
        <w:t>es demandado</w:t>
      </w:r>
      <w:r w:rsidRPr="003A484D">
        <w:rPr>
          <w:rFonts w:ascii="Gadugi" w:hAnsi="Gadugi" w:cs="Century Gothic"/>
        </w:rPr>
        <w:t xml:space="preserve"> en el juicio </w:t>
      </w:r>
      <w:r w:rsidR="00F7392E" w:rsidRPr="003A484D">
        <w:rPr>
          <w:rFonts w:ascii="Gadugi" w:hAnsi="Gadugi" w:cs="Century Gothic"/>
        </w:rPr>
        <w:t>cuestionado</w:t>
      </w:r>
      <w:r w:rsidRPr="003A484D">
        <w:rPr>
          <w:rFonts w:ascii="Gadugi" w:hAnsi="Gadugi" w:cs="Century Gothic"/>
        </w:rPr>
        <w:t>. Y por pasiva también, dado que ante el juzgado accionado se tramita.</w:t>
      </w:r>
    </w:p>
    <w:p w14:paraId="59D5E2E8" w14:textId="77777777" w:rsidR="00EB5BFD" w:rsidRPr="003A484D" w:rsidRDefault="00EB5BFD" w:rsidP="003A484D">
      <w:pPr>
        <w:spacing w:line="276" w:lineRule="auto"/>
        <w:jc w:val="both"/>
        <w:rPr>
          <w:rFonts w:ascii="Gadugi" w:hAnsi="Gadugi" w:cs="Century Gothic"/>
        </w:rPr>
      </w:pPr>
    </w:p>
    <w:p w14:paraId="11DFDAAA" w14:textId="4553B4FF" w:rsidR="00544253" w:rsidRPr="003A484D" w:rsidRDefault="00EB5BFD" w:rsidP="003A484D">
      <w:pPr>
        <w:spacing w:line="276" w:lineRule="auto"/>
        <w:jc w:val="both"/>
        <w:rPr>
          <w:rFonts w:ascii="Gadugi" w:hAnsi="Gadugi"/>
          <w:lang w:val="es-CO" w:eastAsia="es-CO"/>
        </w:rPr>
      </w:pPr>
      <w:r w:rsidRPr="003A484D">
        <w:rPr>
          <w:rFonts w:ascii="Gadugi" w:hAnsi="Gadugi" w:cs="Century Gothic"/>
        </w:rPr>
        <w:t>Se supera la inmediatez</w:t>
      </w:r>
      <w:r w:rsidR="46FB1D3A" w:rsidRPr="003A484D">
        <w:rPr>
          <w:rFonts w:ascii="Gadugi" w:hAnsi="Gadugi" w:cs="Century Gothic"/>
        </w:rPr>
        <w:t>, ya que</w:t>
      </w:r>
      <w:r w:rsidR="00F7392E" w:rsidRPr="003A484D">
        <w:rPr>
          <w:rFonts w:ascii="Gadugi" w:hAnsi="Gadugi" w:cs="Century Gothic"/>
        </w:rPr>
        <w:t xml:space="preserve"> el fallo confutado data del 8 de mayo de 2023</w:t>
      </w:r>
      <w:r w:rsidR="00DD530B" w:rsidRPr="003A484D">
        <w:rPr>
          <w:rStyle w:val="Refdenotaalpie"/>
          <w:rFonts w:ascii="Gadugi" w:hAnsi="Gadugi"/>
        </w:rPr>
        <w:footnoteReference w:id="8"/>
      </w:r>
      <w:r w:rsidR="00F7392E" w:rsidRPr="003A484D">
        <w:rPr>
          <w:rFonts w:ascii="Gadugi" w:hAnsi="Gadugi" w:cs="Century Gothic"/>
        </w:rPr>
        <w:t>, y esta demanda se radicó, con prontitud, el 18 de mayo siguiente</w:t>
      </w:r>
      <w:r w:rsidR="00DE4651" w:rsidRPr="003A484D">
        <w:rPr>
          <w:rStyle w:val="Refdenotaalpie"/>
          <w:rFonts w:ascii="Gadugi" w:hAnsi="Gadugi"/>
        </w:rPr>
        <w:footnoteReference w:id="9"/>
      </w:r>
      <w:r w:rsidR="00544253" w:rsidRPr="003A484D">
        <w:rPr>
          <w:rFonts w:ascii="Gadugi" w:hAnsi="Gadugi" w:cs="Arial"/>
          <w:lang w:val="es-419"/>
        </w:rPr>
        <w:t xml:space="preserve">, </w:t>
      </w:r>
      <w:r w:rsidR="00F7392E" w:rsidRPr="003A484D">
        <w:rPr>
          <w:rFonts w:ascii="Gadugi" w:hAnsi="Gadugi" w:cs="Arial"/>
          <w:lang w:val="es-419"/>
        </w:rPr>
        <w:t xml:space="preserve">en todo caso, </w:t>
      </w:r>
      <w:r w:rsidR="00544253" w:rsidRPr="003A484D">
        <w:rPr>
          <w:rFonts w:ascii="Gadugi" w:hAnsi="Gadugi"/>
          <w:lang w:val="es-CO"/>
        </w:rPr>
        <w:t>dentro d</w:t>
      </w:r>
      <w:r w:rsidR="00544253" w:rsidRPr="003A484D">
        <w:rPr>
          <w:rFonts w:ascii="Gadugi" w:hAnsi="Gadugi"/>
        </w:rPr>
        <w:t>el plazo de 6 meses que, en general, tiene establecido la Corte Constitucional</w:t>
      </w:r>
      <w:r w:rsidR="00544253" w:rsidRPr="003A484D">
        <w:rPr>
          <w:rStyle w:val="Refdenotaalpie"/>
          <w:rFonts w:ascii="Gadugi" w:hAnsi="Gadugi"/>
        </w:rPr>
        <w:footnoteReference w:id="10"/>
      </w:r>
      <w:r w:rsidR="00544253" w:rsidRPr="003A484D">
        <w:rPr>
          <w:rFonts w:ascii="Gadugi" w:hAnsi="Gadugi"/>
        </w:rPr>
        <w:t xml:space="preserve">. </w:t>
      </w:r>
    </w:p>
    <w:p w14:paraId="1D777978" w14:textId="0BB87062" w:rsidR="00EB5BFD" w:rsidRPr="003A484D" w:rsidRDefault="00EB5BFD" w:rsidP="003A484D">
      <w:pPr>
        <w:spacing w:line="276" w:lineRule="auto"/>
        <w:jc w:val="both"/>
        <w:rPr>
          <w:rFonts w:ascii="Gadugi" w:hAnsi="Gadugi" w:cs="Century Gothic"/>
        </w:rPr>
      </w:pPr>
    </w:p>
    <w:p w14:paraId="3DBC2609" w14:textId="7AD3B3E1" w:rsidR="00F7392E" w:rsidRPr="003A484D" w:rsidRDefault="00F7392E" w:rsidP="003A484D">
      <w:pPr>
        <w:spacing w:line="276" w:lineRule="auto"/>
        <w:jc w:val="both"/>
        <w:rPr>
          <w:rFonts w:ascii="Gadugi" w:hAnsi="Gadugi" w:cs="Century Gothic"/>
        </w:rPr>
      </w:pPr>
      <w:r w:rsidRPr="003A484D">
        <w:rPr>
          <w:rFonts w:ascii="Gadugi" w:hAnsi="Gadugi" w:cs="Century Gothic"/>
        </w:rPr>
        <w:lastRenderedPageBreak/>
        <w:t>Y se supera la subsidiariedad</w:t>
      </w:r>
      <w:r w:rsidR="5BE3E21D" w:rsidRPr="003A484D">
        <w:rPr>
          <w:rFonts w:ascii="Gadugi" w:hAnsi="Gadugi" w:cs="Century Gothic"/>
        </w:rPr>
        <w:t xml:space="preserve">, porque, </w:t>
      </w:r>
      <w:r w:rsidR="00A80D6C" w:rsidRPr="003A484D">
        <w:rPr>
          <w:rFonts w:ascii="Gadugi" w:hAnsi="Gadugi" w:cs="Century Gothic"/>
        </w:rPr>
        <w:t>contra la sentencia que se pretende derruir, es improcedente cualquier recurso</w:t>
      </w:r>
      <w:r w:rsidR="545A3569" w:rsidRPr="003A484D">
        <w:rPr>
          <w:rFonts w:ascii="Gadugi" w:hAnsi="Gadugi" w:cs="Century Gothic"/>
        </w:rPr>
        <w:t xml:space="preserve">, en cuanto </w:t>
      </w:r>
      <w:r w:rsidR="00A80D6C" w:rsidRPr="003A484D">
        <w:rPr>
          <w:rFonts w:ascii="Gadugi" w:hAnsi="Gadugi" w:cs="Century Gothic"/>
        </w:rPr>
        <w:t xml:space="preserve">fue proferida en un juicio de única instancia. </w:t>
      </w:r>
    </w:p>
    <w:p w14:paraId="4274902C" w14:textId="122578E4" w:rsidR="00EB5BFD" w:rsidRPr="003A484D" w:rsidRDefault="00EB5BFD" w:rsidP="003A484D">
      <w:pPr>
        <w:spacing w:line="276" w:lineRule="auto"/>
        <w:jc w:val="both"/>
        <w:rPr>
          <w:rFonts w:ascii="Gadugi" w:hAnsi="Gadugi" w:cs="Century Gothic"/>
        </w:rPr>
      </w:pPr>
    </w:p>
    <w:p w14:paraId="429B6E36" w14:textId="4AF031A0" w:rsidR="00A80D6C" w:rsidRPr="003A484D" w:rsidRDefault="00A80D6C" w:rsidP="003A484D">
      <w:pPr>
        <w:spacing w:line="276" w:lineRule="auto"/>
        <w:jc w:val="both"/>
        <w:rPr>
          <w:rFonts w:ascii="Gadugi" w:hAnsi="Gadugi" w:cs="Century Gothic"/>
        </w:rPr>
      </w:pPr>
      <w:r w:rsidRPr="003A484D">
        <w:rPr>
          <w:rFonts w:ascii="Gadugi" w:hAnsi="Gadugi" w:cs="Century Gothic"/>
        </w:rPr>
        <w:t xml:space="preserve">2.4. Aunque en la demanda se alude a un defecto procedimental, la Sala entiende que lo que realmente alega el accionante, es un defecto sustantivo por la indebida interpretación del artículo 283 del CGP, por la </w:t>
      </w:r>
      <w:r w:rsidR="00DE4651" w:rsidRPr="003A484D">
        <w:rPr>
          <w:rFonts w:ascii="Gadugi" w:hAnsi="Gadugi" w:cs="Century Gothic"/>
        </w:rPr>
        <w:t>inobservancia</w:t>
      </w:r>
      <w:r w:rsidRPr="003A484D">
        <w:rPr>
          <w:rFonts w:ascii="Gadugi" w:hAnsi="Gadugi" w:cs="Century Gothic"/>
        </w:rPr>
        <w:t xml:space="preserve"> </w:t>
      </w:r>
      <w:r w:rsidR="7F723C74" w:rsidRPr="003A484D">
        <w:rPr>
          <w:rFonts w:ascii="Gadugi" w:hAnsi="Gadugi" w:cs="Century Gothic"/>
        </w:rPr>
        <w:t>de</w:t>
      </w:r>
      <w:r w:rsidRPr="003A484D">
        <w:rPr>
          <w:rFonts w:ascii="Gadugi" w:hAnsi="Gadugi" w:cs="Century Gothic"/>
        </w:rPr>
        <w:t>l incidente en él previsto</w:t>
      </w:r>
      <w:r w:rsidR="4E6DF2A6" w:rsidRPr="003A484D">
        <w:rPr>
          <w:rFonts w:ascii="Gadugi" w:hAnsi="Gadugi" w:cs="Century Gothic"/>
        </w:rPr>
        <w:t>,</w:t>
      </w:r>
      <w:r w:rsidRPr="003A484D">
        <w:rPr>
          <w:rFonts w:ascii="Gadugi" w:hAnsi="Gadugi" w:cs="Century Gothic"/>
        </w:rPr>
        <w:t xml:space="preserve"> y </w:t>
      </w:r>
      <w:r w:rsidR="00862028" w:rsidRPr="003A484D">
        <w:rPr>
          <w:rFonts w:ascii="Gadugi" w:hAnsi="Gadugi" w:cs="Century Gothic"/>
        </w:rPr>
        <w:t>porque se condenó al pago de los honorarios del abogado de su contraparte, en desconocimiento del artículo 36</w:t>
      </w:r>
      <w:r w:rsidR="00FE67E7" w:rsidRPr="003A484D">
        <w:rPr>
          <w:rFonts w:ascii="Gadugi" w:hAnsi="Gadugi" w:cs="Century Gothic"/>
        </w:rPr>
        <w:t>6</w:t>
      </w:r>
      <w:r w:rsidR="00862028" w:rsidRPr="003A484D">
        <w:rPr>
          <w:rFonts w:ascii="Gadugi" w:hAnsi="Gadugi" w:cs="Century Gothic"/>
        </w:rPr>
        <w:t xml:space="preserve"> del mismo código; </w:t>
      </w:r>
      <w:r w:rsidRPr="003A484D">
        <w:rPr>
          <w:rFonts w:ascii="Gadugi" w:hAnsi="Gadugi" w:cs="Century Gothic"/>
        </w:rPr>
        <w:t>y</w:t>
      </w:r>
      <w:r w:rsidR="00862028" w:rsidRPr="003A484D">
        <w:rPr>
          <w:rFonts w:ascii="Gadugi" w:hAnsi="Gadugi" w:cs="Century Gothic"/>
        </w:rPr>
        <w:t xml:space="preserve"> también</w:t>
      </w:r>
      <w:r w:rsidRPr="003A484D">
        <w:rPr>
          <w:rFonts w:ascii="Gadugi" w:hAnsi="Gadugi" w:cs="Century Gothic"/>
        </w:rPr>
        <w:t xml:space="preserve"> un defecto fáctico, porque hubo condena por daño moral, sin fundamento probatorio. </w:t>
      </w:r>
    </w:p>
    <w:p w14:paraId="6AA99654" w14:textId="06F8F540" w:rsidR="00A80D6C" w:rsidRPr="003A484D" w:rsidRDefault="00A80D6C" w:rsidP="003A484D">
      <w:pPr>
        <w:spacing w:line="276" w:lineRule="auto"/>
        <w:jc w:val="both"/>
        <w:rPr>
          <w:rFonts w:ascii="Gadugi" w:hAnsi="Gadugi" w:cs="Century Gothic"/>
        </w:rPr>
      </w:pPr>
    </w:p>
    <w:p w14:paraId="7694ABD5" w14:textId="1FDA7CEC" w:rsidR="00A80D6C" w:rsidRPr="003A484D" w:rsidRDefault="00A80D6C" w:rsidP="003A484D">
      <w:pPr>
        <w:spacing w:line="276" w:lineRule="auto"/>
        <w:jc w:val="both"/>
        <w:rPr>
          <w:rFonts w:ascii="Gadugi" w:hAnsi="Gadugi" w:cs="Arial"/>
        </w:rPr>
      </w:pPr>
      <w:r w:rsidRPr="003A484D">
        <w:rPr>
          <w:rFonts w:ascii="Gadugi" w:hAnsi="Gadugi" w:cs="Arial"/>
        </w:rPr>
        <w:t xml:space="preserve">El primero ocurre cuando </w:t>
      </w:r>
      <w:r w:rsidRPr="003A484D">
        <w:rPr>
          <w:rFonts w:ascii="Gadugi" w:hAnsi="Gadugi"/>
          <w:i/>
          <w:iCs/>
          <w:lang w:val="es-419"/>
        </w:rPr>
        <w:t>“</w:t>
      </w:r>
      <w:r w:rsidRPr="006D1BBB">
        <w:rPr>
          <w:rFonts w:ascii="Gadugi" w:hAnsi="Gadugi"/>
          <w:i/>
          <w:iCs/>
          <w:sz w:val="22"/>
          <w:lang w:val="es-419"/>
        </w:rPr>
        <w:t xml:space="preserve">(…) el juez “en ejercicio de su autonomía e independencia, </w:t>
      </w:r>
      <w:r w:rsidRPr="006D1BBB">
        <w:rPr>
          <w:rFonts w:ascii="Gadugi" w:hAnsi="Gadugi"/>
          <w:bCs/>
          <w:i/>
          <w:iCs/>
          <w:sz w:val="22"/>
          <w:lang w:val="es-419"/>
        </w:rPr>
        <w:t>desborda la Constitución o la ley en desconocimiento de los principios</w:t>
      </w:r>
      <w:r w:rsidRPr="006D1BBB">
        <w:rPr>
          <w:rFonts w:ascii="Gadugi" w:hAnsi="Gadugi"/>
          <w:i/>
          <w:iCs/>
          <w:sz w:val="22"/>
          <w:lang w:val="es-419"/>
        </w:rPr>
        <w:t xml:space="preserve">, derechos y deberes superiores”. </w:t>
      </w:r>
      <w:r w:rsidRPr="006D1BBB">
        <w:rPr>
          <w:rFonts w:ascii="Gadugi" w:hAnsi="Gadugi"/>
          <w:i/>
          <w:iCs/>
          <w:sz w:val="22"/>
          <w:u w:val="single"/>
          <w:lang w:val="es-419"/>
        </w:rPr>
        <w:t>Lo cual puede ocurrir, entre otros, por la errónea interpretación o aplicación de la norma</w:t>
      </w:r>
      <w:r w:rsidRPr="006D1BBB">
        <w:rPr>
          <w:rFonts w:ascii="Gadugi" w:hAnsi="Gadugi"/>
          <w:i/>
          <w:iCs/>
          <w:sz w:val="22"/>
          <w:lang w:val="es-419"/>
        </w:rPr>
        <w:t>.</w:t>
      </w:r>
      <w:r w:rsidRPr="006D1BBB">
        <w:rPr>
          <w:rFonts w:ascii="Gadugi" w:hAnsi="Gadugi"/>
          <w:b/>
          <w:i/>
          <w:iCs/>
          <w:sz w:val="22"/>
          <w:lang w:val="es-419"/>
        </w:rPr>
        <w:t xml:space="preserve"> </w:t>
      </w:r>
      <w:r w:rsidRPr="006D1BBB">
        <w:rPr>
          <w:rFonts w:ascii="Gadugi" w:hAnsi="Gadugi"/>
          <w:i/>
          <w:iCs/>
          <w:sz w:val="22"/>
          <w:lang w:val="es-419"/>
        </w:rPr>
        <w:t xml:space="preserve">Como puede suceder, por ejemplo, </w:t>
      </w:r>
      <w:r w:rsidRPr="006D1BBB">
        <w:rPr>
          <w:rFonts w:ascii="Gadugi" w:hAnsi="Gadugi"/>
          <w:bCs/>
          <w:i/>
          <w:iCs/>
          <w:sz w:val="22"/>
          <w:lang w:val="es-419"/>
        </w:rPr>
        <w:t>cuando se desborda el contenido de la norma</w:t>
      </w:r>
      <w:r w:rsidRPr="006D1BBB">
        <w:rPr>
          <w:rFonts w:ascii="Gadugi" w:hAnsi="Gadugi"/>
          <w:i/>
          <w:iCs/>
          <w:sz w:val="22"/>
          <w:lang w:val="es-419"/>
        </w:rPr>
        <w:t xml:space="preserve"> y se imponen mayores barreras a las exigidas por el legislador para conceder el derecho o se desconocen normas que debían aplicarse</w:t>
      </w:r>
      <w:r w:rsidRPr="003A484D">
        <w:rPr>
          <w:rFonts w:ascii="Gadugi" w:hAnsi="Gadugi"/>
          <w:i/>
          <w:iCs/>
          <w:lang w:val="es-419"/>
        </w:rPr>
        <w:t>.”</w:t>
      </w:r>
      <w:r w:rsidRPr="003A484D">
        <w:rPr>
          <w:rStyle w:val="Refdenotaalpie"/>
          <w:rFonts w:ascii="Gadugi" w:hAnsi="Gadugi"/>
          <w:i/>
          <w:iCs/>
          <w:lang w:val="es-419"/>
        </w:rPr>
        <w:footnoteReference w:id="11"/>
      </w:r>
      <w:r w:rsidR="00862028" w:rsidRPr="003A484D">
        <w:rPr>
          <w:rFonts w:ascii="Gadugi" w:hAnsi="Gadugi"/>
          <w:i/>
          <w:iCs/>
          <w:lang w:val="es-419"/>
        </w:rPr>
        <w:t xml:space="preserve"> </w:t>
      </w:r>
      <w:r w:rsidR="00862028" w:rsidRPr="003A484D">
        <w:rPr>
          <w:rFonts w:ascii="Gadugi" w:hAnsi="Gadugi"/>
          <w:iCs/>
          <w:lang w:val="es-419"/>
        </w:rPr>
        <w:t>(Subraya la Sala)</w:t>
      </w:r>
    </w:p>
    <w:p w14:paraId="17E55ED6" w14:textId="0B913068" w:rsidR="00A80D6C" w:rsidRPr="003A484D" w:rsidRDefault="00DE4651" w:rsidP="003A484D">
      <w:pPr>
        <w:spacing w:line="276" w:lineRule="auto"/>
        <w:jc w:val="both"/>
        <w:rPr>
          <w:rFonts w:ascii="Gadugi" w:hAnsi="Gadugi" w:cs="Century Gothic"/>
        </w:rPr>
      </w:pPr>
      <w:r w:rsidRPr="003A484D">
        <w:rPr>
          <w:rFonts w:ascii="Gadugi" w:hAnsi="Gadugi" w:cs="Century Gothic"/>
        </w:rPr>
        <w:tab/>
      </w:r>
      <w:r w:rsidRPr="003A484D">
        <w:rPr>
          <w:rFonts w:ascii="Gadugi" w:hAnsi="Gadugi" w:cs="Century Gothic"/>
        </w:rPr>
        <w:tab/>
      </w:r>
      <w:r w:rsidRPr="003A484D">
        <w:rPr>
          <w:rFonts w:ascii="Gadugi" w:hAnsi="Gadugi" w:cs="Century Gothic"/>
        </w:rPr>
        <w:tab/>
      </w:r>
      <w:r w:rsidRPr="003A484D">
        <w:rPr>
          <w:rFonts w:ascii="Gadugi" w:hAnsi="Gadugi" w:cs="Century Gothic"/>
        </w:rPr>
        <w:tab/>
      </w:r>
      <w:r w:rsidRPr="003A484D">
        <w:rPr>
          <w:rFonts w:ascii="Gadugi" w:hAnsi="Gadugi" w:cs="Century Gothic"/>
        </w:rPr>
        <w:tab/>
      </w:r>
      <w:r w:rsidRPr="003A484D">
        <w:rPr>
          <w:rFonts w:ascii="Gadugi" w:hAnsi="Gadugi" w:cs="Century Gothic"/>
        </w:rPr>
        <w:tab/>
      </w:r>
    </w:p>
    <w:p w14:paraId="2912A352" w14:textId="2B784D18" w:rsidR="00AC06AF" w:rsidRPr="003A484D" w:rsidRDefault="00A80D6C" w:rsidP="003A484D">
      <w:pPr>
        <w:spacing w:line="276" w:lineRule="auto"/>
        <w:jc w:val="both"/>
        <w:rPr>
          <w:rFonts w:ascii="Gadugi" w:hAnsi="Gadugi"/>
          <w:iCs/>
          <w:lang w:val="es-419"/>
        </w:rPr>
      </w:pPr>
      <w:r w:rsidRPr="003A484D">
        <w:rPr>
          <w:rFonts w:ascii="Gadugi" w:hAnsi="Gadugi"/>
        </w:rPr>
        <w:t xml:space="preserve">Y el segundo </w:t>
      </w:r>
      <w:r w:rsidRPr="003A484D">
        <w:rPr>
          <w:rFonts w:ascii="Gadugi" w:hAnsi="Gadugi"/>
          <w:i/>
          <w:iCs/>
        </w:rPr>
        <w:t>“</w:t>
      </w:r>
      <w:r w:rsidRPr="006D1BBB">
        <w:rPr>
          <w:rFonts w:ascii="Gadugi" w:hAnsi="Gadugi"/>
          <w:i/>
          <w:iCs/>
          <w:sz w:val="22"/>
          <w:lang w:val="es-CO" w:eastAsia="es-CO"/>
        </w:rPr>
        <w:t xml:space="preserve">Se erige sobre la malinterpretación de los hechos expuestos en un proceso, </w:t>
      </w:r>
      <w:r w:rsidRPr="006D1BBB">
        <w:rPr>
          <w:rFonts w:ascii="Gadugi" w:hAnsi="Gadugi"/>
          <w:bCs/>
          <w:i/>
          <w:iCs/>
          <w:sz w:val="22"/>
          <w:lang w:val="es-CO" w:eastAsia="es-CO"/>
        </w:rPr>
        <w:t xml:space="preserve">la cual deviene de una inapropiada valoración probatoria, </w:t>
      </w:r>
      <w:r w:rsidRPr="006D1BBB">
        <w:rPr>
          <w:rFonts w:ascii="Gadugi" w:hAnsi="Gadugi"/>
          <w:bCs/>
          <w:i/>
          <w:iCs/>
          <w:sz w:val="22"/>
          <w:u w:val="single"/>
          <w:lang w:val="es-CO" w:eastAsia="es-CO"/>
        </w:rPr>
        <w:t>bien porque el juez no contaba con pruebas para sustentar sus afirmaciones, ora porque al estimar su valor demostrativo fue arbitrario</w:t>
      </w:r>
      <w:r w:rsidRPr="006D1BBB">
        <w:rPr>
          <w:rStyle w:val="Refdenotaalpie"/>
          <w:rFonts w:ascii="Gadugi" w:hAnsi="Gadugi"/>
          <w:i/>
          <w:iCs/>
          <w:sz w:val="22"/>
          <w:lang w:val="es-CO" w:eastAsia="es-CO"/>
        </w:rPr>
        <w:footnoteReference w:id="12"/>
      </w:r>
      <w:r w:rsidRPr="006D1BBB">
        <w:rPr>
          <w:rFonts w:ascii="Gadugi" w:hAnsi="Gadugi"/>
          <w:i/>
          <w:iCs/>
          <w:sz w:val="22"/>
          <w:lang w:val="es-CO" w:eastAsia="es-CO"/>
        </w:rPr>
        <w:t>; La Corte ha dicho que tal arbitrariedad debe ser “</w:t>
      </w:r>
      <w:r w:rsidRPr="006D1BBB">
        <w:rPr>
          <w:rFonts w:ascii="Gadugi" w:hAnsi="Gadugi"/>
          <w:i/>
          <w:iCs/>
          <w:sz w:val="22"/>
          <w:shd w:val="clear" w:color="auto" w:fill="FFFFFF"/>
          <w:lang w:val="es-CO" w:eastAsia="es-CO"/>
        </w:rPr>
        <w:t>de tal magnitud que pueda advertirse de manera evidente y flagrante, sin que quepa margen de objetividad alguno que permita explicar razonablemente la conclusión a la cual llegó el juez</w:t>
      </w:r>
      <w:r w:rsidRPr="006D1BBB">
        <w:rPr>
          <w:rStyle w:val="Refdenotaalpie"/>
          <w:rFonts w:ascii="Gadugi" w:hAnsi="Gadugi"/>
          <w:i/>
          <w:iCs/>
          <w:sz w:val="22"/>
          <w:shd w:val="clear" w:color="auto" w:fill="FFFFFF"/>
          <w:lang w:val="es-CO" w:eastAsia="es-CO"/>
        </w:rPr>
        <w:footnoteReference w:id="13"/>
      </w:r>
      <w:r w:rsidRPr="006D1BBB">
        <w:rPr>
          <w:rFonts w:ascii="Gadugi" w:hAnsi="Gadugi"/>
          <w:i/>
          <w:iCs/>
          <w:sz w:val="22"/>
          <w:shd w:val="clear" w:color="auto" w:fill="FFFFFF"/>
          <w:lang w:val="es-CO" w:eastAsia="es-CO"/>
        </w:rPr>
        <w:t>.</w:t>
      </w:r>
      <w:r w:rsidRPr="006D1BBB">
        <w:rPr>
          <w:rFonts w:ascii="Gadugi" w:hAnsi="Gadugi"/>
          <w:i/>
          <w:iCs/>
          <w:sz w:val="22"/>
          <w:lang w:val="es-CO" w:eastAsia="es-CO"/>
        </w:rPr>
        <w:t> </w:t>
      </w:r>
      <w:r w:rsidRPr="006D1BBB">
        <w:rPr>
          <w:rFonts w:ascii="Gadugi" w:hAnsi="Gadugi"/>
          <w:i/>
          <w:iCs/>
          <w:sz w:val="22"/>
          <w:shd w:val="clear" w:color="auto" w:fill="FFFFFF"/>
          <w:lang w:val="es-CO" w:eastAsia="es-CO"/>
        </w:rPr>
        <w:t>En igual sentido, es imprescindible que tal yerro tenga una trascendencia fundamental en el sentido del fallo, de manera que, si no se hubiera incurrido en él, el funcionario judicial hubiera adoptado una decisión completamente opuesta</w:t>
      </w:r>
      <w:r w:rsidRPr="003A484D">
        <w:rPr>
          <w:rFonts w:ascii="Gadugi" w:hAnsi="Gadugi"/>
          <w:i/>
          <w:iCs/>
          <w:shd w:val="clear" w:color="auto" w:fill="FFFFFF"/>
          <w:lang w:val="es-CO" w:eastAsia="es-CO"/>
        </w:rPr>
        <w:t>”</w:t>
      </w:r>
      <w:r w:rsidR="00862028" w:rsidRPr="003A484D">
        <w:rPr>
          <w:rFonts w:ascii="Gadugi" w:hAnsi="Gadugi"/>
          <w:i/>
          <w:iCs/>
          <w:shd w:val="clear" w:color="auto" w:fill="FFFFFF"/>
          <w:lang w:val="es-CO" w:eastAsia="es-CO"/>
        </w:rPr>
        <w:t>.</w:t>
      </w:r>
      <w:r w:rsidRPr="003A484D">
        <w:rPr>
          <w:rStyle w:val="Refdenotaalpie"/>
          <w:rFonts w:ascii="Gadugi" w:hAnsi="Gadugi"/>
          <w:i/>
          <w:iCs/>
          <w:shd w:val="clear" w:color="auto" w:fill="FFFFFF"/>
          <w:lang w:val="es-CO" w:eastAsia="es-CO"/>
        </w:rPr>
        <w:t xml:space="preserve"> </w:t>
      </w:r>
      <w:r w:rsidRPr="003A484D">
        <w:rPr>
          <w:rStyle w:val="Refdenotaalpie"/>
          <w:rFonts w:ascii="Gadugi" w:hAnsi="Gadugi"/>
          <w:shd w:val="clear" w:color="auto" w:fill="FFFFFF"/>
          <w:lang w:val="es-CO" w:eastAsia="es-CO"/>
        </w:rPr>
        <w:footnoteReference w:id="14"/>
      </w:r>
      <w:r w:rsidR="00862028" w:rsidRPr="003A484D">
        <w:rPr>
          <w:rFonts w:ascii="Gadugi" w:hAnsi="Gadugi"/>
          <w:i/>
          <w:iCs/>
          <w:shd w:val="clear" w:color="auto" w:fill="FFFFFF"/>
          <w:lang w:val="es-CO" w:eastAsia="es-CO"/>
        </w:rPr>
        <w:t xml:space="preserve"> </w:t>
      </w:r>
      <w:r w:rsidR="00862028" w:rsidRPr="003A484D">
        <w:rPr>
          <w:rFonts w:ascii="Gadugi" w:hAnsi="Gadugi"/>
          <w:iCs/>
          <w:lang w:val="es-419"/>
        </w:rPr>
        <w:t>(Subraya la Sala)</w:t>
      </w:r>
    </w:p>
    <w:p w14:paraId="41325395" w14:textId="5BFABEF3" w:rsidR="00862028" w:rsidRPr="003A484D" w:rsidRDefault="00DE4651" w:rsidP="003A484D">
      <w:pPr>
        <w:spacing w:line="276" w:lineRule="auto"/>
        <w:jc w:val="both"/>
        <w:rPr>
          <w:rFonts w:ascii="Gadugi" w:hAnsi="Gadugi" w:cs="Century Gothic"/>
          <w:b/>
          <w:bCs/>
        </w:rPr>
      </w:pPr>
      <w:r w:rsidRPr="003A484D">
        <w:rPr>
          <w:rFonts w:ascii="Gadugi" w:hAnsi="Gadugi" w:cs="Century Gothic"/>
          <w:b/>
          <w:bCs/>
        </w:rPr>
        <w:tab/>
      </w:r>
      <w:r w:rsidRPr="003A484D">
        <w:rPr>
          <w:rFonts w:ascii="Gadugi" w:hAnsi="Gadugi" w:cs="Century Gothic"/>
          <w:b/>
          <w:bCs/>
        </w:rPr>
        <w:tab/>
      </w:r>
      <w:r w:rsidRPr="003A484D">
        <w:rPr>
          <w:rFonts w:ascii="Gadugi" w:hAnsi="Gadugi" w:cs="Century Gothic"/>
          <w:b/>
          <w:bCs/>
        </w:rPr>
        <w:tab/>
      </w:r>
      <w:r w:rsidRPr="003A484D">
        <w:rPr>
          <w:rFonts w:ascii="Gadugi" w:hAnsi="Gadugi" w:cs="Century Gothic"/>
          <w:b/>
          <w:bCs/>
        </w:rPr>
        <w:tab/>
      </w:r>
      <w:r w:rsidRPr="003A484D">
        <w:rPr>
          <w:rFonts w:ascii="Gadugi" w:hAnsi="Gadugi" w:cs="Century Gothic"/>
          <w:b/>
          <w:bCs/>
        </w:rPr>
        <w:tab/>
      </w:r>
      <w:r w:rsidRPr="003A484D">
        <w:rPr>
          <w:rFonts w:ascii="Gadugi" w:hAnsi="Gadugi" w:cs="Century Gothic"/>
          <w:b/>
          <w:bCs/>
        </w:rPr>
        <w:tab/>
      </w:r>
    </w:p>
    <w:p w14:paraId="4496171D" w14:textId="45D04FC0" w:rsidR="00A80D6C" w:rsidRPr="003A484D" w:rsidRDefault="00A80D6C" w:rsidP="003A484D">
      <w:pPr>
        <w:spacing w:line="276" w:lineRule="auto"/>
        <w:jc w:val="both"/>
        <w:rPr>
          <w:rFonts w:ascii="Gadugi" w:hAnsi="Gadugi" w:cs="Century Gothic"/>
          <w:bCs/>
        </w:rPr>
      </w:pPr>
      <w:r w:rsidRPr="003A484D">
        <w:rPr>
          <w:rFonts w:ascii="Gadugi" w:hAnsi="Gadugi" w:cs="Century Gothic"/>
          <w:bCs/>
        </w:rPr>
        <w:t>2.5. En el caso concreto</w:t>
      </w:r>
      <w:r w:rsidR="00862028" w:rsidRPr="003A484D">
        <w:rPr>
          <w:rFonts w:ascii="Gadugi" w:hAnsi="Gadugi" w:cs="Century Gothic"/>
          <w:bCs/>
        </w:rPr>
        <w:t>, se estudiarán, por separado los tres reparos que el accionante le encuentra a la decisión cuestionada.</w:t>
      </w:r>
    </w:p>
    <w:p w14:paraId="3BABB73C" w14:textId="45A1521D" w:rsidR="00862028" w:rsidRPr="003A484D" w:rsidRDefault="00862028" w:rsidP="003A484D">
      <w:pPr>
        <w:spacing w:line="276" w:lineRule="auto"/>
        <w:jc w:val="both"/>
        <w:rPr>
          <w:rFonts w:ascii="Gadugi" w:hAnsi="Gadugi" w:cs="Century Gothic"/>
          <w:bCs/>
        </w:rPr>
      </w:pPr>
    </w:p>
    <w:p w14:paraId="58D7E9CA" w14:textId="63E1DEAF" w:rsidR="00862028" w:rsidRPr="003A484D" w:rsidRDefault="00862028" w:rsidP="003A484D">
      <w:pPr>
        <w:spacing w:line="276" w:lineRule="auto"/>
        <w:jc w:val="both"/>
        <w:rPr>
          <w:rFonts w:ascii="Gadugi" w:hAnsi="Gadugi" w:cs="Century Gothic"/>
          <w:bCs/>
        </w:rPr>
      </w:pPr>
      <w:r w:rsidRPr="003A484D">
        <w:rPr>
          <w:rFonts w:ascii="Gadugi" w:hAnsi="Gadugi" w:cs="Century Gothic"/>
          <w:bCs/>
        </w:rPr>
        <w:t>2.5.1. Aplicabilidad del artículo 283 del CGP.</w:t>
      </w:r>
    </w:p>
    <w:p w14:paraId="6B28C241" w14:textId="15B119EC" w:rsidR="00862028" w:rsidRPr="003A484D" w:rsidRDefault="00862028" w:rsidP="003A484D">
      <w:pPr>
        <w:spacing w:line="276" w:lineRule="auto"/>
        <w:jc w:val="both"/>
        <w:rPr>
          <w:rFonts w:ascii="Gadugi" w:hAnsi="Gadugi" w:cs="Century Gothic"/>
          <w:bCs/>
        </w:rPr>
      </w:pPr>
    </w:p>
    <w:p w14:paraId="2B6E34D4" w14:textId="56DBED66" w:rsidR="00862028" w:rsidRPr="003A484D" w:rsidRDefault="00862028" w:rsidP="003A484D">
      <w:pPr>
        <w:spacing w:line="276" w:lineRule="auto"/>
        <w:jc w:val="both"/>
        <w:rPr>
          <w:rFonts w:ascii="Gadugi" w:hAnsi="Gadugi" w:cs="Century Gothic"/>
          <w:bCs/>
        </w:rPr>
      </w:pPr>
      <w:r w:rsidRPr="003A484D">
        <w:rPr>
          <w:rFonts w:ascii="Gadugi" w:hAnsi="Gadugi" w:cs="Century Gothic"/>
          <w:bCs/>
        </w:rPr>
        <w:t xml:space="preserve">Dijo la jueza en el fallo que esa norma es inaplicable para </w:t>
      </w:r>
      <w:r w:rsidR="004122A9" w:rsidRPr="003A484D">
        <w:rPr>
          <w:rFonts w:ascii="Gadugi" w:hAnsi="Gadugi" w:cs="Century Gothic"/>
          <w:bCs/>
        </w:rPr>
        <w:t>considerar extinta la obligación</w:t>
      </w:r>
      <w:r w:rsidRPr="003A484D">
        <w:rPr>
          <w:rFonts w:ascii="Gadugi" w:hAnsi="Gadugi" w:cs="Century Gothic"/>
          <w:bCs/>
        </w:rPr>
        <w:t xml:space="preserve"> porque en la decisión policiva no se establecieron </w:t>
      </w:r>
      <w:r w:rsidR="000258BD" w:rsidRPr="003A484D">
        <w:rPr>
          <w:rFonts w:ascii="Gadugi" w:hAnsi="Gadugi" w:cs="Century Gothic"/>
          <w:bCs/>
        </w:rPr>
        <w:t xml:space="preserve">condenas o perjuicios. </w:t>
      </w:r>
    </w:p>
    <w:p w14:paraId="03ADC574" w14:textId="51A04E9E" w:rsidR="00862028" w:rsidRPr="003A484D" w:rsidRDefault="00862028" w:rsidP="003A484D">
      <w:pPr>
        <w:spacing w:line="276" w:lineRule="auto"/>
        <w:jc w:val="both"/>
        <w:rPr>
          <w:rFonts w:ascii="Gadugi" w:hAnsi="Gadugi" w:cs="Century Gothic"/>
          <w:bCs/>
        </w:rPr>
      </w:pPr>
    </w:p>
    <w:p w14:paraId="14B1F157" w14:textId="4E2F51FF" w:rsidR="00862028" w:rsidRPr="003A484D" w:rsidRDefault="00862028" w:rsidP="003A484D">
      <w:pPr>
        <w:spacing w:line="276" w:lineRule="auto"/>
        <w:jc w:val="both"/>
        <w:rPr>
          <w:rFonts w:ascii="Gadugi" w:hAnsi="Gadugi" w:cs="Century Gothic"/>
          <w:bCs/>
        </w:rPr>
      </w:pPr>
      <w:r w:rsidRPr="003A484D">
        <w:rPr>
          <w:rFonts w:ascii="Gadugi" w:hAnsi="Gadugi" w:cs="Century Gothic"/>
          <w:bCs/>
        </w:rPr>
        <w:t xml:space="preserve">Y en eso tiene razón, en ese trámite simplemente se declaró que había una perturbación a la posesión de la querellante y se le ordenó al </w:t>
      </w:r>
      <w:r w:rsidR="000258BD" w:rsidRPr="003A484D">
        <w:rPr>
          <w:rFonts w:ascii="Gadugi" w:hAnsi="Gadugi" w:cs="Century Gothic"/>
          <w:bCs/>
        </w:rPr>
        <w:t>querellado demoler una pared.</w:t>
      </w:r>
      <w:r w:rsidR="004122A9" w:rsidRPr="003A484D">
        <w:rPr>
          <w:rStyle w:val="Refdenotaalpie"/>
          <w:rFonts w:ascii="Gadugi" w:hAnsi="Gadugi"/>
          <w:bCs/>
        </w:rPr>
        <w:footnoteReference w:id="15"/>
      </w:r>
      <w:r w:rsidR="00DE4651" w:rsidRPr="003A484D">
        <w:rPr>
          <w:rFonts w:ascii="Gadugi" w:hAnsi="Gadugi" w:cs="Century Gothic"/>
          <w:bCs/>
        </w:rPr>
        <w:tab/>
      </w:r>
    </w:p>
    <w:p w14:paraId="3E7A7E44" w14:textId="366D9832" w:rsidR="000258BD" w:rsidRPr="003A484D" w:rsidRDefault="000258BD" w:rsidP="003A484D">
      <w:pPr>
        <w:spacing w:line="276" w:lineRule="auto"/>
        <w:jc w:val="both"/>
        <w:rPr>
          <w:rFonts w:ascii="Gadugi" w:hAnsi="Gadugi" w:cs="Century Gothic"/>
          <w:bCs/>
        </w:rPr>
      </w:pPr>
    </w:p>
    <w:p w14:paraId="5AED7029" w14:textId="774FB194" w:rsidR="000258BD" w:rsidRPr="003A484D" w:rsidRDefault="000258BD" w:rsidP="003A484D">
      <w:pPr>
        <w:spacing w:line="276" w:lineRule="auto"/>
        <w:jc w:val="both"/>
        <w:rPr>
          <w:rFonts w:ascii="Gadugi" w:hAnsi="Gadugi" w:cs="Century Gothic"/>
          <w:bCs/>
        </w:rPr>
      </w:pPr>
      <w:r w:rsidRPr="003A484D">
        <w:rPr>
          <w:rFonts w:ascii="Gadugi" w:hAnsi="Gadugi" w:cs="Century Gothic"/>
          <w:bCs/>
        </w:rPr>
        <w:t xml:space="preserve">Pero más que eso, según el criterio de la Sala, el inciso tercero del artículo 283 del CGP, es inaplicable para los trámites que se adelantan ante las autoridades de policía, quienes carecen de competencia para establecer condenas, por ejemplo, en casos de responsabilidad civil, como lo es el caso de marras, porque las mismas están reservadas a los jueces de la República. </w:t>
      </w:r>
    </w:p>
    <w:p w14:paraId="475C6863" w14:textId="77777777" w:rsidR="00F50210" w:rsidRPr="003A484D" w:rsidRDefault="00F50210" w:rsidP="003A484D">
      <w:pPr>
        <w:spacing w:line="276" w:lineRule="auto"/>
        <w:jc w:val="both"/>
        <w:rPr>
          <w:rFonts w:ascii="Gadugi" w:hAnsi="Gadugi" w:cs="Century Gothic"/>
          <w:bCs/>
        </w:rPr>
      </w:pPr>
    </w:p>
    <w:p w14:paraId="65B561B8" w14:textId="206FAD15" w:rsidR="00F50210" w:rsidRPr="003A484D" w:rsidRDefault="00F50210" w:rsidP="003A484D">
      <w:pPr>
        <w:spacing w:line="276" w:lineRule="auto"/>
        <w:jc w:val="both"/>
        <w:rPr>
          <w:rFonts w:ascii="Gadugi" w:hAnsi="Gadugi" w:cs="Century Gothic"/>
          <w:bCs/>
        </w:rPr>
      </w:pPr>
      <w:r w:rsidRPr="003A484D">
        <w:rPr>
          <w:rFonts w:ascii="Gadugi" w:hAnsi="Gadugi" w:cs="Century Gothic"/>
          <w:bCs/>
        </w:rPr>
        <w:t>2.5.2. Indebida condena por perjuicios morales:</w:t>
      </w:r>
    </w:p>
    <w:p w14:paraId="7A72C601" w14:textId="77777777" w:rsidR="00F50210" w:rsidRPr="003A484D" w:rsidRDefault="00F50210" w:rsidP="003A484D">
      <w:pPr>
        <w:spacing w:line="276" w:lineRule="auto"/>
        <w:jc w:val="both"/>
        <w:rPr>
          <w:rFonts w:ascii="Gadugi" w:hAnsi="Gadugi" w:cs="Century Gothic"/>
          <w:bCs/>
        </w:rPr>
      </w:pPr>
    </w:p>
    <w:p w14:paraId="2022FF5D" w14:textId="77777777" w:rsidR="00F50210" w:rsidRPr="003A484D" w:rsidRDefault="00F50210" w:rsidP="003A484D">
      <w:pPr>
        <w:spacing w:line="276" w:lineRule="auto"/>
        <w:jc w:val="both"/>
        <w:rPr>
          <w:rFonts w:ascii="Gadugi" w:hAnsi="Gadugi" w:cs="Century Gothic"/>
          <w:bCs/>
        </w:rPr>
      </w:pPr>
      <w:r w:rsidRPr="003A484D">
        <w:rPr>
          <w:rFonts w:ascii="Gadugi" w:hAnsi="Gadugi" w:cs="Century Gothic"/>
          <w:bCs/>
        </w:rPr>
        <w:t xml:space="preserve">Esa condena se produjo, luego de que la jueza explicara: </w:t>
      </w:r>
    </w:p>
    <w:p w14:paraId="79AB54F2" w14:textId="77777777" w:rsidR="00F50210" w:rsidRPr="003A484D" w:rsidRDefault="00F50210" w:rsidP="003A484D">
      <w:pPr>
        <w:spacing w:line="276" w:lineRule="auto"/>
        <w:jc w:val="both"/>
        <w:rPr>
          <w:rFonts w:ascii="Gadugi" w:hAnsi="Gadugi" w:cs="Century Gothic"/>
          <w:bCs/>
        </w:rPr>
      </w:pPr>
      <w:r w:rsidRPr="003A484D">
        <w:rPr>
          <w:rFonts w:ascii="Gadugi" w:hAnsi="Gadugi" w:cs="Century Gothic"/>
          <w:bCs/>
        </w:rPr>
        <w:t xml:space="preserve"> </w:t>
      </w:r>
    </w:p>
    <w:p w14:paraId="3CE6B0AA" w14:textId="54AAD8C9" w:rsidR="00F50210" w:rsidRPr="003A484D" w:rsidRDefault="00F50210" w:rsidP="003A484D">
      <w:pPr>
        <w:ind w:left="426" w:right="420"/>
        <w:jc w:val="both"/>
        <w:rPr>
          <w:rFonts w:ascii="Gadugi" w:hAnsi="Gadugi" w:cs="Century Gothic"/>
          <w:bCs/>
          <w:sz w:val="22"/>
        </w:rPr>
      </w:pPr>
      <w:r w:rsidRPr="003A484D">
        <w:rPr>
          <w:rFonts w:ascii="Gadugi" w:hAnsi="Gadugi" w:cs="Century Gothic"/>
          <w:bCs/>
          <w:sz w:val="22"/>
        </w:rPr>
        <w:t xml:space="preserve">“Por ello, a la luz del arbitrio judicial, debe prevalecer la cordura, para no incurrir en un desbordamiento patrimonial, pero sí indicándose que las acciones a las que se vio obligada a adelantar la demandante, permean la esfera de la tranquilidad humana por todo el entorno que ello genera y a la que fue conminada de manera injusta, dadas las resultas de la actuación administrativa, cuya incursión </w:t>
      </w:r>
      <w:r w:rsidR="0095386A" w:rsidRPr="003A484D">
        <w:rPr>
          <w:rFonts w:ascii="Gadugi" w:hAnsi="Gadugi" w:cs="Century Gothic"/>
          <w:bCs/>
          <w:sz w:val="22"/>
        </w:rPr>
        <w:t>en</w:t>
      </w:r>
      <w:r w:rsidRPr="003A484D">
        <w:rPr>
          <w:rFonts w:ascii="Gadugi" w:hAnsi="Gadugi" w:cs="Century Gothic"/>
          <w:bCs/>
          <w:sz w:val="22"/>
        </w:rPr>
        <w:t xml:space="preserve"> costos fue la que generó la promoción de esta demanda y, por consiguiente, siguiendo las orientaciones de la Corte Suprema de Justicia sobre el particular, se fijará por este concepto, la suma de $1’000.000.”</w:t>
      </w:r>
      <w:r w:rsidR="00C12C44" w:rsidRPr="003A484D">
        <w:rPr>
          <w:rStyle w:val="Refdenotaalpie"/>
          <w:rFonts w:ascii="Gadugi" w:hAnsi="Gadugi"/>
          <w:bCs/>
          <w:sz w:val="22"/>
        </w:rPr>
        <w:footnoteReference w:id="16"/>
      </w:r>
    </w:p>
    <w:p w14:paraId="79144132" w14:textId="77777777" w:rsidR="00F50210" w:rsidRPr="003A484D" w:rsidRDefault="00F50210" w:rsidP="003A484D">
      <w:pPr>
        <w:spacing w:line="276" w:lineRule="auto"/>
        <w:jc w:val="both"/>
        <w:rPr>
          <w:rFonts w:ascii="Gadugi" w:hAnsi="Gadugi" w:cs="Century Gothic"/>
          <w:bCs/>
        </w:rPr>
      </w:pPr>
    </w:p>
    <w:p w14:paraId="19161A65" w14:textId="17C3F657" w:rsidR="00F50210" w:rsidRPr="003A484D" w:rsidRDefault="00F50210" w:rsidP="003A484D">
      <w:pPr>
        <w:spacing w:line="276" w:lineRule="auto"/>
        <w:jc w:val="both"/>
        <w:rPr>
          <w:rFonts w:ascii="Gadugi" w:hAnsi="Gadugi" w:cs="Century Gothic"/>
        </w:rPr>
      </w:pPr>
      <w:r w:rsidRPr="003A484D">
        <w:rPr>
          <w:rFonts w:ascii="Gadugi" w:hAnsi="Gadugi" w:cs="Century Gothic"/>
        </w:rPr>
        <w:t xml:space="preserve">Como se ve, es inexacto cuando se dice que esa decisión no tuvo respaldo probatorio, al contrario, </w:t>
      </w:r>
      <w:r w:rsidR="00FE67E7" w:rsidRPr="003A484D">
        <w:rPr>
          <w:rFonts w:ascii="Gadugi" w:hAnsi="Gadugi" w:cs="Century Gothic"/>
        </w:rPr>
        <w:t xml:space="preserve">con lo que </w:t>
      </w:r>
      <w:r w:rsidRPr="003A484D">
        <w:rPr>
          <w:rFonts w:ascii="Gadugi" w:hAnsi="Gadugi" w:cs="Century Gothic"/>
        </w:rPr>
        <w:t xml:space="preserve">quedó demostrado en el juicio, la jueza concluyó que era menester imponer una condena por perjuicios morales, de lo cual no se extrae ninguna arbitrariedad. </w:t>
      </w:r>
    </w:p>
    <w:p w14:paraId="1DE995D4" w14:textId="77777777" w:rsidR="00F50210" w:rsidRPr="003A484D" w:rsidRDefault="00F50210" w:rsidP="003A484D">
      <w:pPr>
        <w:spacing w:line="276" w:lineRule="auto"/>
        <w:jc w:val="both"/>
        <w:rPr>
          <w:rFonts w:ascii="Gadugi" w:hAnsi="Gadugi" w:cs="Century Gothic"/>
          <w:bCs/>
        </w:rPr>
      </w:pPr>
    </w:p>
    <w:p w14:paraId="2525BB49" w14:textId="39494016" w:rsidR="00F50210" w:rsidRPr="003A484D" w:rsidRDefault="00F50210" w:rsidP="003A484D">
      <w:pPr>
        <w:tabs>
          <w:tab w:val="left" w:pos="3108"/>
        </w:tabs>
        <w:spacing w:line="276" w:lineRule="auto"/>
        <w:jc w:val="both"/>
        <w:rPr>
          <w:rFonts w:ascii="Gadugi" w:hAnsi="Gadugi"/>
        </w:rPr>
      </w:pPr>
      <w:r w:rsidRPr="003A484D">
        <w:rPr>
          <w:rFonts w:ascii="Gadugi" w:hAnsi="Gadugi"/>
        </w:rPr>
        <w:t xml:space="preserve">En suma, en lo que se refiere a estos dos aspectos, la acción de tutela no es más que un disenso de la parte actora, frente a esas decisiones del despacho acusado, las que, como se vio, se encuentran dentro de un margen de interpretación razonable, </w:t>
      </w:r>
      <w:r w:rsidRPr="003A484D">
        <w:rPr>
          <w:rFonts w:ascii="Gadugi" w:hAnsi="Gadugi"/>
          <w:u w:val="single"/>
        </w:rPr>
        <w:t>con las cuales se puede estar de acuerdo o no</w:t>
      </w:r>
      <w:r w:rsidRPr="003A484D">
        <w:rPr>
          <w:rFonts w:ascii="Gadugi" w:hAnsi="Gadugi"/>
        </w:rPr>
        <w:t xml:space="preserve">, pero que no puede ser descalificada pues si así se hiciera, se usurparía la función misma del juicio ordinario y </w:t>
      </w:r>
      <w:r w:rsidRPr="003A484D">
        <w:rPr>
          <w:rFonts w:ascii="Gadugi" w:hAnsi="Gadugi"/>
          <w:i/>
        </w:rPr>
        <w:t>“</w:t>
      </w:r>
      <w:r w:rsidRPr="006D1BBB">
        <w:rPr>
          <w:rFonts w:ascii="Gadugi" w:hAnsi="Gadugi"/>
          <w:i/>
          <w:sz w:val="22"/>
        </w:rPr>
        <w:t>La sola divergencia conceptual no puede ser venero para demandar este amparo porque la tutela no es instrumento para definir cuál planteamiento hermenéutico en las hipótesis de subsunción legal es el válido, ni cuál de las inferencias valorativas de los elementos fácticos es la más acertada o la más correcta para dar lugar a la intervención del juez constitucional</w:t>
      </w:r>
      <w:r w:rsidRPr="003A484D">
        <w:rPr>
          <w:rFonts w:ascii="Gadugi" w:hAnsi="Gadugi"/>
          <w:i/>
        </w:rPr>
        <w:t>.”</w:t>
      </w:r>
      <w:r w:rsidR="006D1BBB">
        <w:rPr>
          <w:rFonts w:ascii="Gadugi" w:hAnsi="Gadugi"/>
          <w:i/>
        </w:rPr>
        <w:t xml:space="preserve"> </w:t>
      </w:r>
      <w:r w:rsidRPr="003A484D">
        <w:rPr>
          <w:rStyle w:val="Refdenotaalpie"/>
          <w:rFonts w:ascii="Gadugi" w:hAnsi="Gadugi"/>
        </w:rPr>
        <w:footnoteReference w:id="17"/>
      </w:r>
    </w:p>
    <w:p w14:paraId="184C9360" w14:textId="4CBE9733" w:rsidR="000258BD" w:rsidRPr="003A484D" w:rsidRDefault="000258BD" w:rsidP="003A484D">
      <w:pPr>
        <w:spacing w:line="276" w:lineRule="auto"/>
        <w:jc w:val="both"/>
        <w:rPr>
          <w:rFonts w:ascii="Gadugi" w:hAnsi="Gadugi" w:cs="Century Gothic"/>
          <w:bCs/>
        </w:rPr>
      </w:pPr>
    </w:p>
    <w:p w14:paraId="46BB6AC0" w14:textId="408DE76B" w:rsidR="000258BD" w:rsidRPr="003A484D" w:rsidRDefault="00FE67E7" w:rsidP="003A484D">
      <w:pPr>
        <w:spacing w:line="276" w:lineRule="auto"/>
        <w:jc w:val="both"/>
        <w:rPr>
          <w:rFonts w:ascii="Gadugi" w:hAnsi="Gadugi" w:cs="Century Gothic"/>
          <w:bCs/>
        </w:rPr>
      </w:pPr>
      <w:r w:rsidRPr="003A484D">
        <w:rPr>
          <w:rFonts w:ascii="Gadugi" w:hAnsi="Gadugi" w:cs="Century Gothic"/>
          <w:bCs/>
        </w:rPr>
        <w:t>2.5.3</w:t>
      </w:r>
      <w:r w:rsidR="000258BD" w:rsidRPr="003A484D">
        <w:rPr>
          <w:rFonts w:ascii="Gadugi" w:hAnsi="Gadugi" w:cs="Century Gothic"/>
          <w:bCs/>
        </w:rPr>
        <w:t>. Aplicabilidad del artículo 36</w:t>
      </w:r>
      <w:r w:rsidRPr="003A484D">
        <w:rPr>
          <w:rFonts w:ascii="Gadugi" w:hAnsi="Gadugi" w:cs="Century Gothic"/>
          <w:bCs/>
        </w:rPr>
        <w:t>6</w:t>
      </w:r>
      <w:r w:rsidR="000258BD" w:rsidRPr="003A484D">
        <w:rPr>
          <w:rFonts w:ascii="Gadugi" w:hAnsi="Gadugi" w:cs="Century Gothic"/>
          <w:bCs/>
        </w:rPr>
        <w:t xml:space="preserve"> del CGP.</w:t>
      </w:r>
    </w:p>
    <w:p w14:paraId="69D1D65B" w14:textId="72C67AAA" w:rsidR="000258BD" w:rsidRPr="003A484D" w:rsidRDefault="000258BD" w:rsidP="003A484D">
      <w:pPr>
        <w:spacing w:line="276" w:lineRule="auto"/>
        <w:jc w:val="both"/>
        <w:rPr>
          <w:rFonts w:ascii="Gadugi" w:hAnsi="Gadugi" w:cs="Century Gothic"/>
          <w:bCs/>
        </w:rPr>
      </w:pPr>
    </w:p>
    <w:p w14:paraId="435CBD6D" w14:textId="5B3B772D" w:rsidR="00F50210" w:rsidRPr="003A484D" w:rsidRDefault="00F50210" w:rsidP="003A484D">
      <w:pPr>
        <w:spacing w:line="276" w:lineRule="auto"/>
        <w:jc w:val="both"/>
        <w:rPr>
          <w:rFonts w:ascii="Gadugi" w:hAnsi="Gadugi" w:cs="Century Gothic"/>
          <w:bCs/>
        </w:rPr>
      </w:pPr>
      <w:r w:rsidRPr="003A484D">
        <w:rPr>
          <w:rFonts w:ascii="Gadugi" w:hAnsi="Gadugi" w:cs="Century Gothic"/>
          <w:bCs/>
        </w:rPr>
        <w:t xml:space="preserve">En este punto advierte la Sala que la razón si está de parte del accionante, comoquiera que, </w:t>
      </w:r>
      <w:r w:rsidR="00FE67E7" w:rsidRPr="003A484D">
        <w:rPr>
          <w:rFonts w:ascii="Gadugi" w:hAnsi="Gadugi" w:cs="Century Gothic"/>
          <w:bCs/>
        </w:rPr>
        <w:t>tal como él afirma, el pago de los honorarios del abogado que representó a la demandante en el juicio de responsabilidad civil, no se pueden incluir entre los perjuicios, así lo explica la Sala de Casación Civil de la Corte Suprema de Justicia</w:t>
      </w:r>
      <w:r w:rsidR="00FE67E7" w:rsidRPr="003A484D">
        <w:rPr>
          <w:rStyle w:val="Refdenotaalpie"/>
          <w:rFonts w:ascii="Gadugi" w:hAnsi="Gadugi"/>
          <w:bCs/>
        </w:rPr>
        <w:footnoteReference w:id="18"/>
      </w:r>
      <w:r w:rsidR="00FE67E7" w:rsidRPr="003A484D">
        <w:rPr>
          <w:rFonts w:ascii="Gadugi" w:hAnsi="Gadugi" w:cs="Century Gothic"/>
          <w:bCs/>
        </w:rPr>
        <w:t>.</w:t>
      </w:r>
    </w:p>
    <w:p w14:paraId="242CCFF4" w14:textId="66329BAE" w:rsidR="00FE67E7" w:rsidRPr="003A484D" w:rsidRDefault="00FE67E7" w:rsidP="003A484D">
      <w:pPr>
        <w:spacing w:line="276" w:lineRule="auto"/>
        <w:jc w:val="both"/>
        <w:rPr>
          <w:rFonts w:ascii="Gadugi" w:hAnsi="Gadugi" w:cs="Century Gothic"/>
          <w:bCs/>
        </w:rPr>
      </w:pPr>
    </w:p>
    <w:p w14:paraId="018C839A" w14:textId="3F4B4CC5" w:rsidR="00FE67E7" w:rsidRPr="003A484D" w:rsidRDefault="00FE67E7" w:rsidP="003A484D">
      <w:pPr>
        <w:ind w:left="426" w:right="420"/>
        <w:jc w:val="both"/>
        <w:rPr>
          <w:rFonts w:ascii="Gadugi" w:hAnsi="Gadugi"/>
          <w:sz w:val="22"/>
        </w:rPr>
      </w:pPr>
      <w:r w:rsidRPr="003A484D">
        <w:rPr>
          <w:rFonts w:ascii="Gadugi" w:hAnsi="Gadugi"/>
          <w:sz w:val="22"/>
        </w:rPr>
        <w:t>“(…) [T]</w:t>
      </w:r>
      <w:proofErr w:type="spellStart"/>
      <w:r w:rsidRPr="003A484D">
        <w:rPr>
          <w:rFonts w:ascii="Gadugi" w:hAnsi="Gadugi"/>
          <w:sz w:val="22"/>
        </w:rPr>
        <w:t>iene</w:t>
      </w:r>
      <w:proofErr w:type="spellEnd"/>
      <w:r w:rsidRPr="003A484D">
        <w:rPr>
          <w:rFonts w:ascii="Gadugi" w:hAnsi="Gadugi"/>
          <w:sz w:val="22"/>
        </w:rPr>
        <w:t xml:space="preserve"> dicho la Sala que los gastos y honorarios cubiertos en ejercicio del derecho de defensa, que son propios de las costas procesales, conforme lo establece el artículo 366 del vigente Estatuto Procesal Civil, que en su numeral 3° señala que su liquidación </w:t>
      </w:r>
      <w:r w:rsidRPr="003A484D">
        <w:rPr>
          <w:rFonts w:ascii="Gadugi" w:hAnsi="Gadugi"/>
          <w:i/>
          <w:sz w:val="22"/>
        </w:rPr>
        <w:t>“incluirá el valor de los honorarios de auxiliares de la justicia, los demás gastos judiciales hechos por la parte beneficiada con la condena, siempre que aparezcan comprobados, hayan sido útiles y correspondan a actuaciones autorizadas por la ley, y las agencias en derecho que fije el magistrado sustanciador o el juez, aunque se litigue sin apoderado”</w:t>
      </w:r>
      <w:r w:rsidRPr="003A484D">
        <w:rPr>
          <w:rFonts w:ascii="Gadugi" w:hAnsi="Gadugi"/>
          <w:sz w:val="22"/>
        </w:rPr>
        <w:t xml:space="preserve">, no pueden confundirse o asimilarse al perjuicio susceptible de resarcir por los efectos desfavorables que se derivan del indebido uso de la aludida senda extraordinaria, ya que su génesis corresponde a situaciones distintas. </w:t>
      </w:r>
    </w:p>
    <w:p w14:paraId="06A1562F" w14:textId="77777777" w:rsidR="00FE67E7" w:rsidRPr="003A484D" w:rsidRDefault="00FE67E7" w:rsidP="003A484D">
      <w:pPr>
        <w:ind w:left="426" w:right="420"/>
        <w:jc w:val="both"/>
        <w:rPr>
          <w:rFonts w:ascii="Gadugi" w:hAnsi="Gadugi"/>
          <w:sz w:val="22"/>
        </w:rPr>
      </w:pPr>
    </w:p>
    <w:p w14:paraId="7673F521" w14:textId="77777777" w:rsidR="00FE67E7" w:rsidRPr="003A484D" w:rsidRDefault="00FE67E7" w:rsidP="003A484D">
      <w:pPr>
        <w:ind w:left="426" w:right="420"/>
        <w:jc w:val="both"/>
        <w:rPr>
          <w:rFonts w:ascii="Gadugi" w:hAnsi="Gadugi" w:cs="Tahoma"/>
          <w:iCs/>
          <w:sz w:val="22"/>
        </w:rPr>
      </w:pPr>
      <w:r w:rsidRPr="003A484D">
        <w:rPr>
          <w:rFonts w:ascii="Gadugi" w:hAnsi="Gadugi"/>
          <w:sz w:val="22"/>
        </w:rPr>
        <w:t xml:space="preserve">Al respecto, conviene recordar lo precisado por </w:t>
      </w:r>
      <w:r w:rsidRPr="003A484D">
        <w:rPr>
          <w:rFonts w:ascii="Gadugi" w:hAnsi="Gadugi" w:cs="Tahoma"/>
          <w:iCs/>
          <w:sz w:val="22"/>
        </w:rPr>
        <w:t>la Corte acerca de esta puntual temática en auto de 7 de abril de 2000, expediente 7215, al indicar que:</w:t>
      </w:r>
    </w:p>
    <w:p w14:paraId="598FF731" w14:textId="77777777" w:rsidR="00FE67E7" w:rsidRPr="003A484D" w:rsidRDefault="00FE67E7" w:rsidP="003A484D">
      <w:pPr>
        <w:ind w:left="426" w:right="420" w:firstLine="709"/>
        <w:jc w:val="both"/>
        <w:rPr>
          <w:rFonts w:ascii="Gadugi" w:hAnsi="Gadugi" w:cs="Tahoma"/>
          <w:iCs/>
          <w:sz w:val="22"/>
        </w:rPr>
      </w:pPr>
    </w:p>
    <w:p w14:paraId="030B0BAA" w14:textId="4A2C690E" w:rsidR="00FE67E7" w:rsidRPr="003A484D" w:rsidRDefault="00FE67E7" w:rsidP="003A484D">
      <w:pPr>
        <w:ind w:left="426" w:right="420"/>
        <w:jc w:val="both"/>
        <w:rPr>
          <w:rFonts w:ascii="Gadugi" w:hAnsi="Gadugi"/>
          <w:iCs/>
          <w:sz w:val="22"/>
        </w:rPr>
      </w:pPr>
      <w:r w:rsidRPr="003A484D">
        <w:rPr>
          <w:rFonts w:ascii="Gadugi" w:hAnsi="Gadugi"/>
          <w:i/>
          <w:sz w:val="22"/>
        </w:rPr>
        <w:t>“‘…</w:t>
      </w:r>
      <w:r w:rsidR="006D1BBB">
        <w:rPr>
          <w:rFonts w:ascii="Gadugi" w:hAnsi="Gadugi"/>
          <w:i/>
          <w:sz w:val="22"/>
        </w:rPr>
        <w:t xml:space="preserve"> </w:t>
      </w:r>
      <w:r w:rsidRPr="003A484D">
        <w:rPr>
          <w:rFonts w:ascii="Gadugi" w:hAnsi="Gadugi"/>
          <w:i/>
          <w:sz w:val="22"/>
        </w:rPr>
        <w:t xml:space="preserve">son diferentes la condena en costas y la de perjuicios, por lo que no le es dable a la parte beneficiada con ellas, involucrar en la liquidación de perjuicios, aspectos propios de la de costas, como es el caso del reconocimiento de gastos judiciales y de abogado o agencias en derecho, los que deben concretarse en la forma y por el procedimiento establecido en el artículo 393 del C. de P.C.’ </w:t>
      </w:r>
      <w:r w:rsidRPr="003A484D">
        <w:rPr>
          <w:rFonts w:ascii="Gadugi" w:hAnsi="Gadugi"/>
          <w:iCs/>
          <w:sz w:val="22"/>
        </w:rPr>
        <w:t>[hoy 366 del C.G.P.]</w:t>
      </w:r>
      <w:r w:rsidRPr="003A484D">
        <w:rPr>
          <w:rFonts w:ascii="Gadugi" w:hAnsi="Gadugi"/>
          <w:i/>
          <w:sz w:val="22"/>
        </w:rPr>
        <w:t xml:space="preserve">, por lo que concluyó que ‘no pueden reconocerse los perjuicios reclamados por la apoderada de los demandados en revisión, toda vez que se refiere a honorarios de abogado pagados por ellos convencionalmente y a gastos judiciales, los cuales no pueden incluirse en el rubro de perjuicios…’” </w:t>
      </w:r>
      <w:r w:rsidRPr="003A484D">
        <w:rPr>
          <w:rFonts w:ascii="Gadugi" w:hAnsi="Gadugi"/>
          <w:iCs/>
          <w:sz w:val="22"/>
        </w:rPr>
        <w:t xml:space="preserve">(reiterado </w:t>
      </w:r>
      <w:r w:rsidRPr="003A484D">
        <w:rPr>
          <w:rFonts w:ascii="Gadugi" w:hAnsi="Gadugi"/>
          <w:sz w:val="22"/>
        </w:rPr>
        <w:t>en CSJ AC,</w:t>
      </w:r>
      <w:r w:rsidRPr="003A484D">
        <w:rPr>
          <w:rFonts w:ascii="Gadugi" w:hAnsi="Gadugi"/>
          <w:iCs/>
          <w:sz w:val="22"/>
        </w:rPr>
        <w:t xml:space="preserve"> 4 ago. 2008, Rad. 2005-00791, y en AC,</w:t>
      </w:r>
      <w:r w:rsidRPr="003A484D">
        <w:rPr>
          <w:rFonts w:ascii="Gadugi" w:hAnsi="Gadugi"/>
          <w:sz w:val="22"/>
        </w:rPr>
        <w:t xml:space="preserve"> </w:t>
      </w:r>
      <w:r w:rsidRPr="003A484D">
        <w:rPr>
          <w:rFonts w:ascii="Gadugi" w:hAnsi="Gadugi"/>
          <w:iCs/>
          <w:sz w:val="22"/>
        </w:rPr>
        <w:t xml:space="preserve">6 </w:t>
      </w:r>
      <w:proofErr w:type="spellStart"/>
      <w:r w:rsidRPr="003A484D">
        <w:rPr>
          <w:rFonts w:ascii="Gadugi" w:hAnsi="Gadugi"/>
          <w:iCs/>
          <w:sz w:val="22"/>
        </w:rPr>
        <w:t>may</w:t>
      </w:r>
      <w:proofErr w:type="spellEnd"/>
      <w:r w:rsidRPr="003A484D">
        <w:rPr>
          <w:rFonts w:ascii="Gadugi" w:hAnsi="Gadugi"/>
          <w:iCs/>
          <w:sz w:val="22"/>
        </w:rPr>
        <w:t xml:space="preserve">. 2013, Rad. </w:t>
      </w:r>
      <w:r w:rsidRPr="003A484D">
        <w:rPr>
          <w:rFonts w:ascii="Gadugi" w:hAnsi="Gadugi"/>
          <w:iCs/>
          <w:sz w:val="22"/>
          <w:lang w:val="es-MX"/>
        </w:rPr>
        <w:t>2009-00770-00</w:t>
      </w:r>
      <w:r w:rsidRPr="003A484D">
        <w:rPr>
          <w:rFonts w:ascii="Gadugi" w:hAnsi="Gadugi"/>
          <w:iCs/>
          <w:sz w:val="22"/>
        </w:rPr>
        <w:t>).</w:t>
      </w:r>
    </w:p>
    <w:p w14:paraId="59CB2BB5" w14:textId="77777777" w:rsidR="00FE67E7" w:rsidRPr="003A484D" w:rsidRDefault="00FE67E7" w:rsidP="003A484D">
      <w:pPr>
        <w:ind w:left="426" w:right="420" w:firstLine="709"/>
        <w:jc w:val="both"/>
        <w:rPr>
          <w:rFonts w:ascii="Gadugi" w:hAnsi="Gadugi"/>
          <w:sz w:val="22"/>
        </w:rPr>
      </w:pPr>
    </w:p>
    <w:p w14:paraId="6258AC60" w14:textId="77777777" w:rsidR="00FE67E7" w:rsidRPr="003A484D" w:rsidRDefault="00FE67E7" w:rsidP="003A484D">
      <w:pPr>
        <w:ind w:left="426" w:right="420"/>
        <w:jc w:val="both"/>
        <w:rPr>
          <w:rFonts w:ascii="Gadugi" w:hAnsi="Gadugi"/>
          <w:sz w:val="22"/>
        </w:rPr>
      </w:pPr>
      <w:r w:rsidRPr="003A484D">
        <w:rPr>
          <w:rFonts w:ascii="Gadugi" w:hAnsi="Gadugi"/>
          <w:sz w:val="22"/>
        </w:rPr>
        <w:t xml:space="preserve">De lo anterior se desprende que, no hay lugar a reconocer lo pedido, en razón a que el hecho alegado no corresponde a un perjuicio indemnizable por esta senda procesal, sino a un rubro propio de las costas, el que no puede pretenderse revivir su reconocimiento en un trámite posterior, ya que las erogaciones hechas en el curso de lo actuado se deben soportar a medida que se materializan, para tenerlas en cuenta una vez en firme el fallo, tal y como lo regula el procedimiento dispuesto para la liquidación de aquellas. </w:t>
      </w:r>
    </w:p>
    <w:p w14:paraId="3E8B4C76" w14:textId="1EF3C76B" w:rsidR="00FE67E7" w:rsidRPr="003A484D" w:rsidRDefault="00FE67E7" w:rsidP="003A484D">
      <w:pPr>
        <w:spacing w:line="276" w:lineRule="auto"/>
        <w:jc w:val="both"/>
        <w:rPr>
          <w:rFonts w:ascii="Gadugi" w:hAnsi="Gadugi" w:cs="Century Gothic"/>
          <w:bCs/>
        </w:rPr>
      </w:pPr>
    </w:p>
    <w:p w14:paraId="09361BA8" w14:textId="0481761D" w:rsidR="00FE67E7" w:rsidRPr="003A484D" w:rsidRDefault="00FE67E7" w:rsidP="003A484D">
      <w:pPr>
        <w:spacing w:line="276" w:lineRule="auto"/>
        <w:jc w:val="both"/>
        <w:rPr>
          <w:rFonts w:ascii="Gadugi" w:hAnsi="Gadugi" w:cs="Century Gothic"/>
          <w:bCs/>
        </w:rPr>
      </w:pPr>
      <w:r w:rsidRPr="003A484D">
        <w:rPr>
          <w:rFonts w:ascii="Gadugi" w:hAnsi="Gadugi" w:cs="Century Gothic"/>
          <w:bCs/>
        </w:rPr>
        <w:t>Se hace evidente, entonces, la vía de hecho en la que incurrió el juzgado comoquiera que incluyó entre las condenas un rubro que es propio de las costas del proceso</w:t>
      </w:r>
      <w:r w:rsidR="0095386A" w:rsidRPr="003A484D">
        <w:rPr>
          <w:rFonts w:ascii="Gadugi" w:hAnsi="Gadugi" w:cs="Century Gothic"/>
          <w:bCs/>
        </w:rPr>
        <w:t xml:space="preserve"> (Art. 366 CGP)</w:t>
      </w:r>
      <w:r w:rsidRPr="003A484D">
        <w:rPr>
          <w:rFonts w:ascii="Gadugi" w:hAnsi="Gadugi" w:cs="Century Gothic"/>
          <w:bCs/>
        </w:rPr>
        <w:t xml:space="preserve">, las cuales, </w:t>
      </w:r>
      <w:r w:rsidR="00C12C44" w:rsidRPr="003A484D">
        <w:rPr>
          <w:rFonts w:ascii="Gadugi" w:hAnsi="Gadugi" w:cs="Century Gothic"/>
          <w:bCs/>
        </w:rPr>
        <w:t>ya están fijadas en ese juicio</w:t>
      </w:r>
      <w:r w:rsidRPr="003A484D">
        <w:rPr>
          <w:rFonts w:ascii="Gadugi" w:hAnsi="Gadugi" w:cs="Century Gothic"/>
          <w:bCs/>
        </w:rPr>
        <w:t xml:space="preserve"> por un valor de $500.000</w:t>
      </w:r>
      <w:r w:rsidR="00C12C44" w:rsidRPr="003A484D">
        <w:rPr>
          <w:rFonts w:ascii="Gadugi" w:hAnsi="Gadugi" w:cs="Century Gothic"/>
          <w:bCs/>
        </w:rPr>
        <w:t>.</w:t>
      </w:r>
      <w:r w:rsidR="0095386A" w:rsidRPr="003A484D">
        <w:rPr>
          <w:rStyle w:val="Refdenotaalpie"/>
          <w:rFonts w:ascii="Gadugi" w:hAnsi="Gadugi"/>
          <w:bCs/>
        </w:rPr>
        <w:footnoteReference w:id="19"/>
      </w:r>
    </w:p>
    <w:p w14:paraId="24D0017F" w14:textId="17642DF9" w:rsidR="00C12C44" w:rsidRPr="003A484D" w:rsidRDefault="00C12C44" w:rsidP="003A484D">
      <w:pPr>
        <w:spacing w:line="276" w:lineRule="auto"/>
        <w:jc w:val="both"/>
        <w:rPr>
          <w:rFonts w:ascii="Gadugi" w:hAnsi="Gadugi" w:cs="Century Gothic"/>
          <w:bCs/>
        </w:rPr>
      </w:pPr>
    </w:p>
    <w:p w14:paraId="79446AB7" w14:textId="24C7087E" w:rsidR="00C12C44" w:rsidRPr="003A484D" w:rsidRDefault="00C12C44" w:rsidP="003A484D">
      <w:pPr>
        <w:spacing w:line="276" w:lineRule="auto"/>
        <w:jc w:val="both"/>
        <w:rPr>
          <w:rFonts w:ascii="Gadugi" w:hAnsi="Gadugi" w:cs="Century Gothic"/>
          <w:bCs/>
        </w:rPr>
      </w:pPr>
      <w:r w:rsidRPr="003A484D">
        <w:rPr>
          <w:rFonts w:ascii="Gadugi" w:hAnsi="Gadugi" w:cs="Century Gothic"/>
          <w:bCs/>
        </w:rPr>
        <w:t xml:space="preserve">Por lo expuesto, se revocará el fallo impugnado, para en su lugar conceder parcialmente el amparo, en consecuencia, se dejará sin efecto la condena incluida en la sentencia del 8 de mayo de 2023 dentro del expediente 66001-41-89-001-2020-00334-00 por valor de </w:t>
      </w:r>
      <w:r w:rsidRPr="003A484D">
        <w:rPr>
          <w:rFonts w:ascii="Gadugi" w:hAnsi="Gadugi" w:cs="Century Gothic"/>
          <w:bCs/>
          <w:i/>
        </w:rPr>
        <w:t>“</w:t>
      </w:r>
      <w:r w:rsidRPr="006D1BBB">
        <w:rPr>
          <w:rFonts w:ascii="Gadugi" w:hAnsi="Gadugi" w:cs="Century Gothic"/>
          <w:bCs/>
          <w:i/>
          <w:sz w:val="22"/>
        </w:rPr>
        <w:t>-MILLON SETECIENTOS MIL PESOS ($1.700.000) por pago de honorarios profesionales en asistencia de verbal ante Juzgado Civil Municipal</w:t>
      </w:r>
      <w:r w:rsidRPr="003A484D">
        <w:rPr>
          <w:rFonts w:ascii="Gadugi" w:hAnsi="Gadugi" w:cs="Century Gothic"/>
          <w:bCs/>
          <w:i/>
        </w:rPr>
        <w:t xml:space="preserve">”, </w:t>
      </w:r>
      <w:r w:rsidRPr="003A484D">
        <w:rPr>
          <w:rFonts w:ascii="Gadugi" w:hAnsi="Gadugi" w:cs="Century Gothic"/>
          <w:bCs/>
        </w:rPr>
        <w:t xml:space="preserve">con la claridad de que esa providencia queda incólume en lo demás. </w:t>
      </w:r>
    </w:p>
    <w:p w14:paraId="65C4720A" w14:textId="77777777" w:rsidR="00AF1364" w:rsidRPr="003A484D" w:rsidRDefault="00AF1364" w:rsidP="003A484D">
      <w:pPr>
        <w:spacing w:line="276" w:lineRule="auto"/>
        <w:jc w:val="both"/>
        <w:rPr>
          <w:rFonts w:ascii="Gadugi" w:hAnsi="Gadugi" w:cs="Century Gothic"/>
          <w:b/>
          <w:bCs/>
        </w:rPr>
      </w:pPr>
    </w:p>
    <w:p w14:paraId="4743A5E6" w14:textId="169824B2" w:rsidR="00FB4194" w:rsidRPr="003A484D" w:rsidRDefault="00847ADF" w:rsidP="003A484D">
      <w:pPr>
        <w:spacing w:line="276" w:lineRule="auto"/>
        <w:jc w:val="both"/>
        <w:rPr>
          <w:rFonts w:ascii="Gadugi" w:hAnsi="Gadugi" w:cs="Century Gothic"/>
          <w:b/>
          <w:bCs/>
        </w:rPr>
      </w:pPr>
      <w:r w:rsidRPr="003A484D">
        <w:rPr>
          <w:rFonts w:ascii="Gadugi" w:hAnsi="Gadugi" w:cs="Century Gothic"/>
          <w:b/>
          <w:bCs/>
        </w:rPr>
        <w:t xml:space="preserve">3. </w:t>
      </w:r>
      <w:r w:rsidR="00FB4194" w:rsidRPr="003A484D">
        <w:rPr>
          <w:rFonts w:ascii="Gadugi" w:hAnsi="Gadugi" w:cs="Century Gothic"/>
          <w:b/>
          <w:bCs/>
        </w:rPr>
        <w:t>DECISIÓN</w:t>
      </w:r>
    </w:p>
    <w:p w14:paraId="0364F5AB" w14:textId="718AFF14" w:rsidR="00FB4194" w:rsidRPr="003A484D" w:rsidRDefault="00FB4194" w:rsidP="003A484D">
      <w:pPr>
        <w:spacing w:line="276" w:lineRule="auto"/>
        <w:jc w:val="both"/>
        <w:rPr>
          <w:rFonts w:ascii="Gadugi" w:hAnsi="Gadugi" w:cs="Century Gothic"/>
          <w:b/>
          <w:bCs/>
        </w:rPr>
      </w:pPr>
    </w:p>
    <w:p w14:paraId="4D3CFB6F" w14:textId="77777777" w:rsidR="00C12C44" w:rsidRPr="003A484D" w:rsidRDefault="00FB4194" w:rsidP="003A484D">
      <w:pPr>
        <w:spacing w:line="276" w:lineRule="auto"/>
        <w:jc w:val="both"/>
        <w:rPr>
          <w:rFonts w:ascii="Gadugi" w:hAnsi="Gadugi" w:cs="Century Gothic"/>
        </w:rPr>
      </w:pPr>
      <w:r w:rsidRPr="003A484D">
        <w:rPr>
          <w:rFonts w:ascii="Gadugi" w:hAnsi="Gadugi" w:cs="Century Gothic"/>
        </w:rPr>
        <w:lastRenderedPageBreak/>
        <w:t>Por lo dicho, el Tribunal Superior del Distrito Judicial de Pereira, Sala de Decisión Civil Familia, administrando justicia en nombre de la República y por autoridad de la ley</w:t>
      </w:r>
      <w:r w:rsidR="007A3BE6" w:rsidRPr="003A484D">
        <w:rPr>
          <w:rFonts w:ascii="Gadugi" w:hAnsi="Gadugi" w:cs="Century Gothic"/>
        </w:rPr>
        <w:t xml:space="preserve"> </w:t>
      </w:r>
      <w:r w:rsidR="00C12C44" w:rsidRPr="003A484D">
        <w:rPr>
          <w:rFonts w:ascii="Gadugi" w:hAnsi="Gadugi" w:cs="Century Gothic"/>
          <w:b/>
          <w:bCs/>
        </w:rPr>
        <w:t>REVOCA</w:t>
      </w:r>
      <w:r w:rsidR="00AC06AF" w:rsidRPr="003A484D">
        <w:rPr>
          <w:rFonts w:ascii="Gadugi" w:hAnsi="Gadugi" w:cs="Century Gothic"/>
          <w:b/>
          <w:bCs/>
        </w:rPr>
        <w:t xml:space="preserve"> </w:t>
      </w:r>
      <w:r w:rsidR="00B25924" w:rsidRPr="003A484D">
        <w:rPr>
          <w:rFonts w:ascii="Gadugi" w:hAnsi="Gadugi" w:cs="Century Gothic"/>
        </w:rPr>
        <w:t xml:space="preserve">el </w:t>
      </w:r>
      <w:r w:rsidR="00C12C44" w:rsidRPr="003A484D">
        <w:rPr>
          <w:rFonts w:ascii="Gadugi" w:hAnsi="Gadugi" w:cs="Century Gothic"/>
        </w:rPr>
        <w:t xml:space="preserve">fallo impugnado, en su lugar, se </w:t>
      </w:r>
      <w:r w:rsidR="00C12C44" w:rsidRPr="003A484D">
        <w:rPr>
          <w:rFonts w:ascii="Gadugi" w:hAnsi="Gadugi" w:cs="Century Gothic"/>
          <w:b/>
        </w:rPr>
        <w:t>CONCEDE PARCIALMENTE</w:t>
      </w:r>
      <w:r w:rsidR="00C12C44" w:rsidRPr="003A484D">
        <w:rPr>
          <w:rFonts w:ascii="Gadugi" w:hAnsi="Gadugi" w:cs="Century Gothic"/>
        </w:rPr>
        <w:t xml:space="preserve"> el amparo invocado; en consecuencia:</w:t>
      </w:r>
    </w:p>
    <w:p w14:paraId="474C9A4E" w14:textId="77777777" w:rsidR="00C12C44" w:rsidRPr="003A484D" w:rsidRDefault="00C12C44" w:rsidP="003A484D">
      <w:pPr>
        <w:spacing w:line="276" w:lineRule="auto"/>
        <w:jc w:val="both"/>
        <w:rPr>
          <w:rFonts w:ascii="Gadugi" w:hAnsi="Gadugi" w:cs="Century Gothic"/>
        </w:rPr>
      </w:pPr>
    </w:p>
    <w:p w14:paraId="60C87E6C" w14:textId="70FA197A" w:rsidR="00C12C44" w:rsidRPr="003A484D" w:rsidRDefault="00C12C44" w:rsidP="003A484D">
      <w:pPr>
        <w:spacing w:line="276" w:lineRule="auto"/>
        <w:jc w:val="both"/>
        <w:rPr>
          <w:rFonts w:ascii="Gadugi" w:hAnsi="Gadugi" w:cs="Century Gothic"/>
          <w:bCs/>
        </w:rPr>
      </w:pPr>
      <w:r w:rsidRPr="003A484D">
        <w:rPr>
          <w:rFonts w:ascii="Gadugi" w:hAnsi="Gadugi" w:cs="Century Gothic"/>
          <w:b/>
          <w:bCs/>
        </w:rPr>
        <w:t>SE DEJA SIN EFECTO</w:t>
      </w:r>
      <w:r w:rsidRPr="003A484D">
        <w:rPr>
          <w:rFonts w:ascii="Gadugi" w:hAnsi="Gadugi" w:cs="Century Gothic"/>
          <w:bCs/>
        </w:rPr>
        <w:t xml:space="preserve"> la condena incluida en la sentencia del 8 de mayo de 2023 dentro del expediente con radicado 66001-41-89-001-2020-00334-00 por valor de </w:t>
      </w:r>
      <w:r w:rsidRPr="003A484D">
        <w:rPr>
          <w:rFonts w:ascii="Gadugi" w:hAnsi="Gadugi" w:cs="Century Gothic"/>
          <w:bCs/>
          <w:i/>
        </w:rPr>
        <w:t>“</w:t>
      </w:r>
      <w:r w:rsidRPr="006D1BBB">
        <w:rPr>
          <w:rFonts w:ascii="Gadugi" w:hAnsi="Gadugi" w:cs="Century Gothic"/>
          <w:bCs/>
          <w:i/>
          <w:sz w:val="22"/>
        </w:rPr>
        <w:t>MILLON SETECIENTOS MIL PESOS ($1.700.000) por pago de honorarios profesionales en asistencia de verbal ante Juzgado Civil Municipal</w:t>
      </w:r>
      <w:r w:rsidRPr="003A484D">
        <w:rPr>
          <w:rFonts w:ascii="Gadugi" w:hAnsi="Gadugi" w:cs="Century Gothic"/>
          <w:bCs/>
          <w:i/>
        </w:rPr>
        <w:t xml:space="preserve">”, </w:t>
      </w:r>
      <w:r w:rsidRPr="003A484D">
        <w:rPr>
          <w:rFonts w:ascii="Gadugi" w:hAnsi="Gadugi" w:cs="Century Gothic"/>
          <w:bCs/>
        </w:rPr>
        <w:t xml:space="preserve">con la claridad de que esa providencia queda incólume en lo demás. </w:t>
      </w:r>
    </w:p>
    <w:p w14:paraId="1A796EF3" w14:textId="6A2919D1" w:rsidR="00E35ECA" w:rsidRPr="003A484D" w:rsidRDefault="00C12C44" w:rsidP="003A484D">
      <w:pPr>
        <w:spacing w:line="276" w:lineRule="auto"/>
        <w:jc w:val="both"/>
        <w:rPr>
          <w:rFonts w:ascii="Gadugi" w:hAnsi="Gadugi" w:cs="Arial"/>
        </w:rPr>
      </w:pPr>
      <w:r w:rsidRPr="003A484D">
        <w:rPr>
          <w:rFonts w:ascii="Gadugi" w:hAnsi="Gadugi" w:cs="Century Gothic"/>
        </w:rPr>
        <w:t xml:space="preserve"> </w:t>
      </w:r>
    </w:p>
    <w:p w14:paraId="632C9B38" w14:textId="62E49635" w:rsidR="00FB4194" w:rsidRPr="003A484D" w:rsidRDefault="00FB4194" w:rsidP="003A484D">
      <w:pPr>
        <w:spacing w:line="276" w:lineRule="auto"/>
        <w:jc w:val="both"/>
        <w:rPr>
          <w:rFonts w:ascii="Gadugi" w:hAnsi="Gadugi" w:cs="Arial"/>
        </w:rPr>
      </w:pPr>
      <w:r w:rsidRPr="003A484D">
        <w:rPr>
          <w:rFonts w:ascii="Gadugi" w:hAnsi="Gadugi" w:cs="Arial"/>
        </w:rPr>
        <w:t>Notifíquese la decisión a las partes en la forma prevista en el artículo 5° del Decreto 306 de 1992 y remítase el expediente a la Corte Constitucional para su eventual revisión.</w:t>
      </w:r>
    </w:p>
    <w:p w14:paraId="2707AA39" w14:textId="77777777" w:rsidR="00AE1D5D" w:rsidRPr="003A484D" w:rsidRDefault="00AE1D5D" w:rsidP="003A484D">
      <w:pPr>
        <w:spacing w:line="276" w:lineRule="auto"/>
        <w:jc w:val="both"/>
        <w:rPr>
          <w:rFonts w:ascii="Gadugi" w:hAnsi="Gadugi" w:cs="Arial"/>
        </w:rPr>
      </w:pPr>
    </w:p>
    <w:p w14:paraId="536CCB51" w14:textId="77777777" w:rsidR="001340C5" w:rsidRPr="001340C5" w:rsidRDefault="001340C5" w:rsidP="001340C5">
      <w:pPr>
        <w:tabs>
          <w:tab w:val="left" w:pos="1701"/>
          <w:tab w:val="left" w:pos="2127"/>
          <w:tab w:val="left" w:pos="2977"/>
        </w:tabs>
        <w:spacing w:line="276" w:lineRule="auto"/>
        <w:jc w:val="both"/>
        <w:rPr>
          <w:rFonts w:ascii="Gadugi" w:eastAsia="Malgun Gothic" w:hAnsi="Gadugi" w:cs="Estrangelo Edessa"/>
          <w:lang w:val="es-CO" w:eastAsia="en-US"/>
        </w:rPr>
      </w:pPr>
      <w:r w:rsidRPr="001340C5">
        <w:rPr>
          <w:rFonts w:ascii="Gadugi" w:eastAsia="Malgun Gothic" w:hAnsi="Gadugi" w:cs="Estrangelo Edessa"/>
          <w:lang w:val="es-CO" w:eastAsia="en-US"/>
        </w:rPr>
        <w:t xml:space="preserve">Los Magistrados, </w:t>
      </w:r>
    </w:p>
    <w:p w14:paraId="0FC0D764" w14:textId="77777777" w:rsidR="001340C5" w:rsidRPr="001340C5" w:rsidRDefault="001340C5" w:rsidP="001340C5">
      <w:pPr>
        <w:tabs>
          <w:tab w:val="left" w:pos="1701"/>
          <w:tab w:val="left" w:pos="2127"/>
          <w:tab w:val="left" w:pos="2977"/>
        </w:tabs>
        <w:spacing w:line="276" w:lineRule="auto"/>
        <w:jc w:val="both"/>
        <w:rPr>
          <w:rFonts w:ascii="Gadugi" w:eastAsia="Malgun Gothic" w:hAnsi="Gadugi" w:cs="Estrangelo Edessa"/>
          <w:lang w:val="es-CO" w:eastAsia="en-US"/>
        </w:rPr>
      </w:pPr>
    </w:p>
    <w:p w14:paraId="7413DF8E" w14:textId="77777777" w:rsidR="001340C5" w:rsidRPr="001340C5" w:rsidRDefault="001340C5" w:rsidP="001340C5">
      <w:pPr>
        <w:tabs>
          <w:tab w:val="left" w:pos="1701"/>
          <w:tab w:val="left" w:pos="2127"/>
          <w:tab w:val="left" w:pos="2977"/>
        </w:tabs>
        <w:spacing w:line="276" w:lineRule="auto"/>
        <w:jc w:val="both"/>
        <w:rPr>
          <w:rFonts w:ascii="Gadugi" w:eastAsia="Malgun Gothic" w:hAnsi="Gadugi" w:cs="Estrangelo Edessa"/>
          <w:b/>
          <w:lang w:val="es-CO" w:eastAsia="en-US"/>
        </w:rPr>
      </w:pPr>
    </w:p>
    <w:p w14:paraId="39744EAF" w14:textId="77777777" w:rsidR="001340C5" w:rsidRPr="001340C5" w:rsidRDefault="001340C5" w:rsidP="001340C5">
      <w:pPr>
        <w:spacing w:line="276" w:lineRule="auto"/>
        <w:ind w:left="1416" w:firstLine="708"/>
        <w:jc w:val="both"/>
        <w:rPr>
          <w:rFonts w:ascii="Gadugi" w:eastAsia="Malgun Gothic" w:hAnsi="Gadugi" w:cs="Estrangelo Edessa"/>
          <w:b/>
          <w:bCs/>
          <w:lang w:val="es-CO" w:eastAsia="en-US"/>
        </w:rPr>
      </w:pPr>
      <w:r w:rsidRPr="001340C5">
        <w:rPr>
          <w:rFonts w:ascii="Gadugi" w:eastAsia="Malgun Gothic" w:hAnsi="Gadugi" w:cs="Estrangelo Edessa"/>
          <w:b/>
          <w:bCs/>
          <w:lang w:val="es-CO" w:eastAsia="en-US"/>
        </w:rPr>
        <w:t>JAIME ALBERTO SARAZA NARANJO</w:t>
      </w:r>
    </w:p>
    <w:p w14:paraId="3DFB7268" w14:textId="77777777" w:rsidR="001340C5" w:rsidRPr="001340C5" w:rsidRDefault="001340C5" w:rsidP="001340C5">
      <w:pPr>
        <w:tabs>
          <w:tab w:val="left" w:pos="1701"/>
          <w:tab w:val="left" w:pos="2127"/>
          <w:tab w:val="left" w:pos="2977"/>
        </w:tabs>
        <w:spacing w:line="276" w:lineRule="auto"/>
        <w:jc w:val="both"/>
        <w:rPr>
          <w:rFonts w:ascii="Gadugi" w:eastAsia="Malgun Gothic" w:hAnsi="Gadugi" w:cs="Estrangelo Edessa"/>
          <w:b/>
          <w:lang w:val="es-CO" w:eastAsia="en-US"/>
        </w:rPr>
      </w:pPr>
    </w:p>
    <w:p w14:paraId="7260C9A8" w14:textId="77777777" w:rsidR="001340C5" w:rsidRPr="001340C5" w:rsidRDefault="001340C5" w:rsidP="001340C5">
      <w:pPr>
        <w:tabs>
          <w:tab w:val="left" w:pos="1701"/>
          <w:tab w:val="left" w:pos="2127"/>
          <w:tab w:val="left" w:pos="2977"/>
        </w:tabs>
        <w:spacing w:line="276" w:lineRule="auto"/>
        <w:jc w:val="both"/>
        <w:rPr>
          <w:rFonts w:ascii="Gadugi" w:eastAsia="Malgun Gothic" w:hAnsi="Gadugi" w:cs="Estrangelo Edessa"/>
          <w:b/>
          <w:lang w:val="es-CO" w:eastAsia="en-US"/>
        </w:rPr>
      </w:pPr>
    </w:p>
    <w:p w14:paraId="062535FC" w14:textId="77777777" w:rsidR="001340C5" w:rsidRPr="001340C5" w:rsidRDefault="001340C5" w:rsidP="001340C5">
      <w:pPr>
        <w:spacing w:line="276" w:lineRule="auto"/>
        <w:ind w:left="1416" w:firstLine="708"/>
        <w:jc w:val="both"/>
        <w:rPr>
          <w:rFonts w:ascii="Gadugi" w:eastAsia="Malgun Gothic" w:hAnsi="Gadugi" w:cs="Estrangelo Edessa"/>
          <w:b/>
          <w:bCs/>
          <w:lang w:val="es-CO" w:eastAsia="en-US"/>
        </w:rPr>
      </w:pPr>
      <w:r w:rsidRPr="001340C5">
        <w:rPr>
          <w:rFonts w:ascii="Gadugi" w:eastAsia="Malgun Gothic" w:hAnsi="Gadugi" w:cs="Estrangelo Edessa"/>
          <w:b/>
          <w:bCs/>
          <w:lang w:val="es-CO" w:eastAsia="en-US"/>
        </w:rPr>
        <w:t>CARLOS MAURICIO GARCÍA BARAJAS</w:t>
      </w:r>
    </w:p>
    <w:p w14:paraId="5C94B313" w14:textId="77777777" w:rsidR="001340C5" w:rsidRPr="001340C5" w:rsidRDefault="001340C5" w:rsidP="001340C5">
      <w:pPr>
        <w:tabs>
          <w:tab w:val="left" w:pos="1701"/>
          <w:tab w:val="left" w:pos="2127"/>
          <w:tab w:val="left" w:pos="2977"/>
        </w:tabs>
        <w:spacing w:line="276" w:lineRule="auto"/>
        <w:jc w:val="both"/>
        <w:rPr>
          <w:rFonts w:ascii="Gadugi" w:eastAsia="Malgun Gothic" w:hAnsi="Gadugi" w:cs="Estrangelo Edessa"/>
          <w:b/>
          <w:lang w:val="es-CO" w:eastAsia="en-US"/>
        </w:rPr>
      </w:pPr>
    </w:p>
    <w:p w14:paraId="4FA6D863" w14:textId="77777777" w:rsidR="001340C5" w:rsidRPr="001340C5" w:rsidRDefault="001340C5" w:rsidP="001340C5">
      <w:pPr>
        <w:tabs>
          <w:tab w:val="left" w:pos="1701"/>
          <w:tab w:val="left" w:pos="2127"/>
          <w:tab w:val="left" w:pos="2977"/>
        </w:tabs>
        <w:spacing w:line="276" w:lineRule="auto"/>
        <w:jc w:val="both"/>
        <w:rPr>
          <w:rFonts w:ascii="Gadugi" w:eastAsia="Malgun Gothic" w:hAnsi="Gadugi" w:cs="Estrangelo Edessa"/>
          <w:b/>
          <w:lang w:val="es-CO" w:eastAsia="en-US"/>
        </w:rPr>
      </w:pPr>
    </w:p>
    <w:p w14:paraId="4EC82ACD" w14:textId="77777777" w:rsidR="001340C5" w:rsidRPr="001340C5" w:rsidRDefault="001340C5" w:rsidP="001340C5">
      <w:pPr>
        <w:spacing w:line="276" w:lineRule="auto"/>
        <w:ind w:left="2124"/>
        <w:jc w:val="both"/>
        <w:rPr>
          <w:rFonts w:ascii="Gadugi" w:eastAsia="Malgun Gothic" w:hAnsi="Gadugi" w:cs="Estrangelo Edessa"/>
          <w:bCs/>
          <w:lang w:val="es-CO" w:eastAsia="en-US"/>
        </w:rPr>
      </w:pPr>
      <w:r w:rsidRPr="001340C5">
        <w:rPr>
          <w:rFonts w:ascii="Gadugi" w:eastAsia="Malgun Gothic" w:hAnsi="Gadugi" w:cs="Estrangelo Edessa"/>
          <w:b/>
          <w:bCs/>
          <w:lang w:val="es-CO" w:eastAsia="en-US"/>
        </w:rPr>
        <w:t>DUBERNEY GRISALES HERRERA</w:t>
      </w:r>
    </w:p>
    <w:p w14:paraId="5C33F4F0" w14:textId="1246A1BF" w:rsidR="00D85D84" w:rsidRPr="003A484D" w:rsidRDefault="001340C5" w:rsidP="001340C5">
      <w:pPr>
        <w:spacing w:line="276" w:lineRule="auto"/>
        <w:ind w:left="1416" w:firstLine="708"/>
        <w:jc w:val="both"/>
        <w:rPr>
          <w:rFonts w:ascii="Gadugi" w:hAnsi="Gadugi" w:cs="Arial"/>
          <w:lang w:val="es-CO"/>
        </w:rPr>
      </w:pPr>
      <w:r w:rsidRPr="001340C5">
        <w:rPr>
          <w:rFonts w:ascii="Gadugi" w:hAnsi="Gadugi" w:cs="Arial"/>
          <w:bCs/>
        </w:rPr>
        <w:t>Ausente con justificación</w:t>
      </w:r>
    </w:p>
    <w:sectPr w:rsidR="00D85D84" w:rsidRPr="003A484D" w:rsidSect="003A484D">
      <w:headerReference w:type="default" r:id="rId12"/>
      <w:pgSz w:w="12242" w:h="18722" w:code="258"/>
      <w:pgMar w:top="1871" w:right="1304" w:bottom="1304" w:left="1871"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4FBC3E" w16cex:dateUtc="2023-02-03T13:20:13.05Z"/>
  <w16cex:commentExtensible w16cex:durableId="5A8B6C97" w16cex:dateUtc="2023-02-03T14:28:48.901Z"/>
  <w16cex:commentExtensible w16cex:durableId="0B6D99E9" w16cex:dateUtc="2023-07-17T21:35:58.805Z"/>
  <w16cex:commentExtensible w16cex:durableId="07E34F17" w16cex:dateUtc="2023-07-18T17:59:23.299Z"/>
  <w16cex:commentExtensible w16cex:durableId="080911A7" w16cex:dateUtc="2023-07-18T19:07:39.672Z"/>
  <w16cex:commentExtensible w16cex:durableId="0659A890" w16cex:dateUtc="2023-07-18T19:08:02.585Z"/>
  <w16cex:commentExtensible w16cex:durableId="5EF3FC17" w16cex:dateUtc="2023-07-18T19:10:28.51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D557C" w14:textId="77777777" w:rsidR="00C6321D" w:rsidRDefault="00C6321D">
      <w:r>
        <w:separator/>
      </w:r>
    </w:p>
  </w:endnote>
  <w:endnote w:type="continuationSeparator" w:id="0">
    <w:p w14:paraId="2CFECD7B" w14:textId="77777777" w:rsidR="00C6321D" w:rsidRDefault="00C6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0"/>
    <w:family w:val="script"/>
    <w:pitch w:val="variable"/>
    <w:sig w:usb0="80002043" w:usb1="00000000" w:usb2="0000008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A4640" w14:textId="77777777" w:rsidR="00C6321D" w:rsidRDefault="00C6321D">
      <w:r>
        <w:separator/>
      </w:r>
    </w:p>
  </w:footnote>
  <w:footnote w:type="continuationSeparator" w:id="0">
    <w:p w14:paraId="439F018A" w14:textId="77777777" w:rsidR="00C6321D" w:rsidRDefault="00C6321D">
      <w:r>
        <w:continuationSeparator/>
      </w:r>
    </w:p>
  </w:footnote>
  <w:footnote w:id="1">
    <w:p w14:paraId="5EBD1F60" w14:textId="5F0C0F45" w:rsidR="000B72A5" w:rsidRPr="000F0A2D" w:rsidRDefault="000B72A5"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w:t>
      </w:r>
      <w:r w:rsidRPr="000F0A2D">
        <w:rPr>
          <w:rFonts w:ascii="Arial" w:hAnsi="Arial" w:cs="Arial"/>
          <w:sz w:val="18"/>
          <w:szCs w:val="22"/>
          <w:lang w:val="es-CO"/>
        </w:rPr>
        <w:t xml:space="preserve">Documento </w:t>
      </w:r>
      <w:r w:rsidR="00DD530B" w:rsidRPr="000F0A2D">
        <w:rPr>
          <w:rFonts w:ascii="Arial" w:hAnsi="Arial" w:cs="Arial"/>
          <w:sz w:val="18"/>
          <w:szCs w:val="22"/>
          <w:lang w:val="es-CO"/>
        </w:rPr>
        <w:t>002., C. 1.</w:t>
      </w:r>
    </w:p>
  </w:footnote>
  <w:footnote w:id="2">
    <w:p w14:paraId="2BB9CC88" w14:textId="125DCFE1" w:rsidR="00DD530B" w:rsidRPr="000F0A2D" w:rsidRDefault="00DD530B"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w:t>
      </w:r>
      <w:r w:rsidRPr="000F0A2D">
        <w:rPr>
          <w:rFonts w:ascii="Arial" w:hAnsi="Arial" w:cs="Arial"/>
          <w:sz w:val="18"/>
          <w:szCs w:val="22"/>
          <w:lang w:val="es-CO"/>
        </w:rPr>
        <w:t>Documento 004., C. 1.</w:t>
      </w:r>
    </w:p>
  </w:footnote>
  <w:footnote w:id="3">
    <w:p w14:paraId="7C5740C5" w14:textId="4C58E0E6" w:rsidR="00DD530B" w:rsidRPr="000F0A2D" w:rsidRDefault="00DD530B"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w:t>
      </w:r>
      <w:r w:rsidRPr="000F0A2D">
        <w:rPr>
          <w:rFonts w:ascii="Arial" w:hAnsi="Arial" w:cs="Arial"/>
          <w:sz w:val="18"/>
          <w:szCs w:val="22"/>
          <w:lang w:val="es-CO"/>
        </w:rPr>
        <w:t>Documentos 006 y 008., C. 1.</w:t>
      </w:r>
    </w:p>
  </w:footnote>
  <w:footnote w:id="4">
    <w:p w14:paraId="32434CCD" w14:textId="0A94EE73" w:rsidR="00DD530B" w:rsidRPr="000F0A2D" w:rsidRDefault="00DD530B"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w:t>
      </w:r>
      <w:r w:rsidRPr="000F0A2D">
        <w:rPr>
          <w:rFonts w:ascii="Arial" w:hAnsi="Arial" w:cs="Arial"/>
          <w:sz w:val="18"/>
          <w:szCs w:val="22"/>
          <w:lang w:val="es-CO"/>
        </w:rPr>
        <w:t>Carpeta “02ProcesoJuzgadoPrimeroPequeñasCausas” 01PrimeraInstancia</w:t>
      </w:r>
    </w:p>
  </w:footnote>
  <w:footnote w:id="5">
    <w:p w14:paraId="390CF7B2" w14:textId="5D3FA5C7" w:rsidR="00DD530B" w:rsidRPr="000F0A2D" w:rsidRDefault="00DD530B"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w:t>
      </w:r>
      <w:r w:rsidRPr="000F0A2D">
        <w:rPr>
          <w:rFonts w:ascii="Arial" w:hAnsi="Arial" w:cs="Arial"/>
          <w:sz w:val="18"/>
          <w:szCs w:val="22"/>
          <w:lang w:val="es-CO"/>
        </w:rPr>
        <w:t>Documento 010., C. 1.</w:t>
      </w:r>
    </w:p>
  </w:footnote>
  <w:footnote w:id="6">
    <w:p w14:paraId="6883D303" w14:textId="0107FEC3" w:rsidR="00DD530B" w:rsidRPr="000F0A2D" w:rsidRDefault="00DD530B"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w:t>
      </w:r>
      <w:r w:rsidRPr="000F0A2D">
        <w:rPr>
          <w:rFonts w:ascii="Arial" w:hAnsi="Arial" w:cs="Arial"/>
          <w:sz w:val="18"/>
          <w:szCs w:val="22"/>
          <w:lang w:val="es-CO"/>
        </w:rPr>
        <w:t>Documento 017., C. 1.</w:t>
      </w:r>
    </w:p>
  </w:footnote>
  <w:footnote w:id="7">
    <w:p w14:paraId="5E9579C8" w14:textId="77777777" w:rsidR="00EB5BFD" w:rsidRPr="000F0A2D" w:rsidRDefault="00EB5BFD" w:rsidP="000F0A2D">
      <w:pPr>
        <w:pStyle w:val="Textonotapie"/>
        <w:tabs>
          <w:tab w:val="left" w:pos="426"/>
        </w:tabs>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vertAlign w:val="superscript"/>
        </w:rPr>
        <w:t xml:space="preserve"> </w:t>
      </w:r>
      <w:r w:rsidRPr="000F0A2D">
        <w:rPr>
          <w:rFonts w:ascii="Arial" w:hAnsi="Arial" w:cs="Arial"/>
          <w:sz w:val="18"/>
          <w:szCs w:val="22"/>
        </w:rPr>
        <w:t>Sentencia C-543-92</w:t>
      </w:r>
    </w:p>
  </w:footnote>
  <w:footnote w:id="8">
    <w:p w14:paraId="6A19BFBE" w14:textId="35876039" w:rsidR="00DD530B" w:rsidRPr="000F0A2D" w:rsidRDefault="00DD530B"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w:t>
      </w:r>
      <w:r w:rsidRPr="000F0A2D">
        <w:rPr>
          <w:rFonts w:ascii="Arial" w:hAnsi="Arial" w:cs="Arial"/>
          <w:sz w:val="18"/>
          <w:szCs w:val="22"/>
          <w:lang w:val="es-CO"/>
        </w:rPr>
        <w:t xml:space="preserve">Documento </w:t>
      </w:r>
      <w:r w:rsidR="00DE4651" w:rsidRPr="000F0A2D">
        <w:rPr>
          <w:rFonts w:ascii="Arial" w:hAnsi="Arial" w:cs="Arial"/>
          <w:sz w:val="18"/>
          <w:szCs w:val="22"/>
          <w:lang w:val="es-CO"/>
        </w:rPr>
        <w:t>24</w:t>
      </w:r>
      <w:r w:rsidRPr="000F0A2D">
        <w:rPr>
          <w:rFonts w:ascii="Arial" w:hAnsi="Arial" w:cs="Arial"/>
          <w:sz w:val="18"/>
          <w:szCs w:val="22"/>
          <w:lang w:val="es-CO"/>
        </w:rPr>
        <w:t xml:space="preserve">., </w:t>
      </w:r>
      <w:r w:rsidR="00DE4651" w:rsidRPr="000F0A2D">
        <w:rPr>
          <w:rFonts w:ascii="Arial" w:hAnsi="Arial" w:cs="Arial"/>
          <w:sz w:val="18"/>
          <w:szCs w:val="22"/>
          <w:lang w:val="es-CO"/>
        </w:rPr>
        <w:t>Expediente proceso verbal.</w:t>
      </w:r>
    </w:p>
  </w:footnote>
  <w:footnote w:id="9">
    <w:p w14:paraId="37537321" w14:textId="07E15269" w:rsidR="00DE4651" w:rsidRPr="000F0A2D" w:rsidRDefault="00DE4651"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w:t>
      </w:r>
      <w:r w:rsidRPr="000F0A2D">
        <w:rPr>
          <w:rFonts w:ascii="Arial" w:hAnsi="Arial" w:cs="Arial"/>
          <w:sz w:val="18"/>
          <w:szCs w:val="22"/>
          <w:lang w:val="es-CO"/>
        </w:rPr>
        <w:t>Documento 001., C. 1.</w:t>
      </w:r>
    </w:p>
  </w:footnote>
  <w:footnote w:id="10">
    <w:p w14:paraId="53D46A52" w14:textId="77777777" w:rsidR="00544253" w:rsidRPr="000F0A2D" w:rsidRDefault="00544253"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CC. SU-037 de 2019 y SU-499 de 2016.</w:t>
      </w:r>
    </w:p>
  </w:footnote>
  <w:footnote w:id="11">
    <w:p w14:paraId="4090F8F9" w14:textId="77777777" w:rsidR="00A80D6C" w:rsidRPr="000F0A2D" w:rsidRDefault="00A80D6C"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w:t>
      </w:r>
      <w:r w:rsidRPr="000F0A2D">
        <w:rPr>
          <w:rFonts w:ascii="Arial" w:hAnsi="Arial" w:cs="Arial"/>
          <w:sz w:val="18"/>
          <w:szCs w:val="22"/>
          <w:lang w:val="es-CO"/>
        </w:rPr>
        <w:t>Sentencia SU-573/17</w:t>
      </w:r>
    </w:p>
  </w:footnote>
  <w:footnote w:id="12">
    <w:p w14:paraId="1B32132F" w14:textId="77777777" w:rsidR="00A80D6C" w:rsidRPr="000F0A2D" w:rsidRDefault="00A80D6C"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SU-632 de 2017 basándose en las SU-195 de 2012, T-143 de 2011, T-456 de 2010 y T-567 de 1998, y reiterada en la Sentencia SU-072/18.</w:t>
      </w:r>
    </w:p>
  </w:footnote>
  <w:footnote w:id="13">
    <w:p w14:paraId="6B16B7D5" w14:textId="77777777" w:rsidR="00A80D6C" w:rsidRPr="000F0A2D" w:rsidRDefault="00A80D6C"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Sentencia T-456 de 2010. Recapitulada en la SU-632 de 2017.</w:t>
      </w:r>
    </w:p>
  </w:footnote>
  <w:footnote w:id="14">
    <w:p w14:paraId="61974456" w14:textId="77777777" w:rsidR="00A80D6C" w:rsidRPr="000F0A2D" w:rsidRDefault="00A80D6C"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Sentencia T-311 de 2009. Recapitulada en la SU-632 de 2017.</w:t>
      </w:r>
    </w:p>
  </w:footnote>
  <w:footnote w:id="15">
    <w:p w14:paraId="08698BB7" w14:textId="3070337B" w:rsidR="004122A9" w:rsidRPr="000F0A2D" w:rsidRDefault="004122A9"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w:t>
      </w:r>
      <w:r w:rsidR="00C12C44" w:rsidRPr="000F0A2D">
        <w:rPr>
          <w:rFonts w:ascii="Arial" w:hAnsi="Arial" w:cs="Arial"/>
          <w:sz w:val="18"/>
          <w:szCs w:val="22"/>
        </w:rPr>
        <w:t xml:space="preserve">Pág. 30., Documento 03, expediente proceso verbal. </w:t>
      </w:r>
    </w:p>
  </w:footnote>
  <w:footnote w:id="16">
    <w:p w14:paraId="031E4E2D" w14:textId="1799C241" w:rsidR="00C12C44" w:rsidRPr="000F0A2D" w:rsidRDefault="00C12C44"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(Minuto 55:00 audiencia del 8 de mayo de 2023, archivo 23, expediente proceso verbal. </w:t>
      </w:r>
    </w:p>
  </w:footnote>
  <w:footnote w:id="17">
    <w:p w14:paraId="338EAE1F" w14:textId="77777777" w:rsidR="00F50210" w:rsidRPr="000F0A2D" w:rsidRDefault="00F50210"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STC13599-2018 M.P. Luis Armando Tolosa </w:t>
      </w:r>
      <w:proofErr w:type="spellStart"/>
      <w:r w:rsidRPr="000F0A2D">
        <w:rPr>
          <w:rFonts w:ascii="Arial" w:hAnsi="Arial" w:cs="Arial"/>
          <w:sz w:val="18"/>
          <w:szCs w:val="22"/>
        </w:rPr>
        <w:t>Villabona</w:t>
      </w:r>
      <w:proofErr w:type="spellEnd"/>
      <w:r w:rsidRPr="000F0A2D">
        <w:rPr>
          <w:rFonts w:ascii="Arial" w:hAnsi="Arial" w:cs="Arial"/>
          <w:sz w:val="18"/>
          <w:szCs w:val="22"/>
        </w:rPr>
        <w:t>.</w:t>
      </w:r>
    </w:p>
  </w:footnote>
  <w:footnote w:id="18">
    <w:p w14:paraId="1357E2ED" w14:textId="59FB27F3" w:rsidR="00FE67E7" w:rsidRPr="000F0A2D" w:rsidRDefault="00FE67E7"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Sentencia SC481-2022</w:t>
      </w:r>
    </w:p>
  </w:footnote>
  <w:footnote w:id="19">
    <w:p w14:paraId="759CEFB4" w14:textId="37455C54" w:rsidR="0095386A" w:rsidRPr="000F0A2D" w:rsidRDefault="0095386A" w:rsidP="000F0A2D">
      <w:pPr>
        <w:pStyle w:val="Textonotapie"/>
        <w:rPr>
          <w:rFonts w:ascii="Arial" w:hAnsi="Arial" w:cs="Arial"/>
          <w:sz w:val="18"/>
          <w:szCs w:val="22"/>
          <w:lang w:val="es-CO"/>
        </w:rPr>
      </w:pPr>
      <w:r w:rsidRPr="000F0A2D">
        <w:rPr>
          <w:rStyle w:val="Refdenotaalpie"/>
          <w:rFonts w:ascii="Arial" w:hAnsi="Arial" w:cs="Arial"/>
          <w:sz w:val="18"/>
          <w:szCs w:val="22"/>
        </w:rPr>
        <w:footnoteRef/>
      </w:r>
      <w:r w:rsidRPr="000F0A2D">
        <w:rPr>
          <w:rFonts w:ascii="Arial" w:hAnsi="Arial" w:cs="Arial"/>
          <w:sz w:val="18"/>
          <w:szCs w:val="22"/>
        </w:rPr>
        <w:t xml:space="preserve"> </w:t>
      </w:r>
      <w:r w:rsidRPr="000F0A2D">
        <w:rPr>
          <w:rFonts w:ascii="Arial" w:hAnsi="Arial" w:cs="Arial"/>
          <w:sz w:val="18"/>
          <w:szCs w:val="22"/>
          <w:lang w:val="es-CO"/>
        </w:rPr>
        <w:t>Documento 24., expediente proceso verbal.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9410B" w14:textId="4E89AF09" w:rsidR="002F5850" w:rsidRDefault="002F5850" w:rsidP="00A963F6">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8CE"/>
    <w:multiLevelType w:val="hybridMultilevel"/>
    <w:tmpl w:val="779ADEE2"/>
    <w:lvl w:ilvl="0" w:tplc="610C894A">
      <w:start w:val="1"/>
      <w:numFmt w:val="lowerRoman"/>
      <w:lvlText w:val="(%1)"/>
      <w:lvlJc w:val="left"/>
      <w:pPr>
        <w:ind w:left="3555" w:hanging="72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 w15:restartNumberingAfterBreak="0">
    <w:nsid w:val="13F005E0"/>
    <w:multiLevelType w:val="hybridMultilevel"/>
    <w:tmpl w:val="0EDC584C"/>
    <w:lvl w:ilvl="0" w:tplc="086447CA">
      <w:start w:val="1"/>
      <w:numFmt w:val="decimal"/>
      <w:suff w:val="space"/>
      <w:lvlText w:val="%1."/>
      <w:lvlJc w:val="left"/>
      <w:rPr>
        <w:rFonts w:cs="Times New Roman" w:hint="default"/>
        <w:b w:val="0"/>
        <w:bCs w:val="0"/>
        <w:i w:val="0"/>
        <w:iCs w:val="0"/>
        <w:sz w:val="28"/>
        <w:szCs w:val="28"/>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15:restartNumberingAfterBreak="0">
    <w:nsid w:val="170675A3"/>
    <w:multiLevelType w:val="hybridMultilevel"/>
    <w:tmpl w:val="DFEAB5DE"/>
    <w:lvl w:ilvl="0" w:tplc="E6D2A95C">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39C50663"/>
    <w:multiLevelType w:val="hybridMultilevel"/>
    <w:tmpl w:val="E9F4E47E"/>
    <w:lvl w:ilvl="0" w:tplc="90C0908C">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4" w15:restartNumberingAfterBreak="0">
    <w:nsid w:val="44B64BFE"/>
    <w:multiLevelType w:val="hybridMultilevel"/>
    <w:tmpl w:val="C1C2B0C2"/>
    <w:lvl w:ilvl="0" w:tplc="C9DA374C">
      <w:start w:val="1"/>
      <w:numFmt w:val="lowerRoman"/>
      <w:lvlText w:val="(%1)"/>
      <w:lvlJc w:val="left"/>
      <w:pPr>
        <w:ind w:left="3555" w:hanging="72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 w15:restartNumberingAfterBreak="0">
    <w:nsid w:val="614300B1"/>
    <w:multiLevelType w:val="hybridMultilevel"/>
    <w:tmpl w:val="42029A24"/>
    <w:lvl w:ilvl="0" w:tplc="15387246">
      <w:start w:val="2"/>
      <w:numFmt w:val="decimal"/>
      <w:lvlText w:val="%1."/>
      <w:lvlJc w:val="left"/>
      <w:pPr>
        <w:tabs>
          <w:tab w:val="num" w:pos="3540"/>
        </w:tabs>
        <w:ind w:left="3540" w:hanging="705"/>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6" w15:restartNumberingAfterBreak="0">
    <w:nsid w:val="733924D8"/>
    <w:multiLevelType w:val="hybridMultilevel"/>
    <w:tmpl w:val="59FCA4D8"/>
    <w:lvl w:ilvl="0" w:tplc="F242596E">
      <w:start w:val="1"/>
      <w:numFmt w:val="decimal"/>
      <w:lvlText w:val="%1."/>
      <w:lvlJc w:val="left"/>
      <w:pPr>
        <w:ind w:left="3195" w:hanging="360"/>
      </w:pPr>
      <w:rPr>
        <w:rFonts w:hint="default"/>
        <w:b/>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64"/>
    <w:rsid w:val="000001C0"/>
    <w:rsid w:val="000008AD"/>
    <w:rsid w:val="00004567"/>
    <w:rsid w:val="0000471A"/>
    <w:rsid w:val="0000589A"/>
    <w:rsid w:val="00005C45"/>
    <w:rsid w:val="00007872"/>
    <w:rsid w:val="00011024"/>
    <w:rsid w:val="0001137E"/>
    <w:rsid w:val="00014244"/>
    <w:rsid w:val="00014DC0"/>
    <w:rsid w:val="0001540D"/>
    <w:rsid w:val="0001631A"/>
    <w:rsid w:val="00016376"/>
    <w:rsid w:val="00016E5C"/>
    <w:rsid w:val="0001710B"/>
    <w:rsid w:val="00017867"/>
    <w:rsid w:val="0002046B"/>
    <w:rsid w:val="0002082F"/>
    <w:rsid w:val="00022775"/>
    <w:rsid w:val="000241AE"/>
    <w:rsid w:val="000246B5"/>
    <w:rsid w:val="000258BD"/>
    <w:rsid w:val="00026AC3"/>
    <w:rsid w:val="0002785F"/>
    <w:rsid w:val="0002797D"/>
    <w:rsid w:val="00027AA9"/>
    <w:rsid w:val="00030A8B"/>
    <w:rsid w:val="00032FEB"/>
    <w:rsid w:val="0003372F"/>
    <w:rsid w:val="0003495A"/>
    <w:rsid w:val="00034E5C"/>
    <w:rsid w:val="00036774"/>
    <w:rsid w:val="00036A43"/>
    <w:rsid w:val="00036DAF"/>
    <w:rsid w:val="000372CC"/>
    <w:rsid w:val="00037A0B"/>
    <w:rsid w:val="000403C4"/>
    <w:rsid w:val="00040548"/>
    <w:rsid w:val="000416F9"/>
    <w:rsid w:val="00041CAB"/>
    <w:rsid w:val="00042334"/>
    <w:rsid w:val="000424DE"/>
    <w:rsid w:val="000428C8"/>
    <w:rsid w:val="00043AA7"/>
    <w:rsid w:val="00043FD7"/>
    <w:rsid w:val="00044AF7"/>
    <w:rsid w:val="00044CE1"/>
    <w:rsid w:val="00044FCC"/>
    <w:rsid w:val="0004647C"/>
    <w:rsid w:val="00047582"/>
    <w:rsid w:val="00047ABE"/>
    <w:rsid w:val="00047BD6"/>
    <w:rsid w:val="00047FC0"/>
    <w:rsid w:val="000511C7"/>
    <w:rsid w:val="00052BBF"/>
    <w:rsid w:val="00053106"/>
    <w:rsid w:val="00054057"/>
    <w:rsid w:val="000544B2"/>
    <w:rsid w:val="00054AD1"/>
    <w:rsid w:val="00054EF1"/>
    <w:rsid w:val="00056373"/>
    <w:rsid w:val="00060C54"/>
    <w:rsid w:val="00060EAB"/>
    <w:rsid w:val="00062EE2"/>
    <w:rsid w:val="0006339E"/>
    <w:rsid w:val="0006513E"/>
    <w:rsid w:val="000654F4"/>
    <w:rsid w:val="00066AC0"/>
    <w:rsid w:val="0006798B"/>
    <w:rsid w:val="00067C29"/>
    <w:rsid w:val="00070731"/>
    <w:rsid w:val="00070916"/>
    <w:rsid w:val="00072143"/>
    <w:rsid w:val="0007452E"/>
    <w:rsid w:val="00074ADD"/>
    <w:rsid w:val="00074F3A"/>
    <w:rsid w:val="0007614C"/>
    <w:rsid w:val="000761E9"/>
    <w:rsid w:val="00076254"/>
    <w:rsid w:val="0007651F"/>
    <w:rsid w:val="00077841"/>
    <w:rsid w:val="000812DA"/>
    <w:rsid w:val="00081BF8"/>
    <w:rsid w:val="00083948"/>
    <w:rsid w:val="00083C7F"/>
    <w:rsid w:val="00084199"/>
    <w:rsid w:val="00084CAD"/>
    <w:rsid w:val="0008576D"/>
    <w:rsid w:val="000869A3"/>
    <w:rsid w:val="00087713"/>
    <w:rsid w:val="00090F83"/>
    <w:rsid w:val="00092FB1"/>
    <w:rsid w:val="00093B46"/>
    <w:rsid w:val="00096152"/>
    <w:rsid w:val="000969F0"/>
    <w:rsid w:val="00097598"/>
    <w:rsid w:val="000A071A"/>
    <w:rsid w:val="000A0E04"/>
    <w:rsid w:val="000A0EA4"/>
    <w:rsid w:val="000A2878"/>
    <w:rsid w:val="000A2B18"/>
    <w:rsid w:val="000A53BF"/>
    <w:rsid w:val="000A71C5"/>
    <w:rsid w:val="000A79D7"/>
    <w:rsid w:val="000B0635"/>
    <w:rsid w:val="000B0AD3"/>
    <w:rsid w:val="000B1779"/>
    <w:rsid w:val="000B2A85"/>
    <w:rsid w:val="000B3332"/>
    <w:rsid w:val="000B50B1"/>
    <w:rsid w:val="000B67E4"/>
    <w:rsid w:val="000B6A16"/>
    <w:rsid w:val="000B72A5"/>
    <w:rsid w:val="000B7480"/>
    <w:rsid w:val="000B7CFD"/>
    <w:rsid w:val="000B7D1A"/>
    <w:rsid w:val="000C225A"/>
    <w:rsid w:val="000C22D6"/>
    <w:rsid w:val="000C25B8"/>
    <w:rsid w:val="000C2F98"/>
    <w:rsid w:val="000C3321"/>
    <w:rsid w:val="000C3AE3"/>
    <w:rsid w:val="000C4229"/>
    <w:rsid w:val="000C5970"/>
    <w:rsid w:val="000C6638"/>
    <w:rsid w:val="000C7E3C"/>
    <w:rsid w:val="000D09AE"/>
    <w:rsid w:val="000D0D9C"/>
    <w:rsid w:val="000D1816"/>
    <w:rsid w:val="000D5849"/>
    <w:rsid w:val="000D587C"/>
    <w:rsid w:val="000D5CBC"/>
    <w:rsid w:val="000D78B3"/>
    <w:rsid w:val="000D7C2C"/>
    <w:rsid w:val="000E0579"/>
    <w:rsid w:val="000E0DDF"/>
    <w:rsid w:val="000E0DF5"/>
    <w:rsid w:val="000E104F"/>
    <w:rsid w:val="000E2841"/>
    <w:rsid w:val="000E41D3"/>
    <w:rsid w:val="000E47FF"/>
    <w:rsid w:val="000E6373"/>
    <w:rsid w:val="000E67C9"/>
    <w:rsid w:val="000E7142"/>
    <w:rsid w:val="000E76B6"/>
    <w:rsid w:val="000E79FF"/>
    <w:rsid w:val="000F0A2D"/>
    <w:rsid w:val="000F3632"/>
    <w:rsid w:val="000F43C8"/>
    <w:rsid w:val="000F5FE2"/>
    <w:rsid w:val="00100384"/>
    <w:rsid w:val="001004D3"/>
    <w:rsid w:val="00100E68"/>
    <w:rsid w:val="001028A5"/>
    <w:rsid w:val="00102B63"/>
    <w:rsid w:val="00105B90"/>
    <w:rsid w:val="00107A53"/>
    <w:rsid w:val="00107DB7"/>
    <w:rsid w:val="00112B73"/>
    <w:rsid w:val="001137A1"/>
    <w:rsid w:val="00113B94"/>
    <w:rsid w:val="00113E05"/>
    <w:rsid w:val="00114A59"/>
    <w:rsid w:val="00115D9E"/>
    <w:rsid w:val="00116401"/>
    <w:rsid w:val="00117A8A"/>
    <w:rsid w:val="00120F38"/>
    <w:rsid w:val="00123E93"/>
    <w:rsid w:val="001250D7"/>
    <w:rsid w:val="00126FE2"/>
    <w:rsid w:val="00127C93"/>
    <w:rsid w:val="00130171"/>
    <w:rsid w:val="00131203"/>
    <w:rsid w:val="00131D86"/>
    <w:rsid w:val="00131F12"/>
    <w:rsid w:val="00131F99"/>
    <w:rsid w:val="001340C5"/>
    <w:rsid w:val="0013420C"/>
    <w:rsid w:val="0013422B"/>
    <w:rsid w:val="0013458C"/>
    <w:rsid w:val="00134AA5"/>
    <w:rsid w:val="00135443"/>
    <w:rsid w:val="0013655A"/>
    <w:rsid w:val="001371D2"/>
    <w:rsid w:val="001375B2"/>
    <w:rsid w:val="00140587"/>
    <w:rsid w:val="001408CA"/>
    <w:rsid w:val="00141B29"/>
    <w:rsid w:val="00141CF6"/>
    <w:rsid w:val="00141E08"/>
    <w:rsid w:val="001432EC"/>
    <w:rsid w:val="001441C4"/>
    <w:rsid w:val="0014647E"/>
    <w:rsid w:val="0015339E"/>
    <w:rsid w:val="001558A9"/>
    <w:rsid w:val="00161DB8"/>
    <w:rsid w:val="0016208F"/>
    <w:rsid w:val="001632D1"/>
    <w:rsid w:val="0016373B"/>
    <w:rsid w:val="00163E13"/>
    <w:rsid w:val="00170852"/>
    <w:rsid w:val="001712C0"/>
    <w:rsid w:val="00172F84"/>
    <w:rsid w:val="00173EB5"/>
    <w:rsid w:val="00174829"/>
    <w:rsid w:val="001773AF"/>
    <w:rsid w:val="00177F45"/>
    <w:rsid w:val="0018028D"/>
    <w:rsid w:val="00181073"/>
    <w:rsid w:val="001816AD"/>
    <w:rsid w:val="001825A3"/>
    <w:rsid w:val="001828B1"/>
    <w:rsid w:val="00185218"/>
    <w:rsid w:val="00187BE8"/>
    <w:rsid w:val="00187D0D"/>
    <w:rsid w:val="00191F32"/>
    <w:rsid w:val="00192493"/>
    <w:rsid w:val="00192BE7"/>
    <w:rsid w:val="001935AE"/>
    <w:rsid w:val="0019498B"/>
    <w:rsid w:val="001953FB"/>
    <w:rsid w:val="001954CF"/>
    <w:rsid w:val="00196FD2"/>
    <w:rsid w:val="001A0821"/>
    <w:rsid w:val="001A1904"/>
    <w:rsid w:val="001A1C79"/>
    <w:rsid w:val="001A3864"/>
    <w:rsid w:val="001A3F24"/>
    <w:rsid w:val="001A40F5"/>
    <w:rsid w:val="001A4427"/>
    <w:rsid w:val="001A72E0"/>
    <w:rsid w:val="001B0752"/>
    <w:rsid w:val="001B0A97"/>
    <w:rsid w:val="001B4D58"/>
    <w:rsid w:val="001B56BF"/>
    <w:rsid w:val="001B7F36"/>
    <w:rsid w:val="001C150A"/>
    <w:rsid w:val="001C1F37"/>
    <w:rsid w:val="001C2008"/>
    <w:rsid w:val="001C2702"/>
    <w:rsid w:val="001C591C"/>
    <w:rsid w:val="001C5ADC"/>
    <w:rsid w:val="001C6324"/>
    <w:rsid w:val="001D1487"/>
    <w:rsid w:val="001D2618"/>
    <w:rsid w:val="001D2ACF"/>
    <w:rsid w:val="001D3B97"/>
    <w:rsid w:val="001D5DEB"/>
    <w:rsid w:val="001D7419"/>
    <w:rsid w:val="001D76F5"/>
    <w:rsid w:val="001E10B0"/>
    <w:rsid w:val="001E18C2"/>
    <w:rsid w:val="001E194E"/>
    <w:rsid w:val="001E1CFB"/>
    <w:rsid w:val="001E1D7F"/>
    <w:rsid w:val="001E1FB4"/>
    <w:rsid w:val="001E27C8"/>
    <w:rsid w:val="001E3036"/>
    <w:rsid w:val="001E3CD4"/>
    <w:rsid w:val="001E4EC0"/>
    <w:rsid w:val="001E54E7"/>
    <w:rsid w:val="001E5C70"/>
    <w:rsid w:val="001E7143"/>
    <w:rsid w:val="001E748F"/>
    <w:rsid w:val="001E7999"/>
    <w:rsid w:val="001F0A7F"/>
    <w:rsid w:val="001F136A"/>
    <w:rsid w:val="001F1B17"/>
    <w:rsid w:val="001F2AEC"/>
    <w:rsid w:val="001F5344"/>
    <w:rsid w:val="001F5CE1"/>
    <w:rsid w:val="001F5F8C"/>
    <w:rsid w:val="00200AFD"/>
    <w:rsid w:val="00201CB8"/>
    <w:rsid w:val="00203213"/>
    <w:rsid w:val="00204FAA"/>
    <w:rsid w:val="00205A03"/>
    <w:rsid w:val="00206896"/>
    <w:rsid w:val="0020736A"/>
    <w:rsid w:val="0020737A"/>
    <w:rsid w:val="00210CC8"/>
    <w:rsid w:val="00211B6F"/>
    <w:rsid w:val="00212601"/>
    <w:rsid w:val="00212C22"/>
    <w:rsid w:val="00212EA2"/>
    <w:rsid w:val="0021323D"/>
    <w:rsid w:val="002134F4"/>
    <w:rsid w:val="0021392E"/>
    <w:rsid w:val="00214A6D"/>
    <w:rsid w:val="00214BB1"/>
    <w:rsid w:val="002152BC"/>
    <w:rsid w:val="002170BA"/>
    <w:rsid w:val="00217894"/>
    <w:rsid w:val="00221114"/>
    <w:rsid w:val="002244FC"/>
    <w:rsid w:val="0022525C"/>
    <w:rsid w:val="0022737C"/>
    <w:rsid w:val="00227816"/>
    <w:rsid w:val="00230A02"/>
    <w:rsid w:val="0023176D"/>
    <w:rsid w:val="0023204C"/>
    <w:rsid w:val="002323AB"/>
    <w:rsid w:val="00232FCA"/>
    <w:rsid w:val="00234397"/>
    <w:rsid w:val="00237B09"/>
    <w:rsid w:val="00240183"/>
    <w:rsid w:val="00240B34"/>
    <w:rsid w:val="00240C28"/>
    <w:rsid w:val="002428BE"/>
    <w:rsid w:val="00242903"/>
    <w:rsid w:val="0024453D"/>
    <w:rsid w:val="002445FF"/>
    <w:rsid w:val="0024534A"/>
    <w:rsid w:val="00245494"/>
    <w:rsid w:val="002455BD"/>
    <w:rsid w:val="00247889"/>
    <w:rsid w:val="00250CA5"/>
    <w:rsid w:val="00252795"/>
    <w:rsid w:val="00252C16"/>
    <w:rsid w:val="00252EF6"/>
    <w:rsid w:val="00252F07"/>
    <w:rsid w:val="00253930"/>
    <w:rsid w:val="00254324"/>
    <w:rsid w:val="00254C3A"/>
    <w:rsid w:val="00254D59"/>
    <w:rsid w:val="00260B0B"/>
    <w:rsid w:val="00260E6E"/>
    <w:rsid w:val="00262F03"/>
    <w:rsid w:val="00264B62"/>
    <w:rsid w:val="00264DEC"/>
    <w:rsid w:val="002660E7"/>
    <w:rsid w:val="0026669F"/>
    <w:rsid w:val="00267C55"/>
    <w:rsid w:val="002709A9"/>
    <w:rsid w:val="00271FAD"/>
    <w:rsid w:val="00273E9A"/>
    <w:rsid w:val="00273FCC"/>
    <w:rsid w:val="00274281"/>
    <w:rsid w:val="00275286"/>
    <w:rsid w:val="00277F35"/>
    <w:rsid w:val="00280B61"/>
    <w:rsid w:val="00280F02"/>
    <w:rsid w:val="00281272"/>
    <w:rsid w:val="00281B30"/>
    <w:rsid w:val="002830B1"/>
    <w:rsid w:val="00284A59"/>
    <w:rsid w:val="00284EFC"/>
    <w:rsid w:val="0028543F"/>
    <w:rsid w:val="002859C5"/>
    <w:rsid w:val="00285DA6"/>
    <w:rsid w:val="002863F2"/>
    <w:rsid w:val="00290988"/>
    <w:rsid w:val="002911F3"/>
    <w:rsid w:val="00292339"/>
    <w:rsid w:val="00293341"/>
    <w:rsid w:val="00294ABD"/>
    <w:rsid w:val="00296987"/>
    <w:rsid w:val="00296BF2"/>
    <w:rsid w:val="002A1C36"/>
    <w:rsid w:val="002A1D9C"/>
    <w:rsid w:val="002A1FAB"/>
    <w:rsid w:val="002A2871"/>
    <w:rsid w:val="002A414D"/>
    <w:rsid w:val="002A4A52"/>
    <w:rsid w:val="002A7E0F"/>
    <w:rsid w:val="002B3B9E"/>
    <w:rsid w:val="002B43A0"/>
    <w:rsid w:val="002B5EAE"/>
    <w:rsid w:val="002B6D33"/>
    <w:rsid w:val="002B6E5C"/>
    <w:rsid w:val="002B6F2E"/>
    <w:rsid w:val="002B7781"/>
    <w:rsid w:val="002C080B"/>
    <w:rsid w:val="002C13E8"/>
    <w:rsid w:val="002C16A4"/>
    <w:rsid w:val="002C2D3D"/>
    <w:rsid w:val="002C2FF8"/>
    <w:rsid w:val="002C3BBC"/>
    <w:rsid w:val="002C4C6A"/>
    <w:rsid w:val="002C513A"/>
    <w:rsid w:val="002D00D8"/>
    <w:rsid w:val="002D774C"/>
    <w:rsid w:val="002E0EB6"/>
    <w:rsid w:val="002E1135"/>
    <w:rsid w:val="002E21FE"/>
    <w:rsid w:val="002E2799"/>
    <w:rsid w:val="002E2ED4"/>
    <w:rsid w:val="002E3CBC"/>
    <w:rsid w:val="002E40B3"/>
    <w:rsid w:val="002E61FE"/>
    <w:rsid w:val="002E6225"/>
    <w:rsid w:val="002F1817"/>
    <w:rsid w:val="002F1A61"/>
    <w:rsid w:val="002F1B55"/>
    <w:rsid w:val="002F5850"/>
    <w:rsid w:val="002F7117"/>
    <w:rsid w:val="002F7452"/>
    <w:rsid w:val="00303265"/>
    <w:rsid w:val="00303BC7"/>
    <w:rsid w:val="00303F52"/>
    <w:rsid w:val="0030400A"/>
    <w:rsid w:val="00304A31"/>
    <w:rsid w:val="0030619B"/>
    <w:rsid w:val="0030646A"/>
    <w:rsid w:val="003069C5"/>
    <w:rsid w:val="00312C42"/>
    <w:rsid w:val="0031376C"/>
    <w:rsid w:val="00313ED7"/>
    <w:rsid w:val="00316D25"/>
    <w:rsid w:val="00320B2A"/>
    <w:rsid w:val="003211ED"/>
    <w:rsid w:val="00323AFB"/>
    <w:rsid w:val="00324390"/>
    <w:rsid w:val="00324E37"/>
    <w:rsid w:val="003250AB"/>
    <w:rsid w:val="003258E1"/>
    <w:rsid w:val="00327386"/>
    <w:rsid w:val="00327BCF"/>
    <w:rsid w:val="00330397"/>
    <w:rsid w:val="003308A4"/>
    <w:rsid w:val="00331837"/>
    <w:rsid w:val="003327FC"/>
    <w:rsid w:val="00333796"/>
    <w:rsid w:val="00334EDF"/>
    <w:rsid w:val="00336ADB"/>
    <w:rsid w:val="00336BF6"/>
    <w:rsid w:val="00340149"/>
    <w:rsid w:val="003406E1"/>
    <w:rsid w:val="0034103C"/>
    <w:rsid w:val="0034242F"/>
    <w:rsid w:val="003425B1"/>
    <w:rsid w:val="00342ED7"/>
    <w:rsid w:val="003438BD"/>
    <w:rsid w:val="00343AA1"/>
    <w:rsid w:val="003500E2"/>
    <w:rsid w:val="00352630"/>
    <w:rsid w:val="0035295D"/>
    <w:rsid w:val="00352987"/>
    <w:rsid w:val="00353CF9"/>
    <w:rsid w:val="003547CA"/>
    <w:rsid w:val="0035576B"/>
    <w:rsid w:val="00356225"/>
    <w:rsid w:val="00357A5E"/>
    <w:rsid w:val="00364069"/>
    <w:rsid w:val="0036490D"/>
    <w:rsid w:val="00364FD8"/>
    <w:rsid w:val="00365623"/>
    <w:rsid w:val="00365E7A"/>
    <w:rsid w:val="00367591"/>
    <w:rsid w:val="00367EFC"/>
    <w:rsid w:val="003729A0"/>
    <w:rsid w:val="003749D3"/>
    <w:rsid w:val="003754ED"/>
    <w:rsid w:val="00377355"/>
    <w:rsid w:val="00380D92"/>
    <w:rsid w:val="00382D9A"/>
    <w:rsid w:val="003857E0"/>
    <w:rsid w:val="00387463"/>
    <w:rsid w:val="003875BB"/>
    <w:rsid w:val="00387F03"/>
    <w:rsid w:val="0039080D"/>
    <w:rsid w:val="00391DE7"/>
    <w:rsid w:val="003922F5"/>
    <w:rsid w:val="00393505"/>
    <w:rsid w:val="0039587F"/>
    <w:rsid w:val="0039623A"/>
    <w:rsid w:val="003972BE"/>
    <w:rsid w:val="003A1EB8"/>
    <w:rsid w:val="003A474B"/>
    <w:rsid w:val="003A484D"/>
    <w:rsid w:val="003A4B83"/>
    <w:rsid w:val="003A4E33"/>
    <w:rsid w:val="003A4EA1"/>
    <w:rsid w:val="003A5159"/>
    <w:rsid w:val="003A5385"/>
    <w:rsid w:val="003A5CD8"/>
    <w:rsid w:val="003A604D"/>
    <w:rsid w:val="003A6F0F"/>
    <w:rsid w:val="003A7295"/>
    <w:rsid w:val="003A7501"/>
    <w:rsid w:val="003A786A"/>
    <w:rsid w:val="003A7BC9"/>
    <w:rsid w:val="003B1C49"/>
    <w:rsid w:val="003B388E"/>
    <w:rsid w:val="003B3F0B"/>
    <w:rsid w:val="003B4AF7"/>
    <w:rsid w:val="003B4D88"/>
    <w:rsid w:val="003B7FF7"/>
    <w:rsid w:val="003C2FA9"/>
    <w:rsid w:val="003C391B"/>
    <w:rsid w:val="003C3C39"/>
    <w:rsid w:val="003C56F2"/>
    <w:rsid w:val="003C7FF4"/>
    <w:rsid w:val="003D047D"/>
    <w:rsid w:val="003D0E81"/>
    <w:rsid w:val="003D59A3"/>
    <w:rsid w:val="003E24EE"/>
    <w:rsid w:val="003E27A1"/>
    <w:rsid w:val="003E4547"/>
    <w:rsid w:val="003E4984"/>
    <w:rsid w:val="003E61AD"/>
    <w:rsid w:val="003F025E"/>
    <w:rsid w:val="003F0DE3"/>
    <w:rsid w:val="003F1C4A"/>
    <w:rsid w:val="003F4103"/>
    <w:rsid w:val="003F477C"/>
    <w:rsid w:val="003F4CE1"/>
    <w:rsid w:val="003F50E5"/>
    <w:rsid w:val="003F660A"/>
    <w:rsid w:val="003F6F2D"/>
    <w:rsid w:val="003F7628"/>
    <w:rsid w:val="003F7AAD"/>
    <w:rsid w:val="0040036D"/>
    <w:rsid w:val="00401F4A"/>
    <w:rsid w:val="00402BE3"/>
    <w:rsid w:val="0040418C"/>
    <w:rsid w:val="004047BF"/>
    <w:rsid w:val="004050CD"/>
    <w:rsid w:val="004104E9"/>
    <w:rsid w:val="004122A9"/>
    <w:rsid w:val="00412D5D"/>
    <w:rsid w:val="00413722"/>
    <w:rsid w:val="00415149"/>
    <w:rsid w:val="004158FB"/>
    <w:rsid w:val="00415EDA"/>
    <w:rsid w:val="004167FD"/>
    <w:rsid w:val="004173B2"/>
    <w:rsid w:val="004211CF"/>
    <w:rsid w:val="00421942"/>
    <w:rsid w:val="00422781"/>
    <w:rsid w:val="00422A56"/>
    <w:rsid w:val="00422CD4"/>
    <w:rsid w:val="00423607"/>
    <w:rsid w:val="00423B28"/>
    <w:rsid w:val="00424052"/>
    <w:rsid w:val="00425929"/>
    <w:rsid w:val="00425DE8"/>
    <w:rsid w:val="00425EFC"/>
    <w:rsid w:val="004309F2"/>
    <w:rsid w:val="00430DCE"/>
    <w:rsid w:val="004322C3"/>
    <w:rsid w:val="00432A78"/>
    <w:rsid w:val="0043392E"/>
    <w:rsid w:val="00434647"/>
    <w:rsid w:val="00435355"/>
    <w:rsid w:val="0044043A"/>
    <w:rsid w:val="00440C63"/>
    <w:rsid w:val="00443B34"/>
    <w:rsid w:val="0044449B"/>
    <w:rsid w:val="00444BB9"/>
    <w:rsid w:val="00445EF9"/>
    <w:rsid w:val="004464F2"/>
    <w:rsid w:val="00446B1D"/>
    <w:rsid w:val="00447650"/>
    <w:rsid w:val="004508ED"/>
    <w:rsid w:val="0045175D"/>
    <w:rsid w:val="004524A3"/>
    <w:rsid w:val="00452CA4"/>
    <w:rsid w:val="00453520"/>
    <w:rsid w:val="00460A12"/>
    <w:rsid w:val="00461BF4"/>
    <w:rsid w:val="004627E1"/>
    <w:rsid w:val="00463ADA"/>
    <w:rsid w:val="00464965"/>
    <w:rsid w:val="00466009"/>
    <w:rsid w:val="00466036"/>
    <w:rsid w:val="004679A3"/>
    <w:rsid w:val="00470578"/>
    <w:rsid w:val="004706AB"/>
    <w:rsid w:val="004726FB"/>
    <w:rsid w:val="00472A50"/>
    <w:rsid w:val="00473297"/>
    <w:rsid w:val="004743F5"/>
    <w:rsid w:val="0047577E"/>
    <w:rsid w:val="00476E9F"/>
    <w:rsid w:val="00480248"/>
    <w:rsid w:val="00480A40"/>
    <w:rsid w:val="004837F3"/>
    <w:rsid w:val="00484A0B"/>
    <w:rsid w:val="00485899"/>
    <w:rsid w:val="00486A4A"/>
    <w:rsid w:val="0048720E"/>
    <w:rsid w:val="00487E70"/>
    <w:rsid w:val="00490E61"/>
    <w:rsid w:val="004931A3"/>
    <w:rsid w:val="0049778E"/>
    <w:rsid w:val="004A12FE"/>
    <w:rsid w:val="004A25F2"/>
    <w:rsid w:val="004A30E7"/>
    <w:rsid w:val="004A34C6"/>
    <w:rsid w:val="004A4B8E"/>
    <w:rsid w:val="004A520A"/>
    <w:rsid w:val="004A62E4"/>
    <w:rsid w:val="004A6422"/>
    <w:rsid w:val="004B13EB"/>
    <w:rsid w:val="004B2A6D"/>
    <w:rsid w:val="004B3590"/>
    <w:rsid w:val="004B365A"/>
    <w:rsid w:val="004B713A"/>
    <w:rsid w:val="004B74FA"/>
    <w:rsid w:val="004B7662"/>
    <w:rsid w:val="004C192C"/>
    <w:rsid w:val="004C256E"/>
    <w:rsid w:val="004C4326"/>
    <w:rsid w:val="004C5439"/>
    <w:rsid w:val="004C57E2"/>
    <w:rsid w:val="004C601E"/>
    <w:rsid w:val="004C71FD"/>
    <w:rsid w:val="004C73D8"/>
    <w:rsid w:val="004D0558"/>
    <w:rsid w:val="004D13AE"/>
    <w:rsid w:val="004D1A63"/>
    <w:rsid w:val="004D1C1E"/>
    <w:rsid w:val="004D1C99"/>
    <w:rsid w:val="004D2266"/>
    <w:rsid w:val="004D364E"/>
    <w:rsid w:val="004D3E1D"/>
    <w:rsid w:val="004D421C"/>
    <w:rsid w:val="004D4610"/>
    <w:rsid w:val="004D4FC7"/>
    <w:rsid w:val="004D6D83"/>
    <w:rsid w:val="004D6DC2"/>
    <w:rsid w:val="004D7F24"/>
    <w:rsid w:val="004E048B"/>
    <w:rsid w:val="004E3A1B"/>
    <w:rsid w:val="004E3B8E"/>
    <w:rsid w:val="004E54B2"/>
    <w:rsid w:val="004E7D92"/>
    <w:rsid w:val="004F1D32"/>
    <w:rsid w:val="004F1ED9"/>
    <w:rsid w:val="004F2621"/>
    <w:rsid w:val="004F3600"/>
    <w:rsid w:val="004F4139"/>
    <w:rsid w:val="004F527E"/>
    <w:rsid w:val="004F6E46"/>
    <w:rsid w:val="004F7221"/>
    <w:rsid w:val="005008E4"/>
    <w:rsid w:val="005025AC"/>
    <w:rsid w:val="005025F9"/>
    <w:rsid w:val="00502A5F"/>
    <w:rsid w:val="00503685"/>
    <w:rsid w:val="00503DA3"/>
    <w:rsid w:val="00504E5B"/>
    <w:rsid w:val="0050573C"/>
    <w:rsid w:val="00506EF9"/>
    <w:rsid w:val="00506F1C"/>
    <w:rsid w:val="00507C13"/>
    <w:rsid w:val="00507E1D"/>
    <w:rsid w:val="005104EC"/>
    <w:rsid w:val="005107CC"/>
    <w:rsid w:val="00511948"/>
    <w:rsid w:val="00511D1C"/>
    <w:rsid w:val="005121EE"/>
    <w:rsid w:val="00512631"/>
    <w:rsid w:val="0051546A"/>
    <w:rsid w:val="0051651F"/>
    <w:rsid w:val="0051681F"/>
    <w:rsid w:val="00517633"/>
    <w:rsid w:val="0052054C"/>
    <w:rsid w:val="00520F64"/>
    <w:rsid w:val="0052383D"/>
    <w:rsid w:val="00526141"/>
    <w:rsid w:val="005275C5"/>
    <w:rsid w:val="00527C10"/>
    <w:rsid w:val="00531D35"/>
    <w:rsid w:val="00532006"/>
    <w:rsid w:val="005325E7"/>
    <w:rsid w:val="00533338"/>
    <w:rsid w:val="005356E5"/>
    <w:rsid w:val="00535A08"/>
    <w:rsid w:val="00536248"/>
    <w:rsid w:val="005366CF"/>
    <w:rsid w:val="00536B24"/>
    <w:rsid w:val="00537F4F"/>
    <w:rsid w:val="00540751"/>
    <w:rsid w:val="005408C2"/>
    <w:rsid w:val="00541524"/>
    <w:rsid w:val="00543777"/>
    <w:rsid w:val="00544253"/>
    <w:rsid w:val="005445FC"/>
    <w:rsid w:val="00546264"/>
    <w:rsid w:val="0054745D"/>
    <w:rsid w:val="0054784F"/>
    <w:rsid w:val="00547ED1"/>
    <w:rsid w:val="00551563"/>
    <w:rsid w:val="00551611"/>
    <w:rsid w:val="00551F02"/>
    <w:rsid w:val="00553B25"/>
    <w:rsid w:val="0055413A"/>
    <w:rsid w:val="00555287"/>
    <w:rsid w:val="005553B6"/>
    <w:rsid w:val="00556737"/>
    <w:rsid w:val="00556766"/>
    <w:rsid w:val="00557960"/>
    <w:rsid w:val="00561080"/>
    <w:rsid w:val="005612EF"/>
    <w:rsid w:val="0056132F"/>
    <w:rsid w:val="00562378"/>
    <w:rsid w:val="00563C21"/>
    <w:rsid w:val="00565456"/>
    <w:rsid w:val="0056651A"/>
    <w:rsid w:val="00571EEF"/>
    <w:rsid w:val="0057231D"/>
    <w:rsid w:val="0057295F"/>
    <w:rsid w:val="00573964"/>
    <w:rsid w:val="00574676"/>
    <w:rsid w:val="0057547D"/>
    <w:rsid w:val="00576AEE"/>
    <w:rsid w:val="00580AF8"/>
    <w:rsid w:val="00581BBE"/>
    <w:rsid w:val="005823BB"/>
    <w:rsid w:val="00585A85"/>
    <w:rsid w:val="00585B9F"/>
    <w:rsid w:val="00586000"/>
    <w:rsid w:val="00587830"/>
    <w:rsid w:val="00590D37"/>
    <w:rsid w:val="00591A38"/>
    <w:rsid w:val="00592610"/>
    <w:rsid w:val="005929DF"/>
    <w:rsid w:val="0059367B"/>
    <w:rsid w:val="00593C19"/>
    <w:rsid w:val="005941B3"/>
    <w:rsid w:val="00596E51"/>
    <w:rsid w:val="00597BEE"/>
    <w:rsid w:val="005A0DB4"/>
    <w:rsid w:val="005A1977"/>
    <w:rsid w:val="005A21DF"/>
    <w:rsid w:val="005A2AF8"/>
    <w:rsid w:val="005A2B04"/>
    <w:rsid w:val="005A3624"/>
    <w:rsid w:val="005A3647"/>
    <w:rsid w:val="005A3C56"/>
    <w:rsid w:val="005A6392"/>
    <w:rsid w:val="005A7228"/>
    <w:rsid w:val="005A7B8A"/>
    <w:rsid w:val="005B00BB"/>
    <w:rsid w:val="005B08F5"/>
    <w:rsid w:val="005B0E3F"/>
    <w:rsid w:val="005B147B"/>
    <w:rsid w:val="005B18CB"/>
    <w:rsid w:val="005B263B"/>
    <w:rsid w:val="005B32C2"/>
    <w:rsid w:val="005B3B2F"/>
    <w:rsid w:val="005B6E24"/>
    <w:rsid w:val="005B6F79"/>
    <w:rsid w:val="005C063C"/>
    <w:rsid w:val="005C0E61"/>
    <w:rsid w:val="005C178E"/>
    <w:rsid w:val="005C2A04"/>
    <w:rsid w:val="005C2BA3"/>
    <w:rsid w:val="005C31A8"/>
    <w:rsid w:val="005C477D"/>
    <w:rsid w:val="005C701E"/>
    <w:rsid w:val="005C70B0"/>
    <w:rsid w:val="005C717A"/>
    <w:rsid w:val="005C742F"/>
    <w:rsid w:val="005C7F11"/>
    <w:rsid w:val="005C7FDF"/>
    <w:rsid w:val="005D39B3"/>
    <w:rsid w:val="005D4980"/>
    <w:rsid w:val="005D611F"/>
    <w:rsid w:val="005D6966"/>
    <w:rsid w:val="005D7FBF"/>
    <w:rsid w:val="005E2537"/>
    <w:rsid w:val="005E30B0"/>
    <w:rsid w:val="005E420E"/>
    <w:rsid w:val="005E5E6B"/>
    <w:rsid w:val="005E637E"/>
    <w:rsid w:val="005E7E36"/>
    <w:rsid w:val="005F0606"/>
    <w:rsid w:val="005F090A"/>
    <w:rsid w:val="005F29D6"/>
    <w:rsid w:val="005F4FA7"/>
    <w:rsid w:val="005F653E"/>
    <w:rsid w:val="005F7499"/>
    <w:rsid w:val="005F760B"/>
    <w:rsid w:val="006015C5"/>
    <w:rsid w:val="00604F0B"/>
    <w:rsid w:val="00606141"/>
    <w:rsid w:val="006064D2"/>
    <w:rsid w:val="00613F66"/>
    <w:rsid w:val="006147CC"/>
    <w:rsid w:val="0061509A"/>
    <w:rsid w:val="006150B5"/>
    <w:rsid w:val="0061514F"/>
    <w:rsid w:val="00616D01"/>
    <w:rsid w:val="00616EEE"/>
    <w:rsid w:val="006177B1"/>
    <w:rsid w:val="00621593"/>
    <w:rsid w:val="00621EB6"/>
    <w:rsid w:val="00621EC4"/>
    <w:rsid w:val="00622DAC"/>
    <w:rsid w:val="006250A6"/>
    <w:rsid w:val="006258CC"/>
    <w:rsid w:val="00626533"/>
    <w:rsid w:val="00631111"/>
    <w:rsid w:val="00631DF5"/>
    <w:rsid w:val="00632AC6"/>
    <w:rsid w:val="0063385B"/>
    <w:rsid w:val="00635FA2"/>
    <w:rsid w:val="006372A0"/>
    <w:rsid w:val="00637621"/>
    <w:rsid w:val="0063D1BD"/>
    <w:rsid w:val="00641FB6"/>
    <w:rsid w:val="00644381"/>
    <w:rsid w:val="00645B90"/>
    <w:rsid w:val="00646B74"/>
    <w:rsid w:val="00646F51"/>
    <w:rsid w:val="00647B90"/>
    <w:rsid w:val="006514DF"/>
    <w:rsid w:val="00653A39"/>
    <w:rsid w:val="00654DF9"/>
    <w:rsid w:val="0065510B"/>
    <w:rsid w:val="006551C3"/>
    <w:rsid w:val="0065546A"/>
    <w:rsid w:val="00656480"/>
    <w:rsid w:val="00656869"/>
    <w:rsid w:val="0065760B"/>
    <w:rsid w:val="006603BD"/>
    <w:rsid w:val="006638B2"/>
    <w:rsid w:val="006648FD"/>
    <w:rsid w:val="00665620"/>
    <w:rsid w:val="00665E0C"/>
    <w:rsid w:val="006700A9"/>
    <w:rsid w:val="006734A0"/>
    <w:rsid w:val="00674F25"/>
    <w:rsid w:val="0067533F"/>
    <w:rsid w:val="00676CCE"/>
    <w:rsid w:val="006777B8"/>
    <w:rsid w:val="00677AAB"/>
    <w:rsid w:val="00681058"/>
    <w:rsid w:val="006813F6"/>
    <w:rsid w:val="0068723C"/>
    <w:rsid w:val="00690F1C"/>
    <w:rsid w:val="00693FAF"/>
    <w:rsid w:val="006940FB"/>
    <w:rsid w:val="0069436D"/>
    <w:rsid w:val="00694D9A"/>
    <w:rsid w:val="006967FA"/>
    <w:rsid w:val="00697910"/>
    <w:rsid w:val="00697A80"/>
    <w:rsid w:val="006A033E"/>
    <w:rsid w:val="006A03EF"/>
    <w:rsid w:val="006A05DE"/>
    <w:rsid w:val="006A323C"/>
    <w:rsid w:val="006A330A"/>
    <w:rsid w:val="006A46FD"/>
    <w:rsid w:val="006A4DA4"/>
    <w:rsid w:val="006A4E1B"/>
    <w:rsid w:val="006B0EC6"/>
    <w:rsid w:val="006B0F55"/>
    <w:rsid w:val="006B1D47"/>
    <w:rsid w:val="006B5437"/>
    <w:rsid w:val="006B61B1"/>
    <w:rsid w:val="006B68C6"/>
    <w:rsid w:val="006C1D22"/>
    <w:rsid w:val="006C2B41"/>
    <w:rsid w:val="006C3043"/>
    <w:rsid w:val="006C3164"/>
    <w:rsid w:val="006C3B69"/>
    <w:rsid w:val="006C480D"/>
    <w:rsid w:val="006C4CF4"/>
    <w:rsid w:val="006C4F02"/>
    <w:rsid w:val="006C6895"/>
    <w:rsid w:val="006C6EA0"/>
    <w:rsid w:val="006C70DC"/>
    <w:rsid w:val="006D02B0"/>
    <w:rsid w:val="006D1172"/>
    <w:rsid w:val="006D1225"/>
    <w:rsid w:val="006D1BBB"/>
    <w:rsid w:val="006D23B7"/>
    <w:rsid w:val="006E0A70"/>
    <w:rsid w:val="006E0D84"/>
    <w:rsid w:val="006E58D8"/>
    <w:rsid w:val="006F020C"/>
    <w:rsid w:val="006F06A1"/>
    <w:rsid w:val="006F0E1D"/>
    <w:rsid w:val="006F0EE4"/>
    <w:rsid w:val="006F1880"/>
    <w:rsid w:val="006F1931"/>
    <w:rsid w:val="006F1FE5"/>
    <w:rsid w:val="006F2F34"/>
    <w:rsid w:val="006F4719"/>
    <w:rsid w:val="006F483A"/>
    <w:rsid w:val="006F5A9C"/>
    <w:rsid w:val="007012DF"/>
    <w:rsid w:val="00701781"/>
    <w:rsid w:val="00702513"/>
    <w:rsid w:val="00710CB2"/>
    <w:rsid w:val="007123AA"/>
    <w:rsid w:val="00713791"/>
    <w:rsid w:val="00713AC5"/>
    <w:rsid w:val="007149F3"/>
    <w:rsid w:val="0072127D"/>
    <w:rsid w:val="00721957"/>
    <w:rsid w:val="007223DE"/>
    <w:rsid w:val="00722B7A"/>
    <w:rsid w:val="00722FDA"/>
    <w:rsid w:val="0072354E"/>
    <w:rsid w:val="00723A80"/>
    <w:rsid w:val="007249C8"/>
    <w:rsid w:val="00725B18"/>
    <w:rsid w:val="00726031"/>
    <w:rsid w:val="00730228"/>
    <w:rsid w:val="00730C1D"/>
    <w:rsid w:val="007316BB"/>
    <w:rsid w:val="00731E48"/>
    <w:rsid w:val="00732334"/>
    <w:rsid w:val="007339A7"/>
    <w:rsid w:val="00734A3A"/>
    <w:rsid w:val="0073528D"/>
    <w:rsid w:val="007361C7"/>
    <w:rsid w:val="00736A61"/>
    <w:rsid w:val="00740CBF"/>
    <w:rsid w:val="00742B11"/>
    <w:rsid w:val="0074352F"/>
    <w:rsid w:val="00745289"/>
    <w:rsid w:val="007478EC"/>
    <w:rsid w:val="00750F42"/>
    <w:rsid w:val="00755C69"/>
    <w:rsid w:val="0075733B"/>
    <w:rsid w:val="00760404"/>
    <w:rsid w:val="007614D5"/>
    <w:rsid w:val="00761920"/>
    <w:rsid w:val="007622EB"/>
    <w:rsid w:val="00762853"/>
    <w:rsid w:val="00763AEA"/>
    <w:rsid w:val="0076697B"/>
    <w:rsid w:val="00766BC1"/>
    <w:rsid w:val="0077069D"/>
    <w:rsid w:val="00770C6E"/>
    <w:rsid w:val="00771596"/>
    <w:rsid w:val="00771BE8"/>
    <w:rsid w:val="00772299"/>
    <w:rsid w:val="00772C7A"/>
    <w:rsid w:val="007735B0"/>
    <w:rsid w:val="00773790"/>
    <w:rsid w:val="00777403"/>
    <w:rsid w:val="00777679"/>
    <w:rsid w:val="00783337"/>
    <w:rsid w:val="00783460"/>
    <w:rsid w:val="007838BB"/>
    <w:rsid w:val="00783D01"/>
    <w:rsid w:val="00785197"/>
    <w:rsid w:val="007851C0"/>
    <w:rsid w:val="007873E4"/>
    <w:rsid w:val="00787401"/>
    <w:rsid w:val="00790D4E"/>
    <w:rsid w:val="007910C4"/>
    <w:rsid w:val="00791DDF"/>
    <w:rsid w:val="00794429"/>
    <w:rsid w:val="00794622"/>
    <w:rsid w:val="00795788"/>
    <w:rsid w:val="0079613F"/>
    <w:rsid w:val="00797563"/>
    <w:rsid w:val="00797C64"/>
    <w:rsid w:val="007A1A59"/>
    <w:rsid w:val="007A1C1D"/>
    <w:rsid w:val="007A2142"/>
    <w:rsid w:val="007A3BE6"/>
    <w:rsid w:val="007A3CD6"/>
    <w:rsid w:val="007A4EB6"/>
    <w:rsid w:val="007A7C09"/>
    <w:rsid w:val="007B0702"/>
    <w:rsid w:val="007B0C59"/>
    <w:rsid w:val="007B2FCD"/>
    <w:rsid w:val="007B3A29"/>
    <w:rsid w:val="007B5433"/>
    <w:rsid w:val="007B5D7D"/>
    <w:rsid w:val="007B6B94"/>
    <w:rsid w:val="007B6CD5"/>
    <w:rsid w:val="007B770B"/>
    <w:rsid w:val="007B7F49"/>
    <w:rsid w:val="007C0F67"/>
    <w:rsid w:val="007C173F"/>
    <w:rsid w:val="007C1C52"/>
    <w:rsid w:val="007C31F0"/>
    <w:rsid w:val="007C36E3"/>
    <w:rsid w:val="007C5362"/>
    <w:rsid w:val="007C6CE9"/>
    <w:rsid w:val="007C70A2"/>
    <w:rsid w:val="007D07EC"/>
    <w:rsid w:val="007D2089"/>
    <w:rsid w:val="007D2A68"/>
    <w:rsid w:val="007D4003"/>
    <w:rsid w:val="007D7B62"/>
    <w:rsid w:val="007E2133"/>
    <w:rsid w:val="007E4C79"/>
    <w:rsid w:val="007F063C"/>
    <w:rsid w:val="007F11C2"/>
    <w:rsid w:val="007F2BC6"/>
    <w:rsid w:val="007F4C21"/>
    <w:rsid w:val="00801F43"/>
    <w:rsid w:val="0080555E"/>
    <w:rsid w:val="00805716"/>
    <w:rsid w:val="008107CD"/>
    <w:rsid w:val="00811DDE"/>
    <w:rsid w:val="008125C5"/>
    <w:rsid w:val="0081294E"/>
    <w:rsid w:val="00812FF1"/>
    <w:rsid w:val="00813506"/>
    <w:rsid w:val="0081667D"/>
    <w:rsid w:val="00817423"/>
    <w:rsid w:val="008200CB"/>
    <w:rsid w:val="008209CF"/>
    <w:rsid w:val="00820FA3"/>
    <w:rsid w:val="00821A86"/>
    <w:rsid w:val="008224F4"/>
    <w:rsid w:val="00823571"/>
    <w:rsid w:val="008247DA"/>
    <w:rsid w:val="00827C14"/>
    <w:rsid w:val="0083003F"/>
    <w:rsid w:val="0083091A"/>
    <w:rsid w:val="008310A0"/>
    <w:rsid w:val="00831922"/>
    <w:rsid w:val="00831CC4"/>
    <w:rsid w:val="00832754"/>
    <w:rsid w:val="00833115"/>
    <w:rsid w:val="00833C02"/>
    <w:rsid w:val="00833EBF"/>
    <w:rsid w:val="00834305"/>
    <w:rsid w:val="008347BA"/>
    <w:rsid w:val="0083568C"/>
    <w:rsid w:val="0084034E"/>
    <w:rsid w:val="008418EA"/>
    <w:rsid w:val="00842CB3"/>
    <w:rsid w:val="008434E3"/>
    <w:rsid w:val="00843FC2"/>
    <w:rsid w:val="008445E6"/>
    <w:rsid w:val="0084594F"/>
    <w:rsid w:val="0084607E"/>
    <w:rsid w:val="00847ADF"/>
    <w:rsid w:val="00847EE0"/>
    <w:rsid w:val="00850838"/>
    <w:rsid w:val="008508A1"/>
    <w:rsid w:val="00850F32"/>
    <w:rsid w:val="0085128F"/>
    <w:rsid w:val="00851788"/>
    <w:rsid w:val="0085395B"/>
    <w:rsid w:val="00854E9D"/>
    <w:rsid w:val="00855869"/>
    <w:rsid w:val="00856733"/>
    <w:rsid w:val="00860940"/>
    <w:rsid w:val="00860CA0"/>
    <w:rsid w:val="00861769"/>
    <w:rsid w:val="00862028"/>
    <w:rsid w:val="0086361F"/>
    <w:rsid w:val="00863AB5"/>
    <w:rsid w:val="0086475D"/>
    <w:rsid w:val="0086490D"/>
    <w:rsid w:val="00866BAF"/>
    <w:rsid w:val="0086701F"/>
    <w:rsid w:val="008679D6"/>
    <w:rsid w:val="00870022"/>
    <w:rsid w:val="008712DC"/>
    <w:rsid w:val="00871367"/>
    <w:rsid w:val="00871CE9"/>
    <w:rsid w:val="00872129"/>
    <w:rsid w:val="00872C70"/>
    <w:rsid w:val="008731E7"/>
    <w:rsid w:val="00873677"/>
    <w:rsid w:val="008741ED"/>
    <w:rsid w:val="008743A5"/>
    <w:rsid w:val="00875722"/>
    <w:rsid w:val="00875E69"/>
    <w:rsid w:val="00876C95"/>
    <w:rsid w:val="00876F9B"/>
    <w:rsid w:val="00880502"/>
    <w:rsid w:val="00880C33"/>
    <w:rsid w:val="00884119"/>
    <w:rsid w:val="00884F14"/>
    <w:rsid w:val="00884FC7"/>
    <w:rsid w:val="00885347"/>
    <w:rsid w:val="00885382"/>
    <w:rsid w:val="0088552B"/>
    <w:rsid w:val="008855C1"/>
    <w:rsid w:val="0088706C"/>
    <w:rsid w:val="008870BB"/>
    <w:rsid w:val="00887A72"/>
    <w:rsid w:val="008912E1"/>
    <w:rsid w:val="008927D8"/>
    <w:rsid w:val="00892A15"/>
    <w:rsid w:val="00892CDA"/>
    <w:rsid w:val="0089312E"/>
    <w:rsid w:val="00894485"/>
    <w:rsid w:val="00894564"/>
    <w:rsid w:val="00894B75"/>
    <w:rsid w:val="008960C7"/>
    <w:rsid w:val="008961D4"/>
    <w:rsid w:val="00896DE7"/>
    <w:rsid w:val="00897456"/>
    <w:rsid w:val="00897C80"/>
    <w:rsid w:val="00897E12"/>
    <w:rsid w:val="008A0DAE"/>
    <w:rsid w:val="008A1461"/>
    <w:rsid w:val="008A16E7"/>
    <w:rsid w:val="008A325B"/>
    <w:rsid w:val="008A336B"/>
    <w:rsid w:val="008A72AE"/>
    <w:rsid w:val="008A7623"/>
    <w:rsid w:val="008B002B"/>
    <w:rsid w:val="008B18C6"/>
    <w:rsid w:val="008B2938"/>
    <w:rsid w:val="008B2986"/>
    <w:rsid w:val="008B323A"/>
    <w:rsid w:val="008B7EA3"/>
    <w:rsid w:val="008C0AC9"/>
    <w:rsid w:val="008C1483"/>
    <w:rsid w:val="008C2B9C"/>
    <w:rsid w:val="008C4116"/>
    <w:rsid w:val="008C4AAB"/>
    <w:rsid w:val="008C6337"/>
    <w:rsid w:val="008C71FE"/>
    <w:rsid w:val="008C7508"/>
    <w:rsid w:val="008C7E56"/>
    <w:rsid w:val="008D0175"/>
    <w:rsid w:val="008D07C4"/>
    <w:rsid w:val="008D0997"/>
    <w:rsid w:val="008D1FD8"/>
    <w:rsid w:val="008D23E6"/>
    <w:rsid w:val="008D277F"/>
    <w:rsid w:val="008D38B0"/>
    <w:rsid w:val="008D3A12"/>
    <w:rsid w:val="008D3BAA"/>
    <w:rsid w:val="008D3F82"/>
    <w:rsid w:val="008D447C"/>
    <w:rsid w:val="008D5C12"/>
    <w:rsid w:val="008D5EC8"/>
    <w:rsid w:val="008D60EA"/>
    <w:rsid w:val="008D7B69"/>
    <w:rsid w:val="008E0511"/>
    <w:rsid w:val="008E1660"/>
    <w:rsid w:val="008E19CE"/>
    <w:rsid w:val="008E23E0"/>
    <w:rsid w:val="008E3398"/>
    <w:rsid w:val="008E42B8"/>
    <w:rsid w:val="008E5CB4"/>
    <w:rsid w:val="008E5E82"/>
    <w:rsid w:val="008F0139"/>
    <w:rsid w:val="008F19C8"/>
    <w:rsid w:val="008F26E0"/>
    <w:rsid w:val="008F3EFE"/>
    <w:rsid w:val="008F48AB"/>
    <w:rsid w:val="008F538B"/>
    <w:rsid w:val="008F647E"/>
    <w:rsid w:val="008F6D15"/>
    <w:rsid w:val="009001FB"/>
    <w:rsid w:val="009021C5"/>
    <w:rsid w:val="00902A81"/>
    <w:rsid w:val="00904E4D"/>
    <w:rsid w:val="00906AB8"/>
    <w:rsid w:val="00911CF1"/>
    <w:rsid w:val="009124E8"/>
    <w:rsid w:val="00913B5C"/>
    <w:rsid w:val="00914C21"/>
    <w:rsid w:val="00916302"/>
    <w:rsid w:val="00916860"/>
    <w:rsid w:val="00920841"/>
    <w:rsid w:val="00920B0E"/>
    <w:rsid w:val="00921AF4"/>
    <w:rsid w:val="00922A9B"/>
    <w:rsid w:val="00922EFE"/>
    <w:rsid w:val="00924B2A"/>
    <w:rsid w:val="00924B6C"/>
    <w:rsid w:val="00924E53"/>
    <w:rsid w:val="00924F52"/>
    <w:rsid w:val="009275B0"/>
    <w:rsid w:val="00927D72"/>
    <w:rsid w:val="00930610"/>
    <w:rsid w:val="00930BCF"/>
    <w:rsid w:val="00931094"/>
    <w:rsid w:val="009319D3"/>
    <w:rsid w:val="009334B4"/>
    <w:rsid w:val="009363F8"/>
    <w:rsid w:val="00936C4D"/>
    <w:rsid w:val="00937774"/>
    <w:rsid w:val="00941C15"/>
    <w:rsid w:val="0094394F"/>
    <w:rsid w:val="00943D08"/>
    <w:rsid w:val="009448CA"/>
    <w:rsid w:val="009448CF"/>
    <w:rsid w:val="009459AA"/>
    <w:rsid w:val="009467D3"/>
    <w:rsid w:val="00947507"/>
    <w:rsid w:val="00950593"/>
    <w:rsid w:val="00950889"/>
    <w:rsid w:val="00950938"/>
    <w:rsid w:val="00950D31"/>
    <w:rsid w:val="009527D9"/>
    <w:rsid w:val="00952CAB"/>
    <w:rsid w:val="00952E21"/>
    <w:rsid w:val="0095386A"/>
    <w:rsid w:val="0095435B"/>
    <w:rsid w:val="0095669E"/>
    <w:rsid w:val="00957B31"/>
    <w:rsid w:val="00957FE7"/>
    <w:rsid w:val="009610D7"/>
    <w:rsid w:val="009628A1"/>
    <w:rsid w:val="00965207"/>
    <w:rsid w:val="009665C4"/>
    <w:rsid w:val="009666A9"/>
    <w:rsid w:val="00966F76"/>
    <w:rsid w:val="0097141B"/>
    <w:rsid w:val="009723ED"/>
    <w:rsid w:val="009733FA"/>
    <w:rsid w:val="009737E7"/>
    <w:rsid w:val="009768CA"/>
    <w:rsid w:val="00980FC6"/>
    <w:rsid w:val="0098101B"/>
    <w:rsid w:val="009832BA"/>
    <w:rsid w:val="00984645"/>
    <w:rsid w:val="0098650B"/>
    <w:rsid w:val="009870CF"/>
    <w:rsid w:val="009906BC"/>
    <w:rsid w:val="0099084F"/>
    <w:rsid w:val="00990DBE"/>
    <w:rsid w:val="00991992"/>
    <w:rsid w:val="009925F4"/>
    <w:rsid w:val="009932BB"/>
    <w:rsid w:val="00993CB9"/>
    <w:rsid w:val="00993EEE"/>
    <w:rsid w:val="009961E4"/>
    <w:rsid w:val="009A2088"/>
    <w:rsid w:val="009A2619"/>
    <w:rsid w:val="009A6208"/>
    <w:rsid w:val="009A70EF"/>
    <w:rsid w:val="009B2094"/>
    <w:rsid w:val="009B24F2"/>
    <w:rsid w:val="009B2F9A"/>
    <w:rsid w:val="009B345F"/>
    <w:rsid w:val="009B3D31"/>
    <w:rsid w:val="009B5B87"/>
    <w:rsid w:val="009B5FAB"/>
    <w:rsid w:val="009B614B"/>
    <w:rsid w:val="009B706A"/>
    <w:rsid w:val="009B70B8"/>
    <w:rsid w:val="009C0016"/>
    <w:rsid w:val="009C0176"/>
    <w:rsid w:val="009C02E1"/>
    <w:rsid w:val="009C1095"/>
    <w:rsid w:val="009C4F8F"/>
    <w:rsid w:val="009C7198"/>
    <w:rsid w:val="009C71B7"/>
    <w:rsid w:val="009D0B9A"/>
    <w:rsid w:val="009D1701"/>
    <w:rsid w:val="009D2467"/>
    <w:rsid w:val="009D2501"/>
    <w:rsid w:val="009D2961"/>
    <w:rsid w:val="009D370B"/>
    <w:rsid w:val="009D39EE"/>
    <w:rsid w:val="009D3C55"/>
    <w:rsid w:val="009D43BB"/>
    <w:rsid w:val="009D4F22"/>
    <w:rsid w:val="009D58AC"/>
    <w:rsid w:val="009D668F"/>
    <w:rsid w:val="009D747A"/>
    <w:rsid w:val="009E0379"/>
    <w:rsid w:val="009E0425"/>
    <w:rsid w:val="009E04FE"/>
    <w:rsid w:val="009E15DF"/>
    <w:rsid w:val="009E2737"/>
    <w:rsid w:val="009E333D"/>
    <w:rsid w:val="009E53A4"/>
    <w:rsid w:val="009E5A14"/>
    <w:rsid w:val="009F0449"/>
    <w:rsid w:val="009F064F"/>
    <w:rsid w:val="009F15E4"/>
    <w:rsid w:val="009F1724"/>
    <w:rsid w:val="009F17B0"/>
    <w:rsid w:val="009F18FF"/>
    <w:rsid w:val="009F2288"/>
    <w:rsid w:val="009F6533"/>
    <w:rsid w:val="009F7BC1"/>
    <w:rsid w:val="009F7BFB"/>
    <w:rsid w:val="00A00B03"/>
    <w:rsid w:val="00A0177E"/>
    <w:rsid w:val="00A02BC6"/>
    <w:rsid w:val="00A02CFE"/>
    <w:rsid w:val="00A02E59"/>
    <w:rsid w:val="00A03FE4"/>
    <w:rsid w:val="00A05728"/>
    <w:rsid w:val="00A0764A"/>
    <w:rsid w:val="00A10844"/>
    <w:rsid w:val="00A11933"/>
    <w:rsid w:val="00A11AD0"/>
    <w:rsid w:val="00A12EBE"/>
    <w:rsid w:val="00A13628"/>
    <w:rsid w:val="00A13968"/>
    <w:rsid w:val="00A14BDE"/>
    <w:rsid w:val="00A14E0E"/>
    <w:rsid w:val="00A15519"/>
    <w:rsid w:val="00A15C96"/>
    <w:rsid w:val="00A208D5"/>
    <w:rsid w:val="00A21A9C"/>
    <w:rsid w:val="00A22220"/>
    <w:rsid w:val="00A228CB"/>
    <w:rsid w:val="00A22E51"/>
    <w:rsid w:val="00A230D3"/>
    <w:rsid w:val="00A237BD"/>
    <w:rsid w:val="00A240A0"/>
    <w:rsid w:val="00A27DA3"/>
    <w:rsid w:val="00A31BF8"/>
    <w:rsid w:val="00A32E7C"/>
    <w:rsid w:val="00A33216"/>
    <w:rsid w:val="00A332DB"/>
    <w:rsid w:val="00A341DD"/>
    <w:rsid w:val="00A36101"/>
    <w:rsid w:val="00A3757C"/>
    <w:rsid w:val="00A3779C"/>
    <w:rsid w:val="00A41503"/>
    <w:rsid w:val="00A43F4A"/>
    <w:rsid w:val="00A4793E"/>
    <w:rsid w:val="00A47CF1"/>
    <w:rsid w:val="00A51C64"/>
    <w:rsid w:val="00A52017"/>
    <w:rsid w:val="00A52AE5"/>
    <w:rsid w:val="00A5346A"/>
    <w:rsid w:val="00A53AAA"/>
    <w:rsid w:val="00A54B9B"/>
    <w:rsid w:val="00A55CD1"/>
    <w:rsid w:val="00A56B8D"/>
    <w:rsid w:val="00A56F1D"/>
    <w:rsid w:val="00A57A0D"/>
    <w:rsid w:val="00A60512"/>
    <w:rsid w:val="00A61D5C"/>
    <w:rsid w:val="00A61E70"/>
    <w:rsid w:val="00A624ED"/>
    <w:rsid w:val="00A63BDE"/>
    <w:rsid w:val="00A6442E"/>
    <w:rsid w:val="00A64F1B"/>
    <w:rsid w:val="00A66062"/>
    <w:rsid w:val="00A669D9"/>
    <w:rsid w:val="00A7174D"/>
    <w:rsid w:val="00A725D5"/>
    <w:rsid w:val="00A72E3E"/>
    <w:rsid w:val="00A7583E"/>
    <w:rsid w:val="00A75A33"/>
    <w:rsid w:val="00A75AEC"/>
    <w:rsid w:val="00A75EA4"/>
    <w:rsid w:val="00A77362"/>
    <w:rsid w:val="00A7741C"/>
    <w:rsid w:val="00A77670"/>
    <w:rsid w:val="00A8068C"/>
    <w:rsid w:val="00A80BE6"/>
    <w:rsid w:val="00A80D6C"/>
    <w:rsid w:val="00A830AE"/>
    <w:rsid w:val="00A833E8"/>
    <w:rsid w:val="00A8380C"/>
    <w:rsid w:val="00A83A43"/>
    <w:rsid w:val="00A83C31"/>
    <w:rsid w:val="00A83C4B"/>
    <w:rsid w:val="00A83D2A"/>
    <w:rsid w:val="00A83E18"/>
    <w:rsid w:val="00A83F2F"/>
    <w:rsid w:val="00A85B10"/>
    <w:rsid w:val="00A86A48"/>
    <w:rsid w:val="00A90741"/>
    <w:rsid w:val="00A90842"/>
    <w:rsid w:val="00A91268"/>
    <w:rsid w:val="00A916A9"/>
    <w:rsid w:val="00A91CCF"/>
    <w:rsid w:val="00A92845"/>
    <w:rsid w:val="00A92DF7"/>
    <w:rsid w:val="00A93005"/>
    <w:rsid w:val="00A94204"/>
    <w:rsid w:val="00A94661"/>
    <w:rsid w:val="00A963F6"/>
    <w:rsid w:val="00A967EC"/>
    <w:rsid w:val="00A96B8A"/>
    <w:rsid w:val="00A97043"/>
    <w:rsid w:val="00A973A4"/>
    <w:rsid w:val="00A97546"/>
    <w:rsid w:val="00A97874"/>
    <w:rsid w:val="00A97A1D"/>
    <w:rsid w:val="00AA067C"/>
    <w:rsid w:val="00AA0E34"/>
    <w:rsid w:val="00AA2D92"/>
    <w:rsid w:val="00AA38ED"/>
    <w:rsid w:val="00AA3E65"/>
    <w:rsid w:val="00AA3F5A"/>
    <w:rsid w:val="00AA4C0C"/>
    <w:rsid w:val="00AA6D4F"/>
    <w:rsid w:val="00AA6F35"/>
    <w:rsid w:val="00AA6FC8"/>
    <w:rsid w:val="00AB0D01"/>
    <w:rsid w:val="00AB1B20"/>
    <w:rsid w:val="00AB31FA"/>
    <w:rsid w:val="00AB4479"/>
    <w:rsid w:val="00AB68BB"/>
    <w:rsid w:val="00AB6EC6"/>
    <w:rsid w:val="00AB6FC1"/>
    <w:rsid w:val="00AC02F6"/>
    <w:rsid w:val="00AC06AF"/>
    <w:rsid w:val="00AC0A2D"/>
    <w:rsid w:val="00AC0AD3"/>
    <w:rsid w:val="00AC16C0"/>
    <w:rsid w:val="00AC5F0B"/>
    <w:rsid w:val="00AC7333"/>
    <w:rsid w:val="00AD0AF0"/>
    <w:rsid w:val="00AD0BB3"/>
    <w:rsid w:val="00AD0D76"/>
    <w:rsid w:val="00AD1427"/>
    <w:rsid w:val="00AD3CB9"/>
    <w:rsid w:val="00AD4CAB"/>
    <w:rsid w:val="00AD6D17"/>
    <w:rsid w:val="00AD71CA"/>
    <w:rsid w:val="00AD79F5"/>
    <w:rsid w:val="00AE0021"/>
    <w:rsid w:val="00AE05C1"/>
    <w:rsid w:val="00AE1D5D"/>
    <w:rsid w:val="00AE204D"/>
    <w:rsid w:val="00AE262D"/>
    <w:rsid w:val="00AE2F56"/>
    <w:rsid w:val="00AE443B"/>
    <w:rsid w:val="00AE4FF4"/>
    <w:rsid w:val="00AE54D0"/>
    <w:rsid w:val="00AE7282"/>
    <w:rsid w:val="00AE7F08"/>
    <w:rsid w:val="00AF1364"/>
    <w:rsid w:val="00AF2028"/>
    <w:rsid w:val="00AF279F"/>
    <w:rsid w:val="00AF3156"/>
    <w:rsid w:val="00AF3EE2"/>
    <w:rsid w:val="00AF48A0"/>
    <w:rsid w:val="00AF53F8"/>
    <w:rsid w:val="00AF6ED6"/>
    <w:rsid w:val="00AF70BA"/>
    <w:rsid w:val="00B01D53"/>
    <w:rsid w:val="00B034AB"/>
    <w:rsid w:val="00B04607"/>
    <w:rsid w:val="00B04E22"/>
    <w:rsid w:val="00B05E68"/>
    <w:rsid w:val="00B06213"/>
    <w:rsid w:val="00B06503"/>
    <w:rsid w:val="00B07195"/>
    <w:rsid w:val="00B11159"/>
    <w:rsid w:val="00B16081"/>
    <w:rsid w:val="00B1769F"/>
    <w:rsid w:val="00B17829"/>
    <w:rsid w:val="00B20010"/>
    <w:rsid w:val="00B2136C"/>
    <w:rsid w:val="00B23EB1"/>
    <w:rsid w:val="00B25924"/>
    <w:rsid w:val="00B25971"/>
    <w:rsid w:val="00B263B0"/>
    <w:rsid w:val="00B26CC8"/>
    <w:rsid w:val="00B27442"/>
    <w:rsid w:val="00B2748B"/>
    <w:rsid w:val="00B3195C"/>
    <w:rsid w:val="00B31B74"/>
    <w:rsid w:val="00B33BA2"/>
    <w:rsid w:val="00B33E25"/>
    <w:rsid w:val="00B33F1B"/>
    <w:rsid w:val="00B3493C"/>
    <w:rsid w:val="00B34AD0"/>
    <w:rsid w:val="00B35966"/>
    <w:rsid w:val="00B35B6A"/>
    <w:rsid w:val="00B372DE"/>
    <w:rsid w:val="00B37864"/>
    <w:rsid w:val="00B406C3"/>
    <w:rsid w:val="00B41D9D"/>
    <w:rsid w:val="00B4278C"/>
    <w:rsid w:val="00B42D7B"/>
    <w:rsid w:val="00B4392E"/>
    <w:rsid w:val="00B4396D"/>
    <w:rsid w:val="00B45AA6"/>
    <w:rsid w:val="00B45E56"/>
    <w:rsid w:val="00B462C2"/>
    <w:rsid w:val="00B46A03"/>
    <w:rsid w:val="00B47183"/>
    <w:rsid w:val="00B51C22"/>
    <w:rsid w:val="00B51CC8"/>
    <w:rsid w:val="00B51EFD"/>
    <w:rsid w:val="00B526B4"/>
    <w:rsid w:val="00B53579"/>
    <w:rsid w:val="00B535C6"/>
    <w:rsid w:val="00B5381D"/>
    <w:rsid w:val="00B539B9"/>
    <w:rsid w:val="00B5495C"/>
    <w:rsid w:val="00B55CA4"/>
    <w:rsid w:val="00B6279C"/>
    <w:rsid w:val="00B7235F"/>
    <w:rsid w:val="00B72D36"/>
    <w:rsid w:val="00B7458D"/>
    <w:rsid w:val="00B7478D"/>
    <w:rsid w:val="00B75657"/>
    <w:rsid w:val="00B77091"/>
    <w:rsid w:val="00B77B84"/>
    <w:rsid w:val="00B80763"/>
    <w:rsid w:val="00B8113F"/>
    <w:rsid w:val="00B81C2B"/>
    <w:rsid w:val="00B82321"/>
    <w:rsid w:val="00B8269C"/>
    <w:rsid w:val="00B83819"/>
    <w:rsid w:val="00B8645C"/>
    <w:rsid w:val="00B9189B"/>
    <w:rsid w:val="00B9197B"/>
    <w:rsid w:val="00B919A7"/>
    <w:rsid w:val="00B91B09"/>
    <w:rsid w:val="00B91BCE"/>
    <w:rsid w:val="00B92B12"/>
    <w:rsid w:val="00B92B7D"/>
    <w:rsid w:val="00B92F7C"/>
    <w:rsid w:val="00B94016"/>
    <w:rsid w:val="00B9530C"/>
    <w:rsid w:val="00B973BA"/>
    <w:rsid w:val="00B97406"/>
    <w:rsid w:val="00B974F9"/>
    <w:rsid w:val="00BA03B7"/>
    <w:rsid w:val="00BA29F2"/>
    <w:rsid w:val="00BA4853"/>
    <w:rsid w:val="00BA5297"/>
    <w:rsid w:val="00BA5323"/>
    <w:rsid w:val="00BA6475"/>
    <w:rsid w:val="00BB110A"/>
    <w:rsid w:val="00BB1C59"/>
    <w:rsid w:val="00BB36CD"/>
    <w:rsid w:val="00BB3D5E"/>
    <w:rsid w:val="00BB3D6A"/>
    <w:rsid w:val="00BB4671"/>
    <w:rsid w:val="00BB46B9"/>
    <w:rsid w:val="00BB47F3"/>
    <w:rsid w:val="00BB575F"/>
    <w:rsid w:val="00BB5806"/>
    <w:rsid w:val="00BB5C24"/>
    <w:rsid w:val="00BB60C2"/>
    <w:rsid w:val="00BB709D"/>
    <w:rsid w:val="00BC020C"/>
    <w:rsid w:val="00BC29A5"/>
    <w:rsid w:val="00BC3416"/>
    <w:rsid w:val="00BC38CD"/>
    <w:rsid w:val="00BC3AFD"/>
    <w:rsid w:val="00BC546B"/>
    <w:rsid w:val="00BC6BDB"/>
    <w:rsid w:val="00BD2A0D"/>
    <w:rsid w:val="00BD6206"/>
    <w:rsid w:val="00BD7FE8"/>
    <w:rsid w:val="00BE0680"/>
    <w:rsid w:val="00BE0FB6"/>
    <w:rsid w:val="00BE2097"/>
    <w:rsid w:val="00BE27FF"/>
    <w:rsid w:val="00BE4AE8"/>
    <w:rsid w:val="00BE51EE"/>
    <w:rsid w:val="00BE64F5"/>
    <w:rsid w:val="00BE7A58"/>
    <w:rsid w:val="00BE7BB4"/>
    <w:rsid w:val="00BE7E5E"/>
    <w:rsid w:val="00BF28AA"/>
    <w:rsid w:val="00BF2E45"/>
    <w:rsid w:val="00BF32F3"/>
    <w:rsid w:val="00BF5696"/>
    <w:rsid w:val="00BF5C47"/>
    <w:rsid w:val="00BF7140"/>
    <w:rsid w:val="00BF7790"/>
    <w:rsid w:val="00C0071D"/>
    <w:rsid w:val="00C013BE"/>
    <w:rsid w:val="00C026FB"/>
    <w:rsid w:val="00C02FB4"/>
    <w:rsid w:val="00C032C1"/>
    <w:rsid w:val="00C04A1E"/>
    <w:rsid w:val="00C04C0C"/>
    <w:rsid w:val="00C05128"/>
    <w:rsid w:val="00C062D4"/>
    <w:rsid w:val="00C0677D"/>
    <w:rsid w:val="00C069E5"/>
    <w:rsid w:val="00C06F01"/>
    <w:rsid w:val="00C12C44"/>
    <w:rsid w:val="00C12DC0"/>
    <w:rsid w:val="00C13B9A"/>
    <w:rsid w:val="00C14B25"/>
    <w:rsid w:val="00C16151"/>
    <w:rsid w:val="00C16EF4"/>
    <w:rsid w:val="00C17615"/>
    <w:rsid w:val="00C201D9"/>
    <w:rsid w:val="00C20DF9"/>
    <w:rsid w:val="00C215C0"/>
    <w:rsid w:val="00C21BCB"/>
    <w:rsid w:val="00C21D40"/>
    <w:rsid w:val="00C22474"/>
    <w:rsid w:val="00C24AE1"/>
    <w:rsid w:val="00C24DAF"/>
    <w:rsid w:val="00C266D2"/>
    <w:rsid w:val="00C26E36"/>
    <w:rsid w:val="00C3153E"/>
    <w:rsid w:val="00C319F8"/>
    <w:rsid w:val="00C3257D"/>
    <w:rsid w:val="00C33136"/>
    <w:rsid w:val="00C35071"/>
    <w:rsid w:val="00C355F0"/>
    <w:rsid w:val="00C35BE5"/>
    <w:rsid w:val="00C37327"/>
    <w:rsid w:val="00C50834"/>
    <w:rsid w:val="00C510C8"/>
    <w:rsid w:val="00C52A16"/>
    <w:rsid w:val="00C53D3B"/>
    <w:rsid w:val="00C53D78"/>
    <w:rsid w:val="00C5431A"/>
    <w:rsid w:val="00C54407"/>
    <w:rsid w:val="00C562C9"/>
    <w:rsid w:val="00C56D55"/>
    <w:rsid w:val="00C57415"/>
    <w:rsid w:val="00C60B0A"/>
    <w:rsid w:val="00C61CA1"/>
    <w:rsid w:val="00C6205B"/>
    <w:rsid w:val="00C6241D"/>
    <w:rsid w:val="00C6321D"/>
    <w:rsid w:val="00C718F5"/>
    <w:rsid w:val="00C71E38"/>
    <w:rsid w:val="00C72704"/>
    <w:rsid w:val="00C75038"/>
    <w:rsid w:val="00C75BB8"/>
    <w:rsid w:val="00C76301"/>
    <w:rsid w:val="00C76F98"/>
    <w:rsid w:val="00C77BEC"/>
    <w:rsid w:val="00C77E77"/>
    <w:rsid w:val="00C8460D"/>
    <w:rsid w:val="00C84639"/>
    <w:rsid w:val="00C85FD4"/>
    <w:rsid w:val="00C90D7E"/>
    <w:rsid w:val="00C911FB"/>
    <w:rsid w:val="00C91C9A"/>
    <w:rsid w:val="00C91F2A"/>
    <w:rsid w:val="00C928A7"/>
    <w:rsid w:val="00C92C29"/>
    <w:rsid w:val="00C93589"/>
    <w:rsid w:val="00C94F07"/>
    <w:rsid w:val="00C96743"/>
    <w:rsid w:val="00C96F25"/>
    <w:rsid w:val="00CA0427"/>
    <w:rsid w:val="00CA05DA"/>
    <w:rsid w:val="00CA3550"/>
    <w:rsid w:val="00CA5637"/>
    <w:rsid w:val="00CA6A40"/>
    <w:rsid w:val="00CB2691"/>
    <w:rsid w:val="00CB278E"/>
    <w:rsid w:val="00CB4BE7"/>
    <w:rsid w:val="00CB776A"/>
    <w:rsid w:val="00CB7805"/>
    <w:rsid w:val="00CB7DE6"/>
    <w:rsid w:val="00CB7ED9"/>
    <w:rsid w:val="00CC102D"/>
    <w:rsid w:val="00CC24F2"/>
    <w:rsid w:val="00CC2B74"/>
    <w:rsid w:val="00CC3445"/>
    <w:rsid w:val="00CC4E10"/>
    <w:rsid w:val="00CC71FE"/>
    <w:rsid w:val="00CC789A"/>
    <w:rsid w:val="00CC7E1E"/>
    <w:rsid w:val="00CD028F"/>
    <w:rsid w:val="00CD10C8"/>
    <w:rsid w:val="00CD14A6"/>
    <w:rsid w:val="00CD2CB8"/>
    <w:rsid w:val="00CD33B8"/>
    <w:rsid w:val="00CD351F"/>
    <w:rsid w:val="00CD6E4F"/>
    <w:rsid w:val="00CD709A"/>
    <w:rsid w:val="00CD7451"/>
    <w:rsid w:val="00CD7A7D"/>
    <w:rsid w:val="00CE0286"/>
    <w:rsid w:val="00CE035D"/>
    <w:rsid w:val="00CE051D"/>
    <w:rsid w:val="00CE0647"/>
    <w:rsid w:val="00CE1548"/>
    <w:rsid w:val="00CE2D44"/>
    <w:rsid w:val="00CE3929"/>
    <w:rsid w:val="00CE5314"/>
    <w:rsid w:val="00CE580A"/>
    <w:rsid w:val="00CE7145"/>
    <w:rsid w:val="00CE7FB6"/>
    <w:rsid w:val="00CF0CB2"/>
    <w:rsid w:val="00CF113A"/>
    <w:rsid w:val="00CF1B7D"/>
    <w:rsid w:val="00CF2087"/>
    <w:rsid w:val="00CF5D67"/>
    <w:rsid w:val="00CF6AC5"/>
    <w:rsid w:val="00CF77AE"/>
    <w:rsid w:val="00D00DC2"/>
    <w:rsid w:val="00D0323E"/>
    <w:rsid w:val="00D03D3D"/>
    <w:rsid w:val="00D071B7"/>
    <w:rsid w:val="00D16C6C"/>
    <w:rsid w:val="00D17117"/>
    <w:rsid w:val="00D2022B"/>
    <w:rsid w:val="00D21535"/>
    <w:rsid w:val="00D21913"/>
    <w:rsid w:val="00D22279"/>
    <w:rsid w:val="00D222CC"/>
    <w:rsid w:val="00D2453D"/>
    <w:rsid w:val="00D246F3"/>
    <w:rsid w:val="00D247DD"/>
    <w:rsid w:val="00D24F75"/>
    <w:rsid w:val="00D252AA"/>
    <w:rsid w:val="00D253A1"/>
    <w:rsid w:val="00D25613"/>
    <w:rsid w:val="00D25C8C"/>
    <w:rsid w:val="00D26065"/>
    <w:rsid w:val="00D30DA3"/>
    <w:rsid w:val="00D34AA5"/>
    <w:rsid w:val="00D37096"/>
    <w:rsid w:val="00D4071E"/>
    <w:rsid w:val="00D40A0B"/>
    <w:rsid w:val="00D40C48"/>
    <w:rsid w:val="00D42316"/>
    <w:rsid w:val="00D42C0A"/>
    <w:rsid w:val="00D4352E"/>
    <w:rsid w:val="00D43E14"/>
    <w:rsid w:val="00D51809"/>
    <w:rsid w:val="00D52645"/>
    <w:rsid w:val="00D5282E"/>
    <w:rsid w:val="00D52F31"/>
    <w:rsid w:val="00D53FC5"/>
    <w:rsid w:val="00D54D8F"/>
    <w:rsid w:val="00D56FDA"/>
    <w:rsid w:val="00D619F3"/>
    <w:rsid w:val="00D61B24"/>
    <w:rsid w:val="00D62EDC"/>
    <w:rsid w:val="00D64F8B"/>
    <w:rsid w:val="00D67D62"/>
    <w:rsid w:val="00D70B15"/>
    <w:rsid w:val="00D711D6"/>
    <w:rsid w:val="00D71F36"/>
    <w:rsid w:val="00D7314A"/>
    <w:rsid w:val="00D73818"/>
    <w:rsid w:val="00D75259"/>
    <w:rsid w:val="00D76710"/>
    <w:rsid w:val="00D77A52"/>
    <w:rsid w:val="00D77CEE"/>
    <w:rsid w:val="00D8012B"/>
    <w:rsid w:val="00D80384"/>
    <w:rsid w:val="00D809EF"/>
    <w:rsid w:val="00D8317C"/>
    <w:rsid w:val="00D83807"/>
    <w:rsid w:val="00D83FAC"/>
    <w:rsid w:val="00D845F9"/>
    <w:rsid w:val="00D85D84"/>
    <w:rsid w:val="00D8610F"/>
    <w:rsid w:val="00D87A4B"/>
    <w:rsid w:val="00D87D3C"/>
    <w:rsid w:val="00D918A4"/>
    <w:rsid w:val="00D91A35"/>
    <w:rsid w:val="00D925F0"/>
    <w:rsid w:val="00D950DE"/>
    <w:rsid w:val="00D95411"/>
    <w:rsid w:val="00D96532"/>
    <w:rsid w:val="00D975C0"/>
    <w:rsid w:val="00DA01D9"/>
    <w:rsid w:val="00DA0E65"/>
    <w:rsid w:val="00DA139D"/>
    <w:rsid w:val="00DA1653"/>
    <w:rsid w:val="00DA1F50"/>
    <w:rsid w:val="00DA29EB"/>
    <w:rsid w:val="00DA4C72"/>
    <w:rsid w:val="00DA595C"/>
    <w:rsid w:val="00DB122A"/>
    <w:rsid w:val="00DB1ACB"/>
    <w:rsid w:val="00DB2530"/>
    <w:rsid w:val="00DC0B19"/>
    <w:rsid w:val="00DC0D2E"/>
    <w:rsid w:val="00DC20F6"/>
    <w:rsid w:val="00DC238B"/>
    <w:rsid w:val="00DC296B"/>
    <w:rsid w:val="00DC396F"/>
    <w:rsid w:val="00DC40DA"/>
    <w:rsid w:val="00DC4958"/>
    <w:rsid w:val="00DC4C65"/>
    <w:rsid w:val="00DC55DF"/>
    <w:rsid w:val="00DD0791"/>
    <w:rsid w:val="00DD11C6"/>
    <w:rsid w:val="00DD25F5"/>
    <w:rsid w:val="00DD2F2E"/>
    <w:rsid w:val="00DD3A2D"/>
    <w:rsid w:val="00DD3AD8"/>
    <w:rsid w:val="00DD3F08"/>
    <w:rsid w:val="00DD490A"/>
    <w:rsid w:val="00DD530B"/>
    <w:rsid w:val="00DD61F4"/>
    <w:rsid w:val="00DE0A8D"/>
    <w:rsid w:val="00DE1B54"/>
    <w:rsid w:val="00DE23A4"/>
    <w:rsid w:val="00DE3D47"/>
    <w:rsid w:val="00DE4651"/>
    <w:rsid w:val="00DE6A32"/>
    <w:rsid w:val="00DE7C3F"/>
    <w:rsid w:val="00DF3516"/>
    <w:rsid w:val="00DF496F"/>
    <w:rsid w:val="00DF4C52"/>
    <w:rsid w:val="00DF6308"/>
    <w:rsid w:val="00E006AD"/>
    <w:rsid w:val="00E00844"/>
    <w:rsid w:val="00E015F2"/>
    <w:rsid w:val="00E02721"/>
    <w:rsid w:val="00E02ADC"/>
    <w:rsid w:val="00E1017C"/>
    <w:rsid w:val="00E10F3E"/>
    <w:rsid w:val="00E13418"/>
    <w:rsid w:val="00E1373F"/>
    <w:rsid w:val="00E170CE"/>
    <w:rsid w:val="00E17214"/>
    <w:rsid w:val="00E17E69"/>
    <w:rsid w:val="00E2071A"/>
    <w:rsid w:val="00E2095E"/>
    <w:rsid w:val="00E209A8"/>
    <w:rsid w:val="00E21811"/>
    <w:rsid w:val="00E21C1C"/>
    <w:rsid w:val="00E21C20"/>
    <w:rsid w:val="00E221B1"/>
    <w:rsid w:val="00E2306D"/>
    <w:rsid w:val="00E23497"/>
    <w:rsid w:val="00E25180"/>
    <w:rsid w:val="00E253B8"/>
    <w:rsid w:val="00E25E99"/>
    <w:rsid w:val="00E27A2C"/>
    <w:rsid w:val="00E27A47"/>
    <w:rsid w:val="00E30C2F"/>
    <w:rsid w:val="00E3170C"/>
    <w:rsid w:val="00E3313F"/>
    <w:rsid w:val="00E339E5"/>
    <w:rsid w:val="00E33DC9"/>
    <w:rsid w:val="00E345B8"/>
    <w:rsid w:val="00E35ECA"/>
    <w:rsid w:val="00E35ECD"/>
    <w:rsid w:val="00E36B08"/>
    <w:rsid w:val="00E4061A"/>
    <w:rsid w:val="00E4557F"/>
    <w:rsid w:val="00E5021C"/>
    <w:rsid w:val="00E510D2"/>
    <w:rsid w:val="00E514C3"/>
    <w:rsid w:val="00E538E5"/>
    <w:rsid w:val="00E54296"/>
    <w:rsid w:val="00E5471D"/>
    <w:rsid w:val="00E54D1F"/>
    <w:rsid w:val="00E55605"/>
    <w:rsid w:val="00E563B9"/>
    <w:rsid w:val="00E605A3"/>
    <w:rsid w:val="00E606DE"/>
    <w:rsid w:val="00E61666"/>
    <w:rsid w:val="00E628C7"/>
    <w:rsid w:val="00E634FB"/>
    <w:rsid w:val="00E6458B"/>
    <w:rsid w:val="00E659EF"/>
    <w:rsid w:val="00E65B0D"/>
    <w:rsid w:val="00E66236"/>
    <w:rsid w:val="00E66258"/>
    <w:rsid w:val="00E664A9"/>
    <w:rsid w:val="00E66762"/>
    <w:rsid w:val="00E70092"/>
    <w:rsid w:val="00E715F2"/>
    <w:rsid w:val="00E716A3"/>
    <w:rsid w:val="00E71EFB"/>
    <w:rsid w:val="00E72A07"/>
    <w:rsid w:val="00E77F9F"/>
    <w:rsid w:val="00E82D23"/>
    <w:rsid w:val="00E8559F"/>
    <w:rsid w:val="00E855BB"/>
    <w:rsid w:val="00E86504"/>
    <w:rsid w:val="00E868AA"/>
    <w:rsid w:val="00E86C31"/>
    <w:rsid w:val="00E877B8"/>
    <w:rsid w:val="00E87EDC"/>
    <w:rsid w:val="00E910A8"/>
    <w:rsid w:val="00E91CA7"/>
    <w:rsid w:val="00E91EE9"/>
    <w:rsid w:val="00E951D1"/>
    <w:rsid w:val="00E95985"/>
    <w:rsid w:val="00E96F21"/>
    <w:rsid w:val="00E9779B"/>
    <w:rsid w:val="00E97ECE"/>
    <w:rsid w:val="00EA1608"/>
    <w:rsid w:val="00EA2E3B"/>
    <w:rsid w:val="00EA2EBB"/>
    <w:rsid w:val="00EA43DE"/>
    <w:rsid w:val="00EB003D"/>
    <w:rsid w:val="00EB0417"/>
    <w:rsid w:val="00EB0698"/>
    <w:rsid w:val="00EB2031"/>
    <w:rsid w:val="00EB2E4E"/>
    <w:rsid w:val="00EB3AD1"/>
    <w:rsid w:val="00EB5BFD"/>
    <w:rsid w:val="00EB66C5"/>
    <w:rsid w:val="00EC1A6D"/>
    <w:rsid w:val="00EC41BE"/>
    <w:rsid w:val="00EC4A08"/>
    <w:rsid w:val="00EC4D52"/>
    <w:rsid w:val="00EC5623"/>
    <w:rsid w:val="00ED165C"/>
    <w:rsid w:val="00ED1C17"/>
    <w:rsid w:val="00ED429B"/>
    <w:rsid w:val="00ED4443"/>
    <w:rsid w:val="00ED5F1B"/>
    <w:rsid w:val="00ED6FC5"/>
    <w:rsid w:val="00ED7090"/>
    <w:rsid w:val="00ED73D8"/>
    <w:rsid w:val="00EE1639"/>
    <w:rsid w:val="00EE50DA"/>
    <w:rsid w:val="00EE642C"/>
    <w:rsid w:val="00EE6AE8"/>
    <w:rsid w:val="00EE7CAA"/>
    <w:rsid w:val="00EF07F1"/>
    <w:rsid w:val="00EF18B0"/>
    <w:rsid w:val="00EF2182"/>
    <w:rsid w:val="00EF518E"/>
    <w:rsid w:val="00EF5919"/>
    <w:rsid w:val="00F011EB"/>
    <w:rsid w:val="00F02EAC"/>
    <w:rsid w:val="00F0379F"/>
    <w:rsid w:val="00F045C0"/>
    <w:rsid w:val="00F05171"/>
    <w:rsid w:val="00F06F3B"/>
    <w:rsid w:val="00F1071B"/>
    <w:rsid w:val="00F11A24"/>
    <w:rsid w:val="00F13B5C"/>
    <w:rsid w:val="00F1498C"/>
    <w:rsid w:val="00F1512C"/>
    <w:rsid w:val="00F162CB"/>
    <w:rsid w:val="00F20415"/>
    <w:rsid w:val="00F20811"/>
    <w:rsid w:val="00F217B9"/>
    <w:rsid w:val="00F21882"/>
    <w:rsid w:val="00F21DFB"/>
    <w:rsid w:val="00F22023"/>
    <w:rsid w:val="00F22079"/>
    <w:rsid w:val="00F2430B"/>
    <w:rsid w:val="00F25E73"/>
    <w:rsid w:val="00F25E81"/>
    <w:rsid w:val="00F261D0"/>
    <w:rsid w:val="00F27A39"/>
    <w:rsid w:val="00F27DFA"/>
    <w:rsid w:val="00F31B0E"/>
    <w:rsid w:val="00F320CA"/>
    <w:rsid w:val="00F32C30"/>
    <w:rsid w:val="00F335CE"/>
    <w:rsid w:val="00F337D7"/>
    <w:rsid w:val="00F349F3"/>
    <w:rsid w:val="00F34C18"/>
    <w:rsid w:val="00F356A9"/>
    <w:rsid w:val="00F403A4"/>
    <w:rsid w:val="00F41815"/>
    <w:rsid w:val="00F41BED"/>
    <w:rsid w:val="00F431B5"/>
    <w:rsid w:val="00F44533"/>
    <w:rsid w:val="00F44896"/>
    <w:rsid w:val="00F460FB"/>
    <w:rsid w:val="00F50210"/>
    <w:rsid w:val="00F52E8B"/>
    <w:rsid w:val="00F5364F"/>
    <w:rsid w:val="00F53722"/>
    <w:rsid w:val="00F53E69"/>
    <w:rsid w:val="00F54D7E"/>
    <w:rsid w:val="00F564D0"/>
    <w:rsid w:val="00F56515"/>
    <w:rsid w:val="00F56D65"/>
    <w:rsid w:val="00F60578"/>
    <w:rsid w:val="00F60C0D"/>
    <w:rsid w:val="00F6190E"/>
    <w:rsid w:val="00F62FAC"/>
    <w:rsid w:val="00F6464E"/>
    <w:rsid w:val="00F64EAC"/>
    <w:rsid w:val="00F65D73"/>
    <w:rsid w:val="00F660A2"/>
    <w:rsid w:val="00F661D8"/>
    <w:rsid w:val="00F670AB"/>
    <w:rsid w:val="00F676D6"/>
    <w:rsid w:val="00F67CF1"/>
    <w:rsid w:val="00F67F8C"/>
    <w:rsid w:val="00F73283"/>
    <w:rsid w:val="00F7392E"/>
    <w:rsid w:val="00F73ABB"/>
    <w:rsid w:val="00F756DA"/>
    <w:rsid w:val="00F7691B"/>
    <w:rsid w:val="00F80891"/>
    <w:rsid w:val="00F812AA"/>
    <w:rsid w:val="00F8474E"/>
    <w:rsid w:val="00F866DA"/>
    <w:rsid w:val="00F86BD1"/>
    <w:rsid w:val="00F87972"/>
    <w:rsid w:val="00F87AD4"/>
    <w:rsid w:val="00F87E47"/>
    <w:rsid w:val="00F9063B"/>
    <w:rsid w:val="00F916A9"/>
    <w:rsid w:val="00F919CE"/>
    <w:rsid w:val="00F91CB0"/>
    <w:rsid w:val="00F92CFE"/>
    <w:rsid w:val="00F93E05"/>
    <w:rsid w:val="00F94696"/>
    <w:rsid w:val="00F95582"/>
    <w:rsid w:val="00F970FE"/>
    <w:rsid w:val="00F97E1E"/>
    <w:rsid w:val="00FA080B"/>
    <w:rsid w:val="00FA1F32"/>
    <w:rsid w:val="00FA2E6A"/>
    <w:rsid w:val="00FA3746"/>
    <w:rsid w:val="00FA3FC9"/>
    <w:rsid w:val="00FA49E3"/>
    <w:rsid w:val="00FA6052"/>
    <w:rsid w:val="00FA6872"/>
    <w:rsid w:val="00FA69E6"/>
    <w:rsid w:val="00FA7884"/>
    <w:rsid w:val="00FB0227"/>
    <w:rsid w:val="00FB0664"/>
    <w:rsid w:val="00FB2585"/>
    <w:rsid w:val="00FB27FA"/>
    <w:rsid w:val="00FB2D45"/>
    <w:rsid w:val="00FB4194"/>
    <w:rsid w:val="00FB50AD"/>
    <w:rsid w:val="00FB6A21"/>
    <w:rsid w:val="00FB78CB"/>
    <w:rsid w:val="00FB7C80"/>
    <w:rsid w:val="00FC16F2"/>
    <w:rsid w:val="00FC4284"/>
    <w:rsid w:val="00FC44E6"/>
    <w:rsid w:val="00FC550D"/>
    <w:rsid w:val="00FC61D7"/>
    <w:rsid w:val="00FC6D67"/>
    <w:rsid w:val="00FC71AA"/>
    <w:rsid w:val="00FC7D3D"/>
    <w:rsid w:val="00FC7F2B"/>
    <w:rsid w:val="00FD08EE"/>
    <w:rsid w:val="00FD0E6C"/>
    <w:rsid w:val="00FD1282"/>
    <w:rsid w:val="00FD3F89"/>
    <w:rsid w:val="00FD5DE3"/>
    <w:rsid w:val="00FE09FA"/>
    <w:rsid w:val="00FE159C"/>
    <w:rsid w:val="00FE2DBB"/>
    <w:rsid w:val="00FE5DF4"/>
    <w:rsid w:val="00FE67E7"/>
    <w:rsid w:val="00FF0C96"/>
    <w:rsid w:val="00FF26B0"/>
    <w:rsid w:val="00FF2DC7"/>
    <w:rsid w:val="00FF2F09"/>
    <w:rsid w:val="00FF3863"/>
    <w:rsid w:val="00FF3E0D"/>
    <w:rsid w:val="00FF4495"/>
    <w:rsid w:val="00FF60E6"/>
    <w:rsid w:val="00FF65BC"/>
    <w:rsid w:val="00FF7CA4"/>
    <w:rsid w:val="00FF7F2E"/>
    <w:rsid w:val="016774AC"/>
    <w:rsid w:val="020D1271"/>
    <w:rsid w:val="0239ADA7"/>
    <w:rsid w:val="0289364F"/>
    <w:rsid w:val="04FA5F6F"/>
    <w:rsid w:val="069B783E"/>
    <w:rsid w:val="0AE8AE0D"/>
    <w:rsid w:val="0B23E441"/>
    <w:rsid w:val="0BD46FAF"/>
    <w:rsid w:val="1051B184"/>
    <w:rsid w:val="116311AB"/>
    <w:rsid w:val="15C227BD"/>
    <w:rsid w:val="16E8AC46"/>
    <w:rsid w:val="1ACE13D7"/>
    <w:rsid w:val="1BEEED31"/>
    <w:rsid w:val="1C5A5F53"/>
    <w:rsid w:val="1C8E9FC8"/>
    <w:rsid w:val="1D5B27AC"/>
    <w:rsid w:val="20D323E3"/>
    <w:rsid w:val="2341031C"/>
    <w:rsid w:val="25639F72"/>
    <w:rsid w:val="2818B5C7"/>
    <w:rsid w:val="2B34A6C9"/>
    <w:rsid w:val="2D1F00A5"/>
    <w:rsid w:val="2F67515F"/>
    <w:rsid w:val="301E09EE"/>
    <w:rsid w:val="302F07E0"/>
    <w:rsid w:val="327B4D5C"/>
    <w:rsid w:val="3451EF08"/>
    <w:rsid w:val="35357577"/>
    <w:rsid w:val="35C2AF63"/>
    <w:rsid w:val="371EF405"/>
    <w:rsid w:val="37A1D042"/>
    <w:rsid w:val="394B6184"/>
    <w:rsid w:val="3B91CF04"/>
    <w:rsid w:val="3BB57191"/>
    <w:rsid w:val="3BE1841D"/>
    <w:rsid w:val="3F08E563"/>
    <w:rsid w:val="3F335DAC"/>
    <w:rsid w:val="40E3D9D7"/>
    <w:rsid w:val="4166E118"/>
    <w:rsid w:val="4228D226"/>
    <w:rsid w:val="42EBD0D1"/>
    <w:rsid w:val="4527CD09"/>
    <w:rsid w:val="459BABB0"/>
    <w:rsid w:val="45F805A3"/>
    <w:rsid w:val="468D0A61"/>
    <w:rsid w:val="46FB1D3A"/>
    <w:rsid w:val="47EFD89A"/>
    <w:rsid w:val="4A018244"/>
    <w:rsid w:val="4B9E3D01"/>
    <w:rsid w:val="4C023C71"/>
    <w:rsid w:val="4D5C104E"/>
    <w:rsid w:val="4E6DF2A6"/>
    <w:rsid w:val="4F1FDCEB"/>
    <w:rsid w:val="4F84EE5B"/>
    <w:rsid w:val="52890FBE"/>
    <w:rsid w:val="53032E23"/>
    <w:rsid w:val="53A3CBAD"/>
    <w:rsid w:val="545A3569"/>
    <w:rsid w:val="565904C6"/>
    <w:rsid w:val="571DCEEF"/>
    <w:rsid w:val="59597E67"/>
    <w:rsid w:val="5A4466B0"/>
    <w:rsid w:val="5BE3E21D"/>
    <w:rsid w:val="5DA184F3"/>
    <w:rsid w:val="5E888FBE"/>
    <w:rsid w:val="5EA2313B"/>
    <w:rsid w:val="5EBF8558"/>
    <w:rsid w:val="5FACCED2"/>
    <w:rsid w:val="60438E22"/>
    <w:rsid w:val="6080FD2D"/>
    <w:rsid w:val="62152B5E"/>
    <w:rsid w:val="626AADDF"/>
    <w:rsid w:val="62C914D0"/>
    <w:rsid w:val="6546A371"/>
    <w:rsid w:val="66DE2724"/>
    <w:rsid w:val="6988CF0C"/>
    <w:rsid w:val="698E25B8"/>
    <w:rsid w:val="6BC34227"/>
    <w:rsid w:val="6BFF6D70"/>
    <w:rsid w:val="6C6DBBB0"/>
    <w:rsid w:val="6D4AD305"/>
    <w:rsid w:val="6DD8BD5F"/>
    <w:rsid w:val="6F5A2411"/>
    <w:rsid w:val="6FAFC50C"/>
    <w:rsid w:val="6FCFCAC1"/>
    <w:rsid w:val="7004B309"/>
    <w:rsid w:val="748C6BAF"/>
    <w:rsid w:val="75602AF5"/>
    <w:rsid w:val="758CE47D"/>
    <w:rsid w:val="7637DB2B"/>
    <w:rsid w:val="778BE846"/>
    <w:rsid w:val="7A526E70"/>
    <w:rsid w:val="7B61EED3"/>
    <w:rsid w:val="7F723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B805A"/>
  <w15:chartTrackingRefBased/>
  <w15:docId w15:val="{BA52AA54-513B-469E-A753-66FB88C8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864"/>
    <w:rPr>
      <w:sz w:val="24"/>
      <w:szCs w:val="24"/>
      <w:lang w:val="es-ES" w:eastAsia="es-ES"/>
    </w:rPr>
  </w:style>
  <w:style w:type="paragraph" w:styleId="Ttulo1">
    <w:name w:val="heading 1"/>
    <w:basedOn w:val="Normal"/>
    <w:next w:val="Normal"/>
    <w:qFormat/>
    <w:rsid w:val="003547CA"/>
    <w:pPr>
      <w:keepNext/>
      <w:overflowPunct w:val="0"/>
      <w:autoSpaceDE w:val="0"/>
      <w:autoSpaceDN w:val="0"/>
      <w:adjustRightInd w:val="0"/>
      <w:jc w:val="both"/>
      <w:textAlignment w:val="baseline"/>
      <w:outlineLvl w:val="0"/>
    </w:pPr>
    <w:rPr>
      <w:rFonts w:ascii="Verdana" w:hAnsi="Verdana"/>
      <w:szCs w:val="20"/>
      <w:lang w:val="es-ES_tradnl"/>
    </w:rPr>
  </w:style>
  <w:style w:type="paragraph" w:styleId="Ttulo2">
    <w:name w:val="heading 2"/>
    <w:basedOn w:val="Normal"/>
    <w:next w:val="Normal"/>
    <w:qFormat/>
    <w:rsid w:val="003547CA"/>
    <w:pPr>
      <w:keepNext/>
      <w:overflowPunct w:val="0"/>
      <w:autoSpaceDE w:val="0"/>
      <w:autoSpaceDN w:val="0"/>
      <w:adjustRightInd w:val="0"/>
      <w:ind w:firstLine="2700"/>
      <w:jc w:val="both"/>
      <w:textAlignment w:val="baseline"/>
      <w:outlineLvl w:val="1"/>
    </w:pPr>
    <w:rPr>
      <w:rFonts w:ascii="Verdana" w:hAnsi="Verdana"/>
      <w:b/>
      <w:szCs w:val="20"/>
      <w:lang w:val="es-ES_tradnl"/>
    </w:rPr>
  </w:style>
  <w:style w:type="paragraph" w:styleId="Ttulo4">
    <w:name w:val="heading 4"/>
    <w:basedOn w:val="Normal"/>
    <w:next w:val="Normal"/>
    <w:link w:val="Ttulo4Car"/>
    <w:qFormat/>
    <w:rsid w:val="0040036D"/>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A91268"/>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12D5D"/>
    <w:pPr>
      <w:overflowPunct w:val="0"/>
      <w:autoSpaceDE w:val="0"/>
      <w:autoSpaceDN w:val="0"/>
      <w:adjustRightInd w:val="0"/>
      <w:spacing w:line="360" w:lineRule="auto"/>
      <w:jc w:val="both"/>
      <w:textAlignment w:val="baseline"/>
    </w:pPr>
    <w:rPr>
      <w:rFonts w:ascii="Courier New" w:hAnsi="Courier New"/>
      <w:szCs w:val="20"/>
      <w:lang w:val="es-MX"/>
    </w:rPr>
  </w:style>
  <w:style w:type="paragraph" w:styleId="Sangra2detindependiente">
    <w:name w:val="Body Text Indent 2"/>
    <w:basedOn w:val="Normal"/>
    <w:link w:val="Sangra2detindependienteCar"/>
    <w:rsid w:val="00412D5D"/>
    <w:pPr>
      <w:overflowPunct w:val="0"/>
      <w:autoSpaceDE w:val="0"/>
      <w:autoSpaceDN w:val="0"/>
      <w:adjustRightInd w:val="0"/>
      <w:spacing w:after="120" w:line="480" w:lineRule="auto"/>
      <w:ind w:left="283"/>
      <w:textAlignment w:val="baseline"/>
    </w:pPr>
    <w:rPr>
      <w:sz w:val="20"/>
      <w:szCs w:val="20"/>
    </w:rPr>
  </w:style>
  <w:style w:type="character" w:customStyle="1" w:styleId="TextoindependienteCar">
    <w:name w:val="Texto independiente Car"/>
    <w:link w:val="Textoindependiente"/>
    <w:rsid w:val="00412D5D"/>
    <w:rPr>
      <w:rFonts w:ascii="Courier New" w:hAnsi="Courier New"/>
      <w:sz w:val="24"/>
      <w:lang w:val="es-MX" w:eastAsia="es-ES" w:bidi="ar-SA"/>
    </w:rPr>
  </w:style>
  <w:style w:type="paragraph" w:styleId="Textoindependiente2">
    <w:name w:val="Body Text 2"/>
    <w:basedOn w:val="Normal"/>
    <w:link w:val="Textoindependiente2Car"/>
    <w:rsid w:val="00761920"/>
    <w:pPr>
      <w:spacing w:after="120" w:line="480" w:lineRule="auto"/>
    </w:pPr>
  </w:style>
  <w:style w:type="character" w:styleId="Refdenotaalpie">
    <w:name w:val="footnote reference"/>
    <w:aliases w:val="Texto de nota al pie,referencia nota al pie,Appel note de bas de page,Footnotes refss,Fago Fußnotenzeichen,Ref. de nota al pie 2,Footnote number,BVI fnr,Ref,de nota al pie,Nota a pie,Footnote symbol,Footnote,Char Car Car Car Ca,f,R"/>
    <w:link w:val="4GChar"/>
    <w:uiPriority w:val="99"/>
    <w:qFormat/>
    <w:rsid w:val="00761920"/>
    <w:rPr>
      <w:rFonts w:cs="Times New Roman"/>
      <w:vertAlign w:val="superscript"/>
    </w:rPr>
  </w:style>
  <w:style w:type="paragraph" w:styleId="Textonotapie">
    <w:name w:val="footnote text"/>
    <w:aliases w:val="Texto nota pie Car,Footnote Text Char Char Char Char Char,Footnote Text Char Char Char Char,Footnote reference,FA Fu,texto de nota al pie,Footnote Text Char Char Char,Footnote Text Char,Footnote Text Char Char Char Char Char Char Char Cha"/>
    <w:basedOn w:val="Normal"/>
    <w:link w:val="TextonotapieCar1"/>
    <w:uiPriority w:val="99"/>
    <w:qFormat/>
    <w:rsid w:val="00761920"/>
    <w:pPr>
      <w:widowControl w:val="0"/>
      <w:overflowPunct w:val="0"/>
      <w:autoSpaceDE w:val="0"/>
      <w:autoSpaceDN w:val="0"/>
      <w:adjustRightInd w:val="0"/>
      <w:jc w:val="both"/>
      <w:textAlignment w:val="baseline"/>
    </w:pPr>
    <w:rPr>
      <w:sz w:val="20"/>
      <w:szCs w:val="20"/>
      <w:lang w:val="es-ES_tradnl"/>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
    <w:link w:val="Textonotapie"/>
    <w:uiPriority w:val="99"/>
    <w:qFormat/>
    <w:locked/>
    <w:rsid w:val="00761920"/>
    <w:rPr>
      <w:lang w:val="es-ES_tradnl" w:eastAsia="es-ES" w:bidi="ar-SA"/>
    </w:rPr>
  </w:style>
  <w:style w:type="paragraph" w:customStyle="1" w:styleId="Car">
    <w:name w:val="Car"/>
    <w:basedOn w:val="Normal"/>
    <w:rsid w:val="00221114"/>
    <w:pPr>
      <w:spacing w:after="160" w:line="240" w:lineRule="exact"/>
    </w:pPr>
    <w:rPr>
      <w:noProof/>
      <w:color w:val="000000"/>
      <w:sz w:val="20"/>
      <w:szCs w:val="20"/>
      <w:lang w:val="en-US" w:eastAsia="en-US"/>
    </w:rPr>
  </w:style>
  <w:style w:type="character" w:customStyle="1" w:styleId="CarCar2">
    <w:name w:val="Car Car2"/>
    <w:rsid w:val="00234397"/>
    <w:rPr>
      <w:rFonts w:ascii="Courier New" w:hAnsi="Courier New"/>
      <w:sz w:val="24"/>
      <w:lang w:val="es-MX" w:eastAsia="es-ES" w:bidi="ar-SA"/>
    </w:rPr>
  </w:style>
  <w:style w:type="character" w:customStyle="1" w:styleId="CarCar4">
    <w:name w:val="Car Car4"/>
    <w:rsid w:val="0034103C"/>
    <w:rPr>
      <w:rFonts w:ascii="Courier New" w:hAnsi="Courier New"/>
      <w:sz w:val="24"/>
      <w:lang w:val="es-MX" w:eastAsia="es-ES" w:bidi="ar-SA"/>
    </w:rPr>
  </w:style>
  <w:style w:type="character" w:styleId="Hipervnculo">
    <w:name w:val="Hyperlink"/>
    <w:rsid w:val="00A916A9"/>
    <w:rPr>
      <w:color w:val="0000FF"/>
      <w:u w:val="single"/>
    </w:rPr>
  </w:style>
  <w:style w:type="character" w:customStyle="1" w:styleId="textonavy1">
    <w:name w:val="texto_navy1"/>
    <w:rsid w:val="00A916A9"/>
    <w:rPr>
      <w:color w:val="000080"/>
    </w:rPr>
  </w:style>
  <w:style w:type="character" w:customStyle="1" w:styleId="Sangra2detindependienteCar">
    <w:name w:val="Sangría 2 de t. independiente Car"/>
    <w:link w:val="Sangra2detindependiente"/>
    <w:rsid w:val="006015C5"/>
    <w:rPr>
      <w:lang w:val="es-ES" w:eastAsia="es-ES" w:bidi="ar-SA"/>
    </w:rPr>
  </w:style>
  <w:style w:type="character" w:customStyle="1" w:styleId="Ttulo4Car">
    <w:name w:val="Título 4 Car"/>
    <w:link w:val="Ttulo4"/>
    <w:semiHidden/>
    <w:rsid w:val="0040036D"/>
    <w:rPr>
      <w:rFonts w:ascii="Calibri" w:eastAsia="Times New Roman" w:hAnsi="Calibri" w:cs="Times New Roman"/>
      <w:b/>
      <w:bCs/>
      <w:sz w:val="28"/>
      <w:szCs w:val="28"/>
      <w:lang w:val="es-ES" w:eastAsia="es-ES"/>
    </w:rPr>
  </w:style>
  <w:style w:type="character" w:customStyle="1" w:styleId="Textoindependiente2Car">
    <w:name w:val="Texto independiente 2 Car"/>
    <w:link w:val="Textoindependiente2"/>
    <w:rsid w:val="0040036D"/>
    <w:rPr>
      <w:sz w:val="24"/>
      <w:szCs w:val="24"/>
      <w:lang w:val="es-ES" w:eastAsia="es-ES"/>
    </w:rPr>
  </w:style>
  <w:style w:type="character" w:styleId="nfasis">
    <w:name w:val="Emphasis"/>
    <w:qFormat/>
    <w:rsid w:val="009F0449"/>
    <w:rPr>
      <w:i/>
      <w:iCs/>
    </w:rPr>
  </w:style>
  <w:style w:type="paragraph" w:customStyle="1" w:styleId="unico">
    <w:name w:val="unico"/>
    <w:basedOn w:val="Normal"/>
    <w:rsid w:val="00AE7F08"/>
    <w:pPr>
      <w:spacing w:before="100" w:beforeAutospacing="1" w:after="100" w:afterAutospacing="1"/>
    </w:pPr>
  </w:style>
  <w:style w:type="paragraph" w:customStyle="1" w:styleId="cuerpo">
    <w:name w:val="cuerpo"/>
    <w:basedOn w:val="Normal"/>
    <w:rsid w:val="00AE7F08"/>
    <w:pPr>
      <w:spacing w:before="100" w:beforeAutospacing="1" w:after="100" w:afterAutospacing="1"/>
    </w:pPr>
  </w:style>
  <w:style w:type="paragraph" w:styleId="NormalWeb">
    <w:name w:val="Normal (Web)"/>
    <w:basedOn w:val="Normal"/>
    <w:rsid w:val="00056373"/>
    <w:pPr>
      <w:spacing w:before="100" w:beforeAutospacing="1" w:after="100" w:afterAutospacing="1"/>
    </w:pPr>
  </w:style>
  <w:style w:type="paragraph" w:styleId="Textodeglobo">
    <w:name w:val="Balloon Text"/>
    <w:basedOn w:val="Normal"/>
    <w:link w:val="TextodegloboCar"/>
    <w:rsid w:val="00D8317C"/>
    <w:rPr>
      <w:rFonts w:ascii="Segoe UI" w:hAnsi="Segoe UI" w:cs="Segoe UI"/>
      <w:sz w:val="18"/>
      <w:szCs w:val="18"/>
    </w:rPr>
  </w:style>
  <w:style w:type="character" w:customStyle="1" w:styleId="TextodegloboCar">
    <w:name w:val="Texto de globo Car"/>
    <w:link w:val="Textodeglobo"/>
    <w:rsid w:val="00D8317C"/>
    <w:rPr>
      <w:rFonts w:ascii="Segoe UI" w:hAnsi="Segoe UI" w:cs="Segoe UI"/>
      <w:sz w:val="18"/>
      <w:szCs w:val="18"/>
    </w:rPr>
  </w:style>
  <w:style w:type="paragraph" w:styleId="Prrafodelista">
    <w:name w:val="List Paragraph"/>
    <w:aliases w:val="Colorful List - Accent 11,Ha,List Paragraph1,lp1,List Paragraph2"/>
    <w:basedOn w:val="Normal"/>
    <w:link w:val="PrrafodelistaCar"/>
    <w:uiPriority w:val="34"/>
    <w:qFormat/>
    <w:rsid w:val="002C4C6A"/>
    <w:pPr>
      <w:ind w:left="708"/>
    </w:pPr>
  </w:style>
  <w:style w:type="character" w:customStyle="1" w:styleId="Refdenotaalpie1Car">
    <w:name w:val="Ref. de nota al pie1 Car"/>
    <w:aliases w:val="Texto de nota al pie Car,referencia nota al pie Car,Footnotes refss Car,Appel note de bas de page Car,Fago Fußnotenzeichen Car"/>
    <w:uiPriority w:val="99"/>
    <w:locked/>
    <w:rsid w:val="00DC20F6"/>
    <w:rPr>
      <w:rFonts w:eastAsia="Times New Roman"/>
      <w:lang w:val="es-ES" w:eastAsia="es-ES"/>
    </w:rPr>
  </w:style>
  <w:style w:type="character" w:customStyle="1" w:styleId="apple-converted-space">
    <w:name w:val="apple-converted-space"/>
    <w:rsid w:val="00DC20F6"/>
  </w:style>
  <w:style w:type="character" w:customStyle="1" w:styleId="apple-style-span">
    <w:name w:val="apple-style-span"/>
    <w:rsid w:val="00F5364F"/>
  </w:style>
  <w:style w:type="paragraph" w:customStyle="1" w:styleId="msolistparagraph0">
    <w:name w:val="msolistparagraph"/>
    <w:basedOn w:val="Normal"/>
    <w:rsid w:val="00F5364F"/>
    <w:pPr>
      <w:spacing w:before="100" w:beforeAutospacing="1" w:after="100" w:afterAutospacing="1"/>
    </w:pPr>
    <w:rPr>
      <w:rFonts w:eastAsia="MS Minngs"/>
    </w:rPr>
  </w:style>
  <w:style w:type="paragraph" w:customStyle="1" w:styleId="Textoindependiente21">
    <w:name w:val="Texto independiente 21"/>
    <w:basedOn w:val="Normal"/>
    <w:rsid w:val="00F5364F"/>
    <w:pPr>
      <w:overflowPunct w:val="0"/>
      <w:autoSpaceDE w:val="0"/>
      <w:autoSpaceDN w:val="0"/>
      <w:adjustRightInd w:val="0"/>
      <w:spacing w:line="360" w:lineRule="auto"/>
      <w:ind w:firstLine="2835"/>
      <w:jc w:val="both"/>
      <w:textAlignment w:val="baseline"/>
    </w:pPr>
    <w:rPr>
      <w:rFonts w:ascii="Verdana" w:hAnsi="Verdana"/>
      <w:szCs w:val="20"/>
    </w:rPr>
  </w:style>
  <w:style w:type="paragraph" w:styleId="Textocomentario">
    <w:name w:val="annotation text"/>
    <w:basedOn w:val="Normal"/>
    <w:link w:val="TextocomentarioCar"/>
    <w:rPr>
      <w:sz w:val="20"/>
      <w:szCs w:val="20"/>
    </w:rPr>
  </w:style>
  <w:style w:type="character" w:customStyle="1" w:styleId="TextocomentarioCar">
    <w:name w:val="Texto comentario Car"/>
    <w:basedOn w:val="Fuentedeprrafopredeter"/>
    <w:link w:val="Textocomentario"/>
    <w:rPr>
      <w:lang w:val="es-ES" w:eastAsia="es-ES"/>
    </w:rPr>
  </w:style>
  <w:style w:type="character" w:styleId="Refdecomentario">
    <w:name w:val="annotation reference"/>
    <w:basedOn w:val="Fuentedeprrafopredeter"/>
    <w:rPr>
      <w:sz w:val="16"/>
      <w:szCs w:val="16"/>
    </w:rPr>
  </w:style>
  <w:style w:type="character" w:customStyle="1" w:styleId="Mencinsinresolver1">
    <w:name w:val="Mención sin resolver1"/>
    <w:basedOn w:val="Fuentedeprrafopredeter"/>
    <w:uiPriority w:val="99"/>
    <w:semiHidden/>
    <w:unhideWhenUsed/>
    <w:rsid w:val="00A92DF7"/>
    <w:rPr>
      <w:color w:val="605E5C"/>
      <w:shd w:val="clear" w:color="auto" w:fill="E1DFDD"/>
    </w:rPr>
  </w:style>
  <w:style w:type="character" w:customStyle="1" w:styleId="Ttulo5Car">
    <w:name w:val="Título 5 Car"/>
    <w:basedOn w:val="Fuentedeprrafopredeter"/>
    <w:link w:val="Ttulo5"/>
    <w:semiHidden/>
    <w:rsid w:val="00A91268"/>
    <w:rPr>
      <w:rFonts w:asciiTheme="majorHAnsi" w:eastAsiaTheme="majorEastAsia" w:hAnsiTheme="majorHAnsi" w:cstheme="majorBidi"/>
      <w:color w:val="2E74B5" w:themeColor="accent1" w:themeShade="BF"/>
      <w:sz w:val="24"/>
      <w:szCs w:val="24"/>
      <w:lang w:val="es-ES" w:eastAsia="es-ES"/>
    </w:rPr>
  </w:style>
  <w:style w:type="paragraph" w:styleId="Sinespaciado">
    <w:name w:val="No Spacing"/>
    <w:uiPriority w:val="1"/>
    <w:qFormat/>
    <w:rsid w:val="0018028D"/>
    <w:pPr>
      <w:overflowPunct w:val="0"/>
      <w:autoSpaceDE w:val="0"/>
      <w:autoSpaceDN w:val="0"/>
      <w:adjustRightInd w:val="0"/>
      <w:textAlignment w:val="baseline"/>
    </w:pPr>
    <w:rPr>
      <w:lang w:val="es-ES" w:eastAsia="es-ES"/>
    </w:rPr>
  </w:style>
  <w:style w:type="character" w:customStyle="1" w:styleId="PrrafodelistaCar">
    <w:name w:val="Párrafo de lista Car"/>
    <w:aliases w:val="Colorful List - Accent 11 Car,Ha Car,List Paragraph1 Car,lp1 Car,List Paragraph2 Car"/>
    <w:link w:val="Prrafodelista"/>
    <w:uiPriority w:val="34"/>
    <w:locked/>
    <w:rsid w:val="006813F6"/>
    <w:rPr>
      <w:sz w:val="24"/>
      <w:szCs w:val="24"/>
      <w:lang w:val="es-ES" w:eastAsia="es-ES"/>
    </w:rPr>
  </w:style>
  <w:style w:type="paragraph" w:styleId="Encabezado">
    <w:name w:val="header"/>
    <w:basedOn w:val="Normal"/>
    <w:link w:val="EncabezadoCar"/>
    <w:uiPriority w:val="99"/>
    <w:rsid w:val="00A963F6"/>
    <w:pPr>
      <w:tabs>
        <w:tab w:val="center" w:pos="4419"/>
        <w:tab w:val="right" w:pos="8838"/>
      </w:tabs>
    </w:pPr>
  </w:style>
  <w:style w:type="character" w:customStyle="1" w:styleId="EncabezadoCar">
    <w:name w:val="Encabezado Car"/>
    <w:basedOn w:val="Fuentedeprrafopredeter"/>
    <w:link w:val="Encabezado"/>
    <w:uiPriority w:val="99"/>
    <w:rsid w:val="00A963F6"/>
    <w:rPr>
      <w:sz w:val="24"/>
      <w:szCs w:val="24"/>
      <w:lang w:val="es-ES" w:eastAsia="es-ES"/>
    </w:rPr>
  </w:style>
  <w:style w:type="paragraph" w:styleId="Piedepgina">
    <w:name w:val="footer"/>
    <w:basedOn w:val="Normal"/>
    <w:link w:val="PiedepginaCar"/>
    <w:rsid w:val="00A963F6"/>
    <w:pPr>
      <w:tabs>
        <w:tab w:val="center" w:pos="4419"/>
        <w:tab w:val="right" w:pos="8838"/>
      </w:tabs>
    </w:pPr>
  </w:style>
  <w:style w:type="character" w:customStyle="1" w:styleId="PiedepginaCar">
    <w:name w:val="Pie de página Car"/>
    <w:basedOn w:val="Fuentedeprrafopredeter"/>
    <w:link w:val="Piedepgina"/>
    <w:rsid w:val="00A963F6"/>
    <w:rPr>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B5BFD"/>
    <w:rPr>
      <w:sz w:val="20"/>
      <w:szCs w:val="20"/>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4198">
      <w:bodyDiv w:val="1"/>
      <w:marLeft w:val="0"/>
      <w:marRight w:val="0"/>
      <w:marTop w:val="0"/>
      <w:marBottom w:val="0"/>
      <w:divBdr>
        <w:top w:val="none" w:sz="0" w:space="0" w:color="auto"/>
        <w:left w:val="none" w:sz="0" w:space="0" w:color="auto"/>
        <w:bottom w:val="none" w:sz="0" w:space="0" w:color="auto"/>
        <w:right w:val="none" w:sz="0" w:space="0" w:color="auto"/>
      </w:divBdr>
    </w:div>
    <w:div w:id="602149991">
      <w:bodyDiv w:val="1"/>
      <w:marLeft w:val="0"/>
      <w:marRight w:val="0"/>
      <w:marTop w:val="0"/>
      <w:marBottom w:val="0"/>
      <w:divBdr>
        <w:top w:val="none" w:sz="0" w:space="0" w:color="auto"/>
        <w:left w:val="none" w:sz="0" w:space="0" w:color="auto"/>
        <w:bottom w:val="none" w:sz="0" w:space="0" w:color="auto"/>
        <w:right w:val="none" w:sz="0" w:space="0" w:color="auto"/>
      </w:divBdr>
    </w:div>
    <w:div w:id="1951744584">
      <w:bodyDiv w:val="1"/>
      <w:marLeft w:val="0"/>
      <w:marRight w:val="0"/>
      <w:marTop w:val="0"/>
      <w:marBottom w:val="0"/>
      <w:divBdr>
        <w:top w:val="none" w:sz="0" w:space="0" w:color="auto"/>
        <w:left w:val="none" w:sz="0" w:space="0" w:color="auto"/>
        <w:bottom w:val="none" w:sz="0" w:space="0" w:color="auto"/>
        <w:right w:val="none" w:sz="0" w:space="0" w:color="auto"/>
      </w:divBdr>
    </w:div>
    <w:div w:id="199957639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9580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bd327b35e939470d"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01869-6EB4-471F-836B-60B093E9C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FE41F-5410-4CBC-B6AC-7FA471C1983E}">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3D8AA3C4-0D64-47DB-9D2F-BCA374671C6E}">
  <ds:schemaRefs>
    <ds:schemaRef ds:uri="http://schemas.microsoft.com/sharepoint/v3/contenttype/forms"/>
  </ds:schemaRefs>
</ds:datastoreItem>
</file>

<file path=customXml/itemProps4.xml><?xml version="1.0" encoding="utf-8"?>
<ds:datastoreItem xmlns:ds="http://schemas.openxmlformats.org/officeDocument/2006/customXml" ds:itemID="{D3DF8A5E-7F76-4B7F-90F3-9B489A76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2842</Words>
  <Characters>16202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jsarazan</dc:creator>
  <cp:keywords/>
  <cp:lastModifiedBy>samsung</cp:lastModifiedBy>
  <cp:revision>8</cp:revision>
  <cp:lastPrinted>2019-05-31T20:19:00Z</cp:lastPrinted>
  <dcterms:created xsi:type="dcterms:W3CDTF">2023-07-24T20:07:00Z</dcterms:created>
  <dcterms:modified xsi:type="dcterms:W3CDTF">2023-09-11T17:42:00Z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