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323AB43" w14:textId="77777777" w:rsidR="00313E37" w:rsidRPr="00DA5B33" w:rsidRDefault="00313E37" w:rsidP="00313E37">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sidRPr="00DA5B33">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47CE3765" w14:textId="77777777" w:rsidR="00F82CC9" w:rsidRDefault="00F82CC9" w:rsidP="00313E37">
      <w:pPr>
        <w:pStyle w:val="Sinespaciado"/>
        <w:jc w:val="both"/>
        <w:rPr>
          <w:rFonts w:ascii="Georgia" w:hAnsi="Georgia" w:cs="Arial"/>
          <w:w w:val="140"/>
          <w:sz w:val="16"/>
          <w:szCs w:val="16"/>
          <w:lang w:val="es-CO"/>
        </w:rPr>
      </w:pPr>
    </w:p>
    <w:p w14:paraId="423E04D7" w14:textId="77777777" w:rsidR="00F82CC9" w:rsidRDefault="00F82CC9" w:rsidP="00313E37">
      <w:pPr>
        <w:pStyle w:val="Sinespaciado"/>
        <w:jc w:val="both"/>
        <w:rPr>
          <w:rFonts w:ascii="Georgia" w:hAnsi="Georgia" w:cs="Arial"/>
          <w:w w:val="140"/>
          <w:sz w:val="16"/>
          <w:szCs w:val="16"/>
          <w:lang w:val="es-CO"/>
        </w:rPr>
      </w:pPr>
    </w:p>
    <w:p w14:paraId="72202D91" w14:textId="77777777" w:rsidR="00F82CC9" w:rsidRDefault="00F82CC9" w:rsidP="00313E37">
      <w:pPr>
        <w:pStyle w:val="Sinespaciado"/>
        <w:jc w:val="both"/>
        <w:rPr>
          <w:rFonts w:ascii="Georgia" w:hAnsi="Georgia" w:cs="Arial"/>
          <w:w w:val="140"/>
          <w:sz w:val="16"/>
          <w:szCs w:val="16"/>
          <w:lang w:val="es-CO"/>
        </w:rPr>
      </w:pPr>
    </w:p>
    <w:p w14:paraId="55C8A50E" w14:textId="77777777" w:rsidR="00313E37" w:rsidRDefault="00F82CC9" w:rsidP="00313E37">
      <w:pPr>
        <w:pStyle w:val="Sinespaciado"/>
        <w:jc w:val="both"/>
        <w:rPr>
          <w:rFonts w:ascii="Georgia" w:hAnsi="Georgia" w:cs="Arial"/>
          <w:kern w:val="28"/>
          <w:sz w:val="28"/>
          <w:szCs w:val="28"/>
        </w:rPr>
      </w:pPr>
      <w:r w:rsidRPr="00F82CC9">
        <w:rPr>
          <w:rFonts w:ascii="Arial" w:eastAsia="Georgia" w:hAnsi="Arial" w:cs="Arial"/>
          <w:b/>
          <w:bCs/>
          <w:kern w:val="28"/>
          <w:sz w:val="20"/>
          <w:szCs w:val="24"/>
          <w:lang w:val="es-CO"/>
        </w:rPr>
        <w:t xml:space="preserve">RECURSOS </w:t>
      </w:r>
      <w:r>
        <w:rPr>
          <w:rFonts w:ascii="Arial" w:eastAsia="Georgia" w:hAnsi="Arial" w:cs="Arial"/>
          <w:b/>
          <w:bCs/>
          <w:kern w:val="28"/>
          <w:sz w:val="20"/>
          <w:szCs w:val="24"/>
          <w:lang w:val="es-CO"/>
        </w:rPr>
        <w:t>/</w:t>
      </w:r>
      <w:r w:rsidRPr="00F82CC9">
        <w:rPr>
          <w:rFonts w:ascii="Arial" w:eastAsia="Georgia" w:hAnsi="Arial" w:cs="Arial"/>
          <w:b/>
          <w:bCs/>
          <w:kern w:val="28"/>
          <w:sz w:val="20"/>
          <w:szCs w:val="24"/>
          <w:lang w:val="es-CO"/>
        </w:rPr>
        <w:t xml:space="preserve"> RECURSO DE APELACIÓN</w:t>
      </w:r>
      <w:r>
        <w:rPr>
          <w:rFonts w:ascii="Arial" w:eastAsia="Georgia" w:hAnsi="Arial" w:cs="Arial"/>
          <w:b/>
          <w:bCs/>
          <w:kern w:val="28"/>
          <w:sz w:val="20"/>
          <w:szCs w:val="24"/>
          <w:lang w:val="es-CO"/>
        </w:rPr>
        <w:t xml:space="preserve"> /</w:t>
      </w:r>
      <w:r w:rsidR="00E46E1E">
        <w:rPr>
          <w:rFonts w:ascii="Arial" w:eastAsia="Georgia" w:hAnsi="Arial" w:cs="Arial"/>
          <w:b/>
          <w:bCs/>
          <w:kern w:val="28"/>
          <w:sz w:val="20"/>
          <w:szCs w:val="24"/>
          <w:lang w:val="es-CO"/>
        </w:rPr>
        <w:t xml:space="preserve"> TERMINACION DEL PROCESO / </w:t>
      </w:r>
      <w:r w:rsidR="00E46E1E" w:rsidRPr="00E46E1E">
        <w:rPr>
          <w:rFonts w:ascii="Arial" w:eastAsia="Georgia" w:hAnsi="Arial" w:cs="Arial"/>
          <w:b/>
          <w:bCs/>
          <w:kern w:val="28"/>
          <w:sz w:val="20"/>
          <w:szCs w:val="24"/>
          <w:lang w:val="es-CO"/>
        </w:rPr>
        <w:t>DESISTIMIENTO TÁCITO</w:t>
      </w:r>
      <w:r w:rsidR="00E46E1E">
        <w:rPr>
          <w:rFonts w:ascii="Georgia" w:hAnsi="Georgia" w:cs="Arial"/>
          <w:kern w:val="28"/>
          <w:sz w:val="28"/>
          <w:szCs w:val="28"/>
        </w:rPr>
        <w:t xml:space="preserve"> </w:t>
      </w:r>
    </w:p>
    <w:p w14:paraId="1DEBF796" w14:textId="72DE50A4" w:rsidR="00E46E1E" w:rsidRDefault="00E46E1E" w:rsidP="00313E37">
      <w:pPr>
        <w:pStyle w:val="Sinespaciado"/>
        <w:jc w:val="both"/>
        <w:rPr>
          <w:rFonts w:ascii="Arial" w:eastAsia="Georgia" w:hAnsi="Arial" w:cs="Arial"/>
          <w:kern w:val="28"/>
          <w:sz w:val="20"/>
          <w:szCs w:val="24"/>
          <w:lang w:val="es-CO"/>
        </w:rPr>
      </w:pPr>
      <w:r w:rsidRPr="00313E37">
        <w:rPr>
          <w:rFonts w:ascii="Arial" w:eastAsia="Georgia" w:hAnsi="Arial" w:cs="Arial"/>
          <w:i/>
          <w:kern w:val="28"/>
          <w:sz w:val="20"/>
          <w:szCs w:val="24"/>
          <w:lang w:val="es-CO"/>
        </w:rPr>
        <w:t>Debe resolverse como problema jurídico si el Juzgado Segundo Civil del Circuito de Pereira, R., podía declarar la terminación anticipada del proceso de referencia por desistimiento tácito, al no cumplirse la carga que impuso a la demandante dentro del término co</w:t>
      </w:r>
      <w:bookmarkStart w:id="1" w:name="_GoBack"/>
      <w:bookmarkEnd w:id="1"/>
      <w:r w:rsidRPr="00313E37">
        <w:rPr>
          <w:rFonts w:ascii="Arial" w:eastAsia="Georgia" w:hAnsi="Arial" w:cs="Arial"/>
          <w:i/>
          <w:kern w:val="28"/>
          <w:sz w:val="20"/>
          <w:szCs w:val="24"/>
          <w:lang w:val="es-CO"/>
        </w:rPr>
        <w:t>ncedido, o si, por el contrario, se debe revocar dicha providencia por incurrir un excesivo rigor procedimental.</w:t>
      </w:r>
    </w:p>
    <w:p w14:paraId="60F16975" w14:textId="13CC2FC5" w:rsidR="00E46E1E" w:rsidRDefault="00E46E1E" w:rsidP="00313E37">
      <w:pPr>
        <w:pStyle w:val="Sinespaciado"/>
        <w:jc w:val="both"/>
        <w:rPr>
          <w:rFonts w:ascii="Arial" w:eastAsia="Georgia" w:hAnsi="Arial" w:cs="Arial"/>
          <w:kern w:val="28"/>
          <w:sz w:val="20"/>
          <w:szCs w:val="24"/>
          <w:lang w:val="es-CO"/>
        </w:rPr>
      </w:pPr>
    </w:p>
    <w:p w14:paraId="15200A6D" w14:textId="77777777" w:rsidR="001420B3" w:rsidRDefault="001420B3" w:rsidP="00313E37">
      <w:pPr>
        <w:pStyle w:val="Sinespaciado"/>
        <w:jc w:val="both"/>
        <w:rPr>
          <w:rFonts w:ascii="Arial" w:eastAsia="Georgia" w:hAnsi="Arial" w:cs="Arial"/>
          <w:b/>
          <w:bCs/>
          <w:kern w:val="28"/>
          <w:sz w:val="20"/>
          <w:szCs w:val="24"/>
          <w:lang w:val="es-CO"/>
        </w:rPr>
      </w:pPr>
      <w:r w:rsidRPr="001420B3">
        <w:rPr>
          <w:rFonts w:ascii="Arial" w:eastAsia="Georgia" w:hAnsi="Arial" w:cs="Arial"/>
          <w:b/>
          <w:bCs/>
          <w:kern w:val="28"/>
          <w:sz w:val="20"/>
          <w:szCs w:val="24"/>
          <w:lang w:val="es-CO"/>
        </w:rPr>
        <w:t>PROCEDIMIENTO CIVIL / DEFECTO PROCEDIMENTAL / EXCESO RITUAL MANIFIESTO</w:t>
      </w:r>
    </w:p>
    <w:p w14:paraId="1B514AD9" w14:textId="62B91EC5" w:rsidR="00E46E1E" w:rsidRPr="00313E37" w:rsidRDefault="001420B3" w:rsidP="00313E37">
      <w:pPr>
        <w:pStyle w:val="Sinespaciado"/>
        <w:jc w:val="both"/>
        <w:rPr>
          <w:rFonts w:ascii="Arial" w:eastAsia="Georgia" w:hAnsi="Arial" w:cs="Arial"/>
          <w:b/>
          <w:bCs/>
          <w:i/>
          <w:kern w:val="28"/>
          <w:sz w:val="20"/>
          <w:szCs w:val="24"/>
          <w:lang w:val="es-CO"/>
        </w:rPr>
      </w:pPr>
      <w:r w:rsidRPr="00313E37">
        <w:rPr>
          <w:rFonts w:ascii="Arial" w:eastAsia="Georgia" w:hAnsi="Arial" w:cs="Arial"/>
          <w:i/>
          <w:kern w:val="28"/>
          <w:sz w:val="20"/>
          <w:szCs w:val="24"/>
          <w:lang w:val="es-CO"/>
        </w:rPr>
        <w:t>Dentro del caso concreto, el Juzgado Segundo Civil del Circuito de Pereira, R., no incurrió en un exceso ritual manifiesto ni aplicó con extremo rigor los artículos 291 ni 317 del C.G.P., entendiendo, conforme a lo mencionado en líneas anteriores, que el acto de la notificación personal del auto admisorio involucra la protección de derechos fundamentales de la parte demandada que el funcionario judicial está llamado garantizar</w:t>
      </w:r>
      <w:r w:rsidR="00313E37" w:rsidRPr="00313E37">
        <w:rPr>
          <w:rFonts w:ascii="Arial" w:eastAsia="Georgia" w:hAnsi="Arial" w:cs="Arial"/>
          <w:i/>
          <w:kern w:val="28"/>
          <w:sz w:val="20"/>
          <w:szCs w:val="24"/>
          <w:lang w:val="es-CO"/>
        </w:rPr>
        <w:t>.</w:t>
      </w:r>
    </w:p>
    <w:p w14:paraId="5247BDD3" w14:textId="77777777" w:rsidR="00F82CC9" w:rsidRDefault="00F82CC9" w:rsidP="00042BDB">
      <w:pPr>
        <w:pStyle w:val="Sinespaciado"/>
        <w:spacing w:line="360" w:lineRule="auto"/>
        <w:jc w:val="both"/>
        <w:rPr>
          <w:rFonts w:ascii="Georgia" w:hAnsi="Georgia" w:cs="Arial"/>
          <w:w w:val="140"/>
          <w:sz w:val="16"/>
          <w:szCs w:val="16"/>
          <w:lang w:val="es-CO"/>
        </w:rPr>
      </w:pPr>
    </w:p>
    <w:p w14:paraId="295DE027" w14:textId="77777777" w:rsidR="00F82CC9" w:rsidRDefault="00F82CC9" w:rsidP="00042BDB">
      <w:pPr>
        <w:pStyle w:val="Sinespaciado"/>
        <w:spacing w:line="360" w:lineRule="auto"/>
        <w:jc w:val="both"/>
        <w:rPr>
          <w:rFonts w:ascii="Georgia" w:hAnsi="Georgia" w:cs="Arial"/>
          <w:w w:val="140"/>
          <w:sz w:val="16"/>
          <w:szCs w:val="16"/>
          <w:lang w:val="es-CO"/>
        </w:rPr>
      </w:pPr>
    </w:p>
    <w:p w14:paraId="700C3F70" w14:textId="254A2AEF" w:rsidR="00042BDB" w:rsidRPr="0035024B" w:rsidRDefault="00042BDB" w:rsidP="00042BDB">
      <w:pPr>
        <w:pStyle w:val="Sinespaciado"/>
        <w:spacing w:line="360" w:lineRule="auto"/>
        <w:jc w:val="both"/>
        <w:rPr>
          <w:rFonts w:ascii="Georgia" w:hAnsi="Georgia" w:cs="Arial"/>
          <w:w w:val="140"/>
          <w:sz w:val="16"/>
          <w:szCs w:val="16"/>
          <w:lang w:val="es-CO"/>
        </w:rPr>
      </w:pPr>
      <w:r>
        <w:rPr>
          <w:noProof/>
        </w:rPr>
        <w:drawing>
          <wp:inline distT="0" distB="0" distL="0" distR="0" wp14:anchorId="72F49E33" wp14:editId="23290E28">
            <wp:extent cx="1667934" cy="43861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3695" cy="505869"/>
                    </a:xfrm>
                    <a:prstGeom prst="rect">
                      <a:avLst/>
                    </a:prstGeom>
                    <a:noFill/>
                    <a:ln>
                      <a:noFill/>
                    </a:ln>
                  </pic:spPr>
                </pic:pic>
              </a:graphicData>
            </a:graphic>
          </wp:inline>
        </w:drawing>
      </w:r>
      <w:bookmarkStart w:id="2" w:name="_Hlk163294374"/>
    </w:p>
    <w:bookmarkEnd w:id="2"/>
    <w:p w14:paraId="11D074FF" w14:textId="142C0286" w:rsidR="00042BDB" w:rsidRDefault="00364DE1" w:rsidP="5888095E">
      <w:pPr>
        <w:pStyle w:val="Textoindependiente"/>
        <w:spacing w:line="360" w:lineRule="auto"/>
        <w:jc w:val="center"/>
        <w:rPr>
          <w:rFonts w:ascii="Georgia" w:hAnsi="Georgia" w:cs="Arial"/>
          <w:sz w:val="22"/>
          <w:szCs w:val="22"/>
          <w:lang w:val="es-CO"/>
        </w:rPr>
      </w:pPr>
      <w:r w:rsidRPr="00B44318">
        <w:rPr>
          <w:rFonts w:ascii="Georgia" w:hAnsi="Georgia" w:cs="Arial"/>
          <w:noProof/>
          <w:sz w:val="22"/>
          <w:szCs w:val="22"/>
          <w:lang w:val="es-CO"/>
        </w:rPr>
        <w:drawing>
          <wp:inline distT="0" distB="0" distL="0" distR="0" wp14:anchorId="77697929" wp14:editId="245A19B9">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73" cy="955715"/>
                    </a:xfrm>
                    <a:prstGeom prst="rect">
                      <a:avLst/>
                    </a:prstGeom>
                  </pic:spPr>
                </pic:pic>
              </a:graphicData>
            </a:graphic>
          </wp:inline>
        </w:drawing>
      </w:r>
    </w:p>
    <w:bookmarkEnd w:id="0"/>
    <w:p w14:paraId="4C21D6D6" w14:textId="77777777" w:rsidR="00A62F05" w:rsidRPr="00A62F05" w:rsidRDefault="00A62F05" w:rsidP="00042BDB">
      <w:pPr>
        <w:pStyle w:val="Textoindependiente"/>
        <w:spacing w:line="360" w:lineRule="auto"/>
        <w:jc w:val="center"/>
        <w:rPr>
          <w:rFonts w:ascii="Georgia" w:hAnsi="Georgia" w:cs="Arial"/>
          <w:smallCaps/>
          <w:color w:val="0000FF"/>
          <w:sz w:val="12"/>
          <w:szCs w:val="22"/>
          <w:lang w:val="es-CO"/>
        </w:rPr>
      </w:pPr>
    </w:p>
    <w:p w14:paraId="310E795B" w14:textId="34242DCB" w:rsidR="001F574D" w:rsidRDefault="001F574D" w:rsidP="003C2B50">
      <w:pPr>
        <w:pStyle w:val="Textoindependiente"/>
        <w:spacing w:line="360" w:lineRule="auto"/>
        <w:jc w:val="center"/>
        <w:rPr>
          <w:rFonts w:ascii="Georgia" w:hAnsi="Georgia" w:cs="Arial"/>
          <w:sz w:val="16"/>
          <w:szCs w:val="32"/>
          <w:lang w:val="es-CO"/>
        </w:rPr>
      </w:pPr>
    </w:p>
    <w:p w14:paraId="7A6678F3" w14:textId="728833E7" w:rsidR="00A25A5B" w:rsidRPr="00A25A5B" w:rsidRDefault="00595A66" w:rsidP="003C2B50">
      <w:pPr>
        <w:pStyle w:val="Textoindependiente"/>
        <w:spacing w:line="360" w:lineRule="auto"/>
        <w:jc w:val="center"/>
        <w:rPr>
          <w:rFonts w:ascii="Georgia" w:hAnsi="Georgia" w:cs="Arial"/>
          <w:color w:val="FF0000"/>
          <w:sz w:val="28"/>
          <w:lang w:val="es-CO"/>
        </w:rPr>
      </w:pPr>
      <w:r>
        <w:rPr>
          <w:rFonts w:ascii="Georgia" w:hAnsi="Georgia" w:cs="Arial"/>
          <w:smallCaps/>
          <w:color w:val="0000FF"/>
          <w:sz w:val="28"/>
          <w:lang w:val="es-CO"/>
        </w:rPr>
        <w:t>ac-0152-2024</w:t>
      </w:r>
    </w:p>
    <w:p w14:paraId="7CDCB5DA" w14:textId="148766D7" w:rsidR="008F7ADB" w:rsidRPr="00F666B3" w:rsidRDefault="00D30890" w:rsidP="04DAA6AA">
      <w:pPr>
        <w:pStyle w:val="Textoindependiente"/>
        <w:spacing w:line="360" w:lineRule="auto"/>
        <w:ind w:left="708" w:firstLine="708"/>
        <w:rPr>
          <w:rFonts w:ascii="Georgia" w:hAnsi="Georgia" w:cs="Arial"/>
          <w:smallCaps/>
          <w:sz w:val="22"/>
          <w:szCs w:val="22"/>
          <w:lang w:val="es-CO"/>
        </w:rPr>
      </w:pPr>
      <w:r w:rsidRPr="00F666B3">
        <w:rPr>
          <w:rFonts w:ascii="Georgia" w:hAnsi="Georgia" w:cs="Arial"/>
          <w:smallCaps/>
          <w:sz w:val="22"/>
          <w:szCs w:val="22"/>
          <w:lang w:val="es-CO"/>
        </w:rPr>
        <w:t>Asunto</w:t>
      </w:r>
      <w:r w:rsidRPr="00F666B3">
        <w:rPr>
          <w:rFonts w:ascii="Georgia" w:hAnsi="Georgia" w:cs="Arial"/>
          <w:smallCaps/>
          <w:sz w:val="22"/>
          <w:szCs w:val="22"/>
          <w:lang w:val="es-CO"/>
        </w:rPr>
        <w:tab/>
      </w:r>
      <w:r w:rsidRPr="00F666B3">
        <w:rPr>
          <w:rFonts w:ascii="Georgia" w:hAnsi="Georgia" w:cs="Arial"/>
          <w:smallCaps/>
          <w:sz w:val="22"/>
          <w:szCs w:val="22"/>
          <w:lang w:val="es-CO"/>
        </w:rPr>
        <w:tab/>
        <w:t xml:space="preserve">: </w:t>
      </w:r>
      <w:r w:rsidR="00490CC7">
        <w:rPr>
          <w:rFonts w:ascii="Georgia" w:hAnsi="Georgia" w:cs="Arial"/>
          <w:smallCaps/>
          <w:sz w:val="22"/>
          <w:szCs w:val="22"/>
          <w:lang w:val="es-CO"/>
        </w:rPr>
        <w:t>A</w:t>
      </w:r>
      <w:r w:rsidR="00957F5A">
        <w:rPr>
          <w:rFonts w:ascii="Georgia" w:hAnsi="Georgia" w:cs="Arial"/>
          <w:smallCaps/>
          <w:sz w:val="22"/>
          <w:szCs w:val="22"/>
          <w:lang w:val="es-CO"/>
        </w:rPr>
        <w:t>uto de segundo grado</w:t>
      </w:r>
    </w:p>
    <w:p w14:paraId="29341D04" w14:textId="6D547C54" w:rsidR="009F1B26" w:rsidRPr="00F666B3" w:rsidRDefault="00DB673F" w:rsidP="00DB673F">
      <w:pPr>
        <w:spacing w:line="360" w:lineRule="auto"/>
        <w:jc w:val="both"/>
        <w:rPr>
          <w:rFonts w:ascii="Georgia" w:hAnsi="Georgia" w:cs="Arial"/>
          <w:smallCaps/>
          <w:sz w:val="22"/>
          <w:szCs w:val="22"/>
        </w:rPr>
      </w:pPr>
      <w:r w:rsidRPr="00F666B3">
        <w:rPr>
          <w:rFonts w:ascii="Georgia" w:hAnsi="Georgia" w:cs="Arial"/>
          <w:sz w:val="22"/>
          <w:szCs w:val="22"/>
        </w:rPr>
        <w:tab/>
      </w:r>
      <w:r w:rsidRPr="00F666B3">
        <w:rPr>
          <w:rFonts w:ascii="Georgia" w:hAnsi="Georgia" w:cs="Arial"/>
          <w:smallCaps/>
          <w:sz w:val="22"/>
          <w:szCs w:val="22"/>
        </w:rPr>
        <w:tab/>
        <w:t>Tipo de proceso</w:t>
      </w:r>
      <w:r w:rsidRPr="00F666B3">
        <w:rPr>
          <w:rFonts w:ascii="Georgia" w:hAnsi="Georgia" w:cs="Arial"/>
          <w:smallCaps/>
          <w:sz w:val="22"/>
          <w:szCs w:val="22"/>
        </w:rPr>
        <w:tab/>
        <w:t xml:space="preserve">: </w:t>
      </w:r>
      <w:r w:rsidR="00843B45">
        <w:rPr>
          <w:rFonts w:ascii="Georgia" w:hAnsi="Georgia" w:cs="Arial"/>
          <w:smallCaps/>
          <w:sz w:val="22"/>
          <w:szCs w:val="22"/>
        </w:rPr>
        <w:t>Verbal de simulación</w:t>
      </w:r>
    </w:p>
    <w:p w14:paraId="739F4A4C" w14:textId="00AC65FB" w:rsidR="009F1B26" w:rsidRDefault="00DB673F" w:rsidP="009F1B26">
      <w:pPr>
        <w:pStyle w:val="Textoindependiente"/>
        <w:spacing w:line="360" w:lineRule="auto"/>
        <w:ind w:left="3540" w:hanging="2124"/>
        <w:rPr>
          <w:rFonts w:ascii="Georgia" w:hAnsi="Georgia" w:cs="Arial"/>
          <w:smallCaps/>
          <w:sz w:val="22"/>
          <w:szCs w:val="22"/>
        </w:rPr>
      </w:pPr>
      <w:r w:rsidRPr="00F666B3">
        <w:rPr>
          <w:rFonts w:ascii="Georgia" w:hAnsi="Georgia" w:cs="Arial"/>
          <w:smallCaps/>
          <w:sz w:val="22"/>
          <w:szCs w:val="22"/>
        </w:rPr>
        <w:t>Demandant</w:t>
      </w:r>
      <w:r w:rsidR="00711567">
        <w:rPr>
          <w:rFonts w:ascii="Georgia" w:hAnsi="Georgia" w:cs="Arial"/>
          <w:smallCaps/>
          <w:sz w:val="22"/>
          <w:szCs w:val="22"/>
        </w:rPr>
        <w:t>e</w:t>
      </w:r>
      <w:r w:rsidR="00ED711C">
        <w:rPr>
          <w:rFonts w:ascii="Georgia" w:hAnsi="Georgia" w:cs="Arial"/>
          <w:smallCaps/>
          <w:sz w:val="22"/>
          <w:szCs w:val="22"/>
        </w:rPr>
        <w:tab/>
        <w:t>:</w:t>
      </w:r>
      <w:r w:rsidR="00490CC7">
        <w:rPr>
          <w:rFonts w:ascii="Georgia" w:hAnsi="Georgia" w:cs="Arial"/>
          <w:smallCaps/>
          <w:sz w:val="22"/>
          <w:szCs w:val="22"/>
        </w:rPr>
        <w:t xml:space="preserve"> </w:t>
      </w:r>
      <w:proofErr w:type="spellStart"/>
      <w:r w:rsidR="00843B45">
        <w:rPr>
          <w:rFonts w:ascii="Georgia" w:hAnsi="Georgia" w:cs="Arial"/>
          <w:smallCaps/>
          <w:sz w:val="22"/>
          <w:szCs w:val="22"/>
        </w:rPr>
        <w:t>Nathalia</w:t>
      </w:r>
      <w:proofErr w:type="spellEnd"/>
      <w:r w:rsidR="00843B45">
        <w:rPr>
          <w:rFonts w:ascii="Georgia" w:hAnsi="Georgia" w:cs="Arial"/>
          <w:smallCaps/>
          <w:sz w:val="22"/>
          <w:szCs w:val="22"/>
        </w:rPr>
        <w:t xml:space="preserve"> Giraldo Rosero</w:t>
      </w:r>
      <w:r w:rsidR="00490CC7">
        <w:rPr>
          <w:rFonts w:ascii="Georgia" w:hAnsi="Georgia" w:cs="Arial"/>
          <w:smallCaps/>
          <w:sz w:val="22"/>
          <w:szCs w:val="22"/>
        </w:rPr>
        <w:t xml:space="preserve"> </w:t>
      </w:r>
    </w:p>
    <w:p w14:paraId="4894B576" w14:textId="0B312DFB" w:rsidR="00843B45" w:rsidRDefault="00843B45" w:rsidP="00A76298">
      <w:pPr>
        <w:pStyle w:val="Textoindependiente"/>
        <w:spacing w:line="360" w:lineRule="auto"/>
        <w:ind w:left="3540" w:hanging="2124"/>
        <w:rPr>
          <w:rFonts w:ascii="Georgia" w:hAnsi="Georgia" w:cs="Arial"/>
          <w:smallCaps/>
          <w:sz w:val="22"/>
          <w:szCs w:val="22"/>
        </w:rPr>
      </w:pPr>
      <w:r>
        <w:rPr>
          <w:rFonts w:ascii="Georgia" w:hAnsi="Georgia" w:cs="Arial"/>
          <w:smallCaps/>
          <w:sz w:val="22"/>
          <w:szCs w:val="22"/>
        </w:rPr>
        <w:t>D</w:t>
      </w:r>
      <w:r w:rsidR="00711567">
        <w:rPr>
          <w:rFonts w:ascii="Georgia" w:hAnsi="Georgia" w:cs="Arial"/>
          <w:smallCaps/>
          <w:sz w:val="22"/>
          <w:szCs w:val="22"/>
        </w:rPr>
        <w:t>emandad</w:t>
      </w:r>
      <w:r w:rsidR="00ED711C">
        <w:rPr>
          <w:rFonts w:ascii="Georgia" w:hAnsi="Georgia" w:cs="Arial"/>
          <w:smallCaps/>
          <w:sz w:val="22"/>
          <w:szCs w:val="22"/>
        </w:rPr>
        <w:t>a</w:t>
      </w:r>
      <w:r w:rsidR="00ED711C">
        <w:rPr>
          <w:rFonts w:ascii="Georgia" w:hAnsi="Georgia" w:cs="Arial"/>
          <w:smallCaps/>
          <w:sz w:val="22"/>
          <w:szCs w:val="22"/>
        </w:rPr>
        <w:tab/>
        <w:t>:</w:t>
      </w:r>
      <w:r w:rsidR="007A6C47">
        <w:rPr>
          <w:rFonts w:ascii="Georgia" w:hAnsi="Georgia" w:cs="Arial"/>
          <w:smallCaps/>
          <w:sz w:val="22"/>
          <w:szCs w:val="22"/>
        </w:rPr>
        <w:t xml:space="preserve"> </w:t>
      </w:r>
      <w:r>
        <w:rPr>
          <w:rFonts w:ascii="Georgia" w:hAnsi="Georgia" w:cs="Arial"/>
          <w:smallCaps/>
          <w:sz w:val="22"/>
          <w:szCs w:val="22"/>
        </w:rPr>
        <w:t>Gloria Ofelia Giraldo Marín</w:t>
      </w:r>
    </w:p>
    <w:p w14:paraId="54A4B0CF" w14:textId="5D3E79DD" w:rsidR="009F1B26" w:rsidRDefault="00843B45" w:rsidP="00A76298">
      <w:pPr>
        <w:pStyle w:val="Textoindependiente"/>
        <w:spacing w:line="360" w:lineRule="auto"/>
        <w:ind w:left="3540" w:hanging="2124"/>
        <w:rPr>
          <w:rFonts w:ascii="Georgia" w:hAnsi="Georgia" w:cs="Arial"/>
          <w:smallCaps/>
          <w:sz w:val="22"/>
          <w:szCs w:val="22"/>
        </w:rPr>
      </w:pPr>
      <w:r>
        <w:rPr>
          <w:rFonts w:ascii="Georgia" w:hAnsi="Georgia" w:cs="Arial"/>
          <w:smallCaps/>
          <w:sz w:val="22"/>
          <w:szCs w:val="22"/>
        </w:rPr>
        <w:t>Litisconsortes</w:t>
      </w:r>
      <w:r>
        <w:rPr>
          <w:rFonts w:ascii="Georgia" w:hAnsi="Georgia" w:cs="Arial"/>
          <w:smallCaps/>
          <w:sz w:val="22"/>
          <w:szCs w:val="22"/>
        </w:rPr>
        <w:tab/>
        <w:t>: María Virgelina Pescador Parra</w:t>
      </w:r>
    </w:p>
    <w:p w14:paraId="40D5EB2D" w14:textId="6CA741A4" w:rsidR="00843B45" w:rsidRDefault="00ED711C" w:rsidP="00ED711C">
      <w:pPr>
        <w:pStyle w:val="Textoindependiente"/>
        <w:spacing w:line="360" w:lineRule="auto"/>
        <w:ind w:left="3540"/>
        <w:rPr>
          <w:rFonts w:ascii="Georgia" w:hAnsi="Georgia" w:cs="Arial"/>
          <w:smallCaps/>
          <w:sz w:val="22"/>
          <w:szCs w:val="22"/>
        </w:rPr>
      </w:pPr>
      <w:r>
        <w:rPr>
          <w:rFonts w:ascii="Georgia" w:hAnsi="Georgia" w:cs="Arial"/>
          <w:smallCaps/>
          <w:sz w:val="22"/>
          <w:szCs w:val="22"/>
        </w:rPr>
        <w:t xml:space="preserve">   </w:t>
      </w:r>
      <w:r w:rsidR="00843B45">
        <w:rPr>
          <w:rFonts w:ascii="Georgia" w:hAnsi="Georgia" w:cs="Arial"/>
          <w:smallCaps/>
          <w:sz w:val="22"/>
          <w:szCs w:val="22"/>
        </w:rPr>
        <w:t>Omar de Jesús Arias Pareja</w:t>
      </w:r>
    </w:p>
    <w:p w14:paraId="17041A98" w14:textId="5B36C84F" w:rsidR="00843B45" w:rsidRPr="00485732" w:rsidRDefault="00843B45" w:rsidP="00A76298">
      <w:pPr>
        <w:pStyle w:val="Textoindependiente"/>
        <w:spacing w:line="360" w:lineRule="auto"/>
        <w:ind w:left="3540" w:hanging="2124"/>
        <w:rPr>
          <w:rFonts w:ascii="Georgia" w:hAnsi="Georgia" w:cs="Arial"/>
          <w:smallCaps/>
          <w:sz w:val="22"/>
          <w:szCs w:val="22"/>
        </w:rPr>
      </w:pPr>
      <w:r>
        <w:rPr>
          <w:rFonts w:ascii="Georgia" w:hAnsi="Georgia" w:cs="Arial"/>
          <w:smallCaps/>
          <w:sz w:val="22"/>
          <w:szCs w:val="22"/>
        </w:rPr>
        <w:tab/>
        <w:t xml:space="preserve">   José Fernando Marín Ospina</w:t>
      </w:r>
    </w:p>
    <w:p w14:paraId="50E5E765" w14:textId="13007915" w:rsidR="00DB673F" w:rsidRPr="00F666B3" w:rsidRDefault="00843B45" w:rsidP="00DB673F">
      <w:pPr>
        <w:pStyle w:val="Textoindependiente"/>
        <w:spacing w:line="360" w:lineRule="auto"/>
        <w:ind w:left="3546" w:hanging="2130"/>
        <w:rPr>
          <w:rFonts w:ascii="Georgia" w:hAnsi="Georgia" w:cs="Arial"/>
          <w:smallCaps/>
          <w:sz w:val="22"/>
          <w:szCs w:val="22"/>
        </w:rPr>
      </w:pPr>
      <w:r>
        <w:rPr>
          <w:rFonts w:ascii="Georgia" w:hAnsi="Georgia" w:cs="Arial"/>
          <w:smallCaps/>
          <w:sz w:val="22"/>
          <w:szCs w:val="22"/>
        </w:rPr>
        <w:t>P</w:t>
      </w:r>
      <w:r w:rsidR="00FD581D" w:rsidRPr="00F666B3">
        <w:rPr>
          <w:rFonts w:ascii="Georgia" w:hAnsi="Georgia" w:cs="Arial"/>
          <w:smallCaps/>
          <w:sz w:val="22"/>
          <w:szCs w:val="22"/>
        </w:rPr>
        <w:t>rocedencia</w:t>
      </w:r>
      <w:r w:rsidR="00FD581D" w:rsidRPr="00F666B3">
        <w:rPr>
          <w:rFonts w:ascii="Georgia" w:hAnsi="Georgia" w:cs="Arial"/>
          <w:smallCaps/>
          <w:sz w:val="22"/>
          <w:szCs w:val="22"/>
        </w:rPr>
        <w:tab/>
        <w:t xml:space="preserve">: </w:t>
      </w:r>
      <w:r w:rsidR="00761DAA">
        <w:rPr>
          <w:rFonts w:ascii="Georgia" w:hAnsi="Georgia" w:cs="Arial"/>
          <w:smallCaps/>
          <w:sz w:val="22"/>
          <w:szCs w:val="22"/>
        </w:rPr>
        <w:t>J</w:t>
      </w:r>
      <w:r w:rsidR="00FD581D">
        <w:rPr>
          <w:rFonts w:ascii="Georgia" w:hAnsi="Georgia" w:cs="Arial"/>
          <w:smallCaps/>
          <w:sz w:val="22"/>
          <w:szCs w:val="22"/>
        </w:rPr>
        <w:t>uzgado</w:t>
      </w:r>
      <w:r w:rsidR="007A6C47">
        <w:rPr>
          <w:rFonts w:ascii="Georgia" w:hAnsi="Georgia" w:cs="Arial"/>
          <w:smallCaps/>
          <w:sz w:val="22"/>
          <w:szCs w:val="22"/>
        </w:rPr>
        <w:t xml:space="preserve"> </w:t>
      </w:r>
      <w:r w:rsidR="00ED711C">
        <w:rPr>
          <w:rFonts w:ascii="Georgia" w:hAnsi="Georgia" w:cs="Arial"/>
          <w:smallCaps/>
          <w:sz w:val="22"/>
          <w:szCs w:val="22"/>
        </w:rPr>
        <w:t>Segundo</w:t>
      </w:r>
      <w:r w:rsidR="007A6C47">
        <w:rPr>
          <w:rFonts w:ascii="Georgia" w:hAnsi="Georgia" w:cs="Arial"/>
          <w:smallCaps/>
          <w:sz w:val="22"/>
          <w:szCs w:val="22"/>
        </w:rPr>
        <w:t xml:space="preserve"> Civil del Circuito de Pereira, R.</w:t>
      </w:r>
      <w:r w:rsidR="005F1C2B">
        <w:rPr>
          <w:rFonts w:ascii="Georgia" w:hAnsi="Georgia" w:cs="Arial"/>
          <w:smallCaps/>
          <w:sz w:val="22"/>
          <w:szCs w:val="22"/>
        </w:rPr>
        <w:t xml:space="preserve"> </w:t>
      </w:r>
    </w:p>
    <w:p w14:paraId="50491842" w14:textId="61DC6397" w:rsidR="000A30AD" w:rsidRPr="00F666B3" w:rsidRDefault="00DB673F" w:rsidP="00DB673F">
      <w:pPr>
        <w:spacing w:line="360" w:lineRule="auto"/>
        <w:ind w:left="708" w:firstLine="708"/>
        <w:jc w:val="both"/>
        <w:rPr>
          <w:rFonts w:ascii="Georgia" w:hAnsi="Georgia" w:cs="Arial"/>
          <w:smallCaps/>
          <w:sz w:val="22"/>
          <w:szCs w:val="22"/>
          <w:lang w:val="es-CO"/>
        </w:rPr>
      </w:pPr>
      <w:r w:rsidRPr="00F666B3">
        <w:rPr>
          <w:rFonts w:ascii="Georgia" w:hAnsi="Georgia" w:cs="Arial"/>
          <w:smallCaps/>
          <w:sz w:val="22"/>
          <w:szCs w:val="22"/>
        </w:rPr>
        <w:t>Radicación</w:t>
      </w:r>
      <w:r w:rsidRPr="00F666B3">
        <w:rPr>
          <w:rFonts w:ascii="Georgia" w:hAnsi="Georgia" w:cs="Arial"/>
          <w:smallCaps/>
          <w:sz w:val="22"/>
          <w:szCs w:val="22"/>
        </w:rPr>
        <w:tab/>
      </w:r>
      <w:r w:rsidRPr="00F666B3">
        <w:rPr>
          <w:rFonts w:ascii="Georgia" w:hAnsi="Georgia" w:cs="Arial"/>
          <w:smallCaps/>
          <w:sz w:val="22"/>
          <w:szCs w:val="22"/>
        </w:rPr>
        <w:tab/>
        <w:t xml:space="preserve">: </w:t>
      </w:r>
      <w:r w:rsidR="00F8483B" w:rsidRPr="00210C5C">
        <w:rPr>
          <w:rFonts w:ascii="Georgia" w:hAnsi="Georgia" w:cs="Arial"/>
          <w:smallCaps/>
          <w:sz w:val="22"/>
          <w:szCs w:val="22"/>
        </w:rPr>
        <w:t>6</w:t>
      </w:r>
      <w:r w:rsidR="003B4743" w:rsidRPr="00210C5C">
        <w:rPr>
          <w:rFonts w:ascii="Georgia" w:hAnsi="Georgia" w:cs="Arial"/>
          <w:smallCaps/>
          <w:sz w:val="22"/>
          <w:szCs w:val="22"/>
        </w:rPr>
        <w:t>6001</w:t>
      </w:r>
      <w:r w:rsidR="00F8483B" w:rsidRPr="00210C5C">
        <w:rPr>
          <w:rFonts w:ascii="Georgia" w:hAnsi="Georgia" w:cs="Arial"/>
          <w:smallCaps/>
          <w:sz w:val="22"/>
          <w:szCs w:val="22"/>
        </w:rPr>
        <w:t>-31-</w:t>
      </w:r>
      <w:r w:rsidR="009F1B26" w:rsidRPr="00210C5C">
        <w:rPr>
          <w:rFonts w:ascii="Georgia" w:hAnsi="Georgia" w:cs="Arial"/>
          <w:smallCaps/>
          <w:sz w:val="22"/>
          <w:szCs w:val="22"/>
        </w:rPr>
        <w:t>03</w:t>
      </w:r>
      <w:r w:rsidR="00F8483B" w:rsidRPr="00210C5C">
        <w:rPr>
          <w:rFonts w:ascii="Georgia" w:hAnsi="Georgia" w:cs="Arial"/>
          <w:smallCaps/>
          <w:sz w:val="22"/>
          <w:szCs w:val="22"/>
        </w:rPr>
        <w:t>-00</w:t>
      </w:r>
      <w:r w:rsidR="00ED711C">
        <w:rPr>
          <w:rFonts w:ascii="Georgia" w:hAnsi="Georgia" w:cs="Arial"/>
          <w:smallCaps/>
          <w:sz w:val="22"/>
          <w:szCs w:val="22"/>
        </w:rPr>
        <w:t>2</w:t>
      </w:r>
      <w:r w:rsidR="00F8483B" w:rsidRPr="00210C5C">
        <w:rPr>
          <w:rFonts w:ascii="Georgia" w:hAnsi="Georgia" w:cs="Arial"/>
          <w:smallCaps/>
          <w:sz w:val="22"/>
          <w:szCs w:val="22"/>
        </w:rPr>
        <w:t>-</w:t>
      </w:r>
      <w:bookmarkStart w:id="3" w:name="_Hlk175555926"/>
      <w:r w:rsidR="00843B45" w:rsidRPr="00843B45">
        <w:rPr>
          <w:rFonts w:ascii="Georgia" w:hAnsi="Georgia" w:cs="Arial"/>
          <w:b/>
          <w:smallCaps/>
          <w:sz w:val="22"/>
          <w:szCs w:val="22"/>
        </w:rPr>
        <w:t xml:space="preserve">2018-00785-01 </w:t>
      </w:r>
      <w:r w:rsidR="00F8483B" w:rsidRPr="00210C5C">
        <w:rPr>
          <w:rFonts w:ascii="Georgia" w:hAnsi="Georgia" w:cs="Arial"/>
          <w:b/>
          <w:smallCaps/>
          <w:sz w:val="22"/>
          <w:szCs w:val="22"/>
        </w:rPr>
        <w:t>(</w:t>
      </w:r>
      <w:r w:rsidR="00843B45">
        <w:rPr>
          <w:rFonts w:ascii="Georgia" w:hAnsi="Georgia" w:cs="Arial"/>
          <w:b/>
          <w:smallCaps/>
          <w:sz w:val="22"/>
          <w:szCs w:val="22"/>
        </w:rPr>
        <w:t>4101</w:t>
      </w:r>
      <w:r w:rsidR="00A80136" w:rsidRPr="00AD1951">
        <w:rPr>
          <w:rFonts w:ascii="Georgia" w:hAnsi="Georgia" w:cs="Arial"/>
          <w:b/>
          <w:bCs/>
          <w:smallCaps/>
          <w:sz w:val="22"/>
          <w:szCs w:val="22"/>
        </w:rPr>
        <w:t>)</w:t>
      </w:r>
      <w:bookmarkEnd w:id="3"/>
    </w:p>
    <w:p w14:paraId="68A14CE9" w14:textId="54514BB3" w:rsidR="00A25A5B" w:rsidRDefault="00A25A5B" w:rsidP="00105355">
      <w:pPr>
        <w:spacing w:line="360" w:lineRule="auto"/>
        <w:ind w:left="3540" w:hanging="2124"/>
        <w:jc w:val="both"/>
        <w:rPr>
          <w:rFonts w:ascii="Georgia" w:hAnsi="Georgia" w:cs="Arial"/>
          <w:smallCaps/>
          <w:sz w:val="22"/>
          <w:szCs w:val="22"/>
          <w:lang w:val="es-CO"/>
        </w:rPr>
      </w:pPr>
      <w:r>
        <w:rPr>
          <w:rFonts w:ascii="Georgia" w:hAnsi="Georgia" w:cs="Arial"/>
          <w:smallCaps/>
          <w:sz w:val="22"/>
          <w:szCs w:val="22"/>
          <w:lang w:val="es-CO"/>
        </w:rPr>
        <w:t>Tema</w:t>
      </w:r>
      <w:r>
        <w:rPr>
          <w:rFonts w:ascii="Georgia" w:hAnsi="Georgia" w:cs="Arial"/>
          <w:smallCaps/>
          <w:sz w:val="22"/>
          <w:szCs w:val="22"/>
          <w:lang w:val="es-CO"/>
        </w:rPr>
        <w:tab/>
        <w:t>: Desistimiento tácito</w:t>
      </w:r>
      <w:r w:rsidR="007C2679">
        <w:rPr>
          <w:rFonts w:ascii="Georgia" w:hAnsi="Georgia" w:cs="Arial"/>
          <w:smallCaps/>
          <w:sz w:val="22"/>
          <w:szCs w:val="22"/>
          <w:lang w:val="es-CO"/>
        </w:rPr>
        <w:t xml:space="preserve"> – Incumplimiento de la carga</w:t>
      </w:r>
      <w:r w:rsidR="00105355">
        <w:rPr>
          <w:rFonts w:ascii="Georgia" w:hAnsi="Georgia" w:cs="Arial"/>
          <w:smallCaps/>
          <w:sz w:val="22"/>
          <w:szCs w:val="22"/>
          <w:lang w:val="es-CO"/>
        </w:rPr>
        <w:t xml:space="preserve"> - </w:t>
      </w:r>
      <w:r w:rsidR="00105355" w:rsidRPr="00105355">
        <w:rPr>
          <w:rFonts w:ascii="Georgia" w:hAnsi="Georgia" w:cs="Arial"/>
          <w:smallCaps/>
          <w:sz w:val="22"/>
          <w:szCs w:val="22"/>
          <w:lang w:val="es-CO"/>
        </w:rPr>
        <w:t>Notificaci</w:t>
      </w:r>
      <w:r w:rsidR="00105355">
        <w:rPr>
          <w:rFonts w:ascii="Georgia" w:hAnsi="Georgia" w:cs="Arial"/>
          <w:smallCaps/>
          <w:sz w:val="22"/>
          <w:szCs w:val="22"/>
          <w:lang w:val="es-CO"/>
        </w:rPr>
        <w:t>ó</w:t>
      </w:r>
      <w:r w:rsidR="00105355" w:rsidRPr="00105355">
        <w:rPr>
          <w:rFonts w:ascii="Georgia" w:hAnsi="Georgia" w:cs="Arial"/>
          <w:smallCaps/>
          <w:sz w:val="22"/>
          <w:szCs w:val="22"/>
          <w:lang w:val="es-CO"/>
        </w:rPr>
        <w:t>n personal</w:t>
      </w:r>
      <w:r w:rsidR="00105355">
        <w:rPr>
          <w:rFonts w:ascii="Georgia" w:hAnsi="Georgia" w:cs="Arial"/>
          <w:smallCaps/>
          <w:sz w:val="22"/>
          <w:szCs w:val="22"/>
          <w:lang w:val="es-CO"/>
        </w:rPr>
        <w:t xml:space="preserve"> –</w:t>
      </w:r>
      <w:r w:rsidR="00105355" w:rsidRPr="00105355">
        <w:rPr>
          <w:rFonts w:ascii="Georgia" w:hAnsi="Georgia" w:cs="Arial"/>
          <w:smallCaps/>
          <w:sz w:val="22"/>
          <w:szCs w:val="22"/>
          <w:lang w:val="es-CO"/>
        </w:rPr>
        <w:t xml:space="preserve"> importancia</w:t>
      </w:r>
      <w:r w:rsidR="00105355">
        <w:rPr>
          <w:rFonts w:ascii="Georgia" w:hAnsi="Georgia" w:cs="Arial"/>
          <w:smallCaps/>
          <w:sz w:val="22"/>
          <w:szCs w:val="22"/>
          <w:lang w:val="es-CO"/>
        </w:rPr>
        <w:t xml:space="preserve"> -</w:t>
      </w:r>
      <w:r w:rsidR="00105355" w:rsidRPr="00105355">
        <w:rPr>
          <w:rFonts w:ascii="Georgia" w:hAnsi="Georgia" w:cs="Arial"/>
          <w:smallCaps/>
          <w:sz w:val="22"/>
          <w:szCs w:val="22"/>
          <w:lang w:val="es-CO"/>
        </w:rPr>
        <w:t xml:space="preserve"> Inexistencia de exceso ritual manifiesto.</w:t>
      </w:r>
    </w:p>
    <w:p w14:paraId="16D6DBAF" w14:textId="221DB479" w:rsidR="00170D5A" w:rsidRPr="00F666B3" w:rsidRDefault="00D30890" w:rsidP="04DAA6AA">
      <w:pPr>
        <w:spacing w:line="360" w:lineRule="auto"/>
        <w:ind w:left="708" w:firstLine="708"/>
        <w:rPr>
          <w:rFonts w:ascii="Georgia" w:hAnsi="Georgia"/>
          <w:smallCaps/>
          <w:sz w:val="22"/>
          <w:szCs w:val="22"/>
          <w:lang w:val="es-CO"/>
        </w:rPr>
      </w:pPr>
      <w:proofErr w:type="spellStart"/>
      <w:r w:rsidRPr="00F666B3">
        <w:rPr>
          <w:rFonts w:ascii="Georgia" w:hAnsi="Georgia" w:cs="Arial"/>
          <w:smallCaps/>
          <w:sz w:val="22"/>
          <w:szCs w:val="22"/>
          <w:lang w:val="es-CO"/>
        </w:rPr>
        <w:t>Mag</w:t>
      </w:r>
      <w:proofErr w:type="spellEnd"/>
      <w:r w:rsidR="00962E63" w:rsidRPr="00F666B3">
        <w:rPr>
          <w:rFonts w:ascii="Georgia" w:hAnsi="Georgia" w:cs="Arial"/>
          <w:smallCaps/>
          <w:sz w:val="22"/>
          <w:szCs w:val="22"/>
          <w:lang w:val="es-CO"/>
        </w:rPr>
        <w:t>.</w:t>
      </w:r>
      <w:r w:rsidRPr="00F666B3">
        <w:rPr>
          <w:rFonts w:ascii="Georgia" w:hAnsi="Georgia" w:cs="Arial"/>
          <w:smallCaps/>
          <w:sz w:val="22"/>
          <w:szCs w:val="22"/>
          <w:lang w:val="es-CO"/>
        </w:rPr>
        <w:t xml:space="preserve"> </w:t>
      </w:r>
      <w:r w:rsidR="00607320" w:rsidRPr="00F666B3">
        <w:rPr>
          <w:rFonts w:ascii="Georgia" w:hAnsi="Georgia" w:cs="Arial"/>
          <w:smallCaps/>
          <w:sz w:val="22"/>
          <w:szCs w:val="22"/>
          <w:lang w:val="es-CO"/>
        </w:rPr>
        <w:t>sustanciador</w:t>
      </w:r>
      <w:r w:rsidRPr="00F666B3">
        <w:rPr>
          <w:rFonts w:ascii="Georgia" w:hAnsi="Georgia" w:cs="Arial"/>
          <w:smallCaps/>
          <w:sz w:val="22"/>
          <w:szCs w:val="22"/>
          <w:lang w:val="es-CO"/>
        </w:rPr>
        <w:tab/>
        <w:t xml:space="preserve">: </w:t>
      </w:r>
      <w:r w:rsidR="00193F20">
        <w:rPr>
          <w:rFonts w:ascii="Georgia" w:hAnsi="Georgia" w:cs="Arial"/>
          <w:smallCaps/>
          <w:sz w:val="22"/>
          <w:szCs w:val="22"/>
          <w:lang w:val="es-CO"/>
        </w:rPr>
        <w:t>Carlos</w:t>
      </w:r>
      <w:r w:rsidR="002F025E">
        <w:rPr>
          <w:rFonts w:ascii="Georgia" w:hAnsi="Georgia" w:cs="Arial"/>
          <w:smallCaps/>
          <w:sz w:val="22"/>
          <w:szCs w:val="22"/>
          <w:lang w:val="es-CO"/>
        </w:rPr>
        <w:t xml:space="preserve"> </w:t>
      </w:r>
      <w:r w:rsidR="00193F20">
        <w:rPr>
          <w:rFonts w:ascii="Georgia" w:hAnsi="Georgia" w:cs="Arial"/>
          <w:smallCaps/>
          <w:sz w:val="22"/>
          <w:szCs w:val="22"/>
          <w:lang w:val="es-CO"/>
        </w:rPr>
        <w:t>Mauricio</w:t>
      </w:r>
      <w:r w:rsidR="002F025E">
        <w:rPr>
          <w:rFonts w:ascii="Georgia" w:hAnsi="Georgia" w:cs="Arial"/>
          <w:smallCaps/>
          <w:sz w:val="22"/>
          <w:szCs w:val="22"/>
          <w:lang w:val="es-CO"/>
        </w:rPr>
        <w:t xml:space="preserve"> </w:t>
      </w:r>
      <w:r w:rsidR="00193F20">
        <w:rPr>
          <w:rFonts w:ascii="Georgia" w:hAnsi="Georgia" w:cs="Arial"/>
          <w:smallCaps/>
          <w:sz w:val="22"/>
          <w:szCs w:val="22"/>
          <w:lang w:val="es-CO"/>
        </w:rPr>
        <w:t>García</w:t>
      </w:r>
      <w:r w:rsidR="002F025E">
        <w:rPr>
          <w:rFonts w:ascii="Georgia" w:hAnsi="Georgia" w:cs="Arial"/>
          <w:smallCaps/>
          <w:sz w:val="22"/>
          <w:szCs w:val="22"/>
          <w:lang w:val="es-CO"/>
        </w:rPr>
        <w:t xml:space="preserve"> </w:t>
      </w:r>
      <w:r w:rsidR="00193F20">
        <w:rPr>
          <w:rFonts w:ascii="Georgia" w:hAnsi="Georgia" w:cs="Arial"/>
          <w:smallCaps/>
          <w:sz w:val="22"/>
          <w:szCs w:val="22"/>
          <w:lang w:val="es-CO"/>
        </w:rPr>
        <w:t>B</w:t>
      </w:r>
      <w:r w:rsidR="002F025E">
        <w:rPr>
          <w:rFonts w:ascii="Georgia" w:hAnsi="Georgia" w:cs="Arial"/>
          <w:smallCaps/>
          <w:sz w:val="22"/>
          <w:szCs w:val="22"/>
          <w:lang w:val="es-CO"/>
        </w:rPr>
        <w:t xml:space="preserve">arajas </w:t>
      </w:r>
    </w:p>
    <w:p w14:paraId="4BB67AB3" w14:textId="77777777" w:rsidR="009D4AE3" w:rsidRPr="00561C07" w:rsidRDefault="009D4AE3" w:rsidP="005F209D">
      <w:pPr>
        <w:pBdr>
          <w:bottom w:val="single" w:sz="12" w:space="1" w:color="auto"/>
        </w:pBdr>
        <w:spacing w:line="360" w:lineRule="auto"/>
        <w:jc w:val="center"/>
        <w:rPr>
          <w:rFonts w:ascii="Georgia" w:hAnsi="Georgia" w:cs="Arial"/>
          <w:bCs/>
          <w:color w:val="FF0000"/>
          <w:sz w:val="22"/>
          <w:szCs w:val="36"/>
          <w:lang w:val="es-CO"/>
        </w:rPr>
      </w:pPr>
    </w:p>
    <w:p w14:paraId="328E12B9" w14:textId="1AA4180C" w:rsidR="00F30DAC" w:rsidRDefault="00F30DAC" w:rsidP="000D4231">
      <w:pPr>
        <w:spacing w:line="360" w:lineRule="auto"/>
        <w:jc w:val="center"/>
        <w:rPr>
          <w:rFonts w:ascii="Georgia" w:hAnsi="Georgia" w:cs="Arial"/>
          <w:bCs/>
          <w:sz w:val="24"/>
          <w:szCs w:val="24"/>
          <w:lang w:val="es-CO"/>
        </w:rPr>
      </w:pPr>
    </w:p>
    <w:p w14:paraId="0FDE02B7" w14:textId="4FEC6782" w:rsidR="004A3993" w:rsidRDefault="00574D95" w:rsidP="009F1B26">
      <w:pPr>
        <w:spacing w:line="360" w:lineRule="auto"/>
        <w:jc w:val="center"/>
        <w:rPr>
          <w:rFonts w:ascii="Georgia" w:hAnsi="Georgia" w:cs="Arial"/>
          <w:smallCaps/>
          <w:color w:val="0000FF"/>
          <w:sz w:val="28"/>
          <w:szCs w:val="28"/>
          <w:lang w:val="es-CO"/>
        </w:rPr>
      </w:pPr>
      <w:r w:rsidRPr="00574D95">
        <w:rPr>
          <w:rFonts w:ascii="Georgia" w:hAnsi="Georgia" w:cs="Arial"/>
          <w:smallCaps/>
          <w:color w:val="0000FF"/>
          <w:sz w:val="28"/>
          <w:szCs w:val="28"/>
          <w:lang w:val="es-CO"/>
        </w:rPr>
        <w:t>Veintisiete</w:t>
      </w:r>
      <w:r w:rsidR="00485732" w:rsidRPr="00574D95">
        <w:rPr>
          <w:rFonts w:ascii="Georgia" w:hAnsi="Georgia" w:cs="Arial"/>
          <w:smallCaps/>
          <w:color w:val="0000FF"/>
          <w:sz w:val="28"/>
          <w:szCs w:val="28"/>
          <w:lang w:val="es-CO"/>
        </w:rPr>
        <w:t xml:space="preserve"> </w:t>
      </w:r>
      <w:r w:rsidR="004A3993" w:rsidRPr="00574D95">
        <w:rPr>
          <w:rFonts w:ascii="Georgia" w:hAnsi="Georgia" w:cs="Arial"/>
          <w:smallCaps/>
          <w:color w:val="0000FF"/>
          <w:sz w:val="28"/>
          <w:szCs w:val="28"/>
          <w:lang w:val="es-CO"/>
        </w:rPr>
        <w:t>(</w:t>
      </w:r>
      <w:r w:rsidRPr="00574D95">
        <w:rPr>
          <w:rFonts w:ascii="Georgia" w:hAnsi="Georgia" w:cs="Arial"/>
          <w:smallCaps/>
          <w:color w:val="0000FF"/>
          <w:sz w:val="28"/>
          <w:szCs w:val="28"/>
          <w:lang w:val="es-CO"/>
        </w:rPr>
        <w:t>27</w:t>
      </w:r>
      <w:r w:rsidR="004A3993" w:rsidRPr="00574D95">
        <w:rPr>
          <w:rFonts w:ascii="Georgia" w:hAnsi="Georgia" w:cs="Arial"/>
          <w:smallCaps/>
          <w:color w:val="0000FF"/>
          <w:sz w:val="28"/>
          <w:szCs w:val="28"/>
          <w:lang w:val="es-CO"/>
        </w:rPr>
        <w:t xml:space="preserve">) de </w:t>
      </w:r>
      <w:r>
        <w:rPr>
          <w:rFonts w:ascii="Georgia" w:hAnsi="Georgia" w:cs="Arial"/>
          <w:smallCaps/>
          <w:color w:val="0000FF"/>
          <w:sz w:val="28"/>
          <w:szCs w:val="28"/>
          <w:lang w:val="es-CO"/>
        </w:rPr>
        <w:t>noviembre</w:t>
      </w:r>
      <w:r w:rsidR="00485732" w:rsidRPr="00574D95">
        <w:rPr>
          <w:rFonts w:ascii="Georgia" w:hAnsi="Georgia" w:cs="Arial"/>
          <w:smallCaps/>
          <w:color w:val="0000FF"/>
          <w:sz w:val="28"/>
          <w:szCs w:val="28"/>
          <w:lang w:val="es-CO"/>
        </w:rPr>
        <w:t xml:space="preserve"> </w:t>
      </w:r>
      <w:r w:rsidR="004A3993" w:rsidRPr="00574D95">
        <w:rPr>
          <w:rFonts w:ascii="Georgia" w:hAnsi="Georgia" w:cs="Arial"/>
          <w:smallCaps/>
          <w:color w:val="0000FF"/>
          <w:sz w:val="28"/>
          <w:szCs w:val="28"/>
          <w:lang w:val="es-CO"/>
        </w:rPr>
        <w:t xml:space="preserve">de dos mil </w:t>
      </w:r>
      <w:r w:rsidR="00484CDF" w:rsidRPr="00574D95">
        <w:rPr>
          <w:rFonts w:ascii="Georgia" w:hAnsi="Georgia" w:cs="Arial"/>
          <w:smallCaps/>
          <w:color w:val="0000FF"/>
          <w:sz w:val="28"/>
          <w:szCs w:val="28"/>
          <w:lang w:val="es-CO"/>
        </w:rPr>
        <w:t>veinti</w:t>
      </w:r>
      <w:r w:rsidR="00A51044" w:rsidRPr="00574D95">
        <w:rPr>
          <w:rFonts w:ascii="Georgia" w:hAnsi="Georgia" w:cs="Arial"/>
          <w:smallCaps/>
          <w:color w:val="0000FF"/>
          <w:sz w:val="28"/>
          <w:szCs w:val="28"/>
          <w:lang w:val="es-CO"/>
        </w:rPr>
        <w:t xml:space="preserve">cuatro </w:t>
      </w:r>
      <w:r w:rsidR="004A3993" w:rsidRPr="00574D95">
        <w:rPr>
          <w:rFonts w:ascii="Georgia" w:hAnsi="Georgia" w:cs="Arial"/>
          <w:smallCaps/>
          <w:color w:val="0000FF"/>
          <w:sz w:val="28"/>
          <w:szCs w:val="28"/>
          <w:lang w:val="es-CO"/>
        </w:rPr>
        <w:t>(202</w:t>
      </w:r>
      <w:r w:rsidR="00A51044" w:rsidRPr="00574D95">
        <w:rPr>
          <w:rFonts w:ascii="Georgia" w:hAnsi="Georgia" w:cs="Arial"/>
          <w:smallCaps/>
          <w:color w:val="0000FF"/>
          <w:sz w:val="28"/>
          <w:szCs w:val="28"/>
          <w:lang w:val="es-CO"/>
        </w:rPr>
        <w:t>4</w:t>
      </w:r>
      <w:r w:rsidR="004A3993" w:rsidRPr="00574D95">
        <w:rPr>
          <w:rFonts w:ascii="Georgia" w:hAnsi="Georgia" w:cs="Arial"/>
          <w:smallCaps/>
          <w:color w:val="0000FF"/>
          <w:sz w:val="28"/>
          <w:szCs w:val="28"/>
          <w:lang w:val="es-CO"/>
        </w:rPr>
        <w:t>)</w:t>
      </w:r>
    </w:p>
    <w:p w14:paraId="0F65D346" w14:textId="0581D5FD" w:rsidR="007B0674" w:rsidRDefault="007B0674" w:rsidP="007B0674">
      <w:pPr>
        <w:pStyle w:val="paragraph"/>
        <w:spacing w:before="0" w:beforeAutospacing="0" w:after="0" w:afterAutospacing="0" w:line="360" w:lineRule="auto"/>
        <w:jc w:val="both"/>
        <w:textAlignment w:val="baseline"/>
        <w:rPr>
          <w:rFonts w:ascii="Georgia" w:hAnsi="Georgia" w:cs="Arial"/>
          <w:smallCaps/>
          <w:color w:val="0000FF"/>
          <w:kern w:val="28"/>
          <w:sz w:val="28"/>
          <w:szCs w:val="28"/>
          <w:lang w:eastAsia="es-ES"/>
        </w:rPr>
      </w:pPr>
    </w:p>
    <w:p w14:paraId="60FAF7A4" w14:textId="7412D423" w:rsidR="00F376E6" w:rsidRDefault="00F376E6" w:rsidP="00F376E6">
      <w:pPr>
        <w:pStyle w:val="paragraph"/>
        <w:spacing w:before="0" w:beforeAutospacing="0" w:after="0" w:afterAutospacing="0" w:line="360" w:lineRule="auto"/>
        <w:jc w:val="center"/>
        <w:textAlignment w:val="baseline"/>
        <w:rPr>
          <w:rFonts w:ascii="Georgia" w:hAnsi="Georgia" w:cs="Arial"/>
          <w:b/>
          <w:bCs/>
          <w:kern w:val="28"/>
          <w:sz w:val="28"/>
          <w:szCs w:val="28"/>
          <w:lang w:eastAsia="es-ES"/>
        </w:rPr>
      </w:pPr>
      <w:r w:rsidRPr="00F376E6">
        <w:rPr>
          <w:rFonts w:ascii="Georgia" w:hAnsi="Georgia" w:cs="Arial"/>
          <w:b/>
          <w:bCs/>
          <w:kern w:val="28"/>
          <w:sz w:val="28"/>
          <w:szCs w:val="28"/>
          <w:lang w:eastAsia="es-ES"/>
        </w:rPr>
        <w:t>Objeto de la presente providencia</w:t>
      </w:r>
    </w:p>
    <w:p w14:paraId="5BE30D41" w14:textId="77777777" w:rsidR="00FC2F80" w:rsidRDefault="00FC2F80" w:rsidP="00F4338C">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1594960B" w14:textId="23B54112" w:rsidR="00F376E6" w:rsidRDefault="00FC2F80" w:rsidP="00F4338C">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 xml:space="preserve">Corresponde a esta Corporación en Sala unitaria decidir el recurso de apelación propuesto por la parte </w:t>
      </w:r>
      <w:r w:rsidR="00CF5F33">
        <w:rPr>
          <w:rFonts w:ascii="Georgia" w:hAnsi="Georgia" w:cs="Arial"/>
          <w:kern w:val="28"/>
          <w:sz w:val="28"/>
          <w:szCs w:val="28"/>
          <w:lang w:eastAsia="es-ES"/>
        </w:rPr>
        <w:t>demandante</w:t>
      </w:r>
      <w:r w:rsidR="00E6136C">
        <w:rPr>
          <w:rFonts w:ascii="Georgia" w:hAnsi="Georgia" w:cs="Arial"/>
          <w:kern w:val="28"/>
          <w:sz w:val="28"/>
          <w:szCs w:val="28"/>
          <w:lang w:eastAsia="es-ES"/>
        </w:rPr>
        <w:t>,</w:t>
      </w:r>
      <w:r>
        <w:rPr>
          <w:rFonts w:ascii="Georgia" w:hAnsi="Georgia" w:cs="Arial"/>
          <w:kern w:val="28"/>
          <w:sz w:val="28"/>
          <w:szCs w:val="28"/>
          <w:lang w:eastAsia="es-ES"/>
        </w:rPr>
        <w:t xml:space="preserve"> contra el auto que resolvió dar por terminado el proceso de la referencia por desistimiento tácito</w:t>
      </w:r>
      <w:r>
        <w:rPr>
          <w:rStyle w:val="Refdenotaalpie"/>
          <w:rFonts w:ascii="Georgia" w:hAnsi="Georgia"/>
          <w:kern w:val="28"/>
          <w:sz w:val="28"/>
          <w:szCs w:val="28"/>
          <w:lang w:eastAsia="es-ES"/>
        </w:rPr>
        <w:footnoteReference w:id="2"/>
      </w:r>
      <w:r>
        <w:rPr>
          <w:rFonts w:ascii="Georgia" w:hAnsi="Georgia" w:cs="Arial"/>
          <w:kern w:val="28"/>
          <w:sz w:val="28"/>
          <w:szCs w:val="28"/>
          <w:lang w:eastAsia="es-ES"/>
        </w:rPr>
        <w:t>.</w:t>
      </w:r>
    </w:p>
    <w:p w14:paraId="1C264CF5" w14:textId="53A9BA83" w:rsidR="00FC2F80" w:rsidRDefault="00FC2F80" w:rsidP="00F376E6">
      <w:pPr>
        <w:pStyle w:val="paragraph"/>
        <w:spacing w:before="0" w:beforeAutospacing="0" w:after="0" w:afterAutospacing="0" w:line="360" w:lineRule="auto"/>
        <w:textAlignment w:val="baseline"/>
        <w:rPr>
          <w:rFonts w:ascii="Georgia" w:hAnsi="Georgia" w:cs="Arial"/>
          <w:kern w:val="28"/>
          <w:sz w:val="28"/>
          <w:szCs w:val="28"/>
          <w:lang w:eastAsia="es-ES"/>
        </w:rPr>
      </w:pPr>
    </w:p>
    <w:p w14:paraId="0D3CA113" w14:textId="27CCBA46" w:rsidR="000D7951" w:rsidRDefault="000D7951" w:rsidP="000D7951">
      <w:pPr>
        <w:pStyle w:val="paragraph"/>
        <w:spacing w:before="0" w:beforeAutospacing="0" w:after="0" w:afterAutospacing="0" w:line="360" w:lineRule="auto"/>
        <w:jc w:val="center"/>
        <w:textAlignment w:val="baseline"/>
        <w:rPr>
          <w:rFonts w:ascii="Georgia" w:hAnsi="Georgia" w:cs="Arial"/>
          <w:b/>
          <w:bCs/>
          <w:kern w:val="28"/>
          <w:sz w:val="28"/>
          <w:szCs w:val="28"/>
          <w:lang w:eastAsia="es-ES"/>
        </w:rPr>
      </w:pPr>
      <w:r>
        <w:rPr>
          <w:rFonts w:ascii="Georgia" w:hAnsi="Georgia" w:cs="Arial"/>
          <w:b/>
          <w:bCs/>
          <w:kern w:val="28"/>
          <w:sz w:val="28"/>
          <w:szCs w:val="28"/>
          <w:lang w:eastAsia="es-ES"/>
        </w:rPr>
        <w:t>Antecedentes</w:t>
      </w:r>
    </w:p>
    <w:p w14:paraId="69FC178A" w14:textId="77777777" w:rsidR="000D7951" w:rsidRDefault="000D7951" w:rsidP="000D7951">
      <w:pPr>
        <w:pStyle w:val="paragraph"/>
        <w:spacing w:before="0" w:beforeAutospacing="0" w:after="0" w:afterAutospacing="0" w:line="360" w:lineRule="auto"/>
        <w:textAlignment w:val="baseline"/>
        <w:rPr>
          <w:rFonts w:ascii="Georgia" w:hAnsi="Georgia" w:cs="Arial"/>
          <w:kern w:val="28"/>
          <w:sz w:val="28"/>
          <w:szCs w:val="28"/>
          <w:lang w:eastAsia="es-ES"/>
        </w:rPr>
      </w:pPr>
    </w:p>
    <w:p w14:paraId="01D6E821" w14:textId="2D3C70F7" w:rsidR="004A470A" w:rsidRDefault="00774EE6" w:rsidP="00AB0A23">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 xml:space="preserve">1.- </w:t>
      </w:r>
      <w:r w:rsidR="00695ECC">
        <w:rPr>
          <w:rFonts w:ascii="Georgia" w:hAnsi="Georgia" w:cs="Arial"/>
          <w:kern w:val="28"/>
          <w:sz w:val="28"/>
          <w:szCs w:val="28"/>
          <w:lang w:eastAsia="es-ES"/>
        </w:rPr>
        <w:t>Mediante auto interlocutorio del 6 de noviembre de 2018, el Juzgado Segundo Civil del Circuito de Pereira, R., admitió la demanda que dio origen a</w:t>
      </w:r>
      <w:r w:rsidR="004375AE">
        <w:rPr>
          <w:rFonts w:ascii="Georgia" w:hAnsi="Georgia" w:cs="Arial"/>
          <w:kern w:val="28"/>
          <w:sz w:val="28"/>
          <w:szCs w:val="28"/>
          <w:lang w:eastAsia="es-ES"/>
        </w:rPr>
        <w:t xml:space="preserve"> este </w:t>
      </w:r>
      <w:r w:rsidR="00A01E91">
        <w:rPr>
          <w:rFonts w:ascii="Georgia" w:hAnsi="Georgia" w:cs="Arial"/>
          <w:kern w:val="28"/>
          <w:sz w:val="28"/>
          <w:szCs w:val="28"/>
          <w:lang w:eastAsia="es-ES"/>
        </w:rPr>
        <w:t>proceso</w:t>
      </w:r>
      <w:r w:rsidR="00695ECC">
        <w:rPr>
          <w:rStyle w:val="Refdenotaalpie"/>
          <w:rFonts w:ascii="Georgia" w:hAnsi="Georgia"/>
          <w:kern w:val="28"/>
          <w:sz w:val="28"/>
          <w:szCs w:val="28"/>
          <w:lang w:eastAsia="es-ES"/>
        </w:rPr>
        <w:footnoteReference w:id="3"/>
      </w:r>
      <w:r w:rsidR="00695ECC">
        <w:rPr>
          <w:rFonts w:ascii="Georgia" w:hAnsi="Georgia" w:cs="Arial"/>
          <w:kern w:val="28"/>
          <w:sz w:val="28"/>
          <w:szCs w:val="28"/>
          <w:lang w:eastAsia="es-ES"/>
        </w:rPr>
        <w:t xml:space="preserve">. </w:t>
      </w:r>
    </w:p>
    <w:p w14:paraId="63A618CA" w14:textId="77777777" w:rsidR="0098613A" w:rsidRDefault="0098613A" w:rsidP="00AB0A23">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243EE295" w14:textId="30DB2EFB" w:rsidR="00F622E4" w:rsidRDefault="00F622E4" w:rsidP="00AB0A23">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2.-</w:t>
      </w:r>
      <w:r w:rsidR="0081453A">
        <w:rPr>
          <w:rFonts w:ascii="Georgia" w:hAnsi="Georgia" w:cs="Arial"/>
          <w:kern w:val="28"/>
          <w:sz w:val="28"/>
          <w:szCs w:val="28"/>
          <w:lang w:eastAsia="es-ES"/>
        </w:rPr>
        <w:t xml:space="preserve"> El 27 de enero de 2020, el despacho prorrogó su competencia para proferir Sentencia de primera instancia</w:t>
      </w:r>
      <w:r w:rsidR="00A81156">
        <w:rPr>
          <w:rFonts w:ascii="Georgia" w:hAnsi="Georgia" w:cs="Arial"/>
          <w:kern w:val="28"/>
          <w:sz w:val="28"/>
          <w:szCs w:val="28"/>
          <w:lang w:eastAsia="es-ES"/>
        </w:rPr>
        <w:t xml:space="preserve"> por seis meses más</w:t>
      </w:r>
      <w:r>
        <w:rPr>
          <w:rFonts w:ascii="Georgia" w:hAnsi="Georgia" w:cs="Arial"/>
          <w:kern w:val="28"/>
          <w:sz w:val="28"/>
          <w:szCs w:val="28"/>
          <w:lang w:eastAsia="es-ES"/>
        </w:rPr>
        <w:t xml:space="preserve"> y fijó fecha de audiencia para el 19 de marzo de 2020</w:t>
      </w:r>
      <w:r w:rsidR="0081453A">
        <w:rPr>
          <w:rStyle w:val="Refdenotaalpie"/>
          <w:rFonts w:ascii="Georgia" w:hAnsi="Georgia"/>
          <w:kern w:val="28"/>
          <w:sz w:val="28"/>
          <w:szCs w:val="28"/>
          <w:lang w:eastAsia="es-ES"/>
        </w:rPr>
        <w:footnoteReference w:id="4"/>
      </w:r>
      <w:r w:rsidR="0081453A">
        <w:rPr>
          <w:rFonts w:ascii="Georgia" w:hAnsi="Georgia" w:cs="Arial"/>
          <w:kern w:val="28"/>
          <w:sz w:val="28"/>
          <w:szCs w:val="28"/>
          <w:lang w:eastAsia="es-ES"/>
        </w:rPr>
        <w:t>.</w:t>
      </w:r>
      <w:r w:rsidR="00A81156">
        <w:rPr>
          <w:rFonts w:ascii="Georgia" w:hAnsi="Georgia" w:cs="Arial"/>
          <w:kern w:val="28"/>
          <w:sz w:val="28"/>
          <w:szCs w:val="28"/>
          <w:lang w:eastAsia="es-ES"/>
        </w:rPr>
        <w:t xml:space="preserve"> </w:t>
      </w:r>
    </w:p>
    <w:p w14:paraId="2ED852AA" w14:textId="77777777" w:rsidR="00F622E4" w:rsidRDefault="00F622E4" w:rsidP="00AB0A23">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159C77D4" w14:textId="1F72A831" w:rsidR="00F622E4" w:rsidRDefault="00F622E4" w:rsidP="00AB0A23">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 xml:space="preserve">3.- </w:t>
      </w:r>
      <w:r w:rsidR="00CE3954">
        <w:rPr>
          <w:rFonts w:ascii="Georgia" w:hAnsi="Georgia" w:cs="Arial"/>
          <w:kern w:val="28"/>
          <w:sz w:val="28"/>
          <w:szCs w:val="28"/>
          <w:lang w:eastAsia="es-ES"/>
        </w:rPr>
        <w:t xml:space="preserve">Tras la suspensión de términos judiciales ordenada por el Consejo Superior de la Judicatura a través de diversos </w:t>
      </w:r>
      <w:r w:rsidR="00112FB1">
        <w:rPr>
          <w:rFonts w:ascii="Georgia" w:hAnsi="Georgia" w:cs="Arial"/>
          <w:kern w:val="28"/>
          <w:sz w:val="28"/>
          <w:szCs w:val="28"/>
          <w:lang w:eastAsia="es-ES"/>
        </w:rPr>
        <w:t>A</w:t>
      </w:r>
      <w:r w:rsidR="00CE3954">
        <w:rPr>
          <w:rFonts w:ascii="Georgia" w:hAnsi="Georgia" w:cs="Arial"/>
          <w:kern w:val="28"/>
          <w:sz w:val="28"/>
          <w:szCs w:val="28"/>
          <w:lang w:eastAsia="es-ES"/>
        </w:rPr>
        <w:t>cuerdos</w:t>
      </w:r>
      <w:r w:rsidR="00DD16F1">
        <w:rPr>
          <w:rStyle w:val="Refdenotaalpie"/>
          <w:rFonts w:ascii="Georgia" w:hAnsi="Georgia"/>
          <w:kern w:val="28"/>
          <w:sz w:val="28"/>
          <w:szCs w:val="28"/>
          <w:lang w:eastAsia="es-ES"/>
        </w:rPr>
        <w:footnoteReference w:id="5"/>
      </w:r>
      <w:r w:rsidR="00CE3954">
        <w:rPr>
          <w:rFonts w:ascii="Georgia" w:hAnsi="Georgia" w:cs="Arial"/>
          <w:kern w:val="28"/>
          <w:sz w:val="28"/>
          <w:szCs w:val="28"/>
          <w:lang w:eastAsia="es-ES"/>
        </w:rPr>
        <w:t>, finalmente, pudo llevarse a cabo la audiencia concentrada el día 6 de agosto de 2020</w:t>
      </w:r>
      <w:r w:rsidR="00E3668A">
        <w:rPr>
          <w:rFonts w:ascii="Georgia" w:hAnsi="Georgia" w:cs="Arial"/>
          <w:kern w:val="28"/>
          <w:sz w:val="28"/>
          <w:szCs w:val="28"/>
          <w:lang w:eastAsia="es-ES"/>
        </w:rPr>
        <w:t>; sin embargo, llegada la etapa de control de legalidad, observ</w:t>
      </w:r>
      <w:r w:rsidR="006D7202">
        <w:rPr>
          <w:rFonts w:ascii="Georgia" w:hAnsi="Georgia" w:cs="Arial"/>
          <w:kern w:val="28"/>
          <w:sz w:val="28"/>
          <w:szCs w:val="28"/>
          <w:lang w:eastAsia="es-ES"/>
        </w:rPr>
        <w:t>ó</w:t>
      </w:r>
      <w:r w:rsidR="00E3668A">
        <w:rPr>
          <w:rFonts w:ascii="Georgia" w:hAnsi="Georgia" w:cs="Arial"/>
          <w:kern w:val="28"/>
          <w:sz w:val="28"/>
          <w:szCs w:val="28"/>
          <w:lang w:eastAsia="es-ES"/>
        </w:rPr>
        <w:t xml:space="preserve"> el juez de conocimiento </w:t>
      </w:r>
      <w:r w:rsidR="00DD16F1">
        <w:rPr>
          <w:rFonts w:ascii="Georgia" w:hAnsi="Georgia" w:cs="Arial"/>
          <w:kern w:val="28"/>
          <w:sz w:val="28"/>
          <w:szCs w:val="28"/>
          <w:lang w:eastAsia="es-ES"/>
        </w:rPr>
        <w:t xml:space="preserve">la existencia de un litisconsorcio necesario que </w:t>
      </w:r>
      <w:r w:rsidR="00B25700">
        <w:rPr>
          <w:rFonts w:ascii="Georgia" w:hAnsi="Georgia" w:cs="Arial"/>
          <w:kern w:val="28"/>
          <w:sz w:val="28"/>
          <w:szCs w:val="28"/>
          <w:lang w:eastAsia="es-ES"/>
        </w:rPr>
        <w:t>ordenó integrar,</w:t>
      </w:r>
      <w:r w:rsidR="00CC2304">
        <w:rPr>
          <w:rFonts w:ascii="Georgia" w:hAnsi="Georgia" w:cs="Arial"/>
          <w:kern w:val="28"/>
          <w:sz w:val="28"/>
          <w:szCs w:val="28"/>
          <w:lang w:eastAsia="es-ES"/>
        </w:rPr>
        <w:t xml:space="preserve"> litisconsortes señalados en la parte superior de este auto de segundo grado</w:t>
      </w:r>
      <w:r w:rsidR="007026CF">
        <w:rPr>
          <w:rStyle w:val="Refdenotaalpie"/>
          <w:rFonts w:ascii="Georgia" w:hAnsi="Georgia"/>
          <w:kern w:val="28"/>
          <w:sz w:val="28"/>
          <w:szCs w:val="28"/>
          <w:lang w:eastAsia="es-ES"/>
        </w:rPr>
        <w:footnoteReference w:id="6"/>
      </w:r>
      <w:r w:rsidR="0017177C">
        <w:rPr>
          <w:rFonts w:ascii="Georgia" w:hAnsi="Georgia" w:cs="Arial"/>
          <w:kern w:val="28"/>
          <w:sz w:val="28"/>
          <w:szCs w:val="28"/>
          <w:lang w:eastAsia="es-ES"/>
        </w:rPr>
        <w:t>.</w:t>
      </w:r>
      <w:r w:rsidR="00FF7D95">
        <w:rPr>
          <w:rFonts w:ascii="Georgia" w:hAnsi="Georgia" w:cs="Arial"/>
          <w:kern w:val="28"/>
          <w:sz w:val="28"/>
          <w:szCs w:val="28"/>
          <w:lang w:eastAsia="es-ES"/>
        </w:rPr>
        <w:t xml:space="preserve"> </w:t>
      </w:r>
    </w:p>
    <w:p w14:paraId="58923D08" w14:textId="77777777" w:rsidR="00F622E4" w:rsidRDefault="00F622E4" w:rsidP="00AB0A23">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4C4397DD" w14:textId="5AD85B27" w:rsidR="00C67506" w:rsidRDefault="00F622E4" w:rsidP="00AB0A23">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 xml:space="preserve">4.- </w:t>
      </w:r>
      <w:r w:rsidR="00FF7D95">
        <w:rPr>
          <w:rFonts w:ascii="Georgia" w:hAnsi="Georgia" w:cs="Arial"/>
          <w:kern w:val="28"/>
          <w:sz w:val="28"/>
          <w:szCs w:val="28"/>
          <w:lang w:eastAsia="es-ES"/>
        </w:rPr>
        <w:t xml:space="preserve">El 1 de febrero de 2022, nuevamente en audiencia concentrada, se identifica que el emplazamiento de los litisconsortes necesarios no se realizó en debida forma, configurándose la nulidad de lo actuado hasta el momento en virtud del </w:t>
      </w:r>
      <w:r w:rsidR="00787CA6">
        <w:rPr>
          <w:rFonts w:ascii="Georgia" w:hAnsi="Georgia" w:cs="Arial"/>
          <w:kern w:val="28"/>
          <w:sz w:val="28"/>
          <w:szCs w:val="28"/>
          <w:lang w:eastAsia="es-ES"/>
        </w:rPr>
        <w:t>numeral 8 del artículo 133</w:t>
      </w:r>
      <w:r w:rsidR="00115EE5">
        <w:rPr>
          <w:rFonts w:ascii="Georgia" w:hAnsi="Georgia" w:cs="Arial"/>
          <w:kern w:val="28"/>
          <w:sz w:val="28"/>
          <w:szCs w:val="28"/>
          <w:lang w:eastAsia="es-ES"/>
        </w:rPr>
        <w:t xml:space="preserve"> del estatuto procesal</w:t>
      </w:r>
      <w:r w:rsidR="00787CA6">
        <w:rPr>
          <w:rFonts w:ascii="Georgia" w:hAnsi="Georgia" w:cs="Arial"/>
          <w:kern w:val="28"/>
          <w:sz w:val="28"/>
          <w:szCs w:val="28"/>
          <w:lang w:eastAsia="es-ES"/>
        </w:rPr>
        <w:t xml:space="preserve">. Toda vez que, la parte demandada denunció canales de </w:t>
      </w:r>
      <w:r w:rsidR="00787CA6">
        <w:rPr>
          <w:rFonts w:ascii="Georgia" w:hAnsi="Georgia" w:cs="Arial"/>
          <w:kern w:val="28"/>
          <w:sz w:val="28"/>
          <w:szCs w:val="28"/>
          <w:lang w:eastAsia="es-ES"/>
        </w:rPr>
        <w:lastRenderedPageBreak/>
        <w:t>notificación de los litisconsortes, el despacho ordenó a la parte demandante proceder de conformidad y notificar a aquellos en un plazo de 30 días</w:t>
      </w:r>
      <w:r w:rsidR="00115EE5">
        <w:rPr>
          <w:rFonts w:ascii="Georgia" w:hAnsi="Georgia" w:cs="Arial"/>
          <w:kern w:val="28"/>
          <w:sz w:val="28"/>
          <w:szCs w:val="28"/>
          <w:lang w:eastAsia="es-ES"/>
        </w:rPr>
        <w:t>,</w:t>
      </w:r>
      <w:r w:rsidR="00787CA6">
        <w:rPr>
          <w:rFonts w:ascii="Georgia" w:hAnsi="Georgia" w:cs="Arial"/>
          <w:kern w:val="28"/>
          <w:sz w:val="28"/>
          <w:szCs w:val="28"/>
          <w:lang w:eastAsia="es-ES"/>
        </w:rPr>
        <w:t xml:space="preserve"> so pena del desistimiento tácito</w:t>
      </w:r>
      <w:r w:rsidR="00C75C71">
        <w:rPr>
          <w:rFonts w:ascii="Georgia" w:hAnsi="Georgia" w:cs="Arial"/>
          <w:kern w:val="28"/>
          <w:sz w:val="28"/>
          <w:szCs w:val="28"/>
          <w:lang w:eastAsia="es-ES"/>
        </w:rPr>
        <w:t xml:space="preserve"> (</w:t>
      </w:r>
      <w:r w:rsidR="00B045EE">
        <w:rPr>
          <w:rFonts w:ascii="Georgia" w:hAnsi="Georgia" w:cs="Arial"/>
          <w:kern w:val="28"/>
          <w:sz w:val="28"/>
          <w:szCs w:val="28"/>
          <w:lang w:eastAsia="es-ES"/>
        </w:rPr>
        <w:t>prevención</w:t>
      </w:r>
      <w:r w:rsidR="00C75C71">
        <w:rPr>
          <w:rFonts w:ascii="Georgia" w:hAnsi="Georgia" w:cs="Arial"/>
          <w:kern w:val="28"/>
          <w:sz w:val="28"/>
          <w:szCs w:val="28"/>
          <w:lang w:eastAsia="es-ES"/>
        </w:rPr>
        <w:t xml:space="preserve"> que sería reiterativa durante todo el devenir procesal)</w:t>
      </w:r>
      <w:r w:rsidR="00E02A92">
        <w:rPr>
          <w:rFonts w:ascii="Georgia" w:hAnsi="Georgia" w:cs="Arial"/>
          <w:kern w:val="28"/>
          <w:sz w:val="28"/>
          <w:szCs w:val="28"/>
          <w:lang w:eastAsia="es-ES"/>
        </w:rPr>
        <w:t>; ninguno de los apoderados interpuso recursos</w:t>
      </w:r>
      <w:r w:rsidR="00E02A92">
        <w:rPr>
          <w:rStyle w:val="Refdenotaalpie"/>
          <w:rFonts w:ascii="Georgia" w:hAnsi="Georgia"/>
          <w:kern w:val="28"/>
          <w:sz w:val="28"/>
          <w:szCs w:val="28"/>
          <w:lang w:eastAsia="es-ES"/>
        </w:rPr>
        <w:footnoteReference w:id="7"/>
      </w:r>
      <w:r w:rsidR="00E02A92">
        <w:rPr>
          <w:rFonts w:ascii="Georgia" w:hAnsi="Georgia" w:cs="Arial"/>
          <w:kern w:val="28"/>
          <w:sz w:val="28"/>
          <w:szCs w:val="28"/>
          <w:lang w:eastAsia="es-ES"/>
        </w:rPr>
        <w:t xml:space="preserve">. </w:t>
      </w:r>
    </w:p>
    <w:p w14:paraId="40BF062A" w14:textId="77777777" w:rsidR="00C67506" w:rsidRDefault="00C67506" w:rsidP="00AB0A23">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482EA272" w14:textId="6B9C803F" w:rsidR="00422983" w:rsidRDefault="00BB5662" w:rsidP="00AB0A23">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 xml:space="preserve">5.- </w:t>
      </w:r>
      <w:r w:rsidR="00422983">
        <w:rPr>
          <w:rFonts w:ascii="Georgia" w:hAnsi="Georgia" w:cs="Arial"/>
          <w:kern w:val="28"/>
          <w:sz w:val="28"/>
          <w:szCs w:val="28"/>
          <w:lang w:eastAsia="es-ES"/>
        </w:rPr>
        <w:t>A partir de allí, la parte demandante presentaría cinco (5) informes de notificación personal, desde el 10 de marzo de 2022 hasta el 14 de febrero de 2024, todos los cuales, no obstante, resultarían insuficientes para acreditar la notificación personal a los litisconsortes María Virgelina Pescador Parra y Omar de Jesús Arias Pareja</w:t>
      </w:r>
      <w:r w:rsidR="00B045EE">
        <w:rPr>
          <w:rFonts w:ascii="Georgia" w:hAnsi="Georgia" w:cs="Arial"/>
          <w:kern w:val="28"/>
          <w:sz w:val="28"/>
          <w:szCs w:val="28"/>
          <w:lang w:eastAsia="es-ES"/>
        </w:rPr>
        <w:t xml:space="preserve">, </w:t>
      </w:r>
      <w:r w:rsidR="009E299C">
        <w:rPr>
          <w:rFonts w:ascii="Georgia" w:hAnsi="Georgia" w:cs="Arial"/>
          <w:kern w:val="28"/>
          <w:sz w:val="28"/>
          <w:szCs w:val="28"/>
          <w:lang w:eastAsia="es-ES"/>
        </w:rPr>
        <w:t xml:space="preserve">lo que terminaría </w:t>
      </w:r>
      <w:r w:rsidR="00B045EE">
        <w:rPr>
          <w:rFonts w:ascii="Georgia" w:hAnsi="Georgia" w:cs="Arial"/>
          <w:kern w:val="28"/>
          <w:sz w:val="28"/>
          <w:szCs w:val="28"/>
          <w:lang w:eastAsia="es-ES"/>
        </w:rPr>
        <w:t>generando</w:t>
      </w:r>
      <w:r w:rsidR="009E299C">
        <w:rPr>
          <w:rFonts w:ascii="Georgia" w:hAnsi="Georgia" w:cs="Arial"/>
          <w:kern w:val="28"/>
          <w:sz w:val="28"/>
          <w:szCs w:val="28"/>
          <w:lang w:eastAsia="es-ES"/>
        </w:rPr>
        <w:t>,</w:t>
      </w:r>
      <w:r w:rsidR="00B045EE">
        <w:rPr>
          <w:rFonts w:ascii="Georgia" w:hAnsi="Georgia" w:cs="Arial"/>
          <w:kern w:val="28"/>
          <w:sz w:val="28"/>
          <w:szCs w:val="28"/>
          <w:lang w:eastAsia="es-ES"/>
        </w:rPr>
        <w:t xml:space="preserve"> a la postre</w:t>
      </w:r>
      <w:r w:rsidR="009E299C">
        <w:rPr>
          <w:rFonts w:ascii="Georgia" w:hAnsi="Georgia" w:cs="Arial"/>
          <w:kern w:val="28"/>
          <w:sz w:val="28"/>
          <w:szCs w:val="28"/>
          <w:lang w:eastAsia="es-ES"/>
        </w:rPr>
        <w:t>,</w:t>
      </w:r>
      <w:r w:rsidR="00B045EE">
        <w:rPr>
          <w:rFonts w:ascii="Georgia" w:hAnsi="Georgia" w:cs="Arial"/>
          <w:kern w:val="28"/>
          <w:sz w:val="28"/>
          <w:szCs w:val="28"/>
          <w:lang w:eastAsia="es-ES"/>
        </w:rPr>
        <w:t xml:space="preserve"> la declaratoria de desistimiento tácito</w:t>
      </w:r>
      <w:r w:rsidR="00422983">
        <w:rPr>
          <w:rFonts w:ascii="Georgia" w:hAnsi="Georgia" w:cs="Arial"/>
          <w:kern w:val="28"/>
          <w:sz w:val="28"/>
          <w:szCs w:val="28"/>
          <w:lang w:eastAsia="es-ES"/>
        </w:rPr>
        <w:t>.</w:t>
      </w:r>
    </w:p>
    <w:p w14:paraId="16D9A25F" w14:textId="3636D826" w:rsidR="00422983" w:rsidRDefault="00422983" w:rsidP="00AB0A23">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1399739E" w14:textId="52C53D88" w:rsidR="00687690" w:rsidRDefault="00687690" w:rsidP="00AB0A23">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6.- Debe mencionarse que e</w:t>
      </w:r>
      <w:r w:rsidR="00764EBF">
        <w:rPr>
          <w:rFonts w:ascii="Georgia" w:hAnsi="Georgia" w:cs="Arial"/>
          <w:kern w:val="28"/>
          <w:sz w:val="28"/>
          <w:szCs w:val="28"/>
          <w:lang w:eastAsia="es-ES"/>
        </w:rPr>
        <w:t xml:space="preserve">l día 25 de mayo de 2022, </w:t>
      </w:r>
      <w:r w:rsidR="00576FF9">
        <w:rPr>
          <w:rFonts w:ascii="Georgia" w:hAnsi="Georgia" w:cs="Arial"/>
          <w:kern w:val="28"/>
          <w:sz w:val="28"/>
          <w:szCs w:val="28"/>
          <w:lang w:eastAsia="es-ES"/>
        </w:rPr>
        <w:t>a instancias del correo electrónico del Juzgado de conocimiento</w:t>
      </w:r>
      <w:r w:rsidR="002C3C4A">
        <w:rPr>
          <w:rFonts w:ascii="Georgia" w:hAnsi="Georgia" w:cs="Arial"/>
          <w:kern w:val="28"/>
          <w:sz w:val="28"/>
          <w:szCs w:val="28"/>
          <w:lang w:eastAsia="es-ES"/>
        </w:rPr>
        <w:t xml:space="preserve">, </w:t>
      </w:r>
      <w:r w:rsidR="00576FF9">
        <w:rPr>
          <w:rFonts w:ascii="Georgia" w:hAnsi="Georgia" w:cs="Arial"/>
          <w:kern w:val="28"/>
          <w:sz w:val="28"/>
          <w:szCs w:val="28"/>
          <w:lang w:eastAsia="es-ES"/>
        </w:rPr>
        <w:t>lleg</w:t>
      </w:r>
      <w:r w:rsidR="00667F1C">
        <w:rPr>
          <w:rFonts w:ascii="Georgia" w:hAnsi="Georgia" w:cs="Arial"/>
          <w:kern w:val="28"/>
          <w:sz w:val="28"/>
          <w:szCs w:val="28"/>
          <w:lang w:eastAsia="es-ES"/>
        </w:rPr>
        <w:t>ó</w:t>
      </w:r>
      <w:r w:rsidR="00576FF9">
        <w:rPr>
          <w:rFonts w:ascii="Georgia" w:hAnsi="Georgia" w:cs="Arial"/>
          <w:kern w:val="28"/>
          <w:sz w:val="28"/>
          <w:szCs w:val="28"/>
          <w:lang w:eastAsia="es-ES"/>
        </w:rPr>
        <w:t xml:space="preserve"> una comunicación de Omar de Jesús Arias Pareja, solicitando se resuelva su vinculación al proceso</w:t>
      </w:r>
      <w:r w:rsidR="000942A8">
        <w:rPr>
          <w:rFonts w:ascii="Georgia" w:hAnsi="Georgia" w:cs="Arial"/>
          <w:kern w:val="28"/>
          <w:sz w:val="28"/>
          <w:szCs w:val="28"/>
          <w:lang w:eastAsia="es-ES"/>
        </w:rPr>
        <w:t xml:space="preserve"> y</w:t>
      </w:r>
      <w:r w:rsidR="004F1965">
        <w:rPr>
          <w:rFonts w:ascii="Georgia" w:hAnsi="Georgia" w:cs="Arial"/>
          <w:kern w:val="28"/>
          <w:sz w:val="28"/>
          <w:szCs w:val="28"/>
          <w:lang w:eastAsia="es-ES"/>
        </w:rPr>
        <w:t xml:space="preserve"> se le conceda amparo de pobreza</w:t>
      </w:r>
      <w:r w:rsidR="000942A8">
        <w:rPr>
          <w:rFonts w:ascii="Georgia" w:hAnsi="Georgia" w:cs="Arial"/>
          <w:kern w:val="28"/>
          <w:sz w:val="28"/>
          <w:szCs w:val="28"/>
          <w:lang w:eastAsia="es-ES"/>
        </w:rPr>
        <w:t xml:space="preserve">; </w:t>
      </w:r>
      <w:r w:rsidR="00576FF9">
        <w:rPr>
          <w:rFonts w:ascii="Georgia" w:hAnsi="Georgia" w:cs="Arial"/>
          <w:kern w:val="28"/>
          <w:sz w:val="28"/>
          <w:szCs w:val="28"/>
          <w:lang w:eastAsia="es-ES"/>
        </w:rPr>
        <w:t xml:space="preserve">anexando, además, el mismo número de teléfono denunciado previamente por la </w:t>
      </w:r>
      <w:r w:rsidR="00D14D41">
        <w:rPr>
          <w:rFonts w:ascii="Georgia" w:hAnsi="Georgia" w:cs="Arial"/>
          <w:kern w:val="28"/>
          <w:sz w:val="28"/>
          <w:szCs w:val="28"/>
          <w:lang w:eastAsia="es-ES"/>
        </w:rPr>
        <w:t>demandada</w:t>
      </w:r>
      <w:r w:rsidR="00576FF9">
        <w:rPr>
          <w:rFonts w:ascii="Georgia" w:hAnsi="Georgia" w:cs="Arial"/>
          <w:kern w:val="28"/>
          <w:sz w:val="28"/>
          <w:szCs w:val="28"/>
          <w:lang w:eastAsia="es-ES"/>
        </w:rPr>
        <w:t xml:space="preserve"> como canal de notificación, para efectos de que se le informara lo pertinente</w:t>
      </w:r>
      <w:r w:rsidR="00576FF9">
        <w:rPr>
          <w:rStyle w:val="Refdenotaalpie"/>
          <w:rFonts w:ascii="Georgia" w:hAnsi="Georgia"/>
          <w:kern w:val="28"/>
          <w:sz w:val="28"/>
          <w:szCs w:val="28"/>
          <w:lang w:eastAsia="es-ES"/>
        </w:rPr>
        <w:footnoteReference w:id="8"/>
      </w:r>
      <w:r w:rsidR="004F1965">
        <w:rPr>
          <w:rFonts w:ascii="Georgia" w:hAnsi="Georgia" w:cs="Arial"/>
          <w:kern w:val="28"/>
          <w:sz w:val="28"/>
          <w:szCs w:val="28"/>
          <w:lang w:eastAsia="es-ES"/>
        </w:rPr>
        <w:t xml:space="preserve">. </w:t>
      </w:r>
    </w:p>
    <w:p w14:paraId="589D0752" w14:textId="77777777" w:rsidR="00687690" w:rsidRDefault="00687690" w:rsidP="00AB0A23">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49B64D58" w14:textId="28DA41CF" w:rsidR="00687690" w:rsidRDefault="00687690" w:rsidP="00AB0A23">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 xml:space="preserve">7.- </w:t>
      </w:r>
      <w:r w:rsidR="005C1B12">
        <w:rPr>
          <w:rFonts w:ascii="Georgia" w:hAnsi="Georgia" w:cs="Arial"/>
          <w:kern w:val="28"/>
          <w:sz w:val="28"/>
          <w:szCs w:val="28"/>
          <w:lang w:eastAsia="es-ES"/>
        </w:rPr>
        <w:t>Mediante auto del 14 de abril de 2023, e</w:t>
      </w:r>
      <w:r w:rsidR="001302AB">
        <w:rPr>
          <w:rFonts w:ascii="Georgia" w:hAnsi="Georgia" w:cs="Arial"/>
          <w:kern w:val="28"/>
          <w:sz w:val="28"/>
          <w:szCs w:val="28"/>
          <w:lang w:eastAsia="es-ES"/>
        </w:rPr>
        <w:t>l Juzgado</w:t>
      </w:r>
      <w:r w:rsidR="005C1B12">
        <w:rPr>
          <w:rFonts w:ascii="Georgia" w:hAnsi="Georgia" w:cs="Arial"/>
          <w:kern w:val="28"/>
          <w:sz w:val="28"/>
          <w:szCs w:val="28"/>
          <w:lang w:eastAsia="es-ES"/>
        </w:rPr>
        <w:t xml:space="preserve"> de conocimiento</w:t>
      </w:r>
      <w:r>
        <w:rPr>
          <w:rFonts w:ascii="Georgia" w:hAnsi="Georgia" w:cs="Arial"/>
          <w:kern w:val="28"/>
          <w:sz w:val="28"/>
          <w:szCs w:val="28"/>
          <w:lang w:eastAsia="es-ES"/>
        </w:rPr>
        <w:t>, entre otras cosas</w:t>
      </w:r>
      <w:r w:rsidR="005C1B12">
        <w:rPr>
          <w:rFonts w:ascii="Georgia" w:hAnsi="Georgia" w:cs="Arial"/>
          <w:kern w:val="28"/>
          <w:sz w:val="28"/>
          <w:szCs w:val="28"/>
          <w:lang w:eastAsia="es-ES"/>
        </w:rPr>
        <w:t xml:space="preserve">: (i) accedió al emplazamiento del litisconsorte José Fernando Marín </w:t>
      </w:r>
      <w:r w:rsidR="009E299C">
        <w:rPr>
          <w:rFonts w:ascii="Georgia" w:hAnsi="Georgia" w:cs="Arial"/>
          <w:kern w:val="28"/>
          <w:sz w:val="28"/>
          <w:szCs w:val="28"/>
          <w:lang w:eastAsia="es-ES"/>
        </w:rPr>
        <w:t xml:space="preserve">Ospina, </w:t>
      </w:r>
      <w:r w:rsidR="005C1B12">
        <w:rPr>
          <w:rFonts w:ascii="Georgia" w:hAnsi="Georgia" w:cs="Arial"/>
          <w:kern w:val="28"/>
          <w:sz w:val="28"/>
          <w:szCs w:val="28"/>
          <w:lang w:eastAsia="es-ES"/>
        </w:rPr>
        <w:t>(</w:t>
      </w:r>
      <w:proofErr w:type="spellStart"/>
      <w:r w:rsidR="005C1B12">
        <w:rPr>
          <w:rFonts w:ascii="Georgia" w:hAnsi="Georgia" w:cs="Arial"/>
          <w:kern w:val="28"/>
          <w:sz w:val="28"/>
          <w:szCs w:val="28"/>
          <w:lang w:eastAsia="es-ES"/>
        </w:rPr>
        <w:t>ii</w:t>
      </w:r>
      <w:proofErr w:type="spellEnd"/>
      <w:r w:rsidR="005C1B12">
        <w:rPr>
          <w:rFonts w:ascii="Georgia" w:hAnsi="Georgia" w:cs="Arial"/>
          <w:kern w:val="28"/>
          <w:sz w:val="28"/>
          <w:szCs w:val="28"/>
          <w:lang w:eastAsia="es-ES"/>
        </w:rPr>
        <w:t xml:space="preserve">) no accedió a darle trámite a la solicitud de amparo de pobreza y en su lugar ordenó remitir comunicación en tal sentido </w:t>
      </w:r>
      <w:r w:rsidR="00CE0AE9">
        <w:rPr>
          <w:rFonts w:ascii="Georgia" w:hAnsi="Georgia" w:cs="Arial"/>
          <w:kern w:val="28"/>
          <w:sz w:val="28"/>
          <w:szCs w:val="28"/>
          <w:lang w:eastAsia="es-ES"/>
        </w:rPr>
        <w:t>al señor</w:t>
      </w:r>
      <w:r w:rsidR="005C1B12">
        <w:rPr>
          <w:rFonts w:ascii="Georgia" w:hAnsi="Georgia" w:cs="Arial"/>
          <w:kern w:val="28"/>
          <w:sz w:val="28"/>
          <w:szCs w:val="28"/>
          <w:lang w:eastAsia="es-ES"/>
        </w:rPr>
        <w:t xml:space="preserve"> Arias </w:t>
      </w:r>
      <w:r w:rsidR="000942A8">
        <w:rPr>
          <w:rFonts w:ascii="Georgia" w:hAnsi="Georgia" w:cs="Arial"/>
          <w:kern w:val="28"/>
          <w:sz w:val="28"/>
          <w:szCs w:val="28"/>
          <w:lang w:eastAsia="es-ES"/>
        </w:rPr>
        <w:t>P</w:t>
      </w:r>
      <w:r w:rsidR="005C1B12">
        <w:rPr>
          <w:rFonts w:ascii="Georgia" w:hAnsi="Georgia" w:cs="Arial"/>
          <w:kern w:val="28"/>
          <w:sz w:val="28"/>
          <w:szCs w:val="28"/>
          <w:lang w:eastAsia="es-ES"/>
        </w:rPr>
        <w:t>areja para que adecuara la misma conforme a las normas procesales</w:t>
      </w:r>
    </w:p>
    <w:p w14:paraId="394EE3C1" w14:textId="77777777" w:rsidR="00687690" w:rsidRDefault="00687690" w:rsidP="00AB0A23">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4B1CE9F9" w14:textId="0B014B0F" w:rsidR="00687690" w:rsidRDefault="00687690" w:rsidP="00AB0A23">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8.- El apoderado</w:t>
      </w:r>
      <w:r w:rsidR="00BD5038">
        <w:rPr>
          <w:rFonts w:ascii="Georgia" w:hAnsi="Georgia" w:cs="Arial"/>
          <w:kern w:val="28"/>
          <w:sz w:val="28"/>
          <w:szCs w:val="28"/>
          <w:lang w:eastAsia="es-ES"/>
        </w:rPr>
        <w:t xml:space="preserve"> de la parte demandante, el 26 de enero de 2024, entre otras cosas, solicitó al despacho declarar la notificación por conducta concluyente de Omar de Jesús Arias Pareja</w:t>
      </w:r>
      <w:r w:rsidR="00E04356">
        <w:rPr>
          <w:rStyle w:val="Refdenotaalpie"/>
          <w:rFonts w:ascii="Georgia" w:hAnsi="Georgia"/>
          <w:kern w:val="28"/>
          <w:sz w:val="28"/>
          <w:szCs w:val="28"/>
          <w:lang w:eastAsia="es-ES"/>
        </w:rPr>
        <w:footnoteReference w:id="9"/>
      </w:r>
      <w:r w:rsidR="00BD5038">
        <w:rPr>
          <w:rFonts w:ascii="Georgia" w:hAnsi="Georgia" w:cs="Arial"/>
          <w:kern w:val="28"/>
          <w:sz w:val="28"/>
          <w:szCs w:val="28"/>
          <w:lang w:eastAsia="es-ES"/>
        </w:rPr>
        <w:t>.</w:t>
      </w:r>
      <w:r w:rsidR="00C92CE7">
        <w:rPr>
          <w:rFonts w:ascii="Georgia" w:hAnsi="Georgia" w:cs="Arial"/>
          <w:kern w:val="28"/>
          <w:sz w:val="28"/>
          <w:szCs w:val="28"/>
          <w:lang w:eastAsia="es-ES"/>
        </w:rPr>
        <w:t xml:space="preserve"> </w:t>
      </w:r>
    </w:p>
    <w:p w14:paraId="17006B63" w14:textId="77777777" w:rsidR="00687690" w:rsidRDefault="00687690" w:rsidP="00AB0A23">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07144F90" w14:textId="1B6AD9BB" w:rsidR="009446F8" w:rsidRDefault="00687690" w:rsidP="00F4338C">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9.-P</w:t>
      </w:r>
      <w:r w:rsidR="00BD5038">
        <w:rPr>
          <w:rFonts w:ascii="Georgia" w:hAnsi="Georgia" w:cs="Arial"/>
          <w:kern w:val="28"/>
          <w:sz w:val="28"/>
          <w:szCs w:val="28"/>
          <w:lang w:eastAsia="es-ES"/>
        </w:rPr>
        <w:t>or su parte</w:t>
      </w:r>
      <w:r w:rsidR="00E04356">
        <w:rPr>
          <w:rFonts w:ascii="Georgia" w:hAnsi="Georgia" w:cs="Arial"/>
          <w:kern w:val="28"/>
          <w:sz w:val="28"/>
          <w:szCs w:val="28"/>
          <w:lang w:eastAsia="es-ES"/>
        </w:rPr>
        <w:t>,</w:t>
      </w:r>
      <w:r w:rsidR="00BD5038">
        <w:rPr>
          <w:rFonts w:ascii="Georgia" w:hAnsi="Georgia" w:cs="Arial"/>
          <w:kern w:val="28"/>
          <w:sz w:val="28"/>
          <w:szCs w:val="28"/>
          <w:lang w:eastAsia="es-ES"/>
        </w:rPr>
        <w:t xml:space="preserve"> l</w:t>
      </w:r>
      <w:r w:rsidR="00060C7D">
        <w:rPr>
          <w:rFonts w:ascii="Georgia" w:hAnsi="Georgia" w:cs="Arial"/>
          <w:kern w:val="28"/>
          <w:sz w:val="28"/>
          <w:szCs w:val="28"/>
          <w:lang w:eastAsia="es-ES"/>
        </w:rPr>
        <w:t xml:space="preserve">a apoderada de </w:t>
      </w:r>
      <w:r>
        <w:rPr>
          <w:rFonts w:ascii="Georgia" w:hAnsi="Georgia" w:cs="Arial"/>
          <w:kern w:val="28"/>
          <w:sz w:val="28"/>
          <w:szCs w:val="28"/>
          <w:lang w:eastAsia="es-ES"/>
        </w:rPr>
        <w:t>la demandada</w:t>
      </w:r>
      <w:r w:rsidR="00060C7D">
        <w:rPr>
          <w:rFonts w:ascii="Georgia" w:hAnsi="Georgia" w:cs="Arial"/>
          <w:kern w:val="28"/>
          <w:sz w:val="28"/>
          <w:szCs w:val="28"/>
          <w:lang w:eastAsia="es-ES"/>
        </w:rPr>
        <w:t xml:space="preserve"> allegó solicitud de declaración de desistimiento tácito, el 30 de enero de 2024</w:t>
      </w:r>
      <w:r w:rsidR="00C92CE7">
        <w:rPr>
          <w:rStyle w:val="Refdenotaalpie"/>
          <w:rFonts w:ascii="Georgia" w:hAnsi="Georgia"/>
          <w:kern w:val="28"/>
          <w:sz w:val="28"/>
          <w:szCs w:val="28"/>
          <w:lang w:eastAsia="es-ES"/>
        </w:rPr>
        <w:footnoteReference w:id="10"/>
      </w:r>
      <w:r w:rsidR="00060C7D">
        <w:rPr>
          <w:rFonts w:ascii="Georgia" w:hAnsi="Georgia" w:cs="Arial"/>
          <w:kern w:val="28"/>
          <w:sz w:val="28"/>
          <w:szCs w:val="28"/>
          <w:lang w:eastAsia="es-ES"/>
        </w:rPr>
        <w:t>,</w:t>
      </w:r>
      <w:r w:rsidR="00E04356">
        <w:rPr>
          <w:rFonts w:ascii="Georgia" w:hAnsi="Georgia" w:cs="Arial"/>
          <w:kern w:val="28"/>
          <w:sz w:val="28"/>
          <w:szCs w:val="28"/>
          <w:lang w:eastAsia="es-ES"/>
        </w:rPr>
        <w:t xml:space="preserve"> la cual sería despachada favorablemente por el </w:t>
      </w:r>
      <w:r w:rsidR="0021576A">
        <w:rPr>
          <w:rFonts w:ascii="Georgia" w:hAnsi="Georgia" w:cs="Arial"/>
          <w:kern w:val="28"/>
          <w:sz w:val="28"/>
          <w:szCs w:val="28"/>
          <w:lang w:eastAsia="es-ES"/>
        </w:rPr>
        <w:t>J</w:t>
      </w:r>
      <w:r w:rsidR="00C92CE7">
        <w:rPr>
          <w:rFonts w:ascii="Georgia" w:hAnsi="Georgia" w:cs="Arial"/>
          <w:kern w:val="28"/>
          <w:sz w:val="28"/>
          <w:szCs w:val="28"/>
          <w:lang w:eastAsia="es-ES"/>
        </w:rPr>
        <w:t>uzgado</w:t>
      </w:r>
      <w:r w:rsidR="00E04356">
        <w:rPr>
          <w:rFonts w:ascii="Georgia" w:hAnsi="Georgia" w:cs="Arial"/>
          <w:kern w:val="28"/>
          <w:sz w:val="28"/>
          <w:szCs w:val="28"/>
          <w:lang w:eastAsia="es-ES"/>
        </w:rPr>
        <w:t xml:space="preserve"> a través del auto del 16 de mayo de 2024</w:t>
      </w:r>
      <w:r w:rsidR="00E428E5">
        <w:rPr>
          <w:rFonts w:ascii="Georgia" w:hAnsi="Georgia" w:cs="Arial"/>
          <w:kern w:val="28"/>
          <w:sz w:val="28"/>
          <w:szCs w:val="28"/>
          <w:lang w:eastAsia="es-ES"/>
        </w:rPr>
        <w:t xml:space="preserve"> que declaró la terminación del proceso en virtud de lo contemplado por el art. 317 de la Ley 1564 de 2012</w:t>
      </w:r>
      <w:r w:rsidR="00FF6A0D">
        <w:rPr>
          <w:rFonts w:ascii="Georgia" w:hAnsi="Georgia" w:cs="Arial"/>
          <w:kern w:val="28"/>
          <w:sz w:val="28"/>
          <w:szCs w:val="28"/>
          <w:lang w:eastAsia="es-ES"/>
        </w:rPr>
        <w:t xml:space="preserve">, </w:t>
      </w:r>
      <w:r w:rsidR="00DE2C94">
        <w:rPr>
          <w:rFonts w:ascii="Georgia" w:hAnsi="Georgia" w:cs="Arial"/>
          <w:kern w:val="28"/>
          <w:sz w:val="28"/>
          <w:szCs w:val="28"/>
          <w:lang w:eastAsia="es-ES"/>
        </w:rPr>
        <w:t>y</w:t>
      </w:r>
      <w:r w:rsidR="00FF6A0D">
        <w:rPr>
          <w:rFonts w:ascii="Georgia" w:hAnsi="Georgia" w:cs="Arial"/>
          <w:kern w:val="28"/>
          <w:sz w:val="28"/>
          <w:szCs w:val="28"/>
          <w:lang w:eastAsia="es-ES"/>
        </w:rPr>
        <w:t xml:space="preserve"> es la</w:t>
      </w:r>
    </w:p>
    <w:p w14:paraId="6B01998E" w14:textId="77777777" w:rsidR="00316623" w:rsidRDefault="00316623" w:rsidP="00E519FE">
      <w:pPr>
        <w:pStyle w:val="paragraph"/>
        <w:spacing w:before="0" w:beforeAutospacing="0" w:after="0" w:afterAutospacing="0" w:line="360" w:lineRule="auto"/>
        <w:jc w:val="center"/>
        <w:textAlignment w:val="baseline"/>
        <w:rPr>
          <w:rFonts w:ascii="Georgia" w:hAnsi="Georgia" w:cs="Arial"/>
          <w:b/>
          <w:bCs/>
          <w:kern w:val="28"/>
          <w:sz w:val="28"/>
          <w:szCs w:val="28"/>
          <w:lang w:eastAsia="es-ES"/>
        </w:rPr>
      </w:pPr>
    </w:p>
    <w:p w14:paraId="19AEF584" w14:textId="370236EB" w:rsidR="00E519FE" w:rsidRDefault="00E519FE" w:rsidP="00E519FE">
      <w:pPr>
        <w:pStyle w:val="paragraph"/>
        <w:spacing w:before="0" w:beforeAutospacing="0" w:after="0" w:afterAutospacing="0" w:line="360" w:lineRule="auto"/>
        <w:jc w:val="center"/>
        <w:textAlignment w:val="baseline"/>
        <w:rPr>
          <w:rFonts w:ascii="Georgia" w:hAnsi="Georgia" w:cs="Arial"/>
          <w:b/>
          <w:bCs/>
          <w:kern w:val="28"/>
          <w:sz w:val="28"/>
          <w:szCs w:val="28"/>
          <w:lang w:eastAsia="es-ES"/>
        </w:rPr>
      </w:pPr>
      <w:r>
        <w:rPr>
          <w:rFonts w:ascii="Georgia" w:hAnsi="Georgia" w:cs="Arial"/>
          <w:b/>
          <w:bCs/>
          <w:kern w:val="28"/>
          <w:sz w:val="28"/>
          <w:szCs w:val="28"/>
          <w:lang w:eastAsia="es-ES"/>
        </w:rPr>
        <w:t>Decisión apelada</w:t>
      </w:r>
    </w:p>
    <w:p w14:paraId="680D7CBA" w14:textId="77777777" w:rsidR="00E519FE" w:rsidRDefault="00E519FE" w:rsidP="00E519FE">
      <w:pPr>
        <w:pStyle w:val="paragraph"/>
        <w:spacing w:before="0" w:beforeAutospacing="0" w:after="0" w:afterAutospacing="0" w:line="360" w:lineRule="auto"/>
        <w:textAlignment w:val="baseline"/>
        <w:rPr>
          <w:rFonts w:ascii="Georgia" w:hAnsi="Georgia" w:cs="Arial"/>
          <w:kern w:val="28"/>
          <w:sz w:val="28"/>
          <w:szCs w:val="28"/>
          <w:lang w:eastAsia="es-ES"/>
        </w:rPr>
      </w:pPr>
    </w:p>
    <w:p w14:paraId="72887AB9" w14:textId="424B48B4" w:rsidR="00F13141" w:rsidRDefault="00DE2C94" w:rsidP="00F4338C">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L</w:t>
      </w:r>
      <w:r w:rsidR="0019500F">
        <w:rPr>
          <w:rFonts w:ascii="Georgia" w:hAnsi="Georgia" w:cs="Arial"/>
          <w:kern w:val="28"/>
          <w:sz w:val="28"/>
          <w:szCs w:val="28"/>
          <w:lang w:eastAsia="es-ES"/>
        </w:rPr>
        <w:t xml:space="preserve">uego de </w:t>
      </w:r>
      <w:r w:rsidR="00F13141">
        <w:rPr>
          <w:rFonts w:ascii="Georgia" w:hAnsi="Georgia" w:cs="Arial"/>
          <w:kern w:val="28"/>
          <w:sz w:val="28"/>
          <w:szCs w:val="28"/>
          <w:lang w:eastAsia="es-ES"/>
        </w:rPr>
        <w:t>señala</w:t>
      </w:r>
      <w:r w:rsidR="0019500F">
        <w:rPr>
          <w:rFonts w:ascii="Georgia" w:hAnsi="Georgia" w:cs="Arial"/>
          <w:kern w:val="28"/>
          <w:sz w:val="28"/>
          <w:szCs w:val="28"/>
          <w:lang w:eastAsia="es-ES"/>
        </w:rPr>
        <w:t>r</w:t>
      </w:r>
      <w:r w:rsidR="00F13141">
        <w:rPr>
          <w:rFonts w:ascii="Georgia" w:hAnsi="Georgia" w:cs="Arial"/>
          <w:kern w:val="28"/>
          <w:sz w:val="28"/>
          <w:szCs w:val="28"/>
          <w:lang w:eastAsia="es-ES"/>
        </w:rPr>
        <w:t xml:space="preserve"> que se ordenó a la parte actora, mediante auto del </w:t>
      </w:r>
      <w:r w:rsidR="0062598C">
        <w:rPr>
          <w:rFonts w:ascii="Georgia" w:hAnsi="Georgia" w:cs="Arial"/>
          <w:kern w:val="28"/>
          <w:sz w:val="28"/>
          <w:szCs w:val="28"/>
          <w:lang w:eastAsia="es-ES"/>
        </w:rPr>
        <w:t>6</w:t>
      </w:r>
      <w:r w:rsidR="00F13141">
        <w:rPr>
          <w:rFonts w:ascii="Georgia" w:hAnsi="Georgia" w:cs="Arial"/>
          <w:kern w:val="28"/>
          <w:sz w:val="28"/>
          <w:szCs w:val="28"/>
          <w:lang w:eastAsia="es-ES"/>
        </w:rPr>
        <w:t xml:space="preserve"> de </w:t>
      </w:r>
      <w:r w:rsidR="00884338">
        <w:rPr>
          <w:rFonts w:ascii="Georgia" w:hAnsi="Georgia" w:cs="Arial"/>
          <w:kern w:val="28"/>
          <w:sz w:val="28"/>
          <w:szCs w:val="28"/>
          <w:lang w:eastAsia="es-ES"/>
        </w:rPr>
        <w:t>octubre</w:t>
      </w:r>
      <w:r w:rsidR="00F13141">
        <w:rPr>
          <w:rFonts w:ascii="Georgia" w:hAnsi="Georgia" w:cs="Arial"/>
          <w:kern w:val="28"/>
          <w:sz w:val="28"/>
          <w:szCs w:val="28"/>
          <w:lang w:eastAsia="es-ES"/>
        </w:rPr>
        <w:t xml:space="preserve"> de 2023, cumplir en un plazo de 30 días con la carga procesal de </w:t>
      </w:r>
      <w:r w:rsidR="0062598C">
        <w:rPr>
          <w:rFonts w:ascii="Georgia" w:hAnsi="Georgia" w:cs="Arial"/>
          <w:kern w:val="28"/>
          <w:sz w:val="28"/>
          <w:szCs w:val="28"/>
          <w:lang w:eastAsia="es-ES"/>
        </w:rPr>
        <w:t xml:space="preserve">allegar el trámite completo de </w:t>
      </w:r>
      <w:r w:rsidR="00F13141">
        <w:rPr>
          <w:rFonts w:ascii="Georgia" w:hAnsi="Georgia" w:cs="Arial"/>
          <w:kern w:val="28"/>
          <w:sz w:val="28"/>
          <w:szCs w:val="28"/>
          <w:lang w:eastAsia="es-ES"/>
        </w:rPr>
        <w:t>notifica</w:t>
      </w:r>
      <w:r w:rsidR="0062598C">
        <w:rPr>
          <w:rFonts w:ascii="Georgia" w:hAnsi="Georgia" w:cs="Arial"/>
          <w:kern w:val="28"/>
          <w:sz w:val="28"/>
          <w:szCs w:val="28"/>
          <w:lang w:eastAsia="es-ES"/>
        </w:rPr>
        <w:t>ción</w:t>
      </w:r>
      <w:r w:rsidR="00F13141">
        <w:rPr>
          <w:rFonts w:ascii="Georgia" w:hAnsi="Georgia" w:cs="Arial"/>
          <w:kern w:val="28"/>
          <w:sz w:val="28"/>
          <w:szCs w:val="28"/>
          <w:lang w:eastAsia="es-ES"/>
        </w:rPr>
        <w:t xml:space="preserve"> personal a los litisconsortes María Virgelina Pescador Parra y Omar de Jesús Arias Pareja</w:t>
      </w:r>
      <w:r w:rsidR="003757FB">
        <w:rPr>
          <w:rFonts w:ascii="Georgia" w:hAnsi="Georgia" w:cs="Arial"/>
          <w:kern w:val="28"/>
          <w:sz w:val="28"/>
          <w:szCs w:val="28"/>
          <w:lang w:eastAsia="es-ES"/>
        </w:rPr>
        <w:t xml:space="preserve">, </w:t>
      </w:r>
      <w:r w:rsidR="007C510B">
        <w:rPr>
          <w:rFonts w:ascii="Georgia" w:hAnsi="Georgia" w:cs="Arial"/>
          <w:kern w:val="28"/>
          <w:sz w:val="28"/>
          <w:szCs w:val="28"/>
          <w:lang w:eastAsia="es-ES"/>
        </w:rPr>
        <w:t xml:space="preserve">dicho </w:t>
      </w:r>
      <w:r w:rsidR="003757FB">
        <w:rPr>
          <w:rFonts w:ascii="Georgia" w:hAnsi="Georgia" w:cs="Arial"/>
          <w:kern w:val="28"/>
          <w:sz w:val="28"/>
          <w:szCs w:val="28"/>
          <w:lang w:eastAsia="es-ES"/>
        </w:rPr>
        <w:t xml:space="preserve">plazo </w:t>
      </w:r>
      <w:r w:rsidR="007C510B">
        <w:rPr>
          <w:rFonts w:ascii="Georgia" w:hAnsi="Georgia" w:cs="Arial"/>
          <w:kern w:val="28"/>
          <w:sz w:val="28"/>
          <w:szCs w:val="28"/>
          <w:lang w:eastAsia="es-ES"/>
        </w:rPr>
        <w:t>se</w:t>
      </w:r>
      <w:r w:rsidR="003757FB">
        <w:rPr>
          <w:rFonts w:ascii="Georgia" w:hAnsi="Georgia" w:cs="Arial"/>
          <w:kern w:val="28"/>
          <w:sz w:val="28"/>
          <w:szCs w:val="28"/>
          <w:lang w:eastAsia="es-ES"/>
        </w:rPr>
        <w:t xml:space="preserve"> dejó vencer</w:t>
      </w:r>
      <w:r w:rsidR="0062598C">
        <w:rPr>
          <w:rFonts w:ascii="Georgia" w:hAnsi="Georgia" w:cs="Arial"/>
          <w:kern w:val="28"/>
          <w:sz w:val="28"/>
          <w:szCs w:val="28"/>
          <w:lang w:eastAsia="es-ES"/>
        </w:rPr>
        <w:t>, el 22 de noviembre de 2023,</w:t>
      </w:r>
      <w:r w:rsidR="003757FB">
        <w:rPr>
          <w:rFonts w:ascii="Georgia" w:hAnsi="Georgia" w:cs="Arial"/>
          <w:kern w:val="28"/>
          <w:sz w:val="28"/>
          <w:szCs w:val="28"/>
          <w:lang w:eastAsia="es-ES"/>
        </w:rPr>
        <w:t xml:space="preserve"> sin cumplir con la carga procesal ordenada</w:t>
      </w:r>
      <w:r w:rsidR="0062598C">
        <w:rPr>
          <w:rFonts w:ascii="Georgia" w:hAnsi="Georgia" w:cs="Arial"/>
          <w:kern w:val="28"/>
          <w:sz w:val="28"/>
          <w:szCs w:val="28"/>
          <w:lang w:eastAsia="es-ES"/>
        </w:rPr>
        <w:t>.</w:t>
      </w:r>
    </w:p>
    <w:p w14:paraId="26463972" w14:textId="6F167FE9" w:rsidR="003757FB" w:rsidRDefault="003757FB" w:rsidP="00F4338C">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4D360202" w14:textId="1F16D546" w:rsidR="003757FB" w:rsidRDefault="003757FB" w:rsidP="00F4338C">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 xml:space="preserve">Se indica a su vez que, </w:t>
      </w:r>
      <w:r w:rsidR="00855C07">
        <w:rPr>
          <w:rFonts w:ascii="Georgia" w:hAnsi="Georgia" w:cs="Arial"/>
          <w:kern w:val="28"/>
          <w:sz w:val="28"/>
          <w:szCs w:val="28"/>
          <w:lang w:eastAsia="es-ES"/>
        </w:rPr>
        <w:t xml:space="preserve">el apoderado de la parte demandante, pese al requerimiento del despacho dentro del auto que advirtió la eventual declaratoria del desistimiento tácito, no aportó </w:t>
      </w:r>
      <w:r w:rsidR="00316623">
        <w:rPr>
          <w:rFonts w:ascii="Georgia" w:hAnsi="Georgia" w:cs="Arial"/>
          <w:kern w:val="28"/>
          <w:sz w:val="28"/>
          <w:szCs w:val="28"/>
          <w:lang w:eastAsia="es-ES"/>
        </w:rPr>
        <w:t>la comunicación cotejada ni los</w:t>
      </w:r>
      <w:r w:rsidR="00855C07">
        <w:rPr>
          <w:rFonts w:ascii="Georgia" w:hAnsi="Georgia" w:cs="Arial"/>
          <w:kern w:val="28"/>
          <w:sz w:val="28"/>
          <w:szCs w:val="28"/>
          <w:lang w:eastAsia="es-ES"/>
        </w:rPr>
        <w:t xml:space="preserve"> anexos de la notificación surtida, sino que se limitó a rehacer el trámite de notificación, ello</w:t>
      </w:r>
      <w:r w:rsidR="002313B3">
        <w:rPr>
          <w:rFonts w:ascii="Georgia" w:hAnsi="Georgia" w:cs="Arial"/>
          <w:kern w:val="28"/>
          <w:sz w:val="28"/>
          <w:szCs w:val="28"/>
          <w:lang w:eastAsia="es-ES"/>
        </w:rPr>
        <w:t>,</w:t>
      </w:r>
      <w:r w:rsidR="00855C07">
        <w:rPr>
          <w:rFonts w:ascii="Georgia" w:hAnsi="Georgia" w:cs="Arial"/>
          <w:kern w:val="28"/>
          <w:sz w:val="28"/>
          <w:szCs w:val="28"/>
          <w:lang w:eastAsia="es-ES"/>
        </w:rPr>
        <w:t xml:space="preserve"> sin perjuicio de que el impulso surtido se efectúo de manera extemporánea y nuevamente sin los requerimientos exigidos.</w:t>
      </w:r>
    </w:p>
    <w:p w14:paraId="10AD4306" w14:textId="61F0FF44" w:rsidR="00855C07" w:rsidRDefault="00855C07" w:rsidP="00F4338C">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757DB57B" w14:textId="0609DD89" w:rsidR="00855C07" w:rsidRDefault="002313B3" w:rsidP="00F4338C">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Ante</w:t>
      </w:r>
      <w:r w:rsidR="003F5E95">
        <w:rPr>
          <w:rFonts w:ascii="Georgia" w:hAnsi="Georgia" w:cs="Arial"/>
          <w:kern w:val="28"/>
          <w:sz w:val="28"/>
          <w:szCs w:val="28"/>
          <w:lang w:eastAsia="es-ES"/>
        </w:rPr>
        <w:t xml:space="preserve"> el silencio, inactividad e incumplimiento de las cargas procesales por parte de la demandante, resolvió el despacho decretar la terminación anticipada del proceso verbal de simulación por desistimiento tácito, conforme al artículo 317 del C.G.P.</w:t>
      </w:r>
    </w:p>
    <w:p w14:paraId="0C17A97A" w14:textId="77777777" w:rsidR="00F13141" w:rsidRDefault="00F13141" w:rsidP="00F4338C">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63B19163" w14:textId="55204F8E" w:rsidR="00B426C1" w:rsidRDefault="00B426C1" w:rsidP="00B426C1">
      <w:pPr>
        <w:pStyle w:val="paragraph"/>
        <w:spacing w:before="0" w:beforeAutospacing="0" w:after="0" w:afterAutospacing="0" w:line="360" w:lineRule="auto"/>
        <w:jc w:val="center"/>
        <w:textAlignment w:val="baseline"/>
        <w:rPr>
          <w:rFonts w:ascii="Georgia" w:hAnsi="Georgia" w:cs="Arial"/>
          <w:b/>
          <w:bCs/>
          <w:kern w:val="28"/>
          <w:sz w:val="28"/>
          <w:szCs w:val="28"/>
          <w:lang w:eastAsia="es-ES"/>
        </w:rPr>
      </w:pPr>
      <w:r>
        <w:rPr>
          <w:rFonts w:ascii="Georgia" w:hAnsi="Georgia" w:cs="Arial"/>
          <w:b/>
          <w:bCs/>
          <w:kern w:val="28"/>
          <w:sz w:val="28"/>
          <w:szCs w:val="28"/>
          <w:lang w:eastAsia="es-ES"/>
        </w:rPr>
        <w:t>El recu</w:t>
      </w:r>
      <w:r w:rsidR="00C34A29">
        <w:rPr>
          <w:rFonts w:ascii="Georgia" w:hAnsi="Georgia" w:cs="Arial"/>
          <w:b/>
          <w:bCs/>
          <w:kern w:val="28"/>
          <w:sz w:val="28"/>
          <w:szCs w:val="28"/>
          <w:lang w:eastAsia="es-ES"/>
        </w:rPr>
        <w:t>r</w:t>
      </w:r>
      <w:r>
        <w:rPr>
          <w:rFonts w:ascii="Georgia" w:hAnsi="Georgia" w:cs="Arial"/>
          <w:b/>
          <w:bCs/>
          <w:kern w:val="28"/>
          <w:sz w:val="28"/>
          <w:szCs w:val="28"/>
          <w:lang w:eastAsia="es-ES"/>
        </w:rPr>
        <w:t>so</w:t>
      </w:r>
    </w:p>
    <w:p w14:paraId="48B07736" w14:textId="34DA3706" w:rsidR="00B426C1" w:rsidRDefault="00B426C1" w:rsidP="00B426C1">
      <w:pPr>
        <w:pStyle w:val="paragraph"/>
        <w:spacing w:before="0" w:beforeAutospacing="0" w:after="0" w:afterAutospacing="0" w:line="360" w:lineRule="auto"/>
        <w:textAlignment w:val="baseline"/>
        <w:rPr>
          <w:rFonts w:ascii="Georgia" w:hAnsi="Georgia" w:cs="Arial"/>
          <w:b/>
          <w:bCs/>
          <w:kern w:val="28"/>
          <w:sz w:val="28"/>
          <w:szCs w:val="28"/>
          <w:lang w:eastAsia="es-ES"/>
        </w:rPr>
      </w:pPr>
    </w:p>
    <w:p w14:paraId="10D55C4C" w14:textId="5FF51B47" w:rsidR="001A0EEC" w:rsidRDefault="00FF6A0D" w:rsidP="00DD640F">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lastRenderedPageBreak/>
        <w:t>Contra el auto previamente mencionado, el apoderado de la parte actora interpuso recurso de reposición y en subsidio apelación</w:t>
      </w:r>
      <w:r>
        <w:rPr>
          <w:rStyle w:val="Refdenotaalpie"/>
          <w:rFonts w:ascii="Georgia" w:hAnsi="Georgia"/>
          <w:kern w:val="28"/>
          <w:sz w:val="28"/>
          <w:szCs w:val="28"/>
          <w:lang w:eastAsia="es-ES"/>
        </w:rPr>
        <w:footnoteReference w:id="11"/>
      </w:r>
      <w:r w:rsidR="001A3EA7">
        <w:rPr>
          <w:rFonts w:ascii="Georgia" w:hAnsi="Georgia" w:cs="Arial"/>
          <w:kern w:val="28"/>
          <w:sz w:val="28"/>
          <w:szCs w:val="28"/>
          <w:lang w:eastAsia="es-ES"/>
        </w:rPr>
        <w:t xml:space="preserve">, </w:t>
      </w:r>
      <w:r w:rsidR="001A0EEC">
        <w:rPr>
          <w:rFonts w:ascii="Georgia" w:hAnsi="Georgia" w:cs="Arial"/>
          <w:kern w:val="28"/>
          <w:sz w:val="28"/>
          <w:szCs w:val="28"/>
          <w:lang w:eastAsia="es-ES"/>
        </w:rPr>
        <w:t xml:space="preserve">estructurando sus motivos de inconformidad en </w:t>
      </w:r>
      <w:r w:rsidR="001A3EA7">
        <w:rPr>
          <w:rFonts w:ascii="Georgia" w:hAnsi="Georgia" w:cs="Arial"/>
          <w:kern w:val="28"/>
          <w:sz w:val="28"/>
          <w:szCs w:val="28"/>
          <w:lang w:eastAsia="es-ES"/>
        </w:rPr>
        <w:t>tres</w:t>
      </w:r>
      <w:r w:rsidR="001A0EEC">
        <w:rPr>
          <w:rFonts w:ascii="Georgia" w:hAnsi="Georgia" w:cs="Arial"/>
          <w:kern w:val="28"/>
          <w:sz w:val="28"/>
          <w:szCs w:val="28"/>
          <w:lang w:eastAsia="es-ES"/>
        </w:rPr>
        <w:t xml:space="preserve"> pilares: (i) excesivo rigor procedimental, (</w:t>
      </w:r>
      <w:proofErr w:type="spellStart"/>
      <w:r w:rsidR="001A0EEC">
        <w:rPr>
          <w:rFonts w:ascii="Georgia" w:hAnsi="Georgia" w:cs="Arial"/>
          <w:kern w:val="28"/>
          <w:sz w:val="28"/>
          <w:szCs w:val="28"/>
          <w:lang w:eastAsia="es-ES"/>
        </w:rPr>
        <w:t>ii</w:t>
      </w:r>
      <w:proofErr w:type="spellEnd"/>
      <w:r w:rsidR="001A0EEC">
        <w:rPr>
          <w:rFonts w:ascii="Georgia" w:hAnsi="Georgia" w:cs="Arial"/>
          <w:kern w:val="28"/>
          <w:sz w:val="28"/>
          <w:szCs w:val="28"/>
          <w:lang w:eastAsia="es-ES"/>
        </w:rPr>
        <w:t>) violación al debido proceso, (</w:t>
      </w:r>
      <w:proofErr w:type="spellStart"/>
      <w:r w:rsidR="001A0EEC">
        <w:rPr>
          <w:rFonts w:ascii="Georgia" w:hAnsi="Georgia" w:cs="Arial"/>
          <w:kern w:val="28"/>
          <w:sz w:val="28"/>
          <w:szCs w:val="28"/>
          <w:lang w:eastAsia="es-ES"/>
        </w:rPr>
        <w:t>i</w:t>
      </w:r>
      <w:r w:rsidR="001A3EA7">
        <w:rPr>
          <w:rFonts w:ascii="Georgia" w:hAnsi="Georgia" w:cs="Arial"/>
          <w:kern w:val="28"/>
          <w:sz w:val="28"/>
          <w:szCs w:val="28"/>
          <w:lang w:eastAsia="es-ES"/>
        </w:rPr>
        <w:t>ii</w:t>
      </w:r>
      <w:proofErr w:type="spellEnd"/>
      <w:r w:rsidR="001A0EEC">
        <w:rPr>
          <w:rFonts w:ascii="Georgia" w:hAnsi="Georgia" w:cs="Arial"/>
          <w:kern w:val="28"/>
          <w:sz w:val="28"/>
          <w:szCs w:val="28"/>
          <w:lang w:eastAsia="es-ES"/>
        </w:rPr>
        <w:t>) efectividad del derecho sustancial y finalidad de las normas procesales.</w:t>
      </w:r>
      <w:r w:rsidR="001A3EA7">
        <w:rPr>
          <w:rFonts w:ascii="Georgia" w:hAnsi="Georgia" w:cs="Arial"/>
          <w:kern w:val="28"/>
          <w:sz w:val="28"/>
          <w:szCs w:val="28"/>
          <w:lang w:eastAsia="es-ES"/>
        </w:rPr>
        <w:t xml:space="preserve"> Alegó además la pérdida de competencia con fundamento en el artículo 121 del CGP.</w:t>
      </w:r>
    </w:p>
    <w:p w14:paraId="10DD795C" w14:textId="7F983602" w:rsidR="001A0EEC" w:rsidRDefault="001A0EEC" w:rsidP="00DD640F">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6A74EA75" w14:textId="6B80B339" w:rsidR="001A0EEC" w:rsidRDefault="001A0EEC" w:rsidP="00DD640F">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 xml:space="preserve">Al tenor de lo anterior, el apelante solicita revocar el auto del 16 de mayo de 2024 </w:t>
      </w:r>
      <w:r w:rsidR="0086550C">
        <w:rPr>
          <w:rFonts w:ascii="Georgia" w:hAnsi="Georgia" w:cs="Arial"/>
          <w:kern w:val="28"/>
          <w:sz w:val="28"/>
          <w:szCs w:val="28"/>
          <w:lang w:eastAsia="es-ES"/>
        </w:rPr>
        <w:t>y,</w:t>
      </w:r>
      <w:r>
        <w:rPr>
          <w:rFonts w:ascii="Georgia" w:hAnsi="Georgia" w:cs="Arial"/>
          <w:kern w:val="28"/>
          <w:sz w:val="28"/>
          <w:szCs w:val="28"/>
          <w:lang w:eastAsia="es-ES"/>
        </w:rPr>
        <w:t xml:space="preserve"> además, declarar </w:t>
      </w:r>
      <w:r w:rsidR="0086550C">
        <w:rPr>
          <w:rFonts w:ascii="Georgia" w:hAnsi="Georgia" w:cs="Arial"/>
          <w:kern w:val="28"/>
          <w:sz w:val="28"/>
          <w:szCs w:val="28"/>
          <w:lang w:eastAsia="es-ES"/>
        </w:rPr>
        <w:t>la p</w:t>
      </w:r>
      <w:r w:rsidR="00C85D66">
        <w:rPr>
          <w:rFonts w:ascii="Georgia" w:hAnsi="Georgia" w:cs="Arial"/>
          <w:kern w:val="28"/>
          <w:sz w:val="28"/>
          <w:szCs w:val="28"/>
          <w:lang w:eastAsia="es-ES"/>
        </w:rPr>
        <w:t>é</w:t>
      </w:r>
      <w:r w:rsidR="0086550C">
        <w:rPr>
          <w:rFonts w:ascii="Georgia" w:hAnsi="Georgia" w:cs="Arial"/>
          <w:kern w:val="28"/>
          <w:sz w:val="28"/>
          <w:szCs w:val="28"/>
          <w:lang w:eastAsia="es-ES"/>
        </w:rPr>
        <w:t>rdida de competencia para que el proceso pase al otro magistrado en lista (sic).</w:t>
      </w:r>
    </w:p>
    <w:p w14:paraId="4DBFE3BA" w14:textId="77777777" w:rsidR="009E299C" w:rsidRDefault="009E299C" w:rsidP="00B426C1">
      <w:pPr>
        <w:pStyle w:val="paragraph"/>
        <w:spacing w:before="0" w:beforeAutospacing="0" w:after="0" w:afterAutospacing="0" w:line="360" w:lineRule="auto"/>
        <w:textAlignment w:val="baseline"/>
        <w:rPr>
          <w:rFonts w:ascii="Georgia" w:hAnsi="Georgia" w:cs="Arial"/>
          <w:kern w:val="28"/>
          <w:sz w:val="28"/>
          <w:szCs w:val="28"/>
          <w:lang w:eastAsia="es-ES"/>
        </w:rPr>
      </w:pPr>
    </w:p>
    <w:p w14:paraId="4FB8CAA4" w14:textId="5A79EBF5" w:rsidR="00A87A71" w:rsidRDefault="00A87A71" w:rsidP="00A87A71">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El recurso de reposición se resolvió de forma adversa</w:t>
      </w:r>
      <w:r>
        <w:rPr>
          <w:rStyle w:val="Refdenotaalpie"/>
          <w:rFonts w:ascii="Georgia" w:hAnsi="Georgia"/>
          <w:kern w:val="28"/>
          <w:sz w:val="28"/>
          <w:szCs w:val="28"/>
          <w:lang w:eastAsia="es-ES"/>
        </w:rPr>
        <w:footnoteReference w:id="12"/>
      </w:r>
      <w:r>
        <w:rPr>
          <w:rFonts w:ascii="Georgia" w:hAnsi="Georgia" w:cs="Arial"/>
          <w:kern w:val="28"/>
          <w:sz w:val="28"/>
          <w:szCs w:val="28"/>
          <w:lang w:eastAsia="es-ES"/>
        </w:rPr>
        <w:t>, por lo que el expediente fue remitido a esta superioridad.</w:t>
      </w:r>
      <w:r w:rsidR="002B5EE5">
        <w:rPr>
          <w:rFonts w:ascii="Georgia" w:hAnsi="Georgia" w:cs="Arial"/>
          <w:kern w:val="28"/>
          <w:sz w:val="28"/>
          <w:szCs w:val="28"/>
          <w:lang w:eastAsia="es-ES"/>
        </w:rPr>
        <w:t xml:space="preserve"> En esa misma providencia se negó la pérdida de competencia invocada.</w:t>
      </w:r>
    </w:p>
    <w:p w14:paraId="613F3EF0" w14:textId="77777777" w:rsidR="00A87A71" w:rsidRDefault="00A87A71" w:rsidP="00B426C1">
      <w:pPr>
        <w:pStyle w:val="paragraph"/>
        <w:spacing w:before="0" w:beforeAutospacing="0" w:after="0" w:afterAutospacing="0" w:line="360" w:lineRule="auto"/>
        <w:textAlignment w:val="baseline"/>
        <w:rPr>
          <w:rFonts w:ascii="Georgia" w:hAnsi="Georgia" w:cs="Arial"/>
          <w:kern w:val="28"/>
          <w:sz w:val="28"/>
          <w:szCs w:val="28"/>
          <w:lang w:eastAsia="es-ES"/>
        </w:rPr>
      </w:pPr>
    </w:p>
    <w:p w14:paraId="4959A89E" w14:textId="6F9C2ABC" w:rsidR="00C34A29" w:rsidRDefault="00C34A29" w:rsidP="00C34A29">
      <w:pPr>
        <w:pStyle w:val="paragraph"/>
        <w:spacing w:before="0" w:beforeAutospacing="0" w:after="0" w:afterAutospacing="0" w:line="360" w:lineRule="auto"/>
        <w:jc w:val="center"/>
        <w:textAlignment w:val="baseline"/>
        <w:rPr>
          <w:rFonts w:ascii="Georgia" w:hAnsi="Georgia" w:cs="Arial"/>
          <w:b/>
          <w:bCs/>
          <w:kern w:val="28"/>
          <w:sz w:val="28"/>
          <w:szCs w:val="28"/>
          <w:lang w:eastAsia="es-ES"/>
        </w:rPr>
      </w:pPr>
      <w:r>
        <w:rPr>
          <w:rFonts w:ascii="Georgia" w:hAnsi="Georgia" w:cs="Arial"/>
          <w:b/>
          <w:bCs/>
          <w:kern w:val="28"/>
          <w:sz w:val="28"/>
          <w:szCs w:val="28"/>
          <w:lang w:eastAsia="es-ES"/>
        </w:rPr>
        <w:t>Consideraciones</w:t>
      </w:r>
    </w:p>
    <w:p w14:paraId="024C6DC0" w14:textId="564A1AF7" w:rsidR="00C34A29" w:rsidRDefault="00C34A29" w:rsidP="00C34A29">
      <w:pPr>
        <w:pStyle w:val="paragraph"/>
        <w:spacing w:before="0" w:beforeAutospacing="0" w:after="0" w:afterAutospacing="0" w:line="360" w:lineRule="auto"/>
        <w:textAlignment w:val="baseline"/>
        <w:rPr>
          <w:rFonts w:ascii="Georgia" w:hAnsi="Georgia" w:cs="Arial"/>
          <w:b/>
          <w:bCs/>
          <w:kern w:val="28"/>
          <w:sz w:val="28"/>
          <w:szCs w:val="28"/>
          <w:lang w:eastAsia="es-ES"/>
        </w:rPr>
      </w:pPr>
    </w:p>
    <w:p w14:paraId="73F95AF5" w14:textId="3C2C6FB0" w:rsidR="00C34A29" w:rsidRDefault="00C34A29"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b/>
          <w:bCs/>
          <w:kern w:val="28"/>
          <w:sz w:val="28"/>
          <w:szCs w:val="28"/>
          <w:lang w:eastAsia="es-ES"/>
        </w:rPr>
        <w:t xml:space="preserve">1.- </w:t>
      </w:r>
      <w:r>
        <w:rPr>
          <w:rFonts w:ascii="Georgia" w:hAnsi="Georgia" w:cs="Arial"/>
          <w:kern w:val="28"/>
          <w:sz w:val="28"/>
          <w:szCs w:val="28"/>
          <w:lang w:eastAsia="es-ES"/>
        </w:rPr>
        <w:t>Esta Sala unitaria es competente para resolver el recurso por el factor funcional, en los términos de los artículos 31 – 1 y 35 del Código General del Proceso, al ser la Corporación superior jerárquico del despacho emisor del auto recurrido.</w:t>
      </w:r>
    </w:p>
    <w:p w14:paraId="718F56EA" w14:textId="2306489E" w:rsidR="000F41B7" w:rsidRDefault="000F41B7"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431CA7BF" w14:textId="5550C51C" w:rsidR="000F41B7" w:rsidRDefault="000F41B7"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b/>
          <w:bCs/>
          <w:kern w:val="28"/>
          <w:sz w:val="28"/>
          <w:szCs w:val="28"/>
          <w:lang w:eastAsia="es-ES"/>
        </w:rPr>
        <w:t xml:space="preserve">2.- </w:t>
      </w:r>
      <w:r w:rsidRPr="000F41B7">
        <w:rPr>
          <w:rFonts w:ascii="Georgia" w:hAnsi="Georgia" w:cs="Arial"/>
          <w:kern w:val="28"/>
          <w:sz w:val="28"/>
          <w:szCs w:val="28"/>
          <w:lang w:eastAsia="es-ES"/>
        </w:rPr>
        <w:t>Los recursos son las herramientas adjetivas con que cuentan las partes para controvertir las decisiones de los jueces o magistrados; para su trámite y estudio de fondo, deben cumplir ciertos requisitos; la doctrina los ha establecido en: (i) legitimación, (</w:t>
      </w:r>
      <w:proofErr w:type="spellStart"/>
      <w:r w:rsidRPr="000F41B7">
        <w:rPr>
          <w:rFonts w:ascii="Georgia" w:hAnsi="Georgia" w:cs="Arial"/>
          <w:kern w:val="28"/>
          <w:sz w:val="28"/>
          <w:szCs w:val="28"/>
          <w:lang w:eastAsia="es-ES"/>
        </w:rPr>
        <w:t>ii</w:t>
      </w:r>
      <w:proofErr w:type="spellEnd"/>
      <w:r w:rsidRPr="000F41B7">
        <w:rPr>
          <w:rFonts w:ascii="Georgia" w:hAnsi="Georgia" w:cs="Arial"/>
          <w:kern w:val="28"/>
          <w:sz w:val="28"/>
          <w:szCs w:val="28"/>
          <w:lang w:eastAsia="es-ES"/>
        </w:rPr>
        <w:t>) interés para recurrir, (</w:t>
      </w:r>
      <w:proofErr w:type="spellStart"/>
      <w:r w:rsidRPr="000F41B7">
        <w:rPr>
          <w:rFonts w:ascii="Georgia" w:hAnsi="Georgia" w:cs="Arial"/>
          <w:kern w:val="28"/>
          <w:sz w:val="28"/>
          <w:szCs w:val="28"/>
          <w:lang w:eastAsia="es-ES"/>
        </w:rPr>
        <w:t>iii</w:t>
      </w:r>
      <w:proofErr w:type="spellEnd"/>
      <w:r w:rsidRPr="000F41B7">
        <w:rPr>
          <w:rFonts w:ascii="Georgia" w:hAnsi="Georgia" w:cs="Arial"/>
          <w:kern w:val="28"/>
          <w:sz w:val="28"/>
          <w:szCs w:val="28"/>
          <w:lang w:eastAsia="es-ES"/>
        </w:rPr>
        <w:t>) oportunidad, (</w:t>
      </w:r>
      <w:proofErr w:type="spellStart"/>
      <w:r w:rsidRPr="000F41B7">
        <w:rPr>
          <w:rFonts w:ascii="Georgia" w:hAnsi="Georgia" w:cs="Arial"/>
          <w:kern w:val="28"/>
          <w:sz w:val="28"/>
          <w:szCs w:val="28"/>
          <w:lang w:eastAsia="es-ES"/>
        </w:rPr>
        <w:t>iv</w:t>
      </w:r>
      <w:proofErr w:type="spellEnd"/>
      <w:r w:rsidRPr="000F41B7">
        <w:rPr>
          <w:rFonts w:ascii="Georgia" w:hAnsi="Georgia" w:cs="Arial"/>
          <w:kern w:val="28"/>
          <w:sz w:val="28"/>
          <w:szCs w:val="28"/>
          <w:lang w:eastAsia="es-ES"/>
        </w:rPr>
        <w:t>) sustentación, (v) cumplimiento de cargas procesales y (vi) procedencia</w:t>
      </w:r>
      <w:r w:rsidR="00D041DC">
        <w:rPr>
          <w:rStyle w:val="Refdenotaalpie"/>
          <w:rFonts w:ascii="Georgia" w:hAnsi="Georgia"/>
          <w:kern w:val="28"/>
          <w:sz w:val="28"/>
          <w:szCs w:val="28"/>
          <w:lang w:eastAsia="es-ES"/>
        </w:rPr>
        <w:footnoteReference w:id="13"/>
      </w:r>
      <w:r w:rsidRPr="000F41B7">
        <w:rPr>
          <w:rFonts w:ascii="Georgia" w:hAnsi="Georgia" w:cs="Arial"/>
          <w:kern w:val="28"/>
          <w:sz w:val="28"/>
          <w:szCs w:val="28"/>
          <w:lang w:eastAsia="es-ES"/>
        </w:rPr>
        <w:t>.</w:t>
      </w:r>
    </w:p>
    <w:p w14:paraId="16A6AEB2" w14:textId="1388AF3E" w:rsidR="00D041DC" w:rsidRDefault="00D041DC"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7DB7A96C" w14:textId="70236B43" w:rsidR="00D041DC" w:rsidRPr="000F41B7" w:rsidRDefault="00D041DC"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lastRenderedPageBreak/>
        <w:t xml:space="preserve">En este caso se encuentran configurados cada uno de los requisitos respecto </w:t>
      </w:r>
      <w:r w:rsidR="00C21197">
        <w:rPr>
          <w:rFonts w:ascii="Georgia" w:hAnsi="Georgia" w:cs="Arial"/>
          <w:kern w:val="28"/>
          <w:sz w:val="28"/>
          <w:szCs w:val="28"/>
          <w:lang w:eastAsia="es-ES"/>
        </w:rPr>
        <w:t>de la apelación del auto que decretó la terminación del proceso por desistimiento tácito. En efecto, fue presentado dentro del término de ejecutoria de la providencia por la parte demandante</w:t>
      </w:r>
      <w:r w:rsidR="00657A1C">
        <w:rPr>
          <w:rFonts w:ascii="Georgia" w:hAnsi="Georgia" w:cs="Arial"/>
          <w:kern w:val="28"/>
          <w:sz w:val="28"/>
          <w:szCs w:val="28"/>
          <w:lang w:eastAsia="es-ES"/>
        </w:rPr>
        <w:t>, qu</w:t>
      </w:r>
      <w:r w:rsidR="00B1785B">
        <w:rPr>
          <w:rFonts w:ascii="Georgia" w:hAnsi="Georgia" w:cs="Arial"/>
          <w:kern w:val="28"/>
          <w:sz w:val="28"/>
          <w:szCs w:val="28"/>
          <w:lang w:eastAsia="es-ES"/>
        </w:rPr>
        <w:t>e</w:t>
      </w:r>
      <w:r w:rsidR="00657A1C">
        <w:rPr>
          <w:rFonts w:ascii="Georgia" w:hAnsi="Georgia" w:cs="Arial"/>
          <w:kern w:val="28"/>
          <w:sz w:val="28"/>
          <w:szCs w:val="28"/>
          <w:lang w:eastAsia="es-ES"/>
        </w:rPr>
        <w:t xml:space="preserve"> ve afectados sus intereses al terminarse de manera anormal el proceso por ella adelantado; está debidamente sustentado como pasará a definirse</w:t>
      </w:r>
      <w:r w:rsidR="00146FB7">
        <w:rPr>
          <w:rFonts w:ascii="Georgia" w:hAnsi="Georgia" w:cs="Arial"/>
          <w:kern w:val="28"/>
          <w:sz w:val="28"/>
          <w:szCs w:val="28"/>
          <w:lang w:eastAsia="es-ES"/>
        </w:rPr>
        <w:t xml:space="preserve">; finalmente, la decisión es susceptible de apelación conforme al artículo </w:t>
      </w:r>
      <w:r w:rsidR="00BF42B7">
        <w:rPr>
          <w:rFonts w:ascii="Georgia" w:hAnsi="Georgia" w:cs="Arial"/>
          <w:kern w:val="28"/>
          <w:sz w:val="28"/>
          <w:szCs w:val="28"/>
          <w:lang w:eastAsia="es-ES"/>
        </w:rPr>
        <w:t xml:space="preserve">317, literal </w:t>
      </w:r>
      <w:r w:rsidR="001D0BAE">
        <w:rPr>
          <w:rFonts w:ascii="Georgia" w:hAnsi="Georgia" w:cs="Arial"/>
          <w:kern w:val="28"/>
          <w:sz w:val="28"/>
          <w:szCs w:val="28"/>
          <w:lang w:eastAsia="es-ES"/>
        </w:rPr>
        <w:t>e</w:t>
      </w:r>
      <w:r w:rsidR="00BF42B7">
        <w:rPr>
          <w:rFonts w:ascii="Georgia" w:hAnsi="Georgia" w:cs="Arial"/>
          <w:kern w:val="28"/>
          <w:sz w:val="28"/>
          <w:szCs w:val="28"/>
          <w:lang w:eastAsia="es-ES"/>
        </w:rPr>
        <w:t>) del Código General del Proceso.</w:t>
      </w:r>
    </w:p>
    <w:p w14:paraId="2E23815F" w14:textId="433315AD" w:rsidR="00B426C1" w:rsidRDefault="00B426C1"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082E3724" w14:textId="24E4F491" w:rsidR="002B5EE5" w:rsidRDefault="00A53218"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b/>
          <w:bCs/>
          <w:kern w:val="28"/>
          <w:sz w:val="28"/>
          <w:szCs w:val="28"/>
          <w:lang w:eastAsia="es-ES"/>
        </w:rPr>
        <w:t xml:space="preserve">3- </w:t>
      </w:r>
      <w:r w:rsidR="001D4142">
        <w:rPr>
          <w:rFonts w:ascii="Georgia" w:hAnsi="Georgia" w:cs="Arial"/>
          <w:kern w:val="28"/>
          <w:sz w:val="28"/>
          <w:szCs w:val="28"/>
          <w:lang w:eastAsia="es-ES"/>
        </w:rPr>
        <w:t xml:space="preserve">Conforme a lo anterior, debe resolverse como </w:t>
      </w:r>
      <w:r w:rsidR="001D4142" w:rsidRPr="00707B6F">
        <w:rPr>
          <w:rFonts w:ascii="Georgia" w:hAnsi="Georgia" w:cs="Arial"/>
          <w:b/>
          <w:bCs/>
          <w:kern w:val="28"/>
          <w:sz w:val="28"/>
          <w:szCs w:val="28"/>
          <w:lang w:eastAsia="es-ES"/>
        </w:rPr>
        <w:t>problema jurídico</w:t>
      </w:r>
      <w:r w:rsidR="001D4142">
        <w:rPr>
          <w:rFonts w:ascii="Georgia" w:hAnsi="Georgia" w:cs="Arial"/>
          <w:kern w:val="28"/>
          <w:sz w:val="28"/>
          <w:szCs w:val="28"/>
          <w:lang w:eastAsia="es-ES"/>
        </w:rPr>
        <w:t xml:space="preserve"> </w:t>
      </w:r>
      <w:r w:rsidR="00975480">
        <w:rPr>
          <w:rFonts w:ascii="Georgia" w:hAnsi="Georgia" w:cs="Arial"/>
          <w:kern w:val="28"/>
          <w:sz w:val="28"/>
          <w:szCs w:val="28"/>
          <w:lang w:eastAsia="es-ES"/>
        </w:rPr>
        <w:t xml:space="preserve">si </w:t>
      </w:r>
      <w:r w:rsidR="00F2361F">
        <w:rPr>
          <w:rFonts w:ascii="Georgia" w:hAnsi="Georgia" w:cs="Arial"/>
          <w:kern w:val="28"/>
          <w:sz w:val="28"/>
          <w:szCs w:val="28"/>
          <w:lang w:eastAsia="es-ES"/>
        </w:rPr>
        <w:t xml:space="preserve">el </w:t>
      </w:r>
      <w:r w:rsidR="00975480">
        <w:rPr>
          <w:rFonts w:ascii="Georgia" w:hAnsi="Georgia" w:cs="Arial"/>
          <w:kern w:val="28"/>
          <w:sz w:val="28"/>
          <w:szCs w:val="28"/>
          <w:lang w:eastAsia="es-ES"/>
        </w:rPr>
        <w:t xml:space="preserve">Juzgado Segundo Civil del Circuito de Pereira, R., </w:t>
      </w:r>
      <w:r w:rsidR="00FC50FD">
        <w:rPr>
          <w:rFonts w:ascii="Georgia" w:hAnsi="Georgia" w:cs="Arial"/>
          <w:kern w:val="28"/>
          <w:sz w:val="28"/>
          <w:szCs w:val="28"/>
          <w:lang w:eastAsia="es-ES"/>
        </w:rPr>
        <w:t>podía</w:t>
      </w:r>
      <w:r w:rsidR="00F2361F">
        <w:rPr>
          <w:rFonts w:ascii="Georgia" w:hAnsi="Georgia" w:cs="Arial"/>
          <w:kern w:val="28"/>
          <w:sz w:val="28"/>
          <w:szCs w:val="28"/>
          <w:lang w:eastAsia="es-ES"/>
        </w:rPr>
        <w:t xml:space="preserve"> </w:t>
      </w:r>
      <w:r w:rsidR="005A6F5C">
        <w:rPr>
          <w:rFonts w:ascii="Georgia" w:hAnsi="Georgia" w:cs="Arial"/>
          <w:kern w:val="28"/>
          <w:sz w:val="28"/>
          <w:szCs w:val="28"/>
          <w:lang w:eastAsia="es-ES"/>
        </w:rPr>
        <w:t>declar</w:t>
      </w:r>
      <w:r w:rsidR="00F2361F">
        <w:rPr>
          <w:rFonts w:ascii="Georgia" w:hAnsi="Georgia" w:cs="Arial"/>
          <w:kern w:val="28"/>
          <w:sz w:val="28"/>
          <w:szCs w:val="28"/>
          <w:lang w:eastAsia="es-ES"/>
        </w:rPr>
        <w:t>ar</w:t>
      </w:r>
      <w:r w:rsidR="005A6F5C">
        <w:rPr>
          <w:rFonts w:ascii="Georgia" w:hAnsi="Georgia" w:cs="Arial"/>
          <w:kern w:val="28"/>
          <w:sz w:val="28"/>
          <w:szCs w:val="28"/>
          <w:lang w:eastAsia="es-ES"/>
        </w:rPr>
        <w:t xml:space="preserve"> la terminación anticipada del proceso de referencia por desistimiento tácito</w:t>
      </w:r>
      <w:r w:rsidR="00AA46AF">
        <w:rPr>
          <w:rFonts w:ascii="Georgia" w:hAnsi="Georgia" w:cs="Arial"/>
          <w:kern w:val="28"/>
          <w:sz w:val="28"/>
          <w:szCs w:val="28"/>
          <w:lang w:eastAsia="es-ES"/>
        </w:rPr>
        <w:t xml:space="preserve">, al no cumplirse la carga que impuso a la demandante dentro del término concedido, </w:t>
      </w:r>
      <w:r w:rsidR="00FC50FD">
        <w:rPr>
          <w:rFonts w:ascii="Georgia" w:hAnsi="Georgia" w:cs="Arial"/>
          <w:kern w:val="28"/>
          <w:sz w:val="28"/>
          <w:szCs w:val="28"/>
          <w:lang w:eastAsia="es-ES"/>
        </w:rPr>
        <w:t>o si, por el contrario</w:t>
      </w:r>
      <w:r w:rsidR="0021576A">
        <w:rPr>
          <w:rFonts w:ascii="Georgia" w:hAnsi="Georgia" w:cs="Arial"/>
          <w:kern w:val="28"/>
          <w:sz w:val="28"/>
          <w:szCs w:val="28"/>
          <w:lang w:eastAsia="es-ES"/>
        </w:rPr>
        <w:t xml:space="preserve">, </w:t>
      </w:r>
      <w:r w:rsidR="00D76651">
        <w:rPr>
          <w:rFonts w:ascii="Georgia" w:hAnsi="Georgia" w:cs="Arial"/>
          <w:kern w:val="28"/>
          <w:sz w:val="28"/>
          <w:szCs w:val="28"/>
          <w:lang w:eastAsia="es-ES"/>
        </w:rPr>
        <w:t>se debe revocar</w:t>
      </w:r>
      <w:r w:rsidR="0021576A">
        <w:rPr>
          <w:rFonts w:ascii="Georgia" w:hAnsi="Georgia" w:cs="Arial"/>
          <w:kern w:val="28"/>
          <w:sz w:val="28"/>
          <w:szCs w:val="28"/>
          <w:lang w:eastAsia="es-ES"/>
        </w:rPr>
        <w:t xml:space="preserve"> dicha providencia</w:t>
      </w:r>
      <w:r w:rsidR="00FC50FD">
        <w:rPr>
          <w:rFonts w:ascii="Georgia" w:hAnsi="Georgia" w:cs="Arial"/>
          <w:kern w:val="28"/>
          <w:sz w:val="28"/>
          <w:szCs w:val="28"/>
          <w:lang w:eastAsia="es-ES"/>
        </w:rPr>
        <w:t xml:space="preserve"> por incurrir un excesivo rigor procedimental</w:t>
      </w:r>
      <w:r w:rsidR="002B5EE5">
        <w:rPr>
          <w:rFonts w:ascii="Georgia" w:hAnsi="Georgia" w:cs="Arial"/>
          <w:kern w:val="28"/>
          <w:sz w:val="28"/>
          <w:szCs w:val="28"/>
          <w:lang w:eastAsia="es-ES"/>
        </w:rPr>
        <w:t>.</w:t>
      </w:r>
    </w:p>
    <w:p w14:paraId="32CD2FE8" w14:textId="77777777" w:rsidR="002B5EE5" w:rsidRDefault="002B5EE5"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7237693D" w14:textId="5F1965A3" w:rsidR="00BF6A26" w:rsidRDefault="002B5EE5"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Sobre el tema de la pérdida de competencia</w:t>
      </w:r>
      <w:r w:rsidR="00762C1F">
        <w:rPr>
          <w:rFonts w:ascii="Georgia" w:hAnsi="Georgia" w:cs="Arial"/>
          <w:kern w:val="28"/>
          <w:sz w:val="28"/>
          <w:szCs w:val="28"/>
          <w:lang w:eastAsia="es-ES"/>
        </w:rPr>
        <w:t xml:space="preserve">, precisa la Sala que </w:t>
      </w:r>
      <w:r w:rsidR="008B7EF5">
        <w:rPr>
          <w:rFonts w:ascii="Georgia" w:hAnsi="Georgia" w:cs="Arial"/>
          <w:kern w:val="28"/>
          <w:sz w:val="28"/>
          <w:szCs w:val="28"/>
          <w:lang w:eastAsia="es-ES"/>
        </w:rPr>
        <w:t>se trat</w:t>
      </w:r>
      <w:r w:rsidR="0079715C">
        <w:rPr>
          <w:rFonts w:ascii="Georgia" w:hAnsi="Georgia" w:cs="Arial"/>
          <w:kern w:val="28"/>
          <w:sz w:val="28"/>
          <w:szCs w:val="28"/>
          <w:lang w:eastAsia="es-ES"/>
        </w:rPr>
        <w:t>ó</w:t>
      </w:r>
      <w:r w:rsidR="008B7EF5">
        <w:rPr>
          <w:rFonts w:ascii="Georgia" w:hAnsi="Georgia" w:cs="Arial"/>
          <w:kern w:val="28"/>
          <w:sz w:val="28"/>
          <w:szCs w:val="28"/>
          <w:lang w:eastAsia="es-ES"/>
        </w:rPr>
        <w:t xml:space="preserve"> de una petición adicional que</w:t>
      </w:r>
      <w:r w:rsidR="00A92A81">
        <w:rPr>
          <w:rFonts w:ascii="Georgia" w:hAnsi="Georgia" w:cs="Arial"/>
          <w:kern w:val="28"/>
          <w:sz w:val="28"/>
          <w:szCs w:val="28"/>
          <w:lang w:eastAsia="es-ES"/>
        </w:rPr>
        <w:t xml:space="preserve"> fue</w:t>
      </w:r>
      <w:r w:rsidR="008B7EF5">
        <w:rPr>
          <w:rFonts w:ascii="Georgia" w:hAnsi="Georgia" w:cs="Arial"/>
          <w:kern w:val="28"/>
          <w:sz w:val="28"/>
          <w:szCs w:val="28"/>
          <w:lang w:eastAsia="es-ES"/>
        </w:rPr>
        <w:t xml:space="preserve"> </w:t>
      </w:r>
      <w:r w:rsidR="0079715C">
        <w:rPr>
          <w:rFonts w:ascii="Georgia" w:hAnsi="Georgia" w:cs="Arial"/>
          <w:kern w:val="28"/>
          <w:sz w:val="28"/>
          <w:szCs w:val="28"/>
          <w:lang w:eastAsia="es-ES"/>
        </w:rPr>
        <w:t xml:space="preserve">incluida </w:t>
      </w:r>
      <w:r w:rsidR="008B7EF5">
        <w:rPr>
          <w:rFonts w:ascii="Georgia" w:hAnsi="Georgia" w:cs="Arial"/>
          <w:kern w:val="28"/>
          <w:sz w:val="28"/>
          <w:szCs w:val="28"/>
          <w:lang w:eastAsia="es-ES"/>
        </w:rPr>
        <w:t>dentro del mismo escrito contentivo del recurso,</w:t>
      </w:r>
      <w:r w:rsidR="008B7C37">
        <w:rPr>
          <w:rFonts w:ascii="Georgia" w:hAnsi="Georgia" w:cs="Arial"/>
          <w:kern w:val="28"/>
          <w:sz w:val="28"/>
          <w:szCs w:val="28"/>
          <w:lang w:eastAsia="es-ES"/>
        </w:rPr>
        <w:t xml:space="preserve"> y a ella </w:t>
      </w:r>
      <w:r w:rsidR="008B7EF5">
        <w:rPr>
          <w:rFonts w:ascii="Georgia" w:hAnsi="Georgia" w:cs="Arial"/>
          <w:kern w:val="28"/>
          <w:sz w:val="28"/>
          <w:szCs w:val="28"/>
          <w:lang w:eastAsia="es-ES"/>
        </w:rPr>
        <w:t>se dio respuesta</w:t>
      </w:r>
      <w:r w:rsidR="008B7C37">
        <w:rPr>
          <w:rFonts w:ascii="Georgia" w:hAnsi="Georgia" w:cs="Arial"/>
          <w:kern w:val="28"/>
          <w:sz w:val="28"/>
          <w:szCs w:val="28"/>
          <w:lang w:eastAsia="es-ES"/>
        </w:rPr>
        <w:t xml:space="preserve"> negativa en el </w:t>
      </w:r>
      <w:r w:rsidR="008B7EF5">
        <w:rPr>
          <w:rFonts w:ascii="Georgia" w:hAnsi="Georgia" w:cs="Arial"/>
          <w:kern w:val="28"/>
          <w:sz w:val="28"/>
          <w:szCs w:val="28"/>
          <w:lang w:eastAsia="es-ES"/>
        </w:rPr>
        <w:t>auto</w:t>
      </w:r>
      <w:r w:rsidR="008B7C37">
        <w:rPr>
          <w:rFonts w:ascii="Georgia" w:hAnsi="Georgia" w:cs="Arial"/>
          <w:kern w:val="28"/>
          <w:sz w:val="28"/>
          <w:szCs w:val="28"/>
          <w:lang w:eastAsia="es-ES"/>
        </w:rPr>
        <w:t xml:space="preserve"> que resolvió </w:t>
      </w:r>
      <w:r w:rsidR="000118DD">
        <w:rPr>
          <w:rFonts w:ascii="Georgia" w:hAnsi="Georgia" w:cs="Arial"/>
          <w:kern w:val="28"/>
          <w:sz w:val="28"/>
          <w:szCs w:val="28"/>
          <w:lang w:eastAsia="es-ES"/>
        </w:rPr>
        <w:t>la reposición</w:t>
      </w:r>
      <w:r w:rsidR="008B7C37">
        <w:rPr>
          <w:rFonts w:ascii="Georgia" w:hAnsi="Georgia" w:cs="Arial"/>
          <w:kern w:val="28"/>
          <w:sz w:val="28"/>
          <w:szCs w:val="28"/>
          <w:lang w:eastAsia="es-ES"/>
        </w:rPr>
        <w:t xml:space="preserve">. No se trata, en </w:t>
      </w:r>
      <w:r w:rsidR="00E91F09">
        <w:rPr>
          <w:rFonts w:ascii="Georgia" w:hAnsi="Georgia" w:cs="Arial"/>
          <w:kern w:val="28"/>
          <w:sz w:val="28"/>
          <w:szCs w:val="28"/>
          <w:lang w:eastAsia="es-ES"/>
        </w:rPr>
        <w:t>consecuencia, de</w:t>
      </w:r>
      <w:r w:rsidR="008B7C37">
        <w:rPr>
          <w:rFonts w:ascii="Georgia" w:hAnsi="Georgia" w:cs="Arial"/>
          <w:kern w:val="28"/>
          <w:sz w:val="28"/>
          <w:szCs w:val="28"/>
          <w:lang w:eastAsia="es-ES"/>
        </w:rPr>
        <w:t xml:space="preserve"> algún reparo en contra de la decisión de terminar el proceso por desistimiento tácito</w:t>
      </w:r>
      <w:r w:rsidR="0079715C">
        <w:rPr>
          <w:rFonts w:ascii="Georgia" w:hAnsi="Georgia" w:cs="Arial"/>
          <w:kern w:val="28"/>
          <w:sz w:val="28"/>
          <w:szCs w:val="28"/>
          <w:lang w:eastAsia="es-ES"/>
        </w:rPr>
        <w:t xml:space="preserve">. Si la parte demandante, que fue quien la solicitó, </w:t>
      </w:r>
      <w:r w:rsidR="008B7C37">
        <w:rPr>
          <w:rFonts w:ascii="Georgia" w:hAnsi="Georgia" w:cs="Arial"/>
          <w:kern w:val="28"/>
          <w:sz w:val="28"/>
          <w:szCs w:val="28"/>
          <w:lang w:eastAsia="es-ES"/>
        </w:rPr>
        <w:t xml:space="preserve">quedó </w:t>
      </w:r>
      <w:r w:rsidR="00E91F09">
        <w:rPr>
          <w:rFonts w:ascii="Georgia" w:hAnsi="Georgia" w:cs="Arial"/>
          <w:kern w:val="28"/>
          <w:sz w:val="28"/>
          <w:szCs w:val="28"/>
          <w:lang w:eastAsia="es-ES"/>
        </w:rPr>
        <w:t xml:space="preserve">inconforme </w:t>
      </w:r>
      <w:r w:rsidR="008B7C37">
        <w:rPr>
          <w:rFonts w:ascii="Georgia" w:hAnsi="Georgia" w:cs="Arial"/>
          <w:kern w:val="28"/>
          <w:sz w:val="28"/>
          <w:szCs w:val="28"/>
          <w:lang w:eastAsia="es-ES"/>
        </w:rPr>
        <w:t xml:space="preserve">con </w:t>
      </w:r>
      <w:r w:rsidR="0079715C">
        <w:rPr>
          <w:rFonts w:ascii="Georgia" w:hAnsi="Georgia" w:cs="Arial"/>
          <w:kern w:val="28"/>
          <w:sz w:val="28"/>
          <w:szCs w:val="28"/>
          <w:lang w:eastAsia="es-ES"/>
        </w:rPr>
        <w:t>la re</w:t>
      </w:r>
      <w:r w:rsidR="008B7C37">
        <w:rPr>
          <w:rFonts w:ascii="Georgia" w:hAnsi="Georgia" w:cs="Arial"/>
          <w:kern w:val="28"/>
          <w:sz w:val="28"/>
          <w:szCs w:val="28"/>
          <w:lang w:eastAsia="es-ES"/>
        </w:rPr>
        <w:t xml:space="preserve">solución, debió recurrir la providencia </w:t>
      </w:r>
      <w:r w:rsidR="00CC7742">
        <w:rPr>
          <w:rFonts w:ascii="Georgia" w:hAnsi="Georgia" w:cs="Arial"/>
          <w:kern w:val="28"/>
          <w:sz w:val="28"/>
          <w:szCs w:val="28"/>
          <w:lang w:eastAsia="es-ES"/>
        </w:rPr>
        <w:t>pertinente mas no lo hizo. Si bien</w:t>
      </w:r>
      <w:r w:rsidR="00BF6A26">
        <w:rPr>
          <w:rFonts w:ascii="Georgia" w:hAnsi="Georgia" w:cs="Arial"/>
          <w:kern w:val="28"/>
          <w:sz w:val="28"/>
          <w:szCs w:val="28"/>
          <w:lang w:eastAsia="es-ES"/>
        </w:rPr>
        <w:t xml:space="preserve"> el auto</w:t>
      </w:r>
      <w:r w:rsidR="00CC7742">
        <w:rPr>
          <w:rFonts w:ascii="Georgia" w:hAnsi="Georgia" w:cs="Arial"/>
          <w:kern w:val="28"/>
          <w:sz w:val="28"/>
          <w:szCs w:val="28"/>
          <w:lang w:eastAsia="es-ES"/>
        </w:rPr>
        <w:t xml:space="preserve"> resolvía un recurso de reposición, lo relacionado con no declarar la pérdida de competencia </w:t>
      </w:r>
      <w:r w:rsidR="00BF6A26">
        <w:rPr>
          <w:rFonts w:ascii="Georgia" w:hAnsi="Georgia" w:cs="Arial"/>
          <w:kern w:val="28"/>
          <w:sz w:val="28"/>
          <w:szCs w:val="28"/>
          <w:lang w:eastAsia="es-ES"/>
        </w:rPr>
        <w:t xml:space="preserve">constituía </w:t>
      </w:r>
      <w:r w:rsidR="00CC7742">
        <w:rPr>
          <w:rFonts w:ascii="Georgia" w:hAnsi="Georgia" w:cs="Arial"/>
          <w:kern w:val="28"/>
          <w:sz w:val="28"/>
          <w:szCs w:val="28"/>
          <w:lang w:eastAsia="es-ES"/>
        </w:rPr>
        <w:t>un punto nuevo</w:t>
      </w:r>
      <w:r w:rsidR="00E91F09">
        <w:rPr>
          <w:rFonts w:ascii="Georgia" w:hAnsi="Georgia" w:cs="Arial"/>
          <w:kern w:val="28"/>
          <w:sz w:val="28"/>
          <w:szCs w:val="28"/>
          <w:lang w:eastAsia="es-ES"/>
        </w:rPr>
        <w:t xml:space="preserve"> no decidido en el anterior y que, por tanto, </w:t>
      </w:r>
      <w:r w:rsidR="00B47253">
        <w:rPr>
          <w:rFonts w:ascii="Georgia" w:hAnsi="Georgia" w:cs="Arial"/>
          <w:kern w:val="28"/>
          <w:sz w:val="28"/>
          <w:szCs w:val="28"/>
          <w:lang w:eastAsia="es-ES"/>
        </w:rPr>
        <w:t>era susceptible de reposición</w:t>
      </w:r>
      <w:r w:rsidR="00BF6A26">
        <w:rPr>
          <w:rFonts w:ascii="Georgia" w:hAnsi="Georgia" w:cs="Arial"/>
          <w:kern w:val="28"/>
          <w:sz w:val="28"/>
          <w:szCs w:val="28"/>
          <w:lang w:eastAsia="es-ES"/>
        </w:rPr>
        <w:t xml:space="preserve"> (Art. 318 CGP).</w:t>
      </w:r>
    </w:p>
    <w:p w14:paraId="01BF44FC" w14:textId="52CD30CA" w:rsidR="00CC7742" w:rsidRDefault="00CC7742"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3339F105" w14:textId="2065A931" w:rsidR="00975480" w:rsidRDefault="00B47253"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sidRPr="00B47253">
        <w:rPr>
          <w:rFonts w:ascii="Georgia" w:hAnsi="Georgia" w:cs="Arial"/>
          <w:kern w:val="28"/>
          <w:sz w:val="28"/>
          <w:szCs w:val="28"/>
          <w:lang w:eastAsia="es-ES"/>
        </w:rPr>
        <w:t xml:space="preserve">Luego, sobre el tema de la </w:t>
      </w:r>
      <w:r w:rsidR="0021576A" w:rsidRPr="00B47253">
        <w:rPr>
          <w:rFonts w:ascii="Georgia" w:hAnsi="Georgia" w:cs="Arial"/>
          <w:kern w:val="28"/>
          <w:sz w:val="28"/>
          <w:szCs w:val="28"/>
          <w:lang w:eastAsia="es-ES"/>
        </w:rPr>
        <w:t>p</w:t>
      </w:r>
      <w:r w:rsidR="00DE1B8C" w:rsidRPr="00B47253">
        <w:rPr>
          <w:rFonts w:ascii="Georgia" w:hAnsi="Georgia" w:cs="Arial"/>
          <w:kern w:val="28"/>
          <w:sz w:val="28"/>
          <w:szCs w:val="28"/>
          <w:lang w:eastAsia="es-ES"/>
        </w:rPr>
        <w:t>ér</w:t>
      </w:r>
      <w:r w:rsidR="0021576A" w:rsidRPr="00B47253">
        <w:rPr>
          <w:rFonts w:ascii="Georgia" w:hAnsi="Georgia" w:cs="Arial"/>
          <w:kern w:val="28"/>
          <w:sz w:val="28"/>
          <w:szCs w:val="28"/>
          <w:lang w:eastAsia="es-ES"/>
        </w:rPr>
        <w:t xml:space="preserve">dida de competencia </w:t>
      </w:r>
      <w:r w:rsidRPr="00B47253">
        <w:rPr>
          <w:rFonts w:ascii="Georgia" w:hAnsi="Georgia" w:cs="Arial"/>
          <w:kern w:val="28"/>
          <w:sz w:val="28"/>
          <w:szCs w:val="28"/>
          <w:lang w:eastAsia="es-ES"/>
        </w:rPr>
        <w:t xml:space="preserve">negada por el juzgado ninguna manifestación adicional realizará esta Sala. </w:t>
      </w:r>
    </w:p>
    <w:p w14:paraId="5E31DA68" w14:textId="41349F7F" w:rsidR="00D76651" w:rsidRDefault="00D76651"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19139593" w14:textId="287B6E0A" w:rsidR="00D5345A" w:rsidRDefault="000F43FC"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sidRPr="007B064B">
        <w:rPr>
          <w:rFonts w:ascii="Georgia" w:hAnsi="Georgia" w:cs="Arial"/>
          <w:b/>
          <w:bCs/>
          <w:kern w:val="28"/>
          <w:sz w:val="28"/>
          <w:szCs w:val="28"/>
          <w:lang w:eastAsia="es-ES"/>
        </w:rPr>
        <w:lastRenderedPageBreak/>
        <w:t>4.-</w:t>
      </w:r>
      <w:r w:rsidR="005764FF">
        <w:rPr>
          <w:rFonts w:ascii="Georgia" w:hAnsi="Georgia" w:cs="Arial"/>
          <w:b/>
          <w:bCs/>
          <w:kern w:val="28"/>
          <w:sz w:val="28"/>
          <w:szCs w:val="28"/>
          <w:lang w:eastAsia="es-ES"/>
        </w:rPr>
        <w:t xml:space="preserve"> </w:t>
      </w:r>
      <w:r w:rsidR="00E044D0">
        <w:rPr>
          <w:rFonts w:ascii="Georgia" w:hAnsi="Georgia" w:cs="Arial"/>
          <w:kern w:val="28"/>
          <w:sz w:val="28"/>
          <w:szCs w:val="28"/>
          <w:lang w:eastAsia="es-ES"/>
        </w:rPr>
        <w:t xml:space="preserve">Respecto a </w:t>
      </w:r>
      <w:r w:rsidR="00093117">
        <w:rPr>
          <w:rFonts w:ascii="Georgia" w:hAnsi="Georgia" w:cs="Arial"/>
          <w:kern w:val="28"/>
          <w:sz w:val="28"/>
          <w:szCs w:val="28"/>
          <w:lang w:eastAsia="es-ES"/>
        </w:rPr>
        <w:t>la figura procesal del desistimiento tácito en lo concerniente al</w:t>
      </w:r>
      <w:r w:rsidR="00D259E8">
        <w:rPr>
          <w:rFonts w:ascii="Georgia" w:hAnsi="Georgia" w:cs="Arial"/>
          <w:kern w:val="28"/>
          <w:sz w:val="28"/>
          <w:szCs w:val="28"/>
          <w:lang w:eastAsia="es-ES"/>
        </w:rPr>
        <w:t xml:space="preserve"> evento consagrado en el</w:t>
      </w:r>
      <w:r w:rsidR="00093117">
        <w:rPr>
          <w:rFonts w:ascii="Georgia" w:hAnsi="Georgia" w:cs="Arial"/>
          <w:kern w:val="28"/>
          <w:sz w:val="28"/>
          <w:szCs w:val="28"/>
          <w:lang w:eastAsia="es-ES"/>
        </w:rPr>
        <w:t xml:space="preserve"> numeral 1°</w:t>
      </w:r>
      <w:r w:rsidR="00D259E8">
        <w:rPr>
          <w:rFonts w:ascii="Georgia" w:hAnsi="Georgia" w:cs="Arial"/>
          <w:kern w:val="28"/>
          <w:sz w:val="28"/>
          <w:szCs w:val="28"/>
          <w:lang w:eastAsia="es-ES"/>
        </w:rPr>
        <w:t xml:space="preserve"> del artículo 317 del C.G.P., al respecto, la actual doctrina de tutela de la Corte Suprema de Justicia, acogida por esta Sala en auto AC – 0080 – 2022, ha indicado con claridad que</w:t>
      </w:r>
      <w:r w:rsidR="00D5345A">
        <w:rPr>
          <w:rFonts w:ascii="Georgia" w:hAnsi="Georgia" w:cs="Arial"/>
          <w:kern w:val="28"/>
          <w:sz w:val="28"/>
          <w:szCs w:val="28"/>
          <w:lang w:eastAsia="es-ES"/>
        </w:rPr>
        <w:t xml:space="preserve"> para</w:t>
      </w:r>
      <w:r w:rsidR="00D259E8">
        <w:rPr>
          <w:rFonts w:ascii="Georgia" w:hAnsi="Georgia" w:cs="Arial"/>
          <w:kern w:val="28"/>
          <w:sz w:val="28"/>
          <w:szCs w:val="28"/>
          <w:lang w:eastAsia="es-ES"/>
        </w:rPr>
        <w:t xml:space="preserve"> evita</w:t>
      </w:r>
      <w:r w:rsidR="00D5345A">
        <w:rPr>
          <w:rFonts w:ascii="Georgia" w:hAnsi="Georgia" w:cs="Arial"/>
          <w:kern w:val="28"/>
          <w:sz w:val="28"/>
          <w:szCs w:val="28"/>
          <w:lang w:eastAsia="es-ES"/>
        </w:rPr>
        <w:t>r</w:t>
      </w:r>
      <w:r w:rsidR="00D259E8">
        <w:rPr>
          <w:rFonts w:ascii="Georgia" w:hAnsi="Georgia" w:cs="Arial"/>
          <w:kern w:val="28"/>
          <w:sz w:val="28"/>
          <w:szCs w:val="28"/>
          <w:lang w:eastAsia="es-ES"/>
        </w:rPr>
        <w:t xml:space="preserve"> la “</w:t>
      </w:r>
      <w:r w:rsidR="00D259E8" w:rsidRPr="00940C9D">
        <w:rPr>
          <w:rFonts w:ascii="Georgia" w:hAnsi="Georgia" w:cs="Arial"/>
          <w:i/>
          <w:iCs/>
          <w:kern w:val="28"/>
          <w:lang w:eastAsia="es-ES"/>
        </w:rPr>
        <w:t>parálisis del proceso</w:t>
      </w:r>
      <w:r w:rsidR="00D259E8">
        <w:rPr>
          <w:rFonts w:ascii="Georgia" w:hAnsi="Georgia" w:cs="Arial"/>
          <w:kern w:val="28"/>
          <w:sz w:val="28"/>
          <w:szCs w:val="28"/>
          <w:lang w:eastAsia="es-ES"/>
        </w:rPr>
        <w:t xml:space="preserve">” y </w:t>
      </w:r>
      <w:r w:rsidR="00D5345A">
        <w:rPr>
          <w:rFonts w:ascii="Georgia" w:hAnsi="Georgia" w:cs="Arial"/>
          <w:kern w:val="28"/>
          <w:sz w:val="28"/>
          <w:szCs w:val="28"/>
          <w:lang w:eastAsia="es-ES"/>
        </w:rPr>
        <w:t>aunado a ello, la declaratoria del desistimiento tácito, es</w:t>
      </w:r>
      <w:r w:rsidR="00940C9D">
        <w:rPr>
          <w:rFonts w:ascii="Georgia" w:hAnsi="Georgia" w:cs="Arial"/>
          <w:kern w:val="28"/>
          <w:sz w:val="28"/>
          <w:szCs w:val="28"/>
          <w:lang w:eastAsia="es-ES"/>
        </w:rPr>
        <w:t xml:space="preserve"> indispensable</w:t>
      </w:r>
      <w:r w:rsidR="00D5345A">
        <w:rPr>
          <w:rFonts w:ascii="Georgia" w:hAnsi="Georgia" w:cs="Arial"/>
          <w:kern w:val="28"/>
          <w:sz w:val="28"/>
          <w:szCs w:val="28"/>
          <w:lang w:eastAsia="es-ES"/>
        </w:rPr>
        <w:t xml:space="preserve"> que la parte correspondiente cumpla la carga procesal para la cual fue requerido, pero además, dicho cumplimiento lleva intrínseco el requisito de ser “</w:t>
      </w:r>
      <w:r w:rsidR="00D5345A" w:rsidRPr="00940C9D">
        <w:rPr>
          <w:rFonts w:ascii="Georgia" w:hAnsi="Georgia" w:cs="Arial"/>
          <w:i/>
          <w:iCs/>
          <w:kern w:val="28"/>
          <w:lang w:eastAsia="es-ES"/>
        </w:rPr>
        <w:t>idóneo y apropiado</w:t>
      </w:r>
      <w:r w:rsidR="00D5345A">
        <w:rPr>
          <w:rFonts w:ascii="Georgia" w:hAnsi="Georgia" w:cs="Arial"/>
          <w:kern w:val="28"/>
          <w:sz w:val="28"/>
          <w:szCs w:val="28"/>
          <w:lang w:eastAsia="es-ES"/>
        </w:rPr>
        <w:t>” para poder erigirse como una “</w:t>
      </w:r>
      <w:r w:rsidR="00D5345A" w:rsidRPr="00940C9D">
        <w:rPr>
          <w:rFonts w:ascii="Georgia" w:hAnsi="Georgia" w:cs="Arial"/>
          <w:i/>
          <w:iCs/>
          <w:kern w:val="28"/>
          <w:lang w:eastAsia="es-ES"/>
        </w:rPr>
        <w:t>actuación eficaz que interrumpa los plazos de desistimiento tácito</w:t>
      </w:r>
      <w:r w:rsidR="00D5345A">
        <w:rPr>
          <w:rFonts w:ascii="Georgia" w:hAnsi="Georgia" w:cs="Arial"/>
          <w:kern w:val="28"/>
          <w:sz w:val="28"/>
          <w:szCs w:val="28"/>
          <w:lang w:eastAsia="es-ES"/>
        </w:rPr>
        <w:t>”.</w:t>
      </w:r>
    </w:p>
    <w:p w14:paraId="7227719C" w14:textId="132F87B7" w:rsidR="00D5345A" w:rsidRDefault="00D5345A"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5CA6B64F" w14:textId="1615D0B3" w:rsidR="00C95078" w:rsidRDefault="007F3851"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La</w:t>
      </w:r>
      <w:r w:rsidR="002E1A10">
        <w:rPr>
          <w:rFonts w:ascii="Georgia" w:hAnsi="Georgia" w:cs="Arial"/>
          <w:kern w:val="28"/>
          <w:sz w:val="28"/>
          <w:szCs w:val="28"/>
          <w:lang w:eastAsia="es-ES"/>
        </w:rPr>
        <w:t xml:space="preserve"> carga procesal </w:t>
      </w:r>
      <w:r w:rsidR="00C95078">
        <w:rPr>
          <w:rFonts w:ascii="Georgia" w:hAnsi="Georgia" w:cs="Arial"/>
          <w:kern w:val="28"/>
          <w:sz w:val="28"/>
          <w:szCs w:val="28"/>
          <w:lang w:eastAsia="es-ES"/>
        </w:rPr>
        <w:t xml:space="preserve">que </w:t>
      </w:r>
      <w:r w:rsidR="001B6480">
        <w:rPr>
          <w:rFonts w:ascii="Georgia" w:hAnsi="Georgia" w:cs="Arial"/>
          <w:kern w:val="28"/>
          <w:sz w:val="28"/>
          <w:szCs w:val="28"/>
          <w:lang w:eastAsia="es-ES"/>
        </w:rPr>
        <w:t xml:space="preserve">en el caso concreto dio lugar a la </w:t>
      </w:r>
      <w:r w:rsidR="00C95078">
        <w:rPr>
          <w:rFonts w:ascii="Georgia" w:hAnsi="Georgia" w:cs="Arial"/>
          <w:kern w:val="28"/>
          <w:sz w:val="28"/>
          <w:szCs w:val="28"/>
          <w:lang w:eastAsia="es-ES"/>
        </w:rPr>
        <w:t xml:space="preserve">declaración del desistimiento tácito </w:t>
      </w:r>
      <w:r w:rsidR="001B6480">
        <w:rPr>
          <w:rFonts w:ascii="Georgia" w:hAnsi="Georgia" w:cs="Arial"/>
          <w:kern w:val="28"/>
          <w:sz w:val="28"/>
          <w:szCs w:val="28"/>
          <w:lang w:eastAsia="es-ES"/>
        </w:rPr>
        <w:t>fue</w:t>
      </w:r>
      <w:r w:rsidR="00C95078">
        <w:rPr>
          <w:rFonts w:ascii="Georgia" w:hAnsi="Georgia" w:cs="Arial"/>
          <w:kern w:val="28"/>
          <w:sz w:val="28"/>
          <w:szCs w:val="28"/>
          <w:lang w:eastAsia="es-ES"/>
        </w:rPr>
        <w:t xml:space="preserve"> la señalada en el auto No. 02740 del 6 de octubre de 2023, </w:t>
      </w:r>
      <w:r w:rsidR="001B6480">
        <w:rPr>
          <w:rFonts w:ascii="Georgia" w:hAnsi="Georgia" w:cs="Arial"/>
          <w:kern w:val="28"/>
          <w:sz w:val="28"/>
          <w:szCs w:val="28"/>
          <w:lang w:eastAsia="es-ES"/>
        </w:rPr>
        <w:t>así</w:t>
      </w:r>
      <w:r w:rsidR="00C95078">
        <w:rPr>
          <w:rFonts w:ascii="Georgia" w:hAnsi="Georgia" w:cs="Arial"/>
          <w:kern w:val="28"/>
          <w:sz w:val="28"/>
          <w:szCs w:val="28"/>
          <w:lang w:eastAsia="es-ES"/>
        </w:rPr>
        <w:t>:</w:t>
      </w:r>
    </w:p>
    <w:p w14:paraId="05EECC2B" w14:textId="77777777" w:rsidR="0069553F" w:rsidRDefault="0069553F"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01372973" w14:textId="6D0C49B6" w:rsidR="002E1A10" w:rsidRDefault="00C95078" w:rsidP="0069553F">
      <w:pPr>
        <w:pStyle w:val="Sinespaciado"/>
        <w:ind w:left="709" w:right="618"/>
        <w:jc w:val="both"/>
        <w:rPr>
          <w:rFonts w:ascii="Georgia" w:hAnsi="Georgia"/>
          <w:kern w:val="28"/>
          <w:sz w:val="24"/>
          <w:szCs w:val="24"/>
        </w:rPr>
      </w:pPr>
      <w:r w:rsidRPr="0069553F">
        <w:rPr>
          <w:rFonts w:ascii="Georgia" w:hAnsi="Georgia"/>
          <w:sz w:val="24"/>
          <w:szCs w:val="24"/>
        </w:rPr>
        <w:t>“se requiere a la parte actora para que allegue el trámite completo de la notificación personal de los demandados, señores María Virgelina Pescador Parra y Omar de Jesús Arias Pareja, esto es, la comunicación que les remitió de notificación personal, con la constancia de cotejado y el informe de la empresa de correo, si los demandados viven o laboran en la dirección que fueron entregadas las citaciones (art. 292 inciso 4 del CGP)</w:t>
      </w:r>
      <w:r w:rsidRPr="0069553F">
        <w:rPr>
          <w:rFonts w:ascii="Georgia" w:hAnsi="Georgia"/>
          <w:sz w:val="24"/>
          <w:szCs w:val="24"/>
          <w:vertAlign w:val="superscript"/>
        </w:rPr>
        <w:t>1</w:t>
      </w:r>
      <w:r w:rsidRPr="0069553F">
        <w:rPr>
          <w:rFonts w:ascii="Georgia" w:hAnsi="Georgia"/>
          <w:sz w:val="24"/>
          <w:szCs w:val="24"/>
        </w:rPr>
        <w:t>. Lo anterior, deberá cumplirlo en el término de 30 días, siguientes, a partir de la notificación de la presente providencia, so pena, de decretarle el desistimiento tácito a este proceso (artículo 317 CGP)”</w:t>
      </w:r>
      <w:r w:rsidR="008146E4" w:rsidRPr="0069553F">
        <w:rPr>
          <w:rStyle w:val="Refdenotaalpie"/>
          <w:rFonts w:ascii="Georgia" w:hAnsi="Georgia"/>
          <w:kern w:val="28"/>
          <w:sz w:val="24"/>
          <w:szCs w:val="24"/>
        </w:rPr>
        <w:t xml:space="preserve"> </w:t>
      </w:r>
      <w:r w:rsidR="008146E4" w:rsidRPr="0069553F">
        <w:rPr>
          <w:rStyle w:val="Refdenotaalpie"/>
          <w:rFonts w:ascii="Georgia" w:hAnsi="Georgia"/>
          <w:kern w:val="28"/>
          <w:sz w:val="24"/>
          <w:szCs w:val="24"/>
        </w:rPr>
        <w:footnoteReference w:id="14"/>
      </w:r>
    </w:p>
    <w:p w14:paraId="6A0F8E0D" w14:textId="77777777" w:rsidR="0069553F" w:rsidRPr="0069553F" w:rsidRDefault="0069553F" w:rsidP="0069553F">
      <w:pPr>
        <w:pStyle w:val="Sinespaciado"/>
        <w:spacing w:line="360" w:lineRule="auto"/>
        <w:jc w:val="both"/>
        <w:rPr>
          <w:rFonts w:ascii="Georgia" w:hAnsi="Georgia"/>
          <w:sz w:val="24"/>
          <w:szCs w:val="24"/>
        </w:rPr>
      </w:pPr>
    </w:p>
    <w:p w14:paraId="635F9873" w14:textId="0647D396" w:rsidR="0093125E" w:rsidRDefault="00821E36"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Lo primero que debe hacerse entonces, es dejar en claro que no están llamad</w:t>
      </w:r>
      <w:r w:rsidR="007F425B">
        <w:rPr>
          <w:rFonts w:ascii="Georgia" w:hAnsi="Georgia" w:cs="Arial"/>
          <w:kern w:val="28"/>
          <w:sz w:val="28"/>
          <w:szCs w:val="28"/>
          <w:lang w:eastAsia="es-ES"/>
        </w:rPr>
        <w:t>o</w:t>
      </w:r>
      <w:r>
        <w:rPr>
          <w:rFonts w:ascii="Georgia" w:hAnsi="Georgia" w:cs="Arial"/>
          <w:kern w:val="28"/>
          <w:sz w:val="28"/>
          <w:szCs w:val="28"/>
          <w:lang w:eastAsia="es-ES"/>
        </w:rPr>
        <w:t>s a prosperar l</w:t>
      </w:r>
      <w:r w:rsidR="007F425B">
        <w:rPr>
          <w:rFonts w:ascii="Georgia" w:hAnsi="Georgia" w:cs="Arial"/>
          <w:kern w:val="28"/>
          <w:sz w:val="28"/>
          <w:szCs w:val="28"/>
          <w:lang w:eastAsia="es-ES"/>
        </w:rPr>
        <w:t>os argumentos empleados por</w:t>
      </w:r>
      <w:r>
        <w:rPr>
          <w:rFonts w:ascii="Georgia" w:hAnsi="Georgia" w:cs="Arial"/>
          <w:kern w:val="28"/>
          <w:sz w:val="28"/>
          <w:szCs w:val="28"/>
          <w:lang w:eastAsia="es-ES"/>
        </w:rPr>
        <w:t xml:space="preserve"> el apelante respecto al requerimiento pendiente a la Administradora de los Recursos del Sistema General de Seguridad Social en Salud (ADRES) ni</w:t>
      </w:r>
      <w:r w:rsidR="00945FED">
        <w:rPr>
          <w:rFonts w:ascii="Georgia" w:hAnsi="Georgia" w:cs="Arial"/>
          <w:kern w:val="28"/>
          <w:sz w:val="28"/>
          <w:szCs w:val="28"/>
          <w:lang w:eastAsia="es-ES"/>
        </w:rPr>
        <w:t>, en relación con ello,</w:t>
      </w:r>
      <w:r>
        <w:rPr>
          <w:rFonts w:ascii="Georgia" w:hAnsi="Georgia" w:cs="Arial"/>
          <w:kern w:val="28"/>
          <w:sz w:val="28"/>
          <w:szCs w:val="28"/>
          <w:lang w:eastAsia="es-ES"/>
        </w:rPr>
        <w:t xml:space="preserve"> sobre la notificación al señor José Fernando Marín Ospina, toda vez que (i) el despacho de conocimiento ordenó el emplazamiento de este litisconsorte mediante auto No. 00834 del 14 de abril de 2023</w:t>
      </w:r>
      <w:r w:rsidR="00945FED">
        <w:rPr>
          <w:rStyle w:val="Refdenotaalpie"/>
          <w:rFonts w:ascii="Georgia" w:hAnsi="Georgia"/>
          <w:kern w:val="28"/>
          <w:sz w:val="28"/>
          <w:szCs w:val="28"/>
          <w:lang w:eastAsia="es-ES"/>
        </w:rPr>
        <w:footnoteReference w:id="15"/>
      </w:r>
      <w:r w:rsidR="00BF6FA1">
        <w:rPr>
          <w:rFonts w:ascii="Georgia" w:hAnsi="Georgia" w:cs="Arial"/>
          <w:kern w:val="28"/>
          <w:sz w:val="28"/>
          <w:szCs w:val="28"/>
          <w:lang w:eastAsia="es-ES"/>
        </w:rPr>
        <w:t>,</w:t>
      </w:r>
      <w:r w:rsidR="000623B2">
        <w:rPr>
          <w:rFonts w:ascii="Georgia" w:hAnsi="Georgia" w:cs="Arial"/>
          <w:kern w:val="28"/>
          <w:sz w:val="28"/>
          <w:szCs w:val="28"/>
          <w:lang w:eastAsia="es-ES"/>
        </w:rPr>
        <w:t xml:space="preserve"> </w:t>
      </w:r>
      <w:r w:rsidR="00BF6FA1">
        <w:rPr>
          <w:rFonts w:ascii="Georgia" w:hAnsi="Georgia" w:cs="Arial"/>
          <w:kern w:val="28"/>
          <w:sz w:val="28"/>
          <w:szCs w:val="28"/>
          <w:lang w:eastAsia="es-ES"/>
        </w:rPr>
        <w:t>(</w:t>
      </w:r>
      <w:proofErr w:type="spellStart"/>
      <w:r w:rsidR="00BF6FA1">
        <w:rPr>
          <w:rFonts w:ascii="Georgia" w:hAnsi="Georgia" w:cs="Arial"/>
          <w:kern w:val="28"/>
          <w:sz w:val="28"/>
          <w:szCs w:val="28"/>
          <w:lang w:eastAsia="es-ES"/>
        </w:rPr>
        <w:t>ii</w:t>
      </w:r>
      <w:proofErr w:type="spellEnd"/>
      <w:r w:rsidR="00BF6FA1">
        <w:rPr>
          <w:rFonts w:ascii="Georgia" w:hAnsi="Georgia" w:cs="Arial"/>
          <w:kern w:val="28"/>
          <w:sz w:val="28"/>
          <w:szCs w:val="28"/>
          <w:lang w:eastAsia="es-ES"/>
        </w:rPr>
        <w:t xml:space="preserve">) el emplazamiento se </w:t>
      </w:r>
      <w:r w:rsidR="00F31E6B">
        <w:rPr>
          <w:rFonts w:ascii="Georgia" w:hAnsi="Georgia" w:cs="Arial"/>
          <w:kern w:val="28"/>
          <w:sz w:val="28"/>
          <w:szCs w:val="28"/>
          <w:lang w:eastAsia="es-ES"/>
        </w:rPr>
        <w:t>incluyó</w:t>
      </w:r>
      <w:r w:rsidR="00BF6FA1">
        <w:rPr>
          <w:rFonts w:ascii="Georgia" w:hAnsi="Georgia" w:cs="Arial"/>
          <w:kern w:val="28"/>
          <w:sz w:val="28"/>
          <w:szCs w:val="28"/>
          <w:lang w:eastAsia="es-ES"/>
        </w:rPr>
        <w:t xml:space="preserve"> en el Registro Nacional de Personas </w:t>
      </w:r>
      <w:r w:rsidR="00BF6FA1">
        <w:rPr>
          <w:rFonts w:ascii="Georgia" w:hAnsi="Georgia" w:cs="Arial"/>
          <w:kern w:val="28"/>
          <w:sz w:val="28"/>
          <w:szCs w:val="28"/>
          <w:lang w:eastAsia="es-ES"/>
        </w:rPr>
        <w:lastRenderedPageBreak/>
        <w:t>Emplazadas</w:t>
      </w:r>
      <w:r w:rsidR="00BF6FA1">
        <w:rPr>
          <w:rStyle w:val="Refdenotaalpie"/>
          <w:rFonts w:ascii="Georgia" w:hAnsi="Georgia"/>
          <w:kern w:val="28"/>
          <w:sz w:val="28"/>
          <w:szCs w:val="28"/>
          <w:lang w:eastAsia="es-ES"/>
        </w:rPr>
        <w:footnoteReference w:id="16"/>
      </w:r>
      <w:r w:rsidR="00BF6FA1">
        <w:rPr>
          <w:rFonts w:ascii="Georgia" w:hAnsi="Georgia" w:cs="Arial"/>
          <w:kern w:val="28"/>
          <w:sz w:val="28"/>
          <w:szCs w:val="28"/>
          <w:lang w:eastAsia="es-ES"/>
        </w:rPr>
        <w:t xml:space="preserve"> y </w:t>
      </w:r>
      <w:r w:rsidR="000623B2">
        <w:rPr>
          <w:rFonts w:ascii="Georgia" w:hAnsi="Georgia" w:cs="Arial"/>
          <w:kern w:val="28"/>
          <w:sz w:val="28"/>
          <w:szCs w:val="28"/>
          <w:lang w:eastAsia="es-ES"/>
        </w:rPr>
        <w:t>(</w:t>
      </w:r>
      <w:proofErr w:type="spellStart"/>
      <w:r w:rsidR="000623B2">
        <w:rPr>
          <w:rFonts w:ascii="Georgia" w:hAnsi="Georgia" w:cs="Arial"/>
          <w:kern w:val="28"/>
          <w:sz w:val="28"/>
          <w:szCs w:val="28"/>
          <w:lang w:eastAsia="es-ES"/>
        </w:rPr>
        <w:t>ii</w:t>
      </w:r>
      <w:proofErr w:type="spellEnd"/>
      <w:r w:rsidR="000623B2">
        <w:rPr>
          <w:rFonts w:ascii="Georgia" w:hAnsi="Georgia" w:cs="Arial"/>
          <w:kern w:val="28"/>
          <w:sz w:val="28"/>
          <w:szCs w:val="28"/>
          <w:lang w:eastAsia="es-ES"/>
        </w:rPr>
        <w:t xml:space="preserve">) la advertencia del desistimiento tácito no </w:t>
      </w:r>
      <w:r w:rsidR="00F31E6B">
        <w:rPr>
          <w:rFonts w:ascii="Georgia" w:hAnsi="Georgia" w:cs="Arial"/>
          <w:kern w:val="28"/>
          <w:sz w:val="28"/>
          <w:szCs w:val="28"/>
          <w:lang w:eastAsia="es-ES"/>
        </w:rPr>
        <w:t>hizo</w:t>
      </w:r>
      <w:r w:rsidR="000623B2">
        <w:rPr>
          <w:rFonts w:ascii="Georgia" w:hAnsi="Georgia" w:cs="Arial"/>
          <w:kern w:val="28"/>
          <w:sz w:val="28"/>
          <w:szCs w:val="28"/>
          <w:lang w:eastAsia="es-ES"/>
        </w:rPr>
        <w:t xml:space="preserve"> si quiera mención a este litisconsorte, ni así tampoco el auto </w:t>
      </w:r>
      <w:r w:rsidR="00F31E6B">
        <w:rPr>
          <w:rFonts w:ascii="Georgia" w:hAnsi="Georgia" w:cs="Arial"/>
          <w:kern w:val="28"/>
          <w:sz w:val="28"/>
          <w:szCs w:val="28"/>
          <w:lang w:eastAsia="es-ES"/>
        </w:rPr>
        <w:t>apelado</w:t>
      </w:r>
      <w:r w:rsidR="000623B2">
        <w:rPr>
          <w:rFonts w:ascii="Georgia" w:hAnsi="Georgia" w:cs="Arial"/>
          <w:kern w:val="28"/>
          <w:sz w:val="28"/>
          <w:szCs w:val="28"/>
          <w:lang w:eastAsia="es-ES"/>
        </w:rPr>
        <w:t>.</w:t>
      </w:r>
    </w:p>
    <w:p w14:paraId="6E452C70" w14:textId="797F727E" w:rsidR="000623B2" w:rsidRDefault="000623B2"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3C0B5FCA" w14:textId="5F7D37CD" w:rsidR="00986423" w:rsidRDefault="00C31D1A" w:rsidP="00986423">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 xml:space="preserve">En lo que respecta </w:t>
      </w:r>
      <w:r w:rsidR="009328D5">
        <w:rPr>
          <w:rFonts w:ascii="Georgia" w:hAnsi="Georgia" w:cs="Arial"/>
          <w:kern w:val="28"/>
          <w:sz w:val="28"/>
          <w:szCs w:val="28"/>
          <w:lang w:eastAsia="es-ES"/>
        </w:rPr>
        <w:t xml:space="preserve">exclusivamente </w:t>
      </w:r>
      <w:r>
        <w:rPr>
          <w:rFonts w:ascii="Georgia" w:hAnsi="Georgia" w:cs="Arial"/>
          <w:kern w:val="28"/>
          <w:sz w:val="28"/>
          <w:szCs w:val="28"/>
          <w:lang w:eastAsia="es-ES"/>
        </w:rPr>
        <w:t xml:space="preserve">al litisconsorte Omar de Jesús Arias Pareja, </w:t>
      </w:r>
      <w:r w:rsidR="00986423">
        <w:rPr>
          <w:rFonts w:ascii="Georgia" w:hAnsi="Georgia" w:cs="Arial"/>
          <w:kern w:val="28"/>
          <w:sz w:val="28"/>
          <w:szCs w:val="28"/>
          <w:lang w:eastAsia="es-ES"/>
        </w:rPr>
        <w:t>y el reclamo en el sentido que debió entenderse notificado por conducta concluyente, se resalta que la parte accionante debió interpo</w:t>
      </w:r>
      <w:r w:rsidR="00E706B9">
        <w:rPr>
          <w:rFonts w:ascii="Georgia" w:hAnsi="Georgia" w:cs="Arial"/>
          <w:kern w:val="28"/>
          <w:sz w:val="28"/>
          <w:szCs w:val="28"/>
          <w:lang w:eastAsia="es-ES"/>
        </w:rPr>
        <w:t>ner</w:t>
      </w:r>
      <w:r w:rsidR="00986423">
        <w:rPr>
          <w:rFonts w:ascii="Georgia" w:hAnsi="Georgia" w:cs="Arial"/>
          <w:kern w:val="28"/>
          <w:sz w:val="28"/>
          <w:szCs w:val="28"/>
          <w:lang w:eastAsia="es-ES"/>
        </w:rPr>
        <w:t>, en su momento, los recursos pertinentes contra el auto No. 00834 del 14 de abril de 2023, pues fue desde aquella providencia que el despacho de primera instancia determinó l</w:t>
      </w:r>
      <w:r w:rsidR="00475BEC">
        <w:rPr>
          <w:rFonts w:ascii="Georgia" w:hAnsi="Georgia" w:cs="Arial"/>
          <w:kern w:val="28"/>
          <w:sz w:val="28"/>
          <w:szCs w:val="28"/>
          <w:lang w:eastAsia="es-ES"/>
        </w:rPr>
        <w:t>o contrario</w:t>
      </w:r>
      <w:r w:rsidR="00986423">
        <w:rPr>
          <w:rFonts w:ascii="Georgia" w:hAnsi="Georgia" w:cs="Arial"/>
          <w:kern w:val="28"/>
          <w:sz w:val="28"/>
          <w:szCs w:val="28"/>
          <w:lang w:eastAsia="es-ES"/>
        </w:rPr>
        <w:t>, entre otras cosas, al ordenar nuevamente su notificación personal, no obstante, la interesada no interpuso recursos contra dicha decisión y en consecuencia, no es este el momento procesal oportuno para excusarse del incumplimiento de la carga procesal asignada bajo el argumento aquí analizado.</w:t>
      </w:r>
    </w:p>
    <w:p w14:paraId="41856765" w14:textId="77777777" w:rsidR="00475BEC" w:rsidRDefault="00475BEC" w:rsidP="00986423">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29584D2D" w14:textId="75048B83" w:rsidR="00C31D1A" w:rsidRDefault="00475BEC"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 xml:space="preserve">En todo caso, </w:t>
      </w:r>
      <w:r w:rsidR="006514BB">
        <w:rPr>
          <w:rFonts w:ascii="Georgia" w:hAnsi="Georgia" w:cs="Arial"/>
          <w:kern w:val="28"/>
          <w:sz w:val="28"/>
          <w:szCs w:val="28"/>
          <w:lang w:eastAsia="es-ES"/>
        </w:rPr>
        <w:t xml:space="preserve">no </w:t>
      </w:r>
      <w:r w:rsidR="00C31D1A" w:rsidRPr="000A2C64">
        <w:rPr>
          <w:rFonts w:ascii="Georgia" w:hAnsi="Georgia" w:cs="Arial"/>
          <w:kern w:val="28"/>
          <w:sz w:val="28"/>
          <w:szCs w:val="28"/>
          <w:lang w:eastAsia="es-ES"/>
        </w:rPr>
        <w:t xml:space="preserve">concuerda este despacho </w:t>
      </w:r>
      <w:r w:rsidR="00C731E9" w:rsidRPr="000A2C64">
        <w:rPr>
          <w:rFonts w:ascii="Georgia" w:hAnsi="Georgia" w:cs="Arial"/>
          <w:kern w:val="28"/>
          <w:sz w:val="28"/>
          <w:szCs w:val="28"/>
          <w:lang w:eastAsia="es-ES"/>
        </w:rPr>
        <w:t xml:space="preserve">con el apelante </w:t>
      </w:r>
      <w:r w:rsidR="009328D5" w:rsidRPr="000A2C64">
        <w:rPr>
          <w:rFonts w:ascii="Georgia" w:hAnsi="Georgia" w:cs="Arial"/>
          <w:kern w:val="28"/>
          <w:sz w:val="28"/>
          <w:szCs w:val="28"/>
          <w:lang w:eastAsia="es-ES"/>
        </w:rPr>
        <w:t>cuando menciona</w:t>
      </w:r>
      <w:r w:rsidR="00C31D1A" w:rsidRPr="000A2C64">
        <w:rPr>
          <w:rFonts w:ascii="Georgia" w:hAnsi="Georgia" w:cs="Arial"/>
          <w:kern w:val="28"/>
          <w:sz w:val="28"/>
          <w:szCs w:val="28"/>
          <w:lang w:eastAsia="es-ES"/>
        </w:rPr>
        <w:t xml:space="preserve"> que la notificación por conducta concluyente debió ser </w:t>
      </w:r>
      <w:r w:rsidR="00036BDF" w:rsidRPr="000A2C64">
        <w:rPr>
          <w:rFonts w:ascii="Georgia" w:hAnsi="Georgia" w:cs="Arial"/>
          <w:kern w:val="28"/>
          <w:sz w:val="28"/>
          <w:szCs w:val="28"/>
          <w:lang w:eastAsia="es-ES"/>
        </w:rPr>
        <w:t>tenida en cuenta</w:t>
      </w:r>
      <w:r w:rsidR="00C31D1A" w:rsidRPr="000A2C64">
        <w:rPr>
          <w:rFonts w:ascii="Georgia" w:hAnsi="Georgia" w:cs="Arial"/>
          <w:kern w:val="28"/>
          <w:sz w:val="28"/>
          <w:szCs w:val="28"/>
          <w:lang w:eastAsia="es-ES"/>
        </w:rPr>
        <w:t xml:space="preserve"> por el Juez de conocimiento,</w:t>
      </w:r>
      <w:r w:rsidR="00C31D1A">
        <w:rPr>
          <w:rFonts w:ascii="Georgia" w:hAnsi="Georgia" w:cs="Arial"/>
          <w:kern w:val="28"/>
          <w:sz w:val="28"/>
          <w:szCs w:val="28"/>
          <w:lang w:eastAsia="es-ES"/>
        </w:rPr>
        <w:t xml:space="preserve"> </w:t>
      </w:r>
      <w:r w:rsidR="006514BB">
        <w:rPr>
          <w:rFonts w:ascii="Georgia" w:hAnsi="Georgia" w:cs="Arial"/>
          <w:kern w:val="28"/>
          <w:sz w:val="28"/>
          <w:szCs w:val="28"/>
          <w:lang w:eastAsia="es-ES"/>
        </w:rPr>
        <w:t xml:space="preserve">pues no se evidencia la configuración de alguno de los supuestos establecidos en el </w:t>
      </w:r>
      <w:r w:rsidR="00661991">
        <w:rPr>
          <w:rFonts w:ascii="Georgia" w:hAnsi="Georgia" w:cs="Arial"/>
          <w:kern w:val="28"/>
          <w:sz w:val="28"/>
          <w:szCs w:val="28"/>
          <w:lang w:eastAsia="es-ES"/>
        </w:rPr>
        <w:t>artículo 301 del CGP, como que é</w:t>
      </w:r>
      <w:r w:rsidR="005A644D">
        <w:rPr>
          <w:rFonts w:ascii="Georgia" w:hAnsi="Georgia" w:cs="Arial"/>
          <w:kern w:val="28"/>
          <w:sz w:val="28"/>
          <w:szCs w:val="28"/>
          <w:lang w:eastAsia="es-ES"/>
        </w:rPr>
        <w:t>l hubiere m</w:t>
      </w:r>
      <w:r w:rsidR="005A644D" w:rsidRPr="005A644D">
        <w:rPr>
          <w:rFonts w:ascii="Georgia" w:hAnsi="Georgia" w:cs="Arial"/>
          <w:kern w:val="28"/>
          <w:sz w:val="28"/>
          <w:szCs w:val="28"/>
          <w:lang w:eastAsia="es-ES"/>
        </w:rPr>
        <w:t>anifest</w:t>
      </w:r>
      <w:r w:rsidR="005A644D">
        <w:rPr>
          <w:rFonts w:ascii="Georgia" w:hAnsi="Georgia" w:cs="Arial"/>
          <w:kern w:val="28"/>
          <w:sz w:val="28"/>
          <w:szCs w:val="28"/>
          <w:lang w:eastAsia="es-ES"/>
        </w:rPr>
        <w:t>ado</w:t>
      </w:r>
      <w:r w:rsidR="005A644D" w:rsidRPr="005A644D">
        <w:rPr>
          <w:rFonts w:ascii="Georgia" w:hAnsi="Georgia" w:cs="Arial"/>
          <w:kern w:val="28"/>
          <w:sz w:val="28"/>
          <w:szCs w:val="28"/>
          <w:lang w:eastAsia="es-ES"/>
        </w:rPr>
        <w:t xml:space="preserve"> que conoce determinada providencia o la mencione en escrito que lleve su firma, o verbalmente durante una audiencia o diligencia</w:t>
      </w:r>
      <w:r w:rsidR="000A2C64">
        <w:rPr>
          <w:rFonts w:ascii="Georgia" w:hAnsi="Georgia" w:cs="Arial"/>
          <w:kern w:val="28"/>
          <w:sz w:val="28"/>
          <w:szCs w:val="28"/>
          <w:lang w:eastAsia="es-ES"/>
        </w:rPr>
        <w:t>. Ello, no sobra destacarlo, no se puede equiparar con la remisi</w:t>
      </w:r>
      <w:r w:rsidR="00ED3216">
        <w:rPr>
          <w:rFonts w:ascii="Georgia" w:hAnsi="Georgia" w:cs="Arial"/>
          <w:kern w:val="28"/>
          <w:sz w:val="28"/>
          <w:szCs w:val="28"/>
          <w:lang w:eastAsia="es-ES"/>
        </w:rPr>
        <w:t xml:space="preserve">ón </w:t>
      </w:r>
      <w:r w:rsidR="000A2C64">
        <w:rPr>
          <w:rFonts w:ascii="Georgia" w:hAnsi="Georgia" w:cs="Arial"/>
          <w:kern w:val="28"/>
          <w:sz w:val="28"/>
          <w:szCs w:val="28"/>
          <w:lang w:eastAsia="es-ES"/>
        </w:rPr>
        <w:t xml:space="preserve">del </w:t>
      </w:r>
      <w:r w:rsidR="0001624B">
        <w:rPr>
          <w:rFonts w:ascii="Georgia" w:hAnsi="Georgia" w:cs="Arial"/>
          <w:kern w:val="28"/>
          <w:sz w:val="28"/>
          <w:szCs w:val="28"/>
          <w:lang w:eastAsia="es-ES"/>
        </w:rPr>
        <w:t>enlace</w:t>
      </w:r>
      <w:r w:rsidR="000A2C64">
        <w:rPr>
          <w:rFonts w:ascii="Georgia" w:hAnsi="Georgia" w:cs="Arial"/>
          <w:kern w:val="28"/>
          <w:sz w:val="28"/>
          <w:szCs w:val="28"/>
          <w:lang w:eastAsia="es-ES"/>
        </w:rPr>
        <w:t xml:space="preserve"> </w:t>
      </w:r>
      <w:r w:rsidR="00ED3216">
        <w:rPr>
          <w:rFonts w:ascii="Georgia" w:hAnsi="Georgia" w:cs="Arial"/>
          <w:kern w:val="28"/>
          <w:sz w:val="28"/>
          <w:szCs w:val="28"/>
          <w:lang w:eastAsia="es-ES"/>
        </w:rPr>
        <w:t>para acceder a un expediente digital</w:t>
      </w:r>
      <w:r w:rsidR="008D7610">
        <w:rPr>
          <w:rFonts w:ascii="Georgia" w:hAnsi="Georgia" w:cs="Arial"/>
          <w:kern w:val="28"/>
          <w:sz w:val="28"/>
          <w:szCs w:val="28"/>
          <w:lang w:eastAsia="es-ES"/>
        </w:rPr>
        <w:t xml:space="preserve">, </w:t>
      </w:r>
      <w:r w:rsidR="0001624B">
        <w:rPr>
          <w:rFonts w:ascii="Georgia" w:hAnsi="Georgia" w:cs="Arial"/>
          <w:kern w:val="28"/>
          <w:sz w:val="28"/>
          <w:szCs w:val="28"/>
          <w:lang w:eastAsia="es-ES"/>
        </w:rPr>
        <w:t>o con la manifestación de conocer del proceso, cuando no se menciona en forma determinada la providencia a notificar.</w:t>
      </w:r>
      <w:r w:rsidR="001E1C11">
        <w:rPr>
          <w:rFonts w:ascii="Georgia" w:hAnsi="Georgia" w:cs="Arial"/>
          <w:kern w:val="28"/>
          <w:sz w:val="28"/>
          <w:szCs w:val="28"/>
          <w:lang w:eastAsia="es-ES"/>
        </w:rPr>
        <w:t xml:space="preserve"> </w:t>
      </w:r>
    </w:p>
    <w:p w14:paraId="0FE03DE4" w14:textId="77777777" w:rsidR="000969C5" w:rsidRDefault="000969C5"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1F4DB6EE" w14:textId="272E6906" w:rsidR="00C032BA" w:rsidRDefault="00750BC1"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Ahora, e</w:t>
      </w:r>
      <w:r w:rsidR="00C31D1A">
        <w:rPr>
          <w:rFonts w:ascii="Georgia" w:hAnsi="Georgia" w:cs="Arial"/>
          <w:kern w:val="28"/>
          <w:sz w:val="28"/>
          <w:szCs w:val="28"/>
          <w:lang w:eastAsia="es-ES"/>
        </w:rPr>
        <w:t>s claro que la carga procesal</w:t>
      </w:r>
      <w:r>
        <w:rPr>
          <w:rFonts w:ascii="Georgia" w:hAnsi="Georgia" w:cs="Arial"/>
          <w:kern w:val="28"/>
          <w:sz w:val="28"/>
          <w:szCs w:val="28"/>
          <w:lang w:eastAsia="es-ES"/>
        </w:rPr>
        <w:t xml:space="preserve"> impuesta so pena de decretar el desistimiento tácito </w:t>
      </w:r>
      <w:r w:rsidR="003C0612">
        <w:rPr>
          <w:rFonts w:ascii="Georgia" w:hAnsi="Georgia" w:cs="Arial"/>
          <w:kern w:val="28"/>
          <w:sz w:val="28"/>
          <w:szCs w:val="28"/>
          <w:lang w:eastAsia="es-ES"/>
        </w:rPr>
        <w:t>contemplaba dos de los tres litisconsortes, es necesario reiterar, la señora María Virgelina Pescador Parra y el señor Omar de Jesús Arias Pareja</w:t>
      </w:r>
      <w:r w:rsidR="005B6368">
        <w:rPr>
          <w:rFonts w:ascii="Georgia" w:hAnsi="Georgia" w:cs="Arial"/>
          <w:kern w:val="28"/>
          <w:sz w:val="28"/>
          <w:szCs w:val="28"/>
          <w:lang w:eastAsia="es-ES"/>
        </w:rPr>
        <w:t>. P</w:t>
      </w:r>
      <w:r w:rsidR="003C0612">
        <w:rPr>
          <w:rFonts w:ascii="Georgia" w:hAnsi="Georgia" w:cs="Arial"/>
          <w:kern w:val="28"/>
          <w:sz w:val="28"/>
          <w:szCs w:val="28"/>
          <w:lang w:eastAsia="es-ES"/>
        </w:rPr>
        <w:t>or</w:t>
      </w:r>
      <w:r w:rsidR="005B6368">
        <w:rPr>
          <w:rFonts w:ascii="Georgia" w:hAnsi="Georgia" w:cs="Arial"/>
          <w:kern w:val="28"/>
          <w:sz w:val="28"/>
          <w:szCs w:val="28"/>
          <w:lang w:eastAsia="es-ES"/>
        </w:rPr>
        <w:t xml:space="preserve"> </w:t>
      </w:r>
      <w:r w:rsidR="003C0612">
        <w:rPr>
          <w:rFonts w:ascii="Georgia" w:hAnsi="Georgia" w:cs="Arial"/>
          <w:kern w:val="28"/>
          <w:sz w:val="28"/>
          <w:szCs w:val="28"/>
          <w:lang w:eastAsia="es-ES"/>
        </w:rPr>
        <w:t xml:space="preserve">tanto, conforme a la doctrina de la Corte Suprema de Justicia previamente mencionada, la actuación eficaz para </w:t>
      </w:r>
      <w:r w:rsidR="003C0612">
        <w:rPr>
          <w:rFonts w:ascii="Georgia" w:hAnsi="Georgia" w:cs="Arial"/>
          <w:kern w:val="28"/>
          <w:sz w:val="28"/>
          <w:szCs w:val="28"/>
          <w:lang w:eastAsia="es-ES"/>
        </w:rPr>
        <w:lastRenderedPageBreak/>
        <w:t xml:space="preserve">cumplir con la carga procesal era precisamente allegar al despacho de conocimiento el trámite completo de la notificación personal surtido a cada uno, </w:t>
      </w:r>
      <w:r w:rsidR="00C731E9">
        <w:rPr>
          <w:rFonts w:ascii="Georgia" w:hAnsi="Georgia" w:cs="Arial"/>
          <w:kern w:val="28"/>
          <w:sz w:val="28"/>
          <w:szCs w:val="28"/>
          <w:lang w:eastAsia="es-ES"/>
        </w:rPr>
        <w:t>por lo tanto, inclus</w:t>
      </w:r>
      <w:r w:rsidR="00E06D0F">
        <w:rPr>
          <w:rFonts w:ascii="Georgia" w:hAnsi="Georgia" w:cs="Arial"/>
          <w:kern w:val="28"/>
          <w:sz w:val="28"/>
          <w:szCs w:val="28"/>
          <w:lang w:eastAsia="es-ES"/>
        </w:rPr>
        <w:t>o</w:t>
      </w:r>
      <w:r w:rsidR="00C731E9">
        <w:rPr>
          <w:rFonts w:ascii="Georgia" w:hAnsi="Georgia" w:cs="Arial"/>
          <w:kern w:val="28"/>
          <w:sz w:val="28"/>
          <w:szCs w:val="28"/>
          <w:lang w:eastAsia="es-ES"/>
        </w:rPr>
        <w:t xml:space="preserve"> aunque se hubiese cumplido la carga procesal respecto al señor Arias Pareja, lo cierto es que el incumplimiento de la misma carga procesal respecto </w:t>
      </w:r>
      <w:r w:rsidR="005B6368">
        <w:rPr>
          <w:rFonts w:ascii="Georgia" w:hAnsi="Georgia" w:cs="Arial"/>
          <w:kern w:val="28"/>
          <w:sz w:val="28"/>
          <w:szCs w:val="28"/>
          <w:lang w:eastAsia="es-ES"/>
        </w:rPr>
        <w:t>de</w:t>
      </w:r>
      <w:r w:rsidR="00C731E9">
        <w:rPr>
          <w:rFonts w:ascii="Georgia" w:hAnsi="Georgia" w:cs="Arial"/>
          <w:kern w:val="28"/>
          <w:sz w:val="28"/>
          <w:szCs w:val="28"/>
          <w:lang w:eastAsia="es-ES"/>
        </w:rPr>
        <w:t xml:space="preserve"> la señora Pescador Parra, permit</w:t>
      </w:r>
      <w:r w:rsidR="00AA37E8">
        <w:rPr>
          <w:rFonts w:ascii="Georgia" w:hAnsi="Georgia" w:cs="Arial"/>
          <w:kern w:val="28"/>
          <w:sz w:val="28"/>
          <w:szCs w:val="28"/>
          <w:lang w:eastAsia="es-ES"/>
        </w:rPr>
        <w:t>ía</w:t>
      </w:r>
      <w:r w:rsidR="00C731E9">
        <w:rPr>
          <w:rFonts w:ascii="Georgia" w:hAnsi="Georgia" w:cs="Arial"/>
          <w:kern w:val="28"/>
          <w:sz w:val="28"/>
          <w:szCs w:val="28"/>
          <w:lang w:eastAsia="es-ES"/>
        </w:rPr>
        <w:t xml:space="preserve"> la aplicación de la consecuencia procesal advertida, máxime cuando es evidente que </w:t>
      </w:r>
      <w:r w:rsidR="00C032BA">
        <w:rPr>
          <w:rFonts w:ascii="Georgia" w:hAnsi="Georgia" w:cs="Arial"/>
          <w:kern w:val="28"/>
          <w:sz w:val="28"/>
          <w:szCs w:val="28"/>
          <w:lang w:eastAsia="es-ES"/>
        </w:rPr>
        <w:t>no se cumplió de manera “</w:t>
      </w:r>
      <w:r w:rsidR="00C032BA" w:rsidRPr="00585899">
        <w:rPr>
          <w:rFonts w:ascii="Georgia" w:hAnsi="Georgia" w:cs="Arial"/>
          <w:i/>
          <w:iCs/>
          <w:kern w:val="28"/>
          <w:lang w:eastAsia="es-ES"/>
        </w:rPr>
        <w:t>idónea y apropiada</w:t>
      </w:r>
      <w:r w:rsidR="00C032BA">
        <w:rPr>
          <w:rFonts w:ascii="Georgia" w:hAnsi="Georgia" w:cs="Arial"/>
          <w:kern w:val="28"/>
          <w:sz w:val="28"/>
          <w:szCs w:val="28"/>
          <w:lang w:eastAsia="es-ES"/>
        </w:rPr>
        <w:t xml:space="preserve">” </w:t>
      </w:r>
      <w:r w:rsidR="00F77705">
        <w:rPr>
          <w:rFonts w:ascii="Georgia" w:hAnsi="Georgia" w:cs="Arial"/>
          <w:kern w:val="28"/>
          <w:sz w:val="28"/>
          <w:szCs w:val="28"/>
          <w:lang w:eastAsia="es-ES"/>
        </w:rPr>
        <w:t xml:space="preserve">ni en su </w:t>
      </w:r>
      <w:r w:rsidR="00C032BA">
        <w:rPr>
          <w:rFonts w:ascii="Georgia" w:hAnsi="Georgia" w:cs="Arial"/>
          <w:kern w:val="28"/>
          <w:sz w:val="28"/>
          <w:szCs w:val="28"/>
          <w:lang w:eastAsia="es-ES"/>
        </w:rPr>
        <w:t>integralidad.</w:t>
      </w:r>
    </w:p>
    <w:p w14:paraId="690C6095" w14:textId="1AE231C9" w:rsidR="00E06D0F" w:rsidRDefault="00E06D0F"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0B1BBCBD" w14:textId="304D1F03" w:rsidR="0029537E" w:rsidRDefault="007846D9" w:rsidP="007846D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 xml:space="preserve">Es que, </w:t>
      </w:r>
      <w:r w:rsidR="000C42AC">
        <w:rPr>
          <w:rFonts w:ascii="Georgia" w:hAnsi="Georgia" w:cs="Arial"/>
          <w:kern w:val="28"/>
          <w:sz w:val="28"/>
          <w:szCs w:val="28"/>
          <w:lang w:eastAsia="es-ES"/>
        </w:rPr>
        <w:t>inclusive</w:t>
      </w:r>
      <w:r>
        <w:rPr>
          <w:rFonts w:ascii="Georgia" w:hAnsi="Georgia" w:cs="Arial"/>
          <w:kern w:val="28"/>
          <w:sz w:val="28"/>
          <w:szCs w:val="28"/>
          <w:lang w:eastAsia="es-ES"/>
        </w:rPr>
        <w:t xml:space="preserve"> si se admitiera que </w:t>
      </w:r>
      <w:r w:rsidR="008444D8">
        <w:rPr>
          <w:rFonts w:ascii="Georgia" w:hAnsi="Georgia" w:cs="Arial"/>
          <w:kern w:val="28"/>
          <w:sz w:val="28"/>
          <w:szCs w:val="28"/>
          <w:lang w:eastAsia="es-ES"/>
        </w:rPr>
        <w:t xml:space="preserve">Arias Pareja quedó notificado por conducta concluyente, </w:t>
      </w:r>
      <w:r w:rsidR="00382339">
        <w:rPr>
          <w:rFonts w:ascii="Georgia" w:hAnsi="Georgia" w:cs="Arial"/>
          <w:kern w:val="28"/>
          <w:sz w:val="28"/>
          <w:szCs w:val="28"/>
          <w:lang w:eastAsia="es-ES"/>
        </w:rPr>
        <w:t xml:space="preserve">de nula utilidad </w:t>
      </w:r>
      <w:r w:rsidR="00AF6684">
        <w:rPr>
          <w:rFonts w:ascii="Georgia" w:hAnsi="Georgia" w:cs="Arial"/>
          <w:kern w:val="28"/>
          <w:sz w:val="28"/>
          <w:szCs w:val="28"/>
          <w:lang w:eastAsia="es-ES"/>
        </w:rPr>
        <w:t>resultaría</w:t>
      </w:r>
      <w:r w:rsidR="008444D8">
        <w:rPr>
          <w:rFonts w:ascii="Georgia" w:hAnsi="Georgia" w:cs="Arial"/>
          <w:kern w:val="28"/>
          <w:sz w:val="28"/>
          <w:szCs w:val="28"/>
          <w:lang w:eastAsia="es-ES"/>
        </w:rPr>
        <w:t xml:space="preserve"> para los intereses del apelante</w:t>
      </w:r>
      <w:r w:rsidR="00382339">
        <w:rPr>
          <w:rFonts w:ascii="Georgia" w:hAnsi="Georgia" w:cs="Arial"/>
          <w:kern w:val="28"/>
          <w:sz w:val="28"/>
          <w:szCs w:val="28"/>
          <w:lang w:eastAsia="es-ES"/>
        </w:rPr>
        <w:t xml:space="preserve">, </w:t>
      </w:r>
      <w:r w:rsidR="00C74518">
        <w:rPr>
          <w:rFonts w:ascii="Georgia" w:hAnsi="Georgia" w:cs="Arial"/>
          <w:kern w:val="28"/>
          <w:sz w:val="28"/>
          <w:szCs w:val="28"/>
          <w:lang w:eastAsia="es-ES"/>
        </w:rPr>
        <w:t>pues</w:t>
      </w:r>
      <w:r w:rsidR="00105700">
        <w:rPr>
          <w:rFonts w:ascii="Georgia" w:hAnsi="Georgia" w:cs="Arial"/>
          <w:kern w:val="28"/>
          <w:sz w:val="28"/>
          <w:szCs w:val="28"/>
          <w:lang w:eastAsia="es-ES"/>
        </w:rPr>
        <w:t xml:space="preserve"> </w:t>
      </w:r>
      <w:r w:rsidR="00C74518">
        <w:rPr>
          <w:rFonts w:ascii="Georgia" w:hAnsi="Georgia" w:cs="Arial"/>
          <w:kern w:val="28"/>
          <w:sz w:val="28"/>
          <w:szCs w:val="28"/>
          <w:lang w:eastAsia="es-ES"/>
        </w:rPr>
        <w:t>es tangible que el destino de este proceso no sufriría cambio alguno, atendiendo el hecho de que la carga procesal cuyo incumplimiento concatena el desistimiento tácito, subsistiría, aún en ese escenario, frente a la litisconsorte María Virgelina Pescador Parra.</w:t>
      </w:r>
    </w:p>
    <w:p w14:paraId="0D650F46" w14:textId="79079764" w:rsidR="005274EF" w:rsidRDefault="005274EF"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6E8F0AAD" w14:textId="60467DC6" w:rsidR="00AF6684" w:rsidRDefault="0005797A"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b/>
          <w:bCs/>
          <w:kern w:val="28"/>
          <w:sz w:val="28"/>
          <w:szCs w:val="28"/>
          <w:lang w:eastAsia="es-ES"/>
        </w:rPr>
        <w:t>5</w:t>
      </w:r>
      <w:r w:rsidR="005274EF" w:rsidRPr="005274EF">
        <w:rPr>
          <w:rFonts w:ascii="Georgia" w:hAnsi="Georgia" w:cs="Arial"/>
          <w:b/>
          <w:bCs/>
          <w:kern w:val="28"/>
          <w:sz w:val="28"/>
          <w:szCs w:val="28"/>
          <w:lang w:eastAsia="es-ES"/>
        </w:rPr>
        <w:t>.-</w:t>
      </w:r>
      <w:r w:rsidR="005274EF">
        <w:rPr>
          <w:rFonts w:ascii="Georgia" w:hAnsi="Georgia" w:cs="Arial"/>
          <w:b/>
          <w:bCs/>
          <w:kern w:val="28"/>
          <w:sz w:val="28"/>
          <w:szCs w:val="28"/>
          <w:lang w:eastAsia="es-ES"/>
        </w:rPr>
        <w:t xml:space="preserve"> </w:t>
      </w:r>
      <w:r w:rsidR="00C3775D">
        <w:rPr>
          <w:rFonts w:ascii="Georgia" w:hAnsi="Georgia" w:cs="Arial"/>
          <w:kern w:val="28"/>
          <w:sz w:val="28"/>
          <w:szCs w:val="28"/>
          <w:lang w:eastAsia="es-ES"/>
        </w:rPr>
        <w:t xml:space="preserve">Ajeno no </w:t>
      </w:r>
      <w:r w:rsidR="005439A0">
        <w:rPr>
          <w:rFonts w:ascii="Georgia" w:hAnsi="Georgia" w:cs="Arial"/>
          <w:kern w:val="28"/>
          <w:sz w:val="28"/>
          <w:szCs w:val="28"/>
          <w:lang w:eastAsia="es-ES"/>
        </w:rPr>
        <w:t>es</w:t>
      </w:r>
      <w:r w:rsidR="00C3775D">
        <w:rPr>
          <w:rFonts w:ascii="Georgia" w:hAnsi="Georgia" w:cs="Arial"/>
          <w:kern w:val="28"/>
          <w:sz w:val="28"/>
          <w:szCs w:val="28"/>
          <w:lang w:eastAsia="es-ES"/>
        </w:rPr>
        <w:t xml:space="preserve"> este Tribunal respecto a la importancia que reviste el acto correspondiente a la notificación del auto admisorio </w:t>
      </w:r>
      <w:r w:rsidR="005439A0">
        <w:rPr>
          <w:rFonts w:ascii="Georgia" w:hAnsi="Georgia" w:cs="Arial"/>
          <w:kern w:val="28"/>
          <w:sz w:val="28"/>
          <w:szCs w:val="28"/>
          <w:lang w:eastAsia="es-ES"/>
        </w:rPr>
        <w:t xml:space="preserve">de la demanda </w:t>
      </w:r>
      <w:r w:rsidR="00C3775D">
        <w:rPr>
          <w:rFonts w:ascii="Georgia" w:hAnsi="Georgia" w:cs="Arial"/>
          <w:kern w:val="28"/>
          <w:sz w:val="28"/>
          <w:szCs w:val="28"/>
          <w:lang w:eastAsia="es-ES"/>
        </w:rPr>
        <w:t xml:space="preserve">a los demandados, pues en </w:t>
      </w:r>
      <w:r w:rsidR="00EB21AE">
        <w:rPr>
          <w:rFonts w:ascii="Georgia" w:hAnsi="Georgia" w:cs="Arial"/>
          <w:kern w:val="28"/>
          <w:sz w:val="28"/>
          <w:szCs w:val="28"/>
          <w:lang w:eastAsia="es-ES"/>
        </w:rPr>
        <w:t>aquel</w:t>
      </w:r>
      <w:r w:rsidR="00C3775D">
        <w:rPr>
          <w:rFonts w:ascii="Georgia" w:hAnsi="Georgia" w:cs="Arial"/>
          <w:kern w:val="28"/>
          <w:sz w:val="28"/>
          <w:szCs w:val="28"/>
          <w:lang w:eastAsia="es-ES"/>
        </w:rPr>
        <w:t xml:space="preserve"> acto </w:t>
      </w:r>
      <w:r w:rsidR="0021680C">
        <w:rPr>
          <w:rFonts w:ascii="Georgia" w:hAnsi="Georgia" w:cs="Arial"/>
          <w:kern w:val="28"/>
          <w:sz w:val="28"/>
          <w:szCs w:val="28"/>
          <w:lang w:eastAsia="es-ES"/>
        </w:rPr>
        <w:t xml:space="preserve">se materializan </w:t>
      </w:r>
      <w:r w:rsidR="00EB21AE">
        <w:rPr>
          <w:rFonts w:ascii="Georgia" w:hAnsi="Georgia" w:cs="Arial"/>
          <w:kern w:val="28"/>
          <w:sz w:val="28"/>
          <w:szCs w:val="28"/>
          <w:lang w:eastAsia="es-ES"/>
        </w:rPr>
        <w:t xml:space="preserve">importantes derechos consagrados en nuestra Constitución, como lo son el derecho a </w:t>
      </w:r>
      <w:r w:rsidR="0021680C">
        <w:rPr>
          <w:rFonts w:ascii="Georgia" w:hAnsi="Georgia" w:cs="Arial"/>
          <w:kern w:val="28"/>
          <w:sz w:val="28"/>
          <w:szCs w:val="28"/>
          <w:lang w:eastAsia="es-ES"/>
        </w:rPr>
        <w:t xml:space="preserve">la defensa, </w:t>
      </w:r>
      <w:r w:rsidR="00EB21AE">
        <w:rPr>
          <w:rFonts w:ascii="Georgia" w:hAnsi="Georgia" w:cs="Arial"/>
          <w:kern w:val="28"/>
          <w:sz w:val="28"/>
          <w:szCs w:val="28"/>
          <w:lang w:eastAsia="es-ES"/>
        </w:rPr>
        <w:t xml:space="preserve">a </w:t>
      </w:r>
      <w:r w:rsidR="0021680C">
        <w:rPr>
          <w:rFonts w:ascii="Georgia" w:hAnsi="Georgia" w:cs="Arial"/>
          <w:kern w:val="28"/>
          <w:sz w:val="28"/>
          <w:szCs w:val="28"/>
          <w:lang w:eastAsia="es-ES"/>
        </w:rPr>
        <w:t xml:space="preserve">presentar y controvertir pruebas, </w:t>
      </w:r>
      <w:r w:rsidR="00EB21AE">
        <w:rPr>
          <w:rFonts w:ascii="Georgia" w:hAnsi="Georgia" w:cs="Arial"/>
          <w:kern w:val="28"/>
          <w:sz w:val="28"/>
          <w:szCs w:val="28"/>
          <w:lang w:eastAsia="es-ES"/>
        </w:rPr>
        <w:t xml:space="preserve">a </w:t>
      </w:r>
      <w:r w:rsidR="0021680C">
        <w:rPr>
          <w:rFonts w:ascii="Georgia" w:hAnsi="Georgia" w:cs="Arial"/>
          <w:kern w:val="28"/>
          <w:sz w:val="28"/>
          <w:szCs w:val="28"/>
          <w:lang w:eastAsia="es-ES"/>
        </w:rPr>
        <w:t xml:space="preserve">ser oído en juicio y </w:t>
      </w:r>
      <w:r w:rsidR="00EB21AE">
        <w:rPr>
          <w:rFonts w:ascii="Georgia" w:hAnsi="Georgia" w:cs="Arial"/>
          <w:kern w:val="28"/>
          <w:sz w:val="28"/>
          <w:szCs w:val="28"/>
          <w:lang w:eastAsia="es-ES"/>
        </w:rPr>
        <w:t xml:space="preserve">a </w:t>
      </w:r>
      <w:r w:rsidR="0021680C">
        <w:rPr>
          <w:rFonts w:ascii="Georgia" w:hAnsi="Georgia" w:cs="Arial"/>
          <w:kern w:val="28"/>
          <w:sz w:val="28"/>
          <w:szCs w:val="28"/>
          <w:lang w:eastAsia="es-ES"/>
        </w:rPr>
        <w:t xml:space="preserve">la garantía de un debido proceso. </w:t>
      </w:r>
      <w:r w:rsidR="00EB21AE">
        <w:rPr>
          <w:rFonts w:ascii="Georgia" w:hAnsi="Georgia" w:cs="Arial"/>
          <w:kern w:val="28"/>
          <w:sz w:val="28"/>
          <w:szCs w:val="28"/>
          <w:lang w:eastAsia="es-ES"/>
        </w:rPr>
        <w:t xml:space="preserve">Si bien nuestro estatuto procesal ha atribuido a la parte actora la carga de notificar el auto admisorio al demandado con el fin de lograr la integración del contradictorio, ello no inhibe al </w:t>
      </w:r>
      <w:r w:rsidR="00DA491D">
        <w:rPr>
          <w:rFonts w:ascii="Georgia" w:hAnsi="Georgia" w:cs="Arial"/>
          <w:kern w:val="28"/>
          <w:sz w:val="28"/>
          <w:szCs w:val="28"/>
          <w:lang w:eastAsia="es-ES"/>
        </w:rPr>
        <w:t xml:space="preserve">funcionario judicial para que, como garante de los derechos de las partes y el debido proceso, </w:t>
      </w:r>
      <w:r w:rsidR="00FC7841">
        <w:rPr>
          <w:rFonts w:ascii="Georgia" w:hAnsi="Georgia" w:cs="Arial"/>
          <w:kern w:val="28"/>
          <w:sz w:val="28"/>
          <w:szCs w:val="28"/>
          <w:lang w:eastAsia="es-ES"/>
        </w:rPr>
        <w:t>evalúe que dicha notificación se surta conforme a lo establecido en la norma procesal adecuada para el caso concreto, en el particular, artículo 291 de la Ley 1564 de 2012</w:t>
      </w:r>
      <w:r w:rsidR="00AF6684">
        <w:rPr>
          <w:rFonts w:ascii="Georgia" w:hAnsi="Georgia" w:cs="Arial"/>
          <w:kern w:val="28"/>
          <w:sz w:val="28"/>
          <w:szCs w:val="28"/>
          <w:lang w:eastAsia="es-ES"/>
        </w:rPr>
        <w:t>.</w:t>
      </w:r>
    </w:p>
    <w:p w14:paraId="333EEE86" w14:textId="77777777" w:rsidR="00AF6684" w:rsidRDefault="00AF6684"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7AA87680" w14:textId="1C98B1E1" w:rsidR="00FE72C7" w:rsidRDefault="00FE72C7"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Sobre el defecto procedimental por exceso ritual manifiesto, el precedente de la h. Corte Constitucional</w:t>
      </w:r>
      <w:r w:rsidR="00F3019E">
        <w:rPr>
          <w:rFonts w:ascii="Georgia" w:hAnsi="Georgia" w:cs="Arial"/>
          <w:kern w:val="28"/>
          <w:sz w:val="28"/>
          <w:szCs w:val="28"/>
          <w:lang w:eastAsia="es-ES"/>
        </w:rPr>
        <w:t xml:space="preserve"> </w:t>
      </w:r>
      <w:r>
        <w:rPr>
          <w:rFonts w:ascii="Georgia" w:hAnsi="Georgia" w:cs="Arial"/>
          <w:kern w:val="28"/>
          <w:sz w:val="28"/>
          <w:szCs w:val="28"/>
          <w:lang w:eastAsia="es-ES"/>
        </w:rPr>
        <w:t>explica:</w:t>
      </w:r>
    </w:p>
    <w:p w14:paraId="1A61A724" w14:textId="2F55C461" w:rsidR="00FE72C7" w:rsidRDefault="00FE72C7"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048FDD4D" w14:textId="4457AD56" w:rsidR="00F3019E" w:rsidRPr="004422EA" w:rsidRDefault="00F3019E" w:rsidP="00105700">
      <w:pPr>
        <w:pStyle w:val="Prrafodelista"/>
        <w:shd w:val="clear" w:color="auto" w:fill="FFFFFF"/>
        <w:ind w:right="416"/>
        <w:jc w:val="both"/>
        <w:rPr>
          <w:rFonts w:ascii="Georgia" w:hAnsi="Georgia" w:cs="Arial"/>
          <w:i/>
          <w:iCs/>
          <w:sz w:val="24"/>
          <w:szCs w:val="24"/>
          <w:lang w:val="es-CO"/>
        </w:rPr>
      </w:pPr>
      <w:r w:rsidRPr="004422EA">
        <w:rPr>
          <w:rFonts w:ascii="Georgia" w:hAnsi="Georgia" w:cs="Arial"/>
          <w:i/>
          <w:iCs/>
          <w:sz w:val="24"/>
          <w:szCs w:val="24"/>
          <w:lang w:val="es-CO"/>
        </w:rPr>
        <w:lastRenderedPageBreak/>
        <w:t>“el defecto procedimental por exceso ritual manifiesto “no se configura ante cualquier irregularidad</w:t>
      </w:r>
      <w:r w:rsidR="006F7CDD" w:rsidRPr="004422EA">
        <w:rPr>
          <w:rFonts w:ascii="Georgia" w:hAnsi="Georgia" w:cs="Arial"/>
          <w:i/>
          <w:iCs/>
          <w:sz w:val="24"/>
          <w:szCs w:val="24"/>
          <w:lang w:val="es-CO"/>
        </w:rPr>
        <w:t>”</w:t>
      </w:r>
      <w:r w:rsidRPr="004422EA">
        <w:rPr>
          <w:rFonts w:ascii="Georgia" w:hAnsi="Georgia" w:cs="Arial"/>
          <w:i/>
          <w:iCs/>
          <w:sz w:val="24"/>
          <w:szCs w:val="24"/>
          <w:lang w:val="es-CO"/>
        </w:rPr>
        <w:t> ni con la aplicación de cualquier norma procedimental. Su alcance, ha dicho la Corte, “hace imprescindible el análisis casuístico que frente a un escenario de conflicto y contraposición de intereses procura brindar en cada caso un equilibro entre las formas propias del juicio y la obligación de preservar el derecho</w:t>
      </w:r>
      <w:r w:rsidR="002232E6" w:rsidRPr="004422EA">
        <w:rPr>
          <w:rFonts w:ascii="Georgia" w:hAnsi="Georgia" w:cs="Arial"/>
          <w:i/>
          <w:iCs/>
          <w:sz w:val="24"/>
          <w:szCs w:val="24"/>
          <w:lang w:val="es-CO"/>
        </w:rPr>
        <w:t xml:space="preserve"> </w:t>
      </w:r>
      <w:r w:rsidRPr="004422EA">
        <w:rPr>
          <w:rFonts w:ascii="Georgia" w:hAnsi="Georgia" w:cs="Arial"/>
          <w:i/>
          <w:iCs/>
          <w:sz w:val="24"/>
          <w:szCs w:val="24"/>
          <w:lang w:val="es-CO"/>
        </w:rPr>
        <w:t>sustancial”.</w:t>
      </w:r>
      <w:hyperlink r:id="rId13" w:anchor="_bookmark37" w:history="1">
        <w:r w:rsidRPr="004422EA">
          <w:rPr>
            <w:rFonts w:ascii="Georgia" w:hAnsi="Georgia" w:cs="Arial"/>
            <w:i/>
            <w:iCs/>
            <w:sz w:val="24"/>
            <w:szCs w:val="24"/>
            <w:lang w:val="es-CO"/>
          </w:rPr>
          <w:t> </w:t>
        </w:r>
      </w:hyperlink>
      <w:r w:rsidR="000A7B74" w:rsidRPr="004422EA">
        <w:rPr>
          <w:rFonts w:ascii="Georgia" w:hAnsi="Georgia" w:cs="Arial"/>
          <w:i/>
          <w:iCs/>
          <w:sz w:val="24"/>
          <w:szCs w:val="24"/>
          <w:lang w:val="es-CO"/>
        </w:rPr>
        <w:t>(…)</w:t>
      </w:r>
    </w:p>
    <w:p w14:paraId="1E29785D" w14:textId="77777777" w:rsidR="00F3019E" w:rsidRPr="004422EA" w:rsidRDefault="00F3019E" w:rsidP="00105700">
      <w:pPr>
        <w:pStyle w:val="Prrafodelista"/>
        <w:shd w:val="clear" w:color="auto" w:fill="FFFFFF"/>
        <w:ind w:left="101" w:right="416"/>
        <w:jc w:val="both"/>
        <w:rPr>
          <w:rFonts w:ascii="Georgia" w:hAnsi="Georgia" w:cs="Arial"/>
          <w:i/>
          <w:iCs/>
          <w:sz w:val="24"/>
          <w:szCs w:val="24"/>
          <w:lang w:val="es-CO"/>
        </w:rPr>
      </w:pPr>
      <w:r w:rsidRPr="004422EA">
        <w:rPr>
          <w:rFonts w:ascii="Georgia" w:hAnsi="Georgia" w:cs="Arial"/>
          <w:i/>
          <w:iCs/>
          <w:sz w:val="24"/>
          <w:szCs w:val="24"/>
          <w:lang w:val="es-CO"/>
        </w:rPr>
        <w:t> </w:t>
      </w:r>
    </w:p>
    <w:p w14:paraId="37FB53C3" w14:textId="6E39F856" w:rsidR="00F3019E" w:rsidRPr="00F3019E" w:rsidRDefault="00F3019E" w:rsidP="00105700">
      <w:pPr>
        <w:pStyle w:val="Prrafodelista"/>
        <w:shd w:val="clear" w:color="auto" w:fill="FFFFFF"/>
        <w:ind w:right="416"/>
        <w:jc w:val="both"/>
        <w:rPr>
          <w:rFonts w:ascii="Georgia" w:hAnsi="Georgia" w:cs="Arial"/>
          <w:sz w:val="28"/>
          <w:szCs w:val="28"/>
          <w:lang w:val="es-CO"/>
        </w:rPr>
      </w:pPr>
      <w:bookmarkStart w:id="4" w:name="_Ref99572161"/>
      <w:r w:rsidRPr="004422EA">
        <w:rPr>
          <w:rFonts w:ascii="Georgia" w:hAnsi="Georgia" w:cs="Arial"/>
          <w:b/>
          <w:bCs/>
          <w:i/>
          <w:iCs/>
          <w:sz w:val="24"/>
          <w:szCs w:val="24"/>
          <w:lang w:val="es-CO"/>
        </w:rPr>
        <w:t>Lo anterior en modo alguno se traduce en una licencia al juez o a las partes para apartarse caprichosamente de las reglas procesales. En principio, estas son de obligatoria observancia</w:t>
      </w:r>
      <w:r w:rsidRPr="004422EA">
        <w:rPr>
          <w:rFonts w:ascii="Georgia" w:hAnsi="Georgia" w:cs="Arial"/>
          <w:i/>
          <w:iCs/>
          <w:sz w:val="24"/>
          <w:szCs w:val="24"/>
          <w:lang w:val="es-CO"/>
        </w:rPr>
        <w:t>, no solo porque se encuentran contenidas en normas de orden público</w:t>
      </w:r>
      <w:bookmarkEnd w:id="4"/>
      <w:r w:rsidR="006F7CDD" w:rsidRPr="004422EA">
        <w:rPr>
          <w:rFonts w:ascii="Georgia" w:hAnsi="Georgia" w:cs="Arial"/>
          <w:i/>
          <w:iCs/>
          <w:sz w:val="24"/>
          <w:szCs w:val="24"/>
          <w:lang w:val="es-CO"/>
        </w:rPr>
        <w:t xml:space="preserve"> </w:t>
      </w:r>
      <w:r w:rsidRPr="004422EA">
        <w:rPr>
          <w:rFonts w:ascii="Georgia" w:hAnsi="Georgia" w:cs="Arial"/>
          <w:i/>
          <w:iCs/>
          <w:sz w:val="24"/>
          <w:szCs w:val="24"/>
          <w:lang w:val="es-CO"/>
        </w:rPr>
        <w:t>que, entre otros aspectos, aseguran que el Estado, a través de sus jueces, administre justicia en forma igualitaria, y no al arbitrio de los funcionarios o de las partes. No obstante, lo que sí exige el ordenamiento constitucional es que la interpretación de las reglas procesales se lleve a cabo a la luz de los postulados superiores que aquel consagra.</w:t>
      </w:r>
      <w:r w:rsidR="00BE5DE2" w:rsidRPr="004422EA">
        <w:rPr>
          <w:rFonts w:ascii="Georgia" w:hAnsi="Georgia" w:cs="Arial"/>
          <w:i/>
          <w:iCs/>
          <w:sz w:val="24"/>
          <w:szCs w:val="24"/>
          <w:lang w:val="es-CO"/>
        </w:rPr>
        <w:t>”</w:t>
      </w:r>
      <w:r w:rsidR="008146E4" w:rsidRPr="008146E4">
        <w:rPr>
          <w:rStyle w:val="Refdenotaalpie"/>
          <w:rFonts w:ascii="Georgia" w:hAnsi="Georgia"/>
          <w:sz w:val="28"/>
          <w:szCs w:val="28"/>
        </w:rPr>
        <w:t xml:space="preserve"> </w:t>
      </w:r>
      <w:r w:rsidR="008146E4">
        <w:rPr>
          <w:rStyle w:val="Refdenotaalpie"/>
          <w:rFonts w:ascii="Georgia" w:hAnsi="Georgia"/>
          <w:sz w:val="28"/>
          <w:szCs w:val="28"/>
        </w:rPr>
        <w:footnoteReference w:id="17"/>
      </w:r>
      <w:r w:rsidRPr="00F3019E">
        <w:rPr>
          <w:rFonts w:ascii="Georgia" w:hAnsi="Georgia" w:cs="Arial"/>
          <w:sz w:val="24"/>
          <w:szCs w:val="24"/>
          <w:lang w:val="es-CO"/>
        </w:rPr>
        <w:t xml:space="preserve"> </w:t>
      </w:r>
      <w:r w:rsidR="00AF3861">
        <w:rPr>
          <w:rFonts w:ascii="Georgia" w:hAnsi="Georgia" w:cs="Arial"/>
          <w:sz w:val="28"/>
          <w:szCs w:val="28"/>
          <w:lang w:val="es-CO"/>
        </w:rPr>
        <w:t>(negrillas del despacho).</w:t>
      </w:r>
    </w:p>
    <w:p w14:paraId="52E6314C" w14:textId="61419583" w:rsidR="003E7321" w:rsidRDefault="003E7321"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69F547FF" w14:textId="77A2914D" w:rsidR="00282951" w:rsidRDefault="000C42AC"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Para este Tribunal, es claro que, dentro del caso concreto, el Juzgado Segundo Civil del Circuito de Pereira, R., no incurrió en un exceso ritual manifiesto ni aplicó con extremo rigor</w:t>
      </w:r>
      <w:r w:rsidR="00D261C7">
        <w:rPr>
          <w:rFonts w:ascii="Georgia" w:hAnsi="Georgia" w:cs="Arial"/>
          <w:kern w:val="28"/>
          <w:sz w:val="28"/>
          <w:szCs w:val="28"/>
          <w:lang w:eastAsia="es-ES"/>
        </w:rPr>
        <w:t xml:space="preserve"> los artículos 291 ni 317</w:t>
      </w:r>
      <w:r>
        <w:rPr>
          <w:rFonts w:ascii="Georgia" w:hAnsi="Georgia" w:cs="Arial"/>
          <w:kern w:val="28"/>
          <w:sz w:val="28"/>
          <w:szCs w:val="28"/>
          <w:lang w:eastAsia="es-ES"/>
        </w:rPr>
        <w:t xml:space="preserve"> </w:t>
      </w:r>
      <w:r w:rsidR="00D261C7">
        <w:rPr>
          <w:rFonts w:ascii="Georgia" w:hAnsi="Georgia" w:cs="Arial"/>
          <w:kern w:val="28"/>
          <w:sz w:val="28"/>
          <w:szCs w:val="28"/>
          <w:lang w:eastAsia="es-ES"/>
        </w:rPr>
        <w:t xml:space="preserve">del C.G.P., entendiendo, conforme a lo mencionado en líneas anteriores, que el acto de la notificación personal del auto admisorio involucra la protección de derechos fundamentales de la parte demandada que el funcionario judicial </w:t>
      </w:r>
      <w:r w:rsidR="00BE5DE2">
        <w:rPr>
          <w:rFonts w:ascii="Georgia" w:hAnsi="Georgia" w:cs="Arial"/>
          <w:kern w:val="28"/>
          <w:sz w:val="28"/>
          <w:szCs w:val="28"/>
          <w:lang w:eastAsia="es-ES"/>
        </w:rPr>
        <w:t>está llamado</w:t>
      </w:r>
      <w:r w:rsidR="00D261C7">
        <w:rPr>
          <w:rFonts w:ascii="Georgia" w:hAnsi="Georgia" w:cs="Arial"/>
          <w:kern w:val="28"/>
          <w:sz w:val="28"/>
          <w:szCs w:val="28"/>
          <w:lang w:eastAsia="es-ES"/>
        </w:rPr>
        <w:t xml:space="preserve"> </w:t>
      </w:r>
      <w:r w:rsidR="00282951">
        <w:rPr>
          <w:rFonts w:ascii="Georgia" w:hAnsi="Georgia" w:cs="Arial"/>
          <w:kern w:val="28"/>
          <w:sz w:val="28"/>
          <w:szCs w:val="28"/>
          <w:lang w:eastAsia="es-ES"/>
        </w:rPr>
        <w:t>garantizar</w:t>
      </w:r>
      <w:r w:rsidR="00D261C7">
        <w:rPr>
          <w:rFonts w:ascii="Georgia" w:hAnsi="Georgia" w:cs="Arial"/>
          <w:kern w:val="28"/>
          <w:sz w:val="28"/>
          <w:szCs w:val="28"/>
          <w:lang w:eastAsia="es-ES"/>
        </w:rPr>
        <w:t xml:space="preserve">. A su vez, debe resaltarse que el despacho no aplicó un extremo rigor al negar los intentos de notificación personal por parte del extremo activo, se limitó a </w:t>
      </w:r>
      <w:r w:rsidR="00282951">
        <w:rPr>
          <w:rFonts w:ascii="Georgia" w:hAnsi="Georgia" w:cs="Arial"/>
          <w:kern w:val="28"/>
          <w:sz w:val="28"/>
          <w:szCs w:val="28"/>
          <w:lang w:eastAsia="es-ES"/>
        </w:rPr>
        <w:t xml:space="preserve">procurar </w:t>
      </w:r>
      <w:r w:rsidR="00D261C7">
        <w:rPr>
          <w:rFonts w:ascii="Georgia" w:hAnsi="Georgia" w:cs="Arial"/>
          <w:kern w:val="28"/>
          <w:sz w:val="28"/>
          <w:szCs w:val="28"/>
          <w:lang w:eastAsia="es-ES"/>
        </w:rPr>
        <w:t>que la notificación personal se hubiese hecho conforme a los claros lineamientos que el legislador estableció en la Ley 1564 de 2012 y a su vez, las precisiones que la jurisprudencia de la Corte Suprema de Justicia ha sentado al respecto</w:t>
      </w:r>
      <w:r w:rsidR="00BA34B1">
        <w:rPr>
          <w:rFonts w:ascii="Georgia" w:hAnsi="Georgia" w:cs="Arial"/>
          <w:kern w:val="28"/>
          <w:sz w:val="28"/>
          <w:szCs w:val="28"/>
          <w:lang w:eastAsia="es-ES"/>
        </w:rPr>
        <w:t>, cumpliendo además su deber de sanear la actuación y evitar la configuración de irregularidades constitutivas de nulidad procesal.</w:t>
      </w:r>
    </w:p>
    <w:p w14:paraId="7739E75B" w14:textId="77777777" w:rsidR="004D52DD" w:rsidRDefault="004D52DD"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28B959A4" w14:textId="5717872C" w:rsidR="00BD09D7" w:rsidRDefault="00282951" w:rsidP="003E7321">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Debe tenerse en cuenta que</w:t>
      </w:r>
      <w:r w:rsidR="007D17AC">
        <w:rPr>
          <w:rFonts w:ascii="Georgia" w:hAnsi="Georgia" w:cs="Arial"/>
          <w:kern w:val="28"/>
          <w:sz w:val="28"/>
          <w:szCs w:val="28"/>
          <w:lang w:eastAsia="es-ES"/>
        </w:rPr>
        <w:t>,</w:t>
      </w:r>
      <w:r>
        <w:rPr>
          <w:rFonts w:ascii="Georgia" w:hAnsi="Georgia" w:cs="Arial"/>
          <w:kern w:val="28"/>
          <w:sz w:val="28"/>
          <w:szCs w:val="28"/>
          <w:lang w:eastAsia="es-ES"/>
        </w:rPr>
        <w:t xml:space="preserve"> el primer intento </w:t>
      </w:r>
      <w:r w:rsidR="00C206AB">
        <w:rPr>
          <w:rFonts w:ascii="Georgia" w:hAnsi="Georgia" w:cs="Arial"/>
          <w:kern w:val="28"/>
          <w:sz w:val="28"/>
          <w:szCs w:val="28"/>
          <w:lang w:eastAsia="es-ES"/>
        </w:rPr>
        <w:t>por acreditar la</w:t>
      </w:r>
      <w:r>
        <w:rPr>
          <w:rFonts w:ascii="Georgia" w:hAnsi="Georgia" w:cs="Arial"/>
          <w:kern w:val="28"/>
          <w:sz w:val="28"/>
          <w:szCs w:val="28"/>
          <w:lang w:eastAsia="es-ES"/>
        </w:rPr>
        <w:t xml:space="preserve"> notificación personal </w:t>
      </w:r>
      <w:r w:rsidR="009865D1">
        <w:rPr>
          <w:rFonts w:ascii="Georgia" w:hAnsi="Georgia" w:cs="Arial"/>
          <w:kern w:val="28"/>
          <w:sz w:val="28"/>
          <w:szCs w:val="28"/>
          <w:lang w:eastAsia="es-ES"/>
        </w:rPr>
        <w:t xml:space="preserve">a los mencionados litisconsortes, </w:t>
      </w:r>
      <w:r>
        <w:rPr>
          <w:rFonts w:ascii="Georgia" w:hAnsi="Georgia" w:cs="Arial"/>
          <w:kern w:val="28"/>
          <w:sz w:val="28"/>
          <w:szCs w:val="28"/>
          <w:lang w:eastAsia="es-ES"/>
        </w:rPr>
        <w:t>por parte del extremo activo</w:t>
      </w:r>
      <w:r w:rsidR="009865D1">
        <w:rPr>
          <w:rFonts w:ascii="Georgia" w:hAnsi="Georgia" w:cs="Arial"/>
          <w:kern w:val="28"/>
          <w:sz w:val="28"/>
          <w:szCs w:val="28"/>
          <w:lang w:eastAsia="es-ES"/>
        </w:rPr>
        <w:t>,</w:t>
      </w:r>
      <w:r>
        <w:rPr>
          <w:rFonts w:ascii="Georgia" w:hAnsi="Georgia" w:cs="Arial"/>
          <w:kern w:val="28"/>
          <w:sz w:val="28"/>
          <w:szCs w:val="28"/>
          <w:lang w:eastAsia="es-ES"/>
        </w:rPr>
        <w:t xml:space="preserve"> se hizo con el informe presentado al despacho el día</w:t>
      </w:r>
      <w:r w:rsidR="009865D1">
        <w:rPr>
          <w:rFonts w:ascii="Georgia" w:hAnsi="Georgia" w:cs="Arial"/>
          <w:kern w:val="28"/>
          <w:sz w:val="28"/>
          <w:szCs w:val="28"/>
          <w:lang w:eastAsia="es-ES"/>
        </w:rPr>
        <w:t xml:space="preserve"> 10 </w:t>
      </w:r>
      <w:r w:rsidR="009865D1">
        <w:rPr>
          <w:rFonts w:ascii="Georgia" w:hAnsi="Georgia" w:cs="Arial"/>
          <w:kern w:val="28"/>
          <w:sz w:val="28"/>
          <w:szCs w:val="28"/>
          <w:lang w:eastAsia="es-ES"/>
        </w:rPr>
        <w:lastRenderedPageBreak/>
        <w:t>de marzo de 2022</w:t>
      </w:r>
      <w:r w:rsidR="007D17AC">
        <w:rPr>
          <w:rStyle w:val="Refdenotaalpie"/>
          <w:rFonts w:ascii="Georgia" w:hAnsi="Georgia"/>
          <w:kern w:val="28"/>
          <w:sz w:val="28"/>
          <w:szCs w:val="28"/>
          <w:lang w:eastAsia="es-ES"/>
        </w:rPr>
        <w:footnoteReference w:id="18"/>
      </w:r>
      <w:r w:rsidR="00C206AB">
        <w:rPr>
          <w:rFonts w:ascii="Georgia" w:hAnsi="Georgia" w:cs="Arial"/>
          <w:kern w:val="28"/>
          <w:sz w:val="28"/>
          <w:szCs w:val="28"/>
          <w:lang w:eastAsia="es-ES"/>
        </w:rPr>
        <w:t>; est</w:t>
      </w:r>
      <w:r w:rsidR="007D17AC">
        <w:rPr>
          <w:rFonts w:ascii="Georgia" w:hAnsi="Georgia" w:cs="Arial"/>
          <w:kern w:val="28"/>
          <w:sz w:val="28"/>
          <w:szCs w:val="28"/>
          <w:lang w:eastAsia="es-ES"/>
        </w:rPr>
        <w:t>e</w:t>
      </w:r>
      <w:r w:rsidR="00C206AB">
        <w:rPr>
          <w:rFonts w:ascii="Georgia" w:hAnsi="Georgia" w:cs="Arial"/>
          <w:kern w:val="28"/>
          <w:sz w:val="28"/>
          <w:szCs w:val="28"/>
          <w:lang w:eastAsia="es-ES"/>
        </w:rPr>
        <w:t xml:space="preserve"> sería rechazad</w:t>
      </w:r>
      <w:r w:rsidR="007D17AC">
        <w:rPr>
          <w:rFonts w:ascii="Georgia" w:hAnsi="Georgia" w:cs="Arial"/>
          <w:kern w:val="28"/>
          <w:sz w:val="28"/>
          <w:szCs w:val="28"/>
          <w:lang w:eastAsia="es-ES"/>
        </w:rPr>
        <w:t>o</w:t>
      </w:r>
      <w:r w:rsidR="00C206AB">
        <w:rPr>
          <w:rFonts w:ascii="Georgia" w:hAnsi="Georgia" w:cs="Arial"/>
          <w:kern w:val="28"/>
          <w:sz w:val="28"/>
          <w:szCs w:val="28"/>
          <w:lang w:eastAsia="es-ES"/>
        </w:rPr>
        <w:t xml:space="preserve"> mediante auto </w:t>
      </w:r>
      <w:r w:rsidR="00D56D84">
        <w:rPr>
          <w:rFonts w:ascii="Georgia" w:hAnsi="Georgia" w:cs="Arial"/>
          <w:kern w:val="28"/>
          <w:sz w:val="28"/>
          <w:szCs w:val="28"/>
          <w:lang w:eastAsia="es-ES"/>
        </w:rPr>
        <w:t xml:space="preserve">No. 01238 </w:t>
      </w:r>
      <w:r w:rsidR="00C206AB">
        <w:rPr>
          <w:rFonts w:ascii="Georgia" w:hAnsi="Georgia" w:cs="Arial"/>
          <w:kern w:val="28"/>
          <w:sz w:val="28"/>
          <w:szCs w:val="28"/>
          <w:lang w:eastAsia="es-ES"/>
        </w:rPr>
        <w:t xml:space="preserve">del 6 de mayo de 2022, pues el despacho consideró que se incumplieron las mínimas reglas de notificación, al haber </w:t>
      </w:r>
      <w:r w:rsidR="00054128">
        <w:rPr>
          <w:rFonts w:ascii="Georgia" w:hAnsi="Georgia" w:cs="Arial"/>
          <w:kern w:val="28"/>
          <w:sz w:val="28"/>
          <w:szCs w:val="28"/>
          <w:lang w:eastAsia="es-ES"/>
        </w:rPr>
        <w:t>realizado una mixtura entre la forma de notificación contemplada en el artículo 291 del C.G.P. y el Decreto 806 de 2020 (hoy, Ley 2213 de 2022)</w:t>
      </w:r>
      <w:r w:rsidR="008F145F">
        <w:rPr>
          <w:rFonts w:ascii="Georgia" w:hAnsi="Georgia" w:cs="Arial"/>
          <w:kern w:val="28"/>
          <w:sz w:val="28"/>
          <w:szCs w:val="28"/>
          <w:lang w:eastAsia="es-ES"/>
        </w:rPr>
        <w:t>. P</w:t>
      </w:r>
      <w:r w:rsidR="00EA2B5B">
        <w:rPr>
          <w:rFonts w:ascii="Georgia" w:hAnsi="Georgia" w:cs="Arial"/>
          <w:kern w:val="28"/>
          <w:sz w:val="28"/>
          <w:szCs w:val="28"/>
          <w:lang w:eastAsia="es-ES"/>
        </w:rPr>
        <w:t>ostura que concuerda con la tesis de la Corte Suprema de Justicia, acogida por este Tribunal</w:t>
      </w:r>
      <w:r w:rsidR="00BD09D7">
        <w:rPr>
          <w:rFonts w:ascii="Georgia" w:hAnsi="Georgia" w:cs="Arial"/>
          <w:kern w:val="28"/>
          <w:sz w:val="28"/>
          <w:szCs w:val="28"/>
          <w:lang w:eastAsia="es-ES"/>
        </w:rPr>
        <w:t>:</w:t>
      </w:r>
    </w:p>
    <w:p w14:paraId="3EFE756E" w14:textId="77777777" w:rsidR="009027E7" w:rsidRDefault="009027E7" w:rsidP="003E7321">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39707EF6" w14:textId="6BA05B49" w:rsidR="00BD09D7" w:rsidRPr="009027E7" w:rsidRDefault="00BD09D7" w:rsidP="006F2980">
      <w:pPr>
        <w:pStyle w:val="Sinespaciado"/>
        <w:ind w:left="567" w:right="759"/>
        <w:jc w:val="both"/>
        <w:rPr>
          <w:rFonts w:ascii="Georgia" w:hAnsi="Georgia"/>
          <w:i/>
          <w:iCs/>
          <w:sz w:val="24"/>
          <w:szCs w:val="24"/>
        </w:rPr>
      </w:pPr>
      <w:r w:rsidRPr="009027E7">
        <w:rPr>
          <w:rFonts w:ascii="Georgia" w:hAnsi="Georgia"/>
          <w:i/>
          <w:iCs/>
          <w:sz w:val="24"/>
          <w:szCs w:val="24"/>
        </w:rPr>
        <w:t>“Dicho en otras palabras: el interesado en practicar la notificación personal de aquellas providencias que deban ser notificadas de esa manera tiene dos posibilidades en vigencia del Decreto 806. La primera, notificar a través de correo electrónico, como lo prevé el canon 8° de ese compendio normativo. Y, la segunda, hacerlo de acuerdo con los artículos 291 y 292 del Código General del Proceso. Dependiendo de cuál opción escoja, deberá ajustarse a las pautas consagradas para cada una de ellas, a fin de que el acto se cumpla en debida forma.”</w:t>
      </w:r>
      <w:r w:rsidR="008146E4" w:rsidRPr="009027E7">
        <w:rPr>
          <w:rStyle w:val="Refdenotaalpie"/>
          <w:rFonts w:ascii="Georgia" w:hAnsi="Georgia"/>
          <w:i/>
          <w:iCs/>
          <w:kern w:val="28"/>
          <w:sz w:val="24"/>
          <w:szCs w:val="24"/>
        </w:rPr>
        <w:t xml:space="preserve"> </w:t>
      </w:r>
      <w:r w:rsidR="008146E4" w:rsidRPr="009027E7">
        <w:rPr>
          <w:rStyle w:val="Refdenotaalpie"/>
          <w:rFonts w:ascii="Georgia" w:hAnsi="Georgia"/>
          <w:i/>
          <w:iCs/>
          <w:kern w:val="28"/>
          <w:sz w:val="24"/>
          <w:szCs w:val="24"/>
        </w:rPr>
        <w:footnoteReference w:id="19"/>
      </w:r>
    </w:p>
    <w:p w14:paraId="72E2D1AB" w14:textId="77777777" w:rsidR="009027E7" w:rsidRDefault="009027E7" w:rsidP="009027E7">
      <w:pPr>
        <w:pStyle w:val="Sinespaciado"/>
        <w:spacing w:line="360" w:lineRule="auto"/>
        <w:jc w:val="both"/>
        <w:rPr>
          <w:rFonts w:ascii="Georgia" w:hAnsi="Georgia"/>
          <w:sz w:val="28"/>
          <w:szCs w:val="28"/>
        </w:rPr>
      </w:pPr>
    </w:p>
    <w:p w14:paraId="7C4CEF45" w14:textId="6ECE1404" w:rsidR="00BD09D7" w:rsidRDefault="00E13178" w:rsidP="009027E7">
      <w:pPr>
        <w:pStyle w:val="Sinespaciado"/>
        <w:spacing w:line="360" w:lineRule="auto"/>
        <w:jc w:val="both"/>
        <w:rPr>
          <w:rFonts w:ascii="Georgia" w:hAnsi="Georgia"/>
          <w:sz w:val="28"/>
          <w:szCs w:val="28"/>
        </w:rPr>
      </w:pPr>
      <w:r w:rsidRPr="009027E7">
        <w:rPr>
          <w:rFonts w:ascii="Georgia" w:hAnsi="Georgia"/>
          <w:sz w:val="28"/>
          <w:szCs w:val="28"/>
        </w:rPr>
        <w:t xml:space="preserve">Tras ello, </w:t>
      </w:r>
      <w:r w:rsidR="00646884" w:rsidRPr="009027E7">
        <w:rPr>
          <w:rFonts w:ascii="Georgia" w:hAnsi="Georgia"/>
          <w:sz w:val="28"/>
          <w:szCs w:val="28"/>
        </w:rPr>
        <w:t xml:space="preserve">concedió nuevamente a la parte actora un plazo de 30 días para notificar a los litisconsortes conforme al trámite que este eligiese para tal fin, esto tras haber realizado una explicación suficiente de las falencias que había identificado en el trámite de la notificación y </w:t>
      </w:r>
      <w:r w:rsidR="007D17AC" w:rsidRPr="009027E7">
        <w:rPr>
          <w:rFonts w:ascii="Georgia" w:hAnsi="Georgia"/>
          <w:sz w:val="28"/>
          <w:szCs w:val="28"/>
        </w:rPr>
        <w:t>que,</w:t>
      </w:r>
      <w:r w:rsidR="00646884" w:rsidRPr="009027E7">
        <w:rPr>
          <w:rFonts w:ascii="Georgia" w:hAnsi="Georgia"/>
          <w:sz w:val="28"/>
          <w:szCs w:val="28"/>
        </w:rPr>
        <w:t xml:space="preserve"> por tanto, no podía </w:t>
      </w:r>
      <w:r w:rsidR="002661C8" w:rsidRPr="009027E7">
        <w:rPr>
          <w:rFonts w:ascii="Georgia" w:hAnsi="Georgia"/>
          <w:sz w:val="28"/>
          <w:szCs w:val="28"/>
        </w:rPr>
        <w:t>repetir</w:t>
      </w:r>
      <w:r w:rsidR="00646884" w:rsidRPr="009027E7">
        <w:rPr>
          <w:rFonts w:ascii="Georgia" w:hAnsi="Georgia"/>
          <w:sz w:val="28"/>
          <w:szCs w:val="28"/>
        </w:rPr>
        <w:t xml:space="preserve"> </w:t>
      </w:r>
      <w:r w:rsidR="002661C8" w:rsidRPr="009027E7">
        <w:rPr>
          <w:rFonts w:ascii="Georgia" w:hAnsi="Georgia"/>
          <w:sz w:val="28"/>
          <w:szCs w:val="28"/>
        </w:rPr>
        <w:t>la</w:t>
      </w:r>
      <w:r w:rsidR="00646884" w:rsidRPr="009027E7">
        <w:rPr>
          <w:rFonts w:ascii="Georgia" w:hAnsi="Georgia"/>
          <w:sz w:val="28"/>
          <w:szCs w:val="28"/>
        </w:rPr>
        <w:t xml:space="preserve"> </w:t>
      </w:r>
      <w:r w:rsidR="002661C8" w:rsidRPr="009027E7">
        <w:rPr>
          <w:rFonts w:ascii="Georgia" w:hAnsi="Georgia"/>
          <w:sz w:val="28"/>
          <w:szCs w:val="28"/>
        </w:rPr>
        <w:t xml:space="preserve">parte </w:t>
      </w:r>
      <w:r w:rsidR="00646884" w:rsidRPr="009027E7">
        <w:rPr>
          <w:rFonts w:ascii="Georgia" w:hAnsi="Georgia"/>
          <w:sz w:val="28"/>
          <w:szCs w:val="28"/>
        </w:rPr>
        <w:t>demandante.</w:t>
      </w:r>
    </w:p>
    <w:p w14:paraId="4761E7A5" w14:textId="77777777" w:rsidR="009027E7" w:rsidRPr="009027E7" w:rsidRDefault="009027E7" w:rsidP="009027E7">
      <w:pPr>
        <w:pStyle w:val="Sinespaciado"/>
        <w:spacing w:line="360" w:lineRule="auto"/>
        <w:jc w:val="both"/>
        <w:rPr>
          <w:rFonts w:ascii="Georgia" w:hAnsi="Georgia"/>
          <w:sz w:val="28"/>
          <w:szCs w:val="28"/>
        </w:rPr>
      </w:pPr>
    </w:p>
    <w:p w14:paraId="2B91A4ED" w14:textId="6F8AD223" w:rsidR="004D52DD" w:rsidRDefault="004D52DD" w:rsidP="009027E7">
      <w:pPr>
        <w:pStyle w:val="Sinespaciado"/>
        <w:spacing w:line="360" w:lineRule="auto"/>
        <w:jc w:val="both"/>
        <w:rPr>
          <w:rFonts w:ascii="Georgia" w:hAnsi="Georgia"/>
          <w:sz w:val="28"/>
          <w:szCs w:val="28"/>
        </w:rPr>
      </w:pPr>
      <w:r w:rsidRPr="009027E7">
        <w:rPr>
          <w:rFonts w:ascii="Georgia" w:hAnsi="Georgia"/>
          <w:sz w:val="28"/>
          <w:szCs w:val="28"/>
        </w:rPr>
        <w:t>Mediante el nuevo informe de notificación personal allegado el 9 de junio de 2022</w:t>
      </w:r>
      <w:r w:rsidR="002661C8" w:rsidRPr="009027E7">
        <w:rPr>
          <w:rStyle w:val="Refdenotaalpie"/>
          <w:rFonts w:ascii="Georgia" w:hAnsi="Georgia"/>
          <w:kern w:val="28"/>
          <w:sz w:val="28"/>
          <w:szCs w:val="28"/>
        </w:rPr>
        <w:footnoteReference w:id="20"/>
      </w:r>
      <w:r w:rsidRPr="009027E7">
        <w:rPr>
          <w:rFonts w:ascii="Georgia" w:hAnsi="Georgia"/>
          <w:sz w:val="28"/>
          <w:szCs w:val="28"/>
        </w:rPr>
        <w:t xml:space="preserve">, se evidencia que la parte actora nuevamente falla </w:t>
      </w:r>
      <w:r w:rsidR="000C6DE4" w:rsidRPr="009027E7">
        <w:rPr>
          <w:rFonts w:ascii="Georgia" w:hAnsi="Georgia"/>
          <w:sz w:val="28"/>
          <w:szCs w:val="28"/>
        </w:rPr>
        <w:t>en la práctica de la notificación personal</w:t>
      </w:r>
      <w:r w:rsidR="002661C8" w:rsidRPr="009027E7">
        <w:rPr>
          <w:rFonts w:ascii="Georgia" w:hAnsi="Georgia"/>
          <w:sz w:val="28"/>
          <w:szCs w:val="28"/>
        </w:rPr>
        <w:t xml:space="preserve">. Una vez más, hizo referencia en el intento de notificación a dos trámites distintos, el establecido en el C.G.P. y </w:t>
      </w:r>
      <w:r w:rsidR="00420ABA" w:rsidRPr="009027E7">
        <w:rPr>
          <w:rFonts w:ascii="Georgia" w:hAnsi="Georgia"/>
          <w:sz w:val="28"/>
          <w:szCs w:val="28"/>
        </w:rPr>
        <w:t xml:space="preserve">el </w:t>
      </w:r>
      <w:r w:rsidR="002661C8" w:rsidRPr="009027E7">
        <w:rPr>
          <w:rFonts w:ascii="Georgia" w:hAnsi="Georgia"/>
          <w:sz w:val="28"/>
          <w:szCs w:val="28"/>
        </w:rPr>
        <w:t xml:space="preserve">dispuesto en el Decreto 806 de 2020, además, </w:t>
      </w:r>
      <w:r w:rsidR="00DB6AA4" w:rsidRPr="009027E7">
        <w:rPr>
          <w:rFonts w:ascii="Georgia" w:hAnsi="Georgia"/>
          <w:sz w:val="28"/>
          <w:szCs w:val="28"/>
        </w:rPr>
        <w:t xml:space="preserve">no cumplió cabalmente con ninguno de los dos. </w:t>
      </w:r>
      <w:r w:rsidR="000C6DE4" w:rsidRPr="009027E7">
        <w:rPr>
          <w:rFonts w:ascii="Georgia" w:hAnsi="Georgia"/>
          <w:sz w:val="28"/>
          <w:szCs w:val="28"/>
        </w:rPr>
        <w:t xml:space="preserve"> </w:t>
      </w:r>
      <w:r w:rsidR="00DB6AA4" w:rsidRPr="009027E7">
        <w:rPr>
          <w:rFonts w:ascii="Georgia" w:hAnsi="Georgia"/>
          <w:sz w:val="28"/>
          <w:szCs w:val="28"/>
        </w:rPr>
        <w:t xml:space="preserve">El </w:t>
      </w:r>
      <w:r w:rsidR="000C6DE4" w:rsidRPr="009027E7">
        <w:rPr>
          <w:rFonts w:ascii="Georgia" w:hAnsi="Georgia"/>
          <w:sz w:val="28"/>
          <w:szCs w:val="28"/>
        </w:rPr>
        <w:t xml:space="preserve">Juzgado a través del auto </w:t>
      </w:r>
      <w:r w:rsidR="00D56D84" w:rsidRPr="009027E7">
        <w:rPr>
          <w:rFonts w:ascii="Georgia" w:hAnsi="Georgia"/>
          <w:sz w:val="28"/>
          <w:szCs w:val="28"/>
        </w:rPr>
        <w:t>No. 0083</w:t>
      </w:r>
      <w:r w:rsidR="009226DB" w:rsidRPr="009027E7">
        <w:rPr>
          <w:rFonts w:ascii="Georgia" w:hAnsi="Georgia"/>
          <w:sz w:val="28"/>
          <w:szCs w:val="28"/>
        </w:rPr>
        <w:t>4</w:t>
      </w:r>
      <w:r w:rsidR="00D56D84" w:rsidRPr="009027E7">
        <w:rPr>
          <w:rFonts w:ascii="Georgia" w:hAnsi="Georgia"/>
          <w:sz w:val="28"/>
          <w:szCs w:val="28"/>
        </w:rPr>
        <w:t xml:space="preserve"> del 14 de abril de 2023</w:t>
      </w:r>
      <w:r w:rsidR="008F145F" w:rsidRPr="009027E7">
        <w:rPr>
          <w:rStyle w:val="Refdenotaalpie"/>
          <w:rFonts w:ascii="Georgia" w:hAnsi="Georgia"/>
          <w:kern w:val="28"/>
          <w:sz w:val="28"/>
          <w:szCs w:val="28"/>
        </w:rPr>
        <w:footnoteReference w:id="21"/>
      </w:r>
      <w:r w:rsidR="00DB6AA4" w:rsidRPr="009027E7">
        <w:rPr>
          <w:rFonts w:ascii="Georgia" w:hAnsi="Georgia"/>
          <w:sz w:val="28"/>
          <w:szCs w:val="28"/>
        </w:rPr>
        <w:t xml:space="preserve"> realizó nuevamente precisiones sobre las falencias del intento de notificación, ordenando efectuarlo otra vez conforme a las indicaciones del despacho y la Ley procesal civil, concediendo</w:t>
      </w:r>
      <w:r w:rsidR="00AB39B5" w:rsidRPr="009027E7">
        <w:rPr>
          <w:rFonts w:ascii="Georgia" w:hAnsi="Georgia"/>
          <w:sz w:val="28"/>
          <w:szCs w:val="28"/>
        </w:rPr>
        <w:t xml:space="preserve"> 30 días para cumplir con dicha carga.</w:t>
      </w:r>
    </w:p>
    <w:p w14:paraId="39FDF0F5" w14:textId="77777777" w:rsidR="009027E7" w:rsidRPr="009027E7" w:rsidRDefault="009027E7" w:rsidP="009027E7">
      <w:pPr>
        <w:pStyle w:val="Sinespaciado"/>
        <w:spacing w:line="360" w:lineRule="auto"/>
        <w:jc w:val="both"/>
        <w:rPr>
          <w:rFonts w:ascii="Georgia" w:hAnsi="Georgia"/>
          <w:sz w:val="28"/>
          <w:szCs w:val="28"/>
        </w:rPr>
      </w:pPr>
    </w:p>
    <w:p w14:paraId="02E770EA" w14:textId="53C15A80" w:rsidR="00D45F3B" w:rsidRDefault="00AB39B5" w:rsidP="009027E7">
      <w:pPr>
        <w:pStyle w:val="Sinespaciado"/>
        <w:spacing w:line="360" w:lineRule="auto"/>
        <w:jc w:val="both"/>
        <w:rPr>
          <w:rFonts w:ascii="Georgia" w:hAnsi="Georgia"/>
          <w:sz w:val="28"/>
          <w:szCs w:val="28"/>
        </w:rPr>
      </w:pPr>
      <w:r w:rsidRPr="009027E7">
        <w:rPr>
          <w:rFonts w:ascii="Georgia" w:hAnsi="Georgia"/>
          <w:sz w:val="28"/>
          <w:szCs w:val="28"/>
        </w:rPr>
        <w:t>El 30 de junio de 2023</w:t>
      </w:r>
      <w:r w:rsidR="008F145F" w:rsidRPr="009027E7">
        <w:rPr>
          <w:rStyle w:val="Refdenotaalpie"/>
          <w:rFonts w:ascii="Georgia" w:hAnsi="Georgia"/>
          <w:kern w:val="28"/>
          <w:sz w:val="28"/>
          <w:szCs w:val="28"/>
        </w:rPr>
        <w:footnoteReference w:id="22"/>
      </w:r>
      <w:r w:rsidRPr="009027E7">
        <w:rPr>
          <w:rFonts w:ascii="Georgia" w:hAnsi="Georgia"/>
          <w:sz w:val="28"/>
          <w:szCs w:val="28"/>
        </w:rPr>
        <w:t>, allegaría la parte actora un nuevo informe de notificación personal,</w:t>
      </w:r>
      <w:r w:rsidR="002D4159" w:rsidRPr="009027E7">
        <w:rPr>
          <w:rFonts w:ascii="Georgia" w:hAnsi="Georgia"/>
          <w:sz w:val="28"/>
          <w:szCs w:val="28"/>
        </w:rPr>
        <w:t xml:space="preserve"> nótese en este punto que el plazo para que el Juez de conocimiento pudiera declarar el desistimiento tácito, ya se encontraba cumplido con suficiencia, no obstante, mediante auto No. 02740 del 6 de octubre de 2023, </w:t>
      </w:r>
      <w:r w:rsidR="00353E28" w:rsidRPr="009027E7">
        <w:rPr>
          <w:rFonts w:ascii="Georgia" w:hAnsi="Georgia"/>
          <w:sz w:val="28"/>
          <w:szCs w:val="28"/>
        </w:rPr>
        <w:t xml:space="preserve">, </w:t>
      </w:r>
      <w:r w:rsidR="00E13178" w:rsidRPr="009027E7">
        <w:rPr>
          <w:rFonts w:ascii="Georgia" w:hAnsi="Georgia"/>
          <w:sz w:val="28"/>
          <w:szCs w:val="28"/>
        </w:rPr>
        <w:t>pudiendo el despacho</w:t>
      </w:r>
      <w:r w:rsidR="002D4159" w:rsidRPr="009027E7">
        <w:rPr>
          <w:rFonts w:ascii="Georgia" w:hAnsi="Georgia"/>
          <w:sz w:val="28"/>
          <w:szCs w:val="28"/>
        </w:rPr>
        <w:t xml:space="preserve"> declar</w:t>
      </w:r>
      <w:r w:rsidR="00E13178" w:rsidRPr="009027E7">
        <w:rPr>
          <w:rFonts w:ascii="Georgia" w:hAnsi="Georgia"/>
          <w:sz w:val="28"/>
          <w:szCs w:val="28"/>
        </w:rPr>
        <w:t>ar</w:t>
      </w:r>
      <w:r w:rsidR="002D4159" w:rsidRPr="009027E7">
        <w:rPr>
          <w:rFonts w:ascii="Georgia" w:hAnsi="Georgia"/>
          <w:sz w:val="28"/>
          <w:szCs w:val="28"/>
        </w:rPr>
        <w:t xml:space="preserve"> el desistimiento tácito</w:t>
      </w:r>
      <w:r w:rsidR="00E13178" w:rsidRPr="009027E7">
        <w:rPr>
          <w:rFonts w:ascii="Georgia" w:hAnsi="Georgia"/>
          <w:sz w:val="28"/>
          <w:szCs w:val="28"/>
        </w:rPr>
        <w:t>, optó, solamente, por</w:t>
      </w:r>
      <w:r w:rsidR="002D4159" w:rsidRPr="009027E7">
        <w:rPr>
          <w:rFonts w:ascii="Georgia" w:hAnsi="Georgia"/>
          <w:sz w:val="28"/>
          <w:szCs w:val="28"/>
        </w:rPr>
        <w:t xml:space="preserve"> adv</w:t>
      </w:r>
      <w:r w:rsidR="00E13178" w:rsidRPr="009027E7">
        <w:rPr>
          <w:rFonts w:ascii="Georgia" w:hAnsi="Georgia"/>
          <w:sz w:val="28"/>
          <w:szCs w:val="28"/>
        </w:rPr>
        <w:t>ertir</w:t>
      </w:r>
      <w:r w:rsidR="002D4159" w:rsidRPr="009027E7">
        <w:rPr>
          <w:rFonts w:ascii="Georgia" w:hAnsi="Georgia"/>
          <w:sz w:val="28"/>
          <w:szCs w:val="28"/>
        </w:rPr>
        <w:t xml:space="preserve"> a la parte actora</w:t>
      </w:r>
      <w:r w:rsidR="00E13178" w:rsidRPr="009027E7">
        <w:rPr>
          <w:rFonts w:ascii="Georgia" w:hAnsi="Georgia"/>
          <w:sz w:val="28"/>
          <w:szCs w:val="28"/>
        </w:rPr>
        <w:t xml:space="preserve">, </w:t>
      </w:r>
      <w:r w:rsidR="0050492D" w:rsidRPr="009027E7">
        <w:rPr>
          <w:rFonts w:ascii="Georgia" w:hAnsi="Georgia"/>
          <w:sz w:val="28"/>
          <w:szCs w:val="28"/>
        </w:rPr>
        <w:t>una vez más</w:t>
      </w:r>
      <w:r w:rsidR="00E13178" w:rsidRPr="009027E7">
        <w:rPr>
          <w:rFonts w:ascii="Georgia" w:hAnsi="Georgia"/>
          <w:sz w:val="28"/>
          <w:szCs w:val="28"/>
        </w:rPr>
        <w:t>,</w:t>
      </w:r>
      <w:r w:rsidR="002D4159" w:rsidRPr="009027E7">
        <w:rPr>
          <w:rFonts w:ascii="Georgia" w:hAnsi="Georgia"/>
          <w:sz w:val="28"/>
          <w:szCs w:val="28"/>
        </w:rPr>
        <w:t xml:space="preserve"> las falencias del nuevo informe de notificación allegado, pero en esta ocasión, no se le solicitó realizar nuevamente el trámite sino completar el informe allegado</w:t>
      </w:r>
      <w:r w:rsidR="00420ABA" w:rsidRPr="009027E7">
        <w:rPr>
          <w:rFonts w:ascii="Georgia" w:hAnsi="Georgia"/>
          <w:sz w:val="28"/>
          <w:szCs w:val="28"/>
        </w:rPr>
        <w:t xml:space="preserve">, anexando </w:t>
      </w:r>
      <w:r w:rsidR="002D4159" w:rsidRPr="009027E7">
        <w:rPr>
          <w:rFonts w:ascii="Georgia" w:hAnsi="Georgia"/>
          <w:sz w:val="28"/>
          <w:szCs w:val="28"/>
        </w:rPr>
        <w:t>la comunicación remitida con constancia de cotejado y el informe de la empresa postal</w:t>
      </w:r>
      <w:r w:rsidR="00D45F3B" w:rsidRPr="009027E7">
        <w:rPr>
          <w:rFonts w:ascii="Georgia" w:hAnsi="Georgia"/>
          <w:sz w:val="28"/>
          <w:szCs w:val="28"/>
        </w:rPr>
        <w:t xml:space="preserve">, </w:t>
      </w:r>
      <w:r w:rsidR="008F145F" w:rsidRPr="009027E7">
        <w:rPr>
          <w:rFonts w:ascii="Georgia" w:hAnsi="Georgia"/>
          <w:sz w:val="28"/>
          <w:szCs w:val="28"/>
        </w:rPr>
        <w:t xml:space="preserve">nada ajeno a lo contemplado en el art. 291 del C.G.P., </w:t>
      </w:r>
      <w:r w:rsidR="00D45F3B" w:rsidRPr="009027E7">
        <w:rPr>
          <w:rFonts w:ascii="Georgia" w:hAnsi="Georgia"/>
          <w:sz w:val="28"/>
          <w:szCs w:val="28"/>
        </w:rPr>
        <w:t xml:space="preserve">como exigencia además para anexarlo al expediente: </w:t>
      </w:r>
    </w:p>
    <w:p w14:paraId="6B172504" w14:textId="77777777" w:rsidR="009027E7" w:rsidRPr="009027E7" w:rsidRDefault="009027E7" w:rsidP="009027E7">
      <w:pPr>
        <w:pStyle w:val="Sinespaciado"/>
        <w:spacing w:line="360" w:lineRule="auto"/>
        <w:jc w:val="both"/>
        <w:rPr>
          <w:rFonts w:ascii="Georgia" w:hAnsi="Georgia"/>
          <w:sz w:val="28"/>
          <w:szCs w:val="28"/>
        </w:rPr>
      </w:pPr>
    </w:p>
    <w:p w14:paraId="22121CCB" w14:textId="7D6F9237" w:rsidR="00AB39B5" w:rsidRPr="009027E7" w:rsidRDefault="00D45F3B" w:rsidP="009027E7">
      <w:pPr>
        <w:pStyle w:val="Sinespaciado"/>
        <w:ind w:left="567" w:right="759"/>
        <w:jc w:val="both"/>
        <w:rPr>
          <w:rFonts w:ascii="Georgia" w:hAnsi="Georgia"/>
          <w:i/>
          <w:iCs/>
          <w:sz w:val="24"/>
          <w:szCs w:val="24"/>
        </w:rPr>
      </w:pPr>
      <w:r w:rsidRPr="009027E7">
        <w:rPr>
          <w:rFonts w:ascii="Georgia" w:hAnsi="Georgia"/>
          <w:i/>
          <w:iCs/>
          <w:sz w:val="24"/>
          <w:szCs w:val="24"/>
        </w:rPr>
        <w:t>“La empresa de servicio postal deberá cotejar y sellar una copia de la comunicación, y expedir constancia sobre la entrega de esta en la dirección correspondiente. Ambos documentos deberán ser incorporados al expediente.”</w:t>
      </w:r>
    </w:p>
    <w:p w14:paraId="38D9B155" w14:textId="77777777" w:rsidR="009027E7" w:rsidRDefault="009027E7" w:rsidP="009027E7">
      <w:pPr>
        <w:pStyle w:val="Sinespaciado"/>
        <w:spacing w:line="360" w:lineRule="auto"/>
        <w:jc w:val="both"/>
        <w:rPr>
          <w:rFonts w:ascii="Georgia" w:hAnsi="Georgia"/>
          <w:sz w:val="28"/>
          <w:szCs w:val="28"/>
        </w:rPr>
      </w:pPr>
    </w:p>
    <w:p w14:paraId="578CA95D" w14:textId="77777777" w:rsidR="00636C08" w:rsidRDefault="00D45F3B" w:rsidP="009027E7">
      <w:pPr>
        <w:pStyle w:val="Sinespaciado"/>
        <w:spacing w:line="360" w:lineRule="auto"/>
        <w:jc w:val="both"/>
        <w:rPr>
          <w:rFonts w:ascii="Georgia" w:hAnsi="Georgia"/>
          <w:sz w:val="28"/>
          <w:szCs w:val="28"/>
        </w:rPr>
      </w:pPr>
      <w:r w:rsidRPr="009027E7">
        <w:rPr>
          <w:rFonts w:ascii="Georgia" w:hAnsi="Georgia"/>
          <w:sz w:val="28"/>
          <w:szCs w:val="28"/>
        </w:rPr>
        <w:t>En aquella providencia se le advirtió, otra vez</w:t>
      </w:r>
      <w:r w:rsidR="00353E28" w:rsidRPr="009027E7">
        <w:rPr>
          <w:rFonts w:ascii="Georgia" w:hAnsi="Georgia"/>
          <w:sz w:val="28"/>
          <w:szCs w:val="28"/>
        </w:rPr>
        <w:t>,</w:t>
      </w:r>
      <w:r w:rsidRPr="009027E7">
        <w:rPr>
          <w:rFonts w:ascii="Georgia" w:hAnsi="Georgia"/>
          <w:sz w:val="28"/>
          <w:szCs w:val="28"/>
        </w:rPr>
        <w:t xml:space="preserve"> </w:t>
      </w:r>
      <w:r w:rsidR="00353E28" w:rsidRPr="009027E7">
        <w:rPr>
          <w:rFonts w:ascii="Georgia" w:hAnsi="Georgia"/>
          <w:sz w:val="28"/>
          <w:szCs w:val="28"/>
        </w:rPr>
        <w:t>que,</w:t>
      </w:r>
      <w:r w:rsidRPr="009027E7">
        <w:rPr>
          <w:rFonts w:ascii="Georgia" w:hAnsi="Georgia"/>
          <w:sz w:val="28"/>
          <w:szCs w:val="28"/>
        </w:rPr>
        <w:t xml:space="preserve"> de no cumplir con ello en un plazo de 30 días, se declararía el desistimiento tácito. </w:t>
      </w:r>
      <w:r w:rsidR="00353E28" w:rsidRPr="009027E7">
        <w:rPr>
          <w:rFonts w:ascii="Georgia" w:hAnsi="Georgia"/>
          <w:sz w:val="28"/>
          <w:szCs w:val="28"/>
        </w:rPr>
        <w:t>Pese a lo anterior, no sería sino hasta el 26 de enero de 2024</w:t>
      </w:r>
      <w:r w:rsidR="009226DB" w:rsidRPr="009027E7">
        <w:rPr>
          <w:rStyle w:val="Refdenotaalpie"/>
          <w:rFonts w:ascii="Georgia" w:hAnsi="Georgia"/>
          <w:kern w:val="28"/>
          <w:sz w:val="28"/>
          <w:szCs w:val="28"/>
        </w:rPr>
        <w:footnoteReference w:id="23"/>
      </w:r>
      <w:r w:rsidR="00353E28" w:rsidRPr="009027E7">
        <w:rPr>
          <w:rFonts w:ascii="Georgia" w:hAnsi="Georgia"/>
          <w:sz w:val="28"/>
          <w:szCs w:val="28"/>
        </w:rPr>
        <w:t xml:space="preserve">, </w:t>
      </w:r>
      <w:r w:rsidR="009F36BB" w:rsidRPr="009027E7">
        <w:rPr>
          <w:rFonts w:ascii="Georgia" w:hAnsi="Georgia"/>
          <w:sz w:val="28"/>
          <w:szCs w:val="28"/>
        </w:rPr>
        <w:t>59</w:t>
      </w:r>
      <w:r w:rsidR="00020F24" w:rsidRPr="009027E7">
        <w:rPr>
          <w:rFonts w:ascii="Georgia" w:hAnsi="Georgia"/>
          <w:sz w:val="28"/>
          <w:szCs w:val="28"/>
        </w:rPr>
        <w:t xml:space="preserve"> días después,</w:t>
      </w:r>
      <w:r w:rsidR="00353E28" w:rsidRPr="009027E7">
        <w:rPr>
          <w:rFonts w:ascii="Georgia" w:hAnsi="Georgia"/>
          <w:sz w:val="28"/>
          <w:szCs w:val="28"/>
        </w:rPr>
        <w:t xml:space="preserve"> que la parte actora allegaría un nuevo informe de notificación personal que en nada </w:t>
      </w:r>
      <w:r w:rsidR="00D13C42" w:rsidRPr="009027E7">
        <w:rPr>
          <w:rFonts w:ascii="Georgia" w:hAnsi="Georgia"/>
          <w:sz w:val="28"/>
          <w:szCs w:val="28"/>
        </w:rPr>
        <w:t>dio</w:t>
      </w:r>
      <w:r w:rsidR="00353E28" w:rsidRPr="009027E7">
        <w:rPr>
          <w:rFonts w:ascii="Georgia" w:hAnsi="Georgia"/>
          <w:sz w:val="28"/>
          <w:szCs w:val="28"/>
        </w:rPr>
        <w:t xml:space="preserve"> cumplimiento a la carga procesal </w:t>
      </w:r>
      <w:r w:rsidR="00D13C42" w:rsidRPr="009027E7">
        <w:rPr>
          <w:rFonts w:ascii="Georgia" w:hAnsi="Georgia"/>
          <w:sz w:val="28"/>
          <w:szCs w:val="28"/>
        </w:rPr>
        <w:t>impuesta</w:t>
      </w:r>
      <w:r w:rsidR="00353E28" w:rsidRPr="009027E7">
        <w:rPr>
          <w:rFonts w:ascii="Georgia" w:hAnsi="Georgia"/>
          <w:sz w:val="28"/>
          <w:szCs w:val="28"/>
        </w:rPr>
        <w:t xml:space="preserve">, </w:t>
      </w:r>
      <w:r w:rsidR="00D13C42" w:rsidRPr="009027E7">
        <w:rPr>
          <w:rFonts w:ascii="Georgia" w:hAnsi="Georgia"/>
          <w:sz w:val="28"/>
          <w:szCs w:val="28"/>
        </w:rPr>
        <w:t xml:space="preserve">y que el estado del proceso la merecía, </w:t>
      </w:r>
      <w:r w:rsidR="00353E28" w:rsidRPr="009027E7">
        <w:rPr>
          <w:rFonts w:ascii="Georgia" w:hAnsi="Georgia"/>
          <w:sz w:val="28"/>
          <w:szCs w:val="28"/>
        </w:rPr>
        <w:t>por cuanto</w:t>
      </w:r>
      <w:r w:rsidR="00090F93" w:rsidRPr="009027E7">
        <w:rPr>
          <w:rFonts w:ascii="Georgia" w:hAnsi="Georgia"/>
          <w:sz w:val="28"/>
          <w:szCs w:val="28"/>
        </w:rPr>
        <w:t xml:space="preserve"> </w:t>
      </w:r>
      <w:r w:rsidR="00353E28" w:rsidRPr="009027E7">
        <w:rPr>
          <w:rFonts w:ascii="Georgia" w:hAnsi="Georgia"/>
          <w:sz w:val="28"/>
          <w:szCs w:val="28"/>
        </w:rPr>
        <w:t>se limitó a informar que habían intentado nuevamente la notificación personal a los litisconsortes</w:t>
      </w:r>
      <w:r w:rsidR="00090F93" w:rsidRPr="009027E7">
        <w:rPr>
          <w:rFonts w:ascii="Georgia" w:hAnsi="Georgia"/>
          <w:sz w:val="28"/>
          <w:szCs w:val="28"/>
        </w:rPr>
        <w:t>, pese a no ser ello lo que había solicitado el despacho</w:t>
      </w:r>
      <w:r w:rsidR="002B425D" w:rsidRPr="009027E7">
        <w:rPr>
          <w:rFonts w:ascii="Georgia" w:hAnsi="Georgia"/>
          <w:sz w:val="28"/>
          <w:szCs w:val="28"/>
        </w:rPr>
        <w:t>. D</w:t>
      </w:r>
      <w:r w:rsidR="00090F93" w:rsidRPr="009027E7">
        <w:rPr>
          <w:rFonts w:ascii="Georgia" w:hAnsi="Georgia"/>
          <w:sz w:val="28"/>
          <w:szCs w:val="28"/>
        </w:rPr>
        <w:t>ebe resaltarse que este nuevo intento tampoco cumplía con las exigencias del artículo 291 del estatuto procesal</w:t>
      </w:r>
      <w:r w:rsidR="00BD46C3" w:rsidRPr="009027E7">
        <w:rPr>
          <w:rFonts w:ascii="Georgia" w:hAnsi="Georgia"/>
          <w:sz w:val="28"/>
          <w:szCs w:val="28"/>
        </w:rPr>
        <w:t xml:space="preserve"> civil</w:t>
      </w:r>
      <w:r w:rsidR="00090F93" w:rsidRPr="009027E7">
        <w:rPr>
          <w:rFonts w:ascii="Georgia" w:hAnsi="Georgia"/>
          <w:sz w:val="28"/>
          <w:szCs w:val="28"/>
        </w:rPr>
        <w:t xml:space="preserve"> y menos respecto a lo previamente citado </w:t>
      </w:r>
      <w:r w:rsidR="00E078A8" w:rsidRPr="009027E7">
        <w:rPr>
          <w:rFonts w:ascii="Georgia" w:hAnsi="Georgia"/>
          <w:sz w:val="28"/>
          <w:szCs w:val="28"/>
        </w:rPr>
        <w:t>que,</w:t>
      </w:r>
      <w:r w:rsidR="00090F93" w:rsidRPr="009027E7">
        <w:rPr>
          <w:rFonts w:ascii="Georgia" w:hAnsi="Georgia"/>
          <w:sz w:val="28"/>
          <w:szCs w:val="28"/>
        </w:rPr>
        <w:t xml:space="preserve"> en sí, era la carga procesal que</w:t>
      </w:r>
      <w:r w:rsidR="009F36BB" w:rsidRPr="009027E7">
        <w:rPr>
          <w:rFonts w:ascii="Georgia" w:hAnsi="Georgia"/>
          <w:sz w:val="28"/>
          <w:szCs w:val="28"/>
        </w:rPr>
        <w:t xml:space="preserve"> se</w:t>
      </w:r>
      <w:r w:rsidR="00090F93" w:rsidRPr="009027E7">
        <w:rPr>
          <w:rFonts w:ascii="Georgia" w:hAnsi="Georgia"/>
          <w:sz w:val="28"/>
          <w:szCs w:val="28"/>
        </w:rPr>
        <w:t xml:space="preserve"> le había exigido cumplir</w:t>
      </w:r>
      <w:r w:rsidR="009F36BB" w:rsidRPr="009027E7">
        <w:rPr>
          <w:rFonts w:ascii="Georgia" w:hAnsi="Georgia"/>
          <w:sz w:val="28"/>
          <w:szCs w:val="28"/>
        </w:rPr>
        <w:t xml:space="preserve"> a la parte accionante</w:t>
      </w:r>
      <w:r w:rsidR="00090F93" w:rsidRPr="009027E7">
        <w:rPr>
          <w:rFonts w:ascii="Georgia" w:hAnsi="Georgia"/>
          <w:sz w:val="28"/>
          <w:szCs w:val="28"/>
        </w:rPr>
        <w:t>.</w:t>
      </w:r>
    </w:p>
    <w:p w14:paraId="1B2D9ED3" w14:textId="77777777" w:rsidR="00636C08" w:rsidRDefault="00636C08" w:rsidP="009027E7">
      <w:pPr>
        <w:pStyle w:val="Sinespaciado"/>
        <w:spacing w:line="360" w:lineRule="auto"/>
        <w:jc w:val="both"/>
        <w:rPr>
          <w:rFonts w:ascii="Georgia" w:hAnsi="Georgia"/>
          <w:sz w:val="28"/>
          <w:szCs w:val="28"/>
        </w:rPr>
      </w:pPr>
    </w:p>
    <w:p w14:paraId="1AD53CD7" w14:textId="4032CBFC" w:rsidR="00090F93" w:rsidRDefault="00196E19" w:rsidP="009027E7">
      <w:pPr>
        <w:pStyle w:val="Sinespaciado"/>
        <w:spacing w:line="360" w:lineRule="auto"/>
        <w:jc w:val="both"/>
        <w:rPr>
          <w:rFonts w:ascii="Georgia" w:hAnsi="Georgia"/>
          <w:sz w:val="28"/>
          <w:szCs w:val="28"/>
        </w:rPr>
      </w:pPr>
      <w:r w:rsidRPr="009027E7">
        <w:rPr>
          <w:rFonts w:ascii="Georgia" w:hAnsi="Georgia"/>
          <w:sz w:val="28"/>
          <w:szCs w:val="28"/>
        </w:rPr>
        <w:lastRenderedPageBreak/>
        <w:t>En nada cambiaría el último informe de notificación personal, aportado el 14 de febrero de 2024, después de la solicitud de desistimiento tácito que realizó la parte demandada el día 30 de enero de 2024.</w:t>
      </w:r>
    </w:p>
    <w:p w14:paraId="58095BA6" w14:textId="77777777" w:rsidR="00D50ECB" w:rsidRPr="009027E7" w:rsidRDefault="00D50ECB" w:rsidP="009027E7">
      <w:pPr>
        <w:pStyle w:val="Sinespaciado"/>
        <w:spacing w:line="360" w:lineRule="auto"/>
        <w:jc w:val="both"/>
        <w:rPr>
          <w:rFonts w:ascii="Georgia" w:hAnsi="Georgia"/>
          <w:sz w:val="28"/>
          <w:szCs w:val="28"/>
        </w:rPr>
      </w:pPr>
    </w:p>
    <w:p w14:paraId="79B17CB2" w14:textId="66BD39C0" w:rsidR="00090F93" w:rsidRDefault="009F36BB" w:rsidP="009027E7">
      <w:pPr>
        <w:pStyle w:val="Sinespaciado"/>
        <w:spacing w:line="360" w:lineRule="auto"/>
        <w:jc w:val="both"/>
        <w:rPr>
          <w:rFonts w:ascii="Georgia" w:hAnsi="Georgia"/>
          <w:sz w:val="28"/>
          <w:szCs w:val="28"/>
        </w:rPr>
      </w:pPr>
      <w:r w:rsidRPr="009027E7">
        <w:rPr>
          <w:rFonts w:ascii="Georgia" w:hAnsi="Georgia"/>
          <w:sz w:val="28"/>
          <w:szCs w:val="28"/>
        </w:rPr>
        <w:t>Realizado este</w:t>
      </w:r>
      <w:r w:rsidR="00090F93" w:rsidRPr="009027E7">
        <w:rPr>
          <w:rFonts w:ascii="Georgia" w:hAnsi="Georgia"/>
          <w:sz w:val="28"/>
          <w:szCs w:val="28"/>
        </w:rPr>
        <w:t xml:space="preserve"> breve recuento procesal</w:t>
      </w:r>
      <w:r w:rsidRPr="009027E7">
        <w:rPr>
          <w:rFonts w:ascii="Georgia" w:hAnsi="Georgia"/>
          <w:sz w:val="28"/>
          <w:szCs w:val="28"/>
        </w:rPr>
        <w:t xml:space="preserve">, </w:t>
      </w:r>
      <w:r w:rsidR="002578DD" w:rsidRPr="009027E7">
        <w:rPr>
          <w:rFonts w:ascii="Georgia" w:hAnsi="Georgia"/>
          <w:sz w:val="28"/>
          <w:szCs w:val="28"/>
        </w:rPr>
        <w:t>no se observa que l</w:t>
      </w:r>
      <w:r w:rsidR="00090F93" w:rsidRPr="009027E7">
        <w:rPr>
          <w:rFonts w:ascii="Georgia" w:hAnsi="Georgia"/>
          <w:sz w:val="28"/>
          <w:szCs w:val="28"/>
        </w:rPr>
        <w:t xml:space="preserve">a </w:t>
      </w:r>
      <w:r w:rsidR="002578DD" w:rsidRPr="009027E7">
        <w:rPr>
          <w:rFonts w:ascii="Georgia" w:hAnsi="Georgia"/>
          <w:sz w:val="28"/>
          <w:szCs w:val="28"/>
        </w:rPr>
        <w:t>decisión del</w:t>
      </w:r>
      <w:r w:rsidR="00090F93" w:rsidRPr="009027E7">
        <w:rPr>
          <w:rFonts w:ascii="Georgia" w:hAnsi="Georgia"/>
          <w:sz w:val="28"/>
          <w:szCs w:val="28"/>
        </w:rPr>
        <w:t xml:space="preserve"> Juzgado de conocimiento fue</w:t>
      </w:r>
      <w:r w:rsidR="002B425D" w:rsidRPr="009027E7">
        <w:rPr>
          <w:rFonts w:ascii="Georgia" w:hAnsi="Georgia"/>
          <w:sz w:val="28"/>
          <w:szCs w:val="28"/>
        </w:rPr>
        <w:t>ra</w:t>
      </w:r>
      <w:r w:rsidR="00090F93" w:rsidRPr="009027E7">
        <w:rPr>
          <w:rFonts w:ascii="Georgia" w:hAnsi="Georgia"/>
          <w:sz w:val="28"/>
          <w:szCs w:val="28"/>
        </w:rPr>
        <w:t xml:space="preserve"> caprichos</w:t>
      </w:r>
      <w:r w:rsidR="002578DD" w:rsidRPr="009027E7">
        <w:rPr>
          <w:rFonts w:ascii="Georgia" w:hAnsi="Georgia"/>
          <w:sz w:val="28"/>
          <w:szCs w:val="28"/>
        </w:rPr>
        <w:t>a</w:t>
      </w:r>
      <w:r w:rsidR="00090F93" w:rsidRPr="009027E7">
        <w:rPr>
          <w:rFonts w:ascii="Georgia" w:hAnsi="Georgia"/>
          <w:sz w:val="28"/>
          <w:szCs w:val="28"/>
        </w:rPr>
        <w:t>,</w:t>
      </w:r>
      <w:r w:rsidR="002578DD" w:rsidRPr="009027E7">
        <w:rPr>
          <w:rFonts w:ascii="Georgia" w:hAnsi="Georgia"/>
          <w:sz w:val="28"/>
          <w:szCs w:val="28"/>
        </w:rPr>
        <w:t xml:space="preserve"> </w:t>
      </w:r>
      <w:r w:rsidR="002B425D" w:rsidRPr="009027E7">
        <w:rPr>
          <w:rFonts w:ascii="Georgia" w:hAnsi="Georgia"/>
          <w:sz w:val="28"/>
          <w:szCs w:val="28"/>
        </w:rPr>
        <w:t>tampoco</w:t>
      </w:r>
      <w:r w:rsidR="002578DD" w:rsidRPr="009027E7">
        <w:rPr>
          <w:rFonts w:ascii="Georgia" w:hAnsi="Georgia"/>
          <w:sz w:val="28"/>
          <w:szCs w:val="28"/>
        </w:rPr>
        <w:t xml:space="preserve"> </w:t>
      </w:r>
      <w:r w:rsidR="00090F93" w:rsidRPr="009027E7">
        <w:rPr>
          <w:rFonts w:ascii="Georgia" w:hAnsi="Georgia"/>
          <w:sz w:val="28"/>
          <w:szCs w:val="28"/>
        </w:rPr>
        <w:t>actuó con un irrestricto</w:t>
      </w:r>
      <w:r w:rsidR="002578DD" w:rsidRPr="009027E7">
        <w:rPr>
          <w:rFonts w:ascii="Georgia" w:hAnsi="Georgia"/>
          <w:sz w:val="28"/>
          <w:szCs w:val="28"/>
        </w:rPr>
        <w:t xml:space="preserve"> e irracional</w:t>
      </w:r>
      <w:r w:rsidR="00090F93" w:rsidRPr="009027E7">
        <w:rPr>
          <w:rFonts w:ascii="Georgia" w:hAnsi="Georgia"/>
          <w:sz w:val="28"/>
          <w:szCs w:val="28"/>
        </w:rPr>
        <w:t xml:space="preserve"> apego a las normas procesales que ameriten pensar que </w:t>
      </w:r>
      <w:r w:rsidR="003A16E2" w:rsidRPr="009027E7">
        <w:rPr>
          <w:rFonts w:ascii="Georgia" w:hAnsi="Georgia"/>
          <w:sz w:val="28"/>
          <w:szCs w:val="28"/>
        </w:rPr>
        <w:t xml:space="preserve">conllevan a un defecto procedimental, como se duele el apelante. Por el contrario, </w:t>
      </w:r>
      <w:r w:rsidR="00196E19" w:rsidRPr="009027E7">
        <w:rPr>
          <w:rFonts w:ascii="Georgia" w:hAnsi="Georgia"/>
          <w:sz w:val="28"/>
          <w:szCs w:val="28"/>
        </w:rPr>
        <w:t xml:space="preserve">a juicio de este Tribunal, </w:t>
      </w:r>
      <w:r w:rsidR="003A16E2" w:rsidRPr="009027E7">
        <w:rPr>
          <w:rFonts w:ascii="Georgia" w:hAnsi="Georgia"/>
          <w:sz w:val="28"/>
          <w:szCs w:val="28"/>
        </w:rPr>
        <w:t>es razonable que el Juez cognoscente haya ejercido un prudente control de legalidad sobre un acto cuya realización puede llegar a impactar gravemente en la validez del proceso mismo y en los derechos fundamentales de los llamados a integrar el contradictorio</w:t>
      </w:r>
      <w:r w:rsidR="00AF3861" w:rsidRPr="009027E7">
        <w:rPr>
          <w:rFonts w:ascii="Georgia" w:hAnsi="Georgia"/>
          <w:sz w:val="28"/>
          <w:szCs w:val="28"/>
        </w:rPr>
        <w:t xml:space="preserve">, haciendo inminentemente necesario que el </w:t>
      </w:r>
      <w:r w:rsidR="002578DD" w:rsidRPr="009027E7">
        <w:rPr>
          <w:rFonts w:ascii="Georgia" w:hAnsi="Georgia"/>
          <w:sz w:val="28"/>
          <w:szCs w:val="28"/>
        </w:rPr>
        <w:t>funcionario judicial</w:t>
      </w:r>
      <w:r w:rsidR="00AF3861" w:rsidRPr="009027E7">
        <w:rPr>
          <w:rFonts w:ascii="Georgia" w:hAnsi="Georgia"/>
          <w:sz w:val="28"/>
          <w:szCs w:val="28"/>
        </w:rPr>
        <w:t xml:space="preserve"> advierta las anomalías en que haya podido incurrir la parte accionante </w:t>
      </w:r>
      <w:r w:rsidR="0050492D" w:rsidRPr="009027E7">
        <w:rPr>
          <w:rFonts w:ascii="Georgia" w:hAnsi="Georgia"/>
          <w:sz w:val="28"/>
          <w:szCs w:val="28"/>
        </w:rPr>
        <w:t>en el marco de la notificación personal</w:t>
      </w:r>
      <w:r w:rsidR="00D50ECB">
        <w:rPr>
          <w:rFonts w:ascii="Georgia" w:hAnsi="Georgia"/>
          <w:sz w:val="28"/>
          <w:szCs w:val="28"/>
        </w:rPr>
        <w:t xml:space="preserve"> del extremo demandado</w:t>
      </w:r>
      <w:r w:rsidR="00AF3861" w:rsidRPr="009027E7">
        <w:rPr>
          <w:rFonts w:ascii="Georgia" w:hAnsi="Georgia"/>
          <w:sz w:val="28"/>
          <w:szCs w:val="28"/>
        </w:rPr>
        <w:t xml:space="preserve">. Y así mismo, se esperaría de la parte accionante, la prudencia necesaria para </w:t>
      </w:r>
      <w:r w:rsidR="00A254A4" w:rsidRPr="009027E7">
        <w:rPr>
          <w:rFonts w:ascii="Georgia" w:hAnsi="Georgia"/>
          <w:sz w:val="28"/>
          <w:szCs w:val="28"/>
        </w:rPr>
        <w:t>surti</w:t>
      </w:r>
      <w:r w:rsidR="00D50ECB">
        <w:rPr>
          <w:rFonts w:ascii="Georgia" w:hAnsi="Georgia"/>
          <w:sz w:val="28"/>
          <w:szCs w:val="28"/>
        </w:rPr>
        <w:t>r</w:t>
      </w:r>
      <w:r w:rsidR="00AF3861" w:rsidRPr="009027E7">
        <w:rPr>
          <w:rFonts w:ascii="Georgia" w:hAnsi="Georgia"/>
          <w:sz w:val="28"/>
          <w:szCs w:val="28"/>
        </w:rPr>
        <w:t xml:space="preserve"> la notificación a la</w:t>
      </w:r>
      <w:r w:rsidR="00A254A4" w:rsidRPr="009027E7">
        <w:rPr>
          <w:rFonts w:ascii="Georgia" w:hAnsi="Georgia"/>
          <w:sz w:val="28"/>
          <w:szCs w:val="28"/>
        </w:rPr>
        <w:t>s</w:t>
      </w:r>
      <w:r w:rsidR="00AF3861" w:rsidRPr="009027E7">
        <w:rPr>
          <w:rFonts w:ascii="Georgia" w:hAnsi="Georgia"/>
          <w:sz w:val="28"/>
          <w:szCs w:val="28"/>
        </w:rPr>
        <w:t xml:space="preserve"> parte</w:t>
      </w:r>
      <w:r w:rsidR="00A254A4" w:rsidRPr="009027E7">
        <w:rPr>
          <w:rFonts w:ascii="Georgia" w:hAnsi="Georgia"/>
          <w:sz w:val="28"/>
          <w:szCs w:val="28"/>
        </w:rPr>
        <w:t>s</w:t>
      </w:r>
      <w:r w:rsidR="00AF3861" w:rsidRPr="009027E7">
        <w:rPr>
          <w:rFonts w:ascii="Georgia" w:hAnsi="Georgia"/>
          <w:sz w:val="28"/>
          <w:szCs w:val="28"/>
        </w:rPr>
        <w:t xml:space="preserve"> accionada</w:t>
      </w:r>
      <w:r w:rsidR="00A254A4" w:rsidRPr="009027E7">
        <w:rPr>
          <w:rFonts w:ascii="Georgia" w:hAnsi="Georgia"/>
          <w:sz w:val="28"/>
          <w:szCs w:val="28"/>
        </w:rPr>
        <w:t>s</w:t>
      </w:r>
      <w:r w:rsidR="00AF3861" w:rsidRPr="009027E7">
        <w:rPr>
          <w:rFonts w:ascii="Georgia" w:hAnsi="Georgia"/>
          <w:sz w:val="28"/>
          <w:szCs w:val="28"/>
        </w:rPr>
        <w:t xml:space="preserve"> conforme a</w:t>
      </w:r>
      <w:r w:rsidR="002C0A1F" w:rsidRPr="009027E7">
        <w:rPr>
          <w:rFonts w:ascii="Georgia" w:hAnsi="Georgia"/>
          <w:sz w:val="28"/>
          <w:szCs w:val="28"/>
        </w:rPr>
        <w:t xml:space="preserve"> </w:t>
      </w:r>
      <w:r w:rsidR="00AF3861" w:rsidRPr="009027E7">
        <w:rPr>
          <w:rFonts w:ascii="Georgia" w:hAnsi="Georgia"/>
          <w:sz w:val="28"/>
          <w:szCs w:val="28"/>
        </w:rPr>
        <w:t xml:space="preserve">las indicaciones del despacho, </w:t>
      </w:r>
      <w:r w:rsidR="00196E19" w:rsidRPr="009027E7">
        <w:rPr>
          <w:rFonts w:ascii="Georgia" w:hAnsi="Georgia"/>
          <w:sz w:val="28"/>
          <w:szCs w:val="28"/>
        </w:rPr>
        <w:t>que en nada son ajenas a las que</w:t>
      </w:r>
      <w:r w:rsidR="00AF3861" w:rsidRPr="009027E7">
        <w:rPr>
          <w:rFonts w:ascii="Georgia" w:hAnsi="Georgia"/>
          <w:sz w:val="28"/>
          <w:szCs w:val="28"/>
        </w:rPr>
        <w:t xml:space="preserve">, de manera clara, estableció el legislador en el artículo 291 del </w:t>
      </w:r>
      <w:r w:rsidR="002C0A1F" w:rsidRPr="009027E7">
        <w:rPr>
          <w:rFonts w:ascii="Georgia" w:hAnsi="Georgia"/>
          <w:sz w:val="28"/>
          <w:szCs w:val="28"/>
        </w:rPr>
        <w:t>Código</w:t>
      </w:r>
      <w:r w:rsidR="00AF3861" w:rsidRPr="009027E7">
        <w:rPr>
          <w:rFonts w:ascii="Georgia" w:hAnsi="Georgia"/>
          <w:sz w:val="28"/>
          <w:szCs w:val="28"/>
        </w:rPr>
        <w:t xml:space="preserve"> </w:t>
      </w:r>
      <w:r w:rsidR="002C0A1F" w:rsidRPr="009027E7">
        <w:rPr>
          <w:rFonts w:ascii="Georgia" w:hAnsi="Georgia"/>
          <w:sz w:val="28"/>
          <w:szCs w:val="28"/>
        </w:rPr>
        <w:t>General del Proceso</w:t>
      </w:r>
      <w:r w:rsidR="00AF3861" w:rsidRPr="009027E7">
        <w:rPr>
          <w:rFonts w:ascii="Georgia" w:hAnsi="Georgia"/>
          <w:sz w:val="28"/>
          <w:szCs w:val="28"/>
        </w:rPr>
        <w:t xml:space="preserve">, aspecto que no sucedió, pese a que el </w:t>
      </w:r>
      <w:r w:rsidR="00D50ECB">
        <w:rPr>
          <w:rFonts w:ascii="Georgia" w:hAnsi="Georgia"/>
          <w:sz w:val="28"/>
          <w:szCs w:val="28"/>
        </w:rPr>
        <w:t>juzgado</w:t>
      </w:r>
      <w:r w:rsidR="00AF3861" w:rsidRPr="009027E7">
        <w:rPr>
          <w:rFonts w:ascii="Georgia" w:hAnsi="Georgia"/>
          <w:sz w:val="28"/>
          <w:szCs w:val="28"/>
        </w:rPr>
        <w:t xml:space="preserve"> concedió múltiples oportunidades y enfatizó con claridad las normas que debía seguir y las falencias que había </w:t>
      </w:r>
      <w:r w:rsidR="00196E19" w:rsidRPr="009027E7">
        <w:rPr>
          <w:rFonts w:ascii="Georgia" w:hAnsi="Georgia"/>
          <w:sz w:val="28"/>
          <w:szCs w:val="28"/>
        </w:rPr>
        <w:t>que corregir</w:t>
      </w:r>
      <w:r w:rsidR="00AF3861" w:rsidRPr="009027E7">
        <w:rPr>
          <w:rFonts w:ascii="Georgia" w:hAnsi="Georgia"/>
          <w:sz w:val="28"/>
          <w:szCs w:val="28"/>
        </w:rPr>
        <w:t>.</w:t>
      </w:r>
    </w:p>
    <w:p w14:paraId="5EB18497" w14:textId="77777777" w:rsidR="00D50ECB" w:rsidRPr="009027E7" w:rsidRDefault="00D50ECB" w:rsidP="009027E7">
      <w:pPr>
        <w:pStyle w:val="Sinespaciado"/>
        <w:spacing w:line="360" w:lineRule="auto"/>
        <w:jc w:val="both"/>
        <w:rPr>
          <w:rFonts w:ascii="Georgia" w:hAnsi="Georgia"/>
          <w:sz w:val="28"/>
          <w:szCs w:val="28"/>
        </w:rPr>
      </w:pPr>
    </w:p>
    <w:p w14:paraId="494C8B6D" w14:textId="4E8407D4" w:rsidR="001111D4" w:rsidRDefault="00CF7E43" w:rsidP="009027E7">
      <w:pPr>
        <w:pStyle w:val="Sinespaciado"/>
        <w:spacing w:line="360" w:lineRule="auto"/>
        <w:jc w:val="both"/>
        <w:rPr>
          <w:rFonts w:ascii="Georgia" w:hAnsi="Georgia"/>
          <w:sz w:val="28"/>
          <w:szCs w:val="28"/>
        </w:rPr>
      </w:pPr>
      <w:r w:rsidRPr="009027E7">
        <w:rPr>
          <w:rFonts w:ascii="Georgia" w:hAnsi="Georgia"/>
          <w:sz w:val="28"/>
          <w:szCs w:val="28"/>
        </w:rPr>
        <w:t>No puede pretender entonces el apelante, que el Juzgado de conocimiento fue</w:t>
      </w:r>
      <w:r w:rsidR="00E53B3E" w:rsidRPr="009027E7">
        <w:rPr>
          <w:rFonts w:ascii="Georgia" w:hAnsi="Georgia"/>
          <w:sz w:val="28"/>
          <w:szCs w:val="28"/>
        </w:rPr>
        <w:t>se</w:t>
      </w:r>
      <w:r w:rsidRPr="009027E7">
        <w:rPr>
          <w:rFonts w:ascii="Georgia" w:hAnsi="Georgia"/>
          <w:sz w:val="28"/>
          <w:szCs w:val="28"/>
        </w:rPr>
        <w:t xml:space="preserve"> condescendiente con sus intentos de notificación </w:t>
      </w:r>
      <w:r w:rsidR="00E53B3E" w:rsidRPr="009027E7">
        <w:rPr>
          <w:rFonts w:ascii="Georgia" w:hAnsi="Georgia"/>
          <w:sz w:val="28"/>
          <w:szCs w:val="28"/>
        </w:rPr>
        <w:t>que desatendían las formalidades</w:t>
      </w:r>
      <w:r w:rsidR="00A23555" w:rsidRPr="009027E7">
        <w:rPr>
          <w:rStyle w:val="Refdenotaalpie"/>
          <w:rFonts w:ascii="Georgia" w:hAnsi="Georgia"/>
          <w:kern w:val="28"/>
          <w:sz w:val="28"/>
          <w:szCs w:val="28"/>
        </w:rPr>
        <w:footnoteReference w:id="24"/>
      </w:r>
      <w:r w:rsidR="00E53B3E" w:rsidRPr="009027E7">
        <w:rPr>
          <w:rFonts w:ascii="Georgia" w:hAnsi="Georgia"/>
          <w:sz w:val="28"/>
          <w:szCs w:val="28"/>
        </w:rPr>
        <w:t xml:space="preserve"> exigidas por la normatividad procesal, máxime cuando se trata de una norma de orden público y la materialización del acto influye en las garantías procesales y derechos fundamentales de</w:t>
      </w:r>
      <w:r w:rsidR="00A254A4" w:rsidRPr="009027E7">
        <w:rPr>
          <w:rFonts w:ascii="Georgia" w:hAnsi="Georgia"/>
          <w:sz w:val="28"/>
          <w:szCs w:val="28"/>
        </w:rPr>
        <w:t xml:space="preserve"> los</w:t>
      </w:r>
      <w:r w:rsidR="00E53B3E" w:rsidRPr="009027E7">
        <w:rPr>
          <w:rFonts w:ascii="Georgia" w:hAnsi="Georgia"/>
          <w:sz w:val="28"/>
          <w:szCs w:val="28"/>
        </w:rPr>
        <w:t xml:space="preserve"> demandado</w:t>
      </w:r>
      <w:r w:rsidR="00A254A4" w:rsidRPr="009027E7">
        <w:rPr>
          <w:rFonts w:ascii="Georgia" w:hAnsi="Georgia"/>
          <w:sz w:val="28"/>
          <w:szCs w:val="28"/>
        </w:rPr>
        <w:t>s</w:t>
      </w:r>
      <w:r w:rsidR="00A23555" w:rsidRPr="009027E7">
        <w:rPr>
          <w:rFonts w:ascii="Georgia" w:hAnsi="Georgia"/>
          <w:sz w:val="28"/>
          <w:szCs w:val="28"/>
        </w:rPr>
        <w:t xml:space="preserve">. </w:t>
      </w:r>
    </w:p>
    <w:p w14:paraId="112035DE" w14:textId="77777777" w:rsidR="00D50ECB" w:rsidRPr="009027E7" w:rsidRDefault="00D50ECB" w:rsidP="009027E7">
      <w:pPr>
        <w:pStyle w:val="Sinespaciado"/>
        <w:spacing w:line="360" w:lineRule="auto"/>
        <w:jc w:val="both"/>
        <w:rPr>
          <w:rFonts w:ascii="Georgia" w:hAnsi="Georgia"/>
          <w:sz w:val="28"/>
          <w:szCs w:val="28"/>
        </w:rPr>
      </w:pPr>
    </w:p>
    <w:p w14:paraId="46412E2C" w14:textId="59CFD091" w:rsidR="002C0A1F" w:rsidRDefault="001111D4" w:rsidP="009027E7">
      <w:pPr>
        <w:pStyle w:val="Sinespaciado"/>
        <w:spacing w:line="360" w:lineRule="auto"/>
        <w:jc w:val="both"/>
        <w:rPr>
          <w:rFonts w:ascii="Georgia" w:hAnsi="Georgia"/>
          <w:sz w:val="28"/>
          <w:szCs w:val="28"/>
        </w:rPr>
      </w:pPr>
      <w:r w:rsidRPr="009027E7">
        <w:rPr>
          <w:rFonts w:ascii="Georgia" w:hAnsi="Georgia"/>
          <w:sz w:val="28"/>
          <w:szCs w:val="28"/>
        </w:rPr>
        <w:lastRenderedPageBreak/>
        <w:t>En todo caso</w:t>
      </w:r>
      <w:r w:rsidR="002C0A1F" w:rsidRPr="009027E7">
        <w:rPr>
          <w:rFonts w:ascii="Georgia" w:hAnsi="Georgia"/>
          <w:sz w:val="28"/>
          <w:szCs w:val="28"/>
        </w:rPr>
        <w:t xml:space="preserve">, debe concluirse que la carga procesal debía ser cumplida en un plazo de 30 días, </w:t>
      </w:r>
      <w:r w:rsidR="00CF7E43" w:rsidRPr="009027E7">
        <w:rPr>
          <w:rFonts w:ascii="Georgia" w:hAnsi="Georgia"/>
          <w:sz w:val="28"/>
          <w:szCs w:val="28"/>
        </w:rPr>
        <w:t>término superado ampliamente por la parte advertida del desistimiento tácito, como ya se ha enfatizado previamente</w:t>
      </w:r>
      <w:r w:rsidRPr="009027E7">
        <w:rPr>
          <w:rFonts w:ascii="Georgia" w:hAnsi="Georgia"/>
          <w:sz w:val="28"/>
          <w:szCs w:val="28"/>
        </w:rPr>
        <w:t>.</w:t>
      </w:r>
    </w:p>
    <w:p w14:paraId="19BE52F4" w14:textId="77777777" w:rsidR="00142D3D" w:rsidRPr="009027E7" w:rsidRDefault="00142D3D" w:rsidP="009027E7">
      <w:pPr>
        <w:pStyle w:val="Sinespaciado"/>
        <w:spacing w:line="360" w:lineRule="auto"/>
        <w:jc w:val="both"/>
        <w:rPr>
          <w:rFonts w:ascii="Georgia" w:hAnsi="Georgia"/>
          <w:sz w:val="28"/>
          <w:szCs w:val="28"/>
        </w:rPr>
      </w:pPr>
    </w:p>
    <w:p w14:paraId="257C5F26" w14:textId="2E662874" w:rsidR="00196E19" w:rsidRDefault="0005797A" w:rsidP="009027E7">
      <w:pPr>
        <w:pStyle w:val="Sinespaciado"/>
        <w:spacing w:line="360" w:lineRule="auto"/>
        <w:jc w:val="both"/>
        <w:rPr>
          <w:rFonts w:ascii="Georgia" w:hAnsi="Georgia"/>
          <w:sz w:val="28"/>
          <w:szCs w:val="28"/>
        </w:rPr>
      </w:pPr>
      <w:r>
        <w:rPr>
          <w:rFonts w:ascii="Georgia" w:hAnsi="Georgia"/>
          <w:b/>
          <w:bCs/>
          <w:sz w:val="28"/>
          <w:szCs w:val="28"/>
        </w:rPr>
        <w:t>6</w:t>
      </w:r>
      <w:r w:rsidR="00196E19" w:rsidRPr="009027E7">
        <w:rPr>
          <w:rFonts w:ascii="Georgia" w:hAnsi="Georgia"/>
          <w:b/>
          <w:bCs/>
          <w:sz w:val="28"/>
          <w:szCs w:val="28"/>
        </w:rPr>
        <w:t xml:space="preserve">.- </w:t>
      </w:r>
      <w:r w:rsidR="00834588" w:rsidRPr="009027E7">
        <w:rPr>
          <w:rFonts w:ascii="Georgia" w:hAnsi="Georgia"/>
          <w:sz w:val="28"/>
          <w:szCs w:val="28"/>
        </w:rPr>
        <w:t>No se profundizará en los</w:t>
      </w:r>
      <w:r w:rsidR="003E502E" w:rsidRPr="009027E7">
        <w:rPr>
          <w:rFonts w:ascii="Georgia" w:hAnsi="Georgia"/>
          <w:sz w:val="28"/>
          <w:szCs w:val="28"/>
        </w:rPr>
        <w:t xml:space="preserve"> argumentos del apelante relacionados con la presunta vulneración de los derechos de María Virgelina Pescador Parra y el señor Omar de Jesús Arias Pareja</w:t>
      </w:r>
      <w:r w:rsidR="00834588" w:rsidRPr="009027E7">
        <w:rPr>
          <w:rFonts w:ascii="Georgia" w:hAnsi="Georgia"/>
          <w:sz w:val="28"/>
          <w:szCs w:val="28"/>
        </w:rPr>
        <w:t xml:space="preserve">, toda vez que carece de </w:t>
      </w:r>
      <w:r w:rsidR="00142D3D">
        <w:rPr>
          <w:rFonts w:ascii="Georgia" w:hAnsi="Georgia"/>
          <w:sz w:val="28"/>
          <w:szCs w:val="28"/>
        </w:rPr>
        <w:t xml:space="preserve">interés, </w:t>
      </w:r>
      <w:r w:rsidR="00D84D28" w:rsidRPr="009027E7">
        <w:rPr>
          <w:rFonts w:ascii="Georgia" w:hAnsi="Georgia"/>
          <w:sz w:val="28"/>
          <w:szCs w:val="28"/>
        </w:rPr>
        <w:t xml:space="preserve">pues no tiene frente a ellos derecho de postulación alguno que le permita, en su representación, reclamar la protección de los derechos </w:t>
      </w:r>
      <w:r w:rsidR="00DE5649" w:rsidRPr="009027E7">
        <w:rPr>
          <w:rFonts w:ascii="Georgia" w:hAnsi="Georgia"/>
          <w:sz w:val="28"/>
          <w:szCs w:val="28"/>
        </w:rPr>
        <w:t>de los que son titulares. Así lo ha señalado en reiteradas ocasiones la Corte Suprema de Justicia:</w:t>
      </w:r>
    </w:p>
    <w:p w14:paraId="5493394E" w14:textId="77777777" w:rsidR="008712C4" w:rsidRPr="009027E7" w:rsidRDefault="008712C4" w:rsidP="009027E7">
      <w:pPr>
        <w:pStyle w:val="Sinespaciado"/>
        <w:spacing w:line="360" w:lineRule="auto"/>
        <w:jc w:val="both"/>
        <w:rPr>
          <w:rFonts w:ascii="Georgia" w:hAnsi="Georgia"/>
          <w:sz w:val="28"/>
          <w:szCs w:val="28"/>
        </w:rPr>
      </w:pPr>
    </w:p>
    <w:p w14:paraId="6194DBFB" w14:textId="69CC5A14" w:rsidR="00E17B21" w:rsidRDefault="00E17B21" w:rsidP="008712C4">
      <w:pPr>
        <w:pStyle w:val="Sinespaciado"/>
        <w:ind w:left="426" w:right="618"/>
        <w:jc w:val="both"/>
        <w:rPr>
          <w:rFonts w:ascii="Georgia" w:hAnsi="Georgia"/>
          <w:i/>
          <w:iCs/>
          <w:sz w:val="24"/>
          <w:szCs w:val="24"/>
        </w:rPr>
      </w:pPr>
      <w:r w:rsidRPr="008712C4">
        <w:rPr>
          <w:rFonts w:ascii="Georgia" w:hAnsi="Georgia"/>
          <w:i/>
          <w:iCs/>
          <w:sz w:val="24"/>
          <w:szCs w:val="24"/>
        </w:rPr>
        <w:t>“el acceso a la administración de justicia como garantía de orden superior (artículo 229 de la Constitución Política), para su plena realización, requiere que quien reclama la protección de un derecho sea su titular, ya sea que se pida a título personal o por sus representantes, pues, no se trata de una facultad ilimitada. Ese condicionamiento, precisamente, es el que legitima para accionar y, de faltar, el resultado solo puede ser adverso, sin siquiera analizar a profundidad los puntos en discusión”</w:t>
      </w:r>
      <w:r w:rsidR="00D42E5A" w:rsidRPr="008712C4">
        <w:rPr>
          <w:rStyle w:val="Refdenotaalpie"/>
          <w:rFonts w:ascii="Georgia" w:hAnsi="Georgia"/>
          <w:i/>
          <w:iCs/>
          <w:kern w:val="28"/>
          <w:sz w:val="24"/>
          <w:szCs w:val="24"/>
        </w:rPr>
        <w:footnoteReference w:id="25"/>
      </w:r>
    </w:p>
    <w:p w14:paraId="69ADE2DF" w14:textId="77777777" w:rsidR="008712C4" w:rsidRPr="008712C4" w:rsidRDefault="008712C4" w:rsidP="00E22B87">
      <w:pPr>
        <w:pStyle w:val="Sinespaciado"/>
        <w:spacing w:line="360" w:lineRule="auto"/>
        <w:jc w:val="both"/>
        <w:rPr>
          <w:rFonts w:ascii="Georgia" w:hAnsi="Georgia"/>
          <w:i/>
          <w:iCs/>
          <w:sz w:val="24"/>
          <w:szCs w:val="24"/>
        </w:rPr>
      </w:pPr>
    </w:p>
    <w:p w14:paraId="4471F331" w14:textId="23C164F4" w:rsidR="00EC69DD" w:rsidRPr="009027E7" w:rsidRDefault="0005797A" w:rsidP="009027E7">
      <w:pPr>
        <w:pStyle w:val="Sinespaciado"/>
        <w:spacing w:line="360" w:lineRule="auto"/>
        <w:jc w:val="both"/>
        <w:rPr>
          <w:rFonts w:ascii="Georgia" w:hAnsi="Georgia"/>
          <w:sz w:val="28"/>
          <w:szCs w:val="28"/>
        </w:rPr>
      </w:pPr>
      <w:r>
        <w:rPr>
          <w:rFonts w:ascii="Georgia" w:hAnsi="Georgia"/>
          <w:b/>
          <w:bCs/>
          <w:sz w:val="28"/>
          <w:szCs w:val="28"/>
        </w:rPr>
        <w:t>7</w:t>
      </w:r>
      <w:r w:rsidR="00117E3D" w:rsidRPr="009027E7">
        <w:rPr>
          <w:rFonts w:ascii="Georgia" w:hAnsi="Georgia"/>
          <w:b/>
          <w:bCs/>
          <w:sz w:val="28"/>
          <w:szCs w:val="28"/>
        </w:rPr>
        <w:t>.-</w:t>
      </w:r>
      <w:r w:rsidR="00D521EE" w:rsidRPr="009027E7">
        <w:rPr>
          <w:rFonts w:ascii="Georgia" w:hAnsi="Georgia"/>
          <w:sz w:val="28"/>
          <w:szCs w:val="28"/>
        </w:rPr>
        <w:t xml:space="preserve"> </w:t>
      </w:r>
      <w:r w:rsidR="007D39F0" w:rsidRPr="009027E7">
        <w:rPr>
          <w:rFonts w:ascii="Georgia" w:hAnsi="Georgia"/>
          <w:sz w:val="28"/>
          <w:szCs w:val="28"/>
        </w:rPr>
        <w:t>Por</w:t>
      </w:r>
      <w:r w:rsidR="00292F9B" w:rsidRPr="009027E7">
        <w:rPr>
          <w:rFonts w:ascii="Georgia" w:hAnsi="Georgia"/>
          <w:sz w:val="28"/>
          <w:szCs w:val="28"/>
        </w:rPr>
        <w:t xml:space="preserve"> todo lo</w:t>
      </w:r>
      <w:r w:rsidR="00D521EE" w:rsidRPr="009027E7">
        <w:rPr>
          <w:rFonts w:ascii="Georgia" w:hAnsi="Georgia"/>
          <w:sz w:val="28"/>
          <w:szCs w:val="28"/>
        </w:rPr>
        <w:t xml:space="preserve"> anterior</w:t>
      </w:r>
      <w:r w:rsidR="00292F9B" w:rsidRPr="009027E7">
        <w:rPr>
          <w:rFonts w:ascii="Georgia" w:hAnsi="Georgia"/>
          <w:sz w:val="28"/>
          <w:szCs w:val="28"/>
        </w:rPr>
        <w:t>,</w:t>
      </w:r>
      <w:r w:rsidR="00D521EE" w:rsidRPr="009027E7">
        <w:rPr>
          <w:rFonts w:ascii="Georgia" w:hAnsi="Georgia"/>
          <w:sz w:val="28"/>
          <w:szCs w:val="28"/>
        </w:rPr>
        <w:t xml:space="preserve"> se </w:t>
      </w:r>
      <w:r w:rsidR="00292F9B" w:rsidRPr="009027E7">
        <w:rPr>
          <w:rFonts w:ascii="Georgia" w:hAnsi="Georgia"/>
          <w:sz w:val="28"/>
          <w:szCs w:val="28"/>
        </w:rPr>
        <w:t xml:space="preserve">confirmará el auto impugnado </w:t>
      </w:r>
      <w:r w:rsidR="007D39F0" w:rsidRPr="009027E7">
        <w:rPr>
          <w:rFonts w:ascii="Georgia" w:hAnsi="Georgia"/>
          <w:sz w:val="28"/>
          <w:szCs w:val="28"/>
        </w:rPr>
        <w:t>y se condenará en costas a la recurrente</w:t>
      </w:r>
      <w:r w:rsidR="00BE6DF9" w:rsidRPr="009027E7">
        <w:rPr>
          <w:rFonts w:ascii="Georgia" w:hAnsi="Georgia"/>
          <w:sz w:val="28"/>
          <w:szCs w:val="28"/>
        </w:rPr>
        <w:t xml:space="preserve"> por el fracaso </w:t>
      </w:r>
      <w:r w:rsidR="00D878E1" w:rsidRPr="009027E7">
        <w:rPr>
          <w:rFonts w:ascii="Georgia" w:hAnsi="Georgia"/>
          <w:sz w:val="28"/>
          <w:szCs w:val="28"/>
        </w:rPr>
        <w:t>en la alzada</w:t>
      </w:r>
      <w:r w:rsidR="00BD1F7F" w:rsidRPr="009027E7">
        <w:rPr>
          <w:rFonts w:ascii="Georgia" w:hAnsi="Georgia"/>
          <w:sz w:val="28"/>
          <w:szCs w:val="28"/>
        </w:rPr>
        <w:t xml:space="preserve">, de conformidad con lo proveído </w:t>
      </w:r>
      <w:r w:rsidR="000F18C6" w:rsidRPr="009027E7">
        <w:rPr>
          <w:rFonts w:ascii="Georgia" w:hAnsi="Georgia"/>
          <w:sz w:val="28"/>
          <w:szCs w:val="28"/>
        </w:rPr>
        <w:t>en el artículo 365</w:t>
      </w:r>
      <w:r w:rsidR="00674FE9" w:rsidRPr="009027E7">
        <w:rPr>
          <w:rFonts w:ascii="Georgia" w:hAnsi="Georgia"/>
          <w:sz w:val="28"/>
          <w:szCs w:val="28"/>
        </w:rPr>
        <w:t xml:space="preserve"> - 1</w:t>
      </w:r>
      <w:r w:rsidR="000F18C6" w:rsidRPr="009027E7">
        <w:rPr>
          <w:rFonts w:ascii="Georgia" w:hAnsi="Georgia"/>
          <w:sz w:val="28"/>
          <w:szCs w:val="28"/>
        </w:rPr>
        <w:t xml:space="preserve"> del C.G.P.</w:t>
      </w:r>
      <w:r w:rsidR="00224EAE" w:rsidRPr="009027E7">
        <w:rPr>
          <w:rFonts w:ascii="Georgia" w:hAnsi="Georgia"/>
          <w:sz w:val="28"/>
          <w:szCs w:val="28"/>
        </w:rPr>
        <w:t xml:space="preserve"> </w:t>
      </w:r>
    </w:p>
    <w:p w14:paraId="7725678A" w14:textId="71021A75" w:rsidR="00224EAE" w:rsidRPr="009027E7" w:rsidRDefault="00224EAE" w:rsidP="009027E7">
      <w:pPr>
        <w:pStyle w:val="Sinespaciado"/>
        <w:spacing w:line="360" w:lineRule="auto"/>
        <w:jc w:val="both"/>
        <w:rPr>
          <w:rFonts w:ascii="Georgia" w:hAnsi="Georgia"/>
          <w:sz w:val="28"/>
          <w:szCs w:val="28"/>
        </w:rPr>
      </w:pPr>
    </w:p>
    <w:p w14:paraId="78BDE81F" w14:textId="22758649" w:rsidR="00224EAE" w:rsidRDefault="00224EAE"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 xml:space="preserve">Dicha condena en costas será únicamente en favor de la parte demandada que ya integraba el contradictorio, </w:t>
      </w:r>
      <w:r w:rsidR="00D7631C">
        <w:rPr>
          <w:rFonts w:ascii="Georgia" w:hAnsi="Georgia" w:cs="Arial"/>
          <w:kern w:val="28"/>
          <w:sz w:val="28"/>
          <w:szCs w:val="28"/>
          <w:lang w:eastAsia="es-ES"/>
        </w:rPr>
        <w:t>respecto a los demás litisconsortes no aparecen causadas (art. 365 – 8 C.G.P</w:t>
      </w:r>
      <w:r w:rsidR="00825F13">
        <w:rPr>
          <w:rFonts w:ascii="Georgia" w:hAnsi="Georgia" w:cs="Arial"/>
          <w:kern w:val="28"/>
          <w:sz w:val="28"/>
          <w:szCs w:val="28"/>
          <w:lang w:eastAsia="es-ES"/>
        </w:rPr>
        <w:t>.</w:t>
      </w:r>
      <w:r w:rsidR="00D7631C">
        <w:rPr>
          <w:rFonts w:ascii="Georgia" w:hAnsi="Georgia" w:cs="Arial"/>
          <w:kern w:val="28"/>
          <w:sz w:val="28"/>
          <w:szCs w:val="28"/>
          <w:lang w:eastAsia="es-ES"/>
        </w:rPr>
        <w:t>)</w:t>
      </w:r>
    </w:p>
    <w:p w14:paraId="057699FD" w14:textId="31FE2A12" w:rsidR="007D39F0" w:rsidRDefault="007D39F0"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7EA0BFFD" w14:textId="7CD6257A" w:rsidR="007D39F0" w:rsidRDefault="007D39F0"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kern w:val="28"/>
          <w:sz w:val="28"/>
          <w:szCs w:val="28"/>
          <w:lang w:eastAsia="es-ES"/>
        </w:rPr>
        <w:t xml:space="preserve">En mérito de lo expuesto, el Despacho 002 de la Sala Civil – Familia del Tribunal Superior del Distrito Judicial de Pereira, </w:t>
      </w:r>
    </w:p>
    <w:p w14:paraId="07B14B4B" w14:textId="289680B5" w:rsidR="000E0F3F" w:rsidRDefault="000E0F3F" w:rsidP="00B426C1">
      <w:pPr>
        <w:pStyle w:val="paragraph"/>
        <w:spacing w:before="0" w:beforeAutospacing="0" w:after="0" w:afterAutospacing="0" w:line="360" w:lineRule="auto"/>
        <w:textAlignment w:val="baseline"/>
        <w:rPr>
          <w:rFonts w:ascii="Georgia" w:hAnsi="Georgia" w:cs="Arial"/>
          <w:kern w:val="28"/>
          <w:sz w:val="28"/>
          <w:szCs w:val="28"/>
          <w:lang w:eastAsia="es-ES"/>
        </w:rPr>
      </w:pPr>
    </w:p>
    <w:p w14:paraId="5E305D18" w14:textId="1056DE55" w:rsidR="007D39F0" w:rsidRDefault="007D39F0" w:rsidP="007D39F0">
      <w:pPr>
        <w:pStyle w:val="paragraph"/>
        <w:spacing w:before="0" w:beforeAutospacing="0" w:after="0" w:afterAutospacing="0" w:line="360" w:lineRule="auto"/>
        <w:jc w:val="center"/>
        <w:textAlignment w:val="baseline"/>
        <w:rPr>
          <w:rFonts w:ascii="Georgia" w:hAnsi="Georgia" w:cs="Arial"/>
          <w:b/>
          <w:bCs/>
          <w:kern w:val="28"/>
          <w:sz w:val="28"/>
          <w:szCs w:val="28"/>
          <w:lang w:eastAsia="es-ES"/>
        </w:rPr>
      </w:pPr>
      <w:r>
        <w:rPr>
          <w:rFonts w:ascii="Georgia" w:hAnsi="Georgia" w:cs="Arial"/>
          <w:b/>
          <w:bCs/>
          <w:kern w:val="28"/>
          <w:sz w:val="28"/>
          <w:szCs w:val="28"/>
          <w:lang w:eastAsia="es-ES"/>
        </w:rPr>
        <w:t>Resuelve</w:t>
      </w:r>
    </w:p>
    <w:p w14:paraId="00704321" w14:textId="77777777" w:rsidR="007D39F0" w:rsidRDefault="007D39F0" w:rsidP="007D39F0">
      <w:pPr>
        <w:pStyle w:val="paragraph"/>
        <w:spacing w:before="0" w:beforeAutospacing="0" w:after="0" w:afterAutospacing="0" w:line="360" w:lineRule="auto"/>
        <w:textAlignment w:val="baseline"/>
        <w:rPr>
          <w:rFonts w:ascii="Georgia" w:hAnsi="Georgia" w:cs="Arial"/>
          <w:b/>
          <w:bCs/>
          <w:kern w:val="28"/>
          <w:sz w:val="28"/>
          <w:szCs w:val="28"/>
          <w:lang w:eastAsia="es-ES"/>
        </w:rPr>
      </w:pPr>
    </w:p>
    <w:p w14:paraId="30D45E3F" w14:textId="01C5D0B0" w:rsidR="007D39F0" w:rsidRDefault="00BE6DF9"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b/>
          <w:bCs/>
          <w:kern w:val="28"/>
          <w:sz w:val="28"/>
          <w:szCs w:val="28"/>
          <w:lang w:eastAsia="es-ES"/>
        </w:rPr>
        <w:t xml:space="preserve">Primero: </w:t>
      </w:r>
      <w:r>
        <w:rPr>
          <w:rFonts w:ascii="Georgia" w:hAnsi="Georgia" w:cs="Arial"/>
          <w:kern w:val="28"/>
          <w:sz w:val="28"/>
          <w:szCs w:val="28"/>
          <w:lang w:eastAsia="es-ES"/>
        </w:rPr>
        <w:t xml:space="preserve">Confirmar el auto apelado, de fecha </w:t>
      </w:r>
      <w:r w:rsidR="0050492D">
        <w:rPr>
          <w:rFonts w:ascii="Georgia" w:hAnsi="Georgia" w:cs="Arial"/>
          <w:kern w:val="28"/>
          <w:sz w:val="28"/>
          <w:szCs w:val="28"/>
          <w:lang w:eastAsia="es-ES"/>
        </w:rPr>
        <w:t xml:space="preserve">16 </w:t>
      </w:r>
      <w:r>
        <w:rPr>
          <w:rFonts w:ascii="Georgia" w:hAnsi="Georgia" w:cs="Arial"/>
          <w:kern w:val="28"/>
          <w:sz w:val="28"/>
          <w:szCs w:val="28"/>
          <w:lang w:eastAsia="es-ES"/>
        </w:rPr>
        <w:t xml:space="preserve">de </w:t>
      </w:r>
      <w:r w:rsidR="0050492D">
        <w:rPr>
          <w:rFonts w:ascii="Georgia" w:hAnsi="Georgia" w:cs="Arial"/>
          <w:kern w:val="28"/>
          <w:sz w:val="28"/>
          <w:szCs w:val="28"/>
          <w:lang w:eastAsia="es-ES"/>
        </w:rPr>
        <w:t>mayo</w:t>
      </w:r>
      <w:r>
        <w:rPr>
          <w:rFonts w:ascii="Georgia" w:hAnsi="Georgia" w:cs="Arial"/>
          <w:kern w:val="28"/>
          <w:sz w:val="28"/>
          <w:szCs w:val="28"/>
          <w:lang w:eastAsia="es-ES"/>
        </w:rPr>
        <w:t xml:space="preserve"> de 202</w:t>
      </w:r>
      <w:r w:rsidR="0050492D">
        <w:rPr>
          <w:rFonts w:ascii="Georgia" w:hAnsi="Georgia" w:cs="Arial"/>
          <w:kern w:val="28"/>
          <w:sz w:val="28"/>
          <w:szCs w:val="28"/>
          <w:lang w:eastAsia="es-ES"/>
        </w:rPr>
        <w:t>4</w:t>
      </w:r>
      <w:r>
        <w:rPr>
          <w:rFonts w:ascii="Georgia" w:hAnsi="Georgia" w:cs="Arial"/>
          <w:kern w:val="28"/>
          <w:sz w:val="28"/>
          <w:szCs w:val="28"/>
          <w:lang w:eastAsia="es-ES"/>
        </w:rPr>
        <w:t xml:space="preserve">, proferido por el Juzgado </w:t>
      </w:r>
      <w:r w:rsidR="0050492D">
        <w:rPr>
          <w:rFonts w:ascii="Georgia" w:hAnsi="Georgia" w:cs="Arial"/>
          <w:kern w:val="28"/>
          <w:sz w:val="28"/>
          <w:szCs w:val="28"/>
          <w:lang w:eastAsia="es-ES"/>
        </w:rPr>
        <w:t>Segundo</w:t>
      </w:r>
      <w:r>
        <w:rPr>
          <w:rFonts w:ascii="Georgia" w:hAnsi="Georgia" w:cs="Arial"/>
          <w:kern w:val="28"/>
          <w:sz w:val="28"/>
          <w:szCs w:val="28"/>
          <w:lang w:eastAsia="es-ES"/>
        </w:rPr>
        <w:t xml:space="preserve"> Civil del Circuito de Pereira, que declaró la terminación anticipada del proceso de referencia por desistimiento tácito.</w:t>
      </w:r>
    </w:p>
    <w:p w14:paraId="46BB7CEB" w14:textId="21B42AD9" w:rsidR="00BE6DF9" w:rsidRDefault="00BE6DF9"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17DC9AC1" w14:textId="7C5DAF71" w:rsidR="00BE6DF9" w:rsidRDefault="00BE6DF9"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b/>
          <w:bCs/>
          <w:kern w:val="28"/>
          <w:sz w:val="28"/>
          <w:szCs w:val="28"/>
          <w:lang w:eastAsia="es-ES"/>
        </w:rPr>
        <w:t xml:space="preserve">Segundo: </w:t>
      </w:r>
      <w:r>
        <w:rPr>
          <w:rFonts w:ascii="Georgia" w:hAnsi="Georgia" w:cs="Arial"/>
          <w:kern w:val="28"/>
          <w:sz w:val="28"/>
          <w:szCs w:val="28"/>
          <w:lang w:eastAsia="es-ES"/>
        </w:rPr>
        <w:t>Condenar en costas</w:t>
      </w:r>
      <w:r w:rsidR="00AB0EE3">
        <w:rPr>
          <w:rFonts w:ascii="Georgia" w:hAnsi="Georgia" w:cs="Arial"/>
          <w:kern w:val="28"/>
          <w:sz w:val="28"/>
          <w:szCs w:val="28"/>
          <w:lang w:eastAsia="es-ES"/>
        </w:rPr>
        <w:t xml:space="preserve">, </w:t>
      </w:r>
      <w:r>
        <w:rPr>
          <w:rFonts w:ascii="Georgia" w:hAnsi="Georgia" w:cs="Arial"/>
          <w:kern w:val="28"/>
          <w:sz w:val="28"/>
          <w:szCs w:val="28"/>
          <w:lang w:eastAsia="es-ES"/>
        </w:rPr>
        <w:t>en esta instancia</w:t>
      </w:r>
      <w:r w:rsidR="00AB0EE3">
        <w:rPr>
          <w:rFonts w:ascii="Georgia" w:hAnsi="Georgia" w:cs="Arial"/>
          <w:kern w:val="28"/>
          <w:sz w:val="28"/>
          <w:szCs w:val="28"/>
          <w:lang w:eastAsia="es-ES"/>
        </w:rPr>
        <w:t>,</w:t>
      </w:r>
      <w:r>
        <w:rPr>
          <w:rFonts w:ascii="Georgia" w:hAnsi="Georgia" w:cs="Arial"/>
          <w:kern w:val="28"/>
          <w:sz w:val="28"/>
          <w:szCs w:val="28"/>
          <w:lang w:eastAsia="es-ES"/>
        </w:rPr>
        <w:t xml:space="preserve"> a la parte recurrente</w:t>
      </w:r>
      <w:r w:rsidR="00AB0EE3">
        <w:rPr>
          <w:rFonts w:ascii="Georgia" w:hAnsi="Georgia" w:cs="Arial"/>
          <w:kern w:val="28"/>
          <w:sz w:val="28"/>
          <w:szCs w:val="28"/>
          <w:lang w:eastAsia="es-ES"/>
        </w:rPr>
        <w:t xml:space="preserve"> y</w:t>
      </w:r>
      <w:r w:rsidR="00674FE9">
        <w:rPr>
          <w:rFonts w:ascii="Georgia" w:hAnsi="Georgia" w:cs="Arial"/>
          <w:kern w:val="28"/>
          <w:sz w:val="28"/>
          <w:szCs w:val="28"/>
          <w:lang w:eastAsia="es-ES"/>
        </w:rPr>
        <w:t xml:space="preserve"> a favor de</w:t>
      </w:r>
      <w:r w:rsidR="000818A9">
        <w:rPr>
          <w:rFonts w:ascii="Georgia" w:hAnsi="Georgia" w:cs="Arial"/>
          <w:kern w:val="28"/>
          <w:sz w:val="28"/>
          <w:szCs w:val="28"/>
          <w:lang w:eastAsia="es-ES"/>
        </w:rPr>
        <w:t xml:space="preserve"> la parte</w:t>
      </w:r>
      <w:r w:rsidR="00674FE9">
        <w:rPr>
          <w:rFonts w:ascii="Georgia" w:hAnsi="Georgia" w:cs="Arial"/>
          <w:kern w:val="28"/>
          <w:sz w:val="28"/>
          <w:szCs w:val="28"/>
          <w:lang w:eastAsia="es-ES"/>
        </w:rPr>
        <w:t xml:space="preserve"> demandad</w:t>
      </w:r>
      <w:r w:rsidR="000818A9">
        <w:rPr>
          <w:rFonts w:ascii="Georgia" w:hAnsi="Georgia" w:cs="Arial"/>
          <w:kern w:val="28"/>
          <w:sz w:val="28"/>
          <w:szCs w:val="28"/>
          <w:lang w:eastAsia="es-ES"/>
        </w:rPr>
        <w:t>a</w:t>
      </w:r>
      <w:r w:rsidR="00A254A4">
        <w:rPr>
          <w:rFonts w:ascii="Georgia" w:hAnsi="Georgia" w:cs="Arial"/>
          <w:kern w:val="28"/>
          <w:sz w:val="28"/>
          <w:szCs w:val="28"/>
          <w:lang w:eastAsia="es-ES"/>
        </w:rPr>
        <w:t xml:space="preserve">, </w:t>
      </w:r>
      <w:r w:rsidR="00574D95">
        <w:rPr>
          <w:rFonts w:ascii="Georgia" w:hAnsi="Georgia" w:cs="Arial"/>
          <w:kern w:val="28"/>
          <w:sz w:val="28"/>
          <w:szCs w:val="28"/>
          <w:lang w:eastAsia="es-ES"/>
        </w:rPr>
        <w:t>conforme</w:t>
      </w:r>
      <w:r w:rsidR="00E22B87">
        <w:rPr>
          <w:rFonts w:ascii="Georgia" w:hAnsi="Georgia" w:cs="Arial"/>
          <w:kern w:val="28"/>
          <w:sz w:val="28"/>
          <w:szCs w:val="28"/>
          <w:lang w:eastAsia="es-ES"/>
        </w:rPr>
        <w:t xml:space="preserve"> lo</w:t>
      </w:r>
      <w:r w:rsidR="00574D95">
        <w:rPr>
          <w:rFonts w:ascii="Georgia" w:hAnsi="Georgia" w:cs="Arial"/>
          <w:kern w:val="28"/>
          <w:sz w:val="28"/>
          <w:szCs w:val="28"/>
          <w:lang w:eastAsia="es-ES"/>
        </w:rPr>
        <w:t xml:space="preserve"> indica</w:t>
      </w:r>
      <w:r w:rsidR="00E22B87">
        <w:rPr>
          <w:rFonts w:ascii="Georgia" w:hAnsi="Georgia" w:cs="Arial"/>
          <w:kern w:val="28"/>
          <w:sz w:val="28"/>
          <w:szCs w:val="28"/>
          <w:lang w:eastAsia="es-ES"/>
        </w:rPr>
        <w:t xml:space="preserve">do </w:t>
      </w:r>
      <w:r w:rsidR="00574D95">
        <w:rPr>
          <w:rFonts w:ascii="Georgia" w:hAnsi="Georgia" w:cs="Arial"/>
          <w:kern w:val="28"/>
          <w:sz w:val="28"/>
          <w:szCs w:val="28"/>
          <w:lang w:eastAsia="es-ES"/>
        </w:rPr>
        <w:t>e</w:t>
      </w:r>
      <w:r w:rsidR="00E22B87">
        <w:rPr>
          <w:rFonts w:ascii="Georgia" w:hAnsi="Georgia" w:cs="Arial"/>
          <w:kern w:val="28"/>
          <w:sz w:val="28"/>
          <w:szCs w:val="28"/>
          <w:lang w:eastAsia="es-ES"/>
        </w:rPr>
        <w:t>n</w:t>
      </w:r>
      <w:r w:rsidR="00574D95">
        <w:rPr>
          <w:rFonts w:ascii="Georgia" w:hAnsi="Georgia" w:cs="Arial"/>
          <w:kern w:val="28"/>
          <w:sz w:val="28"/>
          <w:szCs w:val="28"/>
          <w:lang w:eastAsia="es-ES"/>
        </w:rPr>
        <w:t xml:space="preserve"> la parte motiva</w:t>
      </w:r>
      <w:r w:rsidR="00A254A4">
        <w:rPr>
          <w:rFonts w:ascii="Georgia" w:hAnsi="Georgia" w:cs="Arial"/>
          <w:kern w:val="28"/>
          <w:sz w:val="28"/>
          <w:szCs w:val="28"/>
          <w:lang w:eastAsia="es-ES"/>
        </w:rPr>
        <w:t xml:space="preserve"> de esta decisión</w:t>
      </w:r>
      <w:r w:rsidR="00674FE9">
        <w:rPr>
          <w:rFonts w:ascii="Georgia" w:hAnsi="Georgia" w:cs="Arial"/>
          <w:kern w:val="28"/>
          <w:sz w:val="28"/>
          <w:szCs w:val="28"/>
          <w:lang w:eastAsia="es-ES"/>
        </w:rPr>
        <w:t>. En providencia aparte se señalarán las agencias en derecho.</w:t>
      </w:r>
    </w:p>
    <w:p w14:paraId="1E8A32C7" w14:textId="36CACC8B" w:rsidR="00D878E1" w:rsidRDefault="00D878E1"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p>
    <w:p w14:paraId="699FC474" w14:textId="3172FA49" w:rsidR="00FC2F80" w:rsidRPr="00FC2F80" w:rsidRDefault="00D878E1" w:rsidP="000818A9">
      <w:pPr>
        <w:pStyle w:val="paragraph"/>
        <w:spacing w:before="0" w:beforeAutospacing="0" w:after="0" w:afterAutospacing="0" w:line="360" w:lineRule="auto"/>
        <w:jc w:val="both"/>
        <w:textAlignment w:val="baseline"/>
        <w:rPr>
          <w:rFonts w:ascii="Georgia" w:hAnsi="Georgia" w:cs="Arial"/>
          <w:kern w:val="28"/>
          <w:sz w:val="28"/>
          <w:szCs w:val="28"/>
          <w:lang w:eastAsia="es-ES"/>
        </w:rPr>
      </w:pPr>
      <w:r>
        <w:rPr>
          <w:rFonts w:ascii="Georgia" w:hAnsi="Georgia" w:cs="Arial"/>
          <w:b/>
          <w:bCs/>
          <w:kern w:val="28"/>
          <w:sz w:val="28"/>
          <w:szCs w:val="28"/>
          <w:lang w:eastAsia="es-ES"/>
        </w:rPr>
        <w:t xml:space="preserve">Tercero: </w:t>
      </w:r>
      <w:r>
        <w:rPr>
          <w:rFonts w:ascii="Georgia" w:hAnsi="Georgia" w:cs="Arial"/>
          <w:kern w:val="28"/>
          <w:sz w:val="28"/>
          <w:szCs w:val="28"/>
          <w:lang w:eastAsia="es-ES"/>
        </w:rPr>
        <w:t>Devolver el expediente al Despacho de origen, por conducto de la Secretaría de la Corporación.</w:t>
      </w:r>
    </w:p>
    <w:p w14:paraId="3DED5F04" w14:textId="70F8D53D" w:rsidR="009F1B26" w:rsidRDefault="009F1B26" w:rsidP="009F1B26">
      <w:pPr>
        <w:spacing w:line="360" w:lineRule="auto"/>
        <w:jc w:val="both"/>
        <w:rPr>
          <w:rFonts w:ascii="Georgia" w:hAnsi="Georgia" w:cs="Arial"/>
          <w:smallCaps/>
          <w:color w:val="0000FF"/>
          <w:sz w:val="28"/>
          <w:szCs w:val="28"/>
          <w:lang w:val="es-CO"/>
        </w:rPr>
      </w:pPr>
    </w:p>
    <w:p w14:paraId="51AE55DC" w14:textId="24401821" w:rsidR="00957367" w:rsidRPr="003C26B0" w:rsidRDefault="005F1C2B" w:rsidP="00BC4ACF">
      <w:pPr>
        <w:spacing w:line="360" w:lineRule="auto"/>
        <w:jc w:val="center"/>
        <w:rPr>
          <w:rFonts w:ascii="Georgia" w:hAnsi="Georgia" w:cs="Century Gothic"/>
          <w:b/>
          <w:bCs/>
          <w:sz w:val="28"/>
          <w:szCs w:val="28"/>
          <w:lang w:eastAsia="es-CO"/>
        </w:rPr>
      </w:pPr>
      <w:r>
        <w:rPr>
          <w:rFonts w:ascii="Georgia" w:hAnsi="Georgia" w:cs="Century Gothic"/>
          <w:b/>
          <w:bCs/>
          <w:sz w:val="28"/>
          <w:szCs w:val="28"/>
          <w:lang w:eastAsia="es-CO"/>
        </w:rPr>
        <w:t xml:space="preserve">Notifíquese y </w:t>
      </w:r>
      <w:r w:rsidR="00957367" w:rsidRPr="003C26B0">
        <w:rPr>
          <w:rFonts w:ascii="Georgia" w:hAnsi="Georgia" w:cs="Century Gothic"/>
          <w:b/>
          <w:bCs/>
          <w:sz w:val="28"/>
          <w:szCs w:val="28"/>
          <w:lang w:eastAsia="es-CO"/>
        </w:rPr>
        <w:t>Cúmplase</w:t>
      </w:r>
    </w:p>
    <w:p w14:paraId="2820BC81" w14:textId="77777777" w:rsidR="00957367" w:rsidRPr="003C26B0" w:rsidRDefault="00957367" w:rsidP="00957367">
      <w:pPr>
        <w:spacing w:line="360" w:lineRule="auto"/>
        <w:rPr>
          <w:rFonts w:ascii="Georgia" w:hAnsi="Georgia" w:cs="Century Gothic"/>
          <w:b/>
          <w:bCs/>
          <w:sz w:val="28"/>
          <w:szCs w:val="28"/>
          <w:lang w:eastAsia="es-CO"/>
        </w:rPr>
      </w:pPr>
    </w:p>
    <w:p w14:paraId="29B9A4C4" w14:textId="77777777" w:rsidR="00957367" w:rsidRPr="003C26B0" w:rsidRDefault="00957367" w:rsidP="00957367">
      <w:pPr>
        <w:spacing w:line="360" w:lineRule="auto"/>
        <w:jc w:val="center"/>
        <w:rPr>
          <w:rFonts w:ascii="Georgia" w:hAnsi="Georgia" w:cs="Century Gothic"/>
          <w:b/>
          <w:bCs/>
          <w:sz w:val="28"/>
          <w:szCs w:val="28"/>
          <w:lang w:eastAsia="es-CO"/>
        </w:rPr>
      </w:pPr>
      <w:r w:rsidRPr="003C26B0">
        <w:rPr>
          <w:rFonts w:ascii="Georgia" w:hAnsi="Georgia" w:cs="Century Gothic"/>
          <w:b/>
          <w:bCs/>
          <w:sz w:val="28"/>
          <w:szCs w:val="28"/>
          <w:lang w:eastAsia="es-CO"/>
        </w:rPr>
        <w:t>CARLOS MAURICIO GARCÍA BARAJAS.</w:t>
      </w:r>
    </w:p>
    <w:p w14:paraId="215930A2" w14:textId="6F406DCE" w:rsidR="005F1C2B" w:rsidRDefault="00957367" w:rsidP="005F1C2B">
      <w:pPr>
        <w:spacing w:line="360" w:lineRule="auto"/>
        <w:jc w:val="center"/>
        <w:rPr>
          <w:rFonts w:ascii="Georgia" w:hAnsi="Georgia" w:cs="Century Gothic"/>
          <w:b/>
          <w:bCs/>
          <w:sz w:val="28"/>
          <w:szCs w:val="28"/>
          <w:lang w:eastAsia="es-CO"/>
        </w:rPr>
      </w:pPr>
      <w:r w:rsidRPr="003C26B0">
        <w:rPr>
          <w:rFonts w:ascii="Georgia" w:hAnsi="Georgia" w:cs="Century Gothic"/>
          <w:b/>
          <w:bCs/>
          <w:sz w:val="28"/>
          <w:szCs w:val="28"/>
          <w:lang w:eastAsia="es-CO"/>
        </w:rPr>
        <w:t>Magistrado</w:t>
      </w:r>
    </w:p>
    <w:p w14:paraId="1FC4A72F" w14:textId="77777777" w:rsidR="005F1C2B" w:rsidRPr="005F1C2B" w:rsidRDefault="005F1C2B" w:rsidP="005F1C2B">
      <w:pPr>
        <w:widowControl/>
        <w:overflowPunct/>
        <w:autoSpaceDE/>
        <w:autoSpaceDN/>
        <w:adjustRightInd/>
        <w:jc w:val="center"/>
        <w:textAlignment w:val="baseline"/>
        <w:rPr>
          <w:rFonts w:ascii="Segoe UI" w:hAnsi="Segoe UI" w:cs="Segoe UI"/>
          <w:kern w:val="0"/>
          <w:sz w:val="18"/>
          <w:szCs w:val="18"/>
          <w:lang w:val="es-CO" w:eastAsia="es-CO"/>
        </w:rPr>
      </w:pPr>
      <w:r w:rsidRPr="005F1C2B">
        <w:rPr>
          <w:rFonts w:ascii="Georgia" w:hAnsi="Georgia" w:cs="Segoe UI"/>
          <w:kern w:val="0"/>
          <w:sz w:val="28"/>
          <w:szCs w:val="28"/>
          <w:lang w:val="es-CO" w:eastAsia="es-CO"/>
        </w:rPr>
        <w:t> </w:t>
      </w:r>
    </w:p>
    <w:p w14:paraId="564E67D3" w14:textId="77777777" w:rsidR="005F1C2B" w:rsidRPr="005F1C2B" w:rsidRDefault="005F1C2B" w:rsidP="005F1C2B">
      <w:pPr>
        <w:widowControl/>
        <w:overflowPunct/>
        <w:autoSpaceDE/>
        <w:autoSpaceDN/>
        <w:adjustRightInd/>
        <w:ind w:left="300" w:right="300"/>
        <w:jc w:val="center"/>
        <w:textAlignment w:val="baseline"/>
        <w:rPr>
          <w:rFonts w:ascii="Segoe UI" w:hAnsi="Segoe UI" w:cs="Segoe UI"/>
          <w:kern w:val="0"/>
          <w:sz w:val="18"/>
          <w:szCs w:val="18"/>
          <w:lang w:val="es-CO" w:eastAsia="es-CO"/>
        </w:rPr>
      </w:pPr>
      <w:r w:rsidRPr="005F1C2B">
        <w:rPr>
          <w:rFonts w:ascii="Segoe UI" w:hAnsi="Segoe UI" w:cs="Segoe UI"/>
          <w:kern w:val="0"/>
          <w:sz w:val="18"/>
          <w:szCs w:val="18"/>
          <w:lang w:val="es-CO" w:eastAsia="es-CO"/>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tblGrid>
      <w:tr w:rsidR="005F1C2B" w:rsidRPr="005F1C2B" w14:paraId="16320219" w14:textId="77777777" w:rsidTr="0005797A">
        <w:trPr>
          <w:trHeight w:val="270"/>
          <w:jc w:val="center"/>
        </w:trPr>
        <w:tc>
          <w:tcPr>
            <w:tcW w:w="4815" w:type="dxa"/>
            <w:tcBorders>
              <w:top w:val="single" w:sz="6" w:space="0" w:color="000000"/>
              <w:left w:val="single" w:sz="6" w:space="0" w:color="000000"/>
              <w:bottom w:val="nil"/>
              <w:right w:val="single" w:sz="6" w:space="0" w:color="000000"/>
            </w:tcBorders>
            <w:shd w:val="clear" w:color="auto" w:fill="auto"/>
            <w:hideMark/>
          </w:tcPr>
          <w:p w14:paraId="18F1FADF" w14:textId="77777777" w:rsidR="005F1C2B" w:rsidRPr="005F1C2B" w:rsidRDefault="005F1C2B" w:rsidP="005F1C2B">
            <w:pPr>
              <w:widowControl/>
              <w:overflowPunct/>
              <w:autoSpaceDE/>
              <w:autoSpaceDN/>
              <w:adjustRightInd/>
              <w:ind w:left="45" w:right="45"/>
              <w:jc w:val="center"/>
              <w:textAlignment w:val="baseline"/>
              <w:divId w:val="165169810"/>
              <w:rPr>
                <w:kern w:val="0"/>
                <w:sz w:val="24"/>
                <w:szCs w:val="24"/>
                <w:lang w:val="es-CO" w:eastAsia="es-CO"/>
              </w:rPr>
            </w:pPr>
            <w:r w:rsidRPr="005F1C2B">
              <w:rPr>
                <w:rFonts w:ascii="Georgia" w:hAnsi="Georgia"/>
                <w:kern w:val="0"/>
                <w:sz w:val="22"/>
                <w:szCs w:val="22"/>
                <w:lang w:eastAsia="es-CO"/>
              </w:rPr>
              <w:t>LA PROVIDENCIA ANTERIOR</w:t>
            </w:r>
            <w:r w:rsidRPr="005F1C2B">
              <w:rPr>
                <w:kern w:val="0"/>
                <w:sz w:val="22"/>
                <w:szCs w:val="22"/>
                <w:lang w:val="es-CO" w:eastAsia="es-CO"/>
              </w:rPr>
              <w:t> </w:t>
            </w:r>
            <w:r w:rsidRPr="005F1C2B">
              <w:rPr>
                <w:rFonts w:ascii="Georgia" w:hAnsi="Georgia"/>
                <w:kern w:val="0"/>
                <w:sz w:val="22"/>
                <w:szCs w:val="22"/>
                <w:lang w:val="es-CO" w:eastAsia="es-CO"/>
              </w:rPr>
              <w:t> </w:t>
            </w:r>
          </w:p>
        </w:tc>
      </w:tr>
      <w:tr w:rsidR="005F1C2B" w:rsidRPr="005F1C2B" w14:paraId="3A7CDC53" w14:textId="77777777" w:rsidTr="0005797A">
        <w:trPr>
          <w:trHeight w:val="315"/>
          <w:jc w:val="center"/>
        </w:trPr>
        <w:tc>
          <w:tcPr>
            <w:tcW w:w="4815" w:type="dxa"/>
            <w:tcBorders>
              <w:top w:val="nil"/>
              <w:left w:val="single" w:sz="6" w:space="0" w:color="000000"/>
              <w:bottom w:val="nil"/>
              <w:right w:val="single" w:sz="6" w:space="0" w:color="000000"/>
            </w:tcBorders>
            <w:shd w:val="clear" w:color="auto" w:fill="auto"/>
            <w:hideMark/>
          </w:tcPr>
          <w:p w14:paraId="17873EB1" w14:textId="77777777" w:rsidR="005F1C2B" w:rsidRPr="005F1C2B" w:rsidRDefault="005F1C2B" w:rsidP="005F1C2B">
            <w:pPr>
              <w:widowControl/>
              <w:overflowPunct/>
              <w:autoSpaceDE/>
              <w:autoSpaceDN/>
              <w:adjustRightInd/>
              <w:ind w:left="45" w:right="45"/>
              <w:jc w:val="center"/>
              <w:textAlignment w:val="baseline"/>
              <w:rPr>
                <w:kern w:val="0"/>
                <w:sz w:val="24"/>
                <w:szCs w:val="24"/>
                <w:lang w:val="es-CO" w:eastAsia="es-CO"/>
              </w:rPr>
            </w:pPr>
            <w:r w:rsidRPr="005F1C2B">
              <w:rPr>
                <w:rFonts w:ascii="Georgia" w:hAnsi="Georgia"/>
                <w:kern w:val="0"/>
                <w:sz w:val="22"/>
                <w:szCs w:val="22"/>
                <w:lang w:eastAsia="es-CO"/>
              </w:rPr>
              <w:t>SE NOTIFICÓ POR ESTADO DEL DÍA</w:t>
            </w:r>
            <w:r w:rsidRPr="005F1C2B">
              <w:rPr>
                <w:kern w:val="0"/>
                <w:sz w:val="22"/>
                <w:szCs w:val="22"/>
                <w:lang w:val="es-CO" w:eastAsia="es-CO"/>
              </w:rPr>
              <w:t> </w:t>
            </w:r>
            <w:r w:rsidRPr="005F1C2B">
              <w:rPr>
                <w:rFonts w:ascii="Georgia" w:hAnsi="Georgia"/>
                <w:kern w:val="0"/>
                <w:sz w:val="22"/>
                <w:szCs w:val="22"/>
                <w:lang w:val="es-CO" w:eastAsia="es-CO"/>
              </w:rPr>
              <w:t> </w:t>
            </w:r>
          </w:p>
        </w:tc>
      </w:tr>
      <w:tr w:rsidR="005F1C2B" w:rsidRPr="005F1C2B" w14:paraId="3E08CFBE" w14:textId="77777777" w:rsidTr="0005797A">
        <w:trPr>
          <w:trHeight w:val="315"/>
          <w:jc w:val="center"/>
        </w:trPr>
        <w:tc>
          <w:tcPr>
            <w:tcW w:w="4815" w:type="dxa"/>
            <w:tcBorders>
              <w:top w:val="nil"/>
              <w:left w:val="single" w:sz="6" w:space="0" w:color="000000"/>
              <w:bottom w:val="nil"/>
              <w:right w:val="single" w:sz="6" w:space="0" w:color="000000"/>
            </w:tcBorders>
            <w:shd w:val="clear" w:color="auto" w:fill="auto"/>
            <w:hideMark/>
          </w:tcPr>
          <w:p w14:paraId="631D35B1" w14:textId="3D8172C4" w:rsidR="005F1C2B" w:rsidRPr="005F1C2B" w:rsidRDefault="00574D95" w:rsidP="005F1C2B">
            <w:pPr>
              <w:widowControl/>
              <w:overflowPunct/>
              <w:autoSpaceDE/>
              <w:autoSpaceDN/>
              <w:adjustRightInd/>
              <w:ind w:left="45" w:right="45"/>
              <w:jc w:val="center"/>
              <w:textAlignment w:val="baseline"/>
              <w:rPr>
                <w:kern w:val="0"/>
                <w:sz w:val="24"/>
                <w:szCs w:val="24"/>
                <w:lang w:val="es-CO" w:eastAsia="es-CO"/>
              </w:rPr>
            </w:pPr>
            <w:r w:rsidRPr="00574D95">
              <w:rPr>
                <w:rFonts w:ascii="Georgia" w:hAnsi="Georgia"/>
                <w:kern w:val="0"/>
                <w:sz w:val="22"/>
                <w:szCs w:val="22"/>
                <w:lang w:eastAsia="es-CO"/>
              </w:rPr>
              <w:t>28-11</w:t>
            </w:r>
            <w:r w:rsidR="005F1C2B" w:rsidRPr="005F1C2B">
              <w:rPr>
                <w:rFonts w:ascii="Georgia" w:hAnsi="Georgia"/>
                <w:i/>
                <w:iCs/>
                <w:kern w:val="0"/>
                <w:sz w:val="22"/>
                <w:szCs w:val="22"/>
                <w:lang w:eastAsia="es-CO"/>
              </w:rPr>
              <w:t>-2024</w:t>
            </w:r>
            <w:r w:rsidR="005F1C2B" w:rsidRPr="005F1C2B">
              <w:rPr>
                <w:kern w:val="0"/>
                <w:sz w:val="22"/>
                <w:szCs w:val="22"/>
                <w:lang w:val="es-CO" w:eastAsia="es-CO"/>
              </w:rPr>
              <w:t> </w:t>
            </w:r>
            <w:r w:rsidR="005F1C2B" w:rsidRPr="005F1C2B">
              <w:rPr>
                <w:rFonts w:ascii="Georgia" w:hAnsi="Georgia"/>
                <w:kern w:val="0"/>
                <w:sz w:val="22"/>
                <w:szCs w:val="22"/>
                <w:lang w:val="es-CO" w:eastAsia="es-CO"/>
              </w:rPr>
              <w:t> </w:t>
            </w:r>
          </w:p>
          <w:p w14:paraId="72A1A376" w14:textId="77777777" w:rsidR="005F1C2B" w:rsidRPr="005F1C2B" w:rsidRDefault="005F1C2B" w:rsidP="005F1C2B">
            <w:pPr>
              <w:widowControl/>
              <w:overflowPunct/>
              <w:autoSpaceDE/>
              <w:autoSpaceDN/>
              <w:adjustRightInd/>
              <w:ind w:left="45" w:right="45"/>
              <w:jc w:val="center"/>
              <w:textAlignment w:val="baseline"/>
              <w:rPr>
                <w:kern w:val="0"/>
                <w:sz w:val="24"/>
                <w:szCs w:val="24"/>
                <w:lang w:val="es-CO" w:eastAsia="es-CO"/>
              </w:rPr>
            </w:pPr>
            <w:r w:rsidRPr="005F1C2B">
              <w:rPr>
                <w:kern w:val="0"/>
                <w:sz w:val="22"/>
                <w:szCs w:val="22"/>
                <w:lang w:val="es-CO" w:eastAsia="es-CO"/>
              </w:rPr>
              <w:t> </w:t>
            </w:r>
            <w:r w:rsidRPr="005F1C2B">
              <w:rPr>
                <w:rFonts w:ascii="Georgia" w:hAnsi="Georgia"/>
                <w:kern w:val="0"/>
                <w:sz w:val="22"/>
                <w:szCs w:val="22"/>
                <w:lang w:val="es-CO" w:eastAsia="es-CO"/>
              </w:rPr>
              <w:t> </w:t>
            </w:r>
          </w:p>
        </w:tc>
      </w:tr>
      <w:tr w:rsidR="005F1C2B" w:rsidRPr="005F1C2B" w14:paraId="40261776" w14:textId="77777777" w:rsidTr="0005797A">
        <w:trPr>
          <w:trHeight w:val="315"/>
          <w:jc w:val="center"/>
        </w:trPr>
        <w:tc>
          <w:tcPr>
            <w:tcW w:w="4815" w:type="dxa"/>
            <w:tcBorders>
              <w:top w:val="nil"/>
              <w:left w:val="single" w:sz="6" w:space="0" w:color="000000"/>
              <w:bottom w:val="nil"/>
              <w:right w:val="single" w:sz="6" w:space="0" w:color="000000"/>
            </w:tcBorders>
            <w:shd w:val="clear" w:color="auto" w:fill="auto"/>
            <w:hideMark/>
          </w:tcPr>
          <w:p w14:paraId="731678D2" w14:textId="77777777" w:rsidR="005F1C2B" w:rsidRPr="005F1C2B" w:rsidRDefault="005F1C2B" w:rsidP="005F1C2B">
            <w:pPr>
              <w:widowControl/>
              <w:overflowPunct/>
              <w:autoSpaceDE/>
              <w:autoSpaceDN/>
              <w:adjustRightInd/>
              <w:ind w:left="45" w:right="45"/>
              <w:jc w:val="center"/>
              <w:textAlignment w:val="baseline"/>
              <w:rPr>
                <w:kern w:val="0"/>
                <w:sz w:val="24"/>
                <w:szCs w:val="24"/>
                <w:lang w:val="es-CO" w:eastAsia="es-CO"/>
              </w:rPr>
            </w:pPr>
            <w:r w:rsidRPr="005F1C2B">
              <w:rPr>
                <w:rFonts w:ascii="Georgia" w:hAnsi="Georgia"/>
                <w:kern w:val="0"/>
                <w:sz w:val="22"/>
                <w:szCs w:val="22"/>
                <w:lang w:eastAsia="es-CO"/>
              </w:rPr>
              <w:t>CÉSAR AUGUSTO GRACIA LONDOÑO</w:t>
            </w:r>
            <w:r w:rsidRPr="005F1C2B">
              <w:rPr>
                <w:kern w:val="0"/>
                <w:sz w:val="22"/>
                <w:szCs w:val="22"/>
                <w:lang w:val="es-CO" w:eastAsia="es-CO"/>
              </w:rPr>
              <w:t> </w:t>
            </w:r>
            <w:r w:rsidRPr="005F1C2B">
              <w:rPr>
                <w:rFonts w:ascii="Georgia" w:hAnsi="Georgia"/>
                <w:kern w:val="0"/>
                <w:sz w:val="22"/>
                <w:szCs w:val="22"/>
                <w:lang w:val="es-CO" w:eastAsia="es-CO"/>
              </w:rPr>
              <w:t> </w:t>
            </w:r>
          </w:p>
        </w:tc>
      </w:tr>
      <w:tr w:rsidR="005F1C2B" w:rsidRPr="00AA46AF" w14:paraId="217AFDA3" w14:textId="77777777" w:rsidTr="0005797A">
        <w:trPr>
          <w:trHeight w:val="405"/>
          <w:jc w:val="center"/>
        </w:trPr>
        <w:tc>
          <w:tcPr>
            <w:tcW w:w="4815" w:type="dxa"/>
            <w:tcBorders>
              <w:top w:val="nil"/>
              <w:left w:val="single" w:sz="6" w:space="0" w:color="000000"/>
              <w:bottom w:val="single" w:sz="6" w:space="0" w:color="000000"/>
              <w:right w:val="single" w:sz="6" w:space="0" w:color="000000"/>
            </w:tcBorders>
            <w:shd w:val="clear" w:color="auto" w:fill="auto"/>
            <w:hideMark/>
          </w:tcPr>
          <w:p w14:paraId="105ED76C" w14:textId="77777777" w:rsidR="005F1C2B" w:rsidRPr="006D7202" w:rsidRDefault="005F1C2B" w:rsidP="005F1C2B">
            <w:pPr>
              <w:widowControl/>
              <w:overflowPunct/>
              <w:autoSpaceDE/>
              <w:autoSpaceDN/>
              <w:adjustRightInd/>
              <w:ind w:left="45" w:right="45"/>
              <w:jc w:val="center"/>
              <w:textAlignment w:val="baseline"/>
              <w:rPr>
                <w:kern w:val="0"/>
                <w:sz w:val="24"/>
                <w:szCs w:val="24"/>
                <w:lang w:val="pt-BR" w:eastAsia="es-CO"/>
              </w:rPr>
            </w:pPr>
            <w:r w:rsidRPr="005F1C2B">
              <w:rPr>
                <w:rFonts w:ascii="Georgia" w:hAnsi="Georgia"/>
                <w:kern w:val="0"/>
                <w:sz w:val="22"/>
                <w:szCs w:val="22"/>
                <w:lang w:val="pt-BR" w:eastAsia="es-CO"/>
              </w:rPr>
              <w:t>S E C R E T A R I O</w:t>
            </w:r>
            <w:r w:rsidRPr="006D7202">
              <w:rPr>
                <w:kern w:val="0"/>
                <w:sz w:val="22"/>
                <w:szCs w:val="22"/>
                <w:lang w:val="pt-BR" w:eastAsia="es-CO"/>
              </w:rPr>
              <w:t> </w:t>
            </w:r>
            <w:r w:rsidRPr="006D7202">
              <w:rPr>
                <w:rFonts w:ascii="Georgia" w:hAnsi="Georgia"/>
                <w:kern w:val="0"/>
                <w:sz w:val="22"/>
                <w:szCs w:val="22"/>
                <w:lang w:val="pt-BR" w:eastAsia="es-CO"/>
              </w:rPr>
              <w:t> </w:t>
            </w:r>
          </w:p>
        </w:tc>
      </w:tr>
    </w:tbl>
    <w:p w14:paraId="610D4437" w14:textId="2429C4C5" w:rsidR="007B0674" w:rsidRPr="00574D95" w:rsidRDefault="005F1C2B" w:rsidP="00185CEF">
      <w:pPr>
        <w:widowControl/>
        <w:overflowPunct/>
        <w:autoSpaceDE/>
        <w:autoSpaceDN/>
        <w:adjustRightInd/>
        <w:jc w:val="both"/>
        <w:textAlignment w:val="baseline"/>
        <w:rPr>
          <w:rFonts w:ascii="Segoe UI" w:hAnsi="Segoe UI" w:cs="Segoe UI"/>
          <w:kern w:val="0"/>
          <w:sz w:val="18"/>
          <w:szCs w:val="18"/>
          <w:lang w:val="es-CO" w:eastAsia="es-CO"/>
        </w:rPr>
      </w:pPr>
      <w:r w:rsidRPr="005F1C2B">
        <w:rPr>
          <w:kern w:val="0"/>
          <w:sz w:val="28"/>
          <w:szCs w:val="28"/>
          <w:lang w:val="es-CO" w:eastAsia="es-CO"/>
        </w:rPr>
        <w:t> </w:t>
      </w:r>
      <w:r w:rsidRPr="005F1C2B">
        <w:rPr>
          <w:rFonts w:ascii="Georgia" w:hAnsi="Georgia" w:cs="Segoe UI"/>
          <w:kern w:val="0"/>
          <w:sz w:val="28"/>
          <w:szCs w:val="28"/>
          <w:lang w:val="es-CO" w:eastAsia="es-CO"/>
        </w:rPr>
        <w:t> </w:t>
      </w:r>
    </w:p>
    <w:sectPr w:rsidR="007B0674" w:rsidRPr="00574D95" w:rsidSect="00313E37">
      <w:headerReference w:type="even" r:id="rId14"/>
      <w:headerReference w:type="default" r:id="rId15"/>
      <w:footerReference w:type="default" r:id="rId16"/>
      <w:headerReference w:type="first" r:id="rId17"/>
      <w:footerReference w:type="first" r:id="rId18"/>
      <w:pgSz w:w="12242" w:h="18722" w:code="14"/>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8AF6F" w14:textId="77777777" w:rsidR="004078AE" w:rsidRDefault="004078AE">
      <w:r>
        <w:separator/>
      </w:r>
    </w:p>
  </w:endnote>
  <w:endnote w:type="continuationSeparator" w:id="0">
    <w:p w14:paraId="2C35CBFF" w14:textId="77777777" w:rsidR="004078AE" w:rsidRDefault="004078AE">
      <w:r>
        <w:continuationSeparator/>
      </w:r>
    </w:p>
  </w:endnote>
  <w:endnote w:type="continuationNotice" w:id="1">
    <w:p w14:paraId="6F1F5B6B" w14:textId="77777777" w:rsidR="004078AE" w:rsidRDefault="00407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D1E7" w14:textId="77777777" w:rsidR="00F07A1E" w:rsidRDefault="00F07A1E" w:rsidP="007A7A7F">
    <w:pPr>
      <w:pStyle w:val="Piedepgina"/>
      <w:pBdr>
        <w:bottom w:val="double" w:sz="6" w:space="1" w:color="auto"/>
      </w:pBdr>
      <w:spacing w:line="360" w:lineRule="auto"/>
      <w:jc w:val="right"/>
      <w:rPr>
        <w:rFonts w:ascii="Arial" w:hAnsi="Arial" w:cs="Arial"/>
        <w:spacing w:val="20"/>
        <w:w w:val="200"/>
        <w:sz w:val="14"/>
        <w:szCs w:val="10"/>
      </w:rPr>
    </w:pPr>
  </w:p>
  <w:p w14:paraId="74BA6C9F" w14:textId="77777777" w:rsidR="00F07A1E" w:rsidRDefault="00F07A1E" w:rsidP="007A7A7F">
    <w:pPr>
      <w:pStyle w:val="Piedepgina"/>
      <w:spacing w:line="360" w:lineRule="auto"/>
      <w:jc w:val="right"/>
      <w:rPr>
        <w:rFonts w:ascii="Arial" w:hAnsi="Arial" w:cs="Arial"/>
        <w:spacing w:val="20"/>
        <w:w w:val="200"/>
        <w:sz w:val="14"/>
        <w:szCs w:val="10"/>
      </w:rPr>
    </w:pPr>
  </w:p>
  <w:p w14:paraId="4A3051CA" w14:textId="30D229F9" w:rsidR="00F07A1E" w:rsidRPr="00894CDC" w:rsidRDefault="00F07A1E" w:rsidP="007A7A7F">
    <w:pPr>
      <w:pStyle w:val="Piedepgina"/>
      <w:jc w:val="right"/>
      <w:rPr>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6C6" w14:textId="77777777" w:rsidR="00F07A1E" w:rsidRDefault="00F07A1E" w:rsidP="00B91083">
    <w:pPr>
      <w:pStyle w:val="Piedepgina"/>
      <w:pBdr>
        <w:bottom w:val="double" w:sz="6" w:space="1" w:color="auto"/>
      </w:pBdr>
      <w:spacing w:line="360" w:lineRule="auto"/>
      <w:jc w:val="right"/>
      <w:rPr>
        <w:rFonts w:ascii="Arial" w:hAnsi="Arial" w:cs="Arial"/>
        <w:spacing w:val="20"/>
        <w:w w:val="200"/>
        <w:sz w:val="14"/>
        <w:szCs w:val="10"/>
      </w:rPr>
    </w:pPr>
  </w:p>
  <w:p w14:paraId="77267F26" w14:textId="77777777" w:rsidR="00F07A1E" w:rsidRPr="00EA32D2" w:rsidRDefault="00F07A1E" w:rsidP="00B91083">
    <w:pPr>
      <w:pStyle w:val="Piedepgina"/>
      <w:spacing w:line="360" w:lineRule="auto"/>
      <w:jc w:val="right"/>
      <w:rPr>
        <w:rFonts w:ascii="Franklin Gothic Book" w:hAnsi="Franklin Gothic Book" w:cs="Arial"/>
        <w:color w:val="FF0000"/>
        <w:spacing w:val="20"/>
        <w:w w:val="200"/>
        <w:sz w:val="16"/>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39D7" w14:textId="77777777" w:rsidR="004078AE" w:rsidRDefault="004078AE">
      <w:r>
        <w:separator/>
      </w:r>
    </w:p>
  </w:footnote>
  <w:footnote w:type="continuationSeparator" w:id="0">
    <w:p w14:paraId="790BD9F9" w14:textId="77777777" w:rsidR="004078AE" w:rsidRDefault="004078AE">
      <w:r>
        <w:continuationSeparator/>
      </w:r>
    </w:p>
  </w:footnote>
  <w:footnote w:type="continuationNotice" w:id="1">
    <w:p w14:paraId="2359E6F5" w14:textId="77777777" w:rsidR="004078AE" w:rsidRDefault="004078AE"/>
  </w:footnote>
  <w:footnote w:id="2">
    <w:p w14:paraId="15160E0D" w14:textId="4E1AC160" w:rsidR="00FC2F80" w:rsidRPr="00C81A2A" w:rsidRDefault="00FC2F80"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Archivo </w:t>
      </w:r>
      <w:r w:rsidR="009446F8" w:rsidRPr="00C81A2A">
        <w:rPr>
          <w:rFonts w:ascii="Georgia" w:hAnsi="Georgia"/>
          <w:sz w:val="16"/>
          <w:szCs w:val="16"/>
        </w:rPr>
        <w:t>55</w:t>
      </w:r>
      <w:r w:rsidRPr="00C81A2A">
        <w:rPr>
          <w:rFonts w:ascii="Georgia" w:hAnsi="Georgia"/>
          <w:sz w:val="16"/>
          <w:szCs w:val="16"/>
        </w:rPr>
        <w:t xml:space="preserve"> del cuaderno principal</w:t>
      </w:r>
      <w:r w:rsidR="00783178" w:rsidRPr="00C81A2A">
        <w:rPr>
          <w:rFonts w:ascii="Georgia" w:hAnsi="Georgia"/>
          <w:sz w:val="16"/>
          <w:szCs w:val="16"/>
        </w:rPr>
        <w:t xml:space="preserve"> de primera instancia</w:t>
      </w:r>
      <w:r w:rsidRPr="00C81A2A">
        <w:rPr>
          <w:rFonts w:ascii="Georgia" w:hAnsi="Georgia"/>
          <w:sz w:val="16"/>
          <w:szCs w:val="16"/>
        </w:rPr>
        <w:t>.</w:t>
      </w:r>
    </w:p>
  </w:footnote>
  <w:footnote w:id="3">
    <w:p w14:paraId="5C2B281F" w14:textId="3F908944" w:rsidR="00695ECC" w:rsidRPr="00C81A2A" w:rsidRDefault="00695ECC"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Archivo 01</w:t>
      </w:r>
      <w:r w:rsidR="0081453A" w:rsidRPr="00C81A2A">
        <w:rPr>
          <w:rFonts w:ascii="Georgia" w:hAnsi="Georgia"/>
          <w:sz w:val="16"/>
          <w:szCs w:val="16"/>
        </w:rPr>
        <w:t xml:space="preserve"> ib.</w:t>
      </w:r>
      <w:r w:rsidR="00D35E10" w:rsidRPr="00C81A2A">
        <w:rPr>
          <w:rFonts w:ascii="Georgia" w:hAnsi="Georgia"/>
          <w:sz w:val="16"/>
          <w:szCs w:val="16"/>
        </w:rPr>
        <w:t>, p</w:t>
      </w:r>
      <w:r w:rsidRPr="00C81A2A">
        <w:rPr>
          <w:rFonts w:ascii="Georgia" w:hAnsi="Georgia"/>
          <w:sz w:val="16"/>
          <w:szCs w:val="16"/>
        </w:rPr>
        <w:t>ágina 73.</w:t>
      </w:r>
    </w:p>
  </w:footnote>
  <w:footnote w:id="4">
    <w:p w14:paraId="25E9A6A7" w14:textId="4529E85E" w:rsidR="0081453A" w:rsidRPr="00C81A2A" w:rsidRDefault="0081453A"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Archivo 01 </w:t>
      </w:r>
      <w:r w:rsidR="0098613A" w:rsidRPr="00C81A2A">
        <w:rPr>
          <w:rFonts w:ascii="Georgia" w:hAnsi="Georgia"/>
          <w:sz w:val="16"/>
          <w:szCs w:val="16"/>
        </w:rPr>
        <w:t>del cuaderno principal de primera instancia</w:t>
      </w:r>
      <w:r w:rsidRPr="00C81A2A">
        <w:rPr>
          <w:rFonts w:ascii="Georgia" w:hAnsi="Georgia"/>
          <w:sz w:val="16"/>
          <w:szCs w:val="16"/>
        </w:rPr>
        <w:t>, página 258.</w:t>
      </w:r>
    </w:p>
  </w:footnote>
  <w:footnote w:id="5">
    <w:p w14:paraId="1FE609A8" w14:textId="6C7ECD33" w:rsidR="00DD16F1" w:rsidRPr="00C81A2A" w:rsidRDefault="00DD16F1" w:rsidP="00C81A2A">
      <w:pPr>
        <w:pStyle w:val="Textonotapie"/>
        <w:jc w:val="both"/>
        <w:rPr>
          <w:rFonts w:ascii="Georgia" w:hAnsi="Georgia"/>
          <w:sz w:val="16"/>
          <w:szCs w:val="16"/>
        </w:rPr>
      </w:pPr>
      <w:r w:rsidRPr="00C81A2A">
        <w:rPr>
          <w:rStyle w:val="Refdenotaalpie"/>
          <w:rFonts w:ascii="Georgia" w:hAnsi="Georgia"/>
          <w:sz w:val="16"/>
          <w:szCs w:val="16"/>
        </w:rPr>
        <w:footnoteRef/>
      </w:r>
      <w:r w:rsidR="006852BF" w:rsidRPr="00C81A2A">
        <w:rPr>
          <w:rFonts w:ascii="Georgia" w:hAnsi="Georgia"/>
          <w:sz w:val="16"/>
          <w:szCs w:val="16"/>
        </w:rPr>
        <w:t xml:space="preserve"> </w:t>
      </w:r>
      <w:r w:rsidR="004539B9" w:rsidRPr="00C81A2A">
        <w:rPr>
          <w:rFonts w:ascii="Georgia" w:hAnsi="Georgia"/>
          <w:sz w:val="16"/>
          <w:szCs w:val="16"/>
        </w:rPr>
        <w:t>Entre ellos, pero sin limitarse a: Acuerdo</w:t>
      </w:r>
      <w:r w:rsidRPr="00C81A2A">
        <w:rPr>
          <w:rFonts w:ascii="Georgia" w:hAnsi="Georgia"/>
          <w:sz w:val="16"/>
          <w:szCs w:val="16"/>
        </w:rPr>
        <w:t xml:space="preserve"> PCSJ</w:t>
      </w:r>
      <w:r w:rsidR="00C37279" w:rsidRPr="00C81A2A">
        <w:rPr>
          <w:rFonts w:ascii="Georgia" w:hAnsi="Georgia"/>
          <w:sz w:val="16"/>
          <w:szCs w:val="16"/>
        </w:rPr>
        <w:t>A20-11517, PCSJA20-11518, PCSJA20-11519, PCSJA20-11521, PCSJA20-</w:t>
      </w:r>
      <w:r w:rsidR="004539B9" w:rsidRPr="00C81A2A">
        <w:rPr>
          <w:rFonts w:ascii="Georgia" w:hAnsi="Georgia"/>
          <w:sz w:val="16"/>
          <w:szCs w:val="16"/>
        </w:rPr>
        <w:t>11532 y PCSJA20-11556 del Consejo Superior de la Judicatura.</w:t>
      </w:r>
    </w:p>
  </w:footnote>
  <w:footnote w:id="6">
    <w:p w14:paraId="098FED30" w14:textId="57E94711" w:rsidR="007026CF" w:rsidRPr="00C81A2A" w:rsidRDefault="007026CF"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Archivo 09</w:t>
      </w:r>
      <w:r w:rsidR="00E02A92" w:rsidRPr="00C81A2A">
        <w:rPr>
          <w:rFonts w:ascii="Georgia" w:hAnsi="Georgia"/>
          <w:sz w:val="16"/>
          <w:szCs w:val="16"/>
        </w:rPr>
        <w:t xml:space="preserve"> del cuaderno principal de primera instancia</w:t>
      </w:r>
      <w:r w:rsidRPr="00C81A2A">
        <w:rPr>
          <w:rFonts w:ascii="Georgia" w:hAnsi="Georgia"/>
          <w:sz w:val="16"/>
          <w:szCs w:val="16"/>
        </w:rPr>
        <w:t xml:space="preserve">, minuto </w:t>
      </w:r>
      <w:r w:rsidR="0017177C" w:rsidRPr="00C81A2A">
        <w:rPr>
          <w:rFonts w:ascii="Georgia" w:hAnsi="Georgia"/>
          <w:sz w:val="16"/>
          <w:szCs w:val="16"/>
        </w:rPr>
        <w:t>4</w:t>
      </w:r>
      <w:r w:rsidRPr="00C81A2A">
        <w:rPr>
          <w:rFonts w:ascii="Georgia" w:hAnsi="Georgia"/>
          <w:sz w:val="16"/>
          <w:szCs w:val="16"/>
        </w:rPr>
        <w:t>:38</w:t>
      </w:r>
      <w:r w:rsidR="00E02A92" w:rsidRPr="00C81A2A">
        <w:rPr>
          <w:rFonts w:ascii="Georgia" w:hAnsi="Georgia"/>
          <w:sz w:val="16"/>
          <w:szCs w:val="16"/>
        </w:rPr>
        <w:t>.</w:t>
      </w:r>
      <w:r w:rsidRPr="00C81A2A">
        <w:rPr>
          <w:rFonts w:ascii="Georgia" w:hAnsi="Georgia"/>
          <w:sz w:val="16"/>
          <w:szCs w:val="16"/>
        </w:rPr>
        <w:t xml:space="preserve"> </w:t>
      </w:r>
    </w:p>
  </w:footnote>
  <w:footnote w:id="7">
    <w:p w14:paraId="0EBB5BB2" w14:textId="711B1B19" w:rsidR="00E02A92" w:rsidRPr="00C81A2A" w:rsidRDefault="00E02A92"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Archivo 30 ib.</w:t>
      </w:r>
    </w:p>
  </w:footnote>
  <w:footnote w:id="8">
    <w:p w14:paraId="2B5C8A74" w14:textId="1497D234" w:rsidR="00576FF9" w:rsidRPr="00C81A2A" w:rsidRDefault="00576FF9"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Archivo 36 </w:t>
      </w:r>
      <w:r w:rsidR="004F1965" w:rsidRPr="00C81A2A">
        <w:rPr>
          <w:rFonts w:ascii="Georgia" w:hAnsi="Georgia"/>
          <w:sz w:val="16"/>
          <w:szCs w:val="16"/>
        </w:rPr>
        <w:t>del cuaderno principal de primera instancia</w:t>
      </w:r>
      <w:r w:rsidRPr="00C81A2A">
        <w:rPr>
          <w:rFonts w:ascii="Georgia" w:hAnsi="Georgia"/>
          <w:sz w:val="16"/>
          <w:szCs w:val="16"/>
        </w:rPr>
        <w:t>.</w:t>
      </w:r>
    </w:p>
  </w:footnote>
  <w:footnote w:id="9">
    <w:p w14:paraId="2B806D81" w14:textId="5FD72DAB" w:rsidR="00E04356" w:rsidRPr="00C81A2A" w:rsidRDefault="00E04356"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Archivo 51 ib.</w:t>
      </w:r>
    </w:p>
  </w:footnote>
  <w:footnote w:id="10">
    <w:p w14:paraId="1C8EBBA1" w14:textId="053717BF" w:rsidR="00C92CE7" w:rsidRPr="00C81A2A" w:rsidRDefault="00C92CE7"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Archivo 53 ib.</w:t>
      </w:r>
    </w:p>
  </w:footnote>
  <w:footnote w:id="11">
    <w:p w14:paraId="4459931C" w14:textId="77777777" w:rsidR="00FF6A0D" w:rsidRPr="00C81A2A" w:rsidRDefault="00FF6A0D" w:rsidP="00C81A2A">
      <w:pPr>
        <w:pStyle w:val="Textonotapie"/>
        <w:jc w:val="both"/>
        <w:rPr>
          <w:rFonts w:ascii="Georgia" w:hAnsi="Georgia"/>
          <w:sz w:val="16"/>
          <w:szCs w:val="16"/>
          <w:lang w:val="es-CO"/>
        </w:rPr>
      </w:pPr>
      <w:r w:rsidRPr="00C81A2A">
        <w:rPr>
          <w:rStyle w:val="Refdenotaalpie"/>
          <w:rFonts w:ascii="Georgia" w:hAnsi="Georgia"/>
          <w:sz w:val="16"/>
          <w:szCs w:val="16"/>
        </w:rPr>
        <w:footnoteRef/>
      </w:r>
      <w:r w:rsidRPr="00C81A2A">
        <w:rPr>
          <w:rFonts w:ascii="Georgia" w:hAnsi="Georgia"/>
          <w:sz w:val="16"/>
          <w:szCs w:val="16"/>
          <w:lang w:val="es-CO"/>
        </w:rPr>
        <w:t xml:space="preserve"> Archivo 59 ib.</w:t>
      </w:r>
    </w:p>
  </w:footnote>
  <w:footnote w:id="12">
    <w:p w14:paraId="096B4BA4" w14:textId="6096EE97" w:rsidR="00A87A71" w:rsidRPr="00C81A2A" w:rsidRDefault="00A87A71" w:rsidP="00C81A2A">
      <w:pPr>
        <w:pStyle w:val="Textonotapie"/>
        <w:jc w:val="both"/>
        <w:rPr>
          <w:rFonts w:ascii="Georgia" w:hAnsi="Georgia"/>
          <w:sz w:val="16"/>
          <w:szCs w:val="16"/>
          <w:lang w:val="pt-BR"/>
        </w:rPr>
      </w:pPr>
      <w:r w:rsidRPr="00C81A2A">
        <w:rPr>
          <w:rStyle w:val="Refdenotaalpie"/>
          <w:rFonts w:ascii="Georgia" w:hAnsi="Georgia"/>
          <w:sz w:val="16"/>
          <w:szCs w:val="16"/>
        </w:rPr>
        <w:footnoteRef/>
      </w:r>
      <w:r w:rsidRPr="00C81A2A">
        <w:rPr>
          <w:rFonts w:ascii="Georgia" w:hAnsi="Georgia"/>
          <w:sz w:val="16"/>
          <w:szCs w:val="16"/>
          <w:lang w:val="pt-BR"/>
        </w:rPr>
        <w:t xml:space="preserve"> Archivo 64 ib.</w:t>
      </w:r>
    </w:p>
  </w:footnote>
  <w:footnote w:id="13">
    <w:p w14:paraId="79F892E3" w14:textId="37446201" w:rsidR="00D041DC" w:rsidRPr="00C81A2A" w:rsidRDefault="00D041DC"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lang w:val="pt-BR"/>
        </w:rPr>
        <w:t xml:space="preserve"> Tribunal Superior de Pereira. </w:t>
      </w:r>
      <w:r w:rsidRPr="00C81A2A">
        <w:rPr>
          <w:rFonts w:ascii="Georgia" w:hAnsi="Georgia"/>
          <w:sz w:val="16"/>
          <w:szCs w:val="16"/>
          <w:lang w:val="es-CO"/>
        </w:rPr>
        <w:t xml:space="preserve">Sala Civil Familia. </w:t>
      </w:r>
      <w:r w:rsidRPr="00C81A2A">
        <w:rPr>
          <w:rFonts w:ascii="Georgia" w:hAnsi="Georgia"/>
          <w:sz w:val="16"/>
          <w:szCs w:val="16"/>
        </w:rPr>
        <w:t>Decisión del 18 de junio de 2021. Rad. 66001310300120130029401. M.P. Carlos Mauricio García Barajas</w:t>
      </w:r>
      <w:r w:rsidR="0014158B" w:rsidRPr="00C81A2A">
        <w:rPr>
          <w:rFonts w:ascii="Georgia" w:hAnsi="Georgia"/>
          <w:sz w:val="16"/>
          <w:szCs w:val="16"/>
        </w:rPr>
        <w:t>.</w:t>
      </w:r>
    </w:p>
  </w:footnote>
  <w:footnote w:id="14">
    <w:p w14:paraId="2BF18F1E" w14:textId="77777777" w:rsidR="008146E4" w:rsidRPr="00C81A2A" w:rsidRDefault="008146E4"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Archivo 50 del cuaderno principal de primera instancia.</w:t>
      </w:r>
    </w:p>
  </w:footnote>
  <w:footnote w:id="15">
    <w:p w14:paraId="67CC17A5" w14:textId="776244B8" w:rsidR="00945FED" w:rsidRPr="00C81A2A" w:rsidRDefault="00945FED"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Archivo 43 del cuaderno principal de primera instancia.</w:t>
      </w:r>
    </w:p>
  </w:footnote>
  <w:footnote w:id="16">
    <w:p w14:paraId="2E3556A0" w14:textId="073BC515" w:rsidR="00BF6FA1" w:rsidRPr="00C81A2A" w:rsidRDefault="00BF6FA1"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Archivo 46 </w:t>
      </w:r>
      <w:r w:rsidR="00945FED" w:rsidRPr="00C81A2A">
        <w:rPr>
          <w:rFonts w:ascii="Georgia" w:hAnsi="Georgia"/>
          <w:sz w:val="16"/>
          <w:szCs w:val="16"/>
        </w:rPr>
        <w:t>ib.</w:t>
      </w:r>
    </w:p>
  </w:footnote>
  <w:footnote w:id="17">
    <w:p w14:paraId="20FB92C3" w14:textId="77777777" w:rsidR="008146E4" w:rsidRPr="00C81A2A" w:rsidRDefault="008146E4"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Corte Constitucional, Sentencia SU – 041 de 2022, </w:t>
      </w:r>
      <w:proofErr w:type="spellStart"/>
      <w:r w:rsidRPr="00C81A2A">
        <w:rPr>
          <w:rFonts w:ascii="Georgia" w:hAnsi="Georgia"/>
          <w:sz w:val="16"/>
          <w:szCs w:val="16"/>
        </w:rPr>
        <w:t>Exp</w:t>
      </w:r>
      <w:proofErr w:type="spellEnd"/>
      <w:r w:rsidRPr="00C81A2A">
        <w:rPr>
          <w:rFonts w:ascii="Georgia" w:hAnsi="Georgia"/>
          <w:sz w:val="16"/>
          <w:szCs w:val="16"/>
        </w:rPr>
        <w:t>. T – 8.307.631. M.P. Alejandro Linares Cantillo.</w:t>
      </w:r>
    </w:p>
  </w:footnote>
  <w:footnote w:id="18">
    <w:p w14:paraId="571B230E" w14:textId="70140CB4" w:rsidR="007D17AC" w:rsidRPr="00C81A2A" w:rsidRDefault="007D17AC"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Archivo 32 del cuaderno principal de primera instancia.</w:t>
      </w:r>
    </w:p>
  </w:footnote>
  <w:footnote w:id="19">
    <w:p w14:paraId="5076762C" w14:textId="77777777" w:rsidR="008146E4" w:rsidRPr="00C81A2A" w:rsidRDefault="008146E4"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Corte Suprema de Justicia, Sala de Casación Civil, Sentencia STC7684 – 2021. Rad. 13001 – 22 – 13 – 000 – 2021 – 00275 – 01. M.P. Octavio Augusto Tejeiro Duque.</w:t>
      </w:r>
    </w:p>
  </w:footnote>
  <w:footnote w:id="20">
    <w:p w14:paraId="491DC83E" w14:textId="103E485C" w:rsidR="002661C8" w:rsidRPr="00C81A2A" w:rsidRDefault="002661C8"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Archivo 40 del cuaderno principal de primera instancia.</w:t>
      </w:r>
    </w:p>
  </w:footnote>
  <w:footnote w:id="21">
    <w:p w14:paraId="6C9F06C0" w14:textId="79295F6B" w:rsidR="008F145F" w:rsidRPr="00C81A2A" w:rsidRDefault="008F145F"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Archivo 43 ib.</w:t>
      </w:r>
    </w:p>
  </w:footnote>
  <w:footnote w:id="22">
    <w:p w14:paraId="518AC6E8" w14:textId="17D60D14" w:rsidR="008F145F" w:rsidRPr="00C81A2A" w:rsidRDefault="008F145F"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Archivo 49 ib.</w:t>
      </w:r>
    </w:p>
  </w:footnote>
  <w:footnote w:id="23">
    <w:p w14:paraId="6FEC97F8" w14:textId="4AE24321" w:rsidR="009226DB" w:rsidRPr="00C81A2A" w:rsidRDefault="009226DB"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Archivo 49 del cuaderno principal de primera instancia.</w:t>
      </w:r>
    </w:p>
  </w:footnote>
  <w:footnote w:id="24">
    <w:p w14:paraId="0A3B8A21" w14:textId="714AEFB7" w:rsidR="00A23555" w:rsidRPr="00C81A2A" w:rsidRDefault="00A23555"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w:t>
      </w:r>
      <w:r w:rsidRPr="00C81A2A">
        <w:rPr>
          <w:rFonts w:ascii="Georgia" w:hAnsi="Georgia"/>
          <w:i/>
          <w:iCs/>
          <w:sz w:val="16"/>
          <w:szCs w:val="16"/>
        </w:rPr>
        <w:t xml:space="preserve">Las providencias judiciales se harán saber a las partes y demás interesados por medio de notificaciones, </w:t>
      </w:r>
      <w:r w:rsidRPr="00C81A2A">
        <w:rPr>
          <w:rFonts w:ascii="Georgia" w:hAnsi="Georgia"/>
          <w:b/>
          <w:bCs/>
          <w:i/>
          <w:iCs/>
          <w:sz w:val="16"/>
          <w:szCs w:val="16"/>
        </w:rPr>
        <w:t>con las formalidades prescritas en este código</w:t>
      </w:r>
      <w:r w:rsidRPr="00C81A2A">
        <w:rPr>
          <w:rFonts w:ascii="Georgia" w:hAnsi="Georgia"/>
          <w:sz w:val="16"/>
          <w:szCs w:val="16"/>
        </w:rPr>
        <w:t>” Art. 289, C.G.P.</w:t>
      </w:r>
    </w:p>
  </w:footnote>
  <w:footnote w:id="25">
    <w:p w14:paraId="52F61730" w14:textId="77777777" w:rsidR="00D42E5A" w:rsidRPr="00C81A2A" w:rsidRDefault="00D42E5A" w:rsidP="00C81A2A">
      <w:pPr>
        <w:pStyle w:val="Textonotapie"/>
        <w:jc w:val="both"/>
        <w:rPr>
          <w:rFonts w:ascii="Georgia" w:hAnsi="Georgia"/>
          <w:sz w:val="16"/>
          <w:szCs w:val="16"/>
        </w:rPr>
      </w:pPr>
      <w:r w:rsidRPr="00C81A2A">
        <w:rPr>
          <w:rStyle w:val="Refdenotaalpie"/>
          <w:rFonts w:ascii="Georgia" w:hAnsi="Georgia"/>
          <w:sz w:val="16"/>
          <w:szCs w:val="16"/>
        </w:rPr>
        <w:footnoteRef/>
      </w:r>
      <w:r w:rsidRPr="00C81A2A">
        <w:rPr>
          <w:rFonts w:ascii="Georgia" w:hAnsi="Georgia"/>
          <w:sz w:val="16"/>
          <w:szCs w:val="16"/>
        </w:rPr>
        <w:t xml:space="preserve"> Corte Suprema de Justicia, Sala de Casación Civil, SC592 – 2022, Rad. 08638 – 31 – 84 – 001 – 2017 – 00482 – 01. M.P. Luis Alfonso Rico Puerta.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77777777" w:rsidR="00F07A1E" w:rsidRPr="00364DE1" w:rsidRDefault="00F07A1E" w:rsidP="007825CB">
    <w:pPr>
      <w:pStyle w:val="Encabezado"/>
      <w:pBdr>
        <w:bottom w:val="single" w:sz="4" w:space="1" w:color="D9D9D9"/>
      </w:pBdr>
      <w:jc w:val="right"/>
      <w:rPr>
        <w:rFonts w:ascii="Century" w:hAnsi="Century"/>
        <w:bCs/>
        <w:color w:val="3333FF"/>
      </w:rPr>
    </w:pPr>
    <w:r w:rsidRPr="00364DE1">
      <w:rPr>
        <w:rFonts w:ascii="Century" w:hAnsi="Century"/>
        <w:color w:val="3333FF"/>
        <w:spacing w:val="60"/>
      </w:rPr>
      <w:t>Página</w:t>
    </w:r>
    <w:r w:rsidRPr="00364DE1">
      <w:rPr>
        <w:rFonts w:ascii="Century" w:hAnsi="Century"/>
        <w:color w:val="3333FF"/>
      </w:rPr>
      <w:t xml:space="preserve"> | </w:t>
    </w:r>
    <w:r w:rsidRPr="00364DE1">
      <w:rPr>
        <w:rFonts w:ascii="Century" w:hAnsi="Century"/>
        <w:color w:val="3333FF"/>
      </w:rPr>
      <w:fldChar w:fldCharType="begin"/>
    </w:r>
    <w:r w:rsidRPr="00364DE1">
      <w:rPr>
        <w:rFonts w:ascii="Century" w:hAnsi="Century"/>
        <w:color w:val="3333FF"/>
      </w:rPr>
      <w:instrText>PAGE   \* MERGEFORMAT</w:instrText>
    </w:r>
    <w:r w:rsidRPr="00364DE1">
      <w:rPr>
        <w:rFonts w:ascii="Century" w:hAnsi="Century"/>
        <w:color w:val="3333FF"/>
      </w:rPr>
      <w:fldChar w:fldCharType="separate"/>
    </w:r>
    <w:r w:rsidRPr="00364DE1">
      <w:rPr>
        <w:rFonts w:ascii="Century" w:hAnsi="Century"/>
        <w:bCs/>
        <w:noProof/>
        <w:color w:val="3333FF"/>
      </w:rPr>
      <w:t>2</w:t>
    </w:r>
    <w:r w:rsidRPr="00364DE1">
      <w:rPr>
        <w:rFonts w:ascii="Century" w:hAnsi="Century"/>
        <w:color w:val="3333FF"/>
      </w:rPr>
      <w:fldChar w:fldCharType="end"/>
    </w:r>
  </w:p>
  <w:p w14:paraId="3B05C064" w14:textId="1F7AA2A0" w:rsidR="00F07A1E" w:rsidRPr="00DD0D0E" w:rsidRDefault="00F07A1E" w:rsidP="00DD0D0E">
    <w:pPr>
      <w:pStyle w:val="Encabezado"/>
      <w:pBdr>
        <w:bottom w:val="single" w:sz="4" w:space="1" w:color="D9D9D9"/>
      </w:pBdr>
      <w:rPr>
        <w:rFonts w:ascii="Century" w:hAnsi="Century"/>
        <w:i/>
        <w:color w:val="3333FF"/>
        <w:spacing w:val="60"/>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77777777" w:rsidR="00F07A1E" w:rsidRPr="00364DE1" w:rsidRDefault="00F07A1E"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364DE1">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8B051C"/>
    <w:multiLevelType w:val="hybridMultilevel"/>
    <w:tmpl w:val="856AB832"/>
    <w:lvl w:ilvl="0" w:tplc="8190138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1"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3256F9E"/>
    <w:multiLevelType w:val="hybridMultilevel"/>
    <w:tmpl w:val="4A8A1374"/>
    <w:lvl w:ilvl="0" w:tplc="2F482A0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6"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0"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3"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6" w15:restartNumberingAfterBreak="0">
    <w:nsid w:val="6492720C"/>
    <w:multiLevelType w:val="hybridMultilevel"/>
    <w:tmpl w:val="F29A9CF6"/>
    <w:lvl w:ilvl="0" w:tplc="C6F6409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8"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5"/>
  </w:num>
  <w:num w:numId="2">
    <w:abstractNumId w:val="12"/>
  </w:num>
  <w:num w:numId="3">
    <w:abstractNumId w:val="29"/>
  </w:num>
  <w:num w:numId="4">
    <w:abstractNumId w:val="0"/>
  </w:num>
  <w:num w:numId="5">
    <w:abstractNumId w:val="28"/>
  </w:num>
  <w:num w:numId="6">
    <w:abstractNumId w:val="9"/>
  </w:num>
  <w:num w:numId="7">
    <w:abstractNumId w:val="2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2"/>
  </w:num>
  <w:num w:numId="13">
    <w:abstractNumId w:val="31"/>
  </w:num>
  <w:num w:numId="14">
    <w:abstractNumId w:val="19"/>
  </w:num>
  <w:num w:numId="15">
    <w:abstractNumId w:val="6"/>
  </w:num>
  <w:num w:numId="16">
    <w:abstractNumId w:val="24"/>
  </w:num>
  <w:num w:numId="17">
    <w:abstractNumId w:val="4"/>
  </w:num>
  <w:num w:numId="18">
    <w:abstractNumId w:val="2"/>
  </w:num>
  <w:num w:numId="19">
    <w:abstractNumId w:val="26"/>
  </w:num>
  <w:num w:numId="20">
    <w:abstractNumId w:val="21"/>
  </w:num>
  <w:num w:numId="21">
    <w:abstractNumId w:val="34"/>
  </w:num>
  <w:num w:numId="22">
    <w:abstractNumId w:val="3"/>
  </w:num>
  <w:num w:numId="23">
    <w:abstractNumId w:val="38"/>
  </w:num>
  <w:num w:numId="24">
    <w:abstractNumId w:val="23"/>
  </w:num>
  <w:num w:numId="25">
    <w:abstractNumId w:val="30"/>
  </w:num>
  <w:num w:numId="26">
    <w:abstractNumId w:val="37"/>
  </w:num>
  <w:num w:numId="27">
    <w:abstractNumId w:val="16"/>
  </w:num>
  <w:num w:numId="28">
    <w:abstractNumId w:val="11"/>
  </w:num>
  <w:num w:numId="29">
    <w:abstractNumId w:val="27"/>
  </w:num>
  <w:num w:numId="30">
    <w:abstractNumId w:val="7"/>
  </w:num>
  <w:num w:numId="31">
    <w:abstractNumId w:val="19"/>
  </w:num>
  <w:num w:numId="32">
    <w:abstractNumId w:val="20"/>
  </w:num>
  <w:num w:numId="33">
    <w:abstractNumId w:val="14"/>
  </w:num>
  <w:num w:numId="34">
    <w:abstractNumId w:val="40"/>
  </w:num>
  <w:num w:numId="35">
    <w:abstractNumId w:val="39"/>
  </w:num>
  <w:num w:numId="36">
    <w:abstractNumId w:val="18"/>
  </w:num>
  <w:num w:numId="37">
    <w:abstractNumId w:val="13"/>
  </w:num>
  <w:num w:numId="38">
    <w:abstractNumId w:val="8"/>
  </w:num>
  <w:num w:numId="39">
    <w:abstractNumId w:val="1"/>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7"/>
  </w:num>
  <w:num w:numId="43">
    <w:abstractNumId w:val="15"/>
  </w:num>
  <w:num w:numId="44">
    <w:abstractNumId w:val="5"/>
  </w:num>
  <w:num w:numId="45">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8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13"/>
    <w:rsid w:val="00015220"/>
    <w:rsid w:val="000159A7"/>
    <w:rsid w:val="000159B5"/>
    <w:rsid w:val="00015E42"/>
    <w:rsid w:val="000161CF"/>
    <w:rsid w:val="0001624B"/>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20391"/>
    <w:rsid w:val="0002068D"/>
    <w:rsid w:val="000206B5"/>
    <w:rsid w:val="00020772"/>
    <w:rsid w:val="00020953"/>
    <w:rsid w:val="00020956"/>
    <w:rsid w:val="00020AE0"/>
    <w:rsid w:val="00020F24"/>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11E"/>
    <w:rsid w:val="0003641E"/>
    <w:rsid w:val="0003683D"/>
    <w:rsid w:val="000369B6"/>
    <w:rsid w:val="000369FB"/>
    <w:rsid w:val="00036A11"/>
    <w:rsid w:val="00036A44"/>
    <w:rsid w:val="00036BDF"/>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5C0"/>
    <w:rsid w:val="0004578B"/>
    <w:rsid w:val="000457A2"/>
    <w:rsid w:val="000459E9"/>
    <w:rsid w:val="00045AFD"/>
    <w:rsid w:val="00045B34"/>
    <w:rsid w:val="00045E7B"/>
    <w:rsid w:val="0004610A"/>
    <w:rsid w:val="000465AA"/>
    <w:rsid w:val="000466C2"/>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2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6DDF"/>
    <w:rsid w:val="000571A4"/>
    <w:rsid w:val="000572B4"/>
    <w:rsid w:val="0005743D"/>
    <w:rsid w:val="00057586"/>
    <w:rsid w:val="0005771C"/>
    <w:rsid w:val="00057750"/>
    <w:rsid w:val="0005797A"/>
    <w:rsid w:val="000579AB"/>
    <w:rsid w:val="00057F6D"/>
    <w:rsid w:val="00060018"/>
    <w:rsid w:val="0006021A"/>
    <w:rsid w:val="0006035F"/>
    <w:rsid w:val="000603A8"/>
    <w:rsid w:val="00060772"/>
    <w:rsid w:val="000607DC"/>
    <w:rsid w:val="00060968"/>
    <w:rsid w:val="00060AB1"/>
    <w:rsid w:val="00060C7D"/>
    <w:rsid w:val="00060C94"/>
    <w:rsid w:val="00060E56"/>
    <w:rsid w:val="00060E90"/>
    <w:rsid w:val="00060ED6"/>
    <w:rsid w:val="000611D6"/>
    <w:rsid w:val="0006137A"/>
    <w:rsid w:val="00061463"/>
    <w:rsid w:val="00061595"/>
    <w:rsid w:val="00061642"/>
    <w:rsid w:val="00061739"/>
    <w:rsid w:val="00061802"/>
    <w:rsid w:val="00061897"/>
    <w:rsid w:val="000618AC"/>
    <w:rsid w:val="00061BCD"/>
    <w:rsid w:val="00061CE6"/>
    <w:rsid w:val="00061E93"/>
    <w:rsid w:val="000623B2"/>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18A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0F93"/>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C12"/>
    <w:rsid w:val="00092EAD"/>
    <w:rsid w:val="00093117"/>
    <w:rsid w:val="00093206"/>
    <w:rsid w:val="00093442"/>
    <w:rsid w:val="0009359B"/>
    <w:rsid w:val="000935F9"/>
    <w:rsid w:val="00093901"/>
    <w:rsid w:val="0009397F"/>
    <w:rsid w:val="00093996"/>
    <w:rsid w:val="000939FE"/>
    <w:rsid w:val="00093B8C"/>
    <w:rsid w:val="00093BFE"/>
    <w:rsid w:val="0009412B"/>
    <w:rsid w:val="000941C5"/>
    <w:rsid w:val="000941F3"/>
    <w:rsid w:val="000942A8"/>
    <w:rsid w:val="000943F0"/>
    <w:rsid w:val="00094421"/>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9C5"/>
    <w:rsid w:val="00096A44"/>
    <w:rsid w:val="00096B5A"/>
    <w:rsid w:val="00096E93"/>
    <w:rsid w:val="0009704A"/>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853"/>
    <w:rsid w:val="000A196B"/>
    <w:rsid w:val="000A1A77"/>
    <w:rsid w:val="000A1C48"/>
    <w:rsid w:val="000A1CCC"/>
    <w:rsid w:val="000A22FA"/>
    <w:rsid w:val="000A278D"/>
    <w:rsid w:val="000A2867"/>
    <w:rsid w:val="000A28D4"/>
    <w:rsid w:val="000A2B55"/>
    <w:rsid w:val="000A2C64"/>
    <w:rsid w:val="000A2DD8"/>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2E"/>
    <w:rsid w:val="000A6DF5"/>
    <w:rsid w:val="000A6EF1"/>
    <w:rsid w:val="000A6F50"/>
    <w:rsid w:val="000A6F56"/>
    <w:rsid w:val="000A6F8B"/>
    <w:rsid w:val="000A72D4"/>
    <w:rsid w:val="000A72E2"/>
    <w:rsid w:val="000A7500"/>
    <w:rsid w:val="000A77D5"/>
    <w:rsid w:val="000A7B74"/>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35E"/>
    <w:rsid w:val="000B5738"/>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C016E"/>
    <w:rsid w:val="000C02BF"/>
    <w:rsid w:val="000C0361"/>
    <w:rsid w:val="000C03B6"/>
    <w:rsid w:val="000C0A47"/>
    <w:rsid w:val="000C0A95"/>
    <w:rsid w:val="000C0B97"/>
    <w:rsid w:val="000C0F2B"/>
    <w:rsid w:val="000C1247"/>
    <w:rsid w:val="000C135A"/>
    <w:rsid w:val="000C1703"/>
    <w:rsid w:val="000C1759"/>
    <w:rsid w:val="000C1934"/>
    <w:rsid w:val="000C1C1E"/>
    <w:rsid w:val="000C1DDF"/>
    <w:rsid w:val="000C1FDA"/>
    <w:rsid w:val="000C2323"/>
    <w:rsid w:val="000C2429"/>
    <w:rsid w:val="000C2857"/>
    <w:rsid w:val="000C2DA1"/>
    <w:rsid w:val="000C3479"/>
    <w:rsid w:val="000C3BD2"/>
    <w:rsid w:val="000C3CBE"/>
    <w:rsid w:val="000C42AC"/>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DE4"/>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65E"/>
    <w:rsid w:val="000D6741"/>
    <w:rsid w:val="000D6875"/>
    <w:rsid w:val="000D688D"/>
    <w:rsid w:val="000D68F5"/>
    <w:rsid w:val="000D6AA5"/>
    <w:rsid w:val="000D6BED"/>
    <w:rsid w:val="000D6C16"/>
    <w:rsid w:val="000D710E"/>
    <w:rsid w:val="000D7264"/>
    <w:rsid w:val="000D7664"/>
    <w:rsid w:val="000D7951"/>
    <w:rsid w:val="000D7C1F"/>
    <w:rsid w:val="000D7F56"/>
    <w:rsid w:val="000E0118"/>
    <w:rsid w:val="000E03A2"/>
    <w:rsid w:val="000E0A85"/>
    <w:rsid w:val="000E0BA5"/>
    <w:rsid w:val="000E0CD9"/>
    <w:rsid w:val="000E0DAC"/>
    <w:rsid w:val="000E0F3F"/>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8C6"/>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1B7"/>
    <w:rsid w:val="000F4347"/>
    <w:rsid w:val="000F4374"/>
    <w:rsid w:val="000F43FC"/>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355"/>
    <w:rsid w:val="001055A9"/>
    <w:rsid w:val="0010567B"/>
    <w:rsid w:val="00105700"/>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1D4"/>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2FB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5EE5"/>
    <w:rsid w:val="0011602D"/>
    <w:rsid w:val="0011667F"/>
    <w:rsid w:val="00116A8B"/>
    <w:rsid w:val="00116DDF"/>
    <w:rsid w:val="0011720C"/>
    <w:rsid w:val="0011730E"/>
    <w:rsid w:val="00117482"/>
    <w:rsid w:val="00117AB0"/>
    <w:rsid w:val="00117E3D"/>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C8B"/>
    <w:rsid w:val="00120D29"/>
    <w:rsid w:val="001211A4"/>
    <w:rsid w:val="00121321"/>
    <w:rsid w:val="0012161D"/>
    <w:rsid w:val="00121AAE"/>
    <w:rsid w:val="00122174"/>
    <w:rsid w:val="001221F4"/>
    <w:rsid w:val="0012231E"/>
    <w:rsid w:val="001223FA"/>
    <w:rsid w:val="001226B8"/>
    <w:rsid w:val="001228A5"/>
    <w:rsid w:val="00122A83"/>
    <w:rsid w:val="00122BA0"/>
    <w:rsid w:val="00122C24"/>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4E40"/>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2AB"/>
    <w:rsid w:val="00130377"/>
    <w:rsid w:val="001304C3"/>
    <w:rsid w:val="001306B4"/>
    <w:rsid w:val="00130874"/>
    <w:rsid w:val="00130955"/>
    <w:rsid w:val="00130A77"/>
    <w:rsid w:val="00130B40"/>
    <w:rsid w:val="00130DC5"/>
    <w:rsid w:val="00130F4F"/>
    <w:rsid w:val="00131440"/>
    <w:rsid w:val="001316E5"/>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11F"/>
    <w:rsid w:val="0014134F"/>
    <w:rsid w:val="001414D0"/>
    <w:rsid w:val="0014158B"/>
    <w:rsid w:val="00141788"/>
    <w:rsid w:val="0014180C"/>
    <w:rsid w:val="0014186E"/>
    <w:rsid w:val="00141F35"/>
    <w:rsid w:val="0014205A"/>
    <w:rsid w:val="001420B3"/>
    <w:rsid w:val="001420FF"/>
    <w:rsid w:val="00142224"/>
    <w:rsid w:val="001422F9"/>
    <w:rsid w:val="00142481"/>
    <w:rsid w:val="001425A4"/>
    <w:rsid w:val="0014282E"/>
    <w:rsid w:val="001428A7"/>
    <w:rsid w:val="0014295F"/>
    <w:rsid w:val="00142A16"/>
    <w:rsid w:val="00142B6F"/>
    <w:rsid w:val="00142D3D"/>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6FB7"/>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10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77C"/>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50"/>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CEF"/>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3F20"/>
    <w:rsid w:val="001940BB"/>
    <w:rsid w:val="00194190"/>
    <w:rsid w:val="001942C8"/>
    <w:rsid w:val="00194305"/>
    <w:rsid w:val="001946FD"/>
    <w:rsid w:val="0019489D"/>
    <w:rsid w:val="001949CE"/>
    <w:rsid w:val="00194E9D"/>
    <w:rsid w:val="0019500F"/>
    <w:rsid w:val="00195129"/>
    <w:rsid w:val="00195226"/>
    <w:rsid w:val="00195246"/>
    <w:rsid w:val="0019543D"/>
    <w:rsid w:val="00195465"/>
    <w:rsid w:val="001956C7"/>
    <w:rsid w:val="00195BF4"/>
    <w:rsid w:val="00195C6B"/>
    <w:rsid w:val="00195E43"/>
    <w:rsid w:val="00196176"/>
    <w:rsid w:val="001963FD"/>
    <w:rsid w:val="00196546"/>
    <w:rsid w:val="00196576"/>
    <w:rsid w:val="00196C2C"/>
    <w:rsid w:val="00196E19"/>
    <w:rsid w:val="00196ED8"/>
    <w:rsid w:val="00196FBA"/>
    <w:rsid w:val="00197114"/>
    <w:rsid w:val="0019711E"/>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0EEC"/>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A7"/>
    <w:rsid w:val="001A3EDB"/>
    <w:rsid w:val="001A426A"/>
    <w:rsid w:val="001A434D"/>
    <w:rsid w:val="001A4383"/>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5ED6"/>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BD3"/>
    <w:rsid w:val="001B0D8F"/>
    <w:rsid w:val="001B0DDA"/>
    <w:rsid w:val="001B0E07"/>
    <w:rsid w:val="001B0F88"/>
    <w:rsid w:val="001B1247"/>
    <w:rsid w:val="001B1705"/>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71"/>
    <w:rsid w:val="001B339A"/>
    <w:rsid w:val="001B3921"/>
    <w:rsid w:val="001B3AB4"/>
    <w:rsid w:val="001B3BCA"/>
    <w:rsid w:val="001B3D21"/>
    <w:rsid w:val="001B3E15"/>
    <w:rsid w:val="001B4754"/>
    <w:rsid w:val="001B4968"/>
    <w:rsid w:val="001B4AFD"/>
    <w:rsid w:val="001B4C6D"/>
    <w:rsid w:val="001B4EC0"/>
    <w:rsid w:val="001B5448"/>
    <w:rsid w:val="001B5581"/>
    <w:rsid w:val="001B576A"/>
    <w:rsid w:val="001B5C7C"/>
    <w:rsid w:val="001B5E51"/>
    <w:rsid w:val="001B5F76"/>
    <w:rsid w:val="001B6367"/>
    <w:rsid w:val="001B6480"/>
    <w:rsid w:val="001B694E"/>
    <w:rsid w:val="001B6C18"/>
    <w:rsid w:val="001B6DA2"/>
    <w:rsid w:val="001B72EF"/>
    <w:rsid w:val="001B73FB"/>
    <w:rsid w:val="001B7811"/>
    <w:rsid w:val="001B7A74"/>
    <w:rsid w:val="001B7B4E"/>
    <w:rsid w:val="001B7CC9"/>
    <w:rsid w:val="001B7E30"/>
    <w:rsid w:val="001B7FD1"/>
    <w:rsid w:val="001C017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BAE"/>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F9A"/>
    <w:rsid w:val="001D33B7"/>
    <w:rsid w:val="001D3753"/>
    <w:rsid w:val="001D395A"/>
    <w:rsid w:val="001D3AD8"/>
    <w:rsid w:val="001D3EDE"/>
    <w:rsid w:val="001D4034"/>
    <w:rsid w:val="001D4142"/>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C11"/>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4D"/>
    <w:rsid w:val="001E669C"/>
    <w:rsid w:val="001E66FE"/>
    <w:rsid w:val="001E676B"/>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5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76A"/>
    <w:rsid w:val="00215A47"/>
    <w:rsid w:val="00215C6A"/>
    <w:rsid w:val="00215CF7"/>
    <w:rsid w:val="00215D56"/>
    <w:rsid w:val="00215FB3"/>
    <w:rsid w:val="002163FE"/>
    <w:rsid w:val="00216485"/>
    <w:rsid w:val="0021680C"/>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86"/>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2E6"/>
    <w:rsid w:val="00223565"/>
    <w:rsid w:val="00223736"/>
    <w:rsid w:val="0022387D"/>
    <w:rsid w:val="00223C0F"/>
    <w:rsid w:val="00223CCB"/>
    <w:rsid w:val="00223DDE"/>
    <w:rsid w:val="00223E48"/>
    <w:rsid w:val="00224AEE"/>
    <w:rsid w:val="00224CEF"/>
    <w:rsid w:val="00224EAE"/>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A9"/>
    <w:rsid w:val="00230D34"/>
    <w:rsid w:val="00230F7B"/>
    <w:rsid w:val="0023130C"/>
    <w:rsid w:val="002313B3"/>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3E85"/>
    <w:rsid w:val="00244436"/>
    <w:rsid w:val="00244523"/>
    <w:rsid w:val="0024452F"/>
    <w:rsid w:val="00244530"/>
    <w:rsid w:val="00244544"/>
    <w:rsid w:val="00244748"/>
    <w:rsid w:val="002448FA"/>
    <w:rsid w:val="00244AEA"/>
    <w:rsid w:val="00244E10"/>
    <w:rsid w:val="00244E8C"/>
    <w:rsid w:val="0024517A"/>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8DD"/>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1C8"/>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34"/>
    <w:rsid w:val="0027485C"/>
    <w:rsid w:val="00274B8C"/>
    <w:rsid w:val="00274C82"/>
    <w:rsid w:val="00274CC4"/>
    <w:rsid w:val="00274DA2"/>
    <w:rsid w:val="00274DA9"/>
    <w:rsid w:val="00274DB6"/>
    <w:rsid w:val="00274E96"/>
    <w:rsid w:val="00274EE5"/>
    <w:rsid w:val="002758D0"/>
    <w:rsid w:val="00275D97"/>
    <w:rsid w:val="00275DC2"/>
    <w:rsid w:val="00275F2C"/>
    <w:rsid w:val="00276163"/>
    <w:rsid w:val="00276995"/>
    <w:rsid w:val="00276FFD"/>
    <w:rsid w:val="00277180"/>
    <w:rsid w:val="00277324"/>
    <w:rsid w:val="00277351"/>
    <w:rsid w:val="002775A7"/>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951"/>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B16"/>
    <w:rsid w:val="00292DFD"/>
    <w:rsid w:val="00292E39"/>
    <w:rsid w:val="00292F71"/>
    <w:rsid w:val="00292F9B"/>
    <w:rsid w:val="00293051"/>
    <w:rsid w:val="00293101"/>
    <w:rsid w:val="00293585"/>
    <w:rsid w:val="0029365E"/>
    <w:rsid w:val="0029369E"/>
    <w:rsid w:val="00293957"/>
    <w:rsid w:val="00293976"/>
    <w:rsid w:val="002939C9"/>
    <w:rsid w:val="00293F52"/>
    <w:rsid w:val="00294232"/>
    <w:rsid w:val="00294506"/>
    <w:rsid w:val="0029451F"/>
    <w:rsid w:val="0029477E"/>
    <w:rsid w:val="002947F4"/>
    <w:rsid w:val="002948D0"/>
    <w:rsid w:val="00294910"/>
    <w:rsid w:val="00294973"/>
    <w:rsid w:val="00294B6F"/>
    <w:rsid w:val="00294D32"/>
    <w:rsid w:val="00294ECE"/>
    <w:rsid w:val="0029500D"/>
    <w:rsid w:val="0029506B"/>
    <w:rsid w:val="002951E5"/>
    <w:rsid w:val="002952AA"/>
    <w:rsid w:val="0029537E"/>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B75"/>
    <w:rsid w:val="00297DF5"/>
    <w:rsid w:val="00297E52"/>
    <w:rsid w:val="002A0313"/>
    <w:rsid w:val="002A0459"/>
    <w:rsid w:val="002A045E"/>
    <w:rsid w:val="002A08F9"/>
    <w:rsid w:val="002A0B36"/>
    <w:rsid w:val="002A0B9E"/>
    <w:rsid w:val="002A0DD5"/>
    <w:rsid w:val="002A0DE8"/>
    <w:rsid w:val="002A1253"/>
    <w:rsid w:val="002A166F"/>
    <w:rsid w:val="002A186F"/>
    <w:rsid w:val="002A1916"/>
    <w:rsid w:val="002A19B2"/>
    <w:rsid w:val="002A1B11"/>
    <w:rsid w:val="002A1C81"/>
    <w:rsid w:val="002A1D0B"/>
    <w:rsid w:val="002A1D26"/>
    <w:rsid w:val="002A1FD7"/>
    <w:rsid w:val="002A2237"/>
    <w:rsid w:val="002A226A"/>
    <w:rsid w:val="002A2676"/>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25D"/>
    <w:rsid w:val="002B4673"/>
    <w:rsid w:val="002B46CE"/>
    <w:rsid w:val="002B49E8"/>
    <w:rsid w:val="002B4ADE"/>
    <w:rsid w:val="002B4FA0"/>
    <w:rsid w:val="002B512A"/>
    <w:rsid w:val="002B56B7"/>
    <w:rsid w:val="002B58C5"/>
    <w:rsid w:val="002B59F8"/>
    <w:rsid w:val="002B5B33"/>
    <w:rsid w:val="002B5BFA"/>
    <w:rsid w:val="002B5EE5"/>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1F"/>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169"/>
    <w:rsid w:val="002C2248"/>
    <w:rsid w:val="002C2EFE"/>
    <w:rsid w:val="002C2FB5"/>
    <w:rsid w:val="002C2FBE"/>
    <w:rsid w:val="002C31C1"/>
    <w:rsid w:val="002C31DF"/>
    <w:rsid w:val="002C3437"/>
    <w:rsid w:val="002C3471"/>
    <w:rsid w:val="002C3474"/>
    <w:rsid w:val="002C34D4"/>
    <w:rsid w:val="002C388C"/>
    <w:rsid w:val="002C3AC7"/>
    <w:rsid w:val="002C3BAC"/>
    <w:rsid w:val="002C3C28"/>
    <w:rsid w:val="002C3C4A"/>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159"/>
    <w:rsid w:val="002D4323"/>
    <w:rsid w:val="002D4502"/>
    <w:rsid w:val="002D466B"/>
    <w:rsid w:val="002D4A20"/>
    <w:rsid w:val="002D4A51"/>
    <w:rsid w:val="002D4DDC"/>
    <w:rsid w:val="002D4E82"/>
    <w:rsid w:val="002D5B2D"/>
    <w:rsid w:val="002D5BDC"/>
    <w:rsid w:val="002D5EEA"/>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A10"/>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5E"/>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885"/>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6FAA"/>
    <w:rsid w:val="00307263"/>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639"/>
    <w:rsid w:val="00310930"/>
    <w:rsid w:val="00310D37"/>
    <w:rsid w:val="00311023"/>
    <w:rsid w:val="00311123"/>
    <w:rsid w:val="0031144B"/>
    <w:rsid w:val="0031144F"/>
    <w:rsid w:val="003115D3"/>
    <w:rsid w:val="00311CF4"/>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3E37"/>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3"/>
    <w:rsid w:val="00316629"/>
    <w:rsid w:val="003169B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AF5"/>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6AF"/>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4D9A"/>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5C"/>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28"/>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5D"/>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3F98"/>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89"/>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1E59"/>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8A"/>
    <w:rsid w:val="003746DC"/>
    <w:rsid w:val="003748E6"/>
    <w:rsid w:val="003749B8"/>
    <w:rsid w:val="00374D8D"/>
    <w:rsid w:val="00374FA1"/>
    <w:rsid w:val="00375055"/>
    <w:rsid w:val="00375784"/>
    <w:rsid w:val="003757FB"/>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339"/>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89"/>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7425"/>
    <w:rsid w:val="003974AD"/>
    <w:rsid w:val="00397685"/>
    <w:rsid w:val="0039794A"/>
    <w:rsid w:val="00397EB0"/>
    <w:rsid w:val="00397FAA"/>
    <w:rsid w:val="00397FF7"/>
    <w:rsid w:val="003A051F"/>
    <w:rsid w:val="003A0B51"/>
    <w:rsid w:val="003A0D8B"/>
    <w:rsid w:val="003A142E"/>
    <w:rsid w:val="003A1501"/>
    <w:rsid w:val="003A1516"/>
    <w:rsid w:val="003A16E2"/>
    <w:rsid w:val="003A179B"/>
    <w:rsid w:val="003A1C86"/>
    <w:rsid w:val="003A1CB4"/>
    <w:rsid w:val="003A20A3"/>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6913"/>
    <w:rsid w:val="003A6B6E"/>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4C3"/>
    <w:rsid w:val="003B3679"/>
    <w:rsid w:val="003B3999"/>
    <w:rsid w:val="003B39FA"/>
    <w:rsid w:val="003B3AED"/>
    <w:rsid w:val="003B4125"/>
    <w:rsid w:val="003B43CF"/>
    <w:rsid w:val="003B45C0"/>
    <w:rsid w:val="003B4743"/>
    <w:rsid w:val="003B49AD"/>
    <w:rsid w:val="003B4E57"/>
    <w:rsid w:val="003B4F47"/>
    <w:rsid w:val="003B514D"/>
    <w:rsid w:val="003B5743"/>
    <w:rsid w:val="003B57C8"/>
    <w:rsid w:val="003B5A3B"/>
    <w:rsid w:val="003B5F86"/>
    <w:rsid w:val="003B6000"/>
    <w:rsid w:val="003B6193"/>
    <w:rsid w:val="003B6202"/>
    <w:rsid w:val="003B67DF"/>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612"/>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6B0"/>
    <w:rsid w:val="003C2853"/>
    <w:rsid w:val="003C2B50"/>
    <w:rsid w:val="003C2D71"/>
    <w:rsid w:val="003C39DE"/>
    <w:rsid w:val="003C39F7"/>
    <w:rsid w:val="003C3CC1"/>
    <w:rsid w:val="003C3FDD"/>
    <w:rsid w:val="003C413E"/>
    <w:rsid w:val="003C4439"/>
    <w:rsid w:val="003C49C8"/>
    <w:rsid w:val="003C4B58"/>
    <w:rsid w:val="003C4C63"/>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BC9"/>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02E"/>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145"/>
    <w:rsid w:val="003E7321"/>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5E95"/>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A93"/>
    <w:rsid w:val="00405B56"/>
    <w:rsid w:val="00405E67"/>
    <w:rsid w:val="004061EC"/>
    <w:rsid w:val="00406200"/>
    <w:rsid w:val="004066CF"/>
    <w:rsid w:val="004067AD"/>
    <w:rsid w:val="00406CF4"/>
    <w:rsid w:val="00407180"/>
    <w:rsid w:val="004075F1"/>
    <w:rsid w:val="004077F7"/>
    <w:rsid w:val="004078AE"/>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ABA"/>
    <w:rsid w:val="00420E2D"/>
    <w:rsid w:val="00421150"/>
    <w:rsid w:val="00421872"/>
    <w:rsid w:val="00421FBD"/>
    <w:rsid w:val="00422048"/>
    <w:rsid w:val="004220FC"/>
    <w:rsid w:val="00422480"/>
    <w:rsid w:val="004225BC"/>
    <w:rsid w:val="0042294E"/>
    <w:rsid w:val="00422983"/>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E5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45E"/>
    <w:rsid w:val="004375AE"/>
    <w:rsid w:val="004379B0"/>
    <w:rsid w:val="00437AD4"/>
    <w:rsid w:val="00437BDB"/>
    <w:rsid w:val="00437D16"/>
    <w:rsid w:val="00437D63"/>
    <w:rsid w:val="00437DE0"/>
    <w:rsid w:val="004400D0"/>
    <w:rsid w:val="00440132"/>
    <w:rsid w:val="00440392"/>
    <w:rsid w:val="004403D7"/>
    <w:rsid w:val="00440538"/>
    <w:rsid w:val="004405FF"/>
    <w:rsid w:val="004409B5"/>
    <w:rsid w:val="00440CB3"/>
    <w:rsid w:val="00440EC5"/>
    <w:rsid w:val="00440F91"/>
    <w:rsid w:val="00440F97"/>
    <w:rsid w:val="0044112B"/>
    <w:rsid w:val="004416B4"/>
    <w:rsid w:val="00441A59"/>
    <w:rsid w:val="00441CC8"/>
    <w:rsid w:val="00441FE6"/>
    <w:rsid w:val="00442018"/>
    <w:rsid w:val="0044206F"/>
    <w:rsid w:val="0044227B"/>
    <w:rsid w:val="004422C5"/>
    <w:rsid w:val="004422EA"/>
    <w:rsid w:val="004424B5"/>
    <w:rsid w:val="00442726"/>
    <w:rsid w:val="00442B89"/>
    <w:rsid w:val="004431E8"/>
    <w:rsid w:val="00443547"/>
    <w:rsid w:val="00443671"/>
    <w:rsid w:val="00443673"/>
    <w:rsid w:val="004436D8"/>
    <w:rsid w:val="004437D6"/>
    <w:rsid w:val="00443868"/>
    <w:rsid w:val="00443DAB"/>
    <w:rsid w:val="00443E10"/>
    <w:rsid w:val="00443F0A"/>
    <w:rsid w:val="0044403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6D1F"/>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21"/>
    <w:rsid w:val="0045295E"/>
    <w:rsid w:val="00452C89"/>
    <w:rsid w:val="00452D87"/>
    <w:rsid w:val="00452F89"/>
    <w:rsid w:val="00453506"/>
    <w:rsid w:val="004536D7"/>
    <w:rsid w:val="004539B9"/>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6F2B"/>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BEC"/>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6F9"/>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32"/>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CC7"/>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70A"/>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1F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B9D"/>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2DD"/>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56F"/>
    <w:rsid w:val="004F1965"/>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92D"/>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0D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37A"/>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4EF"/>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4E1"/>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ECC"/>
    <w:rsid w:val="00543237"/>
    <w:rsid w:val="00543584"/>
    <w:rsid w:val="00543780"/>
    <w:rsid w:val="005437D2"/>
    <w:rsid w:val="00543968"/>
    <w:rsid w:val="00543978"/>
    <w:rsid w:val="005439A0"/>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A72"/>
    <w:rsid w:val="00554D0B"/>
    <w:rsid w:val="00554D5D"/>
    <w:rsid w:val="00554DA9"/>
    <w:rsid w:val="00555138"/>
    <w:rsid w:val="00555172"/>
    <w:rsid w:val="00555448"/>
    <w:rsid w:val="0055544A"/>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76"/>
    <w:rsid w:val="00566484"/>
    <w:rsid w:val="005666E7"/>
    <w:rsid w:val="00566970"/>
    <w:rsid w:val="00566C56"/>
    <w:rsid w:val="00566FC2"/>
    <w:rsid w:val="00567322"/>
    <w:rsid w:val="0056732D"/>
    <w:rsid w:val="00567366"/>
    <w:rsid w:val="005677B5"/>
    <w:rsid w:val="00567907"/>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4D95"/>
    <w:rsid w:val="0057500E"/>
    <w:rsid w:val="00575153"/>
    <w:rsid w:val="0057565C"/>
    <w:rsid w:val="005758F3"/>
    <w:rsid w:val="00575C08"/>
    <w:rsid w:val="00575D30"/>
    <w:rsid w:val="005760B7"/>
    <w:rsid w:val="00576198"/>
    <w:rsid w:val="00576270"/>
    <w:rsid w:val="0057632E"/>
    <w:rsid w:val="005764FF"/>
    <w:rsid w:val="00576D82"/>
    <w:rsid w:val="00576E2E"/>
    <w:rsid w:val="00576FF9"/>
    <w:rsid w:val="0057707D"/>
    <w:rsid w:val="00577315"/>
    <w:rsid w:val="00577677"/>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89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A66"/>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AD"/>
    <w:rsid w:val="005A19FE"/>
    <w:rsid w:val="005A1B12"/>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44D"/>
    <w:rsid w:val="005A6521"/>
    <w:rsid w:val="005A6BB1"/>
    <w:rsid w:val="005A6CA4"/>
    <w:rsid w:val="005A6F5C"/>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18"/>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368"/>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12"/>
    <w:rsid w:val="005C1BCE"/>
    <w:rsid w:val="005C1D63"/>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8E2"/>
    <w:rsid w:val="005D1B1D"/>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4C2"/>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0B8"/>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1C2B"/>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C39"/>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7CB"/>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98C"/>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0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AD4"/>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84"/>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BB"/>
    <w:rsid w:val="006514F2"/>
    <w:rsid w:val="00651716"/>
    <w:rsid w:val="00651780"/>
    <w:rsid w:val="00651B45"/>
    <w:rsid w:val="00651BE5"/>
    <w:rsid w:val="00652058"/>
    <w:rsid w:val="006520C0"/>
    <w:rsid w:val="0065214E"/>
    <w:rsid w:val="0065240B"/>
    <w:rsid w:val="00652685"/>
    <w:rsid w:val="006526DE"/>
    <w:rsid w:val="00652764"/>
    <w:rsid w:val="0065277F"/>
    <w:rsid w:val="00652809"/>
    <w:rsid w:val="0065296B"/>
    <w:rsid w:val="00652A41"/>
    <w:rsid w:val="00652A4E"/>
    <w:rsid w:val="00652ACE"/>
    <w:rsid w:val="00652BA6"/>
    <w:rsid w:val="00652D0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1C"/>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991"/>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792"/>
    <w:rsid w:val="00665BF6"/>
    <w:rsid w:val="00665D60"/>
    <w:rsid w:val="00665D81"/>
    <w:rsid w:val="006660B5"/>
    <w:rsid w:val="006660D8"/>
    <w:rsid w:val="0066637A"/>
    <w:rsid w:val="006663CA"/>
    <w:rsid w:val="006664BA"/>
    <w:rsid w:val="006666E0"/>
    <w:rsid w:val="006669A1"/>
    <w:rsid w:val="00666A40"/>
    <w:rsid w:val="00666E5B"/>
    <w:rsid w:val="00667217"/>
    <w:rsid w:val="00667460"/>
    <w:rsid w:val="006677D3"/>
    <w:rsid w:val="00667C5C"/>
    <w:rsid w:val="00667F1C"/>
    <w:rsid w:val="00667F3A"/>
    <w:rsid w:val="00670122"/>
    <w:rsid w:val="00670170"/>
    <w:rsid w:val="0067028C"/>
    <w:rsid w:val="006704D3"/>
    <w:rsid w:val="006705F9"/>
    <w:rsid w:val="006707B2"/>
    <w:rsid w:val="006707C6"/>
    <w:rsid w:val="00670873"/>
    <w:rsid w:val="00670E90"/>
    <w:rsid w:val="00670F64"/>
    <w:rsid w:val="00670FE4"/>
    <w:rsid w:val="006711CD"/>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E64"/>
    <w:rsid w:val="00674F5A"/>
    <w:rsid w:val="00674FAE"/>
    <w:rsid w:val="00674FE9"/>
    <w:rsid w:val="0067523F"/>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1F52"/>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2BF"/>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690"/>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10"/>
    <w:rsid w:val="006954A7"/>
    <w:rsid w:val="0069553F"/>
    <w:rsid w:val="00695579"/>
    <w:rsid w:val="006957EA"/>
    <w:rsid w:val="00695DF6"/>
    <w:rsid w:val="00695ECC"/>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3DC"/>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4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5CF"/>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310"/>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13B"/>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202"/>
    <w:rsid w:val="006D78AD"/>
    <w:rsid w:val="006D7E0E"/>
    <w:rsid w:val="006E01BB"/>
    <w:rsid w:val="006E06E3"/>
    <w:rsid w:val="006E06FF"/>
    <w:rsid w:val="006E09FC"/>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2980"/>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CDD"/>
    <w:rsid w:val="006F7E7C"/>
    <w:rsid w:val="00700034"/>
    <w:rsid w:val="00700415"/>
    <w:rsid w:val="00700702"/>
    <w:rsid w:val="00700916"/>
    <w:rsid w:val="00700AFF"/>
    <w:rsid w:val="00700BEF"/>
    <w:rsid w:val="00700DCD"/>
    <w:rsid w:val="007010AD"/>
    <w:rsid w:val="00701B52"/>
    <w:rsid w:val="00701B91"/>
    <w:rsid w:val="00701BFE"/>
    <w:rsid w:val="00701C59"/>
    <w:rsid w:val="00701EF6"/>
    <w:rsid w:val="00701F02"/>
    <w:rsid w:val="00701FA7"/>
    <w:rsid w:val="007020EB"/>
    <w:rsid w:val="007020F2"/>
    <w:rsid w:val="007020FD"/>
    <w:rsid w:val="007021C5"/>
    <w:rsid w:val="00702520"/>
    <w:rsid w:val="007026CF"/>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6F"/>
    <w:rsid w:val="00707BE7"/>
    <w:rsid w:val="0071021B"/>
    <w:rsid w:val="0071042E"/>
    <w:rsid w:val="00710667"/>
    <w:rsid w:val="007107D2"/>
    <w:rsid w:val="00710902"/>
    <w:rsid w:val="00710AAE"/>
    <w:rsid w:val="00710B84"/>
    <w:rsid w:val="00710E79"/>
    <w:rsid w:val="00710FDE"/>
    <w:rsid w:val="00710FFB"/>
    <w:rsid w:val="00711084"/>
    <w:rsid w:val="00711225"/>
    <w:rsid w:val="00711567"/>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27F52"/>
    <w:rsid w:val="007300AA"/>
    <w:rsid w:val="007305F4"/>
    <w:rsid w:val="00730679"/>
    <w:rsid w:val="00730BB7"/>
    <w:rsid w:val="00730D05"/>
    <w:rsid w:val="0073149A"/>
    <w:rsid w:val="0073150B"/>
    <w:rsid w:val="0073163C"/>
    <w:rsid w:val="00731825"/>
    <w:rsid w:val="00731C77"/>
    <w:rsid w:val="00732A06"/>
    <w:rsid w:val="00732B12"/>
    <w:rsid w:val="00732BC0"/>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898"/>
    <w:rsid w:val="00734995"/>
    <w:rsid w:val="00734BBD"/>
    <w:rsid w:val="00734FFC"/>
    <w:rsid w:val="0073513D"/>
    <w:rsid w:val="007354D1"/>
    <w:rsid w:val="00735897"/>
    <w:rsid w:val="007358BB"/>
    <w:rsid w:val="00735D47"/>
    <w:rsid w:val="00735F90"/>
    <w:rsid w:val="00736086"/>
    <w:rsid w:val="00736122"/>
    <w:rsid w:val="0073615A"/>
    <w:rsid w:val="0073637B"/>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EE3"/>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BC1"/>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DAA"/>
    <w:rsid w:val="00761F95"/>
    <w:rsid w:val="00761FF5"/>
    <w:rsid w:val="007620FE"/>
    <w:rsid w:val="00762185"/>
    <w:rsid w:val="00762350"/>
    <w:rsid w:val="007628B7"/>
    <w:rsid w:val="00762AA3"/>
    <w:rsid w:val="00762C1F"/>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EBF"/>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43B"/>
    <w:rsid w:val="0077252F"/>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4EE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178"/>
    <w:rsid w:val="0078320C"/>
    <w:rsid w:val="007834C5"/>
    <w:rsid w:val="00783533"/>
    <w:rsid w:val="007839DD"/>
    <w:rsid w:val="00783BEF"/>
    <w:rsid w:val="00784026"/>
    <w:rsid w:val="0078413D"/>
    <w:rsid w:val="0078431A"/>
    <w:rsid w:val="0078438A"/>
    <w:rsid w:val="007846D9"/>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CA6"/>
    <w:rsid w:val="00787F84"/>
    <w:rsid w:val="007901EB"/>
    <w:rsid w:val="00790544"/>
    <w:rsid w:val="0079069B"/>
    <w:rsid w:val="0079078C"/>
    <w:rsid w:val="00790DB0"/>
    <w:rsid w:val="00791193"/>
    <w:rsid w:val="00791259"/>
    <w:rsid w:val="00791264"/>
    <w:rsid w:val="00791463"/>
    <w:rsid w:val="007914FC"/>
    <w:rsid w:val="00791629"/>
    <w:rsid w:val="0079172E"/>
    <w:rsid w:val="007919D3"/>
    <w:rsid w:val="00791CA4"/>
    <w:rsid w:val="00791CE5"/>
    <w:rsid w:val="007921C3"/>
    <w:rsid w:val="00792271"/>
    <w:rsid w:val="00792403"/>
    <w:rsid w:val="0079247C"/>
    <w:rsid w:val="00792554"/>
    <w:rsid w:val="0079257D"/>
    <w:rsid w:val="007925B0"/>
    <w:rsid w:val="00792650"/>
    <w:rsid w:val="0079274E"/>
    <w:rsid w:val="00792A58"/>
    <w:rsid w:val="00793278"/>
    <w:rsid w:val="007935FC"/>
    <w:rsid w:val="007937C5"/>
    <w:rsid w:val="007938DE"/>
    <w:rsid w:val="00793F51"/>
    <w:rsid w:val="00794210"/>
    <w:rsid w:val="0079467B"/>
    <w:rsid w:val="007947ED"/>
    <w:rsid w:val="00794853"/>
    <w:rsid w:val="007949D2"/>
    <w:rsid w:val="007949FC"/>
    <w:rsid w:val="00794A95"/>
    <w:rsid w:val="00794DF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15C"/>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C47"/>
    <w:rsid w:val="007A6E04"/>
    <w:rsid w:val="007A716E"/>
    <w:rsid w:val="007A74A4"/>
    <w:rsid w:val="007A766E"/>
    <w:rsid w:val="007A78A9"/>
    <w:rsid w:val="007A79DA"/>
    <w:rsid w:val="007A7A7F"/>
    <w:rsid w:val="007A7DC1"/>
    <w:rsid w:val="007A7EC8"/>
    <w:rsid w:val="007A7F73"/>
    <w:rsid w:val="007A7FA3"/>
    <w:rsid w:val="007B00FB"/>
    <w:rsid w:val="007B0340"/>
    <w:rsid w:val="007B064B"/>
    <w:rsid w:val="007B0674"/>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9D"/>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79"/>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10B"/>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7AC"/>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9F0"/>
    <w:rsid w:val="007D3AA5"/>
    <w:rsid w:val="007D3C9B"/>
    <w:rsid w:val="007D407D"/>
    <w:rsid w:val="007D4646"/>
    <w:rsid w:val="007D4CCF"/>
    <w:rsid w:val="007D4F93"/>
    <w:rsid w:val="007D50F1"/>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DF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851"/>
    <w:rsid w:val="007F3995"/>
    <w:rsid w:val="007F3B5F"/>
    <w:rsid w:val="007F3D4B"/>
    <w:rsid w:val="007F3F0B"/>
    <w:rsid w:val="007F425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563"/>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53A"/>
    <w:rsid w:val="008146E4"/>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44"/>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36"/>
    <w:rsid w:val="00821E89"/>
    <w:rsid w:val="00821F7C"/>
    <w:rsid w:val="00822073"/>
    <w:rsid w:val="00822094"/>
    <w:rsid w:val="008220E6"/>
    <w:rsid w:val="008223D7"/>
    <w:rsid w:val="008227E9"/>
    <w:rsid w:val="00822995"/>
    <w:rsid w:val="008229A1"/>
    <w:rsid w:val="008229A7"/>
    <w:rsid w:val="00822A03"/>
    <w:rsid w:val="00822EEC"/>
    <w:rsid w:val="00822FBB"/>
    <w:rsid w:val="008232A3"/>
    <w:rsid w:val="008232DE"/>
    <w:rsid w:val="008233AD"/>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13"/>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88"/>
    <w:rsid w:val="008345B0"/>
    <w:rsid w:val="00834B7A"/>
    <w:rsid w:val="00834D31"/>
    <w:rsid w:val="00834F4D"/>
    <w:rsid w:val="008353A5"/>
    <w:rsid w:val="00835582"/>
    <w:rsid w:val="00835659"/>
    <w:rsid w:val="00835B4C"/>
    <w:rsid w:val="00835C03"/>
    <w:rsid w:val="00835F7C"/>
    <w:rsid w:val="00835FC2"/>
    <w:rsid w:val="0083607E"/>
    <w:rsid w:val="00836092"/>
    <w:rsid w:val="008360EC"/>
    <w:rsid w:val="00836FCE"/>
    <w:rsid w:val="00837139"/>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44E"/>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32A6"/>
    <w:rsid w:val="00843B45"/>
    <w:rsid w:val="0084406A"/>
    <w:rsid w:val="0084446B"/>
    <w:rsid w:val="008444D8"/>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32"/>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864"/>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07"/>
    <w:rsid w:val="00855CA5"/>
    <w:rsid w:val="00855CC5"/>
    <w:rsid w:val="00855E05"/>
    <w:rsid w:val="00855F8A"/>
    <w:rsid w:val="0085627A"/>
    <w:rsid w:val="00856723"/>
    <w:rsid w:val="00857738"/>
    <w:rsid w:val="00857987"/>
    <w:rsid w:val="00857A47"/>
    <w:rsid w:val="00857CDC"/>
    <w:rsid w:val="00857F15"/>
    <w:rsid w:val="008600B0"/>
    <w:rsid w:val="00860406"/>
    <w:rsid w:val="0086085C"/>
    <w:rsid w:val="00860F6E"/>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6D"/>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0C"/>
    <w:rsid w:val="0086558A"/>
    <w:rsid w:val="00865A4B"/>
    <w:rsid w:val="00865DBC"/>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67D24"/>
    <w:rsid w:val="008700D1"/>
    <w:rsid w:val="00870101"/>
    <w:rsid w:val="008701EB"/>
    <w:rsid w:val="0087064B"/>
    <w:rsid w:val="00870952"/>
    <w:rsid w:val="00870A1E"/>
    <w:rsid w:val="00870A57"/>
    <w:rsid w:val="008712C4"/>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44"/>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A26"/>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338"/>
    <w:rsid w:val="0088468A"/>
    <w:rsid w:val="008847D2"/>
    <w:rsid w:val="0088491F"/>
    <w:rsid w:val="0088498C"/>
    <w:rsid w:val="008849C3"/>
    <w:rsid w:val="00884FC8"/>
    <w:rsid w:val="00885037"/>
    <w:rsid w:val="008850DD"/>
    <w:rsid w:val="008850EE"/>
    <w:rsid w:val="008851DE"/>
    <w:rsid w:val="008852D5"/>
    <w:rsid w:val="00885BF5"/>
    <w:rsid w:val="008860F2"/>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BEA"/>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3DAF"/>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46"/>
    <w:rsid w:val="008B685A"/>
    <w:rsid w:val="008B68A7"/>
    <w:rsid w:val="008B6988"/>
    <w:rsid w:val="008B6A8B"/>
    <w:rsid w:val="008B7054"/>
    <w:rsid w:val="008B7236"/>
    <w:rsid w:val="008B72A0"/>
    <w:rsid w:val="008B7457"/>
    <w:rsid w:val="008B7581"/>
    <w:rsid w:val="008B75F7"/>
    <w:rsid w:val="008B7637"/>
    <w:rsid w:val="008B7674"/>
    <w:rsid w:val="008B76E2"/>
    <w:rsid w:val="008B784F"/>
    <w:rsid w:val="008B7A17"/>
    <w:rsid w:val="008B7B61"/>
    <w:rsid w:val="008B7C37"/>
    <w:rsid w:val="008B7EF5"/>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73"/>
    <w:rsid w:val="008C1DDF"/>
    <w:rsid w:val="008C20E9"/>
    <w:rsid w:val="008C250D"/>
    <w:rsid w:val="008C266B"/>
    <w:rsid w:val="008C2986"/>
    <w:rsid w:val="008C2DE1"/>
    <w:rsid w:val="008C2E18"/>
    <w:rsid w:val="008C2E43"/>
    <w:rsid w:val="008C2F5B"/>
    <w:rsid w:val="008C310F"/>
    <w:rsid w:val="008C3319"/>
    <w:rsid w:val="008C3472"/>
    <w:rsid w:val="008C3504"/>
    <w:rsid w:val="008C35FE"/>
    <w:rsid w:val="008C3637"/>
    <w:rsid w:val="008C367D"/>
    <w:rsid w:val="008C3868"/>
    <w:rsid w:val="008C39B7"/>
    <w:rsid w:val="008C3AE4"/>
    <w:rsid w:val="008C3D06"/>
    <w:rsid w:val="008C3F0D"/>
    <w:rsid w:val="008C401D"/>
    <w:rsid w:val="008C4086"/>
    <w:rsid w:val="008C4097"/>
    <w:rsid w:val="008C42F9"/>
    <w:rsid w:val="008C440C"/>
    <w:rsid w:val="008C45B8"/>
    <w:rsid w:val="008C47E5"/>
    <w:rsid w:val="008C491E"/>
    <w:rsid w:val="008C49A9"/>
    <w:rsid w:val="008C5004"/>
    <w:rsid w:val="008C5265"/>
    <w:rsid w:val="008C53E5"/>
    <w:rsid w:val="008C549B"/>
    <w:rsid w:val="008C5782"/>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610"/>
    <w:rsid w:val="008D7869"/>
    <w:rsid w:val="008D7B0D"/>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E23"/>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2B"/>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382"/>
    <w:rsid w:val="008F145F"/>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7E7"/>
    <w:rsid w:val="00902922"/>
    <w:rsid w:val="00902987"/>
    <w:rsid w:val="00902999"/>
    <w:rsid w:val="00902AE7"/>
    <w:rsid w:val="00902F34"/>
    <w:rsid w:val="00902FA3"/>
    <w:rsid w:val="009033A7"/>
    <w:rsid w:val="009034E4"/>
    <w:rsid w:val="00903538"/>
    <w:rsid w:val="009035DA"/>
    <w:rsid w:val="0090395A"/>
    <w:rsid w:val="00903AAE"/>
    <w:rsid w:val="00903D99"/>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C85"/>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49D"/>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93"/>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6DB"/>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78C"/>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5E"/>
    <w:rsid w:val="00931286"/>
    <w:rsid w:val="00931330"/>
    <w:rsid w:val="0093143E"/>
    <w:rsid w:val="00931528"/>
    <w:rsid w:val="00931936"/>
    <w:rsid w:val="009319E9"/>
    <w:rsid w:val="00931E6C"/>
    <w:rsid w:val="00932087"/>
    <w:rsid w:val="009320BC"/>
    <w:rsid w:val="009320C1"/>
    <w:rsid w:val="009320F0"/>
    <w:rsid w:val="00932107"/>
    <w:rsid w:val="00932198"/>
    <w:rsid w:val="00932307"/>
    <w:rsid w:val="00932398"/>
    <w:rsid w:val="0093252C"/>
    <w:rsid w:val="0093252D"/>
    <w:rsid w:val="0093277B"/>
    <w:rsid w:val="009328D5"/>
    <w:rsid w:val="0093295F"/>
    <w:rsid w:val="00932BF8"/>
    <w:rsid w:val="009330BB"/>
    <w:rsid w:val="009332A8"/>
    <w:rsid w:val="00933416"/>
    <w:rsid w:val="0093351C"/>
    <w:rsid w:val="009341E2"/>
    <w:rsid w:val="00934242"/>
    <w:rsid w:val="00934257"/>
    <w:rsid w:val="0093448C"/>
    <w:rsid w:val="009344CF"/>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C9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6F8"/>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5FED"/>
    <w:rsid w:val="00946025"/>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304"/>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367"/>
    <w:rsid w:val="009575A4"/>
    <w:rsid w:val="009577AA"/>
    <w:rsid w:val="00957A73"/>
    <w:rsid w:val="00957B81"/>
    <w:rsid w:val="00957C62"/>
    <w:rsid w:val="00957E45"/>
    <w:rsid w:val="00957F5A"/>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7E7"/>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3F0B"/>
    <w:rsid w:val="009748AC"/>
    <w:rsid w:val="0097499F"/>
    <w:rsid w:val="00974B1E"/>
    <w:rsid w:val="009751B8"/>
    <w:rsid w:val="009751F4"/>
    <w:rsid w:val="009753E6"/>
    <w:rsid w:val="00975480"/>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77"/>
    <w:rsid w:val="009805A2"/>
    <w:rsid w:val="00980614"/>
    <w:rsid w:val="00980A1A"/>
    <w:rsid w:val="00980EF1"/>
    <w:rsid w:val="00980F15"/>
    <w:rsid w:val="00981329"/>
    <w:rsid w:val="0098145D"/>
    <w:rsid w:val="00981462"/>
    <w:rsid w:val="00981656"/>
    <w:rsid w:val="00981B96"/>
    <w:rsid w:val="00981C6B"/>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4ED0"/>
    <w:rsid w:val="0098514B"/>
    <w:rsid w:val="009851CE"/>
    <w:rsid w:val="009854C3"/>
    <w:rsid w:val="009854E3"/>
    <w:rsid w:val="00985609"/>
    <w:rsid w:val="0098578C"/>
    <w:rsid w:val="009857BB"/>
    <w:rsid w:val="0098583B"/>
    <w:rsid w:val="009859A5"/>
    <w:rsid w:val="0098613A"/>
    <w:rsid w:val="009863C8"/>
    <w:rsid w:val="00986423"/>
    <w:rsid w:val="009865D1"/>
    <w:rsid w:val="00986697"/>
    <w:rsid w:val="009868FE"/>
    <w:rsid w:val="00986A16"/>
    <w:rsid w:val="00986C23"/>
    <w:rsid w:val="00986E44"/>
    <w:rsid w:val="0098707D"/>
    <w:rsid w:val="009870AE"/>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160"/>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6E2"/>
    <w:rsid w:val="009B173B"/>
    <w:rsid w:val="009B1B46"/>
    <w:rsid w:val="009B1D0B"/>
    <w:rsid w:val="009B1EAC"/>
    <w:rsid w:val="009B2123"/>
    <w:rsid w:val="009B214E"/>
    <w:rsid w:val="009B24F5"/>
    <w:rsid w:val="009B253E"/>
    <w:rsid w:val="009B2806"/>
    <w:rsid w:val="009B2A5A"/>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484"/>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4C1"/>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0B"/>
    <w:rsid w:val="009E1FCD"/>
    <w:rsid w:val="009E2483"/>
    <w:rsid w:val="009E26C7"/>
    <w:rsid w:val="009E283C"/>
    <w:rsid w:val="009E299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B26"/>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BB"/>
    <w:rsid w:val="009F36E9"/>
    <w:rsid w:val="009F3CE9"/>
    <w:rsid w:val="009F43ED"/>
    <w:rsid w:val="009F454A"/>
    <w:rsid w:val="009F45E4"/>
    <w:rsid w:val="009F4BCC"/>
    <w:rsid w:val="009F4C49"/>
    <w:rsid w:val="009F4F45"/>
    <w:rsid w:val="009F4F89"/>
    <w:rsid w:val="009F52BD"/>
    <w:rsid w:val="009F5420"/>
    <w:rsid w:val="009F54E0"/>
    <w:rsid w:val="009F5510"/>
    <w:rsid w:val="009F5AE7"/>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1E91"/>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3D"/>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705"/>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555"/>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4A4"/>
    <w:rsid w:val="00A2559A"/>
    <w:rsid w:val="00A2562B"/>
    <w:rsid w:val="00A25768"/>
    <w:rsid w:val="00A258D1"/>
    <w:rsid w:val="00A25A5B"/>
    <w:rsid w:val="00A25CA6"/>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0E5"/>
    <w:rsid w:val="00A32264"/>
    <w:rsid w:val="00A32340"/>
    <w:rsid w:val="00A3277D"/>
    <w:rsid w:val="00A32888"/>
    <w:rsid w:val="00A32974"/>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A20"/>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2F76"/>
    <w:rsid w:val="00A53118"/>
    <w:rsid w:val="00A53218"/>
    <w:rsid w:val="00A53332"/>
    <w:rsid w:val="00A53476"/>
    <w:rsid w:val="00A536B6"/>
    <w:rsid w:val="00A53706"/>
    <w:rsid w:val="00A53872"/>
    <w:rsid w:val="00A53C82"/>
    <w:rsid w:val="00A540DE"/>
    <w:rsid w:val="00A54148"/>
    <w:rsid w:val="00A541CA"/>
    <w:rsid w:val="00A5429E"/>
    <w:rsid w:val="00A54573"/>
    <w:rsid w:val="00A54761"/>
    <w:rsid w:val="00A54B1A"/>
    <w:rsid w:val="00A54CB8"/>
    <w:rsid w:val="00A54D0E"/>
    <w:rsid w:val="00A54FBC"/>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1E1"/>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298"/>
    <w:rsid w:val="00A7673F"/>
    <w:rsid w:val="00A76B92"/>
    <w:rsid w:val="00A76BA2"/>
    <w:rsid w:val="00A76C02"/>
    <w:rsid w:val="00A76C4F"/>
    <w:rsid w:val="00A76DF5"/>
    <w:rsid w:val="00A76E6E"/>
    <w:rsid w:val="00A76F58"/>
    <w:rsid w:val="00A77153"/>
    <w:rsid w:val="00A774B4"/>
    <w:rsid w:val="00A800E6"/>
    <w:rsid w:val="00A80136"/>
    <w:rsid w:val="00A801CC"/>
    <w:rsid w:val="00A803D0"/>
    <w:rsid w:val="00A8072C"/>
    <w:rsid w:val="00A80ED8"/>
    <w:rsid w:val="00A81156"/>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2A4"/>
    <w:rsid w:val="00A8233E"/>
    <w:rsid w:val="00A82358"/>
    <w:rsid w:val="00A82874"/>
    <w:rsid w:val="00A82968"/>
    <w:rsid w:val="00A8298C"/>
    <w:rsid w:val="00A830C9"/>
    <w:rsid w:val="00A830FF"/>
    <w:rsid w:val="00A836ED"/>
    <w:rsid w:val="00A83A4A"/>
    <w:rsid w:val="00A83A5A"/>
    <w:rsid w:val="00A83CD2"/>
    <w:rsid w:val="00A83D9C"/>
    <w:rsid w:val="00A83E0A"/>
    <w:rsid w:val="00A84136"/>
    <w:rsid w:val="00A841FF"/>
    <w:rsid w:val="00A842E3"/>
    <w:rsid w:val="00A843F2"/>
    <w:rsid w:val="00A8451C"/>
    <w:rsid w:val="00A84593"/>
    <w:rsid w:val="00A845E5"/>
    <w:rsid w:val="00A84737"/>
    <w:rsid w:val="00A848BB"/>
    <w:rsid w:val="00A8492B"/>
    <w:rsid w:val="00A84D38"/>
    <w:rsid w:val="00A84DBD"/>
    <w:rsid w:val="00A84DF5"/>
    <w:rsid w:val="00A850D8"/>
    <w:rsid w:val="00A8525E"/>
    <w:rsid w:val="00A85791"/>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87A71"/>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A81"/>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6B8"/>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1B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7E8"/>
    <w:rsid w:val="00AA38A6"/>
    <w:rsid w:val="00AA3B6A"/>
    <w:rsid w:val="00AA3C94"/>
    <w:rsid w:val="00AA3D23"/>
    <w:rsid w:val="00AA3E46"/>
    <w:rsid w:val="00AA4032"/>
    <w:rsid w:val="00AA40C0"/>
    <w:rsid w:val="00AA4339"/>
    <w:rsid w:val="00AA43AB"/>
    <w:rsid w:val="00AA46AA"/>
    <w:rsid w:val="00AA46AF"/>
    <w:rsid w:val="00AA4768"/>
    <w:rsid w:val="00AA4924"/>
    <w:rsid w:val="00AA49BB"/>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23"/>
    <w:rsid w:val="00AB0AF2"/>
    <w:rsid w:val="00AB0C46"/>
    <w:rsid w:val="00AB0EE3"/>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B5"/>
    <w:rsid w:val="00AB39F0"/>
    <w:rsid w:val="00AB3A9D"/>
    <w:rsid w:val="00AB3AE0"/>
    <w:rsid w:val="00AB3C69"/>
    <w:rsid w:val="00AB3C87"/>
    <w:rsid w:val="00AB3E95"/>
    <w:rsid w:val="00AB42D7"/>
    <w:rsid w:val="00AB4362"/>
    <w:rsid w:val="00AB43C8"/>
    <w:rsid w:val="00AB4504"/>
    <w:rsid w:val="00AB4520"/>
    <w:rsid w:val="00AB47AD"/>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2CB6"/>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DDB"/>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951"/>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D81"/>
    <w:rsid w:val="00AE0F1B"/>
    <w:rsid w:val="00AE0F61"/>
    <w:rsid w:val="00AE1226"/>
    <w:rsid w:val="00AE1C44"/>
    <w:rsid w:val="00AE263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5ACB"/>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1D38"/>
    <w:rsid w:val="00AF2480"/>
    <w:rsid w:val="00AF24A0"/>
    <w:rsid w:val="00AF2534"/>
    <w:rsid w:val="00AF295D"/>
    <w:rsid w:val="00AF3423"/>
    <w:rsid w:val="00AF3861"/>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684"/>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1DE6"/>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3DB3"/>
    <w:rsid w:val="00B04494"/>
    <w:rsid w:val="00B0452D"/>
    <w:rsid w:val="00B04543"/>
    <w:rsid w:val="00B045EE"/>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23"/>
    <w:rsid w:val="00B1356C"/>
    <w:rsid w:val="00B136EF"/>
    <w:rsid w:val="00B1384E"/>
    <w:rsid w:val="00B13B4E"/>
    <w:rsid w:val="00B13B92"/>
    <w:rsid w:val="00B13E37"/>
    <w:rsid w:val="00B14727"/>
    <w:rsid w:val="00B14DE9"/>
    <w:rsid w:val="00B1542D"/>
    <w:rsid w:val="00B156EE"/>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85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700"/>
    <w:rsid w:val="00B25B4F"/>
    <w:rsid w:val="00B25CE4"/>
    <w:rsid w:val="00B26181"/>
    <w:rsid w:val="00B261DC"/>
    <w:rsid w:val="00B26279"/>
    <w:rsid w:val="00B26477"/>
    <w:rsid w:val="00B26576"/>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2D3"/>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9FC"/>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6C1"/>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253"/>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9B5"/>
    <w:rsid w:val="00B52C1D"/>
    <w:rsid w:val="00B52C2D"/>
    <w:rsid w:val="00B52DC4"/>
    <w:rsid w:val="00B52F4E"/>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43D"/>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CCC"/>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314"/>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852"/>
    <w:rsid w:val="00B74C10"/>
    <w:rsid w:val="00B74D8B"/>
    <w:rsid w:val="00B74ED3"/>
    <w:rsid w:val="00B75158"/>
    <w:rsid w:val="00B7518A"/>
    <w:rsid w:val="00B751C9"/>
    <w:rsid w:val="00B75635"/>
    <w:rsid w:val="00B7577A"/>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276"/>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600"/>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4B1"/>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5F90"/>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017"/>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662"/>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CF"/>
    <w:rsid w:val="00BC4AF6"/>
    <w:rsid w:val="00BC4D7F"/>
    <w:rsid w:val="00BC4E2D"/>
    <w:rsid w:val="00BC5443"/>
    <w:rsid w:val="00BC5D40"/>
    <w:rsid w:val="00BC5D57"/>
    <w:rsid w:val="00BC5E0B"/>
    <w:rsid w:val="00BC5EEC"/>
    <w:rsid w:val="00BC611D"/>
    <w:rsid w:val="00BC61AE"/>
    <w:rsid w:val="00BC61D4"/>
    <w:rsid w:val="00BC6373"/>
    <w:rsid w:val="00BC67FA"/>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9D7"/>
    <w:rsid w:val="00BD0A99"/>
    <w:rsid w:val="00BD0AD8"/>
    <w:rsid w:val="00BD0B2B"/>
    <w:rsid w:val="00BD0C6A"/>
    <w:rsid w:val="00BD0CE5"/>
    <w:rsid w:val="00BD0E0B"/>
    <w:rsid w:val="00BD1062"/>
    <w:rsid w:val="00BD1261"/>
    <w:rsid w:val="00BD19DE"/>
    <w:rsid w:val="00BD1F7F"/>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6C3"/>
    <w:rsid w:val="00BD47BC"/>
    <w:rsid w:val="00BD48EC"/>
    <w:rsid w:val="00BD4BE4"/>
    <w:rsid w:val="00BD4EAE"/>
    <w:rsid w:val="00BD5038"/>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DE2"/>
    <w:rsid w:val="00BE5FA0"/>
    <w:rsid w:val="00BE62B5"/>
    <w:rsid w:val="00BE67F5"/>
    <w:rsid w:val="00BE6A45"/>
    <w:rsid w:val="00BE6A69"/>
    <w:rsid w:val="00BE6B0D"/>
    <w:rsid w:val="00BE6DF9"/>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A29"/>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2B7"/>
    <w:rsid w:val="00BF43B7"/>
    <w:rsid w:val="00BF4414"/>
    <w:rsid w:val="00BF47B3"/>
    <w:rsid w:val="00BF4858"/>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A26"/>
    <w:rsid w:val="00BF6D29"/>
    <w:rsid w:val="00BF6F65"/>
    <w:rsid w:val="00BF6FA1"/>
    <w:rsid w:val="00BF72C9"/>
    <w:rsid w:val="00BF74F1"/>
    <w:rsid w:val="00BF74FE"/>
    <w:rsid w:val="00BF775D"/>
    <w:rsid w:val="00BF7784"/>
    <w:rsid w:val="00BF7B1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2BA"/>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2BA"/>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6AB"/>
    <w:rsid w:val="00C20ABC"/>
    <w:rsid w:val="00C20C34"/>
    <w:rsid w:val="00C20C7A"/>
    <w:rsid w:val="00C20F96"/>
    <w:rsid w:val="00C21062"/>
    <w:rsid w:val="00C21197"/>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1D1A"/>
    <w:rsid w:val="00C32049"/>
    <w:rsid w:val="00C320B5"/>
    <w:rsid w:val="00C3221A"/>
    <w:rsid w:val="00C32288"/>
    <w:rsid w:val="00C323F9"/>
    <w:rsid w:val="00C3269E"/>
    <w:rsid w:val="00C32732"/>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A29"/>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279"/>
    <w:rsid w:val="00C3775D"/>
    <w:rsid w:val="00C3794F"/>
    <w:rsid w:val="00C379EC"/>
    <w:rsid w:val="00C37A8C"/>
    <w:rsid w:val="00C37C0E"/>
    <w:rsid w:val="00C37D75"/>
    <w:rsid w:val="00C37FE3"/>
    <w:rsid w:val="00C37FF9"/>
    <w:rsid w:val="00C40371"/>
    <w:rsid w:val="00C4039E"/>
    <w:rsid w:val="00C403B3"/>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CDC"/>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DE8"/>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AA3"/>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06"/>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80"/>
    <w:rsid w:val="00C716D6"/>
    <w:rsid w:val="00C717C7"/>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1E9"/>
    <w:rsid w:val="00C73221"/>
    <w:rsid w:val="00C73236"/>
    <w:rsid w:val="00C732F7"/>
    <w:rsid w:val="00C7340C"/>
    <w:rsid w:val="00C735A0"/>
    <w:rsid w:val="00C735D1"/>
    <w:rsid w:val="00C738A6"/>
    <w:rsid w:val="00C73AC3"/>
    <w:rsid w:val="00C73FF7"/>
    <w:rsid w:val="00C7424A"/>
    <w:rsid w:val="00C7444C"/>
    <w:rsid w:val="00C74518"/>
    <w:rsid w:val="00C7474D"/>
    <w:rsid w:val="00C74F8D"/>
    <w:rsid w:val="00C74FA6"/>
    <w:rsid w:val="00C75042"/>
    <w:rsid w:val="00C752C9"/>
    <w:rsid w:val="00C75318"/>
    <w:rsid w:val="00C75AB1"/>
    <w:rsid w:val="00C75C66"/>
    <w:rsid w:val="00C75C7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2A"/>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66"/>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CE7"/>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078"/>
    <w:rsid w:val="00C955D4"/>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7A7"/>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02B"/>
    <w:rsid w:val="00CB52A0"/>
    <w:rsid w:val="00CB595A"/>
    <w:rsid w:val="00CB5BF3"/>
    <w:rsid w:val="00CB62D8"/>
    <w:rsid w:val="00CB63DA"/>
    <w:rsid w:val="00CB6890"/>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304"/>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977"/>
    <w:rsid w:val="00CC6A4D"/>
    <w:rsid w:val="00CC6A90"/>
    <w:rsid w:val="00CC6B2F"/>
    <w:rsid w:val="00CC7072"/>
    <w:rsid w:val="00CC7678"/>
    <w:rsid w:val="00CC7742"/>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5EF"/>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AE9"/>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54"/>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5F33"/>
    <w:rsid w:val="00CF6040"/>
    <w:rsid w:val="00CF60B7"/>
    <w:rsid w:val="00CF60E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43"/>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3F79"/>
    <w:rsid w:val="00D040A2"/>
    <w:rsid w:val="00D041DC"/>
    <w:rsid w:val="00D0426D"/>
    <w:rsid w:val="00D0436F"/>
    <w:rsid w:val="00D04574"/>
    <w:rsid w:val="00D04832"/>
    <w:rsid w:val="00D049DA"/>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4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D41"/>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9E8"/>
    <w:rsid w:val="00D25A99"/>
    <w:rsid w:val="00D25B55"/>
    <w:rsid w:val="00D25E39"/>
    <w:rsid w:val="00D26061"/>
    <w:rsid w:val="00D261C7"/>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FC3"/>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3F9D"/>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E10"/>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E5A"/>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5F3B"/>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ECB"/>
    <w:rsid w:val="00D50F24"/>
    <w:rsid w:val="00D51474"/>
    <w:rsid w:val="00D5161B"/>
    <w:rsid w:val="00D5166F"/>
    <w:rsid w:val="00D5173F"/>
    <w:rsid w:val="00D51A34"/>
    <w:rsid w:val="00D51C42"/>
    <w:rsid w:val="00D51E52"/>
    <w:rsid w:val="00D521EE"/>
    <w:rsid w:val="00D52275"/>
    <w:rsid w:val="00D5289B"/>
    <w:rsid w:val="00D5295B"/>
    <w:rsid w:val="00D52973"/>
    <w:rsid w:val="00D52D24"/>
    <w:rsid w:val="00D52D2A"/>
    <w:rsid w:val="00D52D39"/>
    <w:rsid w:val="00D52E0F"/>
    <w:rsid w:val="00D52E41"/>
    <w:rsid w:val="00D52EE1"/>
    <w:rsid w:val="00D52F32"/>
    <w:rsid w:val="00D53032"/>
    <w:rsid w:val="00D5345A"/>
    <w:rsid w:val="00D5353D"/>
    <w:rsid w:val="00D53584"/>
    <w:rsid w:val="00D535F8"/>
    <w:rsid w:val="00D53666"/>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D84"/>
    <w:rsid w:val="00D56F59"/>
    <w:rsid w:val="00D57045"/>
    <w:rsid w:val="00D5728D"/>
    <w:rsid w:val="00D57504"/>
    <w:rsid w:val="00D575E3"/>
    <w:rsid w:val="00D57861"/>
    <w:rsid w:val="00D57BB1"/>
    <w:rsid w:val="00D57BB4"/>
    <w:rsid w:val="00D57C01"/>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400"/>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1C"/>
    <w:rsid w:val="00D763E3"/>
    <w:rsid w:val="00D76651"/>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D79"/>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5E4"/>
    <w:rsid w:val="00D836EE"/>
    <w:rsid w:val="00D838EC"/>
    <w:rsid w:val="00D8394A"/>
    <w:rsid w:val="00D839F0"/>
    <w:rsid w:val="00D83B24"/>
    <w:rsid w:val="00D83B2B"/>
    <w:rsid w:val="00D83C17"/>
    <w:rsid w:val="00D83D29"/>
    <w:rsid w:val="00D84487"/>
    <w:rsid w:val="00D84649"/>
    <w:rsid w:val="00D8467A"/>
    <w:rsid w:val="00D849F9"/>
    <w:rsid w:val="00D84B5D"/>
    <w:rsid w:val="00D84D28"/>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8E1"/>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07"/>
    <w:rsid w:val="00DA4364"/>
    <w:rsid w:val="00DA4624"/>
    <w:rsid w:val="00DA488B"/>
    <w:rsid w:val="00DA491D"/>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1DC7"/>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AA4"/>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820"/>
    <w:rsid w:val="00DC69EF"/>
    <w:rsid w:val="00DC6C2B"/>
    <w:rsid w:val="00DC6CE9"/>
    <w:rsid w:val="00DC6D0A"/>
    <w:rsid w:val="00DC7039"/>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0E"/>
    <w:rsid w:val="00DD0DB0"/>
    <w:rsid w:val="00DD0F33"/>
    <w:rsid w:val="00DD0F86"/>
    <w:rsid w:val="00DD107E"/>
    <w:rsid w:val="00DD129C"/>
    <w:rsid w:val="00DD1447"/>
    <w:rsid w:val="00DD14C7"/>
    <w:rsid w:val="00DD158E"/>
    <w:rsid w:val="00DD16F1"/>
    <w:rsid w:val="00DD1877"/>
    <w:rsid w:val="00DD1911"/>
    <w:rsid w:val="00DD1937"/>
    <w:rsid w:val="00DD1D3D"/>
    <w:rsid w:val="00DD1DD3"/>
    <w:rsid w:val="00DD1E1B"/>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E1D"/>
    <w:rsid w:val="00DD5F4C"/>
    <w:rsid w:val="00DD5FC1"/>
    <w:rsid w:val="00DD60B7"/>
    <w:rsid w:val="00DD6193"/>
    <w:rsid w:val="00DD640F"/>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B96"/>
    <w:rsid w:val="00DE0E13"/>
    <w:rsid w:val="00DE1701"/>
    <w:rsid w:val="00DE17EA"/>
    <w:rsid w:val="00DE1B8C"/>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94"/>
    <w:rsid w:val="00DE2CFD"/>
    <w:rsid w:val="00DE2CFF"/>
    <w:rsid w:val="00DE3074"/>
    <w:rsid w:val="00DE31CB"/>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4FDB"/>
    <w:rsid w:val="00DE509D"/>
    <w:rsid w:val="00DE53C1"/>
    <w:rsid w:val="00DE5649"/>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015"/>
    <w:rsid w:val="00E021E3"/>
    <w:rsid w:val="00E025E7"/>
    <w:rsid w:val="00E02815"/>
    <w:rsid w:val="00E02A92"/>
    <w:rsid w:val="00E02D59"/>
    <w:rsid w:val="00E02E0E"/>
    <w:rsid w:val="00E030F4"/>
    <w:rsid w:val="00E030F6"/>
    <w:rsid w:val="00E03594"/>
    <w:rsid w:val="00E035D5"/>
    <w:rsid w:val="00E03934"/>
    <w:rsid w:val="00E03980"/>
    <w:rsid w:val="00E04150"/>
    <w:rsid w:val="00E0430D"/>
    <w:rsid w:val="00E04356"/>
    <w:rsid w:val="00E04405"/>
    <w:rsid w:val="00E044D0"/>
    <w:rsid w:val="00E045F7"/>
    <w:rsid w:val="00E047AC"/>
    <w:rsid w:val="00E048CD"/>
    <w:rsid w:val="00E04AAB"/>
    <w:rsid w:val="00E04D4B"/>
    <w:rsid w:val="00E0529B"/>
    <w:rsid w:val="00E05510"/>
    <w:rsid w:val="00E0578D"/>
    <w:rsid w:val="00E057B4"/>
    <w:rsid w:val="00E057DE"/>
    <w:rsid w:val="00E05804"/>
    <w:rsid w:val="00E05FAE"/>
    <w:rsid w:val="00E060EC"/>
    <w:rsid w:val="00E0668D"/>
    <w:rsid w:val="00E06706"/>
    <w:rsid w:val="00E06BC4"/>
    <w:rsid w:val="00E06D0F"/>
    <w:rsid w:val="00E06F56"/>
    <w:rsid w:val="00E06FB3"/>
    <w:rsid w:val="00E07058"/>
    <w:rsid w:val="00E07413"/>
    <w:rsid w:val="00E0742F"/>
    <w:rsid w:val="00E07515"/>
    <w:rsid w:val="00E0760B"/>
    <w:rsid w:val="00E07870"/>
    <w:rsid w:val="00E078A8"/>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78"/>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55B"/>
    <w:rsid w:val="00E15763"/>
    <w:rsid w:val="00E15B0A"/>
    <w:rsid w:val="00E15BC3"/>
    <w:rsid w:val="00E15C88"/>
    <w:rsid w:val="00E15D2B"/>
    <w:rsid w:val="00E15DCC"/>
    <w:rsid w:val="00E15E55"/>
    <w:rsid w:val="00E15EEB"/>
    <w:rsid w:val="00E16131"/>
    <w:rsid w:val="00E161D0"/>
    <w:rsid w:val="00E1624B"/>
    <w:rsid w:val="00E163C4"/>
    <w:rsid w:val="00E168F5"/>
    <w:rsid w:val="00E16D55"/>
    <w:rsid w:val="00E16E71"/>
    <w:rsid w:val="00E16F87"/>
    <w:rsid w:val="00E173A1"/>
    <w:rsid w:val="00E17771"/>
    <w:rsid w:val="00E17873"/>
    <w:rsid w:val="00E1789F"/>
    <w:rsid w:val="00E17B21"/>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B8"/>
    <w:rsid w:val="00E223D3"/>
    <w:rsid w:val="00E22719"/>
    <w:rsid w:val="00E227E5"/>
    <w:rsid w:val="00E22A04"/>
    <w:rsid w:val="00E22B87"/>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19"/>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68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8E5"/>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1E"/>
    <w:rsid w:val="00E46EA6"/>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9FE"/>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937"/>
    <w:rsid w:val="00E53A60"/>
    <w:rsid w:val="00E53A9A"/>
    <w:rsid w:val="00E53B3E"/>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0CE4"/>
    <w:rsid w:val="00E612E4"/>
    <w:rsid w:val="00E6136C"/>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4B5D"/>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39C"/>
    <w:rsid w:val="00E67789"/>
    <w:rsid w:val="00E67793"/>
    <w:rsid w:val="00E67B5F"/>
    <w:rsid w:val="00E7046F"/>
    <w:rsid w:val="00E706B9"/>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682"/>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1F09"/>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33A"/>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5B"/>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9FE"/>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1AE"/>
    <w:rsid w:val="00EB279C"/>
    <w:rsid w:val="00EB2802"/>
    <w:rsid w:val="00EB2831"/>
    <w:rsid w:val="00EB2C07"/>
    <w:rsid w:val="00EB2E78"/>
    <w:rsid w:val="00EB2EFB"/>
    <w:rsid w:val="00EB2F36"/>
    <w:rsid w:val="00EB303E"/>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9D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2CD"/>
    <w:rsid w:val="00ED25F2"/>
    <w:rsid w:val="00ED2B05"/>
    <w:rsid w:val="00ED2CDC"/>
    <w:rsid w:val="00ED3216"/>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687"/>
    <w:rsid w:val="00ED6972"/>
    <w:rsid w:val="00ED6986"/>
    <w:rsid w:val="00ED7022"/>
    <w:rsid w:val="00ED70A6"/>
    <w:rsid w:val="00ED711C"/>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76"/>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B5"/>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0A3"/>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1"/>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23B"/>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1F"/>
    <w:rsid w:val="00F23640"/>
    <w:rsid w:val="00F23641"/>
    <w:rsid w:val="00F23926"/>
    <w:rsid w:val="00F23BF0"/>
    <w:rsid w:val="00F23D0F"/>
    <w:rsid w:val="00F23E88"/>
    <w:rsid w:val="00F24159"/>
    <w:rsid w:val="00F2446D"/>
    <w:rsid w:val="00F244B9"/>
    <w:rsid w:val="00F24635"/>
    <w:rsid w:val="00F2488C"/>
    <w:rsid w:val="00F248A8"/>
    <w:rsid w:val="00F24E4C"/>
    <w:rsid w:val="00F24EDD"/>
    <w:rsid w:val="00F25262"/>
    <w:rsid w:val="00F2529C"/>
    <w:rsid w:val="00F252EC"/>
    <w:rsid w:val="00F25429"/>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19E"/>
    <w:rsid w:val="00F3023C"/>
    <w:rsid w:val="00F303D1"/>
    <w:rsid w:val="00F3048C"/>
    <w:rsid w:val="00F3053E"/>
    <w:rsid w:val="00F305E2"/>
    <w:rsid w:val="00F30DAC"/>
    <w:rsid w:val="00F30FA6"/>
    <w:rsid w:val="00F313B3"/>
    <w:rsid w:val="00F31479"/>
    <w:rsid w:val="00F31786"/>
    <w:rsid w:val="00F317C5"/>
    <w:rsid w:val="00F31AFA"/>
    <w:rsid w:val="00F31BB3"/>
    <w:rsid w:val="00F31E01"/>
    <w:rsid w:val="00F31E1E"/>
    <w:rsid w:val="00F31E6B"/>
    <w:rsid w:val="00F31F84"/>
    <w:rsid w:val="00F32111"/>
    <w:rsid w:val="00F324AB"/>
    <w:rsid w:val="00F32646"/>
    <w:rsid w:val="00F32876"/>
    <w:rsid w:val="00F32AFB"/>
    <w:rsid w:val="00F32B17"/>
    <w:rsid w:val="00F32C49"/>
    <w:rsid w:val="00F333E3"/>
    <w:rsid w:val="00F3376E"/>
    <w:rsid w:val="00F33B84"/>
    <w:rsid w:val="00F33DD6"/>
    <w:rsid w:val="00F33F27"/>
    <w:rsid w:val="00F342F0"/>
    <w:rsid w:val="00F343D8"/>
    <w:rsid w:val="00F347F2"/>
    <w:rsid w:val="00F34884"/>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6E6"/>
    <w:rsid w:val="00F379BA"/>
    <w:rsid w:val="00F37A7F"/>
    <w:rsid w:val="00F37AEF"/>
    <w:rsid w:val="00F37BF9"/>
    <w:rsid w:val="00F37C3F"/>
    <w:rsid w:val="00F4036E"/>
    <w:rsid w:val="00F40376"/>
    <w:rsid w:val="00F40664"/>
    <w:rsid w:val="00F4097A"/>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38C"/>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3F5"/>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1FF1"/>
    <w:rsid w:val="00F622E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190"/>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AE3"/>
    <w:rsid w:val="00F74CF6"/>
    <w:rsid w:val="00F74DB7"/>
    <w:rsid w:val="00F74E75"/>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06E"/>
    <w:rsid w:val="00F77705"/>
    <w:rsid w:val="00F77AB1"/>
    <w:rsid w:val="00F77B17"/>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6F"/>
    <w:rsid w:val="00F81BA4"/>
    <w:rsid w:val="00F81E29"/>
    <w:rsid w:val="00F81E6D"/>
    <w:rsid w:val="00F8209C"/>
    <w:rsid w:val="00F82162"/>
    <w:rsid w:val="00F82AEA"/>
    <w:rsid w:val="00F82CA7"/>
    <w:rsid w:val="00F82CC9"/>
    <w:rsid w:val="00F82EE3"/>
    <w:rsid w:val="00F833A8"/>
    <w:rsid w:val="00F833E2"/>
    <w:rsid w:val="00F8342A"/>
    <w:rsid w:val="00F836E7"/>
    <w:rsid w:val="00F83C62"/>
    <w:rsid w:val="00F83F29"/>
    <w:rsid w:val="00F84311"/>
    <w:rsid w:val="00F8469C"/>
    <w:rsid w:val="00F8483B"/>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2B2"/>
    <w:rsid w:val="00F96544"/>
    <w:rsid w:val="00F965DB"/>
    <w:rsid w:val="00F96867"/>
    <w:rsid w:val="00F96A12"/>
    <w:rsid w:val="00F96C84"/>
    <w:rsid w:val="00F96CE6"/>
    <w:rsid w:val="00F96D03"/>
    <w:rsid w:val="00F976A9"/>
    <w:rsid w:val="00F9772A"/>
    <w:rsid w:val="00F977E1"/>
    <w:rsid w:val="00F97B75"/>
    <w:rsid w:val="00F97BBF"/>
    <w:rsid w:val="00F97C33"/>
    <w:rsid w:val="00FA02DE"/>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0F2"/>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166"/>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252"/>
    <w:rsid w:val="00FC2593"/>
    <w:rsid w:val="00FC266A"/>
    <w:rsid w:val="00FC2864"/>
    <w:rsid w:val="00FC2B42"/>
    <w:rsid w:val="00FC2F80"/>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28C"/>
    <w:rsid w:val="00FC4305"/>
    <w:rsid w:val="00FC456F"/>
    <w:rsid w:val="00FC4732"/>
    <w:rsid w:val="00FC4B11"/>
    <w:rsid w:val="00FC4D05"/>
    <w:rsid w:val="00FC5083"/>
    <w:rsid w:val="00FC50FD"/>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C7841"/>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3F2"/>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81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443"/>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2C7"/>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A0D"/>
    <w:rsid w:val="00FF6C0A"/>
    <w:rsid w:val="00FF6EF5"/>
    <w:rsid w:val="00FF70F7"/>
    <w:rsid w:val="00FF7298"/>
    <w:rsid w:val="00FF76FA"/>
    <w:rsid w:val="00FF7907"/>
    <w:rsid w:val="00FF796D"/>
    <w:rsid w:val="00FF7D95"/>
    <w:rsid w:val="00FF7D99"/>
    <w:rsid w:val="00FF7ECE"/>
    <w:rsid w:val="01083B8E"/>
    <w:rsid w:val="018C9224"/>
    <w:rsid w:val="01913A46"/>
    <w:rsid w:val="0203FE73"/>
    <w:rsid w:val="02D8375F"/>
    <w:rsid w:val="0313912A"/>
    <w:rsid w:val="03811F1D"/>
    <w:rsid w:val="03883253"/>
    <w:rsid w:val="03F6C28F"/>
    <w:rsid w:val="043D95EA"/>
    <w:rsid w:val="04438BFE"/>
    <w:rsid w:val="047EB213"/>
    <w:rsid w:val="04ABB54F"/>
    <w:rsid w:val="04AE73DE"/>
    <w:rsid w:val="04D9D171"/>
    <w:rsid w:val="04DAA6AA"/>
    <w:rsid w:val="053DB818"/>
    <w:rsid w:val="05466244"/>
    <w:rsid w:val="055069C4"/>
    <w:rsid w:val="058DA33E"/>
    <w:rsid w:val="05D9664B"/>
    <w:rsid w:val="061FAD5E"/>
    <w:rsid w:val="0634803C"/>
    <w:rsid w:val="06490B96"/>
    <w:rsid w:val="067ABF24"/>
    <w:rsid w:val="06F42F8F"/>
    <w:rsid w:val="07B8A257"/>
    <w:rsid w:val="07C588BE"/>
    <w:rsid w:val="0890120F"/>
    <w:rsid w:val="08B2BC26"/>
    <w:rsid w:val="094A3C50"/>
    <w:rsid w:val="09899A66"/>
    <w:rsid w:val="09A2EB91"/>
    <w:rsid w:val="09D1D4AE"/>
    <w:rsid w:val="0A70D97B"/>
    <w:rsid w:val="0B32CE06"/>
    <w:rsid w:val="0B36ADD2"/>
    <w:rsid w:val="0BB131B4"/>
    <w:rsid w:val="0BBC1994"/>
    <w:rsid w:val="0BDB1A73"/>
    <w:rsid w:val="0C2D6347"/>
    <w:rsid w:val="0C95CC25"/>
    <w:rsid w:val="0C97598E"/>
    <w:rsid w:val="0CEC587D"/>
    <w:rsid w:val="0D9FC84F"/>
    <w:rsid w:val="0DA3F6EA"/>
    <w:rsid w:val="0DEBAAC4"/>
    <w:rsid w:val="0E1B8148"/>
    <w:rsid w:val="0ED11B7D"/>
    <w:rsid w:val="0EE21F60"/>
    <w:rsid w:val="0F32D8BE"/>
    <w:rsid w:val="10269A98"/>
    <w:rsid w:val="1026C145"/>
    <w:rsid w:val="1027E859"/>
    <w:rsid w:val="102E382B"/>
    <w:rsid w:val="10B835F8"/>
    <w:rsid w:val="10E9C543"/>
    <w:rsid w:val="11152F6C"/>
    <w:rsid w:val="1128A3B8"/>
    <w:rsid w:val="115209D2"/>
    <w:rsid w:val="1174BC36"/>
    <w:rsid w:val="126FB0D8"/>
    <w:rsid w:val="1270FD50"/>
    <w:rsid w:val="12C47419"/>
    <w:rsid w:val="12D3E117"/>
    <w:rsid w:val="12F18E84"/>
    <w:rsid w:val="12FFB5B4"/>
    <w:rsid w:val="1300EDC0"/>
    <w:rsid w:val="13A6B612"/>
    <w:rsid w:val="14993111"/>
    <w:rsid w:val="150E893F"/>
    <w:rsid w:val="15188940"/>
    <w:rsid w:val="153DB1CA"/>
    <w:rsid w:val="15DE8BDE"/>
    <w:rsid w:val="160B81D9"/>
    <w:rsid w:val="16C9DC51"/>
    <w:rsid w:val="177964AD"/>
    <w:rsid w:val="17F1167A"/>
    <w:rsid w:val="18149085"/>
    <w:rsid w:val="182A8B57"/>
    <w:rsid w:val="182D1637"/>
    <w:rsid w:val="1861CCC6"/>
    <w:rsid w:val="18E1EBCE"/>
    <w:rsid w:val="18E52AC7"/>
    <w:rsid w:val="1933928F"/>
    <w:rsid w:val="1935C49C"/>
    <w:rsid w:val="19658A33"/>
    <w:rsid w:val="19C8BEBB"/>
    <w:rsid w:val="19F35F68"/>
    <w:rsid w:val="1A3D90C3"/>
    <w:rsid w:val="1A404606"/>
    <w:rsid w:val="1A9261EA"/>
    <w:rsid w:val="1AB1056F"/>
    <w:rsid w:val="1B4D619C"/>
    <w:rsid w:val="1BCD0203"/>
    <w:rsid w:val="1BDC9A9B"/>
    <w:rsid w:val="1CA3B61C"/>
    <w:rsid w:val="1D6BB8FF"/>
    <w:rsid w:val="1DD2E21A"/>
    <w:rsid w:val="1DE460C7"/>
    <w:rsid w:val="1DE4A50F"/>
    <w:rsid w:val="1E33B615"/>
    <w:rsid w:val="1E85110D"/>
    <w:rsid w:val="1EBC8B98"/>
    <w:rsid w:val="1EC32B51"/>
    <w:rsid w:val="1EC3B0E6"/>
    <w:rsid w:val="1EE8F06E"/>
    <w:rsid w:val="1F382DAD"/>
    <w:rsid w:val="1F3EF3E8"/>
    <w:rsid w:val="1F659AD1"/>
    <w:rsid w:val="1FDF48D5"/>
    <w:rsid w:val="200B5D93"/>
    <w:rsid w:val="2024EDBE"/>
    <w:rsid w:val="202C13F3"/>
    <w:rsid w:val="208064E1"/>
    <w:rsid w:val="208D4939"/>
    <w:rsid w:val="20DAA79F"/>
    <w:rsid w:val="214E83DB"/>
    <w:rsid w:val="216E674E"/>
    <w:rsid w:val="218EB25A"/>
    <w:rsid w:val="21C2C45F"/>
    <w:rsid w:val="21D07DD4"/>
    <w:rsid w:val="21FB8CF7"/>
    <w:rsid w:val="22742BA0"/>
    <w:rsid w:val="227A2A4C"/>
    <w:rsid w:val="22A948E6"/>
    <w:rsid w:val="22B595DB"/>
    <w:rsid w:val="236DCD5D"/>
    <w:rsid w:val="246EAA22"/>
    <w:rsid w:val="24A85D41"/>
    <w:rsid w:val="24CCA1A5"/>
    <w:rsid w:val="2541CC75"/>
    <w:rsid w:val="25D10C2C"/>
    <w:rsid w:val="26007B04"/>
    <w:rsid w:val="2637F2AD"/>
    <w:rsid w:val="263C0C98"/>
    <w:rsid w:val="26A0D825"/>
    <w:rsid w:val="26B8E9F0"/>
    <w:rsid w:val="26C9B91C"/>
    <w:rsid w:val="2730BF67"/>
    <w:rsid w:val="274AD17D"/>
    <w:rsid w:val="27772D22"/>
    <w:rsid w:val="2806E2C5"/>
    <w:rsid w:val="2826F73B"/>
    <w:rsid w:val="291E71C1"/>
    <w:rsid w:val="29227327"/>
    <w:rsid w:val="2927D484"/>
    <w:rsid w:val="2A1A0558"/>
    <w:rsid w:val="2A686029"/>
    <w:rsid w:val="2A9CC95E"/>
    <w:rsid w:val="2ACF16BF"/>
    <w:rsid w:val="2B1158A0"/>
    <w:rsid w:val="2B665488"/>
    <w:rsid w:val="2BDE5F31"/>
    <w:rsid w:val="2BDF319E"/>
    <w:rsid w:val="2C880440"/>
    <w:rsid w:val="2CACE613"/>
    <w:rsid w:val="2CB15289"/>
    <w:rsid w:val="2CEFD710"/>
    <w:rsid w:val="2DF31FB8"/>
    <w:rsid w:val="2E1BEE67"/>
    <w:rsid w:val="2E33C1F9"/>
    <w:rsid w:val="2E36172A"/>
    <w:rsid w:val="2E526C0B"/>
    <w:rsid w:val="2F1CD6E6"/>
    <w:rsid w:val="2F3E1790"/>
    <w:rsid w:val="2F8517CA"/>
    <w:rsid w:val="2F985FF6"/>
    <w:rsid w:val="2FAB04E1"/>
    <w:rsid w:val="2FB0D52D"/>
    <w:rsid w:val="2FC61DB9"/>
    <w:rsid w:val="2FD4916C"/>
    <w:rsid w:val="2FD9B4AA"/>
    <w:rsid w:val="2FF745E7"/>
    <w:rsid w:val="301BADC6"/>
    <w:rsid w:val="3048A08C"/>
    <w:rsid w:val="3048A9A5"/>
    <w:rsid w:val="3127FF63"/>
    <w:rsid w:val="3154391C"/>
    <w:rsid w:val="3190933C"/>
    <w:rsid w:val="31A6E7B7"/>
    <w:rsid w:val="322D3768"/>
    <w:rsid w:val="3280D188"/>
    <w:rsid w:val="3282AD1F"/>
    <w:rsid w:val="32C153E6"/>
    <w:rsid w:val="3311556C"/>
    <w:rsid w:val="333CBAEF"/>
    <w:rsid w:val="33563F47"/>
    <w:rsid w:val="3369A52D"/>
    <w:rsid w:val="336F6153"/>
    <w:rsid w:val="337A3890"/>
    <w:rsid w:val="337D1108"/>
    <w:rsid w:val="33BB9CF5"/>
    <w:rsid w:val="33FBF388"/>
    <w:rsid w:val="33FD1615"/>
    <w:rsid w:val="3432BA6A"/>
    <w:rsid w:val="344D557D"/>
    <w:rsid w:val="34A69DCE"/>
    <w:rsid w:val="356F44F1"/>
    <w:rsid w:val="3589AED1"/>
    <w:rsid w:val="35B30056"/>
    <w:rsid w:val="35E47749"/>
    <w:rsid w:val="35E71D42"/>
    <w:rsid w:val="35F7FA3A"/>
    <w:rsid w:val="360DD7EF"/>
    <w:rsid w:val="361CDC52"/>
    <w:rsid w:val="364E9807"/>
    <w:rsid w:val="36BB3B57"/>
    <w:rsid w:val="3700672C"/>
    <w:rsid w:val="37231EDC"/>
    <w:rsid w:val="373C8D95"/>
    <w:rsid w:val="374F6338"/>
    <w:rsid w:val="37764B3D"/>
    <w:rsid w:val="3777B743"/>
    <w:rsid w:val="38379BDB"/>
    <w:rsid w:val="383FF5AD"/>
    <w:rsid w:val="3886ECB7"/>
    <w:rsid w:val="38EA98B7"/>
    <w:rsid w:val="38FBDADD"/>
    <w:rsid w:val="398C4E5D"/>
    <w:rsid w:val="39D8F0AC"/>
    <w:rsid w:val="3A1DC58C"/>
    <w:rsid w:val="3A6289EC"/>
    <w:rsid w:val="3ACF5CF0"/>
    <w:rsid w:val="3AE0D75C"/>
    <w:rsid w:val="3AE14912"/>
    <w:rsid w:val="3B037B4B"/>
    <w:rsid w:val="3B862017"/>
    <w:rsid w:val="3C03862C"/>
    <w:rsid w:val="3C3DF26A"/>
    <w:rsid w:val="3C7A5309"/>
    <w:rsid w:val="3CDB30D9"/>
    <w:rsid w:val="3CFBFFB1"/>
    <w:rsid w:val="3D20439D"/>
    <w:rsid w:val="3D5CD07A"/>
    <w:rsid w:val="3DAD943D"/>
    <w:rsid w:val="3DC63E8D"/>
    <w:rsid w:val="3DC6579E"/>
    <w:rsid w:val="3E140006"/>
    <w:rsid w:val="3E323AC4"/>
    <w:rsid w:val="3E44F4E4"/>
    <w:rsid w:val="3E6AA5FA"/>
    <w:rsid w:val="3E833BD6"/>
    <w:rsid w:val="3F22DFCC"/>
    <w:rsid w:val="3F587B55"/>
    <w:rsid w:val="3F841C79"/>
    <w:rsid w:val="3FF2E4C1"/>
    <w:rsid w:val="40295A0C"/>
    <w:rsid w:val="4049E07A"/>
    <w:rsid w:val="405B8170"/>
    <w:rsid w:val="4062180F"/>
    <w:rsid w:val="40F4DBA2"/>
    <w:rsid w:val="412E9628"/>
    <w:rsid w:val="41F6084E"/>
    <w:rsid w:val="422F16A3"/>
    <w:rsid w:val="4244958A"/>
    <w:rsid w:val="42595376"/>
    <w:rsid w:val="426742DB"/>
    <w:rsid w:val="42702640"/>
    <w:rsid w:val="42EC5AF7"/>
    <w:rsid w:val="43352C95"/>
    <w:rsid w:val="43371FBB"/>
    <w:rsid w:val="4357E3F3"/>
    <w:rsid w:val="43C8CECB"/>
    <w:rsid w:val="43F54EF5"/>
    <w:rsid w:val="44169B8E"/>
    <w:rsid w:val="4493700A"/>
    <w:rsid w:val="44B753E9"/>
    <w:rsid w:val="44CC911D"/>
    <w:rsid w:val="45346A04"/>
    <w:rsid w:val="4534F7F2"/>
    <w:rsid w:val="455681C9"/>
    <w:rsid w:val="45917691"/>
    <w:rsid w:val="45AFFBC3"/>
    <w:rsid w:val="463AEF8B"/>
    <w:rsid w:val="46472905"/>
    <w:rsid w:val="469B4F3C"/>
    <w:rsid w:val="46C8EF08"/>
    <w:rsid w:val="46D66990"/>
    <w:rsid w:val="46DAC7E0"/>
    <w:rsid w:val="470B5BB9"/>
    <w:rsid w:val="4736CE13"/>
    <w:rsid w:val="477FBA12"/>
    <w:rsid w:val="4787856D"/>
    <w:rsid w:val="47A83A27"/>
    <w:rsid w:val="47BFCC1A"/>
    <w:rsid w:val="4822B27F"/>
    <w:rsid w:val="48CB629F"/>
    <w:rsid w:val="49C3B728"/>
    <w:rsid w:val="49D0F6EB"/>
    <w:rsid w:val="4A08233E"/>
    <w:rsid w:val="4A62FCB8"/>
    <w:rsid w:val="4B198325"/>
    <w:rsid w:val="4B506863"/>
    <w:rsid w:val="4BB30947"/>
    <w:rsid w:val="4C577394"/>
    <w:rsid w:val="4CB46063"/>
    <w:rsid w:val="4CCD4CB0"/>
    <w:rsid w:val="4CF8F163"/>
    <w:rsid w:val="4D01B192"/>
    <w:rsid w:val="4D0897AD"/>
    <w:rsid w:val="4D6C38DB"/>
    <w:rsid w:val="4D78A3D5"/>
    <w:rsid w:val="4DB64525"/>
    <w:rsid w:val="4DD942E3"/>
    <w:rsid w:val="4DF6316E"/>
    <w:rsid w:val="4E7F9663"/>
    <w:rsid w:val="4ED65FC2"/>
    <w:rsid w:val="4EFC38F9"/>
    <w:rsid w:val="4F03018A"/>
    <w:rsid w:val="4F058EEE"/>
    <w:rsid w:val="4F6BC940"/>
    <w:rsid w:val="4F772F12"/>
    <w:rsid w:val="4FA070F9"/>
    <w:rsid w:val="5073AB20"/>
    <w:rsid w:val="50873425"/>
    <w:rsid w:val="50A57895"/>
    <w:rsid w:val="50C3A0A0"/>
    <w:rsid w:val="50EF736F"/>
    <w:rsid w:val="51563FD4"/>
    <w:rsid w:val="52AA1F3F"/>
    <w:rsid w:val="52FE5CBB"/>
    <w:rsid w:val="53713CC9"/>
    <w:rsid w:val="53F28C1F"/>
    <w:rsid w:val="54AC9B91"/>
    <w:rsid w:val="54B0191E"/>
    <w:rsid w:val="55A171C1"/>
    <w:rsid w:val="56420D09"/>
    <w:rsid w:val="5663FAD2"/>
    <w:rsid w:val="5694AAA9"/>
    <w:rsid w:val="56FEC601"/>
    <w:rsid w:val="577A8649"/>
    <w:rsid w:val="57BBEA54"/>
    <w:rsid w:val="58025D48"/>
    <w:rsid w:val="582B1F7D"/>
    <w:rsid w:val="583EB9C4"/>
    <w:rsid w:val="5849AC60"/>
    <w:rsid w:val="5888095E"/>
    <w:rsid w:val="58B01875"/>
    <w:rsid w:val="58EE55A0"/>
    <w:rsid w:val="592B9B61"/>
    <w:rsid w:val="595FEAA2"/>
    <w:rsid w:val="59980948"/>
    <w:rsid w:val="59DBF882"/>
    <w:rsid w:val="5A086E1E"/>
    <w:rsid w:val="5AB9988A"/>
    <w:rsid w:val="5AE274DD"/>
    <w:rsid w:val="5B23B454"/>
    <w:rsid w:val="5B29AD47"/>
    <w:rsid w:val="5B7F603A"/>
    <w:rsid w:val="5B96730E"/>
    <w:rsid w:val="5BCE46A5"/>
    <w:rsid w:val="5C0115E3"/>
    <w:rsid w:val="5C12F75F"/>
    <w:rsid w:val="5C2B7AA6"/>
    <w:rsid w:val="5C640E8D"/>
    <w:rsid w:val="5CD10E24"/>
    <w:rsid w:val="5CD95B4C"/>
    <w:rsid w:val="5D83FB9D"/>
    <w:rsid w:val="5DF54D05"/>
    <w:rsid w:val="5E5B5516"/>
    <w:rsid w:val="5E7F1676"/>
    <w:rsid w:val="5E822885"/>
    <w:rsid w:val="5F1FCBFE"/>
    <w:rsid w:val="5F5E2F15"/>
    <w:rsid w:val="5F6DBEC7"/>
    <w:rsid w:val="5FEBE108"/>
    <w:rsid w:val="603584D3"/>
    <w:rsid w:val="60631597"/>
    <w:rsid w:val="60974EA5"/>
    <w:rsid w:val="60983C1A"/>
    <w:rsid w:val="60B7F549"/>
    <w:rsid w:val="60E0F72F"/>
    <w:rsid w:val="6117DAAD"/>
    <w:rsid w:val="6182C714"/>
    <w:rsid w:val="61E36CCA"/>
    <w:rsid w:val="620DDEE8"/>
    <w:rsid w:val="62A819F3"/>
    <w:rsid w:val="632B2C93"/>
    <w:rsid w:val="634ABDFD"/>
    <w:rsid w:val="6429097A"/>
    <w:rsid w:val="64BD9C58"/>
    <w:rsid w:val="651B0D8C"/>
    <w:rsid w:val="65B63981"/>
    <w:rsid w:val="65D68B69"/>
    <w:rsid w:val="65FBB19F"/>
    <w:rsid w:val="668FBF85"/>
    <w:rsid w:val="66A4C657"/>
    <w:rsid w:val="66BD5F62"/>
    <w:rsid w:val="66E25E43"/>
    <w:rsid w:val="66E6BA59"/>
    <w:rsid w:val="66EB4722"/>
    <w:rsid w:val="66EF1C6C"/>
    <w:rsid w:val="670D6B8A"/>
    <w:rsid w:val="67ADDBDC"/>
    <w:rsid w:val="67CD0EC5"/>
    <w:rsid w:val="68A8033C"/>
    <w:rsid w:val="694A3A3C"/>
    <w:rsid w:val="6989368D"/>
    <w:rsid w:val="6A08B659"/>
    <w:rsid w:val="6A6A6C2B"/>
    <w:rsid w:val="6A6EF9E7"/>
    <w:rsid w:val="6AF93D6A"/>
    <w:rsid w:val="6B768522"/>
    <w:rsid w:val="6B7A4BFF"/>
    <w:rsid w:val="6B8CB219"/>
    <w:rsid w:val="6B94BC41"/>
    <w:rsid w:val="6BF836B8"/>
    <w:rsid w:val="6C17AAFA"/>
    <w:rsid w:val="6CCF063B"/>
    <w:rsid w:val="6CD17956"/>
    <w:rsid w:val="6D037DA7"/>
    <w:rsid w:val="6D2B40E5"/>
    <w:rsid w:val="6D3EB325"/>
    <w:rsid w:val="6D648202"/>
    <w:rsid w:val="6D675A18"/>
    <w:rsid w:val="6D801D29"/>
    <w:rsid w:val="6D88E490"/>
    <w:rsid w:val="6D96EC53"/>
    <w:rsid w:val="6D9C4520"/>
    <w:rsid w:val="6DAC9699"/>
    <w:rsid w:val="6DDD9070"/>
    <w:rsid w:val="6E075520"/>
    <w:rsid w:val="6E0F7A04"/>
    <w:rsid w:val="6E1776CF"/>
    <w:rsid w:val="6E18551E"/>
    <w:rsid w:val="6E63495D"/>
    <w:rsid w:val="6E8FEB0E"/>
    <w:rsid w:val="6EAC02E5"/>
    <w:rsid w:val="6EC8B4B9"/>
    <w:rsid w:val="6EED85BD"/>
    <w:rsid w:val="6F1B619C"/>
    <w:rsid w:val="6F3209E1"/>
    <w:rsid w:val="6F46AAD3"/>
    <w:rsid w:val="6F7F650F"/>
    <w:rsid w:val="70159B73"/>
    <w:rsid w:val="702F770A"/>
    <w:rsid w:val="703F5764"/>
    <w:rsid w:val="7047D346"/>
    <w:rsid w:val="7065A8A4"/>
    <w:rsid w:val="70964F3A"/>
    <w:rsid w:val="70BEBCB8"/>
    <w:rsid w:val="71B10728"/>
    <w:rsid w:val="71E54434"/>
    <w:rsid w:val="72017E1A"/>
    <w:rsid w:val="7247F802"/>
    <w:rsid w:val="7296B626"/>
    <w:rsid w:val="72B374EF"/>
    <w:rsid w:val="72CBD110"/>
    <w:rsid w:val="732D1F49"/>
    <w:rsid w:val="736898C4"/>
    <w:rsid w:val="73C48A4C"/>
    <w:rsid w:val="73DDD53B"/>
    <w:rsid w:val="73DDEC68"/>
    <w:rsid w:val="740FCA71"/>
    <w:rsid w:val="74E66530"/>
    <w:rsid w:val="751F15C2"/>
    <w:rsid w:val="756AA7AF"/>
    <w:rsid w:val="767BE158"/>
    <w:rsid w:val="76910311"/>
    <w:rsid w:val="772FC6D6"/>
    <w:rsid w:val="7734071C"/>
    <w:rsid w:val="7831338E"/>
    <w:rsid w:val="78566EA2"/>
    <w:rsid w:val="78BEE5FF"/>
    <w:rsid w:val="7A0FAFCC"/>
    <w:rsid w:val="7A355181"/>
    <w:rsid w:val="7A4D100A"/>
    <w:rsid w:val="7A70E16B"/>
    <w:rsid w:val="7B03A275"/>
    <w:rsid w:val="7B822CBC"/>
    <w:rsid w:val="7B854387"/>
    <w:rsid w:val="7B999665"/>
    <w:rsid w:val="7BB1983E"/>
    <w:rsid w:val="7BD4E8D0"/>
    <w:rsid w:val="7C3F704F"/>
    <w:rsid w:val="7CA3AD6E"/>
    <w:rsid w:val="7D81568D"/>
    <w:rsid w:val="7E47D533"/>
    <w:rsid w:val="7E5D6AB5"/>
    <w:rsid w:val="7E70A9F9"/>
    <w:rsid w:val="7EACF410"/>
    <w:rsid w:val="7EB4C12F"/>
    <w:rsid w:val="7ED19B7F"/>
    <w:rsid w:val="7EE63CD6"/>
    <w:rsid w:val="7F06929C"/>
    <w:rsid w:val="7F28FEB5"/>
    <w:rsid w:val="7F7E2F04"/>
    <w:rsid w:val="7FD66D07"/>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C48C380E-3122-4905-8AF0-ED67C63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34"/>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TableParagraph">
    <w:name w:val="Table Paragraph"/>
    <w:basedOn w:val="Normal"/>
    <w:uiPriority w:val="1"/>
    <w:qFormat/>
    <w:rsid w:val="002F025E"/>
    <w:pPr>
      <w:overflowPunct/>
      <w:adjustRightInd/>
      <w:spacing w:line="209" w:lineRule="exact"/>
      <w:ind w:left="200"/>
    </w:pPr>
    <w:rPr>
      <w:rFonts w:ascii="Arial MT" w:eastAsia="Arial MT" w:hAnsi="Arial MT" w:cs="Arial MT"/>
      <w:kern w:val="0"/>
      <w:sz w:val="22"/>
      <w:szCs w:val="22"/>
      <w:lang w:eastAsia="en-US"/>
    </w:rPr>
  </w:style>
  <w:style w:type="table" w:styleId="Tablaconcuadrcula">
    <w:name w:val="Table Grid"/>
    <w:basedOn w:val="Tablanormal"/>
    <w:uiPriority w:val="39"/>
    <w:rsid w:val="00957367"/>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957367"/>
    <w:pPr>
      <w:widowControl/>
      <w:overflowPunct/>
      <w:autoSpaceDE/>
      <w:autoSpaceDN/>
      <w:adjustRightInd/>
      <w:jc w:val="both"/>
    </w:pPr>
    <w:rPr>
      <w:rFonts w:asciiTheme="minorHAnsi" w:eastAsiaTheme="minorHAnsi" w:hAnsiTheme="minorHAnsi" w:cstheme="minorBidi"/>
      <w:kern w:val="0"/>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49948920">
      <w:bodyDiv w:val="1"/>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0"/>
          <w:divBdr>
            <w:top w:val="none" w:sz="0" w:space="0" w:color="auto"/>
            <w:left w:val="none" w:sz="0" w:space="0" w:color="auto"/>
            <w:bottom w:val="none" w:sz="0" w:space="0" w:color="auto"/>
            <w:right w:val="none" w:sz="0" w:space="0" w:color="auto"/>
          </w:divBdr>
        </w:div>
        <w:div w:id="2081369452">
          <w:marLeft w:val="0"/>
          <w:marRight w:val="0"/>
          <w:marTop w:val="0"/>
          <w:marBottom w:val="0"/>
          <w:divBdr>
            <w:top w:val="none" w:sz="0" w:space="0" w:color="auto"/>
            <w:left w:val="none" w:sz="0" w:space="0" w:color="auto"/>
            <w:bottom w:val="none" w:sz="0" w:space="0" w:color="auto"/>
            <w:right w:val="none" w:sz="0" w:space="0" w:color="auto"/>
          </w:divBdr>
        </w:div>
        <w:div w:id="493379207">
          <w:marLeft w:val="0"/>
          <w:marRight w:val="0"/>
          <w:marTop w:val="0"/>
          <w:marBottom w:val="0"/>
          <w:divBdr>
            <w:top w:val="none" w:sz="0" w:space="0" w:color="auto"/>
            <w:left w:val="none" w:sz="0" w:space="0" w:color="auto"/>
            <w:bottom w:val="none" w:sz="0" w:space="0" w:color="auto"/>
            <w:right w:val="none" w:sz="0" w:space="0" w:color="auto"/>
          </w:divBdr>
        </w:div>
      </w:divsChild>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383800259">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799418404">
      <w:bodyDiv w:val="1"/>
      <w:marLeft w:val="0"/>
      <w:marRight w:val="0"/>
      <w:marTop w:val="0"/>
      <w:marBottom w:val="0"/>
      <w:divBdr>
        <w:top w:val="none" w:sz="0" w:space="0" w:color="auto"/>
        <w:left w:val="none" w:sz="0" w:space="0" w:color="auto"/>
        <w:bottom w:val="none" w:sz="0" w:space="0" w:color="auto"/>
        <w:right w:val="none" w:sz="0" w:space="0" w:color="auto"/>
      </w:divBdr>
      <w:divsChild>
        <w:div w:id="2036887117">
          <w:marLeft w:val="0"/>
          <w:marRight w:val="0"/>
          <w:marTop w:val="0"/>
          <w:marBottom w:val="0"/>
          <w:divBdr>
            <w:top w:val="none" w:sz="0" w:space="0" w:color="auto"/>
            <w:left w:val="none" w:sz="0" w:space="0" w:color="auto"/>
            <w:bottom w:val="none" w:sz="0" w:space="0" w:color="auto"/>
            <w:right w:val="none" w:sz="0" w:space="0" w:color="auto"/>
          </w:divBdr>
        </w:div>
        <w:div w:id="816919008">
          <w:marLeft w:val="0"/>
          <w:marRight w:val="0"/>
          <w:marTop w:val="0"/>
          <w:marBottom w:val="0"/>
          <w:divBdr>
            <w:top w:val="none" w:sz="0" w:space="0" w:color="auto"/>
            <w:left w:val="none" w:sz="0" w:space="0" w:color="auto"/>
            <w:bottom w:val="none" w:sz="0" w:space="0" w:color="auto"/>
            <w:right w:val="none" w:sz="0" w:space="0" w:color="auto"/>
          </w:divBdr>
        </w:div>
        <w:div w:id="808940046">
          <w:marLeft w:val="0"/>
          <w:marRight w:val="0"/>
          <w:marTop w:val="0"/>
          <w:marBottom w:val="0"/>
          <w:divBdr>
            <w:top w:val="none" w:sz="0" w:space="0" w:color="auto"/>
            <w:left w:val="none" w:sz="0" w:space="0" w:color="auto"/>
            <w:bottom w:val="none" w:sz="0" w:space="0" w:color="auto"/>
            <w:right w:val="none" w:sz="0" w:space="0" w:color="auto"/>
          </w:divBdr>
          <w:divsChild>
            <w:div w:id="1408842557">
              <w:marLeft w:val="0"/>
              <w:marRight w:val="0"/>
              <w:marTop w:val="30"/>
              <w:marBottom w:val="30"/>
              <w:divBdr>
                <w:top w:val="none" w:sz="0" w:space="0" w:color="auto"/>
                <w:left w:val="none" w:sz="0" w:space="0" w:color="auto"/>
                <w:bottom w:val="none" w:sz="0" w:space="0" w:color="auto"/>
                <w:right w:val="none" w:sz="0" w:space="0" w:color="auto"/>
              </w:divBdr>
              <w:divsChild>
                <w:div w:id="1335764161">
                  <w:marLeft w:val="0"/>
                  <w:marRight w:val="0"/>
                  <w:marTop w:val="0"/>
                  <w:marBottom w:val="0"/>
                  <w:divBdr>
                    <w:top w:val="none" w:sz="0" w:space="0" w:color="auto"/>
                    <w:left w:val="none" w:sz="0" w:space="0" w:color="auto"/>
                    <w:bottom w:val="none" w:sz="0" w:space="0" w:color="auto"/>
                    <w:right w:val="none" w:sz="0" w:space="0" w:color="auto"/>
                  </w:divBdr>
                  <w:divsChild>
                    <w:div w:id="2071804547">
                      <w:marLeft w:val="0"/>
                      <w:marRight w:val="0"/>
                      <w:marTop w:val="0"/>
                      <w:marBottom w:val="0"/>
                      <w:divBdr>
                        <w:top w:val="none" w:sz="0" w:space="0" w:color="auto"/>
                        <w:left w:val="none" w:sz="0" w:space="0" w:color="auto"/>
                        <w:bottom w:val="none" w:sz="0" w:space="0" w:color="auto"/>
                        <w:right w:val="none" w:sz="0" w:space="0" w:color="auto"/>
                      </w:divBdr>
                    </w:div>
                  </w:divsChild>
                </w:div>
                <w:div w:id="1830292606">
                  <w:marLeft w:val="0"/>
                  <w:marRight w:val="0"/>
                  <w:marTop w:val="0"/>
                  <w:marBottom w:val="0"/>
                  <w:divBdr>
                    <w:top w:val="none" w:sz="0" w:space="0" w:color="auto"/>
                    <w:left w:val="none" w:sz="0" w:space="0" w:color="auto"/>
                    <w:bottom w:val="none" w:sz="0" w:space="0" w:color="auto"/>
                    <w:right w:val="none" w:sz="0" w:space="0" w:color="auto"/>
                  </w:divBdr>
                  <w:divsChild>
                    <w:div w:id="459416908">
                      <w:marLeft w:val="0"/>
                      <w:marRight w:val="0"/>
                      <w:marTop w:val="0"/>
                      <w:marBottom w:val="0"/>
                      <w:divBdr>
                        <w:top w:val="none" w:sz="0" w:space="0" w:color="auto"/>
                        <w:left w:val="none" w:sz="0" w:space="0" w:color="auto"/>
                        <w:bottom w:val="none" w:sz="0" w:space="0" w:color="auto"/>
                        <w:right w:val="none" w:sz="0" w:space="0" w:color="auto"/>
                      </w:divBdr>
                    </w:div>
                  </w:divsChild>
                </w:div>
                <w:div w:id="520555663">
                  <w:marLeft w:val="0"/>
                  <w:marRight w:val="0"/>
                  <w:marTop w:val="0"/>
                  <w:marBottom w:val="0"/>
                  <w:divBdr>
                    <w:top w:val="none" w:sz="0" w:space="0" w:color="auto"/>
                    <w:left w:val="none" w:sz="0" w:space="0" w:color="auto"/>
                    <w:bottom w:val="none" w:sz="0" w:space="0" w:color="auto"/>
                    <w:right w:val="none" w:sz="0" w:space="0" w:color="auto"/>
                  </w:divBdr>
                  <w:divsChild>
                    <w:div w:id="1473985575">
                      <w:marLeft w:val="0"/>
                      <w:marRight w:val="0"/>
                      <w:marTop w:val="0"/>
                      <w:marBottom w:val="0"/>
                      <w:divBdr>
                        <w:top w:val="none" w:sz="0" w:space="0" w:color="auto"/>
                        <w:left w:val="none" w:sz="0" w:space="0" w:color="auto"/>
                        <w:bottom w:val="none" w:sz="0" w:space="0" w:color="auto"/>
                        <w:right w:val="none" w:sz="0" w:space="0" w:color="auto"/>
                      </w:divBdr>
                    </w:div>
                    <w:div w:id="1250893657">
                      <w:marLeft w:val="0"/>
                      <w:marRight w:val="0"/>
                      <w:marTop w:val="0"/>
                      <w:marBottom w:val="0"/>
                      <w:divBdr>
                        <w:top w:val="none" w:sz="0" w:space="0" w:color="auto"/>
                        <w:left w:val="none" w:sz="0" w:space="0" w:color="auto"/>
                        <w:bottom w:val="none" w:sz="0" w:space="0" w:color="auto"/>
                        <w:right w:val="none" w:sz="0" w:space="0" w:color="auto"/>
                      </w:divBdr>
                    </w:div>
                  </w:divsChild>
                </w:div>
                <w:div w:id="1049839933">
                  <w:marLeft w:val="0"/>
                  <w:marRight w:val="0"/>
                  <w:marTop w:val="0"/>
                  <w:marBottom w:val="0"/>
                  <w:divBdr>
                    <w:top w:val="none" w:sz="0" w:space="0" w:color="auto"/>
                    <w:left w:val="none" w:sz="0" w:space="0" w:color="auto"/>
                    <w:bottom w:val="none" w:sz="0" w:space="0" w:color="auto"/>
                    <w:right w:val="none" w:sz="0" w:space="0" w:color="auto"/>
                  </w:divBdr>
                  <w:divsChild>
                    <w:div w:id="1437823356">
                      <w:marLeft w:val="0"/>
                      <w:marRight w:val="0"/>
                      <w:marTop w:val="0"/>
                      <w:marBottom w:val="0"/>
                      <w:divBdr>
                        <w:top w:val="none" w:sz="0" w:space="0" w:color="auto"/>
                        <w:left w:val="none" w:sz="0" w:space="0" w:color="auto"/>
                        <w:bottom w:val="none" w:sz="0" w:space="0" w:color="auto"/>
                        <w:right w:val="none" w:sz="0" w:space="0" w:color="auto"/>
                      </w:divBdr>
                    </w:div>
                  </w:divsChild>
                </w:div>
                <w:div w:id="626468710">
                  <w:marLeft w:val="0"/>
                  <w:marRight w:val="0"/>
                  <w:marTop w:val="0"/>
                  <w:marBottom w:val="0"/>
                  <w:divBdr>
                    <w:top w:val="none" w:sz="0" w:space="0" w:color="auto"/>
                    <w:left w:val="none" w:sz="0" w:space="0" w:color="auto"/>
                    <w:bottom w:val="none" w:sz="0" w:space="0" w:color="auto"/>
                    <w:right w:val="none" w:sz="0" w:space="0" w:color="auto"/>
                  </w:divBdr>
                  <w:divsChild>
                    <w:div w:id="9589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37465483">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38497128">
      <w:bodyDiv w:val="1"/>
      <w:marLeft w:val="0"/>
      <w:marRight w:val="0"/>
      <w:marTop w:val="0"/>
      <w:marBottom w:val="0"/>
      <w:divBdr>
        <w:top w:val="none" w:sz="0" w:space="0" w:color="auto"/>
        <w:left w:val="none" w:sz="0" w:space="0" w:color="auto"/>
        <w:bottom w:val="none" w:sz="0" w:space="0" w:color="auto"/>
        <w:right w:val="none" w:sz="0" w:space="0" w:color="auto"/>
      </w:divBdr>
      <w:divsChild>
        <w:div w:id="67315233">
          <w:marLeft w:val="0"/>
          <w:marRight w:val="0"/>
          <w:marTop w:val="0"/>
          <w:marBottom w:val="0"/>
          <w:divBdr>
            <w:top w:val="none" w:sz="0" w:space="0" w:color="auto"/>
            <w:left w:val="none" w:sz="0" w:space="0" w:color="auto"/>
            <w:bottom w:val="none" w:sz="0" w:space="0" w:color="auto"/>
            <w:right w:val="none" w:sz="0" w:space="0" w:color="auto"/>
          </w:divBdr>
        </w:div>
        <w:div w:id="1476727374">
          <w:marLeft w:val="0"/>
          <w:marRight w:val="0"/>
          <w:marTop w:val="0"/>
          <w:marBottom w:val="0"/>
          <w:divBdr>
            <w:top w:val="none" w:sz="0" w:space="0" w:color="auto"/>
            <w:left w:val="none" w:sz="0" w:space="0" w:color="auto"/>
            <w:bottom w:val="none" w:sz="0" w:space="0" w:color="auto"/>
            <w:right w:val="none" w:sz="0" w:space="0" w:color="auto"/>
          </w:divBdr>
        </w:div>
        <w:div w:id="1482774602">
          <w:marLeft w:val="0"/>
          <w:marRight w:val="0"/>
          <w:marTop w:val="0"/>
          <w:marBottom w:val="0"/>
          <w:divBdr>
            <w:top w:val="none" w:sz="0" w:space="0" w:color="auto"/>
            <w:left w:val="none" w:sz="0" w:space="0" w:color="auto"/>
            <w:bottom w:val="none" w:sz="0" w:space="0" w:color="auto"/>
            <w:right w:val="none" w:sz="0" w:space="0" w:color="auto"/>
          </w:divBdr>
        </w:div>
      </w:divsChild>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05170207">
      <w:bodyDiv w:val="1"/>
      <w:marLeft w:val="0"/>
      <w:marRight w:val="0"/>
      <w:marTop w:val="0"/>
      <w:marBottom w:val="0"/>
      <w:divBdr>
        <w:top w:val="none" w:sz="0" w:space="0" w:color="auto"/>
        <w:left w:val="none" w:sz="0" w:space="0" w:color="auto"/>
        <w:bottom w:val="none" w:sz="0" w:space="0" w:color="auto"/>
        <w:right w:val="none" w:sz="0" w:space="0" w:color="auto"/>
      </w:divBdr>
      <w:divsChild>
        <w:div w:id="551041262">
          <w:marLeft w:val="0"/>
          <w:marRight w:val="0"/>
          <w:marTop w:val="0"/>
          <w:marBottom w:val="0"/>
          <w:divBdr>
            <w:top w:val="none" w:sz="0" w:space="0" w:color="auto"/>
            <w:left w:val="none" w:sz="0" w:space="0" w:color="auto"/>
            <w:bottom w:val="none" w:sz="0" w:space="0" w:color="auto"/>
            <w:right w:val="none" w:sz="0" w:space="0" w:color="auto"/>
          </w:divBdr>
        </w:div>
        <w:div w:id="449202089">
          <w:marLeft w:val="0"/>
          <w:marRight w:val="0"/>
          <w:marTop w:val="0"/>
          <w:marBottom w:val="0"/>
          <w:divBdr>
            <w:top w:val="none" w:sz="0" w:space="0" w:color="auto"/>
            <w:left w:val="none" w:sz="0" w:space="0" w:color="auto"/>
            <w:bottom w:val="none" w:sz="0" w:space="0" w:color="auto"/>
            <w:right w:val="none" w:sz="0" w:space="0" w:color="auto"/>
          </w:divBdr>
        </w:div>
      </w:divsChild>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290628740">
      <w:bodyDiv w:val="1"/>
      <w:marLeft w:val="0"/>
      <w:marRight w:val="0"/>
      <w:marTop w:val="0"/>
      <w:marBottom w:val="0"/>
      <w:divBdr>
        <w:top w:val="none" w:sz="0" w:space="0" w:color="auto"/>
        <w:left w:val="none" w:sz="0" w:space="0" w:color="auto"/>
        <w:bottom w:val="none" w:sz="0" w:space="0" w:color="auto"/>
        <w:right w:val="none" w:sz="0" w:space="0" w:color="auto"/>
      </w:divBdr>
      <w:divsChild>
        <w:div w:id="833836248">
          <w:marLeft w:val="0"/>
          <w:marRight w:val="0"/>
          <w:marTop w:val="0"/>
          <w:marBottom w:val="0"/>
          <w:divBdr>
            <w:top w:val="none" w:sz="0" w:space="0" w:color="auto"/>
            <w:left w:val="none" w:sz="0" w:space="0" w:color="auto"/>
            <w:bottom w:val="none" w:sz="0" w:space="0" w:color="auto"/>
            <w:right w:val="none" w:sz="0" w:space="0" w:color="auto"/>
          </w:divBdr>
        </w:div>
        <w:div w:id="1224101905">
          <w:marLeft w:val="0"/>
          <w:marRight w:val="0"/>
          <w:marTop w:val="0"/>
          <w:marBottom w:val="0"/>
          <w:divBdr>
            <w:top w:val="none" w:sz="0" w:space="0" w:color="auto"/>
            <w:left w:val="none" w:sz="0" w:space="0" w:color="auto"/>
            <w:bottom w:val="none" w:sz="0" w:space="0" w:color="auto"/>
            <w:right w:val="none" w:sz="0" w:space="0" w:color="auto"/>
          </w:divBdr>
          <w:divsChild>
            <w:div w:id="1920556621">
              <w:marLeft w:val="-75"/>
              <w:marRight w:val="0"/>
              <w:marTop w:val="30"/>
              <w:marBottom w:val="30"/>
              <w:divBdr>
                <w:top w:val="none" w:sz="0" w:space="0" w:color="auto"/>
                <w:left w:val="none" w:sz="0" w:space="0" w:color="auto"/>
                <w:bottom w:val="none" w:sz="0" w:space="0" w:color="auto"/>
                <w:right w:val="none" w:sz="0" w:space="0" w:color="auto"/>
              </w:divBdr>
              <w:divsChild>
                <w:div w:id="1227182033">
                  <w:marLeft w:val="0"/>
                  <w:marRight w:val="0"/>
                  <w:marTop w:val="0"/>
                  <w:marBottom w:val="0"/>
                  <w:divBdr>
                    <w:top w:val="none" w:sz="0" w:space="0" w:color="auto"/>
                    <w:left w:val="none" w:sz="0" w:space="0" w:color="auto"/>
                    <w:bottom w:val="none" w:sz="0" w:space="0" w:color="auto"/>
                    <w:right w:val="none" w:sz="0" w:space="0" w:color="auto"/>
                  </w:divBdr>
                  <w:divsChild>
                    <w:div w:id="2079202204">
                      <w:marLeft w:val="0"/>
                      <w:marRight w:val="0"/>
                      <w:marTop w:val="0"/>
                      <w:marBottom w:val="0"/>
                      <w:divBdr>
                        <w:top w:val="none" w:sz="0" w:space="0" w:color="auto"/>
                        <w:left w:val="none" w:sz="0" w:space="0" w:color="auto"/>
                        <w:bottom w:val="none" w:sz="0" w:space="0" w:color="auto"/>
                        <w:right w:val="none" w:sz="0" w:space="0" w:color="auto"/>
                      </w:divBdr>
                    </w:div>
                  </w:divsChild>
                </w:div>
                <w:div w:id="943876692">
                  <w:marLeft w:val="0"/>
                  <w:marRight w:val="0"/>
                  <w:marTop w:val="0"/>
                  <w:marBottom w:val="0"/>
                  <w:divBdr>
                    <w:top w:val="none" w:sz="0" w:space="0" w:color="auto"/>
                    <w:left w:val="none" w:sz="0" w:space="0" w:color="auto"/>
                    <w:bottom w:val="none" w:sz="0" w:space="0" w:color="auto"/>
                    <w:right w:val="none" w:sz="0" w:space="0" w:color="auto"/>
                  </w:divBdr>
                  <w:divsChild>
                    <w:div w:id="878006452">
                      <w:marLeft w:val="0"/>
                      <w:marRight w:val="0"/>
                      <w:marTop w:val="0"/>
                      <w:marBottom w:val="0"/>
                      <w:divBdr>
                        <w:top w:val="none" w:sz="0" w:space="0" w:color="auto"/>
                        <w:left w:val="none" w:sz="0" w:space="0" w:color="auto"/>
                        <w:bottom w:val="none" w:sz="0" w:space="0" w:color="auto"/>
                        <w:right w:val="none" w:sz="0" w:space="0" w:color="auto"/>
                      </w:divBdr>
                    </w:div>
                  </w:divsChild>
                </w:div>
                <w:div w:id="1499732483">
                  <w:marLeft w:val="0"/>
                  <w:marRight w:val="0"/>
                  <w:marTop w:val="0"/>
                  <w:marBottom w:val="0"/>
                  <w:divBdr>
                    <w:top w:val="none" w:sz="0" w:space="0" w:color="auto"/>
                    <w:left w:val="none" w:sz="0" w:space="0" w:color="auto"/>
                    <w:bottom w:val="none" w:sz="0" w:space="0" w:color="auto"/>
                    <w:right w:val="none" w:sz="0" w:space="0" w:color="auto"/>
                  </w:divBdr>
                  <w:divsChild>
                    <w:div w:id="1199929524">
                      <w:marLeft w:val="0"/>
                      <w:marRight w:val="0"/>
                      <w:marTop w:val="0"/>
                      <w:marBottom w:val="0"/>
                      <w:divBdr>
                        <w:top w:val="none" w:sz="0" w:space="0" w:color="auto"/>
                        <w:left w:val="none" w:sz="0" w:space="0" w:color="auto"/>
                        <w:bottom w:val="none" w:sz="0" w:space="0" w:color="auto"/>
                        <w:right w:val="none" w:sz="0" w:space="0" w:color="auto"/>
                      </w:divBdr>
                    </w:div>
                    <w:div w:id="806053247">
                      <w:marLeft w:val="0"/>
                      <w:marRight w:val="0"/>
                      <w:marTop w:val="0"/>
                      <w:marBottom w:val="0"/>
                      <w:divBdr>
                        <w:top w:val="none" w:sz="0" w:space="0" w:color="auto"/>
                        <w:left w:val="none" w:sz="0" w:space="0" w:color="auto"/>
                        <w:bottom w:val="none" w:sz="0" w:space="0" w:color="auto"/>
                        <w:right w:val="none" w:sz="0" w:space="0" w:color="auto"/>
                      </w:divBdr>
                    </w:div>
                  </w:divsChild>
                </w:div>
                <w:div w:id="1561792405">
                  <w:marLeft w:val="0"/>
                  <w:marRight w:val="0"/>
                  <w:marTop w:val="0"/>
                  <w:marBottom w:val="0"/>
                  <w:divBdr>
                    <w:top w:val="none" w:sz="0" w:space="0" w:color="auto"/>
                    <w:left w:val="none" w:sz="0" w:space="0" w:color="auto"/>
                    <w:bottom w:val="none" w:sz="0" w:space="0" w:color="auto"/>
                    <w:right w:val="none" w:sz="0" w:space="0" w:color="auto"/>
                  </w:divBdr>
                  <w:divsChild>
                    <w:div w:id="2091267355">
                      <w:marLeft w:val="0"/>
                      <w:marRight w:val="0"/>
                      <w:marTop w:val="0"/>
                      <w:marBottom w:val="0"/>
                      <w:divBdr>
                        <w:top w:val="none" w:sz="0" w:space="0" w:color="auto"/>
                        <w:left w:val="none" w:sz="0" w:space="0" w:color="auto"/>
                        <w:bottom w:val="none" w:sz="0" w:space="0" w:color="auto"/>
                        <w:right w:val="none" w:sz="0" w:space="0" w:color="auto"/>
                      </w:divBdr>
                    </w:div>
                  </w:divsChild>
                </w:div>
                <w:div w:id="809518874">
                  <w:marLeft w:val="0"/>
                  <w:marRight w:val="0"/>
                  <w:marTop w:val="0"/>
                  <w:marBottom w:val="0"/>
                  <w:divBdr>
                    <w:top w:val="none" w:sz="0" w:space="0" w:color="auto"/>
                    <w:left w:val="none" w:sz="0" w:space="0" w:color="auto"/>
                    <w:bottom w:val="none" w:sz="0" w:space="0" w:color="auto"/>
                    <w:right w:val="none" w:sz="0" w:space="0" w:color="auto"/>
                  </w:divBdr>
                  <w:divsChild>
                    <w:div w:id="12350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69408">
          <w:marLeft w:val="0"/>
          <w:marRight w:val="0"/>
          <w:marTop w:val="0"/>
          <w:marBottom w:val="0"/>
          <w:divBdr>
            <w:top w:val="none" w:sz="0" w:space="0" w:color="auto"/>
            <w:left w:val="none" w:sz="0" w:space="0" w:color="auto"/>
            <w:bottom w:val="none" w:sz="0" w:space="0" w:color="auto"/>
            <w:right w:val="none" w:sz="0" w:space="0" w:color="auto"/>
          </w:divBdr>
        </w:div>
      </w:divsChild>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4136276">
      <w:bodyDiv w:val="1"/>
      <w:marLeft w:val="0"/>
      <w:marRight w:val="0"/>
      <w:marTop w:val="0"/>
      <w:marBottom w:val="0"/>
      <w:divBdr>
        <w:top w:val="none" w:sz="0" w:space="0" w:color="auto"/>
        <w:left w:val="none" w:sz="0" w:space="0" w:color="auto"/>
        <w:bottom w:val="none" w:sz="0" w:space="0" w:color="auto"/>
        <w:right w:val="none" w:sz="0" w:space="0" w:color="auto"/>
      </w:divBdr>
      <w:divsChild>
        <w:div w:id="235017785">
          <w:marLeft w:val="0"/>
          <w:marRight w:val="0"/>
          <w:marTop w:val="0"/>
          <w:marBottom w:val="0"/>
          <w:divBdr>
            <w:top w:val="none" w:sz="0" w:space="0" w:color="auto"/>
            <w:left w:val="none" w:sz="0" w:space="0" w:color="auto"/>
            <w:bottom w:val="none" w:sz="0" w:space="0" w:color="auto"/>
            <w:right w:val="none" w:sz="0" w:space="0" w:color="auto"/>
          </w:divBdr>
        </w:div>
        <w:div w:id="404651122">
          <w:marLeft w:val="0"/>
          <w:marRight w:val="0"/>
          <w:marTop w:val="0"/>
          <w:marBottom w:val="0"/>
          <w:divBdr>
            <w:top w:val="none" w:sz="0" w:space="0" w:color="auto"/>
            <w:left w:val="none" w:sz="0" w:space="0" w:color="auto"/>
            <w:bottom w:val="none" w:sz="0" w:space="0" w:color="auto"/>
            <w:right w:val="none" w:sz="0" w:space="0" w:color="auto"/>
          </w:divBdr>
        </w:div>
        <w:div w:id="1041369788">
          <w:marLeft w:val="0"/>
          <w:marRight w:val="0"/>
          <w:marTop w:val="0"/>
          <w:marBottom w:val="0"/>
          <w:divBdr>
            <w:top w:val="none" w:sz="0" w:space="0" w:color="auto"/>
            <w:left w:val="none" w:sz="0" w:space="0" w:color="auto"/>
            <w:bottom w:val="none" w:sz="0" w:space="0" w:color="auto"/>
            <w:right w:val="none" w:sz="0" w:space="0" w:color="auto"/>
          </w:divBdr>
        </w:div>
      </w:divsChild>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26927053">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46814219">
      <w:bodyDiv w:val="1"/>
      <w:marLeft w:val="0"/>
      <w:marRight w:val="0"/>
      <w:marTop w:val="0"/>
      <w:marBottom w:val="0"/>
      <w:divBdr>
        <w:top w:val="none" w:sz="0" w:space="0" w:color="auto"/>
        <w:left w:val="none" w:sz="0" w:space="0" w:color="auto"/>
        <w:bottom w:val="none" w:sz="0" w:space="0" w:color="auto"/>
        <w:right w:val="none" w:sz="0" w:space="0" w:color="auto"/>
      </w:divBdr>
      <w:divsChild>
        <w:div w:id="1151558587">
          <w:marLeft w:val="0"/>
          <w:marRight w:val="0"/>
          <w:marTop w:val="0"/>
          <w:marBottom w:val="0"/>
          <w:divBdr>
            <w:top w:val="none" w:sz="0" w:space="0" w:color="auto"/>
            <w:left w:val="none" w:sz="0" w:space="0" w:color="auto"/>
            <w:bottom w:val="none" w:sz="0" w:space="0" w:color="auto"/>
            <w:right w:val="none" w:sz="0" w:space="0" w:color="auto"/>
          </w:divBdr>
        </w:div>
        <w:div w:id="880551505">
          <w:marLeft w:val="0"/>
          <w:marRight w:val="0"/>
          <w:marTop w:val="0"/>
          <w:marBottom w:val="0"/>
          <w:divBdr>
            <w:top w:val="none" w:sz="0" w:space="0" w:color="auto"/>
            <w:left w:val="none" w:sz="0" w:space="0" w:color="auto"/>
            <w:bottom w:val="none" w:sz="0" w:space="0" w:color="auto"/>
            <w:right w:val="none" w:sz="0" w:space="0" w:color="auto"/>
          </w:divBdr>
        </w:div>
        <w:div w:id="1286697864">
          <w:marLeft w:val="0"/>
          <w:marRight w:val="0"/>
          <w:marTop w:val="0"/>
          <w:marBottom w:val="0"/>
          <w:divBdr>
            <w:top w:val="none" w:sz="0" w:space="0" w:color="auto"/>
            <w:left w:val="none" w:sz="0" w:space="0" w:color="auto"/>
            <w:bottom w:val="none" w:sz="0" w:space="0" w:color="auto"/>
            <w:right w:val="none" w:sz="0" w:space="0" w:color="auto"/>
          </w:divBdr>
          <w:divsChild>
            <w:div w:id="1063724353">
              <w:marLeft w:val="-75"/>
              <w:marRight w:val="0"/>
              <w:marTop w:val="30"/>
              <w:marBottom w:val="30"/>
              <w:divBdr>
                <w:top w:val="none" w:sz="0" w:space="0" w:color="auto"/>
                <w:left w:val="none" w:sz="0" w:space="0" w:color="auto"/>
                <w:bottom w:val="none" w:sz="0" w:space="0" w:color="auto"/>
                <w:right w:val="none" w:sz="0" w:space="0" w:color="auto"/>
              </w:divBdr>
              <w:divsChild>
                <w:div w:id="1669595702">
                  <w:marLeft w:val="0"/>
                  <w:marRight w:val="0"/>
                  <w:marTop w:val="0"/>
                  <w:marBottom w:val="0"/>
                  <w:divBdr>
                    <w:top w:val="none" w:sz="0" w:space="0" w:color="auto"/>
                    <w:left w:val="none" w:sz="0" w:space="0" w:color="auto"/>
                    <w:bottom w:val="none" w:sz="0" w:space="0" w:color="auto"/>
                    <w:right w:val="none" w:sz="0" w:space="0" w:color="auto"/>
                  </w:divBdr>
                  <w:divsChild>
                    <w:div w:id="165169810">
                      <w:marLeft w:val="0"/>
                      <w:marRight w:val="0"/>
                      <w:marTop w:val="0"/>
                      <w:marBottom w:val="0"/>
                      <w:divBdr>
                        <w:top w:val="none" w:sz="0" w:space="0" w:color="auto"/>
                        <w:left w:val="none" w:sz="0" w:space="0" w:color="auto"/>
                        <w:bottom w:val="none" w:sz="0" w:space="0" w:color="auto"/>
                        <w:right w:val="none" w:sz="0" w:space="0" w:color="auto"/>
                      </w:divBdr>
                    </w:div>
                  </w:divsChild>
                </w:div>
                <w:div w:id="846559708">
                  <w:marLeft w:val="0"/>
                  <w:marRight w:val="0"/>
                  <w:marTop w:val="0"/>
                  <w:marBottom w:val="0"/>
                  <w:divBdr>
                    <w:top w:val="none" w:sz="0" w:space="0" w:color="auto"/>
                    <w:left w:val="none" w:sz="0" w:space="0" w:color="auto"/>
                    <w:bottom w:val="none" w:sz="0" w:space="0" w:color="auto"/>
                    <w:right w:val="none" w:sz="0" w:space="0" w:color="auto"/>
                  </w:divBdr>
                  <w:divsChild>
                    <w:div w:id="1756436783">
                      <w:marLeft w:val="0"/>
                      <w:marRight w:val="0"/>
                      <w:marTop w:val="0"/>
                      <w:marBottom w:val="0"/>
                      <w:divBdr>
                        <w:top w:val="none" w:sz="0" w:space="0" w:color="auto"/>
                        <w:left w:val="none" w:sz="0" w:space="0" w:color="auto"/>
                        <w:bottom w:val="none" w:sz="0" w:space="0" w:color="auto"/>
                        <w:right w:val="none" w:sz="0" w:space="0" w:color="auto"/>
                      </w:divBdr>
                    </w:div>
                  </w:divsChild>
                </w:div>
                <w:div w:id="619800305">
                  <w:marLeft w:val="0"/>
                  <w:marRight w:val="0"/>
                  <w:marTop w:val="0"/>
                  <w:marBottom w:val="0"/>
                  <w:divBdr>
                    <w:top w:val="none" w:sz="0" w:space="0" w:color="auto"/>
                    <w:left w:val="none" w:sz="0" w:space="0" w:color="auto"/>
                    <w:bottom w:val="none" w:sz="0" w:space="0" w:color="auto"/>
                    <w:right w:val="none" w:sz="0" w:space="0" w:color="auto"/>
                  </w:divBdr>
                  <w:divsChild>
                    <w:div w:id="280576069">
                      <w:marLeft w:val="0"/>
                      <w:marRight w:val="0"/>
                      <w:marTop w:val="0"/>
                      <w:marBottom w:val="0"/>
                      <w:divBdr>
                        <w:top w:val="none" w:sz="0" w:space="0" w:color="auto"/>
                        <w:left w:val="none" w:sz="0" w:space="0" w:color="auto"/>
                        <w:bottom w:val="none" w:sz="0" w:space="0" w:color="auto"/>
                        <w:right w:val="none" w:sz="0" w:space="0" w:color="auto"/>
                      </w:divBdr>
                    </w:div>
                    <w:div w:id="1161313322">
                      <w:marLeft w:val="0"/>
                      <w:marRight w:val="0"/>
                      <w:marTop w:val="0"/>
                      <w:marBottom w:val="0"/>
                      <w:divBdr>
                        <w:top w:val="none" w:sz="0" w:space="0" w:color="auto"/>
                        <w:left w:val="none" w:sz="0" w:space="0" w:color="auto"/>
                        <w:bottom w:val="none" w:sz="0" w:space="0" w:color="auto"/>
                        <w:right w:val="none" w:sz="0" w:space="0" w:color="auto"/>
                      </w:divBdr>
                    </w:div>
                  </w:divsChild>
                </w:div>
                <w:div w:id="385111440">
                  <w:marLeft w:val="0"/>
                  <w:marRight w:val="0"/>
                  <w:marTop w:val="0"/>
                  <w:marBottom w:val="0"/>
                  <w:divBdr>
                    <w:top w:val="none" w:sz="0" w:space="0" w:color="auto"/>
                    <w:left w:val="none" w:sz="0" w:space="0" w:color="auto"/>
                    <w:bottom w:val="none" w:sz="0" w:space="0" w:color="auto"/>
                    <w:right w:val="none" w:sz="0" w:space="0" w:color="auto"/>
                  </w:divBdr>
                  <w:divsChild>
                    <w:div w:id="1608387712">
                      <w:marLeft w:val="0"/>
                      <w:marRight w:val="0"/>
                      <w:marTop w:val="0"/>
                      <w:marBottom w:val="0"/>
                      <w:divBdr>
                        <w:top w:val="none" w:sz="0" w:space="0" w:color="auto"/>
                        <w:left w:val="none" w:sz="0" w:space="0" w:color="auto"/>
                        <w:bottom w:val="none" w:sz="0" w:space="0" w:color="auto"/>
                        <w:right w:val="none" w:sz="0" w:space="0" w:color="auto"/>
                      </w:divBdr>
                    </w:div>
                  </w:divsChild>
                </w:div>
                <w:div w:id="392972490">
                  <w:marLeft w:val="0"/>
                  <w:marRight w:val="0"/>
                  <w:marTop w:val="0"/>
                  <w:marBottom w:val="0"/>
                  <w:divBdr>
                    <w:top w:val="none" w:sz="0" w:space="0" w:color="auto"/>
                    <w:left w:val="none" w:sz="0" w:space="0" w:color="auto"/>
                    <w:bottom w:val="none" w:sz="0" w:space="0" w:color="auto"/>
                    <w:right w:val="none" w:sz="0" w:space="0" w:color="auto"/>
                  </w:divBdr>
                  <w:divsChild>
                    <w:div w:id="3122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9246">
          <w:marLeft w:val="0"/>
          <w:marRight w:val="0"/>
          <w:marTop w:val="0"/>
          <w:marBottom w:val="0"/>
          <w:divBdr>
            <w:top w:val="none" w:sz="0" w:space="0" w:color="auto"/>
            <w:left w:val="none" w:sz="0" w:space="0" w:color="auto"/>
            <w:bottom w:val="none" w:sz="0" w:space="0" w:color="auto"/>
            <w:right w:val="none" w:sz="0" w:space="0" w:color="auto"/>
          </w:divBdr>
        </w:div>
      </w:divsChild>
    </w:div>
    <w:div w:id="1649672502">
      <w:bodyDiv w:val="1"/>
      <w:marLeft w:val="0"/>
      <w:marRight w:val="0"/>
      <w:marTop w:val="0"/>
      <w:marBottom w:val="0"/>
      <w:divBdr>
        <w:top w:val="none" w:sz="0" w:space="0" w:color="auto"/>
        <w:left w:val="none" w:sz="0" w:space="0" w:color="auto"/>
        <w:bottom w:val="none" w:sz="0" w:space="0" w:color="auto"/>
        <w:right w:val="none" w:sz="0" w:space="0" w:color="auto"/>
      </w:divBdr>
      <w:divsChild>
        <w:div w:id="119766970">
          <w:marLeft w:val="0"/>
          <w:marRight w:val="0"/>
          <w:marTop w:val="0"/>
          <w:marBottom w:val="0"/>
          <w:divBdr>
            <w:top w:val="none" w:sz="0" w:space="0" w:color="auto"/>
            <w:left w:val="none" w:sz="0" w:space="0" w:color="auto"/>
            <w:bottom w:val="none" w:sz="0" w:space="0" w:color="auto"/>
            <w:right w:val="none" w:sz="0" w:space="0" w:color="auto"/>
          </w:divBdr>
        </w:div>
        <w:div w:id="615796179">
          <w:marLeft w:val="0"/>
          <w:marRight w:val="0"/>
          <w:marTop w:val="0"/>
          <w:marBottom w:val="0"/>
          <w:divBdr>
            <w:top w:val="none" w:sz="0" w:space="0" w:color="auto"/>
            <w:left w:val="none" w:sz="0" w:space="0" w:color="auto"/>
            <w:bottom w:val="none" w:sz="0" w:space="0" w:color="auto"/>
            <w:right w:val="none" w:sz="0" w:space="0" w:color="auto"/>
          </w:divBdr>
        </w:div>
        <w:div w:id="739331792">
          <w:marLeft w:val="0"/>
          <w:marRight w:val="0"/>
          <w:marTop w:val="0"/>
          <w:marBottom w:val="0"/>
          <w:divBdr>
            <w:top w:val="none" w:sz="0" w:space="0" w:color="auto"/>
            <w:left w:val="none" w:sz="0" w:space="0" w:color="auto"/>
            <w:bottom w:val="none" w:sz="0" w:space="0" w:color="auto"/>
            <w:right w:val="none" w:sz="0" w:space="0" w:color="auto"/>
          </w:divBdr>
        </w:div>
        <w:div w:id="314644210">
          <w:marLeft w:val="0"/>
          <w:marRight w:val="0"/>
          <w:marTop w:val="0"/>
          <w:marBottom w:val="0"/>
          <w:divBdr>
            <w:top w:val="none" w:sz="0" w:space="0" w:color="auto"/>
            <w:left w:val="none" w:sz="0" w:space="0" w:color="auto"/>
            <w:bottom w:val="none" w:sz="0" w:space="0" w:color="auto"/>
            <w:right w:val="none" w:sz="0" w:space="0" w:color="auto"/>
          </w:divBdr>
        </w:div>
      </w:divsChild>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7382996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teconstitucional.gov.co/relatoria/2022/SU041-22.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2.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77B9A5B2-5AF4-4F39-9930-878D26E9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6329</TotalTime>
  <Pages>15</Pages>
  <Words>3988</Words>
  <Characters>21939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Sebastian Benavides Ciro ♣</cp:lastModifiedBy>
  <cp:revision>4</cp:revision>
  <cp:lastPrinted>2019-07-09T18:52:00Z</cp:lastPrinted>
  <dcterms:created xsi:type="dcterms:W3CDTF">2024-11-27T16:18:00Z</dcterms:created>
  <dcterms:modified xsi:type="dcterms:W3CDTF">2025-05-02T14:57:00Z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