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FCDEF" w14:textId="77777777" w:rsidR="00CA3363" w:rsidRPr="005A0C3A" w:rsidRDefault="00CA3363" w:rsidP="00CA3363">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298C0698" w14:textId="77777777" w:rsidR="00CA3363" w:rsidRDefault="00CA3363" w:rsidP="00CA3363">
      <w:pPr>
        <w:spacing w:line="276" w:lineRule="auto"/>
        <w:ind w:right="4559"/>
        <w:rPr>
          <w:b/>
          <w:sz w:val="12"/>
          <w:szCs w:val="12"/>
        </w:rPr>
      </w:pPr>
    </w:p>
    <w:p w14:paraId="7BE5B49B" w14:textId="5D9EE420" w:rsidR="00CA3363" w:rsidRDefault="00D60502" w:rsidP="00CA3363">
      <w:pPr>
        <w:spacing w:line="240" w:lineRule="auto"/>
        <w:rPr>
          <w:b/>
          <w:color w:val="000000"/>
          <w:sz w:val="20"/>
          <w:szCs w:val="20"/>
          <w:lang w:eastAsia="es-CO"/>
        </w:rPr>
      </w:pPr>
      <w:r w:rsidRPr="00D117E2">
        <w:rPr>
          <w:b/>
          <w:color w:val="000000"/>
          <w:sz w:val="20"/>
          <w:szCs w:val="20"/>
          <w:lang w:eastAsia="es-CO"/>
        </w:rPr>
        <w:t>SENTENCIA</w:t>
      </w:r>
      <w:r>
        <w:rPr>
          <w:b/>
          <w:color w:val="000000"/>
          <w:sz w:val="20"/>
          <w:szCs w:val="20"/>
          <w:lang w:eastAsia="es-CO"/>
        </w:rPr>
        <w:t xml:space="preserve"> / </w:t>
      </w:r>
      <w:r w:rsidRPr="00D117E2">
        <w:rPr>
          <w:b/>
          <w:color w:val="000000"/>
          <w:sz w:val="20"/>
          <w:szCs w:val="20"/>
          <w:lang w:eastAsia="es-CO"/>
        </w:rPr>
        <w:t>RECURSO DE APELACIÓN</w:t>
      </w:r>
      <w:r>
        <w:rPr>
          <w:b/>
          <w:color w:val="000000"/>
          <w:sz w:val="20"/>
          <w:szCs w:val="20"/>
          <w:lang w:eastAsia="es-CO"/>
        </w:rPr>
        <w:t xml:space="preserve"> / COAUTO</w:t>
      </w:r>
      <w:r w:rsidRPr="00D117E2">
        <w:rPr>
          <w:b/>
          <w:color w:val="000000"/>
          <w:sz w:val="20"/>
          <w:szCs w:val="20"/>
          <w:lang w:eastAsia="es-CO"/>
        </w:rPr>
        <w:t>R</w:t>
      </w:r>
      <w:r>
        <w:rPr>
          <w:b/>
          <w:color w:val="000000"/>
          <w:sz w:val="20"/>
          <w:szCs w:val="20"/>
          <w:lang w:eastAsia="es-CO"/>
        </w:rPr>
        <w:t xml:space="preserve">IA / </w:t>
      </w:r>
      <w:r w:rsidRPr="00D117E2">
        <w:rPr>
          <w:b/>
          <w:color w:val="000000"/>
          <w:sz w:val="20"/>
          <w:szCs w:val="20"/>
          <w:lang w:eastAsia="es-CO"/>
        </w:rPr>
        <w:t>RE</w:t>
      </w:r>
      <w:r>
        <w:rPr>
          <w:b/>
          <w:color w:val="000000"/>
          <w:sz w:val="20"/>
          <w:szCs w:val="20"/>
          <w:lang w:eastAsia="es-CO"/>
        </w:rPr>
        <w:t>VOCA Y COND</w:t>
      </w:r>
      <w:r w:rsidRPr="00D117E2">
        <w:rPr>
          <w:b/>
          <w:color w:val="000000"/>
          <w:sz w:val="20"/>
          <w:szCs w:val="20"/>
          <w:lang w:eastAsia="es-CO"/>
        </w:rPr>
        <w:t>E</w:t>
      </w:r>
      <w:r>
        <w:rPr>
          <w:b/>
          <w:color w:val="000000"/>
          <w:sz w:val="20"/>
          <w:szCs w:val="20"/>
          <w:lang w:eastAsia="es-CO"/>
        </w:rPr>
        <w:t xml:space="preserve">NA </w:t>
      </w:r>
    </w:p>
    <w:p w14:paraId="364E91C6" w14:textId="77777777" w:rsidR="00CA3363" w:rsidRPr="00B96CA6" w:rsidRDefault="00CA3363" w:rsidP="00CA3363">
      <w:pPr>
        <w:spacing w:line="240" w:lineRule="auto"/>
        <w:rPr>
          <w:b/>
          <w:color w:val="000000"/>
          <w:sz w:val="20"/>
          <w:szCs w:val="20"/>
          <w:lang w:eastAsia="es-CO"/>
        </w:rPr>
      </w:pPr>
    </w:p>
    <w:p w14:paraId="65155EA9" w14:textId="136B6FF3" w:rsidR="00D117E2" w:rsidRPr="00D117E2" w:rsidRDefault="00CA3363" w:rsidP="00D117E2">
      <w:pPr>
        <w:spacing w:line="276" w:lineRule="auto"/>
        <w:rPr>
          <w:rFonts w:eastAsia="Tahoma"/>
          <w:i/>
          <w:iCs/>
          <w:spacing w:val="-6"/>
          <w:position w:val="-6"/>
          <w:sz w:val="20"/>
          <w:szCs w:val="20"/>
          <w:lang w:eastAsia="es-ES"/>
        </w:rPr>
      </w:pPr>
      <w:r w:rsidRPr="0099660B">
        <w:rPr>
          <w:rFonts w:cs="Tahoma"/>
          <w:i/>
          <w:iCs/>
          <w:sz w:val="20"/>
        </w:rPr>
        <w:t>…</w:t>
      </w:r>
      <w:r w:rsidR="00D117E2" w:rsidRPr="00D117E2">
        <w:rPr>
          <w:lang w:val="es-CO"/>
        </w:rPr>
        <w:t xml:space="preserve"> </w:t>
      </w:r>
      <w:r w:rsidR="00D117E2" w:rsidRPr="00D117E2">
        <w:rPr>
          <w:rFonts w:eastAsia="Tahoma"/>
          <w:i/>
          <w:iCs/>
          <w:spacing w:val="-6"/>
          <w:position w:val="-6"/>
          <w:sz w:val="20"/>
          <w:szCs w:val="20"/>
          <w:lang w:eastAsia="es-ES"/>
        </w:rPr>
        <w:t xml:space="preserve">Al procesado </w:t>
      </w:r>
      <w:r w:rsidR="00D60502">
        <w:rPr>
          <w:rFonts w:eastAsia="Tahoma"/>
          <w:i/>
          <w:iCs/>
          <w:spacing w:val="-6"/>
          <w:position w:val="-6"/>
          <w:sz w:val="20"/>
          <w:szCs w:val="20"/>
          <w:lang w:eastAsia="es-ES"/>
        </w:rPr>
        <w:t>DSRM</w:t>
      </w:r>
      <w:r w:rsidR="00D117E2" w:rsidRPr="00D117E2">
        <w:rPr>
          <w:rFonts w:eastAsia="Tahoma"/>
          <w:i/>
          <w:iCs/>
          <w:spacing w:val="-6"/>
          <w:position w:val="-6"/>
          <w:sz w:val="20"/>
          <w:szCs w:val="20"/>
          <w:lang w:eastAsia="es-ES"/>
        </w:rPr>
        <w:t xml:space="preserve"> se le ha demostrado la participación a título de coautor material de un punible contra el patrimonio económico, contemplado en los artículos 239, 240 inc. 2º y 241 numeral 10º C.P., mismo que contempla una pena que oscila entre los 144 y 336 meses de prisión, por lo cual los cuartos de movilidad serían: primer cuarto, de 144 a 192 meses; cuartos medios de 192 meses 1 día a 288 meses; y cuarto máximo de 288 meses 1 día a 336 meses. </w:t>
      </w:r>
    </w:p>
    <w:p w14:paraId="7FDD6031" w14:textId="77777777" w:rsidR="00D117E2" w:rsidRPr="00D117E2" w:rsidRDefault="00D117E2" w:rsidP="00D117E2">
      <w:pPr>
        <w:spacing w:line="276" w:lineRule="auto"/>
        <w:rPr>
          <w:rFonts w:eastAsia="Tahoma"/>
          <w:i/>
          <w:iCs/>
          <w:spacing w:val="-6"/>
          <w:position w:val="-6"/>
          <w:sz w:val="20"/>
          <w:szCs w:val="20"/>
          <w:lang w:eastAsia="es-ES"/>
        </w:rPr>
      </w:pPr>
    </w:p>
    <w:p w14:paraId="6AC04018" w14:textId="2B1A6591" w:rsidR="00D117E2" w:rsidRPr="00D117E2" w:rsidRDefault="00D117E2" w:rsidP="00D117E2">
      <w:pPr>
        <w:spacing w:line="276" w:lineRule="auto"/>
        <w:rPr>
          <w:rFonts w:eastAsia="Tahoma"/>
          <w:i/>
          <w:iCs/>
          <w:spacing w:val="-6"/>
          <w:position w:val="-6"/>
          <w:sz w:val="20"/>
          <w:szCs w:val="20"/>
          <w:lang w:eastAsia="es-ES"/>
        </w:rPr>
      </w:pPr>
      <w:r w:rsidRPr="00D117E2">
        <w:rPr>
          <w:rFonts w:eastAsia="Tahoma"/>
          <w:i/>
          <w:iCs/>
          <w:spacing w:val="-6"/>
          <w:position w:val="-6"/>
          <w:sz w:val="20"/>
          <w:szCs w:val="20"/>
          <w:lang w:eastAsia="es-ES"/>
        </w:rPr>
        <w:t xml:space="preserve">Como quiera que en este asunto no se acreditó en desfavor del señor </w:t>
      </w:r>
      <w:r w:rsidR="00D60502">
        <w:rPr>
          <w:rFonts w:eastAsia="Tahoma"/>
          <w:i/>
          <w:iCs/>
          <w:spacing w:val="-6"/>
          <w:position w:val="-6"/>
          <w:sz w:val="20"/>
          <w:szCs w:val="20"/>
          <w:lang w:eastAsia="es-ES"/>
        </w:rPr>
        <w:t>DSRM</w:t>
      </w:r>
      <w:r w:rsidRPr="00D117E2">
        <w:rPr>
          <w:rFonts w:eastAsia="Tahoma"/>
          <w:i/>
          <w:iCs/>
          <w:spacing w:val="-6"/>
          <w:position w:val="-6"/>
          <w:sz w:val="20"/>
          <w:szCs w:val="20"/>
          <w:lang w:eastAsia="es-ES"/>
        </w:rPr>
        <w:t>, la existencia de circunstancias de mayor punibilidad, pero sí de menor punibilidad, concretamente la consagrada en el numeral 1º del art. 55 C.P. -ausencia de antecedentes-, la Corporación ponderará la sanción dentro del cuarto mínimo de movilidad, y por lo mismo escogerá como sanción a imponer los 144 meses de prisión.</w:t>
      </w:r>
    </w:p>
    <w:p w14:paraId="7F3B2F52" w14:textId="6C67C224" w:rsidR="00CA3363" w:rsidRDefault="00CA3363" w:rsidP="00CA3363">
      <w:pPr>
        <w:pStyle w:val="Textoindependiente2"/>
        <w:spacing w:line="276" w:lineRule="auto"/>
        <w:rPr>
          <w:b/>
          <w:sz w:val="12"/>
          <w:szCs w:val="12"/>
        </w:rPr>
      </w:pPr>
    </w:p>
    <w:p w14:paraId="774ADCA6" w14:textId="0EA7B820" w:rsidR="00CA3363" w:rsidRDefault="00CA3363" w:rsidP="00991561">
      <w:pPr>
        <w:spacing w:line="240" w:lineRule="auto"/>
        <w:jc w:val="center"/>
        <w:rPr>
          <w:b/>
          <w:spacing w:val="2"/>
          <w:sz w:val="12"/>
          <w:szCs w:val="12"/>
        </w:rPr>
      </w:pPr>
    </w:p>
    <w:p w14:paraId="534F518E" w14:textId="77777777" w:rsidR="00CA3363" w:rsidRDefault="00CA3363" w:rsidP="00991561">
      <w:pPr>
        <w:spacing w:line="240" w:lineRule="auto"/>
        <w:jc w:val="center"/>
        <w:rPr>
          <w:b/>
          <w:spacing w:val="2"/>
          <w:sz w:val="12"/>
          <w:szCs w:val="12"/>
        </w:rPr>
      </w:pPr>
    </w:p>
    <w:p w14:paraId="1491C448" w14:textId="4D8EB88D" w:rsidR="00F13C87" w:rsidRPr="00B25DDF" w:rsidRDefault="00F13C87" w:rsidP="00991561">
      <w:pPr>
        <w:spacing w:line="240" w:lineRule="auto"/>
        <w:jc w:val="center"/>
        <w:rPr>
          <w:b/>
          <w:spacing w:val="2"/>
          <w:sz w:val="12"/>
          <w:szCs w:val="12"/>
        </w:rPr>
      </w:pPr>
      <w:r w:rsidRPr="00B25DDF">
        <w:rPr>
          <w:b/>
          <w:spacing w:val="2"/>
          <w:sz w:val="12"/>
          <w:szCs w:val="12"/>
        </w:rPr>
        <w:t>REPÚBLICA DE COLOMBIA</w:t>
      </w:r>
    </w:p>
    <w:p w14:paraId="3723C052" w14:textId="77777777" w:rsidR="00F13C87" w:rsidRPr="00DA53A3" w:rsidRDefault="00F13C87" w:rsidP="00991561">
      <w:pPr>
        <w:tabs>
          <w:tab w:val="left" w:pos="3090"/>
        </w:tabs>
        <w:spacing w:line="240" w:lineRule="auto"/>
        <w:jc w:val="center"/>
        <w:rPr>
          <w:spacing w:val="2"/>
          <w:sz w:val="12"/>
          <w:szCs w:val="12"/>
        </w:rPr>
      </w:pPr>
      <w:r w:rsidRPr="00B25DDF">
        <w:rPr>
          <w:b/>
          <w:iCs/>
          <w:noProof/>
          <w:sz w:val="12"/>
          <w:szCs w:val="12"/>
          <w:lang w:eastAsia="es-ES"/>
        </w:rPr>
        <w:drawing>
          <wp:anchor distT="0" distB="0" distL="114300" distR="114300" simplePos="0" relativeHeight="251659264" behindDoc="1" locked="0" layoutInCell="1" allowOverlap="1" wp14:anchorId="51D7975D" wp14:editId="56D69C15">
            <wp:simplePos x="0" y="0"/>
            <wp:positionH relativeFrom="column">
              <wp:posOffset>2451100</wp:posOffset>
            </wp:positionH>
            <wp:positionV relativeFrom="paragraph">
              <wp:posOffset>100330</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anchor>
        </w:drawing>
      </w:r>
      <w:r w:rsidRPr="00B25DDF">
        <w:rPr>
          <w:b/>
          <w:spacing w:val="2"/>
          <w:sz w:val="12"/>
          <w:szCs w:val="12"/>
        </w:rPr>
        <w:t>RAMA JUDICIAL</w:t>
      </w:r>
    </w:p>
    <w:p w14:paraId="7195CC2C" w14:textId="77777777" w:rsidR="00F13C87" w:rsidRPr="00AA5B76" w:rsidRDefault="00F13C87" w:rsidP="00F13C87">
      <w:pPr>
        <w:spacing w:line="240" w:lineRule="auto"/>
        <w:jc w:val="center"/>
        <w:rPr>
          <w:rFonts w:ascii="Algerian" w:hAnsi="Algerian"/>
          <w:sz w:val="28"/>
          <w:szCs w:val="28"/>
        </w:rPr>
      </w:pPr>
      <w:r w:rsidRPr="00AA5B76">
        <w:rPr>
          <w:rFonts w:ascii="Algerian" w:hAnsi="Algerian"/>
          <w:smallCaps/>
          <w:color w:val="000000"/>
          <w:spacing w:val="2"/>
          <w:sz w:val="28"/>
          <w:szCs w:val="28"/>
        </w:rPr>
        <w:t>TRIBUNAL SUPERIOR DE PEREIRA</w:t>
      </w:r>
    </w:p>
    <w:p w14:paraId="1AC6B1A4" w14:textId="77777777" w:rsidR="00F13C87" w:rsidRPr="00B61E7B" w:rsidRDefault="00F13C87" w:rsidP="00F13C87">
      <w:pPr>
        <w:pStyle w:val="Textoindependiente3"/>
        <w:tabs>
          <w:tab w:val="left" w:pos="1202"/>
        </w:tabs>
        <w:spacing w:line="240" w:lineRule="auto"/>
        <w:jc w:val="center"/>
        <w:rPr>
          <w:rFonts w:ascii="Algerian" w:hAnsi="Algerian"/>
          <w:spacing w:val="2"/>
          <w:sz w:val="28"/>
          <w:szCs w:val="28"/>
        </w:rPr>
      </w:pPr>
      <w:r w:rsidRPr="00FE462D">
        <w:rPr>
          <w:rFonts w:ascii="Algerian" w:hAnsi="Algerian"/>
          <w:spacing w:val="2"/>
          <w:sz w:val="28"/>
          <w:szCs w:val="28"/>
        </w:rPr>
        <w:t xml:space="preserve">SALA </w:t>
      </w:r>
      <w:proofErr w:type="spellStart"/>
      <w:r w:rsidR="00AA6710">
        <w:rPr>
          <w:rFonts w:ascii="Algerian" w:hAnsi="Algerian"/>
          <w:spacing w:val="2"/>
          <w:sz w:val="28"/>
          <w:szCs w:val="28"/>
        </w:rPr>
        <w:t>n°</w:t>
      </w:r>
      <w:proofErr w:type="spellEnd"/>
      <w:r w:rsidR="00AA6710">
        <w:rPr>
          <w:rFonts w:ascii="Algerian" w:hAnsi="Algerian"/>
          <w:spacing w:val="2"/>
          <w:sz w:val="28"/>
          <w:szCs w:val="28"/>
        </w:rPr>
        <w:t xml:space="preserve"> 2 </w:t>
      </w:r>
      <w:r w:rsidRPr="00FE462D">
        <w:rPr>
          <w:rFonts w:ascii="Algerian" w:hAnsi="Algerian"/>
          <w:spacing w:val="2"/>
          <w:sz w:val="28"/>
          <w:szCs w:val="28"/>
        </w:rPr>
        <w:t>de decisión PENAL</w:t>
      </w:r>
    </w:p>
    <w:p w14:paraId="5399AB95" w14:textId="77777777" w:rsidR="00F13C87" w:rsidRDefault="00F13C87" w:rsidP="00F13C87">
      <w:pPr>
        <w:spacing w:line="240" w:lineRule="auto"/>
        <w:jc w:val="center"/>
      </w:pPr>
      <w:r>
        <w:t>Magistrado Ponente</w:t>
      </w:r>
    </w:p>
    <w:p w14:paraId="49584626" w14:textId="77777777" w:rsidR="00F13C87" w:rsidRPr="00AA6710" w:rsidRDefault="00F13C87" w:rsidP="00F13C87">
      <w:pPr>
        <w:spacing w:line="240" w:lineRule="auto"/>
        <w:jc w:val="center"/>
        <w:rPr>
          <w:b/>
          <w:sz w:val="24"/>
          <w:szCs w:val="24"/>
        </w:rPr>
      </w:pPr>
      <w:r w:rsidRPr="00B61E7B">
        <w:rPr>
          <w:sz w:val="24"/>
          <w:szCs w:val="24"/>
        </w:rPr>
        <w:t xml:space="preserve"> </w:t>
      </w:r>
      <w:r w:rsidR="00AA6710" w:rsidRPr="00AA6710">
        <w:rPr>
          <w:b/>
          <w:sz w:val="24"/>
          <w:szCs w:val="24"/>
        </w:rPr>
        <w:t>CARLOS ALBERTO PAZ ZÚÑIGA</w:t>
      </w:r>
    </w:p>
    <w:p w14:paraId="5A880388" w14:textId="77777777" w:rsidR="00F13C87" w:rsidRPr="00556860" w:rsidRDefault="00F13C87" w:rsidP="00F13C87">
      <w:pPr>
        <w:spacing w:line="240" w:lineRule="auto"/>
      </w:pPr>
    </w:p>
    <w:p w14:paraId="2EFC6F8B" w14:textId="4AE220DA" w:rsidR="00F13C87" w:rsidRPr="00556860" w:rsidRDefault="00F13C87" w:rsidP="00F13C87">
      <w:pPr>
        <w:spacing w:line="240" w:lineRule="auto"/>
        <w:jc w:val="center"/>
      </w:pPr>
      <w:r w:rsidRPr="00556860">
        <w:t xml:space="preserve">    Pereira, </w:t>
      </w:r>
      <w:r w:rsidR="009E6F6A">
        <w:t>siete</w:t>
      </w:r>
      <w:r w:rsidR="00316BF5">
        <w:t xml:space="preserve"> </w:t>
      </w:r>
      <w:r w:rsidRPr="00556860">
        <w:t>(</w:t>
      </w:r>
      <w:r w:rsidR="009E6F6A">
        <w:t>7</w:t>
      </w:r>
      <w:r w:rsidRPr="00556860">
        <w:t>) de</w:t>
      </w:r>
      <w:r w:rsidR="00670C56">
        <w:t xml:space="preserve"> abril</w:t>
      </w:r>
      <w:r w:rsidR="00AA6710">
        <w:t xml:space="preserve"> </w:t>
      </w:r>
      <w:r w:rsidRPr="00556860">
        <w:t xml:space="preserve">de dos mil </w:t>
      </w:r>
      <w:r w:rsidR="00AA6710">
        <w:t xml:space="preserve">veinticinco </w:t>
      </w:r>
      <w:r w:rsidRPr="00556860">
        <w:t>(20</w:t>
      </w:r>
      <w:r w:rsidR="00991561">
        <w:t>2</w:t>
      </w:r>
      <w:r w:rsidR="00AA6710">
        <w:t>5</w:t>
      </w:r>
      <w:r w:rsidRPr="00556860">
        <w:t>)</w:t>
      </w:r>
    </w:p>
    <w:p w14:paraId="254FF9FE" w14:textId="77777777" w:rsidR="00F13C87" w:rsidRPr="00556860" w:rsidRDefault="00F13C87" w:rsidP="00F13C87">
      <w:pPr>
        <w:spacing w:line="240" w:lineRule="auto"/>
        <w:jc w:val="center"/>
      </w:pPr>
    </w:p>
    <w:p w14:paraId="08365E97" w14:textId="79E7CF07" w:rsidR="00F13C87" w:rsidRPr="00556860" w:rsidRDefault="00DD1490" w:rsidP="00F13C87">
      <w:pPr>
        <w:spacing w:line="240" w:lineRule="auto"/>
        <w:jc w:val="center"/>
        <w:rPr>
          <w:sz w:val="24"/>
          <w:szCs w:val="24"/>
        </w:rPr>
      </w:pPr>
      <w:r>
        <w:rPr>
          <w:sz w:val="24"/>
          <w:szCs w:val="24"/>
        </w:rPr>
        <w:t xml:space="preserve">ACTA DE APROBACIÓN </w:t>
      </w:r>
      <w:proofErr w:type="spellStart"/>
      <w:r>
        <w:rPr>
          <w:sz w:val="24"/>
          <w:szCs w:val="24"/>
        </w:rPr>
        <w:t>N°</w:t>
      </w:r>
      <w:proofErr w:type="spellEnd"/>
      <w:r w:rsidR="0086337F">
        <w:rPr>
          <w:sz w:val="24"/>
          <w:szCs w:val="24"/>
        </w:rPr>
        <w:t xml:space="preserve"> </w:t>
      </w:r>
      <w:r w:rsidR="009E6F6A">
        <w:rPr>
          <w:sz w:val="24"/>
          <w:szCs w:val="24"/>
        </w:rPr>
        <w:t>379</w:t>
      </w:r>
    </w:p>
    <w:p w14:paraId="28D78E1D" w14:textId="77777777" w:rsidR="00F13C87" w:rsidRPr="00556860" w:rsidRDefault="00F13C87" w:rsidP="00F13C87">
      <w:pPr>
        <w:spacing w:line="240" w:lineRule="auto"/>
        <w:jc w:val="center"/>
        <w:rPr>
          <w:sz w:val="24"/>
          <w:szCs w:val="24"/>
        </w:rPr>
      </w:pPr>
      <w:r w:rsidRPr="00556860">
        <w:rPr>
          <w:sz w:val="24"/>
          <w:szCs w:val="24"/>
        </w:rPr>
        <w:t xml:space="preserve">  SEGUNDA INSTANCIA</w:t>
      </w:r>
    </w:p>
    <w:p w14:paraId="7073BE68" w14:textId="77777777" w:rsidR="00F13C87" w:rsidRPr="00556860" w:rsidRDefault="00F13C87" w:rsidP="00F13C87">
      <w:pPr>
        <w:spacing w:line="240" w:lineRule="auto"/>
      </w:pPr>
    </w:p>
    <w:tbl>
      <w:tblPr>
        <w:tblW w:w="87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0"/>
        <w:gridCol w:w="4854"/>
      </w:tblGrid>
      <w:tr w:rsidR="00F13C87" w:rsidRPr="00556860" w14:paraId="6D785A60" w14:textId="77777777" w:rsidTr="00684669">
        <w:trPr>
          <w:trHeight w:val="259"/>
        </w:trPr>
        <w:tc>
          <w:tcPr>
            <w:tcW w:w="3860" w:type="dxa"/>
            <w:tcBorders>
              <w:top w:val="single" w:sz="4" w:space="0" w:color="auto"/>
              <w:left w:val="single" w:sz="4" w:space="0" w:color="auto"/>
              <w:bottom w:val="single" w:sz="4" w:space="0" w:color="auto"/>
              <w:right w:val="single" w:sz="4" w:space="0" w:color="auto"/>
            </w:tcBorders>
          </w:tcPr>
          <w:p w14:paraId="235C8DC0" w14:textId="77777777" w:rsidR="00F13C87" w:rsidRPr="00556860" w:rsidRDefault="007D3ADD" w:rsidP="007575ED">
            <w:pPr>
              <w:pStyle w:val="Tablaidentificadora"/>
              <w:rPr>
                <w:szCs w:val="24"/>
              </w:rPr>
            </w:pPr>
            <w:r w:rsidRPr="00556860">
              <w:rPr>
                <w:szCs w:val="24"/>
              </w:rPr>
              <w:t>Acusado</w:t>
            </w:r>
            <w:r w:rsidR="00720581">
              <w:rPr>
                <w:szCs w:val="24"/>
              </w:rPr>
              <w:t>s</w:t>
            </w:r>
            <w:r w:rsidR="00F13C87" w:rsidRPr="00556860">
              <w:rPr>
                <w:szCs w:val="24"/>
              </w:rPr>
              <w:t xml:space="preserve">: </w:t>
            </w:r>
          </w:p>
        </w:tc>
        <w:tc>
          <w:tcPr>
            <w:tcW w:w="4854" w:type="dxa"/>
            <w:tcBorders>
              <w:top w:val="single" w:sz="4" w:space="0" w:color="auto"/>
              <w:left w:val="single" w:sz="4" w:space="0" w:color="auto"/>
              <w:bottom w:val="single" w:sz="4" w:space="0" w:color="auto"/>
              <w:right w:val="single" w:sz="4" w:space="0" w:color="auto"/>
            </w:tcBorders>
          </w:tcPr>
          <w:p w14:paraId="30B6BCDE" w14:textId="2CED5D95" w:rsidR="00F13C87" w:rsidRPr="000230B2" w:rsidRDefault="00D60502" w:rsidP="00720581">
            <w:pPr>
              <w:pStyle w:val="Tablaidentificadora"/>
              <w:rPr>
                <w:rFonts w:cs="Tahoma"/>
                <w:b/>
                <w:szCs w:val="24"/>
              </w:rPr>
            </w:pPr>
            <w:r>
              <w:rPr>
                <w:rFonts w:cs="Tahoma"/>
                <w:b/>
                <w:szCs w:val="24"/>
              </w:rPr>
              <w:t>DSRM</w:t>
            </w:r>
            <w:r w:rsidR="00AA6710" w:rsidRPr="000230B2">
              <w:rPr>
                <w:rFonts w:cs="Tahoma"/>
                <w:b/>
                <w:szCs w:val="24"/>
              </w:rPr>
              <w:t xml:space="preserve"> </w:t>
            </w:r>
          </w:p>
        </w:tc>
      </w:tr>
      <w:tr w:rsidR="00F13C87" w:rsidRPr="00556860" w14:paraId="68AB7C51" w14:textId="77777777" w:rsidTr="00684669">
        <w:trPr>
          <w:trHeight w:val="275"/>
        </w:trPr>
        <w:tc>
          <w:tcPr>
            <w:tcW w:w="3860" w:type="dxa"/>
            <w:tcBorders>
              <w:top w:val="single" w:sz="4" w:space="0" w:color="auto"/>
              <w:left w:val="single" w:sz="4" w:space="0" w:color="auto"/>
              <w:bottom w:val="single" w:sz="4" w:space="0" w:color="auto"/>
              <w:right w:val="single" w:sz="4" w:space="0" w:color="auto"/>
            </w:tcBorders>
          </w:tcPr>
          <w:p w14:paraId="3D300AE3" w14:textId="77777777" w:rsidR="00F13C87" w:rsidRPr="00556860" w:rsidRDefault="00F13C87" w:rsidP="007575ED">
            <w:pPr>
              <w:pStyle w:val="Tablaidentificadora"/>
              <w:rPr>
                <w:szCs w:val="24"/>
              </w:rPr>
            </w:pPr>
            <w:r w:rsidRPr="00556860">
              <w:rPr>
                <w:szCs w:val="24"/>
              </w:rPr>
              <w:t>Cédula</w:t>
            </w:r>
            <w:r w:rsidR="00991561">
              <w:rPr>
                <w:szCs w:val="24"/>
              </w:rPr>
              <w:t>s</w:t>
            </w:r>
            <w:r w:rsidRPr="00556860">
              <w:rPr>
                <w:szCs w:val="24"/>
              </w:rPr>
              <w:t xml:space="preserve"> de ciudadanía:</w:t>
            </w:r>
          </w:p>
        </w:tc>
        <w:tc>
          <w:tcPr>
            <w:tcW w:w="4854" w:type="dxa"/>
            <w:tcBorders>
              <w:top w:val="single" w:sz="4" w:space="0" w:color="auto"/>
              <w:left w:val="single" w:sz="4" w:space="0" w:color="auto"/>
              <w:bottom w:val="single" w:sz="4" w:space="0" w:color="auto"/>
              <w:right w:val="single" w:sz="4" w:space="0" w:color="auto"/>
            </w:tcBorders>
          </w:tcPr>
          <w:p w14:paraId="771E8399" w14:textId="77777777" w:rsidR="00F13C87" w:rsidRPr="00556860" w:rsidRDefault="00AA6710" w:rsidP="00AE0ABE">
            <w:pPr>
              <w:pStyle w:val="Tablaidentificadora"/>
              <w:rPr>
                <w:rFonts w:cs="Tahoma"/>
                <w:szCs w:val="24"/>
              </w:rPr>
            </w:pPr>
            <w:r>
              <w:rPr>
                <w:rFonts w:cs="Tahoma"/>
                <w:szCs w:val="24"/>
              </w:rPr>
              <w:t>1.088.286.191</w:t>
            </w:r>
            <w:r w:rsidR="004A6CB7">
              <w:rPr>
                <w:rFonts w:cs="Tahoma"/>
                <w:szCs w:val="24"/>
              </w:rPr>
              <w:t xml:space="preserve"> </w:t>
            </w:r>
            <w:r>
              <w:rPr>
                <w:rFonts w:cs="Tahoma"/>
                <w:szCs w:val="24"/>
              </w:rPr>
              <w:t>de Pereira (Rda.)</w:t>
            </w:r>
          </w:p>
        </w:tc>
      </w:tr>
      <w:tr w:rsidR="00F13C87" w:rsidRPr="00556860" w14:paraId="26CC4866" w14:textId="77777777" w:rsidTr="00684669">
        <w:trPr>
          <w:trHeight w:val="259"/>
        </w:trPr>
        <w:tc>
          <w:tcPr>
            <w:tcW w:w="3860" w:type="dxa"/>
            <w:tcBorders>
              <w:top w:val="single" w:sz="4" w:space="0" w:color="auto"/>
              <w:left w:val="single" w:sz="4" w:space="0" w:color="auto"/>
              <w:bottom w:val="single" w:sz="4" w:space="0" w:color="auto"/>
              <w:right w:val="single" w:sz="4" w:space="0" w:color="auto"/>
            </w:tcBorders>
          </w:tcPr>
          <w:p w14:paraId="15CD1375" w14:textId="77777777" w:rsidR="00F13C87" w:rsidRPr="00556860" w:rsidRDefault="00F13C87" w:rsidP="007575ED">
            <w:pPr>
              <w:pStyle w:val="Tablaidentificadora"/>
              <w:rPr>
                <w:szCs w:val="24"/>
              </w:rPr>
            </w:pPr>
            <w:r w:rsidRPr="00556860">
              <w:rPr>
                <w:szCs w:val="24"/>
              </w:rPr>
              <w:t>Delito:</w:t>
            </w:r>
          </w:p>
        </w:tc>
        <w:tc>
          <w:tcPr>
            <w:tcW w:w="4854" w:type="dxa"/>
            <w:tcBorders>
              <w:top w:val="single" w:sz="4" w:space="0" w:color="auto"/>
              <w:left w:val="single" w:sz="4" w:space="0" w:color="auto"/>
              <w:bottom w:val="single" w:sz="4" w:space="0" w:color="auto"/>
              <w:right w:val="single" w:sz="4" w:space="0" w:color="auto"/>
            </w:tcBorders>
          </w:tcPr>
          <w:p w14:paraId="777035C9" w14:textId="77777777" w:rsidR="00F13C87" w:rsidRPr="00556860" w:rsidRDefault="00960A54" w:rsidP="00AE0ABE">
            <w:pPr>
              <w:pStyle w:val="Tablaidentificadora"/>
              <w:rPr>
                <w:rFonts w:cs="Tahoma"/>
                <w:szCs w:val="24"/>
              </w:rPr>
            </w:pPr>
            <w:r>
              <w:rPr>
                <w:rFonts w:cs="Tahoma"/>
                <w:szCs w:val="24"/>
              </w:rPr>
              <w:t>Hurto calificado y agravado</w:t>
            </w:r>
          </w:p>
        </w:tc>
      </w:tr>
      <w:tr w:rsidR="00F13C87" w:rsidRPr="00556860" w14:paraId="13CD6E21" w14:textId="77777777" w:rsidTr="00684669">
        <w:trPr>
          <w:trHeight w:val="259"/>
        </w:trPr>
        <w:tc>
          <w:tcPr>
            <w:tcW w:w="3860" w:type="dxa"/>
            <w:tcBorders>
              <w:top w:val="single" w:sz="4" w:space="0" w:color="auto"/>
              <w:left w:val="single" w:sz="4" w:space="0" w:color="auto"/>
              <w:bottom w:val="single" w:sz="4" w:space="0" w:color="auto"/>
              <w:right w:val="single" w:sz="4" w:space="0" w:color="auto"/>
            </w:tcBorders>
          </w:tcPr>
          <w:p w14:paraId="06022595" w14:textId="77777777" w:rsidR="00F13C87" w:rsidRPr="00556860" w:rsidRDefault="00F13C87" w:rsidP="007575ED">
            <w:pPr>
              <w:pStyle w:val="Tablaidentificadora"/>
              <w:rPr>
                <w:szCs w:val="24"/>
              </w:rPr>
            </w:pPr>
            <w:r w:rsidRPr="00556860">
              <w:rPr>
                <w:szCs w:val="24"/>
              </w:rPr>
              <w:t>Víctima:</w:t>
            </w:r>
          </w:p>
        </w:tc>
        <w:tc>
          <w:tcPr>
            <w:tcW w:w="4854" w:type="dxa"/>
            <w:tcBorders>
              <w:top w:val="single" w:sz="4" w:space="0" w:color="auto"/>
              <w:left w:val="single" w:sz="4" w:space="0" w:color="auto"/>
              <w:bottom w:val="single" w:sz="4" w:space="0" w:color="auto"/>
              <w:right w:val="single" w:sz="4" w:space="0" w:color="auto"/>
            </w:tcBorders>
          </w:tcPr>
          <w:p w14:paraId="1B688545" w14:textId="77777777" w:rsidR="00F13C87" w:rsidRPr="00556860" w:rsidRDefault="00AA6710" w:rsidP="00BC30E8">
            <w:pPr>
              <w:pStyle w:val="Tablaidentificadora"/>
              <w:rPr>
                <w:rFonts w:cs="Tahoma"/>
                <w:szCs w:val="24"/>
              </w:rPr>
            </w:pPr>
            <w:r>
              <w:rPr>
                <w:rFonts w:cs="Tahoma"/>
                <w:szCs w:val="24"/>
              </w:rPr>
              <w:t>Valentina Ríos Arias</w:t>
            </w:r>
          </w:p>
        </w:tc>
      </w:tr>
      <w:tr w:rsidR="00F13C87" w:rsidRPr="00556860" w14:paraId="52334F9A" w14:textId="77777777" w:rsidTr="00684669">
        <w:trPr>
          <w:trHeight w:val="275"/>
        </w:trPr>
        <w:tc>
          <w:tcPr>
            <w:tcW w:w="3860" w:type="dxa"/>
            <w:tcBorders>
              <w:top w:val="single" w:sz="4" w:space="0" w:color="auto"/>
              <w:left w:val="single" w:sz="4" w:space="0" w:color="auto"/>
              <w:bottom w:val="single" w:sz="4" w:space="0" w:color="auto"/>
              <w:right w:val="single" w:sz="4" w:space="0" w:color="auto"/>
            </w:tcBorders>
          </w:tcPr>
          <w:p w14:paraId="4B069518" w14:textId="77777777" w:rsidR="00F13C87" w:rsidRPr="00556860" w:rsidRDefault="00F13C87" w:rsidP="007575ED">
            <w:pPr>
              <w:pStyle w:val="Tablaidentificadora"/>
              <w:rPr>
                <w:szCs w:val="24"/>
              </w:rPr>
            </w:pPr>
            <w:r w:rsidRPr="00556860">
              <w:rPr>
                <w:szCs w:val="24"/>
              </w:rPr>
              <w:t>Procedencia:</w:t>
            </w:r>
          </w:p>
        </w:tc>
        <w:tc>
          <w:tcPr>
            <w:tcW w:w="4854" w:type="dxa"/>
            <w:tcBorders>
              <w:top w:val="single" w:sz="4" w:space="0" w:color="auto"/>
              <w:left w:val="single" w:sz="4" w:space="0" w:color="auto"/>
              <w:bottom w:val="single" w:sz="4" w:space="0" w:color="auto"/>
              <w:right w:val="single" w:sz="4" w:space="0" w:color="auto"/>
            </w:tcBorders>
          </w:tcPr>
          <w:p w14:paraId="5692A0E5" w14:textId="77777777" w:rsidR="00F13C87" w:rsidRPr="00556860" w:rsidRDefault="00F13C87" w:rsidP="00991561">
            <w:pPr>
              <w:pStyle w:val="Tablaidentificadora"/>
              <w:rPr>
                <w:rFonts w:cs="Tahoma"/>
                <w:szCs w:val="24"/>
              </w:rPr>
            </w:pPr>
            <w:r w:rsidRPr="00556860">
              <w:rPr>
                <w:rFonts w:cs="Tahoma"/>
                <w:szCs w:val="24"/>
              </w:rPr>
              <w:t xml:space="preserve">Juzgado </w:t>
            </w:r>
            <w:r w:rsidR="00AE0ABE">
              <w:rPr>
                <w:rFonts w:cs="Tahoma"/>
                <w:szCs w:val="24"/>
              </w:rPr>
              <w:t>P</w:t>
            </w:r>
            <w:r w:rsidR="00960A54">
              <w:rPr>
                <w:rFonts w:cs="Tahoma"/>
                <w:szCs w:val="24"/>
              </w:rPr>
              <w:t>r</w:t>
            </w:r>
            <w:r w:rsidR="00AA6710">
              <w:rPr>
                <w:rFonts w:cs="Tahoma"/>
                <w:szCs w:val="24"/>
              </w:rPr>
              <w:t xml:space="preserve">imero Penal </w:t>
            </w:r>
            <w:r w:rsidR="00960A54">
              <w:rPr>
                <w:rFonts w:cs="Tahoma"/>
                <w:szCs w:val="24"/>
              </w:rPr>
              <w:t xml:space="preserve">Municipal con función de conocimiento de </w:t>
            </w:r>
            <w:r w:rsidR="00AA6710">
              <w:rPr>
                <w:rFonts w:cs="Tahoma"/>
                <w:szCs w:val="24"/>
              </w:rPr>
              <w:t xml:space="preserve">Pereira </w:t>
            </w:r>
            <w:r w:rsidR="00960A54">
              <w:rPr>
                <w:rFonts w:cs="Tahoma"/>
                <w:szCs w:val="24"/>
              </w:rPr>
              <w:t>(Rda.)</w:t>
            </w:r>
            <w:r w:rsidR="00AA6710">
              <w:rPr>
                <w:rFonts w:cs="Tahoma"/>
                <w:szCs w:val="24"/>
              </w:rPr>
              <w:t xml:space="preserve"> </w:t>
            </w:r>
            <w:r w:rsidR="00AA6710" w:rsidRPr="000F17C2">
              <w:rPr>
                <w:rFonts w:ascii="Bookman Old Style" w:hAnsi="Bookman Old Style" w:cs="Tahoma"/>
                <w:sz w:val="22"/>
                <w:szCs w:val="22"/>
              </w:rPr>
              <w:t>-actualmente Octavo Penal Municipal de Conocimiento de Pereira-</w:t>
            </w:r>
          </w:p>
        </w:tc>
      </w:tr>
      <w:tr w:rsidR="00F13C87" w:rsidRPr="00556860" w14:paraId="04930F21" w14:textId="77777777" w:rsidTr="00684669">
        <w:trPr>
          <w:trHeight w:val="275"/>
        </w:trPr>
        <w:tc>
          <w:tcPr>
            <w:tcW w:w="3860" w:type="dxa"/>
            <w:tcBorders>
              <w:top w:val="single" w:sz="4" w:space="0" w:color="auto"/>
              <w:left w:val="single" w:sz="4" w:space="0" w:color="auto"/>
              <w:bottom w:val="single" w:sz="4" w:space="0" w:color="auto"/>
              <w:right w:val="single" w:sz="4" w:space="0" w:color="auto"/>
            </w:tcBorders>
          </w:tcPr>
          <w:p w14:paraId="15819BB1" w14:textId="77777777" w:rsidR="00F13C87" w:rsidRPr="00556860" w:rsidRDefault="00F13C87" w:rsidP="007575ED">
            <w:pPr>
              <w:pStyle w:val="Tablaidentificadora"/>
              <w:rPr>
                <w:szCs w:val="24"/>
              </w:rPr>
            </w:pPr>
            <w:r w:rsidRPr="00556860">
              <w:rPr>
                <w:szCs w:val="24"/>
              </w:rPr>
              <w:t>Asunto:</w:t>
            </w:r>
          </w:p>
        </w:tc>
        <w:tc>
          <w:tcPr>
            <w:tcW w:w="4854" w:type="dxa"/>
            <w:tcBorders>
              <w:top w:val="single" w:sz="4" w:space="0" w:color="auto"/>
              <w:left w:val="single" w:sz="4" w:space="0" w:color="auto"/>
              <w:bottom w:val="single" w:sz="4" w:space="0" w:color="auto"/>
              <w:right w:val="single" w:sz="4" w:space="0" w:color="auto"/>
            </w:tcBorders>
          </w:tcPr>
          <w:p w14:paraId="283E997D" w14:textId="77777777" w:rsidR="00F13C87" w:rsidRPr="00556860" w:rsidRDefault="00F13C87" w:rsidP="00976DE2">
            <w:pPr>
              <w:pStyle w:val="Tablaidentificadora"/>
              <w:rPr>
                <w:rFonts w:cs="Tahoma"/>
                <w:szCs w:val="24"/>
              </w:rPr>
            </w:pPr>
            <w:r w:rsidRPr="00556860">
              <w:rPr>
                <w:rFonts w:cs="Tahoma"/>
                <w:szCs w:val="24"/>
              </w:rPr>
              <w:t xml:space="preserve">Decide apelación interpuesta por la </w:t>
            </w:r>
            <w:r w:rsidR="00991561">
              <w:rPr>
                <w:rFonts w:cs="Tahoma"/>
                <w:szCs w:val="24"/>
              </w:rPr>
              <w:t xml:space="preserve">Fiscalía </w:t>
            </w:r>
            <w:r w:rsidRPr="00556860">
              <w:rPr>
                <w:rFonts w:cs="Tahoma"/>
                <w:szCs w:val="24"/>
              </w:rPr>
              <w:t xml:space="preserve">contra el fallo </w:t>
            </w:r>
            <w:r w:rsidR="00AA6710">
              <w:rPr>
                <w:rFonts w:cs="Tahoma"/>
                <w:szCs w:val="24"/>
              </w:rPr>
              <w:t>absolutorio de octubre 21 de 2019</w:t>
            </w:r>
            <w:r w:rsidRPr="002C3572">
              <w:rPr>
                <w:rFonts w:cs="Tahoma"/>
                <w:szCs w:val="24"/>
              </w:rPr>
              <w:t xml:space="preserve">. </w:t>
            </w:r>
            <w:r w:rsidR="002C3572" w:rsidRPr="00AA6710">
              <w:rPr>
                <w:rFonts w:cs="Tahoma"/>
                <w:b/>
                <w:szCs w:val="24"/>
              </w:rPr>
              <w:t>S</w:t>
            </w:r>
            <w:r w:rsidR="00AA6710" w:rsidRPr="00AA6710">
              <w:rPr>
                <w:rFonts w:cs="Tahoma"/>
                <w:b/>
                <w:szCs w:val="24"/>
              </w:rPr>
              <w:t>e</w:t>
            </w:r>
            <w:r w:rsidR="002C3572" w:rsidRPr="00AA6710">
              <w:rPr>
                <w:rFonts w:cs="Tahoma"/>
                <w:b/>
                <w:szCs w:val="24"/>
              </w:rPr>
              <w:t xml:space="preserve"> </w:t>
            </w:r>
            <w:r w:rsidR="00F13B6D">
              <w:rPr>
                <w:rFonts w:cs="Tahoma"/>
                <w:b/>
                <w:szCs w:val="24"/>
              </w:rPr>
              <w:t>revoca y condena</w:t>
            </w:r>
          </w:p>
        </w:tc>
      </w:tr>
    </w:tbl>
    <w:p w14:paraId="18B819BE" w14:textId="77777777" w:rsidR="00F13C87" w:rsidRPr="007F25AF" w:rsidRDefault="00F13C87" w:rsidP="00AA6710">
      <w:pPr>
        <w:spacing w:line="276" w:lineRule="auto"/>
        <w:rPr>
          <w:spacing w:val="-4"/>
        </w:rPr>
      </w:pPr>
    </w:p>
    <w:p w14:paraId="69C03CB4" w14:textId="77777777" w:rsidR="00F13C87" w:rsidRPr="007F25AF" w:rsidRDefault="00F13C87" w:rsidP="00AA6710">
      <w:pPr>
        <w:spacing w:line="276" w:lineRule="auto"/>
        <w:rPr>
          <w:spacing w:val="-4"/>
        </w:rPr>
      </w:pPr>
      <w:r w:rsidRPr="007F25AF">
        <w:rPr>
          <w:spacing w:val="-4"/>
        </w:rPr>
        <w:t>El Tribunal Superior del Distrito Judicial de Pereira pronuncia la sentencia en los siguientes términos:</w:t>
      </w:r>
    </w:p>
    <w:p w14:paraId="0EE5A574" w14:textId="77777777" w:rsidR="00F13C87" w:rsidRPr="007F25AF" w:rsidRDefault="00F13C87" w:rsidP="00AA6710">
      <w:pPr>
        <w:pStyle w:val="Textoindependiente2"/>
        <w:spacing w:line="276" w:lineRule="auto"/>
        <w:rPr>
          <w:spacing w:val="-4"/>
        </w:rPr>
      </w:pPr>
    </w:p>
    <w:p w14:paraId="1B090160" w14:textId="104CEE8D" w:rsidR="00F13C87" w:rsidRPr="007F25AF" w:rsidRDefault="00F13C87" w:rsidP="00AA6710">
      <w:pPr>
        <w:spacing w:line="276" w:lineRule="auto"/>
        <w:rPr>
          <w:rStyle w:val="Algerian"/>
          <w:spacing w:val="-4"/>
        </w:rPr>
      </w:pPr>
      <w:r w:rsidRPr="007F25AF">
        <w:rPr>
          <w:rStyle w:val="Algerian"/>
          <w:spacing w:val="-4"/>
        </w:rPr>
        <w:t xml:space="preserve">1.- hechos Y </w:t>
      </w:r>
      <w:r w:rsidR="007E5386">
        <w:rPr>
          <w:rStyle w:val="Algerian"/>
          <w:spacing w:val="-4"/>
        </w:rPr>
        <w:t>ACTUACIÓN PROCESAL</w:t>
      </w:r>
    </w:p>
    <w:p w14:paraId="5FE1DE7E" w14:textId="77777777" w:rsidR="000D42A3" w:rsidRPr="007F25AF" w:rsidRDefault="000D42A3" w:rsidP="00AA6710">
      <w:pPr>
        <w:spacing w:line="276" w:lineRule="auto"/>
        <w:rPr>
          <w:spacing w:val="-4"/>
        </w:rPr>
      </w:pPr>
    </w:p>
    <w:p w14:paraId="772163DB" w14:textId="77777777" w:rsidR="00AA6710" w:rsidRDefault="000D42A3" w:rsidP="00AA6710">
      <w:pPr>
        <w:spacing w:line="276" w:lineRule="auto"/>
        <w:rPr>
          <w:rStyle w:val="Numeracinttulo"/>
          <w:b w:val="0"/>
          <w:spacing w:val="-4"/>
          <w:sz w:val="26"/>
        </w:rPr>
      </w:pPr>
      <w:r w:rsidRPr="007F25AF">
        <w:rPr>
          <w:rStyle w:val="Numeracinttulo"/>
          <w:spacing w:val="-4"/>
          <w:szCs w:val="24"/>
        </w:rPr>
        <w:t>1.1.-</w:t>
      </w:r>
      <w:r w:rsidR="00156F53" w:rsidRPr="007F25AF">
        <w:rPr>
          <w:rStyle w:val="Numeracinttulo"/>
          <w:b w:val="0"/>
          <w:spacing w:val="-4"/>
          <w:sz w:val="26"/>
        </w:rPr>
        <w:t xml:space="preserve"> L</w:t>
      </w:r>
      <w:r w:rsidR="000828C0" w:rsidRPr="007F25AF">
        <w:rPr>
          <w:rStyle w:val="Numeracinttulo"/>
          <w:b w:val="0"/>
          <w:spacing w:val="-4"/>
          <w:sz w:val="26"/>
        </w:rPr>
        <w:t xml:space="preserve">os hechos </w:t>
      </w:r>
      <w:r w:rsidR="00AA6710">
        <w:rPr>
          <w:rStyle w:val="Numeracinttulo"/>
          <w:b w:val="0"/>
          <w:spacing w:val="-4"/>
          <w:sz w:val="26"/>
        </w:rPr>
        <w:t>fueron plasmados por la funcionaria A-quo en el fallo confutado de la siguiente manera:</w:t>
      </w:r>
    </w:p>
    <w:p w14:paraId="5700D1D3" w14:textId="77777777" w:rsidR="00AA6710" w:rsidRDefault="00AA6710" w:rsidP="00AA6710">
      <w:pPr>
        <w:spacing w:line="276" w:lineRule="auto"/>
        <w:rPr>
          <w:rStyle w:val="Numeracinttulo"/>
          <w:b w:val="0"/>
          <w:spacing w:val="-4"/>
          <w:sz w:val="26"/>
        </w:rPr>
      </w:pPr>
    </w:p>
    <w:p w14:paraId="557E82DD" w14:textId="24C55B96" w:rsidR="00AA6710" w:rsidRPr="00AA6710" w:rsidRDefault="00AA6710" w:rsidP="00AA6710">
      <w:pPr>
        <w:spacing w:line="276" w:lineRule="auto"/>
        <w:ind w:left="284" w:right="335"/>
        <w:rPr>
          <w:rStyle w:val="Numeracinttulo"/>
          <w:rFonts w:ascii="Bookman Old Style" w:hAnsi="Bookman Old Style"/>
          <w:b w:val="0"/>
          <w:spacing w:val="-4"/>
          <w:sz w:val="22"/>
          <w:szCs w:val="22"/>
        </w:rPr>
      </w:pPr>
      <w:r w:rsidRPr="00AA6710">
        <w:rPr>
          <w:rStyle w:val="Numeracinttulo"/>
          <w:rFonts w:ascii="Bookman Old Style" w:hAnsi="Bookman Old Style"/>
          <w:b w:val="0"/>
          <w:spacing w:val="-4"/>
          <w:sz w:val="22"/>
          <w:szCs w:val="22"/>
        </w:rPr>
        <w:t>“</w:t>
      </w:r>
      <w:r w:rsidRPr="00AA6710">
        <w:rPr>
          <w:rFonts w:ascii="Bookman Old Style" w:hAnsi="Bookman Old Style"/>
          <w:sz w:val="22"/>
          <w:szCs w:val="22"/>
        </w:rPr>
        <w:t xml:space="preserve">Narra el escrito de acusación que el 14 de octubre de 2017, a las 8 de la noche, se desplazaba Valentina Ríos Arias en compañía de su señor padre por la calle 29 con carreras 5ta y 6ta, cuando observó que se acercaba una moto, sin luces, sin farola, se baja el parrillero le apunta con un arma y le pide el bolso, se lo entregó, y los agresores se van por la carrera 5 calle 30 violando vía, de inmediato el padre de la víctima apunta las placas de la moto SNJ-15 y </w:t>
      </w:r>
      <w:r w:rsidRPr="002302E3">
        <w:rPr>
          <w:rFonts w:ascii="Bookman Old Style" w:hAnsi="Bookman Old Style"/>
          <w:sz w:val="22"/>
          <w:szCs w:val="22"/>
        </w:rPr>
        <w:t>acude al</w:t>
      </w:r>
      <w:r w:rsidR="002673CF" w:rsidRPr="002302E3">
        <w:rPr>
          <w:rFonts w:ascii="Bookman Old Style" w:hAnsi="Bookman Old Style"/>
          <w:sz w:val="22"/>
          <w:szCs w:val="22"/>
        </w:rPr>
        <w:t xml:space="preserve"> </w:t>
      </w:r>
      <w:r w:rsidR="00F17069">
        <w:rPr>
          <w:rFonts w:ascii="Bookman Old Style" w:hAnsi="Bookman Old Style"/>
          <w:sz w:val="22"/>
          <w:szCs w:val="22"/>
        </w:rPr>
        <w:t xml:space="preserve">CAI </w:t>
      </w:r>
      <w:r w:rsidRPr="00507A17">
        <w:rPr>
          <w:rFonts w:ascii="Bookman Old Style" w:hAnsi="Bookman Old Style"/>
          <w:sz w:val="22"/>
          <w:szCs w:val="22"/>
        </w:rPr>
        <w:t>del barrio Galán, mientras Valentina por el aplicativo de GOOGLE, ubica su celular</w:t>
      </w:r>
      <w:r w:rsidRPr="00AA6710">
        <w:rPr>
          <w:rFonts w:ascii="Bookman Old Style" w:hAnsi="Bookman Old Style"/>
          <w:sz w:val="22"/>
          <w:szCs w:val="22"/>
        </w:rPr>
        <w:t xml:space="preserve"> en el barrio La Unidad de Boston, se desplaza con su padre al </w:t>
      </w:r>
      <w:r w:rsidR="006F172B">
        <w:rPr>
          <w:rFonts w:ascii="Bookman Old Style" w:hAnsi="Bookman Old Style"/>
          <w:sz w:val="22"/>
          <w:szCs w:val="22"/>
        </w:rPr>
        <w:t>CAI</w:t>
      </w:r>
      <w:r w:rsidRPr="00AA6710">
        <w:rPr>
          <w:rFonts w:ascii="Bookman Old Style" w:hAnsi="Bookman Old Style"/>
          <w:sz w:val="22"/>
          <w:szCs w:val="22"/>
        </w:rPr>
        <w:t xml:space="preserve"> de Boston informa a la patrulleros quienes ubican la moto en el barrio averiguan con los vecinos por su propietario sin encontrar respuesta y deciden llevarla </w:t>
      </w:r>
      <w:r w:rsidRPr="002302E3">
        <w:rPr>
          <w:rFonts w:ascii="Bookman Old Style" w:hAnsi="Bookman Old Style"/>
          <w:sz w:val="22"/>
          <w:szCs w:val="22"/>
        </w:rPr>
        <w:t>hasta el</w:t>
      </w:r>
      <w:r w:rsidRPr="00AA6710">
        <w:rPr>
          <w:rFonts w:ascii="Bookman Old Style" w:hAnsi="Bookman Old Style"/>
          <w:sz w:val="22"/>
          <w:szCs w:val="22"/>
        </w:rPr>
        <w:t xml:space="preserve">  </w:t>
      </w:r>
      <w:r w:rsidR="00F17069">
        <w:rPr>
          <w:rFonts w:ascii="Bookman Old Style" w:hAnsi="Bookman Old Style"/>
          <w:sz w:val="22"/>
          <w:szCs w:val="22"/>
        </w:rPr>
        <w:t xml:space="preserve">CAI </w:t>
      </w:r>
      <w:r w:rsidRPr="00AA6710">
        <w:rPr>
          <w:rFonts w:ascii="Bookman Old Style" w:hAnsi="Bookman Old Style"/>
          <w:sz w:val="22"/>
          <w:szCs w:val="22"/>
        </w:rPr>
        <w:t xml:space="preserve">al parecer por estar abandonada, a la media hora el señor </w:t>
      </w:r>
      <w:r w:rsidR="00D60502">
        <w:rPr>
          <w:rFonts w:ascii="Bookman Old Style" w:hAnsi="Bookman Old Style"/>
          <w:sz w:val="22"/>
          <w:szCs w:val="22"/>
        </w:rPr>
        <w:t>DSRM</w:t>
      </w:r>
      <w:r w:rsidRPr="00AA6710">
        <w:rPr>
          <w:rFonts w:ascii="Bookman Old Style" w:hAnsi="Bookman Old Style"/>
          <w:sz w:val="22"/>
          <w:szCs w:val="22"/>
        </w:rPr>
        <w:t xml:space="preserve">, </w:t>
      </w:r>
      <w:r w:rsidRPr="002302E3">
        <w:rPr>
          <w:rFonts w:ascii="Bookman Old Style" w:hAnsi="Bookman Old Style"/>
          <w:sz w:val="22"/>
          <w:szCs w:val="22"/>
        </w:rPr>
        <w:t>va al</w:t>
      </w:r>
      <w:r w:rsidRPr="00AA6710">
        <w:rPr>
          <w:rFonts w:ascii="Bookman Old Style" w:hAnsi="Bookman Old Style"/>
          <w:sz w:val="22"/>
          <w:szCs w:val="22"/>
        </w:rPr>
        <w:t xml:space="preserve"> </w:t>
      </w:r>
      <w:r w:rsidR="00B0493C">
        <w:rPr>
          <w:rFonts w:ascii="Bookman Old Style" w:hAnsi="Bookman Old Style"/>
          <w:sz w:val="22"/>
          <w:szCs w:val="22"/>
        </w:rPr>
        <w:t xml:space="preserve">CAI </w:t>
      </w:r>
      <w:r w:rsidRPr="00AA6710">
        <w:rPr>
          <w:rFonts w:ascii="Bookman Old Style" w:hAnsi="Bookman Old Style"/>
          <w:sz w:val="22"/>
          <w:szCs w:val="22"/>
        </w:rPr>
        <w:t xml:space="preserve">reclamando la moto por ser de su propiedad. La victima evalúa (sic) los perjuicios en la suma de $ 2.100.000, no recupera ninguno de sus bienes. La Fiscalía obtiene información en cumplimiento a programa metodológico, el certificado de tradición de la motocicleta donde aparece como propietario de la motocicleta SNJ-15, JHON </w:t>
      </w:r>
      <w:r w:rsidRPr="002302E3">
        <w:rPr>
          <w:rFonts w:ascii="Bookman Old Style" w:hAnsi="Bookman Old Style"/>
          <w:sz w:val="22"/>
          <w:szCs w:val="22"/>
        </w:rPr>
        <w:t>JEDWIN</w:t>
      </w:r>
      <w:r w:rsidR="00B0493C">
        <w:rPr>
          <w:rFonts w:ascii="Bookman Old Style" w:hAnsi="Bookman Old Style"/>
          <w:sz w:val="22"/>
          <w:szCs w:val="22"/>
        </w:rPr>
        <w:t xml:space="preserve"> (sic)</w:t>
      </w:r>
      <w:r w:rsidRPr="00AA6710">
        <w:rPr>
          <w:rFonts w:ascii="Bookman Old Style" w:hAnsi="Bookman Old Style"/>
          <w:sz w:val="22"/>
          <w:szCs w:val="22"/>
        </w:rPr>
        <w:t xml:space="preserve"> AGUIRRE ARANGO.”</w:t>
      </w:r>
    </w:p>
    <w:p w14:paraId="716F31BF" w14:textId="77777777" w:rsidR="00877346" w:rsidRPr="007F25AF" w:rsidRDefault="00877346" w:rsidP="00AA6710">
      <w:pPr>
        <w:spacing w:line="276" w:lineRule="auto"/>
        <w:rPr>
          <w:rStyle w:val="Numeracinttulo"/>
          <w:b w:val="0"/>
          <w:spacing w:val="-4"/>
          <w:sz w:val="26"/>
        </w:rPr>
      </w:pPr>
    </w:p>
    <w:p w14:paraId="51D467F1" w14:textId="28FF68C1" w:rsidR="00C65E91" w:rsidRPr="007F25AF" w:rsidRDefault="00877346" w:rsidP="00C65E91">
      <w:pPr>
        <w:spacing w:line="276" w:lineRule="auto"/>
        <w:rPr>
          <w:rStyle w:val="Numeracinttulo"/>
          <w:spacing w:val="-4"/>
          <w:sz w:val="26"/>
        </w:rPr>
      </w:pPr>
      <w:r w:rsidRPr="007F25AF">
        <w:rPr>
          <w:rStyle w:val="Numeracinttulo"/>
          <w:spacing w:val="-4"/>
          <w:position w:val="2"/>
        </w:rPr>
        <w:t>1.2.-</w:t>
      </w:r>
      <w:r w:rsidR="00156F53" w:rsidRPr="007F25AF">
        <w:rPr>
          <w:rStyle w:val="Numeracinttulo"/>
          <w:b w:val="0"/>
          <w:spacing w:val="-4"/>
          <w:sz w:val="26"/>
        </w:rPr>
        <w:t xml:space="preserve"> </w:t>
      </w:r>
      <w:r w:rsidR="00AA6710">
        <w:rPr>
          <w:rStyle w:val="Numeracinttulo"/>
          <w:b w:val="0"/>
          <w:spacing w:val="-4"/>
          <w:sz w:val="26"/>
        </w:rPr>
        <w:t xml:space="preserve">De conformidad con </w:t>
      </w:r>
      <w:r w:rsidRPr="007F25AF">
        <w:rPr>
          <w:rStyle w:val="Numeracinttulo"/>
          <w:b w:val="0"/>
          <w:spacing w:val="-4"/>
          <w:sz w:val="26"/>
        </w:rPr>
        <w:t xml:space="preserve">lo reglado en el artículo 536 C.P.P., la Fiscalía </w:t>
      </w:r>
      <w:r w:rsidR="00AA6710">
        <w:rPr>
          <w:rStyle w:val="Numeracinttulo"/>
          <w:b w:val="0"/>
          <w:spacing w:val="-4"/>
          <w:sz w:val="26"/>
        </w:rPr>
        <w:t>corrió traslado del escrito acusatorio (mayo 26 de 2018) al ciudadano</w:t>
      </w:r>
      <w:r w:rsidR="00C65E91">
        <w:rPr>
          <w:rStyle w:val="Numeracinttulo"/>
          <w:b w:val="0"/>
          <w:spacing w:val="-4"/>
          <w:sz w:val="26"/>
        </w:rPr>
        <w:t xml:space="preserve"> </w:t>
      </w:r>
      <w:r w:rsidR="00D60502">
        <w:rPr>
          <w:rStyle w:val="Numeracinttulo"/>
          <w:spacing w:val="-4"/>
          <w:sz w:val="22"/>
          <w:szCs w:val="22"/>
        </w:rPr>
        <w:t>DSRM</w:t>
      </w:r>
      <w:r w:rsidR="00E8566F" w:rsidRPr="007F25AF">
        <w:rPr>
          <w:rStyle w:val="Refdenotaalpie"/>
          <w:rFonts w:ascii="Tahoma" w:hAnsi="Tahoma" w:cs="Tahoma"/>
          <w:spacing w:val="-4"/>
          <w:sz w:val="26"/>
        </w:rPr>
        <w:footnoteReference w:id="1"/>
      </w:r>
      <w:r w:rsidR="00C65E91">
        <w:rPr>
          <w:rStyle w:val="Numeracinttulo"/>
          <w:b w:val="0"/>
          <w:spacing w:val="-4"/>
          <w:sz w:val="26"/>
        </w:rPr>
        <w:t>, a quien acusó</w:t>
      </w:r>
      <w:r w:rsidR="00C65E91" w:rsidRPr="007F25AF">
        <w:rPr>
          <w:rStyle w:val="Numeracinttulo"/>
          <w:b w:val="0"/>
          <w:spacing w:val="-4"/>
          <w:sz w:val="26"/>
        </w:rPr>
        <w:t xml:space="preserve"> como coautor a título de dolo de</w:t>
      </w:r>
      <w:r w:rsidR="00C65E91">
        <w:rPr>
          <w:rStyle w:val="Numeracinttulo"/>
          <w:b w:val="0"/>
          <w:spacing w:val="-4"/>
          <w:sz w:val="26"/>
        </w:rPr>
        <w:t xml:space="preserve">l delito de </w:t>
      </w:r>
      <w:r w:rsidR="00C65E91" w:rsidRPr="007F25AF">
        <w:rPr>
          <w:rStyle w:val="Numeracinttulo"/>
          <w:b w:val="0"/>
          <w:spacing w:val="-4"/>
          <w:sz w:val="26"/>
        </w:rPr>
        <w:t xml:space="preserve">hurto calificado con circunstancias de agravación </w:t>
      </w:r>
      <w:r w:rsidR="00C65E91" w:rsidRPr="00C65E91">
        <w:rPr>
          <w:rStyle w:val="Numeracinttulo"/>
          <w:rFonts w:ascii="Bookman Old Style" w:hAnsi="Bookman Old Style"/>
          <w:b w:val="0"/>
          <w:spacing w:val="-4"/>
          <w:sz w:val="22"/>
          <w:szCs w:val="22"/>
        </w:rPr>
        <w:t>-239, 240 inciso 2º y 241 numeral 10 C.P.-</w:t>
      </w:r>
      <w:r w:rsidR="00C65E91" w:rsidRPr="007F25AF">
        <w:rPr>
          <w:rStyle w:val="Numeracinttulo"/>
          <w:b w:val="0"/>
          <w:spacing w:val="-4"/>
          <w:sz w:val="26"/>
        </w:rPr>
        <w:t>, cargos que NO ACEPT</w:t>
      </w:r>
      <w:r w:rsidR="00C65E91">
        <w:rPr>
          <w:rStyle w:val="Numeracinttulo"/>
          <w:b w:val="0"/>
          <w:spacing w:val="-4"/>
          <w:sz w:val="26"/>
        </w:rPr>
        <w:t>Ó</w:t>
      </w:r>
      <w:r w:rsidR="00C65E91" w:rsidRPr="007F25AF">
        <w:rPr>
          <w:rStyle w:val="Numeracinttulo"/>
          <w:b w:val="0"/>
          <w:spacing w:val="-4"/>
          <w:sz w:val="26"/>
        </w:rPr>
        <w:t>.</w:t>
      </w:r>
      <w:r w:rsidR="00C65E91">
        <w:rPr>
          <w:rStyle w:val="Numeracinttulo"/>
          <w:b w:val="0"/>
          <w:spacing w:val="-4"/>
          <w:sz w:val="26"/>
        </w:rPr>
        <w:t xml:space="preserve"> Posteriormente y luego de haber sido capturado el señor </w:t>
      </w:r>
      <w:r w:rsidR="00BE00F7">
        <w:rPr>
          <w:rStyle w:val="Numeracinttulo"/>
          <w:spacing w:val="-4"/>
          <w:sz w:val="22"/>
          <w:szCs w:val="22"/>
        </w:rPr>
        <w:t>JJAF</w:t>
      </w:r>
      <w:r w:rsidR="00C65E91" w:rsidRPr="000F17C2">
        <w:rPr>
          <w:rStyle w:val="Numeracinttulo"/>
          <w:spacing w:val="-4"/>
          <w:sz w:val="22"/>
          <w:szCs w:val="22"/>
        </w:rPr>
        <w:t xml:space="preserve"> FRANCO</w:t>
      </w:r>
      <w:r w:rsidR="00C65E91">
        <w:rPr>
          <w:rStyle w:val="Numeracinttulo"/>
          <w:b w:val="0"/>
          <w:spacing w:val="-4"/>
          <w:sz w:val="26"/>
        </w:rPr>
        <w:t xml:space="preserve">, se llevaron a cabo audiencias preliminares (mayo 28 de 2018), ante el Juzgado Tercero Penal Municipal con función de control de garantías de Pereira (Rda.) por las cuales se declaró legal su aprehensión, por fuera de audiencia se le corrió traslado del escrito de acusación, donde se le acusó como coautor a título de dolo de los delitos de </w:t>
      </w:r>
      <w:r w:rsidR="00C65E91" w:rsidRPr="007F25AF">
        <w:rPr>
          <w:rStyle w:val="Numeracinttulo"/>
          <w:b w:val="0"/>
          <w:spacing w:val="-4"/>
          <w:sz w:val="26"/>
        </w:rPr>
        <w:t xml:space="preserve">hurto calificado con circunstancias de agravación </w:t>
      </w:r>
      <w:r w:rsidR="00C65E91" w:rsidRPr="00C65E91">
        <w:rPr>
          <w:rStyle w:val="Numeracinttulo"/>
          <w:rFonts w:ascii="Bookman Old Style" w:hAnsi="Bookman Old Style"/>
          <w:b w:val="0"/>
          <w:spacing w:val="-4"/>
          <w:sz w:val="22"/>
          <w:szCs w:val="22"/>
        </w:rPr>
        <w:t>-239, 240 inciso 2º y 241 numeral 10 C.P.-</w:t>
      </w:r>
      <w:r w:rsidR="00C65E91" w:rsidRPr="007F25AF">
        <w:rPr>
          <w:rStyle w:val="Numeracinttulo"/>
          <w:b w:val="0"/>
          <w:spacing w:val="-4"/>
          <w:sz w:val="26"/>
        </w:rPr>
        <w:t>, cargos que NO ACEPT</w:t>
      </w:r>
      <w:r w:rsidR="00C65E91">
        <w:rPr>
          <w:rStyle w:val="Numeracinttulo"/>
          <w:b w:val="0"/>
          <w:spacing w:val="-4"/>
          <w:sz w:val="26"/>
        </w:rPr>
        <w:t xml:space="preserve">Ó, y a quien se le impuso medida de aseguramiento de detención preventiva en </w:t>
      </w:r>
      <w:r w:rsidR="00270294">
        <w:rPr>
          <w:rStyle w:val="Numeracinttulo"/>
          <w:b w:val="0"/>
          <w:spacing w:val="-4"/>
          <w:sz w:val="26"/>
        </w:rPr>
        <w:t>su lugar de residencia</w:t>
      </w:r>
      <w:r w:rsidR="00C65E91" w:rsidRPr="007F25AF">
        <w:rPr>
          <w:rStyle w:val="Refdenotaalpie"/>
          <w:rFonts w:ascii="Tahoma" w:hAnsi="Tahoma" w:cs="Tahoma"/>
          <w:spacing w:val="-4"/>
          <w:sz w:val="26"/>
        </w:rPr>
        <w:footnoteReference w:id="2"/>
      </w:r>
      <w:r w:rsidR="00C65E91">
        <w:rPr>
          <w:rStyle w:val="Numeracinttulo"/>
          <w:b w:val="0"/>
          <w:spacing w:val="-4"/>
          <w:sz w:val="26"/>
        </w:rPr>
        <w:t>.</w:t>
      </w:r>
    </w:p>
    <w:p w14:paraId="5CA4769E" w14:textId="77777777" w:rsidR="00794592" w:rsidRPr="00A14682" w:rsidRDefault="00794592" w:rsidP="00AA6710">
      <w:pPr>
        <w:spacing w:line="276" w:lineRule="auto"/>
        <w:rPr>
          <w:rStyle w:val="Numeracinttulo"/>
          <w:spacing w:val="-4"/>
          <w:position w:val="2"/>
          <w:sz w:val="20"/>
          <w:szCs w:val="20"/>
        </w:rPr>
      </w:pPr>
    </w:p>
    <w:p w14:paraId="2C678515" w14:textId="77777777" w:rsidR="00E518AA" w:rsidRDefault="00877346" w:rsidP="00AA6710">
      <w:pPr>
        <w:spacing w:line="276" w:lineRule="auto"/>
        <w:rPr>
          <w:rStyle w:val="Numeracinttulo"/>
          <w:rFonts w:eastAsia="Batang"/>
          <w:b w:val="0"/>
          <w:spacing w:val="-4"/>
          <w:sz w:val="26"/>
        </w:rPr>
      </w:pPr>
      <w:r w:rsidRPr="007F25AF">
        <w:rPr>
          <w:rStyle w:val="Numeracinttulo"/>
          <w:spacing w:val="-4"/>
          <w:position w:val="2"/>
        </w:rPr>
        <w:t>1.3.-</w:t>
      </w:r>
      <w:r w:rsidR="00156F53" w:rsidRPr="007F25AF">
        <w:rPr>
          <w:rStyle w:val="Numeracinttulo"/>
          <w:b w:val="0"/>
          <w:spacing w:val="-4"/>
          <w:position w:val="2"/>
          <w:sz w:val="26"/>
        </w:rPr>
        <w:t xml:space="preserve"> L</w:t>
      </w:r>
      <w:r w:rsidR="00794592" w:rsidRPr="007F25AF">
        <w:rPr>
          <w:rStyle w:val="Numeracinttulo"/>
          <w:b w:val="0"/>
          <w:spacing w:val="-4"/>
          <w:position w:val="2"/>
          <w:sz w:val="26"/>
        </w:rPr>
        <w:t xml:space="preserve">a actuación le fue asignada al Juzgado </w:t>
      </w:r>
      <w:r w:rsidR="00C65E91">
        <w:rPr>
          <w:rStyle w:val="Numeracinttulo"/>
          <w:b w:val="0"/>
          <w:spacing w:val="-4"/>
          <w:position w:val="2"/>
          <w:sz w:val="26"/>
        </w:rPr>
        <w:t xml:space="preserve">Primero Penal </w:t>
      </w:r>
      <w:r w:rsidR="00794592" w:rsidRPr="007F25AF">
        <w:rPr>
          <w:rStyle w:val="Numeracinttulo"/>
          <w:b w:val="0"/>
          <w:spacing w:val="-4"/>
          <w:position w:val="2"/>
          <w:sz w:val="26"/>
        </w:rPr>
        <w:t xml:space="preserve">Municipal con función de conocimiento de </w:t>
      </w:r>
      <w:r w:rsidR="00C65E91">
        <w:rPr>
          <w:rStyle w:val="Numeracinttulo"/>
          <w:b w:val="0"/>
          <w:spacing w:val="-4"/>
          <w:position w:val="2"/>
          <w:sz w:val="26"/>
        </w:rPr>
        <w:t xml:space="preserve">Pereira </w:t>
      </w:r>
      <w:r w:rsidR="00794592" w:rsidRPr="007F25AF">
        <w:rPr>
          <w:rStyle w:val="Numeracinttulo"/>
          <w:b w:val="0"/>
          <w:spacing w:val="-4"/>
          <w:position w:val="2"/>
          <w:sz w:val="26"/>
        </w:rPr>
        <w:t>(Rda.)</w:t>
      </w:r>
      <w:r w:rsidR="00C65E91">
        <w:rPr>
          <w:rStyle w:val="Numeracinttulo"/>
          <w:b w:val="0"/>
          <w:spacing w:val="-4"/>
          <w:position w:val="2"/>
          <w:sz w:val="26"/>
        </w:rPr>
        <w:t xml:space="preserve"> </w:t>
      </w:r>
      <w:r w:rsidR="00C65E91" w:rsidRPr="00C65E91">
        <w:rPr>
          <w:rStyle w:val="Numeracinttulo"/>
          <w:rFonts w:ascii="Bookman Old Style" w:hAnsi="Bookman Old Style"/>
          <w:b w:val="0"/>
          <w:spacing w:val="-4"/>
          <w:position w:val="2"/>
          <w:sz w:val="22"/>
          <w:szCs w:val="22"/>
        </w:rPr>
        <w:t>-actualmente Juzgado Octavo Penal Municipal de Conocimiento-</w:t>
      </w:r>
      <w:r w:rsidR="00A22078" w:rsidRPr="007F25AF">
        <w:rPr>
          <w:rStyle w:val="Numeracinttulo"/>
          <w:b w:val="0"/>
          <w:spacing w:val="-4"/>
          <w:position w:val="2"/>
          <w:sz w:val="26"/>
        </w:rPr>
        <w:t>, despacho</w:t>
      </w:r>
      <w:r w:rsidR="00794592" w:rsidRPr="007F25AF">
        <w:rPr>
          <w:rStyle w:val="Numeracinttulo"/>
          <w:b w:val="0"/>
          <w:spacing w:val="-4"/>
          <w:position w:val="2"/>
          <w:sz w:val="26"/>
        </w:rPr>
        <w:t xml:space="preserve"> ante el cual se llevaron a cabo las audiencias concentrada</w:t>
      </w:r>
      <w:r w:rsidR="00A22078" w:rsidRPr="007F25AF">
        <w:rPr>
          <w:rStyle w:val="Numeracinttulo"/>
          <w:b w:val="0"/>
          <w:spacing w:val="-4"/>
          <w:position w:val="2"/>
          <w:sz w:val="26"/>
        </w:rPr>
        <w:t>s</w:t>
      </w:r>
      <w:r w:rsidR="00794592" w:rsidRPr="007F25AF">
        <w:rPr>
          <w:rStyle w:val="Numeracinttulo"/>
          <w:b w:val="0"/>
          <w:spacing w:val="-4"/>
          <w:position w:val="2"/>
          <w:sz w:val="26"/>
        </w:rPr>
        <w:t xml:space="preserve"> (</w:t>
      </w:r>
      <w:r w:rsidR="00C65E91">
        <w:rPr>
          <w:rStyle w:val="Numeracinttulo"/>
          <w:b w:val="0"/>
          <w:spacing w:val="-4"/>
          <w:position w:val="2"/>
          <w:sz w:val="26"/>
        </w:rPr>
        <w:t xml:space="preserve">enero 22 de </w:t>
      </w:r>
      <w:r w:rsidR="00794592" w:rsidRPr="007F25AF">
        <w:rPr>
          <w:rStyle w:val="Numeracinttulo"/>
          <w:b w:val="0"/>
          <w:spacing w:val="-4"/>
          <w:position w:val="2"/>
          <w:sz w:val="26"/>
        </w:rPr>
        <w:t>201</w:t>
      </w:r>
      <w:r w:rsidR="00C65E91">
        <w:rPr>
          <w:rStyle w:val="Numeracinttulo"/>
          <w:b w:val="0"/>
          <w:spacing w:val="-4"/>
          <w:position w:val="2"/>
          <w:sz w:val="26"/>
        </w:rPr>
        <w:t>9</w:t>
      </w:r>
      <w:r w:rsidR="00794592" w:rsidRPr="007F25AF">
        <w:rPr>
          <w:rStyle w:val="Numeracinttulo"/>
          <w:b w:val="0"/>
          <w:spacing w:val="-4"/>
          <w:position w:val="2"/>
          <w:sz w:val="26"/>
        </w:rPr>
        <w:t>) y de juicio oral (</w:t>
      </w:r>
      <w:r w:rsidR="00E518AA">
        <w:rPr>
          <w:rStyle w:val="Numeracinttulo"/>
          <w:b w:val="0"/>
          <w:spacing w:val="-4"/>
          <w:position w:val="2"/>
          <w:sz w:val="26"/>
        </w:rPr>
        <w:t xml:space="preserve">mayo 9, </w:t>
      </w:r>
      <w:r w:rsidR="00C65E91">
        <w:rPr>
          <w:rStyle w:val="Numeracinttulo"/>
          <w:b w:val="0"/>
          <w:spacing w:val="-4"/>
          <w:position w:val="2"/>
          <w:sz w:val="26"/>
        </w:rPr>
        <w:t>junio 28</w:t>
      </w:r>
      <w:r w:rsidR="00E518AA">
        <w:rPr>
          <w:rStyle w:val="Numeracinttulo"/>
          <w:b w:val="0"/>
          <w:spacing w:val="-4"/>
          <w:position w:val="2"/>
          <w:sz w:val="26"/>
        </w:rPr>
        <w:t xml:space="preserve">, agosto 13 y octubre 21 de </w:t>
      </w:r>
      <w:r w:rsidR="00C65E91">
        <w:rPr>
          <w:rStyle w:val="Numeracinttulo"/>
          <w:b w:val="0"/>
          <w:spacing w:val="-4"/>
          <w:position w:val="2"/>
          <w:sz w:val="26"/>
        </w:rPr>
        <w:t>2019</w:t>
      </w:r>
      <w:r w:rsidR="00E518AA">
        <w:rPr>
          <w:rStyle w:val="Numeracinttulo"/>
          <w:b w:val="0"/>
          <w:spacing w:val="-4"/>
          <w:position w:val="2"/>
          <w:sz w:val="26"/>
        </w:rPr>
        <w:t>)</w:t>
      </w:r>
      <w:r w:rsidR="00A22078" w:rsidRPr="007F25AF">
        <w:rPr>
          <w:rStyle w:val="Numeracinttulo"/>
          <w:b w:val="0"/>
          <w:spacing w:val="-4"/>
          <w:position w:val="2"/>
          <w:sz w:val="26"/>
        </w:rPr>
        <w:t>,</w:t>
      </w:r>
      <w:r w:rsidR="00794592" w:rsidRPr="007F25AF">
        <w:rPr>
          <w:rStyle w:val="Numeracinttulo"/>
          <w:rFonts w:eastAsia="Batang"/>
          <w:b w:val="0"/>
          <w:spacing w:val="-4"/>
          <w:sz w:val="26"/>
        </w:rPr>
        <w:t xml:space="preserve"> fecha</w:t>
      </w:r>
      <w:r w:rsidR="00A22078" w:rsidRPr="007F25AF">
        <w:rPr>
          <w:rStyle w:val="Numeracinttulo"/>
          <w:rFonts w:eastAsia="Batang"/>
          <w:b w:val="0"/>
          <w:spacing w:val="-4"/>
          <w:sz w:val="26"/>
        </w:rPr>
        <w:t xml:space="preserve"> esta última</w:t>
      </w:r>
      <w:r w:rsidR="00794592" w:rsidRPr="007F25AF">
        <w:rPr>
          <w:rStyle w:val="Numeracinttulo"/>
          <w:rFonts w:eastAsia="Batang"/>
          <w:b w:val="0"/>
          <w:spacing w:val="-4"/>
          <w:sz w:val="26"/>
        </w:rPr>
        <w:t xml:space="preserve"> en la </w:t>
      </w:r>
      <w:r w:rsidR="00A22078" w:rsidRPr="007F25AF">
        <w:rPr>
          <w:rStyle w:val="Numeracinttulo"/>
          <w:rFonts w:eastAsia="Batang"/>
          <w:b w:val="0"/>
          <w:spacing w:val="-4"/>
          <w:sz w:val="26"/>
        </w:rPr>
        <w:t>cual</w:t>
      </w:r>
      <w:r w:rsidR="00156F53" w:rsidRPr="007F25AF">
        <w:rPr>
          <w:rStyle w:val="Numeracinttulo"/>
          <w:rFonts w:eastAsia="Batang"/>
          <w:b w:val="0"/>
          <w:spacing w:val="-4"/>
          <w:sz w:val="26"/>
        </w:rPr>
        <w:t xml:space="preserve"> </w:t>
      </w:r>
      <w:r w:rsidR="00794592" w:rsidRPr="007F25AF">
        <w:rPr>
          <w:rStyle w:val="Numeracinttulo"/>
          <w:rFonts w:eastAsia="Batang"/>
          <w:b w:val="0"/>
          <w:spacing w:val="-4"/>
          <w:sz w:val="26"/>
        </w:rPr>
        <w:t>se emitió sentido de fallo</w:t>
      </w:r>
      <w:r w:rsidR="00A22078" w:rsidRPr="007F25AF">
        <w:rPr>
          <w:rStyle w:val="Numeracinttulo"/>
          <w:rFonts w:eastAsia="Batang"/>
          <w:b w:val="0"/>
          <w:spacing w:val="-4"/>
          <w:sz w:val="26"/>
        </w:rPr>
        <w:t xml:space="preserve"> </w:t>
      </w:r>
      <w:r w:rsidR="00E518AA">
        <w:rPr>
          <w:rStyle w:val="Numeracinttulo"/>
          <w:rFonts w:eastAsia="Batang"/>
          <w:b w:val="0"/>
          <w:spacing w:val="-4"/>
          <w:sz w:val="26"/>
        </w:rPr>
        <w:t>absolutorio</w:t>
      </w:r>
      <w:r w:rsidR="00AB28CE" w:rsidRPr="007F25AF">
        <w:rPr>
          <w:rStyle w:val="Numeracinttulo"/>
          <w:rFonts w:eastAsia="Batang"/>
          <w:b w:val="0"/>
          <w:spacing w:val="-4"/>
          <w:sz w:val="26"/>
        </w:rPr>
        <w:t xml:space="preserve">, </w:t>
      </w:r>
      <w:r w:rsidR="00E518AA">
        <w:rPr>
          <w:rStyle w:val="Numeracinttulo"/>
          <w:rFonts w:eastAsia="Batang"/>
          <w:b w:val="0"/>
          <w:spacing w:val="-4"/>
          <w:sz w:val="26"/>
        </w:rPr>
        <w:t xml:space="preserve">y en esa misma ocasión se </w:t>
      </w:r>
      <w:r w:rsidR="007B46FA">
        <w:rPr>
          <w:rStyle w:val="Numeracinttulo"/>
          <w:rFonts w:eastAsia="Batang"/>
          <w:b w:val="0"/>
          <w:spacing w:val="-4"/>
          <w:sz w:val="26"/>
        </w:rPr>
        <w:t xml:space="preserve">dictó </w:t>
      </w:r>
      <w:r w:rsidR="00E518AA">
        <w:rPr>
          <w:rStyle w:val="Numeracinttulo"/>
          <w:rFonts w:eastAsia="Batang"/>
          <w:b w:val="0"/>
          <w:spacing w:val="-4"/>
          <w:sz w:val="26"/>
        </w:rPr>
        <w:t xml:space="preserve">la </w:t>
      </w:r>
      <w:r w:rsidR="004E3366" w:rsidRPr="007F25AF">
        <w:rPr>
          <w:rStyle w:val="Numeracinttulo"/>
          <w:rFonts w:eastAsia="Batang"/>
          <w:b w:val="0"/>
          <w:spacing w:val="-4"/>
          <w:sz w:val="26"/>
        </w:rPr>
        <w:t>sentencia respectiva</w:t>
      </w:r>
      <w:r w:rsidR="00E518AA">
        <w:rPr>
          <w:rStyle w:val="Numeracinttulo"/>
          <w:rFonts w:eastAsia="Batang"/>
          <w:b w:val="0"/>
          <w:spacing w:val="-4"/>
          <w:sz w:val="26"/>
        </w:rPr>
        <w:t>.</w:t>
      </w:r>
    </w:p>
    <w:p w14:paraId="1A694FDF" w14:textId="77777777" w:rsidR="00F24A23" w:rsidRPr="00A14682" w:rsidRDefault="00F24A23" w:rsidP="00AA6710">
      <w:pPr>
        <w:spacing w:line="276" w:lineRule="auto"/>
        <w:rPr>
          <w:rStyle w:val="Numeracinttulo"/>
          <w:rFonts w:eastAsia="Batang"/>
          <w:b w:val="0"/>
          <w:spacing w:val="-4"/>
          <w:sz w:val="20"/>
          <w:szCs w:val="20"/>
        </w:rPr>
      </w:pPr>
    </w:p>
    <w:p w14:paraId="5529DE4D" w14:textId="77777777" w:rsidR="00F24A23" w:rsidRPr="007F25AF" w:rsidRDefault="00F24A23" w:rsidP="00AA6710">
      <w:pPr>
        <w:spacing w:line="276" w:lineRule="auto"/>
        <w:rPr>
          <w:rStyle w:val="Numeracinttulo"/>
          <w:rFonts w:eastAsia="Batang"/>
          <w:b w:val="0"/>
          <w:spacing w:val="-4"/>
          <w:sz w:val="26"/>
        </w:rPr>
      </w:pPr>
      <w:r w:rsidRPr="007F25AF">
        <w:rPr>
          <w:rStyle w:val="Numeracinttulo"/>
          <w:rFonts w:eastAsia="Batang"/>
          <w:spacing w:val="-4"/>
          <w:szCs w:val="24"/>
        </w:rPr>
        <w:lastRenderedPageBreak/>
        <w:t xml:space="preserve">1.4.- </w:t>
      </w:r>
      <w:r w:rsidRPr="007F25AF">
        <w:rPr>
          <w:rStyle w:val="Numeracinttulo"/>
          <w:rFonts w:eastAsia="Batang"/>
          <w:b w:val="0"/>
          <w:spacing w:val="-4"/>
          <w:sz w:val="26"/>
        </w:rPr>
        <w:t xml:space="preserve">Los fundamentos que tuvo en consideración </w:t>
      </w:r>
      <w:r w:rsidR="00596500" w:rsidRPr="007F25AF">
        <w:rPr>
          <w:rStyle w:val="Numeracinttulo"/>
          <w:rFonts w:eastAsia="Batang"/>
          <w:b w:val="0"/>
          <w:spacing w:val="-4"/>
          <w:sz w:val="26"/>
        </w:rPr>
        <w:t>la</w:t>
      </w:r>
      <w:r w:rsidRPr="007F25AF">
        <w:rPr>
          <w:rStyle w:val="Numeracinttulo"/>
          <w:rFonts w:eastAsia="Batang"/>
          <w:b w:val="0"/>
          <w:spacing w:val="-4"/>
          <w:sz w:val="26"/>
        </w:rPr>
        <w:t xml:space="preserve"> </w:t>
      </w:r>
      <w:r w:rsidR="007B46FA">
        <w:rPr>
          <w:rStyle w:val="Numeracinttulo"/>
          <w:rFonts w:eastAsia="Batang"/>
          <w:b w:val="0"/>
          <w:spacing w:val="-4"/>
          <w:sz w:val="26"/>
        </w:rPr>
        <w:t>A-</w:t>
      </w:r>
      <w:r w:rsidRPr="007F25AF">
        <w:rPr>
          <w:rStyle w:val="Numeracinttulo"/>
          <w:rFonts w:eastAsia="Batang"/>
          <w:b w:val="0"/>
          <w:spacing w:val="-4"/>
          <w:sz w:val="26"/>
        </w:rPr>
        <w:t xml:space="preserve">quo para adoptar la mencionada determinación, se pueden concretar </w:t>
      </w:r>
      <w:r w:rsidR="001C3AA4" w:rsidRPr="007F25AF">
        <w:rPr>
          <w:rStyle w:val="Numeracinttulo"/>
          <w:rFonts w:eastAsia="Batang"/>
          <w:b w:val="0"/>
          <w:spacing w:val="-4"/>
          <w:sz w:val="26"/>
        </w:rPr>
        <w:t>así</w:t>
      </w:r>
      <w:r w:rsidRPr="007F25AF">
        <w:rPr>
          <w:rStyle w:val="Numeracinttulo"/>
          <w:rFonts w:eastAsia="Batang"/>
          <w:b w:val="0"/>
          <w:spacing w:val="-4"/>
          <w:sz w:val="26"/>
        </w:rPr>
        <w:t>:</w:t>
      </w:r>
    </w:p>
    <w:p w14:paraId="424203F8" w14:textId="77777777" w:rsidR="00F24A23" w:rsidRPr="007F25AF" w:rsidRDefault="00F24A23" w:rsidP="00AA6710">
      <w:pPr>
        <w:spacing w:line="276" w:lineRule="auto"/>
        <w:rPr>
          <w:rStyle w:val="Numeracinttulo"/>
          <w:rFonts w:eastAsia="Batang"/>
          <w:b w:val="0"/>
          <w:spacing w:val="-4"/>
          <w:szCs w:val="24"/>
        </w:rPr>
      </w:pPr>
    </w:p>
    <w:p w14:paraId="799F0C52" w14:textId="77777777" w:rsidR="00270294" w:rsidRDefault="00A14682" w:rsidP="00AA6710">
      <w:pPr>
        <w:spacing w:line="276" w:lineRule="auto"/>
        <w:rPr>
          <w:rStyle w:val="Numeracinttulo"/>
          <w:rFonts w:eastAsia="Batang"/>
          <w:b w:val="0"/>
          <w:spacing w:val="-4"/>
          <w:sz w:val="26"/>
        </w:rPr>
      </w:pPr>
      <w:r>
        <w:rPr>
          <w:rStyle w:val="Numeracinttulo"/>
          <w:rFonts w:eastAsia="Batang"/>
          <w:b w:val="0"/>
          <w:spacing w:val="-4"/>
          <w:sz w:val="26"/>
        </w:rPr>
        <w:t xml:space="preserve">No hay discusión sobre la materialidad del </w:t>
      </w:r>
      <w:r w:rsidR="0067295F">
        <w:rPr>
          <w:rStyle w:val="Numeracinttulo"/>
          <w:rFonts w:eastAsia="Batang"/>
          <w:b w:val="0"/>
          <w:spacing w:val="-4"/>
          <w:sz w:val="26"/>
        </w:rPr>
        <w:t xml:space="preserve">hurto cometido contra VALENTINA RÍOS ARIAS en octubre 14 de 2017, </w:t>
      </w:r>
      <w:r w:rsidR="00E73404">
        <w:rPr>
          <w:rStyle w:val="Numeracinttulo"/>
          <w:rFonts w:eastAsia="Batang"/>
          <w:b w:val="0"/>
          <w:spacing w:val="-4"/>
          <w:sz w:val="26"/>
        </w:rPr>
        <w:t>por parte de dos</w:t>
      </w:r>
      <w:r w:rsidR="0067295F">
        <w:rPr>
          <w:rStyle w:val="Numeracinttulo"/>
          <w:rFonts w:eastAsia="Batang"/>
          <w:b w:val="0"/>
          <w:spacing w:val="-4"/>
          <w:sz w:val="26"/>
        </w:rPr>
        <w:t xml:space="preserve"> personas que se desplazaban en una motocicleta y provistos al parecer de un arma de fuego. </w:t>
      </w:r>
      <w:r w:rsidR="007B46FA">
        <w:rPr>
          <w:rStyle w:val="Numeracinttulo"/>
          <w:rFonts w:eastAsia="Batang"/>
          <w:b w:val="0"/>
          <w:spacing w:val="-4"/>
          <w:sz w:val="26"/>
        </w:rPr>
        <w:t xml:space="preserve">La </w:t>
      </w:r>
      <w:r w:rsidR="0067295F">
        <w:rPr>
          <w:rStyle w:val="Numeracinttulo"/>
          <w:rFonts w:eastAsia="Batang"/>
          <w:b w:val="0"/>
          <w:spacing w:val="-4"/>
          <w:sz w:val="26"/>
        </w:rPr>
        <w:t>víctima por medio de una aplicación ubicó su teléfono celular en el barrio Boston</w:t>
      </w:r>
      <w:r w:rsidR="00270294">
        <w:rPr>
          <w:rStyle w:val="Numeracinttulo"/>
          <w:rFonts w:eastAsia="Batang"/>
          <w:b w:val="0"/>
          <w:spacing w:val="-4"/>
          <w:sz w:val="26"/>
        </w:rPr>
        <w:t xml:space="preserve">, y con las placas de la moto, esta fue </w:t>
      </w:r>
      <w:r w:rsidR="007B46FA">
        <w:rPr>
          <w:rStyle w:val="Numeracinttulo"/>
          <w:rFonts w:eastAsia="Batang"/>
          <w:b w:val="0"/>
          <w:spacing w:val="-4"/>
          <w:sz w:val="26"/>
        </w:rPr>
        <w:t xml:space="preserve">hallada </w:t>
      </w:r>
      <w:r w:rsidR="00270294">
        <w:rPr>
          <w:rStyle w:val="Numeracinttulo"/>
          <w:rFonts w:eastAsia="Batang"/>
          <w:b w:val="0"/>
          <w:spacing w:val="-4"/>
          <w:sz w:val="26"/>
        </w:rPr>
        <w:t xml:space="preserve">en ese lugar, lo que generó </w:t>
      </w:r>
      <w:r w:rsidR="007B46FA">
        <w:rPr>
          <w:rStyle w:val="Numeracinttulo"/>
          <w:rFonts w:eastAsia="Batang"/>
          <w:b w:val="0"/>
          <w:spacing w:val="-4"/>
          <w:sz w:val="26"/>
        </w:rPr>
        <w:t>la</w:t>
      </w:r>
      <w:r w:rsidR="00270294">
        <w:rPr>
          <w:rStyle w:val="Numeracinttulo"/>
          <w:rFonts w:eastAsia="Batang"/>
          <w:b w:val="0"/>
          <w:spacing w:val="-4"/>
          <w:sz w:val="26"/>
        </w:rPr>
        <w:t xml:space="preserve"> investigación contra los acá procesados.</w:t>
      </w:r>
    </w:p>
    <w:p w14:paraId="65A88DB6" w14:textId="77777777" w:rsidR="00A14682" w:rsidRDefault="00A14682" w:rsidP="00AA6710">
      <w:pPr>
        <w:spacing w:line="276" w:lineRule="auto"/>
        <w:rPr>
          <w:rStyle w:val="Numeracinttulo"/>
          <w:rFonts w:eastAsia="Batang"/>
          <w:b w:val="0"/>
          <w:spacing w:val="-4"/>
          <w:sz w:val="26"/>
        </w:rPr>
      </w:pPr>
    </w:p>
    <w:p w14:paraId="0E517CED" w14:textId="03B3496A" w:rsidR="000F0E9F" w:rsidRDefault="00BE00F7" w:rsidP="00AA6710">
      <w:pPr>
        <w:spacing w:line="276" w:lineRule="auto"/>
        <w:rPr>
          <w:rStyle w:val="Numeracinttulo"/>
          <w:rFonts w:eastAsia="Batang"/>
          <w:b w:val="0"/>
          <w:spacing w:val="-4"/>
          <w:sz w:val="26"/>
        </w:rPr>
      </w:pPr>
      <w:r>
        <w:rPr>
          <w:rStyle w:val="Numeracinttulo"/>
          <w:rFonts w:eastAsia="Batang"/>
          <w:spacing w:val="-4"/>
          <w:sz w:val="22"/>
          <w:szCs w:val="22"/>
        </w:rPr>
        <w:t>JJAF</w:t>
      </w:r>
      <w:r w:rsidR="00270294" w:rsidRPr="007B46FA">
        <w:rPr>
          <w:rStyle w:val="Numeracinttulo"/>
          <w:rFonts w:eastAsia="Batang"/>
          <w:spacing w:val="-4"/>
          <w:sz w:val="22"/>
          <w:szCs w:val="22"/>
        </w:rPr>
        <w:t xml:space="preserve"> </w:t>
      </w:r>
      <w:r w:rsidR="00E33E97">
        <w:rPr>
          <w:rStyle w:val="Numeracinttulo"/>
          <w:rFonts w:eastAsia="Batang"/>
          <w:spacing w:val="-4"/>
          <w:sz w:val="22"/>
          <w:szCs w:val="22"/>
        </w:rPr>
        <w:t>FRANCO</w:t>
      </w:r>
      <w:r w:rsidR="00270294">
        <w:rPr>
          <w:rStyle w:val="Numeracinttulo"/>
          <w:rFonts w:eastAsia="Batang"/>
          <w:b w:val="0"/>
          <w:spacing w:val="-4"/>
          <w:sz w:val="26"/>
        </w:rPr>
        <w:t>, fue vinculado amén a la descripción física dada por la víctima, y mediante reconocimiento fotográfico, como quien conducía la motocicleta de placas SNJ-15 usada para cometer el hurto. La afectada reiteró en juicio tal s</w:t>
      </w:r>
      <w:r w:rsidR="00BF2508">
        <w:rPr>
          <w:rStyle w:val="Numeracinttulo"/>
          <w:rFonts w:eastAsia="Batang"/>
          <w:b w:val="0"/>
          <w:spacing w:val="-4"/>
          <w:sz w:val="26"/>
        </w:rPr>
        <w:t>indicación</w:t>
      </w:r>
      <w:r w:rsidR="00270294">
        <w:rPr>
          <w:rStyle w:val="Numeracinttulo"/>
          <w:rFonts w:eastAsia="Batang"/>
          <w:b w:val="0"/>
          <w:spacing w:val="-4"/>
          <w:sz w:val="26"/>
        </w:rPr>
        <w:t xml:space="preserve">, no obstante, la Fiscalía pidió su absolución al no contar con EMP que demostraran tal actividad, y el pecado de este era </w:t>
      </w:r>
      <w:r w:rsidR="00E66E2A">
        <w:rPr>
          <w:rStyle w:val="Numeracinttulo"/>
          <w:rFonts w:eastAsia="Batang"/>
          <w:b w:val="0"/>
          <w:spacing w:val="-4"/>
          <w:sz w:val="26"/>
        </w:rPr>
        <w:t xml:space="preserve">por </w:t>
      </w:r>
      <w:r w:rsidR="00270294">
        <w:rPr>
          <w:rStyle w:val="Numeracinttulo"/>
          <w:rFonts w:eastAsia="Batang"/>
          <w:b w:val="0"/>
          <w:spacing w:val="-4"/>
          <w:sz w:val="26"/>
        </w:rPr>
        <w:t xml:space="preserve">aparecer aun como propietario del rodante, pero se acreditó que pese a ello hacía 9 años había vendido tal motocicleta, y para la fecha de los hechos la poseía </w:t>
      </w:r>
      <w:r w:rsidR="00D60502">
        <w:rPr>
          <w:rStyle w:val="Numeracinttulo"/>
          <w:rFonts w:eastAsia="Batang"/>
          <w:spacing w:val="-4"/>
          <w:sz w:val="22"/>
          <w:szCs w:val="22"/>
        </w:rPr>
        <w:t>DSRM</w:t>
      </w:r>
      <w:r w:rsidR="00270294">
        <w:rPr>
          <w:rStyle w:val="Numeracinttulo"/>
          <w:rFonts w:eastAsia="Batang"/>
          <w:b w:val="0"/>
          <w:spacing w:val="-4"/>
          <w:sz w:val="26"/>
        </w:rPr>
        <w:t xml:space="preserve">, sin ser posible legalizar el traspaso por tener pignoración de una entidad bancaria. </w:t>
      </w:r>
      <w:r w:rsidR="00270294" w:rsidRPr="007B46FA">
        <w:rPr>
          <w:rStyle w:val="Numeracinttulo"/>
          <w:rFonts w:eastAsia="Batang"/>
          <w:spacing w:val="-4"/>
          <w:sz w:val="22"/>
          <w:szCs w:val="22"/>
        </w:rPr>
        <w:t xml:space="preserve">AGUIRRE </w:t>
      </w:r>
      <w:r w:rsidR="00270294" w:rsidRPr="00E33E97">
        <w:rPr>
          <w:rStyle w:val="Numeracinttulo"/>
          <w:rFonts w:eastAsia="Batang"/>
          <w:spacing w:val="-4"/>
          <w:sz w:val="22"/>
          <w:szCs w:val="22"/>
        </w:rPr>
        <w:t>FRANCO</w:t>
      </w:r>
      <w:r w:rsidR="00270294">
        <w:rPr>
          <w:rStyle w:val="Numeracinttulo"/>
          <w:rFonts w:eastAsia="Batang"/>
          <w:b w:val="0"/>
          <w:spacing w:val="-4"/>
          <w:sz w:val="26"/>
        </w:rPr>
        <w:t xml:space="preserve"> no era conocid</w:t>
      </w:r>
      <w:r w:rsidR="000F0E9F">
        <w:rPr>
          <w:rStyle w:val="Numeracinttulo"/>
          <w:rFonts w:eastAsia="Batang"/>
          <w:b w:val="0"/>
          <w:spacing w:val="-4"/>
          <w:sz w:val="26"/>
        </w:rPr>
        <w:t>o</w:t>
      </w:r>
      <w:r w:rsidR="00270294">
        <w:rPr>
          <w:rStyle w:val="Numeracinttulo"/>
          <w:rFonts w:eastAsia="Batang"/>
          <w:b w:val="0"/>
          <w:spacing w:val="-4"/>
          <w:sz w:val="26"/>
        </w:rPr>
        <w:t xml:space="preserve"> en el barrio </w:t>
      </w:r>
      <w:r w:rsidR="005758FA">
        <w:rPr>
          <w:rStyle w:val="Numeracinttulo"/>
          <w:rFonts w:eastAsia="Batang"/>
          <w:b w:val="0"/>
          <w:spacing w:val="-4"/>
          <w:sz w:val="26"/>
        </w:rPr>
        <w:t>“</w:t>
      </w:r>
      <w:r w:rsidR="009E6191">
        <w:rPr>
          <w:rStyle w:val="Numeracinttulo"/>
          <w:rFonts w:eastAsia="Batang"/>
          <w:b w:val="0"/>
          <w:spacing w:val="-4"/>
          <w:sz w:val="26"/>
        </w:rPr>
        <w:t>L</w:t>
      </w:r>
      <w:r w:rsidR="00270294">
        <w:rPr>
          <w:rStyle w:val="Numeracinttulo"/>
          <w:rFonts w:eastAsia="Batang"/>
          <w:b w:val="0"/>
          <w:spacing w:val="-4"/>
          <w:sz w:val="26"/>
        </w:rPr>
        <w:t xml:space="preserve">a </w:t>
      </w:r>
      <w:r w:rsidR="009E6191">
        <w:rPr>
          <w:rStyle w:val="Numeracinttulo"/>
          <w:rFonts w:eastAsia="Batang"/>
          <w:b w:val="0"/>
          <w:spacing w:val="-4"/>
          <w:sz w:val="26"/>
        </w:rPr>
        <w:t>U</w:t>
      </w:r>
      <w:r w:rsidR="00270294">
        <w:rPr>
          <w:rStyle w:val="Numeracinttulo"/>
          <w:rFonts w:eastAsia="Batang"/>
          <w:b w:val="0"/>
          <w:spacing w:val="-4"/>
          <w:sz w:val="26"/>
        </w:rPr>
        <w:t>nidad</w:t>
      </w:r>
      <w:r w:rsidR="005758FA">
        <w:rPr>
          <w:rStyle w:val="Numeracinttulo"/>
          <w:rFonts w:eastAsia="Batang"/>
          <w:b w:val="0"/>
          <w:spacing w:val="-4"/>
          <w:sz w:val="26"/>
        </w:rPr>
        <w:t>”</w:t>
      </w:r>
      <w:r w:rsidR="00E33E97">
        <w:rPr>
          <w:rStyle w:val="Numeracinttulo"/>
          <w:rFonts w:eastAsia="Batang"/>
          <w:b w:val="0"/>
          <w:spacing w:val="-4"/>
          <w:sz w:val="26"/>
        </w:rPr>
        <w:t>,</w:t>
      </w:r>
      <w:r w:rsidR="000F0E9F">
        <w:rPr>
          <w:rStyle w:val="Numeracinttulo"/>
          <w:rFonts w:eastAsia="Batang"/>
          <w:b w:val="0"/>
          <w:spacing w:val="-4"/>
          <w:sz w:val="26"/>
        </w:rPr>
        <w:t xml:space="preserve"> ni por</w:t>
      </w:r>
      <w:r w:rsidR="00270294">
        <w:rPr>
          <w:rStyle w:val="Numeracinttulo"/>
          <w:rFonts w:eastAsia="Batang"/>
          <w:b w:val="0"/>
          <w:spacing w:val="-4"/>
          <w:sz w:val="26"/>
        </w:rPr>
        <w:t xml:space="preserve"> </w:t>
      </w:r>
      <w:r w:rsidR="00D60502">
        <w:rPr>
          <w:rStyle w:val="Numeracinttulo"/>
          <w:rFonts w:eastAsia="Batang"/>
          <w:bCs/>
          <w:spacing w:val="-4"/>
          <w:sz w:val="22"/>
          <w:szCs w:val="22"/>
        </w:rPr>
        <w:t>DSRM</w:t>
      </w:r>
      <w:r w:rsidR="00E33E97">
        <w:rPr>
          <w:rStyle w:val="Numeracinttulo"/>
          <w:rFonts w:eastAsia="Batang"/>
          <w:b w:val="0"/>
          <w:spacing w:val="-4"/>
          <w:sz w:val="26"/>
        </w:rPr>
        <w:t>. Además, l</w:t>
      </w:r>
      <w:r w:rsidR="00270294">
        <w:rPr>
          <w:rStyle w:val="Numeracinttulo"/>
          <w:rFonts w:eastAsia="Batang"/>
          <w:b w:val="0"/>
          <w:spacing w:val="-4"/>
          <w:sz w:val="26"/>
        </w:rPr>
        <w:t xml:space="preserve">a patrullera YISET PÉREZ, quien participó en la diligencia de reconocimiento de </w:t>
      </w:r>
      <w:r w:rsidR="00270294" w:rsidRPr="000F0E9F">
        <w:rPr>
          <w:rStyle w:val="Numeracinttulo"/>
          <w:rFonts w:eastAsia="Batang"/>
          <w:spacing w:val="-4"/>
          <w:sz w:val="22"/>
          <w:szCs w:val="22"/>
        </w:rPr>
        <w:t>J</w:t>
      </w:r>
      <w:r w:rsidR="000F0E9F" w:rsidRPr="000F0E9F">
        <w:rPr>
          <w:rStyle w:val="Numeracinttulo"/>
          <w:rFonts w:eastAsia="Batang"/>
          <w:spacing w:val="-4"/>
          <w:sz w:val="22"/>
          <w:szCs w:val="22"/>
        </w:rPr>
        <w:t>O</w:t>
      </w:r>
      <w:r w:rsidR="00270294" w:rsidRPr="000F0E9F">
        <w:rPr>
          <w:rStyle w:val="Numeracinttulo"/>
          <w:rFonts w:eastAsia="Batang"/>
          <w:spacing w:val="-4"/>
          <w:sz w:val="22"/>
          <w:szCs w:val="22"/>
        </w:rPr>
        <w:t>HN JEDWI</w:t>
      </w:r>
      <w:r w:rsidR="00270294">
        <w:rPr>
          <w:rStyle w:val="Numeracinttulo"/>
          <w:rFonts w:eastAsia="Batang"/>
          <w:b w:val="0"/>
          <w:spacing w:val="-4"/>
          <w:sz w:val="26"/>
        </w:rPr>
        <w:t xml:space="preserve"> indicó que la testigo fue dudosa al identificarlo</w:t>
      </w:r>
      <w:r w:rsidR="000F0E9F">
        <w:rPr>
          <w:rStyle w:val="Numeracinttulo"/>
          <w:rFonts w:eastAsia="Batang"/>
          <w:b w:val="0"/>
          <w:spacing w:val="-4"/>
          <w:sz w:val="26"/>
        </w:rPr>
        <w:t xml:space="preserve">, ya que no </w:t>
      </w:r>
      <w:r w:rsidR="00270294">
        <w:rPr>
          <w:rStyle w:val="Numeracinttulo"/>
          <w:rFonts w:eastAsia="Batang"/>
          <w:b w:val="0"/>
          <w:spacing w:val="-4"/>
          <w:sz w:val="26"/>
        </w:rPr>
        <w:t>le observó el rostro al conductor, quien llevaba casco</w:t>
      </w:r>
      <w:r w:rsidR="00E33E97">
        <w:rPr>
          <w:rStyle w:val="Numeracinttulo"/>
          <w:rFonts w:eastAsia="Batang"/>
          <w:b w:val="0"/>
          <w:spacing w:val="-4"/>
          <w:sz w:val="26"/>
        </w:rPr>
        <w:t xml:space="preserve"> y </w:t>
      </w:r>
      <w:r w:rsidR="00270294">
        <w:rPr>
          <w:rStyle w:val="Numeracinttulo"/>
          <w:rFonts w:eastAsia="Batang"/>
          <w:b w:val="0"/>
          <w:spacing w:val="-4"/>
          <w:sz w:val="26"/>
        </w:rPr>
        <w:t xml:space="preserve">solo refirió que era una persona gorda y bajita, cuando el acusado es alto y no gordo, sin que tal descripción sea suficiente para su señalamiento, y solo lo relacionan en este actuar porque se enteró que aparecía como </w:t>
      </w:r>
      <w:r w:rsidR="00BF2508">
        <w:rPr>
          <w:rStyle w:val="Numeracinttulo"/>
          <w:rFonts w:eastAsia="Batang"/>
          <w:b w:val="0"/>
          <w:spacing w:val="-4"/>
          <w:sz w:val="26"/>
        </w:rPr>
        <w:t xml:space="preserve">dueño </w:t>
      </w:r>
      <w:r w:rsidR="00270294">
        <w:rPr>
          <w:rStyle w:val="Numeracinttulo"/>
          <w:rFonts w:eastAsia="Batang"/>
          <w:b w:val="0"/>
          <w:spacing w:val="-4"/>
          <w:sz w:val="26"/>
        </w:rPr>
        <w:t xml:space="preserve">de la moto. </w:t>
      </w:r>
    </w:p>
    <w:p w14:paraId="67324299" w14:textId="77777777" w:rsidR="000F0E9F" w:rsidRDefault="000F0E9F" w:rsidP="00AA6710">
      <w:pPr>
        <w:spacing w:line="276" w:lineRule="auto"/>
        <w:rPr>
          <w:rStyle w:val="Numeracinttulo"/>
          <w:rFonts w:eastAsia="Batang"/>
          <w:b w:val="0"/>
          <w:spacing w:val="-4"/>
          <w:sz w:val="26"/>
        </w:rPr>
      </w:pPr>
    </w:p>
    <w:p w14:paraId="0E31D1C2" w14:textId="77777777" w:rsidR="00050BCA" w:rsidRDefault="00270294" w:rsidP="00AA6710">
      <w:pPr>
        <w:spacing w:line="276" w:lineRule="auto"/>
        <w:rPr>
          <w:rStyle w:val="Numeracinttulo"/>
          <w:rFonts w:eastAsia="Batang"/>
          <w:b w:val="0"/>
          <w:spacing w:val="-4"/>
          <w:sz w:val="26"/>
        </w:rPr>
      </w:pPr>
      <w:r>
        <w:rPr>
          <w:rStyle w:val="Numeracinttulo"/>
          <w:rFonts w:eastAsia="Batang"/>
          <w:b w:val="0"/>
          <w:spacing w:val="-4"/>
          <w:sz w:val="26"/>
        </w:rPr>
        <w:t>En juicio se le resta credibilidad a ese señalamiento</w:t>
      </w:r>
      <w:r w:rsidR="0090323F">
        <w:rPr>
          <w:rStyle w:val="Numeracinttulo"/>
          <w:rFonts w:eastAsia="Batang"/>
          <w:b w:val="0"/>
          <w:spacing w:val="-4"/>
          <w:sz w:val="26"/>
        </w:rPr>
        <w:t>, máxime que de antemano le inducían que en esas fotos estaba el conductor de la moto, sin haber sido contundente al señalarl</w:t>
      </w:r>
      <w:r w:rsidR="002D7DCA">
        <w:rPr>
          <w:rStyle w:val="Numeracinttulo"/>
          <w:rFonts w:eastAsia="Batang"/>
          <w:b w:val="0"/>
          <w:spacing w:val="-4"/>
          <w:sz w:val="26"/>
        </w:rPr>
        <w:t xml:space="preserve">o, </w:t>
      </w:r>
      <w:r w:rsidR="000F0E9F">
        <w:rPr>
          <w:rStyle w:val="Numeracinttulo"/>
          <w:rFonts w:eastAsia="Batang"/>
          <w:b w:val="0"/>
          <w:spacing w:val="-4"/>
          <w:sz w:val="26"/>
        </w:rPr>
        <w:t>ni haberse realizado</w:t>
      </w:r>
      <w:r w:rsidR="0090323F">
        <w:rPr>
          <w:rStyle w:val="Numeracinttulo"/>
          <w:rFonts w:eastAsia="Batang"/>
          <w:b w:val="0"/>
          <w:spacing w:val="-4"/>
          <w:sz w:val="26"/>
        </w:rPr>
        <w:t xml:space="preserve"> reconocimiento en fila de personas, y aunque </w:t>
      </w:r>
      <w:r w:rsidR="00BF2508">
        <w:rPr>
          <w:rStyle w:val="Numeracinttulo"/>
          <w:rFonts w:eastAsia="Batang"/>
          <w:b w:val="0"/>
          <w:spacing w:val="-4"/>
          <w:sz w:val="26"/>
        </w:rPr>
        <w:t xml:space="preserve">la sindicación </w:t>
      </w:r>
      <w:r w:rsidR="0090323F">
        <w:rPr>
          <w:rStyle w:val="Numeracinttulo"/>
          <w:rFonts w:eastAsia="Batang"/>
          <w:b w:val="0"/>
          <w:spacing w:val="-4"/>
          <w:sz w:val="26"/>
        </w:rPr>
        <w:t xml:space="preserve">en juicio subsana cualquier procedimiento de identificación, en este caso aparte </w:t>
      </w:r>
      <w:r w:rsidR="00016B7A">
        <w:rPr>
          <w:rStyle w:val="Numeracinttulo"/>
          <w:rFonts w:eastAsia="Batang"/>
          <w:b w:val="0"/>
          <w:spacing w:val="-4"/>
          <w:sz w:val="26"/>
        </w:rPr>
        <w:t xml:space="preserve">de </w:t>
      </w:r>
      <w:r w:rsidR="000F0E9F">
        <w:rPr>
          <w:rStyle w:val="Numeracinttulo"/>
          <w:rFonts w:eastAsia="Batang"/>
          <w:b w:val="0"/>
          <w:spacing w:val="-4"/>
          <w:sz w:val="26"/>
        </w:rPr>
        <w:t xml:space="preserve">eso y por ser </w:t>
      </w:r>
      <w:r w:rsidR="0090323F">
        <w:rPr>
          <w:rStyle w:val="Numeracinttulo"/>
          <w:rFonts w:eastAsia="Batang"/>
          <w:b w:val="0"/>
          <w:spacing w:val="-4"/>
          <w:sz w:val="26"/>
        </w:rPr>
        <w:t>el propietario de la moto,</w:t>
      </w:r>
      <w:r w:rsidR="002D7DCA">
        <w:rPr>
          <w:rStyle w:val="Numeracinttulo"/>
          <w:rFonts w:eastAsia="Batang"/>
          <w:b w:val="0"/>
          <w:spacing w:val="-4"/>
          <w:sz w:val="26"/>
        </w:rPr>
        <w:t xml:space="preserve"> no hay </w:t>
      </w:r>
      <w:r w:rsidR="0090323F">
        <w:rPr>
          <w:rStyle w:val="Numeracinttulo"/>
          <w:rFonts w:eastAsia="Batang"/>
          <w:b w:val="0"/>
          <w:spacing w:val="-4"/>
          <w:sz w:val="26"/>
        </w:rPr>
        <w:t>otro medio de prueba que demuestre su participación en el hecho.</w:t>
      </w:r>
      <w:r w:rsidR="00E57CD7">
        <w:rPr>
          <w:rStyle w:val="Numeracinttulo"/>
          <w:rFonts w:eastAsia="Batang"/>
          <w:b w:val="0"/>
          <w:spacing w:val="-4"/>
          <w:sz w:val="26"/>
        </w:rPr>
        <w:t xml:space="preserve"> </w:t>
      </w:r>
    </w:p>
    <w:p w14:paraId="2848C1B7" w14:textId="77777777" w:rsidR="000F0E9F" w:rsidRDefault="000F0E9F" w:rsidP="00AA6710">
      <w:pPr>
        <w:spacing w:line="276" w:lineRule="auto"/>
        <w:rPr>
          <w:rStyle w:val="Numeracinttulo"/>
          <w:rFonts w:eastAsia="Batang"/>
          <w:b w:val="0"/>
          <w:spacing w:val="-4"/>
          <w:sz w:val="26"/>
        </w:rPr>
      </w:pPr>
    </w:p>
    <w:p w14:paraId="0A3C52D7" w14:textId="6B4E42F4" w:rsidR="00050BCA" w:rsidRDefault="00050BCA" w:rsidP="00AA6710">
      <w:pPr>
        <w:spacing w:line="276" w:lineRule="auto"/>
        <w:rPr>
          <w:rStyle w:val="Numeracinttulo"/>
          <w:rFonts w:eastAsia="Batang"/>
          <w:b w:val="0"/>
          <w:spacing w:val="-4"/>
          <w:sz w:val="26"/>
        </w:rPr>
      </w:pPr>
      <w:r>
        <w:rPr>
          <w:rStyle w:val="Numeracinttulo"/>
          <w:rFonts w:eastAsia="Batang"/>
          <w:b w:val="0"/>
          <w:spacing w:val="-4"/>
          <w:sz w:val="26"/>
        </w:rPr>
        <w:t xml:space="preserve">Respecto a </w:t>
      </w:r>
      <w:r w:rsidR="00D60502">
        <w:rPr>
          <w:rStyle w:val="Numeracinttulo"/>
          <w:rFonts w:eastAsia="Batang"/>
          <w:spacing w:val="-4"/>
          <w:sz w:val="22"/>
          <w:szCs w:val="22"/>
        </w:rPr>
        <w:t>DSRM</w:t>
      </w:r>
      <w:r>
        <w:rPr>
          <w:rStyle w:val="Numeracinttulo"/>
          <w:rFonts w:eastAsia="Batang"/>
          <w:b w:val="0"/>
          <w:spacing w:val="-4"/>
          <w:sz w:val="26"/>
        </w:rPr>
        <w:t>, luego de que la policía encontrara</w:t>
      </w:r>
      <w:r w:rsidR="000F0E9F">
        <w:rPr>
          <w:rStyle w:val="Numeracinttulo"/>
          <w:rFonts w:eastAsia="Batang"/>
          <w:b w:val="0"/>
          <w:spacing w:val="-4"/>
          <w:sz w:val="26"/>
        </w:rPr>
        <w:t xml:space="preserve"> </w:t>
      </w:r>
      <w:r>
        <w:rPr>
          <w:rStyle w:val="Numeracinttulo"/>
          <w:rFonts w:eastAsia="Batang"/>
          <w:b w:val="0"/>
          <w:spacing w:val="-4"/>
          <w:sz w:val="26"/>
        </w:rPr>
        <w:t xml:space="preserve">la moto de placas SNJ-15 </w:t>
      </w:r>
      <w:r w:rsidR="000F0E9F">
        <w:rPr>
          <w:rStyle w:val="Numeracinttulo"/>
          <w:rFonts w:eastAsia="Batang"/>
          <w:b w:val="0"/>
          <w:spacing w:val="-4"/>
          <w:sz w:val="26"/>
        </w:rPr>
        <w:t xml:space="preserve">en el barrio “La Unidad”, </w:t>
      </w:r>
      <w:r>
        <w:rPr>
          <w:rStyle w:val="Numeracinttulo"/>
          <w:rFonts w:eastAsia="Batang"/>
          <w:b w:val="0"/>
          <w:spacing w:val="-4"/>
          <w:sz w:val="26"/>
        </w:rPr>
        <w:t xml:space="preserve">al parecer usada en el hurto, les fue informado que </w:t>
      </w:r>
      <w:r w:rsidR="003B31B4">
        <w:rPr>
          <w:rStyle w:val="Numeracinttulo"/>
          <w:rFonts w:eastAsia="Batang"/>
          <w:b w:val="0"/>
          <w:spacing w:val="-4"/>
          <w:sz w:val="26"/>
        </w:rPr>
        <w:t xml:space="preserve">pertenecía </w:t>
      </w:r>
      <w:r>
        <w:rPr>
          <w:rStyle w:val="Numeracinttulo"/>
          <w:rFonts w:eastAsia="Batang"/>
          <w:b w:val="0"/>
          <w:spacing w:val="-4"/>
          <w:sz w:val="26"/>
        </w:rPr>
        <w:t xml:space="preserve">a alias “El Japonés”, y al considerarla en abandono se la llevaron para el </w:t>
      </w:r>
      <w:r w:rsidR="006F172B">
        <w:rPr>
          <w:rStyle w:val="Numeracinttulo"/>
          <w:rFonts w:eastAsia="Batang"/>
          <w:b w:val="0"/>
          <w:spacing w:val="-4"/>
          <w:sz w:val="26"/>
        </w:rPr>
        <w:t>CAI</w:t>
      </w:r>
      <w:r>
        <w:rPr>
          <w:rStyle w:val="Numeracinttulo"/>
          <w:rFonts w:eastAsia="Batang"/>
          <w:b w:val="0"/>
          <w:spacing w:val="-4"/>
          <w:sz w:val="26"/>
        </w:rPr>
        <w:t xml:space="preserve"> de Boston.  </w:t>
      </w:r>
      <w:r w:rsidR="003B31B4">
        <w:rPr>
          <w:rStyle w:val="Numeracinttulo"/>
          <w:rFonts w:eastAsia="Batang"/>
          <w:b w:val="0"/>
          <w:spacing w:val="-4"/>
          <w:sz w:val="26"/>
        </w:rPr>
        <w:t xml:space="preserve">Aunque para </w:t>
      </w:r>
      <w:r>
        <w:rPr>
          <w:rStyle w:val="Numeracinttulo"/>
          <w:rFonts w:eastAsia="Batang"/>
          <w:b w:val="0"/>
          <w:spacing w:val="-4"/>
          <w:sz w:val="26"/>
        </w:rPr>
        <w:t xml:space="preserve">la Fiscalía ello es un indicio grave de ubicación contra el procesado,  máxime </w:t>
      </w:r>
      <w:r w:rsidR="003B31B4">
        <w:rPr>
          <w:rStyle w:val="Numeracinttulo"/>
          <w:rFonts w:eastAsia="Batang"/>
          <w:b w:val="0"/>
          <w:spacing w:val="-4"/>
          <w:sz w:val="26"/>
        </w:rPr>
        <w:t xml:space="preserve">su reconocimiento por parte de la víctima al verle </w:t>
      </w:r>
      <w:r>
        <w:rPr>
          <w:rStyle w:val="Numeracinttulo"/>
          <w:rFonts w:eastAsia="Batang"/>
          <w:b w:val="0"/>
          <w:spacing w:val="-4"/>
          <w:sz w:val="26"/>
        </w:rPr>
        <w:t xml:space="preserve">el rostro por tener un </w:t>
      </w:r>
      <w:r w:rsidRPr="00EC7308">
        <w:rPr>
          <w:rStyle w:val="Numeracinttulo"/>
          <w:rFonts w:eastAsia="Batang"/>
          <w:b w:val="0"/>
          <w:i/>
          <w:iCs/>
          <w:spacing w:val="-4"/>
          <w:sz w:val="26"/>
        </w:rPr>
        <w:t>casco abatible,</w:t>
      </w:r>
      <w:r>
        <w:rPr>
          <w:rStyle w:val="Numeracinttulo"/>
          <w:rFonts w:eastAsia="Batang"/>
          <w:b w:val="0"/>
          <w:spacing w:val="-4"/>
          <w:sz w:val="26"/>
        </w:rPr>
        <w:t xml:space="preserve">  existen circunstancias que lo favorece</w:t>
      </w:r>
      <w:r w:rsidR="003B31B4">
        <w:rPr>
          <w:rStyle w:val="Numeracinttulo"/>
          <w:rFonts w:eastAsia="Batang"/>
          <w:b w:val="0"/>
          <w:spacing w:val="-4"/>
          <w:sz w:val="26"/>
        </w:rPr>
        <w:t>n</w:t>
      </w:r>
      <w:r>
        <w:rPr>
          <w:rStyle w:val="Numeracinttulo"/>
          <w:rFonts w:eastAsia="Batang"/>
          <w:b w:val="0"/>
          <w:spacing w:val="-4"/>
          <w:sz w:val="26"/>
        </w:rPr>
        <w:t xml:space="preserve">, por cuanto: </w:t>
      </w:r>
      <w:r w:rsidRPr="004A6CB7">
        <w:rPr>
          <w:rStyle w:val="Numeracinttulo"/>
          <w:rFonts w:eastAsia="Batang"/>
          <w:spacing w:val="-4"/>
          <w:sz w:val="22"/>
          <w:szCs w:val="22"/>
        </w:rPr>
        <w:t>(i)</w:t>
      </w:r>
      <w:r>
        <w:rPr>
          <w:rStyle w:val="Numeracinttulo"/>
          <w:rFonts w:eastAsia="Batang"/>
          <w:b w:val="0"/>
          <w:spacing w:val="-4"/>
          <w:sz w:val="26"/>
        </w:rPr>
        <w:t xml:space="preserve"> esa misma noche acudió al  </w:t>
      </w:r>
      <w:r w:rsidR="00016B7A">
        <w:rPr>
          <w:rStyle w:val="Numeracinttulo"/>
          <w:rFonts w:eastAsia="Batang"/>
          <w:b w:val="0"/>
          <w:spacing w:val="-4"/>
          <w:sz w:val="26"/>
        </w:rPr>
        <w:t xml:space="preserve">CAI </w:t>
      </w:r>
      <w:r>
        <w:rPr>
          <w:rStyle w:val="Numeracinttulo"/>
          <w:rFonts w:eastAsia="Batang"/>
          <w:b w:val="0"/>
          <w:spacing w:val="-4"/>
          <w:sz w:val="26"/>
        </w:rPr>
        <w:t>a reclamar la moto, sin que un</w:t>
      </w:r>
      <w:r w:rsidR="00B06B4A">
        <w:rPr>
          <w:rStyle w:val="Numeracinttulo"/>
          <w:rFonts w:eastAsia="Batang"/>
          <w:b w:val="0"/>
          <w:spacing w:val="-4"/>
          <w:sz w:val="26"/>
        </w:rPr>
        <w:t xml:space="preserve"> ciudadano </w:t>
      </w:r>
      <w:r>
        <w:rPr>
          <w:rStyle w:val="Numeracinttulo"/>
          <w:rFonts w:eastAsia="Batang"/>
          <w:b w:val="0"/>
          <w:spacing w:val="-4"/>
          <w:sz w:val="26"/>
        </w:rPr>
        <w:t xml:space="preserve">que haya </w:t>
      </w:r>
      <w:r w:rsidR="00E8566F">
        <w:rPr>
          <w:rStyle w:val="Numeracinttulo"/>
          <w:rFonts w:eastAsia="Batang"/>
          <w:b w:val="0"/>
          <w:spacing w:val="-4"/>
          <w:sz w:val="26"/>
        </w:rPr>
        <w:t xml:space="preserve">efectuado </w:t>
      </w:r>
      <w:r>
        <w:rPr>
          <w:rStyle w:val="Numeracinttulo"/>
          <w:rFonts w:eastAsia="Batang"/>
          <w:b w:val="0"/>
          <w:spacing w:val="-4"/>
          <w:sz w:val="26"/>
        </w:rPr>
        <w:t xml:space="preserve">un delito acuda a ello y sin temor aporte sus datos; </w:t>
      </w:r>
      <w:r w:rsidRPr="004A6CB7">
        <w:rPr>
          <w:rStyle w:val="Numeracinttulo"/>
          <w:rFonts w:eastAsia="Batang"/>
          <w:spacing w:val="-4"/>
          <w:sz w:val="22"/>
          <w:szCs w:val="22"/>
        </w:rPr>
        <w:t>(</w:t>
      </w:r>
      <w:proofErr w:type="spellStart"/>
      <w:r w:rsidRPr="004A6CB7">
        <w:rPr>
          <w:rStyle w:val="Numeracinttulo"/>
          <w:rFonts w:eastAsia="Batang"/>
          <w:spacing w:val="-4"/>
          <w:sz w:val="22"/>
          <w:szCs w:val="22"/>
        </w:rPr>
        <w:t>ii</w:t>
      </w:r>
      <w:proofErr w:type="spellEnd"/>
      <w:r w:rsidRPr="004A6CB7">
        <w:rPr>
          <w:rStyle w:val="Numeracinttulo"/>
          <w:rFonts w:eastAsia="Batang"/>
          <w:spacing w:val="-4"/>
          <w:sz w:val="22"/>
          <w:szCs w:val="22"/>
        </w:rPr>
        <w:t>)</w:t>
      </w:r>
      <w:r w:rsidR="00887EF9">
        <w:rPr>
          <w:rStyle w:val="Numeracinttulo"/>
          <w:rFonts w:eastAsia="Batang"/>
          <w:b w:val="0"/>
          <w:spacing w:val="-4"/>
          <w:sz w:val="26"/>
        </w:rPr>
        <w:t xml:space="preserve"> que aun cuando</w:t>
      </w:r>
      <w:r>
        <w:rPr>
          <w:rStyle w:val="Numeracinttulo"/>
          <w:rFonts w:eastAsia="Batang"/>
          <w:b w:val="0"/>
          <w:spacing w:val="-4"/>
          <w:sz w:val="26"/>
        </w:rPr>
        <w:t xml:space="preserve"> a la policía se le dijo que la moto era del hermano de </w:t>
      </w:r>
      <w:r>
        <w:rPr>
          <w:rStyle w:val="Numeracinttulo"/>
          <w:rFonts w:eastAsia="Batang"/>
          <w:b w:val="0"/>
          <w:spacing w:val="-4"/>
          <w:sz w:val="26"/>
        </w:rPr>
        <w:lastRenderedPageBreak/>
        <w:t xml:space="preserve">alias “El Japonés”, no se indagó de quién se trataba, si </w:t>
      </w:r>
      <w:r w:rsidR="00D60502">
        <w:rPr>
          <w:rStyle w:val="Numeracinttulo"/>
          <w:rFonts w:eastAsia="Batang"/>
          <w:bCs/>
          <w:spacing w:val="-4"/>
          <w:sz w:val="22"/>
          <w:szCs w:val="22"/>
        </w:rPr>
        <w:t>DSRM</w:t>
      </w:r>
      <w:r>
        <w:rPr>
          <w:rStyle w:val="Numeracinttulo"/>
          <w:rFonts w:eastAsia="Batang"/>
          <w:b w:val="0"/>
          <w:spacing w:val="-4"/>
          <w:sz w:val="26"/>
        </w:rPr>
        <w:t xml:space="preserve"> tiene consanguíneos</w:t>
      </w:r>
      <w:r w:rsidR="000F0E9F">
        <w:rPr>
          <w:rStyle w:val="Numeracinttulo"/>
          <w:rFonts w:eastAsia="Batang"/>
          <w:b w:val="0"/>
          <w:spacing w:val="-4"/>
          <w:sz w:val="26"/>
        </w:rPr>
        <w:t>,</w:t>
      </w:r>
      <w:r>
        <w:rPr>
          <w:rStyle w:val="Numeracinttulo"/>
          <w:rFonts w:eastAsia="Batang"/>
          <w:b w:val="0"/>
          <w:spacing w:val="-4"/>
          <w:sz w:val="26"/>
        </w:rPr>
        <w:t xml:space="preserve"> cómo los apodan o si ese apodo </w:t>
      </w:r>
      <w:r w:rsidR="00B06B4A">
        <w:rPr>
          <w:rStyle w:val="Numeracinttulo"/>
          <w:rFonts w:eastAsia="Batang"/>
          <w:b w:val="0"/>
          <w:spacing w:val="-4"/>
          <w:sz w:val="26"/>
        </w:rPr>
        <w:t>era suyo</w:t>
      </w:r>
      <w:r>
        <w:rPr>
          <w:rStyle w:val="Numeracinttulo"/>
          <w:rFonts w:eastAsia="Batang"/>
          <w:b w:val="0"/>
          <w:spacing w:val="-4"/>
          <w:sz w:val="26"/>
        </w:rPr>
        <w:t xml:space="preserve">; </w:t>
      </w:r>
      <w:r w:rsidRPr="004A6CB7">
        <w:rPr>
          <w:rStyle w:val="Numeracinttulo"/>
          <w:rFonts w:eastAsia="Batang"/>
          <w:spacing w:val="-4"/>
          <w:sz w:val="22"/>
          <w:szCs w:val="22"/>
        </w:rPr>
        <w:t>(</w:t>
      </w:r>
      <w:proofErr w:type="spellStart"/>
      <w:r w:rsidRPr="004A6CB7">
        <w:rPr>
          <w:rStyle w:val="Numeracinttulo"/>
          <w:rFonts w:eastAsia="Batang"/>
          <w:spacing w:val="-4"/>
          <w:sz w:val="22"/>
          <w:szCs w:val="22"/>
        </w:rPr>
        <w:t>iii</w:t>
      </w:r>
      <w:proofErr w:type="spellEnd"/>
      <w:r w:rsidRPr="004A6CB7">
        <w:rPr>
          <w:rStyle w:val="Numeracinttulo"/>
          <w:rFonts w:eastAsia="Batang"/>
          <w:spacing w:val="-4"/>
          <w:sz w:val="22"/>
          <w:szCs w:val="22"/>
        </w:rPr>
        <w:t>)</w:t>
      </w:r>
      <w:r>
        <w:rPr>
          <w:rStyle w:val="Numeracinttulo"/>
          <w:rFonts w:eastAsia="Batang"/>
          <w:b w:val="0"/>
          <w:spacing w:val="-4"/>
          <w:sz w:val="26"/>
        </w:rPr>
        <w:t xml:space="preserve"> </w:t>
      </w:r>
      <w:r w:rsidR="00887EF9">
        <w:rPr>
          <w:rStyle w:val="Numeracinttulo"/>
          <w:rFonts w:eastAsia="Batang"/>
          <w:b w:val="0"/>
          <w:spacing w:val="-4"/>
          <w:sz w:val="26"/>
        </w:rPr>
        <w:t>que no obstante que</w:t>
      </w:r>
      <w:r>
        <w:rPr>
          <w:rStyle w:val="Numeracinttulo"/>
          <w:rFonts w:eastAsia="Batang"/>
          <w:b w:val="0"/>
          <w:spacing w:val="-4"/>
          <w:sz w:val="26"/>
        </w:rPr>
        <w:t xml:space="preserve"> </w:t>
      </w:r>
      <w:r w:rsidR="00D60502">
        <w:rPr>
          <w:rStyle w:val="Numeracinttulo"/>
          <w:rFonts w:eastAsia="Batang"/>
          <w:b w:val="0"/>
          <w:bCs/>
          <w:spacing w:val="-4"/>
          <w:sz w:val="22"/>
          <w:szCs w:val="22"/>
        </w:rPr>
        <w:t>DSRM</w:t>
      </w:r>
      <w:r>
        <w:rPr>
          <w:rStyle w:val="Numeracinttulo"/>
          <w:rFonts w:eastAsia="Batang"/>
          <w:b w:val="0"/>
          <w:spacing w:val="-4"/>
          <w:sz w:val="26"/>
        </w:rPr>
        <w:t xml:space="preserve"> fue reconocido por la víctima en álbum fotográfico, no se realizó en fila de personas; </w:t>
      </w:r>
      <w:r w:rsidRPr="004A6CB7">
        <w:rPr>
          <w:rStyle w:val="Numeracinttulo"/>
          <w:rFonts w:eastAsia="Batang"/>
          <w:spacing w:val="-4"/>
          <w:sz w:val="22"/>
          <w:szCs w:val="22"/>
        </w:rPr>
        <w:t>(</w:t>
      </w:r>
      <w:proofErr w:type="spellStart"/>
      <w:r w:rsidRPr="004A6CB7">
        <w:rPr>
          <w:rStyle w:val="Numeracinttulo"/>
          <w:rFonts w:eastAsia="Batang"/>
          <w:spacing w:val="-4"/>
          <w:sz w:val="22"/>
          <w:szCs w:val="22"/>
        </w:rPr>
        <w:t>iv</w:t>
      </w:r>
      <w:proofErr w:type="spellEnd"/>
      <w:r w:rsidRPr="004A6CB7">
        <w:rPr>
          <w:rStyle w:val="Numeracinttulo"/>
          <w:rFonts w:eastAsia="Batang"/>
          <w:spacing w:val="-4"/>
          <w:sz w:val="22"/>
          <w:szCs w:val="22"/>
        </w:rPr>
        <w:t>)</w:t>
      </w:r>
      <w:r>
        <w:rPr>
          <w:rStyle w:val="Numeracinttulo"/>
          <w:rFonts w:eastAsia="Batang"/>
          <w:b w:val="0"/>
          <w:spacing w:val="-4"/>
          <w:sz w:val="26"/>
        </w:rPr>
        <w:t xml:space="preserve"> la motocicleta prendía directa, es decir no requería llave para </w:t>
      </w:r>
      <w:r w:rsidR="00887EF9">
        <w:rPr>
          <w:rStyle w:val="Numeracinttulo"/>
          <w:rFonts w:eastAsia="Batang"/>
          <w:b w:val="0"/>
          <w:spacing w:val="-4"/>
          <w:sz w:val="26"/>
        </w:rPr>
        <w:t>encenderla</w:t>
      </w:r>
      <w:r>
        <w:rPr>
          <w:rStyle w:val="Numeracinttulo"/>
          <w:rFonts w:eastAsia="Batang"/>
          <w:b w:val="0"/>
          <w:spacing w:val="-4"/>
          <w:sz w:val="26"/>
        </w:rPr>
        <w:t xml:space="preserve">, y es posible que alguien </w:t>
      </w:r>
      <w:r w:rsidR="00887EF9">
        <w:rPr>
          <w:rStyle w:val="Numeracinttulo"/>
          <w:rFonts w:eastAsia="Batang"/>
          <w:b w:val="0"/>
          <w:spacing w:val="-4"/>
          <w:sz w:val="26"/>
        </w:rPr>
        <w:t>más</w:t>
      </w:r>
      <w:r>
        <w:rPr>
          <w:rStyle w:val="Numeracinttulo"/>
          <w:rFonts w:eastAsia="Batang"/>
          <w:b w:val="0"/>
          <w:spacing w:val="-4"/>
          <w:sz w:val="26"/>
        </w:rPr>
        <w:t xml:space="preserve"> se haya desplazado en </w:t>
      </w:r>
      <w:r w:rsidR="001D43F2">
        <w:rPr>
          <w:rStyle w:val="Numeracinttulo"/>
          <w:rFonts w:eastAsia="Batang"/>
          <w:b w:val="0"/>
          <w:spacing w:val="-4"/>
          <w:sz w:val="26"/>
        </w:rPr>
        <w:t xml:space="preserve">ella, cometiera el </w:t>
      </w:r>
      <w:r>
        <w:rPr>
          <w:rStyle w:val="Numeracinttulo"/>
          <w:rFonts w:eastAsia="Batang"/>
          <w:b w:val="0"/>
          <w:spacing w:val="-4"/>
          <w:sz w:val="26"/>
        </w:rPr>
        <w:t>delito y la regres</w:t>
      </w:r>
      <w:r w:rsidR="001D43F2">
        <w:rPr>
          <w:rStyle w:val="Numeracinttulo"/>
          <w:rFonts w:eastAsia="Batang"/>
          <w:b w:val="0"/>
          <w:spacing w:val="-4"/>
          <w:sz w:val="26"/>
        </w:rPr>
        <w:t>ara</w:t>
      </w:r>
      <w:r>
        <w:rPr>
          <w:rStyle w:val="Numeracinttulo"/>
          <w:rFonts w:eastAsia="Batang"/>
          <w:b w:val="0"/>
          <w:spacing w:val="-4"/>
          <w:sz w:val="26"/>
        </w:rPr>
        <w:t xml:space="preserve"> a su sitio</w:t>
      </w:r>
      <w:r w:rsidR="00887EF9">
        <w:rPr>
          <w:rStyle w:val="Numeracinttulo"/>
          <w:rFonts w:eastAsia="Batang"/>
          <w:b w:val="0"/>
          <w:spacing w:val="-4"/>
          <w:sz w:val="26"/>
        </w:rPr>
        <w:t>;</w:t>
      </w:r>
      <w:r w:rsidR="008C7E0A">
        <w:rPr>
          <w:rStyle w:val="Numeracinttulo"/>
          <w:rFonts w:eastAsia="Batang"/>
          <w:b w:val="0"/>
          <w:spacing w:val="-4"/>
          <w:sz w:val="26"/>
        </w:rPr>
        <w:t xml:space="preserve"> y </w:t>
      </w:r>
      <w:r w:rsidR="008C7E0A" w:rsidRPr="004A6CB7">
        <w:rPr>
          <w:rStyle w:val="Numeracinttulo"/>
          <w:rFonts w:eastAsia="Batang"/>
          <w:spacing w:val="-4"/>
          <w:sz w:val="22"/>
          <w:szCs w:val="22"/>
        </w:rPr>
        <w:t>(v)</w:t>
      </w:r>
      <w:r w:rsidR="008C7E0A">
        <w:rPr>
          <w:rStyle w:val="Numeracinttulo"/>
          <w:rFonts w:eastAsia="Batang"/>
          <w:b w:val="0"/>
          <w:spacing w:val="-4"/>
          <w:sz w:val="26"/>
        </w:rPr>
        <w:t xml:space="preserve"> </w:t>
      </w:r>
      <w:r w:rsidR="00D60502">
        <w:rPr>
          <w:rStyle w:val="Numeracinttulo"/>
          <w:rFonts w:eastAsia="Batang"/>
          <w:bCs/>
          <w:spacing w:val="-4"/>
          <w:sz w:val="22"/>
          <w:szCs w:val="22"/>
        </w:rPr>
        <w:t>DSRM</w:t>
      </w:r>
      <w:r w:rsidR="008C7E0A">
        <w:rPr>
          <w:rStyle w:val="Numeracinttulo"/>
          <w:rFonts w:eastAsia="Batang"/>
          <w:b w:val="0"/>
          <w:spacing w:val="-4"/>
          <w:sz w:val="26"/>
        </w:rPr>
        <w:t xml:space="preserve"> no reporta antecedentes, y demostró como adquirió la motocicleta.</w:t>
      </w:r>
    </w:p>
    <w:p w14:paraId="4742AEEA" w14:textId="77777777" w:rsidR="008C7E0A" w:rsidRDefault="008C7E0A" w:rsidP="00AA6710">
      <w:pPr>
        <w:spacing w:line="276" w:lineRule="auto"/>
        <w:rPr>
          <w:rStyle w:val="Numeracinttulo"/>
          <w:rFonts w:eastAsia="Batang"/>
          <w:b w:val="0"/>
          <w:spacing w:val="-4"/>
          <w:sz w:val="26"/>
        </w:rPr>
      </w:pPr>
    </w:p>
    <w:p w14:paraId="643D124F" w14:textId="2B6A0114" w:rsidR="008C7E0A" w:rsidRDefault="008C7E0A" w:rsidP="00AA6710">
      <w:pPr>
        <w:spacing w:line="276" w:lineRule="auto"/>
        <w:rPr>
          <w:rStyle w:val="Numeracinttulo"/>
          <w:rFonts w:eastAsia="Batang"/>
          <w:b w:val="0"/>
          <w:spacing w:val="-4"/>
          <w:sz w:val="26"/>
        </w:rPr>
      </w:pPr>
      <w:r>
        <w:rPr>
          <w:rStyle w:val="Numeracinttulo"/>
          <w:rFonts w:eastAsia="Batang"/>
          <w:b w:val="0"/>
          <w:spacing w:val="-4"/>
          <w:sz w:val="26"/>
        </w:rPr>
        <w:t xml:space="preserve">Aunque la afectada reconoció en juicio a los dos acusados como coautores del hurto, y que la investigadora YISETH PÉREZ </w:t>
      </w:r>
      <w:r w:rsidR="00BF2508">
        <w:rPr>
          <w:rStyle w:val="Numeracinttulo"/>
          <w:rFonts w:eastAsia="Batang"/>
          <w:b w:val="0"/>
          <w:spacing w:val="-4"/>
          <w:sz w:val="26"/>
        </w:rPr>
        <w:t xml:space="preserve">dijo </w:t>
      </w:r>
      <w:r>
        <w:rPr>
          <w:rStyle w:val="Numeracinttulo"/>
          <w:rFonts w:eastAsia="Batang"/>
          <w:b w:val="0"/>
          <w:spacing w:val="-4"/>
          <w:sz w:val="26"/>
        </w:rPr>
        <w:t>que la misma fue contundente al señalar</w:t>
      </w:r>
      <w:r w:rsidR="009E164F">
        <w:rPr>
          <w:rStyle w:val="Numeracinttulo"/>
          <w:rFonts w:eastAsia="Batang"/>
          <w:b w:val="0"/>
          <w:spacing w:val="-4"/>
          <w:sz w:val="26"/>
        </w:rPr>
        <w:t xml:space="preserve"> a </w:t>
      </w:r>
      <w:r w:rsidR="00D60502">
        <w:rPr>
          <w:rStyle w:val="Numeracinttulo"/>
          <w:rFonts w:eastAsia="Batang"/>
          <w:bCs/>
          <w:spacing w:val="-4"/>
          <w:sz w:val="22"/>
          <w:szCs w:val="22"/>
        </w:rPr>
        <w:t>DSRM</w:t>
      </w:r>
      <w:r w:rsidR="009E164F" w:rsidRPr="0010373A">
        <w:rPr>
          <w:rStyle w:val="Numeracinttulo"/>
          <w:rFonts w:eastAsia="Batang"/>
          <w:bCs/>
          <w:spacing w:val="-4"/>
          <w:sz w:val="22"/>
          <w:szCs w:val="22"/>
        </w:rPr>
        <w:t xml:space="preserve"> </w:t>
      </w:r>
      <w:r>
        <w:rPr>
          <w:rStyle w:val="Numeracinttulo"/>
          <w:rFonts w:eastAsia="Batang"/>
          <w:b w:val="0"/>
          <w:spacing w:val="-4"/>
          <w:sz w:val="26"/>
        </w:rPr>
        <w:t>como quien la intimidó con un arma y le quitó el bolso</w:t>
      </w:r>
      <w:r w:rsidR="009E164F">
        <w:rPr>
          <w:rStyle w:val="Numeracinttulo"/>
          <w:rFonts w:eastAsia="Batang"/>
          <w:b w:val="0"/>
          <w:spacing w:val="-4"/>
          <w:sz w:val="26"/>
        </w:rPr>
        <w:t xml:space="preserve">, no lo fue así frente a </w:t>
      </w:r>
      <w:r w:rsidR="00BE00F7">
        <w:rPr>
          <w:rStyle w:val="Numeracinttulo"/>
          <w:rFonts w:eastAsia="Batang"/>
          <w:spacing w:val="-4"/>
          <w:sz w:val="22"/>
          <w:szCs w:val="22"/>
        </w:rPr>
        <w:t>JJAF</w:t>
      </w:r>
      <w:r w:rsidR="009E164F">
        <w:rPr>
          <w:rStyle w:val="Numeracinttulo"/>
          <w:rFonts w:eastAsia="Batang"/>
          <w:b w:val="0"/>
          <w:spacing w:val="-4"/>
          <w:sz w:val="26"/>
        </w:rPr>
        <w:t xml:space="preserve">, ante lo cual </w:t>
      </w:r>
      <w:r w:rsidR="005E05F9">
        <w:rPr>
          <w:rStyle w:val="Numeracinttulo"/>
          <w:rFonts w:eastAsia="Batang"/>
          <w:b w:val="0"/>
          <w:spacing w:val="-4"/>
          <w:sz w:val="26"/>
        </w:rPr>
        <w:t>la</w:t>
      </w:r>
      <w:r w:rsidR="009E164F">
        <w:rPr>
          <w:rStyle w:val="Numeracinttulo"/>
          <w:rFonts w:eastAsia="Batang"/>
          <w:b w:val="0"/>
          <w:spacing w:val="-4"/>
          <w:sz w:val="26"/>
        </w:rPr>
        <w:t xml:space="preserve"> Fiscalía pidió absolución de este último, </w:t>
      </w:r>
      <w:r w:rsidR="00016B7A">
        <w:rPr>
          <w:rStyle w:val="Numeracinttulo"/>
          <w:rFonts w:eastAsia="Batang"/>
          <w:b w:val="0"/>
          <w:spacing w:val="-4"/>
          <w:sz w:val="26"/>
        </w:rPr>
        <w:t xml:space="preserve">lo cual </w:t>
      </w:r>
      <w:r w:rsidR="009E164F">
        <w:rPr>
          <w:rStyle w:val="Numeracinttulo"/>
          <w:rFonts w:eastAsia="Batang"/>
          <w:b w:val="0"/>
          <w:spacing w:val="-4"/>
          <w:sz w:val="26"/>
        </w:rPr>
        <w:t xml:space="preserve">sería como dar credibilidad parcial </w:t>
      </w:r>
      <w:r w:rsidR="0097739C">
        <w:rPr>
          <w:rStyle w:val="Numeracinttulo"/>
          <w:rFonts w:eastAsia="Batang"/>
          <w:b w:val="0"/>
          <w:spacing w:val="-4"/>
          <w:sz w:val="26"/>
        </w:rPr>
        <w:t xml:space="preserve">frente a un </w:t>
      </w:r>
      <w:r w:rsidR="0097739C" w:rsidRPr="00015F6F">
        <w:rPr>
          <w:rStyle w:val="Numeracinttulo"/>
          <w:rFonts w:eastAsia="Batang"/>
          <w:b w:val="0"/>
          <w:spacing w:val="-4"/>
          <w:sz w:val="26"/>
        </w:rPr>
        <w:t>señalamiento y no respecto del otro, cuando los testimonios deben valorarse integra</w:t>
      </w:r>
      <w:r w:rsidR="00885B5D" w:rsidRPr="00015F6F">
        <w:rPr>
          <w:rStyle w:val="Numeracinttulo"/>
          <w:rFonts w:eastAsia="Batang"/>
          <w:b w:val="0"/>
          <w:spacing w:val="-4"/>
          <w:sz w:val="26"/>
        </w:rPr>
        <w:t>l</w:t>
      </w:r>
      <w:r w:rsidR="007B46FA" w:rsidRPr="00015F6F">
        <w:rPr>
          <w:rStyle w:val="Numeracinttulo"/>
          <w:rFonts w:eastAsia="Batang"/>
          <w:b w:val="0"/>
          <w:spacing w:val="-4"/>
          <w:sz w:val="26"/>
        </w:rPr>
        <w:t>mente</w:t>
      </w:r>
      <w:r w:rsidR="0097739C" w:rsidRPr="00015F6F">
        <w:rPr>
          <w:rStyle w:val="Numeracinttulo"/>
          <w:rFonts w:eastAsia="Batang"/>
          <w:b w:val="0"/>
          <w:spacing w:val="-4"/>
          <w:sz w:val="26"/>
        </w:rPr>
        <w:t xml:space="preserve">, o todo es verdad o nada lo es y en este caso ante las dudas respecto de la participación de </w:t>
      </w:r>
      <w:r w:rsidR="00D60502">
        <w:rPr>
          <w:rStyle w:val="Numeracinttulo"/>
          <w:rFonts w:eastAsia="Batang"/>
          <w:bCs/>
          <w:spacing w:val="-4"/>
          <w:sz w:val="22"/>
          <w:szCs w:val="22"/>
        </w:rPr>
        <w:t>DSRM</w:t>
      </w:r>
      <w:r w:rsidR="0097739C" w:rsidRPr="00015F6F">
        <w:rPr>
          <w:rStyle w:val="Numeracinttulo"/>
          <w:rFonts w:eastAsia="Batang"/>
          <w:b w:val="0"/>
          <w:spacing w:val="-4"/>
          <w:sz w:val="26"/>
        </w:rPr>
        <w:t>, se debe emitir fallo absolutorio.</w:t>
      </w:r>
    </w:p>
    <w:p w14:paraId="15F44F99" w14:textId="77777777" w:rsidR="0097739C" w:rsidRPr="005E6BE7" w:rsidRDefault="0097739C" w:rsidP="00AA6710">
      <w:pPr>
        <w:spacing w:line="276" w:lineRule="auto"/>
        <w:rPr>
          <w:rStyle w:val="Numeracinttulo"/>
          <w:spacing w:val="-4"/>
          <w:sz w:val="20"/>
          <w:szCs w:val="20"/>
        </w:rPr>
      </w:pPr>
    </w:p>
    <w:p w14:paraId="589E4D77" w14:textId="77777777" w:rsidR="000D42A3" w:rsidRPr="007F25AF" w:rsidRDefault="000D42A3" w:rsidP="00AA6710">
      <w:pPr>
        <w:spacing w:line="276" w:lineRule="auto"/>
        <w:rPr>
          <w:rStyle w:val="Numeracinttulo"/>
          <w:b w:val="0"/>
          <w:spacing w:val="-4"/>
          <w:sz w:val="26"/>
        </w:rPr>
      </w:pPr>
      <w:r w:rsidRPr="007F25AF">
        <w:rPr>
          <w:rStyle w:val="Numeracinttulo"/>
          <w:spacing w:val="-4"/>
          <w:szCs w:val="24"/>
        </w:rPr>
        <w:t>1.</w:t>
      </w:r>
      <w:r w:rsidR="00B14464" w:rsidRPr="007F25AF">
        <w:rPr>
          <w:rStyle w:val="Numeracinttulo"/>
          <w:spacing w:val="-4"/>
          <w:szCs w:val="24"/>
        </w:rPr>
        <w:t>5</w:t>
      </w:r>
      <w:r w:rsidRPr="007F25AF">
        <w:rPr>
          <w:rStyle w:val="Numeracinttulo"/>
          <w:spacing w:val="-4"/>
          <w:szCs w:val="24"/>
        </w:rPr>
        <w:t>.-</w:t>
      </w:r>
      <w:r w:rsidR="00C920D4" w:rsidRPr="007F25AF">
        <w:rPr>
          <w:rStyle w:val="Numeracinttulo"/>
          <w:b w:val="0"/>
          <w:spacing w:val="-4"/>
          <w:sz w:val="26"/>
        </w:rPr>
        <w:t xml:space="preserve"> I</w:t>
      </w:r>
      <w:r w:rsidR="00116A8A" w:rsidRPr="007F25AF">
        <w:rPr>
          <w:rStyle w:val="Numeracinttulo"/>
          <w:b w:val="0"/>
          <w:spacing w:val="-4"/>
          <w:sz w:val="26"/>
        </w:rPr>
        <w:t>nconforme con esa determinaci</w:t>
      </w:r>
      <w:r w:rsidR="00E94475">
        <w:rPr>
          <w:rStyle w:val="Numeracinttulo"/>
          <w:b w:val="0"/>
          <w:spacing w:val="-4"/>
          <w:sz w:val="26"/>
        </w:rPr>
        <w:t>ón</w:t>
      </w:r>
      <w:r w:rsidR="00AE3785" w:rsidRPr="007F25AF">
        <w:rPr>
          <w:rStyle w:val="Numeracinttulo"/>
          <w:b w:val="0"/>
          <w:spacing w:val="-4"/>
          <w:sz w:val="26"/>
        </w:rPr>
        <w:t>,</w:t>
      </w:r>
      <w:r w:rsidR="00E94475">
        <w:rPr>
          <w:rStyle w:val="Numeracinttulo"/>
          <w:b w:val="0"/>
          <w:spacing w:val="-4"/>
          <w:sz w:val="26"/>
        </w:rPr>
        <w:t xml:space="preserve"> la delegada del ente acusador</w:t>
      </w:r>
      <w:r w:rsidR="00C920D4" w:rsidRPr="007F25AF">
        <w:rPr>
          <w:rStyle w:val="Numeracinttulo"/>
          <w:b w:val="0"/>
          <w:spacing w:val="-4"/>
          <w:sz w:val="26"/>
        </w:rPr>
        <w:t xml:space="preserve"> interpus</w:t>
      </w:r>
      <w:r w:rsidR="00E94475">
        <w:rPr>
          <w:rStyle w:val="Numeracinttulo"/>
          <w:b w:val="0"/>
          <w:spacing w:val="-4"/>
          <w:sz w:val="26"/>
        </w:rPr>
        <w:t>o</w:t>
      </w:r>
      <w:r w:rsidR="00C920D4" w:rsidRPr="007F25AF">
        <w:rPr>
          <w:rStyle w:val="Numeracinttulo"/>
          <w:b w:val="0"/>
          <w:spacing w:val="-4"/>
          <w:sz w:val="26"/>
        </w:rPr>
        <w:t xml:space="preserve"> y sustent</w:t>
      </w:r>
      <w:r w:rsidR="00E94475">
        <w:rPr>
          <w:rStyle w:val="Numeracinttulo"/>
          <w:b w:val="0"/>
          <w:spacing w:val="-4"/>
          <w:sz w:val="26"/>
        </w:rPr>
        <w:t>ó</w:t>
      </w:r>
      <w:r w:rsidR="00C920D4" w:rsidRPr="007F25AF">
        <w:rPr>
          <w:rStyle w:val="Numeracinttulo"/>
          <w:b w:val="0"/>
          <w:spacing w:val="-4"/>
          <w:sz w:val="26"/>
        </w:rPr>
        <w:t xml:space="preserve"> por escrito el recurso de apelación</w:t>
      </w:r>
      <w:r w:rsidR="00AE3785" w:rsidRPr="007F25AF">
        <w:rPr>
          <w:rStyle w:val="Numeracinttulo"/>
          <w:b w:val="0"/>
          <w:spacing w:val="-4"/>
          <w:sz w:val="26"/>
        </w:rPr>
        <w:t>.</w:t>
      </w:r>
    </w:p>
    <w:p w14:paraId="4C0EA080" w14:textId="77777777" w:rsidR="00E433F0" w:rsidRPr="005E6BE7" w:rsidRDefault="00E433F0" w:rsidP="00AA6710">
      <w:pPr>
        <w:spacing w:line="276" w:lineRule="auto"/>
        <w:rPr>
          <w:rStyle w:val="Numeracinttulo"/>
          <w:b w:val="0"/>
          <w:spacing w:val="-4"/>
          <w:sz w:val="20"/>
          <w:szCs w:val="20"/>
        </w:rPr>
      </w:pPr>
    </w:p>
    <w:p w14:paraId="68303945" w14:textId="77777777" w:rsidR="00F13C87" w:rsidRPr="007F25AF" w:rsidRDefault="00F13C87" w:rsidP="00AA6710">
      <w:pPr>
        <w:spacing w:line="276" w:lineRule="auto"/>
        <w:rPr>
          <w:rStyle w:val="Algerian"/>
          <w:spacing w:val="-4"/>
        </w:rPr>
      </w:pPr>
      <w:r w:rsidRPr="007F25AF">
        <w:rPr>
          <w:rStyle w:val="Algerian"/>
          <w:spacing w:val="-4"/>
        </w:rPr>
        <w:t>2.- Debate</w:t>
      </w:r>
    </w:p>
    <w:p w14:paraId="1D12060D" w14:textId="77777777" w:rsidR="00B31B9A" w:rsidRPr="007F25AF" w:rsidRDefault="00B31B9A" w:rsidP="00AA6710">
      <w:pPr>
        <w:spacing w:line="276" w:lineRule="auto"/>
        <w:rPr>
          <w:b/>
          <w:spacing w:val="-4"/>
          <w:sz w:val="24"/>
          <w:szCs w:val="24"/>
        </w:rPr>
      </w:pPr>
    </w:p>
    <w:p w14:paraId="577EEF79" w14:textId="77777777" w:rsidR="00F13C87" w:rsidRPr="007F25AF" w:rsidRDefault="00F13C87" w:rsidP="00AA6710">
      <w:pPr>
        <w:spacing w:line="276" w:lineRule="auto"/>
        <w:rPr>
          <w:spacing w:val="-4"/>
        </w:rPr>
      </w:pPr>
      <w:r w:rsidRPr="007F25AF">
        <w:rPr>
          <w:b/>
          <w:spacing w:val="-4"/>
          <w:sz w:val="24"/>
          <w:szCs w:val="24"/>
        </w:rPr>
        <w:t>2.1.-</w:t>
      </w:r>
      <w:r w:rsidR="00952958">
        <w:rPr>
          <w:b/>
          <w:spacing w:val="-4"/>
          <w:sz w:val="24"/>
          <w:szCs w:val="24"/>
        </w:rPr>
        <w:t xml:space="preserve"> </w:t>
      </w:r>
      <w:r w:rsidR="00952958">
        <w:rPr>
          <w:spacing w:val="-4"/>
        </w:rPr>
        <w:t>Fiscalía</w:t>
      </w:r>
      <w:r w:rsidR="00B113B1" w:rsidRPr="007F25AF">
        <w:rPr>
          <w:spacing w:val="-4"/>
        </w:rPr>
        <w:t xml:space="preserve"> </w:t>
      </w:r>
      <w:r w:rsidR="005D1FC7" w:rsidRPr="00952958">
        <w:rPr>
          <w:rFonts w:ascii="Bookman Old Style" w:hAnsi="Bookman Old Style"/>
          <w:spacing w:val="-4"/>
          <w:sz w:val="22"/>
          <w:szCs w:val="22"/>
        </w:rPr>
        <w:t>-</w:t>
      </w:r>
      <w:r w:rsidRPr="00952958">
        <w:rPr>
          <w:rFonts w:ascii="Bookman Old Style" w:hAnsi="Bookman Old Style"/>
          <w:spacing w:val="-4"/>
          <w:sz w:val="22"/>
          <w:szCs w:val="22"/>
        </w:rPr>
        <w:t>recurrente</w:t>
      </w:r>
      <w:r w:rsidRPr="00952958">
        <w:rPr>
          <w:rFonts w:ascii="Bookman Old Style" w:hAnsi="Bookman Old Style"/>
          <w:i/>
          <w:spacing w:val="-4"/>
          <w:sz w:val="22"/>
          <w:szCs w:val="22"/>
        </w:rPr>
        <w:t>-</w:t>
      </w:r>
      <w:r w:rsidRPr="007F25AF">
        <w:rPr>
          <w:rFonts w:ascii="Verdana" w:hAnsi="Verdana"/>
          <w:i/>
          <w:spacing w:val="-4"/>
          <w:sz w:val="20"/>
          <w:szCs w:val="20"/>
        </w:rPr>
        <w:t xml:space="preserve"> </w:t>
      </w:r>
    </w:p>
    <w:p w14:paraId="3BB5CB20" w14:textId="77777777" w:rsidR="00F13C87" w:rsidRPr="007F25AF" w:rsidRDefault="00F13C87" w:rsidP="00AA6710">
      <w:pPr>
        <w:spacing w:line="276" w:lineRule="auto"/>
        <w:rPr>
          <w:rStyle w:val="Nombreprincipal"/>
          <w:spacing w:val="-4"/>
        </w:rPr>
      </w:pPr>
    </w:p>
    <w:p w14:paraId="483E601E" w14:textId="63E47B3F" w:rsidR="005E5782" w:rsidRPr="007F25AF" w:rsidRDefault="00C920D4" w:rsidP="00AA6710">
      <w:pPr>
        <w:spacing w:line="276" w:lineRule="auto"/>
        <w:rPr>
          <w:spacing w:val="-4"/>
        </w:rPr>
      </w:pPr>
      <w:r w:rsidRPr="007F25AF">
        <w:rPr>
          <w:spacing w:val="-4"/>
        </w:rPr>
        <w:t xml:space="preserve">Pide se revoque la sentencia </w:t>
      </w:r>
      <w:r w:rsidR="00E94475">
        <w:rPr>
          <w:spacing w:val="-4"/>
        </w:rPr>
        <w:t xml:space="preserve">absolutoria proferida en favor de </w:t>
      </w:r>
      <w:r w:rsidR="00D60502">
        <w:rPr>
          <w:b/>
          <w:spacing w:val="-4"/>
          <w:sz w:val="22"/>
          <w:szCs w:val="22"/>
        </w:rPr>
        <w:t>DSRM</w:t>
      </w:r>
      <w:r w:rsidR="00E94475">
        <w:rPr>
          <w:spacing w:val="-4"/>
        </w:rPr>
        <w:t xml:space="preserve"> </w:t>
      </w:r>
      <w:r w:rsidRPr="007F25AF">
        <w:rPr>
          <w:spacing w:val="-4"/>
        </w:rPr>
        <w:t>y</w:t>
      </w:r>
      <w:r w:rsidR="00E94475">
        <w:rPr>
          <w:spacing w:val="-4"/>
        </w:rPr>
        <w:t xml:space="preserve"> se </w:t>
      </w:r>
      <w:r w:rsidR="00987E9D">
        <w:rPr>
          <w:spacing w:val="-4"/>
        </w:rPr>
        <w:t xml:space="preserve">dicte </w:t>
      </w:r>
      <w:r w:rsidR="00E94475">
        <w:rPr>
          <w:spacing w:val="-4"/>
        </w:rPr>
        <w:t>condena</w:t>
      </w:r>
      <w:r w:rsidR="009F5ED4">
        <w:rPr>
          <w:spacing w:val="-4"/>
        </w:rPr>
        <w:t>, lo</w:t>
      </w:r>
      <w:r w:rsidR="00D06179" w:rsidRPr="007F25AF">
        <w:rPr>
          <w:spacing w:val="-4"/>
        </w:rPr>
        <w:t xml:space="preserve"> cual sustenta en lo siguiente:</w:t>
      </w:r>
    </w:p>
    <w:p w14:paraId="1BFA4268" w14:textId="77777777" w:rsidR="005E5782" w:rsidRPr="007F25AF" w:rsidRDefault="005E5782" w:rsidP="00AA6710">
      <w:pPr>
        <w:spacing w:line="276" w:lineRule="auto"/>
        <w:rPr>
          <w:spacing w:val="-4"/>
        </w:rPr>
      </w:pPr>
    </w:p>
    <w:p w14:paraId="6AD24BA6" w14:textId="775C788E" w:rsidR="009F5ED4" w:rsidRDefault="009F5ED4" w:rsidP="00AA6710">
      <w:pPr>
        <w:spacing w:line="276" w:lineRule="auto"/>
        <w:rPr>
          <w:spacing w:val="-4"/>
        </w:rPr>
      </w:pPr>
      <w:r>
        <w:rPr>
          <w:spacing w:val="-4"/>
        </w:rPr>
        <w:t xml:space="preserve">Empieza por aclarar que está conforme con la absolución en favor de </w:t>
      </w:r>
      <w:r w:rsidR="00BE00F7">
        <w:rPr>
          <w:b/>
          <w:spacing w:val="-4"/>
          <w:sz w:val="22"/>
          <w:szCs w:val="22"/>
        </w:rPr>
        <w:t>JJAF</w:t>
      </w:r>
      <w:r>
        <w:rPr>
          <w:spacing w:val="-4"/>
        </w:rPr>
        <w:t xml:space="preserve">, frente </w:t>
      </w:r>
      <w:r w:rsidR="00B9087B">
        <w:rPr>
          <w:spacing w:val="-4"/>
        </w:rPr>
        <w:t xml:space="preserve">a quien </w:t>
      </w:r>
      <w:r>
        <w:rPr>
          <w:spacing w:val="-4"/>
        </w:rPr>
        <w:t xml:space="preserve">no interpuso recurso, pero respecto de </w:t>
      </w:r>
      <w:r w:rsidR="00D60502">
        <w:rPr>
          <w:b/>
          <w:spacing w:val="-4"/>
          <w:sz w:val="22"/>
          <w:szCs w:val="22"/>
        </w:rPr>
        <w:t>DSRM</w:t>
      </w:r>
      <w:r>
        <w:rPr>
          <w:spacing w:val="-4"/>
        </w:rPr>
        <w:t xml:space="preserve">, no está de acuerdo por cuanto existen indicios graves que comprometen su responsabilidad, </w:t>
      </w:r>
      <w:r w:rsidR="000B4307">
        <w:rPr>
          <w:spacing w:val="-4"/>
        </w:rPr>
        <w:t>a saber:</w:t>
      </w:r>
    </w:p>
    <w:p w14:paraId="20ACFE2B" w14:textId="77777777" w:rsidR="009F5ED4" w:rsidRDefault="009F5ED4" w:rsidP="00AA6710">
      <w:pPr>
        <w:spacing w:line="276" w:lineRule="auto"/>
        <w:rPr>
          <w:spacing w:val="-4"/>
        </w:rPr>
      </w:pPr>
    </w:p>
    <w:p w14:paraId="279F699A" w14:textId="1BE2EE41" w:rsidR="000B4307" w:rsidRDefault="000B4307" w:rsidP="00AA6710">
      <w:pPr>
        <w:spacing w:line="276" w:lineRule="auto"/>
        <w:rPr>
          <w:spacing w:val="-4"/>
        </w:rPr>
      </w:pPr>
      <w:r w:rsidRPr="006D156D">
        <w:rPr>
          <w:b/>
          <w:spacing w:val="-4"/>
          <w:sz w:val="22"/>
          <w:szCs w:val="22"/>
        </w:rPr>
        <w:t>(i)</w:t>
      </w:r>
      <w:r>
        <w:rPr>
          <w:spacing w:val="-4"/>
        </w:rPr>
        <w:t xml:space="preserve"> </w:t>
      </w:r>
      <w:r w:rsidR="00CE6FC8">
        <w:rPr>
          <w:spacing w:val="-4"/>
        </w:rPr>
        <w:t xml:space="preserve">La víctima </w:t>
      </w:r>
      <w:r>
        <w:rPr>
          <w:spacing w:val="-4"/>
        </w:rPr>
        <w:t xml:space="preserve">quien estaba acompañada por su padre, </w:t>
      </w:r>
      <w:r w:rsidR="00CE6FC8">
        <w:rPr>
          <w:spacing w:val="-4"/>
        </w:rPr>
        <w:t>señaló que al momento del hurto</w:t>
      </w:r>
      <w:r>
        <w:rPr>
          <w:spacing w:val="-4"/>
        </w:rPr>
        <w:t xml:space="preserve"> el parrillero descendió de la moto, con casco abatible y con la visera levantada, que no olvida su rostro, al verlo de frente cuando le apuntó con el arma, refiriéndose a </w:t>
      </w:r>
      <w:r w:rsidR="00D60502">
        <w:rPr>
          <w:b/>
          <w:spacing w:val="-4"/>
          <w:sz w:val="22"/>
          <w:szCs w:val="22"/>
        </w:rPr>
        <w:t>DSRM</w:t>
      </w:r>
      <w:r>
        <w:rPr>
          <w:spacing w:val="-4"/>
        </w:rPr>
        <w:t xml:space="preserve">, a quien describió claramente y ello coincide con los rasgos de este, a quien posteriormente </w:t>
      </w:r>
      <w:r w:rsidR="00FB2EA4">
        <w:rPr>
          <w:spacing w:val="-4"/>
        </w:rPr>
        <w:t xml:space="preserve">señaló </w:t>
      </w:r>
      <w:r>
        <w:rPr>
          <w:spacing w:val="-4"/>
        </w:rPr>
        <w:t xml:space="preserve">en álbum fotográfico; </w:t>
      </w:r>
      <w:r w:rsidRPr="006D156D">
        <w:rPr>
          <w:b/>
          <w:spacing w:val="-4"/>
          <w:sz w:val="22"/>
          <w:szCs w:val="22"/>
        </w:rPr>
        <w:t>(</w:t>
      </w:r>
      <w:proofErr w:type="spellStart"/>
      <w:r w:rsidRPr="006D156D">
        <w:rPr>
          <w:b/>
          <w:spacing w:val="-4"/>
          <w:sz w:val="22"/>
          <w:szCs w:val="22"/>
        </w:rPr>
        <w:t>ii</w:t>
      </w:r>
      <w:proofErr w:type="spellEnd"/>
      <w:r w:rsidRPr="006D156D">
        <w:rPr>
          <w:b/>
          <w:spacing w:val="-4"/>
          <w:sz w:val="22"/>
          <w:szCs w:val="22"/>
        </w:rPr>
        <w:t>)</w:t>
      </w:r>
      <w:r>
        <w:rPr>
          <w:spacing w:val="-4"/>
        </w:rPr>
        <w:t xml:space="preserve"> dentro del bolso VALENTINA tenía un celular y con la aplicación de Google, estableció que se encontraba en el barrio La unidad, cerca al  </w:t>
      </w:r>
      <w:r w:rsidR="006F172B">
        <w:rPr>
          <w:spacing w:val="-4"/>
        </w:rPr>
        <w:t xml:space="preserve">CAI </w:t>
      </w:r>
      <w:r>
        <w:rPr>
          <w:spacing w:val="-4"/>
        </w:rPr>
        <w:t>Boston, don</w:t>
      </w:r>
      <w:r w:rsidR="00020497">
        <w:rPr>
          <w:spacing w:val="-4"/>
        </w:rPr>
        <w:t>d</w:t>
      </w:r>
      <w:r>
        <w:rPr>
          <w:spacing w:val="-4"/>
        </w:rPr>
        <w:t xml:space="preserve">e se dirigió con su padre, quien había observado la placa SNJ-15, lo </w:t>
      </w:r>
      <w:r w:rsidR="00D65EC0">
        <w:rPr>
          <w:spacing w:val="-4"/>
        </w:rPr>
        <w:t xml:space="preserve">que </w:t>
      </w:r>
      <w:r>
        <w:rPr>
          <w:spacing w:val="-4"/>
        </w:rPr>
        <w:t xml:space="preserve">le permitió a las autoridades ubicar </w:t>
      </w:r>
      <w:r w:rsidR="00020497">
        <w:rPr>
          <w:spacing w:val="-4"/>
        </w:rPr>
        <w:t xml:space="preserve">el </w:t>
      </w:r>
      <w:r>
        <w:rPr>
          <w:spacing w:val="-4"/>
        </w:rPr>
        <w:t>rodante en la manzana A, casa 8</w:t>
      </w:r>
      <w:r w:rsidR="00D65EC0">
        <w:rPr>
          <w:spacing w:val="-4"/>
        </w:rPr>
        <w:t xml:space="preserve">, </w:t>
      </w:r>
      <w:r>
        <w:rPr>
          <w:spacing w:val="-4"/>
        </w:rPr>
        <w:t xml:space="preserve">residencia de </w:t>
      </w:r>
      <w:r w:rsidR="00D60502">
        <w:rPr>
          <w:b/>
          <w:spacing w:val="-4"/>
          <w:sz w:val="22"/>
          <w:szCs w:val="22"/>
        </w:rPr>
        <w:t>DSRM</w:t>
      </w:r>
      <w:r>
        <w:rPr>
          <w:spacing w:val="-4"/>
        </w:rPr>
        <w:t xml:space="preserve">; </w:t>
      </w:r>
      <w:r w:rsidRPr="006D156D">
        <w:rPr>
          <w:b/>
          <w:spacing w:val="-4"/>
          <w:sz w:val="22"/>
          <w:szCs w:val="22"/>
        </w:rPr>
        <w:t>(</w:t>
      </w:r>
      <w:proofErr w:type="spellStart"/>
      <w:r w:rsidRPr="006D156D">
        <w:rPr>
          <w:b/>
          <w:spacing w:val="-4"/>
          <w:sz w:val="22"/>
          <w:szCs w:val="22"/>
        </w:rPr>
        <w:t>iii</w:t>
      </w:r>
      <w:proofErr w:type="spellEnd"/>
      <w:r w:rsidRPr="006D156D">
        <w:rPr>
          <w:b/>
          <w:spacing w:val="-4"/>
          <w:sz w:val="22"/>
          <w:szCs w:val="22"/>
        </w:rPr>
        <w:t>)</w:t>
      </w:r>
      <w:r>
        <w:rPr>
          <w:spacing w:val="-4"/>
        </w:rPr>
        <w:t xml:space="preserve"> la investigadora YISET PÉREZ refirió que la víctima no </w:t>
      </w:r>
      <w:r w:rsidR="00742528">
        <w:rPr>
          <w:spacing w:val="-4"/>
        </w:rPr>
        <w:t>dudó</w:t>
      </w:r>
      <w:r>
        <w:rPr>
          <w:spacing w:val="-4"/>
        </w:rPr>
        <w:t xml:space="preserve"> en señalar a </w:t>
      </w:r>
      <w:r w:rsidR="00D60502">
        <w:rPr>
          <w:b/>
          <w:bCs/>
          <w:spacing w:val="-4"/>
          <w:sz w:val="22"/>
          <w:szCs w:val="22"/>
        </w:rPr>
        <w:t>DSRM</w:t>
      </w:r>
      <w:r>
        <w:rPr>
          <w:spacing w:val="-4"/>
        </w:rPr>
        <w:t xml:space="preserve"> en el reconocimiento fotográfico; </w:t>
      </w:r>
      <w:r w:rsidRPr="006D156D">
        <w:rPr>
          <w:b/>
          <w:spacing w:val="-4"/>
          <w:sz w:val="22"/>
          <w:szCs w:val="22"/>
        </w:rPr>
        <w:t>(</w:t>
      </w:r>
      <w:proofErr w:type="spellStart"/>
      <w:r w:rsidRPr="006D156D">
        <w:rPr>
          <w:b/>
          <w:spacing w:val="-4"/>
          <w:sz w:val="22"/>
          <w:szCs w:val="22"/>
        </w:rPr>
        <w:t>iv</w:t>
      </w:r>
      <w:proofErr w:type="spellEnd"/>
      <w:r w:rsidRPr="006D156D">
        <w:rPr>
          <w:b/>
          <w:spacing w:val="-4"/>
          <w:sz w:val="22"/>
          <w:szCs w:val="22"/>
        </w:rPr>
        <w:t>)</w:t>
      </w:r>
      <w:r>
        <w:rPr>
          <w:spacing w:val="-4"/>
        </w:rPr>
        <w:t xml:space="preserve"> una vez los policiales realizaron labores de </w:t>
      </w:r>
      <w:r>
        <w:rPr>
          <w:spacing w:val="-4"/>
        </w:rPr>
        <w:lastRenderedPageBreak/>
        <w:t xml:space="preserve">vecindario y </w:t>
      </w:r>
      <w:r w:rsidR="00BF2508">
        <w:rPr>
          <w:spacing w:val="-4"/>
        </w:rPr>
        <w:t xml:space="preserve">hallaron </w:t>
      </w:r>
      <w:r>
        <w:rPr>
          <w:spacing w:val="-4"/>
        </w:rPr>
        <w:t xml:space="preserve">la motocicleta frente a la dirección aludida, </w:t>
      </w:r>
      <w:r w:rsidR="00D65EC0">
        <w:rPr>
          <w:spacing w:val="-4"/>
        </w:rPr>
        <w:t>no se obtuvo información sobre su propietario</w:t>
      </w:r>
      <w:r>
        <w:rPr>
          <w:spacing w:val="-4"/>
        </w:rPr>
        <w:t>,</w:t>
      </w:r>
      <w:r w:rsidR="00072B4F">
        <w:rPr>
          <w:spacing w:val="-4"/>
        </w:rPr>
        <w:t xml:space="preserve"> por lo que </w:t>
      </w:r>
      <w:r w:rsidR="00D65EC0">
        <w:rPr>
          <w:spacing w:val="-4"/>
        </w:rPr>
        <w:t xml:space="preserve">la </w:t>
      </w:r>
      <w:r w:rsidR="00072B4F">
        <w:rPr>
          <w:spacing w:val="-4"/>
        </w:rPr>
        <w:t xml:space="preserve">llevaron </w:t>
      </w:r>
      <w:r>
        <w:rPr>
          <w:spacing w:val="-4"/>
        </w:rPr>
        <w:t xml:space="preserve">al </w:t>
      </w:r>
      <w:r w:rsidR="00130272">
        <w:rPr>
          <w:spacing w:val="-4"/>
        </w:rPr>
        <w:t>CAI</w:t>
      </w:r>
      <w:r>
        <w:rPr>
          <w:spacing w:val="-4"/>
        </w:rPr>
        <w:t xml:space="preserve">, </w:t>
      </w:r>
      <w:r w:rsidR="00D65EC0">
        <w:rPr>
          <w:spacing w:val="-4"/>
        </w:rPr>
        <w:t xml:space="preserve">donde </w:t>
      </w:r>
      <w:r>
        <w:rPr>
          <w:spacing w:val="-4"/>
        </w:rPr>
        <w:t xml:space="preserve">más tarde arribó allí </w:t>
      </w:r>
      <w:r w:rsidR="00D60502">
        <w:rPr>
          <w:b/>
          <w:bCs/>
          <w:spacing w:val="-4"/>
          <w:sz w:val="22"/>
          <w:szCs w:val="22"/>
        </w:rPr>
        <w:t>DSRM</w:t>
      </w:r>
      <w:r>
        <w:rPr>
          <w:spacing w:val="-4"/>
        </w:rPr>
        <w:t xml:space="preserve"> a reclamarla como poseedor</w:t>
      </w:r>
      <w:r w:rsidR="00D65EC0">
        <w:rPr>
          <w:spacing w:val="-4"/>
        </w:rPr>
        <w:t xml:space="preserve"> y allegó </w:t>
      </w:r>
      <w:r>
        <w:rPr>
          <w:spacing w:val="-4"/>
        </w:rPr>
        <w:t xml:space="preserve">la licencia a nombre de </w:t>
      </w:r>
      <w:r w:rsidR="00BE00F7">
        <w:rPr>
          <w:b/>
          <w:spacing w:val="-4"/>
          <w:sz w:val="22"/>
          <w:szCs w:val="22"/>
        </w:rPr>
        <w:t>JJAF</w:t>
      </w:r>
      <w:r>
        <w:rPr>
          <w:spacing w:val="-4"/>
        </w:rPr>
        <w:t>.</w:t>
      </w:r>
      <w:r w:rsidR="006D156D">
        <w:rPr>
          <w:spacing w:val="-4"/>
        </w:rPr>
        <w:t xml:space="preserve"> Igualmente</w:t>
      </w:r>
      <w:r w:rsidR="00742528">
        <w:rPr>
          <w:spacing w:val="-4"/>
        </w:rPr>
        <w:t>,</w:t>
      </w:r>
      <w:r w:rsidR="006D156D">
        <w:rPr>
          <w:spacing w:val="-4"/>
        </w:rPr>
        <w:t xml:space="preserve"> los policiales identificaron a </w:t>
      </w:r>
      <w:r w:rsidR="00D60502">
        <w:rPr>
          <w:b/>
          <w:bCs/>
          <w:spacing w:val="-4"/>
          <w:sz w:val="22"/>
          <w:szCs w:val="22"/>
        </w:rPr>
        <w:t>DSRM</w:t>
      </w:r>
      <w:r w:rsidR="006D156D">
        <w:rPr>
          <w:spacing w:val="-4"/>
        </w:rPr>
        <w:t xml:space="preserve"> conduciendo la moto en otras ocasiones, y en diciembre de 2017, dos meses después del hecho, detuvieron una motocicleta que trató de evadirlos, donde se movilizaba </w:t>
      </w:r>
      <w:r w:rsidR="00D60502">
        <w:rPr>
          <w:b/>
          <w:bCs/>
          <w:spacing w:val="-4"/>
          <w:sz w:val="22"/>
          <w:szCs w:val="22"/>
        </w:rPr>
        <w:t>DSRM</w:t>
      </w:r>
      <w:r w:rsidR="006D156D">
        <w:rPr>
          <w:spacing w:val="-4"/>
        </w:rPr>
        <w:t xml:space="preserve">, quienes arrojaron un elemento a zona boscosa </w:t>
      </w:r>
      <w:r w:rsidR="006D156D" w:rsidRPr="006D156D">
        <w:rPr>
          <w:rFonts w:ascii="Bookman Old Style" w:hAnsi="Bookman Old Style"/>
          <w:spacing w:val="-4"/>
          <w:sz w:val="22"/>
          <w:szCs w:val="22"/>
        </w:rPr>
        <w:t>-imitación de arma de fuego-</w:t>
      </w:r>
      <w:r w:rsidR="00742528">
        <w:rPr>
          <w:spacing w:val="-4"/>
        </w:rPr>
        <w:t>;</w:t>
      </w:r>
      <w:r w:rsidR="006D156D">
        <w:rPr>
          <w:spacing w:val="-4"/>
        </w:rPr>
        <w:t xml:space="preserve"> y </w:t>
      </w:r>
      <w:r w:rsidR="006D156D" w:rsidRPr="004A6CB7">
        <w:rPr>
          <w:b/>
          <w:spacing w:val="-4"/>
          <w:sz w:val="22"/>
          <w:szCs w:val="22"/>
        </w:rPr>
        <w:t>(v)</w:t>
      </w:r>
      <w:r w:rsidR="006D156D">
        <w:rPr>
          <w:spacing w:val="-4"/>
        </w:rPr>
        <w:t xml:space="preserve"> el SOAT fue diligenciado por la madre de </w:t>
      </w:r>
      <w:r w:rsidR="00D60502">
        <w:rPr>
          <w:b/>
          <w:bCs/>
          <w:spacing w:val="-4"/>
          <w:sz w:val="22"/>
          <w:szCs w:val="22"/>
        </w:rPr>
        <w:t>DSRM</w:t>
      </w:r>
      <w:r w:rsidR="006D156D" w:rsidRPr="009048C5">
        <w:rPr>
          <w:bCs/>
          <w:spacing w:val="-4"/>
        </w:rPr>
        <w:t>,</w:t>
      </w:r>
      <w:r w:rsidR="006D156D">
        <w:rPr>
          <w:spacing w:val="-4"/>
        </w:rPr>
        <w:t xml:space="preserve"> quien aportó la dirección donde esta fue encontrada, la que </w:t>
      </w:r>
      <w:r w:rsidR="004A6CB7">
        <w:rPr>
          <w:spacing w:val="-4"/>
        </w:rPr>
        <w:t xml:space="preserve">también </w:t>
      </w:r>
      <w:r w:rsidR="006D156D">
        <w:rPr>
          <w:spacing w:val="-4"/>
        </w:rPr>
        <w:t>aparece en la revisión técnico mecánica.</w:t>
      </w:r>
    </w:p>
    <w:p w14:paraId="29A2F258" w14:textId="77777777" w:rsidR="005E6BE7" w:rsidRDefault="005E6BE7" w:rsidP="00AA6710">
      <w:pPr>
        <w:spacing w:line="276" w:lineRule="auto"/>
        <w:rPr>
          <w:spacing w:val="-4"/>
        </w:rPr>
      </w:pPr>
    </w:p>
    <w:p w14:paraId="6B37D2B0" w14:textId="28EECA68" w:rsidR="00952958" w:rsidRDefault="00CE10B5" w:rsidP="00AA6710">
      <w:pPr>
        <w:spacing w:line="276" w:lineRule="auto"/>
        <w:rPr>
          <w:spacing w:val="-4"/>
        </w:rPr>
      </w:pPr>
      <w:r>
        <w:rPr>
          <w:spacing w:val="-4"/>
        </w:rPr>
        <w:t xml:space="preserve">Esos </w:t>
      </w:r>
      <w:r w:rsidR="00952958">
        <w:rPr>
          <w:spacing w:val="-4"/>
        </w:rPr>
        <w:t xml:space="preserve">indicios comprometen la responsabilidad de </w:t>
      </w:r>
      <w:r w:rsidR="00D60502">
        <w:rPr>
          <w:b/>
          <w:bCs/>
          <w:spacing w:val="-4"/>
          <w:sz w:val="22"/>
          <w:szCs w:val="22"/>
        </w:rPr>
        <w:t>DSRM</w:t>
      </w:r>
      <w:r w:rsidR="00952958">
        <w:rPr>
          <w:spacing w:val="-4"/>
        </w:rPr>
        <w:t xml:space="preserve"> en los hechos, y dejan sin asidero lo expuesto por la funcionaria A-quo, toda vez que: </w:t>
      </w:r>
      <w:r w:rsidR="00952958" w:rsidRPr="00952958">
        <w:rPr>
          <w:b/>
          <w:spacing w:val="-4"/>
          <w:sz w:val="22"/>
          <w:szCs w:val="22"/>
        </w:rPr>
        <w:t>(i)</w:t>
      </w:r>
      <w:r w:rsidR="00952958">
        <w:rPr>
          <w:spacing w:val="-4"/>
        </w:rPr>
        <w:t xml:space="preserve"> aun</w:t>
      </w:r>
      <w:r w:rsidR="00EA5702">
        <w:rPr>
          <w:spacing w:val="-4"/>
        </w:rPr>
        <w:t xml:space="preserve"> cuando</w:t>
      </w:r>
      <w:r w:rsidR="00952958">
        <w:rPr>
          <w:spacing w:val="-4"/>
        </w:rPr>
        <w:t xml:space="preserve"> la moto prendía de manera directa y pudo haber sido accionada por otra</w:t>
      </w:r>
      <w:r w:rsidR="00EA5702">
        <w:rPr>
          <w:spacing w:val="-4"/>
        </w:rPr>
        <w:t xml:space="preserve"> persona</w:t>
      </w:r>
      <w:r w:rsidR="00952958">
        <w:rPr>
          <w:spacing w:val="-4"/>
        </w:rPr>
        <w:t xml:space="preserve">, en este caso la víctima reconoció al procesado, fue </w:t>
      </w:r>
      <w:r w:rsidR="00BF2508">
        <w:rPr>
          <w:spacing w:val="-4"/>
        </w:rPr>
        <w:t xml:space="preserve">ubicado </w:t>
      </w:r>
      <w:r w:rsidR="00952958">
        <w:rPr>
          <w:spacing w:val="-4"/>
        </w:rPr>
        <w:t xml:space="preserve">el rodante frente a </w:t>
      </w:r>
      <w:r w:rsidR="00DC4957">
        <w:rPr>
          <w:spacing w:val="-4"/>
        </w:rPr>
        <w:t xml:space="preserve">su </w:t>
      </w:r>
      <w:r w:rsidR="00952958">
        <w:rPr>
          <w:spacing w:val="-4"/>
        </w:rPr>
        <w:t>residencia</w:t>
      </w:r>
      <w:r w:rsidR="00DC4957">
        <w:rPr>
          <w:spacing w:val="-4"/>
        </w:rPr>
        <w:t>,</w:t>
      </w:r>
      <w:r w:rsidR="00952958">
        <w:rPr>
          <w:spacing w:val="-4"/>
        </w:rPr>
        <w:t xml:space="preserve"> en el sector que señaló el GPS como donde se encontraba el celular hurtado, y la artimaña de programar motos para que prendan directamente es propio de la delincuencia para no perder tiempo en actividades ilícitas; </w:t>
      </w:r>
      <w:r w:rsidR="00952958" w:rsidRPr="00952958">
        <w:rPr>
          <w:b/>
          <w:spacing w:val="-4"/>
          <w:sz w:val="22"/>
          <w:szCs w:val="22"/>
        </w:rPr>
        <w:t>(</w:t>
      </w:r>
      <w:proofErr w:type="spellStart"/>
      <w:r w:rsidR="00952958" w:rsidRPr="00952958">
        <w:rPr>
          <w:b/>
          <w:spacing w:val="-4"/>
          <w:sz w:val="22"/>
          <w:szCs w:val="22"/>
        </w:rPr>
        <w:t>ii</w:t>
      </w:r>
      <w:proofErr w:type="spellEnd"/>
      <w:r w:rsidR="00952958" w:rsidRPr="00952958">
        <w:rPr>
          <w:b/>
          <w:spacing w:val="-4"/>
          <w:sz w:val="22"/>
          <w:szCs w:val="22"/>
        </w:rPr>
        <w:t>)</w:t>
      </w:r>
      <w:r w:rsidR="00952958">
        <w:rPr>
          <w:spacing w:val="-4"/>
        </w:rPr>
        <w:t xml:space="preserve"> el que </w:t>
      </w:r>
      <w:r w:rsidR="00D60502">
        <w:rPr>
          <w:b/>
          <w:bCs/>
          <w:spacing w:val="-4"/>
          <w:sz w:val="22"/>
          <w:szCs w:val="22"/>
        </w:rPr>
        <w:t>DSRM</w:t>
      </w:r>
      <w:r w:rsidR="004A68EC">
        <w:rPr>
          <w:b/>
          <w:spacing w:val="-4"/>
        </w:rPr>
        <w:t xml:space="preserve"> </w:t>
      </w:r>
      <w:r w:rsidR="00952958">
        <w:rPr>
          <w:spacing w:val="-4"/>
        </w:rPr>
        <w:t>se presentara a reclamar el vehículo, sin temor alguno, es un aspecto subjetivo</w:t>
      </w:r>
      <w:r w:rsidR="004A68EC">
        <w:rPr>
          <w:spacing w:val="-4"/>
        </w:rPr>
        <w:t>,</w:t>
      </w:r>
      <w:r w:rsidR="00952958">
        <w:rPr>
          <w:spacing w:val="-4"/>
        </w:rPr>
        <w:t xml:space="preserve"> sin asidero; </w:t>
      </w:r>
      <w:r w:rsidR="00952958" w:rsidRPr="00952958">
        <w:rPr>
          <w:b/>
          <w:spacing w:val="-4"/>
          <w:sz w:val="22"/>
          <w:szCs w:val="22"/>
        </w:rPr>
        <w:t>(</w:t>
      </w:r>
      <w:proofErr w:type="spellStart"/>
      <w:r w:rsidR="00952958" w:rsidRPr="00952958">
        <w:rPr>
          <w:b/>
          <w:spacing w:val="-4"/>
          <w:sz w:val="22"/>
          <w:szCs w:val="22"/>
        </w:rPr>
        <w:t>iii</w:t>
      </w:r>
      <w:proofErr w:type="spellEnd"/>
      <w:r w:rsidR="00952958" w:rsidRPr="00952958">
        <w:rPr>
          <w:b/>
          <w:spacing w:val="-4"/>
          <w:sz w:val="22"/>
          <w:szCs w:val="22"/>
        </w:rPr>
        <w:t>)</w:t>
      </w:r>
      <w:r w:rsidR="00952958">
        <w:rPr>
          <w:spacing w:val="-4"/>
        </w:rPr>
        <w:t xml:space="preserve"> el que no se haya indagado por alias “Popeye” (sic), para determinar si era el poseedor de la moto, es intrascendente, ya que en juicio quedó acreditado que quien ostentaba esa condición era </w:t>
      </w:r>
      <w:r w:rsidR="00D60502">
        <w:rPr>
          <w:b/>
          <w:bCs/>
          <w:spacing w:val="-4"/>
          <w:sz w:val="22"/>
          <w:szCs w:val="22"/>
        </w:rPr>
        <w:t>DSRM</w:t>
      </w:r>
      <w:r w:rsidR="00952958">
        <w:rPr>
          <w:spacing w:val="-4"/>
        </w:rPr>
        <w:t xml:space="preserve">, y que el SOAT y la técnico mecánica tienen su nombre y dirección; </w:t>
      </w:r>
      <w:r w:rsidR="00952958" w:rsidRPr="00952958">
        <w:rPr>
          <w:b/>
          <w:spacing w:val="-4"/>
          <w:sz w:val="22"/>
          <w:szCs w:val="22"/>
        </w:rPr>
        <w:t>(</w:t>
      </w:r>
      <w:proofErr w:type="spellStart"/>
      <w:r w:rsidR="00952958" w:rsidRPr="00952958">
        <w:rPr>
          <w:b/>
          <w:spacing w:val="-4"/>
          <w:sz w:val="22"/>
          <w:szCs w:val="22"/>
        </w:rPr>
        <w:t>iv</w:t>
      </w:r>
      <w:proofErr w:type="spellEnd"/>
      <w:r w:rsidR="00952958" w:rsidRPr="00952958">
        <w:rPr>
          <w:b/>
          <w:spacing w:val="-4"/>
          <w:sz w:val="22"/>
          <w:szCs w:val="22"/>
        </w:rPr>
        <w:t>)</w:t>
      </w:r>
      <w:r w:rsidR="00952958">
        <w:rPr>
          <w:spacing w:val="-4"/>
        </w:rPr>
        <w:t xml:space="preserve"> si bien no se realizó </w:t>
      </w:r>
      <w:r w:rsidR="00FB2EA4">
        <w:rPr>
          <w:spacing w:val="-4"/>
        </w:rPr>
        <w:t xml:space="preserve">señalamiento </w:t>
      </w:r>
      <w:r w:rsidR="00952958">
        <w:rPr>
          <w:spacing w:val="-4"/>
        </w:rPr>
        <w:t>en fila, ello sería importante de no existir los indicios referidos</w:t>
      </w:r>
      <w:r w:rsidR="00C26466">
        <w:rPr>
          <w:spacing w:val="-4"/>
        </w:rPr>
        <w:t>;</w:t>
      </w:r>
      <w:r w:rsidR="00952958">
        <w:rPr>
          <w:spacing w:val="-4"/>
        </w:rPr>
        <w:t xml:space="preserve"> y </w:t>
      </w:r>
      <w:r w:rsidR="00952958" w:rsidRPr="00952958">
        <w:rPr>
          <w:b/>
          <w:spacing w:val="-4"/>
          <w:sz w:val="22"/>
          <w:szCs w:val="22"/>
        </w:rPr>
        <w:t>(v)</w:t>
      </w:r>
      <w:r w:rsidR="00952958">
        <w:rPr>
          <w:spacing w:val="-4"/>
        </w:rPr>
        <w:t xml:space="preserve"> el que </w:t>
      </w:r>
      <w:r w:rsidR="00D60502">
        <w:rPr>
          <w:b/>
          <w:bCs/>
          <w:spacing w:val="-4"/>
          <w:sz w:val="22"/>
          <w:szCs w:val="22"/>
        </w:rPr>
        <w:t>DSRM</w:t>
      </w:r>
      <w:r w:rsidR="00952958">
        <w:rPr>
          <w:spacing w:val="-4"/>
        </w:rPr>
        <w:t xml:space="preserve"> no tenga antecedentes penales, no puede se</w:t>
      </w:r>
      <w:r>
        <w:rPr>
          <w:spacing w:val="-4"/>
        </w:rPr>
        <w:t>r</w:t>
      </w:r>
      <w:r w:rsidR="00952958">
        <w:rPr>
          <w:spacing w:val="-4"/>
        </w:rPr>
        <w:t xml:space="preserve"> criterio para </w:t>
      </w:r>
      <w:r w:rsidR="00BF2508">
        <w:rPr>
          <w:spacing w:val="-4"/>
        </w:rPr>
        <w:t xml:space="preserve">establecer </w:t>
      </w:r>
      <w:r w:rsidR="004A68EC">
        <w:rPr>
          <w:spacing w:val="-4"/>
        </w:rPr>
        <w:t xml:space="preserve">su </w:t>
      </w:r>
      <w:r w:rsidR="00BF2508">
        <w:rPr>
          <w:spacing w:val="-4"/>
        </w:rPr>
        <w:t xml:space="preserve">falta de </w:t>
      </w:r>
      <w:r w:rsidR="00952958">
        <w:rPr>
          <w:spacing w:val="-4"/>
        </w:rPr>
        <w:t>compromiso</w:t>
      </w:r>
      <w:r w:rsidR="002F663C">
        <w:rPr>
          <w:spacing w:val="-4"/>
        </w:rPr>
        <w:t>.</w:t>
      </w:r>
    </w:p>
    <w:p w14:paraId="579A9708" w14:textId="77777777" w:rsidR="000B4307" w:rsidRDefault="000B4307" w:rsidP="00AA6710">
      <w:pPr>
        <w:spacing w:line="276" w:lineRule="auto"/>
        <w:rPr>
          <w:spacing w:val="-4"/>
        </w:rPr>
      </w:pPr>
    </w:p>
    <w:p w14:paraId="60A0F9BA" w14:textId="24A7D67B" w:rsidR="00837A05" w:rsidRPr="007F25AF" w:rsidRDefault="00837A05" w:rsidP="00AA6710">
      <w:pPr>
        <w:spacing w:line="276" w:lineRule="auto"/>
        <w:rPr>
          <w:spacing w:val="-4"/>
        </w:rPr>
      </w:pPr>
      <w:r w:rsidRPr="007F25AF">
        <w:rPr>
          <w:b/>
          <w:spacing w:val="-4"/>
          <w:sz w:val="24"/>
          <w:szCs w:val="24"/>
        </w:rPr>
        <w:t>2.</w:t>
      </w:r>
      <w:r w:rsidR="007E5386">
        <w:rPr>
          <w:b/>
          <w:spacing w:val="-4"/>
          <w:sz w:val="24"/>
          <w:szCs w:val="24"/>
        </w:rPr>
        <w:t>2</w:t>
      </w:r>
      <w:r w:rsidRPr="007F25AF">
        <w:rPr>
          <w:b/>
          <w:spacing w:val="-4"/>
          <w:sz w:val="24"/>
          <w:szCs w:val="24"/>
        </w:rPr>
        <w:t>.-</w:t>
      </w:r>
      <w:r w:rsidRPr="007F25AF">
        <w:rPr>
          <w:spacing w:val="-4"/>
        </w:rPr>
        <w:t xml:space="preserve"> </w:t>
      </w:r>
      <w:r w:rsidR="00952958">
        <w:rPr>
          <w:spacing w:val="-4"/>
        </w:rPr>
        <w:t xml:space="preserve">Defensa </w:t>
      </w:r>
      <w:r w:rsidR="00386139" w:rsidRPr="00952958">
        <w:rPr>
          <w:rFonts w:ascii="Bookman Old Style" w:hAnsi="Bookman Old Style"/>
          <w:spacing w:val="-4"/>
          <w:sz w:val="22"/>
          <w:szCs w:val="22"/>
        </w:rPr>
        <w:t>-</w:t>
      </w:r>
      <w:r w:rsidR="00952958" w:rsidRPr="00952958">
        <w:rPr>
          <w:rFonts w:ascii="Bookman Old Style" w:hAnsi="Bookman Old Style"/>
          <w:spacing w:val="-4"/>
          <w:sz w:val="22"/>
          <w:szCs w:val="22"/>
        </w:rPr>
        <w:t xml:space="preserve">no </w:t>
      </w:r>
      <w:r w:rsidRPr="00952958">
        <w:rPr>
          <w:rFonts w:ascii="Bookman Old Style" w:hAnsi="Bookman Old Style"/>
          <w:spacing w:val="-4"/>
          <w:sz w:val="22"/>
          <w:szCs w:val="22"/>
        </w:rPr>
        <w:t>recurrente-</w:t>
      </w:r>
    </w:p>
    <w:p w14:paraId="1A993D06" w14:textId="77777777" w:rsidR="00B113B1" w:rsidRPr="007F25AF" w:rsidRDefault="00B113B1" w:rsidP="00AA6710">
      <w:pPr>
        <w:spacing w:line="276" w:lineRule="auto"/>
        <w:rPr>
          <w:spacing w:val="-4"/>
        </w:rPr>
      </w:pPr>
    </w:p>
    <w:p w14:paraId="03C6CA9A" w14:textId="77777777" w:rsidR="0081685B" w:rsidRPr="007F25AF" w:rsidRDefault="00455B96" w:rsidP="00AA6710">
      <w:pPr>
        <w:spacing w:line="276" w:lineRule="auto"/>
        <w:rPr>
          <w:spacing w:val="-4"/>
        </w:rPr>
      </w:pPr>
      <w:r>
        <w:rPr>
          <w:spacing w:val="-4"/>
        </w:rPr>
        <w:t>Solicita se confirme el fallo absolutorio</w:t>
      </w:r>
      <w:r w:rsidR="0081685B" w:rsidRPr="007F25AF">
        <w:rPr>
          <w:spacing w:val="-4"/>
        </w:rPr>
        <w:t>, y al efecto</w:t>
      </w:r>
      <w:r w:rsidR="000B432D" w:rsidRPr="007F25AF">
        <w:rPr>
          <w:spacing w:val="-4"/>
        </w:rPr>
        <w:t xml:space="preserve"> argumentó</w:t>
      </w:r>
      <w:r w:rsidR="0081685B" w:rsidRPr="007F25AF">
        <w:rPr>
          <w:spacing w:val="-4"/>
        </w:rPr>
        <w:t>:</w:t>
      </w:r>
    </w:p>
    <w:p w14:paraId="7C572AFE" w14:textId="77777777" w:rsidR="0081685B" w:rsidRPr="007F25AF" w:rsidRDefault="0081685B" w:rsidP="00AA6710">
      <w:pPr>
        <w:spacing w:line="276" w:lineRule="auto"/>
        <w:rPr>
          <w:spacing w:val="-4"/>
        </w:rPr>
      </w:pPr>
    </w:p>
    <w:p w14:paraId="37194331" w14:textId="3D71C089" w:rsidR="0055498D" w:rsidRDefault="004B371B" w:rsidP="00AA6710">
      <w:pPr>
        <w:spacing w:line="276" w:lineRule="auto"/>
        <w:rPr>
          <w:spacing w:val="-4"/>
        </w:rPr>
      </w:pPr>
      <w:r>
        <w:rPr>
          <w:spacing w:val="-4"/>
        </w:rPr>
        <w:t>Tal c</w:t>
      </w:r>
      <w:r w:rsidR="00464A72" w:rsidRPr="00C8363E">
        <w:rPr>
          <w:spacing w:val="-4"/>
        </w:rPr>
        <w:t>omo lo refirió la A-quo</w:t>
      </w:r>
      <w:r>
        <w:rPr>
          <w:spacing w:val="-4"/>
        </w:rPr>
        <w:t>,</w:t>
      </w:r>
      <w:r w:rsidR="00464A72">
        <w:rPr>
          <w:spacing w:val="-4"/>
        </w:rPr>
        <w:t xml:space="preserve"> con la prueba arrimada a juicio no se obtuvo el convencimiento más allá de toda duda </w:t>
      </w:r>
      <w:r w:rsidR="0055498D">
        <w:rPr>
          <w:spacing w:val="-4"/>
        </w:rPr>
        <w:t>sobre el compromiso penal de su defendido</w:t>
      </w:r>
      <w:r>
        <w:rPr>
          <w:spacing w:val="-4"/>
        </w:rPr>
        <w:t xml:space="preserve">, pues </w:t>
      </w:r>
      <w:r w:rsidR="0055498D">
        <w:rPr>
          <w:spacing w:val="-4"/>
        </w:rPr>
        <w:t xml:space="preserve">la </w:t>
      </w:r>
      <w:r>
        <w:rPr>
          <w:spacing w:val="-4"/>
        </w:rPr>
        <w:t xml:space="preserve">afectada </w:t>
      </w:r>
      <w:r w:rsidR="0016779D">
        <w:rPr>
          <w:spacing w:val="-4"/>
        </w:rPr>
        <w:t>en relación con</w:t>
      </w:r>
      <w:r w:rsidR="0055498D">
        <w:rPr>
          <w:spacing w:val="-4"/>
        </w:rPr>
        <w:t xml:space="preserve"> las características físicas de sus dos victimarios, </w:t>
      </w:r>
      <w:r>
        <w:rPr>
          <w:spacing w:val="-4"/>
        </w:rPr>
        <w:t xml:space="preserve">incurrió en contradicciones y desaciertos; es más, en el </w:t>
      </w:r>
      <w:r w:rsidR="0055498D">
        <w:rPr>
          <w:spacing w:val="-4"/>
        </w:rPr>
        <w:t xml:space="preserve">supuesto reconocimiento fotográfico </w:t>
      </w:r>
      <w:r w:rsidR="0055498D" w:rsidRPr="0055498D">
        <w:rPr>
          <w:rFonts w:ascii="Bookman Old Style" w:hAnsi="Bookman Old Style"/>
          <w:spacing w:val="-4"/>
          <w:sz w:val="22"/>
          <w:szCs w:val="22"/>
        </w:rPr>
        <w:t xml:space="preserve">-que no ingresó </w:t>
      </w:r>
      <w:r w:rsidR="0055498D">
        <w:rPr>
          <w:rFonts w:ascii="Bookman Old Style" w:hAnsi="Bookman Old Style"/>
          <w:spacing w:val="-4"/>
          <w:sz w:val="22"/>
          <w:szCs w:val="22"/>
        </w:rPr>
        <w:t xml:space="preserve">como prueba </w:t>
      </w:r>
      <w:r w:rsidR="0055498D" w:rsidRPr="0055498D">
        <w:rPr>
          <w:rFonts w:ascii="Bookman Old Style" w:hAnsi="Bookman Old Style"/>
          <w:spacing w:val="-4"/>
          <w:sz w:val="22"/>
          <w:szCs w:val="22"/>
        </w:rPr>
        <w:t>a juicio-</w:t>
      </w:r>
      <w:r w:rsidR="0055498D">
        <w:rPr>
          <w:spacing w:val="-4"/>
        </w:rPr>
        <w:t>, fue inducid</w:t>
      </w:r>
      <w:r>
        <w:rPr>
          <w:spacing w:val="-4"/>
        </w:rPr>
        <w:t xml:space="preserve">a al acceder </w:t>
      </w:r>
      <w:r w:rsidR="0016779D">
        <w:rPr>
          <w:spacing w:val="-4"/>
        </w:rPr>
        <w:t>al</w:t>
      </w:r>
      <w:r w:rsidR="0055498D">
        <w:rPr>
          <w:spacing w:val="-4"/>
        </w:rPr>
        <w:t xml:space="preserve"> álbum </w:t>
      </w:r>
      <w:r w:rsidR="0016779D">
        <w:rPr>
          <w:spacing w:val="-4"/>
        </w:rPr>
        <w:t>respecto</w:t>
      </w:r>
      <w:r w:rsidR="0055498D">
        <w:rPr>
          <w:spacing w:val="-4"/>
        </w:rPr>
        <w:t xml:space="preserve"> </w:t>
      </w:r>
      <w:r w:rsidR="0016779D">
        <w:rPr>
          <w:spacing w:val="-4"/>
        </w:rPr>
        <w:t>d</w:t>
      </w:r>
      <w:r w:rsidR="0055498D">
        <w:rPr>
          <w:spacing w:val="-4"/>
        </w:rPr>
        <w:t xml:space="preserve">el señalamiento del conductor </w:t>
      </w:r>
      <w:r w:rsidR="00F60F68">
        <w:rPr>
          <w:spacing w:val="-4"/>
        </w:rPr>
        <w:t xml:space="preserve">y parrillero de </w:t>
      </w:r>
      <w:r w:rsidR="0055498D">
        <w:rPr>
          <w:spacing w:val="-4"/>
        </w:rPr>
        <w:t>la moto</w:t>
      </w:r>
      <w:r w:rsidR="00F60F68">
        <w:rPr>
          <w:spacing w:val="-4"/>
        </w:rPr>
        <w:t>.</w:t>
      </w:r>
    </w:p>
    <w:p w14:paraId="5F337E73" w14:textId="77777777" w:rsidR="0055498D" w:rsidRDefault="0055498D" w:rsidP="00AA6710">
      <w:pPr>
        <w:spacing w:line="276" w:lineRule="auto"/>
        <w:rPr>
          <w:spacing w:val="-4"/>
        </w:rPr>
      </w:pPr>
    </w:p>
    <w:p w14:paraId="5586DED6" w14:textId="269A603E" w:rsidR="00380073" w:rsidRDefault="00F907AF" w:rsidP="00AA6710">
      <w:pPr>
        <w:spacing w:line="276" w:lineRule="auto"/>
        <w:rPr>
          <w:spacing w:val="-4"/>
        </w:rPr>
      </w:pPr>
      <w:r>
        <w:rPr>
          <w:spacing w:val="-4"/>
        </w:rPr>
        <w:t>Resalta que e</w:t>
      </w:r>
      <w:r w:rsidR="0055498D">
        <w:rPr>
          <w:spacing w:val="-4"/>
        </w:rPr>
        <w:t>ste asunto inició con muchas falencias respecto a la identificación de los presuntos responsables, y dada la poca diligencia investigativa</w:t>
      </w:r>
      <w:r w:rsidR="00380073">
        <w:rPr>
          <w:spacing w:val="-4"/>
        </w:rPr>
        <w:t xml:space="preserve">, les resultó cómodo inducir el señalamiento de </w:t>
      </w:r>
      <w:r w:rsidR="00B06B4A">
        <w:rPr>
          <w:spacing w:val="-4"/>
        </w:rPr>
        <w:t xml:space="preserve">quienes </w:t>
      </w:r>
      <w:r w:rsidR="00380073">
        <w:rPr>
          <w:spacing w:val="-4"/>
        </w:rPr>
        <w:t>detentaban los documentos de la motocicleta usada presuntamente para cometer el hurto, sin que la Fiscalía adelant</w:t>
      </w:r>
      <w:r w:rsidR="00D676BF">
        <w:rPr>
          <w:spacing w:val="-4"/>
        </w:rPr>
        <w:t>ara</w:t>
      </w:r>
      <w:r w:rsidR="00380073">
        <w:rPr>
          <w:spacing w:val="-4"/>
        </w:rPr>
        <w:t xml:space="preserve"> reconocimiento en fila de personas, pese a que los acusados </w:t>
      </w:r>
      <w:r w:rsidR="00380073">
        <w:rPr>
          <w:spacing w:val="-4"/>
        </w:rPr>
        <w:lastRenderedPageBreak/>
        <w:t>estuvieron privados de su libertad. La Fiscalía pretende fundamentar en su alzada, un juicio de responsabilidad dándole credibilidad a</w:t>
      </w:r>
      <w:r w:rsidR="00BF2508">
        <w:rPr>
          <w:spacing w:val="-4"/>
        </w:rPr>
        <w:t xml:space="preserve"> la incriminación </w:t>
      </w:r>
      <w:r w:rsidR="00380073">
        <w:rPr>
          <w:spacing w:val="-4"/>
        </w:rPr>
        <w:t xml:space="preserve">de la víctima para uno de los acusados, pero restándole contundencia al del otro, lo cual es ilógico y vulnera el </w:t>
      </w:r>
      <w:r w:rsidR="00380073" w:rsidRPr="00D676BF">
        <w:rPr>
          <w:i/>
          <w:spacing w:val="-4"/>
        </w:rPr>
        <w:t>in dubio pro reo</w:t>
      </w:r>
      <w:r w:rsidR="00380073">
        <w:rPr>
          <w:spacing w:val="-4"/>
        </w:rPr>
        <w:t xml:space="preserve">, ya que la afectada desde el principio planteó unas características físicas de conductor y parrillero </w:t>
      </w:r>
      <w:r w:rsidRPr="00F907AF">
        <w:rPr>
          <w:spacing w:val="-4"/>
          <w:sz w:val="22"/>
          <w:szCs w:val="22"/>
        </w:rPr>
        <w:t>-</w:t>
      </w:r>
      <w:r w:rsidR="00380073" w:rsidRPr="00F907AF">
        <w:rPr>
          <w:spacing w:val="-4"/>
          <w:sz w:val="22"/>
          <w:szCs w:val="22"/>
        </w:rPr>
        <w:t>quienes la agredieron y hurtaron sus pertenencias</w:t>
      </w:r>
      <w:r w:rsidRPr="00F907AF">
        <w:rPr>
          <w:spacing w:val="-4"/>
          <w:sz w:val="22"/>
          <w:szCs w:val="22"/>
        </w:rPr>
        <w:t>-</w:t>
      </w:r>
      <w:r w:rsidR="00380073">
        <w:rPr>
          <w:spacing w:val="-4"/>
        </w:rPr>
        <w:t xml:space="preserve"> completamente diferentes </w:t>
      </w:r>
      <w:r>
        <w:rPr>
          <w:spacing w:val="-4"/>
        </w:rPr>
        <w:t xml:space="preserve">a la </w:t>
      </w:r>
      <w:r w:rsidR="00380073">
        <w:rPr>
          <w:spacing w:val="-4"/>
        </w:rPr>
        <w:t xml:space="preserve">de los procesados, </w:t>
      </w:r>
      <w:r w:rsidR="00431BF1">
        <w:rPr>
          <w:spacing w:val="-4"/>
        </w:rPr>
        <w:t>quienes portaban</w:t>
      </w:r>
      <w:r w:rsidR="00380073">
        <w:rPr>
          <w:spacing w:val="-4"/>
        </w:rPr>
        <w:t xml:space="preserve"> casco</w:t>
      </w:r>
      <w:r w:rsidR="00431BF1">
        <w:rPr>
          <w:spacing w:val="-4"/>
        </w:rPr>
        <w:t xml:space="preserve"> al momento del hecho</w:t>
      </w:r>
      <w:r w:rsidR="00380073">
        <w:rPr>
          <w:spacing w:val="-4"/>
        </w:rPr>
        <w:t xml:space="preserve">, lo que dificulta tener certeza sobre su fisonomía, sin que pueda tenerse por cierto su dicho respecto a un acusado y al otro no, cuando su captura </w:t>
      </w:r>
      <w:r w:rsidR="00431BF1">
        <w:rPr>
          <w:spacing w:val="-4"/>
        </w:rPr>
        <w:t xml:space="preserve">se soportó </w:t>
      </w:r>
      <w:r w:rsidR="00380073">
        <w:rPr>
          <w:spacing w:val="-4"/>
        </w:rPr>
        <w:t>en que uno era conductor y otro parrillero</w:t>
      </w:r>
      <w:r w:rsidR="00D676BF">
        <w:rPr>
          <w:spacing w:val="-4"/>
        </w:rPr>
        <w:t>.</w:t>
      </w:r>
    </w:p>
    <w:p w14:paraId="321FA883" w14:textId="77777777" w:rsidR="00D676BF" w:rsidRDefault="00D676BF" w:rsidP="00AA6710">
      <w:pPr>
        <w:spacing w:line="276" w:lineRule="auto"/>
        <w:rPr>
          <w:spacing w:val="-4"/>
        </w:rPr>
      </w:pPr>
    </w:p>
    <w:p w14:paraId="03906B3B" w14:textId="355EC7FD" w:rsidR="00380073" w:rsidRDefault="00380073" w:rsidP="00AA6710">
      <w:pPr>
        <w:spacing w:line="276" w:lineRule="auto"/>
        <w:rPr>
          <w:spacing w:val="-4"/>
        </w:rPr>
      </w:pPr>
      <w:r>
        <w:rPr>
          <w:spacing w:val="-4"/>
        </w:rPr>
        <w:t xml:space="preserve">Se acreditó en juicio que para el momento del ilícito </w:t>
      </w:r>
      <w:r w:rsidR="00D60502">
        <w:rPr>
          <w:b/>
          <w:bCs/>
          <w:spacing w:val="-4"/>
          <w:sz w:val="22"/>
          <w:szCs w:val="22"/>
        </w:rPr>
        <w:t>DSRM</w:t>
      </w:r>
      <w:r>
        <w:rPr>
          <w:spacing w:val="-4"/>
        </w:rPr>
        <w:t xml:space="preserve"> se encontraba en un billar, con amigos y familia, y ahí le avisaron que su motocicleta se la llevó la policía</w:t>
      </w:r>
      <w:r w:rsidR="009D7349">
        <w:rPr>
          <w:spacing w:val="-4"/>
        </w:rPr>
        <w:t xml:space="preserve">, por lo que </w:t>
      </w:r>
      <w:r>
        <w:rPr>
          <w:spacing w:val="-4"/>
        </w:rPr>
        <w:t xml:space="preserve">procedió a ir a reclamarla con los documentos pertinentes, actitud que no es de quien debe o teme.  </w:t>
      </w:r>
      <w:r w:rsidRPr="00015F6F">
        <w:rPr>
          <w:spacing w:val="-4"/>
        </w:rPr>
        <w:t>Incluso los policiales aceptaron que la motocicleta prendía directo y por e</w:t>
      </w:r>
      <w:r w:rsidR="00EC7308" w:rsidRPr="00015F6F">
        <w:rPr>
          <w:spacing w:val="-4"/>
        </w:rPr>
        <w:t>so</w:t>
      </w:r>
      <w:r w:rsidRPr="00015F6F">
        <w:rPr>
          <w:spacing w:val="-4"/>
        </w:rPr>
        <w:t xml:space="preserve"> se llevar</w:t>
      </w:r>
      <w:r w:rsidR="00D676BF" w:rsidRPr="00015F6F">
        <w:rPr>
          <w:spacing w:val="-4"/>
        </w:rPr>
        <w:t>on</w:t>
      </w:r>
      <w:r w:rsidRPr="00015F6F">
        <w:rPr>
          <w:spacing w:val="-4"/>
        </w:rPr>
        <w:t xml:space="preserve">, y si ellos lo hicieron, también lo pudo efectuar otra persona para usarla ilícitamente, sin </w:t>
      </w:r>
      <w:r w:rsidR="00F57975" w:rsidRPr="00015F6F">
        <w:rPr>
          <w:spacing w:val="-4"/>
        </w:rPr>
        <w:t xml:space="preserve">saberlo su </w:t>
      </w:r>
      <w:r w:rsidRPr="00015F6F">
        <w:rPr>
          <w:spacing w:val="-4"/>
        </w:rPr>
        <w:t>defendido</w:t>
      </w:r>
      <w:r w:rsidR="00F57975">
        <w:rPr>
          <w:spacing w:val="-4"/>
        </w:rPr>
        <w:t>.</w:t>
      </w:r>
    </w:p>
    <w:p w14:paraId="566E6E67" w14:textId="77777777" w:rsidR="00F57975" w:rsidRDefault="00F57975" w:rsidP="00AA6710">
      <w:pPr>
        <w:spacing w:line="276" w:lineRule="auto"/>
        <w:rPr>
          <w:spacing w:val="-4"/>
        </w:rPr>
      </w:pPr>
    </w:p>
    <w:p w14:paraId="658E598E" w14:textId="03276302" w:rsidR="003465CE" w:rsidRDefault="008334FA" w:rsidP="00AA6710">
      <w:pPr>
        <w:spacing w:line="276" w:lineRule="auto"/>
        <w:rPr>
          <w:spacing w:val="-4"/>
        </w:rPr>
      </w:pPr>
      <w:r>
        <w:rPr>
          <w:spacing w:val="-4"/>
        </w:rPr>
        <w:t>Agrega que l</w:t>
      </w:r>
      <w:r w:rsidR="00D676BF">
        <w:rPr>
          <w:spacing w:val="-4"/>
        </w:rPr>
        <w:t xml:space="preserve">a </w:t>
      </w:r>
      <w:r w:rsidR="00380073">
        <w:rPr>
          <w:spacing w:val="-4"/>
        </w:rPr>
        <w:t xml:space="preserve">víctima, incurrió en contradicciones en relación con la descripción y rasgos físicos de su defendido, y aunque la fiscal señala que </w:t>
      </w:r>
      <w:r w:rsidR="00D676BF">
        <w:rPr>
          <w:spacing w:val="-4"/>
        </w:rPr>
        <w:t xml:space="preserve">esta </w:t>
      </w:r>
      <w:r w:rsidR="00380073">
        <w:rPr>
          <w:spacing w:val="-4"/>
        </w:rPr>
        <w:t xml:space="preserve">lo reconoció sin dubitación alguna, a juicio no incursionó tal </w:t>
      </w:r>
      <w:r w:rsidR="00647D69">
        <w:rPr>
          <w:spacing w:val="-4"/>
        </w:rPr>
        <w:t>diligencia</w:t>
      </w:r>
      <w:r>
        <w:rPr>
          <w:spacing w:val="-4"/>
        </w:rPr>
        <w:t>;</w:t>
      </w:r>
      <w:r w:rsidR="003465CE">
        <w:rPr>
          <w:spacing w:val="-4"/>
        </w:rPr>
        <w:t xml:space="preserve"> así mismo la absolución de su defendido no se dio solo por la carencia de antecedentes, como lo </w:t>
      </w:r>
      <w:r w:rsidR="00BF2508">
        <w:rPr>
          <w:spacing w:val="-4"/>
        </w:rPr>
        <w:t xml:space="preserve">expresa </w:t>
      </w:r>
      <w:r w:rsidR="003465CE">
        <w:rPr>
          <w:spacing w:val="-4"/>
        </w:rPr>
        <w:t xml:space="preserve">la recurrente, sino en el análisis de las pruebas debatidas </w:t>
      </w:r>
      <w:r w:rsidR="00156E49">
        <w:rPr>
          <w:spacing w:val="-4"/>
        </w:rPr>
        <w:t xml:space="preserve">y </w:t>
      </w:r>
      <w:r w:rsidR="003465CE">
        <w:rPr>
          <w:spacing w:val="-4"/>
        </w:rPr>
        <w:t>en la ausencia de certeza más allá de toda duda sobre su compromiso.</w:t>
      </w:r>
    </w:p>
    <w:p w14:paraId="210E8B42" w14:textId="77777777" w:rsidR="003465CE" w:rsidRDefault="003465CE" w:rsidP="00AA6710">
      <w:pPr>
        <w:spacing w:line="276" w:lineRule="auto"/>
        <w:rPr>
          <w:b/>
          <w:spacing w:val="-4"/>
          <w:sz w:val="24"/>
          <w:szCs w:val="24"/>
        </w:rPr>
      </w:pPr>
    </w:p>
    <w:p w14:paraId="46012151" w14:textId="77777777" w:rsidR="00901375" w:rsidRPr="007F25AF" w:rsidRDefault="00901375" w:rsidP="00AA6710">
      <w:pPr>
        <w:spacing w:line="276" w:lineRule="auto"/>
        <w:rPr>
          <w:spacing w:val="-4"/>
        </w:rPr>
      </w:pPr>
      <w:r w:rsidRPr="007F25AF">
        <w:rPr>
          <w:b/>
          <w:spacing w:val="-4"/>
          <w:sz w:val="24"/>
          <w:szCs w:val="24"/>
        </w:rPr>
        <w:t>2.3.-</w:t>
      </w:r>
      <w:r w:rsidRPr="007F25AF">
        <w:rPr>
          <w:spacing w:val="-4"/>
        </w:rPr>
        <w:t xml:space="preserve"> Debidamente sustentado</w:t>
      </w:r>
      <w:r w:rsidR="008011D4" w:rsidRPr="007F25AF">
        <w:rPr>
          <w:spacing w:val="-4"/>
        </w:rPr>
        <w:t>s los</w:t>
      </w:r>
      <w:r w:rsidRPr="007F25AF">
        <w:rPr>
          <w:spacing w:val="-4"/>
        </w:rPr>
        <w:t xml:space="preserve"> recurso</w:t>
      </w:r>
      <w:r w:rsidR="008011D4" w:rsidRPr="007F25AF">
        <w:rPr>
          <w:spacing w:val="-4"/>
        </w:rPr>
        <w:t>s</w:t>
      </w:r>
      <w:r w:rsidRPr="007F25AF">
        <w:rPr>
          <w:spacing w:val="-4"/>
        </w:rPr>
        <w:t xml:space="preserve">, </w:t>
      </w:r>
      <w:r w:rsidR="00D11F5C">
        <w:rPr>
          <w:spacing w:val="-4"/>
        </w:rPr>
        <w:t xml:space="preserve">la A-quo </w:t>
      </w:r>
      <w:r w:rsidRPr="007F25AF">
        <w:rPr>
          <w:spacing w:val="-4"/>
        </w:rPr>
        <w:t>lo</w:t>
      </w:r>
      <w:r w:rsidR="008011D4" w:rsidRPr="007F25AF">
        <w:rPr>
          <w:spacing w:val="-4"/>
        </w:rPr>
        <w:t>s</w:t>
      </w:r>
      <w:r w:rsidRPr="007F25AF">
        <w:rPr>
          <w:spacing w:val="-4"/>
        </w:rPr>
        <w:t xml:space="preserve"> concedió en el efect</w:t>
      </w:r>
      <w:r w:rsidR="001F37C3" w:rsidRPr="007F25AF">
        <w:rPr>
          <w:spacing w:val="-4"/>
        </w:rPr>
        <w:t>o</w:t>
      </w:r>
      <w:r w:rsidRPr="007F25AF">
        <w:rPr>
          <w:spacing w:val="-4"/>
        </w:rPr>
        <w:t xml:space="preserve"> suspensivo y dispuso la remisión de los registros pertinentes ante esta Corporación con el fin de desatar la alzada.</w:t>
      </w:r>
    </w:p>
    <w:p w14:paraId="3467FF10" w14:textId="77777777" w:rsidR="00901375" w:rsidRPr="007F25AF" w:rsidRDefault="00901375" w:rsidP="00AA6710">
      <w:pPr>
        <w:spacing w:line="276" w:lineRule="auto"/>
        <w:rPr>
          <w:spacing w:val="-4"/>
          <w:sz w:val="28"/>
          <w:szCs w:val="28"/>
        </w:rPr>
      </w:pPr>
    </w:p>
    <w:p w14:paraId="14B0CC1A" w14:textId="77777777" w:rsidR="00F13C87" w:rsidRPr="007F25AF" w:rsidRDefault="00F13C87" w:rsidP="00AA6710">
      <w:pPr>
        <w:spacing w:line="276" w:lineRule="auto"/>
        <w:rPr>
          <w:rStyle w:val="Algerian"/>
          <w:spacing w:val="-4"/>
        </w:rPr>
      </w:pPr>
      <w:r w:rsidRPr="007F25AF">
        <w:rPr>
          <w:rStyle w:val="Algerian"/>
          <w:spacing w:val="-4"/>
        </w:rPr>
        <w:t>3</w:t>
      </w:r>
      <w:r w:rsidRPr="008334FA">
        <w:rPr>
          <w:rStyle w:val="Algerian"/>
          <w:spacing w:val="-4"/>
        </w:rPr>
        <w:t xml:space="preserve">.- </w:t>
      </w:r>
      <w:r w:rsidRPr="008334FA">
        <w:rPr>
          <w:rStyle w:val="Algerian"/>
          <w:rFonts w:ascii="Tahoma" w:hAnsi="Tahoma" w:cs="Tahoma"/>
          <w:spacing w:val="-4"/>
          <w:sz w:val="28"/>
          <w:szCs w:val="28"/>
        </w:rPr>
        <w:t>Para resolver,</w:t>
      </w:r>
      <w:r w:rsidR="003C0346" w:rsidRPr="008334FA">
        <w:rPr>
          <w:rStyle w:val="Algerian"/>
          <w:rFonts w:ascii="Tahoma" w:hAnsi="Tahoma" w:cs="Tahoma"/>
          <w:spacing w:val="-4"/>
          <w:sz w:val="28"/>
          <w:szCs w:val="28"/>
        </w:rPr>
        <w:t xml:space="preserve"> </w:t>
      </w:r>
      <w:r w:rsidRPr="008334FA">
        <w:rPr>
          <w:rStyle w:val="Algerian"/>
          <w:spacing w:val="-4"/>
        </w:rPr>
        <w:t>se considera</w:t>
      </w:r>
    </w:p>
    <w:p w14:paraId="5D92B944" w14:textId="77777777" w:rsidR="00F13C87" w:rsidRPr="007F25AF" w:rsidRDefault="00F13C87" w:rsidP="00AA6710">
      <w:pPr>
        <w:spacing w:line="276" w:lineRule="auto"/>
        <w:rPr>
          <w:spacing w:val="-4"/>
        </w:rPr>
      </w:pPr>
    </w:p>
    <w:p w14:paraId="60DA4BE7" w14:textId="77777777" w:rsidR="00F13C87" w:rsidRPr="007F25AF" w:rsidRDefault="00F13C87" w:rsidP="00AA6710">
      <w:pPr>
        <w:spacing w:line="276" w:lineRule="auto"/>
        <w:rPr>
          <w:b/>
          <w:spacing w:val="-4"/>
          <w:sz w:val="24"/>
          <w:szCs w:val="24"/>
        </w:rPr>
      </w:pPr>
      <w:r w:rsidRPr="007F25AF">
        <w:rPr>
          <w:b/>
          <w:spacing w:val="-4"/>
          <w:sz w:val="24"/>
          <w:szCs w:val="24"/>
        </w:rPr>
        <w:t>3.1.-Competencia</w:t>
      </w:r>
    </w:p>
    <w:p w14:paraId="319ED3D5" w14:textId="77777777" w:rsidR="00F13C87" w:rsidRPr="007F25AF" w:rsidRDefault="00F13C87" w:rsidP="00AA6710">
      <w:pPr>
        <w:spacing w:line="276" w:lineRule="auto"/>
        <w:rPr>
          <w:spacing w:val="-4"/>
          <w:sz w:val="28"/>
          <w:szCs w:val="28"/>
        </w:rPr>
      </w:pPr>
    </w:p>
    <w:p w14:paraId="3FD5C2C6" w14:textId="5D2EB934" w:rsidR="00EB38CA" w:rsidRDefault="00F13C87" w:rsidP="00AA6710">
      <w:pPr>
        <w:spacing w:line="276" w:lineRule="auto"/>
        <w:rPr>
          <w:spacing w:val="-4"/>
        </w:rPr>
      </w:pPr>
      <w:r w:rsidRPr="007F25AF">
        <w:rPr>
          <w:spacing w:val="-4"/>
        </w:rPr>
        <w:t>La tiene esta Colegiatura de conformidad con los factores objetivo, territorial y funcional a voces de los artículos 20, 34.1 y 179 de la Ley 906 de 2004, al habe</w:t>
      </w:r>
      <w:r w:rsidR="00952A51">
        <w:rPr>
          <w:spacing w:val="-4"/>
        </w:rPr>
        <w:t>rse</w:t>
      </w:r>
      <w:r w:rsidRPr="007F25AF">
        <w:rPr>
          <w:spacing w:val="-4"/>
        </w:rPr>
        <w:t xml:space="preserve"> interpuest</w:t>
      </w:r>
      <w:r w:rsidR="00952A51">
        <w:rPr>
          <w:spacing w:val="-4"/>
        </w:rPr>
        <w:t>o</w:t>
      </w:r>
      <w:r w:rsidRPr="007F25AF">
        <w:rPr>
          <w:spacing w:val="-4"/>
        </w:rPr>
        <w:t xml:space="preserve"> </w:t>
      </w:r>
      <w:r w:rsidR="00952A51">
        <w:rPr>
          <w:spacing w:val="-4"/>
        </w:rPr>
        <w:t xml:space="preserve">y </w:t>
      </w:r>
      <w:r w:rsidRPr="007F25AF">
        <w:rPr>
          <w:spacing w:val="-4"/>
        </w:rPr>
        <w:t>sustentad</w:t>
      </w:r>
      <w:r w:rsidR="00952A51">
        <w:rPr>
          <w:spacing w:val="-4"/>
        </w:rPr>
        <w:t>o</w:t>
      </w:r>
      <w:r w:rsidRPr="007F25AF">
        <w:rPr>
          <w:spacing w:val="-4"/>
        </w:rPr>
        <w:t xml:space="preserve"> </w:t>
      </w:r>
      <w:r w:rsidR="00952A51">
        <w:rPr>
          <w:spacing w:val="-4"/>
        </w:rPr>
        <w:t>recurso de</w:t>
      </w:r>
      <w:r w:rsidRPr="007F25AF">
        <w:rPr>
          <w:spacing w:val="-4"/>
        </w:rPr>
        <w:t xml:space="preserve"> apelación contra </w:t>
      </w:r>
      <w:r w:rsidR="00952A51">
        <w:rPr>
          <w:spacing w:val="-4"/>
        </w:rPr>
        <w:t>sentencia absolutoria, por parte del representante del ente acusador.</w:t>
      </w:r>
    </w:p>
    <w:p w14:paraId="4CDFCE7C" w14:textId="77777777" w:rsidR="00952A51" w:rsidRPr="007F25AF" w:rsidRDefault="00952A51" w:rsidP="00AA6710">
      <w:pPr>
        <w:spacing w:line="276" w:lineRule="auto"/>
        <w:rPr>
          <w:b/>
          <w:spacing w:val="-4"/>
          <w:sz w:val="24"/>
          <w:szCs w:val="24"/>
        </w:rPr>
      </w:pPr>
    </w:p>
    <w:p w14:paraId="069DEC11" w14:textId="77777777" w:rsidR="00F13C87" w:rsidRPr="007F25AF" w:rsidRDefault="00F13C87" w:rsidP="00AA6710">
      <w:pPr>
        <w:spacing w:line="276" w:lineRule="auto"/>
        <w:rPr>
          <w:spacing w:val="-4"/>
        </w:rPr>
      </w:pPr>
      <w:r w:rsidRPr="007F25AF">
        <w:rPr>
          <w:b/>
          <w:spacing w:val="-4"/>
          <w:sz w:val="24"/>
          <w:szCs w:val="24"/>
        </w:rPr>
        <w:t>3.2.-Problema jurídico planteado</w:t>
      </w:r>
    </w:p>
    <w:p w14:paraId="7375FC40" w14:textId="77777777" w:rsidR="00F13C87" w:rsidRPr="007F25AF" w:rsidRDefault="00F13C87" w:rsidP="00AA6710">
      <w:pPr>
        <w:spacing w:line="276" w:lineRule="auto"/>
        <w:rPr>
          <w:spacing w:val="-4"/>
        </w:rPr>
      </w:pPr>
    </w:p>
    <w:p w14:paraId="105B064F" w14:textId="25796ED6" w:rsidR="00617FBD" w:rsidRPr="007F25AF" w:rsidRDefault="00617FBD" w:rsidP="00AA6710">
      <w:pPr>
        <w:spacing w:line="276" w:lineRule="auto"/>
        <w:rPr>
          <w:spacing w:val="-4"/>
        </w:rPr>
      </w:pPr>
      <w:r w:rsidRPr="007F25AF">
        <w:rPr>
          <w:spacing w:val="-4"/>
        </w:rPr>
        <w:t xml:space="preserve">Corresponde al Tribunal </w:t>
      </w:r>
      <w:r w:rsidR="00693CDC" w:rsidRPr="007F25AF">
        <w:rPr>
          <w:spacing w:val="-4"/>
        </w:rPr>
        <w:t xml:space="preserve">determinar </w:t>
      </w:r>
      <w:r w:rsidRPr="007F25AF">
        <w:rPr>
          <w:spacing w:val="-4"/>
        </w:rPr>
        <w:t xml:space="preserve">si la decisión </w:t>
      </w:r>
      <w:r w:rsidR="00AA4491">
        <w:rPr>
          <w:spacing w:val="-4"/>
        </w:rPr>
        <w:t xml:space="preserve">absolutoria </w:t>
      </w:r>
      <w:r w:rsidR="00CB70AB" w:rsidRPr="007F25AF">
        <w:rPr>
          <w:spacing w:val="-4"/>
        </w:rPr>
        <w:t xml:space="preserve">dictada </w:t>
      </w:r>
      <w:r w:rsidR="00AA4491">
        <w:rPr>
          <w:spacing w:val="-4"/>
        </w:rPr>
        <w:t xml:space="preserve">a favor del </w:t>
      </w:r>
      <w:r w:rsidRPr="007F25AF">
        <w:rPr>
          <w:spacing w:val="-4"/>
        </w:rPr>
        <w:t xml:space="preserve">señor </w:t>
      </w:r>
      <w:r w:rsidR="00D60502">
        <w:rPr>
          <w:rStyle w:val="Numeracinttulo"/>
          <w:spacing w:val="-4"/>
          <w:sz w:val="22"/>
          <w:szCs w:val="22"/>
        </w:rPr>
        <w:t>DSRM</w:t>
      </w:r>
      <w:r w:rsidR="00321841" w:rsidRPr="007F25AF">
        <w:rPr>
          <w:b/>
          <w:spacing w:val="-4"/>
          <w:sz w:val="22"/>
          <w:szCs w:val="22"/>
        </w:rPr>
        <w:t>,</w:t>
      </w:r>
      <w:r w:rsidR="003C0346" w:rsidRPr="007F25AF">
        <w:rPr>
          <w:b/>
          <w:spacing w:val="-4"/>
          <w:sz w:val="22"/>
          <w:szCs w:val="22"/>
        </w:rPr>
        <w:t xml:space="preserve"> </w:t>
      </w:r>
      <w:r w:rsidR="0082015E" w:rsidRPr="007F25AF">
        <w:rPr>
          <w:spacing w:val="-4"/>
        </w:rPr>
        <w:t>se e</w:t>
      </w:r>
      <w:r w:rsidRPr="007F25AF">
        <w:rPr>
          <w:spacing w:val="-4"/>
        </w:rPr>
        <w:t xml:space="preserve">ncuentra acorde con el material probatorio analizado en su </w:t>
      </w:r>
      <w:r w:rsidRPr="007F25AF">
        <w:rPr>
          <w:spacing w:val="-4"/>
        </w:rPr>
        <w:lastRenderedPageBreak/>
        <w:t xml:space="preserve">conjunto, en cuyo caso se dispondrá su confirmación; o, </w:t>
      </w:r>
      <w:proofErr w:type="gramStart"/>
      <w:r w:rsidR="00AA4491">
        <w:rPr>
          <w:spacing w:val="-4"/>
        </w:rPr>
        <w:t>si</w:t>
      </w:r>
      <w:proofErr w:type="gramEnd"/>
      <w:r w:rsidR="00AA4491">
        <w:rPr>
          <w:spacing w:val="-4"/>
        </w:rPr>
        <w:t xml:space="preserve"> por el </w:t>
      </w:r>
      <w:r w:rsidRPr="007F25AF">
        <w:rPr>
          <w:spacing w:val="-4"/>
        </w:rPr>
        <w:t xml:space="preserve">contrario, </w:t>
      </w:r>
      <w:r w:rsidR="00AA4491">
        <w:rPr>
          <w:spacing w:val="-4"/>
        </w:rPr>
        <w:t xml:space="preserve">milita prueba que permita pregonar su compromiso, por lo cual se deberá </w:t>
      </w:r>
      <w:r w:rsidRPr="007F25AF">
        <w:rPr>
          <w:spacing w:val="-4"/>
        </w:rPr>
        <w:t>proceder a</w:t>
      </w:r>
      <w:r w:rsidR="00EE4E37">
        <w:rPr>
          <w:spacing w:val="-4"/>
        </w:rPr>
        <w:t xml:space="preserve"> su revocatoria, para en su </w:t>
      </w:r>
      <w:r w:rsidRPr="007F25AF">
        <w:rPr>
          <w:spacing w:val="-4"/>
        </w:rPr>
        <w:t>reemplazo dictar</w:t>
      </w:r>
      <w:r w:rsidR="00EE4E37">
        <w:rPr>
          <w:spacing w:val="-4"/>
        </w:rPr>
        <w:t>se</w:t>
      </w:r>
      <w:r w:rsidRPr="007F25AF">
        <w:rPr>
          <w:spacing w:val="-4"/>
        </w:rPr>
        <w:t xml:space="preserve"> </w:t>
      </w:r>
      <w:r w:rsidR="00321841" w:rsidRPr="007F25AF">
        <w:rPr>
          <w:spacing w:val="-4"/>
        </w:rPr>
        <w:t xml:space="preserve">la </w:t>
      </w:r>
      <w:r w:rsidRPr="007F25AF">
        <w:rPr>
          <w:spacing w:val="-4"/>
        </w:rPr>
        <w:t xml:space="preserve">sentencia </w:t>
      </w:r>
      <w:r w:rsidR="0082015E" w:rsidRPr="007F25AF">
        <w:rPr>
          <w:spacing w:val="-4"/>
        </w:rPr>
        <w:t>reclamada por</w:t>
      </w:r>
      <w:r w:rsidR="00321841" w:rsidRPr="007F25AF">
        <w:rPr>
          <w:spacing w:val="-4"/>
        </w:rPr>
        <w:t xml:space="preserve"> parte de</w:t>
      </w:r>
      <w:r w:rsidR="0082015E" w:rsidRPr="007F25AF">
        <w:rPr>
          <w:spacing w:val="-4"/>
        </w:rPr>
        <w:t xml:space="preserve"> </w:t>
      </w:r>
      <w:r w:rsidR="00AA4491">
        <w:rPr>
          <w:spacing w:val="-4"/>
        </w:rPr>
        <w:t>la delegada del ente acusador.</w:t>
      </w:r>
      <w:r w:rsidRPr="007F25AF">
        <w:rPr>
          <w:spacing w:val="-4"/>
        </w:rPr>
        <w:t xml:space="preserve"> </w:t>
      </w:r>
    </w:p>
    <w:p w14:paraId="6FBD505B" w14:textId="77777777" w:rsidR="007E5386" w:rsidRDefault="007E5386" w:rsidP="00AA6710">
      <w:pPr>
        <w:spacing w:line="276" w:lineRule="auto"/>
        <w:rPr>
          <w:b/>
          <w:spacing w:val="-4"/>
          <w:sz w:val="24"/>
          <w:szCs w:val="24"/>
        </w:rPr>
      </w:pPr>
    </w:p>
    <w:p w14:paraId="0F0DBD46" w14:textId="55DBE3C1" w:rsidR="00F13C87" w:rsidRPr="007F25AF" w:rsidRDefault="00F13C87" w:rsidP="00AA6710">
      <w:pPr>
        <w:spacing w:line="276" w:lineRule="auto"/>
        <w:rPr>
          <w:spacing w:val="-4"/>
        </w:rPr>
      </w:pPr>
      <w:r w:rsidRPr="007F25AF">
        <w:rPr>
          <w:b/>
          <w:spacing w:val="-4"/>
          <w:sz w:val="24"/>
          <w:szCs w:val="24"/>
        </w:rPr>
        <w:t>3.3.- Solución a la controversia</w:t>
      </w:r>
    </w:p>
    <w:p w14:paraId="1D22DF3A" w14:textId="77777777" w:rsidR="00F13C87" w:rsidRPr="007F25AF" w:rsidRDefault="00F13C87" w:rsidP="00AA6710">
      <w:pPr>
        <w:spacing w:line="276" w:lineRule="auto"/>
        <w:rPr>
          <w:spacing w:val="-4"/>
        </w:rPr>
      </w:pPr>
    </w:p>
    <w:p w14:paraId="5DDA81C5" w14:textId="77777777" w:rsidR="00617FBD" w:rsidRPr="007F25AF" w:rsidRDefault="00617FBD" w:rsidP="00AA6710">
      <w:pPr>
        <w:widowControl w:val="0"/>
        <w:autoSpaceDE w:val="0"/>
        <w:autoSpaceDN w:val="0"/>
        <w:adjustRightInd w:val="0"/>
        <w:spacing w:line="276" w:lineRule="auto"/>
        <w:rPr>
          <w:rFonts w:cs="Tahoma"/>
          <w:spacing w:val="-4"/>
          <w:position w:val="-6"/>
        </w:rPr>
      </w:pPr>
      <w:r w:rsidRPr="007F25AF">
        <w:rPr>
          <w:rFonts w:cs="Tahoma"/>
          <w:spacing w:val="-4"/>
          <w:position w:val="-6"/>
        </w:rPr>
        <w:t>No se vislumbra, ni ha sido tema objeto de controversia, la existencia de algún vicio sustancial que pueda afectar las garantías fundamentales en cabeza de alguna de las partes e intervinientes, o que comprometa la estructura o ritualidad legalmente establecidas para este diligenciamiento, en desconocimiento del debido proceso protegido por el artículo 29 Superior.</w:t>
      </w:r>
    </w:p>
    <w:p w14:paraId="22B14A45" w14:textId="77777777" w:rsidR="00617FBD" w:rsidRPr="007F25AF" w:rsidRDefault="00617FBD" w:rsidP="00AA6710">
      <w:pPr>
        <w:widowControl w:val="0"/>
        <w:autoSpaceDE w:val="0"/>
        <w:autoSpaceDN w:val="0"/>
        <w:adjustRightInd w:val="0"/>
        <w:spacing w:line="276" w:lineRule="auto"/>
        <w:rPr>
          <w:rFonts w:cs="Tahoma"/>
          <w:spacing w:val="-4"/>
          <w:position w:val="-6"/>
        </w:rPr>
      </w:pPr>
    </w:p>
    <w:p w14:paraId="067AFB88" w14:textId="77777777" w:rsidR="00617FBD" w:rsidRPr="007F25AF" w:rsidRDefault="00617FBD" w:rsidP="00AA6710">
      <w:pPr>
        <w:widowControl w:val="0"/>
        <w:autoSpaceDE w:val="0"/>
        <w:autoSpaceDN w:val="0"/>
        <w:adjustRightInd w:val="0"/>
        <w:spacing w:line="276" w:lineRule="auto"/>
        <w:rPr>
          <w:rFonts w:cs="Tahoma"/>
          <w:spacing w:val="-4"/>
          <w:position w:val="-6"/>
        </w:rPr>
      </w:pPr>
      <w:r w:rsidRPr="007F25AF">
        <w:rPr>
          <w:rFonts w:cs="Tahoma"/>
          <w:spacing w:val="-4"/>
          <w:position w:val="-6"/>
        </w:rPr>
        <w:t xml:space="preserve">Igualmente se avizora de entrada, que las pruebas fueron obtenidas en debida forma y las partes confrontadas tuvieron la </w:t>
      </w:r>
      <w:r w:rsidR="00693CDC" w:rsidRPr="007F25AF">
        <w:rPr>
          <w:rFonts w:cs="Tahoma"/>
          <w:spacing w:val="-4"/>
          <w:position w:val="-6"/>
        </w:rPr>
        <w:t xml:space="preserve">posibilidad </w:t>
      </w:r>
      <w:r w:rsidRPr="007F25AF">
        <w:rPr>
          <w:rFonts w:cs="Tahoma"/>
          <w:spacing w:val="-4"/>
          <w:position w:val="-6"/>
        </w:rPr>
        <w:t>de conocerlas a plenitud en clara aplicación de los principios de oralidad, inmediación, publicidad, concentración y contradicción.</w:t>
      </w:r>
    </w:p>
    <w:p w14:paraId="3710484E" w14:textId="77777777" w:rsidR="00617FBD" w:rsidRPr="007F25AF" w:rsidRDefault="00617FBD" w:rsidP="00AA6710">
      <w:pPr>
        <w:widowControl w:val="0"/>
        <w:autoSpaceDE w:val="0"/>
        <w:autoSpaceDN w:val="0"/>
        <w:adjustRightInd w:val="0"/>
        <w:spacing w:line="276" w:lineRule="auto"/>
        <w:rPr>
          <w:rFonts w:cs="Tahoma"/>
          <w:spacing w:val="-4"/>
          <w:position w:val="-6"/>
        </w:rPr>
      </w:pPr>
    </w:p>
    <w:p w14:paraId="06B29F26" w14:textId="77777777" w:rsidR="00617FBD" w:rsidRPr="007F25AF" w:rsidRDefault="00617FBD" w:rsidP="00AA6710">
      <w:pPr>
        <w:widowControl w:val="0"/>
        <w:autoSpaceDE w:val="0"/>
        <w:autoSpaceDN w:val="0"/>
        <w:adjustRightInd w:val="0"/>
        <w:spacing w:line="276" w:lineRule="auto"/>
        <w:rPr>
          <w:rFonts w:cs="Tahoma"/>
          <w:spacing w:val="-4"/>
          <w:position w:val="-6"/>
        </w:rPr>
      </w:pPr>
      <w:r w:rsidRPr="007F25AF">
        <w:rPr>
          <w:rFonts w:cs="Tahoma"/>
          <w:spacing w:val="-4"/>
          <w:position w:val="-6"/>
        </w:rPr>
        <w:t>De conformidad con lo preceptuado por el artículo 381 de la Ley 906/04, para proferir una sentencia de condena es indispensable que al juzgador llegue el conocimiento más allá de toda duda, no solo respecto de la existencia de la conducta punible atribuida, sino también acerca de la responsabilidad de las personas involucradas, y que tengan soporte en las pruebas legal y oportunamente aportadas en el juicio.</w:t>
      </w:r>
    </w:p>
    <w:p w14:paraId="0D901ADF" w14:textId="77777777" w:rsidR="00BD20B8" w:rsidRPr="007F25AF" w:rsidRDefault="00BD20B8" w:rsidP="00AA6710">
      <w:pPr>
        <w:widowControl w:val="0"/>
        <w:autoSpaceDE w:val="0"/>
        <w:autoSpaceDN w:val="0"/>
        <w:adjustRightInd w:val="0"/>
        <w:spacing w:line="276" w:lineRule="auto"/>
        <w:rPr>
          <w:rFonts w:cs="Tahoma"/>
          <w:spacing w:val="-4"/>
          <w:position w:val="-6"/>
        </w:rPr>
      </w:pPr>
    </w:p>
    <w:p w14:paraId="6C639AFA" w14:textId="0FBA4CF6" w:rsidR="00321841" w:rsidRDefault="0082015E" w:rsidP="00AA6710">
      <w:pPr>
        <w:spacing w:line="276" w:lineRule="auto"/>
        <w:rPr>
          <w:spacing w:val="-4"/>
        </w:rPr>
      </w:pPr>
      <w:r w:rsidRPr="007F25AF">
        <w:rPr>
          <w:spacing w:val="-4"/>
        </w:rPr>
        <w:t xml:space="preserve">En este asunto en particular, </w:t>
      </w:r>
      <w:r w:rsidR="004A6CB7">
        <w:rPr>
          <w:spacing w:val="-4"/>
        </w:rPr>
        <w:t>y como lo clarific</w:t>
      </w:r>
      <w:r w:rsidR="00210229">
        <w:rPr>
          <w:spacing w:val="-4"/>
        </w:rPr>
        <w:t>ó</w:t>
      </w:r>
      <w:r w:rsidR="004A6CB7">
        <w:rPr>
          <w:spacing w:val="-4"/>
        </w:rPr>
        <w:t xml:space="preserve"> en su disenso la delegada de la </w:t>
      </w:r>
      <w:r w:rsidRPr="007F25AF">
        <w:rPr>
          <w:spacing w:val="-4"/>
        </w:rPr>
        <w:t>Fiscalía</w:t>
      </w:r>
      <w:r w:rsidR="004A6CB7">
        <w:rPr>
          <w:spacing w:val="-4"/>
        </w:rPr>
        <w:t>, se tiene que la misma únicamente</w:t>
      </w:r>
      <w:r w:rsidRPr="007F25AF">
        <w:rPr>
          <w:spacing w:val="-4"/>
        </w:rPr>
        <w:t xml:space="preserve"> </w:t>
      </w:r>
      <w:r w:rsidR="00BD20B8" w:rsidRPr="007F25AF">
        <w:rPr>
          <w:spacing w:val="-4"/>
        </w:rPr>
        <w:t xml:space="preserve">ataca </w:t>
      </w:r>
      <w:r w:rsidRPr="007F25AF">
        <w:rPr>
          <w:spacing w:val="-4"/>
        </w:rPr>
        <w:t>el fall</w:t>
      </w:r>
      <w:r w:rsidR="00321841" w:rsidRPr="007F25AF">
        <w:rPr>
          <w:spacing w:val="-4"/>
        </w:rPr>
        <w:t>o</w:t>
      </w:r>
      <w:r w:rsidR="004A6CB7">
        <w:rPr>
          <w:spacing w:val="-4"/>
        </w:rPr>
        <w:t xml:space="preserve"> proferido, en cuanto se absolvió al señor </w:t>
      </w:r>
      <w:r w:rsidR="00D60502">
        <w:rPr>
          <w:b/>
          <w:spacing w:val="-4"/>
          <w:sz w:val="22"/>
          <w:szCs w:val="22"/>
        </w:rPr>
        <w:t>DSRM</w:t>
      </w:r>
      <w:r w:rsidR="004A6CB7">
        <w:rPr>
          <w:spacing w:val="-4"/>
        </w:rPr>
        <w:t xml:space="preserve">, más no respecto de igual determinación que se adoptó en favor del señor </w:t>
      </w:r>
      <w:r w:rsidR="00BE00F7">
        <w:rPr>
          <w:b/>
          <w:spacing w:val="-4"/>
          <w:sz w:val="22"/>
          <w:szCs w:val="22"/>
        </w:rPr>
        <w:t>JJAF</w:t>
      </w:r>
      <w:r w:rsidR="004A6CB7">
        <w:rPr>
          <w:spacing w:val="-4"/>
        </w:rPr>
        <w:t xml:space="preserve">, situación que comporta pregonar, que respecto de este último la decisión adquirió firmeza, ante la no interposición de recursos, y por </w:t>
      </w:r>
      <w:r w:rsidR="00987E9D">
        <w:rPr>
          <w:spacing w:val="-4"/>
        </w:rPr>
        <w:t xml:space="preserve">ende </w:t>
      </w:r>
      <w:r w:rsidR="004A6CB7">
        <w:rPr>
          <w:spacing w:val="-4"/>
        </w:rPr>
        <w:t>la Sala se abstendrá en es</w:t>
      </w:r>
      <w:r w:rsidR="00EB309B">
        <w:rPr>
          <w:spacing w:val="-4"/>
        </w:rPr>
        <w:t>t</w:t>
      </w:r>
      <w:r w:rsidR="004A6CB7">
        <w:rPr>
          <w:spacing w:val="-4"/>
        </w:rPr>
        <w:t>a decisión de emitir pronunciamiento alguno frente al aludido coprocesad</w:t>
      </w:r>
      <w:r w:rsidR="00210229">
        <w:rPr>
          <w:spacing w:val="-4"/>
        </w:rPr>
        <w:t>o.</w:t>
      </w:r>
    </w:p>
    <w:p w14:paraId="443D4AFA" w14:textId="77777777" w:rsidR="004A6CB7" w:rsidRDefault="004A6CB7" w:rsidP="00AA6710">
      <w:pPr>
        <w:spacing w:line="276" w:lineRule="auto"/>
        <w:rPr>
          <w:spacing w:val="-4"/>
        </w:rPr>
      </w:pPr>
    </w:p>
    <w:p w14:paraId="7E7230DC" w14:textId="50D90C44" w:rsidR="00737BB6" w:rsidRPr="007F25AF" w:rsidRDefault="005E0716" w:rsidP="00D50C72">
      <w:pPr>
        <w:spacing w:line="276" w:lineRule="auto"/>
        <w:rPr>
          <w:spacing w:val="-4"/>
        </w:rPr>
      </w:pPr>
      <w:r>
        <w:rPr>
          <w:spacing w:val="-4"/>
        </w:rPr>
        <w:t xml:space="preserve">Ahora, el </w:t>
      </w:r>
      <w:r w:rsidR="003B33C8" w:rsidRPr="007F25AF">
        <w:rPr>
          <w:spacing w:val="-4"/>
        </w:rPr>
        <w:t>cuestionamiento formulado en la alzada por parte de</w:t>
      </w:r>
      <w:r>
        <w:rPr>
          <w:spacing w:val="-4"/>
        </w:rPr>
        <w:t xml:space="preserve"> </w:t>
      </w:r>
      <w:r w:rsidR="003B33C8" w:rsidRPr="007F25AF">
        <w:rPr>
          <w:spacing w:val="-4"/>
        </w:rPr>
        <w:t>l</w:t>
      </w:r>
      <w:r>
        <w:rPr>
          <w:spacing w:val="-4"/>
        </w:rPr>
        <w:t>a delegada del ente acusador</w:t>
      </w:r>
      <w:r w:rsidR="003B33C8" w:rsidRPr="007F25AF">
        <w:rPr>
          <w:spacing w:val="-4"/>
        </w:rPr>
        <w:t xml:space="preserve">, </w:t>
      </w:r>
      <w:r w:rsidR="00D50C72">
        <w:rPr>
          <w:spacing w:val="-4"/>
        </w:rPr>
        <w:t xml:space="preserve">en relación con el fallo absolutorio, </w:t>
      </w:r>
      <w:r w:rsidR="0082015E" w:rsidRPr="007F25AF">
        <w:rPr>
          <w:spacing w:val="-4"/>
        </w:rPr>
        <w:t xml:space="preserve">lo finca </w:t>
      </w:r>
      <w:r w:rsidR="00D50C72">
        <w:rPr>
          <w:spacing w:val="-4"/>
        </w:rPr>
        <w:t xml:space="preserve">exclusivamente </w:t>
      </w:r>
      <w:r w:rsidR="0082015E" w:rsidRPr="007F25AF">
        <w:rPr>
          <w:spacing w:val="-4"/>
        </w:rPr>
        <w:t xml:space="preserve">en la existencia de </w:t>
      </w:r>
      <w:r>
        <w:rPr>
          <w:spacing w:val="-4"/>
        </w:rPr>
        <w:t xml:space="preserve">indicios graves de responsabilidad en cabeza de </w:t>
      </w:r>
      <w:r w:rsidR="00D60502">
        <w:rPr>
          <w:b/>
          <w:spacing w:val="-4"/>
          <w:sz w:val="22"/>
          <w:szCs w:val="22"/>
        </w:rPr>
        <w:t>DSRM</w:t>
      </w:r>
      <w:r w:rsidR="00D50C72">
        <w:rPr>
          <w:spacing w:val="-4"/>
        </w:rPr>
        <w:t>, que la lleva a pregonar su compromiso en la ilicitud.</w:t>
      </w:r>
    </w:p>
    <w:p w14:paraId="7DC9522B" w14:textId="77777777" w:rsidR="003B33C8" w:rsidRPr="007F25AF" w:rsidRDefault="003B33C8" w:rsidP="00AA6710">
      <w:pPr>
        <w:spacing w:line="276" w:lineRule="auto"/>
        <w:rPr>
          <w:spacing w:val="-4"/>
        </w:rPr>
      </w:pPr>
    </w:p>
    <w:p w14:paraId="2F622B57" w14:textId="3F387BA4" w:rsidR="00FA7644" w:rsidRPr="00EE248D" w:rsidRDefault="00321841" w:rsidP="00FA7644">
      <w:pPr>
        <w:spacing w:line="276" w:lineRule="auto"/>
        <w:rPr>
          <w:spacing w:val="-4"/>
          <w:sz w:val="24"/>
          <w:szCs w:val="24"/>
        </w:rPr>
      </w:pPr>
      <w:r w:rsidRPr="00634140">
        <w:rPr>
          <w:spacing w:val="-4"/>
        </w:rPr>
        <w:t xml:space="preserve">La Sala comenzará </w:t>
      </w:r>
      <w:r w:rsidRPr="001C7C9D">
        <w:rPr>
          <w:spacing w:val="-4"/>
        </w:rPr>
        <w:t>por</w:t>
      </w:r>
      <w:r w:rsidRPr="007F25AF">
        <w:rPr>
          <w:spacing w:val="-4"/>
        </w:rPr>
        <w:t xml:space="preserve"> decir, e</w:t>
      </w:r>
      <w:r w:rsidR="00033D6B" w:rsidRPr="007F25AF">
        <w:rPr>
          <w:spacing w:val="-4"/>
        </w:rPr>
        <w:t>n punto de la materialidad de la infracción,</w:t>
      </w:r>
      <w:r w:rsidRPr="007F25AF">
        <w:rPr>
          <w:spacing w:val="-4"/>
        </w:rPr>
        <w:t xml:space="preserve"> que</w:t>
      </w:r>
      <w:r w:rsidR="00033D6B" w:rsidRPr="007F25AF">
        <w:rPr>
          <w:spacing w:val="-4"/>
        </w:rPr>
        <w:t xml:space="preserve"> no </w:t>
      </w:r>
      <w:r w:rsidR="00FB2EA4">
        <w:rPr>
          <w:spacing w:val="-4"/>
        </w:rPr>
        <w:t xml:space="preserve">hay </w:t>
      </w:r>
      <w:r w:rsidR="00033D6B" w:rsidRPr="007F25AF">
        <w:rPr>
          <w:spacing w:val="-4"/>
        </w:rPr>
        <w:t>duda, acorde con la información entregada en sede de juicio</w:t>
      </w:r>
      <w:r w:rsidRPr="007F25AF">
        <w:rPr>
          <w:spacing w:val="-4"/>
        </w:rPr>
        <w:t xml:space="preserve"> oral</w:t>
      </w:r>
      <w:r w:rsidR="00033D6B" w:rsidRPr="007F25AF">
        <w:rPr>
          <w:spacing w:val="-4"/>
        </w:rPr>
        <w:t xml:space="preserve"> por parte de</w:t>
      </w:r>
      <w:r w:rsidRPr="007F25AF">
        <w:rPr>
          <w:spacing w:val="-4"/>
        </w:rPr>
        <w:t xml:space="preserve"> la </w:t>
      </w:r>
      <w:r w:rsidR="00210229">
        <w:rPr>
          <w:spacing w:val="-4"/>
        </w:rPr>
        <w:t xml:space="preserve">señora VALENTINA RÍOS ARIAS y su padre DIDIER DE JESÚS </w:t>
      </w:r>
      <w:r w:rsidR="00BE00F7">
        <w:rPr>
          <w:spacing w:val="-4"/>
        </w:rPr>
        <w:t>DSRM</w:t>
      </w:r>
      <w:r w:rsidR="00033D6B" w:rsidRPr="007F25AF">
        <w:rPr>
          <w:spacing w:val="-4"/>
        </w:rPr>
        <w:t>, que en</w:t>
      </w:r>
      <w:r w:rsidR="00FA7644">
        <w:rPr>
          <w:spacing w:val="-4"/>
        </w:rPr>
        <w:t xml:space="preserve"> octubre</w:t>
      </w:r>
      <w:r w:rsidR="00FA7644" w:rsidRPr="00FA7644">
        <w:rPr>
          <w:spacing w:val="-4"/>
        </w:rPr>
        <w:t xml:space="preserve"> 14 de octubre de 2017, a las 8 de la noche</w:t>
      </w:r>
      <w:r w:rsidR="00FA7644">
        <w:rPr>
          <w:spacing w:val="-4"/>
        </w:rPr>
        <w:t xml:space="preserve">, aproximadamente, </w:t>
      </w:r>
      <w:r w:rsidR="00FA7644">
        <w:rPr>
          <w:spacing w:val="-4"/>
        </w:rPr>
        <w:lastRenderedPageBreak/>
        <w:t xml:space="preserve">cuando se desplazaban por la calle 29, entre carreras 5ª y 6ª, se acercaron a la dama dos individuos que se movilizaban en una motocicleta negra, de la cual descendió su parrillero quien la intimidó con un arma </w:t>
      </w:r>
      <w:r w:rsidR="00EE4E37">
        <w:rPr>
          <w:spacing w:val="-4"/>
        </w:rPr>
        <w:t xml:space="preserve">al parecer </w:t>
      </w:r>
      <w:r w:rsidR="00FA7644">
        <w:rPr>
          <w:spacing w:val="-4"/>
        </w:rPr>
        <w:t xml:space="preserve">de fuego, para despojarla de su bolso, el cual contenía dinero, su celular y otros elementos, para emprender la huida en contravía por la carrera 5ª </w:t>
      </w:r>
      <w:r w:rsidR="00634140">
        <w:rPr>
          <w:spacing w:val="-4"/>
        </w:rPr>
        <w:t>y</w:t>
      </w:r>
      <w:r w:rsidR="00FA7644">
        <w:rPr>
          <w:spacing w:val="-4"/>
        </w:rPr>
        <w:t xml:space="preserve"> luego tomar la calle 30 y desparecer de su vista.</w:t>
      </w:r>
      <w:r w:rsidR="00D11F02">
        <w:rPr>
          <w:spacing w:val="-4"/>
        </w:rPr>
        <w:t xml:space="preserve"> No sin antes, haber sido evidenciada la placa de dicho rodante, como SJN-15, acorde con lo sostenido por el señor </w:t>
      </w:r>
      <w:r w:rsidR="00BE00F7">
        <w:rPr>
          <w:spacing w:val="-4"/>
          <w:sz w:val="24"/>
          <w:szCs w:val="24"/>
        </w:rPr>
        <w:t>DSRM</w:t>
      </w:r>
      <w:r w:rsidR="00D11F02" w:rsidRPr="00EE248D">
        <w:rPr>
          <w:spacing w:val="-4"/>
          <w:sz w:val="24"/>
          <w:szCs w:val="24"/>
        </w:rPr>
        <w:t>.</w:t>
      </w:r>
    </w:p>
    <w:p w14:paraId="64257BD9" w14:textId="77777777" w:rsidR="00BC4878" w:rsidRDefault="00BC4878" w:rsidP="00FA7644">
      <w:pPr>
        <w:spacing w:line="276" w:lineRule="auto"/>
        <w:rPr>
          <w:spacing w:val="-4"/>
        </w:rPr>
      </w:pPr>
    </w:p>
    <w:p w14:paraId="528C45FC" w14:textId="573632DC" w:rsidR="00BC4878" w:rsidRDefault="00634140" w:rsidP="00FA7644">
      <w:pPr>
        <w:spacing w:line="276" w:lineRule="auto"/>
        <w:rPr>
          <w:spacing w:val="-4"/>
        </w:rPr>
      </w:pPr>
      <w:r>
        <w:rPr>
          <w:spacing w:val="-4"/>
        </w:rPr>
        <w:t xml:space="preserve">Respecto </w:t>
      </w:r>
      <w:r w:rsidR="006F0F38">
        <w:rPr>
          <w:spacing w:val="-4"/>
        </w:rPr>
        <w:t>de la intervención en los hechos por parte</w:t>
      </w:r>
      <w:r w:rsidR="00BC4878">
        <w:rPr>
          <w:spacing w:val="-4"/>
        </w:rPr>
        <w:t xml:space="preserve"> del ciudadano </w:t>
      </w:r>
      <w:r w:rsidR="00BE00F7">
        <w:rPr>
          <w:b/>
          <w:spacing w:val="-4"/>
          <w:sz w:val="22"/>
          <w:szCs w:val="22"/>
        </w:rPr>
        <w:t>DSRM</w:t>
      </w:r>
      <w:r w:rsidR="00BC4878">
        <w:rPr>
          <w:spacing w:val="-4"/>
        </w:rPr>
        <w:t>,</w:t>
      </w:r>
      <w:r w:rsidR="006F0F38">
        <w:rPr>
          <w:spacing w:val="-4"/>
        </w:rPr>
        <w:t xml:space="preserve"> se tiene que la </w:t>
      </w:r>
      <w:r w:rsidR="00BC4878">
        <w:rPr>
          <w:spacing w:val="-4"/>
        </w:rPr>
        <w:t>señora VALENTINA RÍOS en su declaración en juicio fue clara en señalar que cuando se movilizaba por la calle 29 apreció que descendía una motocicleta sin luces, con dos hombres</w:t>
      </w:r>
      <w:r w:rsidR="00425832">
        <w:rPr>
          <w:spacing w:val="-4"/>
        </w:rPr>
        <w:t xml:space="preserve"> que usaban cascos </w:t>
      </w:r>
      <w:r w:rsidR="00425832" w:rsidRPr="00425832">
        <w:rPr>
          <w:rFonts w:ascii="Bookman Old Style" w:hAnsi="Bookman Old Style"/>
          <w:spacing w:val="-4"/>
          <w:sz w:val="22"/>
          <w:szCs w:val="22"/>
        </w:rPr>
        <w:t>-los que nunca se quitaron-</w:t>
      </w:r>
      <w:r w:rsidR="00BC4878">
        <w:rPr>
          <w:spacing w:val="-4"/>
        </w:rPr>
        <w:t xml:space="preserve">, ante lo cual pensó en decirles que las encendieran, pero los mismos se detuvieron a su lado, de la que </w:t>
      </w:r>
      <w:r>
        <w:rPr>
          <w:spacing w:val="-4"/>
        </w:rPr>
        <w:t>se apeó</w:t>
      </w:r>
      <w:r w:rsidR="00BC4878">
        <w:rPr>
          <w:spacing w:val="-4"/>
        </w:rPr>
        <w:t xml:space="preserve"> el parrillero, </w:t>
      </w:r>
      <w:r w:rsidR="00FD6864">
        <w:rPr>
          <w:spacing w:val="-4"/>
        </w:rPr>
        <w:t xml:space="preserve">quien le apunto con un arma y allí </w:t>
      </w:r>
      <w:r w:rsidR="00FD6864" w:rsidRPr="00886041">
        <w:rPr>
          <w:spacing w:val="-4"/>
        </w:rPr>
        <w:t>le vio la cara</w:t>
      </w:r>
      <w:r w:rsidR="00FD6864">
        <w:rPr>
          <w:spacing w:val="-4"/>
        </w:rPr>
        <w:t xml:space="preserve">, frente a lo cual </w:t>
      </w:r>
      <w:r w:rsidR="00BF2508">
        <w:rPr>
          <w:spacing w:val="-4"/>
        </w:rPr>
        <w:t xml:space="preserve">manifestó: </w:t>
      </w:r>
      <w:r w:rsidR="00BC4878" w:rsidRPr="00FD6864">
        <w:rPr>
          <w:rFonts w:ascii="Bookman Old Style" w:hAnsi="Bookman Old Style"/>
          <w:spacing w:val="-4"/>
          <w:sz w:val="22"/>
          <w:szCs w:val="22"/>
        </w:rPr>
        <w:t>“</w:t>
      </w:r>
      <w:r w:rsidR="00BC4878" w:rsidRPr="00886041">
        <w:rPr>
          <w:rFonts w:ascii="Bookman Old Style" w:hAnsi="Bookman Old Style"/>
          <w:b/>
          <w:spacing w:val="-4"/>
          <w:sz w:val="22"/>
          <w:szCs w:val="22"/>
        </w:rPr>
        <w:t>no se me olvida, porque yo lo miré a la</w:t>
      </w:r>
      <w:r w:rsidR="00FD6864" w:rsidRPr="00886041">
        <w:rPr>
          <w:rFonts w:ascii="Bookman Old Style" w:hAnsi="Bookman Old Style"/>
          <w:b/>
          <w:spacing w:val="-4"/>
          <w:sz w:val="22"/>
          <w:szCs w:val="22"/>
        </w:rPr>
        <w:t xml:space="preserve"> </w:t>
      </w:r>
      <w:r w:rsidR="00BC4878" w:rsidRPr="00886041">
        <w:rPr>
          <w:rFonts w:ascii="Bookman Old Style" w:hAnsi="Bookman Old Style"/>
          <w:b/>
          <w:spacing w:val="-4"/>
          <w:sz w:val="22"/>
          <w:szCs w:val="22"/>
        </w:rPr>
        <w:t>cara cuando me apuntó con el rev</w:t>
      </w:r>
      <w:r w:rsidR="00886041">
        <w:rPr>
          <w:rFonts w:ascii="Bookman Old Style" w:hAnsi="Bookman Old Style"/>
          <w:b/>
          <w:spacing w:val="-4"/>
          <w:sz w:val="22"/>
          <w:szCs w:val="22"/>
        </w:rPr>
        <w:t>ó</w:t>
      </w:r>
      <w:r w:rsidR="00BC4878" w:rsidRPr="00886041">
        <w:rPr>
          <w:rFonts w:ascii="Bookman Old Style" w:hAnsi="Bookman Old Style"/>
          <w:b/>
          <w:spacing w:val="-4"/>
          <w:sz w:val="22"/>
          <w:szCs w:val="22"/>
        </w:rPr>
        <w:t>lver</w:t>
      </w:r>
      <w:r w:rsidR="00BC4878" w:rsidRPr="00FD6864">
        <w:rPr>
          <w:rFonts w:ascii="Bookman Old Style" w:hAnsi="Bookman Old Style"/>
          <w:spacing w:val="-4"/>
          <w:sz w:val="22"/>
          <w:szCs w:val="22"/>
        </w:rPr>
        <w:t xml:space="preserve"> aquí </w:t>
      </w:r>
      <w:r w:rsidR="00FD6864">
        <w:rPr>
          <w:rFonts w:ascii="Bookman Old Style" w:hAnsi="Bookman Old Style"/>
          <w:spacing w:val="-4"/>
          <w:sz w:val="22"/>
          <w:szCs w:val="22"/>
        </w:rPr>
        <w:t>[</w:t>
      </w:r>
      <w:r w:rsidR="00BC4878" w:rsidRPr="00FD6864">
        <w:rPr>
          <w:rFonts w:ascii="Bookman Old Style" w:hAnsi="Bookman Old Style"/>
          <w:spacing w:val="-4"/>
          <w:sz w:val="22"/>
          <w:szCs w:val="22"/>
        </w:rPr>
        <w:t>se señala con su dedo a nivel de la frente</w:t>
      </w:r>
      <w:r w:rsidR="00FD6864">
        <w:rPr>
          <w:rFonts w:ascii="Bookman Old Style" w:hAnsi="Bookman Old Style"/>
          <w:spacing w:val="-4"/>
          <w:sz w:val="22"/>
          <w:szCs w:val="22"/>
        </w:rPr>
        <w:t>]</w:t>
      </w:r>
      <w:r w:rsidR="00FD6864" w:rsidRPr="00FD6864">
        <w:rPr>
          <w:rFonts w:ascii="Bookman Old Style" w:hAnsi="Bookman Old Style"/>
          <w:spacing w:val="-4"/>
          <w:sz w:val="22"/>
          <w:szCs w:val="22"/>
        </w:rPr>
        <w:t xml:space="preserve">, </w:t>
      </w:r>
      <w:r w:rsidR="00FD6864" w:rsidRPr="00886041">
        <w:rPr>
          <w:rFonts w:ascii="Bookman Old Style" w:hAnsi="Bookman Old Style"/>
          <w:b/>
          <w:spacing w:val="-4"/>
          <w:sz w:val="22"/>
          <w:szCs w:val="22"/>
        </w:rPr>
        <w:t>él ni siquiera guardó distancia para apuntarme</w:t>
      </w:r>
      <w:r w:rsidR="00FD6864" w:rsidRPr="00FD6864">
        <w:rPr>
          <w:rFonts w:ascii="Bookman Old Style" w:hAnsi="Bookman Old Style"/>
          <w:spacing w:val="-4"/>
          <w:sz w:val="22"/>
          <w:szCs w:val="22"/>
        </w:rPr>
        <w:t>”</w:t>
      </w:r>
      <w:r w:rsidR="00FD6864">
        <w:rPr>
          <w:spacing w:val="-4"/>
        </w:rPr>
        <w:t>, aportando como características, luego de que la defensa la contrainterrogara con la entrevista que rindió</w:t>
      </w:r>
      <w:r w:rsidR="00886041">
        <w:rPr>
          <w:spacing w:val="-4"/>
        </w:rPr>
        <w:t>, en el sentido</w:t>
      </w:r>
      <w:r w:rsidR="00FD6864">
        <w:rPr>
          <w:spacing w:val="-4"/>
        </w:rPr>
        <w:t xml:space="preserve"> que </w:t>
      </w:r>
      <w:r w:rsidR="00FD6864" w:rsidRPr="00FD6864">
        <w:rPr>
          <w:rFonts w:ascii="Bookman Old Style" w:hAnsi="Bookman Old Style"/>
          <w:spacing w:val="-4"/>
          <w:sz w:val="22"/>
          <w:szCs w:val="22"/>
        </w:rPr>
        <w:t>“era moren</w:t>
      </w:r>
      <w:r w:rsidR="00FD6864">
        <w:rPr>
          <w:rFonts w:ascii="Bookman Old Style" w:hAnsi="Bookman Old Style"/>
          <w:spacing w:val="-4"/>
          <w:sz w:val="22"/>
          <w:szCs w:val="22"/>
        </w:rPr>
        <w:t>o, delgado, de 1.70 ms. de estatura, con un saco color gris y casco cerrado color negro</w:t>
      </w:r>
      <w:r w:rsidR="00FD6864" w:rsidRPr="00FD6864">
        <w:rPr>
          <w:rFonts w:ascii="Bookman Old Style" w:hAnsi="Bookman Old Style"/>
          <w:spacing w:val="-4"/>
          <w:sz w:val="22"/>
          <w:szCs w:val="22"/>
        </w:rPr>
        <w:t>”</w:t>
      </w:r>
      <w:r w:rsidR="00FD6864">
        <w:rPr>
          <w:spacing w:val="-4"/>
        </w:rPr>
        <w:t xml:space="preserve"> y pese al  casco que este portaba, a diferencia del conductor que tenía uno abatible </w:t>
      </w:r>
      <w:r w:rsidR="00FD6864" w:rsidRPr="00FD6864">
        <w:rPr>
          <w:rFonts w:ascii="Bookman Old Style" w:hAnsi="Bookman Old Style"/>
          <w:spacing w:val="-4"/>
          <w:sz w:val="22"/>
          <w:szCs w:val="22"/>
        </w:rPr>
        <w:t>-que se levanta-</w:t>
      </w:r>
      <w:r w:rsidR="00FD6864">
        <w:rPr>
          <w:spacing w:val="-4"/>
        </w:rPr>
        <w:t xml:space="preserve">, </w:t>
      </w:r>
      <w:r w:rsidR="00BF2508">
        <w:rPr>
          <w:spacing w:val="-4"/>
        </w:rPr>
        <w:t xml:space="preserve">sostuvo </w:t>
      </w:r>
      <w:r w:rsidR="00FD6864">
        <w:rPr>
          <w:spacing w:val="-4"/>
        </w:rPr>
        <w:t xml:space="preserve">que </w:t>
      </w:r>
      <w:r w:rsidR="00FD6864" w:rsidRPr="00FD6864">
        <w:rPr>
          <w:rFonts w:ascii="Bookman Old Style" w:hAnsi="Bookman Old Style"/>
          <w:spacing w:val="-4"/>
          <w:sz w:val="22"/>
          <w:szCs w:val="22"/>
        </w:rPr>
        <w:t xml:space="preserve">“como era ancho </w:t>
      </w:r>
      <w:r w:rsidR="00FD6864" w:rsidRPr="00886041">
        <w:rPr>
          <w:rFonts w:ascii="Bookman Old Style" w:hAnsi="Bookman Old Style"/>
          <w:b/>
          <w:spacing w:val="-4"/>
          <w:sz w:val="22"/>
          <w:szCs w:val="22"/>
        </w:rPr>
        <w:t>se le alcanzaba a ver el rostro</w:t>
      </w:r>
      <w:r w:rsidR="00FD6864" w:rsidRPr="00FD6864">
        <w:rPr>
          <w:rFonts w:ascii="Bookman Old Style" w:hAnsi="Bookman Old Style"/>
          <w:spacing w:val="-4"/>
          <w:sz w:val="22"/>
          <w:szCs w:val="22"/>
        </w:rPr>
        <w:t>”</w:t>
      </w:r>
      <w:r w:rsidR="00FD6864">
        <w:rPr>
          <w:spacing w:val="-4"/>
        </w:rPr>
        <w:t xml:space="preserve">, al parecer por cuanto no tenía visera. </w:t>
      </w:r>
    </w:p>
    <w:p w14:paraId="6A65A34B" w14:textId="77777777" w:rsidR="006F0F38" w:rsidRDefault="006F0F38" w:rsidP="00FA7644">
      <w:pPr>
        <w:spacing w:line="276" w:lineRule="auto"/>
        <w:rPr>
          <w:spacing w:val="-4"/>
        </w:rPr>
      </w:pPr>
    </w:p>
    <w:p w14:paraId="583670C7" w14:textId="68D84F9F" w:rsidR="00896BDC" w:rsidRDefault="006F0F38" w:rsidP="00FA7644">
      <w:pPr>
        <w:spacing w:line="276" w:lineRule="auto"/>
        <w:rPr>
          <w:spacing w:val="-4"/>
        </w:rPr>
      </w:pPr>
      <w:r>
        <w:rPr>
          <w:spacing w:val="-4"/>
        </w:rPr>
        <w:t>No obstante que el señor DIDIER RÍOS, padre de la afectada no logró identificar a ninguno de los ocupantes de la motocicleta,</w:t>
      </w:r>
      <w:r w:rsidR="00896BDC">
        <w:rPr>
          <w:spacing w:val="-4"/>
        </w:rPr>
        <w:t xml:space="preserve"> y por lo mismo no estuvo en capacidad de </w:t>
      </w:r>
      <w:r w:rsidR="00987E9D">
        <w:rPr>
          <w:spacing w:val="-4"/>
        </w:rPr>
        <w:t xml:space="preserve">efectuar </w:t>
      </w:r>
      <w:r w:rsidR="00896BDC">
        <w:rPr>
          <w:spacing w:val="-4"/>
        </w:rPr>
        <w:t>reconocimiento alguno, s</w:t>
      </w:r>
      <w:r w:rsidR="00886041">
        <w:rPr>
          <w:spacing w:val="-4"/>
        </w:rPr>
        <w:t>í</w:t>
      </w:r>
      <w:r w:rsidR="00896BDC">
        <w:rPr>
          <w:spacing w:val="-4"/>
        </w:rPr>
        <w:t xml:space="preserve"> percibió la placa </w:t>
      </w:r>
      <w:r w:rsidR="00EC7161" w:rsidRPr="00EE248D">
        <w:rPr>
          <w:b/>
          <w:bCs/>
          <w:spacing w:val="-4"/>
          <w:sz w:val="22"/>
          <w:szCs w:val="22"/>
        </w:rPr>
        <w:t>SNJ-15</w:t>
      </w:r>
      <w:r w:rsidR="00EC7161">
        <w:rPr>
          <w:spacing w:val="-4"/>
        </w:rPr>
        <w:t xml:space="preserve">, correspondiente  a </w:t>
      </w:r>
      <w:r w:rsidR="00896BDC">
        <w:rPr>
          <w:spacing w:val="-4"/>
        </w:rPr>
        <w:t xml:space="preserve">la motocicleta involucrada, y como quiera que el celular hurtado, </w:t>
      </w:r>
      <w:r w:rsidR="00886041">
        <w:rPr>
          <w:spacing w:val="-4"/>
        </w:rPr>
        <w:t>pod</w:t>
      </w:r>
      <w:r w:rsidR="0025351D">
        <w:rPr>
          <w:spacing w:val="-4"/>
        </w:rPr>
        <w:t>í</w:t>
      </w:r>
      <w:r w:rsidR="00886041">
        <w:rPr>
          <w:spacing w:val="-4"/>
        </w:rPr>
        <w:t xml:space="preserve">a ser rastreado </w:t>
      </w:r>
      <w:r w:rsidR="00896BDC">
        <w:rPr>
          <w:spacing w:val="-4"/>
        </w:rPr>
        <w:t xml:space="preserve">mediante </w:t>
      </w:r>
      <w:r w:rsidR="0025351D">
        <w:rPr>
          <w:spacing w:val="-4"/>
        </w:rPr>
        <w:t>el</w:t>
      </w:r>
      <w:r w:rsidR="00896BDC">
        <w:rPr>
          <w:spacing w:val="-4"/>
        </w:rPr>
        <w:t xml:space="preserve"> sistema de georreferenciación, </w:t>
      </w:r>
      <w:r w:rsidR="00886041">
        <w:rPr>
          <w:spacing w:val="-4"/>
        </w:rPr>
        <w:t xml:space="preserve">una vez miembros de la Policía </w:t>
      </w:r>
      <w:r w:rsidR="00896BDC">
        <w:rPr>
          <w:spacing w:val="-4"/>
        </w:rPr>
        <w:t>adscrit</w:t>
      </w:r>
      <w:r w:rsidR="00886041">
        <w:rPr>
          <w:spacing w:val="-4"/>
        </w:rPr>
        <w:t>os</w:t>
      </w:r>
      <w:r w:rsidR="00896BDC">
        <w:rPr>
          <w:spacing w:val="-4"/>
        </w:rPr>
        <w:t xml:space="preserve"> al </w:t>
      </w:r>
      <w:r w:rsidR="006F172B">
        <w:rPr>
          <w:spacing w:val="-4"/>
        </w:rPr>
        <w:t xml:space="preserve">CAI </w:t>
      </w:r>
      <w:r w:rsidR="00896BDC">
        <w:rPr>
          <w:spacing w:val="-4"/>
        </w:rPr>
        <w:t>Bost</w:t>
      </w:r>
      <w:r w:rsidR="006F172B">
        <w:rPr>
          <w:spacing w:val="-4"/>
        </w:rPr>
        <w:t>o</w:t>
      </w:r>
      <w:r w:rsidR="00896BDC">
        <w:rPr>
          <w:spacing w:val="-4"/>
        </w:rPr>
        <w:t xml:space="preserve">n </w:t>
      </w:r>
      <w:r w:rsidR="00886041">
        <w:rPr>
          <w:spacing w:val="-4"/>
        </w:rPr>
        <w:t xml:space="preserve">tuvieron conocimiento de lo sucedido y de realizar una búsqueda </w:t>
      </w:r>
      <w:r w:rsidR="00896BDC">
        <w:rPr>
          <w:spacing w:val="-4"/>
        </w:rPr>
        <w:t xml:space="preserve">en el barrio La Unidad, </w:t>
      </w:r>
      <w:r w:rsidR="00886041">
        <w:rPr>
          <w:spacing w:val="-4"/>
        </w:rPr>
        <w:t>hallaron la refe</w:t>
      </w:r>
      <w:r w:rsidR="00EC7161">
        <w:rPr>
          <w:spacing w:val="-4"/>
        </w:rPr>
        <w:t>r</w:t>
      </w:r>
      <w:r w:rsidR="00886041">
        <w:rPr>
          <w:spacing w:val="-4"/>
        </w:rPr>
        <w:t>ida moto</w:t>
      </w:r>
      <w:r w:rsidR="00EC7161">
        <w:rPr>
          <w:spacing w:val="-4"/>
        </w:rPr>
        <w:t xml:space="preserve"> </w:t>
      </w:r>
      <w:r w:rsidR="00896BDC">
        <w:rPr>
          <w:spacing w:val="-4"/>
        </w:rPr>
        <w:t xml:space="preserve">al frente a la vivienda ubicada en la Manzana A, casa 8, lugar de residencia del señor </w:t>
      </w:r>
      <w:r w:rsidR="00D60502">
        <w:rPr>
          <w:b/>
          <w:spacing w:val="-4"/>
          <w:sz w:val="22"/>
          <w:szCs w:val="22"/>
        </w:rPr>
        <w:t>DSRM</w:t>
      </w:r>
      <w:r w:rsidR="00896BDC">
        <w:rPr>
          <w:spacing w:val="-4"/>
        </w:rPr>
        <w:t>, como así se conoció en juicio</w:t>
      </w:r>
      <w:r w:rsidR="00886041">
        <w:rPr>
          <w:spacing w:val="-4"/>
        </w:rPr>
        <w:t>, amén de lo expuesto por su señora madre MARÍA IDALY MEDINA y su padrastro JAIRO AVENDAÑO RODRÍGUEZ</w:t>
      </w:r>
      <w:r w:rsidR="00896BDC">
        <w:rPr>
          <w:spacing w:val="-4"/>
        </w:rPr>
        <w:t>.</w:t>
      </w:r>
    </w:p>
    <w:p w14:paraId="637257E6" w14:textId="77777777" w:rsidR="0025351D" w:rsidRDefault="0025351D" w:rsidP="00FA7644">
      <w:pPr>
        <w:spacing w:line="276" w:lineRule="auto"/>
        <w:rPr>
          <w:spacing w:val="-4"/>
        </w:rPr>
      </w:pPr>
    </w:p>
    <w:p w14:paraId="3B9157C9" w14:textId="4952FE58" w:rsidR="003470CE" w:rsidRDefault="00896BDC" w:rsidP="00FA7644">
      <w:pPr>
        <w:spacing w:line="276" w:lineRule="auto"/>
        <w:rPr>
          <w:spacing w:val="-4"/>
        </w:rPr>
      </w:pPr>
      <w:r>
        <w:rPr>
          <w:spacing w:val="-4"/>
        </w:rPr>
        <w:t xml:space="preserve">Fue precisamente a raíz de ese hallazgo de la moto involucrada en los hechos, misma que </w:t>
      </w:r>
      <w:r w:rsidR="00886041">
        <w:rPr>
          <w:spacing w:val="-4"/>
        </w:rPr>
        <w:t xml:space="preserve">minutos después </w:t>
      </w:r>
      <w:r>
        <w:rPr>
          <w:spacing w:val="-4"/>
        </w:rPr>
        <w:t xml:space="preserve">fue reclamada por </w:t>
      </w:r>
      <w:r w:rsidR="00D60502">
        <w:rPr>
          <w:b/>
          <w:bCs/>
          <w:spacing w:val="-4"/>
          <w:sz w:val="22"/>
          <w:szCs w:val="22"/>
        </w:rPr>
        <w:t>DSRM</w:t>
      </w:r>
      <w:r>
        <w:rPr>
          <w:spacing w:val="-4"/>
        </w:rPr>
        <w:t xml:space="preserve">, en calidad de poseedor y donde figuraba como propietario inscrito el señor </w:t>
      </w:r>
      <w:r w:rsidR="00BE00F7">
        <w:rPr>
          <w:b/>
          <w:spacing w:val="-4"/>
          <w:sz w:val="22"/>
          <w:szCs w:val="22"/>
        </w:rPr>
        <w:t>JJAF</w:t>
      </w:r>
      <w:r>
        <w:rPr>
          <w:spacing w:val="-4"/>
        </w:rPr>
        <w:t xml:space="preserve">, </w:t>
      </w:r>
      <w:r w:rsidRPr="00896BDC">
        <w:rPr>
          <w:rFonts w:ascii="Bookman Old Style" w:hAnsi="Bookman Old Style"/>
          <w:spacing w:val="-4"/>
          <w:sz w:val="22"/>
          <w:szCs w:val="22"/>
        </w:rPr>
        <w:t>-quien fue absuelto-</w:t>
      </w:r>
      <w:r>
        <w:rPr>
          <w:spacing w:val="-4"/>
        </w:rPr>
        <w:t xml:space="preserve"> que ello </w:t>
      </w:r>
      <w:r w:rsidR="00886041">
        <w:rPr>
          <w:spacing w:val="-4"/>
        </w:rPr>
        <w:t xml:space="preserve">conllevó a que los </w:t>
      </w:r>
      <w:r>
        <w:rPr>
          <w:spacing w:val="-4"/>
        </w:rPr>
        <w:t xml:space="preserve">investigadores de la Fiscalía, </w:t>
      </w:r>
      <w:r w:rsidR="00886041">
        <w:rPr>
          <w:spacing w:val="-4"/>
        </w:rPr>
        <w:t>luego de obtener sus datos de identificación, proced</w:t>
      </w:r>
      <w:r w:rsidR="00EC7161">
        <w:rPr>
          <w:spacing w:val="-4"/>
        </w:rPr>
        <w:t xml:space="preserve">ieran </w:t>
      </w:r>
      <w:r w:rsidR="00886041">
        <w:rPr>
          <w:spacing w:val="-4"/>
        </w:rPr>
        <w:t>a la elaboración de álbumes fotográficos para su posterior vinculación.</w:t>
      </w:r>
    </w:p>
    <w:p w14:paraId="51E19D86" w14:textId="77777777" w:rsidR="00896BDC" w:rsidRDefault="00896BDC" w:rsidP="00FA7644">
      <w:pPr>
        <w:spacing w:line="276" w:lineRule="auto"/>
        <w:rPr>
          <w:spacing w:val="-4"/>
        </w:rPr>
      </w:pPr>
    </w:p>
    <w:p w14:paraId="5764FFE9" w14:textId="1E05F1FC" w:rsidR="00425832" w:rsidRDefault="004D0A48" w:rsidP="00FA7644">
      <w:pPr>
        <w:spacing w:line="276" w:lineRule="auto"/>
        <w:rPr>
          <w:spacing w:val="-4"/>
        </w:rPr>
      </w:pPr>
      <w:r>
        <w:rPr>
          <w:spacing w:val="-4"/>
        </w:rPr>
        <w:t xml:space="preserve">En efecto, </w:t>
      </w:r>
      <w:r w:rsidR="003259A3">
        <w:rPr>
          <w:spacing w:val="-4"/>
        </w:rPr>
        <w:t xml:space="preserve">un año después de lo sucedido, </w:t>
      </w:r>
      <w:r>
        <w:rPr>
          <w:spacing w:val="-4"/>
        </w:rPr>
        <w:t xml:space="preserve">como lo </w:t>
      </w:r>
      <w:r w:rsidR="00BF2508">
        <w:rPr>
          <w:spacing w:val="-4"/>
        </w:rPr>
        <w:t xml:space="preserve">expresó </w:t>
      </w:r>
      <w:r w:rsidR="00425832">
        <w:rPr>
          <w:spacing w:val="-4"/>
        </w:rPr>
        <w:t>la señora VALENTINA</w:t>
      </w:r>
      <w:r>
        <w:rPr>
          <w:spacing w:val="-4"/>
        </w:rPr>
        <w:t xml:space="preserve">, </w:t>
      </w:r>
      <w:r w:rsidR="00425832">
        <w:rPr>
          <w:spacing w:val="-4"/>
        </w:rPr>
        <w:t>realiz</w:t>
      </w:r>
      <w:r w:rsidR="00EC7161">
        <w:rPr>
          <w:spacing w:val="-4"/>
        </w:rPr>
        <w:t xml:space="preserve">ó </w:t>
      </w:r>
      <w:r>
        <w:rPr>
          <w:spacing w:val="-4"/>
        </w:rPr>
        <w:t>sendos</w:t>
      </w:r>
      <w:r w:rsidR="00425832">
        <w:rPr>
          <w:spacing w:val="-4"/>
        </w:rPr>
        <w:t xml:space="preserve"> reconocimientos fotográficos de </w:t>
      </w:r>
      <w:r w:rsidR="00B06B4A">
        <w:rPr>
          <w:spacing w:val="-4"/>
        </w:rPr>
        <w:t xml:space="preserve">quienes </w:t>
      </w:r>
      <w:r w:rsidR="00425832">
        <w:rPr>
          <w:spacing w:val="-4"/>
        </w:rPr>
        <w:t>fueron vinculad</w:t>
      </w:r>
      <w:r w:rsidR="00B06B4A">
        <w:rPr>
          <w:spacing w:val="-4"/>
        </w:rPr>
        <w:t>o</w:t>
      </w:r>
      <w:r w:rsidR="00425832">
        <w:rPr>
          <w:spacing w:val="-4"/>
        </w:rPr>
        <w:t>s a la actuación</w:t>
      </w:r>
      <w:r>
        <w:rPr>
          <w:spacing w:val="-4"/>
        </w:rPr>
        <w:t xml:space="preserve"> </w:t>
      </w:r>
      <w:r w:rsidRPr="004D0A48">
        <w:rPr>
          <w:rFonts w:ascii="Bookman Old Style" w:hAnsi="Bookman Old Style"/>
          <w:spacing w:val="-4"/>
          <w:sz w:val="22"/>
          <w:szCs w:val="22"/>
        </w:rPr>
        <w:t>-</w:t>
      </w:r>
      <w:r w:rsidR="00425832" w:rsidRPr="004D0A48">
        <w:rPr>
          <w:rFonts w:ascii="Bookman Old Style" w:hAnsi="Bookman Old Style"/>
          <w:spacing w:val="-4"/>
          <w:sz w:val="22"/>
          <w:szCs w:val="22"/>
        </w:rPr>
        <w:t>cuyas actas no ingresaron a juicio</w:t>
      </w:r>
      <w:r w:rsidRPr="004D0A48">
        <w:rPr>
          <w:rFonts w:ascii="Bookman Old Style" w:hAnsi="Bookman Old Style"/>
          <w:spacing w:val="-4"/>
          <w:sz w:val="22"/>
          <w:szCs w:val="22"/>
        </w:rPr>
        <w:t>-</w:t>
      </w:r>
      <w:r w:rsidR="00425832">
        <w:rPr>
          <w:spacing w:val="-4"/>
        </w:rPr>
        <w:t xml:space="preserve">, </w:t>
      </w:r>
      <w:r w:rsidR="00EE248D">
        <w:rPr>
          <w:spacing w:val="-4"/>
        </w:rPr>
        <w:t>adverando</w:t>
      </w:r>
      <w:r>
        <w:rPr>
          <w:spacing w:val="-4"/>
        </w:rPr>
        <w:t xml:space="preserve"> en el </w:t>
      </w:r>
      <w:r w:rsidR="00EE248D">
        <w:rPr>
          <w:spacing w:val="-4"/>
        </w:rPr>
        <w:t>i</w:t>
      </w:r>
      <w:r w:rsidR="003259A3">
        <w:rPr>
          <w:spacing w:val="-4"/>
        </w:rPr>
        <w:t xml:space="preserve">nterrogatorio directo que </w:t>
      </w:r>
      <w:r w:rsidR="00425832">
        <w:rPr>
          <w:spacing w:val="-4"/>
        </w:rPr>
        <w:t xml:space="preserve">en esa ocasión </w:t>
      </w:r>
      <w:r w:rsidR="00425832" w:rsidRPr="00597E74">
        <w:rPr>
          <w:rFonts w:ascii="Bookman Old Style" w:hAnsi="Bookman Old Style"/>
          <w:spacing w:val="-4"/>
          <w:sz w:val="22"/>
          <w:szCs w:val="22"/>
        </w:rPr>
        <w:t xml:space="preserve">“me mostraron un </w:t>
      </w:r>
      <w:r w:rsidR="00597E74">
        <w:rPr>
          <w:rFonts w:ascii="Bookman Old Style" w:hAnsi="Bookman Old Style"/>
          <w:spacing w:val="-4"/>
          <w:sz w:val="22"/>
          <w:szCs w:val="22"/>
        </w:rPr>
        <w:t>á</w:t>
      </w:r>
      <w:r w:rsidR="00425832" w:rsidRPr="00597E74">
        <w:rPr>
          <w:rFonts w:ascii="Bookman Old Style" w:hAnsi="Bookman Old Style"/>
          <w:spacing w:val="-4"/>
          <w:sz w:val="22"/>
          <w:szCs w:val="22"/>
        </w:rPr>
        <w:t>lbu</w:t>
      </w:r>
      <w:r w:rsidR="00597E74">
        <w:rPr>
          <w:rFonts w:ascii="Bookman Old Style" w:hAnsi="Bookman Old Style"/>
          <w:spacing w:val="-4"/>
          <w:sz w:val="22"/>
          <w:szCs w:val="22"/>
        </w:rPr>
        <w:t>m</w:t>
      </w:r>
      <w:r w:rsidR="00425832" w:rsidRPr="00597E74">
        <w:rPr>
          <w:rFonts w:ascii="Bookman Old Style" w:hAnsi="Bookman Old Style"/>
          <w:spacing w:val="-4"/>
          <w:sz w:val="22"/>
          <w:szCs w:val="22"/>
        </w:rPr>
        <w:t xml:space="preserve"> con el que aparentemente era el conductor de la moto </w:t>
      </w:r>
      <w:r w:rsidR="00425832" w:rsidRPr="00F66203">
        <w:rPr>
          <w:rFonts w:ascii="Bookman Old Style" w:hAnsi="Bookman Old Style"/>
          <w:b/>
          <w:bCs/>
          <w:spacing w:val="-4"/>
          <w:sz w:val="22"/>
          <w:szCs w:val="22"/>
        </w:rPr>
        <w:t>y yo elegí</w:t>
      </w:r>
      <w:r w:rsidR="00597E74" w:rsidRPr="00597E74">
        <w:rPr>
          <w:rFonts w:ascii="Bookman Old Style" w:hAnsi="Bookman Old Style"/>
          <w:spacing w:val="-4"/>
          <w:sz w:val="22"/>
          <w:szCs w:val="22"/>
        </w:rPr>
        <w:t xml:space="preserve"> […] porque cuando […] a uno le muestran muchas opciones  y creo que son diez fotos […] de ahí me indicaron cuál era el que iba manejando la moto”</w:t>
      </w:r>
      <w:r w:rsidR="00597E74">
        <w:rPr>
          <w:spacing w:val="-4"/>
        </w:rPr>
        <w:t xml:space="preserve">, y </w:t>
      </w:r>
      <w:r w:rsidR="003259A3">
        <w:rPr>
          <w:spacing w:val="-4"/>
        </w:rPr>
        <w:t xml:space="preserve">ante pregunta de la delegada fiscal, sobre quien era esa persona </w:t>
      </w:r>
      <w:r w:rsidR="00597E74">
        <w:rPr>
          <w:spacing w:val="-4"/>
        </w:rPr>
        <w:t xml:space="preserve">contestó que </w:t>
      </w:r>
      <w:r w:rsidR="00597E74" w:rsidRPr="00597E74">
        <w:rPr>
          <w:rFonts w:ascii="Bookman Old Style" w:hAnsi="Bookman Old Style"/>
          <w:spacing w:val="-4"/>
          <w:sz w:val="22"/>
          <w:szCs w:val="22"/>
        </w:rPr>
        <w:t>“era el señor que está aquí sentado al lado mío”</w:t>
      </w:r>
      <w:r w:rsidR="00597E74">
        <w:rPr>
          <w:spacing w:val="-4"/>
        </w:rPr>
        <w:t xml:space="preserve"> y de la misma manera </w:t>
      </w:r>
      <w:r w:rsidR="00597E74" w:rsidRPr="00597E74">
        <w:rPr>
          <w:rFonts w:ascii="Bookman Old Style" w:hAnsi="Bookman Old Style"/>
          <w:spacing w:val="-4"/>
          <w:sz w:val="22"/>
          <w:szCs w:val="22"/>
        </w:rPr>
        <w:t>“el que iba de patrullero [quiso decir parrillero] en la moto […] el que se bajó con el arma y me apuntó”</w:t>
      </w:r>
      <w:r w:rsidR="003259A3">
        <w:rPr>
          <w:spacing w:val="-4"/>
        </w:rPr>
        <w:t>,</w:t>
      </w:r>
      <w:r w:rsidR="005F0E03">
        <w:rPr>
          <w:spacing w:val="-4"/>
        </w:rPr>
        <w:t xml:space="preserve"> </w:t>
      </w:r>
      <w:r w:rsidR="003259A3">
        <w:rPr>
          <w:spacing w:val="-4"/>
        </w:rPr>
        <w:t xml:space="preserve">para </w:t>
      </w:r>
      <w:r w:rsidR="00AB6504">
        <w:rPr>
          <w:spacing w:val="-4"/>
        </w:rPr>
        <w:t xml:space="preserve">posteriormente </w:t>
      </w:r>
      <w:r w:rsidR="003259A3">
        <w:rPr>
          <w:spacing w:val="-4"/>
        </w:rPr>
        <w:t xml:space="preserve">pregonar </w:t>
      </w:r>
      <w:r w:rsidR="00AB6504">
        <w:rPr>
          <w:spacing w:val="-4"/>
        </w:rPr>
        <w:t xml:space="preserve">ante cuestionamiento de la delegada fiscal </w:t>
      </w:r>
      <w:r w:rsidR="003259A3">
        <w:rPr>
          <w:spacing w:val="-4"/>
        </w:rPr>
        <w:t>que tuvo certeza de l</w:t>
      </w:r>
      <w:r w:rsidR="0025351D">
        <w:rPr>
          <w:spacing w:val="-4"/>
        </w:rPr>
        <w:t>o</w:t>
      </w:r>
      <w:r w:rsidR="003259A3">
        <w:rPr>
          <w:spacing w:val="-4"/>
        </w:rPr>
        <w:t xml:space="preserve">s dos </w:t>
      </w:r>
      <w:r w:rsidR="00B06B4A">
        <w:rPr>
          <w:spacing w:val="-4"/>
        </w:rPr>
        <w:t xml:space="preserve">ciudadanos </w:t>
      </w:r>
      <w:r w:rsidR="003259A3">
        <w:rPr>
          <w:spacing w:val="-4"/>
        </w:rPr>
        <w:t>que se desplazaban en la motocicleta.</w:t>
      </w:r>
    </w:p>
    <w:p w14:paraId="58BA6C81" w14:textId="77777777" w:rsidR="003259A3" w:rsidRDefault="003259A3" w:rsidP="00FA7644">
      <w:pPr>
        <w:spacing w:line="276" w:lineRule="auto"/>
        <w:rPr>
          <w:spacing w:val="-4"/>
        </w:rPr>
      </w:pPr>
    </w:p>
    <w:p w14:paraId="02E1690F" w14:textId="7147A6E8" w:rsidR="003259A3" w:rsidRDefault="003259A3" w:rsidP="00FA7644">
      <w:pPr>
        <w:spacing w:line="276" w:lineRule="auto"/>
        <w:rPr>
          <w:spacing w:val="-4"/>
        </w:rPr>
      </w:pPr>
      <w:r>
        <w:rPr>
          <w:spacing w:val="-4"/>
        </w:rPr>
        <w:t xml:space="preserve">En sede de contrainterrogatorio dicha testigo refirió que en </w:t>
      </w:r>
      <w:r w:rsidR="005F0E03">
        <w:rPr>
          <w:spacing w:val="-4"/>
        </w:rPr>
        <w:t>el aludido reconocimiento</w:t>
      </w:r>
      <w:r w:rsidR="00B06B4A">
        <w:rPr>
          <w:spacing w:val="-4"/>
        </w:rPr>
        <w:t xml:space="preserve"> </w:t>
      </w:r>
      <w:r w:rsidR="00425832">
        <w:rPr>
          <w:spacing w:val="-4"/>
        </w:rPr>
        <w:t xml:space="preserve">identificó tanto al conductor como al parrillero de la motocicleta, que para este caso lo </w:t>
      </w:r>
      <w:r w:rsidR="005F0E03">
        <w:rPr>
          <w:spacing w:val="-4"/>
        </w:rPr>
        <w:t>es</w:t>
      </w:r>
      <w:r w:rsidR="00425832">
        <w:rPr>
          <w:spacing w:val="-4"/>
        </w:rPr>
        <w:t xml:space="preserve"> </w:t>
      </w:r>
      <w:r w:rsidR="00D60502">
        <w:rPr>
          <w:b/>
          <w:bCs/>
          <w:spacing w:val="-4"/>
          <w:sz w:val="22"/>
          <w:szCs w:val="22"/>
        </w:rPr>
        <w:t>DSRM</w:t>
      </w:r>
      <w:r w:rsidR="00425832">
        <w:rPr>
          <w:spacing w:val="-4"/>
        </w:rPr>
        <w:t xml:space="preserve">, </w:t>
      </w:r>
      <w:r>
        <w:rPr>
          <w:spacing w:val="-4"/>
        </w:rPr>
        <w:t xml:space="preserve">toda vez que le </w:t>
      </w:r>
      <w:r w:rsidR="00425832">
        <w:rPr>
          <w:spacing w:val="-4"/>
        </w:rPr>
        <w:t xml:space="preserve">pasaron dos álbumes, uno con </w:t>
      </w:r>
      <w:r w:rsidR="0025351D">
        <w:rPr>
          <w:spacing w:val="-4"/>
        </w:rPr>
        <w:t>“</w:t>
      </w:r>
      <w:r w:rsidR="00425832">
        <w:rPr>
          <w:spacing w:val="-4"/>
        </w:rPr>
        <w:t>morenitos</w:t>
      </w:r>
      <w:r w:rsidR="0025351D">
        <w:rPr>
          <w:spacing w:val="-4"/>
        </w:rPr>
        <w:t>”</w:t>
      </w:r>
      <w:r w:rsidR="00425832">
        <w:rPr>
          <w:spacing w:val="-4"/>
        </w:rPr>
        <w:t xml:space="preserve"> y otros con </w:t>
      </w:r>
      <w:r w:rsidR="0025351D">
        <w:rPr>
          <w:spacing w:val="-4"/>
        </w:rPr>
        <w:t>“</w:t>
      </w:r>
      <w:r w:rsidR="00425832">
        <w:rPr>
          <w:spacing w:val="-4"/>
        </w:rPr>
        <w:t>gordos</w:t>
      </w:r>
      <w:r w:rsidR="0025351D">
        <w:rPr>
          <w:spacing w:val="-4"/>
        </w:rPr>
        <w:t>”</w:t>
      </w:r>
      <w:r w:rsidR="00425832">
        <w:rPr>
          <w:spacing w:val="-4"/>
        </w:rPr>
        <w:t xml:space="preserve"> </w:t>
      </w:r>
      <w:r w:rsidR="00425832" w:rsidRPr="00425832">
        <w:rPr>
          <w:rFonts w:ascii="Bookman Old Style" w:hAnsi="Bookman Old Style"/>
          <w:spacing w:val="-4"/>
          <w:sz w:val="22"/>
          <w:szCs w:val="22"/>
        </w:rPr>
        <w:t>-dada la descripción que dio del conducto</w:t>
      </w:r>
      <w:r w:rsidR="00425832">
        <w:rPr>
          <w:rFonts w:ascii="Bookman Old Style" w:hAnsi="Bookman Old Style"/>
          <w:spacing w:val="-4"/>
          <w:sz w:val="22"/>
          <w:szCs w:val="22"/>
        </w:rPr>
        <w:t xml:space="preserve">r-, </w:t>
      </w:r>
      <w:r w:rsidRPr="003259A3">
        <w:rPr>
          <w:spacing w:val="-4"/>
        </w:rPr>
        <w:t>a la vez que asintió, ante pregunta de la defensa, que le habían pasado un álbum para los efectos de que reconociera al conductor</w:t>
      </w:r>
      <w:r>
        <w:rPr>
          <w:spacing w:val="-4"/>
        </w:rPr>
        <w:t xml:space="preserve"> y </w:t>
      </w:r>
      <w:r w:rsidRPr="003259A3">
        <w:rPr>
          <w:spacing w:val="-4"/>
        </w:rPr>
        <w:t>al parrillero</w:t>
      </w:r>
      <w:r>
        <w:rPr>
          <w:spacing w:val="-4"/>
        </w:rPr>
        <w:t>.</w:t>
      </w:r>
    </w:p>
    <w:p w14:paraId="1C880FE9" w14:textId="77777777" w:rsidR="00C6470C" w:rsidRDefault="00C6470C" w:rsidP="00FA7644">
      <w:pPr>
        <w:spacing w:line="276" w:lineRule="auto"/>
        <w:rPr>
          <w:spacing w:val="-4"/>
        </w:rPr>
      </w:pPr>
    </w:p>
    <w:p w14:paraId="2AD71E9C" w14:textId="0A6252C0" w:rsidR="00896BDC" w:rsidRDefault="00C6470C" w:rsidP="00C6470C">
      <w:pPr>
        <w:spacing w:line="276" w:lineRule="auto"/>
        <w:rPr>
          <w:spacing w:val="-4"/>
        </w:rPr>
      </w:pPr>
      <w:r>
        <w:rPr>
          <w:spacing w:val="-4"/>
        </w:rPr>
        <w:t xml:space="preserve">Si bien lo expuesto por la testigo </w:t>
      </w:r>
      <w:r w:rsidR="00896BDC">
        <w:rPr>
          <w:spacing w:val="-4"/>
        </w:rPr>
        <w:t xml:space="preserve">podría comportar un direccionamiento de la </w:t>
      </w:r>
      <w:r w:rsidR="00F66203">
        <w:rPr>
          <w:spacing w:val="-4"/>
        </w:rPr>
        <w:t>referida</w:t>
      </w:r>
      <w:r w:rsidR="00896BDC">
        <w:rPr>
          <w:spacing w:val="-4"/>
        </w:rPr>
        <w:t xml:space="preserve"> diligencia de reconocimiento, al </w:t>
      </w:r>
      <w:r w:rsidR="00D0411A">
        <w:rPr>
          <w:spacing w:val="-4"/>
        </w:rPr>
        <w:t>sugerírsele</w:t>
      </w:r>
      <w:r w:rsidR="00BF2508">
        <w:rPr>
          <w:spacing w:val="-4"/>
        </w:rPr>
        <w:t xml:space="preserve"> </w:t>
      </w:r>
      <w:r w:rsidR="00896BDC">
        <w:rPr>
          <w:spacing w:val="-4"/>
        </w:rPr>
        <w:t xml:space="preserve">con antelación a la afectada, qué </w:t>
      </w:r>
      <w:r w:rsidR="00D0411A">
        <w:rPr>
          <w:spacing w:val="-4"/>
        </w:rPr>
        <w:t>rol</w:t>
      </w:r>
      <w:r w:rsidR="00EC7161">
        <w:rPr>
          <w:spacing w:val="-4"/>
        </w:rPr>
        <w:t xml:space="preserve"> desempeñó en el hecho</w:t>
      </w:r>
      <w:r w:rsidR="00D0411A">
        <w:rPr>
          <w:spacing w:val="-4"/>
        </w:rPr>
        <w:t xml:space="preserve"> punible</w:t>
      </w:r>
      <w:r w:rsidR="00EC7161">
        <w:rPr>
          <w:spacing w:val="-4"/>
        </w:rPr>
        <w:t xml:space="preserve"> la </w:t>
      </w:r>
      <w:r w:rsidR="00896BDC">
        <w:rPr>
          <w:spacing w:val="-4"/>
        </w:rPr>
        <w:t xml:space="preserve">persona </w:t>
      </w:r>
      <w:r w:rsidR="00EC7161">
        <w:rPr>
          <w:spacing w:val="-4"/>
        </w:rPr>
        <w:t xml:space="preserve">a </w:t>
      </w:r>
      <w:r w:rsidR="00896BDC">
        <w:rPr>
          <w:spacing w:val="-4"/>
        </w:rPr>
        <w:t xml:space="preserve">identificar en cada uno de los álbumes puestos a su consideración, </w:t>
      </w:r>
      <w:r>
        <w:rPr>
          <w:spacing w:val="-4"/>
        </w:rPr>
        <w:t xml:space="preserve">toda vez que de sus </w:t>
      </w:r>
      <w:r w:rsidR="00896BDC">
        <w:rPr>
          <w:spacing w:val="-4"/>
        </w:rPr>
        <w:t>dichos se desprende que se le pudo haber i</w:t>
      </w:r>
      <w:r w:rsidR="00D0411A">
        <w:rPr>
          <w:spacing w:val="-4"/>
        </w:rPr>
        <w:t>nsinuado</w:t>
      </w:r>
      <w:r w:rsidR="00896BDC">
        <w:rPr>
          <w:spacing w:val="-4"/>
        </w:rPr>
        <w:t xml:space="preserve"> que en un</w:t>
      </w:r>
      <w:r w:rsidR="00D0411A">
        <w:rPr>
          <w:spacing w:val="-4"/>
        </w:rPr>
        <w:t xml:space="preserve"> álbum</w:t>
      </w:r>
      <w:r w:rsidR="00896BDC">
        <w:rPr>
          <w:spacing w:val="-4"/>
        </w:rPr>
        <w:t xml:space="preserve"> podría </w:t>
      </w:r>
      <w:r w:rsidR="00BF2508">
        <w:rPr>
          <w:spacing w:val="-4"/>
        </w:rPr>
        <w:t>percibir a</w:t>
      </w:r>
      <w:r w:rsidR="00896BDC">
        <w:rPr>
          <w:spacing w:val="-4"/>
        </w:rPr>
        <w:t>l conductor y en otro al parrillero,</w:t>
      </w:r>
      <w:r w:rsidR="0084685F">
        <w:rPr>
          <w:spacing w:val="-4"/>
        </w:rPr>
        <w:t xml:space="preserve"> </w:t>
      </w:r>
      <w:r w:rsidR="00896BDC" w:rsidRPr="0084685F">
        <w:rPr>
          <w:spacing w:val="-4"/>
        </w:rPr>
        <w:t>cuando lo correcto</w:t>
      </w:r>
      <w:r w:rsidR="00896BDC">
        <w:rPr>
          <w:spacing w:val="-4"/>
        </w:rPr>
        <w:t xml:space="preserve"> era simplemente enseñarle tales fotografías, sin anticiparle </w:t>
      </w:r>
      <w:r w:rsidR="0084685F">
        <w:rPr>
          <w:spacing w:val="-4"/>
        </w:rPr>
        <w:t>la ubicación de cada uno de los implicados</w:t>
      </w:r>
      <w:r w:rsidR="00896BDC">
        <w:rPr>
          <w:spacing w:val="-4"/>
        </w:rPr>
        <w:t xml:space="preserve">, para que fuera ella de manera </w:t>
      </w:r>
      <w:r w:rsidR="0084685F">
        <w:rPr>
          <w:spacing w:val="-4"/>
        </w:rPr>
        <w:t xml:space="preserve">libre y </w:t>
      </w:r>
      <w:r w:rsidR="00896BDC">
        <w:rPr>
          <w:spacing w:val="-4"/>
        </w:rPr>
        <w:t xml:space="preserve">espontánea la que manifestara a quien </w:t>
      </w:r>
      <w:r w:rsidR="00FB2EA4">
        <w:rPr>
          <w:spacing w:val="-4"/>
        </w:rPr>
        <w:t xml:space="preserve">señalaba </w:t>
      </w:r>
      <w:r w:rsidR="00896BDC">
        <w:rPr>
          <w:spacing w:val="-4"/>
        </w:rPr>
        <w:t xml:space="preserve">y </w:t>
      </w:r>
      <w:r w:rsidR="00882245">
        <w:rPr>
          <w:spacing w:val="-4"/>
        </w:rPr>
        <w:t xml:space="preserve">sus </w:t>
      </w:r>
      <w:r w:rsidR="00896BDC">
        <w:rPr>
          <w:spacing w:val="-4"/>
        </w:rPr>
        <w:t>motivos</w:t>
      </w:r>
      <w:r>
        <w:rPr>
          <w:spacing w:val="-4"/>
        </w:rPr>
        <w:t xml:space="preserve">, ello </w:t>
      </w:r>
      <w:r w:rsidRPr="00C6470C">
        <w:rPr>
          <w:i/>
          <w:spacing w:val="-4"/>
        </w:rPr>
        <w:t>per se</w:t>
      </w:r>
      <w:r>
        <w:rPr>
          <w:spacing w:val="-4"/>
        </w:rPr>
        <w:t>,</w:t>
      </w:r>
      <w:r w:rsidR="009C1E32">
        <w:rPr>
          <w:spacing w:val="-4"/>
        </w:rPr>
        <w:t xml:space="preserve"> </w:t>
      </w:r>
      <w:r>
        <w:rPr>
          <w:spacing w:val="-4"/>
        </w:rPr>
        <w:t>no desdice</w:t>
      </w:r>
      <w:r w:rsidR="009C1E32">
        <w:rPr>
          <w:spacing w:val="-4"/>
        </w:rPr>
        <w:t>, ni invalida</w:t>
      </w:r>
      <w:r>
        <w:rPr>
          <w:spacing w:val="-4"/>
        </w:rPr>
        <w:t xml:space="preserve">, al menos </w:t>
      </w:r>
      <w:r w:rsidR="009C1E32">
        <w:rPr>
          <w:spacing w:val="-4"/>
        </w:rPr>
        <w:t xml:space="preserve">respecto </w:t>
      </w:r>
      <w:r>
        <w:rPr>
          <w:spacing w:val="-4"/>
        </w:rPr>
        <w:t xml:space="preserve">del reconocimiento que hizo </w:t>
      </w:r>
      <w:r w:rsidR="0002220C">
        <w:rPr>
          <w:spacing w:val="-4"/>
        </w:rPr>
        <w:t xml:space="preserve">de </w:t>
      </w:r>
      <w:r w:rsidR="00D60502">
        <w:rPr>
          <w:b/>
          <w:spacing w:val="-4"/>
          <w:sz w:val="22"/>
          <w:szCs w:val="22"/>
        </w:rPr>
        <w:t>DSRM</w:t>
      </w:r>
      <w:r>
        <w:rPr>
          <w:spacing w:val="-4"/>
        </w:rPr>
        <w:t xml:space="preserve">, en tanto a la postre, sin que </w:t>
      </w:r>
      <w:r w:rsidR="009C1E32">
        <w:rPr>
          <w:spacing w:val="-4"/>
        </w:rPr>
        <w:t xml:space="preserve">se </w:t>
      </w:r>
      <w:r>
        <w:rPr>
          <w:spacing w:val="-4"/>
        </w:rPr>
        <w:t xml:space="preserve">le hubiera </w:t>
      </w:r>
      <w:r w:rsidR="00BF2508">
        <w:rPr>
          <w:spacing w:val="-4"/>
        </w:rPr>
        <w:t xml:space="preserve">referido </w:t>
      </w:r>
      <w:r w:rsidR="009C1E32">
        <w:rPr>
          <w:spacing w:val="-4"/>
        </w:rPr>
        <w:t xml:space="preserve">específicamente </w:t>
      </w:r>
      <w:r>
        <w:rPr>
          <w:spacing w:val="-4"/>
        </w:rPr>
        <w:t xml:space="preserve">cuál era su fotografía, logró señalarlo en esa precisa oportunidad, lo que </w:t>
      </w:r>
      <w:r w:rsidR="001522C6">
        <w:rPr>
          <w:spacing w:val="-4"/>
        </w:rPr>
        <w:t xml:space="preserve">finalmente </w:t>
      </w:r>
      <w:r>
        <w:rPr>
          <w:spacing w:val="-4"/>
        </w:rPr>
        <w:t xml:space="preserve">permitió su vinculación formal al proceso, </w:t>
      </w:r>
      <w:r w:rsidR="0016074D">
        <w:rPr>
          <w:spacing w:val="-4"/>
        </w:rPr>
        <w:t xml:space="preserve">por lo que tal </w:t>
      </w:r>
      <w:r>
        <w:rPr>
          <w:spacing w:val="-4"/>
        </w:rPr>
        <w:t xml:space="preserve">actuación </w:t>
      </w:r>
      <w:r w:rsidR="0016074D">
        <w:rPr>
          <w:spacing w:val="-4"/>
        </w:rPr>
        <w:t xml:space="preserve">no se considera </w:t>
      </w:r>
      <w:r>
        <w:rPr>
          <w:spacing w:val="-4"/>
        </w:rPr>
        <w:t xml:space="preserve">viciada, máxime cuando se </w:t>
      </w:r>
      <w:r w:rsidR="00437025">
        <w:rPr>
          <w:spacing w:val="-4"/>
        </w:rPr>
        <w:t>sabe que en la misma debió intervenir un delegad</w:t>
      </w:r>
      <w:r w:rsidR="0002220C">
        <w:rPr>
          <w:spacing w:val="-4"/>
        </w:rPr>
        <w:t>o</w:t>
      </w:r>
      <w:r w:rsidR="00437025">
        <w:rPr>
          <w:spacing w:val="-4"/>
        </w:rPr>
        <w:t xml:space="preserve"> de la Procuraduría, sin que se conociera de observación alguna al respecto, o por lo menos acerca de ello nada se debatió.</w:t>
      </w:r>
    </w:p>
    <w:p w14:paraId="57F9DBB2" w14:textId="77777777" w:rsidR="001522C6" w:rsidRDefault="001522C6" w:rsidP="00C6470C">
      <w:pPr>
        <w:spacing w:line="276" w:lineRule="auto"/>
        <w:rPr>
          <w:spacing w:val="-4"/>
        </w:rPr>
      </w:pPr>
    </w:p>
    <w:p w14:paraId="19BE23A9" w14:textId="68E19AB6" w:rsidR="00437025" w:rsidRDefault="00C6470C" w:rsidP="00FA7644">
      <w:pPr>
        <w:spacing w:line="276" w:lineRule="auto"/>
        <w:rPr>
          <w:spacing w:val="-4"/>
        </w:rPr>
      </w:pPr>
      <w:r w:rsidRPr="00D5662F">
        <w:rPr>
          <w:spacing w:val="-4"/>
        </w:rPr>
        <w:t>Aunque la fiscal</w:t>
      </w:r>
      <w:r>
        <w:rPr>
          <w:spacing w:val="-4"/>
        </w:rPr>
        <w:t xml:space="preserve"> que intervino, no arrimó a juicio el acta de reconocimiento, como lo echa de menos </w:t>
      </w:r>
      <w:r w:rsidR="00A4171C">
        <w:rPr>
          <w:spacing w:val="-4"/>
        </w:rPr>
        <w:t>la defensora no recurrente</w:t>
      </w:r>
      <w:r>
        <w:rPr>
          <w:spacing w:val="-4"/>
        </w:rPr>
        <w:t xml:space="preserve">, ello no permite soportar que tal diligencia no </w:t>
      </w:r>
      <w:r w:rsidR="00000B6A">
        <w:rPr>
          <w:spacing w:val="-4"/>
        </w:rPr>
        <w:t>se hubiese realizado</w:t>
      </w:r>
      <w:r w:rsidR="00A4171C">
        <w:rPr>
          <w:spacing w:val="-4"/>
        </w:rPr>
        <w:t xml:space="preserve"> </w:t>
      </w:r>
      <w:r>
        <w:rPr>
          <w:spacing w:val="-4"/>
        </w:rPr>
        <w:t>ni mucho menos que la identificación que en esa ocasión realizó la testigo VALENTINA RÍOS</w:t>
      </w:r>
      <w:r w:rsidR="00323C75">
        <w:rPr>
          <w:spacing w:val="-4"/>
        </w:rPr>
        <w:t xml:space="preserve"> fue</w:t>
      </w:r>
      <w:r w:rsidR="00000B6A">
        <w:rPr>
          <w:spacing w:val="-4"/>
        </w:rPr>
        <w:t>se</w:t>
      </w:r>
      <w:r w:rsidR="00323C75">
        <w:rPr>
          <w:spacing w:val="-4"/>
        </w:rPr>
        <w:t xml:space="preserve"> inválida</w:t>
      </w:r>
      <w:r w:rsidR="00437025">
        <w:rPr>
          <w:spacing w:val="-4"/>
        </w:rPr>
        <w:t xml:space="preserve"> y por el contrario, ello permite refrendar que ese conocimiento directo que tuvo de la persona que </w:t>
      </w:r>
      <w:r w:rsidR="00000B6A">
        <w:rPr>
          <w:spacing w:val="-4"/>
        </w:rPr>
        <w:lastRenderedPageBreak/>
        <w:t xml:space="preserve">en la ejecución del ilícito investigado actuó como </w:t>
      </w:r>
      <w:r w:rsidR="00437025">
        <w:rPr>
          <w:spacing w:val="-4"/>
        </w:rPr>
        <w:t>parrillero</w:t>
      </w:r>
      <w:r w:rsidR="00000B6A">
        <w:rPr>
          <w:spacing w:val="-4"/>
        </w:rPr>
        <w:t>,</w:t>
      </w:r>
      <w:r w:rsidR="00437025">
        <w:rPr>
          <w:spacing w:val="-4"/>
        </w:rPr>
        <w:t xml:space="preserve"> se bajó</w:t>
      </w:r>
      <w:r w:rsidR="00000B6A">
        <w:rPr>
          <w:spacing w:val="-4"/>
        </w:rPr>
        <w:t xml:space="preserve"> de la moto</w:t>
      </w:r>
      <w:r w:rsidR="00437025">
        <w:rPr>
          <w:spacing w:val="-4"/>
        </w:rPr>
        <w:t>, la intimidó con un arma y le hurtó sus pertenencias, fue corroborado en esa o</w:t>
      </w:r>
      <w:r w:rsidR="00B06B4A">
        <w:rPr>
          <w:spacing w:val="-4"/>
        </w:rPr>
        <w:t>portunidad</w:t>
      </w:r>
      <w:r w:rsidR="00437025">
        <w:rPr>
          <w:spacing w:val="-4"/>
        </w:rPr>
        <w:t>.</w:t>
      </w:r>
    </w:p>
    <w:p w14:paraId="2E6ACDD5" w14:textId="77777777" w:rsidR="00437025" w:rsidRDefault="00437025" w:rsidP="00FA7644">
      <w:pPr>
        <w:spacing w:line="276" w:lineRule="auto"/>
        <w:rPr>
          <w:spacing w:val="-4"/>
        </w:rPr>
      </w:pPr>
    </w:p>
    <w:p w14:paraId="52672A23" w14:textId="7D197B51" w:rsidR="005077C3" w:rsidRDefault="00437025" w:rsidP="00437025">
      <w:pPr>
        <w:spacing w:line="276" w:lineRule="auto"/>
        <w:rPr>
          <w:rFonts w:ascii="Bookman Old Style" w:hAnsi="Bookman Old Style" w:cs="Tahoma"/>
          <w:spacing w:val="-4"/>
          <w:sz w:val="22"/>
          <w:szCs w:val="22"/>
          <w:lang w:val="es-ES_tradnl"/>
        </w:rPr>
      </w:pPr>
      <w:r>
        <w:rPr>
          <w:spacing w:val="-4"/>
        </w:rPr>
        <w:t xml:space="preserve">Si bien es cierto, podría haberse </w:t>
      </w:r>
      <w:r w:rsidR="00987E9D">
        <w:rPr>
          <w:spacing w:val="-4"/>
        </w:rPr>
        <w:t xml:space="preserve">efectuado </w:t>
      </w:r>
      <w:r>
        <w:rPr>
          <w:spacing w:val="-4"/>
        </w:rPr>
        <w:t xml:space="preserve">una diligencia de reconocimiento en fila de personas, respecto de la cual la A-quo se pronunció, a ese respecto debe </w:t>
      </w:r>
      <w:r w:rsidR="00FD3D72">
        <w:rPr>
          <w:spacing w:val="-4"/>
        </w:rPr>
        <w:t>indicarse</w:t>
      </w:r>
      <w:r>
        <w:rPr>
          <w:spacing w:val="-4"/>
        </w:rPr>
        <w:t xml:space="preserve"> que la</w:t>
      </w:r>
      <w:r>
        <w:rPr>
          <w:rFonts w:cs="Tahoma"/>
          <w:spacing w:val="-4"/>
        </w:rPr>
        <w:t xml:space="preserve"> </w:t>
      </w:r>
      <w:r w:rsidR="005077C3" w:rsidRPr="007F25AF">
        <w:rPr>
          <w:rFonts w:cs="Tahoma"/>
          <w:spacing w:val="-4"/>
        </w:rPr>
        <w:t xml:space="preserve">jurisprudencia </w:t>
      </w:r>
      <w:r>
        <w:rPr>
          <w:rFonts w:cs="Tahoma"/>
          <w:spacing w:val="-4"/>
        </w:rPr>
        <w:t>ha precisado que</w:t>
      </w:r>
      <w:r w:rsidR="005077C3" w:rsidRPr="007F25AF">
        <w:rPr>
          <w:rFonts w:cs="Tahoma"/>
          <w:spacing w:val="-4"/>
        </w:rPr>
        <w:t xml:space="preserve"> un reconocimiento no es una prueba autónoma que pueda apreciarse de manera independiente</w:t>
      </w:r>
      <w:r>
        <w:rPr>
          <w:rFonts w:cs="Tahoma"/>
          <w:spacing w:val="-4"/>
        </w:rPr>
        <w:t xml:space="preserve">, por cuanto se trata </w:t>
      </w:r>
      <w:r w:rsidR="005077C3" w:rsidRPr="007F25AF">
        <w:rPr>
          <w:rFonts w:cs="Tahoma"/>
          <w:spacing w:val="-4"/>
        </w:rPr>
        <w:t xml:space="preserve">de una prolongación del testimonio de quien lo realiza, el cual se entiende sometido en su estimación a las reglas de la sana crítica. Igualmente se ha </w:t>
      </w:r>
      <w:r w:rsidR="00474857">
        <w:rPr>
          <w:rFonts w:cs="Tahoma"/>
          <w:spacing w:val="-4"/>
        </w:rPr>
        <w:t>dicho</w:t>
      </w:r>
      <w:r w:rsidR="005077C3" w:rsidRPr="007F25AF">
        <w:rPr>
          <w:rFonts w:cs="Tahoma"/>
          <w:spacing w:val="-4"/>
        </w:rPr>
        <w:t>, que son relativos los efectos que se presentan cuando la víctima observa con antelación al sujeto a reconocer</w:t>
      </w:r>
      <w:r w:rsidR="005077C3" w:rsidRPr="007F25AF">
        <w:rPr>
          <w:rFonts w:cs="Tahoma"/>
          <w:spacing w:val="-4"/>
          <w:lang w:val="es-ES_tradnl"/>
        </w:rPr>
        <w:t>, bien en persona o por medio de una fotografía, llegándose incluso a decir que en no pocas ocasiones esa situación es inevitable y por lo mismo forzosamente comprensible</w:t>
      </w:r>
      <w:r w:rsidR="005077C3">
        <w:rPr>
          <w:rFonts w:cs="Tahoma"/>
          <w:spacing w:val="-4"/>
          <w:lang w:val="es-ES_tradnl"/>
        </w:rPr>
        <w:t>, como desde otrora lo tiene sentado la jurisprudencia</w:t>
      </w:r>
      <w:r w:rsidR="005077C3" w:rsidRPr="007F25AF">
        <w:rPr>
          <w:rFonts w:cs="Tahoma"/>
          <w:spacing w:val="-4"/>
          <w:lang w:val="es-ES_tradnl"/>
        </w:rPr>
        <w:t xml:space="preserve"> </w:t>
      </w:r>
      <w:r w:rsidR="005077C3">
        <w:rPr>
          <w:rFonts w:cs="Tahoma"/>
          <w:spacing w:val="-4"/>
          <w:lang w:val="es-ES_tradnl"/>
        </w:rPr>
        <w:t>-</w:t>
      </w:r>
      <w:r w:rsidR="005077C3" w:rsidRPr="005077C3">
        <w:rPr>
          <w:rFonts w:ascii="Bookman Old Style" w:hAnsi="Bookman Old Style" w:cs="Tahoma"/>
          <w:spacing w:val="-4"/>
          <w:sz w:val="22"/>
          <w:szCs w:val="22"/>
          <w:lang w:val="es-ES_tradnl"/>
        </w:rPr>
        <w:t>CSJ SP, 2 sep. 1998, Rad. 10106-</w:t>
      </w:r>
      <w:r w:rsidR="005077C3">
        <w:rPr>
          <w:rFonts w:ascii="Bookman Old Style" w:hAnsi="Bookman Old Style" w:cs="Tahoma"/>
          <w:spacing w:val="-4"/>
          <w:sz w:val="22"/>
          <w:szCs w:val="22"/>
          <w:lang w:val="es-ES_tradnl"/>
        </w:rPr>
        <w:t>.</w:t>
      </w:r>
    </w:p>
    <w:p w14:paraId="5AC85EAC" w14:textId="77777777" w:rsidR="005077C3" w:rsidRPr="005077C3" w:rsidRDefault="005077C3" w:rsidP="005077C3">
      <w:pPr>
        <w:spacing w:line="276" w:lineRule="auto"/>
        <w:rPr>
          <w:rFonts w:cs="Tahoma"/>
          <w:spacing w:val="-4"/>
        </w:rPr>
      </w:pPr>
    </w:p>
    <w:p w14:paraId="53E4E425" w14:textId="6BBF954C" w:rsidR="005077C3" w:rsidRDefault="005077C3" w:rsidP="005077C3">
      <w:pPr>
        <w:spacing w:line="276" w:lineRule="auto"/>
        <w:rPr>
          <w:rFonts w:cs="Tahoma"/>
          <w:spacing w:val="-4"/>
        </w:rPr>
      </w:pPr>
      <w:r>
        <w:rPr>
          <w:rFonts w:cs="Tahoma"/>
          <w:spacing w:val="-4"/>
        </w:rPr>
        <w:t xml:space="preserve">En este caso en concreto, como se sabe no se </w:t>
      </w:r>
      <w:r w:rsidRPr="005077C3">
        <w:rPr>
          <w:rFonts w:cs="Tahoma"/>
          <w:spacing w:val="-4"/>
        </w:rPr>
        <w:t xml:space="preserve">hizo reconocimiento en fila de personas, </w:t>
      </w:r>
      <w:r>
        <w:rPr>
          <w:rFonts w:cs="Tahoma"/>
          <w:spacing w:val="-4"/>
        </w:rPr>
        <w:t xml:space="preserve">y acorde con </w:t>
      </w:r>
      <w:r w:rsidRPr="005077C3">
        <w:rPr>
          <w:rFonts w:cs="Tahoma"/>
          <w:spacing w:val="-4"/>
        </w:rPr>
        <w:t xml:space="preserve">los artículos 252 y 253 </w:t>
      </w:r>
      <w:r>
        <w:rPr>
          <w:rFonts w:cs="Tahoma"/>
          <w:spacing w:val="-4"/>
        </w:rPr>
        <w:t>C.P.P.</w:t>
      </w:r>
      <w:r w:rsidRPr="005077C3">
        <w:rPr>
          <w:rFonts w:cs="Tahoma"/>
          <w:spacing w:val="-4"/>
        </w:rPr>
        <w:t xml:space="preserve">, relativos al reconocimiento por medio de fotografías y en fila, se extrae que “es un derecho del procesado” y un correlativo “deber del reconocedor”, realizar el reconocimiento en fila cuando el indiciado o imputado sea aprehendido o se presente voluntariamente.  Y ello permite asegurar por respeto al principio de igualdad de armas, que no solo la Fiscalía sino también la defensa puede y deben solicitar la práctica de ese reconocimiento en rueda de personas, con mayor razón cuando éste último asegura que puede existir una equivocación en el señalamiento y </w:t>
      </w:r>
      <w:r w:rsidRPr="007F25AF">
        <w:rPr>
          <w:rFonts w:cs="Tahoma"/>
          <w:spacing w:val="-4"/>
        </w:rPr>
        <w:t>se pone en tela de juicio la afirmación de los testigos que aseguran que están en capacidad de reconocer a los autores del ilícito.</w:t>
      </w:r>
    </w:p>
    <w:p w14:paraId="0F113C5B" w14:textId="77777777" w:rsidR="005077C3" w:rsidRDefault="005077C3" w:rsidP="005077C3">
      <w:pPr>
        <w:spacing w:line="276" w:lineRule="auto"/>
        <w:rPr>
          <w:rFonts w:cs="Tahoma"/>
          <w:spacing w:val="-4"/>
        </w:rPr>
      </w:pPr>
    </w:p>
    <w:p w14:paraId="23452B87" w14:textId="77777777" w:rsidR="005077C3" w:rsidRPr="007F25AF" w:rsidRDefault="005077C3" w:rsidP="005077C3">
      <w:pPr>
        <w:spacing w:line="276" w:lineRule="auto"/>
        <w:rPr>
          <w:spacing w:val="-4"/>
        </w:rPr>
      </w:pPr>
      <w:r>
        <w:rPr>
          <w:rFonts w:cs="Tahoma"/>
          <w:spacing w:val="-4"/>
        </w:rPr>
        <w:t>En este asunto,</w:t>
      </w:r>
      <w:r w:rsidR="00437025">
        <w:rPr>
          <w:rFonts w:cs="Tahoma"/>
          <w:spacing w:val="-4"/>
        </w:rPr>
        <w:t xml:space="preserve"> el que </w:t>
      </w:r>
      <w:r>
        <w:rPr>
          <w:rFonts w:cs="Tahoma"/>
          <w:spacing w:val="-4"/>
        </w:rPr>
        <w:t xml:space="preserve">no se hubiera </w:t>
      </w:r>
      <w:r w:rsidR="00FB2EA4">
        <w:rPr>
          <w:rFonts w:cs="Tahoma"/>
          <w:spacing w:val="-4"/>
        </w:rPr>
        <w:t>materializado</w:t>
      </w:r>
      <w:r w:rsidR="00FB2EA4">
        <w:rPr>
          <w:spacing w:val="-4"/>
        </w:rPr>
        <w:t xml:space="preserve"> </w:t>
      </w:r>
      <w:r w:rsidRPr="007F25AF">
        <w:rPr>
          <w:spacing w:val="-4"/>
        </w:rPr>
        <w:t xml:space="preserve">el reconocimiento en fila de personas que se echa de menos, no aniquila </w:t>
      </w:r>
      <w:r w:rsidRPr="007F25AF">
        <w:rPr>
          <w:i/>
          <w:spacing w:val="-4"/>
        </w:rPr>
        <w:t>ipso jure</w:t>
      </w:r>
      <w:r w:rsidRPr="007F25AF">
        <w:rPr>
          <w:spacing w:val="-4"/>
        </w:rPr>
        <w:t xml:space="preserve"> el reconocimiento fotográfico anterior, </w:t>
      </w:r>
      <w:r w:rsidR="00437025">
        <w:rPr>
          <w:spacing w:val="-4"/>
        </w:rPr>
        <w:t xml:space="preserve">lo que </w:t>
      </w:r>
      <w:r w:rsidRPr="007F25AF">
        <w:rPr>
          <w:spacing w:val="-4"/>
        </w:rPr>
        <w:t xml:space="preserve">encuentra apoyo </w:t>
      </w:r>
      <w:r w:rsidR="00437025">
        <w:rPr>
          <w:spacing w:val="-4"/>
        </w:rPr>
        <w:t>en jurisprudencia de vieja data -</w:t>
      </w:r>
      <w:r w:rsidRPr="007F25AF">
        <w:rPr>
          <w:spacing w:val="-4"/>
        </w:rPr>
        <w:t>CSJ SP, 29 ago. 2007, Rad. 26276</w:t>
      </w:r>
      <w:r w:rsidR="00437025">
        <w:rPr>
          <w:spacing w:val="-4"/>
        </w:rPr>
        <w:t xml:space="preserve">-, donde se </w:t>
      </w:r>
      <w:r w:rsidRPr="007F25AF">
        <w:rPr>
          <w:spacing w:val="-4"/>
        </w:rPr>
        <w:t xml:space="preserve">expone con claridad que el reconocimiento fotográfico y en fila no se excluyen, se complementan en aquellos casos en los cuales existe duda con respecto a la identificación del verdadero responsable. Textualmente se dijo: </w:t>
      </w:r>
    </w:p>
    <w:p w14:paraId="2FA3A3EC" w14:textId="77777777" w:rsidR="005077C3" w:rsidRPr="007F25AF" w:rsidRDefault="005077C3" w:rsidP="005077C3">
      <w:pPr>
        <w:spacing w:line="276" w:lineRule="auto"/>
        <w:rPr>
          <w:spacing w:val="-4"/>
          <w:sz w:val="32"/>
          <w:szCs w:val="32"/>
        </w:rPr>
      </w:pPr>
    </w:p>
    <w:p w14:paraId="33D47252" w14:textId="2FCF6977" w:rsidR="005077C3" w:rsidRPr="00437025" w:rsidRDefault="005077C3" w:rsidP="00437025">
      <w:pPr>
        <w:spacing w:line="276" w:lineRule="auto"/>
        <w:ind w:left="284" w:right="335"/>
        <w:rPr>
          <w:rFonts w:ascii="Bookman Old Style" w:hAnsi="Bookman Old Style" w:cs="Arial"/>
          <w:spacing w:val="-4"/>
          <w:sz w:val="22"/>
          <w:szCs w:val="22"/>
        </w:rPr>
      </w:pPr>
      <w:r w:rsidRPr="00437025">
        <w:rPr>
          <w:rFonts w:ascii="Bookman Old Style" w:hAnsi="Bookman Old Style" w:cs="Arial"/>
          <w:spacing w:val="-4"/>
          <w:sz w:val="22"/>
          <w:szCs w:val="22"/>
        </w:rPr>
        <w:t>“[é]</w:t>
      </w:r>
      <w:proofErr w:type="spellStart"/>
      <w:r w:rsidRPr="00437025">
        <w:rPr>
          <w:rFonts w:ascii="Bookman Old Style" w:hAnsi="Bookman Old Style" w:cs="Arial"/>
          <w:spacing w:val="-4"/>
          <w:sz w:val="22"/>
          <w:szCs w:val="22"/>
        </w:rPr>
        <w:t>ste</w:t>
      </w:r>
      <w:proofErr w:type="spellEnd"/>
      <w:r w:rsidRPr="00437025">
        <w:rPr>
          <w:rFonts w:ascii="Bookman Old Style" w:hAnsi="Bookman Old Style" w:cs="Arial"/>
          <w:spacing w:val="-4"/>
          <w:sz w:val="22"/>
          <w:szCs w:val="22"/>
        </w:rPr>
        <w:t xml:space="preserve"> método de identificación es </w:t>
      </w:r>
      <w:r w:rsidRPr="00437025">
        <w:rPr>
          <w:rFonts w:ascii="Bookman Old Style" w:hAnsi="Bookman Old Style" w:cs="Arial"/>
          <w:b/>
          <w:spacing w:val="-4"/>
          <w:sz w:val="22"/>
          <w:szCs w:val="22"/>
        </w:rPr>
        <w:t>complemento</w:t>
      </w:r>
      <w:r w:rsidRPr="00437025">
        <w:rPr>
          <w:rFonts w:ascii="Bookman Old Style" w:hAnsi="Bookman Old Style" w:cs="Arial"/>
          <w:spacing w:val="-4"/>
          <w:sz w:val="22"/>
          <w:szCs w:val="22"/>
        </w:rPr>
        <w:t xml:space="preserve"> de aquél, obviamente, en los eventos en que no se tiene certeza de quién es la persona supuestamente responsable de haber llevado a cabo la conducta criminal, como así sucedió en este caso.</w:t>
      </w:r>
    </w:p>
    <w:p w14:paraId="7832889B" w14:textId="77777777" w:rsidR="005077C3" w:rsidRPr="00437025" w:rsidRDefault="005077C3" w:rsidP="005077C3">
      <w:pPr>
        <w:tabs>
          <w:tab w:val="left" w:pos="-720"/>
        </w:tabs>
        <w:suppressAutoHyphens/>
        <w:spacing w:line="276" w:lineRule="auto"/>
        <w:ind w:left="567" w:right="616"/>
        <w:rPr>
          <w:rFonts w:ascii="Bookman Old Style" w:hAnsi="Bookman Old Style" w:cs="Arial"/>
          <w:spacing w:val="-4"/>
          <w:sz w:val="22"/>
          <w:szCs w:val="22"/>
        </w:rPr>
      </w:pPr>
    </w:p>
    <w:p w14:paraId="45AF93D3" w14:textId="77777777" w:rsidR="005077C3" w:rsidRPr="00437025" w:rsidRDefault="005077C3" w:rsidP="00437025">
      <w:pPr>
        <w:spacing w:line="276" w:lineRule="auto"/>
        <w:ind w:left="284" w:right="335"/>
        <w:rPr>
          <w:rFonts w:ascii="Bookman Old Style" w:hAnsi="Bookman Old Style" w:cs="Arial"/>
          <w:b/>
          <w:spacing w:val="-4"/>
          <w:sz w:val="22"/>
          <w:szCs w:val="22"/>
        </w:rPr>
      </w:pPr>
      <w:r w:rsidRPr="00437025">
        <w:rPr>
          <w:rFonts w:ascii="Bookman Old Style" w:hAnsi="Bookman Old Style" w:cs="Arial"/>
          <w:b/>
          <w:spacing w:val="-4"/>
          <w:sz w:val="22"/>
          <w:szCs w:val="22"/>
        </w:rPr>
        <w:t xml:space="preserve">No está indicando la ley, no sobra advertirlo, que en todos los eventos de investigación criminal resulte obligatorio practicar ambas diligencias, el </w:t>
      </w:r>
      <w:r w:rsidRPr="00437025">
        <w:rPr>
          <w:rFonts w:ascii="Bookman Old Style" w:hAnsi="Bookman Old Style" w:cs="Arial"/>
          <w:b/>
          <w:spacing w:val="-4"/>
          <w:sz w:val="22"/>
          <w:szCs w:val="22"/>
        </w:rPr>
        <w:lastRenderedPageBreak/>
        <w:t>reconocimiento fotográfico y el reconocimiento en rueda de personas, ya que en tal aspecto también operan los criterios de razonabilidad, conducencia, pertinencia y utilidad de la actividad investigativa; de otro modo no tendría sentido que la ley radique en cabeza del fiscal la elaboración de un programa metodológico en la labor de investigación.</w:t>
      </w:r>
    </w:p>
    <w:p w14:paraId="7BC6E6AE" w14:textId="77777777" w:rsidR="005077C3" w:rsidRPr="00437025" w:rsidRDefault="005077C3" w:rsidP="005077C3">
      <w:pPr>
        <w:tabs>
          <w:tab w:val="left" w:pos="-720"/>
        </w:tabs>
        <w:suppressAutoHyphens/>
        <w:spacing w:line="276" w:lineRule="auto"/>
        <w:ind w:left="567" w:right="616"/>
        <w:rPr>
          <w:rFonts w:ascii="Bookman Old Style" w:hAnsi="Bookman Old Style" w:cs="Arial"/>
          <w:spacing w:val="-4"/>
          <w:sz w:val="22"/>
          <w:szCs w:val="22"/>
        </w:rPr>
      </w:pPr>
    </w:p>
    <w:p w14:paraId="188CAA08" w14:textId="77777777" w:rsidR="005077C3" w:rsidRPr="00437025" w:rsidRDefault="005077C3" w:rsidP="00437025">
      <w:pPr>
        <w:spacing w:line="276" w:lineRule="auto"/>
        <w:ind w:left="284" w:right="335"/>
        <w:rPr>
          <w:rFonts w:ascii="Bookman Old Style" w:hAnsi="Bookman Old Style" w:cs="Arial"/>
          <w:spacing w:val="-4"/>
          <w:sz w:val="22"/>
          <w:szCs w:val="22"/>
        </w:rPr>
      </w:pPr>
      <w:r w:rsidRPr="00437025">
        <w:rPr>
          <w:rFonts w:ascii="Bookman Old Style" w:hAnsi="Bookman Old Style" w:cs="Arial"/>
          <w:spacing w:val="-4"/>
          <w:sz w:val="22"/>
          <w:szCs w:val="22"/>
        </w:rPr>
        <w:t>En este sentido cabe resaltar que si el autor del comportamiento criminal ha sido sorprendido o aprehendido en situación de flagrancia, o la identificación ha sido suficientemente realizada a través de alguno o varios de los otros métodos autorizados por la ley (art. 251), o se trata de una persona conocida por la víctima o por un testigo presencial, o el indiciado o imputado ha admitido su responsabilidad en el hecho, o de manera casual o fortuita sea la víctima o sea el testigo presencial quienes se encuentran con el autor o autores del hecho delictivo investigado, resulta evidente que en dichos eventos, esto es, en los que no hay dudas sobre la identidad del indiciado,  obviamente la identificación se entiende lograda, de modo que en tales hipótesis la diligencia de reconocimiento fotográfico o en fila de personas, según el caso, resultan superfluas.</w:t>
      </w:r>
    </w:p>
    <w:p w14:paraId="6763C274" w14:textId="77777777" w:rsidR="005077C3" w:rsidRPr="00437025" w:rsidRDefault="005077C3" w:rsidP="00437025">
      <w:pPr>
        <w:spacing w:line="276" w:lineRule="auto"/>
        <w:ind w:left="284" w:right="335"/>
        <w:rPr>
          <w:rFonts w:ascii="Bookman Old Style" w:hAnsi="Bookman Old Style" w:cs="Arial"/>
          <w:spacing w:val="-4"/>
          <w:sz w:val="22"/>
          <w:szCs w:val="22"/>
        </w:rPr>
      </w:pPr>
      <w:r w:rsidRPr="00437025">
        <w:rPr>
          <w:rFonts w:ascii="Bookman Old Style" w:hAnsi="Bookman Old Style" w:cs="Arial"/>
          <w:spacing w:val="-4"/>
          <w:sz w:val="22"/>
          <w:szCs w:val="22"/>
        </w:rPr>
        <w:t>[…]</w:t>
      </w:r>
    </w:p>
    <w:p w14:paraId="7927DC44" w14:textId="77777777" w:rsidR="005077C3" w:rsidRPr="00437025" w:rsidRDefault="005077C3" w:rsidP="00437025">
      <w:pPr>
        <w:spacing w:line="276" w:lineRule="auto"/>
        <w:ind w:left="284" w:right="335"/>
        <w:rPr>
          <w:rFonts w:ascii="Bookman Old Style" w:hAnsi="Bookman Old Style" w:cs="Arial"/>
          <w:spacing w:val="-4"/>
          <w:sz w:val="22"/>
          <w:szCs w:val="22"/>
        </w:rPr>
      </w:pPr>
      <w:r w:rsidRPr="00437025">
        <w:rPr>
          <w:rFonts w:ascii="Bookman Old Style" w:hAnsi="Bookman Old Style" w:cs="Arial"/>
          <w:spacing w:val="-4"/>
          <w:sz w:val="22"/>
          <w:szCs w:val="22"/>
        </w:rPr>
        <w:t xml:space="preserve">Alguien podría preguntar, no sin razón, cuál entonces  podría ser la finalidad de una tal disposición, si se toma en cuenta que si bien el reconocimiento fotográfico permite a los organismos de investigación individualizar al sujeto señalado de ser el autor o partícipe de una conducta punible y esta circunstancia posibilita, a su vez,  la formulación de la imputación y la posterior acusación, </w:t>
      </w:r>
      <w:r w:rsidRPr="00437025">
        <w:rPr>
          <w:rFonts w:ascii="Bookman Old Style" w:hAnsi="Bookman Old Style" w:cs="Arial"/>
          <w:b/>
          <w:spacing w:val="-4"/>
          <w:sz w:val="22"/>
          <w:szCs w:val="22"/>
        </w:rPr>
        <w:t xml:space="preserve">de todas maneras en el juicio oral la Fiscalía tiene por deber presentar el testigo </w:t>
      </w:r>
      <w:proofErr w:type="spellStart"/>
      <w:r w:rsidRPr="00437025">
        <w:rPr>
          <w:rFonts w:ascii="Bookman Old Style" w:hAnsi="Bookman Old Style" w:cs="Arial"/>
          <w:b/>
          <w:spacing w:val="-4"/>
          <w:sz w:val="22"/>
          <w:szCs w:val="22"/>
        </w:rPr>
        <w:t>reconocente</w:t>
      </w:r>
      <w:proofErr w:type="spellEnd"/>
      <w:r w:rsidRPr="00437025">
        <w:rPr>
          <w:rFonts w:ascii="Bookman Old Style" w:hAnsi="Bookman Old Style" w:cs="Arial"/>
          <w:b/>
          <w:spacing w:val="-4"/>
          <w:sz w:val="22"/>
          <w:szCs w:val="22"/>
        </w:rPr>
        <w:t xml:space="preserve"> a fin de que, como testigo de acreditación, se ratifique en su identificación durante el acto público de juzgamiento</w:t>
      </w:r>
      <w:r w:rsidRPr="00437025">
        <w:rPr>
          <w:rFonts w:ascii="Bookman Old Style" w:hAnsi="Bookman Old Style" w:cs="Arial"/>
          <w:spacing w:val="-4"/>
          <w:sz w:val="22"/>
          <w:szCs w:val="22"/>
        </w:rPr>
        <w:t xml:space="preserve"> (…)</w:t>
      </w:r>
    </w:p>
    <w:p w14:paraId="093A0DC6" w14:textId="77777777" w:rsidR="005077C3" w:rsidRPr="00437025" w:rsidRDefault="005077C3" w:rsidP="00437025">
      <w:pPr>
        <w:spacing w:line="276" w:lineRule="auto"/>
        <w:ind w:left="284" w:right="335"/>
        <w:rPr>
          <w:rFonts w:ascii="Bookman Old Style" w:hAnsi="Bookman Old Style" w:cs="Arial"/>
          <w:spacing w:val="-4"/>
          <w:sz w:val="22"/>
          <w:szCs w:val="22"/>
        </w:rPr>
      </w:pPr>
      <w:r w:rsidRPr="00437025">
        <w:rPr>
          <w:rFonts w:ascii="Bookman Old Style" w:hAnsi="Bookman Old Style" w:cs="Arial"/>
          <w:spacing w:val="-4"/>
          <w:sz w:val="22"/>
          <w:szCs w:val="22"/>
        </w:rPr>
        <w:t>[…]</w:t>
      </w:r>
    </w:p>
    <w:p w14:paraId="132F1C28" w14:textId="77777777" w:rsidR="005077C3" w:rsidRPr="00437025" w:rsidRDefault="005077C3" w:rsidP="00437025">
      <w:pPr>
        <w:spacing w:line="276" w:lineRule="auto"/>
        <w:ind w:left="284" w:right="335"/>
        <w:rPr>
          <w:rFonts w:ascii="Bookman Old Style" w:hAnsi="Bookman Old Style" w:cs="Arial"/>
          <w:b/>
          <w:spacing w:val="-4"/>
          <w:sz w:val="22"/>
          <w:szCs w:val="22"/>
        </w:rPr>
      </w:pPr>
      <w:r w:rsidRPr="00437025">
        <w:rPr>
          <w:rFonts w:ascii="Bookman Old Style" w:hAnsi="Bookman Old Style" w:cs="Arial"/>
          <w:spacing w:val="-4"/>
          <w:sz w:val="22"/>
          <w:szCs w:val="22"/>
        </w:rPr>
        <w:t xml:space="preserve">De todos modos, no puede perderse de vista que el reconocimiento sea fotográfico o en fila de personas, por sí solo, no constituye prueba de responsabilidad con entidad suficiente para desvirtuar el derecho a la presunción de inocencia, pues la finalidad del juicio no es, ni podría ser, la de identificar o individualizar a una </w:t>
      </w:r>
      <w:proofErr w:type="gramStart"/>
      <w:r w:rsidRPr="00437025">
        <w:rPr>
          <w:rFonts w:ascii="Bookman Old Style" w:hAnsi="Bookman Old Style" w:cs="Arial"/>
          <w:spacing w:val="-4"/>
          <w:sz w:val="22"/>
          <w:szCs w:val="22"/>
        </w:rPr>
        <w:t>persona</w:t>
      </w:r>
      <w:proofErr w:type="gramEnd"/>
      <w:r w:rsidRPr="00437025">
        <w:rPr>
          <w:rFonts w:ascii="Bookman Old Style" w:hAnsi="Bookman Old Style" w:cs="Arial"/>
          <w:spacing w:val="-4"/>
          <w:sz w:val="22"/>
          <w:szCs w:val="22"/>
        </w:rPr>
        <w:t xml:space="preserve"> sino que tiene una cobertura mayor. Esto si se tiene en cuenta que una vez lograda la identidad de autor en la fase de investigación, por medio del juicio se debe establecer su responsabilidad penal o su inocencia en una específica conducta delictiva, sin dejar de reconocer que </w:t>
      </w:r>
      <w:r w:rsidRPr="00437025">
        <w:rPr>
          <w:rFonts w:ascii="Bookman Old Style" w:hAnsi="Bookman Old Style" w:cs="Arial"/>
          <w:b/>
          <w:spacing w:val="-4"/>
          <w:sz w:val="22"/>
          <w:szCs w:val="22"/>
        </w:rPr>
        <w:t>es allí, en el juicio, en donde el acto de reconocimiento necesariamente debe estar vinculado con una prueba testimonial válidamente practicada,  pues es en la apreciación de ésta, en conjunto con las demás pruebas practicadas, en que tal medio de conocimiento puede dotar al juez de elementos de juicio que posibiliten conferirle o restarle fuerza persuasiva a la declaración del testigo”.</w:t>
      </w:r>
    </w:p>
    <w:p w14:paraId="1157D8FD" w14:textId="77777777" w:rsidR="005077C3" w:rsidRDefault="005077C3" w:rsidP="00FA7644">
      <w:pPr>
        <w:spacing w:line="276" w:lineRule="auto"/>
        <w:rPr>
          <w:spacing w:val="-4"/>
        </w:rPr>
      </w:pPr>
    </w:p>
    <w:p w14:paraId="722C2D0F" w14:textId="5E4EE8BB" w:rsidR="00896BDC" w:rsidRDefault="00896BDC" w:rsidP="00FA7644">
      <w:pPr>
        <w:spacing w:line="276" w:lineRule="auto"/>
        <w:rPr>
          <w:spacing w:val="-4"/>
        </w:rPr>
      </w:pPr>
      <w:r>
        <w:rPr>
          <w:spacing w:val="-4"/>
        </w:rPr>
        <w:t xml:space="preserve">Ahora bien, no puede dejarse de lado que la investigadora </w:t>
      </w:r>
      <w:r w:rsidRPr="009048C5">
        <w:rPr>
          <w:spacing w:val="-4"/>
          <w:sz w:val="24"/>
          <w:szCs w:val="24"/>
        </w:rPr>
        <w:t>YINDRI YI</w:t>
      </w:r>
      <w:r w:rsidR="00437025" w:rsidRPr="009048C5">
        <w:rPr>
          <w:spacing w:val="-4"/>
          <w:sz w:val="24"/>
          <w:szCs w:val="24"/>
        </w:rPr>
        <w:t>C</w:t>
      </w:r>
      <w:r w:rsidRPr="009048C5">
        <w:rPr>
          <w:spacing w:val="-4"/>
          <w:sz w:val="24"/>
          <w:szCs w:val="24"/>
        </w:rPr>
        <w:t>ET</w:t>
      </w:r>
      <w:r w:rsidR="00437025" w:rsidRPr="009048C5">
        <w:rPr>
          <w:spacing w:val="-4"/>
          <w:sz w:val="24"/>
          <w:szCs w:val="24"/>
        </w:rPr>
        <w:t>H</w:t>
      </w:r>
      <w:r w:rsidRPr="009048C5">
        <w:rPr>
          <w:spacing w:val="-4"/>
          <w:sz w:val="24"/>
          <w:szCs w:val="24"/>
        </w:rPr>
        <w:t xml:space="preserve"> PÉREZ</w:t>
      </w:r>
      <w:r w:rsidR="00437025" w:rsidRPr="009048C5">
        <w:rPr>
          <w:spacing w:val="-4"/>
          <w:sz w:val="24"/>
          <w:szCs w:val="24"/>
        </w:rPr>
        <w:t xml:space="preserve"> DÍAZ</w:t>
      </w:r>
      <w:r w:rsidRPr="009048C5">
        <w:rPr>
          <w:spacing w:val="-4"/>
          <w:sz w:val="24"/>
          <w:szCs w:val="24"/>
        </w:rPr>
        <w:t>,</w:t>
      </w:r>
      <w:r>
        <w:rPr>
          <w:spacing w:val="-4"/>
        </w:rPr>
        <w:t xml:space="preserve"> adscrita a la </w:t>
      </w:r>
      <w:r w:rsidR="001861A6">
        <w:rPr>
          <w:spacing w:val="-4"/>
        </w:rPr>
        <w:t xml:space="preserve">SIJÍN, </w:t>
      </w:r>
      <w:r w:rsidR="00437025">
        <w:rPr>
          <w:spacing w:val="-4"/>
        </w:rPr>
        <w:t>y quien participó en la diligencia de reconocimiento, fue enfática en s</w:t>
      </w:r>
      <w:r w:rsidR="00BF2508">
        <w:rPr>
          <w:spacing w:val="-4"/>
        </w:rPr>
        <w:t xml:space="preserve">ostener que </w:t>
      </w:r>
      <w:r w:rsidR="00437025">
        <w:rPr>
          <w:spacing w:val="-4"/>
        </w:rPr>
        <w:t>si bien</w:t>
      </w:r>
      <w:r w:rsidR="00BF2508">
        <w:rPr>
          <w:spacing w:val="-4"/>
        </w:rPr>
        <w:t>,</w:t>
      </w:r>
      <w:r w:rsidR="00437025">
        <w:rPr>
          <w:spacing w:val="-4"/>
        </w:rPr>
        <w:t xml:space="preserve"> la señora </w:t>
      </w:r>
      <w:r w:rsidR="00437025" w:rsidRPr="009048C5">
        <w:rPr>
          <w:spacing w:val="-4"/>
          <w:sz w:val="24"/>
          <w:szCs w:val="24"/>
        </w:rPr>
        <w:t>VALENTINA</w:t>
      </w:r>
      <w:r w:rsidR="00437025">
        <w:rPr>
          <w:spacing w:val="-4"/>
        </w:rPr>
        <w:t xml:space="preserve"> dudó </w:t>
      </w:r>
      <w:r w:rsidR="007E09EC">
        <w:rPr>
          <w:spacing w:val="-4"/>
        </w:rPr>
        <w:t xml:space="preserve">al </w:t>
      </w:r>
      <w:r w:rsidR="00437025">
        <w:rPr>
          <w:spacing w:val="-4"/>
        </w:rPr>
        <w:t>reconoc</w:t>
      </w:r>
      <w:r w:rsidR="007E09EC">
        <w:rPr>
          <w:spacing w:val="-4"/>
        </w:rPr>
        <w:t>er</w:t>
      </w:r>
      <w:r w:rsidR="00437025">
        <w:rPr>
          <w:spacing w:val="-4"/>
        </w:rPr>
        <w:t xml:space="preserve"> a </w:t>
      </w:r>
      <w:r w:rsidR="00BE00F7">
        <w:rPr>
          <w:b/>
          <w:spacing w:val="-4"/>
          <w:sz w:val="22"/>
          <w:szCs w:val="22"/>
        </w:rPr>
        <w:t>JJAF</w:t>
      </w:r>
      <w:r w:rsidR="00437025">
        <w:rPr>
          <w:spacing w:val="-4"/>
        </w:rPr>
        <w:t xml:space="preserve">, como conductor de la moto, por lo que finalmente fue absuelto, ello  no sucedió cuando lo hizo respecto a </w:t>
      </w:r>
      <w:r w:rsidR="00D60502">
        <w:rPr>
          <w:b/>
          <w:spacing w:val="-4"/>
          <w:sz w:val="22"/>
          <w:szCs w:val="22"/>
        </w:rPr>
        <w:t>DSRM</w:t>
      </w:r>
      <w:r w:rsidR="00437025">
        <w:rPr>
          <w:spacing w:val="-4"/>
        </w:rPr>
        <w:t xml:space="preserve">, situación que incluso refrendó la afectada en juicio, cuando reiteró el señalamiento </w:t>
      </w:r>
      <w:r w:rsidR="007E09EC">
        <w:rPr>
          <w:spacing w:val="-4"/>
        </w:rPr>
        <w:t xml:space="preserve">contra el mismo, estando allí presente, </w:t>
      </w:r>
      <w:r w:rsidR="00437025">
        <w:rPr>
          <w:spacing w:val="-4"/>
        </w:rPr>
        <w:t>como quien en calidad de parrillero cometió el hurto.</w:t>
      </w:r>
    </w:p>
    <w:p w14:paraId="23C99FC6" w14:textId="77777777" w:rsidR="003259A3" w:rsidRDefault="003259A3" w:rsidP="00FA7644">
      <w:pPr>
        <w:spacing w:line="276" w:lineRule="auto"/>
        <w:rPr>
          <w:spacing w:val="-4"/>
        </w:rPr>
      </w:pPr>
    </w:p>
    <w:p w14:paraId="09032435" w14:textId="77777777" w:rsidR="00437025" w:rsidRDefault="00437025" w:rsidP="00FA7644">
      <w:pPr>
        <w:spacing w:line="276" w:lineRule="auto"/>
        <w:rPr>
          <w:spacing w:val="-4"/>
        </w:rPr>
      </w:pPr>
      <w:r>
        <w:rPr>
          <w:spacing w:val="-4"/>
        </w:rPr>
        <w:t xml:space="preserve">Para la Sala, en contravía de lo </w:t>
      </w:r>
      <w:r w:rsidR="00BF2508">
        <w:rPr>
          <w:spacing w:val="-4"/>
        </w:rPr>
        <w:t xml:space="preserve">manifestado </w:t>
      </w:r>
      <w:r>
        <w:rPr>
          <w:spacing w:val="-4"/>
        </w:rPr>
        <w:t xml:space="preserve">por la A-quo, </w:t>
      </w:r>
      <w:r w:rsidR="00BF2508">
        <w:rPr>
          <w:spacing w:val="-4"/>
        </w:rPr>
        <w:t xml:space="preserve">la sindicación </w:t>
      </w:r>
      <w:r>
        <w:rPr>
          <w:spacing w:val="-4"/>
        </w:rPr>
        <w:t xml:space="preserve">que hizo la señora VALENTINA, lo fue desde el mismo momento del hecho, en tanto tuvo contacto con su agresor, a quien percibió, así este tuviera un casco cerrado, pero como </w:t>
      </w:r>
      <w:r w:rsidR="00987E9D">
        <w:rPr>
          <w:spacing w:val="-4"/>
        </w:rPr>
        <w:t xml:space="preserve">esta </w:t>
      </w:r>
      <w:r>
        <w:rPr>
          <w:spacing w:val="-4"/>
        </w:rPr>
        <w:t xml:space="preserve">lo indicó era ancho y percibió su rostro, </w:t>
      </w:r>
      <w:r w:rsidR="007E09EC">
        <w:rPr>
          <w:spacing w:val="-4"/>
        </w:rPr>
        <w:t xml:space="preserve">siendo </w:t>
      </w:r>
      <w:r>
        <w:rPr>
          <w:spacing w:val="-4"/>
        </w:rPr>
        <w:t>precisamente ello lo que le permitió identificarlo un año después, cuando se le</w:t>
      </w:r>
      <w:r w:rsidR="00BF2508">
        <w:rPr>
          <w:spacing w:val="-4"/>
        </w:rPr>
        <w:t xml:space="preserve"> exhibió </w:t>
      </w:r>
      <w:r>
        <w:rPr>
          <w:spacing w:val="-4"/>
        </w:rPr>
        <w:t>el álbum fotográfico.</w:t>
      </w:r>
    </w:p>
    <w:p w14:paraId="7E8BD1D2" w14:textId="77777777" w:rsidR="00174DEC" w:rsidRDefault="00174DEC" w:rsidP="001B6887">
      <w:pPr>
        <w:spacing w:line="276" w:lineRule="auto"/>
        <w:rPr>
          <w:spacing w:val="-4"/>
        </w:rPr>
      </w:pPr>
    </w:p>
    <w:p w14:paraId="43E345E8" w14:textId="145F0A30" w:rsidR="00BC4878" w:rsidRDefault="001B6887" w:rsidP="001B6887">
      <w:pPr>
        <w:spacing w:line="276" w:lineRule="auto"/>
      </w:pPr>
      <w:r>
        <w:rPr>
          <w:spacing w:val="-4"/>
        </w:rPr>
        <w:t>De igual manera, y en consonancia</w:t>
      </w:r>
      <w:r w:rsidR="00D26C60">
        <w:rPr>
          <w:spacing w:val="-4"/>
        </w:rPr>
        <w:t xml:space="preserve"> </w:t>
      </w:r>
      <w:r>
        <w:rPr>
          <w:spacing w:val="-4"/>
        </w:rPr>
        <w:t xml:space="preserve">con lo expuesto por la delegada del ente acusador, como recurrente, para la Sala en este asunto, concurren varios indicios que soportan ese señalamiento que frente al señor </w:t>
      </w:r>
      <w:r w:rsidR="00D60502">
        <w:rPr>
          <w:b/>
          <w:spacing w:val="-4"/>
          <w:sz w:val="22"/>
          <w:szCs w:val="22"/>
        </w:rPr>
        <w:t>DSRM</w:t>
      </w:r>
      <w:r>
        <w:rPr>
          <w:spacing w:val="-4"/>
        </w:rPr>
        <w:t xml:space="preserve"> realizó la señora VALENTINA RÍOS, mismos que, como se verá, sí permitían fundamentar </w:t>
      </w:r>
      <w:r>
        <w:t xml:space="preserve">su </w:t>
      </w:r>
      <w:r w:rsidR="00BC4878" w:rsidRPr="00C42418">
        <w:t>responsabilidad</w:t>
      </w:r>
      <w:r>
        <w:t xml:space="preserve"> en la ilicitud.</w:t>
      </w:r>
    </w:p>
    <w:p w14:paraId="00FDAC81" w14:textId="77777777" w:rsidR="001B6887" w:rsidRDefault="001B6887" w:rsidP="001B6887">
      <w:pPr>
        <w:spacing w:line="276" w:lineRule="auto"/>
      </w:pPr>
    </w:p>
    <w:p w14:paraId="1ECF6E76" w14:textId="77777777" w:rsidR="00BC4878" w:rsidRPr="00C42418" w:rsidRDefault="00BC4878" w:rsidP="00BC4878">
      <w:pPr>
        <w:autoSpaceDE w:val="0"/>
        <w:autoSpaceDN w:val="0"/>
        <w:adjustRightInd w:val="0"/>
        <w:spacing w:line="276" w:lineRule="auto"/>
      </w:pPr>
      <w:r w:rsidRPr="00C42418">
        <w:t xml:space="preserve">Tradicionalmente la doctrina y la jurisprudencia han admitido, en pacífica posición, que un indicio es </w:t>
      </w:r>
      <w:r w:rsidRPr="00BD6718">
        <w:rPr>
          <w:rFonts w:ascii="Bookman Old Style" w:hAnsi="Bookman Old Style"/>
          <w:sz w:val="22"/>
          <w:szCs w:val="22"/>
        </w:rPr>
        <w:t xml:space="preserve">“todo rastro, vestigio, huella, circunstancia, y, en general, todo hecho conocido, </w:t>
      </w:r>
      <w:proofErr w:type="gramStart"/>
      <w:r w:rsidRPr="00BD6718">
        <w:rPr>
          <w:rFonts w:ascii="Bookman Old Style" w:hAnsi="Bookman Old Style"/>
          <w:sz w:val="22"/>
          <w:szCs w:val="22"/>
        </w:rPr>
        <w:t>o</w:t>
      </w:r>
      <w:proofErr w:type="gramEnd"/>
      <w:r w:rsidRPr="00BD6718">
        <w:rPr>
          <w:rFonts w:ascii="Bookman Old Style" w:hAnsi="Bookman Old Style"/>
          <w:sz w:val="22"/>
          <w:szCs w:val="22"/>
        </w:rPr>
        <w:t xml:space="preserve"> mejor dicho, debidamente comprobado, susceptible de llevarnos, por vía de inferencia, al conocimiento de otro hecho desconocido”. </w:t>
      </w:r>
      <w:r w:rsidRPr="00C42418">
        <w:t>(Sentencia de casación civil de 12 de marzo de 1974, que toma el concepto de Antonio DELLEPIANE, en Nueva Teoría de la Prueba)</w:t>
      </w:r>
    </w:p>
    <w:p w14:paraId="16CD750B" w14:textId="77777777" w:rsidR="00BC4878" w:rsidRPr="00A5798D" w:rsidRDefault="00BC4878" w:rsidP="00BC4878">
      <w:pPr>
        <w:autoSpaceDE w:val="0"/>
        <w:autoSpaceDN w:val="0"/>
        <w:adjustRightInd w:val="0"/>
        <w:spacing w:line="276" w:lineRule="auto"/>
      </w:pPr>
    </w:p>
    <w:p w14:paraId="630FF39C" w14:textId="77777777" w:rsidR="00BC4878" w:rsidRPr="00A5798D" w:rsidRDefault="00BC4878" w:rsidP="00BC4878">
      <w:pPr>
        <w:autoSpaceDE w:val="0"/>
        <w:autoSpaceDN w:val="0"/>
        <w:adjustRightInd w:val="0"/>
        <w:spacing w:line="276" w:lineRule="auto"/>
      </w:pPr>
      <w:r w:rsidRPr="00A5798D">
        <w:t>De tal definición se sigue que la prueba indiciaria está conformada por dos elementos esenciales: un hecho indicador debidamente acreditado dentro del proceso, y una inferencia lógica que permite asociar racionalmente ese evento con la situación desconocida que se pretende demostrar.</w:t>
      </w:r>
    </w:p>
    <w:p w14:paraId="76018A3D" w14:textId="77777777" w:rsidR="00BC4878" w:rsidRPr="00791D2A" w:rsidRDefault="00BC4878" w:rsidP="00BC4878">
      <w:pPr>
        <w:spacing w:line="276" w:lineRule="auto"/>
        <w:rPr>
          <w:rFonts w:cs="Tahoma"/>
          <w:bCs/>
          <w:sz w:val="24"/>
          <w:szCs w:val="24"/>
        </w:rPr>
      </w:pPr>
    </w:p>
    <w:p w14:paraId="34213129" w14:textId="77777777" w:rsidR="00BC4878" w:rsidRPr="00A5798D" w:rsidRDefault="00BC4878" w:rsidP="00BC4878">
      <w:pPr>
        <w:autoSpaceDE w:val="0"/>
        <w:autoSpaceDN w:val="0"/>
        <w:adjustRightInd w:val="0"/>
        <w:spacing w:line="276" w:lineRule="auto"/>
      </w:pPr>
      <w:r w:rsidRPr="00A5798D">
        <w:t>La corroboración material del hecho indicador se obtiene a través de cualquier medio de prueba conducente y legalmente eficaz, como pueden ser los testimonios, confesiones, documentos, inspecciones judiciales, o dictámenes periciales.</w:t>
      </w:r>
    </w:p>
    <w:p w14:paraId="7867B40E" w14:textId="77777777" w:rsidR="00BC4878" w:rsidRPr="00A5798D" w:rsidRDefault="00BC4878" w:rsidP="00BC4878">
      <w:pPr>
        <w:autoSpaceDE w:val="0"/>
        <w:autoSpaceDN w:val="0"/>
        <w:adjustRightInd w:val="0"/>
        <w:spacing w:line="276" w:lineRule="auto"/>
      </w:pPr>
    </w:p>
    <w:p w14:paraId="3D7365D6" w14:textId="64EEC238" w:rsidR="00BC4878" w:rsidRDefault="00BC4878" w:rsidP="00BC4878">
      <w:pPr>
        <w:autoSpaceDE w:val="0"/>
        <w:autoSpaceDN w:val="0"/>
        <w:adjustRightInd w:val="0"/>
        <w:spacing w:line="276" w:lineRule="auto"/>
      </w:pPr>
      <w:r w:rsidRPr="00A5798D">
        <w:t>Probada entonces la existencia del hecho indicador, este sirve de punto de partida al sentenciador para la elaboración de un razonamiento que le permitirá inferir, al momento de dictar el fallo, una conclusión que se enmarca siempre en el campo de la probabilidad, pero que a la luz de las reglas de la experiencia deviene altamente probable o convincente, al punto de no albergar ningún margen de duda razonable.</w:t>
      </w:r>
    </w:p>
    <w:p w14:paraId="369DD2DC" w14:textId="77777777" w:rsidR="00374A3E" w:rsidRPr="00A5798D" w:rsidRDefault="00374A3E" w:rsidP="00BC4878">
      <w:pPr>
        <w:autoSpaceDE w:val="0"/>
        <w:autoSpaceDN w:val="0"/>
        <w:adjustRightInd w:val="0"/>
        <w:spacing w:line="276" w:lineRule="auto"/>
      </w:pPr>
    </w:p>
    <w:p w14:paraId="0F169A30" w14:textId="77777777" w:rsidR="00BC4878" w:rsidRPr="00A5798D" w:rsidRDefault="00BC4878" w:rsidP="00BC4878">
      <w:pPr>
        <w:autoSpaceDE w:val="0"/>
        <w:autoSpaceDN w:val="0"/>
        <w:adjustRightInd w:val="0"/>
        <w:spacing w:line="276" w:lineRule="auto"/>
      </w:pPr>
      <w:r w:rsidRPr="00A5798D">
        <w:t xml:space="preserve">El indicio presenta una estructura lógica que consiste en un razonamiento que parte de una premisa especial (el hecho probado), para arribar a una conclusión hipotética (el hecho desconocido), a la cual se llega gracias a una regla de la experiencia (altamente probable), que es la que le otorga un </w:t>
      </w:r>
      <w:r w:rsidRPr="00A5798D">
        <w:lastRenderedPageBreak/>
        <w:t>amplio margen de convicción, dentro de los parámetros de lo razonable y de lo que la cotidianidad nos revela.</w:t>
      </w:r>
    </w:p>
    <w:p w14:paraId="7125D5F0" w14:textId="77777777" w:rsidR="00BC4878" w:rsidRPr="00A5798D" w:rsidRDefault="00BC4878" w:rsidP="00BC4878">
      <w:pPr>
        <w:autoSpaceDE w:val="0"/>
        <w:autoSpaceDN w:val="0"/>
        <w:adjustRightInd w:val="0"/>
        <w:spacing w:line="276" w:lineRule="auto"/>
      </w:pPr>
    </w:p>
    <w:p w14:paraId="538D425C" w14:textId="77777777" w:rsidR="00BC4878" w:rsidRPr="00A5798D" w:rsidRDefault="00BC4878" w:rsidP="00BC4878">
      <w:pPr>
        <w:autoSpaceDE w:val="0"/>
        <w:autoSpaceDN w:val="0"/>
        <w:adjustRightInd w:val="0"/>
        <w:spacing w:line="276" w:lineRule="auto"/>
      </w:pPr>
      <w:r w:rsidRPr="00A5798D">
        <w:t>El fundamento de las reglas de la experiencia está constituido por la constancia que se observa en una relación de causa a efecto, es decir por la costumbre que se tiene en una serie causal.</w:t>
      </w:r>
    </w:p>
    <w:p w14:paraId="6D37AC18" w14:textId="77777777" w:rsidR="00BC4878" w:rsidRPr="00A5798D" w:rsidRDefault="00BC4878" w:rsidP="00BC4878">
      <w:pPr>
        <w:autoSpaceDE w:val="0"/>
        <w:autoSpaceDN w:val="0"/>
        <w:adjustRightInd w:val="0"/>
        <w:spacing w:line="276" w:lineRule="auto"/>
      </w:pPr>
    </w:p>
    <w:p w14:paraId="0BD20B69" w14:textId="77777777" w:rsidR="001B6887" w:rsidRDefault="00BC4878" w:rsidP="00BC4878">
      <w:pPr>
        <w:pStyle w:val="Prrafodelista"/>
        <w:spacing w:after="0" w:line="276" w:lineRule="auto"/>
        <w:ind w:left="0"/>
        <w:rPr>
          <w:rFonts w:ascii="Bookman Old Style" w:hAnsi="Bookman Old Style"/>
          <w:sz w:val="22"/>
        </w:rPr>
      </w:pPr>
      <w:r w:rsidRPr="001B6887">
        <w:rPr>
          <w:rFonts w:ascii="Tahoma" w:hAnsi="Tahoma"/>
          <w:sz w:val="26"/>
          <w:szCs w:val="26"/>
          <w:lang w:eastAsia="es-MX"/>
        </w:rPr>
        <w:t xml:space="preserve">Sobre el indicio, la Sala de Casación Penal de la Corte Suprema de Justicia tiene decantado que </w:t>
      </w:r>
      <w:r w:rsidR="001B6887" w:rsidRPr="001B6887">
        <w:rPr>
          <w:rFonts w:ascii="Bookman Old Style" w:hAnsi="Bookman Old Style"/>
          <w:sz w:val="22"/>
        </w:rPr>
        <w:t>“[…] deben estar cimentados en hechos plenamente probados y las deducciones marcadas por la seriedad y razonabilidad, a partir de reglas de la sana crítica, pues, si solo se trata de probabilidades o meros criterios de quien realiza el análisis, no pueden ser acogidos para fundar una condena, dado que apenas perviven en el campo de la incertidumbre o la especulación”</w:t>
      </w:r>
      <w:r w:rsidR="001B6887" w:rsidRPr="001B6887">
        <w:rPr>
          <w:rStyle w:val="Refdenotaalpie"/>
          <w:rFonts w:ascii="Tahoma" w:hAnsi="Tahoma" w:cs="Tahoma"/>
          <w:szCs w:val="24"/>
        </w:rPr>
        <w:t xml:space="preserve"> </w:t>
      </w:r>
      <w:r w:rsidR="001B6887" w:rsidRPr="009C121D">
        <w:rPr>
          <w:rStyle w:val="Refdenotaalpie"/>
          <w:rFonts w:ascii="Tahoma" w:hAnsi="Tahoma" w:cs="Tahoma"/>
          <w:szCs w:val="24"/>
        </w:rPr>
        <w:footnoteReference w:id="3"/>
      </w:r>
      <w:r w:rsidR="001B6887" w:rsidRPr="001B6887">
        <w:rPr>
          <w:rFonts w:ascii="Bookman Old Style" w:hAnsi="Bookman Old Style"/>
          <w:sz w:val="22"/>
        </w:rPr>
        <w:t xml:space="preserve"> </w:t>
      </w:r>
    </w:p>
    <w:p w14:paraId="140C63D5" w14:textId="77777777" w:rsidR="001B6887" w:rsidRDefault="001B6887" w:rsidP="00BC4878">
      <w:pPr>
        <w:pStyle w:val="Prrafodelista"/>
        <w:spacing w:after="0" w:line="276" w:lineRule="auto"/>
        <w:ind w:left="0"/>
        <w:rPr>
          <w:rFonts w:ascii="Bookman Old Style" w:hAnsi="Bookman Old Style"/>
          <w:sz w:val="22"/>
        </w:rPr>
      </w:pPr>
    </w:p>
    <w:p w14:paraId="3A5EAE0F" w14:textId="77777777" w:rsidR="002354F2" w:rsidRDefault="002354F2" w:rsidP="002354F2">
      <w:pPr>
        <w:spacing w:line="276" w:lineRule="auto"/>
        <w:ind w:right="335"/>
      </w:pPr>
      <w:r>
        <w:t>D</w:t>
      </w:r>
      <w:r w:rsidRPr="007C2BF4">
        <w:t xml:space="preserve">e tiempo atrás, la misma Alta Corporación, </w:t>
      </w:r>
      <w:r>
        <w:t xml:space="preserve">respecto a </w:t>
      </w:r>
      <w:r w:rsidRPr="007C2BF4">
        <w:t xml:space="preserve">la </w:t>
      </w:r>
      <w:r w:rsidRPr="00A5798D">
        <w:t xml:space="preserve">estructura argumentativa que debe sustentar la prueba de indicios, </w:t>
      </w:r>
      <w:r>
        <w:t>dijo</w:t>
      </w:r>
      <w:r w:rsidRPr="009C121D">
        <w:rPr>
          <w:rStyle w:val="Refdenotaalpie"/>
          <w:rFonts w:ascii="Tahoma" w:hAnsi="Tahoma" w:cs="Tahoma"/>
          <w:szCs w:val="24"/>
        </w:rPr>
        <w:footnoteReference w:id="4"/>
      </w:r>
      <w:r>
        <w:t xml:space="preserve">: </w:t>
      </w:r>
    </w:p>
    <w:p w14:paraId="5D483A75" w14:textId="77777777" w:rsidR="002354F2" w:rsidRPr="00A5798D" w:rsidRDefault="002354F2" w:rsidP="002354F2">
      <w:pPr>
        <w:spacing w:line="276" w:lineRule="auto"/>
        <w:ind w:right="335"/>
        <w:rPr>
          <w:rFonts w:ascii="Bookman Old Style" w:hAnsi="Bookman Old Style" w:cs="Arial"/>
          <w:sz w:val="24"/>
          <w:szCs w:val="24"/>
          <w:lang w:val="es-ES_tradnl"/>
        </w:rPr>
      </w:pPr>
    </w:p>
    <w:p w14:paraId="36F77F82" w14:textId="77777777" w:rsidR="002354F2" w:rsidRPr="00A5798D" w:rsidRDefault="002354F2" w:rsidP="002354F2">
      <w:pPr>
        <w:spacing w:line="276" w:lineRule="auto"/>
        <w:ind w:left="284" w:right="335"/>
        <w:rPr>
          <w:rFonts w:ascii="Bookman Old Style" w:hAnsi="Bookman Old Style" w:cs="Aptos"/>
          <w:sz w:val="22"/>
          <w:szCs w:val="22"/>
        </w:rPr>
      </w:pPr>
      <w:r w:rsidRPr="00A5798D">
        <w:rPr>
          <w:rFonts w:ascii="Bookman Old Style" w:hAnsi="Bookman Old Style" w:cs="Aptos"/>
          <w:sz w:val="22"/>
          <w:szCs w:val="22"/>
        </w:rPr>
        <w:t xml:space="preserve">“(…) Aunque las máximas de la experiencia constituyen una importante expresión de la sana crítica, no puede asumirse que los datos que no queden cobijados por uno de estos enunciados generales y abstractos carezcan de importancia en el proceso de determinación de los hechos en materia penal. </w:t>
      </w:r>
    </w:p>
    <w:p w14:paraId="4FE3725F" w14:textId="77777777" w:rsidR="002354F2" w:rsidRPr="00A5798D" w:rsidRDefault="002354F2" w:rsidP="002354F2">
      <w:pPr>
        <w:spacing w:line="276" w:lineRule="auto"/>
        <w:ind w:left="284" w:right="335"/>
        <w:rPr>
          <w:rFonts w:ascii="Bookman Old Style" w:hAnsi="Bookman Old Style" w:cs="Aptos"/>
          <w:sz w:val="22"/>
          <w:szCs w:val="22"/>
        </w:rPr>
      </w:pPr>
    </w:p>
    <w:p w14:paraId="63A77FAD" w14:textId="77777777" w:rsidR="002354F2" w:rsidRPr="00A5798D" w:rsidRDefault="002354F2" w:rsidP="002354F2">
      <w:pPr>
        <w:spacing w:line="276" w:lineRule="auto"/>
        <w:ind w:left="284" w:right="335"/>
        <w:rPr>
          <w:rFonts w:ascii="Bookman Old Style" w:hAnsi="Bookman Old Style" w:cs="Aptos"/>
          <w:sz w:val="22"/>
          <w:szCs w:val="22"/>
        </w:rPr>
      </w:pPr>
      <w:r w:rsidRPr="00A5798D">
        <w:rPr>
          <w:rFonts w:ascii="Bookman Old Style" w:hAnsi="Bookman Old Style" w:cs="Aptos"/>
          <w:sz w:val="22"/>
          <w:szCs w:val="22"/>
        </w:rPr>
        <w:t xml:space="preserve">En muchos casos, la fuerza argumentativa emanada de las máximas de la experiencia </w:t>
      </w:r>
      <w:r w:rsidRPr="00A5798D">
        <w:rPr>
          <w:rFonts w:ascii="Bookman Old Style" w:hAnsi="Bookman Old Style" w:cs="Aptos"/>
          <w:b/>
          <w:sz w:val="22"/>
          <w:szCs w:val="22"/>
          <w:u w:val="single"/>
        </w:rPr>
        <w:t>puede suplirse por la convergencia y concordancia de los datos</w:t>
      </w:r>
      <w:r w:rsidRPr="00A5798D">
        <w:rPr>
          <w:rFonts w:ascii="Bookman Old Style" w:hAnsi="Bookman Old Style" w:cs="Aptos"/>
          <w:sz w:val="22"/>
          <w:szCs w:val="22"/>
        </w:rPr>
        <w:t>, al punto que de esa forma puede alcanzarse el estándar de conocimiento consagrado en el ordenamiento procesal penal para emitir un fallo condenatorio: certeza –racional-, en el ámbito de la Ley 600 de 2000, y convencimiento más allá de duda razonable, en los casos tramitados bajo la Ley 906 de 2004.</w:t>
      </w:r>
    </w:p>
    <w:p w14:paraId="2BD9EF88" w14:textId="77777777" w:rsidR="002354F2" w:rsidRPr="00A5798D" w:rsidRDefault="002354F2" w:rsidP="002354F2">
      <w:pPr>
        <w:ind w:left="284" w:right="335"/>
        <w:rPr>
          <w:rFonts w:ascii="Bookman Old Style" w:hAnsi="Bookman Old Style" w:cs="Aptos"/>
          <w:sz w:val="22"/>
          <w:szCs w:val="22"/>
        </w:rPr>
      </w:pPr>
    </w:p>
    <w:p w14:paraId="62C70C85" w14:textId="77777777" w:rsidR="002354F2" w:rsidRPr="00A5798D" w:rsidRDefault="002354F2" w:rsidP="002354F2">
      <w:pPr>
        <w:spacing w:line="276" w:lineRule="auto"/>
        <w:ind w:left="284" w:right="335"/>
        <w:rPr>
          <w:rFonts w:ascii="Bookman Old Style" w:hAnsi="Bookman Old Style" w:cs="Aptos"/>
          <w:sz w:val="22"/>
          <w:szCs w:val="22"/>
        </w:rPr>
      </w:pPr>
      <w:r w:rsidRPr="00A5798D">
        <w:rPr>
          <w:rFonts w:ascii="Bookman Old Style" w:hAnsi="Bookman Old Style" w:cs="Aptos"/>
          <w:sz w:val="22"/>
          <w:szCs w:val="22"/>
        </w:rPr>
        <w:t>Por ejemplo, si tres meses después de ocurrido un homicidio a una persona se le encuentra en su poder el arma utilizada para causar la muerte, sería equivocado pretender, a partir de este hecho aislado, concluir con un alto grado de probabilidad, en virtud de una supuesta máxima de la experiencia, que es el autor del delito, porque no se trata de un fenómeno de observación cotidiana, que además ocurra siempre o casi siempre en un mismo sentido y que, por tanto, permita extraer una regla general y abstracta que garantice el paso del dato a la conclusión.</w:t>
      </w:r>
    </w:p>
    <w:p w14:paraId="09383B89" w14:textId="77777777" w:rsidR="002354F2" w:rsidRPr="00A5798D" w:rsidRDefault="002354F2" w:rsidP="002354F2">
      <w:pPr>
        <w:ind w:left="284" w:right="335"/>
        <w:rPr>
          <w:rFonts w:ascii="Bookman Old Style" w:hAnsi="Bookman Old Style" w:cs="Aptos"/>
          <w:sz w:val="22"/>
          <w:szCs w:val="22"/>
        </w:rPr>
      </w:pPr>
    </w:p>
    <w:p w14:paraId="4D50BBDA" w14:textId="77777777" w:rsidR="002354F2" w:rsidRPr="00A5798D" w:rsidRDefault="002354F2" w:rsidP="002354F2">
      <w:pPr>
        <w:spacing w:line="276" w:lineRule="auto"/>
        <w:ind w:left="284" w:right="335"/>
        <w:rPr>
          <w:rFonts w:ascii="Bookman Old Style" w:hAnsi="Bookman Old Style" w:cs="Tahoma"/>
          <w:sz w:val="22"/>
          <w:szCs w:val="22"/>
        </w:rPr>
      </w:pPr>
      <w:r w:rsidRPr="00A5798D">
        <w:rPr>
          <w:rFonts w:ascii="Bookman Old Style" w:hAnsi="Bookman Old Style" w:cs="Tahoma"/>
          <w:sz w:val="22"/>
          <w:szCs w:val="22"/>
        </w:rPr>
        <w:t xml:space="preserve">Sin embargo, no cabe duda de que ese dato (el hallazgo, tres meses después, del arma homicida), sumado a otros que apunten en idéntica dirección, puede dar lugar al nivel de conocimiento necesario para emitir la condena, verbigracia cuando se aúna a que el procesado fue visto cuando huía del lugar de los hechos segundos después de la agresión, a que éste había amenazado de muerte a la víctima, entre otros. </w:t>
      </w:r>
    </w:p>
    <w:p w14:paraId="2D43862B" w14:textId="77777777" w:rsidR="002354F2" w:rsidRPr="00A5798D" w:rsidRDefault="002354F2" w:rsidP="002354F2">
      <w:pPr>
        <w:spacing w:line="276" w:lineRule="auto"/>
        <w:ind w:left="284" w:right="335"/>
        <w:rPr>
          <w:rFonts w:ascii="Bookman Old Style" w:hAnsi="Bookman Old Style" w:cs="Tahoma"/>
          <w:sz w:val="22"/>
          <w:szCs w:val="22"/>
        </w:rPr>
      </w:pPr>
    </w:p>
    <w:p w14:paraId="127EEFA6" w14:textId="77777777" w:rsidR="002354F2" w:rsidRPr="00A5798D" w:rsidRDefault="002354F2" w:rsidP="002354F2">
      <w:pPr>
        <w:spacing w:line="276" w:lineRule="auto"/>
        <w:ind w:left="284" w:right="335"/>
        <w:rPr>
          <w:rFonts w:ascii="Bookman Old Style" w:hAnsi="Bookman Old Style" w:cs="Tahoma"/>
          <w:sz w:val="22"/>
          <w:szCs w:val="22"/>
        </w:rPr>
      </w:pPr>
      <w:r w:rsidRPr="00A5798D">
        <w:rPr>
          <w:rFonts w:ascii="Bookman Old Style" w:hAnsi="Bookman Old Style" w:cs="Tahoma"/>
          <w:sz w:val="22"/>
          <w:szCs w:val="22"/>
        </w:rPr>
        <w:t xml:space="preserve">En estos casos, los datos, aisladamente considerados, no permiten arribar a la conclusión en un nivel alto de probabilidad, pero ese estándar de conocimiento puede lograrse por la convergencia y concordancia de los mismos, esto es, porque todos apuntan a la misma conclusión y no se excluyen entre sí. </w:t>
      </w:r>
    </w:p>
    <w:p w14:paraId="2ABC667B" w14:textId="77777777" w:rsidR="002354F2" w:rsidRPr="00A5798D" w:rsidRDefault="002354F2" w:rsidP="002354F2">
      <w:pPr>
        <w:spacing w:line="276" w:lineRule="auto"/>
        <w:ind w:left="284" w:right="335"/>
        <w:rPr>
          <w:rFonts w:ascii="Bookman Old Style" w:hAnsi="Bookman Old Style" w:cs="Tahoma"/>
          <w:sz w:val="22"/>
          <w:szCs w:val="22"/>
        </w:rPr>
      </w:pPr>
    </w:p>
    <w:p w14:paraId="18B458D9" w14:textId="77777777" w:rsidR="002354F2" w:rsidRPr="00A5798D" w:rsidRDefault="002354F2" w:rsidP="002354F2">
      <w:pPr>
        <w:spacing w:line="276" w:lineRule="auto"/>
        <w:ind w:left="284" w:right="335"/>
        <w:rPr>
          <w:rFonts w:ascii="Bookman Old Style" w:hAnsi="Bookman Old Style" w:cs="Tahoma"/>
          <w:b/>
          <w:sz w:val="22"/>
          <w:szCs w:val="22"/>
          <w:u w:val="single"/>
        </w:rPr>
      </w:pPr>
      <w:r w:rsidRPr="00A5798D">
        <w:rPr>
          <w:rFonts w:ascii="Bookman Old Style" w:hAnsi="Bookman Old Style" w:cs="Tahoma"/>
          <w:b/>
          <w:sz w:val="22"/>
          <w:szCs w:val="22"/>
          <w:u w:val="single"/>
        </w:rPr>
        <w:t xml:space="preserve">Son, sin duda, dos formas diferentes de argumentación. </w:t>
      </w:r>
    </w:p>
    <w:p w14:paraId="59C14057" w14:textId="77777777" w:rsidR="002354F2" w:rsidRPr="00A5798D" w:rsidRDefault="002354F2" w:rsidP="002354F2">
      <w:pPr>
        <w:spacing w:line="276" w:lineRule="auto"/>
        <w:ind w:left="284" w:right="335"/>
        <w:rPr>
          <w:rFonts w:ascii="Bookman Old Style" w:hAnsi="Bookman Old Style" w:cs="Tahoma"/>
          <w:b/>
          <w:sz w:val="22"/>
          <w:szCs w:val="22"/>
          <w:u w:val="single"/>
        </w:rPr>
      </w:pPr>
    </w:p>
    <w:p w14:paraId="65CE3CB1" w14:textId="77777777" w:rsidR="002354F2" w:rsidRPr="00A5798D" w:rsidRDefault="002354F2" w:rsidP="002354F2">
      <w:pPr>
        <w:spacing w:line="276" w:lineRule="auto"/>
        <w:ind w:left="284" w:right="335"/>
        <w:rPr>
          <w:rFonts w:ascii="Bookman Old Style" w:hAnsi="Bookman Old Style" w:cs="Tahoma"/>
          <w:sz w:val="22"/>
          <w:szCs w:val="22"/>
        </w:rPr>
      </w:pPr>
      <w:r w:rsidRPr="00A5798D">
        <w:rPr>
          <w:rFonts w:ascii="Bookman Old Style" w:hAnsi="Bookman Old Style" w:cs="Tahoma"/>
          <w:b/>
          <w:sz w:val="22"/>
          <w:szCs w:val="22"/>
          <w:u w:val="single"/>
        </w:rPr>
        <w:t>La primera</w:t>
      </w:r>
      <w:r w:rsidRPr="00A5798D">
        <w:rPr>
          <w:rFonts w:ascii="Bookman Old Style" w:hAnsi="Bookman Old Style" w:cs="Tahoma"/>
          <w:sz w:val="22"/>
          <w:szCs w:val="22"/>
        </w:rPr>
        <w:t xml:space="preserve"> (</w:t>
      </w:r>
      <w:r w:rsidRPr="00A5798D">
        <w:rPr>
          <w:rFonts w:ascii="Bookman Old Style" w:hAnsi="Bookman Old Style" w:cs="Tahoma"/>
          <w:b/>
          <w:sz w:val="22"/>
          <w:szCs w:val="22"/>
          <w:u w:val="single"/>
        </w:rPr>
        <w:t>basada en máximas de la experiencia</w:t>
      </w:r>
      <w:r w:rsidRPr="00A5798D">
        <w:rPr>
          <w:rFonts w:ascii="Bookman Old Style" w:hAnsi="Bookman Old Style" w:cs="Tahoma"/>
          <w:sz w:val="22"/>
          <w:szCs w:val="22"/>
        </w:rPr>
        <w:t>) adopta la forma de un silogismo, donde el enunciado general y abstracto, extraído de la observación cotidiana de fenómenos que casi siempre ocurren de la misma manera, permite extraer una regla que se utiliza para explicar el paso del dato a la conclusión en un evento en particular.</w:t>
      </w:r>
    </w:p>
    <w:p w14:paraId="33FB5281" w14:textId="77777777" w:rsidR="002354F2" w:rsidRPr="00A5798D" w:rsidRDefault="002354F2" w:rsidP="002354F2">
      <w:pPr>
        <w:spacing w:line="276" w:lineRule="auto"/>
        <w:ind w:left="284" w:right="335"/>
        <w:rPr>
          <w:rFonts w:ascii="Bookman Old Style" w:hAnsi="Bookman Old Style" w:cs="Tahoma"/>
          <w:sz w:val="22"/>
          <w:szCs w:val="22"/>
        </w:rPr>
      </w:pPr>
    </w:p>
    <w:p w14:paraId="4B98F089" w14:textId="77777777" w:rsidR="002354F2" w:rsidRPr="00A5798D" w:rsidRDefault="002354F2" w:rsidP="002354F2">
      <w:pPr>
        <w:spacing w:line="276" w:lineRule="auto"/>
        <w:ind w:left="284" w:right="335"/>
        <w:rPr>
          <w:rFonts w:ascii="Bookman Old Style" w:hAnsi="Bookman Old Style" w:cs="Tahoma"/>
          <w:sz w:val="22"/>
          <w:szCs w:val="22"/>
        </w:rPr>
      </w:pPr>
      <w:r w:rsidRPr="00A5798D">
        <w:rPr>
          <w:rFonts w:ascii="Bookman Old Style" w:hAnsi="Bookman Old Style" w:cs="Tahoma"/>
          <w:sz w:val="22"/>
          <w:szCs w:val="22"/>
        </w:rPr>
        <w:t>En el ejemplo inicial, esta argumentación se plantearía así:</w:t>
      </w:r>
    </w:p>
    <w:p w14:paraId="45509129" w14:textId="77777777" w:rsidR="002354F2" w:rsidRPr="00A5798D" w:rsidRDefault="002354F2" w:rsidP="002354F2">
      <w:pPr>
        <w:spacing w:line="276" w:lineRule="auto"/>
        <w:ind w:left="284" w:right="335"/>
        <w:rPr>
          <w:rFonts w:ascii="Bookman Old Style" w:hAnsi="Bookman Old Style" w:cs="Tahoma"/>
          <w:sz w:val="22"/>
          <w:szCs w:val="22"/>
        </w:rPr>
      </w:pPr>
    </w:p>
    <w:p w14:paraId="3EDDA01F" w14:textId="77777777" w:rsidR="002354F2" w:rsidRPr="00A5798D" w:rsidRDefault="002354F2" w:rsidP="002354F2">
      <w:pPr>
        <w:spacing w:line="276" w:lineRule="auto"/>
        <w:ind w:left="284" w:right="335"/>
        <w:rPr>
          <w:rFonts w:ascii="Bookman Old Style" w:hAnsi="Bookman Old Style" w:cs="Tahoma"/>
          <w:sz w:val="22"/>
          <w:szCs w:val="22"/>
        </w:rPr>
      </w:pPr>
      <w:r w:rsidRPr="00A5798D">
        <w:rPr>
          <w:rFonts w:ascii="Bookman Old Style" w:hAnsi="Bookman Old Style" w:cs="Tahoma"/>
          <w:sz w:val="22"/>
          <w:szCs w:val="22"/>
        </w:rPr>
        <w:t>Premisa mayor: Siempre o casi siempre que los seres humanos realizan una acción coordinada es porque previamente acordaron realizar esa acción.</w:t>
      </w:r>
    </w:p>
    <w:p w14:paraId="57549103" w14:textId="77777777" w:rsidR="002354F2" w:rsidRPr="00A5798D" w:rsidRDefault="002354F2" w:rsidP="002354F2">
      <w:pPr>
        <w:spacing w:line="276" w:lineRule="auto"/>
        <w:ind w:left="284" w:right="335"/>
        <w:rPr>
          <w:rFonts w:ascii="Bookman Old Style" w:hAnsi="Bookman Old Style" w:cs="Tahoma"/>
          <w:sz w:val="22"/>
          <w:szCs w:val="22"/>
        </w:rPr>
      </w:pPr>
      <w:r w:rsidRPr="00A5798D">
        <w:rPr>
          <w:rFonts w:ascii="Bookman Old Style" w:hAnsi="Bookman Old Style" w:cs="Tahoma"/>
          <w:sz w:val="22"/>
          <w:szCs w:val="22"/>
        </w:rPr>
        <w:t>Premisa menor: Los procesados realizaron la acción de manera coordinada.</w:t>
      </w:r>
    </w:p>
    <w:p w14:paraId="624C126E" w14:textId="77777777" w:rsidR="002354F2" w:rsidRPr="00A5798D" w:rsidRDefault="002354F2" w:rsidP="002354F2">
      <w:pPr>
        <w:spacing w:line="276" w:lineRule="auto"/>
        <w:ind w:left="284" w:right="335"/>
        <w:rPr>
          <w:rFonts w:ascii="Bookman Old Style" w:hAnsi="Bookman Old Style" w:cs="Tahoma"/>
          <w:sz w:val="22"/>
          <w:szCs w:val="22"/>
        </w:rPr>
      </w:pPr>
      <w:r w:rsidRPr="00A5798D">
        <w:rPr>
          <w:rFonts w:ascii="Bookman Old Style" w:hAnsi="Bookman Old Style" w:cs="Tahoma"/>
          <w:sz w:val="22"/>
          <w:szCs w:val="22"/>
        </w:rPr>
        <w:t>Conclusión: los procesados previamente habían concertado la realización de la acción.</w:t>
      </w:r>
    </w:p>
    <w:p w14:paraId="1B6BE6D9" w14:textId="77777777" w:rsidR="002354F2" w:rsidRPr="00A5798D" w:rsidRDefault="002354F2" w:rsidP="002354F2">
      <w:pPr>
        <w:spacing w:line="276" w:lineRule="auto"/>
        <w:ind w:left="284" w:right="335"/>
        <w:rPr>
          <w:rFonts w:ascii="Bookman Old Style" w:hAnsi="Bookman Old Style" w:cs="Tahoma"/>
          <w:sz w:val="22"/>
          <w:szCs w:val="22"/>
        </w:rPr>
      </w:pPr>
    </w:p>
    <w:p w14:paraId="1583C0FE" w14:textId="77777777" w:rsidR="002354F2" w:rsidRPr="00A5798D" w:rsidRDefault="002354F2" w:rsidP="002354F2">
      <w:pPr>
        <w:spacing w:line="276" w:lineRule="auto"/>
        <w:ind w:left="284" w:right="335"/>
        <w:rPr>
          <w:rFonts w:ascii="Bookman Old Style" w:hAnsi="Bookman Old Style" w:cs="Tahoma"/>
          <w:sz w:val="22"/>
          <w:szCs w:val="22"/>
        </w:rPr>
      </w:pPr>
      <w:r w:rsidRPr="00A5798D">
        <w:rPr>
          <w:rFonts w:ascii="Bookman Old Style" w:hAnsi="Bookman Old Style" w:cs="Tahoma"/>
          <w:b/>
          <w:sz w:val="22"/>
          <w:szCs w:val="22"/>
          <w:u w:val="single"/>
        </w:rPr>
        <w:t>La segunda</w:t>
      </w:r>
      <w:r w:rsidRPr="00A5798D">
        <w:rPr>
          <w:rFonts w:ascii="Bookman Old Style" w:hAnsi="Bookman Old Style" w:cs="Tahoma"/>
          <w:sz w:val="22"/>
          <w:szCs w:val="22"/>
        </w:rPr>
        <w:t xml:space="preserve">, está estructurada sobre la idea de que los datos, aisladamente considerados, no tienen la entidad suficiente para arribar a una conclusión altamente probable, </w:t>
      </w:r>
      <w:r w:rsidRPr="00A5798D">
        <w:rPr>
          <w:rFonts w:ascii="Bookman Old Style" w:hAnsi="Bookman Old Style" w:cs="Tahoma"/>
          <w:b/>
          <w:sz w:val="22"/>
          <w:szCs w:val="22"/>
          <w:u w:val="single"/>
        </w:rPr>
        <w:t>pero analizados en su conjunto pueden permitir ese estándar de conocimiento</w:t>
      </w:r>
      <w:r w:rsidRPr="00A5798D">
        <w:rPr>
          <w:rFonts w:ascii="Bookman Old Style" w:hAnsi="Bookman Old Style" w:cs="Tahoma"/>
          <w:sz w:val="22"/>
          <w:szCs w:val="22"/>
        </w:rPr>
        <w:t>: le fue hallada el arma utilizada para causar la muerte, huyó del lugar de los hechos instantes después de que las lesiones fueron causadas, había proferido amenazas en contra de la víctima, etcétera (…)” (Negrillas y subrayas nuestras)</w:t>
      </w:r>
    </w:p>
    <w:p w14:paraId="7A8F7F8D" w14:textId="77777777" w:rsidR="002354F2" w:rsidRPr="004F0C09" w:rsidRDefault="002354F2" w:rsidP="002354F2">
      <w:pPr>
        <w:spacing w:line="276" w:lineRule="auto"/>
        <w:rPr>
          <w:rFonts w:cs="Tahoma"/>
          <w:sz w:val="22"/>
          <w:szCs w:val="22"/>
          <w:lang w:val="es-ES_tradnl"/>
        </w:rPr>
      </w:pPr>
    </w:p>
    <w:p w14:paraId="77FB86BC" w14:textId="03BF8787" w:rsidR="0054178C" w:rsidRPr="0010373A" w:rsidRDefault="0054178C" w:rsidP="0010373A">
      <w:pPr>
        <w:spacing w:line="276" w:lineRule="auto"/>
        <w:ind w:right="335"/>
      </w:pPr>
      <w:r w:rsidRPr="0010373A">
        <w:t>Ahora, imperioso resulta recordar que la prueba indiciaria puede fundar una sentencia de condena cuando, en forma unívoca, enseña la responsabilidad del enjuiciado en la conducta punible por la que se acusa. Sin embargo, en virtud de la naturaleza contingente del indicio, su valoración obliga considerar todas y cada una de las hipótesis tendientes a confirmar o descartar la inferencia realizada, a efectos de establecer su validez y peso probatorio.</w:t>
      </w:r>
    </w:p>
    <w:p w14:paraId="076CD0EA" w14:textId="77777777" w:rsidR="0054178C" w:rsidRPr="0010373A" w:rsidRDefault="0054178C" w:rsidP="0010373A">
      <w:pPr>
        <w:spacing w:line="276" w:lineRule="auto"/>
        <w:ind w:right="335"/>
      </w:pPr>
    </w:p>
    <w:p w14:paraId="60A474A1" w14:textId="371B4558" w:rsidR="0054178C" w:rsidRPr="0010373A" w:rsidRDefault="0054178C" w:rsidP="0010373A">
      <w:pPr>
        <w:spacing w:line="276" w:lineRule="auto"/>
        <w:ind w:right="335"/>
      </w:pPr>
      <w:r w:rsidRPr="0010373A">
        <w:t>Recuérdese además que un indicio será: (i) necesario, cuando el hecho indicador, de forma cierta o inexorable, revela la existencia de otro hecho, a partir de relaciones de determinación constante, verbigracia, las que se presentan en las leyes de la naturaleza; o (</w:t>
      </w:r>
      <w:proofErr w:type="spellStart"/>
      <w:r w:rsidRPr="0010373A">
        <w:t>ii</w:t>
      </w:r>
      <w:proofErr w:type="spellEnd"/>
      <w:r w:rsidRPr="0010373A">
        <w:t>) contingente, en el evento en que el hecho demostrado, puede o no evidenciar la realidad del inferido, según el grado de probabilidad de su causa o efecto, vale decir, cuando es dable atribuirlo a diferentes causas, razón para que haya de determinarse, entre las posibles, su verdadera procedencia.</w:t>
      </w:r>
    </w:p>
    <w:p w14:paraId="201B2E4A" w14:textId="77777777" w:rsidR="0054178C" w:rsidRPr="0010373A" w:rsidRDefault="0054178C" w:rsidP="0010373A">
      <w:pPr>
        <w:spacing w:line="276" w:lineRule="auto"/>
        <w:ind w:right="335"/>
      </w:pPr>
    </w:p>
    <w:p w14:paraId="4DCB92A4" w14:textId="77777777" w:rsidR="0054178C" w:rsidRPr="0010373A" w:rsidRDefault="0054178C" w:rsidP="0010373A">
      <w:pPr>
        <w:spacing w:line="276" w:lineRule="auto"/>
        <w:ind w:right="335"/>
      </w:pPr>
      <w:r w:rsidRPr="0010373A">
        <w:t>Los últimos, a su vez, se califican de: (i) graves o vehementes: entre el hecho indicador y el indicado media un nexo de determinación racional, lógico, probable e inmediato, fundado en razones serias y estables, que surgen de la común ocurrencia de las cosas y que revelan que el hecho indicador se perfila como la causa más probable del hecho indicado; y (</w:t>
      </w:r>
      <w:proofErr w:type="spellStart"/>
      <w:r w:rsidRPr="0010373A">
        <w:t>ii</w:t>
      </w:r>
      <w:proofErr w:type="spellEnd"/>
      <w:r w:rsidRPr="0010373A">
        <w:t>) leves: categoría menguada en la que el nexo entre el hecho indicador y el indicado, constituye apenas una de las varias posibilidades que el fenómeno ofrece.</w:t>
      </w:r>
    </w:p>
    <w:p w14:paraId="66A87231" w14:textId="77777777" w:rsidR="0054178C" w:rsidRPr="0054178C" w:rsidRDefault="0054178C" w:rsidP="0054178C">
      <w:pPr>
        <w:autoSpaceDE w:val="0"/>
        <w:autoSpaceDN w:val="0"/>
        <w:adjustRightInd w:val="0"/>
        <w:spacing w:line="276" w:lineRule="auto"/>
        <w:rPr>
          <w:rFonts w:cs="Tahoma"/>
          <w:sz w:val="24"/>
          <w:szCs w:val="24"/>
        </w:rPr>
      </w:pPr>
    </w:p>
    <w:p w14:paraId="4BF6E829" w14:textId="50B5C0ED" w:rsidR="00374A3E" w:rsidRPr="00374A3E" w:rsidRDefault="00374A3E" w:rsidP="00374A3E">
      <w:pPr>
        <w:autoSpaceDE w:val="0"/>
        <w:autoSpaceDN w:val="0"/>
        <w:adjustRightInd w:val="0"/>
        <w:spacing w:line="276" w:lineRule="auto"/>
        <w:rPr>
          <w:rFonts w:cs="Tahoma"/>
          <w:b/>
          <w:u w:val="single"/>
          <w:lang w:val="es-ES_tradnl"/>
        </w:rPr>
      </w:pPr>
      <w:r w:rsidRPr="00C83C15">
        <w:t>Con fundamento en lo anterior, para la Sala en este asunto se cuenta con varios hechos debidamente comprobados (hechos indicadores), amén de las pruebas practicadas en el juicio oral, a saber:</w:t>
      </w:r>
    </w:p>
    <w:p w14:paraId="78172042" w14:textId="77777777" w:rsidR="00374A3E" w:rsidRDefault="00374A3E" w:rsidP="00BC4878">
      <w:pPr>
        <w:autoSpaceDE w:val="0"/>
        <w:autoSpaceDN w:val="0"/>
        <w:adjustRightInd w:val="0"/>
        <w:spacing w:line="276" w:lineRule="auto"/>
        <w:rPr>
          <w:rFonts w:cs="Tahoma"/>
          <w:bCs/>
          <w:lang w:val="es-ES_tradnl"/>
        </w:rPr>
      </w:pPr>
    </w:p>
    <w:p w14:paraId="458ED92E" w14:textId="62ECBAFF" w:rsidR="00BC4878" w:rsidRDefault="00BC4878" w:rsidP="00BC4878">
      <w:pPr>
        <w:autoSpaceDE w:val="0"/>
        <w:autoSpaceDN w:val="0"/>
        <w:adjustRightInd w:val="0"/>
        <w:spacing w:line="276" w:lineRule="auto"/>
        <w:rPr>
          <w:rFonts w:cs="Tahoma"/>
          <w:bCs/>
          <w:lang w:val="es-ES_tradnl"/>
        </w:rPr>
      </w:pPr>
      <w:r w:rsidRPr="00A11234">
        <w:rPr>
          <w:rFonts w:cs="Tahoma"/>
          <w:bCs/>
          <w:lang w:val="es-ES_tradnl"/>
        </w:rPr>
        <w:t>i)</w:t>
      </w:r>
      <w:r w:rsidR="00255740" w:rsidRPr="00255740">
        <w:rPr>
          <w:spacing w:val="-4"/>
        </w:rPr>
        <w:t xml:space="preserve"> </w:t>
      </w:r>
      <w:r w:rsidR="00255740">
        <w:rPr>
          <w:spacing w:val="-4"/>
        </w:rPr>
        <w:t xml:space="preserve">No obstante que el señor </w:t>
      </w:r>
      <w:r w:rsidR="00255740" w:rsidRPr="008F1EB0">
        <w:rPr>
          <w:spacing w:val="-4"/>
          <w:sz w:val="24"/>
          <w:szCs w:val="24"/>
        </w:rPr>
        <w:t>DIDIER RÍOS</w:t>
      </w:r>
      <w:r w:rsidR="00255740">
        <w:rPr>
          <w:spacing w:val="-4"/>
        </w:rPr>
        <w:t xml:space="preserve">, padre de la afectada </w:t>
      </w:r>
      <w:r w:rsidR="008F1EB0" w:rsidRPr="00255740">
        <w:rPr>
          <w:sz w:val="24"/>
          <w:szCs w:val="24"/>
        </w:rPr>
        <w:t>VALENTINA RÍOS ARIAS</w:t>
      </w:r>
      <w:r w:rsidR="008F1EB0">
        <w:rPr>
          <w:spacing w:val="-4"/>
        </w:rPr>
        <w:t xml:space="preserve"> </w:t>
      </w:r>
      <w:r w:rsidR="00255740">
        <w:rPr>
          <w:spacing w:val="-4"/>
        </w:rPr>
        <w:t>no logró identificar a ninguno de los ocupantes de la motocicleta que e</w:t>
      </w:r>
      <w:r w:rsidR="00255740">
        <w:rPr>
          <w:rFonts w:cs="Tahoma"/>
          <w:bCs/>
          <w:lang w:val="es-ES_tradnl"/>
        </w:rPr>
        <w:t xml:space="preserve">l </w:t>
      </w:r>
      <w:r w:rsidR="00255740" w:rsidRPr="00A5798D">
        <w:rPr>
          <w:rFonts w:cs="Tahoma"/>
          <w:bCs/>
          <w:lang w:val="es-ES_tradnl"/>
        </w:rPr>
        <w:t>día</w:t>
      </w:r>
      <w:r w:rsidR="00255740">
        <w:rPr>
          <w:rFonts w:cs="Tahoma"/>
          <w:bCs/>
          <w:lang w:val="es-ES_tradnl"/>
        </w:rPr>
        <w:t xml:space="preserve"> 17 de octubre de </w:t>
      </w:r>
      <w:r w:rsidR="00255740" w:rsidRPr="00A5798D">
        <w:rPr>
          <w:rFonts w:cs="Tahoma"/>
          <w:bCs/>
          <w:lang w:val="es-ES_tradnl"/>
        </w:rPr>
        <w:t>2019</w:t>
      </w:r>
      <w:r w:rsidR="00255740">
        <w:rPr>
          <w:rFonts w:cs="Tahoma"/>
          <w:bCs/>
          <w:lang w:val="es-ES_tradnl"/>
        </w:rPr>
        <w:t xml:space="preserve">, perpetraron </w:t>
      </w:r>
      <w:r w:rsidR="008F1EB0">
        <w:rPr>
          <w:rFonts w:cs="Tahoma"/>
          <w:bCs/>
          <w:lang w:val="es-ES_tradnl"/>
        </w:rPr>
        <w:t xml:space="preserve">el hurto </w:t>
      </w:r>
      <w:r w:rsidR="00255740">
        <w:rPr>
          <w:rFonts w:cs="Tahoma"/>
          <w:bCs/>
          <w:lang w:val="es-ES_tradnl"/>
        </w:rPr>
        <w:t>en contr</w:t>
      </w:r>
      <w:r w:rsidR="008F1EB0">
        <w:rPr>
          <w:rFonts w:cs="Tahoma"/>
          <w:bCs/>
          <w:lang w:val="es-ES_tradnl"/>
        </w:rPr>
        <w:t xml:space="preserve">a </w:t>
      </w:r>
      <w:r w:rsidR="00255740">
        <w:rPr>
          <w:rFonts w:cs="Tahoma"/>
          <w:bCs/>
          <w:lang w:val="es-ES_tradnl"/>
        </w:rPr>
        <w:t>de su hija</w:t>
      </w:r>
      <w:r w:rsidR="00255740">
        <w:rPr>
          <w:sz w:val="24"/>
          <w:szCs w:val="24"/>
        </w:rPr>
        <w:t>, siendo despojad</w:t>
      </w:r>
      <w:r w:rsidR="008F1EB0">
        <w:rPr>
          <w:sz w:val="24"/>
          <w:szCs w:val="24"/>
        </w:rPr>
        <w:t xml:space="preserve">a </w:t>
      </w:r>
      <w:r w:rsidR="00255740">
        <w:rPr>
          <w:sz w:val="24"/>
          <w:szCs w:val="24"/>
        </w:rPr>
        <w:t>de</w:t>
      </w:r>
      <w:r w:rsidR="00255740">
        <w:rPr>
          <w:spacing w:val="-4"/>
        </w:rPr>
        <w:t xml:space="preserve"> su celular y otros elementos, sí percibió la placa </w:t>
      </w:r>
      <w:r w:rsidR="00255740" w:rsidRPr="00EE248D">
        <w:rPr>
          <w:b/>
          <w:bCs/>
          <w:spacing w:val="-4"/>
          <w:sz w:val="22"/>
          <w:szCs w:val="22"/>
        </w:rPr>
        <w:t>SNJ-15</w:t>
      </w:r>
      <w:r w:rsidR="008F1EB0">
        <w:rPr>
          <w:spacing w:val="-4"/>
        </w:rPr>
        <w:t>,</w:t>
      </w:r>
      <w:r w:rsidR="00255740">
        <w:rPr>
          <w:spacing w:val="-4"/>
        </w:rPr>
        <w:t xml:space="preserve"> correspondiente a la motocicleta involucrada</w:t>
      </w:r>
      <w:r w:rsidR="008F1EB0">
        <w:rPr>
          <w:spacing w:val="-4"/>
        </w:rPr>
        <w:t xml:space="preserve"> en los hechos.</w:t>
      </w:r>
    </w:p>
    <w:p w14:paraId="64576952" w14:textId="77777777" w:rsidR="00255740" w:rsidRPr="00A5798D" w:rsidRDefault="00255740" w:rsidP="00BC4878">
      <w:pPr>
        <w:autoSpaceDE w:val="0"/>
        <w:autoSpaceDN w:val="0"/>
        <w:adjustRightInd w:val="0"/>
        <w:spacing w:line="276" w:lineRule="auto"/>
        <w:rPr>
          <w:rFonts w:cs="Tahoma"/>
          <w:bCs/>
          <w:lang w:val="es-ES_tradnl"/>
        </w:rPr>
      </w:pPr>
    </w:p>
    <w:p w14:paraId="184B4EF5" w14:textId="0BBC468D" w:rsidR="00AE6C68" w:rsidRDefault="00BC4878" w:rsidP="00BC4878">
      <w:pPr>
        <w:autoSpaceDE w:val="0"/>
        <w:autoSpaceDN w:val="0"/>
        <w:adjustRightInd w:val="0"/>
        <w:spacing w:line="276" w:lineRule="auto"/>
        <w:rPr>
          <w:rFonts w:cs="Tahoma"/>
          <w:bCs/>
          <w:lang w:val="es-ES_tradnl"/>
        </w:rPr>
      </w:pPr>
      <w:proofErr w:type="spellStart"/>
      <w:r w:rsidRPr="00A11234">
        <w:rPr>
          <w:rFonts w:cs="Tahoma"/>
          <w:bCs/>
          <w:lang w:val="es-ES_tradnl"/>
        </w:rPr>
        <w:t>ii</w:t>
      </w:r>
      <w:proofErr w:type="spellEnd"/>
      <w:r w:rsidRPr="00A11234">
        <w:rPr>
          <w:rFonts w:cs="Tahoma"/>
          <w:bCs/>
          <w:lang w:val="es-ES_tradnl"/>
        </w:rPr>
        <w:t>)</w:t>
      </w:r>
      <w:r>
        <w:rPr>
          <w:rFonts w:cs="Tahoma"/>
          <w:bCs/>
          <w:lang w:val="es-ES_tradnl"/>
        </w:rPr>
        <w:t xml:space="preserve"> </w:t>
      </w:r>
      <w:r w:rsidR="00AE6C68" w:rsidRPr="00064E12">
        <w:rPr>
          <w:rFonts w:cs="Tahoma"/>
          <w:bCs/>
          <w:lang w:val="es-ES_tradnl"/>
        </w:rPr>
        <w:t>Dada la labor que en ese mismo instante adelantó la afectada para tratar de ubicar por medio de georreferenciación su equipo móvil hurtado, logró verificar que se encontraba en el barrio La Unidad de esta capital.</w:t>
      </w:r>
      <w:r w:rsidR="00064E12">
        <w:rPr>
          <w:rFonts w:cs="Tahoma"/>
          <w:bCs/>
          <w:lang w:val="es-ES_tradnl"/>
        </w:rPr>
        <w:t xml:space="preserve"> En efecto,</w:t>
      </w:r>
      <w:r w:rsidR="00AE6C68">
        <w:rPr>
          <w:rFonts w:cs="Tahoma"/>
          <w:bCs/>
          <w:lang w:val="es-ES_tradnl"/>
        </w:rPr>
        <w:t xml:space="preserve"> </w:t>
      </w:r>
      <w:r w:rsidR="00064E12">
        <w:rPr>
          <w:rFonts w:cs="Tahoma"/>
          <w:bCs/>
          <w:lang w:val="es-ES_tradnl"/>
        </w:rPr>
        <w:t xml:space="preserve">una </w:t>
      </w:r>
      <w:r w:rsidR="00AE6C68">
        <w:rPr>
          <w:rFonts w:cs="Tahoma"/>
          <w:bCs/>
          <w:lang w:val="es-ES_tradnl"/>
        </w:rPr>
        <w:t xml:space="preserve">vez la víctima alertó a los miembros de la Policía Nacional adscritos al  </w:t>
      </w:r>
      <w:r w:rsidR="006F172B">
        <w:rPr>
          <w:rFonts w:cs="Tahoma"/>
          <w:bCs/>
          <w:lang w:val="es-ES_tradnl"/>
        </w:rPr>
        <w:t xml:space="preserve">CAI </w:t>
      </w:r>
      <w:r w:rsidR="00AE6C68">
        <w:rPr>
          <w:rFonts w:cs="Tahoma"/>
          <w:bCs/>
          <w:lang w:val="es-ES_tradnl"/>
        </w:rPr>
        <w:t>Bost</w:t>
      </w:r>
      <w:r w:rsidR="009465F6">
        <w:rPr>
          <w:rFonts w:cs="Tahoma"/>
          <w:bCs/>
          <w:lang w:val="es-ES_tradnl"/>
        </w:rPr>
        <w:t>o</w:t>
      </w:r>
      <w:r w:rsidR="00AE6C68">
        <w:rPr>
          <w:rFonts w:cs="Tahoma"/>
          <w:bCs/>
          <w:lang w:val="es-ES_tradnl"/>
        </w:rPr>
        <w:t>n, esto es, los patrulleros DIOME</w:t>
      </w:r>
      <w:r w:rsidR="00FD1FAA">
        <w:rPr>
          <w:rFonts w:cs="Tahoma"/>
          <w:bCs/>
          <w:lang w:val="es-ES_tradnl"/>
        </w:rPr>
        <w:t>D</w:t>
      </w:r>
      <w:r w:rsidR="00AE6C68">
        <w:rPr>
          <w:rFonts w:cs="Tahoma"/>
          <w:bCs/>
          <w:lang w:val="es-ES_tradnl"/>
        </w:rPr>
        <w:t>ES SÁNCHEZ BE</w:t>
      </w:r>
      <w:r w:rsidR="006327F1">
        <w:rPr>
          <w:rFonts w:cs="Tahoma"/>
          <w:bCs/>
          <w:lang w:val="es-ES_tradnl"/>
        </w:rPr>
        <w:t>D</w:t>
      </w:r>
      <w:r w:rsidR="00AE6C68">
        <w:rPr>
          <w:rFonts w:cs="Tahoma"/>
          <w:bCs/>
          <w:lang w:val="es-ES_tradnl"/>
        </w:rPr>
        <w:t xml:space="preserve">OYA </w:t>
      </w:r>
      <w:r w:rsidR="00AE6C68" w:rsidRPr="00AE6C68">
        <w:rPr>
          <w:rFonts w:ascii="Bookman Old Style" w:hAnsi="Bookman Old Style" w:cs="Tahoma"/>
          <w:bCs/>
          <w:sz w:val="22"/>
          <w:szCs w:val="22"/>
          <w:lang w:val="es-ES_tradnl"/>
        </w:rPr>
        <w:t>-</w:t>
      </w:r>
      <w:r w:rsidR="00AE6C68">
        <w:rPr>
          <w:rFonts w:ascii="Bookman Old Style" w:hAnsi="Bookman Old Style" w:cs="Tahoma"/>
          <w:bCs/>
          <w:sz w:val="22"/>
          <w:szCs w:val="22"/>
          <w:lang w:val="es-ES_tradnl"/>
        </w:rPr>
        <w:t xml:space="preserve">ya </w:t>
      </w:r>
      <w:r w:rsidR="00AE6C68" w:rsidRPr="00AE6C68">
        <w:rPr>
          <w:rFonts w:ascii="Bookman Old Style" w:hAnsi="Bookman Old Style" w:cs="Tahoma"/>
          <w:bCs/>
          <w:sz w:val="22"/>
          <w:szCs w:val="22"/>
          <w:lang w:val="es-ES_tradnl"/>
        </w:rPr>
        <w:t>retir</w:t>
      </w:r>
      <w:r w:rsidR="00AE6C68">
        <w:rPr>
          <w:rFonts w:ascii="Bookman Old Style" w:hAnsi="Bookman Old Style" w:cs="Tahoma"/>
          <w:bCs/>
          <w:sz w:val="22"/>
          <w:szCs w:val="22"/>
          <w:lang w:val="es-ES_tradnl"/>
        </w:rPr>
        <w:t>ado del servicio</w:t>
      </w:r>
      <w:r w:rsidR="00AE6C68" w:rsidRPr="00AE6C68">
        <w:rPr>
          <w:rFonts w:ascii="Bookman Old Style" w:hAnsi="Bookman Old Style" w:cs="Tahoma"/>
          <w:bCs/>
          <w:sz w:val="22"/>
          <w:szCs w:val="22"/>
          <w:lang w:val="es-ES_tradnl"/>
        </w:rPr>
        <w:t>-</w:t>
      </w:r>
      <w:r w:rsidR="00AE6C68">
        <w:rPr>
          <w:rFonts w:cs="Tahoma"/>
          <w:bCs/>
          <w:lang w:val="es-ES_tradnl"/>
        </w:rPr>
        <w:t xml:space="preserve"> y JORGE IVÁN RAMÍREZ CALVO, como así lo informaron en juicio</w:t>
      </w:r>
      <w:r w:rsidR="006327F1">
        <w:rPr>
          <w:rFonts w:cs="Tahoma"/>
          <w:bCs/>
          <w:lang w:val="es-ES_tradnl"/>
        </w:rPr>
        <w:t xml:space="preserve"> y se plasmó en el libro de población que se arrimó como prueba,</w:t>
      </w:r>
      <w:r w:rsidR="00AE6C68">
        <w:rPr>
          <w:rFonts w:cs="Tahoma"/>
          <w:bCs/>
          <w:lang w:val="es-ES_tradnl"/>
        </w:rPr>
        <w:t xml:space="preserve"> al conocer el sector donde arrojaba el aplicativo de rastreo la ubicación del celular hurtado, se dirigieron al sitio y luego de realizar una búsqueda </w:t>
      </w:r>
      <w:r w:rsidR="0017442B">
        <w:rPr>
          <w:rFonts w:cs="Tahoma"/>
          <w:bCs/>
          <w:lang w:val="es-ES_tradnl"/>
        </w:rPr>
        <w:t>durante</w:t>
      </w:r>
      <w:r w:rsidR="00AE6C68">
        <w:rPr>
          <w:rFonts w:cs="Tahoma"/>
          <w:bCs/>
          <w:lang w:val="es-ES_tradnl"/>
        </w:rPr>
        <w:t xml:space="preserve"> 15 </w:t>
      </w:r>
      <w:r w:rsidR="0017442B">
        <w:rPr>
          <w:rFonts w:cs="Tahoma"/>
          <w:bCs/>
          <w:lang w:val="es-ES_tradnl"/>
        </w:rPr>
        <w:t xml:space="preserve">o </w:t>
      </w:r>
      <w:r w:rsidR="00AE6C68">
        <w:rPr>
          <w:rFonts w:cs="Tahoma"/>
          <w:bCs/>
          <w:lang w:val="es-ES_tradnl"/>
        </w:rPr>
        <w:t xml:space="preserve">20 minutos, </w:t>
      </w:r>
      <w:r w:rsidR="00BF2508" w:rsidRPr="001848D1">
        <w:rPr>
          <w:rFonts w:cs="Tahoma"/>
          <w:b/>
          <w:sz w:val="22"/>
          <w:szCs w:val="22"/>
          <w:lang w:val="es-ES_tradnl"/>
        </w:rPr>
        <w:t xml:space="preserve">hallaron </w:t>
      </w:r>
      <w:r w:rsidR="00AE6C68" w:rsidRPr="001848D1">
        <w:rPr>
          <w:rFonts w:cs="Tahoma"/>
          <w:b/>
          <w:sz w:val="22"/>
          <w:szCs w:val="22"/>
          <w:lang w:val="es-ES_tradnl"/>
        </w:rPr>
        <w:t>la motocicleta AX 100, color negra de placas</w:t>
      </w:r>
      <w:r w:rsidR="00AE6C68" w:rsidRPr="00C83C15">
        <w:rPr>
          <w:rFonts w:cs="Tahoma"/>
          <w:bCs/>
          <w:sz w:val="24"/>
          <w:szCs w:val="24"/>
          <w:lang w:val="es-ES_tradnl"/>
        </w:rPr>
        <w:t xml:space="preserve"> </w:t>
      </w:r>
      <w:r w:rsidR="00AE6C68" w:rsidRPr="00C83C15">
        <w:rPr>
          <w:rFonts w:cs="Tahoma"/>
          <w:b/>
          <w:sz w:val="22"/>
          <w:szCs w:val="22"/>
          <w:lang w:val="es-ES_tradnl"/>
        </w:rPr>
        <w:t>SNJ-15</w:t>
      </w:r>
      <w:r w:rsidR="00AE6C68">
        <w:rPr>
          <w:rFonts w:cs="Tahoma"/>
          <w:bCs/>
          <w:lang w:val="es-ES_tradnl"/>
        </w:rPr>
        <w:t>,</w:t>
      </w:r>
      <w:r w:rsidR="006327F1">
        <w:rPr>
          <w:rFonts w:cs="Tahoma"/>
          <w:bCs/>
          <w:lang w:val="es-ES_tradnl"/>
        </w:rPr>
        <w:t xml:space="preserve"> que había sido reportada por las víctimas como la usada en el hurto</w:t>
      </w:r>
      <w:r w:rsidR="009465F6">
        <w:rPr>
          <w:rFonts w:cs="Tahoma"/>
          <w:bCs/>
          <w:lang w:val="es-ES_tradnl"/>
        </w:rPr>
        <w:t xml:space="preserve">, estacionada </w:t>
      </w:r>
      <w:r w:rsidR="00AE6C68">
        <w:rPr>
          <w:rFonts w:cs="Tahoma"/>
          <w:bCs/>
          <w:lang w:val="es-ES_tradnl"/>
        </w:rPr>
        <w:t xml:space="preserve">al frente de la residencia ubicada en la Manzana A, Casa 8 de ese barrio, lugar donde reside </w:t>
      </w:r>
      <w:r w:rsidR="00D60502">
        <w:rPr>
          <w:rFonts w:cs="Tahoma"/>
          <w:b/>
          <w:bCs/>
          <w:sz w:val="22"/>
          <w:szCs w:val="22"/>
          <w:lang w:val="es-ES_tradnl"/>
        </w:rPr>
        <w:t>DSRM</w:t>
      </w:r>
      <w:r w:rsidR="00AE6C68">
        <w:rPr>
          <w:rFonts w:cs="Tahoma"/>
          <w:bCs/>
          <w:lang w:val="es-ES_tradnl"/>
        </w:rPr>
        <w:t xml:space="preserve">, como </w:t>
      </w:r>
      <w:r w:rsidR="009465F6">
        <w:rPr>
          <w:rFonts w:cs="Tahoma"/>
          <w:bCs/>
          <w:lang w:val="es-ES_tradnl"/>
        </w:rPr>
        <w:t xml:space="preserve">también </w:t>
      </w:r>
      <w:r w:rsidR="00AE6C68">
        <w:rPr>
          <w:rFonts w:cs="Tahoma"/>
          <w:bCs/>
          <w:lang w:val="es-ES_tradnl"/>
        </w:rPr>
        <w:t xml:space="preserve">se acreditó </w:t>
      </w:r>
      <w:r w:rsidR="009465F6">
        <w:rPr>
          <w:rFonts w:cs="Tahoma"/>
          <w:bCs/>
          <w:lang w:val="es-ES_tradnl"/>
        </w:rPr>
        <w:t xml:space="preserve">con lo expuesto </w:t>
      </w:r>
      <w:r w:rsidR="00AE6C68">
        <w:rPr>
          <w:rFonts w:cs="Tahoma"/>
          <w:bCs/>
          <w:lang w:val="es-ES_tradnl"/>
        </w:rPr>
        <w:t>en juicio</w:t>
      </w:r>
      <w:r w:rsidR="006327F1">
        <w:rPr>
          <w:rFonts w:cs="Tahoma"/>
          <w:bCs/>
          <w:lang w:val="es-ES_tradnl"/>
        </w:rPr>
        <w:t xml:space="preserve"> </w:t>
      </w:r>
      <w:r w:rsidR="009465F6">
        <w:rPr>
          <w:rFonts w:cs="Tahoma"/>
          <w:bCs/>
          <w:lang w:val="es-ES_tradnl"/>
        </w:rPr>
        <w:t xml:space="preserve">por </w:t>
      </w:r>
      <w:r w:rsidR="006327F1">
        <w:rPr>
          <w:rFonts w:cs="Tahoma"/>
          <w:bCs/>
          <w:lang w:val="es-ES_tradnl"/>
        </w:rPr>
        <w:t xml:space="preserve">su madre y padrastro, </w:t>
      </w:r>
      <w:r w:rsidR="009465F6">
        <w:rPr>
          <w:rFonts w:cs="Tahoma"/>
          <w:bCs/>
          <w:lang w:val="es-ES_tradnl"/>
        </w:rPr>
        <w:t xml:space="preserve">pero al no haberse </w:t>
      </w:r>
      <w:r w:rsidR="006327F1">
        <w:rPr>
          <w:rFonts w:cs="Tahoma"/>
          <w:bCs/>
          <w:lang w:val="es-ES_tradnl"/>
        </w:rPr>
        <w:t xml:space="preserve">logrado establecer en ese instante a </w:t>
      </w:r>
      <w:r w:rsidR="00AE6C68">
        <w:rPr>
          <w:rFonts w:cs="Tahoma"/>
          <w:bCs/>
          <w:lang w:val="es-ES_tradnl"/>
        </w:rPr>
        <w:t>quien le pertenecía</w:t>
      </w:r>
      <w:r w:rsidR="006327F1">
        <w:rPr>
          <w:rFonts w:cs="Tahoma"/>
          <w:bCs/>
          <w:lang w:val="es-ES_tradnl"/>
        </w:rPr>
        <w:t>, fue trasladada al</w:t>
      </w:r>
      <w:r w:rsidR="00AE6C68">
        <w:rPr>
          <w:rFonts w:cs="Tahoma"/>
          <w:bCs/>
          <w:lang w:val="es-ES_tradnl"/>
        </w:rPr>
        <w:t xml:space="preserve"> </w:t>
      </w:r>
      <w:r w:rsidR="0092573A">
        <w:rPr>
          <w:rFonts w:cs="Tahoma"/>
          <w:bCs/>
          <w:lang w:val="es-ES_tradnl"/>
        </w:rPr>
        <w:t>CAI</w:t>
      </w:r>
      <w:r w:rsidR="006327F1">
        <w:rPr>
          <w:rFonts w:cs="Tahoma"/>
          <w:bCs/>
          <w:lang w:val="es-ES_tradnl"/>
        </w:rPr>
        <w:t xml:space="preserve"> por el patrullero </w:t>
      </w:r>
      <w:r w:rsidR="006327F1" w:rsidRPr="009048C5">
        <w:rPr>
          <w:rFonts w:cs="Tahoma"/>
          <w:bCs/>
          <w:sz w:val="24"/>
          <w:szCs w:val="24"/>
          <w:lang w:val="es-ES_tradnl"/>
        </w:rPr>
        <w:t>RAMÍREZ CALVO</w:t>
      </w:r>
      <w:r w:rsidR="00AE6C68">
        <w:rPr>
          <w:rFonts w:cs="Tahoma"/>
          <w:bCs/>
          <w:lang w:val="es-ES_tradnl"/>
        </w:rPr>
        <w:t xml:space="preserve">, dado que </w:t>
      </w:r>
      <w:r w:rsidR="009465F6">
        <w:rPr>
          <w:rFonts w:cs="Tahoma"/>
          <w:bCs/>
          <w:lang w:val="es-ES_tradnl"/>
        </w:rPr>
        <w:t xml:space="preserve">prendía </w:t>
      </w:r>
      <w:r w:rsidR="00AE6C68">
        <w:rPr>
          <w:rFonts w:cs="Tahoma"/>
          <w:bCs/>
          <w:lang w:val="es-ES_tradnl"/>
        </w:rPr>
        <w:t>de manera directa</w:t>
      </w:r>
      <w:r w:rsidR="0017442B">
        <w:rPr>
          <w:rFonts w:cs="Tahoma"/>
          <w:bCs/>
          <w:lang w:val="es-ES_tradnl"/>
        </w:rPr>
        <w:t>.</w:t>
      </w:r>
    </w:p>
    <w:p w14:paraId="1C20C654" w14:textId="77777777" w:rsidR="00AE6C68" w:rsidRDefault="00AE6C68" w:rsidP="00BC4878">
      <w:pPr>
        <w:autoSpaceDE w:val="0"/>
        <w:autoSpaceDN w:val="0"/>
        <w:adjustRightInd w:val="0"/>
        <w:spacing w:line="276" w:lineRule="auto"/>
        <w:rPr>
          <w:rFonts w:cs="Tahoma"/>
          <w:bCs/>
          <w:lang w:val="es-ES_tradnl"/>
        </w:rPr>
      </w:pPr>
    </w:p>
    <w:p w14:paraId="1766CF90" w14:textId="69AAB351" w:rsidR="00374A3E" w:rsidRPr="006B36D3" w:rsidRDefault="00AE6C68" w:rsidP="00374A3E">
      <w:pPr>
        <w:autoSpaceDE w:val="0"/>
        <w:autoSpaceDN w:val="0"/>
        <w:adjustRightInd w:val="0"/>
        <w:spacing w:line="276" w:lineRule="auto"/>
        <w:rPr>
          <w:rFonts w:cs="Tahoma"/>
          <w:b/>
          <w:u w:val="single"/>
          <w:lang w:val="es-ES_tradnl"/>
        </w:rPr>
      </w:pPr>
      <w:proofErr w:type="spellStart"/>
      <w:r w:rsidRPr="00A11234">
        <w:rPr>
          <w:rFonts w:cs="Tahoma"/>
          <w:bCs/>
          <w:lang w:val="es-ES_tradnl"/>
        </w:rPr>
        <w:t>i</w:t>
      </w:r>
      <w:r w:rsidR="00064E12">
        <w:rPr>
          <w:rFonts w:cs="Tahoma"/>
          <w:bCs/>
          <w:lang w:val="es-ES_tradnl"/>
        </w:rPr>
        <w:t>ii</w:t>
      </w:r>
      <w:proofErr w:type="spellEnd"/>
      <w:r w:rsidRPr="00A11234">
        <w:rPr>
          <w:rFonts w:cs="Tahoma"/>
          <w:bCs/>
          <w:lang w:val="es-ES_tradnl"/>
        </w:rPr>
        <w:t>)</w:t>
      </w:r>
      <w:r w:rsidR="006327F1">
        <w:rPr>
          <w:rFonts w:cs="Tahoma"/>
          <w:bCs/>
          <w:lang w:val="es-ES_tradnl"/>
        </w:rPr>
        <w:t xml:space="preserve"> Minutos después de encontrarse dicho rodante en el </w:t>
      </w:r>
      <w:r w:rsidR="006F172B">
        <w:rPr>
          <w:rFonts w:cs="Tahoma"/>
          <w:bCs/>
          <w:lang w:val="es-ES_tradnl"/>
        </w:rPr>
        <w:t>CAI</w:t>
      </w:r>
      <w:r w:rsidR="006327F1">
        <w:rPr>
          <w:rFonts w:cs="Tahoma"/>
          <w:bCs/>
          <w:lang w:val="es-ES_tradnl"/>
        </w:rPr>
        <w:t xml:space="preserve"> de Bost</w:t>
      </w:r>
      <w:r w:rsidR="009465F6">
        <w:rPr>
          <w:rFonts w:cs="Tahoma"/>
          <w:bCs/>
          <w:lang w:val="es-ES_tradnl"/>
        </w:rPr>
        <w:t>o</w:t>
      </w:r>
      <w:r w:rsidR="006327F1">
        <w:rPr>
          <w:rFonts w:cs="Tahoma"/>
          <w:bCs/>
          <w:lang w:val="es-ES_tradnl"/>
        </w:rPr>
        <w:t xml:space="preserve">n, llegó </w:t>
      </w:r>
      <w:r w:rsidR="009465F6">
        <w:rPr>
          <w:rFonts w:cs="Tahoma"/>
          <w:bCs/>
          <w:lang w:val="es-ES_tradnl"/>
        </w:rPr>
        <w:t xml:space="preserve">a reclamarla </w:t>
      </w:r>
      <w:r w:rsidR="00D60502">
        <w:rPr>
          <w:rFonts w:cs="Tahoma"/>
          <w:b/>
          <w:bCs/>
          <w:sz w:val="22"/>
          <w:szCs w:val="22"/>
          <w:lang w:val="es-ES_tradnl"/>
        </w:rPr>
        <w:t>DSRM</w:t>
      </w:r>
      <w:r w:rsidR="006327F1">
        <w:rPr>
          <w:rFonts w:cs="Tahoma"/>
          <w:bCs/>
          <w:lang w:val="es-ES_tradnl"/>
        </w:rPr>
        <w:t>, a</w:t>
      </w:r>
      <w:r w:rsidR="007E09EC">
        <w:rPr>
          <w:rFonts w:cs="Tahoma"/>
          <w:bCs/>
          <w:lang w:val="es-ES_tradnl"/>
        </w:rPr>
        <w:t>l a</w:t>
      </w:r>
      <w:r w:rsidR="006327F1">
        <w:rPr>
          <w:rFonts w:cs="Tahoma"/>
          <w:bCs/>
          <w:lang w:val="es-ES_tradnl"/>
        </w:rPr>
        <w:t>duci</w:t>
      </w:r>
      <w:r w:rsidR="007E09EC">
        <w:rPr>
          <w:rFonts w:cs="Tahoma"/>
          <w:bCs/>
          <w:lang w:val="es-ES_tradnl"/>
        </w:rPr>
        <w:t>r</w:t>
      </w:r>
      <w:r w:rsidR="006327F1">
        <w:rPr>
          <w:rFonts w:cs="Tahoma"/>
          <w:bCs/>
          <w:lang w:val="es-ES_tradnl"/>
        </w:rPr>
        <w:t xml:space="preserve"> ser el dueño, para lo cual alleg</w:t>
      </w:r>
      <w:r w:rsidR="009465F6">
        <w:rPr>
          <w:rFonts w:cs="Tahoma"/>
          <w:bCs/>
          <w:lang w:val="es-ES_tradnl"/>
        </w:rPr>
        <w:t>ó</w:t>
      </w:r>
      <w:r w:rsidR="006327F1">
        <w:rPr>
          <w:rFonts w:cs="Tahoma"/>
          <w:bCs/>
          <w:lang w:val="es-ES_tradnl"/>
        </w:rPr>
        <w:t xml:space="preserve"> copia de la tarjeta de propiedad </w:t>
      </w:r>
      <w:r w:rsidR="009465F6">
        <w:rPr>
          <w:rFonts w:cs="Tahoma"/>
          <w:bCs/>
          <w:lang w:val="es-ES_tradnl"/>
        </w:rPr>
        <w:t xml:space="preserve">a </w:t>
      </w:r>
      <w:r w:rsidR="006327F1" w:rsidRPr="006B36D3">
        <w:rPr>
          <w:rFonts w:cs="Tahoma"/>
          <w:bCs/>
          <w:lang w:val="es-ES_tradnl"/>
        </w:rPr>
        <w:t>nombre</w:t>
      </w:r>
      <w:r w:rsidR="0087500C" w:rsidRPr="006B36D3">
        <w:rPr>
          <w:rFonts w:cs="Tahoma"/>
          <w:bCs/>
          <w:lang w:val="es-ES_tradnl"/>
        </w:rPr>
        <w:t xml:space="preserve"> de </w:t>
      </w:r>
      <w:r w:rsidR="00BE00F7">
        <w:rPr>
          <w:rFonts w:cs="Tahoma"/>
          <w:b/>
          <w:bCs/>
          <w:sz w:val="22"/>
          <w:szCs w:val="22"/>
          <w:lang w:val="es-ES_tradnl"/>
        </w:rPr>
        <w:t>JJAF</w:t>
      </w:r>
      <w:r w:rsidR="0087500C" w:rsidRPr="006B36D3">
        <w:rPr>
          <w:rFonts w:cs="Tahoma"/>
          <w:bCs/>
          <w:lang w:val="es-ES_tradnl"/>
        </w:rPr>
        <w:t>, procediéndose a su entrega.</w:t>
      </w:r>
      <w:r w:rsidR="00BC4878" w:rsidRPr="006B36D3">
        <w:rPr>
          <w:rFonts w:cs="Tahoma"/>
        </w:rPr>
        <w:t xml:space="preserve"> </w:t>
      </w:r>
    </w:p>
    <w:p w14:paraId="478308B9" w14:textId="77777777" w:rsidR="00374A3E" w:rsidRPr="006B36D3" w:rsidRDefault="00374A3E" w:rsidP="00374A3E">
      <w:pPr>
        <w:autoSpaceDE w:val="0"/>
        <w:autoSpaceDN w:val="0"/>
        <w:adjustRightInd w:val="0"/>
        <w:spacing w:line="276" w:lineRule="auto"/>
        <w:rPr>
          <w:rFonts w:cs="Tahoma"/>
          <w:b/>
          <w:u w:val="single"/>
          <w:lang w:val="es-ES_tradnl"/>
        </w:rPr>
      </w:pPr>
    </w:p>
    <w:p w14:paraId="2876EB6E" w14:textId="081BFAB0" w:rsidR="006E260E" w:rsidRDefault="0087500C" w:rsidP="0087500C">
      <w:pPr>
        <w:spacing w:line="276" w:lineRule="auto"/>
      </w:pPr>
      <w:r w:rsidRPr="006B36D3">
        <w:rPr>
          <w:rFonts w:cs="Tahoma"/>
          <w:bCs/>
          <w:lang w:val="es-ES_tradnl"/>
        </w:rPr>
        <w:lastRenderedPageBreak/>
        <w:t xml:space="preserve">En conclusión, </w:t>
      </w:r>
      <w:r w:rsidR="002433A1" w:rsidRPr="006B36D3">
        <w:rPr>
          <w:rFonts w:cs="Tahoma"/>
          <w:bCs/>
          <w:lang w:val="es-ES_tradnl"/>
        </w:rPr>
        <w:t xml:space="preserve">esos </w:t>
      </w:r>
      <w:r w:rsidRPr="006B36D3">
        <w:rPr>
          <w:rFonts w:cs="Tahoma"/>
          <w:bCs/>
          <w:lang w:val="es-ES_tradnl"/>
        </w:rPr>
        <w:t>hechos indicadores</w:t>
      </w:r>
      <w:r w:rsidRPr="006B36D3">
        <w:rPr>
          <w:rFonts w:cs="Tahoma"/>
          <w:sz w:val="24"/>
          <w:szCs w:val="24"/>
          <w:lang w:val="es-ES_tradnl"/>
        </w:rPr>
        <w:t xml:space="preserve"> </w:t>
      </w:r>
      <w:r w:rsidRPr="006B36D3">
        <w:rPr>
          <w:rFonts w:cs="Tahoma"/>
          <w:bCs/>
          <w:lang w:val="es-ES_tradnl"/>
        </w:rPr>
        <w:t>que convergen</w:t>
      </w:r>
      <w:r w:rsidR="002433A1" w:rsidRPr="006B36D3">
        <w:rPr>
          <w:rFonts w:cs="Tahoma"/>
          <w:bCs/>
          <w:lang w:val="es-ES_tradnl"/>
        </w:rPr>
        <w:t xml:space="preserve"> entre sí,</w:t>
      </w:r>
      <w:r w:rsidR="002433A1" w:rsidRPr="006B36D3">
        <w:t xml:space="preserve"> analizados en conjunto permiten inferir, como hecho indicado o desconocido, que existe la alta probabilidad que el señor </w:t>
      </w:r>
      <w:r w:rsidR="00D60502">
        <w:rPr>
          <w:b/>
          <w:sz w:val="22"/>
          <w:szCs w:val="22"/>
        </w:rPr>
        <w:t>DSRM</w:t>
      </w:r>
      <w:r w:rsidR="002433A1" w:rsidRPr="006B36D3">
        <w:t xml:space="preserve">, haya tenido participación directa, en calidad de coautor, en el hurto cometido en contra del patrimonio económico de la señora VALENTINA RÍOS ARIAS, por cuanto  la motocicleta de placas SNJ-15, utilizada en la comisión del ilícito fue hallada estacionada </w:t>
      </w:r>
      <w:r w:rsidR="004676B2" w:rsidRPr="006B36D3">
        <w:t>al frente de la Manzana A, casa 8</w:t>
      </w:r>
      <w:r w:rsidR="002433A1" w:rsidRPr="006B36D3">
        <w:t xml:space="preserve"> del barrio  La Unidad</w:t>
      </w:r>
      <w:r w:rsidR="004676B2" w:rsidRPr="006B36D3">
        <w:t xml:space="preserve">, </w:t>
      </w:r>
      <w:r w:rsidR="00CF4F41" w:rsidRPr="006B36D3">
        <w:t>inmueble</w:t>
      </w:r>
      <w:r w:rsidR="004676B2" w:rsidRPr="006B36D3">
        <w:t xml:space="preserve"> donde reside </w:t>
      </w:r>
      <w:r w:rsidR="00D60502">
        <w:rPr>
          <w:b/>
          <w:sz w:val="22"/>
          <w:szCs w:val="22"/>
        </w:rPr>
        <w:t>DSRM</w:t>
      </w:r>
      <w:r w:rsidR="002433A1" w:rsidRPr="006B36D3">
        <w:t xml:space="preserve">, e igualmente se tiene que fue esta persona y no uno diferente, quien acudió ese mismo día a las </w:t>
      </w:r>
      <w:r w:rsidR="00DF66A3" w:rsidRPr="006B36D3">
        <w:t xml:space="preserve">instalaciones del </w:t>
      </w:r>
      <w:r w:rsidR="006F172B" w:rsidRPr="006B36D3">
        <w:t xml:space="preserve">CAI </w:t>
      </w:r>
      <w:r w:rsidR="00DF66A3" w:rsidRPr="006B36D3">
        <w:t xml:space="preserve">de Boston, </w:t>
      </w:r>
      <w:r w:rsidR="002433A1" w:rsidRPr="006B36D3">
        <w:t xml:space="preserve">a </w:t>
      </w:r>
      <w:r w:rsidR="00DF66A3" w:rsidRPr="006B36D3">
        <w:t>informar que era su dueño</w:t>
      </w:r>
      <w:r w:rsidR="002433A1" w:rsidRPr="006B36D3">
        <w:t xml:space="preserve">, con los documentos que acreditaban su tenencia, </w:t>
      </w:r>
      <w:r w:rsidR="00DF66A3" w:rsidRPr="006B36D3">
        <w:t xml:space="preserve">para </w:t>
      </w:r>
      <w:r w:rsidR="00A11234" w:rsidRPr="006B36D3">
        <w:t>solicitar</w:t>
      </w:r>
      <w:r w:rsidR="00DF66A3" w:rsidRPr="006B36D3">
        <w:t xml:space="preserve"> su entrega</w:t>
      </w:r>
      <w:r w:rsidR="002433A1" w:rsidRPr="006B36D3">
        <w:t xml:space="preserve"> como en efecto así ocurrió.</w:t>
      </w:r>
      <w:r w:rsidR="00F57975">
        <w:t xml:space="preserve"> </w:t>
      </w:r>
    </w:p>
    <w:p w14:paraId="1A78D79C" w14:textId="77777777" w:rsidR="002433A1" w:rsidRDefault="002433A1" w:rsidP="0087500C">
      <w:pPr>
        <w:spacing w:line="276" w:lineRule="auto"/>
      </w:pPr>
    </w:p>
    <w:p w14:paraId="54402E42" w14:textId="77777777" w:rsidR="00FF58C9" w:rsidRDefault="00DF66A3" w:rsidP="0087500C">
      <w:pPr>
        <w:spacing w:line="276" w:lineRule="auto"/>
      </w:pPr>
      <w:r w:rsidRPr="00E531FB">
        <w:t>Y es que no puede desconocerse</w:t>
      </w:r>
      <w:r>
        <w:t xml:space="preserve">, </w:t>
      </w:r>
      <w:r w:rsidR="00F77BCA">
        <w:t xml:space="preserve">como así dio </w:t>
      </w:r>
      <w:r>
        <w:t xml:space="preserve">cuenta la ubicación del celular hurtado a la señora VALENTINA, que </w:t>
      </w:r>
      <w:r w:rsidR="00F77BCA">
        <w:t>dicho equipo</w:t>
      </w:r>
      <w:r w:rsidR="005E5250">
        <w:t>, a no dudarlo,</w:t>
      </w:r>
      <w:r w:rsidR="00F77BCA">
        <w:t xml:space="preserve"> </w:t>
      </w:r>
      <w:r>
        <w:t xml:space="preserve">fue llevado en la aludida motocicleta hasta el barrio la Unidad, </w:t>
      </w:r>
      <w:r w:rsidR="007E09EC">
        <w:t xml:space="preserve">al ser </w:t>
      </w:r>
      <w:r w:rsidR="00F77BCA">
        <w:t xml:space="preserve">tal lugar </w:t>
      </w:r>
      <w:r>
        <w:t xml:space="preserve">donde precisamente se encontró </w:t>
      </w:r>
      <w:r w:rsidR="00F77BCA">
        <w:t xml:space="preserve">parqueado </w:t>
      </w:r>
      <w:r>
        <w:t xml:space="preserve">el referido rodante, </w:t>
      </w:r>
      <w:r w:rsidR="00F77BCA">
        <w:t xml:space="preserve">pero no </w:t>
      </w:r>
      <w:r w:rsidR="005E5250">
        <w:t>en cualquier lugar, sino al</w:t>
      </w:r>
      <w:r w:rsidR="00F77BCA">
        <w:t xml:space="preserve"> </w:t>
      </w:r>
      <w:r>
        <w:t xml:space="preserve">frente </w:t>
      </w:r>
      <w:r w:rsidR="00E531FB">
        <w:t>de</w:t>
      </w:r>
      <w:r>
        <w:t xml:space="preserve"> la residencia del acá procesado. </w:t>
      </w:r>
    </w:p>
    <w:p w14:paraId="2E70AB43" w14:textId="77777777" w:rsidR="002F2EA2" w:rsidRDefault="002F2EA2" w:rsidP="0087500C">
      <w:pPr>
        <w:spacing w:line="276" w:lineRule="auto"/>
      </w:pPr>
    </w:p>
    <w:p w14:paraId="725CC539" w14:textId="2DE111B2" w:rsidR="00DF66A3" w:rsidRDefault="00DF66A3" w:rsidP="0087500C">
      <w:pPr>
        <w:spacing w:line="276" w:lineRule="auto"/>
      </w:pPr>
      <w:r>
        <w:t>Es cierto, como en su momento lo dijo el señor DIDIER RÍOS</w:t>
      </w:r>
      <w:r w:rsidR="00E531FB" w:rsidRPr="00E531FB">
        <w:rPr>
          <w:spacing w:val="-4"/>
        </w:rPr>
        <w:t xml:space="preserve"> </w:t>
      </w:r>
      <w:r w:rsidR="00E531FB">
        <w:rPr>
          <w:spacing w:val="-4"/>
        </w:rPr>
        <w:t>-</w:t>
      </w:r>
      <w:r w:rsidR="00E531FB" w:rsidRPr="00E531FB">
        <w:rPr>
          <w:spacing w:val="-4"/>
          <w:sz w:val="22"/>
          <w:szCs w:val="22"/>
        </w:rPr>
        <w:t>padre de la afectada</w:t>
      </w:r>
      <w:r w:rsidR="00E531FB">
        <w:rPr>
          <w:spacing w:val="-4"/>
        </w:rPr>
        <w:t>-</w:t>
      </w:r>
      <w:r>
        <w:t xml:space="preserve"> en juicio, que los policiales “se equivocaron” porque en lugar de traerle el celular hurtado, lo hicieron con la moto usada en el atraco, y si ello fue así, la razón es por</w:t>
      </w:r>
      <w:r w:rsidR="005E5250">
        <w:t xml:space="preserve"> cuanto </w:t>
      </w:r>
      <w:r>
        <w:t xml:space="preserve">los uniformados solo contaban con un rango de aproximación de la ubicación del dispositivo móvil, y por consiguiente para lograr encontrarlo deberían requisar a todo aquel que se </w:t>
      </w:r>
      <w:r w:rsidR="00BF2508">
        <w:t xml:space="preserve">hallara </w:t>
      </w:r>
      <w:r>
        <w:t xml:space="preserve">por allí, lo que a la postre podría ser una labor altamente dispendiosa, aunado a que, como así lo indicaron, no llevaron el celular que marcaba </w:t>
      </w:r>
      <w:r w:rsidR="00FB2EA4">
        <w:t xml:space="preserve">una posición más </w:t>
      </w:r>
      <w:r w:rsidR="005E5250">
        <w:t xml:space="preserve">exacta </w:t>
      </w:r>
      <w:r>
        <w:t xml:space="preserve">del teléfono hurtado, sino que con el conocimiento del barrio se desplazaron hasta allí, donde a la postre </w:t>
      </w:r>
      <w:r w:rsidR="00BF2508">
        <w:t xml:space="preserve">observaron </w:t>
      </w:r>
      <w:r>
        <w:t>el rodante.</w:t>
      </w:r>
    </w:p>
    <w:p w14:paraId="6C070F78" w14:textId="77777777" w:rsidR="00DF66A3" w:rsidRPr="00DF66A3" w:rsidRDefault="00DF66A3" w:rsidP="0087500C">
      <w:pPr>
        <w:spacing w:line="276" w:lineRule="auto"/>
      </w:pPr>
      <w:r>
        <w:t xml:space="preserve"> </w:t>
      </w:r>
    </w:p>
    <w:p w14:paraId="65E960DB" w14:textId="1EE9EF68" w:rsidR="00EC6EAF" w:rsidRDefault="0087500C" w:rsidP="0087500C">
      <w:pPr>
        <w:spacing w:line="276" w:lineRule="auto"/>
      </w:pPr>
      <w:r w:rsidRPr="00701C75">
        <w:t>Ahora bien, aunque la defensa</w:t>
      </w:r>
      <w:r w:rsidR="00DC283E">
        <w:t xml:space="preserve"> </w:t>
      </w:r>
      <w:r w:rsidR="00D60502">
        <w:rPr>
          <w:b/>
          <w:sz w:val="22"/>
          <w:szCs w:val="22"/>
        </w:rPr>
        <w:t>DSRM</w:t>
      </w:r>
      <w:r w:rsidR="00EC6EAF">
        <w:t xml:space="preserve">, </w:t>
      </w:r>
      <w:r w:rsidRPr="00701C75">
        <w:t xml:space="preserve">llevó a juicio a tres personas </w:t>
      </w:r>
      <w:r w:rsidR="00EC6EAF">
        <w:t xml:space="preserve">a declarar a juicio, esto es, su señora madre MARÍA IDALY MEDINA JARAMILLO, su padrastro JAIRO AVENDAÑO GUTIÉRREZ y su amiga ADRIANA MARÍA MORALES, </w:t>
      </w:r>
      <w:r w:rsidRPr="00701C75">
        <w:t xml:space="preserve">quienes dieron cuenta que el acá procesado ninguna participación tuvo en el hecho ilícito y por el contrario al unísono expresaron </w:t>
      </w:r>
      <w:r w:rsidR="00EC6EAF">
        <w:t xml:space="preserve">que el mismo estuvo desde las 6:30 p.m. en el billar ubicado en el barrio La Unidad, donde estaban departiendo, </w:t>
      </w:r>
      <w:r w:rsidR="00993EDB">
        <w:t xml:space="preserve">cuando </w:t>
      </w:r>
      <w:r w:rsidR="00EC6EAF">
        <w:t xml:space="preserve">encontrándose allí un niño le informó </w:t>
      </w:r>
      <w:r w:rsidR="00993EDB">
        <w:t xml:space="preserve">a </w:t>
      </w:r>
      <w:r w:rsidR="00D60502">
        <w:rPr>
          <w:bCs/>
          <w:sz w:val="22"/>
          <w:szCs w:val="22"/>
        </w:rPr>
        <w:t>DSRM</w:t>
      </w:r>
      <w:r w:rsidR="00993EDB">
        <w:t xml:space="preserve"> </w:t>
      </w:r>
      <w:r w:rsidR="00EC6EAF">
        <w:t xml:space="preserve">que unos policías se habían llevado su motocicleta, para la Sala esos </w:t>
      </w:r>
      <w:r w:rsidRPr="00701C75">
        <w:t xml:space="preserve">dichos carecen de la contundencia y verosimilitud necesaria para darles credibilidad, y por el contrario se advierten como testimonios amañados, sin peso probatorio alguno para derruir la prueba de responsabilidad que milita en contra del señor </w:t>
      </w:r>
      <w:r w:rsidR="00BE00F7">
        <w:rPr>
          <w:b/>
          <w:sz w:val="22"/>
          <w:szCs w:val="22"/>
        </w:rPr>
        <w:t>DSRM</w:t>
      </w:r>
      <w:r>
        <w:t>.</w:t>
      </w:r>
    </w:p>
    <w:p w14:paraId="4535B1E9" w14:textId="77777777" w:rsidR="00C52FD9" w:rsidRDefault="00C52FD9" w:rsidP="0087500C">
      <w:pPr>
        <w:spacing w:line="276" w:lineRule="auto"/>
      </w:pPr>
    </w:p>
    <w:p w14:paraId="770AC778" w14:textId="69645818" w:rsidR="0017166E" w:rsidRDefault="00EC6EAF" w:rsidP="0087500C">
      <w:pPr>
        <w:spacing w:line="276" w:lineRule="auto"/>
      </w:pPr>
      <w:r>
        <w:lastRenderedPageBreak/>
        <w:t>Es evidente que dich</w:t>
      </w:r>
      <w:r w:rsidR="00B06B4A">
        <w:t>os ciudadanos</w:t>
      </w:r>
      <w:r>
        <w:t xml:space="preserve">, dada su familiaridad o amistad con el acá encartado pretenden a toda costa sacarlo en limpio de la situación que lo tiene </w:t>
      </w:r>
      <w:r w:rsidRPr="00EC6EAF">
        <w:rPr>
          <w:i/>
        </w:rPr>
        <w:t>sub iudice</w:t>
      </w:r>
      <w:r>
        <w:t xml:space="preserve">, para lo cual manifestaron que </w:t>
      </w:r>
      <w:r w:rsidR="00D60502">
        <w:rPr>
          <w:bCs/>
          <w:sz w:val="22"/>
          <w:szCs w:val="22"/>
        </w:rPr>
        <w:t>DSRM</w:t>
      </w:r>
      <w:r>
        <w:t xml:space="preserve"> estuvo con ellos toda la tarde, con lo </w:t>
      </w:r>
      <w:r w:rsidR="00993EDB">
        <w:t xml:space="preserve">que </w:t>
      </w:r>
      <w:r w:rsidR="00583D8E">
        <w:t xml:space="preserve">quieren excluirlo de su </w:t>
      </w:r>
      <w:r>
        <w:t xml:space="preserve">participación en el hurto del que fue víctima VALENTINA RÍOS, pero tales testimonios carecen de contundencia, no solo frente al señalamiento directo que le hizo la </w:t>
      </w:r>
      <w:r w:rsidR="00E8566F">
        <w:t>afectada</w:t>
      </w:r>
      <w:r>
        <w:t>, al haberlo visto en el hecho y reconocido posteriormente, sino además frente a las demás pruebas de carácter indiciario que militan en su contra</w:t>
      </w:r>
      <w:r w:rsidR="0017166E">
        <w:t>.</w:t>
      </w:r>
    </w:p>
    <w:p w14:paraId="2AD192A3" w14:textId="77777777" w:rsidR="00B06B4A" w:rsidRDefault="00B06B4A" w:rsidP="0087500C">
      <w:pPr>
        <w:spacing w:line="276" w:lineRule="auto"/>
      </w:pPr>
    </w:p>
    <w:p w14:paraId="44F34058" w14:textId="1BD42F62" w:rsidR="00C52FD9" w:rsidRDefault="0017166E" w:rsidP="0087500C">
      <w:pPr>
        <w:spacing w:line="276" w:lineRule="auto"/>
      </w:pPr>
      <w:r>
        <w:t>De otra parte, s</w:t>
      </w:r>
      <w:r w:rsidR="00C52FD9">
        <w:t xml:space="preserve">i bien es cierto la motocicleta </w:t>
      </w:r>
      <w:r w:rsidR="00FC3E37">
        <w:t xml:space="preserve">utilizada en el hurto </w:t>
      </w:r>
      <w:r w:rsidR="00C52FD9">
        <w:t xml:space="preserve">prendía de manera directa, esto es, no se requería llave para ser encendida, situación incluso fue la que permitió a los gendarmes llevársela para el </w:t>
      </w:r>
      <w:r w:rsidR="00993EDB">
        <w:t>CAI</w:t>
      </w:r>
      <w:r w:rsidR="00C52FD9">
        <w:t xml:space="preserve"> al considerarla en estado de abandono, el argumento de la A-quo en el sentido que otr</w:t>
      </w:r>
      <w:r w:rsidR="00B06B4A">
        <w:t xml:space="preserve">o individuo </w:t>
      </w:r>
      <w:r w:rsidR="00C52FD9">
        <w:t xml:space="preserve">haya podido utilizarla para cometer el hecho para luego devolverla a su lugar, carece de soporte probatorio alguno y no es más que una mera especulación. Y es que si a voces de los testigos de descargo, cuando la moto fue retirada del frente de la vivienda de </w:t>
      </w:r>
      <w:r w:rsidR="00D60502">
        <w:rPr>
          <w:bCs/>
          <w:sz w:val="22"/>
          <w:szCs w:val="22"/>
        </w:rPr>
        <w:t>DSRM</w:t>
      </w:r>
      <w:r w:rsidR="00C52FD9">
        <w:t xml:space="preserve">, ello generó que un vecino, al parecer </w:t>
      </w:r>
      <w:r w:rsidR="00B02985">
        <w:t>menor</w:t>
      </w:r>
      <w:r w:rsidR="00DA094A">
        <w:t xml:space="preserve"> de edad</w:t>
      </w:r>
      <w:r w:rsidR="00B02985">
        <w:t xml:space="preserve">, </w:t>
      </w:r>
      <w:r w:rsidR="00A7279D">
        <w:t xml:space="preserve">les informara lo </w:t>
      </w:r>
      <w:r w:rsidR="00C52FD9">
        <w:t xml:space="preserve">sucedido, cómo no pensar que ello </w:t>
      </w:r>
      <w:r w:rsidR="00B06B4A">
        <w:t xml:space="preserve">también </w:t>
      </w:r>
      <w:r w:rsidR="00C52FD9">
        <w:t>hubiera tenido ocurrencia</w:t>
      </w:r>
      <w:r w:rsidR="00DA094A">
        <w:t xml:space="preserve"> </w:t>
      </w:r>
      <w:r w:rsidR="00C52FD9">
        <w:t>si vieran a un extraño que la tomara</w:t>
      </w:r>
      <w:r w:rsidR="00DA094A">
        <w:t xml:space="preserve"> de manera inconsulta</w:t>
      </w:r>
      <w:r w:rsidR="00C52FD9">
        <w:t xml:space="preserve">, </w:t>
      </w:r>
      <w:r w:rsidR="00B02985">
        <w:t xml:space="preserve">lo que </w:t>
      </w:r>
      <w:r w:rsidR="00C52FD9">
        <w:t xml:space="preserve">con mayor razón podría generar la </w:t>
      </w:r>
      <w:r w:rsidR="00A7279D">
        <w:t>alerta. Si ello no se dio, lo fue por cuanto si alguien se movilizó en la misma momentos antes de dejarla en es</w:t>
      </w:r>
      <w:r w:rsidR="007F1B72">
        <w:t>e</w:t>
      </w:r>
      <w:r w:rsidR="00A7279D">
        <w:t xml:space="preserve"> lugar, no fue persona distinta al acá procesado, como así se desprende las pruebas allegadas a juicio.</w:t>
      </w:r>
    </w:p>
    <w:p w14:paraId="06EFEE8B" w14:textId="77777777" w:rsidR="00DA094A" w:rsidRDefault="00DA094A" w:rsidP="0087500C">
      <w:pPr>
        <w:spacing w:line="276" w:lineRule="auto"/>
      </w:pPr>
    </w:p>
    <w:p w14:paraId="4BD2493F" w14:textId="641F20A6" w:rsidR="00A7279D" w:rsidRDefault="00A7279D" w:rsidP="0087500C">
      <w:pPr>
        <w:spacing w:line="276" w:lineRule="auto"/>
      </w:pPr>
      <w:r>
        <w:t xml:space="preserve">Y aunque para la A-quo el hecho de que </w:t>
      </w:r>
      <w:r w:rsidR="00D60502">
        <w:rPr>
          <w:b/>
          <w:bCs/>
          <w:sz w:val="22"/>
          <w:szCs w:val="22"/>
        </w:rPr>
        <w:t>DSRM</w:t>
      </w:r>
      <w:r>
        <w:t xml:space="preserve"> la noche del hurto hubiera ido a reclamar la moto es un indicio que lo favorece, por cuanto quien comete un hurto no acude a las autoridades </w:t>
      </w:r>
      <w:r w:rsidR="00B02985">
        <w:t xml:space="preserve">a dar sus datos </w:t>
      </w:r>
      <w:r>
        <w:t xml:space="preserve">sin temor, parece olvidar la funcionaria </w:t>
      </w:r>
      <w:r w:rsidRPr="00B02985">
        <w:rPr>
          <w:rFonts w:ascii="Bookman Old Style" w:hAnsi="Bookman Old Style"/>
          <w:sz w:val="22"/>
          <w:szCs w:val="22"/>
        </w:rPr>
        <w:t>-ya retirada del servicio-</w:t>
      </w:r>
      <w:r>
        <w:t xml:space="preserve">, que cuando </w:t>
      </w:r>
      <w:r w:rsidR="00D60502">
        <w:rPr>
          <w:b/>
          <w:bCs/>
          <w:sz w:val="22"/>
          <w:szCs w:val="22"/>
        </w:rPr>
        <w:t>DSRM</w:t>
      </w:r>
      <w:r w:rsidRPr="0010373A">
        <w:t xml:space="preserve"> </w:t>
      </w:r>
      <w:r>
        <w:t>se presentó</w:t>
      </w:r>
      <w:r w:rsidR="007F1B72">
        <w:t xml:space="preserve"> al CAI</w:t>
      </w:r>
      <w:r>
        <w:t xml:space="preserve">, lo fue como propietario de la moto, y para poder recibirla, necesariamente debía aportar sus datos de identificación, así como de quien figuraba como </w:t>
      </w:r>
      <w:r w:rsidR="00BF2508">
        <w:t>su titular inscrito</w:t>
      </w:r>
      <w:r>
        <w:t xml:space="preserve">. </w:t>
      </w:r>
      <w:r w:rsidR="00F57975">
        <w:t xml:space="preserve">Y si </w:t>
      </w:r>
      <w:r w:rsidR="00B02985">
        <w:t>no tuvo temor para hacerlo</w:t>
      </w:r>
      <w:r w:rsidR="00F57975">
        <w:t xml:space="preserve">, lo fue por cuanto </w:t>
      </w:r>
      <w:r>
        <w:t xml:space="preserve">no le fue </w:t>
      </w:r>
      <w:r w:rsidR="00BF2508">
        <w:t xml:space="preserve">hallado </w:t>
      </w:r>
      <w:r>
        <w:t xml:space="preserve">elemento alguno que en esa oportunidad lo pudiera implicar con el hurto, aunado claro está, que para ese </w:t>
      </w:r>
      <w:r w:rsidR="00B02985">
        <w:t xml:space="preserve">instante </w:t>
      </w:r>
      <w:r>
        <w:t>ya no</w:t>
      </w:r>
      <w:r w:rsidR="00993EDB">
        <w:t xml:space="preserve"> estaba en el CAI la </w:t>
      </w:r>
      <w:r>
        <w:t>afectada, quien de haber estado</w:t>
      </w:r>
      <w:r w:rsidR="00105A71">
        <w:t xml:space="preserve"> ahí</w:t>
      </w:r>
      <w:r>
        <w:t xml:space="preserve">, con seguridad lo </w:t>
      </w:r>
      <w:r w:rsidR="00B02985">
        <w:t xml:space="preserve">habría </w:t>
      </w:r>
      <w:r>
        <w:t xml:space="preserve">señalado </w:t>
      </w:r>
      <w:r w:rsidR="00105A71">
        <w:t>en el acto</w:t>
      </w:r>
      <w:r>
        <w:t xml:space="preserve"> como partícipe del hecho.</w:t>
      </w:r>
      <w:r w:rsidR="00F57975">
        <w:t xml:space="preserve"> De igual manera, no se vinculó al señor </w:t>
      </w:r>
      <w:r w:rsidR="00D60502">
        <w:rPr>
          <w:bCs/>
          <w:sz w:val="22"/>
          <w:szCs w:val="22"/>
        </w:rPr>
        <w:t>DSRM</w:t>
      </w:r>
      <w:r w:rsidR="00F57975">
        <w:t xml:space="preserve"> por el hecho de ser el tenedor de la moto, lo que </w:t>
      </w:r>
      <w:r w:rsidR="00F57975" w:rsidRPr="00B02985">
        <w:rPr>
          <w:i/>
        </w:rPr>
        <w:t>per se</w:t>
      </w:r>
      <w:r w:rsidR="00F57975">
        <w:t xml:space="preserve"> no es delito, sino por su participación directa en el ilícito, acorde con las pruebas tanto directas como indirectas obrantes.</w:t>
      </w:r>
    </w:p>
    <w:p w14:paraId="5D50E3A8" w14:textId="77777777" w:rsidR="00C52FD9" w:rsidRDefault="00C52FD9" w:rsidP="0087500C">
      <w:pPr>
        <w:spacing w:line="276" w:lineRule="auto"/>
      </w:pPr>
    </w:p>
    <w:p w14:paraId="033A81D8" w14:textId="0B76E175" w:rsidR="00C928C2" w:rsidRDefault="00A7279D" w:rsidP="0087500C">
      <w:pPr>
        <w:spacing w:line="276" w:lineRule="auto"/>
      </w:pPr>
      <w:r>
        <w:t xml:space="preserve">Tampoco resulta válido lo expuesto por la A-quo en el sentido de pregonar duda, por cuanto la Fiscalía no indagó por alias “El Japonés”, quien, en sentir de la señora VALENTINA y </w:t>
      </w:r>
      <w:r w:rsidR="00484479">
        <w:t>el</w:t>
      </w:r>
      <w:r>
        <w:t xml:space="preserve"> señor DIDIER, fue relacionado por los policiales </w:t>
      </w:r>
      <w:r>
        <w:lastRenderedPageBreak/>
        <w:t xml:space="preserve">como hermano de quien posiblemente cometió el hurto, máxime que los patrulleros no hicieran alusión en juicio sobre ese particular. Y aunque bien podría haberse realizado labor investigativa al respecto, o para determinar si </w:t>
      </w:r>
      <w:r w:rsidR="00D60502">
        <w:rPr>
          <w:bCs/>
          <w:sz w:val="22"/>
          <w:szCs w:val="22"/>
        </w:rPr>
        <w:t>DSRM</w:t>
      </w:r>
      <w:r w:rsidRPr="00DA2597">
        <w:rPr>
          <w:bCs/>
        </w:rPr>
        <w:t xml:space="preserve"> </w:t>
      </w:r>
      <w:r>
        <w:t>tenía en efecto o no hermanos, lo que acá se sabe y las pruebas así lo permiten inferir, es que para esa noche y para el momento en que la señora VALENTINA RÍOS fue víctima del hurto, como así lo señaló</w:t>
      </w:r>
      <w:r w:rsidR="00F57975">
        <w:t>,</w:t>
      </w:r>
      <w:r>
        <w:t xml:space="preserve"> no fue persona diferente al señor </w:t>
      </w:r>
      <w:r w:rsidR="00D60502">
        <w:rPr>
          <w:b/>
          <w:bCs/>
          <w:sz w:val="22"/>
          <w:szCs w:val="22"/>
        </w:rPr>
        <w:t>DSRM</w:t>
      </w:r>
      <w:r w:rsidR="00F57975">
        <w:t xml:space="preserve"> quien intervino en su comisión.</w:t>
      </w:r>
    </w:p>
    <w:p w14:paraId="7693FED4" w14:textId="77777777" w:rsidR="00A7279D" w:rsidRDefault="00A7279D" w:rsidP="0087500C">
      <w:pPr>
        <w:spacing w:line="276" w:lineRule="auto"/>
      </w:pPr>
    </w:p>
    <w:p w14:paraId="26A3F02C" w14:textId="3AAFD2CD" w:rsidR="00C928C2" w:rsidRDefault="00C928C2" w:rsidP="00C928C2">
      <w:pPr>
        <w:spacing w:line="276" w:lineRule="auto"/>
      </w:pPr>
      <w:r>
        <w:t xml:space="preserve">En ese orden, considera la Sala que la decisión absolutoria proferida por la funcionaria de primer nivel en favor del señor </w:t>
      </w:r>
      <w:r w:rsidR="00D60502">
        <w:rPr>
          <w:b/>
          <w:sz w:val="22"/>
          <w:szCs w:val="22"/>
        </w:rPr>
        <w:t>DSRM</w:t>
      </w:r>
      <w:r>
        <w:rPr>
          <w:b/>
          <w:sz w:val="22"/>
          <w:szCs w:val="22"/>
        </w:rPr>
        <w:t xml:space="preserve"> </w:t>
      </w:r>
      <w:r>
        <w:t xml:space="preserve">no se acompasa con las pruebas </w:t>
      </w:r>
      <w:r w:rsidR="007367AB">
        <w:t xml:space="preserve">directa e indiciarias arrimadas a </w:t>
      </w:r>
      <w:r>
        <w:t>juicio</w:t>
      </w:r>
      <w:r w:rsidR="007F1B72">
        <w:t>;</w:t>
      </w:r>
      <w:r>
        <w:t xml:space="preserve"> en consecuencia, se revocará tal </w:t>
      </w:r>
      <w:r w:rsidR="00BF2508">
        <w:t>fallo</w:t>
      </w:r>
      <w:r>
        <w:t>, para en su lugar declarar su responsabilidad penal, como coautor</w:t>
      </w:r>
      <w:r>
        <w:rPr>
          <w:rFonts w:eastAsia="Verdana" w:cs="Tahoma"/>
          <w:lang w:val="es-CO" w:eastAsia="en-US"/>
        </w:rPr>
        <w:t xml:space="preserve"> de las c</w:t>
      </w:r>
      <w:r w:rsidRPr="00012CFA">
        <w:rPr>
          <w:rFonts w:eastAsia="Verdana" w:cs="Tahoma"/>
          <w:lang w:val="es-CO" w:eastAsia="en-US"/>
        </w:rPr>
        <w:t xml:space="preserve">onductas punibles de </w:t>
      </w:r>
      <w:r>
        <w:rPr>
          <w:rFonts w:eastAsia="Verdana" w:cs="Tahoma"/>
          <w:lang w:val="es-CO" w:eastAsia="en-US"/>
        </w:rPr>
        <w:t xml:space="preserve">hurto calificado y agravado </w:t>
      </w:r>
      <w:r w:rsidRPr="00687993">
        <w:rPr>
          <w:rFonts w:ascii="Verdana" w:eastAsia="Verdana" w:hAnsi="Verdana" w:cs="Tahoma"/>
          <w:sz w:val="20"/>
          <w:szCs w:val="20"/>
          <w:lang w:val="es-CO" w:eastAsia="en-US"/>
        </w:rPr>
        <w:t>-</w:t>
      </w:r>
      <w:r w:rsidR="00DF7BBA">
        <w:rPr>
          <w:rFonts w:ascii="Verdana" w:eastAsia="Verdana" w:hAnsi="Verdana" w:cs="Tahoma"/>
          <w:sz w:val="20"/>
          <w:szCs w:val="20"/>
          <w:lang w:val="es-CO" w:eastAsia="en-US"/>
        </w:rPr>
        <w:t xml:space="preserve">arts. 239, 240 inc. 2° </w:t>
      </w:r>
      <w:r w:rsidRPr="00687993">
        <w:rPr>
          <w:rFonts w:ascii="Verdana" w:eastAsia="Verdana" w:hAnsi="Verdana" w:cs="Tahoma"/>
          <w:sz w:val="20"/>
          <w:szCs w:val="20"/>
          <w:lang w:val="es-CO" w:eastAsia="en-US"/>
        </w:rPr>
        <w:t xml:space="preserve">y </w:t>
      </w:r>
      <w:r w:rsidR="00DF7BBA">
        <w:rPr>
          <w:rFonts w:ascii="Verdana" w:eastAsia="Verdana" w:hAnsi="Verdana" w:cs="Tahoma"/>
          <w:sz w:val="20"/>
          <w:szCs w:val="20"/>
          <w:lang w:val="es-CO" w:eastAsia="en-US"/>
        </w:rPr>
        <w:t>241 nu</w:t>
      </w:r>
      <w:r w:rsidR="007F1B72">
        <w:rPr>
          <w:rFonts w:ascii="Verdana" w:eastAsia="Verdana" w:hAnsi="Verdana" w:cs="Tahoma"/>
          <w:sz w:val="20"/>
          <w:szCs w:val="20"/>
          <w:lang w:val="es-CO" w:eastAsia="en-US"/>
        </w:rPr>
        <w:t>meral</w:t>
      </w:r>
      <w:r w:rsidR="00DF7BBA">
        <w:rPr>
          <w:rFonts w:ascii="Verdana" w:eastAsia="Verdana" w:hAnsi="Verdana" w:cs="Tahoma"/>
          <w:sz w:val="20"/>
          <w:szCs w:val="20"/>
          <w:lang w:val="es-CO" w:eastAsia="en-US"/>
        </w:rPr>
        <w:t xml:space="preserve"> 10 </w:t>
      </w:r>
      <w:r w:rsidRPr="00687993">
        <w:rPr>
          <w:rFonts w:ascii="Verdana" w:eastAsia="Verdana" w:hAnsi="Verdana" w:cs="Tahoma"/>
          <w:sz w:val="20"/>
          <w:szCs w:val="20"/>
          <w:lang w:val="es-CO" w:eastAsia="en-US"/>
        </w:rPr>
        <w:t>C.P.-</w:t>
      </w:r>
      <w:r>
        <w:rPr>
          <w:rFonts w:eastAsia="Verdana" w:cs="Tahoma"/>
          <w:lang w:val="es-CO" w:eastAsia="en-US"/>
        </w:rPr>
        <w:t>, por los cuales fue acusado.</w:t>
      </w:r>
    </w:p>
    <w:p w14:paraId="7A419AC7" w14:textId="77777777" w:rsidR="00C928C2" w:rsidRPr="00077823" w:rsidRDefault="00C928C2" w:rsidP="00AA6710">
      <w:pPr>
        <w:spacing w:line="276" w:lineRule="auto"/>
        <w:rPr>
          <w:rFonts w:cs="Tahoma"/>
          <w:spacing w:val="-4"/>
          <w:sz w:val="22"/>
          <w:szCs w:val="22"/>
        </w:rPr>
      </w:pPr>
    </w:p>
    <w:p w14:paraId="41DBB97B" w14:textId="77777777" w:rsidR="00C928C2" w:rsidRPr="0093034F" w:rsidRDefault="00DF7BBA" w:rsidP="00AA6710">
      <w:pPr>
        <w:spacing w:line="276" w:lineRule="auto"/>
        <w:rPr>
          <w:rFonts w:cs="Tahoma"/>
          <w:spacing w:val="-4"/>
        </w:rPr>
      </w:pPr>
      <w:r w:rsidRPr="001F02B9">
        <w:rPr>
          <w:rFonts w:cs="Tahoma"/>
          <w:i/>
          <w:spacing w:val="-4"/>
        </w:rPr>
        <w:t>De la punibilidad</w:t>
      </w:r>
    </w:p>
    <w:p w14:paraId="256780D2" w14:textId="77777777" w:rsidR="00C928C2" w:rsidRPr="00077823" w:rsidRDefault="00C928C2" w:rsidP="00C928C2">
      <w:pPr>
        <w:spacing w:line="276" w:lineRule="auto"/>
        <w:rPr>
          <w:spacing w:val="-4"/>
          <w:sz w:val="22"/>
          <w:szCs w:val="22"/>
          <w:lang w:val="es-CO"/>
        </w:rPr>
      </w:pPr>
    </w:p>
    <w:p w14:paraId="0EC5C9AA" w14:textId="7F8C934D" w:rsidR="00C928C2" w:rsidRDefault="00C928C2" w:rsidP="00C928C2">
      <w:pPr>
        <w:spacing w:line="276" w:lineRule="auto"/>
        <w:rPr>
          <w:spacing w:val="-4"/>
        </w:rPr>
      </w:pPr>
      <w:r w:rsidRPr="00DB142E">
        <w:rPr>
          <w:lang w:val="es-CO"/>
        </w:rPr>
        <w:t>Al procesado</w:t>
      </w:r>
      <w:r w:rsidRPr="00DB142E">
        <w:rPr>
          <w:rStyle w:val="Numeracinttulo"/>
          <w:rFonts w:cs="Tahoma"/>
          <w:b w:val="0"/>
          <w:spacing w:val="-4"/>
        </w:rPr>
        <w:t xml:space="preserve"> </w:t>
      </w:r>
      <w:r w:rsidR="00D60502">
        <w:rPr>
          <w:b/>
          <w:spacing w:val="-4"/>
          <w:sz w:val="22"/>
          <w:szCs w:val="22"/>
        </w:rPr>
        <w:t>DSRM</w:t>
      </w:r>
      <w:r w:rsidR="003E3D4B">
        <w:rPr>
          <w:b/>
          <w:spacing w:val="-4"/>
          <w:sz w:val="22"/>
          <w:szCs w:val="22"/>
        </w:rPr>
        <w:t xml:space="preserve"> </w:t>
      </w:r>
      <w:r w:rsidRPr="00DB142E">
        <w:rPr>
          <w:rStyle w:val="Numeracinttulo"/>
          <w:rFonts w:cs="Tahoma"/>
          <w:b w:val="0"/>
          <w:spacing w:val="-4"/>
        </w:rPr>
        <w:t xml:space="preserve">se </w:t>
      </w:r>
      <w:r w:rsidRPr="00DB142E">
        <w:rPr>
          <w:lang w:val="es-CO"/>
        </w:rPr>
        <w:t xml:space="preserve">le ha demostrado la participación a título de coautor material </w:t>
      </w:r>
      <w:r w:rsidR="003E3D4B">
        <w:rPr>
          <w:lang w:val="es-CO"/>
        </w:rPr>
        <w:t xml:space="preserve">de un </w:t>
      </w:r>
      <w:r w:rsidRPr="00DB142E">
        <w:rPr>
          <w:lang w:val="es-CO"/>
        </w:rPr>
        <w:t xml:space="preserve">punible </w:t>
      </w:r>
      <w:r w:rsidR="003E3D4B">
        <w:rPr>
          <w:lang w:val="es-CO"/>
        </w:rPr>
        <w:t xml:space="preserve">contra el </w:t>
      </w:r>
      <w:r>
        <w:rPr>
          <w:spacing w:val="-4"/>
        </w:rPr>
        <w:t xml:space="preserve">patrimonio económico, </w:t>
      </w:r>
      <w:r w:rsidRPr="007332AA">
        <w:rPr>
          <w:spacing w:val="-4"/>
        </w:rPr>
        <w:t xml:space="preserve">contemplado en </w:t>
      </w:r>
      <w:r>
        <w:rPr>
          <w:spacing w:val="-4"/>
        </w:rPr>
        <w:t xml:space="preserve">los artículos </w:t>
      </w:r>
      <w:r w:rsidR="00CC266C">
        <w:rPr>
          <w:spacing w:val="-4"/>
        </w:rPr>
        <w:t xml:space="preserve">239, </w:t>
      </w:r>
      <w:r>
        <w:rPr>
          <w:spacing w:val="-4"/>
        </w:rPr>
        <w:t>240 inc. 2º y 24</w:t>
      </w:r>
      <w:r w:rsidR="00CC266C">
        <w:rPr>
          <w:spacing w:val="-4"/>
        </w:rPr>
        <w:t>1</w:t>
      </w:r>
      <w:r>
        <w:rPr>
          <w:spacing w:val="-4"/>
        </w:rPr>
        <w:t xml:space="preserve"> num</w:t>
      </w:r>
      <w:r w:rsidR="007F1B72">
        <w:rPr>
          <w:spacing w:val="-4"/>
        </w:rPr>
        <w:t xml:space="preserve">eral </w:t>
      </w:r>
      <w:r>
        <w:rPr>
          <w:spacing w:val="-4"/>
        </w:rPr>
        <w:t>10º C.P.</w:t>
      </w:r>
      <w:r w:rsidRPr="007332AA">
        <w:rPr>
          <w:spacing w:val="-4"/>
        </w:rPr>
        <w:t xml:space="preserve">, </w:t>
      </w:r>
      <w:r w:rsidR="00CC266C">
        <w:rPr>
          <w:spacing w:val="-4"/>
        </w:rPr>
        <w:t xml:space="preserve">mismo que contempla una pena que oscila </w:t>
      </w:r>
      <w:r w:rsidRPr="007332AA">
        <w:rPr>
          <w:spacing w:val="-4"/>
        </w:rPr>
        <w:t xml:space="preserve">entre </w:t>
      </w:r>
      <w:r w:rsidR="00CC266C">
        <w:rPr>
          <w:spacing w:val="-4"/>
        </w:rPr>
        <w:t xml:space="preserve">los </w:t>
      </w:r>
      <w:r>
        <w:rPr>
          <w:spacing w:val="-4"/>
        </w:rPr>
        <w:t>144</w:t>
      </w:r>
      <w:r w:rsidRPr="007332AA">
        <w:rPr>
          <w:spacing w:val="-4"/>
        </w:rPr>
        <w:t xml:space="preserve"> y 3</w:t>
      </w:r>
      <w:r>
        <w:rPr>
          <w:spacing w:val="-4"/>
        </w:rPr>
        <w:t>36</w:t>
      </w:r>
      <w:r w:rsidR="00CC266C">
        <w:rPr>
          <w:spacing w:val="-4"/>
        </w:rPr>
        <w:t xml:space="preserve"> meses de prisión</w:t>
      </w:r>
      <w:r w:rsidR="00955FFA">
        <w:rPr>
          <w:spacing w:val="-4"/>
        </w:rPr>
        <w:t xml:space="preserve">, por lo cual </w:t>
      </w:r>
      <w:r w:rsidRPr="007332AA">
        <w:rPr>
          <w:spacing w:val="-4"/>
        </w:rPr>
        <w:t xml:space="preserve">los cuartos de movilidad serían: primer cuarto, de </w:t>
      </w:r>
      <w:r>
        <w:rPr>
          <w:spacing w:val="-4"/>
        </w:rPr>
        <w:t>144</w:t>
      </w:r>
      <w:r w:rsidRPr="007332AA">
        <w:rPr>
          <w:spacing w:val="-4"/>
        </w:rPr>
        <w:t xml:space="preserve"> a </w:t>
      </w:r>
      <w:r>
        <w:rPr>
          <w:spacing w:val="-4"/>
        </w:rPr>
        <w:t>192</w:t>
      </w:r>
      <w:r w:rsidRPr="007332AA">
        <w:rPr>
          <w:spacing w:val="-4"/>
        </w:rPr>
        <w:t xml:space="preserve"> meses; cuartos medios de </w:t>
      </w:r>
      <w:r>
        <w:rPr>
          <w:spacing w:val="-4"/>
        </w:rPr>
        <w:t>192 meses 1 día a</w:t>
      </w:r>
      <w:r w:rsidRPr="007332AA">
        <w:rPr>
          <w:spacing w:val="-4"/>
        </w:rPr>
        <w:t xml:space="preserve"> </w:t>
      </w:r>
      <w:r>
        <w:rPr>
          <w:spacing w:val="-4"/>
        </w:rPr>
        <w:t>288</w:t>
      </w:r>
      <w:r w:rsidRPr="007332AA">
        <w:rPr>
          <w:spacing w:val="-4"/>
        </w:rPr>
        <w:t xml:space="preserve"> meses; y cuarto máximo de </w:t>
      </w:r>
      <w:r>
        <w:rPr>
          <w:spacing w:val="-4"/>
        </w:rPr>
        <w:t>288</w:t>
      </w:r>
      <w:r w:rsidRPr="007332AA">
        <w:rPr>
          <w:spacing w:val="-4"/>
        </w:rPr>
        <w:t xml:space="preserve"> meses 1 día a </w:t>
      </w:r>
      <w:r>
        <w:rPr>
          <w:spacing w:val="-4"/>
        </w:rPr>
        <w:t>336</w:t>
      </w:r>
      <w:r w:rsidRPr="007332AA">
        <w:rPr>
          <w:spacing w:val="-4"/>
        </w:rPr>
        <w:t xml:space="preserve"> meses. </w:t>
      </w:r>
    </w:p>
    <w:p w14:paraId="54D63C46" w14:textId="77777777" w:rsidR="00C928C2" w:rsidRPr="00077823" w:rsidRDefault="00C928C2" w:rsidP="00C928C2">
      <w:pPr>
        <w:spacing w:line="276" w:lineRule="auto"/>
        <w:rPr>
          <w:spacing w:val="-4"/>
        </w:rPr>
      </w:pPr>
    </w:p>
    <w:p w14:paraId="39D32824" w14:textId="34AA82B7" w:rsidR="00955FFA" w:rsidRPr="001463DC" w:rsidRDefault="00955FFA" w:rsidP="00955FFA">
      <w:pPr>
        <w:spacing w:line="276" w:lineRule="auto"/>
        <w:rPr>
          <w:sz w:val="22"/>
          <w:szCs w:val="22"/>
        </w:rPr>
      </w:pPr>
      <w:r>
        <w:rPr>
          <w:spacing w:val="-4"/>
        </w:rPr>
        <w:t xml:space="preserve">Como quiera que en este asunto no se acreditó en desfavor del señor </w:t>
      </w:r>
      <w:r w:rsidR="00D60502">
        <w:rPr>
          <w:b/>
          <w:spacing w:val="-4"/>
          <w:sz w:val="22"/>
          <w:szCs w:val="22"/>
        </w:rPr>
        <w:t>DSRM</w:t>
      </w:r>
      <w:r>
        <w:rPr>
          <w:spacing w:val="-4"/>
        </w:rPr>
        <w:t>, la existencia de circunstancias de mayor punibilidad, pero s</w:t>
      </w:r>
      <w:r w:rsidR="007F1B72">
        <w:rPr>
          <w:spacing w:val="-4"/>
        </w:rPr>
        <w:t>í</w:t>
      </w:r>
      <w:r>
        <w:rPr>
          <w:spacing w:val="-4"/>
        </w:rPr>
        <w:t xml:space="preserve"> de menor punibilidad, </w:t>
      </w:r>
      <w:r w:rsidR="00C928C2" w:rsidRPr="009B7563">
        <w:t>concretamente la consagrada en el numeral 1º del art. 55 C.P.</w:t>
      </w:r>
      <w:r w:rsidR="00C928C2" w:rsidRPr="007332AA">
        <w:rPr>
          <w:rStyle w:val="Numeracinttulo"/>
          <w:b w:val="0"/>
          <w:spacing w:val="-4"/>
        </w:rPr>
        <w:t xml:space="preserve"> </w:t>
      </w:r>
      <w:r w:rsidR="00C928C2" w:rsidRPr="007367AB">
        <w:rPr>
          <w:rStyle w:val="Numeracinttulo"/>
          <w:rFonts w:ascii="Bookman Old Style" w:hAnsi="Bookman Old Style"/>
          <w:b w:val="0"/>
          <w:spacing w:val="-4"/>
          <w:sz w:val="22"/>
          <w:szCs w:val="22"/>
        </w:rPr>
        <w:t>-ausencia de antecedentes-</w:t>
      </w:r>
      <w:r w:rsidR="00C928C2">
        <w:rPr>
          <w:rStyle w:val="Numeracinttulo"/>
          <w:b w:val="0"/>
          <w:spacing w:val="-4"/>
        </w:rPr>
        <w:t>, l</w:t>
      </w:r>
      <w:r w:rsidR="00C928C2" w:rsidRPr="009B7563">
        <w:t>a Corporación ponderará la sanción dentro de</w:t>
      </w:r>
      <w:r>
        <w:t xml:space="preserve">l cuarto mínimo de movilidad, y por lo mismo escogerá como sanción a imponer los </w:t>
      </w:r>
      <w:r w:rsidRPr="001463DC">
        <w:rPr>
          <w:b/>
          <w:sz w:val="22"/>
          <w:szCs w:val="22"/>
        </w:rPr>
        <w:t>144 meses de prisión</w:t>
      </w:r>
      <w:r w:rsidRPr="001463DC">
        <w:rPr>
          <w:sz w:val="22"/>
          <w:szCs w:val="22"/>
        </w:rPr>
        <w:t>.</w:t>
      </w:r>
    </w:p>
    <w:p w14:paraId="74B7B754" w14:textId="77777777" w:rsidR="00C928C2" w:rsidRPr="00077823" w:rsidRDefault="00C928C2" w:rsidP="00C928C2">
      <w:pPr>
        <w:spacing w:line="276" w:lineRule="auto"/>
        <w:rPr>
          <w:spacing w:val="-4"/>
        </w:rPr>
      </w:pPr>
    </w:p>
    <w:p w14:paraId="470111F1" w14:textId="77777777" w:rsidR="00C928C2" w:rsidRDefault="00C928C2" w:rsidP="00C928C2">
      <w:pPr>
        <w:spacing w:line="276" w:lineRule="auto"/>
        <w:rPr>
          <w:rFonts w:cs="Tahoma"/>
          <w:spacing w:val="-4"/>
        </w:rPr>
      </w:pPr>
      <w:r>
        <w:rPr>
          <w:spacing w:val="-4"/>
        </w:rPr>
        <w:t xml:space="preserve">También, se le </w:t>
      </w:r>
      <w:r w:rsidRPr="007332AA">
        <w:rPr>
          <w:rFonts w:cs="Tahoma"/>
          <w:spacing w:val="-4"/>
        </w:rPr>
        <w:t xml:space="preserve">impondrá la pena accesoria de inhabilitación en el ejercicio de derechos y funciones públicas por un término </w:t>
      </w:r>
      <w:r w:rsidR="00955FFA">
        <w:rPr>
          <w:rFonts w:cs="Tahoma"/>
          <w:spacing w:val="-4"/>
        </w:rPr>
        <w:t>similar al de la pena principal</w:t>
      </w:r>
      <w:r>
        <w:rPr>
          <w:rFonts w:cs="Tahoma"/>
          <w:spacing w:val="-4"/>
        </w:rPr>
        <w:t>.</w:t>
      </w:r>
    </w:p>
    <w:p w14:paraId="0F1A3148" w14:textId="77777777" w:rsidR="00C928C2" w:rsidRPr="00077823" w:rsidRDefault="00C928C2" w:rsidP="00C928C2">
      <w:pPr>
        <w:spacing w:line="276" w:lineRule="auto"/>
        <w:rPr>
          <w:spacing w:val="-4"/>
          <w:lang w:val="es-CO"/>
        </w:rPr>
      </w:pPr>
    </w:p>
    <w:p w14:paraId="7AE14BC1" w14:textId="77777777" w:rsidR="00C928C2" w:rsidRPr="00077823" w:rsidRDefault="00C928C2" w:rsidP="00C928C2">
      <w:pPr>
        <w:spacing w:line="276" w:lineRule="auto"/>
        <w:rPr>
          <w:i/>
          <w:iCs/>
          <w:spacing w:val="-4"/>
          <w:lang w:val="es-CO"/>
        </w:rPr>
      </w:pPr>
      <w:r w:rsidRPr="00077823">
        <w:rPr>
          <w:i/>
          <w:iCs/>
          <w:spacing w:val="-4"/>
          <w:lang w:val="es-CO"/>
        </w:rPr>
        <w:t>Subrogados y sustitutos</w:t>
      </w:r>
    </w:p>
    <w:p w14:paraId="30241896" w14:textId="77777777" w:rsidR="00C928C2" w:rsidRPr="00077823" w:rsidRDefault="00C928C2" w:rsidP="00C928C2">
      <w:pPr>
        <w:spacing w:line="276" w:lineRule="auto"/>
        <w:rPr>
          <w:spacing w:val="-4"/>
          <w:lang w:val="es-CO"/>
        </w:rPr>
      </w:pPr>
    </w:p>
    <w:p w14:paraId="73CFF480" w14:textId="29F3AF25" w:rsidR="00C928C2" w:rsidRPr="00077823" w:rsidRDefault="00C928C2" w:rsidP="00C928C2">
      <w:pPr>
        <w:spacing w:line="276" w:lineRule="auto"/>
        <w:rPr>
          <w:rFonts w:cs="Tahoma"/>
          <w:spacing w:val="-4"/>
        </w:rPr>
      </w:pPr>
      <w:r w:rsidRPr="00077823">
        <w:rPr>
          <w:rFonts w:cs="Tahoma"/>
          <w:spacing w:val="-4"/>
        </w:rPr>
        <w:t xml:space="preserve">En atención al monto de la pena, de conformidad con lo establecido en los artículos 63 C.P modificado por el 29 de la Ley 1709/14, y 38B </w:t>
      </w:r>
      <w:r w:rsidRPr="00077823">
        <w:rPr>
          <w:rFonts w:cs="Tahoma"/>
          <w:i/>
          <w:iCs/>
          <w:spacing w:val="-4"/>
        </w:rPr>
        <w:t>ídem</w:t>
      </w:r>
      <w:r w:rsidRPr="00077823">
        <w:rPr>
          <w:rFonts w:cs="Tahoma"/>
          <w:spacing w:val="-4"/>
        </w:rPr>
        <w:t xml:space="preserve"> adicionado por el 23 de la citada Ley 1709,</w:t>
      </w:r>
      <w:r w:rsidRPr="00077823">
        <w:rPr>
          <w:rFonts w:ascii="Verdana" w:hAnsi="Verdana" w:cs="Tahoma"/>
          <w:spacing w:val="-4"/>
        </w:rPr>
        <w:t xml:space="preserve"> </w:t>
      </w:r>
      <w:r w:rsidRPr="00077823">
        <w:rPr>
          <w:rFonts w:cs="Tahoma"/>
          <w:spacing w:val="-4"/>
        </w:rPr>
        <w:t>el sentenciado no tiene derecho a la suspensión condicional de la ejecución de la pena ni a la prisión domiciliaria.</w:t>
      </w:r>
    </w:p>
    <w:p w14:paraId="0BE3D3AE" w14:textId="77777777" w:rsidR="00C928C2" w:rsidRPr="00077823" w:rsidRDefault="00C928C2" w:rsidP="00C928C2">
      <w:pPr>
        <w:spacing w:line="276" w:lineRule="auto"/>
        <w:rPr>
          <w:rFonts w:cs="Tahoma"/>
          <w:spacing w:val="-4"/>
        </w:rPr>
      </w:pPr>
    </w:p>
    <w:p w14:paraId="3E3C7362" w14:textId="554D9746" w:rsidR="00C928C2" w:rsidRPr="00077823" w:rsidRDefault="00C928C2" w:rsidP="00C928C2">
      <w:pPr>
        <w:spacing w:line="276" w:lineRule="auto"/>
        <w:rPr>
          <w:spacing w:val="-4"/>
        </w:rPr>
      </w:pPr>
      <w:r w:rsidRPr="00077823">
        <w:rPr>
          <w:rFonts w:cs="Tahoma"/>
          <w:spacing w:val="-4"/>
        </w:rPr>
        <w:lastRenderedPageBreak/>
        <w:t xml:space="preserve">En consecuencia, la pena debe hacerse efectiva en forma intramural, y en consonancia con lo consagrado en el artículo 450 de la Ley 906/04, se impone librar la correspondiente </w:t>
      </w:r>
      <w:r w:rsidR="00B01D51" w:rsidRPr="00077823">
        <w:rPr>
          <w:rFonts w:cs="Tahoma"/>
          <w:spacing w:val="-4"/>
        </w:rPr>
        <w:t>orden</w:t>
      </w:r>
      <w:r w:rsidRPr="00077823">
        <w:rPr>
          <w:rFonts w:cs="Tahoma"/>
          <w:spacing w:val="-4"/>
        </w:rPr>
        <w:t xml:space="preserve"> de captura. </w:t>
      </w:r>
      <w:r w:rsidRPr="00077823">
        <w:rPr>
          <w:spacing w:val="-4"/>
        </w:rPr>
        <w:t xml:space="preserve">Se tendrá como parte cumplida de la pena, el tiempo que estuvo privado de la libertad con ocasión de este mismo asunto. </w:t>
      </w:r>
    </w:p>
    <w:p w14:paraId="53790BC0" w14:textId="77777777" w:rsidR="007367AB" w:rsidRPr="00077823" w:rsidRDefault="007367AB" w:rsidP="00C928C2">
      <w:pPr>
        <w:spacing w:line="276" w:lineRule="auto"/>
        <w:rPr>
          <w:spacing w:val="-4"/>
          <w:lang w:val="es-CO"/>
        </w:rPr>
      </w:pPr>
    </w:p>
    <w:p w14:paraId="65C4AF72" w14:textId="77777777" w:rsidR="00C928C2" w:rsidRPr="00077823" w:rsidRDefault="00C928C2" w:rsidP="00C928C2">
      <w:pPr>
        <w:spacing w:line="276" w:lineRule="auto"/>
        <w:rPr>
          <w:i/>
          <w:spacing w:val="-4"/>
        </w:rPr>
      </w:pPr>
      <w:r w:rsidRPr="00077823">
        <w:rPr>
          <w:i/>
          <w:spacing w:val="-4"/>
        </w:rPr>
        <w:t>De la doble conformidad</w:t>
      </w:r>
    </w:p>
    <w:p w14:paraId="458B9B6E" w14:textId="77777777" w:rsidR="00C928C2" w:rsidRPr="00077823" w:rsidRDefault="00C928C2" w:rsidP="00C928C2">
      <w:pPr>
        <w:spacing w:line="276" w:lineRule="auto"/>
        <w:rPr>
          <w:spacing w:val="-4"/>
        </w:rPr>
      </w:pPr>
    </w:p>
    <w:p w14:paraId="7BC9B808" w14:textId="181667ED" w:rsidR="001F02B9" w:rsidRDefault="00C928C2" w:rsidP="00C928C2">
      <w:pPr>
        <w:spacing w:line="276" w:lineRule="auto"/>
        <w:rPr>
          <w:spacing w:val="-4"/>
        </w:rPr>
      </w:pPr>
      <w:r w:rsidRPr="002712E1">
        <w:rPr>
          <w:spacing w:val="-4"/>
        </w:rPr>
        <w:t xml:space="preserve">Según lo ordenado por la Corte Constitucional en las sentencias C-792/14 y SU-215/16, que regularon el principio de la doble conformidad, y de lo que en términos similares adujó la misma Alta Corporación en sentencia SU-146/20, al igual que la Sala de Casación Penal en CSJ AP, 03 abr. 2019, Rad. 54215 y CSJ AP, 03 sept. 2020, Rad. 34017, al haber sido emitido por primera vez el fallo de carácter condenatorio en sede de segunda instancia, </w:t>
      </w:r>
      <w:r>
        <w:rPr>
          <w:spacing w:val="-4"/>
        </w:rPr>
        <w:t>e</w:t>
      </w:r>
      <w:r w:rsidRPr="002712E1">
        <w:rPr>
          <w:spacing w:val="-4"/>
        </w:rPr>
        <w:t>l sentenciado</w:t>
      </w:r>
      <w:r>
        <w:rPr>
          <w:spacing w:val="-4"/>
        </w:rPr>
        <w:t xml:space="preserve"> </w:t>
      </w:r>
      <w:r w:rsidRPr="002712E1">
        <w:rPr>
          <w:spacing w:val="-4"/>
        </w:rPr>
        <w:t>tendrá derecho, bien sea de manera directa o por intermedio de su apoderad</w:t>
      </w:r>
      <w:r w:rsidR="007367AB">
        <w:rPr>
          <w:spacing w:val="-4"/>
        </w:rPr>
        <w:t>a</w:t>
      </w:r>
      <w:r w:rsidRPr="002712E1">
        <w:rPr>
          <w:spacing w:val="-4"/>
        </w:rPr>
        <w:t>, a interponer y sustentar dentro de las oportunidades establecidas el recurso de impugnación excepcional</w:t>
      </w:r>
      <w:r>
        <w:rPr>
          <w:spacing w:val="-4"/>
        </w:rPr>
        <w:t>, o el extraordinario de casación, a su elección</w:t>
      </w:r>
      <w:r w:rsidRPr="002712E1">
        <w:rPr>
          <w:spacing w:val="-4"/>
        </w:rPr>
        <w:t xml:space="preserve">. Las demás partes e intervinientes </w:t>
      </w:r>
      <w:r w:rsidRPr="00C23731">
        <w:rPr>
          <w:rFonts w:ascii="Bookman Old Style" w:hAnsi="Bookman Old Style"/>
          <w:spacing w:val="-4"/>
          <w:sz w:val="22"/>
          <w:szCs w:val="22"/>
        </w:rPr>
        <w:t>-</w:t>
      </w:r>
      <w:r w:rsidR="00C23731">
        <w:rPr>
          <w:rFonts w:ascii="Bookman Old Style" w:hAnsi="Bookman Old Style"/>
          <w:spacing w:val="-4"/>
          <w:sz w:val="22"/>
          <w:szCs w:val="22"/>
        </w:rPr>
        <w:t>F</w:t>
      </w:r>
      <w:r w:rsidRPr="00C23731">
        <w:rPr>
          <w:rFonts w:ascii="Bookman Old Style" w:hAnsi="Bookman Old Style"/>
          <w:spacing w:val="-4"/>
          <w:sz w:val="22"/>
          <w:szCs w:val="22"/>
        </w:rPr>
        <w:t>iscalía, apoderado de víctimas y agente del Ministerio Público-</w:t>
      </w:r>
      <w:r w:rsidRPr="002712E1">
        <w:rPr>
          <w:spacing w:val="-4"/>
        </w:rPr>
        <w:t xml:space="preserve"> tienen la posibilidad de interponer</w:t>
      </w:r>
      <w:r>
        <w:rPr>
          <w:spacing w:val="-4"/>
        </w:rPr>
        <w:t xml:space="preserve"> exclusivamente el</w:t>
      </w:r>
      <w:r w:rsidRPr="002712E1">
        <w:rPr>
          <w:spacing w:val="-4"/>
        </w:rPr>
        <w:t xml:space="preserve"> recurso de casación.</w:t>
      </w:r>
    </w:p>
    <w:p w14:paraId="2E9DA1D3" w14:textId="77777777" w:rsidR="00077823" w:rsidRPr="00077823" w:rsidRDefault="00077823" w:rsidP="00C928C2">
      <w:pPr>
        <w:spacing w:line="276" w:lineRule="auto"/>
        <w:rPr>
          <w:spacing w:val="-4"/>
          <w:sz w:val="22"/>
          <w:szCs w:val="22"/>
        </w:rPr>
      </w:pPr>
    </w:p>
    <w:p w14:paraId="6B65D2FF" w14:textId="267BF098" w:rsidR="00C928C2" w:rsidRDefault="00C928C2" w:rsidP="00C928C2">
      <w:pPr>
        <w:spacing w:line="276" w:lineRule="auto"/>
        <w:rPr>
          <w:spacing w:val="-4"/>
        </w:rPr>
      </w:pPr>
      <w:r w:rsidRPr="009157FD">
        <w:rPr>
          <w:spacing w:val="-4"/>
        </w:rPr>
        <w:t xml:space="preserve">Por lo anteriormente expuesto, el Tribunal Superior del Distrito Judicial de Pereira (Rda.), en Sala </w:t>
      </w:r>
      <w:proofErr w:type="spellStart"/>
      <w:r w:rsidR="005301D6">
        <w:rPr>
          <w:spacing w:val="-4"/>
        </w:rPr>
        <w:t>N°</w:t>
      </w:r>
      <w:proofErr w:type="spellEnd"/>
      <w:r w:rsidR="005301D6">
        <w:rPr>
          <w:spacing w:val="-4"/>
        </w:rPr>
        <w:t xml:space="preserve"> 2 </w:t>
      </w:r>
      <w:r w:rsidRPr="009157FD">
        <w:rPr>
          <w:spacing w:val="-4"/>
        </w:rPr>
        <w:t xml:space="preserve">de Decisión Penal, administrando justicia en nombre de la República y por autoridad de la ley, </w:t>
      </w:r>
    </w:p>
    <w:p w14:paraId="3C5C78BF" w14:textId="77777777" w:rsidR="00C928C2" w:rsidRPr="005970E8" w:rsidRDefault="00C928C2" w:rsidP="00C928C2">
      <w:pPr>
        <w:spacing w:line="276" w:lineRule="auto"/>
        <w:rPr>
          <w:spacing w:val="-4"/>
          <w:sz w:val="22"/>
          <w:szCs w:val="22"/>
        </w:rPr>
      </w:pPr>
    </w:p>
    <w:p w14:paraId="429117D2" w14:textId="77777777" w:rsidR="00C928C2" w:rsidRPr="002F791F" w:rsidRDefault="00C928C2" w:rsidP="00C928C2">
      <w:pPr>
        <w:spacing w:line="276" w:lineRule="auto"/>
        <w:rPr>
          <w:rFonts w:ascii="Algerian" w:hAnsi="Algerian"/>
          <w:spacing w:val="-4"/>
          <w:sz w:val="30"/>
          <w:szCs w:val="30"/>
        </w:rPr>
      </w:pPr>
      <w:r w:rsidRPr="002F791F">
        <w:rPr>
          <w:rFonts w:ascii="Algerian" w:hAnsi="Algerian"/>
          <w:spacing w:val="-4"/>
          <w:sz w:val="30"/>
          <w:szCs w:val="30"/>
        </w:rPr>
        <w:t>falla</w:t>
      </w:r>
    </w:p>
    <w:p w14:paraId="534BA45C" w14:textId="77777777" w:rsidR="00C928C2" w:rsidRPr="005970E8" w:rsidRDefault="00C928C2" w:rsidP="00C928C2">
      <w:pPr>
        <w:spacing w:line="276" w:lineRule="auto"/>
        <w:rPr>
          <w:spacing w:val="-4"/>
          <w:sz w:val="22"/>
          <w:szCs w:val="22"/>
        </w:rPr>
      </w:pPr>
    </w:p>
    <w:p w14:paraId="17ED4BCB" w14:textId="28B16CBC" w:rsidR="00016046" w:rsidRDefault="00C928C2" w:rsidP="00C928C2">
      <w:pPr>
        <w:spacing w:line="276" w:lineRule="auto"/>
        <w:rPr>
          <w:spacing w:val="-4"/>
        </w:rPr>
      </w:pPr>
      <w:r w:rsidRPr="0002220C">
        <w:rPr>
          <w:b/>
          <w:spacing w:val="-4"/>
          <w:sz w:val="22"/>
          <w:szCs w:val="22"/>
        </w:rPr>
        <w:t>PRIMERO:</w:t>
      </w:r>
      <w:r>
        <w:rPr>
          <w:b/>
          <w:spacing w:val="-4"/>
          <w:sz w:val="22"/>
          <w:szCs w:val="22"/>
        </w:rPr>
        <w:t xml:space="preserve"> SE REVOCA </w:t>
      </w:r>
      <w:r w:rsidRPr="009157FD">
        <w:rPr>
          <w:spacing w:val="-4"/>
        </w:rPr>
        <w:t xml:space="preserve">la sentencia </w:t>
      </w:r>
      <w:r>
        <w:rPr>
          <w:spacing w:val="-4"/>
        </w:rPr>
        <w:t xml:space="preserve">absolutoria </w:t>
      </w:r>
      <w:r w:rsidRPr="009157FD">
        <w:rPr>
          <w:spacing w:val="-4"/>
        </w:rPr>
        <w:t xml:space="preserve">proferida </w:t>
      </w:r>
      <w:r>
        <w:rPr>
          <w:spacing w:val="-4"/>
        </w:rPr>
        <w:t>a favor de</w:t>
      </w:r>
      <w:r w:rsidR="00016046">
        <w:rPr>
          <w:spacing w:val="-4"/>
        </w:rPr>
        <w:t xml:space="preserve"> </w:t>
      </w:r>
      <w:r w:rsidR="00D60502">
        <w:rPr>
          <w:b/>
          <w:spacing w:val="-4"/>
          <w:sz w:val="22"/>
          <w:szCs w:val="22"/>
        </w:rPr>
        <w:t>DSRM</w:t>
      </w:r>
      <w:r w:rsidR="004D6B7A">
        <w:rPr>
          <w:spacing w:val="-4"/>
        </w:rPr>
        <w:t xml:space="preserve">, </w:t>
      </w:r>
      <w:r w:rsidRPr="00BD5465">
        <w:rPr>
          <w:rFonts w:cs="Tahoma"/>
          <w:bCs/>
          <w:spacing w:val="-4"/>
          <w:lang w:val="es-CO" w:eastAsia="en-US"/>
        </w:rPr>
        <w:t xml:space="preserve">por parte del Juzgado </w:t>
      </w:r>
      <w:r>
        <w:rPr>
          <w:rFonts w:cs="Tahoma"/>
          <w:bCs/>
          <w:spacing w:val="-4"/>
          <w:lang w:val="es-CO" w:eastAsia="en-US"/>
        </w:rPr>
        <w:t xml:space="preserve">Primero </w:t>
      </w:r>
      <w:r w:rsidRPr="00BD5465">
        <w:rPr>
          <w:rFonts w:cs="Tahoma"/>
          <w:bCs/>
          <w:spacing w:val="-4"/>
          <w:lang w:val="es-CO" w:eastAsia="en-US"/>
        </w:rPr>
        <w:t xml:space="preserve">Penal </w:t>
      </w:r>
      <w:r w:rsidR="00016046">
        <w:rPr>
          <w:rFonts w:cs="Tahoma"/>
          <w:bCs/>
          <w:spacing w:val="-4"/>
          <w:lang w:val="es-CO" w:eastAsia="en-US"/>
        </w:rPr>
        <w:t xml:space="preserve">Municipal de Pereira </w:t>
      </w:r>
      <w:r w:rsidRPr="00BD5465">
        <w:rPr>
          <w:rFonts w:cs="Tahoma"/>
          <w:bCs/>
          <w:spacing w:val="-4"/>
          <w:lang w:val="es-CO" w:eastAsia="en-US"/>
        </w:rPr>
        <w:t>(Rda.), y en</w:t>
      </w:r>
      <w:r w:rsidRPr="00BD5465">
        <w:rPr>
          <w:spacing w:val="-4"/>
        </w:rPr>
        <w:t xml:space="preserve"> su lugar </w:t>
      </w:r>
      <w:r w:rsidRPr="00BD5465">
        <w:rPr>
          <w:b/>
          <w:spacing w:val="-4"/>
          <w:sz w:val="22"/>
          <w:szCs w:val="22"/>
        </w:rPr>
        <w:t>SE CONDENA</w:t>
      </w:r>
      <w:r w:rsidRPr="00BD5465">
        <w:rPr>
          <w:spacing w:val="-4"/>
        </w:rPr>
        <w:t xml:space="preserve"> como </w:t>
      </w:r>
      <w:r w:rsidRPr="001F02B9">
        <w:rPr>
          <w:b/>
          <w:bCs/>
          <w:spacing w:val="-4"/>
          <w:sz w:val="24"/>
          <w:szCs w:val="24"/>
        </w:rPr>
        <w:t>coautor</w:t>
      </w:r>
      <w:r w:rsidRPr="001F02B9">
        <w:rPr>
          <w:spacing w:val="-4"/>
          <w:sz w:val="24"/>
          <w:szCs w:val="24"/>
        </w:rPr>
        <w:t xml:space="preserve"> </w:t>
      </w:r>
      <w:r w:rsidRPr="00BD5465">
        <w:rPr>
          <w:spacing w:val="-4"/>
        </w:rPr>
        <w:t xml:space="preserve">material </w:t>
      </w:r>
      <w:r>
        <w:rPr>
          <w:rFonts w:eastAsia="Verdana" w:cs="Tahoma"/>
          <w:lang w:val="es-CO" w:eastAsia="en-US"/>
        </w:rPr>
        <w:t>de la c</w:t>
      </w:r>
      <w:r w:rsidRPr="00012CFA">
        <w:rPr>
          <w:rFonts w:eastAsia="Verdana" w:cs="Tahoma"/>
          <w:lang w:val="es-CO" w:eastAsia="en-US"/>
        </w:rPr>
        <w:t>onducta punible</w:t>
      </w:r>
      <w:r w:rsidRPr="00016046">
        <w:rPr>
          <w:rFonts w:eastAsia="Verdana" w:cs="Tahoma"/>
          <w:bCs/>
          <w:lang w:val="es-CO" w:eastAsia="en-US"/>
        </w:rPr>
        <w:t xml:space="preserve"> hurto calificado y agravado</w:t>
      </w:r>
      <w:r w:rsidRPr="00016046">
        <w:rPr>
          <w:rFonts w:eastAsia="Verdana" w:cs="Tahoma"/>
          <w:lang w:val="es-CO" w:eastAsia="en-US"/>
        </w:rPr>
        <w:t>,</w:t>
      </w:r>
      <w:r w:rsidRPr="00AB7316">
        <w:rPr>
          <w:rFonts w:eastAsia="Verdana" w:cs="Tahoma"/>
          <w:lang w:val="es-CO" w:eastAsia="en-US"/>
        </w:rPr>
        <w:t xml:space="preserve"> a la pena </w:t>
      </w:r>
      <w:r w:rsidR="00CE541D">
        <w:rPr>
          <w:rFonts w:eastAsia="Verdana" w:cs="Tahoma"/>
          <w:lang w:val="es-CO" w:eastAsia="en-US"/>
        </w:rPr>
        <w:t xml:space="preserve">principal </w:t>
      </w:r>
      <w:r w:rsidRPr="00AB7316">
        <w:rPr>
          <w:rFonts w:eastAsia="Verdana" w:cs="Tahoma"/>
          <w:lang w:val="es-CO" w:eastAsia="en-US"/>
        </w:rPr>
        <w:t xml:space="preserve">de </w:t>
      </w:r>
      <w:r w:rsidR="00016046" w:rsidRPr="00016046">
        <w:rPr>
          <w:rFonts w:eastAsia="Verdana" w:cs="Tahoma"/>
          <w:b/>
          <w:sz w:val="24"/>
          <w:szCs w:val="24"/>
          <w:lang w:val="es-CO" w:eastAsia="en-US"/>
        </w:rPr>
        <w:t>ciento cuarenta y cuatro</w:t>
      </w:r>
      <w:r w:rsidR="00016046">
        <w:rPr>
          <w:rFonts w:eastAsia="Verdana" w:cs="Tahoma"/>
          <w:lang w:val="es-CO" w:eastAsia="en-US"/>
        </w:rPr>
        <w:t xml:space="preserve"> </w:t>
      </w:r>
      <w:r w:rsidRPr="00016046">
        <w:rPr>
          <w:rFonts w:eastAsia="Verdana" w:cs="Tahoma"/>
          <w:b/>
          <w:bCs/>
          <w:sz w:val="24"/>
          <w:szCs w:val="24"/>
          <w:lang w:val="es-CO" w:eastAsia="en-US"/>
        </w:rPr>
        <w:t>(</w:t>
      </w:r>
      <w:r w:rsidR="00016046" w:rsidRPr="00016046">
        <w:rPr>
          <w:rFonts w:eastAsia="Verdana" w:cs="Tahoma"/>
          <w:b/>
          <w:bCs/>
          <w:sz w:val="24"/>
          <w:szCs w:val="24"/>
          <w:lang w:val="es-CO" w:eastAsia="en-US"/>
        </w:rPr>
        <w:t>144</w:t>
      </w:r>
      <w:r w:rsidRPr="00016046">
        <w:rPr>
          <w:rFonts w:eastAsia="Verdana" w:cs="Tahoma"/>
          <w:b/>
          <w:bCs/>
          <w:sz w:val="24"/>
          <w:szCs w:val="24"/>
          <w:lang w:val="es-CO" w:eastAsia="en-US"/>
        </w:rPr>
        <w:t>) meses</w:t>
      </w:r>
      <w:r w:rsidR="00016046" w:rsidRPr="00016046">
        <w:rPr>
          <w:rFonts w:eastAsia="Verdana" w:cs="Tahoma"/>
          <w:b/>
          <w:bCs/>
          <w:sz w:val="24"/>
          <w:szCs w:val="24"/>
          <w:lang w:val="es-CO" w:eastAsia="en-US"/>
        </w:rPr>
        <w:t xml:space="preserve"> </w:t>
      </w:r>
      <w:r w:rsidRPr="00016046">
        <w:rPr>
          <w:rFonts w:eastAsia="Verdana" w:cs="Tahoma"/>
          <w:b/>
          <w:bCs/>
          <w:sz w:val="24"/>
          <w:szCs w:val="24"/>
          <w:lang w:val="es-CO" w:eastAsia="en-US"/>
        </w:rPr>
        <w:t>de prisión</w:t>
      </w:r>
      <w:r w:rsidR="00016046">
        <w:rPr>
          <w:rFonts w:eastAsia="Verdana" w:cs="Tahoma"/>
          <w:b/>
          <w:bCs/>
          <w:sz w:val="24"/>
          <w:szCs w:val="24"/>
          <w:lang w:val="es-CO" w:eastAsia="en-US"/>
        </w:rPr>
        <w:t xml:space="preserve">, </w:t>
      </w:r>
      <w:r>
        <w:rPr>
          <w:rFonts w:cs="Tahoma"/>
          <w:spacing w:val="-4"/>
        </w:rPr>
        <w:t xml:space="preserve">así como a </w:t>
      </w:r>
      <w:r w:rsidRPr="00016046">
        <w:rPr>
          <w:spacing w:val="-4"/>
        </w:rPr>
        <w:t xml:space="preserve">la </w:t>
      </w:r>
      <w:r w:rsidR="00CE541D">
        <w:rPr>
          <w:spacing w:val="-4"/>
        </w:rPr>
        <w:t xml:space="preserve">accesoria de </w:t>
      </w:r>
      <w:r w:rsidRPr="00016046">
        <w:rPr>
          <w:spacing w:val="-4"/>
        </w:rPr>
        <w:t xml:space="preserve">inhabilitación en el ejercicio de derechos y funciones públicas por </w:t>
      </w:r>
      <w:r w:rsidR="00016046">
        <w:rPr>
          <w:spacing w:val="-4"/>
        </w:rPr>
        <w:t>igual lapso.</w:t>
      </w:r>
    </w:p>
    <w:p w14:paraId="05817395" w14:textId="77777777" w:rsidR="00C928C2" w:rsidRDefault="00016046" w:rsidP="00C928C2">
      <w:pPr>
        <w:spacing w:line="276" w:lineRule="auto"/>
        <w:rPr>
          <w:rStyle w:val="Numeracinttulo"/>
          <w:rFonts w:cs="Tahoma"/>
          <w:b w:val="0"/>
          <w:spacing w:val="-4"/>
        </w:rPr>
      </w:pPr>
      <w:r>
        <w:rPr>
          <w:rStyle w:val="Numeracinttulo"/>
          <w:rFonts w:cs="Tahoma"/>
          <w:b w:val="0"/>
          <w:spacing w:val="-4"/>
        </w:rPr>
        <w:t xml:space="preserve"> </w:t>
      </w:r>
    </w:p>
    <w:p w14:paraId="523BBD85" w14:textId="68651F63" w:rsidR="00C928C2" w:rsidRDefault="003C4746" w:rsidP="00C928C2">
      <w:pPr>
        <w:spacing w:line="276" w:lineRule="auto"/>
        <w:rPr>
          <w:b/>
          <w:bCs/>
          <w:spacing w:val="-4"/>
          <w:sz w:val="24"/>
          <w:szCs w:val="24"/>
        </w:rPr>
      </w:pPr>
      <w:r w:rsidRPr="0002220C">
        <w:rPr>
          <w:b/>
          <w:spacing w:val="-4"/>
          <w:sz w:val="22"/>
          <w:szCs w:val="22"/>
        </w:rPr>
        <w:t>SEGUNDO</w:t>
      </w:r>
      <w:r w:rsidR="00C928C2" w:rsidRPr="0002220C">
        <w:rPr>
          <w:b/>
          <w:spacing w:val="-4"/>
          <w:sz w:val="22"/>
          <w:szCs w:val="22"/>
        </w:rPr>
        <w:t>:</w:t>
      </w:r>
      <w:r w:rsidR="00C928C2" w:rsidRPr="005B1EED">
        <w:rPr>
          <w:b/>
          <w:spacing w:val="-4"/>
          <w:sz w:val="22"/>
          <w:szCs w:val="22"/>
        </w:rPr>
        <w:t xml:space="preserve"> SE DECLARA </w:t>
      </w:r>
      <w:r w:rsidR="00C928C2" w:rsidRPr="005B1EED">
        <w:rPr>
          <w:spacing w:val="-4"/>
        </w:rPr>
        <w:t xml:space="preserve">que </w:t>
      </w:r>
      <w:r w:rsidR="00C928C2">
        <w:rPr>
          <w:spacing w:val="-4"/>
        </w:rPr>
        <w:t xml:space="preserve">el sentenciado </w:t>
      </w:r>
      <w:r w:rsidR="00C928C2" w:rsidRPr="005B1EED">
        <w:rPr>
          <w:spacing w:val="-4"/>
        </w:rPr>
        <w:t xml:space="preserve">no tiene derecho a la suspensión condicional de la ejecución de la pena, ni a la prisión domiciliaria; en consecuencia, se hará efectiva la sanción a voces del artículo 450 de la Ley 906 de 2004, teniéndose como pena cumplida el tiempo que </w:t>
      </w:r>
      <w:r w:rsidR="00C928C2">
        <w:rPr>
          <w:spacing w:val="-4"/>
        </w:rPr>
        <w:t xml:space="preserve">el mismo </w:t>
      </w:r>
      <w:r w:rsidR="00C928C2" w:rsidRPr="005B1EED">
        <w:rPr>
          <w:spacing w:val="-4"/>
        </w:rPr>
        <w:t>haya estado privado de la libertad por cuenta de este proceso</w:t>
      </w:r>
      <w:r w:rsidR="00C928C2" w:rsidRPr="00016046">
        <w:rPr>
          <w:spacing w:val="-4"/>
          <w:sz w:val="24"/>
          <w:szCs w:val="24"/>
        </w:rPr>
        <w:t xml:space="preserve">. </w:t>
      </w:r>
      <w:r w:rsidR="00C928C2" w:rsidRPr="00016046">
        <w:rPr>
          <w:b/>
          <w:bCs/>
          <w:spacing w:val="-4"/>
          <w:sz w:val="24"/>
          <w:szCs w:val="24"/>
        </w:rPr>
        <w:t>Líbrese la correspondiente orden de captura.</w:t>
      </w:r>
    </w:p>
    <w:p w14:paraId="58E27F77" w14:textId="77777777" w:rsidR="007367AB" w:rsidRDefault="007367AB" w:rsidP="00C928C2">
      <w:pPr>
        <w:spacing w:line="276" w:lineRule="auto"/>
        <w:rPr>
          <w:b/>
          <w:bCs/>
          <w:spacing w:val="-4"/>
          <w:sz w:val="24"/>
          <w:szCs w:val="24"/>
        </w:rPr>
      </w:pPr>
    </w:p>
    <w:p w14:paraId="14E8881D" w14:textId="0E970535" w:rsidR="00C928C2" w:rsidRPr="00CE541D" w:rsidRDefault="003C4746" w:rsidP="00C928C2">
      <w:pPr>
        <w:spacing w:line="276" w:lineRule="auto"/>
        <w:rPr>
          <w:spacing w:val="-4"/>
        </w:rPr>
      </w:pPr>
      <w:r w:rsidRPr="0002220C">
        <w:rPr>
          <w:b/>
          <w:bCs/>
          <w:spacing w:val="-4"/>
          <w:sz w:val="22"/>
          <w:szCs w:val="22"/>
        </w:rPr>
        <w:lastRenderedPageBreak/>
        <w:t>TERCERO</w:t>
      </w:r>
      <w:r w:rsidR="007367AB">
        <w:rPr>
          <w:b/>
          <w:bCs/>
          <w:spacing w:val="-4"/>
          <w:sz w:val="24"/>
          <w:szCs w:val="24"/>
        </w:rPr>
        <w:t xml:space="preserve">:  </w:t>
      </w:r>
      <w:r w:rsidR="00016046">
        <w:rPr>
          <w:rFonts w:cs="Tahoma"/>
          <w:spacing w:val="-4"/>
          <w:lang w:val="es-ES_tradnl"/>
        </w:rPr>
        <w:t xml:space="preserve">Una vez en firme la presente determinación, se ordena </w:t>
      </w:r>
      <w:proofErr w:type="gramStart"/>
      <w:r w:rsidR="00016046">
        <w:rPr>
          <w:rFonts w:cs="Tahoma"/>
          <w:spacing w:val="-4"/>
          <w:lang w:val="es-ES_tradnl"/>
        </w:rPr>
        <w:t>que</w:t>
      </w:r>
      <w:proofErr w:type="gramEnd"/>
      <w:r w:rsidR="00016046">
        <w:rPr>
          <w:rFonts w:cs="Tahoma"/>
          <w:spacing w:val="-4"/>
          <w:lang w:val="es-ES_tradnl"/>
        </w:rPr>
        <w:t xml:space="preserve"> por parte del despacho de primer nivel, se libren las comunicaciones a que alude el </w:t>
      </w:r>
      <w:r w:rsidR="00C928C2" w:rsidRPr="005B1EED">
        <w:rPr>
          <w:rFonts w:cs="Tahoma"/>
          <w:spacing w:val="-4"/>
          <w:lang w:val="es-ES_tradnl"/>
        </w:rPr>
        <w:t>artículo 166 C.P.P.</w:t>
      </w:r>
    </w:p>
    <w:p w14:paraId="3698D1EF" w14:textId="77777777" w:rsidR="007F1B72" w:rsidRPr="005B1EED" w:rsidRDefault="007F1B72" w:rsidP="00C928C2">
      <w:pPr>
        <w:spacing w:line="276" w:lineRule="auto"/>
        <w:rPr>
          <w:rFonts w:cs="Tahoma"/>
          <w:spacing w:val="-4"/>
          <w:lang w:val="es-ES_tradnl"/>
        </w:rPr>
      </w:pPr>
    </w:p>
    <w:p w14:paraId="0794022B" w14:textId="44EB0D26" w:rsidR="00C928C2" w:rsidRPr="00077823" w:rsidRDefault="00BF2508" w:rsidP="00016046">
      <w:pPr>
        <w:spacing w:line="276" w:lineRule="auto"/>
        <w:rPr>
          <w:rFonts w:cs="Tahoma"/>
          <w:spacing w:val="-4"/>
          <w:lang w:val="es-ES_tradnl"/>
        </w:rPr>
      </w:pPr>
      <w:r w:rsidRPr="006B36D3">
        <w:rPr>
          <w:rFonts w:cs="Tahoma"/>
          <w:spacing w:val="-4"/>
          <w:lang w:val="es-ES_tradnl"/>
        </w:rPr>
        <w:t xml:space="preserve">Esta </w:t>
      </w:r>
      <w:r w:rsidR="00016046" w:rsidRPr="006B36D3">
        <w:rPr>
          <w:rFonts w:cs="Tahoma"/>
          <w:spacing w:val="-4"/>
          <w:lang w:val="es-ES_tradnl"/>
        </w:rPr>
        <w:t xml:space="preserve">sentencia se notificará en estrados, y contra la misma, tanto el procesado como su defensora, podrán </w:t>
      </w:r>
      <w:r w:rsidR="00C928C2" w:rsidRPr="006B36D3">
        <w:rPr>
          <w:rFonts w:cs="Tahoma"/>
          <w:spacing w:val="-4"/>
          <w:lang w:val="es-ES_tradnl"/>
        </w:rPr>
        <w:t>interponer el recurso de impugnación excepcional</w:t>
      </w:r>
      <w:r w:rsidR="00C754B8" w:rsidRPr="006B36D3">
        <w:rPr>
          <w:rFonts w:cs="Tahoma"/>
          <w:spacing w:val="-4"/>
          <w:lang w:val="es-ES_tradnl"/>
        </w:rPr>
        <w:t>;</w:t>
      </w:r>
      <w:r w:rsidR="00016046" w:rsidRPr="006B36D3">
        <w:rPr>
          <w:rFonts w:cs="Tahoma"/>
          <w:spacing w:val="-4"/>
          <w:lang w:val="es-ES_tradnl"/>
        </w:rPr>
        <w:t xml:space="preserve"> en tanto las </w:t>
      </w:r>
      <w:r w:rsidR="00C928C2" w:rsidRPr="006B36D3">
        <w:rPr>
          <w:rFonts w:cs="Tahoma"/>
          <w:spacing w:val="-4"/>
          <w:lang w:val="es-ES_tradnl"/>
        </w:rPr>
        <w:t>demás partes e intervinientes</w:t>
      </w:r>
      <w:r w:rsidR="00C928C2" w:rsidRPr="006B36D3">
        <w:rPr>
          <w:rFonts w:eastAsia="SimSun" w:cs="Tahoma"/>
          <w:sz w:val="24"/>
          <w:szCs w:val="24"/>
        </w:rPr>
        <w:t xml:space="preserve"> </w:t>
      </w:r>
      <w:r w:rsidR="00C928C2" w:rsidRPr="006B36D3">
        <w:rPr>
          <w:rFonts w:ascii="Bookman Old Style" w:eastAsia="SimSun" w:hAnsi="Bookman Old Style" w:cs="Tahoma"/>
          <w:sz w:val="22"/>
          <w:szCs w:val="22"/>
        </w:rPr>
        <w:t>-Fiscalía, apoderado de víctimas y agente del Ministerio Público-</w:t>
      </w:r>
      <w:r w:rsidR="00C928C2" w:rsidRPr="006B36D3">
        <w:rPr>
          <w:rFonts w:eastAsia="SimSun" w:cs="Tahoma"/>
          <w:sz w:val="24"/>
          <w:szCs w:val="24"/>
        </w:rPr>
        <w:t xml:space="preserve"> </w:t>
      </w:r>
      <w:r w:rsidR="00C928C2" w:rsidRPr="006B36D3">
        <w:rPr>
          <w:rFonts w:cs="Tahoma"/>
          <w:spacing w:val="-4"/>
          <w:lang w:val="es-ES_tradnl"/>
        </w:rPr>
        <w:t>tienen la posibilidad de interponer exclusivamente el recurso de casación, dentro del término de ley.</w:t>
      </w:r>
    </w:p>
    <w:p w14:paraId="5423F2A7" w14:textId="77777777" w:rsidR="00C928C2" w:rsidRPr="00077823" w:rsidRDefault="00C928C2" w:rsidP="00C928C2">
      <w:pPr>
        <w:spacing w:line="276" w:lineRule="auto"/>
        <w:rPr>
          <w:rFonts w:cs="Tahoma"/>
          <w:spacing w:val="-4"/>
          <w:lang w:val="es-ES_tradnl"/>
        </w:rPr>
      </w:pPr>
    </w:p>
    <w:p w14:paraId="6A1A8A1A" w14:textId="77777777" w:rsidR="00C928C2" w:rsidRPr="004C2C12" w:rsidRDefault="00C928C2" w:rsidP="00C928C2">
      <w:pPr>
        <w:spacing w:line="276" w:lineRule="auto"/>
        <w:rPr>
          <w:spacing w:val="-4"/>
          <w:sz w:val="10"/>
          <w:szCs w:val="10"/>
        </w:rPr>
      </w:pPr>
    </w:p>
    <w:p w14:paraId="1730E64F" w14:textId="77777777" w:rsidR="00C928C2" w:rsidRPr="004C2C12" w:rsidRDefault="00C928C2" w:rsidP="00C928C2">
      <w:pPr>
        <w:spacing w:line="276" w:lineRule="auto"/>
        <w:rPr>
          <w:rFonts w:ascii="Algerian" w:hAnsi="Algerian"/>
          <w:spacing w:val="-4"/>
          <w:sz w:val="30"/>
          <w:szCs w:val="30"/>
        </w:rPr>
      </w:pPr>
      <w:r w:rsidRPr="004C2C12">
        <w:rPr>
          <w:rFonts w:ascii="Algerian" w:hAnsi="Algerian"/>
          <w:spacing w:val="-4"/>
          <w:sz w:val="30"/>
          <w:szCs w:val="30"/>
        </w:rPr>
        <w:t>NOTIFÍQUESE Y CÚMPLASE</w:t>
      </w:r>
    </w:p>
    <w:p w14:paraId="4A001687" w14:textId="77777777" w:rsidR="00C928C2" w:rsidRPr="004C2C12" w:rsidRDefault="00C928C2" w:rsidP="00C928C2">
      <w:pPr>
        <w:spacing w:line="276" w:lineRule="auto"/>
        <w:rPr>
          <w:spacing w:val="-4"/>
          <w:sz w:val="10"/>
          <w:szCs w:val="10"/>
        </w:rPr>
      </w:pPr>
    </w:p>
    <w:p w14:paraId="006D0ADE" w14:textId="77777777" w:rsidR="00C928C2" w:rsidRPr="004C2C12" w:rsidRDefault="00C928C2" w:rsidP="00C928C2">
      <w:pPr>
        <w:spacing w:line="276" w:lineRule="auto"/>
        <w:rPr>
          <w:spacing w:val="-4"/>
          <w:sz w:val="10"/>
          <w:szCs w:val="10"/>
        </w:rPr>
      </w:pPr>
    </w:p>
    <w:p w14:paraId="1B98F806" w14:textId="77777777" w:rsidR="00C928C2" w:rsidRPr="00F21C05" w:rsidRDefault="00C928C2" w:rsidP="00C928C2">
      <w:pPr>
        <w:spacing w:line="276" w:lineRule="auto"/>
        <w:rPr>
          <w:spacing w:val="-4"/>
          <w:lang w:val="es-ES_tradnl"/>
        </w:rPr>
      </w:pPr>
    </w:p>
    <w:p w14:paraId="566FAFDB" w14:textId="77777777" w:rsidR="00C928C2" w:rsidRDefault="00C928C2" w:rsidP="00C928C2">
      <w:pPr>
        <w:spacing w:line="276" w:lineRule="auto"/>
        <w:jc w:val="center"/>
        <w:rPr>
          <w:spacing w:val="-4"/>
          <w:position w:val="-4"/>
          <w:lang w:val="es-ES_tradnl"/>
        </w:rPr>
      </w:pPr>
      <w:r>
        <w:rPr>
          <w:spacing w:val="-4"/>
          <w:position w:val="-4"/>
          <w:lang w:val="es-ES_tradnl"/>
        </w:rPr>
        <w:t>CARLOS ALBERTO PAZ ZUÑIGA</w:t>
      </w:r>
    </w:p>
    <w:p w14:paraId="15BA4ECF" w14:textId="77777777" w:rsidR="00C928C2" w:rsidRDefault="00C928C2" w:rsidP="00C928C2">
      <w:pPr>
        <w:spacing w:line="276" w:lineRule="auto"/>
        <w:jc w:val="center"/>
        <w:rPr>
          <w:spacing w:val="-4"/>
          <w:position w:val="-4"/>
          <w:lang w:val="es-ES_tradnl"/>
        </w:rPr>
      </w:pPr>
      <w:r>
        <w:rPr>
          <w:spacing w:val="-4"/>
          <w:position w:val="-4"/>
          <w:lang w:val="es-ES_tradnl"/>
        </w:rPr>
        <w:t xml:space="preserve">Magistrado </w:t>
      </w:r>
    </w:p>
    <w:p w14:paraId="276E2468" w14:textId="77777777" w:rsidR="00C928C2" w:rsidRDefault="00C928C2" w:rsidP="00C928C2">
      <w:pPr>
        <w:jc w:val="center"/>
        <w:rPr>
          <w:rFonts w:ascii="Verdana" w:hAnsi="Verdana"/>
          <w:sz w:val="20"/>
        </w:rPr>
      </w:pPr>
      <w:r>
        <w:rPr>
          <w:rFonts w:ascii="Verdana" w:hAnsi="Verdana"/>
          <w:sz w:val="20"/>
        </w:rPr>
        <w:t>Con firma electrónica al final del documento</w:t>
      </w:r>
    </w:p>
    <w:p w14:paraId="4BEABFFF" w14:textId="540E9170" w:rsidR="00C928C2" w:rsidRDefault="00C928C2" w:rsidP="00C928C2">
      <w:pPr>
        <w:spacing w:line="276" w:lineRule="auto"/>
        <w:rPr>
          <w:spacing w:val="-4"/>
          <w:position w:val="-4"/>
          <w:lang w:val="es-ES_tradnl"/>
        </w:rPr>
      </w:pPr>
    </w:p>
    <w:p w14:paraId="4DEE59F1" w14:textId="77777777" w:rsidR="0010373A" w:rsidRDefault="0010373A" w:rsidP="00C928C2">
      <w:pPr>
        <w:spacing w:line="276" w:lineRule="auto"/>
        <w:rPr>
          <w:spacing w:val="-4"/>
          <w:position w:val="-4"/>
          <w:lang w:val="es-ES_tradnl"/>
        </w:rPr>
      </w:pPr>
    </w:p>
    <w:p w14:paraId="07D487C9" w14:textId="77777777" w:rsidR="00C928C2" w:rsidRDefault="00C928C2" w:rsidP="00C928C2">
      <w:pPr>
        <w:spacing w:line="276" w:lineRule="auto"/>
        <w:jc w:val="center"/>
        <w:rPr>
          <w:spacing w:val="-4"/>
          <w:position w:val="-4"/>
          <w:lang w:val="es-ES_tradnl"/>
        </w:rPr>
      </w:pPr>
      <w:r>
        <w:rPr>
          <w:spacing w:val="-4"/>
          <w:position w:val="-4"/>
          <w:lang w:val="es-ES_tradnl"/>
        </w:rPr>
        <w:t>JULIÁN RIVERA LOAIZA</w:t>
      </w:r>
    </w:p>
    <w:p w14:paraId="7F69DDF1" w14:textId="77777777" w:rsidR="00C928C2" w:rsidRDefault="00C928C2" w:rsidP="00C928C2">
      <w:pPr>
        <w:spacing w:line="276" w:lineRule="auto"/>
        <w:jc w:val="center"/>
        <w:rPr>
          <w:spacing w:val="-4"/>
          <w:position w:val="-4"/>
          <w:lang w:val="es-ES_tradnl"/>
        </w:rPr>
      </w:pPr>
      <w:r>
        <w:rPr>
          <w:spacing w:val="-4"/>
          <w:position w:val="-4"/>
          <w:lang w:val="es-ES_tradnl"/>
        </w:rPr>
        <w:t xml:space="preserve">Magistrado </w:t>
      </w:r>
    </w:p>
    <w:p w14:paraId="1B746209" w14:textId="77777777" w:rsidR="00C928C2" w:rsidRDefault="00C928C2" w:rsidP="00C928C2">
      <w:pPr>
        <w:jc w:val="center"/>
        <w:rPr>
          <w:rFonts w:ascii="Verdana" w:hAnsi="Verdana"/>
          <w:sz w:val="20"/>
        </w:rPr>
      </w:pPr>
      <w:r>
        <w:rPr>
          <w:rFonts w:ascii="Verdana" w:hAnsi="Verdana"/>
          <w:sz w:val="20"/>
        </w:rPr>
        <w:t>Con firma electrónica al final del documento</w:t>
      </w:r>
    </w:p>
    <w:p w14:paraId="1FC0A84D" w14:textId="77777777" w:rsidR="00C928C2" w:rsidRDefault="00C928C2" w:rsidP="00C928C2">
      <w:pPr>
        <w:spacing w:line="276" w:lineRule="auto"/>
        <w:rPr>
          <w:spacing w:val="-4"/>
          <w:position w:val="-4"/>
          <w:lang w:val="es-ES_tradnl"/>
        </w:rPr>
      </w:pPr>
    </w:p>
    <w:p w14:paraId="133E31F0" w14:textId="77777777" w:rsidR="0010373A" w:rsidRDefault="0010373A" w:rsidP="0011084C">
      <w:pPr>
        <w:spacing w:line="276" w:lineRule="auto"/>
        <w:rPr>
          <w:spacing w:val="-4"/>
          <w:position w:val="-4"/>
          <w:lang w:val="es-ES_tradnl"/>
        </w:rPr>
      </w:pPr>
    </w:p>
    <w:p w14:paraId="3D054899" w14:textId="0E955DDA" w:rsidR="00C928C2" w:rsidRDefault="00C928C2" w:rsidP="00C928C2">
      <w:pPr>
        <w:spacing w:line="276" w:lineRule="auto"/>
        <w:jc w:val="center"/>
        <w:rPr>
          <w:spacing w:val="-4"/>
          <w:position w:val="-4"/>
          <w:lang w:val="es-ES_tradnl"/>
        </w:rPr>
      </w:pPr>
      <w:r>
        <w:rPr>
          <w:spacing w:val="-4"/>
          <w:position w:val="-4"/>
          <w:lang w:val="es-ES_tradnl"/>
        </w:rPr>
        <w:t>MANUEL YARZAGARAY BANDERA</w:t>
      </w:r>
    </w:p>
    <w:p w14:paraId="0EBED905" w14:textId="77777777" w:rsidR="00C928C2" w:rsidRDefault="00C928C2" w:rsidP="00C928C2">
      <w:pPr>
        <w:spacing w:line="276" w:lineRule="auto"/>
        <w:jc w:val="center"/>
        <w:rPr>
          <w:spacing w:val="-4"/>
          <w:position w:val="-4"/>
          <w:lang w:val="es-ES_tradnl"/>
        </w:rPr>
      </w:pPr>
      <w:r>
        <w:rPr>
          <w:spacing w:val="-4"/>
          <w:position w:val="-4"/>
          <w:lang w:val="es-ES_tradnl"/>
        </w:rPr>
        <w:t xml:space="preserve">Magistrado </w:t>
      </w:r>
    </w:p>
    <w:p w14:paraId="4A985A93" w14:textId="77777777" w:rsidR="00C928C2" w:rsidRDefault="00C928C2" w:rsidP="00C928C2">
      <w:pPr>
        <w:jc w:val="center"/>
        <w:rPr>
          <w:rFonts w:ascii="Verdana" w:hAnsi="Verdana"/>
          <w:sz w:val="20"/>
        </w:rPr>
      </w:pPr>
      <w:r>
        <w:rPr>
          <w:rFonts w:ascii="Verdana" w:hAnsi="Verdana"/>
          <w:sz w:val="20"/>
        </w:rPr>
        <w:t>Con firma electrónica al final del documento</w:t>
      </w:r>
    </w:p>
    <w:sectPr w:rsidR="00C928C2" w:rsidSect="004C7697">
      <w:headerReference w:type="default" r:id="rId9"/>
      <w:footerReference w:type="default" r:id="rId10"/>
      <w:pgSz w:w="12242" w:h="18705" w:code="120"/>
      <w:pgMar w:top="2041" w:right="1701" w:bottom="1304" w:left="1701" w:header="851" w:footer="851"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F922" w14:textId="77777777" w:rsidR="002A04CB" w:rsidRDefault="002A04CB" w:rsidP="00F13C87">
      <w:pPr>
        <w:spacing w:line="240" w:lineRule="auto"/>
      </w:pPr>
      <w:r>
        <w:separator/>
      </w:r>
    </w:p>
  </w:endnote>
  <w:endnote w:type="continuationSeparator" w:id="0">
    <w:p w14:paraId="599E63CA" w14:textId="77777777" w:rsidR="002A04CB" w:rsidRDefault="002A04CB" w:rsidP="00F13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B082" w14:textId="77777777" w:rsidR="00C928C2" w:rsidRDefault="00C928C2" w:rsidP="003A0745">
    <w:pPr>
      <w:pStyle w:val="Piedepgina"/>
    </w:pPr>
  </w:p>
  <w:p w14:paraId="23615B8C" w14:textId="77777777" w:rsidR="00C928C2" w:rsidRDefault="00C928C2" w:rsidP="003A0745">
    <w:pPr>
      <w:pStyle w:val="Piedepgina"/>
    </w:pPr>
    <w:r>
      <w:t xml:space="preserve">Página </w:t>
    </w:r>
    <w:r>
      <w:fldChar w:fldCharType="begin"/>
    </w:r>
    <w:r>
      <w:instrText xml:space="preserve"> PAGE </w:instrText>
    </w:r>
    <w:r>
      <w:fldChar w:fldCharType="separate"/>
    </w:r>
    <w:r>
      <w:rPr>
        <w:noProof/>
      </w:rPr>
      <w:t>1</w:t>
    </w:r>
    <w:r>
      <w:rPr>
        <w:noProof/>
      </w:rPr>
      <w:fldChar w:fldCharType="end"/>
    </w:r>
    <w:r>
      <w:t xml:space="preserve"> de </w:t>
    </w:r>
    <w:r>
      <w:fldChar w:fldCharType="begin"/>
    </w:r>
    <w:r>
      <w:instrText xml:space="preserve"> NUMPAGES </w:instrText>
    </w:r>
    <w:r>
      <w:fldChar w:fldCharType="separate"/>
    </w:r>
    <w:r>
      <w:rPr>
        <w:noProof/>
      </w:rPr>
      <w:t>9</w:t>
    </w:r>
    <w:r>
      <w:rPr>
        <w:noProof/>
      </w:rPr>
      <w:fldChar w:fldCharType="end"/>
    </w:r>
  </w:p>
  <w:p w14:paraId="6901C80C" w14:textId="77777777" w:rsidR="00C928C2" w:rsidRDefault="00C928C2" w:rsidP="003A07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C70B" w14:textId="77777777" w:rsidR="002A04CB" w:rsidRDefault="002A04CB" w:rsidP="00F13C87">
      <w:pPr>
        <w:spacing w:line="240" w:lineRule="auto"/>
      </w:pPr>
      <w:r>
        <w:separator/>
      </w:r>
    </w:p>
  </w:footnote>
  <w:footnote w:type="continuationSeparator" w:id="0">
    <w:p w14:paraId="0C9EF25E" w14:textId="77777777" w:rsidR="002A04CB" w:rsidRDefault="002A04CB" w:rsidP="00F13C87">
      <w:pPr>
        <w:spacing w:line="240" w:lineRule="auto"/>
      </w:pPr>
      <w:r>
        <w:continuationSeparator/>
      </w:r>
    </w:p>
  </w:footnote>
  <w:footnote w:id="1">
    <w:p w14:paraId="2CA3EB47" w14:textId="77777777" w:rsidR="00E8566F" w:rsidRPr="0090323F" w:rsidRDefault="00E8566F" w:rsidP="00E8566F">
      <w:pPr>
        <w:pStyle w:val="Textonotapie"/>
      </w:pPr>
      <w:r w:rsidRPr="0090323F">
        <w:rPr>
          <w:rStyle w:val="Refdenotaalpie"/>
          <w:rFonts w:ascii="Bookman Old Style" w:hAnsi="Bookman Old Style"/>
        </w:rPr>
        <w:footnoteRef/>
      </w:r>
      <w:r w:rsidRPr="0090323F">
        <w:t xml:space="preserve">  </w:t>
      </w:r>
      <w:r>
        <w:t>Aunque el mismo, acorde con lo debatido enjuicio, al parecer fue capturado por este hecho y privado de su libertad en centro carcelario, de ello nada obra en la actuación.</w:t>
      </w:r>
    </w:p>
  </w:footnote>
  <w:footnote w:id="2">
    <w:p w14:paraId="2785C9AD" w14:textId="77777777" w:rsidR="00C928C2" w:rsidRPr="0090323F" w:rsidRDefault="00C928C2" w:rsidP="0090323F">
      <w:pPr>
        <w:pStyle w:val="Textonotapie"/>
      </w:pPr>
      <w:r w:rsidRPr="0090323F">
        <w:rPr>
          <w:rStyle w:val="Refdenotaalpie"/>
          <w:rFonts w:ascii="Bookman Old Style" w:hAnsi="Bookman Old Style"/>
        </w:rPr>
        <w:footnoteRef/>
      </w:r>
      <w:r w:rsidRPr="0090323F">
        <w:t xml:space="preserve">  Su defensora interpuso recurso de apelación, sin advertirse en la foliatura la decisión que adoptara la segunda instancia. No obstante, obra constancia que al</w:t>
      </w:r>
      <w:r>
        <w:t xml:space="preserve"> </w:t>
      </w:r>
      <w:r w:rsidRPr="0090323F">
        <w:t xml:space="preserve">mismo se le revocó </w:t>
      </w:r>
      <w:r>
        <w:t xml:space="preserve">dicha medida de aseguramiento en </w:t>
      </w:r>
      <w:r w:rsidRPr="0090323F">
        <w:t xml:space="preserve">abril </w:t>
      </w:r>
      <w:r>
        <w:t xml:space="preserve">5 </w:t>
      </w:r>
      <w:r w:rsidRPr="0090323F">
        <w:t>de 2019</w:t>
      </w:r>
      <w:r>
        <w:t>.</w:t>
      </w:r>
    </w:p>
  </w:footnote>
  <w:footnote w:id="3">
    <w:p w14:paraId="5296C53E" w14:textId="77777777" w:rsidR="00C928C2" w:rsidRPr="003E7C9D" w:rsidRDefault="00C928C2" w:rsidP="001B6887">
      <w:pPr>
        <w:pStyle w:val="Textonotapie"/>
      </w:pPr>
      <w:r w:rsidRPr="003E7C9D">
        <w:rPr>
          <w:rStyle w:val="Refdenotaalpie"/>
          <w:rFonts w:eastAsia="Calibri"/>
        </w:rPr>
        <w:footnoteRef/>
      </w:r>
      <w:r w:rsidRPr="003E7C9D">
        <w:t xml:space="preserve"> </w:t>
      </w:r>
      <w:r>
        <w:t>SJ SP 25 nov. 2020, Rad. 49066; reiterada en CSJ SP1129, 6 abr. 2022, Rad.: 58754.</w:t>
      </w:r>
    </w:p>
  </w:footnote>
  <w:footnote w:id="4">
    <w:p w14:paraId="7D19BBBA" w14:textId="77777777" w:rsidR="00C928C2" w:rsidRPr="003E7C9D" w:rsidRDefault="00C928C2" w:rsidP="002354F2">
      <w:pPr>
        <w:pStyle w:val="Textonotapie"/>
      </w:pPr>
      <w:r w:rsidRPr="003E7C9D">
        <w:rPr>
          <w:rStyle w:val="Refdenotaalpie"/>
          <w:rFonts w:eastAsia="Calibri"/>
        </w:rPr>
        <w:footnoteRef/>
      </w:r>
      <w:r w:rsidRPr="003E7C9D">
        <w:t xml:space="preserve"> </w:t>
      </w:r>
      <w:r>
        <w:t>CSJ SP1467-2019, 12 oct.2016, rad. 37175.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F57B" w14:textId="77777777" w:rsidR="00C928C2" w:rsidRPr="000F4565" w:rsidRDefault="00C928C2" w:rsidP="007575ED">
    <w:pPr>
      <w:pStyle w:val="Encabezado"/>
      <w:spacing w:line="240" w:lineRule="auto"/>
      <w:jc w:val="right"/>
      <w:rPr>
        <w:rFonts w:ascii="Courier New" w:hAnsi="Courier New" w:cs="Courier New"/>
        <w:sz w:val="16"/>
        <w:szCs w:val="16"/>
        <w:lang w:val="es-MX"/>
      </w:rPr>
    </w:pPr>
    <w:r>
      <w:rPr>
        <w:rFonts w:ascii="Courier New" w:hAnsi="Courier New" w:cs="Courier New"/>
        <w:sz w:val="16"/>
        <w:szCs w:val="16"/>
      </w:rPr>
      <w:t>HURTO CALIFICADO Y AGRAVADO</w:t>
    </w:r>
  </w:p>
  <w:p w14:paraId="2F412422" w14:textId="2EFD2748" w:rsidR="00C928C2" w:rsidRDefault="00C928C2" w:rsidP="007575ED">
    <w:pPr>
      <w:pStyle w:val="Encabezado"/>
      <w:spacing w:line="240" w:lineRule="auto"/>
      <w:jc w:val="right"/>
      <w:rPr>
        <w:rFonts w:ascii="Courier New" w:hAnsi="Courier New"/>
        <w:sz w:val="16"/>
        <w:lang w:val="es-MX"/>
      </w:rPr>
    </w:pPr>
    <w:r>
      <w:rPr>
        <w:rFonts w:ascii="Courier New" w:hAnsi="Courier New"/>
        <w:sz w:val="16"/>
        <w:lang w:val="es-MX"/>
      </w:rPr>
      <w:t xml:space="preserve">RADICACIÓN: </w:t>
    </w:r>
    <w:r w:rsidR="0010373A">
      <w:rPr>
        <w:rFonts w:ascii="Courier New" w:hAnsi="Courier New"/>
        <w:sz w:val="16"/>
        <w:lang w:val="es-MX"/>
      </w:rPr>
      <w:t xml:space="preserve"> </w:t>
    </w:r>
    <w:r>
      <w:rPr>
        <w:rFonts w:ascii="Courier New" w:hAnsi="Courier New"/>
        <w:sz w:val="16"/>
        <w:lang w:val="es-MX"/>
      </w:rPr>
      <w:t xml:space="preserve"> 660016106521 2017 000947 01</w:t>
    </w:r>
  </w:p>
  <w:p w14:paraId="71140BE2" w14:textId="13C222C6" w:rsidR="00C928C2" w:rsidRDefault="00C928C2" w:rsidP="00991561">
    <w:pPr>
      <w:pStyle w:val="Encabezado"/>
      <w:spacing w:line="240" w:lineRule="auto"/>
      <w:jc w:val="right"/>
      <w:rPr>
        <w:rFonts w:ascii="Courier New" w:hAnsi="Courier New"/>
        <w:sz w:val="16"/>
        <w:lang w:val="es-MX"/>
      </w:rPr>
    </w:pPr>
    <w:r>
      <w:rPr>
        <w:rFonts w:ascii="Courier New" w:hAnsi="Courier New"/>
        <w:sz w:val="16"/>
        <w:lang w:val="es-MX"/>
      </w:rPr>
      <w:t xml:space="preserve">PROCESADO: </w:t>
    </w:r>
    <w:r w:rsidR="0010373A">
      <w:rPr>
        <w:rFonts w:ascii="Courier New" w:hAnsi="Courier New"/>
        <w:sz w:val="16"/>
        <w:lang w:val="es-MX"/>
      </w:rPr>
      <w:t xml:space="preserve">  </w:t>
    </w:r>
    <w:r>
      <w:rPr>
        <w:rFonts w:ascii="Courier New" w:hAnsi="Courier New"/>
        <w:sz w:val="16"/>
        <w:lang w:val="es-MX"/>
      </w:rPr>
      <w:t>DSRM</w:t>
    </w:r>
  </w:p>
  <w:p w14:paraId="2918DC08" w14:textId="61F09F58" w:rsidR="00C928C2" w:rsidRDefault="00C928C2" w:rsidP="00991561">
    <w:pPr>
      <w:pStyle w:val="Encabezado"/>
      <w:spacing w:line="240" w:lineRule="auto"/>
      <w:jc w:val="right"/>
      <w:rPr>
        <w:rFonts w:ascii="Courier New" w:hAnsi="Courier New"/>
        <w:sz w:val="16"/>
        <w:lang w:val="es-MX"/>
      </w:rPr>
    </w:pPr>
    <w:r>
      <w:rPr>
        <w:rFonts w:ascii="Courier New" w:hAnsi="Courier New"/>
        <w:sz w:val="16"/>
        <w:lang w:val="es-MX"/>
      </w:rPr>
      <w:t>REVOCA SENTENCIA</w:t>
    </w:r>
    <w:r w:rsidR="0002220C">
      <w:rPr>
        <w:rFonts w:ascii="Courier New" w:hAnsi="Courier New"/>
        <w:sz w:val="16"/>
        <w:lang w:val="es-MX"/>
      </w:rPr>
      <w:t xml:space="preserve"> ABSOLUTORIA Y </w:t>
    </w:r>
    <w:r w:rsidR="00574B3E">
      <w:rPr>
        <w:rFonts w:ascii="Courier New" w:hAnsi="Courier New"/>
        <w:sz w:val="16"/>
        <w:lang w:val="es-MX"/>
      </w:rPr>
      <w:t xml:space="preserve">SE </w:t>
    </w:r>
    <w:r w:rsidR="0002220C">
      <w:rPr>
        <w:rFonts w:ascii="Courier New" w:hAnsi="Courier New"/>
        <w:sz w:val="16"/>
        <w:lang w:val="es-MX"/>
      </w:rPr>
      <w:t>CONDENA</w:t>
    </w:r>
  </w:p>
  <w:p w14:paraId="39BDED5B" w14:textId="7B39366F" w:rsidR="00C928C2" w:rsidRDefault="00C928C2" w:rsidP="002932EB">
    <w:pPr>
      <w:pStyle w:val="Encabezado"/>
      <w:spacing w:line="240" w:lineRule="auto"/>
      <w:jc w:val="right"/>
      <w:rPr>
        <w:rFonts w:ascii="Courier New" w:hAnsi="Courier New"/>
        <w:sz w:val="16"/>
        <w:lang w:val="es-MX"/>
      </w:rPr>
    </w:pPr>
    <w:r>
      <w:rPr>
        <w:rFonts w:ascii="Courier New" w:hAnsi="Courier New"/>
        <w:sz w:val="16"/>
        <w:lang w:val="es-MX"/>
      </w:rPr>
      <w:t>S. N°</w:t>
    </w:r>
    <w:r w:rsidR="0010373A">
      <w:rPr>
        <w:rFonts w:ascii="Courier New" w:hAnsi="Courier New"/>
        <w:sz w:val="16"/>
        <w:lang w:val="es-MX"/>
      </w:rPr>
      <w:t>016</w:t>
    </w:r>
  </w:p>
  <w:p w14:paraId="46479CB7" w14:textId="77777777" w:rsidR="00C928C2" w:rsidRDefault="00C928C2" w:rsidP="007575ED">
    <w:pPr>
      <w:pStyle w:val="Encabezado"/>
      <w:spacing w:line="240" w:lineRule="auto"/>
      <w:jc w:val="right"/>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20649"/>
    <w:multiLevelType w:val="hybridMultilevel"/>
    <w:tmpl w:val="96E2EA50"/>
    <w:lvl w:ilvl="0" w:tplc="986A9C82">
      <w:start w:val="3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445ECD"/>
    <w:multiLevelType w:val="hybridMultilevel"/>
    <w:tmpl w:val="6CDCA030"/>
    <w:lvl w:ilvl="0" w:tplc="57DC0984">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D4C3A11"/>
    <w:multiLevelType w:val="multilevel"/>
    <w:tmpl w:val="2F148F3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624"/>
        </w:tabs>
      </w:pPr>
      <w:rPr>
        <w:rFonts w:cs="Times New Roman" w:hint="default"/>
        <w:b w:val="0"/>
        <w:i w:val="0"/>
        <w:color w:val="000000"/>
      </w:rPr>
    </w:lvl>
    <w:lvl w:ilvl="2">
      <w:start w:val="1"/>
      <w:numFmt w:val="decimal"/>
      <w:isLgl/>
      <w:lvlText w:val="%1.%2.%3."/>
      <w:lvlJc w:val="left"/>
      <w:pPr>
        <w:tabs>
          <w:tab w:val="num" w:pos="851"/>
        </w:tabs>
      </w:pPr>
      <w:rPr>
        <w:rFonts w:cs="Times New Roman" w:hint="default"/>
        <w:b w:val="0"/>
        <w:i w:val="0"/>
        <w:color w:val="000000"/>
      </w:rPr>
    </w:lvl>
    <w:lvl w:ilvl="3">
      <w:start w:val="1"/>
      <w:numFmt w:val="decimal"/>
      <w:isLgl/>
      <w:lvlText w:val="%1.%2.%3.%4."/>
      <w:lvlJc w:val="left"/>
      <w:pPr>
        <w:tabs>
          <w:tab w:val="num" w:pos="1440"/>
        </w:tabs>
      </w:pPr>
      <w:rPr>
        <w:rFonts w:cs="Times New Roman" w:hint="default"/>
        <w:b w:val="0"/>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15:restartNumberingAfterBreak="0">
    <w:nsid w:val="4E37579C"/>
    <w:multiLevelType w:val="hybridMultilevel"/>
    <w:tmpl w:val="44524D34"/>
    <w:lvl w:ilvl="0" w:tplc="A8740676">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F732BA"/>
    <w:multiLevelType w:val="hybridMultilevel"/>
    <w:tmpl w:val="3612D2FE"/>
    <w:lvl w:ilvl="0" w:tplc="D8F6FF6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57521EC"/>
    <w:multiLevelType w:val="hybridMultilevel"/>
    <w:tmpl w:val="373A0C90"/>
    <w:lvl w:ilvl="0" w:tplc="915C0070">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9BC2125"/>
    <w:multiLevelType w:val="hybridMultilevel"/>
    <w:tmpl w:val="E33AC6A2"/>
    <w:lvl w:ilvl="0" w:tplc="B2FE507A">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17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87"/>
    <w:rsid w:val="00000B6A"/>
    <w:rsid w:val="0000786B"/>
    <w:rsid w:val="0001037D"/>
    <w:rsid w:val="00011C76"/>
    <w:rsid w:val="000147C2"/>
    <w:rsid w:val="00015F6F"/>
    <w:rsid w:val="00016046"/>
    <w:rsid w:val="00016B7A"/>
    <w:rsid w:val="00020497"/>
    <w:rsid w:val="00021CCA"/>
    <w:rsid w:val="0002220C"/>
    <w:rsid w:val="0002296D"/>
    <w:rsid w:val="000230B2"/>
    <w:rsid w:val="00032686"/>
    <w:rsid w:val="00033D6B"/>
    <w:rsid w:val="000402EC"/>
    <w:rsid w:val="00040FBA"/>
    <w:rsid w:val="00045181"/>
    <w:rsid w:val="000469AB"/>
    <w:rsid w:val="0005097D"/>
    <w:rsid w:val="00050BCA"/>
    <w:rsid w:val="000515E3"/>
    <w:rsid w:val="00051948"/>
    <w:rsid w:val="000532F1"/>
    <w:rsid w:val="0005391B"/>
    <w:rsid w:val="00055BD8"/>
    <w:rsid w:val="000613B9"/>
    <w:rsid w:val="00064468"/>
    <w:rsid w:val="000646D7"/>
    <w:rsid w:val="00064E12"/>
    <w:rsid w:val="00064F7E"/>
    <w:rsid w:val="000671AA"/>
    <w:rsid w:val="00067A54"/>
    <w:rsid w:val="00070AEE"/>
    <w:rsid w:val="00072B4F"/>
    <w:rsid w:val="000737EA"/>
    <w:rsid w:val="00073E7B"/>
    <w:rsid w:val="000745E5"/>
    <w:rsid w:val="00075611"/>
    <w:rsid w:val="00077823"/>
    <w:rsid w:val="00081959"/>
    <w:rsid w:val="000828C0"/>
    <w:rsid w:val="00082BD3"/>
    <w:rsid w:val="000832C5"/>
    <w:rsid w:val="00090554"/>
    <w:rsid w:val="0009257E"/>
    <w:rsid w:val="00097041"/>
    <w:rsid w:val="00097C85"/>
    <w:rsid w:val="000A312F"/>
    <w:rsid w:val="000A49CB"/>
    <w:rsid w:val="000A618B"/>
    <w:rsid w:val="000A65EC"/>
    <w:rsid w:val="000A684F"/>
    <w:rsid w:val="000A77B3"/>
    <w:rsid w:val="000A7F5F"/>
    <w:rsid w:val="000B217E"/>
    <w:rsid w:val="000B38A1"/>
    <w:rsid w:val="000B4307"/>
    <w:rsid w:val="000B432D"/>
    <w:rsid w:val="000B440B"/>
    <w:rsid w:val="000B6705"/>
    <w:rsid w:val="000C0B1B"/>
    <w:rsid w:val="000C2599"/>
    <w:rsid w:val="000C4751"/>
    <w:rsid w:val="000C5795"/>
    <w:rsid w:val="000D1721"/>
    <w:rsid w:val="000D42A3"/>
    <w:rsid w:val="000D4BAD"/>
    <w:rsid w:val="000E04F2"/>
    <w:rsid w:val="000E575A"/>
    <w:rsid w:val="000E6660"/>
    <w:rsid w:val="000F0791"/>
    <w:rsid w:val="000F0A6E"/>
    <w:rsid w:val="000F0ACF"/>
    <w:rsid w:val="000F0E9F"/>
    <w:rsid w:val="000F17C2"/>
    <w:rsid w:val="000F2CB2"/>
    <w:rsid w:val="000F3090"/>
    <w:rsid w:val="000F43D8"/>
    <w:rsid w:val="000F4565"/>
    <w:rsid w:val="000F7DA5"/>
    <w:rsid w:val="0010373A"/>
    <w:rsid w:val="00105A71"/>
    <w:rsid w:val="0011084C"/>
    <w:rsid w:val="0011120E"/>
    <w:rsid w:val="00111EC2"/>
    <w:rsid w:val="00114B14"/>
    <w:rsid w:val="00116A8A"/>
    <w:rsid w:val="00116EF6"/>
    <w:rsid w:val="001211B5"/>
    <w:rsid w:val="001216A5"/>
    <w:rsid w:val="00123E15"/>
    <w:rsid w:val="00123E64"/>
    <w:rsid w:val="001241C3"/>
    <w:rsid w:val="0012638E"/>
    <w:rsid w:val="00126E63"/>
    <w:rsid w:val="00126FAD"/>
    <w:rsid w:val="00127864"/>
    <w:rsid w:val="00130272"/>
    <w:rsid w:val="00133222"/>
    <w:rsid w:val="00136C05"/>
    <w:rsid w:val="00140AD6"/>
    <w:rsid w:val="00141F48"/>
    <w:rsid w:val="001425F5"/>
    <w:rsid w:val="00144470"/>
    <w:rsid w:val="001463DC"/>
    <w:rsid w:val="0015222D"/>
    <w:rsid w:val="001522C6"/>
    <w:rsid w:val="00156C3E"/>
    <w:rsid w:val="00156E49"/>
    <w:rsid w:val="00156F53"/>
    <w:rsid w:val="00157074"/>
    <w:rsid w:val="0016074D"/>
    <w:rsid w:val="0016193A"/>
    <w:rsid w:val="00161DA7"/>
    <w:rsid w:val="00164239"/>
    <w:rsid w:val="001658CA"/>
    <w:rsid w:val="0016779D"/>
    <w:rsid w:val="00167DE3"/>
    <w:rsid w:val="0017166E"/>
    <w:rsid w:val="00172E10"/>
    <w:rsid w:val="0017442B"/>
    <w:rsid w:val="00174DEC"/>
    <w:rsid w:val="00177A4A"/>
    <w:rsid w:val="001848D1"/>
    <w:rsid w:val="001861A6"/>
    <w:rsid w:val="00186BC5"/>
    <w:rsid w:val="00187AB6"/>
    <w:rsid w:val="00191808"/>
    <w:rsid w:val="0019226D"/>
    <w:rsid w:val="001930CC"/>
    <w:rsid w:val="00194513"/>
    <w:rsid w:val="00195300"/>
    <w:rsid w:val="00196AA1"/>
    <w:rsid w:val="00197184"/>
    <w:rsid w:val="001A1300"/>
    <w:rsid w:val="001A263F"/>
    <w:rsid w:val="001A28AE"/>
    <w:rsid w:val="001A4B66"/>
    <w:rsid w:val="001A610D"/>
    <w:rsid w:val="001A7786"/>
    <w:rsid w:val="001B0981"/>
    <w:rsid w:val="001B22EA"/>
    <w:rsid w:val="001B2CB3"/>
    <w:rsid w:val="001B31DA"/>
    <w:rsid w:val="001B4E44"/>
    <w:rsid w:val="001B594B"/>
    <w:rsid w:val="001B6887"/>
    <w:rsid w:val="001B7161"/>
    <w:rsid w:val="001B758A"/>
    <w:rsid w:val="001B7BD0"/>
    <w:rsid w:val="001C3AA4"/>
    <w:rsid w:val="001C7C9D"/>
    <w:rsid w:val="001D0D8C"/>
    <w:rsid w:val="001D1885"/>
    <w:rsid w:val="001D32B6"/>
    <w:rsid w:val="001D41A8"/>
    <w:rsid w:val="001D43F2"/>
    <w:rsid w:val="001D7956"/>
    <w:rsid w:val="001E5407"/>
    <w:rsid w:val="001E7287"/>
    <w:rsid w:val="001E7A6A"/>
    <w:rsid w:val="001F02B9"/>
    <w:rsid w:val="001F28AE"/>
    <w:rsid w:val="001F2A70"/>
    <w:rsid w:val="001F37C3"/>
    <w:rsid w:val="002033F7"/>
    <w:rsid w:val="0020546C"/>
    <w:rsid w:val="00210229"/>
    <w:rsid w:val="002126CF"/>
    <w:rsid w:val="00212E51"/>
    <w:rsid w:val="0021398C"/>
    <w:rsid w:val="002152C0"/>
    <w:rsid w:val="00216846"/>
    <w:rsid w:val="002207B1"/>
    <w:rsid w:val="002248B2"/>
    <w:rsid w:val="002259DA"/>
    <w:rsid w:val="002300FF"/>
    <w:rsid w:val="002302E3"/>
    <w:rsid w:val="00231001"/>
    <w:rsid w:val="002311EC"/>
    <w:rsid w:val="00232AC7"/>
    <w:rsid w:val="002349E4"/>
    <w:rsid w:val="002354F2"/>
    <w:rsid w:val="002366EB"/>
    <w:rsid w:val="00240444"/>
    <w:rsid w:val="00240BEB"/>
    <w:rsid w:val="002433A1"/>
    <w:rsid w:val="002435A0"/>
    <w:rsid w:val="00244841"/>
    <w:rsid w:val="00244DF5"/>
    <w:rsid w:val="0025351D"/>
    <w:rsid w:val="00255212"/>
    <w:rsid w:val="00255740"/>
    <w:rsid w:val="002602B8"/>
    <w:rsid w:val="002602F8"/>
    <w:rsid w:val="00261CDC"/>
    <w:rsid w:val="00263CD9"/>
    <w:rsid w:val="00263F95"/>
    <w:rsid w:val="00266135"/>
    <w:rsid w:val="002665EC"/>
    <w:rsid w:val="002673CF"/>
    <w:rsid w:val="00267D89"/>
    <w:rsid w:val="00270294"/>
    <w:rsid w:val="00271BE3"/>
    <w:rsid w:val="00271CFA"/>
    <w:rsid w:val="00271E3E"/>
    <w:rsid w:val="00273723"/>
    <w:rsid w:val="00275702"/>
    <w:rsid w:val="00275B33"/>
    <w:rsid w:val="00284D34"/>
    <w:rsid w:val="00287811"/>
    <w:rsid w:val="002913FE"/>
    <w:rsid w:val="002932EB"/>
    <w:rsid w:val="00295C2D"/>
    <w:rsid w:val="002A04CB"/>
    <w:rsid w:val="002A11DE"/>
    <w:rsid w:val="002A5255"/>
    <w:rsid w:val="002A5943"/>
    <w:rsid w:val="002B2FED"/>
    <w:rsid w:val="002B319C"/>
    <w:rsid w:val="002B5A63"/>
    <w:rsid w:val="002C08C9"/>
    <w:rsid w:val="002C0CFC"/>
    <w:rsid w:val="002C1197"/>
    <w:rsid w:val="002C17C9"/>
    <w:rsid w:val="002C3572"/>
    <w:rsid w:val="002C462B"/>
    <w:rsid w:val="002C57A1"/>
    <w:rsid w:val="002C7679"/>
    <w:rsid w:val="002D0910"/>
    <w:rsid w:val="002D4F42"/>
    <w:rsid w:val="002D7DCA"/>
    <w:rsid w:val="002E0A6E"/>
    <w:rsid w:val="002E3686"/>
    <w:rsid w:val="002E5AFD"/>
    <w:rsid w:val="002E6C77"/>
    <w:rsid w:val="002E72FE"/>
    <w:rsid w:val="002E775B"/>
    <w:rsid w:val="002F0C99"/>
    <w:rsid w:val="002F0D6F"/>
    <w:rsid w:val="002F1B03"/>
    <w:rsid w:val="002F2810"/>
    <w:rsid w:val="002F2C30"/>
    <w:rsid w:val="002F2EA2"/>
    <w:rsid w:val="002F462E"/>
    <w:rsid w:val="002F663C"/>
    <w:rsid w:val="00300AC2"/>
    <w:rsid w:val="00305972"/>
    <w:rsid w:val="00311913"/>
    <w:rsid w:val="00313689"/>
    <w:rsid w:val="00316BF5"/>
    <w:rsid w:val="00321841"/>
    <w:rsid w:val="00323C75"/>
    <w:rsid w:val="00324449"/>
    <w:rsid w:val="00324851"/>
    <w:rsid w:val="0032560B"/>
    <w:rsid w:val="003259A3"/>
    <w:rsid w:val="00335562"/>
    <w:rsid w:val="0033581C"/>
    <w:rsid w:val="0033590E"/>
    <w:rsid w:val="00336CB2"/>
    <w:rsid w:val="003370B8"/>
    <w:rsid w:val="00341926"/>
    <w:rsid w:val="00345F92"/>
    <w:rsid w:val="003465CE"/>
    <w:rsid w:val="003470CE"/>
    <w:rsid w:val="00350E5C"/>
    <w:rsid w:val="003530AC"/>
    <w:rsid w:val="0036204F"/>
    <w:rsid w:val="00362471"/>
    <w:rsid w:val="003652FB"/>
    <w:rsid w:val="00365EB0"/>
    <w:rsid w:val="003731CC"/>
    <w:rsid w:val="0037375F"/>
    <w:rsid w:val="00374243"/>
    <w:rsid w:val="00374A3E"/>
    <w:rsid w:val="00380073"/>
    <w:rsid w:val="00381DCE"/>
    <w:rsid w:val="00384C9C"/>
    <w:rsid w:val="00386139"/>
    <w:rsid w:val="00391DC2"/>
    <w:rsid w:val="00392851"/>
    <w:rsid w:val="00396C5D"/>
    <w:rsid w:val="003A0745"/>
    <w:rsid w:val="003A1AEF"/>
    <w:rsid w:val="003A22B8"/>
    <w:rsid w:val="003A437F"/>
    <w:rsid w:val="003A7C55"/>
    <w:rsid w:val="003A7CB7"/>
    <w:rsid w:val="003B1F95"/>
    <w:rsid w:val="003B2F07"/>
    <w:rsid w:val="003B31B4"/>
    <w:rsid w:val="003B33C8"/>
    <w:rsid w:val="003B5B00"/>
    <w:rsid w:val="003B5E3C"/>
    <w:rsid w:val="003C0346"/>
    <w:rsid w:val="003C1FFD"/>
    <w:rsid w:val="003C4746"/>
    <w:rsid w:val="003C77B5"/>
    <w:rsid w:val="003E06C3"/>
    <w:rsid w:val="003E2363"/>
    <w:rsid w:val="003E29F2"/>
    <w:rsid w:val="003E326B"/>
    <w:rsid w:val="003E3D4B"/>
    <w:rsid w:val="003E5B21"/>
    <w:rsid w:val="003E72C8"/>
    <w:rsid w:val="003F36C2"/>
    <w:rsid w:val="003F5427"/>
    <w:rsid w:val="003F744E"/>
    <w:rsid w:val="0040137B"/>
    <w:rsid w:val="004056DB"/>
    <w:rsid w:val="00405EE6"/>
    <w:rsid w:val="004100E3"/>
    <w:rsid w:val="00410EF0"/>
    <w:rsid w:val="0041147A"/>
    <w:rsid w:val="004151FC"/>
    <w:rsid w:val="00422F07"/>
    <w:rsid w:val="004238BB"/>
    <w:rsid w:val="00425832"/>
    <w:rsid w:val="004259C1"/>
    <w:rsid w:val="00427115"/>
    <w:rsid w:val="004271FF"/>
    <w:rsid w:val="00427CD7"/>
    <w:rsid w:val="004307B6"/>
    <w:rsid w:val="00431BCD"/>
    <w:rsid w:val="00431BF1"/>
    <w:rsid w:val="00431E5C"/>
    <w:rsid w:val="0043472D"/>
    <w:rsid w:val="00437025"/>
    <w:rsid w:val="00437472"/>
    <w:rsid w:val="00441B80"/>
    <w:rsid w:val="00444CAC"/>
    <w:rsid w:val="0044760C"/>
    <w:rsid w:val="00447B57"/>
    <w:rsid w:val="00452F97"/>
    <w:rsid w:val="004540E1"/>
    <w:rsid w:val="00454CCB"/>
    <w:rsid w:val="00455B96"/>
    <w:rsid w:val="00457F91"/>
    <w:rsid w:val="00460CD5"/>
    <w:rsid w:val="00464A72"/>
    <w:rsid w:val="00465100"/>
    <w:rsid w:val="00466F74"/>
    <w:rsid w:val="004676B2"/>
    <w:rsid w:val="004731B9"/>
    <w:rsid w:val="0047339D"/>
    <w:rsid w:val="0047380D"/>
    <w:rsid w:val="0047385C"/>
    <w:rsid w:val="00474857"/>
    <w:rsid w:val="00477BBC"/>
    <w:rsid w:val="004819E3"/>
    <w:rsid w:val="00482B7B"/>
    <w:rsid w:val="00482D2D"/>
    <w:rsid w:val="00484479"/>
    <w:rsid w:val="004905F7"/>
    <w:rsid w:val="00492A4E"/>
    <w:rsid w:val="00495203"/>
    <w:rsid w:val="004959F5"/>
    <w:rsid w:val="004A68EC"/>
    <w:rsid w:val="004A6CB7"/>
    <w:rsid w:val="004A7766"/>
    <w:rsid w:val="004B0D33"/>
    <w:rsid w:val="004B371B"/>
    <w:rsid w:val="004B6901"/>
    <w:rsid w:val="004C3E8D"/>
    <w:rsid w:val="004C4C54"/>
    <w:rsid w:val="004C7697"/>
    <w:rsid w:val="004D0A48"/>
    <w:rsid w:val="004D3005"/>
    <w:rsid w:val="004D4513"/>
    <w:rsid w:val="004D6655"/>
    <w:rsid w:val="004D6ABB"/>
    <w:rsid w:val="004D6B7A"/>
    <w:rsid w:val="004E14BC"/>
    <w:rsid w:val="004E3366"/>
    <w:rsid w:val="004E36F2"/>
    <w:rsid w:val="004F39BC"/>
    <w:rsid w:val="0050025C"/>
    <w:rsid w:val="005005DA"/>
    <w:rsid w:val="005026E7"/>
    <w:rsid w:val="00504D06"/>
    <w:rsid w:val="005050BE"/>
    <w:rsid w:val="00506FAF"/>
    <w:rsid w:val="005077C3"/>
    <w:rsid w:val="0050797D"/>
    <w:rsid w:val="00507A17"/>
    <w:rsid w:val="00511D03"/>
    <w:rsid w:val="00515048"/>
    <w:rsid w:val="0051754D"/>
    <w:rsid w:val="00522A6B"/>
    <w:rsid w:val="00522D11"/>
    <w:rsid w:val="00525477"/>
    <w:rsid w:val="005301D6"/>
    <w:rsid w:val="00532E75"/>
    <w:rsid w:val="00534340"/>
    <w:rsid w:val="005378D8"/>
    <w:rsid w:val="0054005D"/>
    <w:rsid w:val="005407F6"/>
    <w:rsid w:val="0054178C"/>
    <w:rsid w:val="00543F88"/>
    <w:rsid w:val="00544C1D"/>
    <w:rsid w:val="005450A9"/>
    <w:rsid w:val="00546BED"/>
    <w:rsid w:val="00546E6F"/>
    <w:rsid w:val="00552B0A"/>
    <w:rsid w:val="00552C79"/>
    <w:rsid w:val="00553D4D"/>
    <w:rsid w:val="0055498D"/>
    <w:rsid w:val="0055543D"/>
    <w:rsid w:val="00556860"/>
    <w:rsid w:val="0056067E"/>
    <w:rsid w:val="005654F9"/>
    <w:rsid w:val="0057125E"/>
    <w:rsid w:val="00573269"/>
    <w:rsid w:val="00574B3E"/>
    <w:rsid w:val="0057584A"/>
    <w:rsid w:val="005758FA"/>
    <w:rsid w:val="00583D8E"/>
    <w:rsid w:val="00586541"/>
    <w:rsid w:val="00587DE0"/>
    <w:rsid w:val="00591688"/>
    <w:rsid w:val="005918E1"/>
    <w:rsid w:val="005932C6"/>
    <w:rsid w:val="00594716"/>
    <w:rsid w:val="00594CF2"/>
    <w:rsid w:val="00596500"/>
    <w:rsid w:val="005970E8"/>
    <w:rsid w:val="00597E74"/>
    <w:rsid w:val="005A437C"/>
    <w:rsid w:val="005A4B0F"/>
    <w:rsid w:val="005A6B63"/>
    <w:rsid w:val="005A7551"/>
    <w:rsid w:val="005B03F0"/>
    <w:rsid w:val="005B2F59"/>
    <w:rsid w:val="005B5B5E"/>
    <w:rsid w:val="005B6276"/>
    <w:rsid w:val="005B6394"/>
    <w:rsid w:val="005C0B20"/>
    <w:rsid w:val="005C46BD"/>
    <w:rsid w:val="005D0369"/>
    <w:rsid w:val="005D1FC7"/>
    <w:rsid w:val="005D3C0E"/>
    <w:rsid w:val="005D621E"/>
    <w:rsid w:val="005E04B4"/>
    <w:rsid w:val="005E05F9"/>
    <w:rsid w:val="005E0716"/>
    <w:rsid w:val="005E3D98"/>
    <w:rsid w:val="005E4F6E"/>
    <w:rsid w:val="005E4FA7"/>
    <w:rsid w:val="005E5250"/>
    <w:rsid w:val="005E5782"/>
    <w:rsid w:val="005E6BE7"/>
    <w:rsid w:val="005E6D49"/>
    <w:rsid w:val="005F0E03"/>
    <w:rsid w:val="005F1524"/>
    <w:rsid w:val="005F3893"/>
    <w:rsid w:val="005F657E"/>
    <w:rsid w:val="00601626"/>
    <w:rsid w:val="0060371D"/>
    <w:rsid w:val="006044FF"/>
    <w:rsid w:val="0060584B"/>
    <w:rsid w:val="00605F06"/>
    <w:rsid w:val="006114B7"/>
    <w:rsid w:val="00611611"/>
    <w:rsid w:val="00614F32"/>
    <w:rsid w:val="00615274"/>
    <w:rsid w:val="00617A7B"/>
    <w:rsid w:val="00617FBD"/>
    <w:rsid w:val="00623019"/>
    <w:rsid w:val="00625732"/>
    <w:rsid w:val="00625C9C"/>
    <w:rsid w:val="00626D82"/>
    <w:rsid w:val="00630CF8"/>
    <w:rsid w:val="006327F1"/>
    <w:rsid w:val="00632ACA"/>
    <w:rsid w:val="00634140"/>
    <w:rsid w:val="00635180"/>
    <w:rsid w:val="0063525C"/>
    <w:rsid w:val="0063589E"/>
    <w:rsid w:val="00636816"/>
    <w:rsid w:val="0064194B"/>
    <w:rsid w:val="00644A69"/>
    <w:rsid w:val="006457F0"/>
    <w:rsid w:val="0064588C"/>
    <w:rsid w:val="00647D69"/>
    <w:rsid w:val="00651A67"/>
    <w:rsid w:val="006536E1"/>
    <w:rsid w:val="0066182F"/>
    <w:rsid w:val="00662409"/>
    <w:rsid w:val="0066395D"/>
    <w:rsid w:val="00666EC9"/>
    <w:rsid w:val="00670C56"/>
    <w:rsid w:val="00671A3D"/>
    <w:rsid w:val="0067295F"/>
    <w:rsid w:val="00672DB7"/>
    <w:rsid w:val="00672DE8"/>
    <w:rsid w:val="006744A8"/>
    <w:rsid w:val="00674DE2"/>
    <w:rsid w:val="0067669F"/>
    <w:rsid w:val="00676CBF"/>
    <w:rsid w:val="0068079C"/>
    <w:rsid w:val="00684255"/>
    <w:rsid w:val="00684669"/>
    <w:rsid w:val="00693CDC"/>
    <w:rsid w:val="00693F53"/>
    <w:rsid w:val="00694F1E"/>
    <w:rsid w:val="00695B74"/>
    <w:rsid w:val="006A0DBB"/>
    <w:rsid w:val="006A12E1"/>
    <w:rsid w:val="006A437C"/>
    <w:rsid w:val="006A4754"/>
    <w:rsid w:val="006B0821"/>
    <w:rsid w:val="006B1733"/>
    <w:rsid w:val="006B20AF"/>
    <w:rsid w:val="006B36D3"/>
    <w:rsid w:val="006B5520"/>
    <w:rsid w:val="006B68C6"/>
    <w:rsid w:val="006B6E29"/>
    <w:rsid w:val="006C2371"/>
    <w:rsid w:val="006C3C48"/>
    <w:rsid w:val="006C4B90"/>
    <w:rsid w:val="006C6EB3"/>
    <w:rsid w:val="006D156D"/>
    <w:rsid w:val="006D2176"/>
    <w:rsid w:val="006D23DB"/>
    <w:rsid w:val="006D3E10"/>
    <w:rsid w:val="006D4A93"/>
    <w:rsid w:val="006E1E31"/>
    <w:rsid w:val="006E260E"/>
    <w:rsid w:val="006E2B45"/>
    <w:rsid w:val="006E44B7"/>
    <w:rsid w:val="006E4852"/>
    <w:rsid w:val="006E7273"/>
    <w:rsid w:val="006E7BDC"/>
    <w:rsid w:val="006F0F38"/>
    <w:rsid w:val="006F10CB"/>
    <w:rsid w:val="006F172B"/>
    <w:rsid w:val="006F1940"/>
    <w:rsid w:val="006F2275"/>
    <w:rsid w:val="006F2590"/>
    <w:rsid w:val="006F729B"/>
    <w:rsid w:val="006F745C"/>
    <w:rsid w:val="006F7AA4"/>
    <w:rsid w:val="007031FC"/>
    <w:rsid w:val="0071145D"/>
    <w:rsid w:val="007117C1"/>
    <w:rsid w:val="00711B48"/>
    <w:rsid w:val="007122D7"/>
    <w:rsid w:val="007137AC"/>
    <w:rsid w:val="00717186"/>
    <w:rsid w:val="00720581"/>
    <w:rsid w:val="00723A8F"/>
    <w:rsid w:val="00724548"/>
    <w:rsid w:val="00732CBE"/>
    <w:rsid w:val="007333D1"/>
    <w:rsid w:val="00735B8F"/>
    <w:rsid w:val="0073665D"/>
    <w:rsid w:val="007367AB"/>
    <w:rsid w:val="007368DD"/>
    <w:rsid w:val="00737BB6"/>
    <w:rsid w:val="00737C2C"/>
    <w:rsid w:val="0074076D"/>
    <w:rsid w:val="0074129B"/>
    <w:rsid w:val="00742528"/>
    <w:rsid w:val="007460EF"/>
    <w:rsid w:val="007468C8"/>
    <w:rsid w:val="007469EC"/>
    <w:rsid w:val="00752293"/>
    <w:rsid w:val="00753B08"/>
    <w:rsid w:val="007552D6"/>
    <w:rsid w:val="007575ED"/>
    <w:rsid w:val="00760153"/>
    <w:rsid w:val="00761433"/>
    <w:rsid w:val="00766849"/>
    <w:rsid w:val="00770552"/>
    <w:rsid w:val="00770D8D"/>
    <w:rsid w:val="007711D7"/>
    <w:rsid w:val="00773437"/>
    <w:rsid w:val="00773853"/>
    <w:rsid w:val="00773FD2"/>
    <w:rsid w:val="0077433C"/>
    <w:rsid w:val="00777DDB"/>
    <w:rsid w:val="00780D17"/>
    <w:rsid w:val="00791CA2"/>
    <w:rsid w:val="00794592"/>
    <w:rsid w:val="007954AF"/>
    <w:rsid w:val="007A06FC"/>
    <w:rsid w:val="007A0BB0"/>
    <w:rsid w:val="007A11B9"/>
    <w:rsid w:val="007A57E7"/>
    <w:rsid w:val="007B0209"/>
    <w:rsid w:val="007B15CB"/>
    <w:rsid w:val="007B29F3"/>
    <w:rsid w:val="007B3BA1"/>
    <w:rsid w:val="007B46FA"/>
    <w:rsid w:val="007B74B0"/>
    <w:rsid w:val="007B7B7A"/>
    <w:rsid w:val="007C1B2A"/>
    <w:rsid w:val="007C1C6E"/>
    <w:rsid w:val="007C2BF4"/>
    <w:rsid w:val="007C5411"/>
    <w:rsid w:val="007C6522"/>
    <w:rsid w:val="007C6A52"/>
    <w:rsid w:val="007D158C"/>
    <w:rsid w:val="007D2744"/>
    <w:rsid w:val="007D37D5"/>
    <w:rsid w:val="007D3ADD"/>
    <w:rsid w:val="007D3DBA"/>
    <w:rsid w:val="007D6630"/>
    <w:rsid w:val="007E09EC"/>
    <w:rsid w:val="007E49CD"/>
    <w:rsid w:val="007E5386"/>
    <w:rsid w:val="007E6C1A"/>
    <w:rsid w:val="007F01FD"/>
    <w:rsid w:val="007F1B72"/>
    <w:rsid w:val="007F25AF"/>
    <w:rsid w:val="007F4491"/>
    <w:rsid w:val="007F628D"/>
    <w:rsid w:val="008011D4"/>
    <w:rsid w:val="008015A4"/>
    <w:rsid w:val="00801C89"/>
    <w:rsid w:val="00802921"/>
    <w:rsid w:val="008060F8"/>
    <w:rsid w:val="00807AA8"/>
    <w:rsid w:val="00812595"/>
    <w:rsid w:val="00812C54"/>
    <w:rsid w:val="00815607"/>
    <w:rsid w:val="0081685B"/>
    <w:rsid w:val="0081799B"/>
    <w:rsid w:val="0082015E"/>
    <w:rsid w:val="00820D7A"/>
    <w:rsid w:val="0082236F"/>
    <w:rsid w:val="00823DF7"/>
    <w:rsid w:val="00825182"/>
    <w:rsid w:val="00826CB0"/>
    <w:rsid w:val="00830FEA"/>
    <w:rsid w:val="00831FB8"/>
    <w:rsid w:val="008334FA"/>
    <w:rsid w:val="00837A05"/>
    <w:rsid w:val="00840C58"/>
    <w:rsid w:val="00843F91"/>
    <w:rsid w:val="008444C3"/>
    <w:rsid w:val="00844743"/>
    <w:rsid w:val="0084685F"/>
    <w:rsid w:val="00846C61"/>
    <w:rsid w:val="00847C58"/>
    <w:rsid w:val="00850250"/>
    <w:rsid w:val="00851FE6"/>
    <w:rsid w:val="00853E41"/>
    <w:rsid w:val="0086337F"/>
    <w:rsid w:val="00865297"/>
    <w:rsid w:val="00865381"/>
    <w:rsid w:val="0087027F"/>
    <w:rsid w:val="00870440"/>
    <w:rsid w:val="008729A2"/>
    <w:rsid w:val="008733F2"/>
    <w:rsid w:val="008737F9"/>
    <w:rsid w:val="00873D63"/>
    <w:rsid w:val="00873EFB"/>
    <w:rsid w:val="0087500C"/>
    <w:rsid w:val="00877346"/>
    <w:rsid w:val="00880DC1"/>
    <w:rsid w:val="00882245"/>
    <w:rsid w:val="00882DAC"/>
    <w:rsid w:val="00885382"/>
    <w:rsid w:val="00885B5D"/>
    <w:rsid w:val="00886041"/>
    <w:rsid w:val="00887EF9"/>
    <w:rsid w:val="0089652A"/>
    <w:rsid w:val="00896BDC"/>
    <w:rsid w:val="008A1CB0"/>
    <w:rsid w:val="008A2034"/>
    <w:rsid w:val="008A5C09"/>
    <w:rsid w:val="008A6A28"/>
    <w:rsid w:val="008B59B2"/>
    <w:rsid w:val="008B59EA"/>
    <w:rsid w:val="008C1194"/>
    <w:rsid w:val="008C7BF3"/>
    <w:rsid w:val="008C7E0A"/>
    <w:rsid w:val="008D0D39"/>
    <w:rsid w:val="008D35E5"/>
    <w:rsid w:val="008D3D6A"/>
    <w:rsid w:val="008D4523"/>
    <w:rsid w:val="008D631D"/>
    <w:rsid w:val="008E0149"/>
    <w:rsid w:val="008F0450"/>
    <w:rsid w:val="008F1EB0"/>
    <w:rsid w:val="008F7DFE"/>
    <w:rsid w:val="00901375"/>
    <w:rsid w:val="00901AB0"/>
    <w:rsid w:val="00902BE5"/>
    <w:rsid w:val="0090323F"/>
    <w:rsid w:val="00903CE0"/>
    <w:rsid w:val="009048C5"/>
    <w:rsid w:val="0090548B"/>
    <w:rsid w:val="00906EB8"/>
    <w:rsid w:val="00910FF9"/>
    <w:rsid w:val="009110ED"/>
    <w:rsid w:val="0091218D"/>
    <w:rsid w:val="009126DC"/>
    <w:rsid w:val="009128CC"/>
    <w:rsid w:val="009138B2"/>
    <w:rsid w:val="0091471D"/>
    <w:rsid w:val="00915DBB"/>
    <w:rsid w:val="009177EC"/>
    <w:rsid w:val="00920F8C"/>
    <w:rsid w:val="0092573A"/>
    <w:rsid w:val="00925987"/>
    <w:rsid w:val="00925CCC"/>
    <w:rsid w:val="009277DA"/>
    <w:rsid w:val="0093034F"/>
    <w:rsid w:val="00930C81"/>
    <w:rsid w:val="00931F33"/>
    <w:rsid w:val="00933FCA"/>
    <w:rsid w:val="00934EF4"/>
    <w:rsid w:val="00936B0A"/>
    <w:rsid w:val="00936DE6"/>
    <w:rsid w:val="009438CB"/>
    <w:rsid w:val="009465F6"/>
    <w:rsid w:val="009475FC"/>
    <w:rsid w:val="009528B5"/>
    <w:rsid w:val="00952958"/>
    <w:rsid w:val="00952A51"/>
    <w:rsid w:val="00952B93"/>
    <w:rsid w:val="00953B7E"/>
    <w:rsid w:val="009542F5"/>
    <w:rsid w:val="00955FFA"/>
    <w:rsid w:val="00957765"/>
    <w:rsid w:val="00960A54"/>
    <w:rsid w:val="009615F5"/>
    <w:rsid w:val="00961986"/>
    <w:rsid w:val="00962FC1"/>
    <w:rsid w:val="009636A9"/>
    <w:rsid w:val="00963749"/>
    <w:rsid w:val="00963A37"/>
    <w:rsid w:val="009702EA"/>
    <w:rsid w:val="00970501"/>
    <w:rsid w:val="00970BEB"/>
    <w:rsid w:val="009734C7"/>
    <w:rsid w:val="00974F7D"/>
    <w:rsid w:val="009759ED"/>
    <w:rsid w:val="00976DE2"/>
    <w:rsid w:val="0097739C"/>
    <w:rsid w:val="00980841"/>
    <w:rsid w:val="00981B97"/>
    <w:rsid w:val="00985AA2"/>
    <w:rsid w:val="00987E9D"/>
    <w:rsid w:val="009905D7"/>
    <w:rsid w:val="00991561"/>
    <w:rsid w:val="00993EDB"/>
    <w:rsid w:val="009A14CC"/>
    <w:rsid w:val="009A3C63"/>
    <w:rsid w:val="009B056A"/>
    <w:rsid w:val="009B386B"/>
    <w:rsid w:val="009C1601"/>
    <w:rsid w:val="009C1E32"/>
    <w:rsid w:val="009C1EE1"/>
    <w:rsid w:val="009C5AB6"/>
    <w:rsid w:val="009C7E9F"/>
    <w:rsid w:val="009D0DBC"/>
    <w:rsid w:val="009D3A43"/>
    <w:rsid w:val="009D5C86"/>
    <w:rsid w:val="009D66B1"/>
    <w:rsid w:val="009D6DA8"/>
    <w:rsid w:val="009D7349"/>
    <w:rsid w:val="009E0923"/>
    <w:rsid w:val="009E164F"/>
    <w:rsid w:val="009E18E5"/>
    <w:rsid w:val="009E419B"/>
    <w:rsid w:val="009E428F"/>
    <w:rsid w:val="009E5623"/>
    <w:rsid w:val="009E5DAE"/>
    <w:rsid w:val="009E6191"/>
    <w:rsid w:val="009E6F6A"/>
    <w:rsid w:val="009F0D99"/>
    <w:rsid w:val="009F5ED4"/>
    <w:rsid w:val="009F6258"/>
    <w:rsid w:val="00A00F08"/>
    <w:rsid w:val="00A04BE8"/>
    <w:rsid w:val="00A11234"/>
    <w:rsid w:val="00A14682"/>
    <w:rsid w:val="00A148E6"/>
    <w:rsid w:val="00A1772C"/>
    <w:rsid w:val="00A20185"/>
    <w:rsid w:val="00A22078"/>
    <w:rsid w:val="00A237ED"/>
    <w:rsid w:val="00A26B0C"/>
    <w:rsid w:val="00A27BCB"/>
    <w:rsid w:val="00A3514F"/>
    <w:rsid w:val="00A4171C"/>
    <w:rsid w:val="00A42246"/>
    <w:rsid w:val="00A457ED"/>
    <w:rsid w:val="00A45F0B"/>
    <w:rsid w:val="00A53336"/>
    <w:rsid w:val="00A6139D"/>
    <w:rsid w:val="00A63125"/>
    <w:rsid w:val="00A656FB"/>
    <w:rsid w:val="00A65B4E"/>
    <w:rsid w:val="00A66265"/>
    <w:rsid w:val="00A67A41"/>
    <w:rsid w:val="00A70454"/>
    <w:rsid w:val="00A71DD1"/>
    <w:rsid w:val="00A7232A"/>
    <w:rsid w:val="00A7279D"/>
    <w:rsid w:val="00A72BFA"/>
    <w:rsid w:val="00A82534"/>
    <w:rsid w:val="00A87360"/>
    <w:rsid w:val="00A9207C"/>
    <w:rsid w:val="00A92618"/>
    <w:rsid w:val="00A941A7"/>
    <w:rsid w:val="00A97599"/>
    <w:rsid w:val="00AA4491"/>
    <w:rsid w:val="00AA6710"/>
    <w:rsid w:val="00AA6D61"/>
    <w:rsid w:val="00AB28CE"/>
    <w:rsid w:val="00AB318D"/>
    <w:rsid w:val="00AB6504"/>
    <w:rsid w:val="00AC0DA2"/>
    <w:rsid w:val="00AC1058"/>
    <w:rsid w:val="00AC1235"/>
    <w:rsid w:val="00AC18D3"/>
    <w:rsid w:val="00AC256F"/>
    <w:rsid w:val="00AC6A99"/>
    <w:rsid w:val="00AC6E4B"/>
    <w:rsid w:val="00AD238B"/>
    <w:rsid w:val="00AE0ABE"/>
    <w:rsid w:val="00AE3785"/>
    <w:rsid w:val="00AE42B1"/>
    <w:rsid w:val="00AE5DBF"/>
    <w:rsid w:val="00AE6C68"/>
    <w:rsid w:val="00AE70B5"/>
    <w:rsid w:val="00AE7893"/>
    <w:rsid w:val="00AF25D9"/>
    <w:rsid w:val="00AF602A"/>
    <w:rsid w:val="00AF626D"/>
    <w:rsid w:val="00B0011A"/>
    <w:rsid w:val="00B01D51"/>
    <w:rsid w:val="00B0243E"/>
    <w:rsid w:val="00B02985"/>
    <w:rsid w:val="00B045E5"/>
    <w:rsid w:val="00B0493C"/>
    <w:rsid w:val="00B05322"/>
    <w:rsid w:val="00B06B4A"/>
    <w:rsid w:val="00B10ED7"/>
    <w:rsid w:val="00B113B1"/>
    <w:rsid w:val="00B14374"/>
    <w:rsid w:val="00B14464"/>
    <w:rsid w:val="00B27FEA"/>
    <w:rsid w:val="00B31B9A"/>
    <w:rsid w:val="00B321A4"/>
    <w:rsid w:val="00B323C2"/>
    <w:rsid w:val="00B33AEC"/>
    <w:rsid w:val="00B364D3"/>
    <w:rsid w:val="00B368DB"/>
    <w:rsid w:val="00B378ED"/>
    <w:rsid w:val="00B40963"/>
    <w:rsid w:val="00B42553"/>
    <w:rsid w:val="00B42B26"/>
    <w:rsid w:val="00B42D76"/>
    <w:rsid w:val="00B43438"/>
    <w:rsid w:val="00B463F0"/>
    <w:rsid w:val="00B46D3D"/>
    <w:rsid w:val="00B525C4"/>
    <w:rsid w:val="00B55DAC"/>
    <w:rsid w:val="00B56E67"/>
    <w:rsid w:val="00B604A2"/>
    <w:rsid w:val="00B60587"/>
    <w:rsid w:val="00B60C33"/>
    <w:rsid w:val="00B63E3A"/>
    <w:rsid w:val="00B70DCF"/>
    <w:rsid w:val="00B7126D"/>
    <w:rsid w:val="00B7391C"/>
    <w:rsid w:val="00B73F6B"/>
    <w:rsid w:val="00B76734"/>
    <w:rsid w:val="00B77279"/>
    <w:rsid w:val="00B82007"/>
    <w:rsid w:val="00B820B3"/>
    <w:rsid w:val="00B85CEB"/>
    <w:rsid w:val="00B85EB0"/>
    <w:rsid w:val="00B9087B"/>
    <w:rsid w:val="00B92F12"/>
    <w:rsid w:val="00B95BE1"/>
    <w:rsid w:val="00BA2475"/>
    <w:rsid w:val="00BA3DE3"/>
    <w:rsid w:val="00BA782E"/>
    <w:rsid w:val="00BB1FAD"/>
    <w:rsid w:val="00BB3F39"/>
    <w:rsid w:val="00BC02C2"/>
    <w:rsid w:val="00BC0805"/>
    <w:rsid w:val="00BC30E8"/>
    <w:rsid w:val="00BC3695"/>
    <w:rsid w:val="00BC4878"/>
    <w:rsid w:val="00BC4C32"/>
    <w:rsid w:val="00BD02E2"/>
    <w:rsid w:val="00BD083C"/>
    <w:rsid w:val="00BD20B8"/>
    <w:rsid w:val="00BD3983"/>
    <w:rsid w:val="00BD5F37"/>
    <w:rsid w:val="00BD73D8"/>
    <w:rsid w:val="00BD7A83"/>
    <w:rsid w:val="00BE00F7"/>
    <w:rsid w:val="00BE111E"/>
    <w:rsid w:val="00BE5D02"/>
    <w:rsid w:val="00BF2508"/>
    <w:rsid w:val="00BF44B5"/>
    <w:rsid w:val="00BF4DA5"/>
    <w:rsid w:val="00BF58BD"/>
    <w:rsid w:val="00BF7711"/>
    <w:rsid w:val="00C0191E"/>
    <w:rsid w:val="00C02BB1"/>
    <w:rsid w:val="00C06005"/>
    <w:rsid w:val="00C114FF"/>
    <w:rsid w:val="00C15ABA"/>
    <w:rsid w:val="00C23221"/>
    <w:rsid w:val="00C23616"/>
    <w:rsid w:val="00C23731"/>
    <w:rsid w:val="00C25022"/>
    <w:rsid w:val="00C26466"/>
    <w:rsid w:val="00C26B6D"/>
    <w:rsid w:val="00C2720F"/>
    <w:rsid w:val="00C33079"/>
    <w:rsid w:val="00C36255"/>
    <w:rsid w:val="00C40B00"/>
    <w:rsid w:val="00C41FA3"/>
    <w:rsid w:val="00C44B80"/>
    <w:rsid w:val="00C52FD9"/>
    <w:rsid w:val="00C53300"/>
    <w:rsid w:val="00C53556"/>
    <w:rsid w:val="00C54BA2"/>
    <w:rsid w:val="00C57D6F"/>
    <w:rsid w:val="00C63E6E"/>
    <w:rsid w:val="00C6470C"/>
    <w:rsid w:val="00C65011"/>
    <w:rsid w:val="00C65E91"/>
    <w:rsid w:val="00C67990"/>
    <w:rsid w:val="00C7195C"/>
    <w:rsid w:val="00C736DE"/>
    <w:rsid w:val="00C754B8"/>
    <w:rsid w:val="00C7580D"/>
    <w:rsid w:val="00C82C36"/>
    <w:rsid w:val="00C8363E"/>
    <w:rsid w:val="00C83C15"/>
    <w:rsid w:val="00C86D83"/>
    <w:rsid w:val="00C90ED7"/>
    <w:rsid w:val="00C920D4"/>
    <w:rsid w:val="00C928C2"/>
    <w:rsid w:val="00C9496F"/>
    <w:rsid w:val="00C96D33"/>
    <w:rsid w:val="00CA051A"/>
    <w:rsid w:val="00CA0AA5"/>
    <w:rsid w:val="00CA2F44"/>
    <w:rsid w:val="00CA3363"/>
    <w:rsid w:val="00CA6129"/>
    <w:rsid w:val="00CA6DE3"/>
    <w:rsid w:val="00CB02A3"/>
    <w:rsid w:val="00CB70AB"/>
    <w:rsid w:val="00CC1030"/>
    <w:rsid w:val="00CC1B8A"/>
    <w:rsid w:val="00CC266C"/>
    <w:rsid w:val="00CC41CA"/>
    <w:rsid w:val="00CC7D76"/>
    <w:rsid w:val="00CD7F62"/>
    <w:rsid w:val="00CE10B5"/>
    <w:rsid w:val="00CE5379"/>
    <w:rsid w:val="00CE541D"/>
    <w:rsid w:val="00CE6FC8"/>
    <w:rsid w:val="00CE7FAB"/>
    <w:rsid w:val="00CF3F71"/>
    <w:rsid w:val="00CF4F41"/>
    <w:rsid w:val="00CF55A2"/>
    <w:rsid w:val="00CF55BA"/>
    <w:rsid w:val="00CF7BDC"/>
    <w:rsid w:val="00D0399E"/>
    <w:rsid w:val="00D0411A"/>
    <w:rsid w:val="00D05221"/>
    <w:rsid w:val="00D06179"/>
    <w:rsid w:val="00D06C87"/>
    <w:rsid w:val="00D117E2"/>
    <w:rsid w:val="00D118D9"/>
    <w:rsid w:val="00D11F02"/>
    <w:rsid w:val="00D11F5C"/>
    <w:rsid w:val="00D14AE3"/>
    <w:rsid w:val="00D162A0"/>
    <w:rsid w:val="00D2098D"/>
    <w:rsid w:val="00D20A33"/>
    <w:rsid w:val="00D26C60"/>
    <w:rsid w:val="00D27EB2"/>
    <w:rsid w:val="00D30925"/>
    <w:rsid w:val="00D31B9D"/>
    <w:rsid w:val="00D321A7"/>
    <w:rsid w:val="00D32727"/>
    <w:rsid w:val="00D33FBD"/>
    <w:rsid w:val="00D40989"/>
    <w:rsid w:val="00D428C9"/>
    <w:rsid w:val="00D50C72"/>
    <w:rsid w:val="00D51B9D"/>
    <w:rsid w:val="00D52F3B"/>
    <w:rsid w:val="00D5662F"/>
    <w:rsid w:val="00D60502"/>
    <w:rsid w:val="00D6064C"/>
    <w:rsid w:val="00D65EC0"/>
    <w:rsid w:val="00D676BF"/>
    <w:rsid w:val="00D7272C"/>
    <w:rsid w:val="00D73FF5"/>
    <w:rsid w:val="00D74C23"/>
    <w:rsid w:val="00D75E04"/>
    <w:rsid w:val="00D77F9A"/>
    <w:rsid w:val="00D84118"/>
    <w:rsid w:val="00D91317"/>
    <w:rsid w:val="00D91734"/>
    <w:rsid w:val="00D973E5"/>
    <w:rsid w:val="00DA094A"/>
    <w:rsid w:val="00DA2597"/>
    <w:rsid w:val="00DA4182"/>
    <w:rsid w:val="00DA54D5"/>
    <w:rsid w:val="00DA57A1"/>
    <w:rsid w:val="00DA7877"/>
    <w:rsid w:val="00DB26D5"/>
    <w:rsid w:val="00DB4957"/>
    <w:rsid w:val="00DB58C6"/>
    <w:rsid w:val="00DB798D"/>
    <w:rsid w:val="00DC1406"/>
    <w:rsid w:val="00DC2297"/>
    <w:rsid w:val="00DC283E"/>
    <w:rsid w:val="00DC2D5E"/>
    <w:rsid w:val="00DC4957"/>
    <w:rsid w:val="00DC4C2F"/>
    <w:rsid w:val="00DC7C76"/>
    <w:rsid w:val="00DD1490"/>
    <w:rsid w:val="00DD2399"/>
    <w:rsid w:val="00DD2539"/>
    <w:rsid w:val="00DE27A3"/>
    <w:rsid w:val="00DE3C1A"/>
    <w:rsid w:val="00DE4908"/>
    <w:rsid w:val="00DE5424"/>
    <w:rsid w:val="00DE7D15"/>
    <w:rsid w:val="00DF34CC"/>
    <w:rsid w:val="00DF49AE"/>
    <w:rsid w:val="00DF66A3"/>
    <w:rsid w:val="00DF7BBA"/>
    <w:rsid w:val="00E01C2A"/>
    <w:rsid w:val="00E0224A"/>
    <w:rsid w:val="00E03F79"/>
    <w:rsid w:val="00E0530F"/>
    <w:rsid w:val="00E06CE6"/>
    <w:rsid w:val="00E10F0A"/>
    <w:rsid w:val="00E113BD"/>
    <w:rsid w:val="00E120F1"/>
    <w:rsid w:val="00E1366A"/>
    <w:rsid w:val="00E208A4"/>
    <w:rsid w:val="00E21CF0"/>
    <w:rsid w:val="00E27C70"/>
    <w:rsid w:val="00E30401"/>
    <w:rsid w:val="00E30B03"/>
    <w:rsid w:val="00E327E8"/>
    <w:rsid w:val="00E33E97"/>
    <w:rsid w:val="00E3428F"/>
    <w:rsid w:val="00E34984"/>
    <w:rsid w:val="00E42AAF"/>
    <w:rsid w:val="00E433B0"/>
    <w:rsid w:val="00E433F0"/>
    <w:rsid w:val="00E434CF"/>
    <w:rsid w:val="00E43C1F"/>
    <w:rsid w:val="00E45ECC"/>
    <w:rsid w:val="00E50177"/>
    <w:rsid w:val="00E501CA"/>
    <w:rsid w:val="00E518AA"/>
    <w:rsid w:val="00E531FB"/>
    <w:rsid w:val="00E54207"/>
    <w:rsid w:val="00E5517D"/>
    <w:rsid w:val="00E57CD7"/>
    <w:rsid w:val="00E57E94"/>
    <w:rsid w:val="00E61B8B"/>
    <w:rsid w:val="00E6512B"/>
    <w:rsid w:val="00E65133"/>
    <w:rsid w:val="00E66E2A"/>
    <w:rsid w:val="00E67AED"/>
    <w:rsid w:val="00E73122"/>
    <w:rsid w:val="00E73404"/>
    <w:rsid w:val="00E75369"/>
    <w:rsid w:val="00E75421"/>
    <w:rsid w:val="00E82863"/>
    <w:rsid w:val="00E82CFC"/>
    <w:rsid w:val="00E8566F"/>
    <w:rsid w:val="00E860CF"/>
    <w:rsid w:val="00E863F1"/>
    <w:rsid w:val="00E93B57"/>
    <w:rsid w:val="00E94475"/>
    <w:rsid w:val="00EA1160"/>
    <w:rsid w:val="00EA3701"/>
    <w:rsid w:val="00EA3CDA"/>
    <w:rsid w:val="00EA473B"/>
    <w:rsid w:val="00EA5702"/>
    <w:rsid w:val="00EB309B"/>
    <w:rsid w:val="00EB38CA"/>
    <w:rsid w:val="00EB3C8C"/>
    <w:rsid w:val="00EB5CAF"/>
    <w:rsid w:val="00EC0C98"/>
    <w:rsid w:val="00EC15C0"/>
    <w:rsid w:val="00EC48EC"/>
    <w:rsid w:val="00EC4C9F"/>
    <w:rsid w:val="00EC5DC0"/>
    <w:rsid w:val="00EC642E"/>
    <w:rsid w:val="00EC6EAF"/>
    <w:rsid w:val="00EC7161"/>
    <w:rsid w:val="00EC7308"/>
    <w:rsid w:val="00ED0D48"/>
    <w:rsid w:val="00ED5698"/>
    <w:rsid w:val="00ED69AE"/>
    <w:rsid w:val="00EE1B99"/>
    <w:rsid w:val="00EE243F"/>
    <w:rsid w:val="00EE248D"/>
    <w:rsid w:val="00EE40C5"/>
    <w:rsid w:val="00EE4E37"/>
    <w:rsid w:val="00EF2DA0"/>
    <w:rsid w:val="00EF2DCE"/>
    <w:rsid w:val="00EF6F76"/>
    <w:rsid w:val="00EF7946"/>
    <w:rsid w:val="00F0504E"/>
    <w:rsid w:val="00F13116"/>
    <w:rsid w:val="00F13440"/>
    <w:rsid w:val="00F13740"/>
    <w:rsid w:val="00F13B6D"/>
    <w:rsid w:val="00F13C87"/>
    <w:rsid w:val="00F15059"/>
    <w:rsid w:val="00F17069"/>
    <w:rsid w:val="00F17396"/>
    <w:rsid w:val="00F24A23"/>
    <w:rsid w:val="00F24C55"/>
    <w:rsid w:val="00F25778"/>
    <w:rsid w:val="00F26F01"/>
    <w:rsid w:val="00F34DFF"/>
    <w:rsid w:val="00F35F2C"/>
    <w:rsid w:val="00F3734E"/>
    <w:rsid w:val="00F37F3D"/>
    <w:rsid w:val="00F42777"/>
    <w:rsid w:val="00F42F06"/>
    <w:rsid w:val="00F434AB"/>
    <w:rsid w:val="00F438EF"/>
    <w:rsid w:val="00F46811"/>
    <w:rsid w:val="00F57975"/>
    <w:rsid w:val="00F60A20"/>
    <w:rsid w:val="00F60F68"/>
    <w:rsid w:val="00F61D12"/>
    <w:rsid w:val="00F61EA4"/>
    <w:rsid w:val="00F64AA4"/>
    <w:rsid w:val="00F66203"/>
    <w:rsid w:val="00F66775"/>
    <w:rsid w:val="00F7310E"/>
    <w:rsid w:val="00F76373"/>
    <w:rsid w:val="00F7791D"/>
    <w:rsid w:val="00F77BCA"/>
    <w:rsid w:val="00F80CEE"/>
    <w:rsid w:val="00F82F6A"/>
    <w:rsid w:val="00F87A03"/>
    <w:rsid w:val="00F907AF"/>
    <w:rsid w:val="00F909A1"/>
    <w:rsid w:val="00F909F6"/>
    <w:rsid w:val="00FA01D1"/>
    <w:rsid w:val="00FA16CE"/>
    <w:rsid w:val="00FA24C3"/>
    <w:rsid w:val="00FA5E3C"/>
    <w:rsid w:val="00FA74B1"/>
    <w:rsid w:val="00FA7644"/>
    <w:rsid w:val="00FB2EA4"/>
    <w:rsid w:val="00FB3C64"/>
    <w:rsid w:val="00FB55ED"/>
    <w:rsid w:val="00FC13FF"/>
    <w:rsid w:val="00FC2BD1"/>
    <w:rsid w:val="00FC3497"/>
    <w:rsid w:val="00FC3E37"/>
    <w:rsid w:val="00FC7B04"/>
    <w:rsid w:val="00FD1FAA"/>
    <w:rsid w:val="00FD2E04"/>
    <w:rsid w:val="00FD3D72"/>
    <w:rsid w:val="00FD5666"/>
    <w:rsid w:val="00FD5876"/>
    <w:rsid w:val="00FD59CC"/>
    <w:rsid w:val="00FD6864"/>
    <w:rsid w:val="00FD6E4F"/>
    <w:rsid w:val="00FE0DC0"/>
    <w:rsid w:val="00FE3C17"/>
    <w:rsid w:val="00FE580D"/>
    <w:rsid w:val="00FE791E"/>
    <w:rsid w:val="00FF0897"/>
    <w:rsid w:val="00FF18CF"/>
    <w:rsid w:val="00FF58C9"/>
    <w:rsid w:val="00FF60AB"/>
    <w:rsid w:val="00FF6F1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FAF59"/>
  <w15:docId w15:val="{23185E93-5C7C-457B-A8F4-C2FA9822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C87"/>
    <w:pPr>
      <w:spacing w:after="0" w:line="360" w:lineRule="auto"/>
      <w:jc w:val="both"/>
    </w:pPr>
    <w:rPr>
      <w:rFonts w:ascii="Tahoma" w:eastAsia="Times New Roman" w:hAnsi="Tahoma" w:cs="Times New Roman"/>
      <w:sz w:val="26"/>
      <w:szCs w:val="26"/>
      <w:lang w:val="es-ES" w:eastAsia="es-MX"/>
    </w:rPr>
  </w:style>
  <w:style w:type="paragraph" w:styleId="Ttulo1">
    <w:name w:val="heading 1"/>
    <w:basedOn w:val="Normal"/>
    <w:next w:val="Normal"/>
    <w:link w:val="Ttulo1Car"/>
    <w:qFormat/>
    <w:rsid w:val="00F13C87"/>
    <w:pPr>
      <w:keepNext/>
      <w:spacing w:before="240" w:after="60"/>
      <w:outlineLvl w:val="0"/>
    </w:pPr>
    <w:rPr>
      <w:b/>
      <w:bCs/>
      <w:kern w:val="32"/>
      <w:sz w:val="24"/>
      <w:szCs w:val="32"/>
    </w:rPr>
  </w:style>
  <w:style w:type="paragraph" w:styleId="Ttulo2">
    <w:name w:val="heading 2"/>
    <w:basedOn w:val="Normal"/>
    <w:next w:val="Normal"/>
    <w:link w:val="Ttulo2Car"/>
    <w:uiPriority w:val="9"/>
    <w:unhideWhenUsed/>
    <w:qFormat/>
    <w:rsid w:val="00901375"/>
    <w:pPr>
      <w:keepNext/>
      <w:keepLines/>
      <w:spacing w:before="40"/>
      <w:outlineLvl w:val="1"/>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F13C87"/>
    <w:pPr>
      <w:spacing w:before="240" w:after="60"/>
      <w:outlineLvl w:val="5"/>
    </w:pPr>
    <w:rPr>
      <w:rFonts w:ascii="Calibri" w:eastAsia="Batang" w:hAnsi="Calibri"/>
      <w:b/>
      <w:bCs/>
      <w:sz w:val="22"/>
      <w:szCs w:val="22"/>
    </w:rPr>
  </w:style>
  <w:style w:type="paragraph" w:styleId="Ttulo9">
    <w:name w:val="heading 9"/>
    <w:basedOn w:val="Normal"/>
    <w:next w:val="Normal"/>
    <w:link w:val="Ttulo9Car"/>
    <w:qFormat/>
    <w:rsid w:val="00F13C87"/>
    <w:pPr>
      <w:keepNext/>
      <w:overflowPunct w:val="0"/>
      <w:autoSpaceDE w:val="0"/>
      <w:autoSpaceDN w:val="0"/>
      <w:adjustRightInd w:val="0"/>
      <w:jc w:val="center"/>
      <w:outlineLvl w:val="8"/>
    </w:pPr>
    <w:rPr>
      <w:rFonts w:ascii="Bookman Old Style" w:hAnsi="Bookman Old Style"/>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3C87"/>
    <w:rPr>
      <w:rFonts w:ascii="Tahoma" w:eastAsia="Times New Roman" w:hAnsi="Tahoma" w:cs="Times New Roman"/>
      <w:b/>
      <w:bCs/>
      <w:kern w:val="32"/>
      <w:sz w:val="24"/>
      <w:szCs w:val="32"/>
      <w:lang w:val="es-ES" w:eastAsia="es-MX"/>
    </w:rPr>
  </w:style>
  <w:style w:type="character" w:customStyle="1" w:styleId="Ttulo6Car">
    <w:name w:val="Título 6 Car"/>
    <w:basedOn w:val="Fuentedeprrafopredeter"/>
    <w:link w:val="Ttulo6"/>
    <w:rsid w:val="00F13C87"/>
    <w:rPr>
      <w:rFonts w:ascii="Calibri" w:eastAsia="Batang" w:hAnsi="Calibri" w:cs="Times New Roman"/>
      <w:b/>
      <w:bCs/>
      <w:lang w:val="es-ES" w:eastAsia="es-MX"/>
    </w:rPr>
  </w:style>
  <w:style w:type="character" w:customStyle="1" w:styleId="Ttulo9Car">
    <w:name w:val="Título 9 Car"/>
    <w:basedOn w:val="Fuentedeprrafopredeter"/>
    <w:link w:val="Ttulo9"/>
    <w:rsid w:val="00F13C87"/>
    <w:rPr>
      <w:rFonts w:ascii="Bookman Old Style" w:eastAsia="Times New Roman" w:hAnsi="Bookman Old Style" w:cs="Times New Roman"/>
      <w:b/>
      <w:sz w:val="24"/>
      <w:szCs w:val="26"/>
      <w:lang w:val="es-ES" w:eastAsia="es-MX"/>
    </w:rPr>
  </w:style>
  <w:style w:type="paragraph" w:styleId="Piedepgina">
    <w:name w:val="footer"/>
    <w:link w:val="PiedepginaCar"/>
    <w:autoRedefine/>
    <w:rsid w:val="003A0745"/>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3A0745"/>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Footnote Text Char"/>
    <w:basedOn w:val="Normal"/>
    <w:link w:val="TextonotapieCar1"/>
    <w:autoRedefine/>
    <w:qFormat/>
    <w:rsid w:val="0090323F"/>
    <w:pPr>
      <w:overflowPunct w:val="0"/>
      <w:autoSpaceDE w:val="0"/>
      <w:autoSpaceDN w:val="0"/>
      <w:adjustRightInd w:val="0"/>
      <w:spacing w:line="240" w:lineRule="auto"/>
      <w:textAlignment w:val="baseline"/>
    </w:pPr>
    <w:rPr>
      <w:rFonts w:ascii="Bookman Old Style" w:eastAsia="Tahoma" w:hAnsi="Bookman Old Style"/>
      <w:sz w:val="20"/>
      <w:szCs w:val="20"/>
      <w:lang w:eastAsia="es-ES"/>
    </w:rPr>
  </w:style>
  <w:style w:type="character" w:customStyle="1" w:styleId="TextonotapieCar">
    <w:name w:val="Texto nota pie Car"/>
    <w:aliases w:val="Ref. de nota al pie1 Car,Footnote Text Char Car,Footnote Text Char Char Char Char Char Char Char Char Car,Texto de nota al pie Car,Footnotes refss Car,Appel note de bas de page Car,Footnote number Car,BVI fnr Car,f Car,4_G Car,ft Car"/>
    <w:basedOn w:val="Fuentedeprrafopredeter"/>
    <w:qFormat/>
    <w:rsid w:val="00F13C87"/>
    <w:rPr>
      <w:rFonts w:ascii="Tahoma" w:eastAsia="Times New Roman" w:hAnsi="Tahoma" w:cs="Times New Roman"/>
      <w:sz w:val="20"/>
      <w:szCs w:val="20"/>
      <w:lang w:val="es-ES" w:eastAsia="es-MX"/>
    </w:rPr>
  </w:style>
  <w:style w:type="paragraph" w:customStyle="1" w:styleId="Citajurisprudencial">
    <w:name w:val="Cita jurisprudencial"/>
    <w:autoRedefine/>
    <w:rsid w:val="00F13C87"/>
    <w:pPr>
      <w:tabs>
        <w:tab w:val="left" w:pos="8460"/>
      </w:tabs>
      <w:spacing w:after="0" w:line="360" w:lineRule="auto"/>
      <w:ind w:left="709" w:right="709"/>
      <w:jc w:val="both"/>
    </w:pPr>
    <w:rPr>
      <w:rFonts w:ascii="Verdana" w:eastAsia="Times New Roman" w:hAnsi="Verdana" w:cs="Times New Roman"/>
      <w:sz w:val="20"/>
      <w:szCs w:val="28"/>
      <w:lang w:val="es-ES" w:eastAsia="es-ES"/>
    </w:rPr>
  </w:style>
  <w:style w:type="character" w:customStyle="1" w:styleId="Nombreprincipal">
    <w:name w:val="Nombre principal"/>
    <w:uiPriority w:val="99"/>
    <w:rsid w:val="00F13C87"/>
    <w:rPr>
      <w:rFonts w:ascii="Tahoma" w:hAnsi="Tahoma"/>
      <w:b/>
      <w:smallCaps/>
      <w:sz w:val="22"/>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ootnote number,f,4_G,16 Point"/>
    <w:link w:val="4GChar"/>
    <w:qFormat/>
    <w:rsid w:val="00F13C87"/>
    <w:rPr>
      <w:rFonts w:ascii="Verdana" w:hAnsi="Verdana"/>
      <w:sz w:val="20"/>
      <w:vertAlign w:val="superscript"/>
    </w:rPr>
  </w:style>
  <w:style w:type="character" w:customStyle="1" w:styleId="Algerian">
    <w:name w:val="Algerian"/>
    <w:rsid w:val="00F13C87"/>
    <w:rPr>
      <w:rFonts w:ascii="Algerian" w:hAnsi="Algerian"/>
      <w:sz w:val="30"/>
    </w:rPr>
  </w:style>
  <w:style w:type="paragraph" w:styleId="Encabezado">
    <w:name w:val="header"/>
    <w:basedOn w:val="Normal"/>
    <w:link w:val="EncabezadoCar"/>
    <w:rsid w:val="00F13C87"/>
    <w:pPr>
      <w:tabs>
        <w:tab w:val="center" w:pos="4252"/>
        <w:tab w:val="right" w:pos="8504"/>
      </w:tabs>
    </w:pPr>
    <w:rPr>
      <w:rFonts w:eastAsia="Batang"/>
    </w:rPr>
  </w:style>
  <w:style w:type="character" w:customStyle="1" w:styleId="EncabezadoCar">
    <w:name w:val="Encabezado Car"/>
    <w:basedOn w:val="Fuentedeprrafopredeter"/>
    <w:link w:val="Encabezado"/>
    <w:rsid w:val="00F13C87"/>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F13C87"/>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F13C87"/>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F13C87"/>
    <w:pPr>
      <w:spacing w:line="240" w:lineRule="auto"/>
    </w:pPr>
    <w:rPr>
      <w:sz w:val="24"/>
    </w:rPr>
  </w:style>
  <w:style w:type="paragraph" w:styleId="Textoindependiente3">
    <w:name w:val="Body Text 3"/>
    <w:basedOn w:val="Normal"/>
    <w:link w:val="Textoindependiente3Car"/>
    <w:uiPriority w:val="99"/>
    <w:rsid w:val="00F13C87"/>
    <w:pPr>
      <w:spacing w:after="120"/>
    </w:pPr>
    <w:rPr>
      <w:sz w:val="16"/>
      <w:szCs w:val="16"/>
    </w:rPr>
  </w:style>
  <w:style w:type="character" w:customStyle="1" w:styleId="Textoindependiente3Car">
    <w:name w:val="Texto independiente 3 Car"/>
    <w:basedOn w:val="Fuentedeprrafopredeter"/>
    <w:link w:val="Textoindependiente3"/>
    <w:uiPriority w:val="99"/>
    <w:rsid w:val="00F13C87"/>
    <w:rPr>
      <w:rFonts w:ascii="Tahoma" w:eastAsia="Times New Roman" w:hAnsi="Tahoma" w:cs="Times New Roman"/>
      <w:sz w:val="16"/>
      <w:szCs w:val="16"/>
      <w:lang w:val="es-ES" w:eastAsia="es-MX"/>
    </w:rPr>
  </w:style>
  <w:style w:type="character" w:customStyle="1" w:styleId="Numeracinttulo">
    <w:name w:val="Numeración título"/>
    <w:rsid w:val="00F13C87"/>
    <w:rPr>
      <w:rFonts w:ascii="Tahoma" w:hAnsi="Tahoma"/>
      <w:b/>
      <w:sz w:val="24"/>
    </w:rPr>
  </w:style>
  <w:style w:type="paragraph" w:customStyle="1" w:styleId="AlgerianTtulo">
    <w:name w:val="Algerian Título"/>
    <w:next w:val="Normal"/>
    <w:link w:val="AlgerianTtuloCar"/>
    <w:rsid w:val="00F13C87"/>
    <w:pPr>
      <w:tabs>
        <w:tab w:val="left" w:pos="1202"/>
      </w:tabs>
      <w:spacing w:after="0" w:line="360" w:lineRule="auto"/>
      <w:jc w:val="both"/>
    </w:pPr>
    <w:rPr>
      <w:rFonts w:ascii="Algerian" w:eastAsia="Tahoma" w:hAnsi="Algerian" w:cs="Tahoma"/>
      <w:sz w:val="30"/>
      <w:szCs w:val="26"/>
      <w:lang w:val="es-ES" w:eastAsia="es-ES"/>
    </w:rPr>
  </w:style>
  <w:style w:type="character" w:customStyle="1" w:styleId="AlgerianTtuloCar">
    <w:name w:val="Algerian Título Car"/>
    <w:link w:val="AlgerianTtulo"/>
    <w:rsid w:val="00F13C87"/>
    <w:rPr>
      <w:rFonts w:ascii="Algerian" w:eastAsia="Tahoma" w:hAnsi="Algerian" w:cs="Tahoma"/>
      <w:sz w:val="30"/>
      <w:szCs w:val="26"/>
      <w:lang w:val="es-ES" w:eastAsia="es-ES"/>
    </w:rPr>
  </w:style>
  <w:style w:type="paragraph" w:styleId="Textoindependiente">
    <w:name w:val="Body Text"/>
    <w:basedOn w:val="Normal"/>
    <w:link w:val="TextoindependienteCar"/>
    <w:rsid w:val="00F13C87"/>
    <w:pPr>
      <w:spacing w:after="120" w:line="240" w:lineRule="auto"/>
      <w:jc w:val="left"/>
    </w:pPr>
    <w:rPr>
      <w:rFonts w:ascii="Times New Roman" w:hAnsi="Times New Roman"/>
      <w:sz w:val="24"/>
      <w:szCs w:val="24"/>
      <w:lang w:val="es-MX"/>
    </w:rPr>
  </w:style>
  <w:style w:type="character" w:customStyle="1" w:styleId="TextoindependienteCar">
    <w:name w:val="Texto independiente Car"/>
    <w:basedOn w:val="Fuentedeprrafopredeter"/>
    <w:link w:val="Textoindependiente"/>
    <w:rsid w:val="00F13C87"/>
    <w:rPr>
      <w:rFonts w:ascii="Times New Roman" w:eastAsia="Times New Roman" w:hAnsi="Times New Roman" w:cs="Times New Roman"/>
      <w:sz w:val="24"/>
      <w:szCs w:val="24"/>
      <w:lang w:val="es-MX" w:eastAsia="es-MX"/>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locked/>
    <w:rsid w:val="0090323F"/>
    <w:rPr>
      <w:rFonts w:ascii="Bookman Old Style" w:eastAsia="Tahoma" w:hAnsi="Bookman Old Style" w:cs="Times New Roman"/>
      <w:sz w:val="20"/>
      <w:szCs w:val="20"/>
      <w:lang w:val="es-ES" w:eastAsia="es-ES"/>
    </w:rPr>
  </w:style>
  <w:style w:type="paragraph" w:customStyle="1" w:styleId="Profesin">
    <w:name w:val="ProfesiÛn"/>
    <w:basedOn w:val="Normal"/>
    <w:rsid w:val="00F13C87"/>
    <w:pPr>
      <w:tabs>
        <w:tab w:val="left" w:pos="1134"/>
      </w:tabs>
      <w:spacing w:line="360" w:lineRule="atLeast"/>
      <w:jc w:val="center"/>
    </w:pPr>
    <w:rPr>
      <w:rFonts w:ascii="Arial" w:hAnsi="Arial"/>
      <w:b/>
      <w:sz w:val="32"/>
      <w:szCs w:val="20"/>
      <w:lang w:val="es-CO" w:eastAsia="es-ES"/>
    </w:rPr>
  </w:style>
  <w:style w:type="paragraph" w:styleId="NormalWeb">
    <w:name w:val="Normal (Web)"/>
    <w:basedOn w:val="Normal"/>
    <w:uiPriority w:val="99"/>
    <w:unhideWhenUsed/>
    <w:rsid w:val="00F13C87"/>
    <w:pPr>
      <w:spacing w:before="100" w:beforeAutospacing="1" w:after="100" w:afterAutospacing="1" w:line="240" w:lineRule="auto"/>
      <w:jc w:val="left"/>
    </w:pPr>
    <w:rPr>
      <w:rFonts w:ascii="Times New Roman" w:hAnsi="Times New Roman"/>
      <w:sz w:val="24"/>
      <w:szCs w:val="24"/>
      <w:lang w:val="es-CO" w:eastAsia="es-CO"/>
    </w:rPr>
  </w:style>
  <w:style w:type="paragraph" w:styleId="Textodebloque">
    <w:name w:val="Block Text"/>
    <w:basedOn w:val="Normal"/>
    <w:rsid w:val="00F13C87"/>
    <w:pPr>
      <w:widowControl w:val="0"/>
      <w:tabs>
        <w:tab w:val="left" w:pos="-720"/>
      </w:tabs>
      <w:suppressAutoHyphens/>
      <w:spacing w:line="240" w:lineRule="auto"/>
      <w:ind w:left="720" w:right="1185"/>
    </w:pPr>
    <w:rPr>
      <w:rFonts w:ascii="Arial" w:hAnsi="Arial"/>
      <w:spacing w:val="-3"/>
      <w:sz w:val="28"/>
      <w:szCs w:val="20"/>
      <w:lang w:val="es-CO" w:eastAsia="es-ES"/>
    </w:rPr>
  </w:style>
  <w:style w:type="paragraph" w:styleId="Textosinformato">
    <w:name w:val="Plain Text"/>
    <w:basedOn w:val="Normal"/>
    <w:link w:val="TextosinformatoCar"/>
    <w:rsid w:val="00F13C87"/>
    <w:pPr>
      <w:spacing w:line="240" w:lineRule="auto"/>
      <w:jc w:val="left"/>
    </w:pPr>
    <w:rPr>
      <w:rFonts w:ascii="Courier New" w:hAnsi="Courier New" w:cs="Courier New"/>
      <w:sz w:val="20"/>
      <w:szCs w:val="20"/>
      <w:lang w:eastAsia="es-ES"/>
    </w:rPr>
  </w:style>
  <w:style w:type="character" w:customStyle="1" w:styleId="TextosinformatoCar">
    <w:name w:val="Texto sin formato Car"/>
    <w:basedOn w:val="Fuentedeprrafopredeter"/>
    <w:link w:val="Textosinformato"/>
    <w:rsid w:val="00F13C87"/>
    <w:rPr>
      <w:rFonts w:ascii="Courier New" w:eastAsia="Times New Roman" w:hAnsi="Courier New" w:cs="Courier New"/>
      <w:sz w:val="20"/>
      <w:szCs w:val="20"/>
      <w:lang w:val="es-ES" w:eastAsia="es-ES"/>
    </w:rPr>
  </w:style>
  <w:style w:type="character" w:customStyle="1" w:styleId="ya-q-full-text">
    <w:name w:val="ya-q-full-text"/>
    <w:rsid w:val="00F13C87"/>
  </w:style>
  <w:style w:type="paragraph" w:styleId="Textodeglobo">
    <w:name w:val="Balloon Text"/>
    <w:basedOn w:val="Normal"/>
    <w:link w:val="TextodegloboCar"/>
    <w:uiPriority w:val="99"/>
    <w:semiHidden/>
    <w:unhideWhenUsed/>
    <w:rsid w:val="00F13C8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3C87"/>
    <w:rPr>
      <w:rFonts w:ascii="Segoe UI" w:eastAsia="Times New Roman" w:hAnsi="Segoe UI" w:cs="Segoe UI"/>
      <w:sz w:val="18"/>
      <w:szCs w:val="18"/>
      <w:lang w:val="es-ES" w:eastAsia="es-MX"/>
    </w:rPr>
  </w:style>
  <w:style w:type="character" w:customStyle="1" w:styleId="Ttulo2Car">
    <w:name w:val="Título 2 Car"/>
    <w:basedOn w:val="Fuentedeprrafopredeter"/>
    <w:link w:val="Ttulo2"/>
    <w:uiPriority w:val="9"/>
    <w:rsid w:val="00901375"/>
    <w:rPr>
      <w:rFonts w:asciiTheme="majorHAnsi" w:eastAsiaTheme="majorEastAsia" w:hAnsiTheme="majorHAnsi" w:cstheme="majorBidi"/>
      <w:color w:val="2E74B5" w:themeColor="accent1" w:themeShade="BF"/>
      <w:sz w:val="26"/>
      <w:szCs w:val="26"/>
      <w:lang w:val="es-ES" w:eastAsia="es-MX"/>
    </w:rPr>
  </w:style>
  <w:style w:type="character" w:styleId="Refdecomentario">
    <w:name w:val="annotation reference"/>
    <w:basedOn w:val="Fuentedeprrafopredeter"/>
    <w:uiPriority w:val="99"/>
    <w:semiHidden/>
    <w:unhideWhenUsed/>
    <w:rsid w:val="00770552"/>
    <w:rPr>
      <w:sz w:val="16"/>
      <w:szCs w:val="16"/>
    </w:rPr>
  </w:style>
  <w:style w:type="paragraph" w:styleId="Textocomentario">
    <w:name w:val="annotation text"/>
    <w:basedOn w:val="Normal"/>
    <w:link w:val="TextocomentarioCar"/>
    <w:uiPriority w:val="99"/>
    <w:semiHidden/>
    <w:unhideWhenUsed/>
    <w:rsid w:val="007705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0552"/>
    <w:rPr>
      <w:rFonts w:ascii="Tahoma" w:eastAsia="Times New Roman" w:hAnsi="Tahoma" w:cs="Times New Roman"/>
      <w:sz w:val="20"/>
      <w:szCs w:val="20"/>
      <w:lang w:val="es-ES" w:eastAsia="es-MX"/>
    </w:rPr>
  </w:style>
  <w:style w:type="paragraph" w:styleId="Asuntodelcomentario">
    <w:name w:val="annotation subject"/>
    <w:basedOn w:val="Textocomentario"/>
    <w:next w:val="Textocomentario"/>
    <w:link w:val="AsuntodelcomentarioCar"/>
    <w:uiPriority w:val="99"/>
    <w:semiHidden/>
    <w:unhideWhenUsed/>
    <w:rsid w:val="00770552"/>
    <w:rPr>
      <w:b/>
      <w:bCs/>
    </w:rPr>
  </w:style>
  <w:style w:type="character" w:customStyle="1" w:styleId="AsuntodelcomentarioCar">
    <w:name w:val="Asunto del comentario Car"/>
    <w:basedOn w:val="TextocomentarioCar"/>
    <w:link w:val="Asuntodelcomentario"/>
    <w:uiPriority w:val="99"/>
    <w:semiHidden/>
    <w:rsid w:val="00770552"/>
    <w:rPr>
      <w:rFonts w:ascii="Tahoma" w:eastAsia="Times New Roman" w:hAnsi="Tahoma" w:cs="Times New Roman"/>
      <w:b/>
      <w:bCs/>
      <w:sz w:val="20"/>
      <w:szCs w:val="20"/>
      <w:lang w:val="es-ES" w:eastAsia="es-MX"/>
    </w:rPr>
  </w:style>
  <w:style w:type="character" w:customStyle="1" w:styleId="SinespaciadoCar">
    <w:name w:val="Sin espaciado Car"/>
    <w:link w:val="Sinespaciado"/>
    <w:uiPriority w:val="99"/>
    <w:locked/>
    <w:rsid w:val="00825182"/>
    <w:rPr>
      <w:rFonts w:ascii="Verdana" w:hAnsi="Verdana"/>
      <w:sz w:val="28"/>
      <w:lang w:val="es-ES"/>
    </w:rPr>
  </w:style>
  <w:style w:type="paragraph" w:styleId="Sinespaciado">
    <w:name w:val="No Spacing"/>
    <w:link w:val="SinespaciadoCar"/>
    <w:uiPriority w:val="99"/>
    <w:qFormat/>
    <w:rsid w:val="00825182"/>
    <w:pPr>
      <w:spacing w:after="0" w:line="240" w:lineRule="auto"/>
    </w:pPr>
    <w:rPr>
      <w:rFonts w:ascii="Verdana" w:hAnsi="Verdana"/>
      <w:sz w:val="28"/>
      <w:lang w:val="es-ES"/>
    </w:rPr>
  </w:style>
  <w:style w:type="paragraph" w:customStyle="1" w:styleId="Default">
    <w:name w:val="Default"/>
    <w:rsid w:val="00CB02A3"/>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unico">
    <w:name w:val="unico"/>
    <w:basedOn w:val="Normal"/>
    <w:rsid w:val="002602B8"/>
    <w:pPr>
      <w:spacing w:before="100" w:beforeAutospacing="1" w:after="100" w:afterAutospacing="1" w:line="240" w:lineRule="auto"/>
      <w:jc w:val="left"/>
    </w:pPr>
    <w:rPr>
      <w:rFonts w:ascii="Times New Roman" w:hAnsi="Times New Roman"/>
      <w:sz w:val="24"/>
      <w:szCs w:val="24"/>
      <w:lang w:val="es-CO" w:eastAsia="es-CO"/>
    </w:rPr>
  </w:style>
  <w:style w:type="character" w:styleId="Hipervnculo">
    <w:name w:val="Hyperlink"/>
    <w:basedOn w:val="Fuentedeprrafopredeter"/>
    <w:uiPriority w:val="99"/>
    <w:semiHidden/>
    <w:unhideWhenUsed/>
    <w:rsid w:val="002602B8"/>
    <w:rPr>
      <w:color w:val="0000FF"/>
      <w:u w:val="single"/>
    </w:rPr>
  </w:style>
  <w:style w:type="paragraph" w:customStyle="1" w:styleId="cuerpotexto">
    <w:name w:val="cuerpotexto"/>
    <w:basedOn w:val="Normal"/>
    <w:rsid w:val="007A57E7"/>
    <w:pPr>
      <w:spacing w:before="100" w:beforeAutospacing="1" w:after="100" w:afterAutospacing="1" w:line="240" w:lineRule="auto"/>
      <w:jc w:val="left"/>
    </w:pPr>
    <w:rPr>
      <w:rFonts w:ascii="Times New Roman" w:eastAsiaTheme="minorEastAsia" w:hAnsi="Times New Roman"/>
      <w:sz w:val="24"/>
      <w:szCs w:val="24"/>
      <w:lang w:val="es-CO" w:eastAsia="es-CO"/>
    </w:rPr>
  </w:style>
  <w:style w:type="paragraph" w:styleId="Ttulo">
    <w:name w:val="Title"/>
    <w:basedOn w:val="Normal"/>
    <w:link w:val="TtuloCar"/>
    <w:qFormat/>
    <w:rsid w:val="00DE3C1A"/>
    <w:pPr>
      <w:spacing w:line="240" w:lineRule="auto"/>
      <w:jc w:val="center"/>
    </w:pPr>
    <w:rPr>
      <w:rFonts w:ascii="Arial" w:hAnsi="Arial"/>
      <w:sz w:val="28"/>
      <w:szCs w:val="20"/>
      <w:lang w:val="es-CO" w:eastAsia="es-ES"/>
    </w:rPr>
  </w:style>
  <w:style w:type="character" w:customStyle="1" w:styleId="TtuloCar">
    <w:name w:val="Título Car"/>
    <w:basedOn w:val="Fuentedeprrafopredeter"/>
    <w:link w:val="Ttulo"/>
    <w:rsid w:val="00DE3C1A"/>
    <w:rPr>
      <w:rFonts w:ascii="Arial" w:eastAsia="Times New Roman" w:hAnsi="Arial" w:cs="Times New Roman"/>
      <w:sz w:val="28"/>
      <w:szCs w:val="20"/>
      <w:lang w:eastAsia="es-ES"/>
    </w:rPr>
  </w:style>
  <w:style w:type="paragraph" w:styleId="Sangradetextonormal">
    <w:name w:val="Body Text Indent"/>
    <w:basedOn w:val="Normal"/>
    <w:link w:val="SangradetextonormalCar"/>
    <w:uiPriority w:val="99"/>
    <w:unhideWhenUsed/>
    <w:rsid w:val="00DE3C1A"/>
    <w:pPr>
      <w:spacing w:after="120"/>
      <w:ind w:left="283"/>
    </w:pPr>
  </w:style>
  <w:style w:type="character" w:customStyle="1" w:styleId="SangradetextonormalCar">
    <w:name w:val="Sangría de texto normal Car"/>
    <w:basedOn w:val="Fuentedeprrafopredeter"/>
    <w:link w:val="Sangradetextonormal"/>
    <w:uiPriority w:val="99"/>
    <w:rsid w:val="00DE3C1A"/>
    <w:rPr>
      <w:rFonts w:ascii="Tahoma" w:eastAsia="Times New Roman" w:hAnsi="Tahoma" w:cs="Times New Roman"/>
      <w:sz w:val="26"/>
      <w:szCs w:val="26"/>
      <w:lang w:val="es-ES" w:eastAsia="es-MX"/>
    </w:rPr>
  </w:style>
  <w:style w:type="paragraph" w:styleId="Prrafodelista">
    <w:name w:val="List Paragraph"/>
    <w:aliases w:val="Delitos,Lista vistosa - Énfasis 11"/>
    <w:basedOn w:val="Normal"/>
    <w:link w:val="PrrafodelistaCar"/>
    <w:uiPriority w:val="34"/>
    <w:qFormat/>
    <w:rsid w:val="007552D6"/>
    <w:pPr>
      <w:spacing w:after="160" w:line="259" w:lineRule="auto"/>
      <w:ind w:left="720"/>
      <w:contextualSpacing/>
    </w:pPr>
    <w:rPr>
      <w:rFonts w:ascii="Times New Roman" w:hAnsi="Times New Roman"/>
      <w:sz w:val="28"/>
      <w:szCs w:val="22"/>
      <w:lang w:eastAsia="en-US"/>
    </w:rPr>
  </w:style>
  <w:style w:type="paragraph" w:styleId="Cita">
    <w:name w:val="Quote"/>
    <w:basedOn w:val="Normal"/>
    <w:next w:val="Normal"/>
    <w:link w:val="CitaCar"/>
    <w:uiPriority w:val="29"/>
    <w:qFormat/>
    <w:rsid w:val="007552D6"/>
    <w:pPr>
      <w:spacing w:line="240" w:lineRule="auto"/>
      <w:ind w:left="567" w:right="476"/>
    </w:pPr>
    <w:rPr>
      <w:rFonts w:ascii="Times New Roman" w:hAnsi="Times New Roman"/>
      <w:lang w:eastAsia="en-US"/>
    </w:rPr>
  </w:style>
  <w:style w:type="character" w:customStyle="1" w:styleId="CitaCar">
    <w:name w:val="Cita Car"/>
    <w:basedOn w:val="Fuentedeprrafopredeter"/>
    <w:link w:val="Cita"/>
    <w:uiPriority w:val="29"/>
    <w:rsid w:val="007552D6"/>
    <w:rPr>
      <w:rFonts w:ascii="Times New Roman" w:eastAsia="Times New Roman" w:hAnsi="Times New Roman" w:cs="Times New Roman"/>
      <w:sz w:val="26"/>
      <w:szCs w:val="26"/>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C4878"/>
    <w:pPr>
      <w:spacing w:line="240" w:lineRule="auto"/>
    </w:pPr>
    <w:rPr>
      <w:rFonts w:ascii="Verdana" w:eastAsiaTheme="minorHAnsi" w:hAnsi="Verdana" w:cstheme="minorBidi"/>
      <w:sz w:val="20"/>
      <w:szCs w:val="22"/>
      <w:vertAlign w:val="superscript"/>
      <w:lang w:val="es-CO" w:eastAsia="en-US"/>
    </w:rPr>
  </w:style>
  <w:style w:type="character" w:customStyle="1" w:styleId="PrrafodelistaCar">
    <w:name w:val="Párrafo de lista Car"/>
    <w:aliases w:val="Delitos Car,Lista vistosa - Énfasis 11 Car"/>
    <w:link w:val="Prrafodelista"/>
    <w:uiPriority w:val="34"/>
    <w:locked/>
    <w:rsid w:val="00BC4878"/>
    <w:rPr>
      <w:rFonts w:ascii="Times New Roman" w:eastAsia="Times New Roman" w:hAnsi="Times New Roman" w:cs="Times New Roman"/>
      <w:sz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12342">
      <w:bodyDiv w:val="1"/>
      <w:marLeft w:val="0"/>
      <w:marRight w:val="0"/>
      <w:marTop w:val="0"/>
      <w:marBottom w:val="0"/>
      <w:divBdr>
        <w:top w:val="none" w:sz="0" w:space="0" w:color="auto"/>
        <w:left w:val="none" w:sz="0" w:space="0" w:color="auto"/>
        <w:bottom w:val="none" w:sz="0" w:space="0" w:color="auto"/>
        <w:right w:val="none" w:sz="0" w:space="0" w:color="auto"/>
      </w:divBdr>
    </w:div>
    <w:div w:id="1120103497">
      <w:bodyDiv w:val="1"/>
      <w:marLeft w:val="0"/>
      <w:marRight w:val="0"/>
      <w:marTop w:val="0"/>
      <w:marBottom w:val="0"/>
      <w:divBdr>
        <w:top w:val="none" w:sz="0" w:space="0" w:color="auto"/>
        <w:left w:val="none" w:sz="0" w:space="0" w:color="auto"/>
        <w:bottom w:val="none" w:sz="0" w:space="0" w:color="auto"/>
        <w:right w:val="none" w:sz="0" w:space="0" w:color="auto"/>
      </w:divBdr>
    </w:div>
    <w:div w:id="13366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A9CD9-DAE9-4634-9CBE-5E82BF6A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20</Pages>
  <Words>7809</Words>
  <Characters>42953</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Penal  Descongestion</dc:creator>
  <cp:lastModifiedBy>MI PC</cp:lastModifiedBy>
  <cp:revision>129</cp:revision>
  <cp:lastPrinted>2019-05-28T18:30:00Z</cp:lastPrinted>
  <dcterms:created xsi:type="dcterms:W3CDTF">2025-03-21T20:34:00Z</dcterms:created>
  <dcterms:modified xsi:type="dcterms:W3CDTF">2025-06-13T20:20:00Z</dcterms:modified>
</cp:coreProperties>
</file>