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6DD9" w14:textId="77777777" w:rsidR="00513D52" w:rsidRPr="005A0C3A" w:rsidRDefault="00513D52" w:rsidP="00513D52">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lang w:eastAsia="fr-FR"/>
        </w:rPr>
      </w:pPr>
      <w:r w:rsidRPr="005A0C3A">
        <w:rPr>
          <w:color w:val="FF0000"/>
          <w:spacing w:val="-2"/>
          <w:sz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3C80E1CB" w14:textId="77777777" w:rsidR="00513D52" w:rsidRDefault="00513D52" w:rsidP="00513D52">
      <w:pPr>
        <w:spacing w:line="276" w:lineRule="auto"/>
        <w:ind w:right="4559"/>
        <w:rPr>
          <w:b/>
          <w:sz w:val="12"/>
          <w:szCs w:val="12"/>
        </w:rPr>
      </w:pPr>
    </w:p>
    <w:p w14:paraId="3762F8EC" w14:textId="14A0D347" w:rsidR="00513D52" w:rsidRDefault="00513D52" w:rsidP="00513D52">
      <w:pPr>
        <w:spacing w:line="240" w:lineRule="auto"/>
        <w:rPr>
          <w:b/>
          <w:color w:val="000000"/>
          <w:sz w:val="20"/>
          <w:lang w:eastAsia="es-CO"/>
        </w:rPr>
      </w:pPr>
      <w:r>
        <w:rPr>
          <w:b/>
          <w:color w:val="000000"/>
          <w:sz w:val="20"/>
          <w:lang w:eastAsia="es-CO"/>
        </w:rPr>
        <w:t xml:space="preserve">ACCION DE </w:t>
      </w:r>
      <w:r w:rsidR="00CF36D1">
        <w:rPr>
          <w:b/>
          <w:color w:val="000000"/>
          <w:sz w:val="20"/>
          <w:lang w:eastAsia="es-CO"/>
        </w:rPr>
        <w:t>TUTELA / L</w:t>
      </w:r>
      <w:r w:rsidR="00CF36D1" w:rsidRPr="00CF36D1">
        <w:rPr>
          <w:b/>
          <w:color w:val="000000"/>
          <w:sz w:val="20"/>
          <w:lang w:eastAsia="es-CO"/>
        </w:rPr>
        <w:t>E</w:t>
      </w:r>
      <w:r w:rsidR="00CF36D1">
        <w:rPr>
          <w:b/>
          <w:color w:val="000000"/>
          <w:sz w:val="20"/>
          <w:lang w:eastAsia="es-CO"/>
        </w:rPr>
        <w:t xml:space="preserve">GITIMACION </w:t>
      </w:r>
      <w:r w:rsidR="00CF36D1" w:rsidRPr="00CF36D1">
        <w:rPr>
          <w:b/>
          <w:color w:val="000000"/>
          <w:sz w:val="20"/>
          <w:lang w:eastAsia="es-CO"/>
        </w:rPr>
        <w:t>E</w:t>
      </w:r>
      <w:r w:rsidR="00CF36D1">
        <w:rPr>
          <w:b/>
          <w:color w:val="000000"/>
          <w:sz w:val="20"/>
          <w:lang w:eastAsia="es-CO"/>
        </w:rPr>
        <w:t xml:space="preserve">N LA CAUSA / </w:t>
      </w:r>
      <w:r w:rsidR="00CF36D1" w:rsidRPr="00CF36D1">
        <w:rPr>
          <w:b/>
          <w:color w:val="000000"/>
          <w:sz w:val="20"/>
          <w:lang w:eastAsia="es-CO"/>
        </w:rPr>
        <w:t>RE</w:t>
      </w:r>
      <w:r w:rsidR="00CF36D1">
        <w:rPr>
          <w:b/>
          <w:color w:val="000000"/>
          <w:sz w:val="20"/>
          <w:lang w:eastAsia="es-CO"/>
        </w:rPr>
        <w:t>P</w:t>
      </w:r>
      <w:r w:rsidR="00CF36D1" w:rsidRPr="00CF36D1">
        <w:rPr>
          <w:b/>
          <w:color w:val="000000"/>
          <w:sz w:val="20"/>
          <w:lang w:eastAsia="es-CO"/>
        </w:rPr>
        <w:t>RE</w:t>
      </w:r>
      <w:r w:rsidR="00CF36D1">
        <w:rPr>
          <w:b/>
          <w:color w:val="000000"/>
          <w:sz w:val="20"/>
          <w:lang w:eastAsia="es-CO"/>
        </w:rPr>
        <w:t>S</w:t>
      </w:r>
      <w:r w:rsidR="00CF36D1" w:rsidRPr="00CF36D1">
        <w:rPr>
          <w:b/>
          <w:color w:val="000000"/>
          <w:sz w:val="20"/>
          <w:lang w:eastAsia="es-CO"/>
        </w:rPr>
        <w:t>E</w:t>
      </w:r>
      <w:r w:rsidR="00CF36D1">
        <w:rPr>
          <w:b/>
          <w:color w:val="000000"/>
          <w:sz w:val="20"/>
          <w:lang w:eastAsia="es-CO"/>
        </w:rPr>
        <w:t xml:space="preserve">NTACION JUDICIAL / </w:t>
      </w:r>
      <w:r w:rsidR="00CF36D1" w:rsidRPr="00CF36D1">
        <w:rPr>
          <w:b/>
          <w:color w:val="000000"/>
          <w:sz w:val="20"/>
          <w:lang w:eastAsia="es-CO"/>
        </w:rPr>
        <w:t>RECHAZO</w:t>
      </w:r>
    </w:p>
    <w:p w14:paraId="6AF436D8" w14:textId="77777777" w:rsidR="00513D52" w:rsidRPr="00B96CA6" w:rsidRDefault="00513D52" w:rsidP="00513D52">
      <w:pPr>
        <w:spacing w:line="240" w:lineRule="auto"/>
        <w:rPr>
          <w:b/>
          <w:color w:val="000000"/>
          <w:sz w:val="20"/>
          <w:lang w:eastAsia="es-CO"/>
        </w:rPr>
      </w:pPr>
    </w:p>
    <w:p w14:paraId="35E8F6C1" w14:textId="1AA29389" w:rsidR="00513D52" w:rsidRDefault="00513D52" w:rsidP="00513D52">
      <w:pPr>
        <w:pStyle w:val="Textoindependiente2"/>
        <w:spacing w:line="276" w:lineRule="auto"/>
        <w:rPr>
          <w:b/>
          <w:sz w:val="12"/>
          <w:szCs w:val="12"/>
        </w:rPr>
      </w:pPr>
      <w:r w:rsidRPr="0099660B">
        <w:rPr>
          <w:rFonts w:cs="Tahoma"/>
          <w:i/>
          <w:iCs/>
          <w:sz w:val="20"/>
        </w:rPr>
        <w:t>…</w:t>
      </w:r>
      <w:r w:rsidR="00CF36D1" w:rsidRPr="00CF36D1">
        <w:rPr>
          <w:rFonts w:eastAsia="Tahoma"/>
          <w:i/>
          <w:iCs/>
          <w:spacing w:val="-6"/>
          <w:position w:val="-6"/>
          <w:sz w:val="20"/>
        </w:rPr>
        <w:t>aún con la informalidad y subsidiariedad que orienta la acción de tutela, quien acude a la misma tiene la carga de acreditar los presupuestos mínimos que se fijan para promover dicho mecanismo, entre ellos la legitimación en la causa y, conforme lo establece el artículo 10 del Decreto 2591/91, en concordancia con el canon 74 del C.G.P., la representación judicial debe estar acreditada con el respectivo poder del titular del derecho, y el mandato debe ser claro en el objeto judicial pretendido, tal y como lo ha sostenido la jurisprudencia constitucional</w:t>
      </w:r>
    </w:p>
    <w:p w14:paraId="46273AA8" w14:textId="0DBD007C" w:rsidR="0046047C" w:rsidRDefault="0046047C" w:rsidP="0046047C">
      <w:pPr>
        <w:spacing w:line="276" w:lineRule="auto"/>
        <w:rPr>
          <w:b/>
          <w:spacing w:val="-6"/>
          <w:sz w:val="16"/>
          <w:szCs w:val="16"/>
        </w:rPr>
      </w:pPr>
    </w:p>
    <w:p w14:paraId="26C84D52" w14:textId="6D4B0612" w:rsidR="00513D52" w:rsidRDefault="00513D52" w:rsidP="0046047C">
      <w:pPr>
        <w:spacing w:line="276" w:lineRule="auto"/>
        <w:rPr>
          <w:b/>
          <w:spacing w:val="-6"/>
          <w:sz w:val="16"/>
          <w:szCs w:val="16"/>
        </w:rPr>
      </w:pPr>
    </w:p>
    <w:p w14:paraId="7234E516" w14:textId="72456344" w:rsidR="00513D52" w:rsidRDefault="00513D52" w:rsidP="0046047C">
      <w:pPr>
        <w:spacing w:line="276" w:lineRule="auto"/>
        <w:rPr>
          <w:b/>
          <w:spacing w:val="-6"/>
          <w:sz w:val="16"/>
          <w:szCs w:val="16"/>
        </w:rPr>
      </w:pPr>
    </w:p>
    <w:p w14:paraId="6AFE25A8" w14:textId="32F784E9" w:rsidR="00513D52" w:rsidRDefault="00513D52" w:rsidP="0046047C">
      <w:pPr>
        <w:spacing w:line="276" w:lineRule="auto"/>
        <w:rPr>
          <w:b/>
          <w:spacing w:val="-6"/>
          <w:sz w:val="16"/>
          <w:szCs w:val="16"/>
        </w:rPr>
      </w:pPr>
    </w:p>
    <w:p w14:paraId="5CB2A141" w14:textId="4BE126CF" w:rsidR="00513D52" w:rsidRDefault="00513D52" w:rsidP="0046047C">
      <w:pPr>
        <w:spacing w:line="276" w:lineRule="auto"/>
        <w:rPr>
          <w:b/>
          <w:spacing w:val="-6"/>
          <w:sz w:val="16"/>
          <w:szCs w:val="16"/>
        </w:rPr>
      </w:pPr>
    </w:p>
    <w:p w14:paraId="179AB821" w14:textId="77777777" w:rsidR="00513D52" w:rsidRDefault="00513D52" w:rsidP="0046047C">
      <w:pPr>
        <w:spacing w:line="276" w:lineRule="auto"/>
        <w:rPr>
          <w:b/>
          <w:spacing w:val="-6"/>
          <w:sz w:val="16"/>
          <w:szCs w:val="16"/>
        </w:rPr>
      </w:pPr>
    </w:p>
    <w:p w14:paraId="6A022741" w14:textId="77777777" w:rsidR="0046047C" w:rsidRPr="00D00683" w:rsidRDefault="0046047C" w:rsidP="0046047C">
      <w:pPr>
        <w:spacing w:line="276" w:lineRule="auto"/>
        <w:rPr>
          <w:b/>
          <w:spacing w:val="-2"/>
          <w:sz w:val="12"/>
          <w:szCs w:val="12"/>
        </w:rPr>
      </w:pPr>
      <w:r w:rsidRPr="00D00683">
        <w:rPr>
          <w:rFonts w:ascii="Algerian" w:hAnsi="Algerian"/>
          <w:iCs/>
          <w:noProof/>
          <w:spacing w:val="-2"/>
          <w:sz w:val="28"/>
          <w:szCs w:val="28"/>
          <w:lang w:val="es-CO" w:eastAsia="es-CO"/>
        </w:rPr>
        <w:drawing>
          <wp:anchor distT="0" distB="0" distL="114300" distR="114300" simplePos="0" relativeHeight="251659264" behindDoc="1" locked="0" layoutInCell="1" allowOverlap="1" wp14:anchorId="2D0D3023" wp14:editId="6DFC7EE3">
            <wp:simplePos x="0" y="0"/>
            <wp:positionH relativeFrom="column">
              <wp:posOffset>919480</wp:posOffset>
            </wp:positionH>
            <wp:positionV relativeFrom="paragraph">
              <wp:posOffset>202565</wp:posOffset>
            </wp:positionV>
            <wp:extent cx="777875" cy="532130"/>
            <wp:effectExtent l="0" t="0" r="3175" b="1270"/>
            <wp:wrapTopAndBottom/>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E4A">
        <w:rPr>
          <w:b/>
          <w:spacing w:val="-6"/>
          <w:sz w:val="16"/>
          <w:szCs w:val="16"/>
        </w:rPr>
        <w:t xml:space="preserve">                      </w:t>
      </w:r>
      <w:r>
        <w:rPr>
          <w:b/>
          <w:spacing w:val="-6"/>
          <w:sz w:val="16"/>
          <w:szCs w:val="16"/>
        </w:rPr>
        <w:t xml:space="preserve">        </w:t>
      </w:r>
      <w:r w:rsidRPr="00D00683">
        <w:rPr>
          <w:b/>
          <w:spacing w:val="-2"/>
          <w:sz w:val="12"/>
          <w:szCs w:val="12"/>
        </w:rPr>
        <w:t>REPÚBLICA DE COLOMBIA</w:t>
      </w:r>
    </w:p>
    <w:p w14:paraId="6FA8DBDA" w14:textId="77777777" w:rsidR="0046047C" w:rsidRPr="00D00683" w:rsidRDefault="0046047C" w:rsidP="0046047C">
      <w:pPr>
        <w:spacing w:line="276" w:lineRule="auto"/>
        <w:rPr>
          <w:b/>
          <w:spacing w:val="-2"/>
          <w:sz w:val="12"/>
          <w:szCs w:val="12"/>
        </w:rPr>
      </w:pPr>
      <w:r w:rsidRPr="00D00683">
        <w:rPr>
          <w:b/>
          <w:spacing w:val="-2"/>
          <w:sz w:val="12"/>
          <w:szCs w:val="12"/>
        </w:rPr>
        <w:t xml:space="preserve">                            </w:t>
      </w:r>
      <w:r>
        <w:rPr>
          <w:b/>
          <w:spacing w:val="-2"/>
          <w:sz w:val="12"/>
          <w:szCs w:val="12"/>
        </w:rPr>
        <w:t xml:space="preserve"> </w:t>
      </w:r>
      <w:r w:rsidRPr="00D00683">
        <w:rPr>
          <w:b/>
          <w:spacing w:val="-2"/>
          <w:sz w:val="12"/>
          <w:szCs w:val="12"/>
        </w:rPr>
        <w:t xml:space="preserve">       </w:t>
      </w:r>
      <w:r>
        <w:rPr>
          <w:b/>
          <w:spacing w:val="-2"/>
          <w:sz w:val="12"/>
          <w:szCs w:val="12"/>
        </w:rPr>
        <w:t xml:space="preserve">           </w:t>
      </w:r>
      <w:r w:rsidRPr="00D00683">
        <w:rPr>
          <w:b/>
          <w:spacing w:val="-2"/>
          <w:sz w:val="12"/>
          <w:szCs w:val="12"/>
        </w:rPr>
        <w:t xml:space="preserve">RAMA JUDICIAL </w:t>
      </w:r>
    </w:p>
    <w:p w14:paraId="3C0721F9" w14:textId="77777777" w:rsidR="0046047C" w:rsidRPr="00D00683" w:rsidRDefault="0046047C" w:rsidP="0046047C">
      <w:pPr>
        <w:spacing w:line="276" w:lineRule="auto"/>
        <w:rPr>
          <w:rFonts w:ascii="Algerian" w:hAnsi="Algerian"/>
          <w:spacing w:val="-2"/>
          <w:sz w:val="28"/>
          <w:szCs w:val="28"/>
        </w:rPr>
      </w:pPr>
      <w:r w:rsidRPr="00D00683">
        <w:rPr>
          <w:rFonts w:ascii="Algerian" w:hAnsi="Algerian"/>
          <w:smallCaps/>
          <w:color w:val="000000"/>
          <w:spacing w:val="-2"/>
          <w:sz w:val="28"/>
          <w:szCs w:val="28"/>
        </w:rPr>
        <w:t>TRIBUNAL SUPERIOR DE PEREIRA</w:t>
      </w:r>
    </w:p>
    <w:p w14:paraId="78AF16F5" w14:textId="77777777" w:rsidR="0046047C" w:rsidRPr="00D00683" w:rsidRDefault="0046047C" w:rsidP="0046047C">
      <w:pPr>
        <w:pStyle w:val="Textoindependiente3"/>
        <w:tabs>
          <w:tab w:val="left" w:pos="1202"/>
        </w:tabs>
        <w:spacing w:line="276" w:lineRule="auto"/>
        <w:rPr>
          <w:rFonts w:ascii="Algerian" w:hAnsi="Algerian"/>
          <w:spacing w:val="-2"/>
          <w:sz w:val="28"/>
          <w:szCs w:val="28"/>
        </w:rPr>
      </w:pPr>
      <w:r w:rsidRPr="00D00683">
        <w:rPr>
          <w:rFonts w:ascii="Algerian" w:hAnsi="Algerian"/>
          <w:spacing w:val="-2"/>
          <w:sz w:val="28"/>
          <w:szCs w:val="28"/>
        </w:rPr>
        <w:t xml:space="preserve">    SALA </w:t>
      </w:r>
      <w:proofErr w:type="spellStart"/>
      <w:r>
        <w:rPr>
          <w:rFonts w:ascii="Algerian" w:hAnsi="Algerian"/>
          <w:spacing w:val="-2"/>
          <w:sz w:val="28"/>
          <w:szCs w:val="28"/>
        </w:rPr>
        <w:t>N°</w:t>
      </w:r>
      <w:proofErr w:type="spellEnd"/>
      <w:r>
        <w:rPr>
          <w:rFonts w:ascii="Algerian" w:hAnsi="Algerian"/>
          <w:spacing w:val="-2"/>
          <w:sz w:val="28"/>
          <w:szCs w:val="28"/>
        </w:rPr>
        <w:t xml:space="preserve"> 2 </w:t>
      </w:r>
      <w:r w:rsidRPr="00D00683">
        <w:rPr>
          <w:rFonts w:ascii="Algerian" w:hAnsi="Algerian"/>
          <w:spacing w:val="-2"/>
          <w:sz w:val="28"/>
          <w:szCs w:val="28"/>
        </w:rPr>
        <w:t>de decisión PENAL</w:t>
      </w:r>
    </w:p>
    <w:p w14:paraId="7010BC79" w14:textId="77777777" w:rsidR="0046047C" w:rsidRPr="00D00683" w:rsidRDefault="0046047C" w:rsidP="0046047C">
      <w:pPr>
        <w:spacing w:line="276" w:lineRule="auto"/>
        <w:rPr>
          <w:spacing w:val="-2"/>
        </w:rPr>
      </w:pPr>
      <w:r w:rsidRPr="00D00683">
        <w:rPr>
          <w:spacing w:val="-2"/>
        </w:rPr>
        <w:t xml:space="preserve">             Magistrado Ponente </w:t>
      </w:r>
    </w:p>
    <w:p w14:paraId="4D1B5761" w14:textId="77777777" w:rsidR="0046047C" w:rsidRPr="00D00683" w:rsidRDefault="0046047C" w:rsidP="0046047C">
      <w:pPr>
        <w:spacing w:line="276" w:lineRule="auto"/>
        <w:rPr>
          <w:spacing w:val="-2"/>
          <w:sz w:val="24"/>
          <w:szCs w:val="24"/>
        </w:rPr>
      </w:pPr>
      <w:r w:rsidRPr="00D00683">
        <w:rPr>
          <w:spacing w:val="-2"/>
        </w:rPr>
        <w:t xml:space="preserve">    </w:t>
      </w:r>
      <w:r w:rsidRPr="00D00683">
        <w:rPr>
          <w:spacing w:val="-2"/>
          <w:sz w:val="24"/>
          <w:szCs w:val="24"/>
        </w:rPr>
        <w:t xml:space="preserve"> </w:t>
      </w:r>
      <w:r>
        <w:rPr>
          <w:spacing w:val="-2"/>
          <w:sz w:val="24"/>
          <w:szCs w:val="24"/>
        </w:rPr>
        <w:t xml:space="preserve">  CARLOS ALBERTO PAZ ZÚÑIGA</w:t>
      </w:r>
    </w:p>
    <w:p w14:paraId="2CF413F5" w14:textId="77777777" w:rsidR="0046047C" w:rsidRPr="003A2F4B" w:rsidRDefault="0046047C" w:rsidP="0046047C">
      <w:pPr>
        <w:spacing w:line="276" w:lineRule="auto"/>
        <w:rPr>
          <w:spacing w:val="2"/>
          <w:sz w:val="24"/>
          <w:szCs w:val="24"/>
        </w:rPr>
      </w:pPr>
    </w:p>
    <w:p w14:paraId="2AAE712D" w14:textId="77777777" w:rsidR="0046047C" w:rsidRPr="003A2F4B" w:rsidRDefault="0046047C" w:rsidP="0046047C">
      <w:pPr>
        <w:spacing w:line="276" w:lineRule="auto"/>
        <w:rPr>
          <w:spacing w:val="2"/>
        </w:rPr>
      </w:pPr>
      <w:r w:rsidRPr="003A2F4B">
        <w:rPr>
          <w:spacing w:val="2"/>
        </w:rPr>
        <w:t>Pereira,</w:t>
      </w:r>
      <w:r>
        <w:rPr>
          <w:spacing w:val="2"/>
        </w:rPr>
        <w:t xml:space="preserve"> siete </w:t>
      </w:r>
      <w:r w:rsidRPr="003A2F4B">
        <w:rPr>
          <w:spacing w:val="2"/>
        </w:rPr>
        <w:t>(</w:t>
      </w:r>
      <w:r>
        <w:rPr>
          <w:spacing w:val="2"/>
        </w:rPr>
        <w:t>7</w:t>
      </w:r>
      <w:r w:rsidRPr="003A2F4B">
        <w:rPr>
          <w:spacing w:val="2"/>
        </w:rPr>
        <w:t xml:space="preserve">) de </w:t>
      </w:r>
      <w:r>
        <w:rPr>
          <w:spacing w:val="2"/>
        </w:rPr>
        <w:t xml:space="preserve">abril </w:t>
      </w:r>
      <w:r w:rsidRPr="003A2F4B">
        <w:rPr>
          <w:spacing w:val="2"/>
        </w:rPr>
        <w:t xml:space="preserve">de dos mil </w:t>
      </w:r>
      <w:r>
        <w:rPr>
          <w:spacing w:val="2"/>
        </w:rPr>
        <w:t xml:space="preserve">veinticinco </w:t>
      </w:r>
      <w:r w:rsidRPr="003A2F4B">
        <w:rPr>
          <w:spacing w:val="2"/>
        </w:rPr>
        <w:t>(202</w:t>
      </w:r>
      <w:r>
        <w:rPr>
          <w:spacing w:val="2"/>
        </w:rPr>
        <w:t>5</w:t>
      </w:r>
      <w:r w:rsidRPr="003A2F4B">
        <w:rPr>
          <w:spacing w:val="2"/>
        </w:rPr>
        <w:t>)</w:t>
      </w:r>
    </w:p>
    <w:p w14:paraId="013896A8" w14:textId="77777777" w:rsidR="0046047C" w:rsidRDefault="0046047C" w:rsidP="0046047C">
      <w:pPr>
        <w:spacing w:line="276" w:lineRule="auto"/>
        <w:rPr>
          <w:spacing w:val="2"/>
          <w:sz w:val="24"/>
          <w:szCs w:val="24"/>
        </w:rPr>
      </w:pPr>
    </w:p>
    <w:p w14:paraId="72F84D32" w14:textId="77777777" w:rsidR="0046047C" w:rsidRDefault="0046047C" w:rsidP="0046047C">
      <w:pPr>
        <w:spacing w:line="276" w:lineRule="auto"/>
        <w:rPr>
          <w:spacing w:val="2"/>
          <w:sz w:val="24"/>
          <w:szCs w:val="24"/>
        </w:rPr>
      </w:pPr>
    </w:p>
    <w:p w14:paraId="3AB670C6" w14:textId="77777777" w:rsidR="0046047C" w:rsidRPr="003A2F4B" w:rsidRDefault="0046047C" w:rsidP="0046047C">
      <w:pPr>
        <w:spacing w:line="276" w:lineRule="auto"/>
        <w:jc w:val="center"/>
        <w:rPr>
          <w:spacing w:val="2"/>
        </w:rPr>
      </w:pPr>
      <w:r w:rsidRPr="003A2F4B">
        <w:rPr>
          <w:spacing w:val="2"/>
        </w:rPr>
        <w:t xml:space="preserve">                                                               Acta de Aprobación </w:t>
      </w:r>
      <w:proofErr w:type="spellStart"/>
      <w:r w:rsidRPr="003A2F4B">
        <w:rPr>
          <w:spacing w:val="2"/>
        </w:rPr>
        <w:t>N°</w:t>
      </w:r>
      <w:proofErr w:type="spellEnd"/>
      <w:r w:rsidRPr="003A2F4B">
        <w:rPr>
          <w:spacing w:val="2"/>
        </w:rPr>
        <w:t xml:space="preserve"> </w:t>
      </w:r>
      <w:r>
        <w:rPr>
          <w:spacing w:val="2"/>
        </w:rPr>
        <w:t>378</w:t>
      </w:r>
    </w:p>
    <w:p w14:paraId="041139D2" w14:textId="77777777" w:rsidR="0046047C" w:rsidRPr="003A2F4B" w:rsidRDefault="0046047C" w:rsidP="0046047C">
      <w:pPr>
        <w:spacing w:line="276" w:lineRule="auto"/>
        <w:jc w:val="center"/>
        <w:rPr>
          <w:spacing w:val="2"/>
        </w:rPr>
      </w:pPr>
      <w:r w:rsidRPr="003A2F4B">
        <w:rPr>
          <w:spacing w:val="2"/>
        </w:rPr>
        <w:t xml:space="preserve">                                        </w:t>
      </w:r>
      <w:r>
        <w:rPr>
          <w:spacing w:val="2"/>
        </w:rPr>
        <w:t xml:space="preserve">       </w:t>
      </w:r>
      <w:r w:rsidRPr="003A2F4B">
        <w:rPr>
          <w:spacing w:val="2"/>
        </w:rPr>
        <w:t xml:space="preserve">Hora: </w:t>
      </w:r>
      <w:r>
        <w:rPr>
          <w:spacing w:val="2"/>
        </w:rPr>
        <w:t>3:10 p.m.</w:t>
      </w:r>
    </w:p>
    <w:p w14:paraId="23E3D142" w14:textId="77777777" w:rsidR="0046047C" w:rsidRPr="003A2F4B" w:rsidRDefault="0046047C" w:rsidP="0046047C">
      <w:pPr>
        <w:spacing w:line="276" w:lineRule="auto"/>
        <w:rPr>
          <w:rFonts w:ascii="Algerian" w:hAnsi="Algerian" w:cs="Tahoma"/>
          <w:spacing w:val="2"/>
          <w:sz w:val="30"/>
          <w:szCs w:val="30"/>
          <w:lang w:val="es-MX"/>
        </w:rPr>
      </w:pPr>
      <w:r w:rsidRPr="003A2F4B">
        <w:rPr>
          <w:rFonts w:ascii="Algerian" w:hAnsi="Algerian" w:cs="Tahoma"/>
          <w:spacing w:val="2"/>
          <w:sz w:val="30"/>
          <w:szCs w:val="30"/>
          <w:lang w:val="es-MX"/>
        </w:rPr>
        <w:t>1.- VISTOS</w:t>
      </w:r>
    </w:p>
    <w:p w14:paraId="75DF8BA4" w14:textId="77777777" w:rsidR="0046047C" w:rsidRPr="00DC5028" w:rsidRDefault="0046047C" w:rsidP="0046047C">
      <w:pPr>
        <w:pStyle w:val="Textoindependiente2"/>
        <w:spacing w:after="0" w:line="240" w:lineRule="auto"/>
        <w:rPr>
          <w:rFonts w:ascii="Algerian" w:hAnsi="Algerian" w:cs="Tahoma"/>
          <w:sz w:val="30"/>
          <w:szCs w:val="30"/>
          <w:lang w:val="es-MX"/>
        </w:rPr>
      </w:pPr>
    </w:p>
    <w:p w14:paraId="1BFD1B66" w14:textId="6D0A49E3" w:rsidR="0046047C" w:rsidRDefault="0046047C" w:rsidP="0046047C">
      <w:pPr>
        <w:pStyle w:val="Textoindependiente2"/>
        <w:spacing w:line="276" w:lineRule="auto"/>
        <w:rPr>
          <w:rFonts w:cs="Tahoma"/>
          <w:szCs w:val="26"/>
        </w:rPr>
      </w:pPr>
      <w:r w:rsidRPr="00AC258F">
        <w:rPr>
          <w:rFonts w:cs="Tahoma"/>
          <w:szCs w:val="24"/>
        </w:rPr>
        <w:t>En</w:t>
      </w:r>
      <w:r>
        <w:rPr>
          <w:rFonts w:cs="Tahoma"/>
          <w:szCs w:val="24"/>
        </w:rPr>
        <w:t xml:space="preserve"> marzo 27 </w:t>
      </w:r>
      <w:r w:rsidRPr="00AC258F">
        <w:rPr>
          <w:rFonts w:cs="Tahoma"/>
          <w:szCs w:val="24"/>
        </w:rPr>
        <w:t>de 202</w:t>
      </w:r>
      <w:r>
        <w:rPr>
          <w:rFonts w:cs="Tahoma"/>
          <w:szCs w:val="24"/>
        </w:rPr>
        <w:t>5</w:t>
      </w:r>
      <w:r w:rsidRPr="00AC258F">
        <w:rPr>
          <w:rFonts w:cs="Tahoma"/>
          <w:szCs w:val="24"/>
        </w:rPr>
        <w:t xml:space="preserve"> fue asignada a esta Corporación la acción de tutela que </w:t>
      </w:r>
      <w:r>
        <w:rPr>
          <w:rFonts w:cs="Tahoma"/>
          <w:szCs w:val="24"/>
        </w:rPr>
        <w:t xml:space="preserve">presentó el abogado </w:t>
      </w:r>
      <w:r w:rsidRPr="008C73BA">
        <w:rPr>
          <w:rFonts w:cs="Tahoma"/>
          <w:b/>
          <w:sz w:val="22"/>
          <w:szCs w:val="24"/>
        </w:rPr>
        <w:t>EDER MOSQUERA ANDRADE</w:t>
      </w:r>
      <w:r>
        <w:rPr>
          <w:rFonts w:cs="Tahoma"/>
          <w:szCs w:val="24"/>
        </w:rPr>
        <w:t xml:space="preserve">, como </w:t>
      </w:r>
      <w:r w:rsidRPr="0075098E">
        <w:rPr>
          <w:rFonts w:cs="Tahoma"/>
          <w:szCs w:val="24"/>
        </w:rPr>
        <w:t>apoderad</w:t>
      </w:r>
      <w:r>
        <w:rPr>
          <w:rFonts w:cs="Tahoma"/>
          <w:szCs w:val="24"/>
        </w:rPr>
        <w:t>o</w:t>
      </w:r>
      <w:r w:rsidRPr="0075098E">
        <w:rPr>
          <w:rFonts w:cs="Tahoma"/>
          <w:szCs w:val="24"/>
        </w:rPr>
        <w:t xml:space="preserve"> de la señora </w:t>
      </w:r>
      <w:r w:rsidR="00CF36D1">
        <w:rPr>
          <w:rFonts w:cs="Tahoma"/>
          <w:b/>
          <w:sz w:val="22"/>
          <w:szCs w:val="26"/>
        </w:rPr>
        <w:t>MCMD</w:t>
      </w:r>
      <w:r>
        <w:rPr>
          <w:rFonts w:cs="Tahoma"/>
          <w:szCs w:val="26"/>
        </w:rPr>
        <w:t xml:space="preserve"> y quien ejerce la calidad de representante legal de su hija, </w:t>
      </w:r>
      <w:r w:rsidRPr="00B0352A">
        <w:rPr>
          <w:rFonts w:cs="Tahoma"/>
          <w:b/>
          <w:sz w:val="24"/>
          <w:szCs w:val="26"/>
        </w:rPr>
        <w:t xml:space="preserve">la menor </w:t>
      </w:r>
      <w:r w:rsidR="00CF36D1">
        <w:rPr>
          <w:rFonts w:cs="Tahoma"/>
          <w:b/>
          <w:sz w:val="24"/>
          <w:szCs w:val="26"/>
        </w:rPr>
        <w:t>HPMM</w:t>
      </w:r>
      <w:r>
        <w:rPr>
          <w:rFonts w:cs="Tahoma"/>
          <w:szCs w:val="26"/>
        </w:rPr>
        <w:t xml:space="preserve">, </w:t>
      </w:r>
      <w:r w:rsidRPr="0075098E">
        <w:rPr>
          <w:rFonts w:cs="Tahoma"/>
          <w:szCs w:val="24"/>
        </w:rPr>
        <w:t>en contra de</w:t>
      </w:r>
      <w:r>
        <w:rPr>
          <w:rFonts w:cs="Tahoma"/>
          <w:szCs w:val="24"/>
        </w:rPr>
        <w:t xml:space="preserve">l </w:t>
      </w:r>
      <w:r w:rsidRPr="001017CB">
        <w:rPr>
          <w:rFonts w:cs="Tahoma"/>
          <w:szCs w:val="26"/>
        </w:rPr>
        <w:t xml:space="preserve">Juzgado </w:t>
      </w:r>
      <w:r>
        <w:rPr>
          <w:rFonts w:cs="Tahoma"/>
          <w:szCs w:val="26"/>
        </w:rPr>
        <w:t xml:space="preserve">Primero Penal del Circuito para Adolescentes con Función de Conocimiento </w:t>
      </w:r>
      <w:r w:rsidRPr="001017CB">
        <w:rPr>
          <w:rFonts w:cs="Tahoma"/>
          <w:szCs w:val="26"/>
        </w:rPr>
        <w:t xml:space="preserve">de Pereira, </w:t>
      </w:r>
      <w:r>
        <w:rPr>
          <w:rFonts w:cs="Tahoma"/>
          <w:szCs w:val="26"/>
        </w:rPr>
        <w:t xml:space="preserve">la Secretaría de Educación Departamental del Chocó y la Fiduprevisora S.A., vocera y administradora del Fondo Nacional de Prestaciones Sociales del Magisterio, </w:t>
      </w:r>
      <w:r w:rsidRPr="001017CB">
        <w:rPr>
          <w:rFonts w:cs="Tahoma"/>
          <w:szCs w:val="26"/>
        </w:rPr>
        <w:t>al considerar vulnerados</w:t>
      </w:r>
      <w:r>
        <w:rPr>
          <w:rFonts w:cs="Tahoma"/>
          <w:szCs w:val="26"/>
        </w:rPr>
        <w:t xml:space="preserve"> </w:t>
      </w:r>
      <w:r w:rsidRPr="001017CB">
        <w:rPr>
          <w:rFonts w:cs="Tahoma"/>
          <w:szCs w:val="26"/>
        </w:rPr>
        <w:t xml:space="preserve">los derechos fundamentales </w:t>
      </w:r>
      <w:r>
        <w:rPr>
          <w:rFonts w:cs="Tahoma"/>
          <w:szCs w:val="26"/>
        </w:rPr>
        <w:t xml:space="preserve">a la educación, debido proceso, vida digna, igualdad, recreación, mínimo vital y seguridad social de la </w:t>
      </w:r>
      <w:r w:rsidRPr="00C167A9">
        <w:rPr>
          <w:rFonts w:cs="Tahoma"/>
          <w:b/>
          <w:sz w:val="22"/>
          <w:szCs w:val="26"/>
        </w:rPr>
        <w:t xml:space="preserve">menor </w:t>
      </w:r>
      <w:r w:rsidR="00CF36D1">
        <w:rPr>
          <w:rFonts w:cs="Tahoma"/>
          <w:b/>
          <w:sz w:val="22"/>
          <w:szCs w:val="26"/>
        </w:rPr>
        <w:t>HPMM</w:t>
      </w:r>
      <w:r>
        <w:rPr>
          <w:rFonts w:cs="Tahoma"/>
          <w:szCs w:val="26"/>
        </w:rPr>
        <w:t>, dado que no se ha brindado respuesta de fondo a la solicitud de sustitución pensional -pensión de sobrevivientes- presentada en junio de 2023.</w:t>
      </w:r>
    </w:p>
    <w:p w14:paraId="5810E59B" w14:textId="77777777" w:rsidR="0046047C" w:rsidRDefault="0046047C" w:rsidP="0046047C">
      <w:pPr>
        <w:pStyle w:val="Textoindependiente2"/>
        <w:spacing w:after="0" w:line="276" w:lineRule="auto"/>
        <w:rPr>
          <w:rFonts w:cs="Tahoma"/>
          <w:szCs w:val="24"/>
        </w:rPr>
      </w:pPr>
    </w:p>
    <w:p w14:paraId="1B454513" w14:textId="77777777" w:rsidR="0046047C" w:rsidRDefault="0046047C" w:rsidP="0046047C">
      <w:pPr>
        <w:pStyle w:val="Textoindependiente2"/>
        <w:spacing w:after="0" w:line="276" w:lineRule="auto"/>
        <w:rPr>
          <w:rFonts w:cs="Tahoma"/>
          <w:szCs w:val="24"/>
        </w:rPr>
      </w:pPr>
      <w:r>
        <w:rPr>
          <w:rFonts w:cs="Tahoma"/>
          <w:szCs w:val="24"/>
        </w:rPr>
        <w:lastRenderedPageBreak/>
        <w:t xml:space="preserve">El despacho ponente, al </w:t>
      </w:r>
      <w:r w:rsidRPr="00AC258F">
        <w:rPr>
          <w:rFonts w:cs="Tahoma"/>
          <w:szCs w:val="24"/>
        </w:rPr>
        <w:t>revisar el contenido de</w:t>
      </w:r>
      <w:r>
        <w:rPr>
          <w:rFonts w:cs="Tahoma"/>
          <w:szCs w:val="24"/>
        </w:rPr>
        <w:t xml:space="preserve"> la solicitud de amparo y sus anexos, advirtió que el togado carecía del poder especial conforme a las exigencias del artículo 74 del C.G.P., por lo que no era viable acreditar su </w:t>
      </w:r>
      <w:r w:rsidRPr="00837BDC">
        <w:rPr>
          <w:rFonts w:cs="Tahoma"/>
          <w:szCs w:val="24"/>
        </w:rPr>
        <w:t xml:space="preserve">legitimación </w:t>
      </w:r>
      <w:r>
        <w:rPr>
          <w:rFonts w:cs="Tahoma"/>
          <w:szCs w:val="24"/>
        </w:rPr>
        <w:t xml:space="preserve">para </w:t>
      </w:r>
      <w:r w:rsidRPr="00837BDC">
        <w:rPr>
          <w:rFonts w:cs="Tahoma"/>
          <w:szCs w:val="24"/>
        </w:rPr>
        <w:t>interponer la acción constitucional.</w:t>
      </w:r>
      <w:r>
        <w:rPr>
          <w:rFonts w:cs="Tahoma"/>
          <w:szCs w:val="24"/>
        </w:rPr>
        <w:t xml:space="preserve"> Además, se apreció la circunstancia de hecho, por acción u omisión que fundamenta, en el caso concreto, la presunta vulneración de los derechos invocados, en especial por la existencia previa de otra acción constitucional donde se discutieron los hechos </w:t>
      </w:r>
      <w:proofErr w:type="spellStart"/>
      <w:r>
        <w:rPr>
          <w:rFonts w:cs="Tahoma"/>
          <w:szCs w:val="24"/>
        </w:rPr>
        <w:t>enunciados</w:t>
      </w:r>
      <w:proofErr w:type="spellEnd"/>
      <w:r>
        <w:rPr>
          <w:rFonts w:cs="Tahoma"/>
          <w:szCs w:val="24"/>
        </w:rPr>
        <w:t xml:space="preserve"> por el demandante, estableciéndose en consecuencia que no se cumplían los presupuestos del artículo 14 del decreto 2591 de 1991.</w:t>
      </w:r>
    </w:p>
    <w:p w14:paraId="4B77B49B" w14:textId="77777777" w:rsidR="0046047C" w:rsidRDefault="0046047C" w:rsidP="0046047C">
      <w:pPr>
        <w:pStyle w:val="Textoindependiente2"/>
        <w:spacing w:after="0" w:line="276" w:lineRule="auto"/>
        <w:rPr>
          <w:rFonts w:cs="Tahoma"/>
          <w:szCs w:val="24"/>
        </w:rPr>
      </w:pPr>
    </w:p>
    <w:p w14:paraId="4A587BD2" w14:textId="77777777" w:rsidR="0046047C" w:rsidRDefault="0046047C" w:rsidP="0046047C">
      <w:pPr>
        <w:pStyle w:val="Textoindependiente2"/>
        <w:spacing w:line="276" w:lineRule="auto"/>
        <w:rPr>
          <w:rFonts w:cs="Tahoma"/>
          <w:szCs w:val="26"/>
        </w:rPr>
      </w:pPr>
      <w:r>
        <w:rPr>
          <w:rFonts w:cs="Tahoma"/>
          <w:szCs w:val="26"/>
        </w:rPr>
        <w:t xml:space="preserve">Bajo ese panorama, se procedió a su </w:t>
      </w:r>
      <w:r w:rsidRPr="00355995">
        <w:rPr>
          <w:rFonts w:cs="Tahoma"/>
          <w:b/>
          <w:bCs/>
          <w:sz w:val="24"/>
          <w:szCs w:val="24"/>
        </w:rPr>
        <w:t>inadmisión</w:t>
      </w:r>
      <w:r>
        <w:rPr>
          <w:rFonts w:cs="Tahoma"/>
          <w:szCs w:val="26"/>
        </w:rPr>
        <w:t xml:space="preserve"> por auto de marzo 27 de 2025 </w:t>
      </w:r>
      <w:r w:rsidRPr="00516227">
        <w:rPr>
          <w:rFonts w:cs="Tahoma"/>
          <w:szCs w:val="26"/>
        </w:rPr>
        <w:t xml:space="preserve">y </w:t>
      </w:r>
      <w:r>
        <w:rPr>
          <w:rFonts w:cs="Tahoma"/>
          <w:szCs w:val="26"/>
        </w:rPr>
        <w:t xml:space="preserve">se ordenó requerir al abogado </w:t>
      </w:r>
      <w:r>
        <w:rPr>
          <w:rFonts w:cs="Tahoma"/>
          <w:b/>
          <w:sz w:val="22"/>
          <w:szCs w:val="26"/>
        </w:rPr>
        <w:t>EDER MOSQUERA</w:t>
      </w:r>
      <w:r>
        <w:rPr>
          <w:rFonts w:cs="Tahoma"/>
          <w:szCs w:val="26"/>
        </w:rPr>
        <w:t xml:space="preserve"> para que subsanara los yerros observados. Para tal efecto, se le otorgó el </w:t>
      </w:r>
      <w:r>
        <w:rPr>
          <w:rFonts w:cs="Tahoma"/>
          <w:szCs w:val="26"/>
          <w:lang w:val="es-CO"/>
        </w:rPr>
        <w:t xml:space="preserve">término </w:t>
      </w:r>
      <w:r>
        <w:rPr>
          <w:rFonts w:cs="Tahoma"/>
          <w:szCs w:val="26"/>
        </w:rPr>
        <w:t xml:space="preserve">de tres (3) días siguientes a su notificación, so pena de ser </w:t>
      </w:r>
      <w:r w:rsidRPr="003A575D">
        <w:rPr>
          <w:rFonts w:cs="Tahoma"/>
          <w:b/>
          <w:bCs/>
          <w:sz w:val="24"/>
          <w:szCs w:val="24"/>
        </w:rPr>
        <w:t>rechazada de plano la tutela</w:t>
      </w:r>
      <w:r>
        <w:rPr>
          <w:rFonts w:cs="Tahoma"/>
          <w:szCs w:val="26"/>
        </w:rPr>
        <w:t xml:space="preserve"> por carecer de los </w:t>
      </w:r>
      <w:r w:rsidRPr="00804C79">
        <w:rPr>
          <w:rFonts w:cs="Tahoma"/>
          <w:szCs w:val="26"/>
        </w:rPr>
        <w:t xml:space="preserve">requisitos </w:t>
      </w:r>
      <w:r>
        <w:rPr>
          <w:rFonts w:cs="Tahoma"/>
          <w:szCs w:val="26"/>
        </w:rPr>
        <w:t xml:space="preserve">exigidos </w:t>
      </w:r>
      <w:r w:rsidRPr="00804C79">
        <w:rPr>
          <w:rFonts w:cs="Tahoma"/>
          <w:szCs w:val="26"/>
        </w:rPr>
        <w:t xml:space="preserve">en </w:t>
      </w:r>
      <w:r>
        <w:rPr>
          <w:rFonts w:cs="Tahoma"/>
          <w:szCs w:val="26"/>
        </w:rPr>
        <w:t xml:space="preserve">la normativa referenciada, según lo prevé el canon 17 </w:t>
      </w:r>
      <w:r w:rsidRPr="001A1529">
        <w:rPr>
          <w:rFonts w:cs="Tahoma"/>
          <w:i/>
          <w:szCs w:val="26"/>
        </w:rPr>
        <w:t>ibidem</w:t>
      </w:r>
      <w:r>
        <w:rPr>
          <w:rFonts w:cs="Tahoma"/>
          <w:szCs w:val="26"/>
        </w:rPr>
        <w:t>.</w:t>
      </w:r>
    </w:p>
    <w:p w14:paraId="3F92F524" w14:textId="77777777" w:rsidR="0046047C" w:rsidRDefault="0046047C" w:rsidP="0046047C">
      <w:pPr>
        <w:pStyle w:val="Textoindependiente2"/>
        <w:spacing w:after="0" w:line="276" w:lineRule="auto"/>
        <w:rPr>
          <w:rFonts w:cs="Tahoma"/>
          <w:szCs w:val="24"/>
        </w:rPr>
      </w:pPr>
    </w:p>
    <w:p w14:paraId="03D3355B" w14:textId="77777777" w:rsidR="0046047C" w:rsidRDefault="0046047C" w:rsidP="0046047C">
      <w:pPr>
        <w:pStyle w:val="Textoindependiente2"/>
        <w:spacing w:after="0" w:line="276" w:lineRule="auto"/>
        <w:rPr>
          <w:rFonts w:cs="Tahoma"/>
          <w:szCs w:val="24"/>
        </w:rPr>
      </w:pPr>
      <w:r>
        <w:rPr>
          <w:rFonts w:cs="Tahoma"/>
          <w:szCs w:val="24"/>
        </w:rPr>
        <w:t xml:space="preserve">Tal determinación </w:t>
      </w:r>
      <w:r w:rsidRPr="004E4F20">
        <w:rPr>
          <w:rFonts w:cs="Tahoma"/>
          <w:b/>
          <w:sz w:val="22"/>
          <w:szCs w:val="24"/>
        </w:rPr>
        <w:t xml:space="preserve">se notificó vía correo electrónico en </w:t>
      </w:r>
      <w:r>
        <w:rPr>
          <w:rFonts w:cs="Tahoma"/>
          <w:b/>
          <w:sz w:val="22"/>
          <w:szCs w:val="24"/>
        </w:rPr>
        <w:t xml:space="preserve">marzo 28 </w:t>
      </w:r>
      <w:r w:rsidRPr="004E4F20">
        <w:rPr>
          <w:rFonts w:cs="Tahoma"/>
          <w:b/>
          <w:sz w:val="22"/>
          <w:szCs w:val="24"/>
        </w:rPr>
        <w:t>de 2025</w:t>
      </w:r>
      <w:r>
        <w:rPr>
          <w:rFonts w:cs="Tahoma"/>
          <w:szCs w:val="24"/>
        </w:rPr>
        <w:t xml:space="preserve"> mediante la dirección ‘</w:t>
      </w:r>
      <w:r w:rsidRPr="001A1529">
        <w:rPr>
          <w:rFonts w:cs="Tahoma"/>
          <w:szCs w:val="24"/>
        </w:rPr>
        <w:t>edderandrade18@gmail.com</w:t>
      </w:r>
      <w:r>
        <w:rPr>
          <w:rFonts w:cs="Tahoma"/>
          <w:szCs w:val="24"/>
        </w:rPr>
        <w:t>’ y, según la constancia secretarial de abril 02 -</w:t>
      </w:r>
      <w:r w:rsidRPr="007C28A4">
        <w:rPr>
          <w:rFonts w:ascii="Verdana" w:hAnsi="Verdana" w:cs="Tahoma"/>
          <w:sz w:val="20"/>
          <w:szCs w:val="24"/>
        </w:rPr>
        <w:t>documento 10 del expediente digital</w:t>
      </w:r>
      <w:r>
        <w:rPr>
          <w:rFonts w:cs="Tahoma"/>
          <w:szCs w:val="24"/>
        </w:rPr>
        <w:t>-</w:t>
      </w:r>
      <w:r>
        <w:rPr>
          <w:rFonts w:cs="Tahoma"/>
          <w:szCs w:val="26"/>
        </w:rPr>
        <w:t>, el abogado acusó el recibido del requerimiento en esa misma fecha; sin embargo, guardó silencio.</w:t>
      </w:r>
    </w:p>
    <w:p w14:paraId="58B29E47" w14:textId="77777777" w:rsidR="0046047C" w:rsidRPr="00AC258F" w:rsidRDefault="0046047C" w:rsidP="0046047C">
      <w:pPr>
        <w:pStyle w:val="Textoindependiente2"/>
        <w:spacing w:after="0" w:line="240" w:lineRule="auto"/>
        <w:rPr>
          <w:rFonts w:cs="Tahoma"/>
          <w:szCs w:val="24"/>
        </w:rPr>
      </w:pPr>
    </w:p>
    <w:p w14:paraId="576EE8CD" w14:textId="77777777" w:rsidR="0046047C" w:rsidRPr="00DC5028" w:rsidRDefault="0046047C" w:rsidP="0046047C">
      <w:pPr>
        <w:spacing w:line="240" w:lineRule="auto"/>
        <w:rPr>
          <w:rFonts w:ascii="Algerian" w:hAnsi="Algerian" w:cs="Tahoma"/>
          <w:sz w:val="30"/>
          <w:szCs w:val="30"/>
          <w:lang w:val="es-MX"/>
        </w:rPr>
      </w:pPr>
      <w:r w:rsidRPr="00DC5028">
        <w:rPr>
          <w:rFonts w:ascii="Algerian" w:hAnsi="Algerian" w:cs="Tahoma"/>
          <w:sz w:val="30"/>
          <w:szCs w:val="30"/>
          <w:lang w:val="es-MX"/>
        </w:rPr>
        <w:t xml:space="preserve">2.- POSICIÓN DE </w:t>
      </w:r>
      <w:smartTag w:uri="urn:schemas-microsoft-com:office:smarttags" w:element="PersonName">
        <w:smartTagPr>
          <w:attr w:name="ProductID" w:val="la Sala"/>
        </w:smartTagPr>
        <w:r w:rsidRPr="00DC5028">
          <w:rPr>
            <w:rFonts w:ascii="Algerian" w:hAnsi="Algerian" w:cs="Tahoma"/>
            <w:sz w:val="30"/>
            <w:szCs w:val="30"/>
            <w:lang w:val="es-MX"/>
          </w:rPr>
          <w:t>LA SALA</w:t>
        </w:r>
      </w:smartTag>
    </w:p>
    <w:p w14:paraId="54E5E699" w14:textId="77777777" w:rsidR="0046047C" w:rsidRDefault="0046047C" w:rsidP="0046047C">
      <w:pPr>
        <w:pStyle w:val="Textoindependiente2"/>
        <w:spacing w:after="0" w:line="240" w:lineRule="auto"/>
        <w:rPr>
          <w:rFonts w:cs="Tahoma"/>
          <w:szCs w:val="24"/>
        </w:rPr>
      </w:pPr>
    </w:p>
    <w:p w14:paraId="12CC6B87" w14:textId="77777777" w:rsidR="0046047C" w:rsidRPr="00DC5028" w:rsidRDefault="0046047C" w:rsidP="0046047C">
      <w:pPr>
        <w:pStyle w:val="Textoindependiente2"/>
        <w:spacing w:after="0" w:line="276" w:lineRule="auto"/>
        <w:rPr>
          <w:rFonts w:ascii="Verdana" w:hAnsi="Verdana" w:cs="Arial"/>
          <w:sz w:val="20"/>
        </w:rPr>
      </w:pPr>
      <w:r w:rsidRPr="00DC5028">
        <w:rPr>
          <w:rFonts w:cs="Tahoma"/>
          <w:szCs w:val="24"/>
        </w:rPr>
        <w:t>El artículo 17 del Decreto 2591, reglamentario de la acción de tutela, en punto de la corrección de la solicitud expresa:</w:t>
      </w:r>
      <w:r w:rsidRPr="00DC5028">
        <w:rPr>
          <w:rFonts w:cs="Tahoma"/>
          <w:szCs w:val="26"/>
        </w:rPr>
        <w:t xml:space="preserve"> </w:t>
      </w:r>
      <w:r w:rsidRPr="00DC5028">
        <w:rPr>
          <w:rFonts w:ascii="Verdana" w:hAnsi="Verdana" w:cs="Tahoma"/>
          <w:sz w:val="20"/>
        </w:rPr>
        <w:t>“</w:t>
      </w:r>
      <w:r w:rsidRPr="00DC5028">
        <w:rPr>
          <w:rFonts w:ascii="Verdana" w:hAnsi="Verdana" w:cs="Arial"/>
          <w:sz w:val="20"/>
        </w:rPr>
        <w:t>Si no pudiere determinarse el hecho o la razón que motiva la solicitud de tutela se prevendrá al solicitante para que la corrija en el término de tres días, los cuales deberán señalarse concretamente en la correspondiente providencia. Si no la corrigiere, la solicitud podrá ser rechazada de plano”.</w:t>
      </w:r>
    </w:p>
    <w:p w14:paraId="4745DBC1" w14:textId="77777777" w:rsidR="0046047C" w:rsidRDefault="0046047C" w:rsidP="0046047C">
      <w:pPr>
        <w:pStyle w:val="Textoindependiente2"/>
        <w:spacing w:after="0" w:line="240" w:lineRule="auto"/>
        <w:rPr>
          <w:rFonts w:cs="Tahoma"/>
          <w:szCs w:val="24"/>
        </w:rPr>
      </w:pPr>
    </w:p>
    <w:p w14:paraId="5E0C606A" w14:textId="77777777" w:rsidR="0046047C" w:rsidRPr="00DC5028" w:rsidRDefault="0046047C" w:rsidP="0046047C">
      <w:pPr>
        <w:pStyle w:val="Textoindependiente2"/>
        <w:spacing w:after="0" w:line="276" w:lineRule="auto"/>
        <w:rPr>
          <w:rFonts w:cs="Tahoma"/>
          <w:szCs w:val="24"/>
        </w:rPr>
      </w:pPr>
      <w:r>
        <w:rPr>
          <w:rFonts w:cs="Tahoma"/>
          <w:szCs w:val="24"/>
        </w:rPr>
        <w:t>Precisamente</w:t>
      </w:r>
      <w:r w:rsidRPr="00DC5028">
        <w:rPr>
          <w:rFonts w:cs="Tahoma"/>
          <w:szCs w:val="24"/>
        </w:rPr>
        <w:t xml:space="preserve">, </w:t>
      </w:r>
      <w:r>
        <w:rPr>
          <w:rFonts w:cs="Tahoma"/>
          <w:szCs w:val="24"/>
        </w:rPr>
        <w:t xml:space="preserve">la Sala en la debida oportunidad, con </w:t>
      </w:r>
      <w:r w:rsidRPr="00DC5028">
        <w:rPr>
          <w:rFonts w:cs="Tahoma"/>
          <w:szCs w:val="24"/>
        </w:rPr>
        <w:t xml:space="preserve">miras a darle la posibilidad </w:t>
      </w:r>
      <w:r>
        <w:rPr>
          <w:rFonts w:cs="Tahoma"/>
          <w:szCs w:val="24"/>
        </w:rPr>
        <w:t xml:space="preserve">a la abogada que radicó la solicitud de amparo constitucional para </w:t>
      </w:r>
      <w:r w:rsidRPr="00DC5028">
        <w:rPr>
          <w:rFonts w:cs="Tahoma"/>
          <w:szCs w:val="24"/>
        </w:rPr>
        <w:t xml:space="preserve">que </w:t>
      </w:r>
      <w:r>
        <w:rPr>
          <w:rFonts w:cs="Tahoma"/>
          <w:szCs w:val="24"/>
        </w:rPr>
        <w:t>subsanara las falencias advertidas en el poder especial allegado -</w:t>
      </w:r>
      <w:r w:rsidRPr="004E4F20">
        <w:rPr>
          <w:rFonts w:ascii="Verdana" w:hAnsi="Verdana" w:cs="Tahoma"/>
          <w:sz w:val="20"/>
          <w:szCs w:val="24"/>
        </w:rPr>
        <w:t>en cuanto a la determinación y claridad del asunto</w:t>
      </w:r>
      <w:r>
        <w:rPr>
          <w:rFonts w:cs="Tahoma"/>
          <w:szCs w:val="24"/>
        </w:rPr>
        <w:t xml:space="preserve">- </w:t>
      </w:r>
      <w:r w:rsidRPr="00DC5028">
        <w:rPr>
          <w:rFonts w:cs="Tahoma"/>
          <w:szCs w:val="24"/>
        </w:rPr>
        <w:t xml:space="preserve">, le concedió un </w:t>
      </w:r>
      <w:r w:rsidRPr="00113238">
        <w:rPr>
          <w:rFonts w:cs="Tahoma"/>
          <w:b/>
          <w:bCs/>
          <w:sz w:val="24"/>
          <w:szCs w:val="24"/>
        </w:rPr>
        <w:t>término de tres (3) días</w:t>
      </w:r>
      <w:r>
        <w:rPr>
          <w:rFonts w:cs="Tahoma"/>
          <w:szCs w:val="24"/>
        </w:rPr>
        <w:t xml:space="preserve">, </w:t>
      </w:r>
      <w:r w:rsidRPr="00DC5028">
        <w:rPr>
          <w:rFonts w:cs="Tahoma"/>
          <w:szCs w:val="24"/>
        </w:rPr>
        <w:t>contado</w:t>
      </w:r>
      <w:r>
        <w:rPr>
          <w:rFonts w:cs="Tahoma"/>
          <w:szCs w:val="24"/>
        </w:rPr>
        <w:t>s</w:t>
      </w:r>
      <w:r w:rsidRPr="00DC5028">
        <w:rPr>
          <w:rFonts w:cs="Tahoma"/>
          <w:szCs w:val="24"/>
        </w:rPr>
        <w:t xml:space="preserve"> a partir del </w:t>
      </w:r>
      <w:r>
        <w:rPr>
          <w:rFonts w:cs="Tahoma"/>
          <w:szCs w:val="24"/>
        </w:rPr>
        <w:t xml:space="preserve">día </w:t>
      </w:r>
      <w:r w:rsidRPr="00DC5028">
        <w:rPr>
          <w:rFonts w:cs="Tahoma"/>
          <w:szCs w:val="24"/>
        </w:rPr>
        <w:t xml:space="preserve">siguiente al recibo de esa determinación, para que </w:t>
      </w:r>
      <w:r>
        <w:rPr>
          <w:rFonts w:cs="Tahoma"/>
          <w:szCs w:val="24"/>
        </w:rPr>
        <w:t xml:space="preserve">complementara lo pertinente con miras a acreditar en debida forma </w:t>
      </w:r>
      <w:r>
        <w:rPr>
          <w:rFonts w:cs="Tahoma"/>
          <w:szCs w:val="26"/>
        </w:rPr>
        <w:t>su legitimación en la causa,</w:t>
      </w:r>
      <w:r w:rsidRPr="00DC5028">
        <w:rPr>
          <w:rFonts w:cs="Tahoma"/>
          <w:szCs w:val="26"/>
        </w:rPr>
        <w:t xml:space="preserve"> so pena de rechazar de plano la acción</w:t>
      </w:r>
      <w:r>
        <w:rPr>
          <w:rFonts w:cs="Tahoma"/>
          <w:szCs w:val="26"/>
        </w:rPr>
        <w:t xml:space="preserve">, según lo prevé </w:t>
      </w:r>
      <w:r w:rsidRPr="00DC5028">
        <w:rPr>
          <w:rFonts w:cs="Tahoma"/>
          <w:szCs w:val="26"/>
        </w:rPr>
        <w:t>el artículo 1</w:t>
      </w:r>
      <w:r>
        <w:rPr>
          <w:rFonts w:cs="Tahoma"/>
          <w:szCs w:val="26"/>
        </w:rPr>
        <w:t xml:space="preserve">7 </w:t>
      </w:r>
      <w:r w:rsidRPr="00DC5028">
        <w:rPr>
          <w:rFonts w:cs="Tahoma"/>
          <w:szCs w:val="26"/>
        </w:rPr>
        <w:t>del Decreto 2591 de 1991.</w:t>
      </w:r>
    </w:p>
    <w:p w14:paraId="1BDBB287" w14:textId="77777777" w:rsidR="0046047C" w:rsidRPr="00DC5028" w:rsidRDefault="0046047C" w:rsidP="0046047C">
      <w:pPr>
        <w:pStyle w:val="Textoindependiente2"/>
        <w:spacing w:after="0" w:line="240" w:lineRule="auto"/>
        <w:rPr>
          <w:rFonts w:cs="Tahoma"/>
          <w:szCs w:val="24"/>
        </w:rPr>
      </w:pPr>
    </w:p>
    <w:p w14:paraId="565CADB9" w14:textId="77777777" w:rsidR="0046047C" w:rsidRDefault="0046047C" w:rsidP="0046047C">
      <w:pPr>
        <w:pStyle w:val="Textoindependiente2"/>
        <w:spacing w:after="0" w:line="276" w:lineRule="auto"/>
        <w:rPr>
          <w:rFonts w:cs="Tahoma"/>
          <w:szCs w:val="24"/>
        </w:rPr>
      </w:pPr>
      <w:r w:rsidRPr="00DC5028">
        <w:rPr>
          <w:rFonts w:cs="Tahoma"/>
          <w:szCs w:val="24"/>
        </w:rPr>
        <w:t>Ocurre que</w:t>
      </w:r>
      <w:r>
        <w:rPr>
          <w:rFonts w:cs="Tahoma"/>
          <w:szCs w:val="24"/>
        </w:rPr>
        <w:t>,</w:t>
      </w:r>
      <w:r w:rsidRPr="00DC5028">
        <w:rPr>
          <w:rFonts w:cs="Tahoma"/>
          <w:szCs w:val="24"/>
        </w:rPr>
        <w:t xml:space="preserve"> a la hora de ahora, no obstante que </w:t>
      </w:r>
      <w:r>
        <w:rPr>
          <w:rFonts w:cs="Tahoma"/>
          <w:szCs w:val="24"/>
        </w:rPr>
        <w:t>el requerimiento se comunicó en debida forma</w:t>
      </w:r>
      <w:r w:rsidRPr="00DC5028">
        <w:rPr>
          <w:rFonts w:cs="Tahoma"/>
          <w:szCs w:val="24"/>
        </w:rPr>
        <w:t>, como consta en el expediente electrónico</w:t>
      </w:r>
      <w:r>
        <w:rPr>
          <w:rFonts w:cs="Tahoma"/>
          <w:szCs w:val="24"/>
        </w:rPr>
        <w:t xml:space="preserve"> </w:t>
      </w:r>
      <w:r w:rsidRPr="00E0712B">
        <w:rPr>
          <w:rFonts w:ascii="Verdana" w:hAnsi="Verdana" w:cs="Tahoma"/>
          <w:sz w:val="20"/>
        </w:rPr>
        <w:t>-</w:t>
      </w:r>
      <w:r w:rsidRPr="00FC3E1E">
        <w:rPr>
          <w:rFonts w:ascii="Verdana" w:hAnsi="Verdana" w:cs="Tahoma"/>
          <w:bCs/>
          <w:sz w:val="20"/>
        </w:rPr>
        <w:t xml:space="preserve">lo cual se realizó en </w:t>
      </w:r>
      <w:r>
        <w:rPr>
          <w:rFonts w:ascii="Verdana" w:hAnsi="Verdana" w:cs="Tahoma"/>
          <w:bCs/>
          <w:sz w:val="20"/>
        </w:rPr>
        <w:t>marzo 28 de 2025</w:t>
      </w:r>
      <w:r w:rsidRPr="00FC3E1E">
        <w:rPr>
          <w:rFonts w:ascii="Verdana" w:hAnsi="Verdana" w:cs="Tahoma"/>
          <w:sz w:val="20"/>
        </w:rPr>
        <w:t>-</w:t>
      </w:r>
      <w:r w:rsidRPr="00DC5028">
        <w:rPr>
          <w:rFonts w:cs="Tahoma"/>
          <w:szCs w:val="24"/>
        </w:rPr>
        <w:t xml:space="preserve">, </w:t>
      </w:r>
      <w:r>
        <w:rPr>
          <w:rFonts w:cs="Tahoma"/>
          <w:szCs w:val="24"/>
        </w:rPr>
        <w:t xml:space="preserve">ninguna manifestación se recibió por parte del togado </w:t>
      </w:r>
      <w:r>
        <w:rPr>
          <w:rFonts w:cs="Tahoma"/>
          <w:b/>
          <w:sz w:val="22"/>
          <w:szCs w:val="22"/>
        </w:rPr>
        <w:t>EDER MOSQUERA ANDRADE</w:t>
      </w:r>
      <w:r>
        <w:rPr>
          <w:rFonts w:cs="Tahoma"/>
          <w:szCs w:val="24"/>
        </w:rPr>
        <w:t>, quien guardó absoluto silencio.</w:t>
      </w:r>
    </w:p>
    <w:p w14:paraId="3C817364" w14:textId="77777777" w:rsidR="0046047C" w:rsidRPr="00DC5028" w:rsidRDefault="0046047C" w:rsidP="0046047C">
      <w:pPr>
        <w:pStyle w:val="Textoindependiente2"/>
        <w:spacing w:after="0" w:line="276" w:lineRule="auto"/>
        <w:rPr>
          <w:szCs w:val="24"/>
        </w:rPr>
      </w:pPr>
    </w:p>
    <w:p w14:paraId="4D348D5B" w14:textId="77777777" w:rsidR="0046047C" w:rsidRDefault="0046047C" w:rsidP="0046047C">
      <w:pPr>
        <w:pStyle w:val="Textoindependiente2"/>
        <w:spacing w:after="0" w:line="276" w:lineRule="auto"/>
        <w:rPr>
          <w:szCs w:val="24"/>
        </w:rPr>
      </w:pPr>
      <w:r>
        <w:rPr>
          <w:szCs w:val="24"/>
        </w:rPr>
        <w:t xml:space="preserve">Ahora, aún con </w:t>
      </w:r>
      <w:r w:rsidRPr="00DC5028">
        <w:rPr>
          <w:szCs w:val="24"/>
        </w:rPr>
        <w:t xml:space="preserve">la informalidad y subsidiariedad que orienta la acción de tutela, quien acude a la misma tiene la carga de </w:t>
      </w:r>
      <w:r>
        <w:rPr>
          <w:szCs w:val="24"/>
        </w:rPr>
        <w:t xml:space="preserve">acreditar los presupuestos mínimos que se fijan para promover dicho mecanismo, entre ellos la legitimación en la causa y, conforme lo establece el artículo 10 del Decreto 2591/91, en concordancia con el canon 74 del C.G.P., la representación judicial debe estar acreditada con el respectivo poder del titular del derecho, y el mandato debe ser claro en el objeto judicial pretendido, tal y como lo ha sostenido la jurisprudencia constitucional, así: </w:t>
      </w:r>
    </w:p>
    <w:p w14:paraId="741FC794" w14:textId="77777777" w:rsidR="0046047C" w:rsidRPr="009E6FA5" w:rsidRDefault="0046047C" w:rsidP="0046047C">
      <w:pPr>
        <w:pStyle w:val="Textoindependiente2"/>
        <w:spacing w:line="276" w:lineRule="auto"/>
        <w:rPr>
          <w:sz w:val="10"/>
          <w:szCs w:val="24"/>
        </w:rPr>
      </w:pPr>
    </w:p>
    <w:p w14:paraId="02386BB6" w14:textId="77777777" w:rsidR="0046047C" w:rsidRPr="00687696" w:rsidRDefault="0046047C" w:rsidP="0046047C">
      <w:pPr>
        <w:pStyle w:val="Textoindependiente2"/>
        <w:spacing w:line="240" w:lineRule="auto"/>
        <w:ind w:left="567" w:right="567"/>
        <w:rPr>
          <w:rFonts w:ascii="Verdana" w:hAnsi="Verdana"/>
          <w:sz w:val="20"/>
        </w:rPr>
      </w:pPr>
      <w:r w:rsidRPr="00687696">
        <w:rPr>
          <w:rFonts w:ascii="Verdana" w:hAnsi="Verdana"/>
          <w:sz w:val="20"/>
        </w:rPr>
        <w:t>“[…] Es entonces una exigencia que el poder por medio del cual se faculta al abogado para actuar cuente con una serie de elementos en los que se identifique en forma clara y expresa: (i) los nombres y datos de identificación tanto de poderdante como del apoderado; (</w:t>
      </w:r>
      <w:proofErr w:type="spellStart"/>
      <w:r w:rsidRPr="00687696">
        <w:rPr>
          <w:rFonts w:ascii="Verdana" w:hAnsi="Verdana"/>
          <w:sz w:val="20"/>
        </w:rPr>
        <w:t>ii</w:t>
      </w:r>
      <w:proofErr w:type="spellEnd"/>
      <w:r w:rsidRPr="00687696">
        <w:rPr>
          <w:rFonts w:ascii="Verdana" w:hAnsi="Verdana"/>
          <w:sz w:val="20"/>
        </w:rPr>
        <w:t>) la persona natural o jurídica contra la cual se va a incoar la acción de tutela; (</w:t>
      </w:r>
      <w:proofErr w:type="spellStart"/>
      <w:r w:rsidRPr="00687696">
        <w:rPr>
          <w:rFonts w:ascii="Verdana" w:hAnsi="Verdana"/>
          <w:sz w:val="20"/>
        </w:rPr>
        <w:t>iii</w:t>
      </w:r>
      <w:proofErr w:type="spellEnd"/>
      <w:r w:rsidRPr="00687696">
        <w:rPr>
          <w:rFonts w:ascii="Verdana" w:hAnsi="Verdana"/>
          <w:sz w:val="20"/>
        </w:rPr>
        <w:t>) el acto o documento causa del litigio y, (</w:t>
      </w:r>
      <w:proofErr w:type="spellStart"/>
      <w:r w:rsidRPr="00687696">
        <w:rPr>
          <w:rFonts w:ascii="Verdana" w:hAnsi="Verdana"/>
          <w:sz w:val="20"/>
        </w:rPr>
        <w:t>iv</w:t>
      </w:r>
      <w:proofErr w:type="spellEnd"/>
      <w:r w:rsidRPr="00687696">
        <w:rPr>
          <w:rFonts w:ascii="Verdana" w:hAnsi="Verdana"/>
          <w:sz w:val="20"/>
        </w:rPr>
        <w:t xml:space="preserve">) el derecho fundamental  que se pretende proteger y garantizar. </w:t>
      </w:r>
    </w:p>
    <w:p w14:paraId="4988CACE" w14:textId="77777777" w:rsidR="0046047C" w:rsidRPr="00687696" w:rsidRDefault="0046047C" w:rsidP="0046047C">
      <w:pPr>
        <w:pStyle w:val="Textoindependiente2"/>
        <w:spacing w:line="240" w:lineRule="auto"/>
        <w:ind w:left="567" w:right="567"/>
        <w:rPr>
          <w:rFonts w:ascii="Verdana" w:hAnsi="Verdana"/>
          <w:sz w:val="20"/>
        </w:rPr>
      </w:pPr>
      <w:r w:rsidRPr="00687696">
        <w:rPr>
          <w:rFonts w:ascii="Verdana" w:hAnsi="Verdana"/>
          <w:sz w:val="20"/>
        </w:rPr>
        <w:t>Los anteriores elementos permiten reconocer la situación fáctica que origina el proceso de tutela, los sujetos procesales de la misma y las actuaciones cuestionadas dentro del amparo. En consecuencia, la ausencia de alguno de los elementos esenciales de un poder desconfigura la legitimación en la causa por activa, haciendo improcedente la acción.”</w:t>
      </w:r>
      <w:r>
        <w:rPr>
          <w:rFonts w:ascii="Verdana" w:hAnsi="Verdana"/>
          <w:sz w:val="20"/>
        </w:rPr>
        <w:t xml:space="preserve"> (</w:t>
      </w:r>
      <w:r w:rsidRPr="00687696">
        <w:rPr>
          <w:rFonts w:ascii="Verdana" w:hAnsi="Verdana"/>
          <w:sz w:val="20"/>
        </w:rPr>
        <w:t>Sentencia T-1025 de 2006</w:t>
      </w:r>
      <w:r>
        <w:rPr>
          <w:rFonts w:ascii="Verdana" w:hAnsi="Verdana"/>
          <w:sz w:val="20"/>
        </w:rPr>
        <w:t>)</w:t>
      </w:r>
    </w:p>
    <w:p w14:paraId="1FD928B1" w14:textId="77777777" w:rsidR="0046047C" w:rsidRPr="009E6FA5" w:rsidRDefault="0046047C" w:rsidP="0046047C">
      <w:pPr>
        <w:pStyle w:val="Textoindependiente2"/>
        <w:spacing w:after="0" w:line="276" w:lineRule="auto"/>
        <w:rPr>
          <w:rFonts w:cs="Tahoma"/>
          <w:sz w:val="18"/>
        </w:rPr>
      </w:pPr>
    </w:p>
    <w:p w14:paraId="68FACF56" w14:textId="77777777" w:rsidR="0046047C" w:rsidRDefault="0046047C" w:rsidP="0046047C">
      <w:pPr>
        <w:pStyle w:val="Textoindependiente2"/>
        <w:spacing w:after="0" w:line="276" w:lineRule="auto"/>
        <w:rPr>
          <w:rFonts w:cs="Tahoma"/>
        </w:rPr>
      </w:pPr>
      <w:r w:rsidRPr="00DC5028">
        <w:rPr>
          <w:rFonts w:cs="Tahoma"/>
        </w:rPr>
        <w:t>En esas condiciones, surge evidente</w:t>
      </w:r>
      <w:r>
        <w:rPr>
          <w:rFonts w:cs="Tahoma"/>
        </w:rPr>
        <w:t xml:space="preserve"> </w:t>
      </w:r>
      <w:r w:rsidRPr="00DC5028">
        <w:rPr>
          <w:rFonts w:cs="Tahoma"/>
        </w:rPr>
        <w:t xml:space="preserve">que en el caso que concita la atención de la Sala no queda alternativa diferente a </w:t>
      </w:r>
      <w:r w:rsidRPr="00714364">
        <w:rPr>
          <w:rFonts w:cs="Tahoma"/>
          <w:b/>
          <w:bCs/>
          <w:sz w:val="24"/>
          <w:szCs w:val="24"/>
        </w:rPr>
        <w:t>rechazar</w:t>
      </w:r>
      <w:r w:rsidRPr="00DC5028">
        <w:rPr>
          <w:rFonts w:cs="Tahoma"/>
        </w:rPr>
        <w:t xml:space="preserve"> la demanda presentada. </w:t>
      </w:r>
    </w:p>
    <w:p w14:paraId="78F1098E" w14:textId="77777777" w:rsidR="0046047C" w:rsidRPr="00DC5028" w:rsidRDefault="0046047C" w:rsidP="0046047C">
      <w:pPr>
        <w:pStyle w:val="Textoindependiente2"/>
        <w:spacing w:after="0" w:line="276" w:lineRule="auto"/>
        <w:rPr>
          <w:rFonts w:cs="Tahoma"/>
        </w:rPr>
      </w:pPr>
    </w:p>
    <w:p w14:paraId="52087B54" w14:textId="77777777" w:rsidR="0046047C" w:rsidRPr="00DC5028" w:rsidRDefault="0046047C" w:rsidP="0046047C">
      <w:pPr>
        <w:spacing w:line="240" w:lineRule="auto"/>
        <w:rPr>
          <w:rFonts w:ascii="Bookman Old Style" w:hAnsi="Bookman Old Style"/>
          <w:sz w:val="30"/>
          <w:szCs w:val="30"/>
          <w:lang w:val="es-MX"/>
        </w:rPr>
      </w:pPr>
      <w:r w:rsidRPr="00DC5028">
        <w:rPr>
          <w:rFonts w:ascii="Algerian" w:hAnsi="Algerian"/>
          <w:sz w:val="30"/>
          <w:szCs w:val="30"/>
          <w:lang w:val="es-MX"/>
        </w:rPr>
        <w:t xml:space="preserve">3.- DECISIÓN </w:t>
      </w:r>
    </w:p>
    <w:p w14:paraId="2A703157" w14:textId="77777777" w:rsidR="0046047C" w:rsidRPr="00DC5028" w:rsidRDefault="0046047C" w:rsidP="0046047C">
      <w:pPr>
        <w:pStyle w:val="Textoindependiente"/>
        <w:spacing w:after="0" w:line="240" w:lineRule="auto"/>
        <w:rPr>
          <w:rFonts w:ascii="Bookman Old Style" w:hAnsi="Bookman Old Style"/>
          <w:sz w:val="24"/>
          <w:szCs w:val="24"/>
          <w:lang w:val="es-ES_tradnl"/>
        </w:rPr>
      </w:pPr>
      <w:r w:rsidRPr="00DC5028">
        <w:rPr>
          <w:rFonts w:ascii="Bookman Old Style" w:hAnsi="Bookman Old Style"/>
          <w:sz w:val="24"/>
          <w:szCs w:val="24"/>
          <w:lang w:val="es-ES_tradnl"/>
        </w:rPr>
        <w:t xml:space="preserve">  </w:t>
      </w:r>
    </w:p>
    <w:p w14:paraId="2D2198B2" w14:textId="279EFBC3" w:rsidR="0046047C" w:rsidRDefault="0046047C" w:rsidP="0046047C">
      <w:pPr>
        <w:pStyle w:val="Textoindependiente2"/>
        <w:spacing w:after="0" w:line="276" w:lineRule="auto"/>
      </w:pPr>
      <w:r w:rsidRPr="00B41C24">
        <w:rPr>
          <w:rFonts w:cs="Tahoma"/>
          <w:szCs w:val="24"/>
        </w:rPr>
        <w:t xml:space="preserve">En mérito de lo expuesto, el Tribunal Superior del Distrito Judicial de Pereira, Sala </w:t>
      </w:r>
      <w:proofErr w:type="spellStart"/>
      <w:r w:rsidRPr="00B41C24">
        <w:rPr>
          <w:rFonts w:cs="Tahoma"/>
          <w:szCs w:val="24"/>
        </w:rPr>
        <w:t>N°</w:t>
      </w:r>
      <w:proofErr w:type="spellEnd"/>
      <w:r w:rsidRPr="00B41C24">
        <w:rPr>
          <w:rFonts w:cs="Tahoma"/>
          <w:szCs w:val="24"/>
        </w:rPr>
        <w:t xml:space="preserve"> 2 de Decisión Penal</w:t>
      </w:r>
      <w:r w:rsidRPr="00DC5028">
        <w:t xml:space="preserve">, </w:t>
      </w:r>
      <w:r w:rsidRPr="00DC5028">
        <w:rPr>
          <w:b/>
          <w:sz w:val="22"/>
          <w:szCs w:val="22"/>
        </w:rPr>
        <w:t>RECHAZA</w:t>
      </w:r>
      <w:r w:rsidRPr="00DC5028">
        <w:t xml:space="preserve"> la demanda de amparo constitucional </w:t>
      </w:r>
      <w:r>
        <w:t xml:space="preserve">impetrada por el abogado </w:t>
      </w:r>
      <w:r w:rsidRPr="00C167A9">
        <w:rPr>
          <w:b/>
          <w:sz w:val="22"/>
        </w:rPr>
        <w:t>EDER MOSQUERA ANDRADE</w:t>
      </w:r>
      <w:r>
        <w:rPr>
          <w:lang w:val="es-CO"/>
        </w:rPr>
        <w:t xml:space="preserve"> como apoderado judicial de la </w:t>
      </w:r>
      <w:r>
        <w:t xml:space="preserve">ciudadana </w:t>
      </w:r>
      <w:r w:rsidR="00CF36D1">
        <w:rPr>
          <w:rFonts w:cs="Tahoma"/>
          <w:b/>
          <w:sz w:val="22"/>
          <w:szCs w:val="26"/>
        </w:rPr>
        <w:t>MCMD</w:t>
      </w:r>
      <w:r>
        <w:rPr>
          <w:rFonts w:cs="Tahoma"/>
          <w:szCs w:val="26"/>
        </w:rPr>
        <w:t xml:space="preserve">, de quien aduce que ejerce la calidad de representante legal de la </w:t>
      </w:r>
      <w:r w:rsidRPr="00166082">
        <w:rPr>
          <w:rFonts w:cs="Tahoma"/>
          <w:b/>
          <w:sz w:val="22"/>
          <w:szCs w:val="26"/>
        </w:rPr>
        <w:t xml:space="preserve">menor </w:t>
      </w:r>
      <w:r w:rsidR="00CF36D1">
        <w:rPr>
          <w:rFonts w:cs="Tahoma"/>
          <w:b/>
          <w:sz w:val="22"/>
          <w:szCs w:val="26"/>
        </w:rPr>
        <w:t>HPMM</w:t>
      </w:r>
      <w:r>
        <w:t>.</w:t>
      </w:r>
    </w:p>
    <w:p w14:paraId="7CEBA014" w14:textId="77777777" w:rsidR="0046047C" w:rsidRDefault="0046047C" w:rsidP="0046047C">
      <w:pPr>
        <w:spacing w:line="240" w:lineRule="auto"/>
      </w:pPr>
    </w:p>
    <w:p w14:paraId="7669210A" w14:textId="77777777" w:rsidR="0046047C" w:rsidRPr="002A130A" w:rsidRDefault="0046047C" w:rsidP="0046047C">
      <w:pPr>
        <w:pStyle w:val="Textoindependiente2"/>
        <w:spacing w:after="0" w:line="276" w:lineRule="auto"/>
        <w:rPr>
          <w:rFonts w:cs="Tahoma"/>
          <w:spacing w:val="-2"/>
          <w:szCs w:val="26"/>
        </w:rPr>
      </w:pPr>
      <w:r w:rsidRPr="002A130A">
        <w:rPr>
          <w:rFonts w:cs="Tahoma"/>
          <w:spacing w:val="-2"/>
          <w:szCs w:val="26"/>
        </w:rPr>
        <w:t xml:space="preserve">En caso de que </w:t>
      </w:r>
      <w:r>
        <w:rPr>
          <w:rFonts w:cs="Tahoma"/>
          <w:spacing w:val="-2"/>
          <w:szCs w:val="26"/>
        </w:rPr>
        <w:t xml:space="preserve">este proveído </w:t>
      </w:r>
      <w:r w:rsidRPr="002A130A">
        <w:rPr>
          <w:rFonts w:cs="Tahoma"/>
          <w:spacing w:val="-2"/>
          <w:szCs w:val="26"/>
        </w:rPr>
        <w:t>no sea impugnad</w:t>
      </w:r>
      <w:r>
        <w:rPr>
          <w:rFonts w:cs="Tahoma"/>
          <w:spacing w:val="-2"/>
          <w:szCs w:val="26"/>
        </w:rPr>
        <w:t>o</w:t>
      </w:r>
      <w:r w:rsidRPr="002A130A">
        <w:rPr>
          <w:rFonts w:cs="Tahoma"/>
          <w:spacing w:val="-2"/>
          <w:szCs w:val="26"/>
        </w:rPr>
        <w:t>, se ordena su remisión inmediata a la Corte Constitucional, para su eventual revisión</w:t>
      </w:r>
      <w:r w:rsidRPr="002A130A">
        <w:rPr>
          <w:rFonts w:cs="Tahoma"/>
          <w:spacing w:val="-2"/>
          <w:szCs w:val="26"/>
          <w:vertAlign w:val="superscript"/>
        </w:rPr>
        <w:footnoteReference w:id="1"/>
      </w:r>
      <w:r w:rsidRPr="002A130A">
        <w:rPr>
          <w:rFonts w:cs="Tahoma"/>
          <w:spacing w:val="-2"/>
          <w:szCs w:val="26"/>
        </w:rPr>
        <w:t>.</w:t>
      </w:r>
    </w:p>
    <w:p w14:paraId="3A256D8D" w14:textId="77777777" w:rsidR="0046047C" w:rsidRPr="00DC5028" w:rsidRDefault="0046047C" w:rsidP="0046047C">
      <w:pPr>
        <w:pStyle w:val="Textoindependiente"/>
        <w:spacing w:after="0" w:line="240" w:lineRule="auto"/>
        <w:rPr>
          <w:rFonts w:cs="Tahoma"/>
          <w:szCs w:val="26"/>
        </w:rPr>
      </w:pPr>
    </w:p>
    <w:p w14:paraId="48E889DF" w14:textId="77777777" w:rsidR="0046047C" w:rsidRPr="00DC5028" w:rsidRDefault="0046047C" w:rsidP="0046047C">
      <w:pPr>
        <w:pStyle w:val="Textoindependiente"/>
        <w:spacing w:after="0" w:line="240" w:lineRule="auto"/>
        <w:outlineLvl w:val="0"/>
        <w:rPr>
          <w:rFonts w:ascii="Algerian" w:hAnsi="Algerian" w:cs="Tahoma"/>
          <w:sz w:val="30"/>
          <w:szCs w:val="30"/>
        </w:rPr>
      </w:pPr>
      <w:r>
        <w:rPr>
          <w:rFonts w:ascii="Algerian" w:hAnsi="Algerian" w:cs="Tahoma"/>
          <w:sz w:val="30"/>
          <w:szCs w:val="30"/>
        </w:rPr>
        <w:t xml:space="preserve">NOTIFÍQUESE </w:t>
      </w:r>
      <w:r w:rsidRPr="00DC5028">
        <w:rPr>
          <w:rFonts w:ascii="Algerian" w:hAnsi="Algerian" w:cs="Tahoma"/>
          <w:sz w:val="30"/>
          <w:szCs w:val="30"/>
        </w:rPr>
        <w:t>Y CÚMPLASE</w:t>
      </w:r>
    </w:p>
    <w:p w14:paraId="1BFE0D13" w14:textId="77777777" w:rsidR="0046047C" w:rsidRDefault="0046047C" w:rsidP="0046047C">
      <w:pPr>
        <w:pStyle w:val="Textoindependiente"/>
        <w:spacing w:after="0" w:line="240" w:lineRule="auto"/>
        <w:outlineLvl w:val="0"/>
        <w:rPr>
          <w:rFonts w:ascii="Algerian" w:hAnsi="Algerian" w:cs="Tahoma"/>
          <w:sz w:val="20"/>
        </w:rPr>
      </w:pPr>
    </w:p>
    <w:p w14:paraId="7C485C4E" w14:textId="77777777" w:rsidR="0046047C" w:rsidRDefault="0046047C" w:rsidP="0046047C">
      <w:pPr>
        <w:pStyle w:val="Textoindependiente"/>
        <w:spacing w:after="0" w:line="240" w:lineRule="auto"/>
        <w:outlineLvl w:val="0"/>
        <w:rPr>
          <w:rFonts w:ascii="Algerian" w:hAnsi="Algerian" w:cs="Tahoma"/>
          <w:sz w:val="20"/>
        </w:rPr>
      </w:pPr>
    </w:p>
    <w:p w14:paraId="7F0A0455" w14:textId="77777777" w:rsidR="0046047C" w:rsidRPr="00DC5028" w:rsidRDefault="0046047C" w:rsidP="0046047C">
      <w:pPr>
        <w:spacing w:line="240" w:lineRule="auto"/>
        <w:jc w:val="center"/>
        <w:rPr>
          <w:lang w:val="es-ES_tradnl"/>
        </w:rPr>
      </w:pPr>
      <w:r>
        <w:rPr>
          <w:lang w:val="es-ES_tradnl"/>
        </w:rPr>
        <w:t>CARLOS ALBERTO PAZ ZÚÑIGA</w:t>
      </w:r>
    </w:p>
    <w:p w14:paraId="3E553594" w14:textId="77777777" w:rsidR="0046047C" w:rsidRPr="00DC5028" w:rsidRDefault="0046047C" w:rsidP="0046047C">
      <w:pPr>
        <w:spacing w:line="240" w:lineRule="auto"/>
        <w:jc w:val="center"/>
        <w:rPr>
          <w:lang w:val="es-ES_tradnl"/>
        </w:rPr>
      </w:pPr>
      <w:r w:rsidRPr="00DC5028">
        <w:rPr>
          <w:lang w:val="es-ES_tradnl"/>
        </w:rPr>
        <w:t xml:space="preserve">Magistrado </w:t>
      </w:r>
    </w:p>
    <w:p w14:paraId="65F53C9D" w14:textId="77777777" w:rsidR="0046047C" w:rsidRPr="00DC5028" w:rsidRDefault="0046047C" w:rsidP="0046047C">
      <w:pPr>
        <w:spacing w:line="240" w:lineRule="auto"/>
        <w:jc w:val="center"/>
        <w:rPr>
          <w:rFonts w:ascii="Verdana" w:hAnsi="Verdana"/>
          <w:sz w:val="20"/>
        </w:rPr>
      </w:pPr>
      <w:r w:rsidRPr="00DC5028">
        <w:rPr>
          <w:rFonts w:ascii="Verdana" w:hAnsi="Verdana"/>
          <w:sz w:val="20"/>
        </w:rPr>
        <w:t>Con firma electrónica al final del documento</w:t>
      </w:r>
    </w:p>
    <w:p w14:paraId="0C2348AD" w14:textId="77777777" w:rsidR="0046047C" w:rsidRDefault="0046047C" w:rsidP="0046047C">
      <w:pPr>
        <w:spacing w:line="240" w:lineRule="auto"/>
        <w:jc w:val="center"/>
        <w:rPr>
          <w:sz w:val="20"/>
          <w:lang w:val="es-ES_tradnl"/>
        </w:rPr>
      </w:pPr>
    </w:p>
    <w:p w14:paraId="40A7CF11" w14:textId="77777777" w:rsidR="0046047C" w:rsidRPr="008C33EB" w:rsidRDefault="0046047C" w:rsidP="0046047C">
      <w:pPr>
        <w:spacing w:line="240" w:lineRule="auto"/>
        <w:jc w:val="center"/>
        <w:rPr>
          <w:sz w:val="20"/>
          <w:lang w:val="es-ES_tradnl"/>
        </w:rPr>
      </w:pPr>
    </w:p>
    <w:p w14:paraId="00BF9E30" w14:textId="77777777" w:rsidR="0046047C" w:rsidRPr="008C33EB" w:rsidRDefault="0046047C" w:rsidP="0046047C">
      <w:pPr>
        <w:spacing w:line="240" w:lineRule="auto"/>
        <w:jc w:val="center"/>
        <w:rPr>
          <w:sz w:val="20"/>
          <w:lang w:val="es-ES_tradnl"/>
        </w:rPr>
      </w:pPr>
    </w:p>
    <w:p w14:paraId="52245733" w14:textId="77777777" w:rsidR="0046047C" w:rsidRPr="00DC5028" w:rsidRDefault="0046047C" w:rsidP="0046047C">
      <w:pPr>
        <w:spacing w:line="240" w:lineRule="auto"/>
        <w:jc w:val="center"/>
        <w:rPr>
          <w:lang w:val="es-ES_tradnl"/>
        </w:rPr>
      </w:pPr>
      <w:r w:rsidRPr="00DC5028">
        <w:rPr>
          <w:lang w:val="es-ES_tradnl"/>
        </w:rPr>
        <w:lastRenderedPageBreak/>
        <w:t>JULIÁN RIVERA LOAIZA</w:t>
      </w:r>
    </w:p>
    <w:p w14:paraId="57322F78" w14:textId="77777777" w:rsidR="0046047C" w:rsidRPr="00DC5028" w:rsidRDefault="0046047C" w:rsidP="0046047C">
      <w:pPr>
        <w:spacing w:line="240" w:lineRule="auto"/>
        <w:jc w:val="center"/>
        <w:rPr>
          <w:lang w:val="es-ES_tradnl"/>
        </w:rPr>
      </w:pPr>
      <w:r w:rsidRPr="00DC5028">
        <w:rPr>
          <w:lang w:val="es-ES_tradnl"/>
        </w:rPr>
        <w:t xml:space="preserve">Magistrado </w:t>
      </w:r>
    </w:p>
    <w:p w14:paraId="3B540222" w14:textId="77777777" w:rsidR="0046047C" w:rsidRPr="00DC5028" w:rsidRDefault="0046047C" w:rsidP="0046047C">
      <w:pPr>
        <w:spacing w:line="240" w:lineRule="auto"/>
        <w:jc w:val="center"/>
        <w:rPr>
          <w:rFonts w:ascii="Verdana" w:hAnsi="Verdana"/>
          <w:sz w:val="20"/>
        </w:rPr>
      </w:pPr>
      <w:r w:rsidRPr="00DC5028">
        <w:rPr>
          <w:rFonts w:ascii="Verdana" w:hAnsi="Verdana"/>
          <w:sz w:val="20"/>
        </w:rPr>
        <w:t>Con firma electrónica al final del documento</w:t>
      </w:r>
    </w:p>
    <w:p w14:paraId="20E2AFA4" w14:textId="77777777" w:rsidR="0046047C" w:rsidRDefault="0046047C" w:rsidP="0046047C">
      <w:pPr>
        <w:spacing w:line="240" w:lineRule="auto"/>
        <w:jc w:val="center"/>
        <w:rPr>
          <w:lang w:val="es-ES_tradnl"/>
        </w:rPr>
      </w:pPr>
    </w:p>
    <w:p w14:paraId="3378DF86" w14:textId="77777777" w:rsidR="0046047C" w:rsidRDefault="0046047C" w:rsidP="0046047C">
      <w:pPr>
        <w:spacing w:line="240" w:lineRule="auto"/>
        <w:jc w:val="center"/>
        <w:rPr>
          <w:lang w:val="es-ES_tradnl"/>
        </w:rPr>
      </w:pPr>
    </w:p>
    <w:p w14:paraId="3F23F351" w14:textId="77777777" w:rsidR="0046047C" w:rsidRPr="00DC5028" w:rsidRDefault="0046047C" w:rsidP="0046047C">
      <w:pPr>
        <w:spacing w:line="240" w:lineRule="auto"/>
        <w:jc w:val="center"/>
        <w:rPr>
          <w:lang w:val="es-ES_tradnl"/>
        </w:rPr>
      </w:pPr>
      <w:r>
        <w:rPr>
          <w:lang w:val="es-ES_tradnl"/>
        </w:rPr>
        <w:t xml:space="preserve">MANUEL YARZAGARAY BANDERA </w:t>
      </w:r>
    </w:p>
    <w:p w14:paraId="613A49E2" w14:textId="77777777" w:rsidR="0046047C" w:rsidRPr="00DC5028" w:rsidRDefault="0046047C" w:rsidP="0046047C">
      <w:pPr>
        <w:spacing w:line="240" w:lineRule="auto"/>
        <w:jc w:val="center"/>
        <w:rPr>
          <w:lang w:val="es-ES_tradnl"/>
        </w:rPr>
      </w:pPr>
      <w:r w:rsidRPr="00DC5028">
        <w:rPr>
          <w:lang w:val="es-ES_tradnl"/>
        </w:rPr>
        <w:t xml:space="preserve">Magistrado </w:t>
      </w:r>
    </w:p>
    <w:p w14:paraId="14314CAE" w14:textId="77777777" w:rsidR="0046047C" w:rsidRDefault="0046047C" w:rsidP="0046047C">
      <w:pPr>
        <w:spacing w:line="240" w:lineRule="auto"/>
        <w:jc w:val="center"/>
      </w:pPr>
      <w:r w:rsidRPr="00DC5028">
        <w:rPr>
          <w:rFonts w:ascii="Verdana" w:hAnsi="Verdana"/>
          <w:sz w:val="20"/>
        </w:rPr>
        <w:t>Con firma electrónica al final del documento</w:t>
      </w:r>
    </w:p>
    <w:p w14:paraId="42576010" w14:textId="77777777" w:rsidR="00903F77" w:rsidRDefault="00C23117"/>
    <w:sectPr w:rsidR="00903F77" w:rsidSect="00166082">
      <w:headerReference w:type="even" r:id="rId7"/>
      <w:headerReference w:type="default" r:id="rId8"/>
      <w:footerReference w:type="default" r:id="rId9"/>
      <w:pgSz w:w="12242" w:h="18722" w:code="124"/>
      <w:pgMar w:top="1985" w:right="1701" w:bottom="993" w:left="1701" w:header="709" w:footer="1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C6FD" w14:textId="77777777" w:rsidR="00C23117" w:rsidRDefault="00C23117" w:rsidP="0046047C">
      <w:pPr>
        <w:spacing w:line="240" w:lineRule="auto"/>
      </w:pPr>
      <w:r>
        <w:separator/>
      </w:r>
    </w:p>
  </w:endnote>
  <w:endnote w:type="continuationSeparator" w:id="0">
    <w:p w14:paraId="40FDBD0D" w14:textId="77777777" w:rsidR="00C23117" w:rsidRDefault="00C23117" w:rsidP="00460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E7DD" w14:textId="77777777" w:rsidR="00E77932" w:rsidRDefault="0014532F" w:rsidP="00B74780">
    <w:pPr>
      <w:pStyle w:val="Piedepgina"/>
      <w:jc w:val="right"/>
    </w:pPr>
    <w:r w:rsidRPr="00C56C4A">
      <w:rPr>
        <w:rFonts w:ascii="Courier New" w:hAnsi="Courier New" w:cs="Courier New"/>
        <w:snapToGrid w:val="0"/>
        <w:sz w:val="16"/>
        <w:szCs w:val="16"/>
      </w:rPr>
      <w:t xml:space="preserve">Página </w:t>
    </w:r>
    <w:r w:rsidRPr="00C56C4A">
      <w:rPr>
        <w:rFonts w:ascii="Courier New" w:hAnsi="Courier New" w:cs="Courier New"/>
        <w:snapToGrid w:val="0"/>
        <w:sz w:val="16"/>
        <w:szCs w:val="16"/>
      </w:rPr>
      <w:fldChar w:fldCharType="begin"/>
    </w:r>
    <w:r w:rsidRPr="00C56C4A">
      <w:rPr>
        <w:rFonts w:ascii="Courier New" w:hAnsi="Courier New" w:cs="Courier New"/>
        <w:snapToGrid w:val="0"/>
        <w:sz w:val="16"/>
        <w:szCs w:val="16"/>
      </w:rPr>
      <w:instrText xml:space="preserve"> PAGE </w:instrText>
    </w:r>
    <w:r w:rsidRPr="00C56C4A">
      <w:rPr>
        <w:rFonts w:ascii="Courier New" w:hAnsi="Courier New" w:cs="Courier New"/>
        <w:snapToGrid w:val="0"/>
        <w:sz w:val="16"/>
        <w:szCs w:val="16"/>
      </w:rPr>
      <w:fldChar w:fldCharType="separate"/>
    </w:r>
    <w:r>
      <w:rPr>
        <w:rFonts w:ascii="Courier New" w:hAnsi="Courier New" w:cs="Courier New"/>
        <w:noProof/>
        <w:snapToGrid w:val="0"/>
        <w:sz w:val="16"/>
        <w:szCs w:val="16"/>
      </w:rPr>
      <w:t>4</w:t>
    </w:r>
    <w:r w:rsidRPr="00C56C4A">
      <w:rPr>
        <w:rFonts w:ascii="Courier New" w:hAnsi="Courier New" w:cs="Courier New"/>
        <w:snapToGrid w:val="0"/>
        <w:sz w:val="16"/>
        <w:szCs w:val="16"/>
      </w:rPr>
      <w:fldChar w:fldCharType="end"/>
    </w:r>
    <w:r w:rsidRPr="00C56C4A">
      <w:rPr>
        <w:rFonts w:ascii="Courier New" w:hAnsi="Courier New" w:cs="Courier New"/>
        <w:snapToGrid w:val="0"/>
        <w:sz w:val="16"/>
        <w:szCs w:val="16"/>
      </w:rPr>
      <w:t xml:space="preserve"> de </w:t>
    </w:r>
    <w:r w:rsidRPr="00C56C4A">
      <w:rPr>
        <w:rFonts w:ascii="Courier New" w:hAnsi="Courier New" w:cs="Courier New"/>
        <w:snapToGrid w:val="0"/>
        <w:sz w:val="16"/>
        <w:szCs w:val="16"/>
      </w:rPr>
      <w:fldChar w:fldCharType="begin"/>
    </w:r>
    <w:r w:rsidRPr="00C56C4A">
      <w:rPr>
        <w:rFonts w:ascii="Courier New" w:hAnsi="Courier New" w:cs="Courier New"/>
        <w:snapToGrid w:val="0"/>
        <w:sz w:val="16"/>
        <w:szCs w:val="16"/>
      </w:rPr>
      <w:instrText xml:space="preserve"> NUMPAGES </w:instrText>
    </w:r>
    <w:r w:rsidRPr="00C56C4A">
      <w:rPr>
        <w:rFonts w:ascii="Courier New" w:hAnsi="Courier New" w:cs="Courier New"/>
        <w:snapToGrid w:val="0"/>
        <w:sz w:val="16"/>
        <w:szCs w:val="16"/>
      </w:rPr>
      <w:fldChar w:fldCharType="separate"/>
    </w:r>
    <w:r>
      <w:rPr>
        <w:rFonts w:ascii="Courier New" w:hAnsi="Courier New" w:cs="Courier New"/>
        <w:noProof/>
        <w:snapToGrid w:val="0"/>
        <w:sz w:val="16"/>
        <w:szCs w:val="16"/>
      </w:rPr>
      <w:t>4</w:t>
    </w:r>
    <w:r w:rsidRPr="00C56C4A">
      <w:rPr>
        <w:rFonts w:ascii="Courier New" w:hAnsi="Courier New" w:cs="Courier New"/>
        <w:snapToGrid w:val="0"/>
        <w:sz w:val="16"/>
        <w:szCs w:val="16"/>
      </w:rPr>
      <w:fldChar w:fldCharType="end"/>
    </w:r>
  </w:p>
  <w:p w14:paraId="2172CD3F" w14:textId="77777777" w:rsidR="00E7273A" w:rsidRDefault="00C23117" w:rsidP="00802C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F0189" w14:textId="77777777" w:rsidR="00C23117" w:rsidRDefault="00C23117" w:rsidP="0046047C">
      <w:pPr>
        <w:spacing w:line="240" w:lineRule="auto"/>
      </w:pPr>
      <w:r>
        <w:separator/>
      </w:r>
    </w:p>
  </w:footnote>
  <w:footnote w:type="continuationSeparator" w:id="0">
    <w:p w14:paraId="2BA1599F" w14:textId="77777777" w:rsidR="00C23117" w:rsidRDefault="00C23117" w:rsidP="0046047C">
      <w:pPr>
        <w:spacing w:line="240" w:lineRule="auto"/>
      </w:pPr>
      <w:r>
        <w:continuationSeparator/>
      </w:r>
    </w:p>
  </w:footnote>
  <w:footnote w:id="1">
    <w:p w14:paraId="2F313005" w14:textId="77777777" w:rsidR="0046047C" w:rsidRPr="002F27B0" w:rsidRDefault="0046047C" w:rsidP="0046047C">
      <w:pPr>
        <w:spacing w:line="240" w:lineRule="auto"/>
        <w:rPr>
          <w:lang w:val="es-CO"/>
        </w:rPr>
      </w:pPr>
      <w:bookmarkStart w:id="0" w:name="_Hlk194675012"/>
      <w:bookmarkStart w:id="1" w:name="_Hlk194675013"/>
      <w:r>
        <w:rPr>
          <w:rStyle w:val="Refdenotaalpie"/>
        </w:rPr>
        <w:footnoteRef/>
      </w:r>
      <w:r>
        <w:t xml:space="preserve"> </w:t>
      </w:r>
      <w:r w:rsidRPr="000618BE">
        <w:rPr>
          <w:rFonts w:ascii="Verdana" w:hAnsi="Verdana"/>
          <w:sz w:val="20"/>
        </w:rPr>
        <w:t xml:space="preserve">La Corte Constitucional ha señalado que “el derecho a impugnar los fallos de tutela se predica </w:t>
      </w:r>
      <w:r w:rsidRPr="000618BE">
        <w:rPr>
          <w:rFonts w:ascii="Verdana" w:hAnsi="Verdana"/>
          <w:i/>
          <w:sz w:val="20"/>
        </w:rPr>
        <w:t xml:space="preserve">“incluso si el fallo asume la modalidad de rechazo” </w:t>
      </w:r>
      <w:r w:rsidRPr="000618BE">
        <w:rPr>
          <w:rFonts w:ascii="Verdana" w:hAnsi="Verdana"/>
          <w:sz w:val="20"/>
        </w:rPr>
        <w:t>y</w:t>
      </w:r>
      <w:r>
        <w:rPr>
          <w:rFonts w:ascii="Verdana" w:hAnsi="Verdana"/>
          <w:sz w:val="20"/>
        </w:rPr>
        <w:t>,</w:t>
      </w:r>
      <w:r w:rsidRPr="000618BE">
        <w:rPr>
          <w:rFonts w:ascii="Verdana" w:hAnsi="Verdana"/>
          <w:sz w:val="20"/>
        </w:rPr>
        <w:t xml:space="preserve"> en </w:t>
      </w:r>
      <w:r>
        <w:rPr>
          <w:rFonts w:ascii="Verdana" w:hAnsi="Verdana"/>
          <w:sz w:val="20"/>
        </w:rPr>
        <w:t xml:space="preserve">tal </w:t>
      </w:r>
      <w:r w:rsidRPr="000618BE">
        <w:rPr>
          <w:rFonts w:ascii="Verdana" w:hAnsi="Verdana"/>
          <w:sz w:val="20"/>
        </w:rPr>
        <w:t>caso</w:t>
      </w:r>
      <w:r>
        <w:rPr>
          <w:rFonts w:ascii="Verdana" w:hAnsi="Verdana"/>
          <w:sz w:val="20"/>
        </w:rPr>
        <w:t>,</w:t>
      </w:r>
      <w:r w:rsidRPr="000618BE">
        <w:rPr>
          <w:rFonts w:ascii="Verdana" w:hAnsi="Verdana"/>
          <w:sz w:val="20"/>
        </w:rPr>
        <w:t xml:space="preserve"> los jueces deben enviar el expediente a la Corte Constitucional para su eventual revisión</w:t>
      </w:r>
      <w:r>
        <w:rPr>
          <w:rFonts w:ascii="Verdana" w:hAnsi="Verdana"/>
          <w:sz w:val="20"/>
        </w:rPr>
        <w:t>”, Cfr. Auto 001 de 1993, C-483 de 2008, T-518 de 2009 y T-313 de 2018.</w:t>
      </w:r>
      <w:bookmarkEnd w:id="0"/>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F59B" w14:textId="77777777" w:rsidR="00FC1DCE" w:rsidRDefault="00C23117"/>
  <w:p w14:paraId="1CA32316" w14:textId="77777777" w:rsidR="00FC1DCE" w:rsidRDefault="00C23117"/>
  <w:p w14:paraId="3985CC7F" w14:textId="77777777" w:rsidR="00FC1DCE" w:rsidRDefault="00C23117" w:rsidP="00FC1DCE"/>
  <w:p w14:paraId="5D03053E" w14:textId="77777777" w:rsidR="00FC1DCE" w:rsidRDefault="00C23117" w:rsidP="00FC1DCE"/>
  <w:p w14:paraId="57ED04F2" w14:textId="77777777" w:rsidR="00FC1DCE" w:rsidRDefault="00C23117" w:rsidP="00FC1DCE"/>
  <w:p w14:paraId="3AE3A78F" w14:textId="77777777" w:rsidR="00FC1DCE" w:rsidRDefault="00C23117" w:rsidP="00FC1DCE"/>
  <w:p w14:paraId="4A9FE527" w14:textId="77777777" w:rsidR="00FC1DCE" w:rsidRDefault="00C23117" w:rsidP="00FC1DCE"/>
  <w:p w14:paraId="7326D897" w14:textId="77777777" w:rsidR="00E77932" w:rsidRDefault="00C23117"/>
  <w:p w14:paraId="34500760" w14:textId="77777777" w:rsidR="00E7273A" w:rsidRDefault="00C23117"/>
  <w:p w14:paraId="7D37C4B7" w14:textId="77777777" w:rsidR="00E7273A" w:rsidRDefault="00C23117" w:rsidP="00F21A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EB15" w14:textId="77777777" w:rsidR="00FC1DCE" w:rsidRDefault="0014532F" w:rsidP="00FC1DCE">
    <w:pPr>
      <w:pStyle w:val="Encabezado"/>
    </w:pPr>
    <w:r>
      <w:t>TUTELA PRIMERA INSTANCIA</w:t>
    </w:r>
  </w:p>
  <w:p w14:paraId="083951CF" w14:textId="77777777" w:rsidR="00FC1DCE" w:rsidRDefault="0014532F" w:rsidP="00FC1DCE">
    <w:pPr>
      <w:pStyle w:val="Encabezado"/>
    </w:pPr>
    <w:r>
      <w:t>RADICACIÓN:  660012204000 2025 00058 00</w:t>
    </w:r>
  </w:p>
  <w:p w14:paraId="1A042920" w14:textId="76D0EDD6" w:rsidR="002511E1" w:rsidRDefault="0014532F" w:rsidP="00FC1DCE">
    <w:pPr>
      <w:pStyle w:val="Encabezado"/>
    </w:pPr>
    <w:r>
      <w:t xml:space="preserve">ACCIONANTE: MCMD </w:t>
    </w:r>
  </w:p>
  <w:p w14:paraId="2CAA6992" w14:textId="77777777" w:rsidR="00FC1DCE" w:rsidRDefault="0014532F" w:rsidP="00FC1DCE">
    <w:pPr>
      <w:pStyle w:val="Encabezado"/>
    </w:pPr>
    <w:r>
      <w:t>SE RECHAZA</w:t>
    </w:r>
  </w:p>
  <w:p w14:paraId="20A0E1AE" w14:textId="77777777" w:rsidR="00E77932" w:rsidRDefault="0014532F" w:rsidP="008C33EB">
    <w:pPr>
      <w:pStyle w:val="Encabezado"/>
    </w:pPr>
    <w:r>
      <w:t>A N°009</w:t>
    </w:r>
  </w:p>
  <w:p w14:paraId="56FE894E" w14:textId="77777777" w:rsidR="000E3A1D" w:rsidRDefault="00C23117" w:rsidP="008C33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7C"/>
    <w:rsid w:val="000703D4"/>
    <w:rsid w:val="0014532F"/>
    <w:rsid w:val="0046047C"/>
    <w:rsid w:val="00513D52"/>
    <w:rsid w:val="006A5174"/>
    <w:rsid w:val="007658CA"/>
    <w:rsid w:val="007B0D26"/>
    <w:rsid w:val="00826B80"/>
    <w:rsid w:val="00B002F7"/>
    <w:rsid w:val="00C23117"/>
    <w:rsid w:val="00C811E5"/>
    <w:rsid w:val="00CF36D1"/>
    <w:rsid w:val="00EA2B0A"/>
    <w:rsid w:val="00F708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48A0944"/>
  <w15:chartTrackingRefBased/>
  <w15:docId w15:val="{7FB34849-C484-473A-BDFF-CEF888A0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6047C"/>
    <w:pPr>
      <w:overflowPunct w:val="0"/>
      <w:autoSpaceDE w:val="0"/>
      <w:autoSpaceDN w:val="0"/>
      <w:adjustRightInd w:val="0"/>
      <w:spacing w:after="0" w:line="360" w:lineRule="auto"/>
      <w:jc w:val="both"/>
      <w:textAlignment w:val="baseline"/>
    </w:pPr>
    <w:rPr>
      <w:rFonts w:ascii="Tahoma" w:eastAsia="Times New Roman" w:hAnsi="Tahoma" w:cs="Times New Roman"/>
      <w:sz w:val="2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6047C"/>
    <w:pPr>
      <w:tabs>
        <w:tab w:val="center" w:pos="4252"/>
        <w:tab w:val="right" w:pos="8504"/>
      </w:tabs>
      <w:spacing w:line="240" w:lineRule="auto"/>
      <w:jc w:val="right"/>
    </w:pPr>
    <w:rPr>
      <w:rFonts w:ascii="Courier New" w:hAnsi="Courier New"/>
      <w:sz w:val="16"/>
    </w:rPr>
  </w:style>
  <w:style w:type="character" w:customStyle="1" w:styleId="EncabezadoCar">
    <w:name w:val="Encabezado Car"/>
    <w:basedOn w:val="Fuentedeprrafopredeter"/>
    <w:link w:val="Encabezado"/>
    <w:rsid w:val="0046047C"/>
    <w:rPr>
      <w:rFonts w:ascii="Courier New" w:eastAsia="Times New Roman" w:hAnsi="Courier New" w:cs="Times New Roman"/>
      <w:sz w:val="16"/>
      <w:szCs w:val="20"/>
      <w:lang w:val="es-ES" w:eastAsia="es-ES"/>
    </w:rPr>
  </w:style>
  <w:style w:type="paragraph" w:styleId="Piedepgina">
    <w:name w:val="footer"/>
    <w:basedOn w:val="Normal"/>
    <w:link w:val="PiedepginaCar"/>
    <w:rsid w:val="0046047C"/>
    <w:pPr>
      <w:tabs>
        <w:tab w:val="center" w:pos="4252"/>
        <w:tab w:val="right" w:pos="8504"/>
      </w:tabs>
    </w:pPr>
  </w:style>
  <w:style w:type="character" w:customStyle="1" w:styleId="PiedepginaCar">
    <w:name w:val="Pie de página Car"/>
    <w:basedOn w:val="Fuentedeprrafopredeter"/>
    <w:link w:val="Piedepgina"/>
    <w:rsid w:val="0046047C"/>
    <w:rPr>
      <w:rFonts w:ascii="Tahoma" w:eastAsia="Times New Roman" w:hAnsi="Tahoma" w:cs="Times New Roman"/>
      <w:sz w:val="26"/>
      <w:szCs w:val="20"/>
      <w:lang w:val="es-ES" w:eastAsia="es-ES"/>
    </w:rPr>
  </w:style>
  <w:style w:type="character" w:styleId="Refdenotaalpie">
    <w:name w:val="footnote reference"/>
    <w:aliases w:val="Texto de nota al pie,referencia nota al pie,Appel note de bas de page,Footnotes refss,Fago Fußnotenzeichen,Ref. de nota al pie 2,Footnote number,BVI fnr,f,4_G,16 Point,Superscript 6 Point,Texto nota al pie,Footnote Reference Char3,FC"/>
    <w:link w:val="4GChar"/>
    <w:qFormat/>
    <w:rsid w:val="0046047C"/>
    <w:rPr>
      <w:vertAlign w:val="superscript"/>
    </w:rPr>
  </w:style>
  <w:style w:type="paragraph" w:styleId="Textoindependiente3">
    <w:name w:val="Body Text 3"/>
    <w:basedOn w:val="Normal"/>
    <w:link w:val="Textoindependiente3Car"/>
    <w:rsid w:val="0046047C"/>
    <w:pPr>
      <w:overflowPunct/>
      <w:autoSpaceDE/>
      <w:autoSpaceDN/>
      <w:adjustRightInd/>
      <w:spacing w:after="120"/>
      <w:textAlignment w:val="auto"/>
    </w:pPr>
    <w:rPr>
      <w:sz w:val="16"/>
      <w:szCs w:val="16"/>
      <w:lang w:eastAsia="es-MX"/>
    </w:rPr>
  </w:style>
  <w:style w:type="character" w:customStyle="1" w:styleId="Textoindependiente3Car">
    <w:name w:val="Texto independiente 3 Car"/>
    <w:basedOn w:val="Fuentedeprrafopredeter"/>
    <w:link w:val="Textoindependiente3"/>
    <w:rsid w:val="0046047C"/>
    <w:rPr>
      <w:rFonts w:ascii="Tahoma" w:eastAsia="Times New Roman" w:hAnsi="Tahoma" w:cs="Times New Roman"/>
      <w:sz w:val="16"/>
      <w:szCs w:val="16"/>
      <w:lang w:val="es-ES" w:eastAsia="es-MX"/>
    </w:rPr>
  </w:style>
  <w:style w:type="paragraph" w:styleId="Textoindependiente">
    <w:name w:val="Body Text"/>
    <w:basedOn w:val="Normal"/>
    <w:link w:val="TextoindependienteCar"/>
    <w:rsid w:val="0046047C"/>
    <w:pPr>
      <w:spacing w:after="120"/>
    </w:pPr>
  </w:style>
  <w:style w:type="character" w:customStyle="1" w:styleId="TextoindependienteCar">
    <w:name w:val="Texto independiente Car"/>
    <w:basedOn w:val="Fuentedeprrafopredeter"/>
    <w:link w:val="Textoindependiente"/>
    <w:rsid w:val="0046047C"/>
    <w:rPr>
      <w:rFonts w:ascii="Tahoma" w:eastAsia="Times New Roman" w:hAnsi="Tahoma" w:cs="Times New Roman"/>
      <w:sz w:val="26"/>
      <w:szCs w:val="20"/>
      <w:lang w:val="es-ES" w:eastAsia="es-ES"/>
    </w:rPr>
  </w:style>
  <w:style w:type="paragraph" w:styleId="Textoindependiente2">
    <w:name w:val="Body Text 2"/>
    <w:basedOn w:val="Normal"/>
    <w:link w:val="Textoindependiente2Car"/>
    <w:rsid w:val="0046047C"/>
    <w:pPr>
      <w:spacing w:after="120" w:line="480" w:lineRule="auto"/>
    </w:pPr>
  </w:style>
  <w:style w:type="character" w:customStyle="1" w:styleId="Textoindependiente2Car">
    <w:name w:val="Texto independiente 2 Car"/>
    <w:basedOn w:val="Fuentedeprrafopredeter"/>
    <w:link w:val="Textoindependiente2"/>
    <w:rsid w:val="0046047C"/>
    <w:rPr>
      <w:rFonts w:ascii="Tahoma" w:eastAsia="Times New Roman" w:hAnsi="Tahoma" w:cs="Times New Roman"/>
      <w:sz w:val="26"/>
      <w:szCs w:val="20"/>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6047C"/>
    <w:pPr>
      <w:overflowPunct/>
      <w:autoSpaceDE/>
      <w:autoSpaceDN/>
      <w:adjustRightInd/>
      <w:spacing w:line="240" w:lineRule="auto"/>
      <w:textAlignment w:val="auto"/>
    </w:pPr>
    <w:rPr>
      <w:rFonts w:asciiTheme="minorHAnsi" w:eastAsiaTheme="minorHAnsi" w:hAnsiTheme="minorHAnsi" w:cstheme="minorBidi"/>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4</Pages>
  <Words>1105</Words>
  <Characters>6079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Jhon Alvarez Bermudez</dc:creator>
  <cp:keywords/>
  <dc:description/>
  <cp:lastModifiedBy>MI PC</cp:lastModifiedBy>
  <cp:revision>5</cp:revision>
  <dcterms:created xsi:type="dcterms:W3CDTF">2025-04-07T20:14:00Z</dcterms:created>
  <dcterms:modified xsi:type="dcterms:W3CDTF">2025-06-12T21:18:00Z</dcterms:modified>
</cp:coreProperties>
</file>