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3471" w14:textId="77777777" w:rsidR="00B973CB" w:rsidRPr="005A0C3A" w:rsidRDefault="00B973CB" w:rsidP="00B973CB">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9D89657" w14:textId="77777777" w:rsidR="00B973CB" w:rsidRDefault="00B973CB" w:rsidP="00B973CB">
      <w:pPr>
        <w:ind w:right="4559"/>
        <w:rPr>
          <w:b/>
          <w:sz w:val="12"/>
          <w:szCs w:val="12"/>
        </w:rPr>
      </w:pPr>
    </w:p>
    <w:p w14:paraId="250C3F6E" w14:textId="34C7BBC7" w:rsidR="00B973CB" w:rsidRDefault="00B973CB" w:rsidP="00B973CB">
      <w:pPr>
        <w:spacing w:line="240" w:lineRule="auto"/>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Pr>
          <w:b/>
          <w:color w:val="000000"/>
          <w:sz w:val="20"/>
          <w:lang w:eastAsia="es-CO"/>
        </w:rPr>
        <w:t>P</w:t>
      </w:r>
      <w:r w:rsidRPr="00A54344">
        <w:rPr>
          <w:b/>
          <w:color w:val="000000"/>
          <w:sz w:val="20"/>
          <w:lang w:eastAsia="es-CO"/>
        </w:rPr>
        <w:t>R</w:t>
      </w:r>
      <w:r>
        <w:rPr>
          <w:b/>
          <w:color w:val="000000"/>
          <w:sz w:val="20"/>
          <w:lang w:eastAsia="es-CO"/>
        </w:rPr>
        <w:t>OC</w:t>
      </w:r>
      <w:r w:rsidRPr="000C58FD">
        <w:rPr>
          <w:b/>
          <w:color w:val="000000"/>
          <w:sz w:val="20"/>
          <w:lang w:eastAsia="es-CO"/>
        </w:rPr>
        <w:t>E</w:t>
      </w:r>
      <w:r>
        <w:rPr>
          <w:b/>
          <w:color w:val="000000"/>
          <w:sz w:val="20"/>
          <w:lang w:eastAsia="es-CO"/>
        </w:rPr>
        <w:t>D</w:t>
      </w:r>
      <w:r w:rsidRPr="000C58FD">
        <w:rPr>
          <w:b/>
          <w:color w:val="000000"/>
          <w:sz w:val="20"/>
          <w:lang w:eastAsia="es-CO"/>
        </w:rPr>
        <w:t>E</w:t>
      </w:r>
      <w:r>
        <w:rPr>
          <w:b/>
          <w:color w:val="000000"/>
          <w:sz w:val="20"/>
          <w:lang w:eastAsia="es-CO"/>
        </w:rPr>
        <w:t xml:space="preserve">NCIA / </w:t>
      </w:r>
      <w:r w:rsidRPr="00B973CB">
        <w:rPr>
          <w:b/>
          <w:color w:val="000000"/>
          <w:sz w:val="20"/>
          <w:lang w:eastAsia="es-CO"/>
        </w:rPr>
        <w:t>DEBIDO PROCESO / DEFENSA TÉCNICA</w:t>
      </w:r>
      <w:r w:rsidRPr="00A54344">
        <w:rPr>
          <w:b/>
          <w:color w:val="000000"/>
          <w:sz w:val="20"/>
          <w:lang w:eastAsia="es-CO"/>
        </w:rPr>
        <w:t xml:space="preserve"> </w:t>
      </w:r>
      <w:r w:rsidRPr="00A54344">
        <w:rPr>
          <w:b/>
          <w:color w:val="000000"/>
          <w:sz w:val="20"/>
          <w:lang w:eastAsia="es-CO"/>
        </w:rPr>
        <w:t xml:space="preserve">/ </w:t>
      </w:r>
      <w:r>
        <w:rPr>
          <w:b/>
          <w:color w:val="000000"/>
          <w:sz w:val="20"/>
          <w:lang w:eastAsia="es-CO"/>
        </w:rPr>
        <w:t>IMP</w:t>
      </w:r>
      <w:r w:rsidRPr="00A54344">
        <w:rPr>
          <w:b/>
          <w:color w:val="000000"/>
          <w:sz w:val="20"/>
          <w:lang w:eastAsia="es-CO"/>
        </w:rPr>
        <w:t>R</w:t>
      </w:r>
      <w:r>
        <w:rPr>
          <w:b/>
          <w:color w:val="000000"/>
          <w:sz w:val="20"/>
          <w:lang w:eastAsia="es-CO"/>
        </w:rPr>
        <w:t>OC</w:t>
      </w:r>
      <w:r w:rsidRPr="00B973CB">
        <w:rPr>
          <w:b/>
          <w:color w:val="000000"/>
          <w:sz w:val="20"/>
          <w:lang w:eastAsia="es-CO"/>
        </w:rPr>
        <w:t>E</w:t>
      </w:r>
      <w:r>
        <w:rPr>
          <w:b/>
          <w:color w:val="000000"/>
          <w:sz w:val="20"/>
          <w:lang w:eastAsia="es-CO"/>
        </w:rPr>
        <w:t>D</w:t>
      </w:r>
      <w:r w:rsidRPr="00B973CB">
        <w:rPr>
          <w:b/>
          <w:color w:val="000000"/>
          <w:sz w:val="20"/>
          <w:lang w:eastAsia="es-CO"/>
        </w:rPr>
        <w:t>E</w:t>
      </w:r>
      <w:r>
        <w:rPr>
          <w:b/>
          <w:color w:val="000000"/>
          <w:sz w:val="20"/>
          <w:lang w:eastAsia="es-CO"/>
        </w:rPr>
        <w:t>NT</w:t>
      </w:r>
      <w:r w:rsidRPr="00B973CB">
        <w:rPr>
          <w:b/>
          <w:color w:val="000000"/>
          <w:sz w:val="20"/>
          <w:lang w:eastAsia="es-CO"/>
        </w:rPr>
        <w:t>E</w:t>
      </w:r>
    </w:p>
    <w:p w14:paraId="74715F2D" w14:textId="3D9F0DF6" w:rsidR="00B973CB" w:rsidRDefault="00B973CB" w:rsidP="00B973CB">
      <w:pPr>
        <w:pStyle w:val="Textoindependiente2"/>
        <w:spacing w:line="276" w:lineRule="auto"/>
        <w:rPr>
          <w:b/>
          <w:sz w:val="12"/>
          <w:szCs w:val="12"/>
        </w:rPr>
      </w:pPr>
      <w:r w:rsidRPr="0099660B">
        <w:rPr>
          <w:i/>
          <w:iCs/>
          <w:sz w:val="20"/>
        </w:rPr>
        <w:t>…</w:t>
      </w:r>
      <w:r w:rsidRPr="00B973CB">
        <w:rPr>
          <w:rFonts w:eastAsia="Tahoma" w:cs="Tahoma"/>
          <w:i/>
          <w:iCs/>
          <w:spacing w:val="-6"/>
          <w:position w:val="-6"/>
          <w:sz w:val="20"/>
          <w:szCs w:val="26"/>
          <w:lang w:val="es-ES" w:eastAsia="es-ES"/>
        </w:rPr>
        <w:t>nunca se acreditó que el accionante haya postulado la solicitud de nulidad procesal, en los términos del artículo 457 del Código de Procedimiento Penal, ante el juzgado de conocimiento como autoridad competente, ni se demostró que la representación judicial del procesado por medio de la defensoría pública constituyó una ausencia de defensa técnica, en la medida que la defensa pasiva en la actuación procesal es un recurso válido, en especial ante la ausencia del procesado, y no se equipara a que haya sido nula o inexistente.la acción deviene improcedente ante el no cumplimiento del requisito de subsidiariedad por la existencia de un mecanismo de defensa judicial en el proceso ordinario que se cuestiona, como lo fue el derecho de contradicción en el debate oral y los recursos ordinarios contra las determinaciones adversas, herramientas que el interesado no agotó porque se apartó deliberadamente de la causa judicial</w:t>
      </w:r>
    </w:p>
    <w:p w14:paraId="7A4ECAF5" w14:textId="5B520407" w:rsidR="00CC7A72" w:rsidRDefault="00CC7A72" w:rsidP="00CC7A72">
      <w:pPr>
        <w:spacing w:line="276" w:lineRule="auto"/>
        <w:ind w:right="4559"/>
        <w:jc w:val="center"/>
        <w:rPr>
          <w:b/>
          <w:sz w:val="12"/>
          <w:szCs w:val="12"/>
        </w:rPr>
      </w:pPr>
      <w:r w:rsidRPr="00EB1DAB">
        <w:rPr>
          <w:b/>
          <w:sz w:val="12"/>
          <w:szCs w:val="12"/>
        </w:rPr>
        <w:t>REPÚBLICA DE COLOMBIA</w:t>
      </w:r>
    </w:p>
    <w:p w14:paraId="3BCD0B32" w14:textId="77777777" w:rsidR="00CC7A72" w:rsidRPr="00EB1DAB" w:rsidRDefault="00CC7A72" w:rsidP="00CC7A72">
      <w:pPr>
        <w:spacing w:line="276" w:lineRule="auto"/>
        <w:ind w:right="4559"/>
        <w:jc w:val="center"/>
        <w:rPr>
          <w:b/>
          <w:sz w:val="12"/>
          <w:szCs w:val="12"/>
        </w:rPr>
      </w:pPr>
      <w:r w:rsidRPr="00EB1DAB">
        <w:rPr>
          <w:b/>
          <w:sz w:val="12"/>
          <w:szCs w:val="12"/>
        </w:rPr>
        <w:t>RAMA JUDICIAL</w:t>
      </w:r>
    </w:p>
    <w:p w14:paraId="4433501C" w14:textId="77777777" w:rsidR="00CC7A72" w:rsidRDefault="00CC7A72" w:rsidP="00CC7A72">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007E51F0" wp14:editId="091A1891">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7F951EEE" w14:textId="77777777" w:rsidR="00CC7A72" w:rsidRPr="00EB1DAB" w:rsidRDefault="00CC7A72" w:rsidP="00CC7A72">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16D08BB9" w14:textId="77777777" w:rsidR="00CC7A72" w:rsidRPr="00EB1DAB" w:rsidRDefault="00CC7A72" w:rsidP="00CC7A72">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598CE40A" w14:textId="77777777" w:rsidR="00CC7A72" w:rsidRPr="00EB1DAB" w:rsidRDefault="00CC7A72" w:rsidP="00CC7A72">
      <w:pPr>
        <w:spacing w:line="276" w:lineRule="auto"/>
        <w:ind w:right="4559"/>
        <w:jc w:val="center"/>
      </w:pPr>
      <w:r w:rsidRPr="00EB1DAB">
        <w:t>Magistrado Ponente</w:t>
      </w:r>
    </w:p>
    <w:p w14:paraId="0D153771" w14:textId="77777777" w:rsidR="00CC7A72" w:rsidRPr="00D0602F" w:rsidRDefault="00CC7A72" w:rsidP="00CC7A72">
      <w:pPr>
        <w:spacing w:line="276" w:lineRule="auto"/>
        <w:ind w:right="4559"/>
        <w:jc w:val="center"/>
        <w:rPr>
          <w:b/>
          <w:sz w:val="22"/>
          <w:szCs w:val="22"/>
        </w:rPr>
      </w:pPr>
      <w:r w:rsidRPr="00D0602F">
        <w:rPr>
          <w:b/>
          <w:sz w:val="22"/>
          <w:szCs w:val="22"/>
        </w:rPr>
        <w:t>CARLOS ALBERTO PAZ ZÚÑIGA</w:t>
      </w:r>
    </w:p>
    <w:p w14:paraId="01FC9B6F" w14:textId="77777777" w:rsidR="00CC7A72" w:rsidRDefault="00CC7A72" w:rsidP="00CC7A72">
      <w:pPr>
        <w:spacing w:line="276" w:lineRule="auto"/>
      </w:pPr>
    </w:p>
    <w:p w14:paraId="52E39956" w14:textId="77777777" w:rsidR="00CC7A72" w:rsidRPr="008F6339" w:rsidRDefault="00CC7A72" w:rsidP="00CC7A72">
      <w:pPr>
        <w:spacing w:line="276" w:lineRule="auto"/>
      </w:pPr>
    </w:p>
    <w:p w14:paraId="5CB8447B" w14:textId="415DEF7B" w:rsidR="00C7582C" w:rsidRPr="00BB37A6" w:rsidRDefault="00000FB3" w:rsidP="00DF78B9">
      <w:pPr>
        <w:spacing w:line="276" w:lineRule="auto"/>
        <w:rPr>
          <w:spacing w:val="-2"/>
        </w:rPr>
      </w:pPr>
      <w:r w:rsidRPr="00BB37A6">
        <w:rPr>
          <w:spacing w:val="-2"/>
        </w:rPr>
        <w:t>Pereira,</w:t>
      </w:r>
      <w:r w:rsidR="00950579">
        <w:rPr>
          <w:spacing w:val="-2"/>
        </w:rPr>
        <w:t xml:space="preserve"> </w:t>
      </w:r>
      <w:r w:rsidR="00C956A7">
        <w:rPr>
          <w:spacing w:val="-2"/>
        </w:rPr>
        <w:t>ve</w:t>
      </w:r>
      <w:r w:rsidR="00D014B8">
        <w:rPr>
          <w:spacing w:val="-2"/>
        </w:rPr>
        <w:t xml:space="preserve">intidós </w:t>
      </w:r>
      <w:r w:rsidR="00A45593">
        <w:rPr>
          <w:spacing w:val="-2"/>
        </w:rPr>
        <w:t>(</w:t>
      </w:r>
      <w:r w:rsidR="00C956A7">
        <w:rPr>
          <w:spacing w:val="-2"/>
        </w:rPr>
        <w:t>2</w:t>
      </w:r>
      <w:r w:rsidR="00D014B8">
        <w:rPr>
          <w:spacing w:val="-2"/>
        </w:rPr>
        <w:t>2</w:t>
      </w:r>
      <w:r w:rsidR="00A45593">
        <w:rPr>
          <w:spacing w:val="-2"/>
        </w:rPr>
        <w:t>)</w:t>
      </w:r>
      <w:r w:rsidR="0072609B" w:rsidRPr="00BB37A6">
        <w:rPr>
          <w:spacing w:val="-2"/>
        </w:rPr>
        <w:t xml:space="preserve"> </w:t>
      </w:r>
      <w:r w:rsidR="00B31310">
        <w:rPr>
          <w:spacing w:val="-2"/>
        </w:rPr>
        <w:t xml:space="preserve">de </w:t>
      </w:r>
      <w:r w:rsidR="004E3ADB">
        <w:rPr>
          <w:spacing w:val="-2"/>
        </w:rPr>
        <w:t xml:space="preserve">mayo </w:t>
      </w:r>
      <w:r w:rsidR="00C7582C" w:rsidRPr="00BB37A6">
        <w:rPr>
          <w:spacing w:val="-2"/>
        </w:rPr>
        <w:t xml:space="preserve">dos mil </w:t>
      </w:r>
      <w:r w:rsidR="004E3ADB">
        <w:rPr>
          <w:spacing w:val="-2"/>
        </w:rPr>
        <w:t xml:space="preserve">veinticinco </w:t>
      </w:r>
      <w:r w:rsidR="003F5546" w:rsidRPr="00BB37A6">
        <w:rPr>
          <w:spacing w:val="-2"/>
        </w:rPr>
        <w:t>(20</w:t>
      </w:r>
      <w:r w:rsidR="00AD6CED" w:rsidRPr="00BB37A6">
        <w:rPr>
          <w:spacing w:val="-2"/>
        </w:rPr>
        <w:t>2</w:t>
      </w:r>
      <w:r w:rsidR="004E3ADB">
        <w:rPr>
          <w:spacing w:val="-2"/>
        </w:rPr>
        <w:t>5</w:t>
      </w:r>
      <w:r w:rsidR="00C7582C" w:rsidRPr="00BB37A6">
        <w:rPr>
          <w:spacing w:val="-2"/>
        </w:rPr>
        <w:t>)</w:t>
      </w:r>
    </w:p>
    <w:p w14:paraId="2428103B" w14:textId="77777777" w:rsidR="006643F8" w:rsidRPr="00BB37A6" w:rsidRDefault="006643F8" w:rsidP="00DF78B9">
      <w:pPr>
        <w:spacing w:line="276" w:lineRule="auto"/>
        <w:rPr>
          <w:spacing w:val="-2"/>
        </w:rPr>
      </w:pPr>
    </w:p>
    <w:p w14:paraId="30037057" w14:textId="77777777" w:rsidR="00872ED2" w:rsidRPr="00BB37A6" w:rsidRDefault="00C507DB" w:rsidP="00C507DB">
      <w:pPr>
        <w:tabs>
          <w:tab w:val="left" w:pos="3165"/>
        </w:tabs>
        <w:spacing w:line="276" w:lineRule="auto"/>
        <w:rPr>
          <w:spacing w:val="-2"/>
        </w:rPr>
      </w:pPr>
      <w:r w:rsidRPr="00BB37A6">
        <w:rPr>
          <w:spacing w:val="-2"/>
        </w:rPr>
        <w:tab/>
      </w:r>
    </w:p>
    <w:p w14:paraId="71CBF0A5" w14:textId="7D00E71C" w:rsidR="00CC7A72" w:rsidRDefault="00CC7A72" w:rsidP="00CC7A72">
      <w:pPr>
        <w:spacing w:line="276" w:lineRule="auto"/>
        <w:ind w:left="5529" w:hanging="5529"/>
      </w:pPr>
      <w:r>
        <w:tab/>
      </w:r>
      <w:r w:rsidRPr="003230E9">
        <w:t xml:space="preserve">Acta de Aprobación No. </w:t>
      </w:r>
      <w:r w:rsidR="00D014B8">
        <w:t>514</w:t>
      </w:r>
    </w:p>
    <w:p w14:paraId="37DBE367" w14:textId="45435382" w:rsidR="00CC7A72" w:rsidRDefault="00CC7A72" w:rsidP="00CC7A72">
      <w:pPr>
        <w:spacing w:line="276" w:lineRule="auto"/>
        <w:ind w:left="5529" w:hanging="5529"/>
      </w:pPr>
      <w:r>
        <w:t xml:space="preserve"> </w:t>
      </w:r>
      <w:r>
        <w:tab/>
      </w:r>
      <w:r w:rsidRPr="003230E9">
        <w:t xml:space="preserve">Hora: </w:t>
      </w:r>
      <w:r w:rsidR="00D014B8">
        <w:t>10:25 a</w:t>
      </w:r>
      <w:r>
        <w:t>.m.</w:t>
      </w:r>
    </w:p>
    <w:p w14:paraId="6E90A424" w14:textId="77777777" w:rsidR="00D3402A" w:rsidRPr="00BB37A6" w:rsidRDefault="00D3402A" w:rsidP="00CC7A72">
      <w:pPr>
        <w:spacing w:line="276" w:lineRule="auto"/>
        <w:rPr>
          <w:spacing w:val="-2"/>
        </w:rPr>
      </w:pPr>
    </w:p>
    <w:p w14:paraId="3DF5E174" w14:textId="77777777" w:rsidR="00D06A1B" w:rsidRPr="00BB37A6" w:rsidRDefault="00D06A1B" w:rsidP="00DF78B9">
      <w:pPr>
        <w:spacing w:line="276" w:lineRule="auto"/>
        <w:rPr>
          <w:rStyle w:val="Algerian"/>
          <w:spacing w:val="-2"/>
        </w:rPr>
      </w:pPr>
      <w:r w:rsidRPr="00BB37A6">
        <w:rPr>
          <w:rStyle w:val="Algerian"/>
          <w:spacing w:val="-2"/>
        </w:rPr>
        <w:t>1.- VISTOS</w:t>
      </w:r>
    </w:p>
    <w:p w14:paraId="1CD6FA08" w14:textId="77777777" w:rsidR="00E250C5" w:rsidRPr="00BB37A6" w:rsidRDefault="00E250C5" w:rsidP="00DF78B9">
      <w:pPr>
        <w:spacing w:line="276" w:lineRule="auto"/>
        <w:rPr>
          <w:spacing w:val="-2"/>
        </w:rPr>
      </w:pPr>
    </w:p>
    <w:p w14:paraId="7E42C50B" w14:textId="0FBDBCCD" w:rsidR="007E6072" w:rsidRPr="00BB37A6" w:rsidRDefault="00E250C5" w:rsidP="007E6072">
      <w:pPr>
        <w:spacing w:line="276" w:lineRule="auto"/>
        <w:rPr>
          <w:spacing w:val="-2"/>
          <w:position w:val="-4"/>
        </w:rPr>
      </w:pPr>
      <w:r w:rsidRPr="00BB37A6">
        <w:rPr>
          <w:spacing w:val="-2"/>
        </w:rPr>
        <w:t>Procede la Sala a decidir la tutela</w:t>
      </w:r>
      <w:r w:rsidR="00DD5A74" w:rsidRPr="00BB37A6">
        <w:rPr>
          <w:spacing w:val="-2"/>
        </w:rPr>
        <w:t xml:space="preserve"> </w:t>
      </w:r>
      <w:r w:rsidRPr="00BB37A6">
        <w:rPr>
          <w:spacing w:val="-2"/>
        </w:rPr>
        <w:t xml:space="preserve">instaurada por el señor </w:t>
      </w:r>
      <w:r w:rsidR="00B973CB">
        <w:rPr>
          <w:b/>
          <w:spacing w:val="-2"/>
          <w:sz w:val="22"/>
          <w:szCs w:val="22"/>
        </w:rPr>
        <w:t>JCR</w:t>
      </w:r>
      <w:r w:rsidR="0039326A" w:rsidRPr="004E3ADB">
        <w:rPr>
          <w:rFonts w:ascii="Verdana" w:hAnsi="Verdana"/>
          <w:bCs/>
          <w:spacing w:val="-2"/>
          <w:szCs w:val="22"/>
        </w:rPr>
        <w:t>,</w:t>
      </w:r>
      <w:r w:rsidR="00FF5B2E" w:rsidRPr="004E3ADB">
        <w:rPr>
          <w:rFonts w:ascii="Verdana" w:hAnsi="Verdana"/>
          <w:bCs/>
          <w:spacing w:val="-2"/>
          <w:szCs w:val="22"/>
        </w:rPr>
        <w:t xml:space="preserve"> </w:t>
      </w:r>
      <w:r w:rsidR="004E3ADB" w:rsidRPr="004E3ADB">
        <w:rPr>
          <w:rFonts w:ascii="Verdana" w:hAnsi="Verdana"/>
          <w:bCs/>
          <w:spacing w:val="-2"/>
          <w:szCs w:val="22"/>
        </w:rPr>
        <w:t>por conducto de apoderado judicial,</w:t>
      </w:r>
      <w:r w:rsidR="004E3ADB">
        <w:rPr>
          <w:bCs/>
          <w:spacing w:val="-2"/>
          <w:sz w:val="22"/>
          <w:szCs w:val="22"/>
        </w:rPr>
        <w:t xml:space="preserve"> </w:t>
      </w:r>
      <w:r w:rsidR="00FF5B2E">
        <w:rPr>
          <w:spacing w:val="-2"/>
        </w:rPr>
        <w:t>c</w:t>
      </w:r>
      <w:r w:rsidRPr="00BB37A6">
        <w:rPr>
          <w:spacing w:val="-2"/>
        </w:rPr>
        <w:t xml:space="preserve">ontra </w:t>
      </w:r>
      <w:r w:rsidR="004E3ADB">
        <w:rPr>
          <w:spacing w:val="-2"/>
        </w:rPr>
        <w:t>el Juzgado Segundo Penal del Circuito Especializado de Pereira</w:t>
      </w:r>
      <w:r w:rsidR="004A5BAA">
        <w:rPr>
          <w:spacing w:val="-2"/>
        </w:rPr>
        <w:t xml:space="preserve">, </w:t>
      </w:r>
      <w:r w:rsidRPr="00BB37A6">
        <w:rPr>
          <w:spacing w:val="-2"/>
        </w:rPr>
        <w:t>al considerar vulnerado</w:t>
      </w:r>
      <w:r w:rsidR="00631EDD">
        <w:rPr>
          <w:spacing w:val="-2"/>
        </w:rPr>
        <w:t xml:space="preserve"> su derecho fundamental</w:t>
      </w:r>
      <w:r w:rsidR="00E17FFD" w:rsidRPr="00BB37A6">
        <w:rPr>
          <w:spacing w:val="-2"/>
        </w:rPr>
        <w:t xml:space="preserve"> </w:t>
      </w:r>
      <w:r w:rsidR="004A5BAA">
        <w:rPr>
          <w:spacing w:val="-2"/>
        </w:rPr>
        <w:t>al debido proceso</w:t>
      </w:r>
      <w:r w:rsidR="004E3ADB">
        <w:rPr>
          <w:spacing w:val="-2"/>
        </w:rPr>
        <w:t xml:space="preserve"> y la defensa técnica</w:t>
      </w:r>
      <w:r w:rsidR="00651CFB">
        <w:rPr>
          <w:spacing w:val="-2"/>
        </w:rPr>
        <w:t>.</w:t>
      </w:r>
    </w:p>
    <w:p w14:paraId="628E236A" w14:textId="77777777" w:rsidR="00542182" w:rsidRPr="00BB37A6" w:rsidRDefault="00542182" w:rsidP="00542182">
      <w:pPr>
        <w:spacing w:line="276" w:lineRule="auto"/>
        <w:rPr>
          <w:spacing w:val="-2"/>
          <w:szCs w:val="26"/>
        </w:rPr>
      </w:pPr>
    </w:p>
    <w:p w14:paraId="01F1936C" w14:textId="77777777" w:rsidR="00542182" w:rsidRPr="00BB37A6" w:rsidRDefault="00542182" w:rsidP="00542182">
      <w:pPr>
        <w:spacing w:line="276" w:lineRule="auto"/>
        <w:rPr>
          <w:spacing w:val="-2"/>
        </w:rPr>
      </w:pPr>
      <w:r w:rsidRPr="00BB37A6">
        <w:rPr>
          <w:rStyle w:val="Algerian"/>
          <w:spacing w:val="-2"/>
        </w:rPr>
        <w:t xml:space="preserve">2.- SOLICITUD </w:t>
      </w:r>
    </w:p>
    <w:p w14:paraId="2BB137A7" w14:textId="77777777" w:rsidR="00542182" w:rsidRPr="00BB37A6" w:rsidRDefault="00542182" w:rsidP="00542182">
      <w:pPr>
        <w:spacing w:line="276" w:lineRule="auto"/>
        <w:rPr>
          <w:spacing w:val="-2"/>
          <w:szCs w:val="26"/>
        </w:rPr>
      </w:pPr>
    </w:p>
    <w:p w14:paraId="4B7514B9" w14:textId="225277C9" w:rsidR="004E3ADB" w:rsidRDefault="00AD367E" w:rsidP="004E3ADB">
      <w:pPr>
        <w:spacing w:line="276" w:lineRule="auto"/>
        <w:rPr>
          <w:spacing w:val="-2"/>
        </w:rPr>
      </w:pPr>
      <w:r>
        <w:rPr>
          <w:spacing w:val="-2"/>
        </w:rPr>
        <w:t xml:space="preserve">De la información aportada </w:t>
      </w:r>
      <w:r w:rsidR="00BF242C" w:rsidRPr="00BB37A6">
        <w:rPr>
          <w:spacing w:val="-2"/>
        </w:rPr>
        <w:t xml:space="preserve">en el escrito de </w:t>
      </w:r>
      <w:r w:rsidR="00542182" w:rsidRPr="00BB37A6">
        <w:rPr>
          <w:spacing w:val="-2"/>
        </w:rPr>
        <w:t>tutela</w:t>
      </w:r>
      <w:r>
        <w:rPr>
          <w:spacing w:val="-2"/>
        </w:rPr>
        <w:t xml:space="preserve">, se advierte </w:t>
      </w:r>
      <w:r w:rsidR="008F3DDA">
        <w:rPr>
          <w:spacing w:val="-2"/>
        </w:rPr>
        <w:t>que</w:t>
      </w:r>
      <w:r w:rsidR="00BD24E3">
        <w:rPr>
          <w:spacing w:val="-2"/>
        </w:rPr>
        <w:t xml:space="preserve"> e</w:t>
      </w:r>
      <w:r w:rsidR="004E3ADB" w:rsidRPr="004E3ADB">
        <w:rPr>
          <w:spacing w:val="-2"/>
        </w:rPr>
        <w:t xml:space="preserve">l señor </w:t>
      </w:r>
      <w:r w:rsidR="00B973CB">
        <w:rPr>
          <w:b/>
          <w:spacing w:val="-2"/>
          <w:sz w:val="22"/>
        </w:rPr>
        <w:t>JCR</w:t>
      </w:r>
      <w:r w:rsidR="004E3ADB" w:rsidRPr="00BD24E3">
        <w:rPr>
          <w:spacing w:val="-2"/>
          <w:sz w:val="22"/>
        </w:rPr>
        <w:t xml:space="preserve"> </w:t>
      </w:r>
      <w:r w:rsidR="004E3ADB" w:rsidRPr="004E3ADB">
        <w:rPr>
          <w:spacing w:val="-2"/>
        </w:rPr>
        <w:t xml:space="preserve">fue condenado mediante sentencia de junio </w:t>
      </w:r>
      <w:r w:rsidR="00BD24E3">
        <w:rPr>
          <w:spacing w:val="-2"/>
        </w:rPr>
        <w:t xml:space="preserve">20 </w:t>
      </w:r>
      <w:r w:rsidR="004E3ADB" w:rsidRPr="004E3ADB">
        <w:rPr>
          <w:spacing w:val="-2"/>
        </w:rPr>
        <w:t xml:space="preserve">de 2024, proferida por el Juzgado Segundo Penal del Circuito Especializado de Pereira, a la pena de 256 meses de prisión y 2.668 salarios mínimos legales mensuales vigentes de multa, por el delito de </w:t>
      </w:r>
      <w:r w:rsidR="00BD24E3" w:rsidRPr="004E3ADB">
        <w:rPr>
          <w:spacing w:val="-2"/>
        </w:rPr>
        <w:t>Tráfico</w:t>
      </w:r>
      <w:r w:rsidR="004E3ADB" w:rsidRPr="004E3ADB">
        <w:rPr>
          <w:spacing w:val="-2"/>
        </w:rPr>
        <w:t>, fabricación o porte de estupefacientes con circunstancia de agravación punitiva</w:t>
      </w:r>
      <w:r w:rsidR="00D92B21">
        <w:rPr>
          <w:spacing w:val="-2"/>
        </w:rPr>
        <w:t xml:space="preserve"> (radicado 660016000035201802247-00)</w:t>
      </w:r>
      <w:r w:rsidR="004E3ADB" w:rsidRPr="004E3ADB">
        <w:rPr>
          <w:spacing w:val="-2"/>
        </w:rPr>
        <w:t>.</w:t>
      </w:r>
    </w:p>
    <w:p w14:paraId="399380E0" w14:textId="6AC3EF68" w:rsidR="004E3ADB" w:rsidRDefault="004E3ADB" w:rsidP="004E3ADB">
      <w:pPr>
        <w:spacing w:line="276" w:lineRule="auto"/>
        <w:rPr>
          <w:spacing w:val="-2"/>
        </w:rPr>
      </w:pPr>
    </w:p>
    <w:p w14:paraId="2052F16D" w14:textId="77777777" w:rsidR="00431C9A" w:rsidRDefault="00BD24E3" w:rsidP="004E3ADB">
      <w:pPr>
        <w:spacing w:line="276" w:lineRule="auto"/>
        <w:rPr>
          <w:spacing w:val="-2"/>
        </w:rPr>
      </w:pPr>
      <w:r>
        <w:rPr>
          <w:spacing w:val="-2"/>
        </w:rPr>
        <w:t>No obstante, se afirmó que, d</w:t>
      </w:r>
      <w:r w:rsidR="004E3ADB" w:rsidRPr="004E3ADB">
        <w:rPr>
          <w:spacing w:val="-2"/>
        </w:rPr>
        <w:t>urante el proceso penal, el accionante no fue debidamente notificado de las audiencias de</w:t>
      </w:r>
      <w:r>
        <w:rPr>
          <w:spacing w:val="-2"/>
        </w:rPr>
        <w:t xml:space="preserve"> juzgamiento </w:t>
      </w:r>
      <w:r w:rsidR="004E3ADB" w:rsidRPr="004E3ADB">
        <w:rPr>
          <w:spacing w:val="-2"/>
        </w:rPr>
        <w:t>y tampoco contó con una defensa técnica adecuada, lo que vulneró gravemente su derecho al debido proceso</w:t>
      </w:r>
      <w:r w:rsidR="00431C9A">
        <w:rPr>
          <w:spacing w:val="-2"/>
        </w:rPr>
        <w:t>.</w:t>
      </w:r>
      <w:r>
        <w:rPr>
          <w:spacing w:val="-2"/>
        </w:rPr>
        <w:t xml:space="preserve"> </w:t>
      </w:r>
    </w:p>
    <w:p w14:paraId="30C47FA7" w14:textId="77777777" w:rsidR="00431C9A" w:rsidRDefault="00431C9A" w:rsidP="004E3ADB">
      <w:pPr>
        <w:spacing w:line="276" w:lineRule="auto"/>
        <w:rPr>
          <w:spacing w:val="-2"/>
        </w:rPr>
      </w:pPr>
    </w:p>
    <w:p w14:paraId="4D8383AF" w14:textId="7D61F33E" w:rsidR="009265A0" w:rsidRDefault="00431C9A" w:rsidP="004E3ADB">
      <w:pPr>
        <w:spacing w:line="276" w:lineRule="auto"/>
        <w:rPr>
          <w:spacing w:val="-2"/>
        </w:rPr>
      </w:pPr>
      <w:r>
        <w:rPr>
          <w:spacing w:val="-2"/>
        </w:rPr>
        <w:t>Ello</w:t>
      </w:r>
      <w:r w:rsidR="00BD24E3">
        <w:rPr>
          <w:spacing w:val="-2"/>
        </w:rPr>
        <w:t xml:space="preserve">, debido </w:t>
      </w:r>
      <w:r w:rsidR="009265A0">
        <w:rPr>
          <w:spacing w:val="-2"/>
        </w:rPr>
        <w:t xml:space="preserve">a </w:t>
      </w:r>
      <w:r w:rsidR="00BD24E3">
        <w:rPr>
          <w:spacing w:val="-2"/>
        </w:rPr>
        <w:t>que l</w:t>
      </w:r>
      <w:r w:rsidR="004E3ADB" w:rsidRPr="004E3ADB">
        <w:rPr>
          <w:spacing w:val="-2"/>
        </w:rPr>
        <w:t xml:space="preserve">as citaciones </w:t>
      </w:r>
      <w:r w:rsidR="009265A0">
        <w:rPr>
          <w:spacing w:val="-2"/>
        </w:rPr>
        <w:t xml:space="preserve">dirigidas al accionante </w:t>
      </w:r>
      <w:r w:rsidR="004E3ADB" w:rsidRPr="004E3ADB">
        <w:rPr>
          <w:spacing w:val="-2"/>
        </w:rPr>
        <w:t>fueron</w:t>
      </w:r>
      <w:r w:rsidR="004E3ADB">
        <w:rPr>
          <w:spacing w:val="-2"/>
        </w:rPr>
        <w:t xml:space="preserve"> </w:t>
      </w:r>
      <w:r w:rsidR="004E3ADB" w:rsidRPr="004E3ADB">
        <w:rPr>
          <w:spacing w:val="-2"/>
        </w:rPr>
        <w:t>enviadas a direcciones erradas o incompletas</w:t>
      </w:r>
      <w:r w:rsidR="009265A0">
        <w:rPr>
          <w:spacing w:val="-2"/>
        </w:rPr>
        <w:t xml:space="preserve">, esto es, a la </w:t>
      </w:r>
      <w:r w:rsidR="009265A0" w:rsidRPr="009265A0">
        <w:rPr>
          <w:spacing w:val="-2"/>
        </w:rPr>
        <w:t>Carrera 9ª Nro.  16-25</w:t>
      </w:r>
      <w:r w:rsidR="009265A0">
        <w:rPr>
          <w:spacing w:val="-2"/>
        </w:rPr>
        <w:t xml:space="preserve"> de Puerto Gaitán (Meta)</w:t>
      </w:r>
      <w:r w:rsidR="009265A0" w:rsidRPr="009265A0">
        <w:rPr>
          <w:spacing w:val="-2"/>
        </w:rPr>
        <w:t xml:space="preserve"> y </w:t>
      </w:r>
      <w:r w:rsidR="009265A0">
        <w:rPr>
          <w:spacing w:val="-2"/>
        </w:rPr>
        <w:t xml:space="preserve">a la </w:t>
      </w:r>
      <w:r w:rsidR="009265A0" w:rsidRPr="009265A0">
        <w:rPr>
          <w:spacing w:val="-2"/>
        </w:rPr>
        <w:t>Manzana H Casa 15</w:t>
      </w:r>
      <w:r w:rsidR="009265A0">
        <w:rPr>
          <w:spacing w:val="-2"/>
        </w:rPr>
        <w:t xml:space="preserve"> en </w:t>
      </w:r>
      <w:r w:rsidR="009265A0" w:rsidRPr="009265A0">
        <w:rPr>
          <w:spacing w:val="-2"/>
        </w:rPr>
        <w:t>Villavicencio</w:t>
      </w:r>
      <w:r w:rsidR="009265A0">
        <w:rPr>
          <w:spacing w:val="-2"/>
        </w:rPr>
        <w:t xml:space="preserve"> (Meta)</w:t>
      </w:r>
      <w:r w:rsidR="009265A0" w:rsidRPr="009265A0">
        <w:rPr>
          <w:spacing w:val="-2"/>
        </w:rPr>
        <w:t xml:space="preserve">, </w:t>
      </w:r>
      <w:r w:rsidR="009265A0">
        <w:rPr>
          <w:spacing w:val="-2"/>
        </w:rPr>
        <w:t xml:space="preserve">cuando </w:t>
      </w:r>
      <w:r w:rsidR="009265A0" w:rsidRPr="009265A0">
        <w:rPr>
          <w:spacing w:val="-2"/>
        </w:rPr>
        <w:t>su domicilio real</w:t>
      </w:r>
      <w:r w:rsidR="009265A0">
        <w:rPr>
          <w:spacing w:val="-2"/>
        </w:rPr>
        <w:t xml:space="preserve"> es en este último municipio, pero en la “</w:t>
      </w:r>
      <w:r w:rsidR="009265A0" w:rsidRPr="00431C9A">
        <w:rPr>
          <w:b/>
          <w:spacing w:val="-2"/>
          <w:sz w:val="22"/>
        </w:rPr>
        <w:t>K 13 Este 33-53 Manzana H Casa 15, Urbanización Santa Catalina</w:t>
      </w:r>
      <w:r w:rsidR="009265A0">
        <w:rPr>
          <w:spacing w:val="-2"/>
        </w:rPr>
        <w:t>”</w:t>
      </w:r>
      <w:r w:rsidR="009265A0" w:rsidRPr="009265A0">
        <w:rPr>
          <w:spacing w:val="-2"/>
        </w:rPr>
        <w:t>.</w:t>
      </w:r>
    </w:p>
    <w:p w14:paraId="70F977CA" w14:textId="75563A81" w:rsidR="00211228" w:rsidRDefault="00211228" w:rsidP="00211228">
      <w:pPr>
        <w:spacing w:line="276" w:lineRule="auto"/>
        <w:rPr>
          <w:spacing w:val="-2"/>
        </w:rPr>
      </w:pPr>
      <w:r>
        <w:rPr>
          <w:spacing w:val="-2"/>
        </w:rPr>
        <w:t>Si bien el procesado tenía un defensor de confianza en la etapa inicial del proceso, para las audiencias más importantes (preparatoria y juicio oral), fue representado por un defensor público.</w:t>
      </w:r>
    </w:p>
    <w:p w14:paraId="2D756636" w14:textId="77777777" w:rsidR="00211228" w:rsidRDefault="00211228" w:rsidP="00211228">
      <w:pPr>
        <w:spacing w:line="276" w:lineRule="auto"/>
        <w:rPr>
          <w:spacing w:val="-2"/>
        </w:rPr>
      </w:pPr>
    </w:p>
    <w:p w14:paraId="71514A65" w14:textId="61007C56" w:rsidR="000F64B5" w:rsidRDefault="00431C9A" w:rsidP="004E3ADB">
      <w:pPr>
        <w:spacing w:line="276" w:lineRule="auto"/>
        <w:rPr>
          <w:spacing w:val="-2"/>
        </w:rPr>
      </w:pPr>
      <w:r w:rsidRPr="00431C9A">
        <w:rPr>
          <w:spacing w:val="-2"/>
        </w:rPr>
        <w:t xml:space="preserve">El despacho judicial, al no lograr la entrega efectiva de las notificaciones, se abstuvo de </w:t>
      </w:r>
      <w:r w:rsidR="00A374ED">
        <w:rPr>
          <w:spacing w:val="-2"/>
        </w:rPr>
        <w:t xml:space="preserve">enviar nuevas </w:t>
      </w:r>
      <w:r w:rsidRPr="00431C9A">
        <w:rPr>
          <w:spacing w:val="-2"/>
        </w:rPr>
        <w:t>citac</w:t>
      </w:r>
      <w:r w:rsidR="00A374ED">
        <w:rPr>
          <w:spacing w:val="-2"/>
        </w:rPr>
        <w:t>iones</w:t>
      </w:r>
      <w:r w:rsidR="000F64B5">
        <w:rPr>
          <w:spacing w:val="-2"/>
        </w:rPr>
        <w:t xml:space="preserve"> -</w:t>
      </w:r>
      <w:r w:rsidR="000F64B5" w:rsidRPr="000F64B5">
        <w:rPr>
          <w:rFonts w:ascii="Verdana" w:hAnsi="Verdana"/>
          <w:spacing w:val="-2"/>
          <w:sz w:val="20"/>
        </w:rPr>
        <w:t>constancia de junio 27 de 2023</w:t>
      </w:r>
      <w:r w:rsidR="000F64B5">
        <w:rPr>
          <w:spacing w:val="-2"/>
        </w:rPr>
        <w:t>-</w:t>
      </w:r>
      <w:r w:rsidRPr="00431C9A">
        <w:rPr>
          <w:spacing w:val="-2"/>
        </w:rPr>
        <w:t xml:space="preserve">, </w:t>
      </w:r>
      <w:r w:rsidR="00A374ED">
        <w:rPr>
          <w:spacing w:val="-2"/>
        </w:rPr>
        <w:t xml:space="preserve">en tanto que </w:t>
      </w:r>
      <w:r w:rsidR="000F64B5">
        <w:rPr>
          <w:spacing w:val="-2"/>
        </w:rPr>
        <w:t xml:space="preserve">el defensor </w:t>
      </w:r>
      <w:r w:rsidR="00A374ED">
        <w:rPr>
          <w:spacing w:val="-2"/>
        </w:rPr>
        <w:t>público asignado no utilizó los elementos materiales probatorios existentes para la defensa del accionante, ni buscó una comunicación directa con el procesado, lo cual confluyó en una sentencia desproporcionada.</w:t>
      </w:r>
    </w:p>
    <w:p w14:paraId="6AAED01F" w14:textId="4F733025" w:rsidR="00211228" w:rsidRDefault="00211228" w:rsidP="004E3ADB">
      <w:pPr>
        <w:spacing w:line="276" w:lineRule="auto"/>
        <w:rPr>
          <w:spacing w:val="-2"/>
        </w:rPr>
      </w:pPr>
    </w:p>
    <w:p w14:paraId="61380B27" w14:textId="292C625F" w:rsidR="00A374ED" w:rsidRDefault="00A374ED" w:rsidP="004E3ADB">
      <w:pPr>
        <w:spacing w:line="276" w:lineRule="auto"/>
        <w:rPr>
          <w:spacing w:val="-2"/>
        </w:rPr>
      </w:pPr>
      <w:r>
        <w:rPr>
          <w:spacing w:val="-2"/>
        </w:rPr>
        <w:t xml:space="preserve">El señor </w:t>
      </w:r>
      <w:r w:rsidR="00B973CB">
        <w:rPr>
          <w:b/>
          <w:spacing w:val="-2"/>
          <w:sz w:val="22"/>
        </w:rPr>
        <w:t>JCR</w:t>
      </w:r>
      <w:r>
        <w:rPr>
          <w:spacing w:val="-2"/>
        </w:rPr>
        <w:t xml:space="preserve"> es una persona reconocida en su círculo social porque pertenece al </w:t>
      </w:r>
      <w:r w:rsidRPr="00A374ED">
        <w:rPr>
          <w:spacing w:val="-2"/>
        </w:rPr>
        <w:t>“</w:t>
      </w:r>
      <w:r w:rsidRPr="00A374ED">
        <w:rPr>
          <w:spacing w:val="-2"/>
          <w:sz w:val="24"/>
        </w:rPr>
        <w:t>MOVIMIENTO AUTORIDADES INDÍGENAS DE COLOMBIA AICO</w:t>
      </w:r>
      <w:r w:rsidRPr="00A374ED">
        <w:rPr>
          <w:spacing w:val="-2"/>
        </w:rPr>
        <w:t xml:space="preserve">”, </w:t>
      </w:r>
      <w:r>
        <w:rPr>
          <w:spacing w:val="-2"/>
        </w:rPr>
        <w:t xml:space="preserve">y </w:t>
      </w:r>
      <w:r w:rsidRPr="00A374ED">
        <w:rPr>
          <w:spacing w:val="-2"/>
        </w:rPr>
        <w:t>su núcleo familiar fue reconocido como víctima por desplazamiento forzado</w:t>
      </w:r>
      <w:r>
        <w:rPr>
          <w:spacing w:val="-2"/>
        </w:rPr>
        <w:t>;</w:t>
      </w:r>
      <w:r w:rsidRPr="00A374ED">
        <w:rPr>
          <w:spacing w:val="-2"/>
        </w:rPr>
        <w:t xml:space="preserve"> además</w:t>
      </w:r>
      <w:r>
        <w:rPr>
          <w:spacing w:val="-2"/>
        </w:rPr>
        <w:t>,</w:t>
      </w:r>
      <w:r w:rsidRPr="00A374ED">
        <w:rPr>
          <w:spacing w:val="-2"/>
        </w:rPr>
        <w:t xml:space="preserve"> </w:t>
      </w:r>
      <w:r>
        <w:rPr>
          <w:spacing w:val="-2"/>
        </w:rPr>
        <w:t xml:space="preserve">está </w:t>
      </w:r>
      <w:r w:rsidRPr="00A374ED">
        <w:rPr>
          <w:spacing w:val="-2"/>
        </w:rPr>
        <w:t>inscrito en programas agrícola</w:t>
      </w:r>
      <w:r w:rsidR="00211228">
        <w:rPr>
          <w:spacing w:val="-2"/>
        </w:rPr>
        <w:t>s</w:t>
      </w:r>
      <w:r w:rsidRPr="00A374ED">
        <w:rPr>
          <w:spacing w:val="-2"/>
        </w:rPr>
        <w:t xml:space="preserve"> </w:t>
      </w:r>
      <w:r w:rsidR="00211228">
        <w:rPr>
          <w:spacing w:val="-2"/>
        </w:rPr>
        <w:t>d</w:t>
      </w:r>
      <w:r w:rsidRPr="00A374ED">
        <w:rPr>
          <w:spacing w:val="-2"/>
        </w:rPr>
        <w:t>el Gobierno</w:t>
      </w:r>
      <w:r w:rsidR="00211228">
        <w:rPr>
          <w:spacing w:val="-2"/>
        </w:rPr>
        <w:t xml:space="preserve"> Nacional</w:t>
      </w:r>
      <w:r w:rsidRPr="00A374ED">
        <w:rPr>
          <w:spacing w:val="-2"/>
        </w:rPr>
        <w:t xml:space="preserve">, </w:t>
      </w:r>
      <w:r w:rsidR="00211228">
        <w:rPr>
          <w:spacing w:val="-2"/>
        </w:rPr>
        <w:t xml:space="preserve">por lo que puede ser </w:t>
      </w:r>
      <w:r w:rsidRPr="00A374ED">
        <w:rPr>
          <w:spacing w:val="-2"/>
        </w:rPr>
        <w:t>ubica</w:t>
      </w:r>
      <w:r w:rsidR="00211228">
        <w:rPr>
          <w:spacing w:val="-2"/>
        </w:rPr>
        <w:t>do</w:t>
      </w:r>
      <w:r w:rsidRPr="00A374ED">
        <w:rPr>
          <w:spacing w:val="-2"/>
        </w:rPr>
        <w:t xml:space="preserve"> en bases de datos a nivel </w:t>
      </w:r>
      <w:r w:rsidR="00211228">
        <w:rPr>
          <w:spacing w:val="-2"/>
        </w:rPr>
        <w:t>n</w:t>
      </w:r>
      <w:r w:rsidRPr="00A374ED">
        <w:rPr>
          <w:spacing w:val="-2"/>
        </w:rPr>
        <w:t>acional.</w:t>
      </w:r>
      <w:r>
        <w:rPr>
          <w:spacing w:val="-2"/>
        </w:rPr>
        <w:t xml:space="preserve"> </w:t>
      </w:r>
    </w:p>
    <w:p w14:paraId="2D38E0F3" w14:textId="3E6AAA74" w:rsidR="00431C9A" w:rsidRDefault="00431C9A" w:rsidP="004E3ADB">
      <w:pPr>
        <w:spacing w:line="276" w:lineRule="auto"/>
        <w:rPr>
          <w:spacing w:val="-2"/>
        </w:rPr>
      </w:pPr>
    </w:p>
    <w:p w14:paraId="1D1A0B2B" w14:textId="28749C8C" w:rsidR="00211228" w:rsidRDefault="00211228" w:rsidP="00211228">
      <w:pPr>
        <w:spacing w:line="276" w:lineRule="auto"/>
        <w:rPr>
          <w:spacing w:val="-2"/>
        </w:rPr>
      </w:pPr>
      <w:r w:rsidRPr="00211228">
        <w:rPr>
          <w:spacing w:val="-2"/>
        </w:rPr>
        <w:t xml:space="preserve">Las irregularidades </w:t>
      </w:r>
      <w:r>
        <w:rPr>
          <w:spacing w:val="-2"/>
        </w:rPr>
        <w:t xml:space="preserve">advertidas </w:t>
      </w:r>
      <w:r w:rsidRPr="00211228">
        <w:rPr>
          <w:spacing w:val="-2"/>
        </w:rPr>
        <w:t xml:space="preserve">en el proceso </w:t>
      </w:r>
      <w:r>
        <w:rPr>
          <w:spacing w:val="-2"/>
        </w:rPr>
        <w:t xml:space="preserve">penal </w:t>
      </w:r>
      <w:r w:rsidRPr="00211228">
        <w:rPr>
          <w:spacing w:val="-2"/>
        </w:rPr>
        <w:t>constituyen una violación a los derechos fundamentales al debido proceso y la defensa</w:t>
      </w:r>
      <w:r>
        <w:rPr>
          <w:spacing w:val="-2"/>
        </w:rPr>
        <w:t xml:space="preserve"> técnica</w:t>
      </w:r>
      <w:r w:rsidRPr="00211228">
        <w:rPr>
          <w:spacing w:val="-2"/>
        </w:rPr>
        <w:t>, garantizados por el artículo 29 de la Constitución</w:t>
      </w:r>
      <w:r>
        <w:rPr>
          <w:spacing w:val="-2"/>
        </w:rPr>
        <w:t>, lo que da lugar a la nulidad de las actuaciones procesales.</w:t>
      </w:r>
    </w:p>
    <w:p w14:paraId="58D1CDD4" w14:textId="03D21131" w:rsidR="00211228" w:rsidRDefault="00211228" w:rsidP="00211228">
      <w:pPr>
        <w:spacing w:line="276" w:lineRule="auto"/>
        <w:rPr>
          <w:spacing w:val="-2"/>
        </w:rPr>
      </w:pPr>
    </w:p>
    <w:p w14:paraId="1B19CB1A" w14:textId="12B76E37" w:rsidR="004E3ADB" w:rsidRPr="004E3ADB" w:rsidRDefault="00211228" w:rsidP="004E3ADB">
      <w:pPr>
        <w:spacing w:line="276" w:lineRule="auto"/>
        <w:rPr>
          <w:spacing w:val="-2"/>
        </w:rPr>
      </w:pPr>
      <w:r w:rsidRPr="004E3ADB">
        <w:rPr>
          <w:spacing w:val="-2"/>
        </w:rPr>
        <w:t>Solicit</w:t>
      </w:r>
      <w:r>
        <w:rPr>
          <w:spacing w:val="-2"/>
        </w:rPr>
        <w:t>a que se amparen sus derechos fundamentales y, en consecuencia,</w:t>
      </w:r>
      <w:r w:rsidR="004E3ADB" w:rsidRPr="004E3ADB">
        <w:rPr>
          <w:spacing w:val="-2"/>
        </w:rPr>
        <w:t xml:space="preserve"> (i) se declare la nulidad de la sentencia condenatoria</w:t>
      </w:r>
      <w:r>
        <w:rPr>
          <w:spacing w:val="-2"/>
        </w:rPr>
        <w:t>,</w:t>
      </w:r>
      <w:r w:rsidR="004E3ADB" w:rsidRPr="004E3ADB">
        <w:rPr>
          <w:spacing w:val="-2"/>
        </w:rPr>
        <w:t xml:space="preserve"> (</w:t>
      </w:r>
      <w:proofErr w:type="spellStart"/>
      <w:r w:rsidR="004E3ADB" w:rsidRPr="004E3ADB">
        <w:rPr>
          <w:spacing w:val="-2"/>
        </w:rPr>
        <w:t>ii</w:t>
      </w:r>
      <w:proofErr w:type="spellEnd"/>
      <w:r w:rsidR="004E3ADB" w:rsidRPr="004E3ADB">
        <w:rPr>
          <w:spacing w:val="-2"/>
        </w:rPr>
        <w:t>) se retrotraigan las actuaciones procesales a la etapa anterior a las citaciones irregulares</w:t>
      </w:r>
      <w:r>
        <w:rPr>
          <w:spacing w:val="-2"/>
        </w:rPr>
        <w:t xml:space="preserve"> y</w:t>
      </w:r>
      <w:r w:rsidR="004E3ADB" w:rsidRPr="004E3ADB">
        <w:rPr>
          <w:spacing w:val="-2"/>
        </w:rPr>
        <w:t xml:space="preserve"> (</w:t>
      </w:r>
      <w:proofErr w:type="spellStart"/>
      <w:r w:rsidR="004E3ADB" w:rsidRPr="004E3ADB">
        <w:rPr>
          <w:spacing w:val="-2"/>
        </w:rPr>
        <w:t>iii</w:t>
      </w:r>
      <w:proofErr w:type="spellEnd"/>
      <w:r w:rsidR="004E3ADB" w:rsidRPr="004E3ADB">
        <w:rPr>
          <w:spacing w:val="-2"/>
        </w:rPr>
        <w:t>) se garantice el ejercicio del derecho de defensa con citaciones válidas.</w:t>
      </w:r>
    </w:p>
    <w:p w14:paraId="437FF2CA" w14:textId="77777777" w:rsidR="0048201B" w:rsidRPr="00BB37A6" w:rsidRDefault="0048201B" w:rsidP="007E6072">
      <w:pPr>
        <w:spacing w:line="276" w:lineRule="auto"/>
        <w:rPr>
          <w:spacing w:val="-2"/>
          <w:position w:val="-4"/>
        </w:rPr>
      </w:pPr>
    </w:p>
    <w:p w14:paraId="1E920C4C" w14:textId="77777777" w:rsidR="00D06A1B" w:rsidRPr="00BB37A6" w:rsidRDefault="00D06A1B" w:rsidP="007B5447">
      <w:pPr>
        <w:tabs>
          <w:tab w:val="left" w:pos="3105"/>
        </w:tabs>
        <w:spacing w:line="276" w:lineRule="auto"/>
        <w:rPr>
          <w:rStyle w:val="Algerian"/>
          <w:spacing w:val="-2"/>
        </w:rPr>
      </w:pPr>
      <w:r w:rsidRPr="00BB37A6">
        <w:rPr>
          <w:rStyle w:val="Algerian"/>
          <w:spacing w:val="-2"/>
        </w:rPr>
        <w:t>3.- CONTESTACIÓN</w:t>
      </w:r>
      <w:r w:rsidR="007B5447" w:rsidRPr="00BB37A6">
        <w:rPr>
          <w:rStyle w:val="Algerian"/>
          <w:spacing w:val="-2"/>
        </w:rPr>
        <w:tab/>
      </w:r>
    </w:p>
    <w:p w14:paraId="63EE7C13" w14:textId="77777777" w:rsidR="004B3D22" w:rsidRPr="00BB37A6" w:rsidRDefault="004B3D22" w:rsidP="00D649B4">
      <w:pPr>
        <w:spacing w:line="276" w:lineRule="auto"/>
        <w:rPr>
          <w:spacing w:val="-2"/>
          <w:sz w:val="22"/>
          <w:szCs w:val="22"/>
        </w:rPr>
      </w:pPr>
    </w:p>
    <w:p w14:paraId="29485FF5" w14:textId="5ACFB6FB" w:rsidR="00D92B21" w:rsidRDefault="00407B45" w:rsidP="002826D5">
      <w:pPr>
        <w:spacing w:line="276" w:lineRule="auto"/>
        <w:rPr>
          <w:spacing w:val="-2"/>
        </w:rPr>
      </w:pPr>
      <w:r w:rsidRPr="00407B45">
        <w:rPr>
          <w:b/>
          <w:spacing w:val="-2"/>
          <w:sz w:val="22"/>
        </w:rPr>
        <w:t>3.1.</w:t>
      </w:r>
      <w:r>
        <w:rPr>
          <w:spacing w:val="-2"/>
        </w:rPr>
        <w:t xml:space="preserve">- </w:t>
      </w:r>
      <w:r w:rsidR="00EE66D4">
        <w:rPr>
          <w:spacing w:val="-2"/>
        </w:rPr>
        <w:t xml:space="preserve">Mediante </w:t>
      </w:r>
      <w:r w:rsidR="00891C21" w:rsidRPr="00891C21">
        <w:rPr>
          <w:b/>
          <w:spacing w:val="-2"/>
          <w:sz w:val="22"/>
        </w:rPr>
        <w:t xml:space="preserve">auto de </w:t>
      </w:r>
      <w:r w:rsidR="00211228">
        <w:rPr>
          <w:b/>
          <w:spacing w:val="-2"/>
          <w:sz w:val="22"/>
        </w:rPr>
        <w:t>mayo 09 de 2025</w:t>
      </w:r>
      <w:r w:rsidR="00EE66D4">
        <w:rPr>
          <w:spacing w:val="-2"/>
        </w:rPr>
        <w:t xml:space="preserve">, </w:t>
      </w:r>
      <w:r w:rsidR="00FE1C62">
        <w:rPr>
          <w:spacing w:val="-2"/>
        </w:rPr>
        <w:t>el despacho admitió la tutela</w:t>
      </w:r>
      <w:r w:rsidR="00EE66D4">
        <w:rPr>
          <w:spacing w:val="-2"/>
        </w:rPr>
        <w:t xml:space="preserve"> y</w:t>
      </w:r>
      <w:r w:rsidR="00FE1C62">
        <w:rPr>
          <w:spacing w:val="-2"/>
        </w:rPr>
        <w:t xml:space="preserve"> </w:t>
      </w:r>
      <w:r w:rsidR="009275AD" w:rsidRPr="00BB37A6">
        <w:rPr>
          <w:spacing w:val="-2"/>
        </w:rPr>
        <w:t xml:space="preserve">corrió </w:t>
      </w:r>
      <w:r w:rsidR="00EE66D4">
        <w:rPr>
          <w:spacing w:val="-2"/>
        </w:rPr>
        <w:t xml:space="preserve">el </w:t>
      </w:r>
      <w:r w:rsidR="009275AD" w:rsidRPr="00BB37A6">
        <w:rPr>
          <w:spacing w:val="-2"/>
        </w:rPr>
        <w:t>traslado</w:t>
      </w:r>
      <w:r w:rsidR="00AC1630">
        <w:rPr>
          <w:spacing w:val="-2"/>
        </w:rPr>
        <w:t xml:space="preserve"> respectivo a</w:t>
      </w:r>
      <w:r w:rsidR="00211228">
        <w:rPr>
          <w:spacing w:val="-2"/>
        </w:rPr>
        <w:t>l Juzgado Segundo Penal del Circuito Especializado de Pereira</w:t>
      </w:r>
      <w:r w:rsidR="00AC1630">
        <w:rPr>
          <w:spacing w:val="-2"/>
        </w:rPr>
        <w:t xml:space="preserve">. Además, se dispuso la vinculación oficiosa </w:t>
      </w:r>
      <w:r w:rsidR="00FB6BC8">
        <w:rPr>
          <w:spacing w:val="-2"/>
        </w:rPr>
        <w:t xml:space="preserve">de las </w:t>
      </w:r>
      <w:r w:rsidR="00FB6BC8" w:rsidRPr="00FB6BC8">
        <w:rPr>
          <w:spacing w:val="-2"/>
        </w:rPr>
        <w:t>demás personas que intervi</w:t>
      </w:r>
      <w:r w:rsidR="00D92B21">
        <w:rPr>
          <w:spacing w:val="-2"/>
        </w:rPr>
        <w:t>nieron</w:t>
      </w:r>
      <w:r w:rsidR="00FB6BC8" w:rsidRPr="00FB6BC8">
        <w:rPr>
          <w:spacing w:val="-2"/>
        </w:rPr>
        <w:t xml:space="preserve"> en el proceso penal </w:t>
      </w:r>
      <w:r w:rsidR="00FB6BC8">
        <w:rPr>
          <w:spacing w:val="-2"/>
        </w:rPr>
        <w:t xml:space="preserve">referido en los hechos </w:t>
      </w:r>
      <w:r w:rsidR="00FB6BC8" w:rsidRPr="00FB6BC8">
        <w:rPr>
          <w:spacing w:val="-2"/>
        </w:rPr>
        <w:t>-</w:t>
      </w:r>
      <w:r w:rsidR="00D92B21">
        <w:rPr>
          <w:spacing w:val="-2"/>
        </w:rPr>
        <w:t>Fiscalía y defensa</w:t>
      </w:r>
      <w:r w:rsidR="00FB6BC8" w:rsidRPr="00FB6BC8">
        <w:rPr>
          <w:spacing w:val="-2"/>
        </w:rPr>
        <w:t>-</w:t>
      </w:r>
      <w:r w:rsidR="00FB6BC8">
        <w:rPr>
          <w:spacing w:val="-2"/>
        </w:rPr>
        <w:t xml:space="preserve">, así </w:t>
      </w:r>
      <w:r w:rsidR="00FB6BC8">
        <w:rPr>
          <w:spacing w:val="-2"/>
        </w:rPr>
        <w:lastRenderedPageBreak/>
        <w:t xml:space="preserve">como </w:t>
      </w:r>
      <w:r w:rsidR="00AC1630">
        <w:rPr>
          <w:spacing w:val="-2"/>
        </w:rPr>
        <w:t>d</w:t>
      </w:r>
      <w:r w:rsidR="00D92B21">
        <w:rPr>
          <w:spacing w:val="-2"/>
        </w:rPr>
        <w:t xml:space="preserve">el </w:t>
      </w:r>
      <w:r w:rsidR="0033505D">
        <w:rPr>
          <w:spacing w:val="-2"/>
        </w:rPr>
        <w:t xml:space="preserve">Juzgado </w:t>
      </w:r>
      <w:r w:rsidR="00D92B21">
        <w:rPr>
          <w:spacing w:val="-2"/>
        </w:rPr>
        <w:t xml:space="preserve">Quinto de Ejecución de Penas y Medidas de Seguridad de Cúcuta, quien ejerce la vigilancia de la sanción penal que afronta el accionante. </w:t>
      </w:r>
    </w:p>
    <w:p w14:paraId="0EB82BD6" w14:textId="77777777" w:rsidR="00D92B21" w:rsidRDefault="00D92B21" w:rsidP="002826D5">
      <w:pPr>
        <w:spacing w:line="276" w:lineRule="auto"/>
        <w:rPr>
          <w:spacing w:val="-2"/>
        </w:rPr>
      </w:pPr>
    </w:p>
    <w:p w14:paraId="4F1AD525" w14:textId="306E30F0" w:rsidR="002826D5" w:rsidRPr="007A7250" w:rsidRDefault="00407B45" w:rsidP="002826D5">
      <w:pPr>
        <w:spacing w:line="276" w:lineRule="auto"/>
        <w:rPr>
          <w:spacing w:val="-2"/>
        </w:rPr>
      </w:pPr>
      <w:r w:rsidRPr="00407B45">
        <w:rPr>
          <w:b/>
          <w:spacing w:val="-2"/>
          <w:sz w:val="22"/>
        </w:rPr>
        <w:t>3.</w:t>
      </w:r>
      <w:r>
        <w:rPr>
          <w:b/>
          <w:spacing w:val="-2"/>
          <w:sz w:val="22"/>
        </w:rPr>
        <w:t>2</w:t>
      </w:r>
      <w:r w:rsidRPr="00407B45">
        <w:rPr>
          <w:b/>
          <w:spacing w:val="-2"/>
          <w:sz w:val="22"/>
        </w:rPr>
        <w:t>.</w:t>
      </w:r>
      <w:r w:rsidR="009A01AE">
        <w:rPr>
          <w:spacing w:val="-2"/>
        </w:rPr>
        <w:t>- E</w:t>
      </w:r>
      <w:r w:rsidR="00F46542">
        <w:rPr>
          <w:spacing w:val="-2"/>
        </w:rPr>
        <w:t xml:space="preserve">n el trámite, </w:t>
      </w:r>
      <w:r w:rsidR="00891C21">
        <w:rPr>
          <w:spacing w:val="-2"/>
        </w:rPr>
        <w:t xml:space="preserve">se </w:t>
      </w:r>
      <w:r w:rsidR="00F46542">
        <w:rPr>
          <w:spacing w:val="-2"/>
        </w:rPr>
        <w:t xml:space="preserve">presentaron las </w:t>
      </w:r>
      <w:r w:rsidR="00891C21">
        <w:rPr>
          <w:spacing w:val="-2"/>
        </w:rPr>
        <w:t xml:space="preserve">siguientes </w:t>
      </w:r>
      <w:r w:rsidR="00F46542">
        <w:rPr>
          <w:spacing w:val="-2"/>
        </w:rPr>
        <w:t>intervenciones</w:t>
      </w:r>
      <w:r w:rsidR="002826D5" w:rsidRPr="007A7250">
        <w:rPr>
          <w:spacing w:val="-2"/>
        </w:rPr>
        <w:t>:</w:t>
      </w:r>
    </w:p>
    <w:p w14:paraId="536FCA07" w14:textId="157D6B7B" w:rsidR="002826D5" w:rsidRDefault="002826D5" w:rsidP="001649E5">
      <w:pPr>
        <w:spacing w:line="276" w:lineRule="auto"/>
        <w:rPr>
          <w:spacing w:val="-2"/>
        </w:rPr>
      </w:pPr>
    </w:p>
    <w:p w14:paraId="13B96560" w14:textId="47441D72" w:rsidR="0058267A" w:rsidRDefault="00407B45" w:rsidP="00350F23">
      <w:pPr>
        <w:spacing w:line="276" w:lineRule="auto"/>
        <w:rPr>
          <w:spacing w:val="-2"/>
        </w:rPr>
      </w:pPr>
      <w:r w:rsidRPr="00407B45">
        <w:rPr>
          <w:b/>
          <w:spacing w:val="-2"/>
          <w:sz w:val="22"/>
        </w:rPr>
        <w:t>3</w:t>
      </w:r>
      <w:r>
        <w:rPr>
          <w:b/>
          <w:spacing w:val="-2"/>
          <w:sz w:val="22"/>
        </w:rPr>
        <w:t>.2</w:t>
      </w:r>
      <w:r w:rsidRPr="00407B45">
        <w:rPr>
          <w:b/>
          <w:spacing w:val="-2"/>
          <w:sz w:val="22"/>
        </w:rPr>
        <w:t>.1.</w:t>
      </w:r>
      <w:r w:rsidR="00350F23">
        <w:rPr>
          <w:spacing w:val="-2"/>
        </w:rPr>
        <w:t xml:space="preserve">- </w:t>
      </w:r>
      <w:r w:rsidR="00851508">
        <w:rPr>
          <w:i/>
          <w:spacing w:val="-2"/>
        </w:rPr>
        <w:t xml:space="preserve">La </w:t>
      </w:r>
      <w:r w:rsidR="00D92B21">
        <w:rPr>
          <w:i/>
          <w:spacing w:val="-2"/>
        </w:rPr>
        <w:t xml:space="preserve">oficial mayor </w:t>
      </w:r>
      <w:r w:rsidR="00851508">
        <w:rPr>
          <w:i/>
          <w:spacing w:val="-2"/>
        </w:rPr>
        <w:t>del</w:t>
      </w:r>
      <w:r w:rsidR="00350F23">
        <w:rPr>
          <w:i/>
          <w:spacing w:val="-2"/>
        </w:rPr>
        <w:t xml:space="preserve"> Juzgado Quinto </w:t>
      </w:r>
      <w:r w:rsidR="00D92B21">
        <w:rPr>
          <w:i/>
          <w:spacing w:val="-2"/>
        </w:rPr>
        <w:t>de Ejecución de Penas y medidas de seguridad de Cúcuta</w:t>
      </w:r>
      <w:r w:rsidR="00D92B21">
        <w:rPr>
          <w:spacing w:val="-2"/>
        </w:rPr>
        <w:t xml:space="preserve">, en el informe presentado, puso de presente que ese despacho resolvió una solicitud </w:t>
      </w:r>
      <w:r w:rsidR="0058267A">
        <w:rPr>
          <w:spacing w:val="-2"/>
        </w:rPr>
        <w:t xml:space="preserve">de nulidad de la sentencia ordinaria que presentó </w:t>
      </w:r>
      <w:r w:rsidR="00D92B21">
        <w:rPr>
          <w:spacing w:val="-2"/>
        </w:rPr>
        <w:t xml:space="preserve">apoderado judicial del señor </w:t>
      </w:r>
      <w:r w:rsidR="00B973CB">
        <w:rPr>
          <w:b/>
          <w:spacing w:val="-2"/>
          <w:sz w:val="22"/>
        </w:rPr>
        <w:t>JCR</w:t>
      </w:r>
      <w:r w:rsidR="00D92B21">
        <w:rPr>
          <w:spacing w:val="-2"/>
        </w:rPr>
        <w:t xml:space="preserve">, </w:t>
      </w:r>
      <w:r w:rsidR="0058267A">
        <w:rPr>
          <w:spacing w:val="-2"/>
        </w:rPr>
        <w:t xml:space="preserve">la cual fue negada mediante auto de marzo 31 de 2025 y se notificó a la parte interesada, sin que se haya interpuesto recurso alguno. Estimó que el juzgado no incurrió en vulneración alguna de los derechos invocados, por lo que pidió la desvinculación de esa célula judicial de la presente acción constitucional. </w:t>
      </w:r>
    </w:p>
    <w:p w14:paraId="2FFA9D82" w14:textId="77777777" w:rsidR="0058267A" w:rsidRDefault="0058267A" w:rsidP="00350F23">
      <w:pPr>
        <w:spacing w:line="276" w:lineRule="auto"/>
        <w:rPr>
          <w:spacing w:val="-2"/>
        </w:rPr>
      </w:pPr>
    </w:p>
    <w:p w14:paraId="1C956560" w14:textId="2DD8B058" w:rsidR="0058267A" w:rsidRDefault="009A01AE" w:rsidP="0058267A">
      <w:pPr>
        <w:spacing w:line="276" w:lineRule="auto"/>
        <w:rPr>
          <w:spacing w:val="-2"/>
        </w:rPr>
      </w:pPr>
      <w:r w:rsidRPr="00407B45">
        <w:rPr>
          <w:b/>
          <w:spacing w:val="-2"/>
          <w:sz w:val="22"/>
        </w:rPr>
        <w:t>3.</w:t>
      </w:r>
      <w:r>
        <w:rPr>
          <w:b/>
          <w:spacing w:val="-2"/>
          <w:sz w:val="22"/>
        </w:rPr>
        <w:t>2.2</w:t>
      </w:r>
      <w:r w:rsidRPr="00407B45">
        <w:rPr>
          <w:b/>
          <w:spacing w:val="-2"/>
          <w:sz w:val="22"/>
        </w:rPr>
        <w:t>.</w:t>
      </w:r>
      <w:r w:rsidR="0058267A">
        <w:rPr>
          <w:spacing w:val="-2"/>
        </w:rPr>
        <w:t xml:space="preserve">- </w:t>
      </w:r>
      <w:r w:rsidR="0058267A">
        <w:rPr>
          <w:i/>
          <w:spacing w:val="-2"/>
        </w:rPr>
        <w:t xml:space="preserve">El titular del Juzgado Segundo Penal del Circuito Especializado de </w:t>
      </w:r>
      <w:r w:rsidR="0058267A" w:rsidRPr="002826D5">
        <w:rPr>
          <w:i/>
          <w:spacing w:val="-2"/>
        </w:rPr>
        <w:t>Pereira (Rda.)</w:t>
      </w:r>
      <w:r w:rsidR="0058267A">
        <w:rPr>
          <w:spacing w:val="-2"/>
        </w:rPr>
        <w:t xml:space="preserve">, por su parte, afirmó </w:t>
      </w:r>
      <w:r w:rsidR="0058267A" w:rsidRPr="0058267A">
        <w:rPr>
          <w:spacing w:val="-2"/>
        </w:rPr>
        <w:t xml:space="preserve">que el proceso </w:t>
      </w:r>
      <w:r w:rsidR="0058267A">
        <w:rPr>
          <w:spacing w:val="-2"/>
        </w:rPr>
        <w:t xml:space="preserve">seguido contra el señor </w:t>
      </w:r>
      <w:r w:rsidR="00B973CB">
        <w:rPr>
          <w:b/>
          <w:spacing w:val="-2"/>
          <w:sz w:val="22"/>
        </w:rPr>
        <w:t>JCR</w:t>
      </w:r>
      <w:r w:rsidR="0058267A">
        <w:rPr>
          <w:spacing w:val="-2"/>
        </w:rPr>
        <w:t xml:space="preserve"> </w:t>
      </w:r>
      <w:r w:rsidR="0058267A" w:rsidRPr="0058267A">
        <w:rPr>
          <w:spacing w:val="-2"/>
        </w:rPr>
        <w:t xml:space="preserve">se adelantó conforme a derecho, y que el procesado fue </w:t>
      </w:r>
      <w:r w:rsidR="0058267A">
        <w:rPr>
          <w:spacing w:val="-2"/>
        </w:rPr>
        <w:t xml:space="preserve">vinculado al proceso en debida forma desde la audiencia de formulación de imputación, diligencia en la que estuvo asistido por un defensor de confianza y en la que fue </w:t>
      </w:r>
      <w:r w:rsidR="0058267A" w:rsidRPr="0058267A">
        <w:rPr>
          <w:spacing w:val="-2"/>
        </w:rPr>
        <w:t xml:space="preserve">informado de sus deberes </w:t>
      </w:r>
      <w:r w:rsidR="0058267A">
        <w:rPr>
          <w:spacing w:val="-2"/>
        </w:rPr>
        <w:t>como sujeto procesal, entre cuyos compromisos legales estaba el suministrar los datos de contacto, mantener la comunicación necesaria y comparecer a las audiencias.</w:t>
      </w:r>
    </w:p>
    <w:p w14:paraId="1151D686" w14:textId="77777777" w:rsidR="0058267A" w:rsidRDefault="0058267A" w:rsidP="0058267A">
      <w:pPr>
        <w:spacing w:line="276" w:lineRule="auto"/>
        <w:rPr>
          <w:spacing w:val="-2"/>
        </w:rPr>
      </w:pPr>
    </w:p>
    <w:p w14:paraId="5B66EC22" w14:textId="1993712D" w:rsidR="00455E6A" w:rsidRDefault="00455E6A" w:rsidP="0058267A">
      <w:pPr>
        <w:spacing w:line="276" w:lineRule="auto"/>
        <w:rPr>
          <w:spacing w:val="-2"/>
        </w:rPr>
      </w:pPr>
      <w:r>
        <w:rPr>
          <w:spacing w:val="-2"/>
        </w:rPr>
        <w:t>Aclaró que l</w:t>
      </w:r>
      <w:r w:rsidR="0058267A" w:rsidRPr="0058267A">
        <w:rPr>
          <w:spacing w:val="-2"/>
        </w:rPr>
        <w:t xml:space="preserve">as citaciones se realizaron </w:t>
      </w:r>
      <w:r w:rsidR="00FD01C2">
        <w:rPr>
          <w:spacing w:val="-2"/>
        </w:rPr>
        <w:t>con</w:t>
      </w:r>
      <w:r w:rsidR="0058267A" w:rsidRPr="0058267A">
        <w:rPr>
          <w:spacing w:val="-2"/>
        </w:rPr>
        <w:t xml:space="preserve"> los datos suministrados por el acusado, quien incurrió en omisiones al no actualizar su información ni mantener contacto con sus abogados. </w:t>
      </w:r>
      <w:r>
        <w:rPr>
          <w:spacing w:val="-2"/>
        </w:rPr>
        <w:t>Destacó que</w:t>
      </w:r>
      <w:r w:rsidR="00856113">
        <w:rPr>
          <w:spacing w:val="-2"/>
        </w:rPr>
        <w:t>,</w:t>
      </w:r>
      <w:r>
        <w:rPr>
          <w:spacing w:val="-2"/>
        </w:rPr>
        <w:t xml:space="preserve"> en la audiencia de formulación de acusación (agosto 19</w:t>
      </w:r>
      <w:r w:rsidR="000E1D6E">
        <w:rPr>
          <w:spacing w:val="-2"/>
        </w:rPr>
        <w:t>/</w:t>
      </w:r>
      <w:r>
        <w:rPr>
          <w:spacing w:val="-2"/>
        </w:rPr>
        <w:t xml:space="preserve">2020), </w:t>
      </w:r>
      <w:r w:rsidR="00FD01C2">
        <w:rPr>
          <w:spacing w:val="-2"/>
        </w:rPr>
        <w:t xml:space="preserve">se estableció con la defensora contractual del señor </w:t>
      </w:r>
      <w:r w:rsidR="00B973CB">
        <w:rPr>
          <w:spacing w:val="-2"/>
        </w:rPr>
        <w:t>JCR</w:t>
      </w:r>
      <w:r w:rsidR="00FD01C2">
        <w:rPr>
          <w:spacing w:val="-2"/>
        </w:rPr>
        <w:t xml:space="preserve"> que él no contestaba las llamadas, que llevaba para ese momento</w:t>
      </w:r>
      <w:r w:rsidR="00F760CF">
        <w:rPr>
          <w:spacing w:val="-2"/>
        </w:rPr>
        <w:t xml:space="preserve"> más de</w:t>
      </w:r>
      <w:r w:rsidR="00FD01C2">
        <w:rPr>
          <w:spacing w:val="-2"/>
        </w:rPr>
        <w:t xml:space="preserve"> 20 días sin comunicarse con ella y que omitió actualizar la información relativa a su domicilio.</w:t>
      </w:r>
    </w:p>
    <w:p w14:paraId="5C4ED583" w14:textId="5761F288" w:rsidR="00FD01C2" w:rsidRDefault="00FD01C2" w:rsidP="0058267A">
      <w:pPr>
        <w:spacing w:line="276" w:lineRule="auto"/>
        <w:rPr>
          <w:spacing w:val="-2"/>
        </w:rPr>
      </w:pPr>
    </w:p>
    <w:p w14:paraId="63A2337B" w14:textId="1D9FD2E8" w:rsidR="00FD01C2" w:rsidRDefault="00FD01C2" w:rsidP="0058267A">
      <w:pPr>
        <w:spacing w:line="276" w:lineRule="auto"/>
        <w:rPr>
          <w:spacing w:val="-2"/>
        </w:rPr>
      </w:pPr>
      <w:r>
        <w:rPr>
          <w:spacing w:val="-2"/>
        </w:rPr>
        <w:t>Además</w:t>
      </w:r>
      <w:r w:rsidR="000E1D6E">
        <w:rPr>
          <w:spacing w:val="-2"/>
        </w:rPr>
        <w:t>, en la sesión de audiencia preparatoria (abril 01/2022), pese a que el procesado no compareció, concurrió en su representación un nuevo abogado de confianza, a quien el accionante confirió poder especial, con lo cual se infiere que él conocía de la actuación procesal, empero tampoco suministró sus datos de contacto y/o localización.</w:t>
      </w:r>
    </w:p>
    <w:p w14:paraId="176AE221" w14:textId="7A71C947" w:rsidR="000E1D6E" w:rsidRDefault="000E1D6E" w:rsidP="0058267A">
      <w:pPr>
        <w:spacing w:line="276" w:lineRule="auto"/>
        <w:rPr>
          <w:spacing w:val="-2"/>
        </w:rPr>
      </w:pPr>
    </w:p>
    <w:p w14:paraId="7A4398F5" w14:textId="16E56147" w:rsidR="000E1D6E" w:rsidRDefault="000E1D6E" w:rsidP="0058267A">
      <w:pPr>
        <w:spacing w:line="276" w:lineRule="auto"/>
        <w:rPr>
          <w:spacing w:val="-2"/>
        </w:rPr>
      </w:pPr>
      <w:r>
        <w:rPr>
          <w:spacing w:val="-2"/>
        </w:rPr>
        <w:t xml:space="preserve">No obstante, en marzo 15 de 2024, ante la renuncia del apoderado contractual y dado el abandono del proceso por parte del implicado, </w:t>
      </w:r>
      <w:r w:rsidR="00407B45">
        <w:rPr>
          <w:spacing w:val="-2"/>
        </w:rPr>
        <w:t xml:space="preserve">quien fue citado a la dirección aportada en el escrito de acusación, y </w:t>
      </w:r>
      <w:r>
        <w:rPr>
          <w:spacing w:val="-2"/>
        </w:rPr>
        <w:t xml:space="preserve">como garantía procesal se le asignó la asistencia de </w:t>
      </w:r>
      <w:r w:rsidR="00407B45">
        <w:rPr>
          <w:spacing w:val="-2"/>
        </w:rPr>
        <w:t>una</w:t>
      </w:r>
      <w:r>
        <w:rPr>
          <w:spacing w:val="-2"/>
        </w:rPr>
        <w:t xml:space="preserve"> defensora pública, con quien se continuó la actuación judicial; en esta sesión, la abogada dejó constancia acerca de la imposibilidad de contactar al ciudadano con la información obrante en el </w:t>
      </w:r>
      <w:r>
        <w:rPr>
          <w:spacing w:val="-2"/>
        </w:rPr>
        <w:lastRenderedPageBreak/>
        <w:t xml:space="preserve">expediente </w:t>
      </w:r>
      <w:r w:rsidR="00667455">
        <w:rPr>
          <w:spacing w:val="-2"/>
        </w:rPr>
        <w:t>-</w:t>
      </w:r>
      <w:r w:rsidR="00667455" w:rsidRPr="00667455">
        <w:rPr>
          <w:rFonts w:ascii="Verdana" w:hAnsi="Verdana"/>
          <w:spacing w:val="-2"/>
          <w:sz w:val="20"/>
        </w:rPr>
        <w:t>dirección y números telefónicos</w:t>
      </w:r>
      <w:r w:rsidR="00667455">
        <w:rPr>
          <w:spacing w:val="-2"/>
        </w:rPr>
        <w:t xml:space="preserve">- </w:t>
      </w:r>
      <w:r>
        <w:rPr>
          <w:spacing w:val="-2"/>
        </w:rPr>
        <w:t xml:space="preserve">y pese a las labores de búsqueda que se procuraron por parte de la defensoría pública. </w:t>
      </w:r>
    </w:p>
    <w:p w14:paraId="7244F4CB" w14:textId="77777777" w:rsidR="00455E6A" w:rsidRDefault="00455E6A" w:rsidP="0058267A">
      <w:pPr>
        <w:spacing w:line="276" w:lineRule="auto"/>
        <w:rPr>
          <w:spacing w:val="-2"/>
        </w:rPr>
      </w:pPr>
    </w:p>
    <w:p w14:paraId="47E25502" w14:textId="3BA02C86" w:rsidR="00667455" w:rsidRDefault="0058267A" w:rsidP="0058267A">
      <w:pPr>
        <w:spacing w:line="276" w:lineRule="auto"/>
        <w:rPr>
          <w:spacing w:val="-2"/>
        </w:rPr>
      </w:pPr>
      <w:r w:rsidRPr="0058267A">
        <w:rPr>
          <w:spacing w:val="-2"/>
        </w:rPr>
        <w:t>La sentencia fue proferida en debida forma</w:t>
      </w:r>
      <w:r w:rsidR="00667455">
        <w:rPr>
          <w:spacing w:val="-2"/>
        </w:rPr>
        <w:t>, pese a la ausencia del acusado,</w:t>
      </w:r>
      <w:r w:rsidR="00C0584E">
        <w:rPr>
          <w:spacing w:val="-2"/>
        </w:rPr>
        <w:t xml:space="preserve"> </w:t>
      </w:r>
      <w:r w:rsidR="00667455">
        <w:rPr>
          <w:spacing w:val="-2"/>
        </w:rPr>
        <w:t>se notificó en estrados</w:t>
      </w:r>
      <w:r w:rsidRPr="0058267A">
        <w:rPr>
          <w:spacing w:val="-2"/>
        </w:rPr>
        <w:t xml:space="preserve"> y no fue objeto de recurso. </w:t>
      </w:r>
    </w:p>
    <w:p w14:paraId="58256A49" w14:textId="77777777" w:rsidR="00667455" w:rsidRDefault="00667455" w:rsidP="0058267A">
      <w:pPr>
        <w:spacing w:line="276" w:lineRule="auto"/>
        <w:rPr>
          <w:spacing w:val="-2"/>
        </w:rPr>
      </w:pPr>
    </w:p>
    <w:p w14:paraId="2880A1EE" w14:textId="43B1261D" w:rsidR="0058267A" w:rsidRDefault="00667455" w:rsidP="0058267A">
      <w:pPr>
        <w:spacing w:line="276" w:lineRule="auto"/>
        <w:rPr>
          <w:spacing w:val="-2"/>
        </w:rPr>
      </w:pPr>
      <w:r>
        <w:rPr>
          <w:spacing w:val="-2"/>
        </w:rPr>
        <w:t>Señaló</w:t>
      </w:r>
      <w:r w:rsidR="0058267A" w:rsidRPr="0058267A">
        <w:rPr>
          <w:spacing w:val="-2"/>
        </w:rPr>
        <w:t xml:space="preserve"> que la </w:t>
      </w:r>
      <w:r>
        <w:rPr>
          <w:spacing w:val="-2"/>
        </w:rPr>
        <w:t>no</w:t>
      </w:r>
      <w:r w:rsidR="0058267A" w:rsidRPr="0058267A">
        <w:rPr>
          <w:spacing w:val="-2"/>
        </w:rPr>
        <w:t xml:space="preserve"> comparecencia </w:t>
      </w:r>
      <w:r>
        <w:rPr>
          <w:spacing w:val="-2"/>
        </w:rPr>
        <w:t xml:space="preserve">del accionante al proceso penal es </w:t>
      </w:r>
      <w:r w:rsidR="0058267A" w:rsidRPr="0058267A">
        <w:rPr>
          <w:spacing w:val="-2"/>
        </w:rPr>
        <w:t>atribuible exclusivamente a</w:t>
      </w:r>
      <w:r>
        <w:rPr>
          <w:spacing w:val="-2"/>
        </w:rPr>
        <w:t xml:space="preserve"> é</w:t>
      </w:r>
      <w:r w:rsidR="0058267A" w:rsidRPr="0058267A">
        <w:rPr>
          <w:spacing w:val="-2"/>
        </w:rPr>
        <w:t>l</w:t>
      </w:r>
      <w:r w:rsidR="00407B45">
        <w:rPr>
          <w:spacing w:val="-2"/>
        </w:rPr>
        <w:t>, quien libremente se sustrajo de las actuaciones procesales y no puede alegar su propia culpa en su favor. Además, advirtió que ante ese juzgado la parte accionante no ha presentado solicitud alguna de nulidad de la actuación,</w:t>
      </w:r>
      <w:r>
        <w:rPr>
          <w:spacing w:val="-2"/>
        </w:rPr>
        <w:t xml:space="preserve"> </w:t>
      </w:r>
      <w:r w:rsidR="0058267A" w:rsidRPr="0058267A">
        <w:rPr>
          <w:spacing w:val="-2"/>
        </w:rPr>
        <w:t>razón por la cual solicit</w:t>
      </w:r>
      <w:r>
        <w:rPr>
          <w:spacing w:val="-2"/>
        </w:rPr>
        <w:t>ó</w:t>
      </w:r>
      <w:r w:rsidR="0058267A" w:rsidRPr="0058267A">
        <w:rPr>
          <w:spacing w:val="-2"/>
        </w:rPr>
        <w:t xml:space="preserve"> que la acción de tutela sea declarada improcedente</w:t>
      </w:r>
      <w:r w:rsidR="00407B45">
        <w:rPr>
          <w:spacing w:val="-2"/>
        </w:rPr>
        <w:t>, dado que no se cumple el presupuesto de subsidiariedad</w:t>
      </w:r>
      <w:r w:rsidR="0058267A" w:rsidRPr="0058267A">
        <w:rPr>
          <w:spacing w:val="-2"/>
        </w:rPr>
        <w:t>.</w:t>
      </w:r>
    </w:p>
    <w:p w14:paraId="0FA215E0" w14:textId="77777777" w:rsidR="0058267A" w:rsidRDefault="0058267A" w:rsidP="0058267A">
      <w:pPr>
        <w:spacing w:line="276" w:lineRule="auto"/>
        <w:rPr>
          <w:spacing w:val="-2"/>
        </w:rPr>
      </w:pPr>
    </w:p>
    <w:p w14:paraId="5E10D963" w14:textId="5EB27604" w:rsidR="009A01AE" w:rsidRPr="009A01AE" w:rsidRDefault="009A01AE" w:rsidP="009A01AE">
      <w:pPr>
        <w:spacing w:line="276" w:lineRule="auto"/>
        <w:rPr>
          <w:spacing w:val="-2"/>
        </w:rPr>
      </w:pPr>
      <w:r w:rsidRPr="007A6681">
        <w:rPr>
          <w:b/>
          <w:spacing w:val="-2"/>
          <w:sz w:val="22"/>
        </w:rPr>
        <w:t>3.3.</w:t>
      </w:r>
      <w:r w:rsidR="009F6989">
        <w:rPr>
          <w:spacing w:val="-2"/>
        </w:rPr>
        <w:t xml:space="preserve">- </w:t>
      </w:r>
      <w:r>
        <w:rPr>
          <w:spacing w:val="-2"/>
        </w:rPr>
        <w:t xml:space="preserve">Frente al requerimiento de esta Corporación, </w:t>
      </w:r>
      <w:r w:rsidRPr="009A01AE">
        <w:rPr>
          <w:spacing w:val="-2"/>
        </w:rPr>
        <w:t xml:space="preserve">el Centro de Servicios </w:t>
      </w:r>
      <w:r>
        <w:rPr>
          <w:spacing w:val="-2"/>
        </w:rPr>
        <w:t xml:space="preserve">Judiciales </w:t>
      </w:r>
      <w:r w:rsidRPr="009A01AE">
        <w:rPr>
          <w:spacing w:val="-2"/>
        </w:rPr>
        <w:t xml:space="preserve">del Sistema Penal Acusatorio de Pereira (CSA-SPA) </w:t>
      </w:r>
      <w:r>
        <w:rPr>
          <w:spacing w:val="-2"/>
        </w:rPr>
        <w:t xml:space="preserve">precisó que, actualmente, </w:t>
      </w:r>
      <w:r w:rsidRPr="009A01AE">
        <w:rPr>
          <w:spacing w:val="-2"/>
        </w:rPr>
        <w:t xml:space="preserve">conforme </w:t>
      </w:r>
      <w:r>
        <w:rPr>
          <w:spacing w:val="-2"/>
        </w:rPr>
        <w:t xml:space="preserve">lo dispuso el </w:t>
      </w:r>
      <w:r w:rsidRPr="009A01AE">
        <w:rPr>
          <w:spacing w:val="-2"/>
        </w:rPr>
        <w:t xml:space="preserve">Acuerdo CSJRIA21-88 de octubre </w:t>
      </w:r>
      <w:r>
        <w:rPr>
          <w:spacing w:val="-2"/>
        </w:rPr>
        <w:t xml:space="preserve">28 </w:t>
      </w:r>
      <w:r w:rsidRPr="009A01AE">
        <w:rPr>
          <w:spacing w:val="-2"/>
        </w:rPr>
        <w:t xml:space="preserve">de 2021, los Juzgados Penales del Circuito Especializado </w:t>
      </w:r>
      <w:r>
        <w:rPr>
          <w:spacing w:val="-2"/>
        </w:rPr>
        <w:t xml:space="preserve">de esta ciudad </w:t>
      </w:r>
      <w:r w:rsidRPr="009A01AE">
        <w:rPr>
          <w:spacing w:val="-2"/>
        </w:rPr>
        <w:t>no se encuentran bajo la cobertura de</w:t>
      </w:r>
      <w:r>
        <w:rPr>
          <w:spacing w:val="-2"/>
        </w:rPr>
        <w:t xml:space="preserve"> esa dependencia </w:t>
      </w:r>
      <w:r w:rsidRPr="009A01AE">
        <w:rPr>
          <w:spacing w:val="-2"/>
        </w:rPr>
        <w:t>en materia de comunicaciones y notificaciones, por cuanto cuentan con su propio personal de citación.</w:t>
      </w:r>
    </w:p>
    <w:p w14:paraId="477089C0" w14:textId="77777777" w:rsidR="009A01AE" w:rsidRPr="009A01AE" w:rsidRDefault="009A01AE" w:rsidP="009A01AE">
      <w:pPr>
        <w:spacing w:line="276" w:lineRule="auto"/>
        <w:rPr>
          <w:spacing w:val="-2"/>
        </w:rPr>
      </w:pPr>
    </w:p>
    <w:p w14:paraId="1A977102" w14:textId="023D1E64" w:rsidR="009A01AE" w:rsidRPr="009A01AE" w:rsidRDefault="009A01AE" w:rsidP="009A01AE">
      <w:pPr>
        <w:spacing w:line="276" w:lineRule="auto"/>
        <w:rPr>
          <w:spacing w:val="-2"/>
        </w:rPr>
      </w:pPr>
      <w:r w:rsidRPr="009A01AE">
        <w:rPr>
          <w:spacing w:val="-2"/>
        </w:rPr>
        <w:t xml:space="preserve">No obstante, </w:t>
      </w:r>
      <w:r>
        <w:rPr>
          <w:spacing w:val="-2"/>
        </w:rPr>
        <w:t xml:space="preserve">en el </w:t>
      </w:r>
      <w:r w:rsidRPr="009A01AE">
        <w:rPr>
          <w:spacing w:val="-2"/>
        </w:rPr>
        <w:t xml:space="preserve">acopio de registros disponibles en </w:t>
      </w:r>
      <w:r>
        <w:rPr>
          <w:spacing w:val="-2"/>
        </w:rPr>
        <w:t xml:space="preserve">el </w:t>
      </w:r>
      <w:r w:rsidRPr="009A01AE">
        <w:rPr>
          <w:spacing w:val="-2"/>
        </w:rPr>
        <w:t xml:space="preserve">archivo administrativo </w:t>
      </w:r>
      <w:r>
        <w:rPr>
          <w:spacing w:val="-2"/>
        </w:rPr>
        <w:t xml:space="preserve">del </w:t>
      </w:r>
      <w:r w:rsidRPr="009A01AE">
        <w:rPr>
          <w:spacing w:val="-2"/>
        </w:rPr>
        <w:t xml:space="preserve">correspondiente </w:t>
      </w:r>
      <w:r>
        <w:rPr>
          <w:spacing w:val="-2"/>
        </w:rPr>
        <w:t>asunto judicial</w:t>
      </w:r>
      <w:r w:rsidRPr="009A01AE">
        <w:rPr>
          <w:spacing w:val="-2"/>
        </w:rPr>
        <w:t xml:space="preserve">, </w:t>
      </w:r>
      <w:r>
        <w:rPr>
          <w:spacing w:val="-2"/>
        </w:rPr>
        <w:t xml:space="preserve">y que obran en una </w:t>
      </w:r>
      <w:r w:rsidRPr="009A01AE">
        <w:rPr>
          <w:spacing w:val="-2"/>
        </w:rPr>
        <w:t xml:space="preserve">carpeta operativa utilizada entre 2005 y 2019 para fines logísticos, </w:t>
      </w:r>
      <w:r>
        <w:rPr>
          <w:spacing w:val="-2"/>
        </w:rPr>
        <w:t xml:space="preserve">se encontró gestión de notificaciones </w:t>
      </w:r>
      <w:r w:rsidR="007A6681">
        <w:rPr>
          <w:spacing w:val="-2"/>
        </w:rPr>
        <w:t xml:space="preserve">al aquí accionante en </w:t>
      </w:r>
      <w:r>
        <w:rPr>
          <w:spacing w:val="-2"/>
        </w:rPr>
        <w:t xml:space="preserve">las siguientes diligencias: </w:t>
      </w:r>
    </w:p>
    <w:p w14:paraId="3ED7233B" w14:textId="77777777" w:rsidR="009A01AE" w:rsidRPr="009A01AE" w:rsidRDefault="009A01AE" w:rsidP="009A01AE">
      <w:pPr>
        <w:spacing w:line="276" w:lineRule="auto"/>
        <w:rPr>
          <w:spacing w:val="-2"/>
        </w:rPr>
      </w:pPr>
    </w:p>
    <w:p w14:paraId="75F60CB2" w14:textId="77777777" w:rsidR="009A01AE" w:rsidRDefault="009A01AE" w:rsidP="009A01AE">
      <w:pPr>
        <w:spacing w:line="276" w:lineRule="auto"/>
        <w:ind w:left="567"/>
        <w:rPr>
          <w:spacing w:val="-2"/>
        </w:rPr>
      </w:pPr>
      <w:r>
        <w:rPr>
          <w:spacing w:val="-2"/>
        </w:rPr>
        <w:t xml:space="preserve">- </w:t>
      </w:r>
      <w:r w:rsidRPr="009A01AE">
        <w:rPr>
          <w:spacing w:val="-2"/>
        </w:rPr>
        <w:t>Audiencia de decisión de segunda instancia (21 de septiembre de 2018): La citación fue realizada mediante contacto telefónico y por intermedio del apoderado judicial Dr. Alfonso González López, con resultado positivo.</w:t>
      </w:r>
    </w:p>
    <w:p w14:paraId="117C28D1" w14:textId="77777777" w:rsidR="009A01AE" w:rsidRDefault="009A01AE" w:rsidP="009A01AE">
      <w:pPr>
        <w:spacing w:line="276" w:lineRule="auto"/>
        <w:ind w:left="567"/>
        <w:rPr>
          <w:spacing w:val="-2"/>
        </w:rPr>
      </w:pPr>
    </w:p>
    <w:p w14:paraId="2E31393B" w14:textId="41315F31" w:rsidR="009A01AE" w:rsidRPr="009A01AE" w:rsidRDefault="009A01AE" w:rsidP="009A01AE">
      <w:pPr>
        <w:spacing w:line="276" w:lineRule="auto"/>
        <w:ind w:left="567"/>
        <w:rPr>
          <w:spacing w:val="-2"/>
        </w:rPr>
      </w:pPr>
      <w:r>
        <w:rPr>
          <w:spacing w:val="-2"/>
        </w:rPr>
        <w:t xml:space="preserve">- </w:t>
      </w:r>
      <w:r w:rsidRPr="009A01AE">
        <w:rPr>
          <w:spacing w:val="-2"/>
        </w:rPr>
        <w:t>Audiencias de formulación de acusación (16 de noviembre de 2018 y 13 de junio de 2019): Las citaciones se realizaron mediante exhorto penal enviado al Centro de Servicios Judiciales de Villavicencio – Meta, con resultado negativo por devolución o imposibilidad de entrega, pese a que la información fue suministrada por la Fiscalía Segunda Especializada de Pereira.</w:t>
      </w:r>
    </w:p>
    <w:p w14:paraId="316D58C9" w14:textId="77777777" w:rsidR="009A01AE" w:rsidRPr="009A01AE" w:rsidRDefault="009A01AE" w:rsidP="009A01AE">
      <w:pPr>
        <w:spacing w:line="276" w:lineRule="auto"/>
        <w:rPr>
          <w:spacing w:val="-2"/>
        </w:rPr>
      </w:pPr>
    </w:p>
    <w:p w14:paraId="0BF31385" w14:textId="1DD05E93" w:rsidR="009A01AE" w:rsidRDefault="009A01AE" w:rsidP="009A01AE">
      <w:pPr>
        <w:spacing w:line="276" w:lineRule="auto"/>
        <w:rPr>
          <w:spacing w:val="-2"/>
        </w:rPr>
      </w:pPr>
      <w:r w:rsidRPr="009A01AE">
        <w:rPr>
          <w:spacing w:val="-2"/>
        </w:rPr>
        <w:t xml:space="preserve">Asimismo, se documentaron comunicaciones electrónicas </w:t>
      </w:r>
      <w:r w:rsidR="007A6681">
        <w:rPr>
          <w:spacing w:val="-2"/>
        </w:rPr>
        <w:t xml:space="preserve">relacionadas con los diversos </w:t>
      </w:r>
      <w:r w:rsidRPr="009A01AE">
        <w:rPr>
          <w:spacing w:val="-2"/>
        </w:rPr>
        <w:t>abogados defensores</w:t>
      </w:r>
      <w:r w:rsidR="007A6681">
        <w:rPr>
          <w:spacing w:val="-2"/>
        </w:rPr>
        <w:t xml:space="preserve"> contractuales del acusado (hasta junio de 2019)</w:t>
      </w:r>
      <w:r w:rsidRPr="009A01AE">
        <w:rPr>
          <w:spacing w:val="-2"/>
        </w:rPr>
        <w:t xml:space="preserve">, incluidas revocatorias de poder y </w:t>
      </w:r>
      <w:r w:rsidR="007A6681">
        <w:rPr>
          <w:spacing w:val="-2"/>
        </w:rPr>
        <w:t xml:space="preserve">solicitudes de aplazamiento de audiencias para el ejercicio de la </w:t>
      </w:r>
      <w:r w:rsidRPr="009A01AE">
        <w:rPr>
          <w:spacing w:val="-2"/>
        </w:rPr>
        <w:t xml:space="preserve">defensa técnica del procesado. </w:t>
      </w:r>
    </w:p>
    <w:p w14:paraId="1BE0631D" w14:textId="77777777" w:rsidR="0081664A" w:rsidRDefault="0081664A" w:rsidP="009A01AE">
      <w:pPr>
        <w:spacing w:line="276" w:lineRule="auto"/>
        <w:rPr>
          <w:spacing w:val="-2"/>
        </w:rPr>
      </w:pPr>
    </w:p>
    <w:p w14:paraId="3EEB1437" w14:textId="77777777" w:rsidR="00D06A1B" w:rsidRPr="00BB37A6" w:rsidRDefault="00D06A1B" w:rsidP="00DF78B9">
      <w:pPr>
        <w:spacing w:line="276" w:lineRule="auto"/>
        <w:rPr>
          <w:rStyle w:val="Algerian"/>
          <w:spacing w:val="-2"/>
        </w:rPr>
      </w:pPr>
      <w:r w:rsidRPr="00BB37A6">
        <w:rPr>
          <w:rStyle w:val="Algerian"/>
          <w:spacing w:val="-2"/>
        </w:rPr>
        <w:t>4.- PRUEBAS</w:t>
      </w:r>
    </w:p>
    <w:p w14:paraId="5B7350BB" w14:textId="77777777" w:rsidR="00D06A1B" w:rsidRPr="00BB37A6" w:rsidRDefault="00D06A1B" w:rsidP="00DF78B9">
      <w:pPr>
        <w:spacing w:line="276" w:lineRule="auto"/>
        <w:rPr>
          <w:spacing w:val="-2"/>
        </w:rPr>
      </w:pPr>
    </w:p>
    <w:p w14:paraId="71ECEC19" w14:textId="418F9BEE" w:rsidR="00095F17" w:rsidRPr="00BB37A6" w:rsidRDefault="00FA37B7" w:rsidP="00DF78B9">
      <w:pPr>
        <w:spacing w:line="276" w:lineRule="auto"/>
        <w:rPr>
          <w:spacing w:val="-2"/>
        </w:rPr>
      </w:pPr>
      <w:r w:rsidRPr="00BB37A6">
        <w:rPr>
          <w:spacing w:val="-2"/>
        </w:rPr>
        <w:t>Se tuvieron en cuenta</w:t>
      </w:r>
      <w:r w:rsidR="008E71EC" w:rsidRPr="00BB37A6">
        <w:rPr>
          <w:spacing w:val="-2"/>
        </w:rPr>
        <w:t xml:space="preserve"> los documentos aportados por </w:t>
      </w:r>
      <w:r w:rsidR="004533F3">
        <w:rPr>
          <w:spacing w:val="-2"/>
        </w:rPr>
        <w:t>la</w:t>
      </w:r>
      <w:r w:rsidR="00370974">
        <w:rPr>
          <w:spacing w:val="-2"/>
        </w:rPr>
        <w:t>s</w:t>
      </w:r>
      <w:r w:rsidR="004533F3">
        <w:rPr>
          <w:spacing w:val="-2"/>
        </w:rPr>
        <w:t xml:space="preserve"> parte</w:t>
      </w:r>
      <w:r w:rsidR="00370974">
        <w:rPr>
          <w:spacing w:val="-2"/>
        </w:rPr>
        <w:t>s</w:t>
      </w:r>
      <w:r w:rsidR="0081664A">
        <w:rPr>
          <w:spacing w:val="-2"/>
        </w:rPr>
        <w:t>, incluido el expediente digitalizado que dejó a disposición para consulta el juzgado de conocimiento accionado, cuyo enlace se consignó en la contestación al traslado de la tutela.</w:t>
      </w:r>
    </w:p>
    <w:p w14:paraId="292A76F1" w14:textId="77777777" w:rsidR="00BB37A6" w:rsidRDefault="00BB37A6" w:rsidP="00DF78B9">
      <w:pPr>
        <w:spacing w:line="276" w:lineRule="auto"/>
        <w:rPr>
          <w:rStyle w:val="Algerian"/>
          <w:spacing w:val="-2"/>
        </w:rPr>
      </w:pPr>
    </w:p>
    <w:p w14:paraId="5D21B8C4" w14:textId="77777777" w:rsidR="00D06A1B" w:rsidRPr="00BB37A6" w:rsidRDefault="00D06A1B" w:rsidP="00DF78B9">
      <w:pPr>
        <w:spacing w:line="276" w:lineRule="auto"/>
        <w:rPr>
          <w:rStyle w:val="Algerian"/>
          <w:spacing w:val="-2"/>
        </w:rPr>
      </w:pPr>
      <w:r w:rsidRPr="00BB37A6">
        <w:rPr>
          <w:rStyle w:val="Algerian"/>
          <w:spacing w:val="-2"/>
        </w:rPr>
        <w:t>5.-</w:t>
      </w:r>
      <w:r w:rsidRPr="00BB37A6">
        <w:rPr>
          <w:rStyle w:val="Algerian"/>
          <w:rFonts w:ascii="Tahoma" w:hAnsi="Tahoma" w:cs="Tahoma"/>
          <w:spacing w:val="-2"/>
        </w:rPr>
        <w:t xml:space="preserve"> </w:t>
      </w:r>
      <w:r w:rsidR="008E73B3" w:rsidRPr="00BB37A6">
        <w:rPr>
          <w:rStyle w:val="Algerian"/>
          <w:rFonts w:ascii="Tahoma" w:hAnsi="Tahoma" w:cs="Tahoma"/>
          <w:spacing w:val="-2"/>
          <w:sz w:val="28"/>
          <w:szCs w:val="28"/>
        </w:rPr>
        <w:t>Para resolver</w:t>
      </w:r>
      <w:r w:rsidR="008E73B3" w:rsidRPr="00BB37A6">
        <w:rPr>
          <w:rStyle w:val="Algerian"/>
          <w:rFonts w:ascii="Tahoma" w:hAnsi="Tahoma" w:cs="Tahoma"/>
          <w:spacing w:val="-2"/>
        </w:rPr>
        <w:t xml:space="preserve">, </w:t>
      </w:r>
      <w:r w:rsidRPr="00BB37A6">
        <w:rPr>
          <w:rStyle w:val="Algerian"/>
          <w:spacing w:val="-2"/>
        </w:rPr>
        <w:t>SE CONSIDERA</w:t>
      </w:r>
    </w:p>
    <w:p w14:paraId="71BA2066" w14:textId="77777777" w:rsidR="00D06A1B" w:rsidRPr="00BB37A6" w:rsidRDefault="00D06A1B" w:rsidP="00DF78B9">
      <w:pPr>
        <w:spacing w:line="276" w:lineRule="auto"/>
        <w:rPr>
          <w:spacing w:val="-2"/>
          <w:sz w:val="22"/>
          <w:szCs w:val="22"/>
        </w:rPr>
      </w:pPr>
    </w:p>
    <w:p w14:paraId="0C79EA29" w14:textId="77777777" w:rsidR="00E847C6" w:rsidRPr="00BB37A6" w:rsidRDefault="00E847C6" w:rsidP="00E847C6">
      <w:pPr>
        <w:spacing w:line="276" w:lineRule="auto"/>
        <w:rPr>
          <w:spacing w:val="-2"/>
          <w:position w:val="4"/>
        </w:rPr>
      </w:pPr>
      <w:r w:rsidRPr="00BB37A6">
        <w:rPr>
          <w:spacing w:val="-2"/>
          <w:position w:val="4"/>
        </w:rPr>
        <w:t xml:space="preserve">El Tribunal es competente para fallar este caso de conformidad con la facultad consagrada en </w:t>
      </w:r>
      <w:smartTag w:uri="urn:schemas-microsoft-com:office:smarttags" w:element="PersonName">
        <w:smartTagPr>
          <w:attr w:name="ProductID" w:val="la         H. Corte"/>
        </w:smartTagPr>
        <w:smartTag w:uri="urn:schemas-microsoft-com:office:smarttags" w:element="PersonName">
          <w:smartTagPr>
            <w:attr w:name="ProductID" w:val="la Constituci￳n"/>
          </w:smartTagPr>
          <w:r w:rsidRPr="00BB37A6">
            <w:rPr>
              <w:spacing w:val="-2"/>
              <w:position w:val="4"/>
            </w:rPr>
            <w:t>la Constitución</w:t>
          </w:r>
        </w:smartTag>
        <w:r w:rsidRPr="00BB37A6">
          <w:rPr>
            <w:spacing w:val="-2"/>
            <w:position w:val="4"/>
          </w:rPr>
          <w:t xml:space="preserve"> Política</w:t>
        </w:r>
      </w:smartTag>
      <w:r w:rsidRPr="00BB37A6">
        <w:rPr>
          <w:spacing w:val="-2"/>
          <w:position w:val="4"/>
        </w:rPr>
        <w:t xml:space="preserve"> en su artículo 86 y en los Decretos 2591/91 y 1382 de 2000, modificado por el 1069 de 2015 y este a su vez por el 1983 de 2017 y el 333 de 2021.</w:t>
      </w:r>
    </w:p>
    <w:p w14:paraId="20504241" w14:textId="77777777" w:rsidR="00AD1512" w:rsidRPr="00BB37A6" w:rsidRDefault="00AD1512" w:rsidP="00DF78B9">
      <w:pPr>
        <w:spacing w:line="276" w:lineRule="auto"/>
        <w:rPr>
          <w:spacing w:val="-2"/>
          <w:sz w:val="22"/>
          <w:szCs w:val="22"/>
        </w:rPr>
      </w:pPr>
    </w:p>
    <w:p w14:paraId="420A8637" w14:textId="77777777" w:rsidR="00D06A1B" w:rsidRPr="00BB37A6" w:rsidRDefault="00D06A1B" w:rsidP="00DF78B9">
      <w:pPr>
        <w:spacing w:line="276" w:lineRule="auto"/>
        <w:rPr>
          <w:b/>
          <w:bCs/>
          <w:spacing w:val="-2"/>
          <w:sz w:val="24"/>
        </w:rPr>
      </w:pPr>
      <w:r w:rsidRPr="00BB37A6">
        <w:rPr>
          <w:b/>
          <w:bCs/>
          <w:spacing w:val="-2"/>
          <w:sz w:val="24"/>
        </w:rPr>
        <w:t xml:space="preserve">5.1.- Problema planteado </w:t>
      </w:r>
    </w:p>
    <w:p w14:paraId="28CBB437" w14:textId="77777777" w:rsidR="00EA6C68" w:rsidRPr="00BB37A6" w:rsidRDefault="00EA6C68" w:rsidP="00EA6C68">
      <w:pPr>
        <w:spacing w:line="276" w:lineRule="auto"/>
        <w:rPr>
          <w:spacing w:val="-2"/>
          <w:sz w:val="22"/>
          <w:szCs w:val="22"/>
        </w:rPr>
      </w:pPr>
    </w:p>
    <w:p w14:paraId="29CD595B" w14:textId="730A0C15" w:rsidR="003065D7" w:rsidRPr="00BB37A6" w:rsidRDefault="003065D7" w:rsidP="003065D7">
      <w:pPr>
        <w:spacing w:line="276" w:lineRule="auto"/>
        <w:rPr>
          <w:spacing w:val="-2"/>
          <w:position w:val="-6"/>
        </w:rPr>
      </w:pPr>
      <w:r w:rsidRPr="00BB37A6">
        <w:rPr>
          <w:spacing w:val="-2"/>
          <w:position w:val="-6"/>
        </w:rPr>
        <w:t xml:space="preserve">Corresponde </w:t>
      </w:r>
      <w:r w:rsidR="00EE0D7E" w:rsidRPr="00BB37A6">
        <w:rPr>
          <w:spacing w:val="-2"/>
          <w:position w:val="-6"/>
        </w:rPr>
        <w:t>determinar</w:t>
      </w:r>
      <w:r w:rsidRPr="00BB37A6">
        <w:rPr>
          <w:spacing w:val="-2"/>
          <w:position w:val="-6"/>
        </w:rPr>
        <w:t xml:space="preserve"> a la Sala</w:t>
      </w:r>
      <w:r w:rsidR="00383BB6">
        <w:rPr>
          <w:spacing w:val="-2"/>
          <w:position w:val="-6"/>
        </w:rPr>
        <w:t>,</w:t>
      </w:r>
      <w:r w:rsidRPr="00BB37A6">
        <w:rPr>
          <w:spacing w:val="-2"/>
          <w:position w:val="-6"/>
        </w:rPr>
        <w:t xml:space="preserve"> si por parte de</w:t>
      </w:r>
      <w:r w:rsidR="00370974">
        <w:rPr>
          <w:spacing w:val="-2"/>
          <w:position w:val="-6"/>
        </w:rPr>
        <w:t xml:space="preserve"> </w:t>
      </w:r>
      <w:r w:rsidR="004F2AE3">
        <w:rPr>
          <w:spacing w:val="-2"/>
          <w:position w:val="-6"/>
        </w:rPr>
        <w:t xml:space="preserve">las autoridades accionadas </w:t>
      </w:r>
      <w:r w:rsidRPr="00BB37A6">
        <w:rPr>
          <w:spacing w:val="-2"/>
          <w:position w:val="-6"/>
          <w:szCs w:val="26"/>
        </w:rPr>
        <w:t>se quebrant</w:t>
      </w:r>
      <w:r w:rsidR="00370974">
        <w:rPr>
          <w:spacing w:val="-2"/>
          <w:position w:val="-6"/>
          <w:szCs w:val="26"/>
        </w:rPr>
        <w:t>aron</w:t>
      </w:r>
      <w:r w:rsidR="001B214D" w:rsidRPr="00BB37A6">
        <w:rPr>
          <w:spacing w:val="-2"/>
          <w:position w:val="-6"/>
          <w:szCs w:val="26"/>
        </w:rPr>
        <w:t xml:space="preserve"> </w:t>
      </w:r>
      <w:r w:rsidR="004533F3">
        <w:rPr>
          <w:spacing w:val="-2"/>
          <w:position w:val="-6"/>
          <w:szCs w:val="26"/>
        </w:rPr>
        <w:t>l</w:t>
      </w:r>
      <w:r w:rsidR="004F2AE3">
        <w:rPr>
          <w:spacing w:val="-2"/>
          <w:position w:val="-6"/>
          <w:szCs w:val="26"/>
        </w:rPr>
        <w:t>os</w:t>
      </w:r>
      <w:r w:rsidR="004533F3">
        <w:rPr>
          <w:spacing w:val="-2"/>
          <w:position w:val="-6"/>
          <w:szCs w:val="26"/>
        </w:rPr>
        <w:t xml:space="preserve"> derecho</w:t>
      </w:r>
      <w:r w:rsidR="004F2AE3">
        <w:rPr>
          <w:spacing w:val="-2"/>
          <w:position w:val="-6"/>
          <w:szCs w:val="26"/>
        </w:rPr>
        <w:t>s</w:t>
      </w:r>
      <w:r w:rsidR="004533F3">
        <w:rPr>
          <w:spacing w:val="-2"/>
          <w:position w:val="-6"/>
          <w:szCs w:val="26"/>
        </w:rPr>
        <w:t xml:space="preserve"> fundamental</w:t>
      </w:r>
      <w:r w:rsidR="004F2AE3">
        <w:rPr>
          <w:spacing w:val="-2"/>
          <w:position w:val="-6"/>
          <w:szCs w:val="26"/>
        </w:rPr>
        <w:t>es</w:t>
      </w:r>
      <w:r w:rsidR="001B214D" w:rsidRPr="00BB37A6">
        <w:rPr>
          <w:spacing w:val="-2"/>
          <w:position w:val="-6"/>
          <w:szCs w:val="26"/>
        </w:rPr>
        <w:t xml:space="preserve"> </w:t>
      </w:r>
      <w:r w:rsidR="004533F3">
        <w:rPr>
          <w:spacing w:val="-2"/>
          <w:position w:val="-6"/>
          <w:szCs w:val="26"/>
        </w:rPr>
        <w:t>a</w:t>
      </w:r>
      <w:r w:rsidR="00BF3DC8">
        <w:rPr>
          <w:spacing w:val="-2"/>
          <w:position w:val="-6"/>
          <w:szCs w:val="26"/>
        </w:rPr>
        <w:t xml:space="preserve">l debido proceso y </w:t>
      </w:r>
      <w:r w:rsidR="00D439CB">
        <w:rPr>
          <w:spacing w:val="-2"/>
          <w:position w:val="-6"/>
          <w:szCs w:val="26"/>
        </w:rPr>
        <w:t xml:space="preserve">defensa técnica </w:t>
      </w:r>
      <w:r w:rsidR="007D2E4A">
        <w:rPr>
          <w:spacing w:val="-2"/>
          <w:position w:val="-6"/>
          <w:szCs w:val="26"/>
        </w:rPr>
        <w:t xml:space="preserve">deprecados por el señor </w:t>
      </w:r>
      <w:r w:rsidR="00B973CB">
        <w:rPr>
          <w:b/>
          <w:spacing w:val="-2"/>
          <w:position w:val="-6"/>
          <w:sz w:val="22"/>
          <w:szCs w:val="22"/>
        </w:rPr>
        <w:t>JCR</w:t>
      </w:r>
      <w:r w:rsidR="001B214D" w:rsidRPr="00BB37A6">
        <w:rPr>
          <w:spacing w:val="-2"/>
          <w:position w:val="-6"/>
          <w:szCs w:val="26"/>
        </w:rPr>
        <w:t>.</w:t>
      </w:r>
    </w:p>
    <w:p w14:paraId="45E9B473" w14:textId="77777777" w:rsidR="001C0B18" w:rsidRPr="00BB37A6" w:rsidRDefault="001C0B18" w:rsidP="00EA6C68">
      <w:pPr>
        <w:spacing w:line="276" w:lineRule="auto"/>
        <w:rPr>
          <w:spacing w:val="-2"/>
        </w:rPr>
      </w:pPr>
    </w:p>
    <w:p w14:paraId="31BC890E" w14:textId="77777777" w:rsidR="00EA6C68" w:rsidRPr="00BB37A6" w:rsidRDefault="00EA6C68" w:rsidP="00EA6C68">
      <w:pPr>
        <w:spacing w:line="276" w:lineRule="auto"/>
        <w:rPr>
          <w:b/>
          <w:spacing w:val="-2"/>
          <w:sz w:val="24"/>
        </w:rPr>
      </w:pPr>
      <w:r w:rsidRPr="00BB37A6">
        <w:rPr>
          <w:b/>
          <w:spacing w:val="-2"/>
          <w:sz w:val="24"/>
        </w:rPr>
        <w:t>5.2.-</w:t>
      </w:r>
      <w:r w:rsidRPr="00BB37A6">
        <w:rPr>
          <w:spacing w:val="-2"/>
        </w:rPr>
        <w:t xml:space="preserve"> </w:t>
      </w:r>
      <w:r w:rsidRPr="00BB37A6">
        <w:rPr>
          <w:b/>
          <w:spacing w:val="-2"/>
          <w:sz w:val="24"/>
        </w:rPr>
        <w:t>Solución a la controversia</w:t>
      </w:r>
    </w:p>
    <w:p w14:paraId="28E2996E" w14:textId="77777777" w:rsidR="00EA6C68" w:rsidRPr="00BB37A6" w:rsidRDefault="00EA6C68" w:rsidP="00EA6C68">
      <w:pPr>
        <w:spacing w:line="276" w:lineRule="auto"/>
        <w:rPr>
          <w:spacing w:val="-2"/>
        </w:rPr>
      </w:pPr>
    </w:p>
    <w:p w14:paraId="6AB43831" w14:textId="77777777" w:rsidR="007D2E4A" w:rsidRDefault="00442522" w:rsidP="00442522">
      <w:pPr>
        <w:spacing w:line="276" w:lineRule="auto"/>
        <w:rPr>
          <w:spacing w:val="-2"/>
          <w:position w:val="-4"/>
        </w:rPr>
      </w:pPr>
      <w:r w:rsidRPr="00BB37A6">
        <w:rPr>
          <w:spacing w:val="-2"/>
          <w:position w:val="-4"/>
        </w:rPr>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w:t>
      </w:r>
      <w:r w:rsidR="00F82218" w:rsidRPr="00BB37A6">
        <w:rPr>
          <w:spacing w:val="-2"/>
          <w:position w:val="-4"/>
        </w:rPr>
        <w:t>:</w:t>
      </w:r>
      <w:r w:rsidRPr="00BB37A6">
        <w:rPr>
          <w:spacing w:val="-2"/>
          <w:position w:val="-4"/>
        </w:rPr>
        <w:t xml:space="preserve"> “el afectado no disponga de otro medio de defensa judicial, salvo que aquélla se utilice como mecanismo transitorio para evitar un perjuicio irremediable”.</w:t>
      </w:r>
      <w:r w:rsidR="000B2866" w:rsidRPr="00BB37A6">
        <w:rPr>
          <w:spacing w:val="-2"/>
          <w:position w:val="-4"/>
        </w:rPr>
        <w:t xml:space="preserve"> </w:t>
      </w:r>
    </w:p>
    <w:p w14:paraId="10F1C3B7" w14:textId="77777777" w:rsidR="007D2E4A" w:rsidRDefault="007D2E4A" w:rsidP="00442522">
      <w:pPr>
        <w:spacing w:line="276" w:lineRule="auto"/>
        <w:rPr>
          <w:spacing w:val="-2"/>
          <w:position w:val="-4"/>
        </w:rPr>
      </w:pPr>
    </w:p>
    <w:p w14:paraId="1824E568" w14:textId="1EDC9FF9" w:rsidR="00442522" w:rsidRPr="00BB37A6" w:rsidRDefault="00442522" w:rsidP="00442522">
      <w:pPr>
        <w:spacing w:line="276" w:lineRule="auto"/>
        <w:rPr>
          <w:spacing w:val="-2"/>
          <w:position w:val="-4"/>
        </w:rPr>
      </w:pPr>
      <w:r w:rsidRPr="00BB37A6">
        <w:rPr>
          <w:spacing w:val="-2"/>
          <w:position w:val="-4"/>
        </w:rPr>
        <w:t xml:space="preserve">Se advierte entonces que la acción de tutela ha sido por excelencia el mecanismo más expedito en materia de protección de derechos fundamentales, gracias a ella el Estado Colombiano logró optimizarlos y hacerlos valer a todas las personas sin discriminación alguna. </w:t>
      </w:r>
    </w:p>
    <w:p w14:paraId="5A819574" w14:textId="77777777" w:rsidR="00442522" w:rsidRPr="00BB37A6" w:rsidRDefault="00442522" w:rsidP="00442522">
      <w:pPr>
        <w:spacing w:line="276" w:lineRule="auto"/>
        <w:rPr>
          <w:spacing w:val="-2"/>
          <w:position w:val="-4"/>
        </w:rPr>
      </w:pPr>
    </w:p>
    <w:p w14:paraId="3E74B612" w14:textId="4799242E" w:rsidR="00312455" w:rsidRDefault="00442522" w:rsidP="00596049">
      <w:pPr>
        <w:spacing w:line="276" w:lineRule="auto"/>
        <w:rPr>
          <w:spacing w:val="-2"/>
          <w:position w:val="-4"/>
        </w:rPr>
      </w:pPr>
      <w:r w:rsidRPr="00BB37A6">
        <w:rPr>
          <w:spacing w:val="-2"/>
          <w:position w:val="-4"/>
        </w:rPr>
        <w:t xml:space="preserve">De acuerdo con las manifestaciones realizadas por el </w:t>
      </w:r>
      <w:r w:rsidR="001F6104">
        <w:rPr>
          <w:spacing w:val="-2"/>
          <w:position w:val="-4"/>
        </w:rPr>
        <w:t>apoderado del señor</w:t>
      </w:r>
      <w:r w:rsidRPr="00BB37A6">
        <w:rPr>
          <w:spacing w:val="-2"/>
          <w:position w:val="-4"/>
        </w:rPr>
        <w:t xml:space="preserve"> </w:t>
      </w:r>
      <w:r w:rsidR="00B973CB">
        <w:rPr>
          <w:b/>
          <w:spacing w:val="-2"/>
          <w:position w:val="-4"/>
          <w:sz w:val="22"/>
          <w:szCs w:val="22"/>
        </w:rPr>
        <w:t>JCR</w:t>
      </w:r>
      <w:r w:rsidRPr="00BB37A6">
        <w:rPr>
          <w:spacing w:val="-2"/>
          <w:position w:val="-4"/>
        </w:rPr>
        <w:t xml:space="preserve">, </w:t>
      </w:r>
      <w:r w:rsidR="00C76506">
        <w:rPr>
          <w:spacing w:val="-2"/>
          <w:position w:val="-4"/>
        </w:rPr>
        <w:t xml:space="preserve">se advierte que </w:t>
      </w:r>
      <w:r w:rsidR="00DA5811">
        <w:rPr>
          <w:spacing w:val="-2"/>
          <w:position w:val="-4"/>
        </w:rPr>
        <w:t xml:space="preserve">acude </w:t>
      </w:r>
      <w:r w:rsidR="00C70597" w:rsidRPr="00C70597">
        <w:rPr>
          <w:spacing w:val="-2"/>
          <w:position w:val="-4"/>
        </w:rPr>
        <w:t xml:space="preserve">a la acción constitucional con miras a </w:t>
      </w:r>
      <w:r w:rsidR="00C76506">
        <w:rPr>
          <w:spacing w:val="-2"/>
          <w:position w:val="-4"/>
        </w:rPr>
        <w:t xml:space="preserve">lograr </w:t>
      </w:r>
      <w:r w:rsidR="001007E2">
        <w:rPr>
          <w:spacing w:val="-2"/>
          <w:position w:val="-4"/>
        </w:rPr>
        <w:t xml:space="preserve">la nulidad de la actuación procesal surtida en la causa penal que se adelantó en su contra ante </w:t>
      </w:r>
      <w:r w:rsidR="00633A66">
        <w:rPr>
          <w:spacing w:val="-2"/>
          <w:position w:val="-4"/>
        </w:rPr>
        <w:t xml:space="preserve">el Juzgado </w:t>
      </w:r>
      <w:r w:rsidR="001007E2">
        <w:rPr>
          <w:spacing w:val="-2"/>
          <w:position w:val="-4"/>
        </w:rPr>
        <w:t xml:space="preserve">Segundo </w:t>
      </w:r>
      <w:r w:rsidR="00633A66">
        <w:rPr>
          <w:spacing w:val="-2"/>
          <w:position w:val="-4"/>
        </w:rPr>
        <w:t xml:space="preserve">Penal del Circuito </w:t>
      </w:r>
      <w:r w:rsidR="001007E2">
        <w:rPr>
          <w:spacing w:val="-2"/>
          <w:position w:val="-4"/>
        </w:rPr>
        <w:t xml:space="preserve">Especializado </w:t>
      </w:r>
      <w:r w:rsidR="00633A66">
        <w:rPr>
          <w:spacing w:val="-2"/>
          <w:position w:val="-4"/>
        </w:rPr>
        <w:t>de Pereira</w:t>
      </w:r>
      <w:r w:rsidR="00643DF1">
        <w:rPr>
          <w:spacing w:val="-2"/>
          <w:position w:val="-4"/>
        </w:rPr>
        <w:t>, a partir de la audiencia preparatoria, lo que incluye la sentencia condenatoria de junio 20 de 2024, pues considera que fueron vulnerados sus derechos fundamentales al debido proceso y, en especial, a la defensa técnica, pues afirma que nunca conoció sobre la realización de audiencia, pues el juzgado incurrió en una indebida citación, al remitir las comunicaciones a direcciones incorrect</w:t>
      </w:r>
      <w:r w:rsidR="00351740">
        <w:rPr>
          <w:spacing w:val="-2"/>
          <w:position w:val="-4"/>
        </w:rPr>
        <w:t>a</w:t>
      </w:r>
      <w:r w:rsidR="00643DF1">
        <w:rPr>
          <w:spacing w:val="-2"/>
          <w:position w:val="-4"/>
        </w:rPr>
        <w:t xml:space="preserve">s, en tanto que nunca tuvo contacto con la abogada de la Defensoría Pública que le </w:t>
      </w:r>
      <w:r w:rsidR="00643DF1">
        <w:rPr>
          <w:spacing w:val="-2"/>
          <w:position w:val="-4"/>
        </w:rPr>
        <w:lastRenderedPageBreak/>
        <w:t xml:space="preserve">fue asignada, lo que le impidió </w:t>
      </w:r>
      <w:r w:rsidR="0044046E">
        <w:rPr>
          <w:spacing w:val="-2"/>
          <w:position w:val="-4"/>
        </w:rPr>
        <w:t>participar y aportar pruebas favorables a sus intereses.</w:t>
      </w:r>
    </w:p>
    <w:p w14:paraId="33E3378E" w14:textId="77777777" w:rsidR="0044046E" w:rsidRPr="00BB37A6" w:rsidRDefault="0044046E" w:rsidP="0044046E">
      <w:pPr>
        <w:spacing w:line="276" w:lineRule="auto"/>
        <w:rPr>
          <w:spacing w:val="-2"/>
          <w:position w:val="-4"/>
        </w:rPr>
      </w:pPr>
    </w:p>
    <w:p w14:paraId="2ED6FF47" w14:textId="26014D85" w:rsidR="0044046E" w:rsidRPr="00BB37A6" w:rsidRDefault="0044046E" w:rsidP="0044046E">
      <w:pPr>
        <w:spacing w:line="276" w:lineRule="auto"/>
        <w:rPr>
          <w:spacing w:val="-2"/>
        </w:rPr>
      </w:pPr>
      <w:r w:rsidRPr="00BB37A6">
        <w:rPr>
          <w:spacing w:val="-2"/>
        </w:rPr>
        <w:t>Como quiera que en la presente tutela se ataca</w:t>
      </w:r>
      <w:r>
        <w:rPr>
          <w:spacing w:val="-2"/>
        </w:rPr>
        <w:t>n</w:t>
      </w:r>
      <w:r w:rsidRPr="00BB37A6">
        <w:rPr>
          <w:spacing w:val="-2"/>
        </w:rPr>
        <w:t xml:space="preserve"> decisi</w:t>
      </w:r>
      <w:r>
        <w:rPr>
          <w:spacing w:val="-2"/>
        </w:rPr>
        <w:t>ones</w:t>
      </w:r>
      <w:r w:rsidRPr="00BB37A6">
        <w:rPr>
          <w:spacing w:val="-2"/>
        </w:rPr>
        <w:t xml:space="preserve"> proferida</w:t>
      </w:r>
      <w:r>
        <w:rPr>
          <w:spacing w:val="-2"/>
        </w:rPr>
        <w:t>s</w:t>
      </w:r>
      <w:r w:rsidRPr="00BB37A6">
        <w:rPr>
          <w:spacing w:val="-2"/>
        </w:rPr>
        <w:t xml:space="preserve"> por una autoridad judicial, es indispensable estudiar de manera inicial lo relacionado con la viabilidad de la tutela a efectos de revisar las citadas decisiones, para luego establecer si hay o no lugar a realizar un análisis de fondo al caso específico</w:t>
      </w:r>
      <w:r w:rsidRPr="00BB37A6">
        <w:rPr>
          <w:rStyle w:val="Refdenotaalpie"/>
          <w:spacing w:val="-2"/>
        </w:rPr>
        <w:footnoteReference w:id="1"/>
      </w:r>
      <w:r w:rsidRPr="00BB37A6">
        <w:rPr>
          <w:spacing w:val="-2"/>
        </w:rPr>
        <w:t>.</w:t>
      </w:r>
    </w:p>
    <w:p w14:paraId="090C2595" w14:textId="77777777" w:rsidR="0044046E" w:rsidRPr="00BB37A6" w:rsidRDefault="0044046E" w:rsidP="0044046E">
      <w:pPr>
        <w:spacing w:line="276" w:lineRule="auto"/>
        <w:rPr>
          <w:spacing w:val="-2"/>
        </w:rPr>
      </w:pPr>
    </w:p>
    <w:p w14:paraId="320A6FFD" w14:textId="77777777" w:rsidR="0044046E" w:rsidRPr="00BB37A6" w:rsidRDefault="0044046E" w:rsidP="0044046E">
      <w:pPr>
        <w:spacing w:line="276" w:lineRule="auto"/>
        <w:rPr>
          <w:spacing w:val="-2"/>
        </w:rPr>
      </w:pPr>
      <w:r w:rsidRPr="00BB37A6">
        <w:rPr>
          <w:spacing w:val="-2"/>
        </w:rPr>
        <w:t>Cuando se dirige la tutela contra providencias judiciales, se convierte en un mecanismo de protección excepcionalísimo y por ello su prosperidad va ligada al cumplimiento de unos requisitos de procedibilidad que la jurisdicción constitucional ha acogido en fallos C-560</w:t>
      </w:r>
      <w:r>
        <w:rPr>
          <w:spacing w:val="-2"/>
        </w:rPr>
        <w:t>/</w:t>
      </w:r>
      <w:r w:rsidRPr="00BB37A6">
        <w:rPr>
          <w:spacing w:val="-2"/>
        </w:rPr>
        <w:t>05 y T-332</w:t>
      </w:r>
      <w:r>
        <w:rPr>
          <w:spacing w:val="-2"/>
        </w:rPr>
        <w:t>/</w:t>
      </w:r>
      <w:r w:rsidRPr="00BB37A6">
        <w:rPr>
          <w:spacing w:val="-2"/>
        </w:rPr>
        <w:t xml:space="preserve">06, entre </w:t>
      </w:r>
      <w:r>
        <w:rPr>
          <w:spacing w:val="-2"/>
        </w:rPr>
        <w:t xml:space="preserve">tantos </w:t>
      </w:r>
      <w:r w:rsidRPr="00BB37A6">
        <w:rPr>
          <w:spacing w:val="-2"/>
        </w:rPr>
        <w:t>otros.</w:t>
      </w:r>
    </w:p>
    <w:p w14:paraId="557712DA" w14:textId="77777777" w:rsidR="0044046E" w:rsidRPr="00BB37A6" w:rsidRDefault="0044046E" w:rsidP="0044046E">
      <w:pPr>
        <w:spacing w:line="276" w:lineRule="auto"/>
        <w:rPr>
          <w:spacing w:val="-2"/>
        </w:rPr>
      </w:pPr>
    </w:p>
    <w:p w14:paraId="541B1C25" w14:textId="77777777" w:rsidR="0044046E" w:rsidRPr="00BB37A6" w:rsidRDefault="0044046E" w:rsidP="0044046E">
      <w:pPr>
        <w:spacing w:line="276" w:lineRule="auto"/>
        <w:rPr>
          <w:spacing w:val="-2"/>
        </w:rPr>
      </w:pPr>
      <w:r w:rsidRPr="00BB37A6">
        <w:rPr>
          <w:spacing w:val="-2"/>
        </w:rPr>
        <w:t xml:space="preserve">De conformidad con la doctrina constitucional, los requisitos generales de procedencia de la acción de tutela contra providencias judiciales, ameritan que la cuestión que se discuta: </w:t>
      </w:r>
      <w:r w:rsidRPr="0044046E">
        <w:rPr>
          <w:b/>
          <w:spacing w:val="-2"/>
          <w:sz w:val="22"/>
        </w:rPr>
        <w:t>(i)</w:t>
      </w:r>
      <w:r w:rsidRPr="00BB37A6">
        <w:rPr>
          <w:spacing w:val="-2"/>
        </w:rPr>
        <w:t xml:space="preserve"> sea de evidente relevancia constitucional; </w:t>
      </w:r>
      <w:r w:rsidRPr="0044046E">
        <w:rPr>
          <w:b/>
          <w:spacing w:val="-2"/>
          <w:sz w:val="22"/>
        </w:rPr>
        <w:t>(</w:t>
      </w:r>
      <w:proofErr w:type="spellStart"/>
      <w:r w:rsidRPr="0044046E">
        <w:rPr>
          <w:b/>
          <w:spacing w:val="-2"/>
          <w:sz w:val="22"/>
        </w:rPr>
        <w:t>ii</w:t>
      </w:r>
      <w:proofErr w:type="spellEnd"/>
      <w:r w:rsidRPr="0044046E">
        <w:rPr>
          <w:b/>
          <w:spacing w:val="-2"/>
          <w:sz w:val="22"/>
        </w:rPr>
        <w:t>)</w:t>
      </w:r>
      <w:r w:rsidRPr="00BB37A6">
        <w:rPr>
          <w:spacing w:val="-2"/>
        </w:rPr>
        <w:t xml:space="preserve"> se haya hecho uso de todos los mecanismos de defensa judicial </w:t>
      </w:r>
      <w:r w:rsidRPr="00BB37A6">
        <w:rPr>
          <w:rFonts w:ascii="Verdana" w:hAnsi="Verdana"/>
          <w:spacing w:val="-2"/>
          <w:sz w:val="20"/>
          <w:szCs w:val="20"/>
        </w:rPr>
        <w:t>-ordinarios y extraordinarios-</w:t>
      </w:r>
      <w:r w:rsidRPr="00BB37A6">
        <w:rPr>
          <w:spacing w:val="-2"/>
        </w:rPr>
        <w:t xml:space="preserve"> a disposición del afectado, salvo que se trate de evitar un perjuicio </w:t>
      </w:r>
      <w:proofErr w:type="spellStart"/>
      <w:r w:rsidRPr="0044046E">
        <w:rPr>
          <w:i/>
          <w:spacing w:val="-2"/>
        </w:rPr>
        <w:t>iusfundamental</w:t>
      </w:r>
      <w:proofErr w:type="spellEnd"/>
      <w:r w:rsidRPr="00BB37A6">
        <w:rPr>
          <w:spacing w:val="-2"/>
        </w:rPr>
        <w:t xml:space="preserve"> irremediable; </w:t>
      </w:r>
      <w:r w:rsidRPr="0044046E">
        <w:rPr>
          <w:b/>
          <w:spacing w:val="-2"/>
          <w:sz w:val="22"/>
        </w:rPr>
        <w:t>(</w:t>
      </w:r>
      <w:proofErr w:type="spellStart"/>
      <w:r w:rsidRPr="0044046E">
        <w:rPr>
          <w:b/>
          <w:spacing w:val="-2"/>
          <w:sz w:val="22"/>
        </w:rPr>
        <w:t>iii</w:t>
      </w:r>
      <w:proofErr w:type="spellEnd"/>
      <w:r w:rsidRPr="0044046E">
        <w:rPr>
          <w:b/>
          <w:spacing w:val="-2"/>
          <w:sz w:val="22"/>
        </w:rPr>
        <w:t>)</w:t>
      </w:r>
      <w:r w:rsidRPr="00BB37A6">
        <w:rPr>
          <w:spacing w:val="-2"/>
        </w:rPr>
        <w:t xml:space="preserve"> se cumpla el requisito de la inmediatez. Así, la tutela debe haber sido interpuesta en un término razonable y proporcionado desde el momento de ocurrencia de la vulneración del derecho fundamental; </w:t>
      </w:r>
      <w:r w:rsidRPr="0044046E">
        <w:rPr>
          <w:b/>
          <w:spacing w:val="-2"/>
          <w:sz w:val="22"/>
        </w:rPr>
        <w:t>(</w:t>
      </w:r>
      <w:proofErr w:type="spellStart"/>
      <w:r w:rsidRPr="0044046E">
        <w:rPr>
          <w:b/>
          <w:spacing w:val="-2"/>
          <w:sz w:val="22"/>
        </w:rPr>
        <w:t>iv</w:t>
      </w:r>
      <w:proofErr w:type="spellEnd"/>
      <w:r w:rsidRPr="0044046E">
        <w:rPr>
          <w:b/>
          <w:spacing w:val="-2"/>
          <w:sz w:val="22"/>
        </w:rPr>
        <w:t>)</w:t>
      </w:r>
      <w:r w:rsidRPr="00BB37A6">
        <w:rPr>
          <w:spacing w:val="-2"/>
        </w:rPr>
        <w:t xml:space="preserve"> cuando se trate de una irregularidad procesal, que ésta tenga un efecto decisivo en el fallo objeto de controversia y afecte los derechos fundamentales de la parte actora</w:t>
      </w:r>
      <w:r>
        <w:rPr>
          <w:spacing w:val="-2"/>
        </w:rPr>
        <w:t>;</w:t>
      </w:r>
      <w:r w:rsidRPr="00BB37A6">
        <w:rPr>
          <w:spacing w:val="-2"/>
        </w:rPr>
        <w:t xml:space="preserve"> y </w:t>
      </w:r>
      <w:r w:rsidRPr="0044046E">
        <w:rPr>
          <w:b/>
          <w:spacing w:val="-2"/>
          <w:sz w:val="22"/>
        </w:rPr>
        <w:t>(v)</w:t>
      </w:r>
      <w:r w:rsidRPr="00BB37A6">
        <w:rPr>
          <w:spacing w:val="-2"/>
        </w:rPr>
        <w:t xml:space="preserve"> que no se trate de sentencias de tutela.</w:t>
      </w:r>
    </w:p>
    <w:p w14:paraId="2F13A750" w14:textId="77777777" w:rsidR="0044046E" w:rsidRPr="00BB37A6" w:rsidRDefault="0044046E" w:rsidP="0044046E">
      <w:pPr>
        <w:spacing w:line="276" w:lineRule="auto"/>
        <w:rPr>
          <w:spacing w:val="-2"/>
        </w:rPr>
      </w:pPr>
    </w:p>
    <w:p w14:paraId="200662CF" w14:textId="1B07AE20" w:rsidR="0044046E" w:rsidRPr="00BB37A6" w:rsidRDefault="0044046E" w:rsidP="0044046E">
      <w:pPr>
        <w:spacing w:line="276" w:lineRule="auto"/>
        <w:rPr>
          <w:spacing w:val="-2"/>
        </w:rPr>
      </w:pPr>
      <w:r w:rsidRPr="00BB37A6">
        <w:rPr>
          <w:spacing w:val="-2"/>
        </w:rPr>
        <w:t>De igual manera</w:t>
      </w:r>
      <w:r>
        <w:rPr>
          <w:spacing w:val="-2"/>
        </w:rPr>
        <w:t>,</w:t>
      </w:r>
      <w:r w:rsidRPr="00BB37A6">
        <w:rPr>
          <w:spacing w:val="-2"/>
        </w:rPr>
        <w:t xml:space="preserve"> debe cumplirse con la acreditación de al menos uno de los requisitos de carácter específico que igualmente han sido reiterados en pacífica jurisprudencia a partir de la sentencia C-560</w:t>
      </w:r>
      <w:r>
        <w:rPr>
          <w:spacing w:val="-2"/>
        </w:rPr>
        <w:t>/</w:t>
      </w:r>
      <w:r w:rsidRPr="00BB37A6">
        <w:rPr>
          <w:spacing w:val="-2"/>
        </w:rPr>
        <w:t>05</w:t>
      </w:r>
      <w:r w:rsidRPr="00BB37A6">
        <w:rPr>
          <w:rStyle w:val="Refdenotaalpie"/>
          <w:spacing w:val="-2"/>
        </w:rPr>
        <w:footnoteReference w:id="2"/>
      </w:r>
      <w:r w:rsidRPr="00BB37A6">
        <w:rPr>
          <w:spacing w:val="-2"/>
        </w:rPr>
        <w:t xml:space="preserve">. </w:t>
      </w:r>
    </w:p>
    <w:p w14:paraId="30096243" w14:textId="77777777" w:rsidR="0044046E" w:rsidRPr="00BB37A6" w:rsidRDefault="0044046E" w:rsidP="0044046E">
      <w:pPr>
        <w:spacing w:line="276" w:lineRule="auto"/>
        <w:rPr>
          <w:spacing w:val="-2"/>
        </w:rPr>
      </w:pPr>
    </w:p>
    <w:p w14:paraId="730B6D9E" w14:textId="59F1C823" w:rsidR="0044046E" w:rsidRPr="00BB37A6" w:rsidRDefault="0044046E" w:rsidP="0044046E">
      <w:pPr>
        <w:spacing w:line="276" w:lineRule="auto"/>
        <w:rPr>
          <w:spacing w:val="-2"/>
        </w:rPr>
      </w:pPr>
      <w:r w:rsidRPr="00BB37A6">
        <w:rPr>
          <w:spacing w:val="-2"/>
        </w:rPr>
        <w:t>Es de recordarse también que la</w:t>
      </w:r>
      <w:r>
        <w:rPr>
          <w:spacing w:val="-2"/>
        </w:rPr>
        <w:t xml:space="preserve"> </w:t>
      </w:r>
      <w:r w:rsidRPr="00BB37A6">
        <w:rPr>
          <w:spacing w:val="-2"/>
        </w:rPr>
        <w:t>Corte Suprema de Justicia</w:t>
      </w:r>
      <w:r>
        <w:rPr>
          <w:spacing w:val="-2"/>
        </w:rPr>
        <w:t>,</w:t>
      </w:r>
      <w:r w:rsidRPr="00BB37A6">
        <w:rPr>
          <w:spacing w:val="-2"/>
        </w:rPr>
        <w:t xml:space="preserve"> ante la interposición de acciones de constitucionales contra providencias judiciales, ha expresado</w:t>
      </w:r>
      <w:r w:rsidRPr="00BB37A6">
        <w:rPr>
          <w:spacing w:val="-2"/>
          <w:vertAlign w:val="superscript"/>
        </w:rPr>
        <w:footnoteReference w:id="3"/>
      </w:r>
      <w:r w:rsidRPr="00BB37A6">
        <w:rPr>
          <w:spacing w:val="-2"/>
        </w:rPr>
        <w:t xml:space="preserve"> que</w:t>
      </w:r>
      <w:r>
        <w:rPr>
          <w:spacing w:val="-2"/>
        </w:rPr>
        <w:t>,</w:t>
      </w:r>
      <w:r w:rsidRPr="00BB37A6">
        <w:rPr>
          <w:spacing w:val="-2"/>
        </w:rPr>
        <w:t xml:space="preserve"> si bien la tutela </w:t>
      </w:r>
      <w:r>
        <w:rPr>
          <w:spacing w:val="-2"/>
        </w:rPr>
        <w:t xml:space="preserve">puede ser </w:t>
      </w:r>
      <w:r w:rsidRPr="00BB37A6">
        <w:rPr>
          <w:spacing w:val="-2"/>
        </w:rPr>
        <w:t>procede</w:t>
      </w:r>
      <w:r>
        <w:rPr>
          <w:spacing w:val="-2"/>
        </w:rPr>
        <w:t>nte</w:t>
      </w:r>
      <w:r w:rsidRPr="00BB37A6">
        <w:rPr>
          <w:spacing w:val="-2"/>
        </w:rPr>
        <w:t xml:space="preserve"> en aplicación de los criterios</w:t>
      </w:r>
      <w:r>
        <w:rPr>
          <w:spacing w:val="-2"/>
        </w:rPr>
        <w:t xml:space="preserve"> antes reseñados</w:t>
      </w:r>
      <w:r w:rsidRPr="00BB37A6">
        <w:rPr>
          <w:spacing w:val="-2"/>
        </w:rPr>
        <w:t xml:space="preserve">, quien la ejercite tiene una mayor exigencia argumentativa, puesto que no puede quedarse simplemente en el planteamiento de censuras y omitir su demostración, sino que por el contrario debe probar de forma irrefutable que se incurrió en un error garrafal por el </w:t>
      </w:r>
      <w:r w:rsidRPr="00BB37A6">
        <w:rPr>
          <w:spacing w:val="-2"/>
        </w:rPr>
        <w:lastRenderedPageBreak/>
        <w:t xml:space="preserve">funcionario y por ello la providencia </w:t>
      </w:r>
      <w:r>
        <w:rPr>
          <w:spacing w:val="-2"/>
        </w:rPr>
        <w:t>-</w:t>
      </w:r>
      <w:r w:rsidRPr="0044046E">
        <w:rPr>
          <w:rFonts w:ascii="Verdana" w:hAnsi="Verdana"/>
          <w:spacing w:val="-2"/>
          <w:sz w:val="20"/>
        </w:rPr>
        <w:t>que está amparada por la presunción de acierto y legalidad</w:t>
      </w:r>
      <w:r>
        <w:rPr>
          <w:spacing w:val="-2"/>
        </w:rPr>
        <w:t>-</w:t>
      </w:r>
      <w:r w:rsidRPr="00BB37A6">
        <w:rPr>
          <w:spacing w:val="-2"/>
        </w:rPr>
        <w:t xml:space="preserve"> no es ajustada a derecho, de forma que se haga necesaria la intervención del juez de tutela en el conocimiento de un asunto que por su naturaleza recae en el juez ordinario.</w:t>
      </w:r>
    </w:p>
    <w:p w14:paraId="187938F7" w14:textId="77777777" w:rsidR="0044046E" w:rsidRPr="00BB37A6" w:rsidRDefault="0044046E" w:rsidP="0044046E">
      <w:pPr>
        <w:spacing w:line="276" w:lineRule="auto"/>
        <w:rPr>
          <w:spacing w:val="-2"/>
        </w:rPr>
      </w:pPr>
    </w:p>
    <w:p w14:paraId="4E565E48" w14:textId="3016BEDC" w:rsidR="00204F5B" w:rsidRDefault="0044046E" w:rsidP="00204F5B">
      <w:pPr>
        <w:spacing w:line="276" w:lineRule="auto"/>
        <w:rPr>
          <w:spacing w:val="-2"/>
        </w:rPr>
      </w:pPr>
      <w:r w:rsidRPr="00BB37A6">
        <w:rPr>
          <w:spacing w:val="-2"/>
        </w:rPr>
        <w:t xml:space="preserve">Para el asunto en ciernes, si bien el </w:t>
      </w:r>
      <w:r>
        <w:rPr>
          <w:spacing w:val="-2"/>
        </w:rPr>
        <w:t>demandante</w:t>
      </w:r>
      <w:r w:rsidRPr="00BB37A6">
        <w:rPr>
          <w:spacing w:val="-2"/>
        </w:rPr>
        <w:t xml:space="preserve"> estima que con </w:t>
      </w:r>
      <w:r>
        <w:rPr>
          <w:spacing w:val="-2"/>
        </w:rPr>
        <w:t xml:space="preserve">las actuaciones procesales (entre ellas la sentencia condenatoria) que adelantó el juzgado de conocimiento </w:t>
      </w:r>
      <w:r w:rsidRPr="00BB37A6">
        <w:rPr>
          <w:spacing w:val="-2"/>
        </w:rPr>
        <w:t>vulnera</w:t>
      </w:r>
      <w:r>
        <w:rPr>
          <w:spacing w:val="-2"/>
        </w:rPr>
        <w:t>ro</w:t>
      </w:r>
      <w:r w:rsidRPr="00BB37A6">
        <w:rPr>
          <w:spacing w:val="-2"/>
        </w:rPr>
        <w:t>n su derecho al debido proceso</w:t>
      </w:r>
      <w:r>
        <w:rPr>
          <w:spacing w:val="-2"/>
        </w:rPr>
        <w:t xml:space="preserve">, en especial la garantía a la defensa técnica y material, la Sala colige </w:t>
      </w:r>
      <w:r w:rsidRPr="00BB37A6">
        <w:rPr>
          <w:spacing w:val="-2"/>
        </w:rPr>
        <w:t xml:space="preserve">de manera anticipada y con </w:t>
      </w:r>
      <w:r>
        <w:rPr>
          <w:spacing w:val="-2"/>
        </w:rPr>
        <w:t xml:space="preserve">absoluta </w:t>
      </w:r>
      <w:r w:rsidRPr="00BB37A6">
        <w:rPr>
          <w:spacing w:val="-2"/>
        </w:rPr>
        <w:t>claridad que lo pretendido es utilizar indebidamente la vía constitucional como mecanismo judicial alternativo o como una instancia</w:t>
      </w:r>
      <w:r>
        <w:rPr>
          <w:spacing w:val="-2"/>
        </w:rPr>
        <w:t xml:space="preserve"> adicional</w:t>
      </w:r>
      <w:r w:rsidRPr="00BB37A6">
        <w:rPr>
          <w:spacing w:val="-2"/>
        </w:rPr>
        <w:t xml:space="preserve">, </w:t>
      </w:r>
      <w:r w:rsidR="00204F5B">
        <w:rPr>
          <w:spacing w:val="-2"/>
        </w:rPr>
        <w:t xml:space="preserve">a efectos de que </w:t>
      </w:r>
      <w:r w:rsidR="00204F5B" w:rsidRPr="00204F5B">
        <w:rPr>
          <w:spacing w:val="-2"/>
        </w:rPr>
        <w:t>se reviertan los resultados adversos del trámite judicial que concluyó con la sentencia condenatoria, lo que al decir de la jurisprudencia nacional constituye una palpable violación al principio de subsidiariedad que rige la acción de tutela. Puntualmente ese respecto se ha sostenido:</w:t>
      </w:r>
    </w:p>
    <w:p w14:paraId="4B850993" w14:textId="77777777" w:rsidR="00204F5B" w:rsidRPr="00596049" w:rsidRDefault="00204F5B" w:rsidP="00204F5B">
      <w:pPr>
        <w:spacing w:line="276" w:lineRule="auto"/>
        <w:rPr>
          <w:spacing w:val="-2"/>
          <w:position w:val="-4"/>
        </w:rPr>
      </w:pPr>
    </w:p>
    <w:p w14:paraId="49CD2F15" w14:textId="77777777" w:rsidR="00204F5B" w:rsidRPr="009B7D94" w:rsidRDefault="00204F5B" w:rsidP="00204F5B">
      <w:pPr>
        <w:shd w:val="clear" w:color="auto" w:fill="FFFFFF"/>
        <w:spacing w:line="240" w:lineRule="auto"/>
        <w:ind w:left="510" w:right="618"/>
        <w:rPr>
          <w:rFonts w:ascii="Verdana" w:hAnsi="Verdana"/>
          <w:iCs/>
          <w:color w:val="000000"/>
          <w:sz w:val="20"/>
          <w:szCs w:val="20"/>
          <w:lang w:val="es-ES_tradnl"/>
        </w:rPr>
      </w:pPr>
      <w:r>
        <w:rPr>
          <w:rFonts w:ascii="Verdana" w:hAnsi="Verdana"/>
          <w:color w:val="000000"/>
          <w:sz w:val="20"/>
          <w:szCs w:val="20"/>
        </w:rPr>
        <w:t xml:space="preserve">“[…] </w:t>
      </w:r>
      <w:r w:rsidRPr="008561CF">
        <w:rPr>
          <w:rFonts w:ascii="Verdana" w:hAnsi="Verdana"/>
          <w:b/>
          <w:iCs/>
          <w:color w:val="000000"/>
          <w:sz w:val="18"/>
          <w:szCs w:val="18"/>
          <w:lang w:val="es-ES_tradnl"/>
        </w:rPr>
        <w:t>dada la naturaleza supletiva de la acción de tutela, la misma no puede ser utilizada como un medio judicial alternativo, adicional o complementario de los establecidos en el ordenamiento jurídico para la defensa de los derechos de manera preferente, como quiera que, a través de su ejercicio, no se busca reemplazar los procedimientos ordinarios o especiales y, menos aún, pretermitir los mecanismos que dentro de estos se han establecido para controvertir las decisiones que se adopten</w:t>
      </w:r>
      <w:r w:rsidRPr="007334F1">
        <w:rPr>
          <w:rFonts w:ascii="Verdana" w:hAnsi="Verdana"/>
          <w:iCs/>
          <w:color w:val="000000"/>
          <w:sz w:val="20"/>
          <w:szCs w:val="20"/>
          <w:vertAlign w:val="superscript"/>
          <w:lang w:val="es-ES_tradnl"/>
        </w:rPr>
        <w:footnoteReference w:id="4"/>
      </w:r>
      <w:r w:rsidRPr="007334F1">
        <w:rPr>
          <w:rFonts w:ascii="Verdana" w:hAnsi="Verdana"/>
          <w:iCs/>
          <w:color w:val="000000"/>
          <w:sz w:val="20"/>
          <w:szCs w:val="20"/>
          <w:lang w:val="es-ES_tradnl"/>
        </w:rPr>
        <w:t>.</w:t>
      </w:r>
      <w:r>
        <w:rPr>
          <w:rFonts w:ascii="Verdana" w:hAnsi="Verdana"/>
          <w:i/>
          <w:color w:val="000000"/>
          <w:sz w:val="20"/>
          <w:szCs w:val="20"/>
        </w:rPr>
        <w:t>”</w:t>
      </w:r>
      <w:r w:rsidRPr="008561CF">
        <w:rPr>
          <w:rFonts w:ascii="Verdana" w:hAnsi="Verdana"/>
          <w:color w:val="000000"/>
          <w:sz w:val="20"/>
          <w:szCs w:val="20"/>
          <w:vertAlign w:val="superscript"/>
        </w:rPr>
        <w:t xml:space="preserve"> </w:t>
      </w:r>
      <w:r w:rsidRPr="007334F1">
        <w:rPr>
          <w:rFonts w:ascii="Verdana" w:hAnsi="Verdana"/>
          <w:color w:val="000000"/>
          <w:sz w:val="20"/>
          <w:szCs w:val="20"/>
          <w:vertAlign w:val="superscript"/>
        </w:rPr>
        <w:footnoteReference w:id="5"/>
      </w:r>
    </w:p>
    <w:p w14:paraId="5F941AEF" w14:textId="77777777" w:rsidR="00204F5B" w:rsidRPr="00204F5B" w:rsidRDefault="00204F5B" w:rsidP="00204F5B">
      <w:pPr>
        <w:spacing w:line="276" w:lineRule="auto"/>
        <w:rPr>
          <w:spacing w:val="-2"/>
        </w:rPr>
      </w:pPr>
    </w:p>
    <w:p w14:paraId="7E10686D" w14:textId="77777777" w:rsidR="00204F5B" w:rsidRPr="00596049" w:rsidRDefault="00204F5B" w:rsidP="00204F5B">
      <w:pPr>
        <w:spacing w:line="276" w:lineRule="auto"/>
        <w:rPr>
          <w:spacing w:val="-2"/>
          <w:position w:val="-4"/>
        </w:rPr>
      </w:pPr>
      <w:r w:rsidRPr="00596049">
        <w:rPr>
          <w:spacing w:val="-2"/>
          <w:position w:val="-4"/>
        </w:rPr>
        <w:t xml:space="preserve">La jurisprudencia constitucional es contundente al resaltar el carácter subsidiario y residual de la acción constitucional, y que la misma solo es procedente de manera supletoria, es decir, cuando no existan otros mecanismos ordinarios de defensa judicial a los cuales se pueda acudir, y no sea usada como una forma de evadirlos: </w:t>
      </w:r>
    </w:p>
    <w:p w14:paraId="568317F4" w14:textId="77777777" w:rsidR="00204F5B" w:rsidRPr="00596049" w:rsidRDefault="00204F5B" w:rsidP="00204F5B">
      <w:pPr>
        <w:spacing w:line="276" w:lineRule="auto"/>
        <w:rPr>
          <w:spacing w:val="-2"/>
          <w:position w:val="-4"/>
        </w:rPr>
      </w:pPr>
    </w:p>
    <w:p w14:paraId="7E3ADD4E" w14:textId="77777777" w:rsidR="00204F5B" w:rsidRPr="005D2336" w:rsidRDefault="00204F5B" w:rsidP="00204F5B">
      <w:pPr>
        <w:pStyle w:val="Textoindependiente3"/>
        <w:tabs>
          <w:tab w:val="left" w:pos="8222"/>
        </w:tabs>
        <w:spacing w:after="0" w:line="23" w:lineRule="atLeast"/>
        <w:ind w:left="567" w:right="618"/>
        <w:rPr>
          <w:rFonts w:ascii="Verdana" w:hAnsi="Verdana"/>
          <w:bCs/>
          <w:spacing w:val="2"/>
          <w:sz w:val="20"/>
          <w:szCs w:val="20"/>
        </w:rPr>
      </w:pPr>
      <w:r w:rsidRPr="005D2336">
        <w:rPr>
          <w:rFonts w:ascii="Verdana" w:hAnsi="Verdana"/>
          <w:bCs/>
          <w:spacing w:val="2"/>
          <w:sz w:val="20"/>
          <w:szCs w:val="20"/>
        </w:rPr>
        <w:t xml:space="preserve">“[…] La acción de tutela es un mecanismo de protección de derechos fundamentales cuyas características y condiciones son definidas por la misma Carta Política. </w:t>
      </w:r>
      <w:r w:rsidRPr="005D2336">
        <w:rPr>
          <w:rFonts w:ascii="Verdana" w:hAnsi="Verdana"/>
          <w:b/>
          <w:bCs/>
          <w:spacing w:val="2"/>
          <w:sz w:val="18"/>
          <w:szCs w:val="18"/>
        </w:rPr>
        <w:t>Dentro de estos requisitos se encuentran la subsidiariedad</w:t>
      </w:r>
      <w:r w:rsidRPr="005D2336">
        <w:rPr>
          <w:rFonts w:ascii="Verdana" w:hAnsi="Verdana"/>
          <w:bCs/>
          <w:spacing w:val="2"/>
          <w:sz w:val="20"/>
          <w:szCs w:val="20"/>
        </w:rPr>
        <w:t xml:space="preserve"> y la inmediatez. </w:t>
      </w:r>
    </w:p>
    <w:p w14:paraId="3348E83B" w14:textId="77777777" w:rsidR="00204F5B" w:rsidRPr="005D2336" w:rsidRDefault="00204F5B" w:rsidP="00204F5B">
      <w:pPr>
        <w:pStyle w:val="Textoindependiente3"/>
        <w:tabs>
          <w:tab w:val="left" w:pos="8222"/>
        </w:tabs>
        <w:spacing w:after="0" w:line="23" w:lineRule="atLeast"/>
        <w:ind w:left="567" w:right="618"/>
        <w:rPr>
          <w:rFonts w:ascii="Verdana" w:hAnsi="Verdana"/>
          <w:bCs/>
          <w:spacing w:val="2"/>
          <w:sz w:val="20"/>
          <w:szCs w:val="20"/>
        </w:rPr>
      </w:pPr>
    </w:p>
    <w:p w14:paraId="0F01F2AF" w14:textId="77777777" w:rsidR="00204F5B" w:rsidRPr="005D2336" w:rsidRDefault="00204F5B" w:rsidP="00204F5B">
      <w:pPr>
        <w:pStyle w:val="Textoindependiente3"/>
        <w:tabs>
          <w:tab w:val="left" w:pos="8222"/>
        </w:tabs>
        <w:spacing w:after="0" w:line="23" w:lineRule="atLeast"/>
        <w:ind w:left="567" w:right="618"/>
        <w:rPr>
          <w:rFonts w:ascii="Verdana" w:hAnsi="Verdana"/>
          <w:bCs/>
          <w:spacing w:val="2"/>
          <w:sz w:val="20"/>
          <w:szCs w:val="20"/>
        </w:rPr>
      </w:pPr>
      <w:r w:rsidRPr="005D2336">
        <w:rPr>
          <w:rFonts w:ascii="Verdana" w:hAnsi="Verdana"/>
          <w:bCs/>
          <w:spacing w:val="2"/>
          <w:sz w:val="20"/>
          <w:szCs w:val="20"/>
        </w:rPr>
        <w:t>El primero está relacionado con la necesidad que en cada caso concreto se acredite que el afectado no cuenta con otro mecanismo de protección de sus derechos o que, en razón a la inminencia de un perjuicio irremediable, dicho instrumento pierde su idoneidad para garantizar la eficacia de los postulados constitucionales, caso en el cual la Carta prevé la procedencia excepcional y transitoria.</w:t>
      </w:r>
      <w:r w:rsidRPr="005D2336">
        <w:rPr>
          <w:rStyle w:val="Refdenotaalpie"/>
          <w:bCs/>
          <w:spacing w:val="2"/>
          <w:szCs w:val="20"/>
        </w:rPr>
        <w:footnoteReference w:id="6"/>
      </w:r>
      <w:r w:rsidRPr="005D2336">
        <w:rPr>
          <w:rFonts w:ascii="Verdana" w:hAnsi="Verdana"/>
          <w:bCs/>
          <w:spacing w:val="2"/>
          <w:sz w:val="20"/>
          <w:szCs w:val="20"/>
        </w:rPr>
        <w:t xml:space="preserve"> </w:t>
      </w:r>
    </w:p>
    <w:p w14:paraId="58C7CF7B" w14:textId="77777777" w:rsidR="00204F5B" w:rsidRPr="005D2336" w:rsidRDefault="00204F5B" w:rsidP="00204F5B">
      <w:pPr>
        <w:pStyle w:val="Textoindependiente3"/>
        <w:tabs>
          <w:tab w:val="left" w:pos="8222"/>
        </w:tabs>
        <w:spacing w:after="0" w:line="23" w:lineRule="atLeast"/>
        <w:ind w:left="567" w:right="618"/>
        <w:rPr>
          <w:rFonts w:ascii="Verdana" w:hAnsi="Verdana"/>
          <w:bCs/>
          <w:spacing w:val="2"/>
          <w:sz w:val="20"/>
          <w:szCs w:val="20"/>
        </w:rPr>
      </w:pPr>
    </w:p>
    <w:p w14:paraId="046F8C76" w14:textId="77777777" w:rsidR="00204F5B" w:rsidRPr="00C83879" w:rsidRDefault="00204F5B" w:rsidP="00204F5B">
      <w:pPr>
        <w:pStyle w:val="Textoindependiente3"/>
        <w:tabs>
          <w:tab w:val="left" w:pos="8222"/>
        </w:tabs>
        <w:spacing w:after="0" w:line="23" w:lineRule="atLeast"/>
        <w:ind w:left="567" w:right="618"/>
        <w:rPr>
          <w:rFonts w:ascii="Verdana" w:hAnsi="Verdana"/>
          <w:bCs/>
          <w:spacing w:val="2"/>
          <w:sz w:val="20"/>
          <w:szCs w:val="20"/>
        </w:rPr>
      </w:pPr>
      <w:r w:rsidRPr="005D2336">
        <w:rPr>
          <w:rFonts w:ascii="Verdana" w:hAnsi="Verdana"/>
          <w:b/>
          <w:bCs/>
          <w:spacing w:val="2"/>
          <w:sz w:val="18"/>
          <w:szCs w:val="20"/>
        </w:rPr>
        <w:t xml:space="preserve">El fundamento constitucional de la subsidiariedad, bajo esta perspectiva, consiste en impedir que la acción de tutela, que tiene un campo restrictivo </w:t>
      </w:r>
      <w:r w:rsidRPr="005D2336">
        <w:rPr>
          <w:rFonts w:ascii="Verdana" w:hAnsi="Verdana"/>
          <w:b/>
          <w:bCs/>
          <w:spacing w:val="2"/>
          <w:sz w:val="18"/>
          <w:szCs w:val="20"/>
        </w:rPr>
        <w:lastRenderedPageBreak/>
        <w:t>de aplicación, se convierta en un mecanismo principal de protección de los derechos fundamentales</w:t>
      </w:r>
      <w:r>
        <w:rPr>
          <w:rFonts w:ascii="Verdana" w:hAnsi="Verdana"/>
          <w:b/>
          <w:bCs/>
          <w:spacing w:val="2"/>
          <w:sz w:val="18"/>
          <w:szCs w:val="20"/>
        </w:rPr>
        <w:t>”</w:t>
      </w:r>
      <w:r>
        <w:rPr>
          <w:rFonts w:ascii="Verdana" w:hAnsi="Verdana"/>
          <w:bCs/>
          <w:spacing w:val="2"/>
          <w:sz w:val="20"/>
          <w:szCs w:val="20"/>
        </w:rPr>
        <w:t>.</w:t>
      </w:r>
      <w:r w:rsidRPr="007334F1">
        <w:rPr>
          <w:rFonts w:ascii="Verdana" w:hAnsi="Verdana"/>
          <w:color w:val="000000"/>
          <w:sz w:val="20"/>
          <w:szCs w:val="20"/>
          <w:vertAlign w:val="superscript"/>
        </w:rPr>
        <w:footnoteReference w:id="7"/>
      </w:r>
      <w:r w:rsidRPr="005D2336">
        <w:rPr>
          <w:rFonts w:ascii="Verdana" w:hAnsi="Verdana"/>
          <w:bCs/>
          <w:spacing w:val="2"/>
          <w:sz w:val="20"/>
          <w:szCs w:val="20"/>
        </w:rPr>
        <w:t xml:space="preserve"> </w:t>
      </w:r>
    </w:p>
    <w:p w14:paraId="224DF1AC" w14:textId="77777777" w:rsidR="0044046E" w:rsidRPr="00BB37A6" w:rsidRDefault="0044046E" w:rsidP="0044046E">
      <w:pPr>
        <w:spacing w:line="23" w:lineRule="atLeast"/>
        <w:rPr>
          <w:spacing w:val="-2"/>
          <w:lang w:val="es-CO"/>
        </w:rPr>
      </w:pPr>
    </w:p>
    <w:p w14:paraId="233D131A" w14:textId="77777777" w:rsidR="0044046E" w:rsidRPr="00BB37A6" w:rsidRDefault="0044046E" w:rsidP="00204F5B">
      <w:pPr>
        <w:spacing w:line="276" w:lineRule="auto"/>
        <w:rPr>
          <w:rFonts w:ascii="Verdana" w:hAnsi="Verdana"/>
          <w:spacing w:val="-2"/>
          <w:sz w:val="20"/>
          <w:szCs w:val="20"/>
        </w:rPr>
      </w:pPr>
      <w:r w:rsidRPr="00BB37A6">
        <w:rPr>
          <w:spacing w:val="-2"/>
        </w:rPr>
        <w:t xml:space="preserve">Véase que de tiempo atrás se tiene claro también que es en el interior del proceso donde se deben ventilar las presuntas trasgresiones a los derechos y garantías fundamentales que se reclaman, en cuanto: </w:t>
      </w:r>
      <w:r w:rsidRPr="00BB37A6">
        <w:rPr>
          <w:rFonts w:ascii="Verdana" w:hAnsi="Verdana"/>
          <w:spacing w:val="-2"/>
          <w:sz w:val="20"/>
          <w:szCs w:val="20"/>
        </w:rPr>
        <w:t>“</w:t>
      </w:r>
      <w:r w:rsidRPr="00BB37A6">
        <w:rPr>
          <w:rFonts w:ascii="Verdana" w:hAnsi="Verdana" w:cs="Bookman Old Style"/>
          <w:spacing w:val="-2"/>
          <w:sz w:val="20"/>
          <w:szCs w:val="20"/>
          <w:lang w:val="es-CO" w:eastAsia="x-none"/>
        </w:rPr>
        <w:t xml:space="preserve">no obstante la posible irregularidad que se hubiere presentado en el trámite del proceso correspondiente, al no estar culminada la actuación, existen normas en el procedimiento para que el afectado alegue oportunamente estas deficiencias, bien sea, pidiendo nulidades, </w:t>
      </w:r>
      <w:r w:rsidRPr="00BB37A6">
        <w:rPr>
          <w:rFonts w:ascii="Verdana" w:hAnsi="Verdana" w:cs="Bookman Old Style"/>
          <w:b/>
          <w:spacing w:val="-2"/>
          <w:sz w:val="18"/>
          <w:szCs w:val="18"/>
          <w:lang w:val="es-CO" w:eastAsia="x-none"/>
        </w:rPr>
        <w:t>interponiendo recursos</w:t>
      </w:r>
      <w:r w:rsidRPr="00BB37A6">
        <w:rPr>
          <w:rFonts w:ascii="Verdana" w:hAnsi="Verdana" w:cs="Bookman Old Style"/>
          <w:spacing w:val="-2"/>
          <w:sz w:val="20"/>
          <w:szCs w:val="20"/>
          <w:lang w:val="es-CO" w:eastAsia="x-none"/>
        </w:rPr>
        <w:t xml:space="preserve">, interviniendo en el proceso, todo con el fin de defender sus derechos. Es decir, </w:t>
      </w:r>
      <w:r w:rsidRPr="00BB37A6">
        <w:rPr>
          <w:rFonts w:ascii="Verdana" w:hAnsi="Verdana" w:cs="Bookman Old Style"/>
          <w:b/>
          <w:spacing w:val="-2"/>
          <w:sz w:val="18"/>
          <w:szCs w:val="18"/>
          <w:lang w:val="es-CO" w:eastAsia="x-none"/>
        </w:rPr>
        <w:t>la improcedencia de la acción de tutela, en estos casos, radica en la existencia de otro medio de defensa judicial, dentro del propio proceso</w:t>
      </w:r>
      <w:r w:rsidRPr="00BB37A6">
        <w:rPr>
          <w:rFonts w:ascii="Verdana" w:hAnsi="Verdana" w:cs="Bookman Old Style"/>
          <w:spacing w:val="-2"/>
          <w:sz w:val="20"/>
          <w:szCs w:val="20"/>
          <w:lang w:val="es-CO" w:eastAsia="x-none"/>
        </w:rPr>
        <w:t>”</w:t>
      </w:r>
      <w:r w:rsidRPr="00BB37A6">
        <w:rPr>
          <w:rStyle w:val="Refdenotaalpie"/>
          <w:bCs/>
          <w:spacing w:val="-2"/>
          <w:szCs w:val="20"/>
        </w:rPr>
        <w:footnoteReference w:id="8"/>
      </w:r>
      <w:r w:rsidRPr="00BB37A6">
        <w:rPr>
          <w:rFonts w:ascii="Verdana" w:hAnsi="Verdana"/>
          <w:spacing w:val="-2"/>
          <w:sz w:val="20"/>
          <w:szCs w:val="20"/>
        </w:rPr>
        <w:t>. -negrillas fuera de texto-</w:t>
      </w:r>
    </w:p>
    <w:p w14:paraId="79128816" w14:textId="77777777" w:rsidR="0044046E" w:rsidRPr="00BB37A6" w:rsidRDefault="0044046E" w:rsidP="0044046E">
      <w:pPr>
        <w:spacing w:line="276" w:lineRule="auto"/>
        <w:rPr>
          <w:spacing w:val="-2"/>
          <w:position w:val="-4"/>
        </w:rPr>
      </w:pPr>
    </w:p>
    <w:p w14:paraId="56FBA44F" w14:textId="77777777" w:rsidR="0044046E" w:rsidRDefault="0044046E" w:rsidP="0044046E">
      <w:pPr>
        <w:spacing w:line="276" w:lineRule="auto"/>
        <w:rPr>
          <w:spacing w:val="-2"/>
        </w:rPr>
      </w:pPr>
      <w:r w:rsidRPr="00BB37A6">
        <w:rPr>
          <w:spacing w:val="-2"/>
        </w:rPr>
        <w:t xml:space="preserve">Tal situación comporta una carga para el tutelante a efectos de desplegar todos los medios de impugnación que el sistema jurídico ha dispuesto para la defensa de sus derechos. </w:t>
      </w:r>
    </w:p>
    <w:p w14:paraId="0EDB4F55" w14:textId="77777777" w:rsidR="0044046E" w:rsidRDefault="0044046E" w:rsidP="0044046E">
      <w:pPr>
        <w:spacing w:line="276" w:lineRule="auto"/>
        <w:rPr>
          <w:spacing w:val="-2"/>
        </w:rPr>
      </w:pPr>
    </w:p>
    <w:p w14:paraId="0E7F212F" w14:textId="77777777" w:rsidR="0044046E" w:rsidRPr="00BB37A6" w:rsidRDefault="0044046E" w:rsidP="0044046E">
      <w:pPr>
        <w:spacing w:line="276" w:lineRule="auto"/>
        <w:rPr>
          <w:rFonts w:ascii="Verdana" w:hAnsi="Verdana"/>
          <w:spacing w:val="-2"/>
          <w:sz w:val="20"/>
          <w:szCs w:val="20"/>
          <w:lang w:eastAsia="es-ES"/>
        </w:rPr>
      </w:pPr>
      <w:r>
        <w:rPr>
          <w:spacing w:val="-2"/>
        </w:rPr>
        <w:t>Se itera</w:t>
      </w:r>
      <w:r w:rsidRPr="00BB37A6">
        <w:rPr>
          <w:spacing w:val="-2"/>
        </w:rPr>
        <w:t xml:space="preserve">, la acción de tutela no es un instrumento procesal alternativo adicional o complementario </w:t>
      </w:r>
      <w:r>
        <w:rPr>
          <w:spacing w:val="-2"/>
        </w:rPr>
        <w:t xml:space="preserve">a los </w:t>
      </w:r>
      <w:r w:rsidRPr="00BB37A6">
        <w:rPr>
          <w:spacing w:val="-2"/>
        </w:rPr>
        <w:t>proceso</w:t>
      </w:r>
      <w:r>
        <w:rPr>
          <w:spacing w:val="-2"/>
        </w:rPr>
        <w:t>s</w:t>
      </w:r>
      <w:r w:rsidRPr="00BB37A6">
        <w:rPr>
          <w:spacing w:val="-2"/>
        </w:rPr>
        <w:t xml:space="preserve"> que adelanta</w:t>
      </w:r>
      <w:r>
        <w:rPr>
          <w:spacing w:val="-2"/>
        </w:rPr>
        <w:t>n</w:t>
      </w:r>
      <w:r w:rsidRPr="00BB37A6">
        <w:rPr>
          <w:spacing w:val="-2"/>
        </w:rPr>
        <w:t xml:space="preserve"> </w:t>
      </w:r>
      <w:r>
        <w:rPr>
          <w:spacing w:val="-2"/>
        </w:rPr>
        <w:t xml:space="preserve">los funcionarios </w:t>
      </w:r>
      <w:r w:rsidRPr="00BB37A6">
        <w:rPr>
          <w:spacing w:val="-2"/>
        </w:rPr>
        <w:t>correspondiente</w:t>
      </w:r>
      <w:r>
        <w:rPr>
          <w:spacing w:val="-2"/>
        </w:rPr>
        <w:t>s</w:t>
      </w:r>
      <w:r w:rsidRPr="00BB37A6">
        <w:rPr>
          <w:spacing w:val="-2"/>
        </w:rPr>
        <w:t>, pues se correría el riesgo de vaciar de contenido las competencias de las distintas autoridades judiciales e implicaría un desborde institucional en el cumplimiento de las funciones de la jurisdicción constitucional, y solo procedería al acreditarse la existencia de un perjuicio irremediable o que los recursos o medios a su alcance no resulten idóneos para la protección de los derechos afectados, como lo tiene sentado la jurisprudencia nacional</w:t>
      </w:r>
      <w:r w:rsidRPr="00BB37A6">
        <w:rPr>
          <w:rFonts w:ascii="Verdana" w:hAnsi="Verdana"/>
          <w:iCs/>
          <w:spacing w:val="-2"/>
          <w:sz w:val="20"/>
          <w:szCs w:val="20"/>
          <w:vertAlign w:val="superscript"/>
        </w:rPr>
        <w:footnoteReference w:id="9"/>
      </w:r>
      <w:r w:rsidRPr="00BB37A6">
        <w:rPr>
          <w:spacing w:val="-2"/>
        </w:rPr>
        <w:t>.</w:t>
      </w:r>
      <w:r w:rsidRPr="00BB37A6">
        <w:rPr>
          <w:rFonts w:ascii="Verdana" w:hAnsi="Verdana"/>
          <w:spacing w:val="-2"/>
          <w:sz w:val="20"/>
          <w:szCs w:val="20"/>
          <w:lang w:eastAsia="es-ES"/>
        </w:rPr>
        <w:t xml:space="preserve"> </w:t>
      </w:r>
    </w:p>
    <w:p w14:paraId="3E28CF7B" w14:textId="77777777" w:rsidR="0044046E" w:rsidRPr="00BB37A6" w:rsidRDefault="0044046E" w:rsidP="0044046E">
      <w:pPr>
        <w:spacing w:line="276" w:lineRule="auto"/>
        <w:rPr>
          <w:spacing w:val="-2"/>
        </w:rPr>
      </w:pPr>
    </w:p>
    <w:p w14:paraId="39EC6480" w14:textId="04AEE1BD" w:rsidR="00FF01FE" w:rsidRDefault="009A1557" w:rsidP="009A1557">
      <w:pPr>
        <w:spacing w:line="276" w:lineRule="auto"/>
        <w:rPr>
          <w:spacing w:val="-2"/>
          <w:position w:val="-4"/>
        </w:rPr>
      </w:pPr>
      <w:r w:rsidRPr="00BB37A6">
        <w:rPr>
          <w:spacing w:val="-2"/>
          <w:position w:val="-4"/>
        </w:rPr>
        <w:t xml:space="preserve">Pues bien, al analizar lo que es materia de esta acción de tutela, se aprecia que el </w:t>
      </w:r>
      <w:r>
        <w:rPr>
          <w:spacing w:val="-2"/>
          <w:position w:val="-4"/>
        </w:rPr>
        <w:t xml:space="preserve">señor </w:t>
      </w:r>
      <w:r w:rsidR="00B973CB">
        <w:rPr>
          <w:b/>
          <w:spacing w:val="-2"/>
          <w:position w:val="-4"/>
          <w:sz w:val="22"/>
          <w:szCs w:val="22"/>
        </w:rPr>
        <w:t>JCR</w:t>
      </w:r>
      <w:r w:rsidRPr="00BB37A6">
        <w:rPr>
          <w:spacing w:val="-2"/>
          <w:position w:val="-4"/>
        </w:rPr>
        <w:t xml:space="preserve"> a la hora de ahora y por esta vía constitucional, pretende derruir</w:t>
      </w:r>
      <w:r>
        <w:rPr>
          <w:spacing w:val="-2"/>
          <w:position w:val="-4"/>
        </w:rPr>
        <w:t xml:space="preserve"> el </w:t>
      </w:r>
      <w:r w:rsidRPr="00BB37A6">
        <w:rPr>
          <w:spacing w:val="-2"/>
          <w:position w:val="-4"/>
        </w:rPr>
        <w:t>fallo</w:t>
      </w:r>
      <w:r>
        <w:rPr>
          <w:spacing w:val="-2"/>
          <w:position w:val="-4"/>
        </w:rPr>
        <w:t xml:space="preserve"> condenatorio </w:t>
      </w:r>
      <w:r w:rsidRPr="00BB37A6">
        <w:rPr>
          <w:spacing w:val="-2"/>
          <w:position w:val="-4"/>
        </w:rPr>
        <w:t xml:space="preserve">que se encuentra amparado por la doble presunción de acierto y legalidad </w:t>
      </w:r>
      <w:r>
        <w:rPr>
          <w:spacing w:val="-2"/>
          <w:position w:val="-4"/>
        </w:rPr>
        <w:t>-</w:t>
      </w:r>
      <w:r w:rsidRPr="00D86158">
        <w:rPr>
          <w:rFonts w:ascii="Verdana" w:hAnsi="Verdana"/>
          <w:spacing w:val="-2"/>
          <w:position w:val="-4"/>
          <w:sz w:val="20"/>
          <w:szCs w:val="20"/>
        </w:rPr>
        <w:t xml:space="preserve">amén que fueron decisiones derivadas </w:t>
      </w:r>
      <w:r>
        <w:rPr>
          <w:rFonts w:ascii="Verdana" w:hAnsi="Verdana"/>
          <w:spacing w:val="-2"/>
          <w:position w:val="-4"/>
          <w:sz w:val="20"/>
          <w:szCs w:val="20"/>
        </w:rPr>
        <w:t xml:space="preserve">del debate oral </w:t>
      </w:r>
      <w:r w:rsidRPr="00D86158">
        <w:rPr>
          <w:rFonts w:ascii="Verdana" w:hAnsi="Verdana"/>
          <w:spacing w:val="-2"/>
          <w:position w:val="-4"/>
          <w:sz w:val="20"/>
          <w:szCs w:val="20"/>
        </w:rPr>
        <w:t xml:space="preserve">con observancia de los ritos legales </w:t>
      </w:r>
      <w:r>
        <w:rPr>
          <w:rFonts w:ascii="Verdana" w:hAnsi="Verdana"/>
          <w:spacing w:val="-2"/>
          <w:position w:val="-4"/>
          <w:sz w:val="20"/>
          <w:szCs w:val="20"/>
        </w:rPr>
        <w:t>vigentes</w:t>
      </w:r>
      <w:r>
        <w:rPr>
          <w:spacing w:val="-2"/>
          <w:position w:val="-4"/>
        </w:rPr>
        <w:t xml:space="preserve">-, </w:t>
      </w:r>
      <w:r w:rsidR="00FF01FE">
        <w:rPr>
          <w:spacing w:val="-2"/>
          <w:position w:val="-4"/>
        </w:rPr>
        <w:t xml:space="preserve">así como </w:t>
      </w:r>
      <w:r>
        <w:rPr>
          <w:spacing w:val="-2"/>
          <w:position w:val="-4"/>
        </w:rPr>
        <w:t xml:space="preserve">retrotraer </w:t>
      </w:r>
      <w:r w:rsidR="00FF01FE">
        <w:rPr>
          <w:spacing w:val="-2"/>
          <w:position w:val="-4"/>
        </w:rPr>
        <w:t>las actuaciones procesales con miras a obtener su libertad y reabrir el debate probatorio para controvertir, ahora sí, lo señalamientos en su contra, pero deja de lado que la oportunidad para ello feneció y que su ausencia en el juzgamiento surtido fue deliberada y en manera alguna obedece al actuar u omisión de terceros que intervinieron en el proceso.</w:t>
      </w:r>
    </w:p>
    <w:p w14:paraId="542EE0B1" w14:textId="77777777" w:rsidR="00FF01FE" w:rsidRDefault="00FF01FE" w:rsidP="009A1557">
      <w:pPr>
        <w:spacing w:line="276" w:lineRule="auto"/>
        <w:rPr>
          <w:spacing w:val="-2"/>
          <w:position w:val="-4"/>
        </w:rPr>
      </w:pPr>
    </w:p>
    <w:p w14:paraId="4C160FAA" w14:textId="1477DC34" w:rsidR="00FF01FE" w:rsidRDefault="00FF01FE" w:rsidP="00FF01FE">
      <w:pPr>
        <w:spacing w:line="276" w:lineRule="auto"/>
        <w:rPr>
          <w:spacing w:val="-2"/>
          <w:position w:val="-4"/>
        </w:rPr>
      </w:pPr>
      <w:r>
        <w:rPr>
          <w:spacing w:val="-2"/>
          <w:position w:val="-4"/>
        </w:rPr>
        <w:t>Lo dicho</w:t>
      </w:r>
      <w:r w:rsidR="00032350">
        <w:rPr>
          <w:spacing w:val="-2"/>
          <w:position w:val="-4"/>
        </w:rPr>
        <w:t>,</w:t>
      </w:r>
      <w:r>
        <w:rPr>
          <w:spacing w:val="-2"/>
          <w:position w:val="-4"/>
        </w:rPr>
        <w:t xml:space="preserve"> porque al revisar la actuación procesal que fue puesta a disposición de la Sala se observa que el señor </w:t>
      </w:r>
      <w:r w:rsidR="00B973CB">
        <w:rPr>
          <w:b/>
          <w:spacing w:val="-2"/>
          <w:position w:val="-4"/>
          <w:sz w:val="22"/>
        </w:rPr>
        <w:t>JCR</w:t>
      </w:r>
      <w:r>
        <w:rPr>
          <w:spacing w:val="-2"/>
          <w:position w:val="-4"/>
        </w:rPr>
        <w:t xml:space="preserve"> estuvo presente y asistido por el abogado de confianza en la audiencia de formulación de imputación que se celebró en julio 13 de 2018 ante el Juzgado Segundo Penal Municipal con función de </w:t>
      </w:r>
      <w:r>
        <w:rPr>
          <w:spacing w:val="-2"/>
          <w:position w:val="-4"/>
        </w:rPr>
        <w:lastRenderedPageBreak/>
        <w:t xml:space="preserve">Control de Garantías de Pereira, despacho que también realizó de manera concentrada la diligencia previa de legalización de captura y la posterior de solicitud de medida de aseguramiento; </w:t>
      </w:r>
      <w:r w:rsidR="00032350">
        <w:rPr>
          <w:spacing w:val="-2"/>
          <w:position w:val="-4"/>
        </w:rPr>
        <w:t>así,</w:t>
      </w:r>
      <w:r>
        <w:rPr>
          <w:spacing w:val="-2"/>
          <w:position w:val="-4"/>
        </w:rPr>
        <w:t xml:space="preserve"> se </w:t>
      </w:r>
      <w:r w:rsidR="00032350">
        <w:rPr>
          <w:spacing w:val="-2"/>
          <w:position w:val="-4"/>
        </w:rPr>
        <w:t xml:space="preserve">colige </w:t>
      </w:r>
      <w:r>
        <w:rPr>
          <w:spacing w:val="-2"/>
          <w:position w:val="-4"/>
        </w:rPr>
        <w:t xml:space="preserve">que el ciudadano conoció de primera mano los hechos por los cuales fue atado al proceso penal, y tuvo la oportunidad de comprender las alternativas y consecuencias jurídicas que comportaba </w:t>
      </w:r>
      <w:r w:rsidR="00032350">
        <w:rPr>
          <w:spacing w:val="-2"/>
          <w:position w:val="-4"/>
        </w:rPr>
        <w:t xml:space="preserve">tal </w:t>
      </w:r>
      <w:r>
        <w:rPr>
          <w:spacing w:val="-2"/>
          <w:position w:val="-4"/>
        </w:rPr>
        <w:t>vinculación.</w:t>
      </w:r>
    </w:p>
    <w:p w14:paraId="0563BA9D" w14:textId="77777777" w:rsidR="00FF01FE" w:rsidRDefault="00FF01FE" w:rsidP="00FF01FE">
      <w:pPr>
        <w:spacing w:line="276" w:lineRule="auto"/>
        <w:rPr>
          <w:spacing w:val="-2"/>
          <w:position w:val="-4"/>
        </w:rPr>
      </w:pPr>
    </w:p>
    <w:p w14:paraId="327134A9" w14:textId="61E8DBEC" w:rsidR="006F5FDE" w:rsidRDefault="00FF01FE" w:rsidP="006F5FDE">
      <w:pPr>
        <w:spacing w:line="276" w:lineRule="auto"/>
        <w:rPr>
          <w:spacing w:val="-2"/>
          <w:position w:val="-4"/>
        </w:rPr>
      </w:pPr>
      <w:r>
        <w:rPr>
          <w:spacing w:val="-2"/>
          <w:position w:val="-4"/>
        </w:rPr>
        <w:t xml:space="preserve">Además, </w:t>
      </w:r>
      <w:r w:rsidR="00032350">
        <w:rPr>
          <w:spacing w:val="-2"/>
          <w:position w:val="-4"/>
        </w:rPr>
        <w:t xml:space="preserve">es claro que </w:t>
      </w:r>
      <w:r w:rsidR="00CD4BE2">
        <w:rPr>
          <w:spacing w:val="-2"/>
          <w:position w:val="-4"/>
        </w:rPr>
        <w:t xml:space="preserve">él </w:t>
      </w:r>
      <w:r>
        <w:rPr>
          <w:spacing w:val="-2"/>
          <w:position w:val="-4"/>
        </w:rPr>
        <w:t xml:space="preserve">conocía </w:t>
      </w:r>
      <w:r w:rsidR="00032350">
        <w:rPr>
          <w:spacing w:val="-2"/>
          <w:position w:val="-4"/>
        </w:rPr>
        <w:t xml:space="preserve">que el proceso estaba en </w:t>
      </w:r>
      <w:r>
        <w:rPr>
          <w:spacing w:val="-2"/>
          <w:position w:val="-4"/>
        </w:rPr>
        <w:t>la etapa de juzgamiento</w:t>
      </w:r>
      <w:r w:rsidR="00032350">
        <w:rPr>
          <w:spacing w:val="-2"/>
          <w:position w:val="-4"/>
        </w:rPr>
        <w:t xml:space="preserve"> y</w:t>
      </w:r>
      <w:r>
        <w:rPr>
          <w:spacing w:val="-2"/>
          <w:position w:val="-4"/>
        </w:rPr>
        <w:t xml:space="preserve"> </w:t>
      </w:r>
      <w:r w:rsidR="00684BA3">
        <w:rPr>
          <w:spacing w:val="-2"/>
          <w:position w:val="-4"/>
        </w:rPr>
        <w:t xml:space="preserve">cuál era </w:t>
      </w:r>
      <w:r>
        <w:rPr>
          <w:spacing w:val="-2"/>
          <w:position w:val="-4"/>
        </w:rPr>
        <w:t xml:space="preserve">la autoridad que </w:t>
      </w:r>
      <w:r w:rsidR="00032350">
        <w:rPr>
          <w:spacing w:val="-2"/>
          <w:position w:val="-4"/>
        </w:rPr>
        <w:t xml:space="preserve">llevaba </w:t>
      </w:r>
      <w:r>
        <w:rPr>
          <w:spacing w:val="-2"/>
          <w:position w:val="-4"/>
        </w:rPr>
        <w:t>la causa</w:t>
      </w:r>
      <w:r w:rsidR="00032350">
        <w:rPr>
          <w:spacing w:val="-2"/>
          <w:position w:val="-4"/>
        </w:rPr>
        <w:t xml:space="preserve">, </w:t>
      </w:r>
      <w:r>
        <w:rPr>
          <w:spacing w:val="-2"/>
          <w:position w:val="-4"/>
        </w:rPr>
        <w:t>al punto que</w:t>
      </w:r>
      <w:r w:rsidR="00032350">
        <w:rPr>
          <w:spacing w:val="-2"/>
          <w:position w:val="-4"/>
        </w:rPr>
        <w:t>,</w:t>
      </w:r>
      <w:r>
        <w:rPr>
          <w:spacing w:val="-2"/>
          <w:position w:val="-4"/>
        </w:rPr>
        <w:t xml:space="preserve"> antes de la audiencia de formulación de acusación (marzo/2019), le otorgó poder a una nueva abogada de confianza -</w:t>
      </w:r>
      <w:r w:rsidRPr="00C47C4D">
        <w:rPr>
          <w:rFonts w:ascii="Verdana" w:hAnsi="Verdana"/>
          <w:spacing w:val="-2"/>
          <w:position w:val="-4"/>
          <w:sz w:val="20"/>
        </w:rPr>
        <w:t>Dra. Claudia Rocío Castro Orozco</w:t>
      </w:r>
      <w:r>
        <w:rPr>
          <w:spacing w:val="-2"/>
          <w:position w:val="-4"/>
        </w:rPr>
        <w:t xml:space="preserve">-, </w:t>
      </w:r>
      <w:r w:rsidR="006F5FDE">
        <w:rPr>
          <w:spacing w:val="-2"/>
          <w:position w:val="-4"/>
        </w:rPr>
        <w:t xml:space="preserve">según memorial que suscribió </w:t>
      </w:r>
      <w:r w:rsidR="00684BA3">
        <w:rPr>
          <w:spacing w:val="-2"/>
          <w:position w:val="-4"/>
        </w:rPr>
        <w:t>en físico</w:t>
      </w:r>
      <w:r w:rsidR="006F5FDE">
        <w:rPr>
          <w:rStyle w:val="Refdenotaalpie"/>
          <w:spacing w:val="-2"/>
          <w:position w:val="-4"/>
        </w:rPr>
        <w:footnoteReference w:id="10"/>
      </w:r>
      <w:r w:rsidR="006F5FDE">
        <w:rPr>
          <w:spacing w:val="-2"/>
          <w:position w:val="-4"/>
        </w:rPr>
        <w:t xml:space="preserve"> y que dirigi</w:t>
      </w:r>
      <w:r w:rsidR="00032350">
        <w:rPr>
          <w:spacing w:val="-2"/>
          <w:position w:val="-4"/>
        </w:rPr>
        <w:t>ó</w:t>
      </w:r>
      <w:r w:rsidR="006F5FDE">
        <w:rPr>
          <w:spacing w:val="-2"/>
          <w:position w:val="-4"/>
        </w:rPr>
        <w:t xml:space="preserve"> al juzgado accionado, </w:t>
      </w:r>
      <w:r w:rsidR="00032350">
        <w:rPr>
          <w:spacing w:val="-2"/>
          <w:position w:val="-4"/>
        </w:rPr>
        <w:t xml:space="preserve">verificándose también </w:t>
      </w:r>
      <w:r w:rsidR="006F5FDE">
        <w:rPr>
          <w:spacing w:val="-2"/>
          <w:position w:val="-4"/>
        </w:rPr>
        <w:t xml:space="preserve">que su apoderada </w:t>
      </w:r>
      <w:r>
        <w:rPr>
          <w:spacing w:val="-2"/>
          <w:position w:val="-4"/>
        </w:rPr>
        <w:t xml:space="preserve">solicitó </w:t>
      </w:r>
      <w:r w:rsidR="006F5FDE">
        <w:rPr>
          <w:spacing w:val="-2"/>
          <w:position w:val="-4"/>
        </w:rPr>
        <w:t xml:space="preserve">el </w:t>
      </w:r>
      <w:r>
        <w:rPr>
          <w:spacing w:val="-2"/>
          <w:position w:val="-4"/>
        </w:rPr>
        <w:t xml:space="preserve">aplazamiento de </w:t>
      </w:r>
      <w:r w:rsidR="006F5FDE">
        <w:rPr>
          <w:spacing w:val="-2"/>
          <w:position w:val="-4"/>
        </w:rPr>
        <w:t>diligencia</w:t>
      </w:r>
      <w:r w:rsidR="00684BA3">
        <w:rPr>
          <w:spacing w:val="-2"/>
          <w:position w:val="-4"/>
        </w:rPr>
        <w:t>s</w:t>
      </w:r>
      <w:r w:rsidR="006F5FDE">
        <w:rPr>
          <w:spacing w:val="-2"/>
          <w:position w:val="-4"/>
        </w:rPr>
        <w:t xml:space="preserve"> posteriores con ocasión a la </w:t>
      </w:r>
      <w:r>
        <w:rPr>
          <w:spacing w:val="-2"/>
          <w:position w:val="-4"/>
        </w:rPr>
        <w:t>estrategia de defensa</w:t>
      </w:r>
      <w:r w:rsidR="006F5FDE">
        <w:rPr>
          <w:spacing w:val="-2"/>
          <w:position w:val="-4"/>
        </w:rPr>
        <w:t xml:space="preserve">. </w:t>
      </w:r>
    </w:p>
    <w:p w14:paraId="1C07C68F" w14:textId="77777777" w:rsidR="006F5FDE" w:rsidRDefault="006F5FDE" w:rsidP="006F5FDE">
      <w:pPr>
        <w:spacing w:line="276" w:lineRule="auto"/>
        <w:rPr>
          <w:spacing w:val="-2"/>
          <w:position w:val="-4"/>
        </w:rPr>
      </w:pPr>
    </w:p>
    <w:p w14:paraId="693480C7" w14:textId="2F84585D" w:rsidR="00FF01FE" w:rsidRDefault="00032350" w:rsidP="006F5FDE">
      <w:pPr>
        <w:spacing w:line="276" w:lineRule="auto"/>
        <w:rPr>
          <w:spacing w:val="-2"/>
          <w:position w:val="-4"/>
        </w:rPr>
      </w:pPr>
      <w:r>
        <w:rPr>
          <w:spacing w:val="-2"/>
          <w:position w:val="-4"/>
        </w:rPr>
        <w:t xml:space="preserve">Ahora, pese a que la </w:t>
      </w:r>
      <w:r w:rsidR="00684BA3">
        <w:rPr>
          <w:spacing w:val="-2"/>
          <w:position w:val="-4"/>
        </w:rPr>
        <w:t xml:space="preserve">formulación </w:t>
      </w:r>
      <w:r w:rsidR="006F5FDE">
        <w:rPr>
          <w:spacing w:val="-2"/>
          <w:position w:val="-4"/>
        </w:rPr>
        <w:t xml:space="preserve">de acusación </w:t>
      </w:r>
      <w:r w:rsidR="00FF01FE">
        <w:rPr>
          <w:spacing w:val="-2"/>
          <w:position w:val="-4"/>
        </w:rPr>
        <w:t xml:space="preserve">tuvo lugar finalmente en agosto de 2020, el </w:t>
      </w:r>
      <w:r w:rsidR="006F5FDE">
        <w:rPr>
          <w:spacing w:val="-2"/>
          <w:position w:val="-4"/>
        </w:rPr>
        <w:t xml:space="preserve">accionante </w:t>
      </w:r>
      <w:r w:rsidR="00684BA3">
        <w:rPr>
          <w:spacing w:val="-2"/>
          <w:position w:val="-4"/>
        </w:rPr>
        <w:t xml:space="preserve">tampoco </w:t>
      </w:r>
      <w:r w:rsidR="00FF01FE">
        <w:rPr>
          <w:spacing w:val="-2"/>
          <w:position w:val="-4"/>
        </w:rPr>
        <w:t>compareci</w:t>
      </w:r>
      <w:r w:rsidR="006F5FDE">
        <w:rPr>
          <w:spacing w:val="-2"/>
          <w:position w:val="-4"/>
        </w:rPr>
        <w:t>ó</w:t>
      </w:r>
      <w:r w:rsidR="009F745A">
        <w:rPr>
          <w:spacing w:val="-2"/>
          <w:position w:val="-4"/>
        </w:rPr>
        <w:t xml:space="preserve"> y</w:t>
      </w:r>
      <w:r w:rsidR="00FF01FE">
        <w:rPr>
          <w:spacing w:val="-2"/>
          <w:position w:val="-4"/>
        </w:rPr>
        <w:t>,</w:t>
      </w:r>
      <w:r w:rsidR="006F5FDE">
        <w:rPr>
          <w:spacing w:val="-2"/>
          <w:position w:val="-4"/>
        </w:rPr>
        <w:t xml:space="preserve"> </w:t>
      </w:r>
      <w:r w:rsidR="00FF01FE">
        <w:rPr>
          <w:spacing w:val="-2"/>
          <w:position w:val="-4"/>
        </w:rPr>
        <w:t xml:space="preserve">según lo afirmó su apoderada judicial, </w:t>
      </w:r>
      <w:r w:rsidR="00684BA3">
        <w:rPr>
          <w:spacing w:val="-2"/>
          <w:position w:val="-4"/>
        </w:rPr>
        <w:t xml:space="preserve">ya </w:t>
      </w:r>
      <w:r w:rsidR="009F745A">
        <w:rPr>
          <w:spacing w:val="-2"/>
          <w:position w:val="-4"/>
        </w:rPr>
        <w:t xml:space="preserve">tenía conocimiento de la audiencia, pero </w:t>
      </w:r>
      <w:r w:rsidR="00FF01FE">
        <w:rPr>
          <w:spacing w:val="-2"/>
          <w:position w:val="-4"/>
        </w:rPr>
        <w:t>había cambiado su domicilio a una zona rural</w:t>
      </w:r>
      <w:r w:rsidR="00A7407D">
        <w:rPr>
          <w:spacing w:val="-2"/>
          <w:position w:val="-4"/>
        </w:rPr>
        <w:t xml:space="preserve"> y </w:t>
      </w:r>
      <w:r w:rsidR="00FF01FE">
        <w:rPr>
          <w:spacing w:val="-2"/>
          <w:position w:val="-4"/>
        </w:rPr>
        <w:t xml:space="preserve">no </w:t>
      </w:r>
      <w:r w:rsidR="00684BA3">
        <w:rPr>
          <w:spacing w:val="-2"/>
          <w:position w:val="-4"/>
        </w:rPr>
        <w:t xml:space="preserve">estaba </w:t>
      </w:r>
      <w:r w:rsidR="00FF01FE">
        <w:rPr>
          <w:spacing w:val="-2"/>
          <w:position w:val="-4"/>
        </w:rPr>
        <w:t>atendi</w:t>
      </w:r>
      <w:r w:rsidR="00684BA3">
        <w:rPr>
          <w:spacing w:val="-2"/>
          <w:position w:val="-4"/>
        </w:rPr>
        <w:t>endo</w:t>
      </w:r>
      <w:r w:rsidR="00FF01FE">
        <w:rPr>
          <w:spacing w:val="-2"/>
          <w:position w:val="-4"/>
        </w:rPr>
        <w:t xml:space="preserve"> las llamadas telefónicas.</w:t>
      </w:r>
    </w:p>
    <w:p w14:paraId="1E3D4FE0" w14:textId="77777777" w:rsidR="00FF01FE" w:rsidRDefault="00FF01FE" w:rsidP="00FF01FE">
      <w:pPr>
        <w:spacing w:line="276" w:lineRule="auto"/>
        <w:rPr>
          <w:spacing w:val="-2"/>
          <w:position w:val="-4"/>
        </w:rPr>
      </w:pPr>
    </w:p>
    <w:p w14:paraId="29256930" w14:textId="072FC8EC" w:rsidR="00A7407D" w:rsidRDefault="00A7407D" w:rsidP="009A1557">
      <w:pPr>
        <w:spacing w:line="276" w:lineRule="auto"/>
        <w:rPr>
          <w:spacing w:val="-2"/>
          <w:position w:val="-4"/>
        </w:rPr>
      </w:pPr>
      <w:r>
        <w:rPr>
          <w:spacing w:val="-2"/>
          <w:position w:val="-4"/>
        </w:rPr>
        <w:t xml:space="preserve">Adicionalmente, </w:t>
      </w:r>
      <w:r w:rsidR="009F745A">
        <w:rPr>
          <w:spacing w:val="-2"/>
          <w:position w:val="-4"/>
        </w:rPr>
        <w:t>surge necesario destacar que el acusado cambió nuevamente su defensa técnica</w:t>
      </w:r>
      <w:r w:rsidR="00684BA3">
        <w:rPr>
          <w:spacing w:val="-2"/>
          <w:position w:val="-4"/>
        </w:rPr>
        <w:t xml:space="preserve"> -</w:t>
      </w:r>
      <w:r w:rsidR="00684BA3" w:rsidRPr="00F22467">
        <w:rPr>
          <w:rFonts w:ascii="Verdana" w:hAnsi="Verdana"/>
          <w:spacing w:val="-2"/>
          <w:position w:val="-4"/>
          <w:sz w:val="20"/>
        </w:rPr>
        <w:t>Dr. Mario Alfonso García Moreno</w:t>
      </w:r>
      <w:r w:rsidR="00684BA3">
        <w:rPr>
          <w:spacing w:val="-2"/>
          <w:position w:val="-4"/>
        </w:rPr>
        <w:t xml:space="preserve">- </w:t>
      </w:r>
      <w:r w:rsidR="00F22467">
        <w:rPr>
          <w:spacing w:val="-2"/>
          <w:position w:val="-4"/>
        </w:rPr>
        <w:t xml:space="preserve">antes de la realización de la audiencia preparatoria </w:t>
      </w:r>
      <w:r w:rsidR="006C370D">
        <w:rPr>
          <w:spacing w:val="-2"/>
          <w:position w:val="-4"/>
        </w:rPr>
        <w:t>-</w:t>
      </w:r>
      <w:r w:rsidR="006C370D" w:rsidRPr="006C370D">
        <w:rPr>
          <w:rFonts w:ascii="Verdana" w:hAnsi="Verdana"/>
          <w:spacing w:val="-2"/>
          <w:position w:val="-4"/>
          <w:sz w:val="20"/>
        </w:rPr>
        <w:t xml:space="preserve">sesión de audiencia de </w:t>
      </w:r>
      <w:r w:rsidR="009F745A" w:rsidRPr="006C370D">
        <w:rPr>
          <w:rFonts w:ascii="Verdana" w:hAnsi="Verdana"/>
          <w:spacing w:val="-2"/>
          <w:position w:val="-4"/>
          <w:sz w:val="20"/>
        </w:rPr>
        <w:t>abril 01/2022</w:t>
      </w:r>
      <w:r w:rsidR="006C370D">
        <w:rPr>
          <w:spacing w:val="-2"/>
          <w:position w:val="-4"/>
        </w:rPr>
        <w:t>-</w:t>
      </w:r>
      <w:r w:rsidR="00684BA3">
        <w:rPr>
          <w:spacing w:val="-2"/>
          <w:position w:val="-4"/>
        </w:rPr>
        <w:t xml:space="preserve">, </w:t>
      </w:r>
      <w:r w:rsidR="00A2726A">
        <w:rPr>
          <w:spacing w:val="-2"/>
          <w:position w:val="-4"/>
        </w:rPr>
        <w:t>profesional</w:t>
      </w:r>
      <w:r w:rsidR="00F22467">
        <w:rPr>
          <w:spacing w:val="-2"/>
          <w:position w:val="-4"/>
        </w:rPr>
        <w:t xml:space="preserve"> </w:t>
      </w:r>
      <w:r w:rsidR="00684BA3">
        <w:rPr>
          <w:spacing w:val="-2"/>
          <w:position w:val="-4"/>
        </w:rPr>
        <w:t xml:space="preserve">que posteriormente </w:t>
      </w:r>
      <w:r w:rsidR="00A2726A">
        <w:rPr>
          <w:spacing w:val="-2"/>
          <w:position w:val="-4"/>
        </w:rPr>
        <w:t xml:space="preserve">renunció al mandato </w:t>
      </w:r>
      <w:r w:rsidR="00F22467">
        <w:rPr>
          <w:spacing w:val="-2"/>
          <w:position w:val="-4"/>
        </w:rPr>
        <w:t>-</w:t>
      </w:r>
      <w:r w:rsidR="00F22467" w:rsidRPr="00F22467">
        <w:rPr>
          <w:rFonts w:ascii="Verdana" w:hAnsi="Verdana"/>
          <w:spacing w:val="-2"/>
          <w:position w:val="-4"/>
          <w:sz w:val="20"/>
        </w:rPr>
        <w:t>en septiembre 23/2022</w:t>
      </w:r>
      <w:r w:rsidR="00F22467">
        <w:rPr>
          <w:spacing w:val="-2"/>
          <w:position w:val="-4"/>
        </w:rPr>
        <w:t xml:space="preserve">- </w:t>
      </w:r>
      <w:r w:rsidR="00A2726A">
        <w:rPr>
          <w:spacing w:val="-2"/>
          <w:position w:val="-4"/>
        </w:rPr>
        <w:t xml:space="preserve">por la imposibilidad de contactar al usuario y </w:t>
      </w:r>
      <w:r w:rsidR="00684BA3">
        <w:rPr>
          <w:spacing w:val="-2"/>
          <w:position w:val="-4"/>
        </w:rPr>
        <w:t xml:space="preserve">la </w:t>
      </w:r>
      <w:r w:rsidR="00A2726A">
        <w:rPr>
          <w:spacing w:val="-2"/>
          <w:position w:val="-4"/>
        </w:rPr>
        <w:t>ausencia de honorarios para su gestión, circunstancia que dio lugar a la designación de la abogada de defensoría pública</w:t>
      </w:r>
      <w:r w:rsidR="00F22467">
        <w:rPr>
          <w:spacing w:val="-2"/>
          <w:position w:val="-4"/>
        </w:rPr>
        <w:t>, con quien efectivamente se continúo el trámite procesal.</w:t>
      </w:r>
    </w:p>
    <w:p w14:paraId="2BA44AF9" w14:textId="7B428CA6" w:rsidR="00A7407D" w:rsidRDefault="00A7407D" w:rsidP="009A1557">
      <w:pPr>
        <w:spacing w:line="276" w:lineRule="auto"/>
        <w:rPr>
          <w:spacing w:val="-2"/>
          <w:position w:val="-4"/>
        </w:rPr>
      </w:pPr>
    </w:p>
    <w:p w14:paraId="431AA9C6" w14:textId="02E96FDF" w:rsidR="006C370D" w:rsidRDefault="006C370D" w:rsidP="009A1557">
      <w:pPr>
        <w:spacing w:line="276" w:lineRule="auto"/>
        <w:rPr>
          <w:spacing w:val="-2"/>
          <w:position w:val="-4"/>
        </w:rPr>
      </w:pPr>
      <w:r>
        <w:rPr>
          <w:spacing w:val="-2"/>
          <w:position w:val="-4"/>
        </w:rPr>
        <w:t xml:space="preserve">Valga señalar que, conforme </w:t>
      </w:r>
      <w:r w:rsidR="00434019">
        <w:rPr>
          <w:spacing w:val="-2"/>
          <w:position w:val="-4"/>
        </w:rPr>
        <w:t xml:space="preserve">quedó consignado en la sesión de audiencia de </w:t>
      </w:r>
      <w:r w:rsidR="009B79D0">
        <w:rPr>
          <w:spacing w:val="-2"/>
          <w:position w:val="-4"/>
        </w:rPr>
        <w:t>marzo 15 de 2024</w:t>
      </w:r>
      <w:r w:rsidR="004A6851">
        <w:rPr>
          <w:rStyle w:val="Refdenotaalpie"/>
          <w:spacing w:val="-2"/>
          <w:position w:val="-4"/>
        </w:rPr>
        <w:footnoteReference w:id="11"/>
      </w:r>
      <w:r w:rsidR="005A1A46">
        <w:rPr>
          <w:spacing w:val="-2"/>
          <w:position w:val="-4"/>
        </w:rPr>
        <w:t>,</w:t>
      </w:r>
      <w:r w:rsidR="00FB1865">
        <w:rPr>
          <w:spacing w:val="-2"/>
          <w:position w:val="-4"/>
        </w:rPr>
        <w:t xml:space="preserve"> la defensora pública tampoco logró ubicar al accionante para </w:t>
      </w:r>
      <w:r w:rsidR="00E70CAE">
        <w:rPr>
          <w:spacing w:val="-2"/>
          <w:position w:val="-4"/>
        </w:rPr>
        <w:t xml:space="preserve">gestionar una defensa técnica </w:t>
      </w:r>
      <w:r w:rsidR="003800D0">
        <w:rPr>
          <w:spacing w:val="-2"/>
          <w:position w:val="-4"/>
        </w:rPr>
        <w:t>adecuada, incluso, señaló que realizó misión de trabajo para labores de búsqueda, pero obtuvo resultados negativos, por lo que carecía de insumos y de elementos materiales probatorios para hacer valer en el debate oral.</w:t>
      </w:r>
    </w:p>
    <w:p w14:paraId="2E3CCA30" w14:textId="70FA692D" w:rsidR="00A7407D" w:rsidRDefault="00A7407D" w:rsidP="009A1557">
      <w:pPr>
        <w:spacing w:line="276" w:lineRule="auto"/>
        <w:rPr>
          <w:spacing w:val="-2"/>
          <w:position w:val="-4"/>
        </w:rPr>
      </w:pPr>
    </w:p>
    <w:p w14:paraId="025C7643" w14:textId="2583E6AB" w:rsidR="00E04199" w:rsidRDefault="00684BA3" w:rsidP="009A1557">
      <w:pPr>
        <w:spacing w:line="276" w:lineRule="auto"/>
        <w:rPr>
          <w:spacing w:val="-2"/>
          <w:position w:val="-4"/>
        </w:rPr>
      </w:pPr>
      <w:r>
        <w:rPr>
          <w:spacing w:val="-2"/>
          <w:position w:val="-4"/>
        </w:rPr>
        <w:t>Todo lo dicho</w:t>
      </w:r>
      <w:r w:rsidR="003800D0">
        <w:rPr>
          <w:spacing w:val="-2"/>
          <w:position w:val="-4"/>
        </w:rPr>
        <w:t xml:space="preserve">, </w:t>
      </w:r>
      <w:r>
        <w:rPr>
          <w:spacing w:val="-2"/>
          <w:position w:val="-4"/>
        </w:rPr>
        <w:t xml:space="preserve">lleva a reiterar que, como </w:t>
      </w:r>
      <w:r w:rsidR="00087855">
        <w:rPr>
          <w:spacing w:val="-2"/>
          <w:position w:val="-4"/>
        </w:rPr>
        <w:t>es evidente</w:t>
      </w:r>
      <w:r>
        <w:rPr>
          <w:spacing w:val="-2"/>
          <w:position w:val="-4"/>
        </w:rPr>
        <w:t>,</w:t>
      </w:r>
      <w:r w:rsidR="00087855">
        <w:rPr>
          <w:spacing w:val="-2"/>
          <w:position w:val="-4"/>
        </w:rPr>
        <w:t xml:space="preserve"> el señor </w:t>
      </w:r>
      <w:r w:rsidR="00B973CB">
        <w:rPr>
          <w:b/>
          <w:spacing w:val="-2"/>
          <w:position w:val="-4"/>
          <w:sz w:val="22"/>
        </w:rPr>
        <w:t>JCR</w:t>
      </w:r>
      <w:r w:rsidR="00087855">
        <w:rPr>
          <w:spacing w:val="-2"/>
          <w:position w:val="-4"/>
        </w:rPr>
        <w:t xml:space="preserve"> tenía conocimiento de la existencia del proceso que se adelantaba en su contra, así como de las etapas procesales que se surtían, al punto que contó con varios </w:t>
      </w:r>
      <w:r w:rsidR="00087855">
        <w:rPr>
          <w:spacing w:val="-2"/>
          <w:position w:val="-4"/>
        </w:rPr>
        <w:lastRenderedPageBreak/>
        <w:t xml:space="preserve">defensores de confianza </w:t>
      </w:r>
      <w:r>
        <w:rPr>
          <w:spacing w:val="-2"/>
          <w:position w:val="-4"/>
        </w:rPr>
        <w:t>en momentos diferentes del juzgamiento</w:t>
      </w:r>
      <w:r w:rsidR="00087855">
        <w:rPr>
          <w:spacing w:val="-2"/>
          <w:position w:val="-4"/>
        </w:rPr>
        <w:t xml:space="preserve">, </w:t>
      </w:r>
      <w:r>
        <w:rPr>
          <w:spacing w:val="-2"/>
          <w:position w:val="-4"/>
        </w:rPr>
        <w:t xml:space="preserve">cuyas intervenciones no se vieron afectadas por la gestión </w:t>
      </w:r>
      <w:r w:rsidR="00940048">
        <w:rPr>
          <w:spacing w:val="-2"/>
          <w:position w:val="-4"/>
        </w:rPr>
        <w:t>del juzgado</w:t>
      </w:r>
      <w:r>
        <w:rPr>
          <w:spacing w:val="-2"/>
          <w:position w:val="-4"/>
        </w:rPr>
        <w:t xml:space="preserve"> sino por la ausencia voluntaria del mismo procesado</w:t>
      </w:r>
      <w:r w:rsidR="00E04199">
        <w:rPr>
          <w:spacing w:val="-2"/>
          <w:position w:val="-4"/>
        </w:rPr>
        <w:t xml:space="preserve">. </w:t>
      </w:r>
    </w:p>
    <w:p w14:paraId="78114B2B" w14:textId="77777777" w:rsidR="00E04199" w:rsidRDefault="00E04199" w:rsidP="009A1557">
      <w:pPr>
        <w:spacing w:line="276" w:lineRule="auto"/>
        <w:rPr>
          <w:spacing w:val="-2"/>
          <w:position w:val="-4"/>
        </w:rPr>
      </w:pPr>
    </w:p>
    <w:p w14:paraId="5EE36F1A" w14:textId="3AC14AF0" w:rsidR="00940048" w:rsidRDefault="00684BA3" w:rsidP="009A1557">
      <w:pPr>
        <w:spacing w:line="276" w:lineRule="auto"/>
        <w:rPr>
          <w:spacing w:val="-2"/>
          <w:position w:val="-4"/>
        </w:rPr>
      </w:pPr>
      <w:r>
        <w:rPr>
          <w:spacing w:val="-2"/>
          <w:position w:val="-4"/>
        </w:rPr>
        <w:t xml:space="preserve">Según se </w:t>
      </w:r>
      <w:r w:rsidR="00E04199">
        <w:rPr>
          <w:spacing w:val="-2"/>
          <w:position w:val="-4"/>
        </w:rPr>
        <w:t>advierte</w:t>
      </w:r>
      <w:r>
        <w:rPr>
          <w:spacing w:val="-2"/>
          <w:position w:val="-4"/>
        </w:rPr>
        <w:t>,</w:t>
      </w:r>
      <w:r w:rsidR="00E04199">
        <w:rPr>
          <w:spacing w:val="-2"/>
          <w:position w:val="-4"/>
        </w:rPr>
        <w:t xml:space="preserve"> fue a partir de la </w:t>
      </w:r>
      <w:r w:rsidR="00087855">
        <w:rPr>
          <w:spacing w:val="-2"/>
          <w:position w:val="-4"/>
        </w:rPr>
        <w:t xml:space="preserve">audiencia preparatoria </w:t>
      </w:r>
      <w:r w:rsidR="00E04199">
        <w:rPr>
          <w:spacing w:val="-2"/>
          <w:position w:val="-4"/>
        </w:rPr>
        <w:t xml:space="preserve">que </w:t>
      </w:r>
      <w:r w:rsidR="00087855">
        <w:rPr>
          <w:spacing w:val="-2"/>
          <w:position w:val="-4"/>
        </w:rPr>
        <w:t xml:space="preserve">el implicado </w:t>
      </w:r>
      <w:r w:rsidR="00E04199">
        <w:rPr>
          <w:spacing w:val="-2"/>
          <w:position w:val="-4"/>
        </w:rPr>
        <w:t xml:space="preserve">optó por desentenderse </w:t>
      </w:r>
      <w:r w:rsidR="00087855">
        <w:rPr>
          <w:spacing w:val="-2"/>
          <w:position w:val="-4"/>
        </w:rPr>
        <w:t xml:space="preserve">de su </w:t>
      </w:r>
      <w:r w:rsidR="00E04199">
        <w:rPr>
          <w:spacing w:val="-2"/>
          <w:position w:val="-4"/>
        </w:rPr>
        <w:t xml:space="preserve">proceso, ni siquiera sus abogados de </w:t>
      </w:r>
      <w:r w:rsidR="00087855">
        <w:rPr>
          <w:spacing w:val="-2"/>
          <w:position w:val="-4"/>
        </w:rPr>
        <w:t>confianza</w:t>
      </w:r>
      <w:r w:rsidR="00E04199">
        <w:rPr>
          <w:spacing w:val="-2"/>
          <w:position w:val="-4"/>
        </w:rPr>
        <w:t xml:space="preserve"> lograban comunicarse con él</w:t>
      </w:r>
      <w:r w:rsidR="00087855">
        <w:rPr>
          <w:spacing w:val="-2"/>
          <w:position w:val="-4"/>
        </w:rPr>
        <w:t xml:space="preserve">, </w:t>
      </w:r>
      <w:r w:rsidR="00940048">
        <w:rPr>
          <w:spacing w:val="-2"/>
          <w:position w:val="-4"/>
        </w:rPr>
        <w:t xml:space="preserve">actuar que </w:t>
      </w:r>
      <w:r w:rsidR="00E04199">
        <w:rPr>
          <w:spacing w:val="-2"/>
          <w:position w:val="-4"/>
        </w:rPr>
        <w:t>sin lugar a duda obedeció a una expresión de voluntad del procesado</w:t>
      </w:r>
      <w:r>
        <w:rPr>
          <w:spacing w:val="-2"/>
          <w:position w:val="-4"/>
        </w:rPr>
        <w:t xml:space="preserve">, misma </w:t>
      </w:r>
      <w:r w:rsidR="00E04199">
        <w:rPr>
          <w:spacing w:val="-2"/>
          <w:position w:val="-4"/>
        </w:rPr>
        <w:t xml:space="preserve">que no tiene la virtualidad de </w:t>
      </w:r>
      <w:r w:rsidR="001F4EDE">
        <w:rPr>
          <w:spacing w:val="-2"/>
          <w:position w:val="-4"/>
        </w:rPr>
        <w:t xml:space="preserve">minar la presunción de acierto y legalidad del procedimiento y </w:t>
      </w:r>
      <w:r>
        <w:rPr>
          <w:spacing w:val="-2"/>
          <w:position w:val="-4"/>
        </w:rPr>
        <w:t xml:space="preserve">las </w:t>
      </w:r>
      <w:r w:rsidR="001F4EDE">
        <w:rPr>
          <w:spacing w:val="-2"/>
          <w:position w:val="-4"/>
        </w:rPr>
        <w:t xml:space="preserve">decisiones adoptadas por el </w:t>
      </w:r>
      <w:r w:rsidR="00940048">
        <w:rPr>
          <w:spacing w:val="-2"/>
          <w:position w:val="-4"/>
        </w:rPr>
        <w:t>juzgado</w:t>
      </w:r>
      <w:r w:rsidR="001F4EDE">
        <w:rPr>
          <w:spacing w:val="-2"/>
          <w:position w:val="-4"/>
        </w:rPr>
        <w:t xml:space="preserve"> en el trámite agotado</w:t>
      </w:r>
      <w:r w:rsidR="00940048">
        <w:rPr>
          <w:spacing w:val="-2"/>
          <w:position w:val="-4"/>
        </w:rPr>
        <w:t xml:space="preserve">, mucho menos cuando el señor </w:t>
      </w:r>
      <w:r w:rsidR="00B973CB">
        <w:rPr>
          <w:b/>
          <w:spacing w:val="-2"/>
          <w:position w:val="-4"/>
          <w:sz w:val="22"/>
        </w:rPr>
        <w:t>JCR</w:t>
      </w:r>
      <w:r w:rsidR="00940048">
        <w:rPr>
          <w:spacing w:val="-2"/>
          <w:position w:val="-4"/>
        </w:rPr>
        <w:t xml:space="preserve"> </w:t>
      </w:r>
      <w:r w:rsidR="00E04199">
        <w:rPr>
          <w:spacing w:val="-2"/>
          <w:position w:val="-4"/>
        </w:rPr>
        <w:t xml:space="preserve">desatendió </w:t>
      </w:r>
      <w:r w:rsidR="00940048">
        <w:rPr>
          <w:spacing w:val="-2"/>
          <w:position w:val="-4"/>
        </w:rPr>
        <w:t xml:space="preserve">la obligación de actualizar sus datos ante el despacho </w:t>
      </w:r>
      <w:r w:rsidR="00E04199">
        <w:rPr>
          <w:spacing w:val="-2"/>
          <w:position w:val="-4"/>
        </w:rPr>
        <w:t>judicial</w:t>
      </w:r>
      <w:r w:rsidR="001F4EDE">
        <w:rPr>
          <w:spacing w:val="-2"/>
          <w:position w:val="-4"/>
        </w:rPr>
        <w:t>.</w:t>
      </w:r>
    </w:p>
    <w:p w14:paraId="359AF577" w14:textId="77777777" w:rsidR="00081756" w:rsidRDefault="00081756" w:rsidP="00D32DD3">
      <w:pPr>
        <w:spacing w:line="276" w:lineRule="auto"/>
        <w:rPr>
          <w:spacing w:val="-2"/>
        </w:rPr>
      </w:pPr>
    </w:p>
    <w:p w14:paraId="78DCAA15" w14:textId="46E2569D" w:rsidR="00170690" w:rsidRDefault="003E08A5" w:rsidP="00D32DD3">
      <w:pPr>
        <w:spacing w:line="276" w:lineRule="auto"/>
        <w:rPr>
          <w:spacing w:val="-2"/>
        </w:rPr>
      </w:pPr>
      <w:r>
        <w:rPr>
          <w:spacing w:val="-2"/>
        </w:rPr>
        <w:t xml:space="preserve">En ese orden, la </w:t>
      </w:r>
      <w:r w:rsidR="00EE53BE">
        <w:rPr>
          <w:spacing w:val="-2"/>
        </w:rPr>
        <w:t xml:space="preserve">Sala </w:t>
      </w:r>
      <w:r w:rsidR="008623D2">
        <w:rPr>
          <w:spacing w:val="-2"/>
        </w:rPr>
        <w:t xml:space="preserve">no puede </w:t>
      </w:r>
      <w:r>
        <w:rPr>
          <w:spacing w:val="-2"/>
        </w:rPr>
        <w:t xml:space="preserve">más que </w:t>
      </w:r>
      <w:r w:rsidR="008623D2">
        <w:rPr>
          <w:spacing w:val="-2"/>
        </w:rPr>
        <w:t xml:space="preserve">reiterar que la tutela </w:t>
      </w:r>
      <w:r w:rsidR="00EE53BE">
        <w:rPr>
          <w:spacing w:val="-2"/>
        </w:rPr>
        <w:t xml:space="preserve">no es un mecanismo jurídico adicional o paralelo a las instancias y recursos </w:t>
      </w:r>
      <w:r w:rsidR="00D32DD3">
        <w:rPr>
          <w:spacing w:val="-2"/>
        </w:rPr>
        <w:t xml:space="preserve">previstos en la jurisdicción ordinaria, como aquí se pretende, </w:t>
      </w:r>
      <w:r w:rsidR="008623D2">
        <w:rPr>
          <w:spacing w:val="-2"/>
        </w:rPr>
        <w:t>porque ello</w:t>
      </w:r>
      <w:r w:rsidR="00D32DD3">
        <w:rPr>
          <w:spacing w:val="-2"/>
        </w:rPr>
        <w:t xml:space="preserve"> contraviene</w:t>
      </w:r>
      <w:r w:rsidR="008623D2">
        <w:rPr>
          <w:spacing w:val="-2"/>
        </w:rPr>
        <w:t xml:space="preserve"> abiertamente</w:t>
      </w:r>
      <w:r w:rsidR="00D32DD3">
        <w:rPr>
          <w:spacing w:val="-2"/>
        </w:rPr>
        <w:t xml:space="preserve"> el principio de subsidiariedad </w:t>
      </w:r>
      <w:r w:rsidR="003F0CAC">
        <w:rPr>
          <w:spacing w:val="-2"/>
        </w:rPr>
        <w:t>que la rige</w:t>
      </w:r>
      <w:r w:rsidR="0078554C">
        <w:rPr>
          <w:spacing w:val="-2"/>
        </w:rPr>
        <w:t xml:space="preserve">, y si bien se alega una violación al debido proceso, la parte interesada no acreditó la existencia de una error u omisión sustancial con incidencia en el ejercicio de defensa del accionante en proceso penal, pues su ausencia del proceso fue producto de su desinterés más que por causa de la judicatura, en tanto que sus alegaciones de exculpación debían ser planteadas precisamente en el debate oral, </w:t>
      </w:r>
      <w:r w:rsidR="00170690">
        <w:rPr>
          <w:spacing w:val="-2"/>
        </w:rPr>
        <w:t xml:space="preserve">incluso con el agotamiento de recursos ordinarios, </w:t>
      </w:r>
      <w:r w:rsidR="0078554C">
        <w:rPr>
          <w:spacing w:val="-2"/>
        </w:rPr>
        <w:t xml:space="preserve">prerrogativa que no puede predicarse desconocida porque </w:t>
      </w:r>
      <w:r w:rsidR="00351740">
        <w:rPr>
          <w:spacing w:val="-2"/>
        </w:rPr>
        <w:t>no la hubiese</w:t>
      </w:r>
      <w:r w:rsidR="00170690">
        <w:rPr>
          <w:spacing w:val="-2"/>
        </w:rPr>
        <w:t xml:space="preserve"> materializado, pues </w:t>
      </w:r>
      <w:r w:rsidR="0078554C">
        <w:rPr>
          <w:spacing w:val="-2"/>
        </w:rPr>
        <w:t>fue el mismo inculpado quien dejó pasar la oportunidad procesal</w:t>
      </w:r>
      <w:r w:rsidR="00170690">
        <w:rPr>
          <w:spacing w:val="-2"/>
        </w:rPr>
        <w:t xml:space="preserve"> para el ejercicio de sus derechos.  </w:t>
      </w:r>
    </w:p>
    <w:p w14:paraId="7A6B46C6" w14:textId="77777777" w:rsidR="00170690" w:rsidRDefault="00170690" w:rsidP="00D32DD3">
      <w:pPr>
        <w:spacing w:line="276" w:lineRule="auto"/>
        <w:rPr>
          <w:spacing w:val="-2"/>
        </w:rPr>
      </w:pPr>
    </w:p>
    <w:p w14:paraId="659141FB" w14:textId="5C75ECCA" w:rsidR="00D32DD3" w:rsidRDefault="00170690" w:rsidP="00D32DD3">
      <w:pPr>
        <w:spacing w:line="276" w:lineRule="auto"/>
        <w:rPr>
          <w:spacing w:val="-2"/>
        </w:rPr>
      </w:pPr>
      <w:r w:rsidRPr="00081480">
        <w:rPr>
          <w:spacing w:val="-2"/>
        </w:rPr>
        <w:t>Por demás, nunca se acreditó que el accionante haya postulado la solicitud de nulidad procesal, en los términos del artículo 457 del Código de Procedimiento Penal, ante el juzgado de conocimiento como autoridad competente</w:t>
      </w:r>
      <w:r w:rsidR="00677E9A" w:rsidRPr="00081480">
        <w:rPr>
          <w:spacing w:val="-2"/>
        </w:rPr>
        <w:t xml:space="preserve">, </w:t>
      </w:r>
      <w:r w:rsidR="00081480" w:rsidRPr="00081480">
        <w:rPr>
          <w:spacing w:val="-2"/>
        </w:rPr>
        <w:t>ni</w:t>
      </w:r>
      <w:r w:rsidR="00677E9A" w:rsidRPr="00081480">
        <w:rPr>
          <w:spacing w:val="-2"/>
        </w:rPr>
        <w:t xml:space="preserve"> se demostró que la representación judicial del procesado por medio de la defensoría pública constituyó una ausencia de defensa técnica, en la medida que la defensa pasiva en la actuación procesal es un recurso válido, en especial ante la ausencia del procesado, y no se equipara a que haya sido nula o inexistente.</w:t>
      </w:r>
    </w:p>
    <w:p w14:paraId="5EB95E4F" w14:textId="77777777" w:rsidR="00961DEF" w:rsidRDefault="00961DEF" w:rsidP="00D32DD3">
      <w:pPr>
        <w:spacing w:line="276" w:lineRule="auto"/>
        <w:rPr>
          <w:spacing w:val="-2"/>
        </w:rPr>
      </w:pPr>
    </w:p>
    <w:p w14:paraId="37F9F463" w14:textId="6138A5E1" w:rsidR="0036064C" w:rsidRDefault="00596049" w:rsidP="00596049">
      <w:pPr>
        <w:spacing w:line="276" w:lineRule="auto"/>
        <w:rPr>
          <w:spacing w:val="-2"/>
        </w:rPr>
      </w:pPr>
      <w:r>
        <w:rPr>
          <w:spacing w:val="-2"/>
        </w:rPr>
        <w:t xml:space="preserve">En conclusión, la acción deviene </w:t>
      </w:r>
      <w:r w:rsidRPr="006F55D2">
        <w:rPr>
          <w:b/>
          <w:bCs/>
          <w:spacing w:val="-2"/>
          <w:sz w:val="24"/>
        </w:rPr>
        <w:t>improcedente</w:t>
      </w:r>
      <w:r>
        <w:rPr>
          <w:spacing w:val="-2"/>
        </w:rPr>
        <w:t xml:space="preserve"> ante el no cumplimiento del requisito de </w:t>
      </w:r>
      <w:r w:rsidRPr="006F55D2">
        <w:rPr>
          <w:b/>
          <w:bCs/>
          <w:spacing w:val="-2"/>
          <w:sz w:val="24"/>
        </w:rPr>
        <w:t>subsidiariedad</w:t>
      </w:r>
      <w:r>
        <w:rPr>
          <w:spacing w:val="-2"/>
        </w:rPr>
        <w:t xml:space="preserve"> por la existencia de</w:t>
      </w:r>
      <w:r w:rsidR="00E2572A">
        <w:rPr>
          <w:spacing w:val="-2"/>
        </w:rPr>
        <w:t xml:space="preserve"> un</w:t>
      </w:r>
      <w:r>
        <w:rPr>
          <w:spacing w:val="-2"/>
        </w:rPr>
        <w:t xml:space="preserve"> mecanismo de defensa judicial</w:t>
      </w:r>
      <w:r w:rsidR="0078554C">
        <w:rPr>
          <w:spacing w:val="-2"/>
        </w:rPr>
        <w:t xml:space="preserve"> en el proceso </w:t>
      </w:r>
      <w:r w:rsidR="00170690">
        <w:rPr>
          <w:spacing w:val="-2"/>
        </w:rPr>
        <w:t xml:space="preserve">ordinario </w:t>
      </w:r>
      <w:r w:rsidR="0078554C">
        <w:rPr>
          <w:spacing w:val="-2"/>
        </w:rPr>
        <w:t xml:space="preserve">que se cuestiona, </w:t>
      </w:r>
      <w:r w:rsidR="00170690">
        <w:rPr>
          <w:spacing w:val="-2"/>
        </w:rPr>
        <w:t xml:space="preserve">como lo fue el derecho de contradicción en el debate oral y los recursos ordinarios contra las determinaciones adversas, herramientas </w:t>
      </w:r>
      <w:r w:rsidR="0078554C">
        <w:rPr>
          <w:spacing w:val="-2"/>
        </w:rPr>
        <w:t>que el interesado no agotó porque se apartó deliberadamente de la causa</w:t>
      </w:r>
      <w:r w:rsidR="00170690">
        <w:rPr>
          <w:spacing w:val="-2"/>
        </w:rPr>
        <w:t xml:space="preserve"> judicial</w:t>
      </w:r>
      <w:r w:rsidR="00AE1556">
        <w:rPr>
          <w:spacing w:val="-2"/>
        </w:rPr>
        <w:t xml:space="preserve">. </w:t>
      </w:r>
    </w:p>
    <w:p w14:paraId="165CD13F" w14:textId="77777777" w:rsidR="0036064C" w:rsidRDefault="0036064C" w:rsidP="00596049">
      <w:pPr>
        <w:spacing w:line="276" w:lineRule="auto"/>
        <w:rPr>
          <w:spacing w:val="-2"/>
        </w:rPr>
      </w:pPr>
    </w:p>
    <w:p w14:paraId="0C1051A2" w14:textId="77777777" w:rsidR="00EA6C68" w:rsidRPr="00BB37A6" w:rsidRDefault="00EA6C68" w:rsidP="00EA6C68">
      <w:pPr>
        <w:spacing w:line="276" w:lineRule="auto"/>
        <w:rPr>
          <w:rFonts w:ascii="Algerian" w:hAnsi="Algerian"/>
          <w:spacing w:val="-2"/>
          <w:sz w:val="30"/>
          <w:szCs w:val="30"/>
        </w:rPr>
      </w:pPr>
      <w:r w:rsidRPr="00BB37A6">
        <w:rPr>
          <w:rFonts w:ascii="Algerian" w:hAnsi="Algerian"/>
          <w:spacing w:val="-2"/>
          <w:sz w:val="30"/>
          <w:szCs w:val="30"/>
        </w:rPr>
        <w:t xml:space="preserve">6.- DECISIÓN </w:t>
      </w:r>
    </w:p>
    <w:p w14:paraId="6918702B" w14:textId="77777777" w:rsidR="00EA6C68" w:rsidRPr="00BB37A6" w:rsidRDefault="00EA6C68" w:rsidP="00EA6C68">
      <w:pPr>
        <w:spacing w:line="276" w:lineRule="auto"/>
        <w:rPr>
          <w:spacing w:val="-2"/>
        </w:rPr>
      </w:pPr>
    </w:p>
    <w:p w14:paraId="3656AC6E" w14:textId="77777777" w:rsidR="00CC7A72" w:rsidRPr="002F23F7" w:rsidRDefault="00CC7A72" w:rsidP="00CC7A72">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w:t>
      </w:r>
      <w:smartTag w:uri="urn:schemas-microsoft-com:office:smarttags" w:element="PersonName">
        <w:smartTagPr>
          <w:attr w:name="ProductID" w:val="la Rep￺blica"/>
        </w:smartTagPr>
        <w:r w:rsidRPr="002F23F7">
          <w:rPr>
            <w:spacing w:val="-4"/>
          </w:rPr>
          <w:t>la República</w:t>
        </w:r>
      </w:smartTag>
      <w:r w:rsidRPr="002F23F7">
        <w:rPr>
          <w:spacing w:val="-4"/>
        </w:rPr>
        <w:t xml:space="preserve"> y por mandato de </w:t>
      </w:r>
      <w:smartTag w:uri="urn:schemas-microsoft-com:office:smarttags" w:element="PersonName">
        <w:smartTagPr>
          <w:attr w:name="ProductID" w:val="la Constituci￳n"/>
        </w:smartTagPr>
        <w:r w:rsidRPr="002F23F7">
          <w:rPr>
            <w:spacing w:val="-4"/>
          </w:rPr>
          <w:t>la Constitución</w:t>
        </w:r>
      </w:smartTag>
      <w:r w:rsidRPr="002F23F7">
        <w:rPr>
          <w:spacing w:val="-4"/>
        </w:rPr>
        <w:t xml:space="preserve"> y la ley, </w:t>
      </w:r>
    </w:p>
    <w:p w14:paraId="6E6780EC" w14:textId="77777777" w:rsidR="00EA6C68" w:rsidRPr="00BB37A6" w:rsidRDefault="00EA6C68" w:rsidP="00EA6C68">
      <w:pPr>
        <w:spacing w:line="276" w:lineRule="auto"/>
        <w:rPr>
          <w:spacing w:val="-2"/>
        </w:rPr>
      </w:pPr>
    </w:p>
    <w:p w14:paraId="13C9D82C" w14:textId="77777777" w:rsidR="00EA6C68" w:rsidRPr="00BB37A6" w:rsidRDefault="00EA6C68" w:rsidP="00EA6C68">
      <w:pPr>
        <w:spacing w:line="276" w:lineRule="auto"/>
        <w:rPr>
          <w:rFonts w:ascii="Algerian" w:hAnsi="Algerian" w:cs="Tahoma"/>
          <w:spacing w:val="-2"/>
          <w:sz w:val="30"/>
          <w:szCs w:val="30"/>
        </w:rPr>
      </w:pPr>
      <w:r w:rsidRPr="00BB37A6">
        <w:rPr>
          <w:rFonts w:ascii="Algerian" w:hAnsi="Algerian" w:cs="Tahoma"/>
          <w:spacing w:val="-2"/>
          <w:sz w:val="30"/>
          <w:szCs w:val="30"/>
        </w:rPr>
        <w:t>FALLA</w:t>
      </w:r>
    </w:p>
    <w:p w14:paraId="4176BBF8" w14:textId="77777777" w:rsidR="00EA6C68" w:rsidRPr="00BB37A6" w:rsidRDefault="00EA6C68" w:rsidP="00EA6C68">
      <w:pPr>
        <w:spacing w:line="276" w:lineRule="auto"/>
        <w:rPr>
          <w:rFonts w:cs="Tahoma"/>
          <w:spacing w:val="-2"/>
        </w:rPr>
      </w:pPr>
    </w:p>
    <w:p w14:paraId="0315E47A" w14:textId="187773FB" w:rsidR="00EA6C68" w:rsidRPr="00677E9A" w:rsidRDefault="00EA6C68" w:rsidP="005872A0">
      <w:pPr>
        <w:spacing w:line="276" w:lineRule="auto"/>
        <w:rPr>
          <w:bCs/>
          <w:spacing w:val="-2"/>
          <w:szCs w:val="26"/>
        </w:rPr>
      </w:pPr>
      <w:r w:rsidRPr="00BB37A6">
        <w:rPr>
          <w:b/>
          <w:spacing w:val="-2"/>
          <w:sz w:val="22"/>
          <w:szCs w:val="22"/>
        </w:rPr>
        <w:t xml:space="preserve">PRIMERO: </w:t>
      </w:r>
      <w:r w:rsidR="004A3177" w:rsidRPr="00BB37A6">
        <w:rPr>
          <w:b/>
          <w:spacing w:val="-2"/>
          <w:sz w:val="22"/>
          <w:szCs w:val="22"/>
        </w:rPr>
        <w:t xml:space="preserve">SE </w:t>
      </w:r>
      <w:r w:rsidR="00A812C1" w:rsidRPr="00BB37A6">
        <w:rPr>
          <w:b/>
          <w:spacing w:val="-2"/>
          <w:sz w:val="22"/>
          <w:szCs w:val="22"/>
        </w:rPr>
        <w:t xml:space="preserve">DECLARA </w:t>
      </w:r>
      <w:r w:rsidRPr="00BB37A6">
        <w:rPr>
          <w:b/>
          <w:spacing w:val="-2"/>
          <w:sz w:val="22"/>
          <w:szCs w:val="22"/>
        </w:rPr>
        <w:t>IMPROCEDENTE</w:t>
      </w:r>
      <w:r w:rsidRPr="00BB37A6">
        <w:rPr>
          <w:b/>
          <w:spacing w:val="-2"/>
          <w:sz w:val="24"/>
        </w:rPr>
        <w:t xml:space="preserve"> </w:t>
      </w:r>
      <w:r w:rsidRPr="00BB37A6">
        <w:rPr>
          <w:spacing w:val="-2"/>
          <w:szCs w:val="26"/>
        </w:rPr>
        <w:t xml:space="preserve">la acción de tutela propuesta por el </w:t>
      </w:r>
      <w:r w:rsidR="00AD1512">
        <w:rPr>
          <w:spacing w:val="-2"/>
          <w:szCs w:val="26"/>
        </w:rPr>
        <w:t xml:space="preserve">señor </w:t>
      </w:r>
      <w:r w:rsidR="00B973CB">
        <w:rPr>
          <w:b/>
          <w:spacing w:val="-2"/>
          <w:sz w:val="22"/>
          <w:szCs w:val="22"/>
        </w:rPr>
        <w:t>JCR</w:t>
      </w:r>
      <w:r w:rsidR="00735404" w:rsidRPr="00BB37A6">
        <w:rPr>
          <w:bCs/>
          <w:spacing w:val="-2"/>
          <w:szCs w:val="26"/>
        </w:rPr>
        <w:t>,</w:t>
      </w:r>
      <w:r w:rsidR="00B67E5B">
        <w:rPr>
          <w:bCs/>
          <w:spacing w:val="-2"/>
          <w:szCs w:val="26"/>
        </w:rPr>
        <w:t xml:space="preserve"> </w:t>
      </w:r>
      <w:r w:rsidR="00B67E5B" w:rsidRPr="00677E9A">
        <w:rPr>
          <w:color w:val="000000"/>
          <w:szCs w:val="26"/>
        </w:rPr>
        <w:t>por no cumplir el requisito de subsidiariedad, de conformidad con lo expuesto en la parte motiva de esta providencia.</w:t>
      </w:r>
    </w:p>
    <w:p w14:paraId="232931D8" w14:textId="7E69EC21" w:rsidR="002D0C6A" w:rsidRDefault="002D0C6A" w:rsidP="005872A0">
      <w:pPr>
        <w:spacing w:line="276" w:lineRule="auto"/>
        <w:rPr>
          <w:bCs/>
          <w:spacing w:val="-2"/>
          <w:szCs w:val="26"/>
        </w:rPr>
      </w:pPr>
    </w:p>
    <w:p w14:paraId="3EA5E8A2" w14:textId="45CC67E4" w:rsidR="00EA6C68" w:rsidRPr="00BB37A6" w:rsidRDefault="00B67E5B" w:rsidP="00EA6C68">
      <w:pPr>
        <w:spacing w:line="276" w:lineRule="auto"/>
        <w:rPr>
          <w:spacing w:val="-2"/>
        </w:rPr>
      </w:pPr>
      <w:r>
        <w:rPr>
          <w:b/>
          <w:spacing w:val="-2"/>
          <w:sz w:val="22"/>
          <w:szCs w:val="22"/>
        </w:rPr>
        <w:t>SEGUNDO</w:t>
      </w:r>
      <w:r w:rsidR="00EA6C68" w:rsidRPr="00BB37A6">
        <w:rPr>
          <w:b/>
          <w:spacing w:val="-2"/>
          <w:sz w:val="24"/>
        </w:rPr>
        <w:t>:</w:t>
      </w:r>
      <w:r w:rsidR="00EA6C68" w:rsidRPr="00BB37A6">
        <w:rPr>
          <w:spacing w:val="-2"/>
        </w:rPr>
        <w:t xml:space="preserve"> </w:t>
      </w:r>
      <w:r w:rsidR="00EA6C68" w:rsidRPr="00BB37A6">
        <w:rPr>
          <w:bCs/>
          <w:spacing w:val="-2"/>
        </w:rPr>
        <w:t>Si el fallo no fuere impugnado</w:t>
      </w:r>
      <w:r w:rsidR="00547C21">
        <w:rPr>
          <w:bCs/>
          <w:spacing w:val="-2"/>
        </w:rPr>
        <w:t>,</w:t>
      </w:r>
      <w:r w:rsidR="00EA6C68" w:rsidRPr="00BB37A6">
        <w:rPr>
          <w:bCs/>
          <w:spacing w:val="-2"/>
        </w:rPr>
        <w:t xml:space="preserve"> </w:t>
      </w:r>
      <w:r>
        <w:rPr>
          <w:bCs/>
          <w:spacing w:val="-2"/>
        </w:rPr>
        <w:t>remítase</w:t>
      </w:r>
      <w:r w:rsidR="00EA6C68" w:rsidRPr="00BB37A6">
        <w:rPr>
          <w:spacing w:val="-2"/>
        </w:rPr>
        <w:t xml:space="preserve"> el expediente a la H. Corte Constitucional para su eventual revisión. </w:t>
      </w:r>
    </w:p>
    <w:p w14:paraId="7DDA5235" w14:textId="77777777" w:rsidR="00EA6C68" w:rsidRPr="000D2C6C" w:rsidRDefault="00EA6C68" w:rsidP="00EA6C68">
      <w:pPr>
        <w:spacing w:line="276" w:lineRule="auto"/>
      </w:pPr>
    </w:p>
    <w:p w14:paraId="3B90C6C5" w14:textId="77777777" w:rsidR="00EA6C68" w:rsidRDefault="00EA6C68" w:rsidP="00EA6C68">
      <w:pPr>
        <w:spacing w:line="276" w:lineRule="auto"/>
        <w:rPr>
          <w:rFonts w:ascii="Algerian" w:hAnsi="Algerian"/>
          <w:sz w:val="30"/>
          <w:szCs w:val="30"/>
        </w:rPr>
      </w:pPr>
      <w:r w:rsidRPr="000D2C6C">
        <w:rPr>
          <w:rFonts w:ascii="Algerian" w:hAnsi="Algerian"/>
          <w:sz w:val="30"/>
          <w:szCs w:val="30"/>
        </w:rPr>
        <w:t>NOTIFÍQUESE Y CÚMPLASE</w:t>
      </w:r>
    </w:p>
    <w:p w14:paraId="3C2655CC" w14:textId="55D1C537" w:rsidR="005872A0" w:rsidRDefault="005872A0" w:rsidP="00EA6C68">
      <w:pPr>
        <w:spacing w:line="276" w:lineRule="auto"/>
        <w:rPr>
          <w:rFonts w:ascii="Algerian" w:hAnsi="Algerian"/>
          <w:sz w:val="30"/>
          <w:szCs w:val="30"/>
        </w:rPr>
      </w:pPr>
    </w:p>
    <w:p w14:paraId="6B87BA33" w14:textId="77777777" w:rsidR="006670BA" w:rsidRDefault="006670BA" w:rsidP="00EA6C68">
      <w:pPr>
        <w:spacing w:line="276" w:lineRule="auto"/>
        <w:rPr>
          <w:rFonts w:ascii="Algerian" w:hAnsi="Algerian"/>
          <w:sz w:val="30"/>
          <w:szCs w:val="30"/>
        </w:rPr>
      </w:pPr>
    </w:p>
    <w:p w14:paraId="25B651F8" w14:textId="3EAAC129" w:rsidR="005872A0" w:rsidRDefault="006670BA" w:rsidP="005872A0">
      <w:pPr>
        <w:spacing w:line="276" w:lineRule="auto"/>
        <w:jc w:val="center"/>
        <w:rPr>
          <w:spacing w:val="-4"/>
          <w:position w:val="-4"/>
          <w:lang w:val="es-ES_tradnl"/>
        </w:rPr>
      </w:pPr>
      <w:r>
        <w:rPr>
          <w:spacing w:val="-4"/>
          <w:position w:val="-4"/>
          <w:lang w:val="es-ES_tradnl"/>
        </w:rPr>
        <w:t>CARLOS ALBERTO PAZ ZÚÑIGA</w:t>
      </w:r>
    </w:p>
    <w:p w14:paraId="5E736F48" w14:textId="77777777" w:rsidR="005872A0" w:rsidRDefault="005872A0" w:rsidP="005872A0">
      <w:pPr>
        <w:spacing w:line="276" w:lineRule="auto"/>
        <w:jc w:val="center"/>
        <w:rPr>
          <w:spacing w:val="-4"/>
          <w:position w:val="-4"/>
          <w:lang w:val="es-ES_tradnl"/>
        </w:rPr>
      </w:pPr>
      <w:r>
        <w:rPr>
          <w:spacing w:val="-4"/>
          <w:position w:val="-4"/>
          <w:lang w:val="es-ES_tradnl"/>
        </w:rPr>
        <w:t xml:space="preserve">Magistrado </w:t>
      </w:r>
    </w:p>
    <w:p w14:paraId="0D811558" w14:textId="77777777" w:rsidR="005872A0" w:rsidRDefault="005872A0" w:rsidP="005872A0">
      <w:pPr>
        <w:jc w:val="center"/>
        <w:rPr>
          <w:rFonts w:ascii="Verdana" w:hAnsi="Verdana"/>
          <w:sz w:val="20"/>
        </w:rPr>
      </w:pPr>
      <w:r>
        <w:rPr>
          <w:rFonts w:ascii="Verdana" w:hAnsi="Verdana"/>
          <w:sz w:val="20"/>
        </w:rPr>
        <w:t>Con firma electrónica al final del documento</w:t>
      </w:r>
    </w:p>
    <w:p w14:paraId="2C1C91EF" w14:textId="77777777" w:rsidR="005872A0" w:rsidRDefault="005872A0" w:rsidP="005872A0">
      <w:pPr>
        <w:spacing w:line="276" w:lineRule="auto"/>
        <w:rPr>
          <w:spacing w:val="-4"/>
          <w:position w:val="-4"/>
          <w:lang w:val="es-ES_tradnl"/>
        </w:rPr>
      </w:pPr>
    </w:p>
    <w:p w14:paraId="5F1743CE" w14:textId="77777777" w:rsidR="005872A0" w:rsidRDefault="005872A0" w:rsidP="005872A0">
      <w:pPr>
        <w:spacing w:line="276" w:lineRule="auto"/>
        <w:rPr>
          <w:spacing w:val="-4"/>
          <w:position w:val="-4"/>
          <w:lang w:val="es-ES_tradnl"/>
        </w:rPr>
      </w:pPr>
    </w:p>
    <w:p w14:paraId="1A9128B4" w14:textId="77777777" w:rsidR="005872A0" w:rsidRDefault="005872A0" w:rsidP="005872A0">
      <w:pPr>
        <w:spacing w:line="276" w:lineRule="auto"/>
        <w:jc w:val="center"/>
        <w:rPr>
          <w:spacing w:val="-4"/>
          <w:position w:val="-4"/>
          <w:lang w:val="es-ES_tradnl"/>
        </w:rPr>
      </w:pPr>
      <w:r>
        <w:rPr>
          <w:spacing w:val="-4"/>
          <w:position w:val="-4"/>
          <w:lang w:val="es-ES_tradnl"/>
        </w:rPr>
        <w:t>JULIÁN RIVERA LOAIZA</w:t>
      </w:r>
    </w:p>
    <w:p w14:paraId="4DD34653" w14:textId="77777777" w:rsidR="005872A0" w:rsidRDefault="005872A0" w:rsidP="005872A0">
      <w:pPr>
        <w:spacing w:line="276" w:lineRule="auto"/>
        <w:jc w:val="center"/>
        <w:rPr>
          <w:spacing w:val="-4"/>
          <w:position w:val="-4"/>
          <w:lang w:val="es-ES_tradnl"/>
        </w:rPr>
      </w:pPr>
      <w:r>
        <w:rPr>
          <w:spacing w:val="-4"/>
          <w:position w:val="-4"/>
          <w:lang w:val="es-ES_tradnl"/>
        </w:rPr>
        <w:t xml:space="preserve">Magistrado </w:t>
      </w:r>
    </w:p>
    <w:p w14:paraId="3D3DBC30" w14:textId="77777777" w:rsidR="005872A0" w:rsidRDefault="005872A0" w:rsidP="005872A0">
      <w:pPr>
        <w:jc w:val="center"/>
        <w:rPr>
          <w:rFonts w:ascii="Verdana" w:hAnsi="Verdana"/>
          <w:sz w:val="20"/>
        </w:rPr>
      </w:pPr>
      <w:r>
        <w:rPr>
          <w:rFonts w:ascii="Verdana" w:hAnsi="Verdana"/>
          <w:sz w:val="20"/>
        </w:rPr>
        <w:t>Con firma electrónica al final del documento</w:t>
      </w:r>
    </w:p>
    <w:p w14:paraId="046955B5" w14:textId="77777777" w:rsidR="005872A0" w:rsidRDefault="005872A0" w:rsidP="005872A0">
      <w:pPr>
        <w:spacing w:line="276" w:lineRule="auto"/>
        <w:rPr>
          <w:spacing w:val="-4"/>
          <w:position w:val="-4"/>
          <w:lang w:val="es-ES_tradnl"/>
        </w:rPr>
      </w:pPr>
    </w:p>
    <w:p w14:paraId="5809B32E" w14:textId="77777777" w:rsidR="005872A0" w:rsidRDefault="005872A0" w:rsidP="005872A0">
      <w:pPr>
        <w:spacing w:line="276" w:lineRule="auto"/>
        <w:rPr>
          <w:spacing w:val="-4"/>
          <w:position w:val="-4"/>
          <w:lang w:val="es-ES_tradnl"/>
        </w:rPr>
      </w:pPr>
    </w:p>
    <w:p w14:paraId="33F3F2E6" w14:textId="0BD0B194" w:rsidR="00CC7A72" w:rsidRPr="007D2E0E" w:rsidRDefault="00677E9A" w:rsidP="00CC7A72">
      <w:pPr>
        <w:spacing w:line="276" w:lineRule="auto"/>
        <w:jc w:val="center"/>
        <w:rPr>
          <w:spacing w:val="-6"/>
          <w:position w:val="-6"/>
          <w:lang w:val="es-ES_tradnl"/>
        </w:rPr>
      </w:pPr>
      <w:r>
        <w:rPr>
          <w:spacing w:val="-6"/>
          <w:position w:val="-6"/>
          <w:lang w:val="es-ES_tradnl"/>
        </w:rPr>
        <w:t>MANUEL YARZAGARAY BANDERA</w:t>
      </w:r>
    </w:p>
    <w:p w14:paraId="30BA370D" w14:textId="77777777" w:rsidR="00CC7A72" w:rsidRPr="007D2E0E" w:rsidRDefault="00CC7A72" w:rsidP="00CC7A72">
      <w:pPr>
        <w:spacing w:line="276" w:lineRule="auto"/>
        <w:jc w:val="center"/>
        <w:rPr>
          <w:spacing w:val="-6"/>
          <w:position w:val="-6"/>
          <w:lang w:val="es-ES_tradnl"/>
        </w:rPr>
      </w:pPr>
      <w:r w:rsidRPr="007D2E0E">
        <w:rPr>
          <w:spacing w:val="-6"/>
          <w:position w:val="-6"/>
          <w:lang w:val="es-ES_tradnl"/>
        </w:rPr>
        <w:t xml:space="preserve">Magistrado </w:t>
      </w:r>
    </w:p>
    <w:p w14:paraId="72DEAADD" w14:textId="77777777" w:rsidR="00CC7A72" w:rsidRPr="007D2E0E" w:rsidRDefault="00CC7A72" w:rsidP="00CC7A72">
      <w:pPr>
        <w:jc w:val="center"/>
        <w:rPr>
          <w:spacing w:val="-6"/>
          <w:position w:val="-6"/>
        </w:rPr>
      </w:pPr>
      <w:r w:rsidRPr="007D2E0E">
        <w:rPr>
          <w:rFonts w:ascii="Verdana" w:hAnsi="Verdana"/>
          <w:spacing w:val="-6"/>
          <w:position w:val="-6"/>
          <w:sz w:val="20"/>
          <w:szCs w:val="20"/>
        </w:rPr>
        <w:t>Con firma electrónica al final del documento</w:t>
      </w:r>
    </w:p>
    <w:p w14:paraId="7BD54B50" w14:textId="77777777" w:rsidR="00EF465B" w:rsidRPr="0040665B" w:rsidRDefault="00EF465B" w:rsidP="00EA6C68">
      <w:pPr>
        <w:spacing w:line="276" w:lineRule="auto"/>
        <w:rPr>
          <w:rFonts w:cs="Tahoma"/>
          <w:sz w:val="18"/>
          <w:szCs w:val="18"/>
        </w:rPr>
      </w:pPr>
    </w:p>
    <w:sectPr w:rsidR="00EF465B" w:rsidRPr="0040665B" w:rsidSect="00BF3DC8">
      <w:headerReference w:type="even" r:id="rId12"/>
      <w:headerReference w:type="default" r:id="rId13"/>
      <w:footerReference w:type="even" r:id="rId14"/>
      <w:footerReference w:type="default" r:id="rId15"/>
      <w:headerReference w:type="first" r:id="rId16"/>
      <w:footerReference w:type="first" r:id="rId17"/>
      <w:pgSz w:w="12242" w:h="18722" w:code="124"/>
      <w:pgMar w:top="1871" w:right="1701" w:bottom="119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9368" w14:textId="77777777" w:rsidR="00D157FB" w:rsidRDefault="00D157FB">
      <w:r>
        <w:separator/>
      </w:r>
    </w:p>
  </w:endnote>
  <w:endnote w:type="continuationSeparator" w:id="0">
    <w:p w14:paraId="66284EBD" w14:textId="77777777" w:rsidR="00D157FB" w:rsidRDefault="00D1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FD3" w14:textId="77777777" w:rsidR="00B973CB" w:rsidRDefault="00B97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E621" w14:textId="77777777" w:rsidR="00C47C4D" w:rsidRDefault="00C47C4D" w:rsidP="004C51A3">
    <w:pPr>
      <w:pStyle w:val="Piedepgina"/>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1D5B" w14:textId="77777777" w:rsidR="00B973CB" w:rsidRDefault="00B97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A633" w14:textId="77777777" w:rsidR="00D157FB" w:rsidRDefault="00D157FB">
      <w:r>
        <w:separator/>
      </w:r>
    </w:p>
  </w:footnote>
  <w:footnote w:type="continuationSeparator" w:id="0">
    <w:p w14:paraId="11FEF94F" w14:textId="77777777" w:rsidR="00D157FB" w:rsidRDefault="00D157FB">
      <w:r>
        <w:continuationSeparator/>
      </w:r>
    </w:p>
  </w:footnote>
  <w:footnote w:id="1">
    <w:p w14:paraId="3EAC7F7F" w14:textId="77777777" w:rsidR="0044046E" w:rsidRPr="0004443A" w:rsidRDefault="0044046E" w:rsidP="0044046E">
      <w:pPr>
        <w:pStyle w:val="Textonotapie"/>
        <w:rPr>
          <w:lang w:val="es-CO"/>
        </w:rPr>
      </w:pPr>
      <w:r>
        <w:rPr>
          <w:rStyle w:val="Refdenotaalpie"/>
        </w:rPr>
        <w:footnoteRef/>
      </w:r>
      <w:r>
        <w:t xml:space="preserve"> </w:t>
      </w:r>
      <w:r w:rsidRPr="00A22FED">
        <w:rPr>
          <w:lang w:val="es-ES_tradnl"/>
        </w:rPr>
        <w:t>Sobre el particular ver entre otras: Sentencias T-698 de 2004, T-315 de 2005, T-825 de 2007</w:t>
      </w:r>
      <w:r>
        <w:rPr>
          <w:lang w:val="es-ES_tradnl"/>
        </w:rPr>
        <w:t>, T-367 de 2018, SU-116 de 2018.</w:t>
      </w:r>
    </w:p>
  </w:footnote>
  <w:footnote w:id="2">
    <w:p w14:paraId="7AA3EE7E" w14:textId="77777777" w:rsidR="0044046E" w:rsidRPr="000934E6" w:rsidRDefault="0044046E" w:rsidP="0044046E">
      <w:pPr>
        <w:spacing w:line="276" w:lineRule="auto"/>
        <w:rPr>
          <w:lang w:val="es-ES_tradnl"/>
        </w:rPr>
      </w:pPr>
      <w:r w:rsidRPr="00FA6F46">
        <w:rPr>
          <w:rStyle w:val="Refdenotaalpie"/>
          <w:szCs w:val="20"/>
        </w:rPr>
        <w:footnoteRef/>
      </w:r>
      <w:r w:rsidRPr="00FA6F46">
        <w:rPr>
          <w:rFonts w:ascii="Verdana" w:hAnsi="Verdana"/>
          <w:sz w:val="20"/>
          <w:szCs w:val="20"/>
        </w:rPr>
        <w:t xml:space="preserve"> </w:t>
      </w:r>
      <w:r w:rsidRPr="00FA6F46">
        <w:rPr>
          <w:rFonts w:ascii="Verdana" w:hAnsi="Verdana"/>
          <w:spacing w:val="-6"/>
          <w:sz w:val="20"/>
          <w:szCs w:val="20"/>
        </w:rPr>
        <w:t xml:space="preserve">a) </w:t>
      </w:r>
      <w:r w:rsidRPr="00FA6F46">
        <w:rPr>
          <w:rFonts w:ascii="Verdana" w:hAnsi="Verdana"/>
          <w:iCs/>
          <w:spacing w:val="-6"/>
          <w:sz w:val="20"/>
          <w:szCs w:val="20"/>
          <w:lang w:eastAsia="es-CO"/>
        </w:rPr>
        <w:t>defecto orgánico; b) defecto procedimental absoluto; c) defecto fáctico; d) defecto material o sustantivo; f)</w:t>
      </w:r>
      <w:r w:rsidRPr="00FA6F46">
        <w:rPr>
          <w:rFonts w:ascii="Verdana" w:hAnsi="Verdana"/>
          <w:spacing w:val="-6"/>
          <w:sz w:val="20"/>
          <w:szCs w:val="20"/>
          <w:lang w:eastAsia="es-CO"/>
        </w:rPr>
        <w:t xml:space="preserve"> e</w:t>
      </w:r>
      <w:r w:rsidRPr="00FA6F46">
        <w:rPr>
          <w:rFonts w:ascii="Verdana" w:hAnsi="Verdana"/>
          <w:iCs/>
          <w:spacing w:val="-6"/>
          <w:sz w:val="20"/>
          <w:szCs w:val="20"/>
          <w:lang w:eastAsia="es-CO"/>
        </w:rPr>
        <w:t>rror inducido; g) decisión sin motivación; h) desconocimiento del precedente, e i) violación directa de la Constitución.</w:t>
      </w:r>
    </w:p>
  </w:footnote>
  <w:footnote w:id="3">
    <w:p w14:paraId="7E016349" w14:textId="77777777" w:rsidR="0044046E" w:rsidRPr="000934E6" w:rsidRDefault="0044046E" w:rsidP="0044046E">
      <w:pPr>
        <w:pStyle w:val="Textonotapie"/>
        <w:rPr>
          <w:lang w:val="es-ES_tradnl"/>
        </w:rPr>
      </w:pPr>
      <w:r>
        <w:rPr>
          <w:rStyle w:val="Refdenotaalpie"/>
        </w:rPr>
        <w:footnoteRef/>
      </w:r>
      <w:r>
        <w:t xml:space="preserve"> </w:t>
      </w:r>
      <w:r w:rsidRPr="00B1025F">
        <w:rPr>
          <w:lang w:val="es-ES_tradnl"/>
        </w:rPr>
        <w:t>CSJ STP, 22 sept. 2015, Rad. 81747</w:t>
      </w:r>
    </w:p>
  </w:footnote>
  <w:footnote w:id="4">
    <w:p w14:paraId="4FDA28A7" w14:textId="77777777" w:rsidR="00204F5B" w:rsidRPr="00E25ABC" w:rsidRDefault="00204F5B" w:rsidP="00204F5B">
      <w:pPr>
        <w:pStyle w:val="Textonotapie"/>
      </w:pPr>
      <w:r w:rsidRPr="00E25ABC">
        <w:rPr>
          <w:vertAlign w:val="superscript"/>
        </w:rPr>
        <w:footnoteRef/>
      </w:r>
      <w:r w:rsidRPr="00E25ABC">
        <w:t xml:space="preserve"> Consultar, entre otras, las Sentencias T-500 de 1995 y T-285 de 2010.</w:t>
      </w:r>
    </w:p>
  </w:footnote>
  <w:footnote w:id="5">
    <w:p w14:paraId="7F5662BC" w14:textId="77777777" w:rsidR="00204F5B" w:rsidRPr="00E25ABC" w:rsidRDefault="00204F5B" w:rsidP="00204F5B">
      <w:pPr>
        <w:pStyle w:val="Textonotapie"/>
      </w:pPr>
      <w:r w:rsidRPr="00E25ABC">
        <w:rPr>
          <w:vertAlign w:val="superscript"/>
        </w:rPr>
        <w:footnoteRef/>
      </w:r>
      <w:r w:rsidRPr="00E25ABC">
        <w:t xml:space="preserve"> Sentencias T-582 de 2016.</w:t>
      </w:r>
    </w:p>
  </w:footnote>
  <w:footnote w:id="6">
    <w:p w14:paraId="40B1F260" w14:textId="77777777" w:rsidR="00204F5B" w:rsidRDefault="00204F5B" w:rsidP="00204F5B">
      <w:pPr>
        <w:pStyle w:val="Textonotapie"/>
      </w:pPr>
      <w:r w:rsidRPr="00E86F29">
        <w:rPr>
          <w:rStyle w:val="Refdenotaalpie"/>
        </w:rPr>
        <w:footnoteRef/>
      </w:r>
      <w:r w:rsidRPr="00E86F29">
        <w:t xml:space="preserve"> En relación con la subsidiariedad de la acción de tutela pueden consultarse, entre otras, las sentencias T-297/97, M.P. Antonio Barrera Carbonell, T-449/98, M.P. Alfredo Beltrán Sierra y T-300/04, M.P. Eduardo Montealegre Lynett. </w:t>
      </w:r>
    </w:p>
  </w:footnote>
  <w:footnote w:id="7">
    <w:p w14:paraId="05AC230C" w14:textId="77777777" w:rsidR="00204F5B" w:rsidRPr="00E25ABC" w:rsidRDefault="00204F5B" w:rsidP="00204F5B">
      <w:pPr>
        <w:pStyle w:val="Textonotapie"/>
      </w:pPr>
      <w:r w:rsidRPr="00E25ABC">
        <w:rPr>
          <w:vertAlign w:val="superscript"/>
        </w:rPr>
        <w:footnoteRef/>
      </w:r>
      <w:r>
        <w:t xml:space="preserve"> Sentencias T-315 de 2005</w:t>
      </w:r>
      <w:r w:rsidRPr="00E25ABC">
        <w:t>.</w:t>
      </w:r>
    </w:p>
  </w:footnote>
  <w:footnote w:id="8">
    <w:p w14:paraId="0C017544" w14:textId="77777777" w:rsidR="0044046E" w:rsidRPr="006E6DF7" w:rsidRDefault="0044046E" w:rsidP="0044046E">
      <w:pPr>
        <w:pStyle w:val="Textonotapie"/>
      </w:pPr>
      <w:r w:rsidRPr="006E6DF7">
        <w:rPr>
          <w:rStyle w:val="Refdenotaalpie"/>
        </w:rPr>
        <w:footnoteRef/>
      </w:r>
      <w:r w:rsidRPr="006E6DF7">
        <w:t xml:space="preserve"> </w:t>
      </w:r>
      <w:r>
        <w:t>Corte Constitucional, T-418 de 2003.</w:t>
      </w:r>
    </w:p>
  </w:footnote>
  <w:footnote w:id="9">
    <w:p w14:paraId="2EFC742A" w14:textId="77777777" w:rsidR="0044046E" w:rsidRPr="0014663F" w:rsidRDefault="0044046E" w:rsidP="0044046E">
      <w:pPr>
        <w:pStyle w:val="Textonotapie"/>
      </w:pPr>
      <w:r w:rsidRPr="0014663F">
        <w:rPr>
          <w:vertAlign w:val="superscript"/>
        </w:rPr>
        <w:footnoteRef/>
      </w:r>
      <w:r w:rsidRPr="0014663F">
        <w:t xml:space="preserve"> </w:t>
      </w:r>
      <w:r>
        <w:t xml:space="preserve">Cfr. </w:t>
      </w:r>
      <w:r w:rsidRPr="0014663F">
        <w:t>Sentencia T-</w:t>
      </w:r>
      <w:r>
        <w:t>649/16</w:t>
      </w:r>
      <w:r w:rsidRPr="0014663F">
        <w:t>.</w:t>
      </w:r>
    </w:p>
  </w:footnote>
  <w:footnote w:id="10">
    <w:p w14:paraId="6D9F23DC" w14:textId="44DDC3FB" w:rsidR="006F5FDE" w:rsidRPr="006F5FDE" w:rsidRDefault="006F5FDE">
      <w:pPr>
        <w:pStyle w:val="Textonotapie"/>
        <w:rPr>
          <w:lang w:val="es-CO"/>
        </w:rPr>
      </w:pPr>
      <w:r>
        <w:rPr>
          <w:rStyle w:val="Refdenotaalpie"/>
        </w:rPr>
        <w:footnoteRef/>
      </w:r>
      <w:r>
        <w:t xml:space="preserve"> </w:t>
      </w:r>
      <w:r>
        <w:rPr>
          <w:lang w:val="es-CO"/>
        </w:rPr>
        <w:t>Ver documento obrante en el expediente penal: archivo “ExpedienteDigitalizado201802247”, página 38/49</w:t>
      </w:r>
    </w:p>
  </w:footnote>
  <w:footnote w:id="11">
    <w:p w14:paraId="2BF3396F" w14:textId="38879856" w:rsidR="004A6851" w:rsidRPr="004A6851" w:rsidRDefault="004A6851">
      <w:pPr>
        <w:pStyle w:val="Textonotapie"/>
        <w:rPr>
          <w:lang w:val="es-CO"/>
        </w:rPr>
      </w:pPr>
      <w:r>
        <w:rPr>
          <w:rStyle w:val="Refdenotaalpie"/>
        </w:rPr>
        <w:footnoteRef/>
      </w:r>
      <w:r>
        <w:t xml:space="preserve"> </w:t>
      </w:r>
      <w:r>
        <w:rPr>
          <w:lang w:val="es-CO"/>
        </w:rPr>
        <w:t>Registro de audiencia preparatoria, minuto de grabación “0:10:00”, consultado en la web: “</w:t>
      </w:r>
      <w:bookmarkStart w:id="0" w:name="_Hlk198726408"/>
      <w:r w:rsidRPr="004A6851">
        <w:rPr>
          <w:lang w:val="es-CO"/>
        </w:rPr>
        <w:t>https://sistemagrabaciones.ramajudicial.gov.co/share/8319bac0-bda9-45e5-b5d3-d54cfe478778</w:t>
      </w:r>
      <w:bookmarkEnd w:id="0"/>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4FE4" w14:textId="77777777" w:rsidR="00B973CB" w:rsidRDefault="00B973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8933" w14:textId="38D0F203" w:rsidR="00C47C4D" w:rsidRDefault="00C47C4D"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SENTENCIA TUTELA 1ª INSTAN</w:t>
    </w:r>
    <w:r w:rsidRPr="00B31310">
      <w:rPr>
        <w:rFonts w:ascii="Courier New" w:hAnsi="Courier New"/>
        <w:sz w:val="16"/>
      </w:rPr>
      <w:t xml:space="preserve">CIA </w:t>
    </w:r>
    <w:r>
      <w:rPr>
        <w:rFonts w:ascii="Courier New" w:hAnsi="Courier New"/>
        <w:sz w:val="16"/>
      </w:rPr>
      <w:t xml:space="preserve">- </w:t>
    </w:r>
    <w:proofErr w:type="spellStart"/>
    <w:r w:rsidRPr="00B31310">
      <w:rPr>
        <w:rFonts w:ascii="Courier New" w:hAnsi="Courier New"/>
        <w:sz w:val="16"/>
      </w:rPr>
      <w:t>N</w:t>
    </w:r>
    <w:r>
      <w:rPr>
        <w:rFonts w:ascii="Courier New" w:hAnsi="Courier New"/>
        <w:sz w:val="16"/>
      </w:rPr>
      <w:t>º</w:t>
    </w:r>
    <w:proofErr w:type="spellEnd"/>
    <w:r>
      <w:rPr>
        <w:rFonts w:ascii="Courier New" w:hAnsi="Courier New"/>
        <w:sz w:val="16"/>
      </w:rPr>
      <w:t xml:space="preserve"> </w:t>
    </w:r>
    <w:r w:rsidR="00C956A7">
      <w:rPr>
        <w:rFonts w:ascii="Courier New" w:hAnsi="Courier New"/>
        <w:sz w:val="16"/>
      </w:rPr>
      <w:t>009</w:t>
    </w:r>
  </w:p>
  <w:p w14:paraId="50102818" w14:textId="1E2233AC" w:rsidR="00C47C4D" w:rsidRDefault="00C47C4D"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RADICACIÓN:  6600122040002025 00079 00</w:t>
    </w:r>
  </w:p>
  <w:p w14:paraId="16DEEDE6" w14:textId="21B9923B" w:rsidR="00C47C4D" w:rsidRDefault="00C47C4D" w:rsidP="00B6596F">
    <w:pPr>
      <w:pStyle w:val="Encabezado"/>
      <w:tabs>
        <w:tab w:val="clear" w:pos="4419"/>
        <w:tab w:val="clear" w:pos="8838"/>
      </w:tabs>
      <w:spacing w:line="240" w:lineRule="auto"/>
      <w:jc w:val="right"/>
      <w:rPr>
        <w:rFonts w:ascii="Courier New" w:hAnsi="Courier New"/>
        <w:sz w:val="16"/>
      </w:rPr>
    </w:pPr>
    <w:r>
      <w:rPr>
        <w:rFonts w:ascii="Courier New" w:hAnsi="Courier New"/>
        <w:sz w:val="16"/>
      </w:rPr>
      <w:tab/>
    </w:r>
    <w:r>
      <w:rPr>
        <w:rFonts w:ascii="Courier New" w:hAnsi="Courier New"/>
        <w:sz w:val="16"/>
      </w:rPr>
      <w:tab/>
      <w:t>ACCIONANTE:        JCR</w:t>
    </w:r>
  </w:p>
  <w:p w14:paraId="0159477B" w14:textId="3EBF0683" w:rsidR="00C47C4D" w:rsidRDefault="00C47C4D" w:rsidP="00B6596F">
    <w:pPr>
      <w:pStyle w:val="Encabezado"/>
      <w:tabs>
        <w:tab w:val="clear" w:pos="4419"/>
        <w:tab w:val="clear" w:pos="8838"/>
      </w:tabs>
      <w:spacing w:line="240" w:lineRule="auto"/>
      <w:jc w:val="right"/>
      <w:rPr>
        <w:sz w:val="14"/>
      </w:rPr>
    </w:pPr>
    <w:r>
      <w:rPr>
        <w:rFonts w:ascii="Courier New" w:hAnsi="Courier New"/>
        <w:sz w:val="16"/>
      </w:rPr>
      <w:t>DECLARA IMPROCEDENTE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975D" w14:textId="77777777" w:rsidR="00B973CB" w:rsidRDefault="00B973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E1F8F"/>
    <w:multiLevelType w:val="hybridMultilevel"/>
    <w:tmpl w:val="386A86C0"/>
    <w:lvl w:ilvl="0" w:tplc="F804382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8"/>
  </w:num>
  <w:num w:numId="6">
    <w:abstractNumId w:val="4"/>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9F"/>
    <w:rsid w:val="00000FB3"/>
    <w:rsid w:val="00003214"/>
    <w:rsid w:val="0000551D"/>
    <w:rsid w:val="00006E03"/>
    <w:rsid w:val="000119BA"/>
    <w:rsid w:val="000173BB"/>
    <w:rsid w:val="00021A5D"/>
    <w:rsid w:val="0002230D"/>
    <w:rsid w:val="0002275D"/>
    <w:rsid w:val="00022E4A"/>
    <w:rsid w:val="00022E56"/>
    <w:rsid w:val="000238E2"/>
    <w:rsid w:val="00023ED4"/>
    <w:rsid w:val="000241FA"/>
    <w:rsid w:val="00024495"/>
    <w:rsid w:val="00024A4F"/>
    <w:rsid w:val="00024F84"/>
    <w:rsid w:val="00025545"/>
    <w:rsid w:val="00025FC3"/>
    <w:rsid w:val="00027B0E"/>
    <w:rsid w:val="0003209E"/>
    <w:rsid w:val="00032350"/>
    <w:rsid w:val="00033B98"/>
    <w:rsid w:val="000370CD"/>
    <w:rsid w:val="00041A21"/>
    <w:rsid w:val="00045A66"/>
    <w:rsid w:val="00047887"/>
    <w:rsid w:val="00047F86"/>
    <w:rsid w:val="00050C84"/>
    <w:rsid w:val="00056174"/>
    <w:rsid w:val="00056879"/>
    <w:rsid w:val="00064146"/>
    <w:rsid w:val="000656F5"/>
    <w:rsid w:val="00072890"/>
    <w:rsid w:val="00073D9A"/>
    <w:rsid w:val="00073EF3"/>
    <w:rsid w:val="000741AF"/>
    <w:rsid w:val="00074DCE"/>
    <w:rsid w:val="00077AF0"/>
    <w:rsid w:val="00080670"/>
    <w:rsid w:val="00081480"/>
    <w:rsid w:val="00081756"/>
    <w:rsid w:val="00081B9E"/>
    <w:rsid w:val="000849CA"/>
    <w:rsid w:val="00087855"/>
    <w:rsid w:val="00087953"/>
    <w:rsid w:val="00090163"/>
    <w:rsid w:val="000910BB"/>
    <w:rsid w:val="00095F17"/>
    <w:rsid w:val="000A07A4"/>
    <w:rsid w:val="000A303E"/>
    <w:rsid w:val="000A381D"/>
    <w:rsid w:val="000B21FE"/>
    <w:rsid w:val="000B244F"/>
    <w:rsid w:val="000B2866"/>
    <w:rsid w:val="000B660E"/>
    <w:rsid w:val="000C02D4"/>
    <w:rsid w:val="000C1BCD"/>
    <w:rsid w:val="000C21A2"/>
    <w:rsid w:val="000C22C3"/>
    <w:rsid w:val="000C424D"/>
    <w:rsid w:val="000C460A"/>
    <w:rsid w:val="000C49FB"/>
    <w:rsid w:val="000C4A8C"/>
    <w:rsid w:val="000C555C"/>
    <w:rsid w:val="000C7C56"/>
    <w:rsid w:val="000D1443"/>
    <w:rsid w:val="000D284C"/>
    <w:rsid w:val="000D2C6C"/>
    <w:rsid w:val="000D300C"/>
    <w:rsid w:val="000D38C5"/>
    <w:rsid w:val="000D57A4"/>
    <w:rsid w:val="000D5EFC"/>
    <w:rsid w:val="000D6FA4"/>
    <w:rsid w:val="000E11C8"/>
    <w:rsid w:val="000E1D6E"/>
    <w:rsid w:val="000E55AA"/>
    <w:rsid w:val="000F1A7D"/>
    <w:rsid w:val="000F209B"/>
    <w:rsid w:val="000F3736"/>
    <w:rsid w:val="000F3B52"/>
    <w:rsid w:val="000F543D"/>
    <w:rsid w:val="000F64B5"/>
    <w:rsid w:val="000F6F89"/>
    <w:rsid w:val="0010023F"/>
    <w:rsid w:val="001007E2"/>
    <w:rsid w:val="001016CE"/>
    <w:rsid w:val="00102796"/>
    <w:rsid w:val="00104E01"/>
    <w:rsid w:val="0010785A"/>
    <w:rsid w:val="00110800"/>
    <w:rsid w:val="00110D15"/>
    <w:rsid w:val="00111177"/>
    <w:rsid w:val="001132A1"/>
    <w:rsid w:val="00120120"/>
    <w:rsid w:val="00120CBE"/>
    <w:rsid w:val="001220BD"/>
    <w:rsid w:val="0012332E"/>
    <w:rsid w:val="00123D97"/>
    <w:rsid w:val="0012561D"/>
    <w:rsid w:val="00133C33"/>
    <w:rsid w:val="00134026"/>
    <w:rsid w:val="00135B4F"/>
    <w:rsid w:val="00135E31"/>
    <w:rsid w:val="00135EE9"/>
    <w:rsid w:val="001376DB"/>
    <w:rsid w:val="00141886"/>
    <w:rsid w:val="00143212"/>
    <w:rsid w:val="0014458A"/>
    <w:rsid w:val="00145098"/>
    <w:rsid w:val="00154F1A"/>
    <w:rsid w:val="001562DF"/>
    <w:rsid w:val="00160569"/>
    <w:rsid w:val="00162D0B"/>
    <w:rsid w:val="001649E5"/>
    <w:rsid w:val="001660AC"/>
    <w:rsid w:val="001702E5"/>
    <w:rsid w:val="00170690"/>
    <w:rsid w:val="001707B9"/>
    <w:rsid w:val="00172D67"/>
    <w:rsid w:val="0017324E"/>
    <w:rsid w:val="0017583C"/>
    <w:rsid w:val="00175C14"/>
    <w:rsid w:val="00175C9D"/>
    <w:rsid w:val="00180F5D"/>
    <w:rsid w:val="001810CC"/>
    <w:rsid w:val="001817B9"/>
    <w:rsid w:val="00181F3B"/>
    <w:rsid w:val="00182689"/>
    <w:rsid w:val="0018326E"/>
    <w:rsid w:val="001834F5"/>
    <w:rsid w:val="001851DB"/>
    <w:rsid w:val="00190D44"/>
    <w:rsid w:val="0019695B"/>
    <w:rsid w:val="001976B5"/>
    <w:rsid w:val="00197716"/>
    <w:rsid w:val="001A0683"/>
    <w:rsid w:val="001A0FC4"/>
    <w:rsid w:val="001A61ED"/>
    <w:rsid w:val="001A697A"/>
    <w:rsid w:val="001A7875"/>
    <w:rsid w:val="001B00AF"/>
    <w:rsid w:val="001B06A0"/>
    <w:rsid w:val="001B1FFA"/>
    <w:rsid w:val="001B214D"/>
    <w:rsid w:val="001B4CA4"/>
    <w:rsid w:val="001B6D53"/>
    <w:rsid w:val="001C0B18"/>
    <w:rsid w:val="001C44F8"/>
    <w:rsid w:val="001C5336"/>
    <w:rsid w:val="001C615A"/>
    <w:rsid w:val="001C6A02"/>
    <w:rsid w:val="001C7D20"/>
    <w:rsid w:val="001C7DF2"/>
    <w:rsid w:val="001D06F3"/>
    <w:rsid w:val="001D0F7E"/>
    <w:rsid w:val="001D15C8"/>
    <w:rsid w:val="001D72F1"/>
    <w:rsid w:val="001E09AD"/>
    <w:rsid w:val="001E510D"/>
    <w:rsid w:val="001F0B3F"/>
    <w:rsid w:val="001F29A8"/>
    <w:rsid w:val="001F4B37"/>
    <w:rsid w:val="001F4EDE"/>
    <w:rsid w:val="001F6104"/>
    <w:rsid w:val="00201AF8"/>
    <w:rsid w:val="00204F5B"/>
    <w:rsid w:val="00211228"/>
    <w:rsid w:val="002120AD"/>
    <w:rsid w:val="0021285A"/>
    <w:rsid w:val="0021374C"/>
    <w:rsid w:val="002146A2"/>
    <w:rsid w:val="00214753"/>
    <w:rsid w:val="00214FDC"/>
    <w:rsid w:val="002161F7"/>
    <w:rsid w:val="002165A5"/>
    <w:rsid w:val="002173D5"/>
    <w:rsid w:val="002179EC"/>
    <w:rsid w:val="002238A7"/>
    <w:rsid w:val="002239F3"/>
    <w:rsid w:val="00223C7A"/>
    <w:rsid w:val="002247E3"/>
    <w:rsid w:val="002251A3"/>
    <w:rsid w:val="002272B1"/>
    <w:rsid w:val="00230325"/>
    <w:rsid w:val="00232225"/>
    <w:rsid w:val="00235E54"/>
    <w:rsid w:val="0023732C"/>
    <w:rsid w:val="00237617"/>
    <w:rsid w:val="00237BEA"/>
    <w:rsid w:val="002412FE"/>
    <w:rsid w:val="00241AE4"/>
    <w:rsid w:val="0024381A"/>
    <w:rsid w:val="00245048"/>
    <w:rsid w:val="00250D5F"/>
    <w:rsid w:val="00251F25"/>
    <w:rsid w:val="0025385D"/>
    <w:rsid w:val="00256424"/>
    <w:rsid w:val="00262F4E"/>
    <w:rsid w:val="002631D1"/>
    <w:rsid w:val="00263691"/>
    <w:rsid w:val="002672F4"/>
    <w:rsid w:val="002674F5"/>
    <w:rsid w:val="00267BCD"/>
    <w:rsid w:val="00267D6B"/>
    <w:rsid w:val="0027204C"/>
    <w:rsid w:val="00275A11"/>
    <w:rsid w:val="002765AD"/>
    <w:rsid w:val="002823AB"/>
    <w:rsid w:val="002826D5"/>
    <w:rsid w:val="00284563"/>
    <w:rsid w:val="0028607F"/>
    <w:rsid w:val="002902B0"/>
    <w:rsid w:val="002905F1"/>
    <w:rsid w:val="002961BF"/>
    <w:rsid w:val="00297CAE"/>
    <w:rsid w:val="002A13C3"/>
    <w:rsid w:val="002A21C3"/>
    <w:rsid w:val="002A44CD"/>
    <w:rsid w:val="002A55BA"/>
    <w:rsid w:val="002B0863"/>
    <w:rsid w:val="002B1F55"/>
    <w:rsid w:val="002B3CF7"/>
    <w:rsid w:val="002B4FFF"/>
    <w:rsid w:val="002B57DA"/>
    <w:rsid w:val="002B79D8"/>
    <w:rsid w:val="002C3563"/>
    <w:rsid w:val="002C387D"/>
    <w:rsid w:val="002D0C6A"/>
    <w:rsid w:val="002D2D8C"/>
    <w:rsid w:val="002D55EB"/>
    <w:rsid w:val="002D76EA"/>
    <w:rsid w:val="002E26B1"/>
    <w:rsid w:val="002E5DC1"/>
    <w:rsid w:val="002F1A06"/>
    <w:rsid w:val="002F1E2E"/>
    <w:rsid w:val="00300F9A"/>
    <w:rsid w:val="00304468"/>
    <w:rsid w:val="00304846"/>
    <w:rsid w:val="003065D7"/>
    <w:rsid w:val="00307517"/>
    <w:rsid w:val="003118F1"/>
    <w:rsid w:val="00311B9B"/>
    <w:rsid w:val="00312455"/>
    <w:rsid w:val="00320536"/>
    <w:rsid w:val="00320549"/>
    <w:rsid w:val="00323FCE"/>
    <w:rsid w:val="0032670E"/>
    <w:rsid w:val="00332138"/>
    <w:rsid w:val="003334F2"/>
    <w:rsid w:val="003341DC"/>
    <w:rsid w:val="0033505D"/>
    <w:rsid w:val="003359C1"/>
    <w:rsid w:val="00336C8A"/>
    <w:rsid w:val="003412D7"/>
    <w:rsid w:val="00342E59"/>
    <w:rsid w:val="00343594"/>
    <w:rsid w:val="00344C9C"/>
    <w:rsid w:val="00350F23"/>
    <w:rsid w:val="00351740"/>
    <w:rsid w:val="00351993"/>
    <w:rsid w:val="00351DDE"/>
    <w:rsid w:val="0035355F"/>
    <w:rsid w:val="0035706D"/>
    <w:rsid w:val="00357E72"/>
    <w:rsid w:val="0036064C"/>
    <w:rsid w:val="003615E5"/>
    <w:rsid w:val="00361729"/>
    <w:rsid w:val="00362024"/>
    <w:rsid w:val="003634B4"/>
    <w:rsid w:val="003677C9"/>
    <w:rsid w:val="00370193"/>
    <w:rsid w:val="00370974"/>
    <w:rsid w:val="00377C22"/>
    <w:rsid w:val="003800D0"/>
    <w:rsid w:val="00380DAC"/>
    <w:rsid w:val="003813C6"/>
    <w:rsid w:val="003816EE"/>
    <w:rsid w:val="00382169"/>
    <w:rsid w:val="00382493"/>
    <w:rsid w:val="003831E9"/>
    <w:rsid w:val="00383BB6"/>
    <w:rsid w:val="00384C39"/>
    <w:rsid w:val="00386A1E"/>
    <w:rsid w:val="0038790D"/>
    <w:rsid w:val="00387A55"/>
    <w:rsid w:val="0039326A"/>
    <w:rsid w:val="0039328C"/>
    <w:rsid w:val="00393806"/>
    <w:rsid w:val="0039429D"/>
    <w:rsid w:val="003963D0"/>
    <w:rsid w:val="00397868"/>
    <w:rsid w:val="003A18B5"/>
    <w:rsid w:val="003A2D03"/>
    <w:rsid w:val="003A3738"/>
    <w:rsid w:val="003A37DC"/>
    <w:rsid w:val="003B00EB"/>
    <w:rsid w:val="003B21A0"/>
    <w:rsid w:val="003B2445"/>
    <w:rsid w:val="003B3E51"/>
    <w:rsid w:val="003B7621"/>
    <w:rsid w:val="003B7F49"/>
    <w:rsid w:val="003C097D"/>
    <w:rsid w:val="003C1C85"/>
    <w:rsid w:val="003C3FBE"/>
    <w:rsid w:val="003D066D"/>
    <w:rsid w:val="003D65CF"/>
    <w:rsid w:val="003D784E"/>
    <w:rsid w:val="003E08A5"/>
    <w:rsid w:val="003E13D9"/>
    <w:rsid w:val="003E2ABC"/>
    <w:rsid w:val="003E3503"/>
    <w:rsid w:val="003E4917"/>
    <w:rsid w:val="003E5B15"/>
    <w:rsid w:val="003E660E"/>
    <w:rsid w:val="003F07DF"/>
    <w:rsid w:val="003F0CAC"/>
    <w:rsid w:val="003F2FE0"/>
    <w:rsid w:val="003F4C73"/>
    <w:rsid w:val="003F5546"/>
    <w:rsid w:val="00400E86"/>
    <w:rsid w:val="00403D8E"/>
    <w:rsid w:val="004052C6"/>
    <w:rsid w:val="0040665B"/>
    <w:rsid w:val="004076B4"/>
    <w:rsid w:val="004078DA"/>
    <w:rsid w:val="00407B45"/>
    <w:rsid w:val="00407DBE"/>
    <w:rsid w:val="00410D8A"/>
    <w:rsid w:val="00412EBC"/>
    <w:rsid w:val="00415822"/>
    <w:rsid w:val="00417C61"/>
    <w:rsid w:val="00421680"/>
    <w:rsid w:val="00423851"/>
    <w:rsid w:val="0042482D"/>
    <w:rsid w:val="004253D8"/>
    <w:rsid w:val="0042622F"/>
    <w:rsid w:val="0042678A"/>
    <w:rsid w:val="0042685C"/>
    <w:rsid w:val="00431C9A"/>
    <w:rsid w:val="00432143"/>
    <w:rsid w:val="00434019"/>
    <w:rsid w:val="00434607"/>
    <w:rsid w:val="0044046E"/>
    <w:rsid w:val="00442522"/>
    <w:rsid w:val="004438BE"/>
    <w:rsid w:val="004500C0"/>
    <w:rsid w:val="0045112D"/>
    <w:rsid w:val="004533F3"/>
    <w:rsid w:val="004541A7"/>
    <w:rsid w:val="00455E6A"/>
    <w:rsid w:val="00456FEF"/>
    <w:rsid w:val="00461BB6"/>
    <w:rsid w:val="00472CA4"/>
    <w:rsid w:val="00473BE9"/>
    <w:rsid w:val="004748F1"/>
    <w:rsid w:val="00477960"/>
    <w:rsid w:val="00480DA5"/>
    <w:rsid w:val="0048201B"/>
    <w:rsid w:val="00485E60"/>
    <w:rsid w:val="00490164"/>
    <w:rsid w:val="0049725C"/>
    <w:rsid w:val="004973F6"/>
    <w:rsid w:val="004A0EE5"/>
    <w:rsid w:val="004A2AC2"/>
    <w:rsid w:val="004A2F7D"/>
    <w:rsid w:val="004A3177"/>
    <w:rsid w:val="004A4006"/>
    <w:rsid w:val="004A4888"/>
    <w:rsid w:val="004A593D"/>
    <w:rsid w:val="004A5B72"/>
    <w:rsid w:val="004A5BAA"/>
    <w:rsid w:val="004A6851"/>
    <w:rsid w:val="004B0B58"/>
    <w:rsid w:val="004B2125"/>
    <w:rsid w:val="004B26A5"/>
    <w:rsid w:val="004B27EF"/>
    <w:rsid w:val="004B2ABE"/>
    <w:rsid w:val="004B3BA9"/>
    <w:rsid w:val="004B3D22"/>
    <w:rsid w:val="004B6993"/>
    <w:rsid w:val="004C3F90"/>
    <w:rsid w:val="004C51A3"/>
    <w:rsid w:val="004C7BE2"/>
    <w:rsid w:val="004D0DD9"/>
    <w:rsid w:val="004D17BF"/>
    <w:rsid w:val="004D2DFD"/>
    <w:rsid w:val="004D4CE6"/>
    <w:rsid w:val="004E2BCE"/>
    <w:rsid w:val="004E3ADB"/>
    <w:rsid w:val="004E4FFD"/>
    <w:rsid w:val="004E7E15"/>
    <w:rsid w:val="004F17FD"/>
    <w:rsid w:val="004F2AE3"/>
    <w:rsid w:val="004F5AD6"/>
    <w:rsid w:val="005031EB"/>
    <w:rsid w:val="005048A0"/>
    <w:rsid w:val="005050DC"/>
    <w:rsid w:val="00512CB0"/>
    <w:rsid w:val="0051440D"/>
    <w:rsid w:val="00514411"/>
    <w:rsid w:val="0051501F"/>
    <w:rsid w:val="005157B8"/>
    <w:rsid w:val="005252D7"/>
    <w:rsid w:val="005313FF"/>
    <w:rsid w:val="005314D4"/>
    <w:rsid w:val="00533BF9"/>
    <w:rsid w:val="0053400C"/>
    <w:rsid w:val="00534408"/>
    <w:rsid w:val="00542182"/>
    <w:rsid w:val="0054434A"/>
    <w:rsid w:val="00545A2B"/>
    <w:rsid w:val="00546099"/>
    <w:rsid w:val="00546395"/>
    <w:rsid w:val="00547C21"/>
    <w:rsid w:val="0055151A"/>
    <w:rsid w:val="00554217"/>
    <w:rsid w:val="00560A76"/>
    <w:rsid w:val="00561B06"/>
    <w:rsid w:val="00563334"/>
    <w:rsid w:val="00564626"/>
    <w:rsid w:val="00571706"/>
    <w:rsid w:val="0057348B"/>
    <w:rsid w:val="00573EF6"/>
    <w:rsid w:val="00574280"/>
    <w:rsid w:val="00575D2D"/>
    <w:rsid w:val="00576BA9"/>
    <w:rsid w:val="005800BB"/>
    <w:rsid w:val="005817DA"/>
    <w:rsid w:val="005818C5"/>
    <w:rsid w:val="0058267A"/>
    <w:rsid w:val="00582AFB"/>
    <w:rsid w:val="0058407C"/>
    <w:rsid w:val="005841A2"/>
    <w:rsid w:val="00584B1F"/>
    <w:rsid w:val="00584D7A"/>
    <w:rsid w:val="00585713"/>
    <w:rsid w:val="00585B5C"/>
    <w:rsid w:val="00585B7B"/>
    <w:rsid w:val="00585F44"/>
    <w:rsid w:val="005872A0"/>
    <w:rsid w:val="00587EE3"/>
    <w:rsid w:val="00590968"/>
    <w:rsid w:val="00590E48"/>
    <w:rsid w:val="00595E23"/>
    <w:rsid w:val="00596049"/>
    <w:rsid w:val="00596173"/>
    <w:rsid w:val="00597B58"/>
    <w:rsid w:val="005A1A46"/>
    <w:rsid w:val="005A3A5D"/>
    <w:rsid w:val="005A3F41"/>
    <w:rsid w:val="005A6BE9"/>
    <w:rsid w:val="005A6F4D"/>
    <w:rsid w:val="005A745A"/>
    <w:rsid w:val="005B26EE"/>
    <w:rsid w:val="005B698A"/>
    <w:rsid w:val="005B6E89"/>
    <w:rsid w:val="005C0880"/>
    <w:rsid w:val="005C20BA"/>
    <w:rsid w:val="005C2D32"/>
    <w:rsid w:val="005C328D"/>
    <w:rsid w:val="005C449B"/>
    <w:rsid w:val="005C51F7"/>
    <w:rsid w:val="005C5375"/>
    <w:rsid w:val="005D0CCA"/>
    <w:rsid w:val="005D4773"/>
    <w:rsid w:val="005D673E"/>
    <w:rsid w:val="005E3FF4"/>
    <w:rsid w:val="005F1474"/>
    <w:rsid w:val="005F1D4A"/>
    <w:rsid w:val="005F74CB"/>
    <w:rsid w:val="00606E60"/>
    <w:rsid w:val="006073DD"/>
    <w:rsid w:val="00610070"/>
    <w:rsid w:val="006103E3"/>
    <w:rsid w:val="00610950"/>
    <w:rsid w:val="00610EDC"/>
    <w:rsid w:val="006129AE"/>
    <w:rsid w:val="00615612"/>
    <w:rsid w:val="0061705B"/>
    <w:rsid w:val="00617512"/>
    <w:rsid w:val="00623EBD"/>
    <w:rsid w:val="00626270"/>
    <w:rsid w:val="00627B72"/>
    <w:rsid w:val="00631111"/>
    <w:rsid w:val="00631EDD"/>
    <w:rsid w:val="00633A66"/>
    <w:rsid w:val="0063408E"/>
    <w:rsid w:val="0063478F"/>
    <w:rsid w:val="00635D70"/>
    <w:rsid w:val="00643DF1"/>
    <w:rsid w:val="00644EFF"/>
    <w:rsid w:val="0064743C"/>
    <w:rsid w:val="00651621"/>
    <w:rsid w:val="00651CFB"/>
    <w:rsid w:val="00652AE3"/>
    <w:rsid w:val="006553CA"/>
    <w:rsid w:val="00661A4C"/>
    <w:rsid w:val="006643F8"/>
    <w:rsid w:val="00665C89"/>
    <w:rsid w:val="006670BA"/>
    <w:rsid w:val="00667455"/>
    <w:rsid w:val="0067025A"/>
    <w:rsid w:val="006708C7"/>
    <w:rsid w:val="0067468B"/>
    <w:rsid w:val="00674B91"/>
    <w:rsid w:val="006761EF"/>
    <w:rsid w:val="00677E9A"/>
    <w:rsid w:val="006818E2"/>
    <w:rsid w:val="00683C76"/>
    <w:rsid w:val="0068455C"/>
    <w:rsid w:val="00684BA3"/>
    <w:rsid w:val="00691EC7"/>
    <w:rsid w:val="00695B8B"/>
    <w:rsid w:val="006A3F7C"/>
    <w:rsid w:val="006A4BFE"/>
    <w:rsid w:val="006A5597"/>
    <w:rsid w:val="006A6DF5"/>
    <w:rsid w:val="006A76A7"/>
    <w:rsid w:val="006B1269"/>
    <w:rsid w:val="006B2DBD"/>
    <w:rsid w:val="006B4640"/>
    <w:rsid w:val="006B655B"/>
    <w:rsid w:val="006C1F97"/>
    <w:rsid w:val="006C31A0"/>
    <w:rsid w:val="006C3584"/>
    <w:rsid w:val="006C370D"/>
    <w:rsid w:val="006C4656"/>
    <w:rsid w:val="006C64A3"/>
    <w:rsid w:val="006D0300"/>
    <w:rsid w:val="006D5BFD"/>
    <w:rsid w:val="006D68AE"/>
    <w:rsid w:val="006D6D26"/>
    <w:rsid w:val="006E39E8"/>
    <w:rsid w:val="006F0EAC"/>
    <w:rsid w:val="006F157C"/>
    <w:rsid w:val="006F24FF"/>
    <w:rsid w:val="006F32B6"/>
    <w:rsid w:val="006F55D2"/>
    <w:rsid w:val="006F5772"/>
    <w:rsid w:val="006F5FDE"/>
    <w:rsid w:val="006F789A"/>
    <w:rsid w:val="00703C0B"/>
    <w:rsid w:val="00704933"/>
    <w:rsid w:val="00707D77"/>
    <w:rsid w:val="00710A80"/>
    <w:rsid w:val="007123A3"/>
    <w:rsid w:val="0071546D"/>
    <w:rsid w:val="0072170A"/>
    <w:rsid w:val="00722687"/>
    <w:rsid w:val="00725684"/>
    <w:rsid w:val="0072609B"/>
    <w:rsid w:val="00726A6C"/>
    <w:rsid w:val="00732357"/>
    <w:rsid w:val="00732ACA"/>
    <w:rsid w:val="00735404"/>
    <w:rsid w:val="00737D56"/>
    <w:rsid w:val="00740A4B"/>
    <w:rsid w:val="00741A21"/>
    <w:rsid w:val="00745485"/>
    <w:rsid w:val="00752444"/>
    <w:rsid w:val="00756638"/>
    <w:rsid w:val="00756DF0"/>
    <w:rsid w:val="00761110"/>
    <w:rsid w:val="00765B38"/>
    <w:rsid w:val="0076600C"/>
    <w:rsid w:val="0076651E"/>
    <w:rsid w:val="00766CEC"/>
    <w:rsid w:val="007676F7"/>
    <w:rsid w:val="00770DF3"/>
    <w:rsid w:val="00773314"/>
    <w:rsid w:val="00776849"/>
    <w:rsid w:val="0077757D"/>
    <w:rsid w:val="00777E43"/>
    <w:rsid w:val="007810A7"/>
    <w:rsid w:val="0078554C"/>
    <w:rsid w:val="00787A9D"/>
    <w:rsid w:val="00792696"/>
    <w:rsid w:val="00793FE0"/>
    <w:rsid w:val="00796DE7"/>
    <w:rsid w:val="00797398"/>
    <w:rsid w:val="00797FDC"/>
    <w:rsid w:val="007A31A0"/>
    <w:rsid w:val="007A3405"/>
    <w:rsid w:val="007A457F"/>
    <w:rsid w:val="007A6681"/>
    <w:rsid w:val="007B047D"/>
    <w:rsid w:val="007B3E22"/>
    <w:rsid w:val="007B407D"/>
    <w:rsid w:val="007B5447"/>
    <w:rsid w:val="007B5686"/>
    <w:rsid w:val="007B7EF5"/>
    <w:rsid w:val="007C150C"/>
    <w:rsid w:val="007C295E"/>
    <w:rsid w:val="007C313E"/>
    <w:rsid w:val="007C331A"/>
    <w:rsid w:val="007C5190"/>
    <w:rsid w:val="007C5832"/>
    <w:rsid w:val="007D09B6"/>
    <w:rsid w:val="007D2C52"/>
    <w:rsid w:val="007D2E4A"/>
    <w:rsid w:val="007D688B"/>
    <w:rsid w:val="007D7F1B"/>
    <w:rsid w:val="007E01D1"/>
    <w:rsid w:val="007E1082"/>
    <w:rsid w:val="007E5CBB"/>
    <w:rsid w:val="007E6072"/>
    <w:rsid w:val="007E70A1"/>
    <w:rsid w:val="007F387A"/>
    <w:rsid w:val="007F4F77"/>
    <w:rsid w:val="00800AC4"/>
    <w:rsid w:val="00802728"/>
    <w:rsid w:val="00805489"/>
    <w:rsid w:val="008058F6"/>
    <w:rsid w:val="00805DEB"/>
    <w:rsid w:val="00806F8A"/>
    <w:rsid w:val="00810618"/>
    <w:rsid w:val="008117D2"/>
    <w:rsid w:val="00814D8F"/>
    <w:rsid w:val="0081664A"/>
    <w:rsid w:val="00823A7A"/>
    <w:rsid w:val="00823E87"/>
    <w:rsid w:val="0083048A"/>
    <w:rsid w:val="00834846"/>
    <w:rsid w:val="0083575E"/>
    <w:rsid w:val="0083596E"/>
    <w:rsid w:val="00840637"/>
    <w:rsid w:val="008438F6"/>
    <w:rsid w:val="00845EB6"/>
    <w:rsid w:val="00846AAE"/>
    <w:rsid w:val="008470B6"/>
    <w:rsid w:val="00847671"/>
    <w:rsid w:val="00851508"/>
    <w:rsid w:val="0085405E"/>
    <w:rsid w:val="00855F43"/>
    <w:rsid w:val="00856113"/>
    <w:rsid w:val="008623D2"/>
    <w:rsid w:val="00865659"/>
    <w:rsid w:val="00872ED2"/>
    <w:rsid w:val="008737C3"/>
    <w:rsid w:val="00875861"/>
    <w:rsid w:val="00880452"/>
    <w:rsid w:val="00881AEA"/>
    <w:rsid w:val="008822AC"/>
    <w:rsid w:val="00882F83"/>
    <w:rsid w:val="0088738F"/>
    <w:rsid w:val="00891C21"/>
    <w:rsid w:val="00891C40"/>
    <w:rsid w:val="00891DFE"/>
    <w:rsid w:val="0089332B"/>
    <w:rsid w:val="00895D85"/>
    <w:rsid w:val="008A02C8"/>
    <w:rsid w:val="008A1324"/>
    <w:rsid w:val="008A3DDD"/>
    <w:rsid w:val="008A4FF0"/>
    <w:rsid w:val="008A71B7"/>
    <w:rsid w:val="008B21CA"/>
    <w:rsid w:val="008B29EE"/>
    <w:rsid w:val="008B37E4"/>
    <w:rsid w:val="008B4BAA"/>
    <w:rsid w:val="008B6885"/>
    <w:rsid w:val="008B795E"/>
    <w:rsid w:val="008C078B"/>
    <w:rsid w:val="008C53C5"/>
    <w:rsid w:val="008C5A2E"/>
    <w:rsid w:val="008D0DBB"/>
    <w:rsid w:val="008D2061"/>
    <w:rsid w:val="008D5E14"/>
    <w:rsid w:val="008D61D6"/>
    <w:rsid w:val="008D74B2"/>
    <w:rsid w:val="008E2050"/>
    <w:rsid w:val="008E2CA5"/>
    <w:rsid w:val="008E520A"/>
    <w:rsid w:val="008E5C94"/>
    <w:rsid w:val="008E6EFE"/>
    <w:rsid w:val="008E71EC"/>
    <w:rsid w:val="008E73B3"/>
    <w:rsid w:val="008F3DDA"/>
    <w:rsid w:val="008F4738"/>
    <w:rsid w:val="008F7A44"/>
    <w:rsid w:val="009004CA"/>
    <w:rsid w:val="00901215"/>
    <w:rsid w:val="00901E01"/>
    <w:rsid w:val="00903217"/>
    <w:rsid w:val="00903DE1"/>
    <w:rsid w:val="00906CC8"/>
    <w:rsid w:val="00907CF6"/>
    <w:rsid w:val="00907D14"/>
    <w:rsid w:val="00910C24"/>
    <w:rsid w:val="00913644"/>
    <w:rsid w:val="00913891"/>
    <w:rsid w:val="009147A5"/>
    <w:rsid w:val="009155FB"/>
    <w:rsid w:val="00925929"/>
    <w:rsid w:val="009265A0"/>
    <w:rsid w:val="00926BD3"/>
    <w:rsid w:val="009275AD"/>
    <w:rsid w:val="009303EE"/>
    <w:rsid w:val="00931281"/>
    <w:rsid w:val="0093218A"/>
    <w:rsid w:val="00932C75"/>
    <w:rsid w:val="00937CB3"/>
    <w:rsid w:val="00940048"/>
    <w:rsid w:val="00940F75"/>
    <w:rsid w:val="009413DC"/>
    <w:rsid w:val="00941C54"/>
    <w:rsid w:val="0094350E"/>
    <w:rsid w:val="0094537F"/>
    <w:rsid w:val="009459B2"/>
    <w:rsid w:val="00950579"/>
    <w:rsid w:val="00950828"/>
    <w:rsid w:val="00951819"/>
    <w:rsid w:val="00952FDA"/>
    <w:rsid w:val="009552C3"/>
    <w:rsid w:val="00957930"/>
    <w:rsid w:val="00961294"/>
    <w:rsid w:val="00961DEF"/>
    <w:rsid w:val="00964619"/>
    <w:rsid w:val="00966A1C"/>
    <w:rsid w:val="00967348"/>
    <w:rsid w:val="0097531D"/>
    <w:rsid w:val="00982E15"/>
    <w:rsid w:val="00983223"/>
    <w:rsid w:val="00984888"/>
    <w:rsid w:val="0099104F"/>
    <w:rsid w:val="00991BDF"/>
    <w:rsid w:val="009A01AE"/>
    <w:rsid w:val="009A0B3D"/>
    <w:rsid w:val="009A1124"/>
    <w:rsid w:val="009A1557"/>
    <w:rsid w:val="009A1BAF"/>
    <w:rsid w:val="009A2DDD"/>
    <w:rsid w:val="009A598A"/>
    <w:rsid w:val="009A6486"/>
    <w:rsid w:val="009B5226"/>
    <w:rsid w:val="009B528F"/>
    <w:rsid w:val="009B79D0"/>
    <w:rsid w:val="009C38D4"/>
    <w:rsid w:val="009D0CEE"/>
    <w:rsid w:val="009D3B04"/>
    <w:rsid w:val="009D6AB7"/>
    <w:rsid w:val="009D7DC9"/>
    <w:rsid w:val="009E19EF"/>
    <w:rsid w:val="009E3063"/>
    <w:rsid w:val="009F1E31"/>
    <w:rsid w:val="009F2B34"/>
    <w:rsid w:val="009F3325"/>
    <w:rsid w:val="009F6989"/>
    <w:rsid w:val="009F745A"/>
    <w:rsid w:val="00A00974"/>
    <w:rsid w:val="00A06C7B"/>
    <w:rsid w:val="00A1574D"/>
    <w:rsid w:val="00A15BD1"/>
    <w:rsid w:val="00A16C74"/>
    <w:rsid w:val="00A17E6C"/>
    <w:rsid w:val="00A236CF"/>
    <w:rsid w:val="00A25CF9"/>
    <w:rsid w:val="00A2726A"/>
    <w:rsid w:val="00A27288"/>
    <w:rsid w:val="00A3111F"/>
    <w:rsid w:val="00A3312A"/>
    <w:rsid w:val="00A350FB"/>
    <w:rsid w:val="00A374ED"/>
    <w:rsid w:val="00A4047F"/>
    <w:rsid w:val="00A41053"/>
    <w:rsid w:val="00A41A08"/>
    <w:rsid w:val="00A44C95"/>
    <w:rsid w:val="00A45593"/>
    <w:rsid w:val="00A505EE"/>
    <w:rsid w:val="00A5251C"/>
    <w:rsid w:val="00A52EFF"/>
    <w:rsid w:val="00A54327"/>
    <w:rsid w:val="00A569D6"/>
    <w:rsid w:val="00A575CA"/>
    <w:rsid w:val="00A616F3"/>
    <w:rsid w:val="00A6187F"/>
    <w:rsid w:val="00A65157"/>
    <w:rsid w:val="00A70658"/>
    <w:rsid w:val="00A71E56"/>
    <w:rsid w:val="00A722FF"/>
    <w:rsid w:val="00A72C0B"/>
    <w:rsid w:val="00A7407D"/>
    <w:rsid w:val="00A80CC9"/>
    <w:rsid w:val="00A812C1"/>
    <w:rsid w:val="00A8414B"/>
    <w:rsid w:val="00A85CE0"/>
    <w:rsid w:val="00A8677F"/>
    <w:rsid w:val="00A97627"/>
    <w:rsid w:val="00AA1407"/>
    <w:rsid w:val="00AA2829"/>
    <w:rsid w:val="00AA5683"/>
    <w:rsid w:val="00AA6EA0"/>
    <w:rsid w:val="00AC1630"/>
    <w:rsid w:val="00AC30E9"/>
    <w:rsid w:val="00AC3763"/>
    <w:rsid w:val="00AC5D83"/>
    <w:rsid w:val="00AD05F6"/>
    <w:rsid w:val="00AD1512"/>
    <w:rsid w:val="00AD185F"/>
    <w:rsid w:val="00AD1BFC"/>
    <w:rsid w:val="00AD367E"/>
    <w:rsid w:val="00AD6CED"/>
    <w:rsid w:val="00AE1556"/>
    <w:rsid w:val="00AE1762"/>
    <w:rsid w:val="00AE67F8"/>
    <w:rsid w:val="00AF03A4"/>
    <w:rsid w:val="00AF121E"/>
    <w:rsid w:val="00AF3F9C"/>
    <w:rsid w:val="00AF63C1"/>
    <w:rsid w:val="00B004EE"/>
    <w:rsid w:val="00B03B6F"/>
    <w:rsid w:val="00B03D8F"/>
    <w:rsid w:val="00B053B1"/>
    <w:rsid w:val="00B05D56"/>
    <w:rsid w:val="00B06A78"/>
    <w:rsid w:val="00B11215"/>
    <w:rsid w:val="00B13580"/>
    <w:rsid w:val="00B13E07"/>
    <w:rsid w:val="00B14876"/>
    <w:rsid w:val="00B17B05"/>
    <w:rsid w:val="00B25FAA"/>
    <w:rsid w:val="00B2692B"/>
    <w:rsid w:val="00B30220"/>
    <w:rsid w:val="00B31310"/>
    <w:rsid w:val="00B315AA"/>
    <w:rsid w:val="00B3381F"/>
    <w:rsid w:val="00B36870"/>
    <w:rsid w:val="00B379F9"/>
    <w:rsid w:val="00B37CBC"/>
    <w:rsid w:val="00B412EB"/>
    <w:rsid w:val="00B41DB3"/>
    <w:rsid w:val="00B50CCD"/>
    <w:rsid w:val="00B5248F"/>
    <w:rsid w:val="00B52543"/>
    <w:rsid w:val="00B53DA1"/>
    <w:rsid w:val="00B54ABC"/>
    <w:rsid w:val="00B57CE0"/>
    <w:rsid w:val="00B61196"/>
    <w:rsid w:val="00B623E1"/>
    <w:rsid w:val="00B649A3"/>
    <w:rsid w:val="00B6596F"/>
    <w:rsid w:val="00B667D3"/>
    <w:rsid w:val="00B67E5B"/>
    <w:rsid w:val="00B70073"/>
    <w:rsid w:val="00B838ED"/>
    <w:rsid w:val="00B90565"/>
    <w:rsid w:val="00B94B2B"/>
    <w:rsid w:val="00B95BC3"/>
    <w:rsid w:val="00B973CB"/>
    <w:rsid w:val="00BA08DC"/>
    <w:rsid w:val="00BA0AB8"/>
    <w:rsid w:val="00BA39AA"/>
    <w:rsid w:val="00BA4D1F"/>
    <w:rsid w:val="00BB3332"/>
    <w:rsid w:val="00BB37A6"/>
    <w:rsid w:val="00BB3E6C"/>
    <w:rsid w:val="00BB6276"/>
    <w:rsid w:val="00BB6FDA"/>
    <w:rsid w:val="00BB787E"/>
    <w:rsid w:val="00BB78FD"/>
    <w:rsid w:val="00BC13DA"/>
    <w:rsid w:val="00BC4B2B"/>
    <w:rsid w:val="00BC66CB"/>
    <w:rsid w:val="00BD24E3"/>
    <w:rsid w:val="00BD2519"/>
    <w:rsid w:val="00BD65E0"/>
    <w:rsid w:val="00BE1039"/>
    <w:rsid w:val="00BE34BF"/>
    <w:rsid w:val="00BE3569"/>
    <w:rsid w:val="00BE3A67"/>
    <w:rsid w:val="00BE5461"/>
    <w:rsid w:val="00BE79F4"/>
    <w:rsid w:val="00BF242C"/>
    <w:rsid w:val="00BF347B"/>
    <w:rsid w:val="00BF3DC8"/>
    <w:rsid w:val="00BF41B0"/>
    <w:rsid w:val="00BF5025"/>
    <w:rsid w:val="00C004A1"/>
    <w:rsid w:val="00C02319"/>
    <w:rsid w:val="00C042CC"/>
    <w:rsid w:val="00C0584E"/>
    <w:rsid w:val="00C06DCD"/>
    <w:rsid w:val="00C10682"/>
    <w:rsid w:val="00C1196D"/>
    <w:rsid w:val="00C17348"/>
    <w:rsid w:val="00C17DD5"/>
    <w:rsid w:val="00C22022"/>
    <w:rsid w:val="00C2274C"/>
    <w:rsid w:val="00C2295E"/>
    <w:rsid w:val="00C2336C"/>
    <w:rsid w:val="00C23C81"/>
    <w:rsid w:val="00C2436B"/>
    <w:rsid w:val="00C342F2"/>
    <w:rsid w:val="00C34319"/>
    <w:rsid w:val="00C3494E"/>
    <w:rsid w:val="00C372F0"/>
    <w:rsid w:val="00C41E6F"/>
    <w:rsid w:val="00C44DD9"/>
    <w:rsid w:val="00C47C4D"/>
    <w:rsid w:val="00C507DB"/>
    <w:rsid w:val="00C508AA"/>
    <w:rsid w:val="00C52F19"/>
    <w:rsid w:val="00C5480F"/>
    <w:rsid w:val="00C549AC"/>
    <w:rsid w:val="00C55644"/>
    <w:rsid w:val="00C55A7D"/>
    <w:rsid w:val="00C6676D"/>
    <w:rsid w:val="00C66C69"/>
    <w:rsid w:val="00C70597"/>
    <w:rsid w:val="00C70AEF"/>
    <w:rsid w:val="00C720B0"/>
    <w:rsid w:val="00C728F0"/>
    <w:rsid w:val="00C74641"/>
    <w:rsid w:val="00C74723"/>
    <w:rsid w:val="00C7533C"/>
    <w:rsid w:val="00C7582C"/>
    <w:rsid w:val="00C758AD"/>
    <w:rsid w:val="00C76506"/>
    <w:rsid w:val="00C80D87"/>
    <w:rsid w:val="00C810E0"/>
    <w:rsid w:val="00C81883"/>
    <w:rsid w:val="00C867C8"/>
    <w:rsid w:val="00C9099E"/>
    <w:rsid w:val="00C921C7"/>
    <w:rsid w:val="00C94199"/>
    <w:rsid w:val="00C956A7"/>
    <w:rsid w:val="00CA5A4B"/>
    <w:rsid w:val="00CB45AC"/>
    <w:rsid w:val="00CB75A9"/>
    <w:rsid w:val="00CC01AC"/>
    <w:rsid w:val="00CC2407"/>
    <w:rsid w:val="00CC5B33"/>
    <w:rsid w:val="00CC6E88"/>
    <w:rsid w:val="00CC79B4"/>
    <w:rsid w:val="00CC7A72"/>
    <w:rsid w:val="00CD12DF"/>
    <w:rsid w:val="00CD2B27"/>
    <w:rsid w:val="00CD4BE2"/>
    <w:rsid w:val="00CD6B14"/>
    <w:rsid w:val="00CE3AAE"/>
    <w:rsid w:val="00CF0835"/>
    <w:rsid w:val="00CF6FB0"/>
    <w:rsid w:val="00CF7E25"/>
    <w:rsid w:val="00D014B8"/>
    <w:rsid w:val="00D01FD3"/>
    <w:rsid w:val="00D06A1B"/>
    <w:rsid w:val="00D118A0"/>
    <w:rsid w:val="00D118D5"/>
    <w:rsid w:val="00D157FB"/>
    <w:rsid w:val="00D1697E"/>
    <w:rsid w:val="00D214D2"/>
    <w:rsid w:val="00D252CC"/>
    <w:rsid w:val="00D26116"/>
    <w:rsid w:val="00D26F6B"/>
    <w:rsid w:val="00D2729F"/>
    <w:rsid w:val="00D31C85"/>
    <w:rsid w:val="00D32DD3"/>
    <w:rsid w:val="00D33701"/>
    <w:rsid w:val="00D3402A"/>
    <w:rsid w:val="00D34E3C"/>
    <w:rsid w:val="00D351FD"/>
    <w:rsid w:val="00D376CA"/>
    <w:rsid w:val="00D426CA"/>
    <w:rsid w:val="00D4323C"/>
    <w:rsid w:val="00D439CB"/>
    <w:rsid w:val="00D463E7"/>
    <w:rsid w:val="00D47AF3"/>
    <w:rsid w:val="00D47EB4"/>
    <w:rsid w:val="00D50C94"/>
    <w:rsid w:val="00D52413"/>
    <w:rsid w:val="00D54EB5"/>
    <w:rsid w:val="00D55946"/>
    <w:rsid w:val="00D57D32"/>
    <w:rsid w:val="00D61EEA"/>
    <w:rsid w:val="00D63EF1"/>
    <w:rsid w:val="00D649B4"/>
    <w:rsid w:val="00D70F9A"/>
    <w:rsid w:val="00D73CCE"/>
    <w:rsid w:val="00D740AD"/>
    <w:rsid w:val="00D74743"/>
    <w:rsid w:val="00D84F2A"/>
    <w:rsid w:val="00D85378"/>
    <w:rsid w:val="00D86CB7"/>
    <w:rsid w:val="00D87E81"/>
    <w:rsid w:val="00D92B21"/>
    <w:rsid w:val="00D94A8B"/>
    <w:rsid w:val="00D97DA6"/>
    <w:rsid w:val="00DA4C9A"/>
    <w:rsid w:val="00DA5748"/>
    <w:rsid w:val="00DA5811"/>
    <w:rsid w:val="00DA5ECD"/>
    <w:rsid w:val="00DA7A34"/>
    <w:rsid w:val="00DB081A"/>
    <w:rsid w:val="00DB142C"/>
    <w:rsid w:val="00DB30A7"/>
    <w:rsid w:val="00DC1D7D"/>
    <w:rsid w:val="00DC2DAE"/>
    <w:rsid w:val="00DC3881"/>
    <w:rsid w:val="00DC4092"/>
    <w:rsid w:val="00DC7AEE"/>
    <w:rsid w:val="00DD040F"/>
    <w:rsid w:val="00DD0A29"/>
    <w:rsid w:val="00DD27A4"/>
    <w:rsid w:val="00DD5A74"/>
    <w:rsid w:val="00DD67B9"/>
    <w:rsid w:val="00DD713D"/>
    <w:rsid w:val="00DE1A7A"/>
    <w:rsid w:val="00DE1CA8"/>
    <w:rsid w:val="00DE5B86"/>
    <w:rsid w:val="00DE7AC6"/>
    <w:rsid w:val="00DF2A3D"/>
    <w:rsid w:val="00DF3D60"/>
    <w:rsid w:val="00DF5102"/>
    <w:rsid w:val="00DF63FF"/>
    <w:rsid w:val="00DF72A8"/>
    <w:rsid w:val="00DF78B9"/>
    <w:rsid w:val="00E00D84"/>
    <w:rsid w:val="00E04199"/>
    <w:rsid w:val="00E07FF3"/>
    <w:rsid w:val="00E1118D"/>
    <w:rsid w:val="00E13297"/>
    <w:rsid w:val="00E13E1C"/>
    <w:rsid w:val="00E13E3E"/>
    <w:rsid w:val="00E17FFD"/>
    <w:rsid w:val="00E22CEB"/>
    <w:rsid w:val="00E23A8A"/>
    <w:rsid w:val="00E250C5"/>
    <w:rsid w:val="00E2572A"/>
    <w:rsid w:val="00E27F32"/>
    <w:rsid w:val="00E310CE"/>
    <w:rsid w:val="00E31416"/>
    <w:rsid w:val="00E317E9"/>
    <w:rsid w:val="00E3677D"/>
    <w:rsid w:val="00E36ACA"/>
    <w:rsid w:val="00E37CE1"/>
    <w:rsid w:val="00E433F7"/>
    <w:rsid w:val="00E4653F"/>
    <w:rsid w:val="00E4666E"/>
    <w:rsid w:val="00E52D6A"/>
    <w:rsid w:val="00E541E8"/>
    <w:rsid w:val="00E543F2"/>
    <w:rsid w:val="00E548DE"/>
    <w:rsid w:val="00E571AA"/>
    <w:rsid w:val="00E60CF1"/>
    <w:rsid w:val="00E64F72"/>
    <w:rsid w:val="00E652C0"/>
    <w:rsid w:val="00E70CAE"/>
    <w:rsid w:val="00E72465"/>
    <w:rsid w:val="00E74100"/>
    <w:rsid w:val="00E74E17"/>
    <w:rsid w:val="00E80531"/>
    <w:rsid w:val="00E80DA0"/>
    <w:rsid w:val="00E81C9E"/>
    <w:rsid w:val="00E832A3"/>
    <w:rsid w:val="00E84267"/>
    <w:rsid w:val="00E847C6"/>
    <w:rsid w:val="00E85816"/>
    <w:rsid w:val="00E86DE4"/>
    <w:rsid w:val="00E86FFE"/>
    <w:rsid w:val="00E957DE"/>
    <w:rsid w:val="00EA2238"/>
    <w:rsid w:val="00EA51DC"/>
    <w:rsid w:val="00EA5E76"/>
    <w:rsid w:val="00EA6C68"/>
    <w:rsid w:val="00EB11B8"/>
    <w:rsid w:val="00EC2268"/>
    <w:rsid w:val="00EC242C"/>
    <w:rsid w:val="00EC4A86"/>
    <w:rsid w:val="00EC5070"/>
    <w:rsid w:val="00EC6C3F"/>
    <w:rsid w:val="00EC72E5"/>
    <w:rsid w:val="00ED1153"/>
    <w:rsid w:val="00ED165D"/>
    <w:rsid w:val="00ED2DA6"/>
    <w:rsid w:val="00EE0D7E"/>
    <w:rsid w:val="00EE52A3"/>
    <w:rsid w:val="00EE53BE"/>
    <w:rsid w:val="00EE589D"/>
    <w:rsid w:val="00EE651E"/>
    <w:rsid w:val="00EE66D4"/>
    <w:rsid w:val="00EE69E4"/>
    <w:rsid w:val="00EF0C5C"/>
    <w:rsid w:val="00EF10D5"/>
    <w:rsid w:val="00EF11B3"/>
    <w:rsid w:val="00EF23C9"/>
    <w:rsid w:val="00EF27C1"/>
    <w:rsid w:val="00EF2BDA"/>
    <w:rsid w:val="00EF465B"/>
    <w:rsid w:val="00EF4C5C"/>
    <w:rsid w:val="00EF547A"/>
    <w:rsid w:val="00EF6B91"/>
    <w:rsid w:val="00F004E8"/>
    <w:rsid w:val="00F02000"/>
    <w:rsid w:val="00F03997"/>
    <w:rsid w:val="00F03C2F"/>
    <w:rsid w:val="00F04C25"/>
    <w:rsid w:val="00F04E99"/>
    <w:rsid w:val="00F06069"/>
    <w:rsid w:val="00F12640"/>
    <w:rsid w:val="00F14F94"/>
    <w:rsid w:val="00F15136"/>
    <w:rsid w:val="00F15311"/>
    <w:rsid w:val="00F1546D"/>
    <w:rsid w:val="00F15FC5"/>
    <w:rsid w:val="00F20DB6"/>
    <w:rsid w:val="00F21637"/>
    <w:rsid w:val="00F22467"/>
    <w:rsid w:val="00F2497E"/>
    <w:rsid w:val="00F323AC"/>
    <w:rsid w:val="00F32AC4"/>
    <w:rsid w:val="00F34879"/>
    <w:rsid w:val="00F36F60"/>
    <w:rsid w:val="00F401B4"/>
    <w:rsid w:val="00F42B9E"/>
    <w:rsid w:val="00F4370E"/>
    <w:rsid w:val="00F43911"/>
    <w:rsid w:val="00F44539"/>
    <w:rsid w:val="00F46542"/>
    <w:rsid w:val="00F523B9"/>
    <w:rsid w:val="00F527EF"/>
    <w:rsid w:val="00F53069"/>
    <w:rsid w:val="00F542E6"/>
    <w:rsid w:val="00F5543C"/>
    <w:rsid w:val="00F56C8C"/>
    <w:rsid w:val="00F572C4"/>
    <w:rsid w:val="00F60DCE"/>
    <w:rsid w:val="00F65108"/>
    <w:rsid w:val="00F6657D"/>
    <w:rsid w:val="00F72129"/>
    <w:rsid w:val="00F72871"/>
    <w:rsid w:val="00F757B9"/>
    <w:rsid w:val="00F760CF"/>
    <w:rsid w:val="00F80716"/>
    <w:rsid w:val="00F82218"/>
    <w:rsid w:val="00F83631"/>
    <w:rsid w:val="00F87B23"/>
    <w:rsid w:val="00F94785"/>
    <w:rsid w:val="00F94A16"/>
    <w:rsid w:val="00F94C6C"/>
    <w:rsid w:val="00F95A7B"/>
    <w:rsid w:val="00FA0E3D"/>
    <w:rsid w:val="00FA11C2"/>
    <w:rsid w:val="00FA185E"/>
    <w:rsid w:val="00FA2275"/>
    <w:rsid w:val="00FA2F9B"/>
    <w:rsid w:val="00FA37B7"/>
    <w:rsid w:val="00FA4140"/>
    <w:rsid w:val="00FA698C"/>
    <w:rsid w:val="00FA6F08"/>
    <w:rsid w:val="00FB118E"/>
    <w:rsid w:val="00FB1865"/>
    <w:rsid w:val="00FB24FF"/>
    <w:rsid w:val="00FB6BC8"/>
    <w:rsid w:val="00FC1665"/>
    <w:rsid w:val="00FC1E42"/>
    <w:rsid w:val="00FC55D5"/>
    <w:rsid w:val="00FD016B"/>
    <w:rsid w:val="00FD01C2"/>
    <w:rsid w:val="00FD6284"/>
    <w:rsid w:val="00FE1AD4"/>
    <w:rsid w:val="00FE1C62"/>
    <w:rsid w:val="00FE7214"/>
    <w:rsid w:val="00FF01FE"/>
    <w:rsid w:val="00FF0AD8"/>
    <w:rsid w:val="00FF5B2E"/>
    <w:rsid w:val="00FF6AE5"/>
    <w:rsid w:val="00FF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C53A2D"/>
  <w15:chartTrackingRefBased/>
  <w15:docId w15:val="{6CB93D83-6E0A-4D4A-9783-34757ADB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D77"/>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uiPriority w:val="99"/>
    <w:rsid w:val="00D2729F"/>
    <w:pPr>
      <w:spacing w:after="120"/>
    </w:pPr>
    <w:rPr>
      <w:sz w:val="16"/>
      <w:szCs w:val="16"/>
      <w:lang w:val="es-ES"/>
    </w:rPr>
  </w:style>
  <w:style w:type="character" w:customStyle="1" w:styleId="Textoindependiente3Car">
    <w:name w:val="Texto independiente 3 Car"/>
    <w:link w:val="Textoindependiente3"/>
    <w:uiPriority w:val="99"/>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rsid w:val="00DF78B9"/>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245048"/>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AC618-28FF-479A-8ADC-6A6D35AF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D28D6-A8F1-427F-AB83-340C93291304}">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C83FB0CE-BBF9-41B2-A4B5-ADD4E1B4010C}">
  <ds:schemaRefs>
    <ds:schemaRef ds:uri="http://schemas.openxmlformats.org/officeDocument/2006/bibliography"/>
  </ds:schemaRefs>
</ds:datastoreItem>
</file>

<file path=customXml/itemProps4.xml><?xml version="1.0" encoding="utf-8"?>
<ds:datastoreItem xmlns:ds="http://schemas.openxmlformats.org/officeDocument/2006/customXml" ds:itemID="{8EB71023-C271-40AF-AB38-7AE477FDE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3907</Words>
  <Characters>21492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10</cp:revision>
  <cp:lastPrinted>2019-11-12T18:23:00Z</cp:lastPrinted>
  <dcterms:created xsi:type="dcterms:W3CDTF">2025-05-21T18:48:00Z</dcterms:created>
  <dcterms:modified xsi:type="dcterms:W3CDTF">2025-07-02T20:15:00Z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