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23C" w:rsidRDefault="00BA623C">
      <w:pPr>
        <w:pStyle w:val="Textoindependiente"/>
        <w:spacing w:before="2"/>
        <w:rPr>
          <w:rFonts w:ascii="Times New Roman"/>
          <w:sz w:val="27"/>
        </w:rPr>
      </w:pPr>
      <w:bookmarkStart w:id="0" w:name="_GoBack"/>
      <w:bookmarkEnd w:id="0"/>
    </w:p>
    <w:p w:rsidR="00BA623C" w:rsidRDefault="00B327D9">
      <w:pPr>
        <w:pStyle w:val="Ttulo1"/>
        <w:spacing w:before="91"/>
        <w:ind w:left="4248"/>
        <w:rPr>
          <w:rFonts w:ascii="Times New Roman"/>
        </w:rPr>
      </w:pPr>
      <w:r>
        <w:rPr>
          <w:noProof/>
          <w:lang w:eastAsia="es-ES"/>
        </w:rPr>
        <w:drawing>
          <wp:anchor distT="0" distB="0" distL="0" distR="0" simplePos="0" relativeHeight="15728640" behindDoc="0" locked="0" layoutInCell="1" allowOverlap="1">
            <wp:simplePos x="0" y="0"/>
            <wp:positionH relativeFrom="page">
              <wp:posOffset>228600</wp:posOffset>
            </wp:positionH>
            <wp:positionV relativeFrom="paragraph">
              <wp:posOffset>-200411</wp:posOffset>
            </wp:positionV>
            <wp:extent cx="2368891" cy="7893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68891" cy="789304"/>
                    </a:xfrm>
                    <a:prstGeom prst="rect">
                      <a:avLst/>
                    </a:prstGeom>
                  </pic:spPr>
                </pic:pic>
              </a:graphicData>
            </a:graphic>
          </wp:anchor>
        </w:drawing>
      </w:r>
      <w:r>
        <w:rPr>
          <w:rFonts w:ascii="Times New Roman"/>
        </w:rPr>
        <w:t>Consejo Superior de la Judicatura Presidencia</w:t>
      </w:r>
    </w:p>
    <w:p w:rsidR="00BA623C" w:rsidRDefault="00BA623C">
      <w:pPr>
        <w:pStyle w:val="Textoindependiente"/>
        <w:rPr>
          <w:rFonts w:ascii="Times New Roman"/>
          <w:b/>
          <w:sz w:val="24"/>
        </w:rPr>
      </w:pPr>
    </w:p>
    <w:p w:rsidR="00BA623C" w:rsidRDefault="00BA623C">
      <w:pPr>
        <w:pStyle w:val="Textoindependiente"/>
        <w:rPr>
          <w:rFonts w:ascii="Times New Roman"/>
          <w:b/>
          <w:sz w:val="24"/>
        </w:rPr>
      </w:pPr>
    </w:p>
    <w:p w:rsidR="00BA623C" w:rsidRDefault="00B327D9">
      <w:pPr>
        <w:spacing w:before="190"/>
        <w:ind w:left="4242" w:right="3422"/>
        <w:jc w:val="center"/>
        <w:rPr>
          <w:b/>
        </w:rPr>
      </w:pPr>
      <w:r>
        <w:rPr>
          <w:b/>
        </w:rPr>
        <w:t>ACUERDO PCSJA20-11546</w:t>
      </w:r>
    </w:p>
    <w:p w:rsidR="00BA623C" w:rsidRDefault="00B327D9">
      <w:pPr>
        <w:pStyle w:val="Textoindependiente"/>
        <w:spacing w:before="1"/>
        <w:ind w:left="4246" w:right="3422"/>
        <w:jc w:val="center"/>
      </w:pPr>
      <w:r>
        <w:t>25/04/2020</w:t>
      </w:r>
    </w:p>
    <w:p w:rsidR="00BA623C" w:rsidRDefault="00BA623C">
      <w:pPr>
        <w:pStyle w:val="Textoindependiente"/>
        <w:spacing w:before="8"/>
        <w:rPr>
          <w:sz w:val="13"/>
        </w:rPr>
      </w:pPr>
    </w:p>
    <w:p w:rsidR="00BA623C" w:rsidRDefault="00B327D9">
      <w:pPr>
        <w:pStyle w:val="Textoindependiente"/>
        <w:spacing w:before="94"/>
        <w:ind w:left="1494" w:right="670"/>
        <w:jc w:val="center"/>
      </w:pPr>
      <w:r>
        <w:t>“Por medio del cual se prorrogan las medidas de suspensión de términos, se amplían sus excepciones y se adoptan otras medidas por motivos de salubridad pública y fuerza mayor”</w:t>
      </w:r>
    </w:p>
    <w:p w:rsidR="00BA623C" w:rsidRDefault="00BA623C">
      <w:pPr>
        <w:pStyle w:val="Textoindependiente"/>
        <w:rPr>
          <w:sz w:val="24"/>
        </w:rPr>
      </w:pPr>
    </w:p>
    <w:p w:rsidR="00BA623C" w:rsidRDefault="00BA623C">
      <w:pPr>
        <w:pStyle w:val="Textoindependiente"/>
        <w:rPr>
          <w:sz w:val="20"/>
        </w:rPr>
      </w:pPr>
    </w:p>
    <w:p w:rsidR="00BA623C" w:rsidRDefault="00B327D9">
      <w:pPr>
        <w:pStyle w:val="Ttulo1"/>
        <w:ind w:left="1490" w:right="670"/>
      </w:pPr>
      <w:r>
        <w:t>EL CONSEJO SUPERIOR DE LA JUDICATURA</w:t>
      </w:r>
    </w:p>
    <w:p w:rsidR="00BA623C" w:rsidRDefault="00BA623C">
      <w:pPr>
        <w:pStyle w:val="Textoindependiente"/>
        <w:rPr>
          <w:b/>
        </w:rPr>
      </w:pPr>
    </w:p>
    <w:p w:rsidR="00BA623C" w:rsidRDefault="00B327D9">
      <w:pPr>
        <w:pStyle w:val="Textoindependiente"/>
        <w:ind w:left="1442" w:right="618"/>
        <w:jc w:val="both"/>
      </w:pPr>
      <w:r>
        <w:t>En uso de sus facultades constitucionale</w:t>
      </w:r>
      <w:r>
        <w:t>s y legales, en especial las conferidas por el artículo 85 de la Ley 270 de 1996, numerales 13, 16, 24 y 26, de conformidad con lo decidido el 25 de abril de 2020, y</w:t>
      </w:r>
    </w:p>
    <w:p w:rsidR="00BA623C" w:rsidRDefault="00BA623C">
      <w:pPr>
        <w:pStyle w:val="Textoindependiente"/>
        <w:rPr>
          <w:sz w:val="24"/>
        </w:rPr>
      </w:pPr>
    </w:p>
    <w:p w:rsidR="00BA623C" w:rsidRDefault="00BA623C">
      <w:pPr>
        <w:pStyle w:val="Textoindependiente"/>
        <w:spacing w:before="1"/>
        <w:rPr>
          <w:sz w:val="20"/>
        </w:rPr>
      </w:pPr>
    </w:p>
    <w:p w:rsidR="00BA623C" w:rsidRDefault="00B327D9">
      <w:pPr>
        <w:pStyle w:val="Ttulo1"/>
        <w:ind w:left="4237"/>
      </w:pPr>
      <w:r>
        <w:t>CONSIDERANDO</w:t>
      </w:r>
    </w:p>
    <w:p w:rsidR="00BA623C" w:rsidRDefault="00BA623C">
      <w:pPr>
        <w:pStyle w:val="Textoindependiente"/>
        <w:rPr>
          <w:b/>
        </w:rPr>
      </w:pPr>
    </w:p>
    <w:p w:rsidR="00BA623C" w:rsidRDefault="00B327D9">
      <w:pPr>
        <w:pStyle w:val="Textoindependiente"/>
        <w:ind w:left="1442" w:right="612"/>
        <w:jc w:val="both"/>
      </w:pPr>
      <w:r>
        <w:t>Que mediante la Resolución 385 del 12 de marzo de 2020 el Ministerio de Salud y Protección Social declaró la emergencia sanitaria por causa del coronavirus Covid-19 en el territorio</w:t>
      </w:r>
      <w:r>
        <w:rPr>
          <w:spacing w:val="-4"/>
        </w:rPr>
        <w:t xml:space="preserve"> </w:t>
      </w:r>
      <w:r>
        <w:t>nacional.</w:t>
      </w:r>
    </w:p>
    <w:p w:rsidR="00BA623C" w:rsidRDefault="00BA623C">
      <w:pPr>
        <w:pStyle w:val="Textoindependiente"/>
        <w:spacing w:before="1"/>
      </w:pPr>
    </w:p>
    <w:p w:rsidR="00BA623C" w:rsidRDefault="00B327D9">
      <w:pPr>
        <w:pStyle w:val="Textoindependiente"/>
        <w:ind w:left="1442" w:right="615"/>
        <w:jc w:val="both"/>
      </w:pPr>
      <w:r>
        <w:t>Que el Consejo Superior de la Judicatura, mediante los acuerdos</w:t>
      </w:r>
      <w:r>
        <w:t xml:space="preserve"> PCSJA20-11517, PCSJA20-11518, PCSJA20-11519, PCSJA20-11521, PCSJA20-11526, PCSJA20-11527,</w:t>
      </w:r>
    </w:p>
    <w:p w:rsidR="00BA623C" w:rsidRDefault="00B327D9">
      <w:pPr>
        <w:pStyle w:val="Textoindependiente"/>
        <w:spacing w:before="1"/>
        <w:ind w:left="1442" w:right="614"/>
        <w:jc w:val="both"/>
      </w:pPr>
      <w:r>
        <w:t>PCSJA20-11528, PCSJA20-11529 y PCSJA20-11532 suspendió los términos judiciales, estableció algunas excepciones y adoptó otras medidas por motivos de salubridad públi</w:t>
      </w:r>
      <w:r>
        <w:t>ca y fuerza mayor con ocasión de la pandemia del COVID-19, la cual ha sido catalogada por la Organización Mundial de la Salud como una emergencia de salud pública de impacto mundial.</w:t>
      </w:r>
    </w:p>
    <w:p w:rsidR="00BA623C" w:rsidRDefault="00BA623C">
      <w:pPr>
        <w:pStyle w:val="Textoindependiente"/>
        <w:spacing w:before="10"/>
        <w:rPr>
          <w:sz w:val="21"/>
        </w:rPr>
      </w:pPr>
    </w:p>
    <w:p w:rsidR="00BA623C" w:rsidRDefault="00B327D9">
      <w:pPr>
        <w:pStyle w:val="Textoindependiente"/>
        <w:ind w:left="1442" w:right="615"/>
        <w:jc w:val="both"/>
      </w:pPr>
      <w:r>
        <w:t>Que el Gobierno Nacional expidió el Decreto Legislativo 491 del 28 de ma</w:t>
      </w:r>
      <w:r>
        <w:t>rzo de 2020, por el cual se adoptan medidas de urgencia para garantizar la atención y la prestación de los servicios por parte de las autoridades y los particulares que cumplan funciones públicas y se toman medidas para la protección laboral y de los contr</w:t>
      </w:r>
      <w:r>
        <w:t>atistas de prestación de servicios de las entidades públicas.</w:t>
      </w:r>
    </w:p>
    <w:p w:rsidR="00BA623C" w:rsidRDefault="00BA623C">
      <w:pPr>
        <w:pStyle w:val="Textoindependiente"/>
        <w:spacing w:before="11"/>
        <w:rPr>
          <w:sz w:val="21"/>
        </w:rPr>
      </w:pPr>
    </w:p>
    <w:p w:rsidR="00BA623C" w:rsidRDefault="00B327D9">
      <w:pPr>
        <w:pStyle w:val="Textoindependiente"/>
        <w:ind w:left="1442" w:right="612"/>
        <w:jc w:val="both"/>
      </w:pPr>
      <w:r>
        <w:t>Que mediante el Decreto 593 del 24 de abril de 2020, se ordenó el aislamiento preventivo obligatorio de todas las personas habitantes de la República de Colombia, a partir de las cero horas (0:</w:t>
      </w:r>
      <w:r>
        <w:t>00 a.m) del 27 de abril 2020 hasta las cero horas (0:00 a.m) del 11 de mayo de 2020, en el marco de la emergencia sanitaria por el Coronavírus COVID-19</w:t>
      </w:r>
    </w:p>
    <w:p w:rsidR="00BA623C" w:rsidRDefault="00BA623C">
      <w:pPr>
        <w:pStyle w:val="Textoindependiente"/>
      </w:pPr>
    </w:p>
    <w:p w:rsidR="00BA623C" w:rsidRDefault="00B327D9">
      <w:pPr>
        <w:pStyle w:val="Textoindependiente"/>
        <w:ind w:left="1442" w:right="613"/>
        <w:jc w:val="both"/>
      </w:pPr>
      <w:r>
        <w:t>Que mediante el Decreto 564 del 15 de abril de 2020, se determinó que los términos de prescripción y de</w:t>
      </w:r>
      <w:r>
        <w:t xml:space="preserve"> caducidad previstos en cualquier norma sustancial o procesal para derechos, acciones, medios de control o presentar demandas ante la Rama Judicial, sean de días, meses o años, se encuentran suspendidos desde el 16 marzo 2020 hasta el día que el Consejo Su</w:t>
      </w:r>
      <w:r>
        <w:t>perior de la Judicatura disponga la reanudación los términos judiciales; y que esta suspensión no es aplicable en materia</w:t>
      </w:r>
      <w:r>
        <w:rPr>
          <w:spacing w:val="-8"/>
        </w:rPr>
        <w:t xml:space="preserve"> </w:t>
      </w:r>
      <w:r>
        <w:t>penal.</w:t>
      </w:r>
    </w:p>
    <w:p w:rsidR="00BA623C" w:rsidRDefault="00BA623C">
      <w:pPr>
        <w:pStyle w:val="Textoindependiente"/>
        <w:rPr>
          <w:sz w:val="20"/>
        </w:rPr>
      </w:pPr>
    </w:p>
    <w:p w:rsidR="00BA623C" w:rsidRDefault="00BA623C">
      <w:pPr>
        <w:pStyle w:val="Textoindependiente"/>
        <w:rPr>
          <w:sz w:val="20"/>
        </w:rPr>
      </w:pPr>
    </w:p>
    <w:p w:rsidR="00BA623C" w:rsidRDefault="00BA623C">
      <w:pPr>
        <w:pStyle w:val="Textoindependiente"/>
        <w:rPr>
          <w:sz w:val="20"/>
        </w:rPr>
      </w:pPr>
    </w:p>
    <w:p w:rsidR="00BA623C" w:rsidRDefault="00BA623C">
      <w:pPr>
        <w:pStyle w:val="Textoindependiente"/>
        <w:spacing w:before="1"/>
        <w:rPr>
          <w:sz w:val="20"/>
        </w:rPr>
      </w:pPr>
    </w:p>
    <w:p w:rsidR="00BA623C" w:rsidRDefault="00B327D9">
      <w:pPr>
        <w:pStyle w:val="Textoindependiente"/>
        <w:tabs>
          <w:tab w:val="left" w:pos="5625"/>
        </w:tabs>
        <w:spacing w:before="92"/>
        <w:ind w:left="1442"/>
        <w:rPr>
          <w:rFonts w:ascii="Times New Roman"/>
        </w:rPr>
      </w:pPr>
      <w:r>
        <w:rPr>
          <w:noProof/>
          <w:lang w:eastAsia="es-ES"/>
        </w:rPr>
        <w:drawing>
          <wp:anchor distT="0" distB="0" distL="0" distR="0" simplePos="0" relativeHeight="15729152" behindDoc="0" locked="0" layoutInCell="1" allowOverlap="1">
            <wp:simplePos x="0" y="0"/>
            <wp:positionH relativeFrom="page">
              <wp:posOffset>5441315</wp:posOffset>
            </wp:positionH>
            <wp:positionV relativeFrom="paragraph">
              <wp:posOffset>-223221</wp:posOffset>
            </wp:positionV>
            <wp:extent cx="1582803" cy="9059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582803" cy="905959"/>
                    </a:xfrm>
                    <a:prstGeom prst="rect">
                      <a:avLst/>
                    </a:prstGeom>
                  </pic:spPr>
                </pic:pic>
              </a:graphicData>
            </a:graphic>
          </wp:anchor>
        </w:drawing>
      </w:r>
      <w:r>
        <w:rPr>
          <w:rFonts w:ascii="Times New Roman"/>
        </w:rPr>
        <w:t>Calle 12 No. 7 - 65   Conmutador -</w:t>
      </w:r>
      <w:r>
        <w:rPr>
          <w:rFonts w:ascii="Times New Roman"/>
          <w:spacing w:val="-5"/>
        </w:rPr>
        <w:t xml:space="preserve"> </w:t>
      </w:r>
      <w:r>
        <w:rPr>
          <w:rFonts w:ascii="Times New Roman"/>
        </w:rPr>
        <w:t>5 658500</w:t>
      </w:r>
      <w:r>
        <w:rPr>
          <w:rFonts w:ascii="Times New Roman"/>
        </w:rPr>
        <w:tab/>
      </w:r>
      <w:hyperlink r:id="rId9">
        <w:r>
          <w:rPr>
            <w:rFonts w:ascii="Times New Roman"/>
            <w:u w:val="single"/>
          </w:rPr>
          <w:t>www.ramajudicial.gov.co</w:t>
        </w:r>
      </w:hyperlink>
    </w:p>
    <w:p w:rsidR="00BA623C" w:rsidRDefault="00BA623C">
      <w:pPr>
        <w:rPr>
          <w:rFonts w:ascii="Times New Roman"/>
        </w:rPr>
        <w:sectPr w:rsidR="00BA623C">
          <w:type w:val="continuous"/>
          <w:pgSz w:w="12250" w:h="15850"/>
          <w:pgMar w:top="300" w:right="1080" w:bottom="0" w:left="260" w:header="720" w:footer="720" w:gutter="0"/>
          <w:cols w:space="720"/>
        </w:sectPr>
      </w:pPr>
    </w:p>
    <w:p w:rsidR="00BA623C" w:rsidRDefault="00BA623C">
      <w:pPr>
        <w:pStyle w:val="Textoindependiente"/>
        <w:rPr>
          <w:rFonts w:ascii="Times New Roman"/>
          <w:sz w:val="20"/>
        </w:rPr>
      </w:pPr>
    </w:p>
    <w:p w:rsidR="00BA623C" w:rsidRDefault="00B327D9">
      <w:pPr>
        <w:pStyle w:val="Textoindependiente"/>
        <w:spacing w:before="211"/>
        <w:ind w:left="1442" w:right="614"/>
        <w:jc w:val="both"/>
      </w:pPr>
      <w:r>
        <w:t>Que en aras de continuar garantizando la salud de servidores y usuarios de la Rama Judicial, en virtud de la emergencia de salud pública de impacto mundial y por fuerza mayor, el Consejo Superior de la Judicatura considera necesario prorr</w:t>
      </w:r>
      <w:r>
        <w:t>ogar la suspensión de los términos judiciales.</w:t>
      </w:r>
    </w:p>
    <w:p w:rsidR="00BA623C" w:rsidRDefault="00BA623C">
      <w:pPr>
        <w:pStyle w:val="Textoindependiente"/>
        <w:spacing w:before="3"/>
        <w:rPr>
          <w:sz w:val="24"/>
        </w:rPr>
      </w:pPr>
    </w:p>
    <w:p w:rsidR="00BA623C" w:rsidRDefault="00B327D9">
      <w:pPr>
        <w:pStyle w:val="Textoindependiente"/>
        <w:spacing w:before="1"/>
        <w:ind w:left="1442" w:right="612"/>
        <w:jc w:val="both"/>
      </w:pPr>
      <w:r>
        <w:t>Que corresponde ampliar progresivamente las excepciones a la suspensión de términos atendiendo a la capacidad institucional en las circunstancias actuales, a la generación de condiciones operativas necesarias para que aquellos procesos y acciones que no es</w:t>
      </w:r>
      <w:r>
        <w:t>tén suspendidos se puedan desarrollar de manera adecuada y a continuar protegiendo la salud de los servidores judiciales, abogados y usuarios de la Rama Judicial.</w:t>
      </w:r>
    </w:p>
    <w:p w:rsidR="00BA623C" w:rsidRDefault="00BA623C">
      <w:pPr>
        <w:pStyle w:val="Textoindependiente"/>
        <w:spacing w:before="4"/>
        <w:rPr>
          <w:sz w:val="24"/>
        </w:rPr>
      </w:pPr>
    </w:p>
    <w:p w:rsidR="00BA623C" w:rsidRDefault="00B327D9">
      <w:pPr>
        <w:pStyle w:val="Textoindependiente"/>
        <w:ind w:left="1442" w:right="614"/>
        <w:jc w:val="both"/>
      </w:pPr>
      <w:r>
        <w:t>Que mediante la Circular 10 de 25 de marzo de 2020, el Consejo Superior de la  Judicatura expidió disposiciones especiales para las autorizaciones de pago de depósitos judiciales por concepto de alimentos y habilitó y publicó los correos electrónicos insti</w:t>
      </w:r>
      <w:r>
        <w:t>tucionales para el</w:t>
      </w:r>
      <w:r>
        <w:rPr>
          <w:spacing w:val="-4"/>
        </w:rPr>
        <w:t xml:space="preserve"> </w:t>
      </w:r>
      <w:r>
        <w:t>efecto.</w:t>
      </w:r>
    </w:p>
    <w:p w:rsidR="00BA623C" w:rsidRDefault="00BA623C">
      <w:pPr>
        <w:pStyle w:val="Textoindependiente"/>
        <w:spacing w:before="4"/>
        <w:rPr>
          <w:sz w:val="24"/>
        </w:rPr>
      </w:pPr>
    </w:p>
    <w:p w:rsidR="00BA623C" w:rsidRDefault="00B327D9">
      <w:pPr>
        <w:pStyle w:val="Textoindependiente"/>
        <w:ind w:left="1442" w:right="614"/>
        <w:jc w:val="both"/>
      </w:pPr>
      <w:r>
        <w:t>Que la legislación vigente, incluidos los diferentes códigos procesales, le dan validez a los actos y actuaciones realizados a través de medios tecnológicos o electrónicos, por lo que resulta procedente establecer lineamientos p</w:t>
      </w:r>
      <w:r>
        <w:t>ara facilitar el desarrollo progresivo de los procesos judiciales utilizando estas herramientas.</w:t>
      </w:r>
    </w:p>
    <w:p w:rsidR="00BA623C" w:rsidRDefault="00BA623C">
      <w:pPr>
        <w:pStyle w:val="Textoindependiente"/>
        <w:spacing w:before="3"/>
        <w:rPr>
          <w:sz w:val="24"/>
        </w:rPr>
      </w:pPr>
    </w:p>
    <w:p w:rsidR="00BA623C" w:rsidRDefault="00B327D9">
      <w:pPr>
        <w:pStyle w:val="Textoindependiente"/>
        <w:spacing w:before="1"/>
        <w:ind w:left="1442" w:right="612"/>
        <w:jc w:val="both"/>
      </w:pPr>
      <w:r>
        <w:t xml:space="preserve">Que mediante la Circular 11 del 31 de marzo de 2020, el Consejo Superior de la Judicatura emitió instrucciones sobre las herramientas tecnológicas de apoyo a </w:t>
      </w:r>
      <w:r>
        <w:t>disposición de los servidores la Rama Judicial en el marco de la contingencia, en particular lo relacionado con las herramientas para el envío de mensajes de datos, las audiencias o sesiones virtuales con y sin efectos procesales, el almacenamiento de info</w:t>
      </w:r>
      <w:r>
        <w:t>rmación y el sistema de gestión de correspondencia</w:t>
      </w:r>
      <w:r>
        <w:rPr>
          <w:spacing w:val="-9"/>
        </w:rPr>
        <w:t xml:space="preserve"> </w:t>
      </w:r>
      <w:r>
        <w:t>administrativa.</w:t>
      </w:r>
    </w:p>
    <w:p w:rsidR="00BA623C" w:rsidRDefault="00BA623C">
      <w:pPr>
        <w:pStyle w:val="Textoindependiente"/>
        <w:spacing w:before="6"/>
        <w:rPr>
          <w:sz w:val="24"/>
        </w:rPr>
      </w:pPr>
    </w:p>
    <w:p w:rsidR="00BA623C" w:rsidRDefault="00B327D9">
      <w:pPr>
        <w:pStyle w:val="Textoindependiente"/>
        <w:ind w:left="1442" w:right="613"/>
        <w:jc w:val="both"/>
      </w:pPr>
      <w:r>
        <w:t xml:space="preserve">Que para el desarrollo virtual de las audiencias con efectos procesales, se cuenta con un servicio institucional de agendamiento de audiencias y además con otras herramientas asociadas al </w:t>
      </w:r>
      <w:r>
        <w:t>correo electrónico institucional, las cuales cuentan con soporte para la Rama Judicial, y que los servidores judiciales tienen la facultad establecida en el inciso 2 del artículo 95 de la Ley 270 de 1996.</w:t>
      </w:r>
    </w:p>
    <w:p w:rsidR="00BA623C" w:rsidRDefault="00BA623C">
      <w:pPr>
        <w:pStyle w:val="Textoindependiente"/>
        <w:spacing w:before="2"/>
        <w:rPr>
          <w:sz w:val="24"/>
        </w:rPr>
      </w:pPr>
    </w:p>
    <w:p w:rsidR="00BA623C" w:rsidRDefault="00B327D9">
      <w:pPr>
        <w:pStyle w:val="Textoindependiente"/>
        <w:ind w:left="1442" w:right="615"/>
        <w:jc w:val="both"/>
      </w:pPr>
      <w:r>
        <w:t>Que mediante la Circular 15 del 16 de abril de 202</w:t>
      </w:r>
      <w:r>
        <w:t>0, el Consejo Superior de la Judicatura estableció el protocolo para el manejo de documentos y expedientes físicos en las sedes  y la posibilidad de su</w:t>
      </w:r>
      <w:r>
        <w:rPr>
          <w:spacing w:val="-3"/>
        </w:rPr>
        <w:t xml:space="preserve"> </w:t>
      </w:r>
      <w:r>
        <w:t>retiro.</w:t>
      </w:r>
    </w:p>
    <w:p w:rsidR="00BA623C" w:rsidRDefault="00BA623C">
      <w:pPr>
        <w:pStyle w:val="Textoindependiente"/>
        <w:spacing w:before="5"/>
        <w:rPr>
          <w:sz w:val="24"/>
        </w:rPr>
      </w:pPr>
    </w:p>
    <w:p w:rsidR="00BA623C" w:rsidRDefault="00B327D9">
      <w:pPr>
        <w:pStyle w:val="Textoindependiente"/>
        <w:ind w:left="1442" w:right="613"/>
        <w:jc w:val="both"/>
      </w:pPr>
      <w:r>
        <w:t>Que el Consejo Superior de la Judicatura habilitó en el sistema del registro nacional de abogad</w:t>
      </w:r>
      <w:r>
        <w:t>os SIRNA, el procedimiento para que los profesionales del derecho registren o actualicen la cuenta de correo electrónico, con el fin de facilitar el uso de las tecnologías en las gestiones ante los despachos</w:t>
      </w:r>
      <w:r>
        <w:rPr>
          <w:spacing w:val="-5"/>
        </w:rPr>
        <w:t xml:space="preserve"> </w:t>
      </w:r>
      <w:r>
        <w:t>judiciales.</w:t>
      </w:r>
    </w:p>
    <w:p w:rsidR="00BA623C" w:rsidRDefault="00BA623C">
      <w:pPr>
        <w:pStyle w:val="Textoindependiente"/>
        <w:spacing w:before="3"/>
        <w:rPr>
          <w:sz w:val="24"/>
        </w:rPr>
      </w:pPr>
    </w:p>
    <w:p w:rsidR="00BA623C" w:rsidRDefault="00B327D9">
      <w:pPr>
        <w:pStyle w:val="Textoindependiente"/>
        <w:spacing w:before="1"/>
        <w:ind w:left="1442" w:right="614"/>
        <w:jc w:val="both"/>
      </w:pPr>
      <w:r>
        <w:t>Que las medidas y protocolos expedi</w:t>
      </w:r>
      <w:r>
        <w:t>dos por el Consejo Superior de la Judicatura, a partir de la declaratoria de emergencia sanitaria, buscan la protección especial de mujeres, niños, niñas, adolescentes, adultos mayores y personas en condición de discapacidad, entre otros.</w:t>
      </w:r>
    </w:p>
    <w:p w:rsidR="00BA623C" w:rsidRDefault="00BA623C">
      <w:pPr>
        <w:jc w:val="both"/>
        <w:sectPr w:rsidR="00BA623C">
          <w:headerReference w:type="default" r:id="rId10"/>
          <w:footerReference w:type="default" r:id="rId11"/>
          <w:pgSz w:w="12250" w:h="15850"/>
          <w:pgMar w:top="1260" w:right="1080" w:bottom="940" w:left="260" w:header="714" w:footer="753" w:gutter="0"/>
          <w:pgNumType w:start="2"/>
          <w:cols w:space="720"/>
        </w:sectPr>
      </w:pPr>
    </w:p>
    <w:p w:rsidR="00BA623C" w:rsidRDefault="00BA623C">
      <w:pPr>
        <w:pStyle w:val="Textoindependiente"/>
        <w:rPr>
          <w:sz w:val="20"/>
        </w:rPr>
      </w:pPr>
    </w:p>
    <w:p w:rsidR="00BA623C" w:rsidRDefault="00B327D9">
      <w:pPr>
        <w:pStyle w:val="Ttulo1"/>
        <w:spacing w:before="211"/>
        <w:ind w:left="4239"/>
      </w:pPr>
      <w:r>
        <w:t>ACUERDA:</w:t>
      </w:r>
    </w:p>
    <w:p w:rsidR="00BA623C" w:rsidRDefault="00BA623C">
      <w:pPr>
        <w:pStyle w:val="Textoindependiente"/>
        <w:spacing w:before="1"/>
        <w:rPr>
          <w:b/>
        </w:rPr>
      </w:pPr>
    </w:p>
    <w:p w:rsidR="00BA623C" w:rsidRDefault="00B327D9">
      <w:pPr>
        <w:ind w:left="1442" w:right="616"/>
        <w:jc w:val="both"/>
      </w:pPr>
      <w:r>
        <w:rPr>
          <w:b/>
        </w:rPr>
        <w:t xml:space="preserve">ARTÍCULO 1. Suspensión de términos judiciales. </w:t>
      </w:r>
      <w:r>
        <w:t>Prorrogar la suspensión de términos judiciales en el territorio nacional, desde el 27 de abril hasta el 10 de mayo de 2020.</w:t>
      </w:r>
    </w:p>
    <w:p w:rsidR="00BA623C" w:rsidRDefault="00BA623C">
      <w:pPr>
        <w:pStyle w:val="Textoindependiente"/>
        <w:spacing w:before="11"/>
        <w:rPr>
          <w:sz w:val="21"/>
        </w:rPr>
      </w:pPr>
    </w:p>
    <w:p w:rsidR="00BA623C" w:rsidRDefault="00B327D9">
      <w:pPr>
        <w:pStyle w:val="Textoindependiente"/>
        <w:ind w:left="1442" w:right="617"/>
        <w:jc w:val="both"/>
      </w:pPr>
      <w:r>
        <w:t>Se exceptúan de la suspensión de términos los asuntos señalados en los artículos siguientes.</w:t>
      </w:r>
    </w:p>
    <w:p w:rsidR="00BA623C" w:rsidRDefault="00BA623C">
      <w:pPr>
        <w:pStyle w:val="Textoindependiente"/>
        <w:spacing w:before="10"/>
        <w:rPr>
          <w:sz w:val="21"/>
        </w:rPr>
      </w:pPr>
    </w:p>
    <w:p w:rsidR="00BA623C" w:rsidRDefault="00B327D9">
      <w:pPr>
        <w:spacing w:before="1"/>
        <w:ind w:left="1442" w:right="614"/>
        <w:jc w:val="both"/>
      </w:pPr>
      <w:r>
        <w:rPr>
          <w:b/>
        </w:rPr>
        <w:t xml:space="preserve">ARTÍCULO 2. Acciones de tutela y habeas corpus. </w:t>
      </w:r>
      <w:r>
        <w:t>Se exceptúan de la suspensión de términos prevista en el artículo 1 del presente acuerdo las acciones de tutela y los habeas corpus.</w:t>
      </w:r>
    </w:p>
    <w:p w:rsidR="00BA623C" w:rsidRDefault="00BA623C">
      <w:pPr>
        <w:pStyle w:val="Textoindependiente"/>
        <w:spacing w:before="1"/>
      </w:pPr>
    </w:p>
    <w:p w:rsidR="00BA623C" w:rsidRDefault="00B327D9">
      <w:pPr>
        <w:pStyle w:val="Textoindependiente"/>
        <w:ind w:left="1442" w:right="616"/>
        <w:jc w:val="both"/>
      </w:pPr>
      <w:r>
        <w:t>La recepción de tutelas y habeas corpus se hará mediante correo electrónic</w:t>
      </w:r>
      <w:r>
        <w:t>o dispuesto para el efecto, y para su trámite y comunicaciones se hará uso de las cuentas de correo electrónico y herramientas tecnológicas de apoyo.</w:t>
      </w:r>
    </w:p>
    <w:p w:rsidR="00BA623C" w:rsidRDefault="00BA623C">
      <w:pPr>
        <w:pStyle w:val="Textoindependiente"/>
        <w:spacing w:before="10"/>
        <w:rPr>
          <w:sz w:val="21"/>
        </w:rPr>
      </w:pPr>
    </w:p>
    <w:p w:rsidR="00BA623C" w:rsidRDefault="00B327D9">
      <w:pPr>
        <w:pStyle w:val="Textoindependiente"/>
        <w:ind w:left="1442" w:right="615"/>
        <w:jc w:val="both"/>
      </w:pPr>
      <w:r>
        <w:rPr>
          <w:b/>
        </w:rPr>
        <w:t xml:space="preserve">Parágrafo: </w:t>
      </w:r>
      <w:r>
        <w:t>Los despachos judiciales no remitirán los expedientes de acciones de tutela a la Corte Constit</w:t>
      </w:r>
      <w:r>
        <w:t>ucional hasta tanto se levante la suspensión de términos de la revisión eventual.</w:t>
      </w:r>
    </w:p>
    <w:p w:rsidR="00BA623C" w:rsidRDefault="00BA623C">
      <w:pPr>
        <w:pStyle w:val="Textoindependiente"/>
        <w:spacing w:before="1"/>
      </w:pPr>
    </w:p>
    <w:p w:rsidR="00BA623C" w:rsidRDefault="00B327D9">
      <w:pPr>
        <w:pStyle w:val="Textoindependiente"/>
        <w:ind w:left="1442" w:right="614"/>
        <w:jc w:val="both"/>
      </w:pPr>
      <w:r>
        <w:rPr>
          <w:b/>
        </w:rPr>
        <w:t xml:space="preserve">ARTÍCULO 3. Exoneración reparto de tutelas y habeas corpus. </w:t>
      </w:r>
      <w:r>
        <w:t xml:space="preserve">Desde el 27 de abril hasta el 10 de mayo de 2020 se exonera del reparto de acciones de tutela y de habeas corpus </w:t>
      </w:r>
      <w:r>
        <w:t>a los juzgados penales municipales con función de control de garantías del Sistema Penal Acusatorio y de Ejecución de Penas y Medidas de Seguridad en el país, siempre que existan las circunstancias habituales para realizar el reparto entre distintos grupos</w:t>
      </w:r>
      <w:r>
        <w:t>, clases o categorías de despachos</w:t>
      </w:r>
      <w:r>
        <w:rPr>
          <w:spacing w:val="-5"/>
        </w:rPr>
        <w:t xml:space="preserve"> </w:t>
      </w:r>
      <w:r>
        <w:t>judiciales.</w:t>
      </w:r>
    </w:p>
    <w:p w:rsidR="00BA623C" w:rsidRDefault="00BA623C">
      <w:pPr>
        <w:pStyle w:val="Textoindependiente"/>
        <w:spacing w:before="1"/>
      </w:pPr>
    </w:p>
    <w:p w:rsidR="00BA623C" w:rsidRDefault="00B327D9">
      <w:pPr>
        <w:pStyle w:val="Textoindependiente"/>
        <w:ind w:left="1442" w:right="615"/>
        <w:jc w:val="both"/>
      </w:pPr>
      <w:r>
        <w:t>Las tutelas y los habeas corpus que sea necesario asignar durante los fines de semana y días festivos, se realizará entre los despachos judiciales que se encuentren en turno o disponibilidad, así involucren a</w:t>
      </w:r>
      <w:r>
        <w:t xml:space="preserve"> los juzgados de que trata el inciso anterior.</w:t>
      </w:r>
    </w:p>
    <w:p w:rsidR="00BA623C" w:rsidRDefault="00BA623C">
      <w:pPr>
        <w:pStyle w:val="Textoindependiente"/>
        <w:spacing w:before="10"/>
        <w:rPr>
          <w:sz w:val="21"/>
        </w:rPr>
      </w:pPr>
    </w:p>
    <w:p w:rsidR="00BA623C" w:rsidRDefault="00B327D9">
      <w:pPr>
        <w:pStyle w:val="Textoindependiente"/>
        <w:ind w:left="1442" w:right="614"/>
        <w:jc w:val="both"/>
      </w:pPr>
      <w:r>
        <w:rPr>
          <w:b/>
        </w:rPr>
        <w:t xml:space="preserve">ARTÍCULO 4. Control constitucional de decretos legislativos. </w:t>
      </w:r>
      <w:r>
        <w:t>Se exceptúan de la suspensión de términos prevista en el artículo 1 del presente acuerdo las actuaciones que adelante la Corte Constitucional con o</w:t>
      </w:r>
      <w:r>
        <w:t>casión de la expedición de decretos por el Presidente de la República en ejercicio de las funciones del artículo 215 de la Constitución Política.</w:t>
      </w:r>
    </w:p>
    <w:p w:rsidR="00BA623C" w:rsidRDefault="00BA623C">
      <w:pPr>
        <w:pStyle w:val="Textoindependiente"/>
        <w:spacing w:before="1"/>
      </w:pPr>
    </w:p>
    <w:p w:rsidR="00BA623C" w:rsidRDefault="00B327D9">
      <w:pPr>
        <w:ind w:left="1442" w:right="614"/>
        <w:jc w:val="both"/>
      </w:pPr>
      <w:r>
        <w:rPr>
          <w:b/>
        </w:rPr>
        <w:t xml:space="preserve">ARTÍCULO 5. Excepciones a la suspensión de términos en materia de lo contencioso administrativo. </w:t>
      </w:r>
      <w:r>
        <w:t>Se exceptúan</w:t>
      </w:r>
      <w:r>
        <w:t xml:space="preserve"> de la suspensión de términos prevista en el artículo 1 del presente Acuerdo las siguientes actuaciones en materia de lo contencioso administrativo:</w:t>
      </w:r>
    </w:p>
    <w:p w:rsidR="00BA623C" w:rsidRDefault="00BA623C">
      <w:pPr>
        <w:pStyle w:val="Textoindependiente"/>
      </w:pPr>
    </w:p>
    <w:p w:rsidR="00BA623C" w:rsidRDefault="00B327D9">
      <w:pPr>
        <w:pStyle w:val="Prrafodelista"/>
        <w:numPr>
          <w:ilvl w:val="1"/>
          <w:numId w:val="7"/>
        </w:numPr>
        <w:tabs>
          <w:tab w:val="left" w:pos="2150"/>
        </w:tabs>
        <w:spacing w:before="1"/>
        <w:ind w:right="615"/>
        <w:jc w:val="both"/>
      </w:pPr>
      <w:r>
        <w:t>Las actuaciones que adelanten el Consejo de Estado y los tribunales administrativos, con ocasión del contr</w:t>
      </w:r>
      <w:r>
        <w:t>ol inmediato de legalidad de conformidad con las competencias establecidas en el artículo 20 de la Ley 137 de 1994 y en los artículos 111, numeral 8, 136 y 151, numeral 14, del Código de Procedimiento Administrativo y de lo Contencioso</w:t>
      </w:r>
      <w:r>
        <w:rPr>
          <w:spacing w:val="-2"/>
        </w:rPr>
        <w:t xml:space="preserve"> </w:t>
      </w:r>
      <w:r>
        <w:t>Administrativo.</w:t>
      </w:r>
    </w:p>
    <w:p w:rsidR="00BA623C" w:rsidRDefault="00BA623C">
      <w:pPr>
        <w:jc w:val="both"/>
        <w:sectPr w:rsidR="00BA623C">
          <w:pgSz w:w="12250" w:h="15850"/>
          <w:pgMar w:top="1260" w:right="1080" w:bottom="940" w:left="260" w:header="714" w:footer="753" w:gutter="0"/>
          <w:cols w:space="720"/>
        </w:sectPr>
      </w:pPr>
    </w:p>
    <w:p w:rsidR="00BA623C" w:rsidRDefault="00BA623C">
      <w:pPr>
        <w:pStyle w:val="Textoindependiente"/>
        <w:rPr>
          <w:sz w:val="20"/>
        </w:rPr>
      </w:pPr>
    </w:p>
    <w:p w:rsidR="00BA623C" w:rsidRDefault="00B327D9">
      <w:pPr>
        <w:pStyle w:val="Prrafodelista"/>
        <w:numPr>
          <w:ilvl w:val="1"/>
          <w:numId w:val="7"/>
        </w:numPr>
        <w:tabs>
          <w:tab w:val="left" w:pos="2149"/>
          <w:tab w:val="left" w:pos="2150"/>
        </w:tabs>
        <w:spacing w:before="211"/>
        <w:ind w:right="615"/>
      </w:pPr>
      <w:r>
        <w:t>El medio de control de nulidad por inconstitucionalidad contra actos administrativos expedidos desde la declaratoria de la emergencia</w:t>
      </w:r>
      <w:r>
        <w:rPr>
          <w:spacing w:val="1"/>
        </w:rPr>
        <w:t xml:space="preserve"> </w:t>
      </w:r>
      <w:r>
        <w:t>sanitaria.</w:t>
      </w:r>
    </w:p>
    <w:p w:rsidR="00BA623C" w:rsidRDefault="00BA623C">
      <w:pPr>
        <w:pStyle w:val="Textoindependiente"/>
      </w:pPr>
    </w:p>
    <w:p w:rsidR="00BA623C" w:rsidRDefault="00B327D9">
      <w:pPr>
        <w:pStyle w:val="Prrafodelista"/>
        <w:numPr>
          <w:ilvl w:val="1"/>
          <w:numId w:val="7"/>
        </w:numPr>
        <w:tabs>
          <w:tab w:val="left" w:pos="2149"/>
          <w:tab w:val="left" w:pos="2150"/>
        </w:tabs>
        <w:ind w:right="616"/>
      </w:pPr>
      <w:r>
        <w:t>El medio de control de nulidad contra los actos administrativos que se hayan expedido desde la declaratoria de la emergencia</w:t>
      </w:r>
      <w:r>
        <w:rPr>
          <w:spacing w:val="-2"/>
        </w:rPr>
        <w:t xml:space="preserve"> </w:t>
      </w:r>
      <w:r>
        <w:t>sanitaria.</w:t>
      </w:r>
    </w:p>
    <w:p w:rsidR="00BA623C" w:rsidRDefault="00BA623C">
      <w:pPr>
        <w:pStyle w:val="Textoindependiente"/>
        <w:spacing w:before="11"/>
        <w:rPr>
          <w:sz w:val="21"/>
        </w:rPr>
      </w:pPr>
    </w:p>
    <w:p w:rsidR="00BA623C" w:rsidRDefault="00B327D9">
      <w:pPr>
        <w:ind w:left="1442" w:right="614"/>
        <w:jc w:val="both"/>
      </w:pPr>
      <w:r>
        <w:rPr>
          <w:b/>
        </w:rPr>
        <w:t xml:space="preserve">ARTÍCULO 6. Excepciones a la suspensión de términos en materia penal. </w:t>
      </w:r>
      <w:r>
        <w:t>Se exceptúan de la suspensión de términos previst</w:t>
      </w:r>
      <w:r>
        <w:t>a en el artículo 1 del presente acuerdo las siguientes actuaciones en materia penal:</w:t>
      </w:r>
    </w:p>
    <w:p w:rsidR="00BA623C" w:rsidRDefault="00BA623C">
      <w:pPr>
        <w:pStyle w:val="Textoindependiente"/>
      </w:pPr>
    </w:p>
    <w:p w:rsidR="00BA623C" w:rsidRDefault="00B327D9">
      <w:pPr>
        <w:pStyle w:val="Prrafodelista"/>
        <w:numPr>
          <w:ilvl w:val="1"/>
          <w:numId w:val="6"/>
        </w:numPr>
        <w:tabs>
          <w:tab w:val="left" w:pos="2149"/>
          <w:tab w:val="left" w:pos="2150"/>
        </w:tabs>
        <w:spacing w:before="1"/>
        <w:ind w:right="612" w:hanging="720"/>
      </w:pPr>
      <w:r>
        <w:t>Con relación a la función de control de garantías se atenderán los siguientes asuntos:</w:t>
      </w:r>
    </w:p>
    <w:p w:rsidR="00BA623C" w:rsidRDefault="00BA623C">
      <w:pPr>
        <w:pStyle w:val="Textoindependiente"/>
        <w:spacing w:before="11"/>
        <w:rPr>
          <w:sz w:val="21"/>
        </w:rPr>
      </w:pPr>
    </w:p>
    <w:p w:rsidR="00BA623C" w:rsidRDefault="00B327D9">
      <w:pPr>
        <w:pStyle w:val="Prrafodelista"/>
        <w:numPr>
          <w:ilvl w:val="2"/>
          <w:numId w:val="6"/>
        </w:numPr>
        <w:tabs>
          <w:tab w:val="left" w:pos="2522"/>
        </w:tabs>
        <w:ind w:right="617"/>
        <w:jc w:val="both"/>
      </w:pPr>
      <w:r>
        <w:t>Audiencias concentradas de legalización de captura, formulación de  imputación y s</w:t>
      </w:r>
      <w:r>
        <w:t>olicitudes de medidas de aseguramiento de</w:t>
      </w:r>
      <w:r>
        <w:rPr>
          <w:spacing w:val="-9"/>
        </w:rPr>
        <w:t xml:space="preserve"> </w:t>
      </w:r>
      <w:r>
        <w:t>detención.</w:t>
      </w:r>
    </w:p>
    <w:p w:rsidR="00BA623C" w:rsidRDefault="00BA623C">
      <w:pPr>
        <w:pStyle w:val="Textoindependiente"/>
        <w:spacing w:before="11"/>
        <w:rPr>
          <w:sz w:val="21"/>
        </w:rPr>
      </w:pPr>
    </w:p>
    <w:p w:rsidR="00BA623C" w:rsidRDefault="00B327D9">
      <w:pPr>
        <w:pStyle w:val="Prrafodelista"/>
        <w:numPr>
          <w:ilvl w:val="2"/>
          <w:numId w:val="6"/>
        </w:numPr>
        <w:tabs>
          <w:tab w:val="left" w:pos="2522"/>
        </w:tabs>
        <w:ind w:right="615"/>
        <w:jc w:val="both"/>
      </w:pPr>
      <w:r>
        <w:t>Prórroga, sustitución y revocatoria de medida de aseguramiento cuya solicitud sea con persona privada de la libertad, las cuales se adelantarán de manera virtual.</w:t>
      </w:r>
    </w:p>
    <w:p w:rsidR="00BA623C" w:rsidRDefault="00BA623C">
      <w:pPr>
        <w:pStyle w:val="Textoindependiente"/>
        <w:spacing w:before="1"/>
      </w:pPr>
    </w:p>
    <w:p w:rsidR="00BA623C" w:rsidRDefault="00B327D9">
      <w:pPr>
        <w:pStyle w:val="Prrafodelista"/>
        <w:numPr>
          <w:ilvl w:val="2"/>
          <w:numId w:val="6"/>
        </w:numPr>
        <w:tabs>
          <w:tab w:val="left" w:pos="2522"/>
        </w:tabs>
      </w:pPr>
      <w:r>
        <w:t xml:space="preserve">Peticiones de libertad, las cuales se </w:t>
      </w:r>
      <w:r>
        <w:t>adelantarán de manera</w:t>
      </w:r>
      <w:r>
        <w:rPr>
          <w:spacing w:val="-7"/>
        </w:rPr>
        <w:t xml:space="preserve"> </w:t>
      </w:r>
      <w:r>
        <w:t>virtual.</w:t>
      </w:r>
    </w:p>
    <w:p w:rsidR="00BA623C" w:rsidRDefault="00BA623C">
      <w:pPr>
        <w:pStyle w:val="Textoindependiente"/>
      </w:pPr>
    </w:p>
    <w:p w:rsidR="00BA623C" w:rsidRDefault="00B327D9">
      <w:pPr>
        <w:pStyle w:val="Prrafodelista"/>
        <w:numPr>
          <w:ilvl w:val="2"/>
          <w:numId w:val="6"/>
        </w:numPr>
        <w:tabs>
          <w:tab w:val="left" w:pos="2522"/>
        </w:tabs>
      </w:pPr>
      <w:r>
        <w:t>Control de legalidad posterior, que se adelantarán de manera</w:t>
      </w:r>
      <w:r>
        <w:rPr>
          <w:spacing w:val="-17"/>
        </w:rPr>
        <w:t xml:space="preserve"> </w:t>
      </w:r>
      <w:r>
        <w:t>virtual.</w:t>
      </w:r>
    </w:p>
    <w:p w:rsidR="00BA623C" w:rsidRDefault="00BA623C">
      <w:pPr>
        <w:pStyle w:val="Textoindependiente"/>
        <w:spacing w:before="1"/>
      </w:pPr>
    </w:p>
    <w:p w:rsidR="00BA623C" w:rsidRDefault="00B327D9">
      <w:pPr>
        <w:pStyle w:val="Prrafodelista"/>
        <w:numPr>
          <w:ilvl w:val="2"/>
          <w:numId w:val="6"/>
        </w:numPr>
        <w:tabs>
          <w:tab w:val="left" w:pos="2522"/>
        </w:tabs>
        <w:ind w:right="616"/>
        <w:jc w:val="both"/>
      </w:pPr>
      <w:r>
        <w:t>Las solicitudes de orden de captura, las cuales se adelantarán de manera virtual.</w:t>
      </w:r>
    </w:p>
    <w:p w:rsidR="00BA623C" w:rsidRDefault="00BA623C">
      <w:pPr>
        <w:pStyle w:val="Textoindependiente"/>
      </w:pPr>
    </w:p>
    <w:p w:rsidR="00BA623C" w:rsidRDefault="00B327D9">
      <w:pPr>
        <w:pStyle w:val="Prrafodelista"/>
        <w:numPr>
          <w:ilvl w:val="1"/>
          <w:numId w:val="6"/>
        </w:numPr>
        <w:tabs>
          <w:tab w:val="left" w:pos="2149"/>
          <w:tab w:val="left" w:pos="2150"/>
        </w:tabs>
        <w:ind w:left="2150"/>
      </w:pPr>
      <w:r>
        <w:t>La función de conocimiento en materia penal</w:t>
      </w:r>
      <w:r>
        <w:rPr>
          <w:spacing w:val="-7"/>
        </w:rPr>
        <w:t xml:space="preserve"> </w:t>
      </w:r>
      <w:r>
        <w:t>atenderá:</w:t>
      </w:r>
    </w:p>
    <w:p w:rsidR="00BA623C" w:rsidRDefault="00BA623C">
      <w:pPr>
        <w:pStyle w:val="Textoindependiente"/>
      </w:pPr>
    </w:p>
    <w:p w:rsidR="00BA623C" w:rsidRDefault="00B327D9">
      <w:pPr>
        <w:pStyle w:val="Prrafodelista"/>
        <w:numPr>
          <w:ilvl w:val="2"/>
          <w:numId w:val="6"/>
        </w:numPr>
        <w:tabs>
          <w:tab w:val="left" w:pos="2150"/>
        </w:tabs>
        <w:ind w:left="2162" w:right="612"/>
        <w:jc w:val="both"/>
      </w:pPr>
      <w:r>
        <w:t>Los procesos con persona privada de la libertad; las audiencias se harán siempre que se puedan realizar</w:t>
      </w:r>
      <w:r>
        <w:rPr>
          <w:spacing w:val="-3"/>
        </w:rPr>
        <w:t xml:space="preserve"> </w:t>
      </w:r>
      <w:r>
        <w:t>virtualmente.</w:t>
      </w:r>
    </w:p>
    <w:p w:rsidR="00BA623C" w:rsidRDefault="00BA623C">
      <w:pPr>
        <w:pStyle w:val="Textoindependiente"/>
        <w:spacing w:before="11"/>
        <w:rPr>
          <w:sz w:val="21"/>
        </w:rPr>
      </w:pPr>
    </w:p>
    <w:p w:rsidR="00BA623C" w:rsidRDefault="00B327D9">
      <w:pPr>
        <w:pStyle w:val="Prrafodelista"/>
        <w:numPr>
          <w:ilvl w:val="2"/>
          <w:numId w:val="6"/>
        </w:numPr>
        <w:tabs>
          <w:tab w:val="left" w:pos="2150"/>
        </w:tabs>
        <w:ind w:left="2162" w:right="614"/>
        <w:jc w:val="both"/>
      </w:pPr>
      <w:r>
        <w:t>Los procesos de Ley 906 de 2004 que se encuentren para proferir sentencia o en los que ya se dictó el</w:t>
      </w:r>
      <w:r>
        <w:rPr>
          <w:spacing w:val="-4"/>
        </w:rPr>
        <w:t xml:space="preserve"> </w:t>
      </w:r>
      <w:r>
        <w:t>fallo.</w:t>
      </w:r>
    </w:p>
    <w:p w:rsidR="00BA623C" w:rsidRDefault="00BA623C">
      <w:pPr>
        <w:pStyle w:val="Textoindependiente"/>
        <w:spacing w:before="11"/>
        <w:rPr>
          <w:sz w:val="21"/>
        </w:rPr>
      </w:pPr>
    </w:p>
    <w:p w:rsidR="00BA623C" w:rsidRDefault="00B327D9">
      <w:pPr>
        <w:pStyle w:val="Prrafodelista"/>
        <w:numPr>
          <w:ilvl w:val="2"/>
          <w:numId w:val="6"/>
        </w:numPr>
        <w:tabs>
          <w:tab w:val="left" w:pos="2150"/>
        </w:tabs>
        <w:ind w:left="2162" w:right="615"/>
        <w:jc w:val="both"/>
      </w:pPr>
      <w:r>
        <w:t>Los procesos de Ley 600 de 2000 en que haya finalizado el periodo probatorio del juicio.</w:t>
      </w:r>
    </w:p>
    <w:p w:rsidR="00BA623C" w:rsidRDefault="00BA623C">
      <w:pPr>
        <w:pStyle w:val="Textoindependiente"/>
        <w:spacing w:before="11"/>
        <w:rPr>
          <w:sz w:val="21"/>
        </w:rPr>
      </w:pPr>
    </w:p>
    <w:p w:rsidR="00BA623C" w:rsidRDefault="00B327D9">
      <w:pPr>
        <w:pStyle w:val="Prrafodelista"/>
        <w:numPr>
          <w:ilvl w:val="2"/>
          <w:numId w:val="6"/>
        </w:numPr>
        <w:tabs>
          <w:tab w:val="left" w:pos="2150"/>
        </w:tabs>
        <w:ind w:left="2150" w:hanging="348"/>
      </w:pPr>
      <w:r>
        <w:t>Los procesos en los que esté próxima a prescribir la acción</w:t>
      </w:r>
      <w:r>
        <w:rPr>
          <w:spacing w:val="-8"/>
        </w:rPr>
        <w:t xml:space="preserve"> </w:t>
      </w:r>
      <w:r>
        <w:t>penal.</w:t>
      </w:r>
    </w:p>
    <w:p w:rsidR="00BA623C" w:rsidRDefault="00BA623C">
      <w:pPr>
        <w:pStyle w:val="Textoindependiente"/>
        <w:spacing w:before="1"/>
      </w:pPr>
    </w:p>
    <w:p w:rsidR="00BA623C" w:rsidRDefault="00B327D9">
      <w:pPr>
        <w:pStyle w:val="Prrafodelista"/>
        <w:numPr>
          <w:ilvl w:val="2"/>
          <w:numId w:val="6"/>
        </w:numPr>
        <w:tabs>
          <w:tab w:val="left" w:pos="2150"/>
        </w:tabs>
        <w:ind w:left="2162" w:right="614"/>
        <w:jc w:val="both"/>
      </w:pPr>
      <w:r>
        <w:t>La Sala de Casación Penal de la Corte Suprema de Justicia además continuará atendiendo los trámites que impliquen la libertad inmediata de los procesados en asuntos de casación, extradición, impugnación especial, revisión, definición de competencia, segund</w:t>
      </w:r>
      <w:r>
        <w:t>a instancia y casos próximos a prescribir, privilegiando el uso de medios</w:t>
      </w:r>
      <w:r>
        <w:rPr>
          <w:spacing w:val="-3"/>
        </w:rPr>
        <w:t xml:space="preserve"> </w:t>
      </w:r>
      <w:r>
        <w:t>electrónicos.</w:t>
      </w:r>
    </w:p>
    <w:p w:rsidR="00BA623C" w:rsidRDefault="00BA623C">
      <w:pPr>
        <w:pStyle w:val="Textoindependiente"/>
        <w:spacing w:before="1"/>
      </w:pPr>
    </w:p>
    <w:p w:rsidR="00BA623C" w:rsidRDefault="00B327D9">
      <w:pPr>
        <w:pStyle w:val="Prrafodelista"/>
        <w:numPr>
          <w:ilvl w:val="2"/>
          <w:numId w:val="6"/>
        </w:numPr>
        <w:tabs>
          <w:tab w:val="left" w:pos="2150"/>
        </w:tabs>
        <w:ind w:left="2162" w:right="615"/>
        <w:jc w:val="both"/>
      </w:pPr>
      <w:r>
        <w:t>La Sala Especial de Instrucción de la Corte Suprema de Justicia continuará atendiendo las actuaciones, diligencias y sesiones en las investigaciones en curso, privileg</w:t>
      </w:r>
      <w:r>
        <w:t>iando el uso de los medios</w:t>
      </w:r>
      <w:r>
        <w:rPr>
          <w:spacing w:val="-3"/>
        </w:rPr>
        <w:t xml:space="preserve"> </w:t>
      </w:r>
      <w:r>
        <w:t>electrónicos.</w:t>
      </w:r>
    </w:p>
    <w:p w:rsidR="00BA623C" w:rsidRDefault="00BA623C">
      <w:pPr>
        <w:jc w:val="both"/>
        <w:sectPr w:rsidR="00BA623C">
          <w:pgSz w:w="12250" w:h="15850"/>
          <w:pgMar w:top="1260" w:right="1080" w:bottom="940" w:left="260" w:header="714" w:footer="753" w:gutter="0"/>
          <w:cols w:space="720"/>
        </w:sectPr>
      </w:pPr>
    </w:p>
    <w:p w:rsidR="00BA623C" w:rsidRDefault="00BA623C">
      <w:pPr>
        <w:pStyle w:val="Textoindependiente"/>
        <w:rPr>
          <w:sz w:val="20"/>
        </w:rPr>
      </w:pPr>
    </w:p>
    <w:p w:rsidR="00BA623C" w:rsidRDefault="00B327D9">
      <w:pPr>
        <w:pStyle w:val="Prrafodelista"/>
        <w:numPr>
          <w:ilvl w:val="2"/>
          <w:numId w:val="6"/>
        </w:numPr>
        <w:tabs>
          <w:tab w:val="left" w:pos="2150"/>
        </w:tabs>
        <w:spacing w:before="211"/>
        <w:ind w:left="2162" w:right="613"/>
        <w:jc w:val="both"/>
      </w:pPr>
      <w:r>
        <w:t>Los jueces de ejecución de penas y medidas de seguridad atenderán las libertades por pena cumplida, con o sin redención de pena, libertad condicional, prisión domiciliaria y formalización de la re</w:t>
      </w:r>
      <w:r>
        <w:t>clusión, mediante trabajo en casa de manera virtual.</w:t>
      </w:r>
    </w:p>
    <w:p w:rsidR="00BA623C" w:rsidRDefault="00BA623C">
      <w:pPr>
        <w:pStyle w:val="Textoindependiente"/>
      </w:pPr>
    </w:p>
    <w:p w:rsidR="00BA623C" w:rsidRDefault="00B327D9">
      <w:pPr>
        <w:pStyle w:val="Prrafodelista"/>
        <w:numPr>
          <w:ilvl w:val="1"/>
          <w:numId w:val="6"/>
        </w:numPr>
        <w:tabs>
          <w:tab w:val="left" w:pos="2150"/>
        </w:tabs>
        <w:ind w:right="614" w:hanging="720"/>
        <w:jc w:val="both"/>
      </w:pPr>
      <w:r>
        <w:t>Las actuaciones de los juzgados de responsabilidad penal para adolescentes en el seguimiento de la sanción privativa de la libertad, a partir del informe psicosocial actualizado que será remitido de man</w:t>
      </w:r>
      <w:r>
        <w:t>era electrónica para que el despacho resuelva, por escrito, lo pertinente de conformidad con los artículos 178 y 187 de la Ley 1098 de 2006, auto interlocutorio que también será notificado por medio electrónico.</w:t>
      </w:r>
    </w:p>
    <w:p w:rsidR="00BA623C" w:rsidRDefault="00BA623C">
      <w:pPr>
        <w:pStyle w:val="Textoindependiente"/>
        <w:spacing w:before="1"/>
      </w:pPr>
    </w:p>
    <w:p w:rsidR="00BA623C" w:rsidRDefault="00B327D9">
      <w:pPr>
        <w:ind w:left="1442" w:right="614"/>
        <w:jc w:val="both"/>
      </w:pPr>
      <w:r>
        <w:rPr>
          <w:b/>
        </w:rPr>
        <w:t xml:space="preserve">ARTÍCULO 7. Excepciones a la suspensión de </w:t>
      </w:r>
      <w:r>
        <w:rPr>
          <w:b/>
        </w:rPr>
        <w:t xml:space="preserve">términos en materia civil. </w:t>
      </w:r>
      <w:r>
        <w:t>Se exceptúan de la suspensión de términos prevista en el artículo 1 del presente acuerdo las siguientes actuaciones en materia civil, las cuales se adelantarán de manera virtual:</w:t>
      </w:r>
    </w:p>
    <w:p w:rsidR="00BA623C" w:rsidRDefault="00BA623C">
      <w:pPr>
        <w:pStyle w:val="Textoindependiente"/>
        <w:spacing w:before="10"/>
        <w:rPr>
          <w:sz w:val="21"/>
        </w:rPr>
      </w:pPr>
    </w:p>
    <w:p w:rsidR="00BA623C" w:rsidRDefault="00B327D9">
      <w:pPr>
        <w:pStyle w:val="Prrafodelista"/>
        <w:numPr>
          <w:ilvl w:val="1"/>
          <w:numId w:val="5"/>
        </w:numPr>
        <w:tabs>
          <w:tab w:val="left" w:pos="2522"/>
        </w:tabs>
        <w:ind w:right="618"/>
        <w:jc w:val="both"/>
      </w:pPr>
      <w:r>
        <w:t>Autos que resuelven el recurso de apelación de lo</w:t>
      </w:r>
      <w:r>
        <w:t>s proferidos en primera instancia.</w:t>
      </w:r>
    </w:p>
    <w:p w:rsidR="00BA623C" w:rsidRDefault="00BA623C">
      <w:pPr>
        <w:pStyle w:val="Textoindependiente"/>
        <w:spacing w:before="11"/>
        <w:rPr>
          <w:sz w:val="21"/>
        </w:rPr>
      </w:pPr>
    </w:p>
    <w:p w:rsidR="00BA623C" w:rsidRDefault="00B327D9">
      <w:pPr>
        <w:pStyle w:val="Prrafodelista"/>
        <w:numPr>
          <w:ilvl w:val="1"/>
          <w:numId w:val="5"/>
        </w:numPr>
        <w:tabs>
          <w:tab w:val="left" w:pos="2522"/>
        </w:tabs>
        <w:ind w:right="619"/>
        <w:jc w:val="both"/>
      </w:pPr>
      <w:r>
        <w:t>En primera y única instancia, la emisión de sentencias anticipadas, y las que deban proferirse por escrito si ya está anunciado el sentido del</w:t>
      </w:r>
      <w:r>
        <w:rPr>
          <w:spacing w:val="-12"/>
        </w:rPr>
        <w:t xml:space="preserve"> </w:t>
      </w:r>
      <w:r>
        <w:t>fallo.</w:t>
      </w:r>
    </w:p>
    <w:p w:rsidR="00BA623C" w:rsidRDefault="00BA623C">
      <w:pPr>
        <w:pStyle w:val="Textoindependiente"/>
        <w:spacing w:before="2"/>
      </w:pPr>
    </w:p>
    <w:p w:rsidR="00BA623C" w:rsidRDefault="00B327D9">
      <w:pPr>
        <w:pStyle w:val="Prrafodelista"/>
        <w:numPr>
          <w:ilvl w:val="1"/>
          <w:numId w:val="5"/>
        </w:numPr>
        <w:tabs>
          <w:tab w:val="left" w:pos="2522"/>
        </w:tabs>
        <w:ind w:right="612"/>
        <w:jc w:val="both"/>
      </w:pPr>
      <w:r>
        <w:t xml:space="preserve">El proceso de restitución de tierras consagrado en la Ley 1448 de 2011, con excepción de las inspecciones judiciales y diligencias de entrega material de bienes. Todas aquellas actuaciones o diligencias judiciales del proceso de restitución de tierras que </w:t>
      </w:r>
      <w:r>
        <w:t>no se puedan hacerse de forma virtual o que requieran el desplazamiento del personal para su realización seguirán suspendidas.</w:t>
      </w:r>
    </w:p>
    <w:p w:rsidR="00BA623C" w:rsidRDefault="00BA623C">
      <w:pPr>
        <w:pStyle w:val="Textoindependiente"/>
        <w:spacing w:before="1"/>
      </w:pPr>
    </w:p>
    <w:p w:rsidR="00BA623C" w:rsidRDefault="00B327D9">
      <w:pPr>
        <w:ind w:left="1442" w:right="614"/>
        <w:jc w:val="both"/>
      </w:pPr>
      <w:r>
        <w:rPr>
          <w:b/>
        </w:rPr>
        <w:t xml:space="preserve">ARTÍCULO 8. Excepciones a la suspensión de términos en materia de familia. </w:t>
      </w:r>
      <w:r>
        <w:t>Se exceptúan de la suspensión de términos prevista en</w:t>
      </w:r>
      <w:r>
        <w:t xml:space="preserve"> el artículo 1 del presente acuerdo las siguientes actuaciones en materia de familia:</w:t>
      </w:r>
    </w:p>
    <w:p w:rsidR="00BA623C" w:rsidRDefault="00BA623C">
      <w:pPr>
        <w:pStyle w:val="Textoindependiente"/>
        <w:spacing w:before="10"/>
        <w:rPr>
          <w:sz w:val="21"/>
        </w:rPr>
      </w:pPr>
    </w:p>
    <w:p w:rsidR="00BA623C" w:rsidRDefault="00B327D9">
      <w:pPr>
        <w:pStyle w:val="Prrafodelista"/>
        <w:numPr>
          <w:ilvl w:val="1"/>
          <w:numId w:val="4"/>
        </w:numPr>
        <w:tabs>
          <w:tab w:val="left" w:pos="2574"/>
          <w:tab w:val="left" w:pos="2575"/>
        </w:tabs>
      </w:pPr>
      <w:r>
        <w:t>Procesos de adopción, los cuales se adelantarán de manera</w:t>
      </w:r>
      <w:r>
        <w:rPr>
          <w:spacing w:val="-13"/>
        </w:rPr>
        <w:t xml:space="preserve"> </w:t>
      </w:r>
      <w:r>
        <w:t>virtual.</w:t>
      </w:r>
    </w:p>
    <w:p w:rsidR="00BA623C" w:rsidRDefault="00BA623C">
      <w:pPr>
        <w:pStyle w:val="Textoindependiente"/>
      </w:pPr>
    </w:p>
    <w:p w:rsidR="00BA623C" w:rsidRDefault="00B327D9">
      <w:pPr>
        <w:pStyle w:val="Prrafodelista"/>
        <w:numPr>
          <w:ilvl w:val="1"/>
          <w:numId w:val="4"/>
        </w:numPr>
        <w:tabs>
          <w:tab w:val="left" w:pos="2574"/>
          <w:tab w:val="left" w:pos="2575"/>
        </w:tabs>
      </w:pPr>
      <w:r>
        <w:t>Los siguientes procesos que estén en</w:t>
      </w:r>
      <w:r>
        <w:rPr>
          <w:spacing w:val="-9"/>
        </w:rPr>
        <w:t xml:space="preserve"> </w:t>
      </w:r>
      <w:r>
        <w:t>trámite:</w:t>
      </w:r>
    </w:p>
    <w:p w:rsidR="00BA623C" w:rsidRDefault="00BA623C">
      <w:pPr>
        <w:pStyle w:val="Textoindependiente"/>
      </w:pPr>
    </w:p>
    <w:p w:rsidR="00BA623C" w:rsidRDefault="00B327D9">
      <w:pPr>
        <w:pStyle w:val="Prrafodelista"/>
        <w:numPr>
          <w:ilvl w:val="2"/>
          <w:numId w:val="4"/>
        </w:numPr>
        <w:tabs>
          <w:tab w:val="left" w:pos="2575"/>
        </w:tabs>
        <w:spacing w:before="1"/>
        <w:ind w:right="617"/>
        <w:jc w:val="both"/>
      </w:pPr>
      <w:r>
        <w:t>Las medidas de protección en los casos de violencia in</w:t>
      </w:r>
      <w:r>
        <w:t>trafamiliar, cuando en  el lugar no haya comisario de</w:t>
      </w:r>
      <w:r>
        <w:rPr>
          <w:spacing w:val="-5"/>
        </w:rPr>
        <w:t xml:space="preserve"> </w:t>
      </w:r>
      <w:r>
        <w:t>familia.</w:t>
      </w:r>
    </w:p>
    <w:p w:rsidR="00BA623C" w:rsidRDefault="00BA623C">
      <w:pPr>
        <w:pStyle w:val="Textoindependiente"/>
        <w:spacing w:before="11"/>
        <w:rPr>
          <w:sz w:val="21"/>
        </w:rPr>
      </w:pPr>
    </w:p>
    <w:p w:rsidR="00BA623C" w:rsidRDefault="00B327D9">
      <w:pPr>
        <w:pStyle w:val="Prrafodelista"/>
        <w:numPr>
          <w:ilvl w:val="2"/>
          <w:numId w:val="4"/>
        </w:numPr>
        <w:tabs>
          <w:tab w:val="left" w:pos="2575"/>
        </w:tabs>
        <w:ind w:right="617"/>
        <w:jc w:val="both"/>
      </w:pPr>
      <w:r>
        <w:t>Restablecimiento de derechos por pérdida de competencia de la autoridad administrativa y homologaciones, siempre que se pueda adelantar de manera virtual.</w:t>
      </w:r>
    </w:p>
    <w:p w:rsidR="00BA623C" w:rsidRDefault="00BA623C">
      <w:pPr>
        <w:pStyle w:val="Textoindependiente"/>
        <w:spacing w:before="1"/>
      </w:pPr>
    </w:p>
    <w:p w:rsidR="00BA623C" w:rsidRDefault="00B327D9">
      <w:pPr>
        <w:pStyle w:val="Prrafodelista"/>
        <w:numPr>
          <w:ilvl w:val="2"/>
          <w:numId w:val="4"/>
        </w:numPr>
        <w:tabs>
          <w:tab w:val="left" w:pos="2575"/>
        </w:tabs>
        <w:ind w:right="617"/>
        <w:jc w:val="both"/>
      </w:pPr>
      <w:r>
        <w:t>Restitución internacional de derecho</w:t>
      </w:r>
      <w:r>
        <w:t>s de niños, niñas y adolescentes, que se adelantará</w:t>
      </w:r>
      <w:r>
        <w:rPr>
          <w:spacing w:val="-1"/>
        </w:rPr>
        <w:t xml:space="preserve"> </w:t>
      </w:r>
      <w:r>
        <w:t>virtualmente.</w:t>
      </w:r>
    </w:p>
    <w:p w:rsidR="00BA623C" w:rsidRDefault="00BA623C">
      <w:pPr>
        <w:jc w:val="both"/>
        <w:sectPr w:rsidR="00BA623C">
          <w:pgSz w:w="12250" w:h="15850"/>
          <w:pgMar w:top="1260" w:right="1080" w:bottom="940" w:left="260" w:header="714" w:footer="753" w:gutter="0"/>
          <w:cols w:space="720"/>
        </w:sectPr>
      </w:pPr>
    </w:p>
    <w:p w:rsidR="00BA623C" w:rsidRDefault="00BA623C">
      <w:pPr>
        <w:pStyle w:val="Textoindependiente"/>
        <w:rPr>
          <w:sz w:val="20"/>
        </w:rPr>
      </w:pPr>
    </w:p>
    <w:p w:rsidR="00BA623C" w:rsidRDefault="00B327D9">
      <w:pPr>
        <w:pStyle w:val="Prrafodelista"/>
        <w:numPr>
          <w:ilvl w:val="1"/>
          <w:numId w:val="4"/>
        </w:numPr>
        <w:tabs>
          <w:tab w:val="left" w:pos="2575"/>
        </w:tabs>
        <w:spacing w:before="211"/>
        <w:ind w:right="616"/>
        <w:jc w:val="both"/>
      </w:pPr>
      <w:r>
        <w:t>Las relacionadas con depósitos judiciales por concepto de alimentos, tendientes a ordenar y autorizar su pago de conformidad con las reglas definidas por el Consejo Superior de la</w:t>
      </w:r>
      <w:r>
        <w:rPr>
          <w:spacing w:val="-5"/>
        </w:rPr>
        <w:t xml:space="preserve"> </w:t>
      </w:r>
      <w:r>
        <w:t>Judicatura.</w:t>
      </w:r>
    </w:p>
    <w:p w:rsidR="00BA623C" w:rsidRDefault="00BA623C">
      <w:pPr>
        <w:pStyle w:val="Textoindependiente"/>
        <w:spacing w:before="10"/>
        <w:rPr>
          <w:sz w:val="21"/>
        </w:rPr>
      </w:pPr>
    </w:p>
    <w:p w:rsidR="00BA623C" w:rsidRDefault="00B327D9">
      <w:pPr>
        <w:pStyle w:val="Textoindependiente"/>
        <w:ind w:left="1442" w:right="614"/>
        <w:jc w:val="both"/>
      </w:pPr>
      <w:r>
        <w:rPr>
          <w:b/>
        </w:rPr>
        <w:t xml:space="preserve">ARTÍCULO 9. Excepciones a la suspensión de términos en materia </w:t>
      </w:r>
      <w:r>
        <w:rPr>
          <w:b/>
        </w:rPr>
        <w:t xml:space="preserve">laboral. </w:t>
      </w:r>
      <w:r>
        <w:t>En materia laboral se exceptúan de la suspensión de términos prevista en el artículo 1 del presente Acuerdo las siguientes actuaciones en primera y segunda instancia, las cuales se adelantarán de manera virtual, siempre que se encuentren en trámit</w:t>
      </w:r>
      <w:r>
        <w:t>e y respecto de las cuales se haya adelantado la audiencia a la que se refiere el artículo 77 del Código Procesal del</w:t>
      </w:r>
      <w:r>
        <w:rPr>
          <w:spacing w:val="-4"/>
        </w:rPr>
        <w:t xml:space="preserve"> </w:t>
      </w:r>
      <w:r>
        <w:t>Trabajo:</w:t>
      </w:r>
    </w:p>
    <w:p w:rsidR="00BA623C" w:rsidRDefault="00BA623C">
      <w:pPr>
        <w:pStyle w:val="Textoindependiente"/>
      </w:pPr>
    </w:p>
    <w:p w:rsidR="00BA623C" w:rsidRDefault="00B327D9">
      <w:pPr>
        <w:pStyle w:val="Prrafodelista"/>
        <w:numPr>
          <w:ilvl w:val="1"/>
          <w:numId w:val="3"/>
        </w:numPr>
        <w:tabs>
          <w:tab w:val="left" w:pos="2575"/>
        </w:tabs>
        <w:spacing w:before="1" w:line="242" w:lineRule="auto"/>
        <w:ind w:right="614"/>
        <w:jc w:val="both"/>
      </w:pPr>
      <w:r>
        <w:t>Pensión de sobrevivientes cuando haya interés de adultos mayores y/o de menores de</w:t>
      </w:r>
      <w:r>
        <w:rPr>
          <w:spacing w:val="-3"/>
        </w:rPr>
        <w:t xml:space="preserve"> </w:t>
      </w:r>
      <w:r>
        <w:t>edad.</w:t>
      </w:r>
    </w:p>
    <w:p w:rsidR="00BA623C" w:rsidRDefault="00BA623C">
      <w:pPr>
        <w:pStyle w:val="Textoindependiente"/>
        <w:spacing w:before="6"/>
        <w:rPr>
          <w:sz w:val="21"/>
        </w:rPr>
      </w:pPr>
    </w:p>
    <w:p w:rsidR="00BA623C" w:rsidRDefault="00B327D9">
      <w:pPr>
        <w:pStyle w:val="Prrafodelista"/>
        <w:numPr>
          <w:ilvl w:val="1"/>
          <w:numId w:val="3"/>
        </w:numPr>
        <w:tabs>
          <w:tab w:val="left" w:pos="2575"/>
        </w:tabs>
        <w:ind w:right="612"/>
        <w:jc w:val="both"/>
      </w:pPr>
      <w:r>
        <w:t>Incrementos, reajustes y rectroactivos pensionales y auxilios funerarios, ante jueces de pequeñas causas</w:t>
      </w:r>
      <w:r>
        <w:rPr>
          <w:spacing w:val="-5"/>
        </w:rPr>
        <w:t xml:space="preserve"> </w:t>
      </w:r>
      <w:r>
        <w:t>laborales.</w:t>
      </w:r>
    </w:p>
    <w:p w:rsidR="00BA623C" w:rsidRDefault="00BA623C">
      <w:pPr>
        <w:pStyle w:val="Textoindependiente"/>
        <w:spacing w:before="2"/>
      </w:pPr>
    </w:p>
    <w:p w:rsidR="00BA623C" w:rsidRDefault="00B327D9">
      <w:pPr>
        <w:pStyle w:val="Prrafodelista"/>
        <w:numPr>
          <w:ilvl w:val="1"/>
          <w:numId w:val="3"/>
        </w:numPr>
        <w:tabs>
          <w:tab w:val="left" w:pos="2575"/>
        </w:tabs>
        <w:ind w:right="617"/>
        <w:jc w:val="both"/>
      </w:pPr>
      <w:r>
        <w:t>Todos los procesos que tengan solicitud de persona en condición de discapacidad.</w:t>
      </w:r>
    </w:p>
    <w:p w:rsidR="00BA623C" w:rsidRDefault="00BA623C">
      <w:pPr>
        <w:pStyle w:val="Textoindependiente"/>
        <w:spacing w:before="11"/>
        <w:rPr>
          <w:sz w:val="21"/>
        </w:rPr>
      </w:pPr>
    </w:p>
    <w:p w:rsidR="00BA623C" w:rsidRDefault="00B327D9">
      <w:pPr>
        <w:pStyle w:val="Prrafodelista"/>
        <w:numPr>
          <w:ilvl w:val="1"/>
          <w:numId w:val="3"/>
        </w:numPr>
        <w:tabs>
          <w:tab w:val="left" w:pos="2575"/>
        </w:tabs>
        <w:ind w:right="618"/>
        <w:jc w:val="both"/>
      </w:pPr>
      <w:r>
        <w:t>Los procesos escriturales de fuero sindical pendientes de</w:t>
      </w:r>
      <w:r>
        <w:t xml:space="preserve"> resolver la segunda instancia.</w:t>
      </w:r>
    </w:p>
    <w:p w:rsidR="00BA623C" w:rsidRDefault="00BA623C">
      <w:pPr>
        <w:pStyle w:val="Textoindependiente"/>
        <w:spacing w:before="11"/>
        <w:rPr>
          <w:sz w:val="21"/>
        </w:rPr>
      </w:pPr>
    </w:p>
    <w:p w:rsidR="00BA623C" w:rsidRDefault="00B327D9">
      <w:pPr>
        <w:ind w:left="1442" w:right="614"/>
        <w:jc w:val="both"/>
      </w:pPr>
      <w:r>
        <w:rPr>
          <w:b/>
        </w:rPr>
        <w:t xml:space="preserve">ARTÍCULO 10. Excepciones a la suspensión de términos en materia disciplinaria. </w:t>
      </w:r>
      <w:r>
        <w:t>Se exceptúan de la suspensión de términos prevista en el artículo 1 del presente acuerdo las siguientes actuaciones en materia disciplinaria:</w:t>
      </w:r>
    </w:p>
    <w:p w:rsidR="00BA623C" w:rsidRDefault="00BA623C">
      <w:pPr>
        <w:pStyle w:val="Textoindependiente"/>
        <w:spacing w:before="1"/>
      </w:pPr>
    </w:p>
    <w:p w:rsidR="00BA623C" w:rsidRDefault="00B327D9">
      <w:pPr>
        <w:pStyle w:val="Textoindependiente"/>
        <w:ind w:left="1442"/>
        <w:jc w:val="both"/>
      </w:pPr>
      <w:r>
        <w:t>Los procesos regidos por la Ley 734 de 2002 que se encuentren para fallo.</w:t>
      </w:r>
    </w:p>
    <w:p w:rsidR="00BA623C" w:rsidRDefault="00BA623C">
      <w:pPr>
        <w:pStyle w:val="Textoindependiente"/>
      </w:pPr>
    </w:p>
    <w:p w:rsidR="00BA623C" w:rsidRDefault="00B327D9">
      <w:pPr>
        <w:spacing w:before="1"/>
        <w:ind w:left="1442" w:right="614"/>
        <w:jc w:val="both"/>
      </w:pPr>
      <w:r>
        <w:rPr>
          <w:b/>
        </w:rPr>
        <w:t xml:space="preserve">ARTÍCULO 11. Suspensión de términos administrativos. </w:t>
      </w:r>
      <w:r>
        <w:t>Prorrogar desde el 27 de abril hasta el 10 de mayo de 2020, la suspensión de las siguientes actuaciones administrativas que cump</w:t>
      </w:r>
      <w:r>
        <w:t>len la Dirección Ejecutiva de Administración Judicial y sus seccionales:</w:t>
      </w:r>
    </w:p>
    <w:p w:rsidR="00BA623C" w:rsidRDefault="00BA623C">
      <w:pPr>
        <w:pStyle w:val="Textoindependiente"/>
      </w:pPr>
    </w:p>
    <w:p w:rsidR="00BA623C" w:rsidRDefault="00B327D9">
      <w:pPr>
        <w:pStyle w:val="Prrafodelista"/>
        <w:numPr>
          <w:ilvl w:val="0"/>
          <w:numId w:val="2"/>
        </w:numPr>
        <w:tabs>
          <w:tab w:val="left" w:pos="2150"/>
        </w:tabs>
        <w:spacing w:before="1"/>
      </w:pPr>
      <w:r>
        <w:t>Procesos administrativos de cobro coactivo.</w:t>
      </w:r>
    </w:p>
    <w:p w:rsidR="00BA623C" w:rsidRDefault="00BA623C">
      <w:pPr>
        <w:pStyle w:val="Textoindependiente"/>
        <w:spacing w:before="6"/>
        <w:rPr>
          <w:sz w:val="25"/>
        </w:rPr>
      </w:pPr>
    </w:p>
    <w:p w:rsidR="00BA623C" w:rsidRDefault="00B327D9">
      <w:pPr>
        <w:pStyle w:val="Prrafodelista"/>
        <w:numPr>
          <w:ilvl w:val="0"/>
          <w:numId w:val="2"/>
        </w:numPr>
        <w:tabs>
          <w:tab w:val="left" w:pos="2150"/>
        </w:tabs>
      </w:pPr>
      <w:r>
        <w:t>Procesos</w:t>
      </w:r>
      <w:r>
        <w:rPr>
          <w:spacing w:val="-1"/>
        </w:rPr>
        <w:t xml:space="preserve"> </w:t>
      </w:r>
      <w:r>
        <w:t>disciplinarios.</w:t>
      </w:r>
    </w:p>
    <w:p w:rsidR="00BA623C" w:rsidRDefault="00BA623C">
      <w:pPr>
        <w:pStyle w:val="Textoindependiente"/>
        <w:spacing w:before="8"/>
        <w:rPr>
          <w:sz w:val="23"/>
        </w:rPr>
      </w:pPr>
    </w:p>
    <w:p w:rsidR="00BA623C" w:rsidRDefault="00B327D9">
      <w:pPr>
        <w:pStyle w:val="Prrafodelista"/>
        <w:numPr>
          <w:ilvl w:val="0"/>
          <w:numId w:val="2"/>
        </w:numPr>
        <w:tabs>
          <w:tab w:val="left" w:pos="2150"/>
        </w:tabs>
      </w:pPr>
      <w:r>
        <w:t>Procesos administrativos de reclamaciones salariales y</w:t>
      </w:r>
      <w:r>
        <w:rPr>
          <w:spacing w:val="-5"/>
        </w:rPr>
        <w:t xml:space="preserve"> </w:t>
      </w:r>
      <w:r>
        <w:t>prestacionales.</w:t>
      </w:r>
    </w:p>
    <w:p w:rsidR="00BA623C" w:rsidRDefault="00BA623C">
      <w:pPr>
        <w:pStyle w:val="Textoindependiente"/>
        <w:spacing w:before="5"/>
        <w:rPr>
          <w:sz w:val="25"/>
        </w:rPr>
      </w:pPr>
    </w:p>
    <w:p w:rsidR="00BA623C" w:rsidRDefault="00B327D9">
      <w:pPr>
        <w:pStyle w:val="Textoindependiente"/>
        <w:spacing w:line="259" w:lineRule="auto"/>
        <w:ind w:left="1442" w:right="613"/>
        <w:jc w:val="both"/>
      </w:pPr>
      <w:r>
        <w:rPr>
          <w:b/>
        </w:rPr>
        <w:t xml:space="preserve">Parágrafo. </w:t>
      </w:r>
      <w:r>
        <w:t>Las demás actuaciones admini</w:t>
      </w:r>
      <w:r>
        <w:t>strativas continuarán su trámite de acuerdo con las normas expedidas en el marco del Estado de Emergencia Económica, Social y Ecológica, en especial del Decreto Legislativo 491 de 2020 y demás normas que las adicionen, modifiquen o complementen.</w:t>
      </w:r>
    </w:p>
    <w:p w:rsidR="00BA623C" w:rsidRDefault="00BA623C">
      <w:pPr>
        <w:pStyle w:val="Textoindependiente"/>
        <w:spacing w:before="8"/>
        <w:rPr>
          <w:sz w:val="23"/>
        </w:rPr>
      </w:pPr>
    </w:p>
    <w:p w:rsidR="00BA623C" w:rsidRDefault="00B327D9">
      <w:pPr>
        <w:pStyle w:val="Textoindependiente"/>
        <w:spacing w:before="1" w:line="259" w:lineRule="auto"/>
        <w:ind w:left="1442" w:right="615"/>
        <w:jc w:val="both"/>
      </w:pPr>
      <w:r>
        <w:t>Igualment</w:t>
      </w:r>
      <w:r>
        <w:t>e, las reclamaciones de depósitos judiciales publicados para prescripción continuarán su trámite, privilegiando los medios electrónicos, de conformidad con las reglas que defina la Dirección Ejecutiva de Administración Judicial.</w:t>
      </w:r>
    </w:p>
    <w:p w:rsidR="00BA623C" w:rsidRDefault="00BA623C">
      <w:pPr>
        <w:spacing w:line="259" w:lineRule="auto"/>
        <w:jc w:val="both"/>
        <w:sectPr w:rsidR="00BA623C">
          <w:pgSz w:w="12250" w:h="15850"/>
          <w:pgMar w:top="1260" w:right="1080" w:bottom="940" w:left="260" w:header="714" w:footer="753" w:gutter="0"/>
          <w:cols w:space="720"/>
        </w:sectPr>
      </w:pPr>
    </w:p>
    <w:p w:rsidR="00BA623C" w:rsidRDefault="00BA623C">
      <w:pPr>
        <w:pStyle w:val="Textoindependiente"/>
        <w:rPr>
          <w:sz w:val="20"/>
        </w:rPr>
      </w:pPr>
    </w:p>
    <w:p w:rsidR="00BA623C" w:rsidRDefault="00B327D9">
      <w:pPr>
        <w:pStyle w:val="Textoindependiente"/>
        <w:spacing w:before="211"/>
        <w:ind w:left="1442" w:right="612"/>
        <w:jc w:val="both"/>
      </w:pPr>
      <w:r>
        <w:rPr>
          <w:b/>
        </w:rPr>
        <w:t xml:space="preserve">ARTÍCULO 12. Prestación del servicio. </w:t>
      </w:r>
      <w:r>
        <w:t>Mientras duren las medidas adoptadas por el Consejo Superior de la Judicatura con ocasión de la emergencia causada por el COVID- 19, los servidores de la Rama Judicial trabajarán de manera preferente en su casa mediant</w:t>
      </w:r>
      <w:r>
        <w:t>e el uso de las tecnologías de la información y las comunicaciones, salvo que, de manera excepcional, para cumplir con las funciones o prestación del servicio fuera necesario el desplazamiento o la atención presencial en las sedes judiciales o administrati</w:t>
      </w:r>
      <w:r>
        <w:t>vas, de conformidad con lo establecido en el artículo 3 del Decreto 491 de 2020 y el numeral 13 del artículo 3 del Decreto 531 de</w:t>
      </w:r>
      <w:r>
        <w:rPr>
          <w:spacing w:val="-8"/>
        </w:rPr>
        <w:t xml:space="preserve"> </w:t>
      </w:r>
      <w:r>
        <w:t>2020.</w:t>
      </w:r>
    </w:p>
    <w:p w:rsidR="00BA623C" w:rsidRDefault="00BA623C">
      <w:pPr>
        <w:pStyle w:val="Textoindependiente"/>
        <w:spacing w:before="10"/>
        <w:rPr>
          <w:sz w:val="21"/>
        </w:rPr>
      </w:pPr>
    </w:p>
    <w:p w:rsidR="00BA623C" w:rsidRDefault="00B327D9">
      <w:pPr>
        <w:ind w:left="1442" w:right="613"/>
        <w:jc w:val="both"/>
      </w:pPr>
      <w:r>
        <w:rPr>
          <w:b/>
        </w:rPr>
        <w:t xml:space="preserve">ARTÍCULO 13. Uso de las tecnologías de la información y las comunicaciones. </w:t>
      </w:r>
      <w:r>
        <w:t>Mientras duren las medidas adoptadas por el</w:t>
      </w:r>
      <w:r>
        <w:t xml:space="preserve"> Consejo Superior de la Judicatura con ocasión de la emergencia causada por el COVID-19, en los casos que no se encuentren suspendidos los términos judiciales se atenderán las siguientes disposiciones:</w:t>
      </w:r>
    </w:p>
    <w:p w:rsidR="00BA623C" w:rsidRDefault="00BA623C">
      <w:pPr>
        <w:pStyle w:val="Textoindependiente"/>
      </w:pPr>
    </w:p>
    <w:p w:rsidR="00BA623C" w:rsidRDefault="00B327D9">
      <w:pPr>
        <w:pStyle w:val="Textoindependiente"/>
        <w:spacing w:before="1"/>
        <w:ind w:left="1442" w:right="613"/>
        <w:jc w:val="both"/>
      </w:pPr>
      <w:r>
        <w:t xml:space="preserve">En la recepción, gestión, trámite, decisión y de las </w:t>
      </w:r>
      <w:r>
        <w:t>actuaciones judiciales y  administrativas, si corresponde, se privilegiará el uso de las tecnologías de la información y las comunicaciones, de preferencia institucionales, en concordancia con lo previsto en el artículo 3º del Decreto 491 de</w:t>
      </w:r>
      <w:r>
        <w:rPr>
          <w:spacing w:val="-1"/>
        </w:rPr>
        <w:t xml:space="preserve"> </w:t>
      </w:r>
      <w:r>
        <w:t>2020.</w:t>
      </w:r>
    </w:p>
    <w:p w:rsidR="00BA623C" w:rsidRDefault="00BA623C">
      <w:pPr>
        <w:pStyle w:val="Textoindependiente"/>
        <w:spacing w:before="11"/>
        <w:rPr>
          <w:sz w:val="21"/>
        </w:rPr>
      </w:pPr>
    </w:p>
    <w:p w:rsidR="00BA623C" w:rsidRDefault="00B327D9">
      <w:pPr>
        <w:pStyle w:val="Textoindependiente"/>
        <w:ind w:left="1442" w:right="612"/>
        <w:jc w:val="both"/>
      </w:pPr>
      <w:r>
        <w:t>Los jue</w:t>
      </w:r>
      <w:r>
        <w:t>ces utilizarán preferencialmente los medios tecnológicos para todas las actuaciones, comunicaciones, notificaciones, audiencias y diligencias, y permitirán a las partes, abogados, terceros e intervinientes actuar en los procesos mediante los medios tecnoló</w:t>
      </w:r>
      <w:r>
        <w:t>gicos disponibles, evitando exigir y cumplir formalidades físicas innecesarias.</w:t>
      </w:r>
    </w:p>
    <w:p w:rsidR="00BA623C" w:rsidRDefault="00BA623C">
      <w:pPr>
        <w:pStyle w:val="Textoindependiente"/>
        <w:spacing w:before="2"/>
      </w:pPr>
    </w:p>
    <w:p w:rsidR="00BA623C" w:rsidRDefault="00B327D9">
      <w:pPr>
        <w:pStyle w:val="Textoindependiente"/>
        <w:ind w:left="1442" w:right="615"/>
        <w:jc w:val="both"/>
      </w:pPr>
      <w:r>
        <w:t xml:space="preserve">Los memoriales y demás comunicaciones podrán ser enviados o recibidos por correo electrónico evitando presentaciones o autenticaciones personales o adicionales de algún tipo. </w:t>
      </w:r>
      <w:r>
        <w:t>En la medida de lo posible se usará el formato PDF para los documentos escritos enviados o recibidos por medios electrónicos.</w:t>
      </w:r>
    </w:p>
    <w:p w:rsidR="00BA623C" w:rsidRDefault="00BA623C">
      <w:pPr>
        <w:pStyle w:val="Textoindependiente"/>
        <w:spacing w:before="1"/>
      </w:pPr>
    </w:p>
    <w:p w:rsidR="00BA623C" w:rsidRDefault="00B327D9">
      <w:pPr>
        <w:pStyle w:val="Textoindependiente"/>
        <w:ind w:left="1442" w:right="612"/>
        <w:jc w:val="both"/>
      </w:pPr>
      <w:r>
        <w:t>Las partes, abogados, terceros e intervinientes en los procesos judiciales o  administrativos deberán suministrar la dirección de</w:t>
      </w:r>
      <w:r>
        <w:t xml:space="preserve"> correo electrónico para recibir comunicaciones y notificaciones. Los abogados litigantes inscritos en el Registro Nacional de Abogados del Consejo Superior de la Judicatura deberán registrar y/o actualizar su cuenta de correo electrónico, de conformidad c</w:t>
      </w:r>
      <w:r>
        <w:t>on las directrices que emita el Consejo Superior a través de la Unidad de Registro Nacional de</w:t>
      </w:r>
      <w:r>
        <w:rPr>
          <w:spacing w:val="-4"/>
        </w:rPr>
        <w:t xml:space="preserve"> </w:t>
      </w:r>
      <w:r>
        <w:t>Abogados.</w:t>
      </w:r>
    </w:p>
    <w:p w:rsidR="00BA623C" w:rsidRDefault="00BA623C">
      <w:pPr>
        <w:pStyle w:val="Textoindependiente"/>
        <w:spacing w:before="9"/>
        <w:rPr>
          <w:sz w:val="21"/>
        </w:rPr>
      </w:pPr>
    </w:p>
    <w:p w:rsidR="00BA623C" w:rsidRDefault="00B327D9">
      <w:pPr>
        <w:pStyle w:val="Textoindependiente"/>
        <w:ind w:left="1442" w:right="615"/>
        <w:jc w:val="both"/>
      </w:pPr>
      <w:r>
        <w:t>Para las firmas de los actos, providencias y decisiones, se atenderá lo dispuesto en el artículo 11 del Decreto 491 de 2020.</w:t>
      </w:r>
    </w:p>
    <w:p w:rsidR="00BA623C" w:rsidRDefault="00BA623C">
      <w:pPr>
        <w:pStyle w:val="Textoindependiente"/>
        <w:spacing w:before="2"/>
      </w:pPr>
    </w:p>
    <w:p w:rsidR="00BA623C" w:rsidRDefault="00B327D9">
      <w:pPr>
        <w:pStyle w:val="Textoindependiente"/>
        <w:spacing w:before="1"/>
        <w:ind w:left="1442" w:right="617"/>
        <w:jc w:val="both"/>
      </w:pPr>
      <w:r>
        <w:t>Las sesiones no presenci</w:t>
      </w:r>
      <w:r>
        <w:t>ales de los órganos colegiados de la Rama Judicial se podrán realizar conforme lo dispone el artículo 12 del Decreto 491 de 2020.</w:t>
      </w:r>
    </w:p>
    <w:p w:rsidR="00BA623C" w:rsidRDefault="00BA623C">
      <w:pPr>
        <w:pStyle w:val="Textoindependiente"/>
        <w:spacing w:before="10"/>
        <w:rPr>
          <w:sz w:val="21"/>
        </w:rPr>
      </w:pPr>
    </w:p>
    <w:p w:rsidR="00BA623C" w:rsidRDefault="00B327D9">
      <w:pPr>
        <w:pStyle w:val="Textoindependiente"/>
        <w:spacing w:before="1"/>
        <w:ind w:left="1442" w:right="614"/>
        <w:jc w:val="both"/>
      </w:pPr>
      <w:r>
        <w:rPr>
          <w:b/>
        </w:rPr>
        <w:t xml:space="preserve">Parágrafo 1. </w:t>
      </w:r>
      <w:r>
        <w:t>En el portal Web de la Rama Judicial y demás medios expeditos, se publicarán los canales de recepción y comunicación electrónica institucional para los servicios habilitados de la Rama Judicial.</w:t>
      </w:r>
    </w:p>
    <w:p w:rsidR="00BA623C" w:rsidRDefault="00BA623C">
      <w:pPr>
        <w:pStyle w:val="Textoindependiente"/>
      </w:pPr>
    </w:p>
    <w:p w:rsidR="00BA623C" w:rsidRDefault="00B327D9">
      <w:pPr>
        <w:pStyle w:val="Textoindependiente"/>
        <w:ind w:left="1442" w:right="612"/>
        <w:jc w:val="both"/>
      </w:pPr>
      <w:r>
        <w:t>El Consejo Superior de la Judicatura, a través del Centro de</w:t>
      </w:r>
      <w:r>
        <w:t xml:space="preserve"> Documentación Judicial - CENDOJ-, asegurará por lo menos una cuenta de correo electrónico institucional a cada</w:t>
      </w:r>
    </w:p>
    <w:p w:rsidR="00BA623C" w:rsidRDefault="00BA623C">
      <w:pPr>
        <w:jc w:val="both"/>
        <w:sectPr w:rsidR="00BA623C">
          <w:pgSz w:w="12250" w:h="15850"/>
          <w:pgMar w:top="1260" w:right="1080" w:bottom="940" w:left="260" w:header="714" w:footer="753" w:gutter="0"/>
          <w:cols w:space="720"/>
        </w:sectPr>
      </w:pPr>
    </w:p>
    <w:p w:rsidR="00BA623C" w:rsidRDefault="00BA623C">
      <w:pPr>
        <w:pStyle w:val="Textoindependiente"/>
        <w:rPr>
          <w:sz w:val="20"/>
        </w:rPr>
      </w:pPr>
    </w:p>
    <w:p w:rsidR="00BA623C" w:rsidRDefault="00B327D9">
      <w:pPr>
        <w:pStyle w:val="Textoindependiente"/>
        <w:spacing w:before="211"/>
        <w:ind w:left="1442" w:right="615"/>
        <w:jc w:val="both"/>
      </w:pPr>
      <w:r>
        <w:t>uno de los despachos judiciales, secretarías comunes, oficinas de apoyo, centros de servicios y demás dependencias que así lo requieran.</w:t>
      </w:r>
    </w:p>
    <w:p w:rsidR="00BA623C" w:rsidRDefault="00BA623C">
      <w:pPr>
        <w:pStyle w:val="Textoindependiente"/>
      </w:pPr>
    </w:p>
    <w:p w:rsidR="00BA623C" w:rsidRDefault="00B327D9">
      <w:pPr>
        <w:pStyle w:val="Textoindependiente"/>
        <w:ind w:left="1442" w:right="613"/>
        <w:jc w:val="both"/>
      </w:pPr>
      <w:r>
        <w:t xml:space="preserve">Los despachos judiciales del país publicarán estados electrónicos en el portal Web de la Rama Judicial. Para esto, el </w:t>
      </w:r>
      <w:r>
        <w:t>Consejo Superior de la Judicatura, a través del Centro de Documentación Judicial -CENDOJ-, dispondrá los espacios, establecerá los lineamientos, protocolos y comunicará lo necesario a los despachos judiciales y ciudadanía en general.</w:t>
      </w:r>
    </w:p>
    <w:p w:rsidR="00BA623C" w:rsidRDefault="00BA623C">
      <w:pPr>
        <w:pStyle w:val="Textoindependiente"/>
        <w:spacing w:before="11"/>
        <w:rPr>
          <w:sz w:val="21"/>
        </w:rPr>
      </w:pPr>
    </w:p>
    <w:p w:rsidR="00BA623C" w:rsidRDefault="00B327D9">
      <w:pPr>
        <w:pStyle w:val="Textoindependiente"/>
        <w:ind w:left="1442" w:right="613"/>
        <w:jc w:val="both"/>
      </w:pPr>
      <w:r>
        <w:t>Los servidores judici</w:t>
      </w:r>
      <w:r>
        <w:t>ales que cuenten con las herramientas a disposición mantendrán actualizados los sistemas institucionales de información de la gestión judicial, con la información completa de las actuaciones y los documentos anexos, con el fin de brindar información actual</w:t>
      </w:r>
      <w:r>
        <w:t xml:space="preserve"> y fidedigna en la consulta de procesos expuesta al público.</w:t>
      </w:r>
    </w:p>
    <w:p w:rsidR="00BA623C" w:rsidRDefault="00BA623C">
      <w:pPr>
        <w:pStyle w:val="Textoindependiente"/>
      </w:pPr>
    </w:p>
    <w:p w:rsidR="00BA623C" w:rsidRDefault="00B327D9">
      <w:pPr>
        <w:pStyle w:val="Textoindependiente"/>
        <w:spacing w:before="1"/>
        <w:ind w:left="1442" w:right="612"/>
        <w:jc w:val="both"/>
      </w:pPr>
      <w:r>
        <w:rPr>
          <w:b/>
        </w:rPr>
        <w:t>Parágrafo 2</w:t>
      </w:r>
      <w:r>
        <w:t>. Los consejos seccionales de la judicatura y las direcciones seccionales de administración judicial continuarán prestando el apoyo técnico, funcional y material necesario para que lo</w:t>
      </w:r>
      <w:r>
        <w:t>s servidores judiciales y administrativos puedan adelantar sus labores con apoyo de herramientas y medios tecnológicos, de preferencia institucionales.</w:t>
      </w:r>
    </w:p>
    <w:p w:rsidR="00BA623C" w:rsidRDefault="00BA623C">
      <w:pPr>
        <w:pStyle w:val="Textoindependiente"/>
        <w:spacing w:before="11"/>
        <w:rPr>
          <w:sz w:val="21"/>
        </w:rPr>
      </w:pPr>
    </w:p>
    <w:p w:rsidR="00BA623C" w:rsidRDefault="00B327D9">
      <w:pPr>
        <w:pStyle w:val="Textoindependiente"/>
        <w:ind w:left="1442" w:right="615"/>
        <w:jc w:val="both"/>
      </w:pPr>
      <w:r>
        <w:t>Los ingenieros seccionales prestarán el apoyo técnico que les corresponda, bajo la orientación de los d</w:t>
      </w:r>
      <w:r>
        <w:t>irectores seccionales de administración judicial, sin perjuicio de las políticas y lineamientos que existan en el nivel central.</w:t>
      </w:r>
    </w:p>
    <w:p w:rsidR="00BA623C" w:rsidRDefault="00BA623C">
      <w:pPr>
        <w:pStyle w:val="Textoindependiente"/>
        <w:spacing w:before="1"/>
      </w:pPr>
    </w:p>
    <w:p w:rsidR="00BA623C" w:rsidRDefault="00B327D9">
      <w:pPr>
        <w:pStyle w:val="Textoindependiente"/>
        <w:ind w:left="1442" w:right="612"/>
        <w:jc w:val="both"/>
      </w:pPr>
      <w:r>
        <w:rPr>
          <w:b/>
        </w:rPr>
        <w:t>Parágrafo 3</w:t>
      </w:r>
      <w:r>
        <w:t>. El Consejo Superior de la Judicatura, a través de la Escuela Judicial Rodrigo Lara Bonilla, el Centro de Document</w:t>
      </w:r>
      <w:r>
        <w:t xml:space="preserve">ación Judicial -CENDOJ- y la Unidad de Informática, implementarán acciones de capacitación a nivel nacional en el uso y apropiación de herramientas tecnológicas por parte de los servidores de la Rama Judicial para la gestión judicial y administrativa y se </w:t>
      </w:r>
      <w:r>
        <w:t>propenderá por generar espacios de participación de abogados litigantes y otros actores del sistema de justicia.</w:t>
      </w:r>
    </w:p>
    <w:p w:rsidR="00BA623C" w:rsidRDefault="00BA623C">
      <w:pPr>
        <w:pStyle w:val="Textoindependiente"/>
        <w:spacing w:before="1"/>
      </w:pPr>
    </w:p>
    <w:p w:rsidR="00BA623C" w:rsidRDefault="00B327D9">
      <w:pPr>
        <w:pStyle w:val="Textoindependiente"/>
        <w:ind w:left="1442" w:right="612"/>
        <w:jc w:val="both"/>
      </w:pPr>
      <w:r>
        <w:rPr>
          <w:b/>
        </w:rPr>
        <w:t xml:space="preserve">ARTÍCULO 14. Desplazamiento y asistencia a sedes judiciales o administrativas </w:t>
      </w:r>
      <w:r>
        <w:rPr>
          <w:b/>
          <w:spacing w:val="-3"/>
        </w:rPr>
        <w:t xml:space="preserve">de </w:t>
      </w:r>
      <w:r>
        <w:rPr>
          <w:b/>
        </w:rPr>
        <w:t>la Rama Judicial</w:t>
      </w:r>
      <w:r>
        <w:t>. Mientras duren las medidas adoptadas por el</w:t>
      </w:r>
      <w:r>
        <w:t xml:space="preserve"> Consejo Superior de la Judicatura con ocasión de la emergencia causada por el COVID-19, se mantiene como regla general la restricción de acceso a las sedes judiciales. Cuando para cumplir con las funciones o la prestación del servicio sea necesaria la ate</w:t>
      </w:r>
      <w:r>
        <w:t>nción presencial por parte de los servidores en las sedes judiciales o administrativas, se atenderán las siguientes disposiciones:</w:t>
      </w:r>
    </w:p>
    <w:p w:rsidR="00BA623C" w:rsidRDefault="00BA623C">
      <w:pPr>
        <w:pStyle w:val="Textoindependiente"/>
        <w:spacing w:before="10"/>
        <w:rPr>
          <w:sz w:val="21"/>
        </w:rPr>
      </w:pPr>
    </w:p>
    <w:p w:rsidR="00BA623C" w:rsidRDefault="00B327D9">
      <w:pPr>
        <w:pStyle w:val="Prrafodelista"/>
        <w:numPr>
          <w:ilvl w:val="0"/>
          <w:numId w:val="1"/>
        </w:numPr>
        <w:tabs>
          <w:tab w:val="left" w:pos="1745"/>
        </w:tabs>
        <w:spacing w:before="1"/>
        <w:ind w:right="612" w:firstLine="0"/>
        <w:jc w:val="both"/>
      </w:pPr>
      <w:r>
        <w:t>La Dirección Ejecutiva de Administración Judicial establecerá un protocolo general estándar que contemple aspectos para la afluencia máxima de servidores y/o turnos u horarios flexibles de asistencia, medidas especiales de prevención y protección de la sal</w:t>
      </w:r>
      <w:r>
        <w:t>ud, suministro y uso de los implementos y elementos de bioseguridad, y demás medidas necesarias para la protección de los servidores, usuarios y espacios físicos de la Rama Judicial.</w:t>
      </w:r>
    </w:p>
    <w:p w:rsidR="00BA623C" w:rsidRDefault="00BA623C">
      <w:pPr>
        <w:pStyle w:val="Textoindependiente"/>
      </w:pPr>
    </w:p>
    <w:p w:rsidR="00BA623C" w:rsidRDefault="00B327D9">
      <w:pPr>
        <w:pStyle w:val="Textoindependiente"/>
        <w:spacing w:before="1"/>
        <w:ind w:left="1442" w:right="615"/>
        <w:jc w:val="both"/>
      </w:pPr>
      <w:r>
        <w:t xml:space="preserve">Los consejos seccionales de la judicatura y las direcciones seccionales </w:t>
      </w:r>
      <w:r>
        <w:t>de administración judicial adaptarán el protocolo, en lo que se requiera, a las particularidades regionales; lo adoptarán, comunicarán y garantizarán su cumplimiento, así como las demás medidas adoptadas en la Circular PCSJC 20-6.</w:t>
      </w:r>
    </w:p>
    <w:p w:rsidR="00BA623C" w:rsidRDefault="00BA623C">
      <w:pPr>
        <w:jc w:val="both"/>
        <w:sectPr w:rsidR="00BA623C">
          <w:pgSz w:w="12250" w:h="15850"/>
          <w:pgMar w:top="1260" w:right="1080" w:bottom="940" w:left="260" w:header="714" w:footer="753" w:gutter="0"/>
          <w:cols w:space="720"/>
        </w:sectPr>
      </w:pPr>
    </w:p>
    <w:p w:rsidR="00BA623C" w:rsidRDefault="00BA623C">
      <w:pPr>
        <w:pStyle w:val="Textoindependiente"/>
        <w:rPr>
          <w:sz w:val="20"/>
        </w:rPr>
      </w:pPr>
    </w:p>
    <w:p w:rsidR="00BA623C" w:rsidRDefault="00B327D9">
      <w:pPr>
        <w:pStyle w:val="Prrafodelista"/>
        <w:numPr>
          <w:ilvl w:val="0"/>
          <w:numId w:val="1"/>
        </w:numPr>
        <w:tabs>
          <w:tab w:val="left" w:pos="1766"/>
        </w:tabs>
        <w:spacing w:before="211"/>
        <w:ind w:right="612" w:firstLine="0"/>
        <w:jc w:val="both"/>
      </w:pPr>
      <w:r>
        <w:t>Se imp</w:t>
      </w:r>
      <w:r>
        <w:t>lementará un plan de digitalización de expedientes. Mientras se logra la digitalización, se deberá evitar el retiro de expedientes de los despachos judiciales y dependencias administrativas de la Rama Judicial. No obstante, si para el cumplimiento de funci</w:t>
      </w:r>
      <w:r>
        <w:t>ones se considera indispensable retirar temporalmente los expedientes físicos, se seguirá el procedimiento contemplado en la Circular 015 del 16 de abril de 2020 y cualquiera otro que establezca el Consejo Superior de la</w:t>
      </w:r>
      <w:r>
        <w:rPr>
          <w:spacing w:val="-9"/>
        </w:rPr>
        <w:t xml:space="preserve"> </w:t>
      </w:r>
      <w:r>
        <w:t>Judicatura.</w:t>
      </w:r>
    </w:p>
    <w:p w:rsidR="00BA623C" w:rsidRDefault="00BA623C">
      <w:pPr>
        <w:pStyle w:val="Textoindependiente"/>
      </w:pPr>
    </w:p>
    <w:p w:rsidR="00BA623C" w:rsidRDefault="00B327D9">
      <w:pPr>
        <w:pStyle w:val="Textoindependiente"/>
        <w:spacing w:before="1"/>
        <w:ind w:left="1442" w:right="612"/>
        <w:jc w:val="both"/>
      </w:pPr>
      <w:r>
        <w:rPr>
          <w:b/>
        </w:rPr>
        <w:t xml:space="preserve">Parágrafo 1. </w:t>
      </w:r>
      <w:r>
        <w:t>Cuando re</w:t>
      </w:r>
      <w:r>
        <w:t>sulte necesario acudir a las sedes judiciales, las direcciones seccionales de administración judicial deberán dotar a los servidores de las condiciones y elementos de bioseguridad necesarios.</w:t>
      </w:r>
    </w:p>
    <w:p w:rsidR="00BA623C" w:rsidRDefault="00BA623C">
      <w:pPr>
        <w:pStyle w:val="Textoindependiente"/>
        <w:spacing w:before="9"/>
        <w:rPr>
          <w:sz w:val="21"/>
        </w:rPr>
      </w:pPr>
    </w:p>
    <w:p w:rsidR="00BA623C" w:rsidRDefault="00B327D9">
      <w:pPr>
        <w:pStyle w:val="Textoindependiente"/>
        <w:spacing w:before="1"/>
        <w:ind w:left="1442" w:right="613"/>
        <w:jc w:val="both"/>
      </w:pPr>
      <w:r>
        <w:rPr>
          <w:b/>
        </w:rPr>
        <w:t xml:space="preserve">Parágrafo 2. </w:t>
      </w:r>
      <w:r>
        <w:t>El Director Ejecutivo de Administración Judicial r</w:t>
      </w:r>
      <w:r>
        <w:t>ealizará los traslados presupuestales a las direcciones seccionales de administración judicial para la ejecución de las disposiciones establecidas.</w:t>
      </w:r>
    </w:p>
    <w:p w:rsidR="00BA623C" w:rsidRDefault="00BA623C">
      <w:pPr>
        <w:pStyle w:val="Textoindependiente"/>
        <w:spacing w:before="1"/>
      </w:pPr>
    </w:p>
    <w:p w:rsidR="00BA623C" w:rsidRDefault="00B327D9">
      <w:pPr>
        <w:ind w:left="1442" w:right="614"/>
        <w:jc w:val="both"/>
      </w:pPr>
      <w:r>
        <w:rPr>
          <w:b/>
        </w:rPr>
        <w:t>ARTÍCULO 15</w:t>
      </w:r>
      <w:r>
        <w:t xml:space="preserve">. </w:t>
      </w:r>
      <w:r>
        <w:rPr>
          <w:b/>
        </w:rPr>
        <w:t>Obligatoriedad y seguimiento a las disposiciones</w:t>
      </w:r>
      <w:r>
        <w:t>. De acuerdo con lo dispuesto en la Constituci</w:t>
      </w:r>
      <w:r>
        <w:t>ón Política de Colombia y en la Ley Estatutaria de Administración de Justicia, Ley 270 de 1996, la aplicación de las reglas establecidas en este acuerdo es de obligatorio</w:t>
      </w:r>
      <w:r>
        <w:rPr>
          <w:spacing w:val="-3"/>
        </w:rPr>
        <w:t xml:space="preserve"> </w:t>
      </w:r>
      <w:r>
        <w:t>cumplimiento.</w:t>
      </w:r>
    </w:p>
    <w:p w:rsidR="00BA623C" w:rsidRDefault="00BA623C">
      <w:pPr>
        <w:pStyle w:val="Textoindependiente"/>
      </w:pPr>
    </w:p>
    <w:p w:rsidR="00BA623C" w:rsidRDefault="00B327D9">
      <w:pPr>
        <w:ind w:left="1442" w:right="617"/>
        <w:jc w:val="both"/>
      </w:pPr>
      <w:r>
        <w:rPr>
          <w:b/>
        </w:rPr>
        <w:t xml:space="preserve">ARTÍCULO 16. Vigencia. </w:t>
      </w:r>
      <w:r>
        <w:t>El presente acuerdo rige a partir de la fecha de publicación en la Gaceta de la</w:t>
      </w:r>
      <w:r>
        <w:rPr>
          <w:spacing w:val="-3"/>
        </w:rPr>
        <w:t xml:space="preserve"> </w:t>
      </w:r>
      <w:r>
        <w:t>Judicatura.</w:t>
      </w:r>
    </w:p>
    <w:p w:rsidR="00BA623C" w:rsidRDefault="00BA623C">
      <w:pPr>
        <w:pStyle w:val="Textoindependiente"/>
        <w:rPr>
          <w:sz w:val="24"/>
        </w:rPr>
      </w:pPr>
    </w:p>
    <w:p w:rsidR="00BA623C" w:rsidRDefault="00BA623C">
      <w:pPr>
        <w:pStyle w:val="Textoindependiente"/>
        <w:spacing w:before="1"/>
        <w:rPr>
          <w:sz w:val="20"/>
        </w:rPr>
      </w:pPr>
    </w:p>
    <w:p w:rsidR="00BA623C" w:rsidRDefault="00B327D9">
      <w:pPr>
        <w:pStyle w:val="Ttulo1"/>
        <w:ind w:left="3501" w:right="0"/>
        <w:jc w:val="left"/>
      </w:pPr>
      <w:r>
        <w:t>PUBLÍQUESE, COMUNÍQUESE Y CÚMPLASE</w:t>
      </w:r>
    </w:p>
    <w:p w:rsidR="00BA623C" w:rsidRDefault="00BA623C">
      <w:pPr>
        <w:pStyle w:val="Textoindependiente"/>
        <w:spacing w:before="10"/>
        <w:rPr>
          <w:b/>
          <w:sz w:val="21"/>
        </w:rPr>
      </w:pPr>
    </w:p>
    <w:p w:rsidR="00BA623C" w:rsidRDefault="00B327D9">
      <w:pPr>
        <w:pStyle w:val="Textoindependiente"/>
        <w:ind w:left="1442" w:right="617"/>
        <w:jc w:val="both"/>
      </w:pPr>
      <w:r>
        <w:t>Dado en Bogotá, D. C., a los veinticinco (25) días del mes de abril del año dos mil veinte (2020).</w:t>
      </w:r>
    </w:p>
    <w:p w:rsidR="00BA623C" w:rsidRDefault="00BA623C">
      <w:pPr>
        <w:pStyle w:val="Textoindependiente"/>
        <w:rPr>
          <w:sz w:val="20"/>
        </w:rPr>
      </w:pPr>
    </w:p>
    <w:p w:rsidR="00BA623C" w:rsidRDefault="00BA623C">
      <w:pPr>
        <w:pStyle w:val="Textoindependiente"/>
        <w:rPr>
          <w:sz w:val="20"/>
        </w:rPr>
      </w:pPr>
    </w:p>
    <w:p w:rsidR="00BA623C" w:rsidRDefault="00BA623C">
      <w:pPr>
        <w:pStyle w:val="Textoindependiente"/>
        <w:rPr>
          <w:sz w:val="20"/>
        </w:rPr>
      </w:pPr>
    </w:p>
    <w:p w:rsidR="00BA623C" w:rsidRDefault="00BA623C">
      <w:pPr>
        <w:pStyle w:val="Textoindependiente"/>
        <w:spacing w:before="11"/>
        <w:rPr>
          <w:sz w:val="19"/>
        </w:rPr>
      </w:pPr>
    </w:p>
    <w:p w:rsidR="00BA623C" w:rsidRDefault="00BA623C">
      <w:pPr>
        <w:rPr>
          <w:sz w:val="19"/>
        </w:rPr>
        <w:sectPr w:rsidR="00BA623C">
          <w:pgSz w:w="12250" w:h="15850"/>
          <w:pgMar w:top="1260" w:right="1080" w:bottom="940" w:left="260" w:header="714" w:footer="753" w:gutter="0"/>
          <w:cols w:space="720"/>
        </w:sectPr>
      </w:pPr>
    </w:p>
    <w:p w:rsidR="00BA623C" w:rsidRDefault="00BA623C">
      <w:pPr>
        <w:pStyle w:val="Textoindependiente"/>
        <w:rPr>
          <w:sz w:val="18"/>
        </w:rPr>
      </w:pPr>
    </w:p>
    <w:p w:rsidR="00BA623C" w:rsidRDefault="00BA623C">
      <w:pPr>
        <w:pStyle w:val="Textoindependiente"/>
        <w:rPr>
          <w:sz w:val="18"/>
        </w:rPr>
      </w:pPr>
    </w:p>
    <w:p w:rsidR="00BA623C" w:rsidRDefault="00BA623C">
      <w:pPr>
        <w:pStyle w:val="Textoindependiente"/>
        <w:spacing w:before="1"/>
        <w:rPr>
          <w:sz w:val="16"/>
        </w:rPr>
      </w:pPr>
    </w:p>
    <w:p w:rsidR="00BA623C" w:rsidRDefault="00B327D9">
      <w:pPr>
        <w:ind w:left="1442"/>
        <w:rPr>
          <w:sz w:val="16"/>
        </w:rPr>
      </w:pPr>
      <w:r>
        <w:rPr>
          <w:sz w:val="16"/>
        </w:rPr>
        <w:t>PC</w:t>
      </w:r>
      <w:r>
        <w:rPr>
          <w:sz w:val="16"/>
        </w:rPr>
        <w:t>SJ/MMBD</w:t>
      </w:r>
    </w:p>
    <w:p w:rsidR="00BA623C" w:rsidRDefault="00B327D9">
      <w:pPr>
        <w:pStyle w:val="Ttulo1"/>
        <w:spacing w:before="94" w:line="252" w:lineRule="exact"/>
        <w:ind w:right="2963"/>
      </w:pPr>
      <w:r>
        <w:rPr>
          <w:b w:val="0"/>
        </w:rPr>
        <w:br w:type="column"/>
      </w:r>
      <w:r>
        <w:lastRenderedPageBreak/>
        <w:t>DIANA ALEXANDRA REMOLINA BOTÍA</w:t>
      </w:r>
    </w:p>
    <w:p w:rsidR="00BA623C" w:rsidRDefault="00B327D9">
      <w:pPr>
        <w:pStyle w:val="Textoindependiente"/>
        <w:spacing w:line="252" w:lineRule="exact"/>
        <w:ind w:left="1362" w:right="2963"/>
        <w:jc w:val="center"/>
      </w:pPr>
      <w:r>
        <w:t>Presidenta</w:t>
      </w:r>
    </w:p>
    <w:sectPr w:rsidR="00BA623C">
      <w:type w:val="continuous"/>
      <w:pgSz w:w="12250" w:h="15850"/>
      <w:pgMar w:top="300" w:right="1080" w:bottom="0" w:left="260" w:header="720" w:footer="720" w:gutter="0"/>
      <w:cols w:num="2" w:space="720" w:equalWidth="0">
        <w:col w:w="2386" w:space="40"/>
        <w:col w:w="84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7D9" w:rsidRDefault="00B327D9">
      <w:r>
        <w:separator/>
      </w:r>
    </w:p>
  </w:endnote>
  <w:endnote w:type="continuationSeparator" w:id="0">
    <w:p w:rsidR="00B327D9" w:rsidRDefault="00B3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3C" w:rsidRDefault="00063D9E">
    <w:pPr>
      <w:pStyle w:val="Textoindependiente"/>
      <w:spacing w:line="14" w:lineRule="auto"/>
      <w:rPr>
        <w:sz w:val="20"/>
      </w:rPr>
    </w:pPr>
    <w:r>
      <w:rPr>
        <w:noProof/>
        <w:lang w:eastAsia="es-ES"/>
      </w:rPr>
      <mc:AlternateContent>
        <mc:Choice Requires="wps">
          <w:drawing>
            <wp:anchor distT="0" distB="0" distL="114300" distR="114300" simplePos="0" relativeHeight="487436800" behindDoc="1" locked="0" layoutInCell="1" allowOverlap="1">
              <wp:simplePos x="0" y="0"/>
              <wp:positionH relativeFrom="page">
                <wp:posOffset>1823720</wp:posOffset>
              </wp:positionH>
              <wp:positionV relativeFrom="page">
                <wp:posOffset>9442450</wp:posOffset>
              </wp:positionV>
              <wp:extent cx="41281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23C" w:rsidRDefault="00B327D9">
                          <w:pPr>
                            <w:pStyle w:val="Textoindependiente"/>
                            <w:tabs>
                              <w:tab w:val="left" w:pos="4204"/>
                            </w:tabs>
                            <w:spacing w:before="11"/>
                            <w:ind w:left="20"/>
                            <w:rPr>
                              <w:rFonts w:ascii="Times New Roman"/>
                            </w:rPr>
                          </w:pPr>
                          <w:r>
                            <w:rPr>
                              <w:rFonts w:ascii="Times New Roman"/>
                            </w:rPr>
                            <w:t>Calle 12 No. 7 - 65</w:t>
                          </w:r>
                          <w:r>
                            <w:rPr>
                              <w:rFonts w:ascii="Times New Roman"/>
                            </w:rPr>
                            <w:t xml:space="preserve">   Conmutador -</w:t>
                          </w:r>
                          <w:r>
                            <w:rPr>
                              <w:rFonts w:ascii="Times New Roman"/>
                              <w:spacing w:val="-4"/>
                            </w:rPr>
                            <w:t xml:space="preserve"> </w:t>
                          </w:r>
                          <w:r>
                            <w:rPr>
                              <w:rFonts w:ascii="Times New Roman"/>
                            </w:rPr>
                            <w:t>5</w:t>
                          </w:r>
                          <w:r>
                            <w:rPr>
                              <w:rFonts w:ascii="Times New Roman"/>
                              <w:spacing w:val="1"/>
                            </w:rPr>
                            <w:t xml:space="preserve"> </w:t>
                          </w:r>
                          <w:r>
                            <w:rPr>
                              <w:rFonts w:ascii="Times New Roman"/>
                            </w:rPr>
                            <w:t>658500</w:t>
                          </w:r>
                          <w:r>
                            <w:rPr>
                              <w:rFonts w:ascii="Times New Roman"/>
                            </w:rPr>
                            <w:tab/>
                          </w:r>
                          <w:hyperlink r:id="rId1">
                            <w:r>
                              <w:rPr>
                                <w:rFonts w:ascii="Times New Roman"/>
                                <w:u w:val="single"/>
                              </w:rPr>
                              <w:t>www.ramajudicial.gov.co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43.6pt;margin-top:743.5pt;width:325.05pt;height:14.2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HQrw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" filled="f" stroked="f">
              <v:textbox inset="0,0,0,0">
                <w:txbxContent>
                  <w:p w:rsidR="00BA623C" w:rsidRDefault="00B327D9">
                    <w:pPr>
                      <w:pStyle w:val="Textoindependiente"/>
                      <w:tabs>
                        <w:tab w:val="left" w:pos="4204"/>
                      </w:tabs>
                      <w:spacing w:before="11"/>
                      <w:ind w:left="20"/>
                      <w:rPr>
                        <w:rFonts w:ascii="Times New Roman"/>
                      </w:rPr>
                    </w:pPr>
                    <w:r>
                      <w:rPr>
                        <w:rFonts w:ascii="Times New Roman"/>
                      </w:rPr>
                      <w:t>Calle 12 No. 7 - 65</w:t>
                    </w:r>
                    <w:r>
                      <w:rPr>
                        <w:rFonts w:ascii="Times New Roman"/>
                      </w:rPr>
                      <w:t xml:space="preserve">   Conmutador -</w:t>
                    </w:r>
                    <w:r>
                      <w:rPr>
                        <w:rFonts w:ascii="Times New Roman"/>
                        <w:spacing w:val="-4"/>
                      </w:rPr>
                      <w:t xml:space="preserve"> </w:t>
                    </w:r>
                    <w:r>
                      <w:rPr>
                        <w:rFonts w:ascii="Times New Roman"/>
                      </w:rPr>
                      <w:t>5</w:t>
                    </w:r>
                    <w:r>
                      <w:rPr>
                        <w:rFonts w:ascii="Times New Roman"/>
                        <w:spacing w:val="1"/>
                      </w:rPr>
                      <w:t xml:space="preserve"> </w:t>
                    </w:r>
                    <w:r>
                      <w:rPr>
                        <w:rFonts w:ascii="Times New Roman"/>
                      </w:rPr>
                      <w:t>658500</w:t>
                    </w:r>
                    <w:r>
                      <w:rPr>
                        <w:rFonts w:ascii="Times New Roman"/>
                      </w:rPr>
                      <w:tab/>
                    </w:r>
                    <w:hyperlink r:id="rId2">
                      <w:r>
                        <w:rPr>
                          <w:rFonts w:ascii="Times New Roman"/>
                          <w:u w:val="single"/>
                        </w:rPr>
                        <w:t>www.ramajudicial.gov.co</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7D9" w:rsidRDefault="00B327D9">
      <w:r>
        <w:separator/>
      </w:r>
    </w:p>
  </w:footnote>
  <w:footnote w:type="continuationSeparator" w:id="0">
    <w:p w:rsidR="00B327D9" w:rsidRDefault="00B32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3C" w:rsidRDefault="00063D9E">
    <w:pPr>
      <w:pStyle w:val="Textoindependiente"/>
      <w:spacing w:line="14" w:lineRule="auto"/>
      <w:rPr>
        <w:sz w:val="20"/>
      </w:rPr>
    </w:pPr>
    <w:r>
      <w:rPr>
        <w:noProof/>
        <w:lang w:eastAsia="es-ES"/>
      </w:rPr>
      <mc:AlternateContent>
        <mc:Choice Requires="wps">
          <w:drawing>
            <wp:anchor distT="0" distB="0" distL="114300" distR="114300" simplePos="0" relativeHeight="487436288" behindDoc="1" locked="0" layoutInCell="1" allowOverlap="1">
              <wp:simplePos x="0" y="0"/>
              <wp:positionH relativeFrom="page">
                <wp:posOffset>1068070</wp:posOffset>
              </wp:positionH>
              <wp:positionV relativeFrom="page">
                <wp:posOffset>440690</wp:posOffset>
              </wp:positionV>
              <wp:extent cx="5641340" cy="3727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23C" w:rsidRDefault="00B327D9">
                          <w:pPr>
                            <w:spacing w:before="15"/>
                            <w:ind w:left="20"/>
                            <w:rPr>
                              <w:sz w:val="16"/>
                            </w:rPr>
                          </w:pPr>
                          <w:r>
                            <w:rPr>
                              <w:sz w:val="16"/>
                            </w:rPr>
                            <w:t>Acuerdo PCSJA20-11546 del 25/04/2020, “Por medio del cual se prorrogan las medidas de suspensión de términos, se amplían sus excepciones y se adoptan otras medidas por motivos de salubridad pública y fuerza mayor”</w:t>
                          </w:r>
                        </w:p>
                        <w:p w:rsidR="00BA623C" w:rsidRDefault="00B327D9">
                          <w:pPr>
                            <w:spacing w:line="183" w:lineRule="exact"/>
                            <w:ind w:left="20"/>
                            <w:rPr>
                              <w:sz w:val="16"/>
                            </w:rPr>
                          </w:pPr>
                          <w:r>
                            <w:rPr>
                              <w:sz w:val="16"/>
                            </w:rPr>
                            <w:t xml:space="preserve">Página </w:t>
                          </w:r>
                          <w:r>
                            <w:fldChar w:fldCharType="begin"/>
                          </w:r>
                          <w:r>
                            <w:rPr>
                              <w:sz w:val="16"/>
                            </w:rPr>
                            <w:instrText xml:space="preserve"> PAGE </w:instrText>
                          </w:r>
                          <w:r>
                            <w:fldChar w:fldCharType="separate"/>
                          </w:r>
                          <w:r w:rsidR="00063D9E">
                            <w:rPr>
                              <w:noProo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1pt;margin-top:34.7pt;width:444.2pt;height:29.35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7yWrA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" filled="f" stroked="f">
              <v:textbox inset="0,0,0,0">
                <w:txbxContent>
                  <w:p w:rsidR="00BA623C" w:rsidRDefault="00B327D9">
                    <w:pPr>
                      <w:spacing w:before="15"/>
                      <w:ind w:left="20"/>
                      <w:rPr>
                        <w:sz w:val="16"/>
                      </w:rPr>
                    </w:pPr>
                    <w:r>
                      <w:rPr>
                        <w:sz w:val="16"/>
                      </w:rPr>
                      <w:t>Acuerdo PCSJA20-11546 del 25/04/2020, “Por medio del cual se prorrogan las medidas de suspensión de términos, se amplían sus excepciones y se adoptan otras medidas por motivos de salubridad pública y fuerza mayor”</w:t>
                    </w:r>
                  </w:p>
                  <w:p w:rsidR="00BA623C" w:rsidRDefault="00B327D9">
                    <w:pPr>
                      <w:spacing w:line="183" w:lineRule="exact"/>
                      <w:ind w:left="20"/>
                      <w:rPr>
                        <w:sz w:val="16"/>
                      </w:rPr>
                    </w:pPr>
                    <w:r>
                      <w:rPr>
                        <w:sz w:val="16"/>
                      </w:rPr>
                      <w:t xml:space="preserve">Página </w:t>
                    </w:r>
                    <w:r>
                      <w:fldChar w:fldCharType="begin"/>
                    </w:r>
                    <w:r>
                      <w:rPr>
                        <w:sz w:val="16"/>
                      </w:rPr>
                      <w:instrText xml:space="preserve"> PAGE </w:instrText>
                    </w:r>
                    <w:r>
                      <w:fldChar w:fldCharType="separate"/>
                    </w:r>
                    <w:r w:rsidR="00063D9E">
                      <w:rPr>
                        <w:noProof/>
                        <w:sz w:val="16"/>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9A9"/>
    <w:multiLevelType w:val="multilevel"/>
    <w:tmpl w:val="1FC09226"/>
    <w:lvl w:ilvl="0">
      <w:start w:val="9"/>
      <w:numFmt w:val="decimal"/>
      <w:lvlText w:val="%1"/>
      <w:lvlJc w:val="left"/>
      <w:pPr>
        <w:ind w:left="2574" w:hanging="706"/>
        <w:jc w:val="left"/>
      </w:pPr>
      <w:rPr>
        <w:rFonts w:hint="default"/>
        <w:lang w:val="es-ES" w:eastAsia="en-US" w:bidi="ar-SA"/>
      </w:rPr>
    </w:lvl>
    <w:lvl w:ilvl="1">
      <w:start w:val="1"/>
      <w:numFmt w:val="decimal"/>
      <w:lvlText w:val="%1.%2."/>
      <w:lvlJc w:val="left"/>
      <w:pPr>
        <w:ind w:left="2574" w:hanging="706"/>
        <w:jc w:val="left"/>
      </w:pPr>
      <w:rPr>
        <w:rFonts w:ascii="Arial" w:eastAsia="Arial" w:hAnsi="Arial" w:cs="Arial" w:hint="default"/>
        <w:w w:val="100"/>
        <w:sz w:val="22"/>
        <w:szCs w:val="22"/>
        <w:lang w:val="es-ES" w:eastAsia="en-US" w:bidi="ar-SA"/>
      </w:rPr>
    </w:lvl>
    <w:lvl w:ilvl="2">
      <w:numFmt w:val="bullet"/>
      <w:lvlText w:val="•"/>
      <w:lvlJc w:val="left"/>
      <w:pPr>
        <w:ind w:left="4244" w:hanging="706"/>
      </w:pPr>
      <w:rPr>
        <w:rFonts w:hint="default"/>
        <w:lang w:val="es-ES" w:eastAsia="en-US" w:bidi="ar-SA"/>
      </w:rPr>
    </w:lvl>
    <w:lvl w:ilvl="3">
      <w:numFmt w:val="bullet"/>
      <w:lvlText w:val="•"/>
      <w:lvlJc w:val="left"/>
      <w:pPr>
        <w:ind w:left="5076" w:hanging="706"/>
      </w:pPr>
      <w:rPr>
        <w:rFonts w:hint="default"/>
        <w:lang w:val="es-ES" w:eastAsia="en-US" w:bidi="ar-SA"/>
      </w:rPr>
    </w:lvl>
    <w:lvl w:ilvl="4">
      <w:numFmt w:val="bullet"/>
      <w:lvlText w:val="•"/>
      <w:lvlJc w:val="left"/>
      <w:pPr>
        <w:ind w:left="5908" w:hanging="706"/>
      </w:pPr>
      <w:rPr>
        <w:rFonts w:hint="default"/>
        <w:lang w:val="es-ES" w:eastAsia="en-US" w:bidi="ar-SA"/>
      </w:rPr>
    </w:lvl>
    <w:lvl w:ilvl="5">
      <w:numFmt w:val="bullet"/>
      <w:lvlText w:val="•"/>
      <w:lvlJc w:val="left"/>
      <w:pPr>
        <w:ind w:left="6741" w:hanging="706"/>
      </w:pPr>
      <w:rPr>
        <w:rFonts w:hint="default"/>
        <w:lang w:val="es-ES" w:eastAsia="en-US" w:bidi="ar-SA"/>
      </w:rPr>
    </w:lvl>
    <w:lvl w:ilvl="6">
      <w:numFmt w:val="bullet"/>
      <w:lvlText w:val="•"/>
      <w:lvlJc w:val="left"/>
      <w:pPr>
        <w:ind w:left="7573" w:hanging="706"/>
      </w:pPr>
      <w:rPr>
        <w:rFonts w:hint="default"/>
        <w:lang w:val="es-ES" w:eastAsia="en-US" w:bidi="ar-SA"/>
      </w:rPr>
    </w:lvl>
    <w:lvl w:ilvl="7">
      <w:numFmt w:val="bullet"/>
      <w:lvlText w:val="•"/>
      <w:lvlJc w:val="left"/>
      <w:pPr>
        <w:ind w:left="8405" w:hanging="706"/>
      </w:pPr>
      <w:rPr>
        <w:rFonts w:hint="default"/>
        <w:lang w:val="es-ES" w:eastAsia="en-US" w:bidi="ar-SA"/>
      </w:rPr>
    </w:lvl>
    <w:lvl w:ilvl="8">
      <w:numFmt w:val="bullet"/>
      <w:lvlText w:val="•"/>
      <w:lvlJc w:val="left"/>
      <w:pPr>
        <w:ind w:left="9237" w:hanging="706"/>
      </w:pPr>
      <w:rPr>
        <w:rFonts w:hint="default"/>
        <w:lang w:val="es-ES" w:eastAsia="en-US" w:bidi="ar-SA"/>
      </w:rPr>
    </w:lvl>
  </w:abstractNum>
  <w:abstractNum w:abstractNumId="1">
    <w:nsid w:val="2A4A0618"/>
    <w:multiLevelType w:val="multilevel"/>
    <w:tmpl w:val="33DA9D66"/>
    <w:lvl w:ilvl="0">
      <w:start w:val="8"/>
      <w:numFmt w:val="decimal"/>
      <w:lvlText w:val="%1"/>
      <w:lvlJc w:val="left"/>
      <w:pPr>
        <w:ind w:left="2574" w:hanging="706"/>
        <w:jc w:val="left"/>
      </w:pPr>
      <w:rPr>
        <w:rFonts w:hint="default"/>
        <w:lang w:val="es-ES" w:eastAsia="en-US" w:bidi="ar-SA"/>
      </w:rPr>
    </w:lvl>
    <w:lvl w:ilvl="1">
      <w:start w:val="1"/>
      <w:numFmt w:val="decimal"/>
      <w:lvlText w:val="%1.%2."/>
      <w:lvlJc w:val="left"/>
      <w:pPr>
        <w:ind w:left="2574" w:hanging="706"/>
        <w:jc w:val="left"/>
      </w:pPr>
      <w:rPr>
        <w:rFonts w:ascii="Arial" w:eastAsia="Arial" w:hAnsi="Arial" w:cs="Arial" w:hint="default"/>
        <w:w w:val="100"/>
        <w:sz w:val="22"/>
        <w:szCs w:val="22"/>
        <w:lang w:val="es-ES" w:eastAsia="en-US" w:bidi="ar-SA"/>
      </w:rPr>
    </w:lvl>
    <w:lvl w:ilvl="2">
      <w:start w:val="1"/>
      <w:numFmt w:val="lowerLetter"/>
      <w:lvlText w:val="%3."/>
      <w:lvlJc w:val="left"/>
      <w:pPr>
        <w:ind w:left="2574" w:hanging="425"/>
        <w:jc w:val="left"/>
      </w:pPr>
      <w:rPr>
        <w:rFonts w:ascii="Arial" w:eastAsia="Arial" w:hAnsi="Arial" w:cs="Arial" w:hint="default"/>
        <w:spacing w:val="-1"/>
        <w:w w:val="100"/>
        <w:sz w:val="22"/>
        <w:szCs w:val="22"/>
        <w:lang w:val="es-ES" w:eastAsia="en-US" w:bidi="ar-SA"/>
      </w:rPr>
    </w:lvl>
    <w:lvl w:ilvl="3">
      <w:numFmt w:val="bullet"/>
      <w:lvlText w:val="•"/>
      <w:lvlJc w:val="left"/>
      <w:pPr>
        <w:ind w:left="5076" w:hanging="425"/>
      </w:pPr>
      <w:rPr>
        <w:rFonts w:hint="default"/>
        <w:lang w:val="es-ES" w:eastAsia="en-US" w:bidi="ar-SA"/>
      </w:rPr>
    </w:lvl>
    <w:lvl w:ilvl="4">
      <w:numFmt w:val="bullet"/>
      <w:lvlText w:val="•"/>
      <w:lvlJc w:val="left"/>
      <w:pPr>
        <w:ind w:left="5908" w:hanging="425"/>
      </w:pPr>
      <w:rPr>
        <w:rFonts w:hint="default"/>
        <w:lang w:val="es-ES" w:eastAsia="en-US" w:bidi="ar-SA"/>
      </w:rPr>
    </w:lvl>
    <w:lvl w:ilvl="5">
      <w:numFmt w:val="bullet"/>
      <w:lvlText w:val="•"/>
      <w:lvlJc w:val="left"/>
      <w:pPr>
        <w:ind w:left="6741" w:hanging="425"/>
      </w:pPr>
      <w:rPr>
        <w:rFonts w:hint="default"/>
        <w:lang w:val="es-ES" w:eastAsia="en-US" w:bidi="ar-SA"/>
      </w:rPr>
    </w:lvl>
    <w:lvl w:ilvl="6">
      <w:numFmt w:val="bullet"/>
      <w:lvlText w:val="•"/>
      <w:lvlJc w:val="left"/>
      <w:pPr>
        <w:ind w:left="7573" w:hanging="425"/>
      </w:pPr>
      <w:rPr>
        <w:rFonts w:hint="default"/>
        <w:lang w:val="es-ES" w:eastAsia="en-US" w:bidi="ar-SA"/>
      </w:rPr>
    </w:lvl>
    <w:lvl w:ilvl="7">
      <w:numFmt w:val="bullet"/>
      <w:lvlText w:val="•"/>
      <w:lvlJc w:val="left"/>
      <w:pPr>
        <w:ind w:left="8405" w:hanging="425"/>
      </w:pPr>
      <w:rPr>
        <w:rFonts w:hint="default"/>
        <w:lang w:val="es-ES" w:eastAsia="en-US" w:bidi="ar-SA"/>
      </w:rPr>
    </w:lvl>
    <w:lvl w:ilvl="8">
      <w:numFmt w:val="bullet"/>
      <w:lvlText w:val="•"/>
      <w:lvlJc w:val="left"/>
      <w:pPr>
        <w:ind w:left="9237" w:hanging="425"/>
      </w:pPr>
      <w:rPr>
        <w:rFonts w:hint="default"/>
        <w:lang w:val="es-ES" w:eastAsia="en-US" w:bidi="ar-SA"/>
      </w:rPr>
    </w:lvl>
  </w:abstractNum>
  <w:abstractNum w:abstractNumId="2">
    <w:nsid w:val="37C4264B"/>
    <w:multiLevelType w:val="multilevel"/>
    <w:tmpl w:val="FE6E56F6"/>
    <w:lvl w:ilvl="0">
      <w:start w:val="5"/>
      <w:numFmt w:val="decimal"/>
      <w:lvlText w:val="%1"/>
      <w:lvlJc w:val="left"/>
      <w:pPr>
        <w:ind w:left="2150" w:hanging="708"/>
        <w:jc w:val="left"/>
      </w:pPr>
      <w:rPr>
        <w:rFonts w:hint="default"/>
        <w:lang w:val="es-ES" w:eastAsia="en-US" w:bidi="ar-SA"/>
      </w:rPr>
    </w:lvl>
    <w:lvl w:ilvl="1">
      <w:start w:val="1"/>
      <w:numFmt w:val="decimal"/>
      <w:lvlText w:val="%1.%2"/>
      <w:lvlJc w:val="left"/>
      <w:pPr>
        <w:ind w:left="2150" w:hanging="708"/>
        <w:jc w:val="left"/>
      </w:pPr>
      <w:rPr>
        <w:rFonts w:ascii="Arial" w:eastAsia="Arial" w:hAnsi="Arial" w:cs="Arial" w:hint="default"/>
        <w:w w:val="100"/>
        <w:sz w:val="22"/>
        <w:szCs w:val="22"/>
        <w:lang w:val="es-ES" w:eastAsia="en-US" w:bidi="ar-SA"/>
      </w:rPr>
    </w:lvl>
    <w:lvl w:ilvl="2">
      <w:numFmt w:val="bullet"/>
      <w:lvlText w:val="•"/>
      <w:lvlJc w:val="left"/>
      <w:pPr>
        <w:ind w:left="3908" w:hanging="708"/>
      </w:pPr>
      <w:rPr>
        <w:rFonts w:hint="default"/>
        <w:lang w:val="es-ES" w:eastAsia="en-US" w:bidi="ar-SA"/>
      </w:rPr>
    </w:lvl>
    <w:lvl w:ilvl="3">
      <w:numFmt w:val="bullet"/>
      <w:lvlText w:val="•"/>
      <w:lvlJc w:val="left"/>
      <w:pPr>
        <w:ind w:left="4782" w:hanging="708"/>
      </w:pPr>
      <w:rPr>
        <w:rFonts w:hint="default"/>
        <w:lang w:val="es-ES" w:eastAsia="en-US" w:bidi="ar-SA"/>
      </w:rPr>
    </w:lvl>
    <w:lvl w:ilvl="4">
      <w:numFmt w:val="bullet"/>
      <w:lvlText w:val="•"/>
      <w:lvlJc w:val="left"/>
      <w:pPr>
        <w:ind w:left="5656" w:hanging="708"/>
      </w:pPr>
      <w:rPr>
        <w:rFonts w:hint="default"/>
        <w:lang w:val="es-ES" w:eastAsia="en-US" w:bidi="ar-SA"/>
      </w:rPr>
    </w:lvl>
    <w:lvl w:ilvl="5">
      <w:numFmt w:val="bullet"/>
      <w:lvlText w:val="•"/>
      <w:lvlJc w:val="left"/>
      <w:pPr>
        <w:ind w:left="6531" w:hanging="708"/>
      </w:pPr>
      <w:rPr>
        <w:rFonts w:hint="default"/>
        <w:lang w:val="es-ES" w:eastAsia="en-US" w:bidi="ar-SA"/>
      </w:rPr>
    </w:lvl>
    <w:lvl w:ilvl="6">
      <w:numFmt w:val="bullet"/>
      <w:lvlText w:val="•"/>
      <w:lvlJc w:val="left"/>
      <w:pPr>
        <w:ind w:left="7405" w:hanging="708"/>
      </w:pPr>
      <w:rPr>
        <w:rFonts w:hint="default"/>
        <w:lang w:val="es-ES" w:eastAsia="en-US" w:bidi="ar-SA"/>
      </w:rPr>
    </w:lvl>
    <w:lvl w:ilvl="7">
      <w:numFmt w:val="bullet"/>
      <w:lvlText w:val="•"/>
      <w:lvlJc w:val="left"/>
      <w:pPr>
        <w:ind w:left="8279" w:hanging="708"/>
      </w:pPr>
      <w:rPr>
        <w:rFonts w:hint="default"/>
        <w:lang w:val="es-ES" w:eastAsia="en-US" w:bidi="ar-SA"/>
      </w:rPr>
    </w:lvl>
    <w:lvl w:ilvl="8">
      <w:numFmt w:val="bullet"/>
      <w:lvlText w:val="•"/>
      <w:lvlJc w:val="left"/>
      <w:pPr>
        <w:ind w:left="9153" w:hanging="708"/>
      </w:pPr>
      <w:rPr>
        <w:rFonts w:hint="default"/>
        <w:lang w:val="es-ES" w:eastAsia="en-US" w:bidi="ar-SA"/>
      </w:rPr>
    </w:lvl>
  </w:abstractNum>
  <w:abstractNum w:abstractNumId="3">
    <w:nsid w:val="443033CF"/>
    <w:multiLevelType w:val="hybridMultilevel"/>
    <w:tmpl w:val="8E8C0D96"/>
    <w:lvl w:ilvl="0" w:tplc="81B8DB72">
      <w:start w:val="1"/>
      <w:numFmt w:val="decimal"/>
      <w:lvlText w:val="%1."/>
      <w:lvlJc w:val="left"/>
      <w:pPr>
        <w:ind w:left="1442" w:hanging="303"/>
        <w:jc w:val="left"/>
      </w:pPr>
      <w:rPr>
        <w:rFonts w:ascii="Arial" w:eastAsia="Arial" w:hAnsi="Arial" w:cs="Arial" w:hint="default"/>
        <w:w w:val="100"/>
        <w:sz w:val="22"/>
        <w:szCs w:val="22"/>
        <w:lang w:val="es-ES" w:eastAsia="en-US" w:bidi="ar-SA"/>
      </w:rPr>
    </w:lvl>
    <w:lvl w:ilvl="1" w:tplc="3D26695E">
      <w:numFmt w:val="bullet"/>
      <w:lvlText w:val="•"/>
      <w:lvlJc w:val="left"/>
      <w:pPr>
        <w:ind w:left="2386" w:hanging="303"/>
      </w:pPr>
      <w:rPr>
        <w:rFonts w:hint="default"/>
        <w:lang w:val="es-ES" w:eastAsia="en-US" w:bidi="ar-SA"/>
      </w:rPr>
    </w:lvl>
    <w:lvl w:ilvl="2" w:tplc="926842F8">
      <w:numFmt w:val="bullet"/>
      <w:lvlText w:val="•"/>
      <w:lvlJc w:val="left"/>
      <w:pPr>
        <w:ind w:left="3332" w:hanging="303"/>
      </w:pPr>
      <w:rPr>
        <w:rFonts w:hint="default"/>
        <w:lang w:val="es-ES" w:eastAsia="en-US" w:bidi="ar-SA"/>
      </w:rPr>
    </w:lvl>
    <w:lvl w:ilvl="3" w:tplc="8CCE494A">
      <w:numFmt w:val="bullet"/>
      <w:lvlText w:val="•"/>
      <w:lvlJc w:val="left"/>
      <w:pPr>
        <w:ind w:left="4278" w:hanging="303"/>
      </w:pPr>
      <w:rPr>
        <w:rFonts w:hint="default"/>
        <w:lang w:val="es-ES" w:eastAsia="en-US" w:bidi="ar-SA"/>
      </w:rPr>
    </w:lvl>
    <w:lvl w:ilvl="4" w:tplc="1EE6E828">
      <w:numFmt w:val="bullet"/>
      <w:lvlText w:val="•"/>
      <w:lvlJc w:val="left"/>
      <w:pPr>
        <w:ind w:left="5224" w:hanging="303"/>
      </w:pPr>
      <w:rPr>
        <w:rFonts w:hint="default"/>
        <w:lang w:val="es-ES" w:eastAsia="en-US" w:bidi="ar-SA"/>
      </w:rPr>
    </w:lvl>
    <w:lvl w:ilvl="5" w:tplc="E9085F40">
      <w:numFmt w:val="bullet"/>
      <w:lvlText w:val="•"/>
      <w:lvlJc w:val="left"/>
      <w:pPr>
        <w:ind w:left="6171" w:hanging="303"/>
      </w:pPr>
      <w:rPr>
        <w:rFonts w:hint="default"/>
        <w:lang w:val="es-ES" w:eastAsia="en-US" w:bidi="ar-SA"/>
      </w:rPr>
    </w:lvl>
    <w:lvl w:ilvl="6" w:tplc="74CE9286">
      <w:numFmt w:val="bullet"/>
      <w:lvlText w:val="•"/>
      <w:lvlJc w:val="left"/>
      <w:pPr>
        <w:ind w:left="7117" w:hanging="303"/>
      </w:pPr>
      <w:rPr>
        <w:rFonts w:hint="default"/>
        <w:lang w:val="es-ES" w:eastAsia="en-US" w:bidi="ar-SA"/>
      </w:rPr>
    </w:lvl>
    <w:lvl w:ilvl="7" w:tplc="8312B5F8">
      <w:numFmt w:val="bullet"/>
      <w:lvlText w:val="•"/>
      <w:lvlJc w:val="left"/>
      <w:pPr>
        <w:ind w:left="8063" w:hanging="303"/>
      </w:pPr>
      <w:rPr>
        <w:rFonts w:hint="default"/>
        <w:lang w:val="es-ES" w:eastAsia="en-US" w:bidi="ar-SA"/>
      </w:rPr>
    </w:lvl>
    <w:lvl w:ilvl="8" w:tplc="76FE700A">
      <w:numFmt w:val="bullet"/>
      <w:lvlText w:val="•"/>
      <w:lvlJc w:val="left"/>
      <w:pPr>
        <w:ind w:left="9009" w:hanging="303"/>
      </w:pPr>
      <w:rPr>
        <w:rFonts w:hint="default"/>
        <w:lang w:val="es-ES" w:eastAsia="en-US" w:bidi="ar-SA"/>
      </w:rPr>
    </w:lvl>
  </w:abstractNum>
  <w:abstractNum w:abstractNumId="4">
    <w:nsid w:val="50B73CF7"/>
    <w:multiLevelType w:val="multilevel"/>
    <w:tmpl w:val="822C7972"/>
    <w:lvl w:ilvl="0">
      <w:start w:val="6"/>
      <w:numFmt w:val="decimal"/>
      <w:lvlText w:val="%1"/>
      <w:lvlJc w:val="left"/>
      <w:pPr>
        <w:ind w:left="2162" w:hanging="708"/>
        <w:jc w:val="left"/>
      </w:pPr>
      <w:rPr>
        <w:rFonts w:hint="default"/>
        <w:lang w:val="es-ES" w:eastAsia="en-US" w:bidi="ar-SA"/>
      </w:rPr>
    </w:lvl>
    <w:lvl w:ilvl="1">
      <w:start w:val="1"/>
      <w:numFmt w:val="decimal"/>
      <w:lvlText w:val="%1.%2."/>
      <w:lvlJc w:val="left"/>
      <w:pPr>
        <w:ind w:left="2162" w:hanging="708"/>
        <w:jc w:val="left"/>
      </w:pPr>
      <w:rPr>
        <w:rFonts w:ascii="Arial" w:eastAsia="Arial" w:hAnsi="Arial" w:cs="Arial" w:hint="default"/>
        <w:w w:val="100"/>
        <w:sz w:val="22"/>
        <w:szCs w:val="22"/>
        <w:lang w:val="es-ES" w:eastAsia="en-US" w:bidi="ar-SA"/>
      </w:rPr>
    </w:lvl>
    <w:lvl w:ilvl="2">
      <w:start w:val="1"/>
      <w:numFmt w:val="lowerLetter"/>
      <w:lvlText w:val="%3."/>
      <w:lvlJc w:val="left"/>
      <w:pPr>
        <w:ind w:left="2522" w:hanging="360"/>
        <w:jc w:val="left"/>
      </w:pPr>
      <w:rPr>
        <w:rFonts w:ascii="Arial" w:eastAsia="Arial" w:hAnsi="Arial" w:cs="Arial" w:hint="default"/>
        <w:spacing w:val="-1"/>
        <w:w w:val="100"/>
        <w:sz w:val="22"/>
        <w:szCs w:val="22"/>
        <w:lang w:val="es-ES" w:eastAsia="en-US" w:bidi="ar-SA"/>
      </w:rPr>
    </w:lvl>
    <w:lvl w:ilvl="3">
      <w:numFmt w:val="bullet"/>
      <w:lvlText w:val="•"/>
      <w:lvlJc w:val="left"/>
      <w:pPr>
        <w:ind w:left="4382" w:hanging="360"/>
      </w:pPr>
      <w:rPr>
        <w:rFonts w:hint="default"/>
        <w:lang w:val="es-ES" w:eastAsia="en-US" w:bidi="ar-SA"/>
      </w:rPr>
    </w:lvl>
    <w:lvl w:ilvl="4">
      <w:numFmt w:val="bullet"/>
      <w:lvlText w:val="•"/>
      <w:lvlJc w:val="left"/>
      <w:pPr>
        <w:ind w:left="5314" w:hanging="360"/>
      </w:pPr>
      <w:rPr>
        <w:rFonts w:hint="default"/>
        <w:lang w:val="es-ES" w:eastAsia="en-US" w:bidi="ar-SA"/>
      </w:rPr>
    </w:lvl>
    <w:lvl w:ilvl="5">
      <w:numFmt w:val="bullet"/>
      <w:lvlText w:val="•"/>
      <w:lvlJc w:val="left"/>
      <w:pPr>
        <w:ind w:left="6245" w:hanging="360"/>
      </w:pPr>
      <w:rPr>
        <w:rFonts w:hint="default"/>
        <w:lang w:val="es-ES" w:eastAsia="en-US" w:bidi="ar-SA"/>
      </w:rPr>
    </w:lvl>
    <w:lvl w:ilvl="6">
      <w:numFmt w:val="bullet"/>
      <w:lvlText w:val="•"/>
      <w:lvlJc w:val="left"/>
      <w:pPr>
        <w:ind w:left="7176" w:hanging="360"/>
      </w:pPr>
      <w:rPr>
        <w:rFonts w:hint="default"/>
        <w:lang w:val="es-ES" w:eastAsia="en-US" w:bidi="ar-SA"/>
      </w:rPr>
    </w:lvl>
    <w:lvl w:ilvl="7">
      <w:numFmt w:val="bullet"/>
      <w:lvlText w:val="•"/>
      <w:lvlJc w:val="left"/>
      <w:pPr>
        <w:ind w:left="8108" w:hanging="360"/>
      </w:pPr>
      <w:rPr>
        <w:rFonts w:hint="default"/>
        <w:lang w:val="es-ES" w:eastAsia="en-US" w:bidi="ar-SA"/>
      </w:rPr>
    </w:lvl>
    <w:lvl w:ilvl="8">
      <w:numFmt w:val="bullet"/>
      <w:lvlText w:val="•"/>
      <w:lvlJc w:val="left"/>
      <w:pPr>
        <w:ind w:left="9039" w:hanging="360"/>
      </w:pPr>
      <w:rPr>
        <w:rFonts w:hint="default"/>
        <w:lang w:val="es-ES" w:eastAsia="en-US" w:bidi="ar-SA"/>
      </w:rPr>
    </w:lvl>
  </w:abstractNum>
  <w:abstractNum w:abstractNumId="5">
    <w:nsid w:val="5A610425"/>
    <w:multiLevelType w:val="hybridMultilevel"/>
    <w:tmpl w:val="76BC90EC"/>
    <w:lvl w:ilvl="0" w:tplc="4978E616">
      <w:start w:val="1"/>
      <w:numFmt w:val="lowerLetter"/>
      <w:lvlText w:val="%1."/>
      <w:lvlJc w:val="left"/>
      <w:pPr>
        <w:ind w:left="2150" w:hanging="348"/>
        <w:jc w:val="left"/>
      </w:pPr>
      <w:rPr>
        <w:rFonts w:ascii="Arial" w:eastAsia="Arial" w:hAnsi="Arial" w:cs="Arial" w:hint="default"/>
        <w:spacing w:val="-1"/>
        <w:w w:val="100"/>
        <w:sz w:val="22"/>
        <w:szCs w:val="22"/>
        <w:lang w:val="es-ES" w:eastAsia="en-US" w:bidi="ar-SA"/>
      </w:rPr>
    </w:lvl>
    <w:lvl w:ilvl="1" w:tplc="75A262EA">
      <w:numFmt w:val="bullet"/>
      <w:lvlText w:val="•"/>
      <w:lvlJc w:val="left"/>
      <w:pPr>
        <w:ind w:left="3034" w:hanging="348"/>
      </w:pPr>
      <w:rPr>
        <w:rFonts w:hint="default"/>
        <w:lang w:val="es-ES" w:eastAsia="en-US" w:bidi="ar-SA"/>
      </w:rPr>
    </w:lvl>
    <w:lvl w:ilvl="2" w:tplc="0DACBB2C">
      <w:numFmt w:val="bullet"/>
      <w:lvlText w:val="•"/>
      <w:lvlJc w:val="left"/>
      <w:pPr>
        <w:ind w:left="3908" w:hanging="348"/>
      </w:pPr>
      <w:rPr>
        <w:rFonts w:hint="default"/>
        <w:lang w:val="es-ES" w:eastAsia="en-US" w:bidi="ar-SA"/>
      </w:rPr>
    </w:lvl>
    <w:lvl w:ilvl="3" w:tplc="32D47B9C">
      <w:numFmt w:val="bullet"/>
      <w:lvlText w:val="•"/>
      <w:lvlJc w:val="left"/>
      <w:pPr>
        <w:ind w:left="4782" w:hanging="348"/>
      </w:pPr>
      <w:rPr>
        <w:rFonts w:hint="default"/>
        <w:lang w:val="es-ES" w:eastAsia="en-US" w:bidi="ar-SA"/>
      </w:rPr>
    </w:lvl>
    <w:lvl w:ilvl="4" w:tplc="979A8714">
      <w:numFmt w:val="bullet"/>
      <w:lvlText w:val="•"/>
      <w:lvlJc w:val="left"/>
      <w:pPr>
        <w:ind w:left="5656" w:hanging="348"/>
      </w:pPr>
      <w:rPr>
        <w:rFonts w:hint="default"/>
        <w:lang w:val="es-ES" w:eastAsia="en-US" w:bidi="ar-SA"/>
      </w:rPr>
    </w:lvl>
    <w:lvl w:ilvl="5" w:tplc="89D406C6">
      <w:numFmt w:val="bullet"/>
      <w:lvlText w:val="•"/>
      <w:lvlJc w:val="left"/>
      <w:pPr>
        <w:ind w:left="6531" w:hanging="348"/>
      </w:pPr>
      <w:rPr>
        <w:rFonts w:hint="default"/>
        <w:lang w:val="es-ES" w:eastAsia="en-US" w:bidi="ar-SA"/>
      </w:rPr>
    </w:lvl>
    <w:lvl w:ilvl="6" w:tplc="52586742">
      <w:numFmt w:val="bullet"/>
      <w:lvlText w:val="•"/>
      <w:lvlJc w:val="left"/>
      <w:pPr>
        <w:ind w:left="7405" w:hanging="348"/>
      </w:pPr>
      <w:rPr>
        <w:rFonts w:hint="default"/>
        <w:lang w:val="es-ES" w:eastAsia="en-US" w:bidi="ar-SA"/>
      </w:rPr>
    </w:lvl>
    <w:lvl w:ilvl="7" w:tplc="E4D2E470">
      <w:numFmt w:val="bullet"/>
      <w:lvlText w:val="•"/>
      <w:lvlJc w:val="left"/>
      <w:pPr>
        <w:ind w:left="8279" w:hanging="348"/>
      </w:pPr>
      <w:rPr>
        <w:rFonts w:hint="default"/>
        <w:lang w:val="es-ES" w:eastAsia="en-US" w:bidi="ar-SA"/>
      </w:rPr>
    </w:lvl>
    <w:lvl w:ilvl="8" w:tplc="2F96D968">
      <w:numFmt w:val="bullet"/>
      <w:lvlText w:val="•"/>
      <w:lvlJc w:val="left"/>
      <w:pPr>
        <w:ind w:left="9153" w:hanging="348"/>
      </w:pPr>
      <w:rPr>
        <w:rFonts w:hint="default"/>
        <w:lang w:val="es-ES" w:eastAsia="en-US" w:bidi="ar-SA"/>
      </w:rPr>
    </w:lvl>
  </w:abstractNum>
  <w:abstractNum w:abstractNumId="6">
    <w:nsid w:val="5CA615E0"/>
    <w:multiLevelType w:val="multilevel"/>
    <w:tmpl w:val="76D2F1F8"/>
    <w:lvl w:ilvl="0">
      <w:start w:val="7"/>
      <w:numFmt w:val="decimal"/>
      <w:lvlText w:val="%1"/>
      <w:lvlJc w:val="left"/>
      <w:pPr>
        <w:ind w:left="2522" w:hanging="720"/>
        <w:jc w:val="left"/>
      </w:pPr>
      <w:rPr>
        <w:rFonts w:hint="default"/>
        <w:lang w:val="es-ES" w:eastAsia="en-US" w:bidi="ar-SA"/>
      </w:rPr>
    </w:lvl>
    <w:lvl w:ilvl="1">
      <w:start w:val="1"/>
      <w:numFmt w:val="decimal"/>
      <w:lvlText w:val="%1.%2."/>
      <w:lvlJc w:val="left"/>
      <w:pPr>
        <w:ind w:left="2522" w:hanging="720"/>
        <w:jc w:val="left"/>
      </w:pPr>
      <w:rPr>
        <w:rFonts w:ascii="Arial" w:eastAsia="Arial" w:hAnsi="Arial" w:cs="Arial" w:hint="default"/>
        <w:w w:val="100"/>
        <w:sz w:val="22"/>
        <w:szCs w:val="22"/>
        <w:lang w:val="es-ES" w:eastAsia="en-US" w:bidi="ar-SA"/>
      </w:rPr>
    </w:lvl>
    <w:lvl w:ilvl="2">
      <w:numFmt w:val="bullet"/>
      <w:lvlText w:val="•"/>
      <w:lvlJc w:val="left"/>
      <w:pPr>
        <w:ind w:left="4196" w:hanging="720"/>
      </w:pPr>
      <w:rPr>
        <w:rFonts w:hint="default"/>
        <w:lang w:val="es-ES" w:eastAsia="en-US" w:bidi="ar-SA"/>
      </w:rPr>
    </w:lvl>
    <w:lvl w:ilvl="3">
      <w:numFmt w:val="bullet"/>
      <w:lvlText w:val="•"/>
      <w:lvlJc w:val="left"/>
      <w:pPr>
        <w:ind w:left="5034" w:hanging="720"/>
      </w:pPr>
      <w:rPr>
        <w:rFonts w:hint="default"/>
        <w:lang w:val="es-ES" w:eastAsia="en-US" w:bidi="ar-SA"/>
      </w:rPr>
    </w:lvl>
    <w:lvl w:ilvl="4">
      <w:numFmt w:val="bullet"/>
      <w:lvlText w:val="•"/>
      <w:lvlJc w:val="left"/>
      <w:pPr>
        <w:ind w:left="5872" w:hanging="720"/>
      </w:pPr>
      <w:rPr>
        <w:rFonts w:hint="default"/>
        <w:lang w:val="es-ES" w:eastAsia="en-US" w:bidi="ar-SA"/>
      </w:rPr>
    </w:lvl>
    <w:lvl w:ilvl="5">
      <w:numFmt w:val="bullet"/>
      <w:lvlText w:val="•"/>
      <w:lvlJc w:val="left"/>
      <w:pPr>
        <w:ind w:left="6711" w:hanging="720"/>
      </w:pPr>
      <w:rPr>
        <w:rFonts w:hint="default"/>
        <w:lang w:val="es-ES" w:eastAsia="en-US" w:bidi="ar-SA"/>
      </w:rPr>
    </w:lvl>
    <w:lvl w:ilvl="6">
      <w:numFmt w:val="bullet"/>
      <w:lvlText w:val="•"/>
      <w:lvlJc w:val="left"/>
      <w:pPr>
        <w:ind w:left="7549" w:hanging="720"/>
      </w:pPr>
      <w:rPr>
        <w:rFonts w:hint="default"/>
        <w:lang w:val="es-ES" w:eastAsia="en-US" w:bidi="ar-SA"/>
      </w:rPr>
    </w:lvl>
    <w:lvl w:ilvl="7">
      <w:numFmt w:val="bullet"/>
      <w:lvlText w:val="•"/>
      <w:lvlJc w:val="left"/>
      <w:pPr>
        <w:ind w:left="8387" w:hanging="720"/>
      </w:pPr>
      <w:rPr>
        <w:rFonts w:hint="default"/>
        <w:lang w:val="es-ES" w:eastAsia="en-US" w:bidi="ar-SA"/>
      </w:rPr>
    </w:lvl>
    <w:lvl w:ilvl="8">
      <w:numFmt w:val="bullet"/>
      <w:lvlText w:val="•"/>
      <w:lvlJc w:val="left"/>
      <w:pPr>
        <w:ind w:left="9225" w:hanging="720"/>
      </w:pPr>
      <w:rPr>
        <w:rFonts w:hint="default"/>
        <w:lang w:val="es-ES" w:eastAsia="en-US" w:bidi="ar-SA"/>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3C"/>
    <w:rsid w:val="00063D9E"/>
    <w:rsid w:val="00B327D9"/>
    <w:rsid w:val="00BA6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0F80B-2FEA-40FD-8E4F-2DA1795E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62" w:right="3422"/>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57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majudicial.gov.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hyperlink" Target="http://www.ramajudicial.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3462</Words>
  <Characters>19044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[CODE]</vt:lpstr>
    </vt:vector>
  </TitlesOfParts>
  <Company/>
  <LinksUpToDate>false</LinksUpToDate>
  <CharactersWithSpaces>22462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MANUEL GUILLERMO MANTILLA CELIS</cp:lastModifiedBy>
  <cp:revision>2</cp:revision>
  <dcterms:created xsi:type="dcterms:W3CDTF">2020-04-26T14:51:00Z</dcterms:created>
  <dcterms:modified xsi:type="dcterms:W3CDTF">2020-04-26T14:51:00Z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2020-04-25T00:00:00Z</vt:filetime>
  </property>
  <property fmtid="{D5CDD505-2E9C-101B-9397-08002B2CF9AE}" pid="3" name="Creator">
    <vt:lpwstr>Microsoft® Word 2019</vt:lpwstr>
  </property>
  <property fmtid="{D5CDD505-2E9C-101B-9397-08002B2CF9AE}" pid="4" name="LastSaved">
    <vt:filetime>2020-04-26T00:00:00Z</vt:filetime>
  </property>
</Properties>
</file>