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C19" w:rsidRPr="001B1080" w:rsidRDefault="005A0C19" w:rsidP="00A83B99">
      <w:pPr>
        <w:contextualSpacing/>
        <w:jc w:val="center"/>
        <w:rPr>
          <w:rFonts w:ascii="Lucida Sans Unicode" w:hAnsi="Lucida Sans Unicode" w:cs="Lucida Sans Unicode"/>
          <w:b/>
          <w:sz w:val="24"/>
          <w:szCs w:val="24"/>
        </w:rPr>
      </w:pPr>
      <w:r w:rsidRPr="001B1080">
        <w:rPr>
          <w:rFonts w:ascii="Lucida Sans Unicode" w:hAnsi="Lucida Sans Unicode" w:cs="Lucida Sans Unicode"/>
          <w:b/>
          <w:sz w:val="24"/>
          <w:szCs w:val="24"/>
        </w:rPr>
        <w:t>EL SERVICIO MÉDICO ASISTENCIAL Y LOS CONFLICTOS CONSTITUCIONALES Y DE REPARACIÓN DIRECTA</w:t>
      </w:r>
    </w:p>
    <w:p w:rsidR="005A0C19" w:rsidRPr="001B1080" w:rsidRDefault="005A0C19" w:rsidP="00A83B99">
      <w:pPr>
        <w:contextualSpacing/>
        <w:jc w:val="both"/>
        <w:rPr>
          <w:rFonts w:ascii="Lucida Sans Unicode" w:hAnsi="Lucida Sans Unicode" w:cs="Lucida Sans Unicode"/>
          <w:b/>
          <w:sz w:val="24"/>
          <w:szCs w:val="24"/>
        </w:rPr>
      </w:pPr>
    </w:p>
    <w:p w:rsidR="00CA1E5B" w:rsidRPr="001B1080" w:rsidRDefault="00CA1E5B" w:rsidP="00A83B99">
      <w:pPr>
        <w:contextualSpacing/>
        <w:jc w:val="both"/>
        <w:rPr>
          <w:rFonts w:ascii="Lucida Sans Unicode" w:hAnsi="Lucida Sans Unicode" w:cs="Lucida Sans Unicode"/>
          <w:sz w:val="22"/>
          <w:szCs w:val="24"/>
          <w:lang w:val="es-ES"/>
        </w:rPr>
      </w:pPr>
    </w:p>
    <w:p w:rsidR="00CA1E5B" w:rsidRPr="001B1080" w:rsidRDefault="00CA1E5B" w:rsidP="00A83B99">
      <w:pPr>
        <w:contextualSpacing/>
        <w:jc w:val="both"/>
        <w:rPr>
          <w:rFonts w:ascii="Lucida Sans Unicode" w:hAnsi="Lucida Sans Unicode" w:cs="Lucida Sans Unicode"/>
          <w:b/>
          <w:sz w:val="24"/>
          <w:szCs w:val="24"/>
          <w:lang w:val="es-ES"/>
        </w:rPr>
      </w:pPr>
      <w:r w:rsidRPr="001B1080">
        <w:rPr>
          <w:rFonts w:ascii="Lucida Sans Unicode" w:hAnsi="Lucida Sans Unicode" w:cs="Lucida Sans Unicode"/>
          <w:b/>
          <w:sz w:val="24"/>
          <w:szCs w:val="24"/>
          <w:lang w:val="es-ES"/>
        </w:rPr>
        <w:t>SOBRE EL SERVICIO MÉDICO.</w:t>
      </w:r>
    </w:p>
    <w:p w:rsidR="00CA1E5B" w:rsidRPr="001B1080" w:rsidRDefault="00CA1E5B" w:rsidP="00A83B99">
      <w:pPr>
        <w:contextualSpacing/>
        <w:jc w:val="both"/>
        <w:rPr>
          <w:rFonts w:ascii="Lucida Sans Unicode" w:hAnsi="Lucida Sans Unicode" w:cs="Lucida Sans Unicode"/>
          <w:sz w:val="24"/>
          <w:szCs w:val="24"/>
          <w:lang w:val="es-ES"/>
        </w:rPr>
      </w:pPr>
    </w:p>
    <w:p w:rsidR="005E527F" w:rsidRPr="001B1080" w:rsidRDefault="00B8133B" w:rsidP="00A83B99">
      <w:pPr>
        <w:contextualSpacing/>
        <w:jc w:val="both"/>
        <w:rPr>
          <w:rFonts w:ascii="Lucida Sans Unicode" w:hAnsi="Lucida Sans Unicode" w:cs="Lucida Sans Unicode"/>
          <w:sz w:val="24"/>
          <w:szCs w:val="24"/>
          <w:lang w:val="es-ES"/>
        </w:rPr>
      </w:pPr>
      <w:r w:rsidRPr="001B1080">
        <w:rPr>
          <w:rFonts w:ascii="Lucida Sans Unicode" w:hAnsi="Lucida Sans Unicode" w:cs="Lucida Sans Unicode"/>
          <w:sz w:val="24"/>
          <w:szCs w:val="24"/>
          <w:lang w:val="es-ES"/>
        </w:rPr>
        <w:t>La fuente constitucional se encuentra en el artículo</w:t>
      </w:r>
      <w:r w:rsidR="005E527F" w:rsidRPr="001B1080">
        <w:rPr>
          <w:rFonts w:ascii="Lucida Sans Unicode" w:hAnsi="Lucida Sans Unicode" w:cs="Lucida Sans Unicode"/>
          <w:sz w:val="24"/>
          <w:szCs w:val="24"/>
          <w:lang w:val="es-ES"/>
        </w:rPr>
        <w:t xml:space="preserve"> 49 de la Carta Política, en donde se establece la atención de la salud como un servicio público a cargo del Estado, pero dentro del decálogo de derechos sociales, económicos y culturales</w:t>
      </w:r>
      <w:r w:rsidR="003626CD">
        <w:rPr>
          <w:rFonts w:ascii="Lucida Sans Unicode" w:hAnsi="Lucida Sans Unicode" w:cs="Lucida Sans Unicode"/>
          <w:sz w:val="24"/>
          <w:szCs w:val="24"/>
          <w:lang w:val="es-ES"/>
        </w:rPr>
        <w:t>; razón por la cual su concreción es de carácter progresivo</w:t>
      </w:r>
      <w:r w:rsidR="005E527F" w:rsidRPr="001B1080">
        <w:rPr>
          <w:rFonts w:ascii="Lucida Sans Unicode" w:hAnsi="Lucida Sans Unicode" w:cs="Lucida Sans Unicode"/>
          <w:sz w:val="24"/>
          <w:szCs w:val="24"/>
          <w:lang w:val="es-ES"/>
        </w:rPr>
        <w:t>.</w:t>
      </w:r>
    </w:p>
    <w:p w:rsidR="005E527F" w:rsidRPr="001B1080" w:rsidRDefault="005E527F" w:rsidP="00A83B99">
      <w:pPr>
        <w:contextualSpacing/>
        <w:jc w:val="both"/>
        <w:rPr>
          <w:rFonts w:ascii="Lucida Sans Unicode" w:hAnsi="Lucida Sans Unicode" w:cs="Lucida Sans Unicode"/>
          <w:sz w:val="24"/>
          <w:szCs w:val="24"/>
          <w:lang w:val="es-ES"/>
        </w:rPr>
      </w:pPr>
    </w:p>
    <w:p w:rsidR="001B54EF" w:rsidRDefault="003626CD" w:rsidP="00A83B99">
      <w:pPr>
        <w:contextualSpacing/>
        <w:jc w:val="both"/>
        <w:rPr>
          <w:rFonts w:ascii="Lucida Sans Unicode" w:hAnsi="Lucida Sans Unicode" w:cs="Lucida Sans Unicode"/>
          <w:sz w:val="24"/>
          <w:szCs w:val="24"/>
          <w:lang w:val="es-ES"/>
        </w:rPr>
      </w:pPr>
      <w:r>
        <w:rPr>
          <w:rFonts w:ascii="Lucida Sans Unicode" w:hAnsi="Lucida Sans Unicode" w:cs="Lucida Sans Unicode"/>
          <w:sz w:val="24"/>
          <w:szCs w:val="24"/>
          <w:lang w:val="es-ES"/>
        </w:rPr>
        <w:t xml:space="preserve">La fuente legal inicia con </w:t>
      </w:r>
      <w:r w:rsidR="005E527F" w:rsidRPr="001B1080">
        <w:rPr>
          <w:rFonts w:ascii="Lucida Sans Unicode" w:hAnsi="Lucida Sans Unicode" w:cs="Lucida Sans Unicode"/>
          <w:sz w:val="24"/>
          <w:szCs w:val="24"/>
          <w:lang w:val="es-ES"/>
        </w:rPr>
        <w:t xml:space="preserve"> la ley 100 de 1993</w:t>
      </w:r>
      <w:r>
        <w:rPr>
          <w:rFonts w:ascii="Lucida Sans Unicode" w:hAnsi="Lucida Sans Unicode" w:cs="Lucida Sans Unicode"/>
          <w:sz w:val="24"/>
          <w:szCs w:val="24"/>
          <w:lang w:val="es-ES"/>
        </w:rPr>
        <w:t>, que</w:t>
      </w:r>
      <w:r w:rsidR="005E527F" w:rsidRPr="001B1080">
        <w:rPr>
          <w:rFonts w:ascii="Lucida Sans Unicode" w:hAnsi="Lucida Sans Unicode" w:cs="Lucida Sans Unicode"/>
          <w:sz w:val="24"/>
          <w:szCs w:val="24"/>
          <w:lang w:val="es-ES"/>
        </w:rPr>
        <w:t xml:space="preserve"> organizó todo el sistema</w:t>
      </w:r>
      <w:r w:rsidR="001B54EF" w:rsidRPr="001B1080">
        <w:rPr>
          <w:rFonts w:ascii="Lucida Sans Unicode" w:hAnsi="Lucida Sans Unicode" w:cs="Lucida Sans Unicode"/>
          <w:sz w:val="24"/>
          <w:szCs w:val="24"/>
          <w:lang w:val="es-ES"/>
        </w:rPr>
        <w:t xml:space="preserve"> general</w:t>
      </w:r>
      <w:r w:rsidR="005E527F" w:rsidRPr="001B1080">
        <w:rPr>
          <w:rFonts w:ascii="Lucida Sans Unicode" w:hAnsi="Lucida Sans Unicode" w:cs="Lucida Sans Unicode"/>
          <w:sz w:val="24"/>
          <w:szCs w:val="24"/>
          <w:lang w:val="es-ES"/>
        </w:rPr>
        <w:t xml:space="preserve"> de</w:t>
      </w:r>
      <w:r w:rsidR="001B54EF" w:rsidRPr="001B1080">
        <w:rPr>
          <w:rFonts w:ascii="Lucida Sans Unicode" w:hAnsi="Lucida Sans Unicode" w:cs="Lucida Sans Unicode"/>
          <w:sz w:val="24"/>
          <w:szCs w:val="24"/>
          <w:lang w:val="es-ES"/>
        </w:rPr>
        <w:t xml:space="preserve"> seguridad social integral, entre otros el de la prestación</w:t>
      </w:r>
      <w:r w:rsidR="005E527F" w:rsidRPr="001B1080">
        <w:rPr>
          <w:rFonts w:ascii="Lucida Sans Unicode" w:hAnsi="Lucida Sans Unicode" w:cs="Lucida Sans Unicode"/>
          <w:sz w:val="24"/>
          <w:szCs w:val="24"/>
          <w:lang w:val="es-ES"/>
        </w:rPr>
        <w:t xml:space="preserve"> del mencionado </w:t>
      </w:r>
      <w:r w:rsidR="001B54EF" w:rsidRPr="001B1080">
        <w:rPr>
          <w:rFonts w:ascii="Lucida Sans Unicode" w:hAnsi="Lucida Sans Unicode" w:cs="Lucida Sans Unicode"/>
          <w:sz w:val="24"/>
          <w:szCs w:val="24"/>
          <w:lang w:val="es-ES"/>
        </w:rPr>
        <w:t>servicio en salud; para lo cual se instituyen los organismos prestadores (llamados EPS y aquéllos que directamente dispensan la atención al paciente o usuario, esto es la</w:t>
      </w:r>
      <w:r>
        <w:rPr>
          <w:rFonts w:ascii="Lucida Sans Unicode" w:hAnsi="Lucida Sans Unicode" w:cs="Lucida Sans Unicode"/>
          <w:sz w:val="24"/>
          <w:szCs w:val="24"/>
          <w:lang w:val="es-ES"/>
        </w:rPr>
        <w:t>s</w:t>
      </w:r>
      <w:r w:rsidR="001B54EF" w:rsidRPr="001B1080">
        <w:rPr>
          <w:rFonts w:ascii="Lucida Sans Unicode" w:hAnsi="Lucida Sans Unicode" w:cs="Lucida Sans Unicode"/>
          <w:sz w:val="24"/>
          <w:szCs w:val="24"/>
          <w:lang w:val="es-ES"/>
        </w:rPr>
        <w:t xml:space="preserve"> IPS’S)</w:t>
      </w:r>
      <w:r>
        <w:rPr>
          <w:rFonts w:ascii="Lucida Sans Unicode" w:hAnsi="Lucida Sans Unicode" w:cs="Lucida Sans Unicode"/>
          <w:sz w:val="24"/>
          <w:szCs w:val="24"/>
          <w:lang w:val="es-ES"/>
        </w:rPr>
        <w:t>; los primeros son intermediarios y manejan los recursos existentes y contratan con los segundos creándose una verdadera traba para el cabal y eficiente acceso a los servicios.</w:t>
      </w:r>
    </w:p>
    <w:p w:rsidR="003626CD" w:rsidRDefault="003626CD" w:rsidP="00A83B99">
      <w:pPr>
        <w:contextualSpacing/>
        <w:jc w:val="both"/>
        <w:rPr>
          <w:rFonts w:ascii="Lucida Sans Unicode" w:hAnsi="Lucida Sans Unicode" w:cs="Lucida Sans Unicode"/>
          <w:sz w:val="24"/>
          <w:szCs w:val="24"/>
          <w:lang w:val="es-ES"/>
        </w:rPr>
      </w:pPr>
    </w:p>
    <w:p w:rsidR="003626CD" w:rsidRPr="001B1080" w:rsidRDefault="003626CD" w:rsidP="00A83B99">
      <w:pPr>
        <w:contextualSpacing/>
        <w:jc w:val="both"/>
        <w:rPr>
          <w:rFonts w:ascii="Lucida Sans Unicode" w:hAnsi="Lucida Sans Unicode" w:cs="Lucida Sans Unicode"/>
          <w:sz w:val="24"/>
          <w:szCs w:val="24"/>
          <w:lang w:val="es-ES"/>
        </w:rPr>
      </w:pPr>
      <w:r>
        <w:rPr>
          <w:rFonts w:ascii="Lucida Sans Unicode" w:hAnsi="Lucida Sans Unicode" w:cs="Lucida Sans Unicode"/>
          <w:sz w:val="24"/>
          <w:szCs w:val="24"/>
          <w:lang w:val="es-ES"/>
        </w:rPr>
        <w:t xml:space="preserve">La filosofía que inspiró esta norma convirtió a la prestación del servicio de salud en un “negocio” que por tanto se ejerce con ánimo de lucro y desconoce abiertamente los propios postulados y principios establecidos en dicha ley.  </w:t>
      </w:r>
    </w:p>
    <w:p w:rsidR="001B54EF" w:rsidRPr="001B1080" w:rsidRDefault="001B54EF" w:rsidP="00A83B99">
      <w:pPr>
        <w:contextualSpacing/>
        <w:jc w:val="both"/>
        <w:rPr>
          <w:rFonts w:ascii="Lucida Sans Unicode" w:hAnsi="Lucida Sans Unicode" w:cs="Lucida Sans Unicode"/>
          <w:sz w:val="24"/>
          <w:szCs w:val="24"/>
          <w:lang w:val="es-ES"/>
        </w:rPr>
      </w:pPr>
    </w:p>
    <w:p w:rsidR="00BD055B" w:rsidRPr="001B1080" w:rsidRDefault="001B54EF" w:rsidP="00A83B99">
      <w:pPr>
        <w:contextualSpacing/>
        <w:jc w:val="both"/>
        <w:rPr>
          <w:rFonts w:ascii="Lucida Sans Unicode" w:hAnsi="Lucida Sans Unicode" w:cs="Lucida Sans Unicode"/>
          <w:sz w:val="24"/>
          <w:szCs w:val="24"/>
          <w:lang w:val="es-ES"/>
        </w:rPr>
      </w:pPr>
      <w:r w:rsidRPr="001B1080">
        <w:rPr>
          <w:rFonts w:ascii="Lucida Sans Unicode" w:hAnsi="Lucida Sans Unicode" w:cs="Lucida Sans Unicode"/>
          <w:sz w:val="24"/>
          <w:szCs w:val="24"/>
          <w:lang w:val="es-ES"/>
        </w:rPr>
        <w:t xml:space="preserve">Con posterioridad se han dictado diversas leyes que han tratado de organizar </w:t>
      </w:r>
      <w:r w:rsidR="00BD055B" w:rsidRPr="001B1080">
        <w:rPr>
          <w:rFonts w:ascii="Lucida Sans Unicode" w:hAnsi="Lucida Sans Unicode" w:cs="Lucida Sans Unicode"/>
          <w:sz w:val="24"/>
          <w:szCs w:val="24"/>
          <w:lang w:val="es-ES"/>
        </w:rPr>
        <w:t>estos servicios en aplicación a los principios rectores que la propia ley 100 de 1993 instituyó.</w:t>
      </w:r>
    </w:p>
    <w:p w:rsidR="00BD055B" w:rsidRPr="001B1080" w:rsidRDefault="00BD055B" w:rsidP="00A83B99">
      <w:pPr>
        <w:contextualSpacing/>
        <w:jc w:val="both"/>
        <w:rPr>
          <w:rFonts w:ascii="Lucida Sans Unicode" w:hAnsi="Lucida Sans Unicode" w:cs="Lucida Sans Unicode"/>
          <w:sz w:val="24"/>
          <w:szCs w:val="24"/>
          <w:lang w:val="es-ES"/>
        </w:rPr>
      </w:pPr>
    </w:p>
    <w:p w:rsidR="00B8133B" w:rsidRPr="001B1080" w:rsidRDefault="00BD055B" w:rsidP="00A83B99">
      <w:pPr>
        <w:contextualSpacing/>
        <w:jc w:val="both"/>
        <w:rPr>
          <w:rFonts w:ascii="Lucida Sans Unicode" w:hAnsi="Lucida Sans Unicode" w:cs="Lucida Sans Unicode"/>
          <w:sz w:val="24"/>
          <w:szCs w:val="24"/>
          <w:lang w:val="es-ES"/>
        </w:rPr>
      </w:pPr>
      <w:r w:rsidRPr="001B1080">
        <w:rPr>
          <w:rFonts w:ascii="Lucida Sans Unicode" w:hAnsi="Lucida Sans Unicode" w:cs="Lucida Sans Unicode"/>
          <w:sz w:val="24"/>
          <w:szCs w:val="24"/>
          <w:lang w:val="es-ES"/>
        </w:rPr>
        <w:t>Se ha llegado entonces hasta la emisión de la conocida LEY ESTATUTARIA DEL DERECHO A LA SALUD (1751 de 2015), que atendiendo la reiterada jurisprudencia de la Honorable Corte Constitucional</w:t>
      </w:r>
      <w:r w:rsidR="003626CD">
        <w:rPr>
          <w:rFonts w:ascii="Lucida Sans Unicode" w:hAnsi="Lucida Sans Unicode" w:cs="Lucida Sans Unicode"/>
          <w:sz w:val="24"/>
          <w:szCs w:val="24"/>
          <w:lang w:val="es-ES"/>
        </w:rPr>
        <w:t xml:space="preserve"> </w:t>
      </w:r>
      <w:r w:rsidRPr="001B1080">
        <w:rPr>
          <w:rFonts w:ascii="Lucida Sans Unicode" w:hAnsi="Lucida Sans Unicode" w:cs="Lucida Sans Unicode"/>
          <w:sz w:val="24"/>
          <w:szCs w:val="24"/>
          <w:lang w:val="es-ES"/>
        </w:rPr>
        <w:t xml:space="preserve"> establece a la Salud como un derecho fundamental y que por tanto es susceptible</w:t>
      </w:r>
      <w:r w:rsidR="000B7E2F">
        <w:rPr>
          <w:rFonts w:ascii="Lucida Sans Unicode" w:hAnsi="Lucida Sans Unicode" w:cs="Lucida Sans Unicode"/>
          <w:sz w:val="24"/>
          <w:szCs w:val="24"/>
          <w:lang w:val="es-ES"/>
        </w:rPr>
        <w:t xml:space="preserve"> de amparo de manera directa y no como ocurría anteriormente cuando su protección se efectuaba por conexidad con otro u otros derechos como el de la vida</w:t>
      </w:r>
      <w:r w:rsidR="00CE70C0">
        <w:rPr>
          <w:rFonts w:ascii="Lucida Sans Unicode" w:hAnsi="Lucida Sans Unicode" w:cs="Lucida Sans Unicode"/>
          <w:sz w:val="24"/>
          <w:szCs w:val="24"/>
          <w:lang w:val="es-ES"/>
        </w:rPr>
        <w:t>, la dignidad</w:t>
      </w:r>
      <w:r w:rsidR="000B7E2F">
        <w:rPr>
          <w:rFonts w:ascii="Lucida Sans Unicode" w:hAnsi="Lucida Sans Unicode" w:cs="Lucida Sans Unicode"/>
          <w:sz w:val="24"/>
          <w:szCs w:val="24"/>
          <w:lang w:val="es-ES"/>
        </w:rPr>
        <w:t xml:space="preserve"> y seguridad social.</w:t>
      </w:r>
    </w:p>
    <w:p w:rsidR="00B8133B" w:rsidRPr="001B1080" w:rsidRDefault="00B8133B" w:rsidP="00A83B99">
      <w:pPr>
        <w:contextualSpacing/>
        <w:jc w:val="both"/>
        <w:rPr>
          <w:rFonts w:ascii="Lucida Sans Unicode" w:hAnsi="Lucida Sans Unicode" w:cs="Lucida Sans Unicode"/>
          <w:sz w:val="24"/>
          <w:szCs w:val="24"/>
          <w:lang w:val="es-ES"/>
        </w:rPr>
      </w:pPr>
    </w:p>
    <w:p w:rsidR="0089337D" w:rsidRPr="001B1080" w:rsidRDefault="00CE70C0" w:rsidP="00A83B99">
      <w:pPr>
        <w:contextualSpacing/>
        <w:jc w:val="both"/>
        <w:rPr>
          <w:rFonts w:ascii="Lucida Sans Unicode" w:hAnsi="Lucida Sans Unicode" w:cs="Lucida Sans Unicode"/>
          <w:sz w:val="24"/>
          <w:szCs w:val="24"/>
        </w:rPr>
      </w:pPr>
      <w:r>
        <w:rPr>
          <w:rFonts w:ascii="Lucida Sans Unicode" w:hAnsi="Lucida Sans Unicode" w:cs="Lucida Sans Unicode"/>
          <w:sz w:val="24"/>
          <w:szCs w:val="24"/>
          <w:lang w:val="es-ES"/>
        </w:rPr>
        <w:t>Este Tribunal e</w:t>
      </w:r>
      <w:r w:rsidR="00FA5A79" w:rsidRPr="001B1080">
        <w:rPr>
          <w:rFonts w:ascii="Lucida Sans Unicode" w:hAnsi="Lucida Sans Unicode" w:cs="Lucida Sans Unicode"/>
          <w:sz w:val="24"/>
          <w:szCs w:val="24"/>
          <w:lang w:val="es-ES"/>
        </w:rPr>
        <w:t xml:space="preserve">n un fallo reciente, para ser más precisos del 8 de septiembre del año en curso,  reafirmó nuevamente de forma pedagógica aspectos normativos sobre el carácter fundamental y autónomo del </w:t>
      </w:r>
      <w:r w:rsidR="00FA5A79" w:rsidRPr="001B1080">
        <w:rPr>
          <w:rFonts w:ascii="Lucida Sans Unicode" w:hAnsi="Lucida Sans Unicode" w:cs="Lucida Sans Unicode"/>
          <w:b/>
          <w:sz w:val="24"/>
          <w:szCs w:val="24"/>
          <w:lang w:val="es-ES"/>
        </w:rPr>
        <w:t>derecho a la salud</w:t>
      </w:r>
      <w:r w:rsidR="00FA5A79" w:rsidRPr="001B1080">
        <w:rPr>
          <w:rFonts w:ascii="Lucida Sans Unicode" w:hAnsi="Lucida Sans Unicode" w:cs="Lucida Sans Unicode"/>
          <w:sz w:val="24"/>
          <w:szCs w:val="24"/>
          <w:lang w:val="es-ES"/>
        </w:rPr>
        <w:t>, esto es, sin que forzosamente deba concurrir conexidad con los derechos a la vida o a la dignidad de las personas, para ello se trajo los principales apartes del fallo de 9 de junio de 2014 siendo accionante</w:t>
      </w:r>
      <w:r w:rsidR="00FA5A79" w:rsidRPr="001B1080">
        <w:rPr>
          <w:rFonts w:ascii="Lucida Sans Unicode" w:hAnsi="Lucida Sans Unicode" w:cs="Lucida Sans Unicode"/>
          <w:sz w:val="24"/>
          <w:szCs w:val="24"/>
        </w:rPr>
        <w:t xml:space="preserve">: Adán </w:t>
      </w:r>
      <w:proofErr w:type="spellStart"/>
      <w:r w:rsidR="00FA5A79" w:rsidRPr="001B1080">
        <w:rPr>
          <w:rFonts w:ascii="Lucida Sans Unicode" w:hAnsi="Lucida Sans Unicode" w:cs="Lucida Sans Unicode"/>
          <w:sz w:val="24"/>
          <w:szCs w:val="24"/>
        </w:rPr>
        <w:t>Wilches</w:t>
      </w:r>
      <w:proofErr w:type="spellEnd"/>
      <w:r w:rsidR="00FA5A79" w:rsidRPr="001B1080">
        <w:rPr>
          <w:rFonts w:ascii="Lucida Sans Unicode" w:hAnsi="Lucida Sans Unicode" w:cs="Lucida Sans Unicode"/>
          <w:sz w:val="24"/>
          <w:szCs w:val="24"/>
        </w:rPr>
        <w:t xml:space="preserve"> Espinosa, </w:t>
      </w:r>
      <w:r w:rsidR="00FA5A79" w:rsidRPr="001B1080">
        <w:rPr>
          <w:rFonts w:ascii="Lucida Sans Unicode" w:hAnsi="Lucida Sans Unicode" w:cs="Lucida Sans Unicode"/>
          <w:sz w:val="24"/>
          <w:szCs w:val="24"/>
        </w:rPr>
        <w:lastRenderedPageBreak/>
        <w:t>Accionado: CAPRESOCA E.P.S. Radicado: 850013333002-2014-00094-01, M.P. Néstor Trujillo González, que con todo respeto me permito leer:</w:t>
      </w:r>
    </w:p>
    <w:p w:rsidR="0089337D" w:rsidRPr="001B1080" w:rsidRDefault="0089337D" w:rsidP="00A83B99">
      <w:pPr>
        <w:ind w:left="567"/>
        <w:contextualSpacing/>
        <w:jc w:val="both"/>
        <w:rPr>
          <w:rFonts w:ascii="Arial Narrow" w:eastAsia="Calibri" w:hAnsi="Arial Narrow" w:cs="Arial"/>
          <w:i/>
          <w:sz w:val="24"/>
          <w:szCs w:val="24"/>
          <w:lang w:val="es-CO" w:eastAsia="en-US"/>
        </w:rPr>
      </w:pPr>
    </w:p>
    <w:p w:rsidR="0089337D" w:rsidRPr="001B1080" w:rsidRDefault="00FA5A79" w:rsidP="00A83B99">
      <w:pPr>
        <w:ind w:left="567"/>
        <w:contextualSpacing/>
        <w:jc w:val="both"/>
        <w:rPr>
          <w:rFonts w:ascii="Lucida Sans Unicode" w:hAnsi="Lucida Sans Unicode" w:cs="Lucida Sans Unicode"/>
          <w:sz w:val="24"/>
          <w:szCs w:val="24"/>
        </w:rPr>
      </w:pPr>
      <w:r w:rsidRPr="001B1080">
        <w:rPr>
          <w:rFonts w:ascii="Arial Narrow" w:eastAsia="Calibri" w:hAnsi="Arial Narrow" w:cs="Arial"/>
          <w:i/>
          <w:sz w:val="24"/>
          <w:szCs w:val="24"/>
          <w:lang w:val="es-CO" w:eastAsia="en-US"/>
        </w:rPr>
        <w:t xml:space="preserve">3ª </w:t>
      </w:r>
      <w:r w:rsidRPr="001B1080">
        <w:rPr>
          <w:rFonts w:ascii="Arial Narrow" w:eastAsia="Calibri" w:hAnsi="Arial Narrow" w:cs="Arial"/>
          <w:b/>
          <w:i/>
          <w:sz w:val="24"/>
          <w:szCs w:val="24"/>
          <w:lang w:val="es-CO" w:eastAsia="en-US"/>
        </w:rPr>
        <w:t>El derecho a la salud. Carácter fundamental</w:t>
      </w:r>
    </w:p>
    <w:p w:rsidR="0089337D" w:rsidRPr="001B1080" w:rsidRDefault="00FA5A79" w:rsidP="00A83B99">
      <w:pPr>
        <w:ind w:left="567"/>
        <w:contextualSpacing/>
        <w:jc w:val="both"/>
        <w:rPr>
          <w:rFonts w:ascii="Lucida Sans Unicode" w:hAnsi="Lucida Sans Unicode" w:cs="Lucida Sans Unicode"/>
          <w:sz w:val="24"/>
          <w:szCs w:val="24"/>
        </w:rPr>
      </w:pPr>
      <w:r w:rsidRPr="001B1080">
        <w:rPr>
          <w:rFonts w:ascii="Arial Narrow" w:eastAsia="Calibri" w:hAnsi="Arial Narrow" w:cs="Arial"/>
          <w:i/>
          <w:sz w:val="24"/>
          <w:szCs w:val="24"/>
          <w:lang w:val="es-CO" w:eastAsia="en-US"/>
        </w:rPr>
        <w:t>[…].</w:t>
      </w:r>
    </w:p>
    <w:p w:rsidR="0089337D" w:rsidRPr="001B1080" w:rsidRDefault="0089337D" w:rsidP="00A83B99">
      <w:pPr>
        <w:ind w:left="567"/>
        <w:contextualSpacing/>
        <w:jc w:val="both"/>
        <w:rPr>
          <w:rFonts w:ascii="Lucida Sans Unicode" w:hAnsi="Lucida Sans Unicode" w:cs="Lucida Sans Unicode"/>
          <w:sz w:val="24"/>
          <w:szCs w:val="24"/>
        </w:rPr>
      </w:pPr>
    </w:p>
    <w:p w:rsidR="00C41F97" w:rsidRPr="001B1080" w:rsidRDefault="00FA5A79" w:rsidP="00A83B99">
      <w:pPr>
        <w:ind w:left="567"/>
        <w:contextualSpacing/>
        <w:jc w:val="both"/>
        <w:rPr>
          <w:rFonts w:ascii="Lucida Sans Unicode" w:hAnsi="Lucida Sans Unicode" w:cs="Lucida Sans Unicode"/>
          <w:sz w:val="24"/>
          <w:szCs w:val="24"/>
        </w:rPr>
      </w:pPr>
      <w:r w:rsidRPr="001B1080">
        <w:rPr>
          <w:rFonts w:ascii="Arial Narrow" w:eastAsia="Calibri" w:hAnsi="Arial Narrow" w:cs="Arial"/>
          <w:i/>
          <w:sz w:val="24"/>
          <w:szCs w:val="24"/>
          <w:lang w:val="es-CO" w:eastAsia="en-US"/>
        </w:rPr>
        <w:t xml:space="preserve">3.1 </w:t>
      </w:r>
      <w:r w:rsidRPr="001B1080">
        <w:rPr>
          <w:rFonts w:ascii="Arial Narrow" w:eastAsia="Calibri" w:hAnsi="Arial Narrow" w:cs="Arial"/>
          <w:i/>
          <w:sz w:val="24"/>
          <w:szCs w:val="24"/>
          <w:u w:val="single"/>
          <w:lang w:val="es-CO" w:eastAsia="en-US"/>
        </w:rPr>
        <w:t>Prestación del servicio asistencial en salud: no es una dádiva</w:t>
      </w:r>
      <w:r w:rsidRPr="001B1080">
        <w:rPr>
          <w:rFonts w:ascii="Arial Narrow" w:eastAsia="Calibri" w:hAnsi="Arial Narrow" w:cs="Arial"/>
          <w:i/>
          <w:sz w:val="24"/>
          <w:szCs w:val="24"/>
          <w:lang w:val="es-CO" w:eastAsia="en-US"/>
        </w:rPr>
        <w:t xml:space="preserve">. En múltiples oportunidades la jurisprudencia constitucional en todos los niveles ha enfatizado que las entidades que conforman el Sistema de Seguridad Social en Salud no hacen favores a los pacientes; </w:t>
      </w:r>
      <w:r w:rsidRPr="001B1080">
        <w:rPr>
          <w:rFonts w:ascii="Arial Narrow" w:eastAsia="Calibri" w:hAnsi="Arial Narrow" w:cs="Arial"/>
          <w:b/>
          <w:i/>
          <w:sz w:val="24"/>
          <w:szCs w:val="24"/>
          <w:lang w:val="es-CO" w:eastAsia="en-US"/>
        </w:rPr>
        <w:t>cumplen un deber legal</w:t>
      </w:r>
      <w:r w:rsidRPr="001B1080">
        <w:rPr>
          <w:rFonts w:ascii="Arial Narrow" w:eastAsia="Calibri" w:hAnsi="Arial Narrow" w:cs="Arial"/>
          <w:i/>
          <w:sz w:val="24"/>
          <w:szCs w:val="24"/>
          <w:lang w:val="es-CO" w:eastAsia="en-US"/>
        </w:rPr>
        <w:t xml:space="preserve"> para cuya satisfacción fueron creadas y reciben aportes estatales, de los empleadores y de los trabajadores, entre otras fuentes. Luego reclamar su adecuada prestación no tiene por qué ser una rogativa menesterosa ni requerir siempre de tutelas: es un </w:t>
      </w:r>
      <w:r w:rsidRPr="001B1080">
        <w:rPr>
          <w:rFonts w:ascii="Arial Narrow" w:eastAsia="Calibri" w:hAnsi="Arial Narrow" w:cs="Arial"/>
          <w:b/>
          <w:i/>
          <w:sz w:val="24"/>
          <w:szCs w:val="24"/>
          <w:lang w:val="es-CO" w:eastAsia="en-US"/>
        </w:rPr>
        <w:t>derecho fundamental</w:t>
      </w:r>
      <w:r w:rsidRPr="001B1080">
        <w:rPr>
          <w:rFonts w:ascii="Arial Narrow" w:eastAsia="Calibri" w:hAnsi="Arial Narrow" w:cs="Arial"/>
          <w:i/>
          <w:sz w:val="24"/>
          <w:szCs w:val="24"/>
          <w:lang w:val="es-CO" w:eastAsia="en-US"/>
        </w:rPr>
        <w:t>, inicialmente así tratado por conexidad con el derecho a la vida en condiciones dignas; ahora, además, por expreso reconocimiento del Congreso</w:t>
      </w:r>
      <w:r w:rsidR="00FD700E" w:rsidRPr="001B1080">
        <w:rPr>
          <w:rFonts w:ascii="Arial Narrow" w:eastAsia="Calibri" w:hAnsi="Arial Narrow" w:cs="Arial"/>
          <w:i/>
          <w:sz w:val="24"/>
          <w:szCs w:val="24"/>
          <w:lang w:val="es-CO" w:eastAsia="en-US"/>
        </w:rPr>
        <w:t xml:space="preserve"> (</w:t>
      </w:r>
      <w:r w:rsidR="00FD700E" w:rsidRPr="001B1080">
        <w:rPr>
          <w:rFonts w:ascii="Arial Narrow" w:hAnsi="Arial Narrow" w:cs="Tahoma"/>
          <w:bCs/>
          <w:sz w:val="24"/>
          <w:szCs w:val="24"/>
        </w:rPr>
        <w:t xml:space="preserve">PROYECTO DE LEY ESTATUTARIA 209 DE 2013 SENADO Y 267 DE 2013 CÁMARA. </w:t>
      </w:r>
      <w:r w:rsidR="00FD700E" w:rsidRPr="001B1080">
        <w:rPr>
          <w:rFonts w:ascii="Arial Narrow" w:hAnsi="Arial Narrow" w:cs="Tahoma"/>
          <w:sz w:val="24"/>
          <w:szCs w:val="24"/>
        </w:rPr>
        <w:t>Por medio de la cual se regula el derecho fundamental a la salud y se dictan otras disposiciones.</w:t>
      </w:r>
      <w:r w:rsidR="00FD700E" w:rsidRPr="001B1080">
        <w:rPr>
          <w:rFonts w:ascii="Arial Narrow" w:hAnsi="Arial Narrow"/>
          <w:sz w:val="24"/>
          <w:szCs w:val="24"/>
        </w:rPr>
        <w:t>)</w:t>
      </w:r>
      <w:r w:rsidRPr="001B1080">
        <w:rPr>
          <w:rFonts w:ascii="Arial Narrow" w:eastAsia="Calibri" w:hAnsi="Arial Narrow" w:cs="Arial"/>
          <w:i/>
          <w:sz w:val="24"/>
          <w:szCs w:val="24"/>
          <w:lang w:val="es-CO" w:eastAsia="en-US"/>
        </w:rPr>
        <w:t xml:space="preserve"> </w:t>
      </w:r>
      <w:proofErr w:type="gramStart"/>
      <w:r w:rsidRPr="001B1080">
        <w:rPr>
          <w:rFonts w:ascii="Arial Narrow" w:eastAsia="Calibri" w:hAnsi="Arial Narrow" w:cs="Arial"/>
          <w:i/>
          <w:sz w:val="24"/>
          <w:szCs w:val="24"/>
          <w:lang w:val="es-CO" w:eastAsia="en-US"/>
        </w:rPr>
        <w:t>y</w:t>
      </w:r>
      <w:proofErr w:type="gramEnd"/>
      <w:r w:rsidRPr="001B1080">
        <w:rPr>
          <w:rFonts w:ascii="Arial Narrow" w:eastAsia="Calibri" w:hAnsi="Arial Narrow" w:cs="Arial"/>
          <w:i/>
          <w:sz w:val="24"/>
          <w:szCs w:val="24"/>
          <w:lang w:val="es-CO" w:eastAsia="en-US"/>
        </w:rPr>
        <w:t xml:space="preserve"> validación abstracta y obligatoria para todos, en virtud de la sentencia C- 313 de 2014.</w:t>
      </w:r>
    </w:p>
    <w:p w:rsidR="00C41F97" w:rsidRPr="001B1080" w:rsidRDefault="00C41F97" w:rsidP="00A83B99">
      <w:pPr>
        <w:ind w:left="567"/>
        <w:contextualSpacing/>
        <w:jc w:val="both"/>
        <w:rPr>
          <w:rFonts w:ascii="Lucida Sans" w:hAnsi="Lucida Sans" w:cs="Arial"/>
          <w:sz w:val="24"/>
          <w:szCs w:val="24"/>
        </w:rPr>
      </w:pPr>
    </w:p>
    <w:p w:rsidR="00C41F97" w:rsidRPr="001B1080" w:rsidRDefault="00FA5A79" w:rsidP="00A83B99">
      <w:pPr>
        <w:ind w:left="567"/>
        <w:contextualSpacing/>
        <w:jc w:val="both"/>
        <w:rPr>
          <w:rFonts w:ascii="Lucida Sans" w:hAnsi="Lucida Sans" w:cs="Arial"/>
          <w:sz w:val="24"/>
          <w:szCs w:val="24"/>
        </w:rPr>
      </w:pPr>
      <w:r w:rsidRPr="001B1080">
        <w:rPr>
          <w:rFonts w:ascii="Arial Narrow" w:eastAsia="Calibri" w:hAnsi="Arial Narrow" w:cs="Arial"/>
          <w:i/>
          <w:sz w:val="24"/>
          <w:szCs w:val="24"/>
          <w:lang w:val="es-CO" w:eastAsia="en-US"/>
        </w:rPr>
        <w:t xml:space="preserve">En el comunicado de la Corte Constitucional se destaca en numerosos pasajes que ese fallo calificó expresamente el </w:t>
      </w:r>
      <w:r w:rsidRPr="001B1080">
        <w:rPr>
          <w:rFonts w:ascii="Arial Narrow" w:eastAsia="Calibri" w:hAnsi="Arial Narrow" w:cs="Arial"/>
          <w:b/>
          <w:i/>
          <w:sz w:val="24"/>
          <w:szCs w:val="24"/>
          <w:lang w:val="es-CO" w:eastAsia="en-US"/>
        </w:rPr>
        <w:t>derecho a la salud</w:t>
      </w:r>
      <w:r w:rsidRPr="001B1080">
        <w:rPr>
          <w:rFonts w:ascii="Arial Narrow" w:eastAsia="Calibri" w:hAnsi="Arial Narrow" w:cs="Arial"/>
          <w:i/>
          <w:sz w:val="24"/>
          <w:szCs w:val="24"/>
          <w:lang w:val="es-CO" w:eastAsia="en-US"/>
        </w:rPr>
        <w:t xml:space="preserve"> como uno </w:t>
      </w:r>
      <w:r w:rsidRPr="001B1080">
        <w:rPr>
          <w:rFonts w:ascii="Arial Narrow" w:eastAsia="Calibri" w:hAnsi="Arial Narrow" w:cs="Arial"/>
          <w:b/>
          <w:i/>
          <w:sz w:val="24"/>
          <w:szCs w:val="24"/>
          <w:lang w:val="es-CO" w:eastAsia="en-US"/>
        </w:rPr>
        <w:t>fundamental autónomo, […]</w:t>
      </w:r>
      <w:r w:rsidRPr="001B1080">
        <w:rPr>
          <w:rFonts w:ascii="Arial Narrow" w:eastAsia="Calibri" w:hAnsi="Arial Narrow" w:cs="Arial"/>
          <w:i/>
          <w:sz w:val="24"/>
          <w:szCs w:val="24"/>
          <w:lang w:val="es-CO" w:eastAsia="en-US"/>
        </w:rPr>
        <w:t xml:space="preserve"> aunque los jueces constitucionales ya habían logrado consolidar premisas dogmáticas serias para revindicar el derecho a la salud en sede de tutela, en función de la preservación de la vida misma o del goce de dicho bien fundamental en condiciones dignas, queda ahora inequívocamente establecido que los prestadores de la red asistencial en salud, en todos los componentes (entidades territoriales, FOSYGA, EPS, IPS, etcétera) no podrán seguir comportándose como simples administradores, aseguradores o vendedores de </w:t>
      </w:r>
      <w:r w:rsidRPr="001B1080">
        <w:rPr>
          <w:rFonts w:ascii="Arial Narrow" w:eastAsia="Calibri" w:hAnsi="Arial Narrow" w:cs="Arial"/>
          <w:i/>
          <w:sz w:val="24"/>
          <w:szCs w:val="24"/>
          <w:u w:val="single"/>
          <w:lang w:val="es-CO" w:eastAsia="en-US"/>
        </w:rPr>
        <w:t>servicios</w:t>
      </w:r>
      <w:r w:rsidRPr="001B1080">
        <w:rPr>
          <w:rFonts w:ascii="Arial Narrow" w:eastAsia="Calibri" w:hAnsi="Arial Narrow" w:cs="Arial"/>
          <w:i/>
          <w:sz w:val="24"/>
          <w:szCs w:val="24"/>
          <w:lang w:val="es-CO" w:eastAsia="en-US"/>
        </w:rPr>
        <w:t xml:space="preserve"> a una </w:t>
      </w:r>
      <w:r w:rsidRPr="001B1080">
        <w:rPr>
          <w:rFonts w:ascii="Arial Narrow" w:eastAsia="Calibri" w:hAnsi="Arial Narrow" w:cs="Arial"/>
          <w:i/>
          <w:sz w:val="24"/>
          <w:szCs w:val="24"/>
          <w:u w:val="single"/>
          <w:lang w:val="es-CO" w:eastAsia="en-US"/>
        </w:rPr>
        <w:t>clientela cautiva</w:t>
      </w:r>
      <w:r w:rsidRPr="001B1080">
        <w:rPr>
          <w:rFonts w:ascii="Arial Narrow" w:eastAsia="Calibri" w:hAnsi="Arial Narrow" w:cs="Arial"/>
          <w:i/>
          <w:sz w:val="24"/>
          <w:szCs w:val="24"/>
          <w:lang w:val="es-CO" w:eastAsia="en-US"/>
        </w:rPr>
        <w:t xml:space="preserve"> e inerme ante sus desvaríos y atropellos, sino que tendrán que asumirse y obligarse por entero como </w:t>
      </w:r>
      <w:r w:rsidRPr="001B1080">
        <w:rPr>
          <w:rFonts w:ascii="Arial Narrow" w:eastAsia="Calibri" w:hAnsi="Arial Narrow" w:cs="Arial"/>
          <w:i/>
          <w:sz w:val="24"/>
          <w:szCs w:val="24"/>
          <w:u w:val="single"/>
          <w:lang w:val="es-CO" w:eastAsia="en-US"/>
        </w:rPr>
        <w:t>garantes de la plena satisfacción de un derecho fundamental</w:t>
      </w:r>
      <w:r w:rsidRPr="001B1080">
        <w:rPr>
          <w:rFonts w:ascii="Arial Narrow" w:eastAsia="Calibri" w:hAnsi="Arial Narrow" w:cs="Arial"/>
          <w:i/>
          <w:sz w:val="24"/>
          <w:szCs w:val="24"/>
          <w:lang w:val="es-CO" w:eastAsia="en-US"/>
        </w:rPr>
        <w:t xml:space="preserve"> </w:t>
      </w:r>
      <w:r w:rsidRPr="001B1080">
        <w:rPr>
          <w:rFonts w:ascii="Arial Narrow" w:eastAsia="Calibri" w:hAnsi="Arial Narrow" w:cs="Arial"/>
          <w:i/>
          <w:sz w:val="24"/>
          <w:szCs w:val="24"/>
          <w:u w:val="single"/>
          <w:lang w:val="es-CO" w:eastAsia="en-US"/>
        </w:rPr>
        <w:t>expansivo</w:t>
      </w:r>
      <w:r w:rsidRPr="001B1080">
        <w:rPr>
          <w:rFonts w:ascii="Arial Narrow" w:eastAsia="Calibri" w:hAnsi="Arial Narrow" w:cs="Arial"/>
          <w:i/>
          <w:sz w:val="24"/>
          <w:szCs w:val="24"/>
          <w:lang w:val="es-CO" w:eastAsia="en-US"/>
        </w:rPr>
        <w:t>, según los lineamientos de la sentencia C-313 del 2014.</w:t>
      </w:r>
    </w:p>
    <w:p w:rsidR="00C41F97" w:rsidRPr="001B1080" w:rsidRDefault="00C41F97" w:rsidP="00A83B99">
      <w:pPr>
        <w:ind w:left="567"/>
        <w:contextualSpacing/>
        <w:jc w:val="both"/>
        <w:rPr>
          <w:rFonts w:ascii="Lucida Sans" w:hAnsi="Lucida Sans" w:cs="Arial"/>
          <w:sz w:val="24"/>
          <w:szCs w:val="24"/>
        </w:rPr>
      </w:pPr>
    </w:p>
    <w:p w:rsidR="00C41F97" w:rsidRPr="001B1080" w:rsidRDefault="00FA5A79" w:rsidP="00A83B99">
      <w:pPr>
        <w:ind w:left="567"/>
        <w:contextualSpacing/>
        <w:jc w:val="both"/>
        <w:rPr>
          <w:rFonts w:ascii="Lucida Sans" w:hAnsi="Lucida Sans" w:cs="Arial"/>
          <w:sz w:val="24"/>
          <w:szCs w:val="24"/>
        </w:rPr>
      </w:pPr>
      <w:r w:rsidRPr="001B1080">
        <w:rPr>
          <w:rFonts w:ascii="Arial Narrow" w:eastAsia="Calibri" w:hAnsi="Arial Narrow" w:cs="Arial"/>
          <w:i/>
          <w:sz w:val="24"/>
          <w:szCs w:val="24"/>
          <w:lang w:val="es-CO" w:eastAsia="en-US"/>
        </w:rPr>
        <w:t xml:space="preserve">Así lo deja advertido esta Corporación para la orientación de los jueces administrativos de este Distrito y, más específicamente, a los </w:t>
      </w:r>
      <w:r w:rsidRPr="001B1080">
        <w:rPr>
          <w:rFonts w:ascii="Arial Narrow" w:eastAsia="Calibri" w:hAnsi="Arial Narrow" w:cs="Arial"/>
          <w:b/>
          <w:i/>
          <w:sz w:val="24"/>
          <w:szCs w:val="24"/>
          <w:lang w:val="es-CO" w:eastAsia="en-US"/>
        </w:rPr>
        <w:t>prestadores del Sistema de Seguridad Social en Salud</w:t>
      </w:r>
      <w:r w:rsidRPr="001B1080">
        <w:rPr>
          <w:rFonts w:ascii="Arial Narrow" w:eastAsia="Calibri" w:hAnsi="Arial Narrow" w:cs="Arial"/>
          <w:i/>
          <w:sz w:val="24"/>
          <w:szCs w:val="24"/>
          <w:lang w:val="es-CO" w:eastAsia="en-US"/>
        </w:rPr>
        <w:t xml:space="preserve"> respecto de los que los juzgadores de las dos instancias tienen competencia para </w:t>
      </w:r>
      <w:r w:rsidRPr="001B1080">
        <w:rPr>
          <w:rFonts w:ascii="Arial Narrow" w:eastAsia="Calibri" w:hAnsi="Arial Narrow" w:cs="Arial"/>
          <w:b/>
          <w:i/>
          <w:sz w:val="24"/>
          <w:szCs w:val="24"/>
          <w:lang w:val="es-CO" w:eastAsia="en-US"/>
        </w:rPr>
        <w:t>exigirles categóricamente</w:t>
      </w:r>
      <w:r w:rsidRPr="001B1080">
        <w:rPr>
          <w:rFonts w:ascii="Arial Narrow" w:eastAsia="Calibri" w:hAnsi="Arial Narrow" w:cs="Arial"/>
          <w:i/>
          <w:sz w:val="24"/>
          <w:szCs w:val="24"/>
          <w:lang w:val="es-CO" w:eastAsia="en-US"/>
        </w:rPr>
        <w:t xml:space="preserve"> el cumplimiento de su misión constitucional y legal. Debería ser excepcional que vuelvan al estrado tutelas relativas a estos derechos. Y tendrá la judicatura que acentuar controles, desplegar con más rigor poderes punitivos y demandar de los órganos de control el cumplimiento efectivo de los lineamientos de la futura ley estatutaria, para que no se convierta, una vez más, en declaración de propósitos, inane y apenas simbólica.</w:t>
      </w:r>
    </w:p>
    <w:p w:rsidR="00C41F97" w:rsidRPr="001B1080" w:rsidRDefault="00C41F97" w:rsidP="00A83B99">
      <w:pPr>
        <w:contextualSpacing/>
        <w:jc w:val="both"/>
        <w:rPr>
          <w:rFonts w:ascii="Lucida Sans Unicode" w:hAnsi="Lucida Sans Unicode" w:cs="Lucida Sans Unicode"/>
          <w:sz w:val="24"/>
          <w:szCs w:val="24"/>
        </w:rPr>
      </w:pPr>
    </w:p>
    <w:p w:rsidR="00CA1E5B" w:rsidRPr="001B1080" w:rsidRDefault="00FA5A79" w:rsidP="00A83B99">
      <w:pPr>
        <w:contextualSpacing/>
        <w:jc w:val="both"/>
        <w:rPr>
          <w:rFonts w:ascii="Lucida Sans Unicode" w:hAnsi="Lucida Sans Unicode" w:cs="Lucida Sans Unicode"/>
          <w:sz w:val="24"/>
          <w:szCs w:val="24"/>
        </w:rPr>
      </w:pPr>
      <w:r w:rsidRPr="001B1080">
        <w:rPr>
          <w:rFonts w:ascii="Lucida Sans Unicode" w:hAnsi="Lucida Sans Unicode" w:cs="Lucida Sans Unicode"/>
          <w:bCs/>
          <w:sz w:val="24"/>
          <w:szCs w:val="24"/>
        </w:rPr>
        <w:t xml:space="preserve">Ese mandato jurisprudencial ya se estableció en la Ley Estatutaria 1751 sancionada y promulgada el 16 de febrero de 2015, de manera que </w:t>
      </w:r>
      <w:r w:rsidRPr="001B1080">
        <w:rPr>
          <w:rFonts w:ascii="Lucida Sans Unicode" w:hAnsi="Lucida Sans Unicode" w:cs="Lucida Sans Unicode"/>
          <w:bCs/>
          <w:i/>
          <w:sz w:val="24"/>
          <w:szCs w:val="24"/>
        </w:rPr>
        <w:t>todas</w:t>
      </w:r>
      <w:r w:rsidRPr="001B1080">
        <w:rPr>
          <w:rFonts w:ascii="Lucida Sans Unicode" w:hAnsi="Lucida Sans Unicode" w:cs="Lucida Sans Unicode"/>
          <w:bCs/>
          <w:sz w:val="24"/>
          <w:szCs w:val="24"/>
        </w:rPr>
        <w:t xml:space="preserve"> las EPS de todos los sistemas deberán adecuar su conducta y sus prácticas restrictivas contra afiliados cotizantes, beneficiarios y subsidiados a un nuevo modelo que avanza del aseguramiento como negocio y servicio, a la salud como derecho inherente a la persona.</w:t>
      </w:r>
    </w:p>
    <w:p w:rsidR="00CA1E5B" w:rsidRPr="001B1080" w:rsidRDefault="00CA1E5B" w:rsidP="00A83B99">
      <w:pPr>
        <w:contextualSpacing/>
        <w:jc w:val="both"/>
        <w:rPr>
          <w:rFonts w:ascii="Lucida Sans Unicode" w:hAnsi="Lucida Sans Unicode" w:cs="Lucida Sans Unicode"/>
          <w:sz w:val="24"/>
          <w:szCs w:val="24"/>
        </w:rPr>
      </w:pPr>
    </w:p>
    <w:p w:rsidR="00C41F97" w:rsidRPr="001B1080" w:rsidRDefault="00FD700E" w:rsidP="00A83B99">
      <w:pPr>
        <w:contextualSpacing/>
        <w:jc w:val="both"/>
        <w:rPr>
          <w:rFonts w:ascii="Lucida Sans Unicode" w:hAnsi="Lucida Sans Unicode" w:cs="Lucida Sans Unicode"/>
          <w:sz w:val="24"/>
          <w:szCs w:val="24"/>
        </w:rPr>
      </w:pPr>
      <w:r w:rsidRPr="001B1080">
        <w:rPr>
          <w:rFonts w:ascii="Lucida Sans Unicode" w:eastAsia="Calibri" w:hAnsi="Lucida Sans Unicode" w:cs="Lucida Sans Unicode"/>
          <w:sz w:val="24"/>
          <w:szCs w:val="24"/>
          <w:lang w:val="es-CO" w:eastAsia="en-US"/>
        </w:rPr>
        <w:t xml:space="preserve">Ahora bien, en el </w:t>
      </w:r>
      <w:r w:rsidR="00FA5A79" w:rsidRPr="001B1080">
        <w:rPr>
          <w:rFonts w:ascii="Lucida Sans Unicode" w:eastAsia="Calibri" w:hAnsi="Lucida Sans Unicode" w:cs="Lucida Sans Unicode"/>
          <w:sz w:val="24"/>
          <w:szCs w:val="24"/>
          <w:lang w:val="es-CO" w:eastAsia="en-US"/>
        </w:rPr>
        <w:t>mismo fallo quedó plasmado</w:t>
      </w:r>
      <w:r w:rsidRPr="001B1080">
        <w:rPr>
          <w:rFonts w:ascii="Lucida Sans Unicode" w:eastAsia="Calibri" w:hAnsi="Lucida Sans Unicode" w:cs="Lucida Sans Unicode"/>
          <w:sz w:val="24"/>
          <w:szCs w:val="24"/>
          <w:lang w:val="es-CO" w:eastAsia="en-US"/>
        </w:rPr>
        <w:t xml:space="preserve"> que</w:t>
      </w:r>
      <w:r w:rsidR="00FA5A79" w:rsidRPr="001B1080">
        <w:rPr>
          <w:rFonts w:ascii="Lucida Sans Unicode" w:eastAsia="Calibri" w:hAnsi="Lucida Sans Unicode" w:cs="Lucida Sans Unicode"/>
          <w:sz w:val="24"/>
          <w:szCs w:val="24"/>
          <w:lang w:val="es-CO" w:eastAsia="en-US"/>
        </w:rPr>
        <w:t>:</w:t>
      </w:r>
    </w:p>
    <w:p w:rsidR="00C41F97" w:rsidRPr="001B1080" w:rsidRDefault="00C41F97" w:rsidP="00A83B99">
      <w:pPr>
        <w:ind w:left="567"/>
        <w:contextualSpacing/>
        <w:jc w:val="both"/>
        <w:rPr>
          <w:rFonts w:ascii="Lucida Sans Unicode" w:hAnsi="Lucida Sans Unicode" w:cs="Lucida Sans Unicode"/>
          <w:sz w:val="24"/>
          <w:szCs w:val="24"/>
        </w:rPr>
      </w:pPr>
    </w:p>
    <w:p w:rsidR="00C41F97" w:rsidRPr="001B1080" w:rsidRDefault="00FA5A79" w:rsidP="00A83B99">
      <w:pPr>
        <w:ind w:left="567"/>
        <w:contextualSpacing/>
        <w:jc w:val="both"/>
        <w:rPr>
          <w:rFonts w:ascii="Lucida Sans" w:hAnsi="Lucida Sans" w:cs="Arial"/>
          <w:sz w:val="24"/>
          <w:szCs w:val="24"/>
        </w:rPr>
      </w:pPr>
      <w:r w:rsidRPr="001B1080">
        <w:rPr>
          <w:rFonts w:ascii="Arial Narrow" w:eastAsia="Calibri" w:hAnsi="Arial Narrow" w:cs="Arial"/>
          <w:i/>
          <w:sz w:val="24"/>
          <w:szCs w:val="24"/>
          <w:lang w:val="es-CO" w:eastAsia="en-US"/>
        </w:rPr>
        <w:t>“</w:t>
      </w:r>
      <w:r w:rsidR="00FD700E" w:rsidRPr="001B1080">
        <w:rPr>
          <w:rFonts w:ascii="Arial Narrow" w:eastAsia="Calibri" w:hAnsi="Arial Narrow" w:cs="Arial"/>
          <w:i/>
          <w:sz w:val="24"/>
          <w:szCs w:val="24"/>
          <w:lang w:val="es-CO" w:eastAsia="en-US"/>
        </w:rPr>
        <w:t>[…]</w:t>
      </w:r>
      <w:r w:rsidRPr="001B1080">
        <w:rPr>
          <w:rFonts w:ascii="Arial Narrow" w:eastAsia="Calibri" w:hAnsi="Arial Narrow" w:cs="Arial"/>
          <w:i/>
          <w:sz w:val="24"/>
          <w:szCs w:val="24"/>
          <w:lang w:val="es-CO" w:eastAsia="en-US"/>
        </w:rPr>
        <w:t>. L</w:t>
      </w:r>
      <w:r w:rsidRPr="001B1080">
        <w:rPr>
          <w:rFonts w:ascii="Arial Narrow" w:eastAsia="Arial Unicode MS" w:hAnsi="Arial Narrow"/>
          <w:i/>
          <w:sz w:val="24"/>
          <w:szCs w:val="24"/>
          <w:lang w:val="es-CO"/>
        </w:rPr>
        <w:t>a integralidad de la prestación del servicio asistencial en salud es un pilar fundamental del derecho a la salud, el cual es exigible al Estado respecto de sus servidores o beneficiarios directos, así como a los integrantes del sistema en general para todos los destinatarios de sus respectivas coberturas, que comprende el suministro, la atención y el tratamiento al que tienen derecho todas las personas que se encuentran afiliadas al Sistema de Seguridad Social en Salud.</w:t>
      </w:r>
    </w:p>
    <w:p w:rsidR="00C41F97" w:rsidRPr="001B1080" w:rsidRDefault="00C41F97" w:rsidP="00A83B99">
      <w:pPr>
        <w:contextualSpacing/>
        <w:jc w:val="both"/>
        <w:rPr>
          <w:rFonts w:ascii="Arial Narrow" w:eastAsia="Calibri" w:hAnsi="Arial Narrow" w:cs="Arial"/>
          <w:i/>
          <w:sz w:val="24"/>
          <w:szCs w:val="24"/>
          <w:lang w:val="es-CO" w:eastAsia="en-US"/>
        </w:rPr>
      </w:pPr>
    </w:p>
    <w:p w:rsidR="00C41F97" w:rsidRPr="001B1080" w:rsidRDefault="00FA5A79" w:rsidP="00A83B99">
      <w:pPr>
        <w:contextualSpacing/>
        <w:jc w:val="both"/>
        <w:rPr>
          <w:rFonts w:ascii="Lucida Sans Unicode" w:hAnsi="Lucida Sans Unicode" w:cs="Lucida Sans Unicode"/>
          <w:sz w:val="24"/>
          <w:szCs w:val="24"/>
        </w:rPr>
      </w:pPr>
      <w:r w:rsidRPr="001B1080">
        <w:rPr>
          <w:rFonts w:ascii="Lucida Sans Unicode" w:eastAsia="Arial Unicode MS" w:hAnsi="Lucida Sans Unicode" w:cs="Lucida Sans Unicode"/>
          <w:sz w:val="24"/>
          <w:szCs w:val="24"/>
          <w:lang w:val="es-CO"/>
        </w:rPr>
        <w:t>Este Tribunal lo ha precisado así:</w:t>
      </w:r>
    </w:p>
    <w:p w:rsidR="00C41F97" w:rsidRPr="001B1080" w:rsidRDefault="00C41F97" w:rsidP="00A83B99">
      <w:pPr>
        <w:ind w:left="567"/>
        <w:contextualSpacing/>
        <w:jc w:val="both"/>
        <w:rPr>
          <w:rFonts w:ascii="Arial Narrow" w:eastAsia="Arial Unicode MS" w:hAnsi="Arial Narrow"/>
          <w:i/>
          <w:sz w:val="24"/>
          <w:szCs w:val="24"/>
        </w:rPr>
      </w:pPr>
    </w:p>
    <w:p w:rsidR="00C41F97" w:rsidRPr="001B1080" w:rsidRDefault="00FA5A79" w:rsidP="00A83B99">
      <w:pPr>
        <w:ind w:left="567"/>
        <w:contextualSpacing/>
        <w:jc w:val="both"/>
        <w:rPr>
          <w:rFonts w:ascii="Arial Narrow" w:eastAsia="Arial Unicode MS" w:hAnsi="Arial Narrow"/>
          <w:i/>
          <w:sz w:val="24"/>
          <w:szCs w:val="24"/>
        </w:rPr>
      </w:pPr>
      <w:r w:rsidRPr="001B1080">
        <w:rPr>
          <w:rFonts w:ascii="Arial Narrow" w:eastAsia="Arial Unicode MS" w:hAnsi="Arial Narrow"/>
          <w:i/>
          <w:sz w:val="24"/>
          <w:szCs w:val="24"/>
        </w:rPr>
        <w:t>La expresión “atención integral” tiene connotaciones jurídicas a las que acuden los jueces de tutela frecuentemente para extender el amparo a todos los eventos directa o indirectamente asociados a la prevención o tratamiento de la enfermedad, sin las peligrosas reducciones que el lego puede hacer a las categorías que se aprecian a primera vista, se encuentran en el piélago informativo de</w:t>
      </w:r>
      <w:r w:rsidR="00C41F97" w:rsidRPr="001B1080">
        <w:rPr>
          <w:rFonts w:ascii="Arial Narrow" w:eastAsia="Arial Unicode MS" w:hAnsi="Arial Narrow"/>
          <w:i/>
          <w:sz w:val="24"/>
          <w:szCs w:val="24"/>
        </w:rPr>
        <w:t xml:space="preserve"> la web o le asoman las partes.</w:t>
      </w:r>
    </w:p>
    <w:p w:rsidR="00C41F97" w:rsidRPr="001B1080" w:rsidRDefault="00C41F97" w:rsidP="00A83B99">
      <w:pPr>
        <w:ind w:left="567"/>
        <w:contextualSpacing/>
        <w:jc w:val="both"/>
        <w:rPr>
          <w:rFonts w:ascii="Arial Narrow" w:eastAsia="Arial Unicode MS" w:hAnsi="Arial Narrow"/>
          <w:i/>
          <w:sz w:val="24"/>
          <w:szCs w:val="24"/>
        </w:rPr>
      </w:pPr>
    </w:p>
    <w:p w:rsidR="00C41F97" w:rsidRPr="001B1080" w:rsidRDefault="00FA5A79" w:rsidP="00A83B99">
      <w:pPr>
        <w:ind w:left="567"/>
        <w:contextualSpacing/>
        <w:jc w:val="both"/>
        <w:rPr>
          <w:rFonts w:ascii="Lucida Sans" w:hAnsi="Lucida Sans" w:cs="Arial"/>
          <w:sz w:val="24"/>
          <w:szCs w:val="24"/>
        </w:rPr>
      </w:pPr>
      <w:r w:rsidRPr="001B1080">
        <w:rPr>
          <w:rFonts w:ascii="Arial Narrow" w:eastAsia="Arial Unicode MS" w:hAnsi="Arial Narrow"/>
          <w:i/>
          <w:sz w:val="24"/>
          <w:szCs w:val="24"/>
        </w:rPr>
        <w:t>Pero aquella corresponde a un concepto científico propio de las disciplinas médicas; las autoridades regulatorias lo han definido así:</w:t>
      </w:r>
    </w:p>
    <w:p w:rsidR="00C41F97" w:rsidRPr="001B1080" w:rsidRDefault="00C41F97" w:rsidP="00A83B99">
      <w:pPr>
        <w:ind w:left="1134"/>
        <w:contextualSpacing/>
        <w:jc w:val="both"/>
        <w:rPr>
          <w:rFonts w:ascii="Arial Narrow" w:hAnsi="Arial Narrow"/>
          <w:i/>
          <w:sz w:val="24"/>
          <w:szCs w:val="24"/>
        </w:rPr>
      </w:pPr>
    </w:p>
    <w:p w:rsidR="00FA5A79" w:rsidRPr="001B1080" w:rsidRDefault="00FA5A79" w:rsidP="00A83B99">
      <w:pPr>
        <w:ind w:left="1134"/>
        <w:contextualSpacing/>
        <w:jc w:val="both"/>
        <w:rPr>
          <w:rFonts w:ascii="Lucida Sans" w:hAnsi="Lucida Sans" w:cs="Arial"/>
          <w:sz w:val="24"/>
          <w:szCs w:val="24"/>
        </w:rPr>
      </w:pPr>
      <w:r w:rsidRPr="001B1080">
        <w:rPr>
          <w:rFonts w:ascii="Arial Narrow" w:hAnsi="Arial Narrow"/>
          <w:i/>
          <w:sz w:val="24"/>
          <w:szCs w:val="24"/>
        </w:rPr>
        <w:t xml:space="preserve">ART. 5º </w:t>
      </w:r>
      <w:r w:rsidRPr="001B1080">
        <w:rPr>
          <w:rFonts w:ascii="Arial Narrow" w:hAnsi="Arial Narrow"/>
          <w:b/>
          <w:bCs/>
          <w:i/>
          <w:sz w:val="24"/>
          <w:szCs w:val="24"/>
        </w:rPr>
        <w:t>Principios generales del plan obligatorio de salud.</w:t>
      </w:r>
      <w:r w:rsidRPr="001B1080">
        <w:rPr>
          <w:rFonts w:ascii="Arial Narrow" w:hAnsi="Arial Narrow"/>
          <w:i/>
          <w:sz w:val="24"/>
          <w:szCs w:val="24"/>
        </w:rPr>
        <w:t xml:space="preserve"> Los principios generales del plan obligatorio de salud son:</w:t>
      </w:r>
    </w:p>
    <w:p w:rsidR="00C41F97" w:rsidRPr="001B1080" w:rsidRDefault="00FA5A79" w:rsidP="00A83B99">
      <w:pPr>
        <w:widowControl w:val="0"/>
        <w:spacing w:before="100" w:after="100"/>
        <w:ind w:left="1134"/>
        <w:contextualSpacing/>
        <w:jc w:val="both"/>
        <w:rPr>
          <w:rFonts w:ascii="Arial Narrow" w:hAnsi="Arial Narrow"/>
          <w:i/>
          <w:sz w:val="24"/>
          <w:szCs w:val="24"/>
        </w:rPr>
      </w:pPr>
      <w:r w:rsidRPr="001B1080">
        <w:rPr>
          <w:rFonts w:ascii="Arial Narrow" w:hAnsi="Arial Narrow"/>
          <w:i/>
          <w:sz w:val="24"/>
          <w:szCs w:val="24"/>
        </w:rPr>
        <w:t>1. Integralidad. Toda tecnología en salud contenida en el plan obligatorio de salud para la promoción de la salud, prevención, diagnóstico, tratamiento, rehabilitación y paliación de la enfermedad, incluye lo necesario para su realización de tal forma que se cumpla la finalidad del servicio, según lo prescrito por el profesional tratante.</w:t>
      </w:r>
    </w:p>
    <w:p w:rsidR="00C41F97" w:rsidRPr="001B1080" w:rsidRDefault="00C41F97" w:rsidP="00A83B99">
      <w:pPr>
        <w:widowControl w:val="0"/>
        <w:spacing w:before="100" w:after="100"/>
        <w:ind w:left="567"/>
        <w:contextualSpacing/>
        <w:jc w:val="both"/>
        <w:rPr>
          <w:rFonts w:ascii="Arial Narrow" w:eastAsia="Arial Unicode MS" w:hAnsi="Arial Narrow"/>
          <w:i/>
          <w:sz w:val="24"/>
          <w:szCs w:val="24"/>
        </w:rPr>
      </w:pPr>
    </w:p>
    <w:p w:rsidR="00C41F97" w:rsidRPr="001B1080" w:rsidRDefault="00FA5A79" w:rsidP="00A83B99">
      <w:pPr>
        <w:widowControl w:val="0"/>
        <w:spacing w:before="100" w:after="100"/>
        <w:ind w:left="567"/>
        <w:contextualSpacing/>
        <w:jc w:val="both"/>
        <w:rPr>
          <w:rFonts w:ascii="Arial Narrow" w:hAnsi="Arial Narrow"/>
          <w:i/>
          <w:sz w:val="24"/>
          <w:szCs w:val="24"/>
        </w:rPr>
      </w:pPr>
      <w:r w:rsidRPr="001B1080">
        <w:rPr>
          <w:rFonts w:ascii="Arial Narrow" w:eastAsia="Arial Unicode MS" w:hAnsi="Arial Narrow"/>
          <w:i/>
          <w:sz w:val="24"/>
          <w:szCs w:val="24"/>
        </w:rPr>
        <w:t>De manera que será el criterio experto del profesional tratante, apreciado como cualquier otra prueba técnica, esto es, conforme a las reglas de la sana crítica probatoria y bajo el prisma del conocimiento de sus pares, el que orientará al juez constitucional para discernir en el debate científico qué deba hacer parte de la atención integral, orientada a los fines relevantes, como lo son “</w:t>
      </w:r>
      <w:r w:rsidRPr="001B1080">
        <w:rPr>
          <w:rFonts w:ascii="Arial Narrow" w:hAnsi="Arial Narrow"/>
          <w:i/>
          <w:sz w:val="24"/>
          <w:szCs w:val="24"/>
        </w:rPr>
        <w:t xml:space="preserve">promoción de la salud, prevención, diagnóstico, tratamiento, rehabilitación y paliación de la enfermedad”.   (…) </w:t>
      </w:r>
    </w:p>
    <w:p w:rsidR="00C41F97" w:rsidRPr="001B1080" w:rsidRDefault="00C41F97" w:rsidP="00A83B99">
      <w:pPr>
        <w:widowControl w:val="0"/>
        <w:spacing w:before="100" w:after="100"/>
        <w:ind w:left="567"/>
        <w:contextualSpacing/>
        <w:jc w:val="both"/>
        <w:rPr>
          <w:rFonts w:ascii="Arial Narrow" w:eastAsia="Arial Unicode MS" w:hAnsi="Arial Narrow"/>
          <w:i/>
          <w:sz w:val="24"/>
          <w:szCs w:val="24"/>
        </w:rPr>
      </w:pPr>
    </w:p>
    <w:p w:rsidR="00C41F97" w:rsidRPr="001B1080" w:rsidRDefault="00FA5A79" w:rsidP="00A83B99">
      <w:pPr>
        <w:widowControl w:val="0"/>
        <w:spacing w:before="100" w:after="100"/>
        <w:ind w:left="567"/>
        <w:contextualSpacing/>
        <w:jc w:val="both"/>
        <w:rPr>
          <w:rFonts w:ascii="Arial Narrow" w:hAnsi="Arial Narrow"/>
          <w:i/>
          <w:sz w:val="24"/>
          <w:szCs w:val="24"/>
        </w:rPr>
      </w:pPr>
      <w:r w:rsidRPr="001B1080">
        <w:rPr>
          <w:rFonts w:ascii="Arial Narrow" w:eastAsia="Arial Unicode MS" w:hAnsi="Arial Narrow"/>
          <w:i/>
          <w:sz w:val="24"/>
          <w:szCs w:val="24"/>
        </w:rPr>
        <w:t xml:space="preserve">Esos preceptos técnicos constituyen el núcleo de los mandatos regulatorios del POS en lo que atañe al caso; como puede verse, son descripciones numerus </w:t>
      </w:r>
      <w:proofErr w:type="spellStart"/>
      <w:r w:rsidRPr="001B1080">
        <w:rPr>
          <w:rFonts w:ascii="Arial Narrow" w:eastAsia="Arial Unicode MS" w:hAnsi="Arial Narrow"/>
          <w:i/>
          <w:sz w:val="24"/>
          <w:szCs w:val="24"/>
        </w:rPr>
        <w:t>apertus</w:t>
      </w:r>
      <w:proofErr w:type="spellEnd"/>
      <w:r w:rsidRPr="001B1080">
        <w:rPr>
          <w:rFonts w:ascii="Arial Narrow" w:eastAsia="Arial Unicode MS" w:hAnsi="Arial Narrow"/>
          <w:i/>
          <w:sz w:val="24"/>
          <w:szCs w:val="24"/>
        </w:rPr>
        <w:t xml:space="preserve"> que se leerán acorde con las particularidades de los diversos eventos, conforme a las prescripciones de los médicos o profesionales tratantes, quienes a su vez tendrán que tomar en cuenta las guías y protocolos de atención y el estado del arte frente a las disponibilidades del aquí y el ahora en lo que el país deba y pueda ofrecer a sus habitantes. </w:t>
      </w:r>
    </w:p>
    <w:p w:rsidR="00C41F97" w:rsidRPr="001B1080" w:rsidRDefault="00C41F97" w:rsidP="00A83B99">
      <w:pPr>
        <w:widowControl w:val="0"/>
        <w:spacing w:before="100" w:after="100"/>
        <w:ind w:left="567"/>
        <w:contextualSpacing/>
        <w:jc w:val="both"/>
        <w:rPr>
          <w:rFonts w:ascii="Arial Narrow" w:hAnsi="Arial Narrow"/>
          <w:i/>
          <w:sz w:val="24"/>
          <w:szCs w:val="24"/>
        </w:rPr>
      </w:pPr>
    </w:p>
    <w:p w:rsidR="00C41F97" w:rsidRPr="001B1080" w:rsidRDefault="00FA5A79" w:rsidP="00A83B99">
      <w:pPr>
        <w:widowControl w:val="0"/>
        <w:spacing w:before="100" w:after="100"/>
        <w:ind w:left="567"/>
        <w:contextualSpacing/>
        <w:jc w:val="both"/>
        <w:rPr>
          <w:rFonts w:ascii="Arial Narrow" w:hAnsi="Arial Narrow"/>
          <w:i/>
          <w:sz w:val="24"/>
          <w:szCs w:val="24"/>
        </w:rPr>
      </w:pPr>
      <w:r w:rsidRPr="001B1080">
        <w:rPr>
          <w:rFonts w:ascii="Arial Narrow" w:eastAsia="Arial Unicode MS" w:hAnsi="Arial Narrow"/>
          <w:i/>
          <w:sz w:val="24"/>
          <w:szCs w:val="24"/>
        </w:rPr>
        <w:t>No basta, entonces, revisar los anexos como simples índices; menos, deducir de la ausencia de una determinada descripción de medicamento o procedimiento en esos listados la consecuencia jurídica de denegarlos al paciente, o la de asignar inexorablemente la responsabilidad de costearlo al ente territorial o al FOSYGA, liberando a las EPS de lo que – todavía, aunque se anuncian otros vientos reformatorios – les corresponda cubrir con cargo a la UPC</w:t>
      </w:r>
      <w:r w:rsidRPr="001B1080">
        <w:rPr>
          <w:rFonts w:ascii="Arial Narrow" w:eastAsia="Arial Unicode MS" w:hAnsi="Arial Narrow"/>
          <w:i/>
          <w:sz w:val="24"/>
          <w:szCs w:val="24"/>
          <w:vertAlign w:val="superscript"/>
        </w:rPr>
        <w:footnoteReference w:id="1"/>
      </w:r>
      <w:r w:rsidRPr="001B1080">
        <w:rPr>
          <w:rFonts w:ascii="Arial Narrow" w:eastAsia="Arial Unicode MS" w:hAnsi="Arial Narrow"/>
          <w:i/>
          <w:sz w:val="24"/>
          <w:szCs w:val="24"/>
        </w:rPr>
        <w:t>.</w:t>
      </w:r>
    </w:p>
    <w:p w:rsidR="00C41F97" w:rsidRPr="001B1080" w:rsidRDefault="00C41F97" w:rsidP="00A83B99">
      <w:pPr>
        <w:widowControl w:val="0"/>
        <w:spacing w:before="100" w:after="100"/>
        <w:ind w:left="567"/>
        <w:contextualSpacing/>
        <w:jc w:val="both"/>
        <w:rPr>
          <w:rFonts w:ascii="Arial Narrow" w:hAnsi="Arial Narrow"/>
          <w:i/>
          <w:sz w:val="24"/>
          <w:szCs w:val="24"/>
        </w:rPr>
      </w:pPr>
    </w:p>
    <w:p w:rsidR="00C41F97" w:rsidRPr="001B1080" w:rsidRDefault="00FA5A79" w:rsidP="00A83B99">
      <w:pPr>
        <w:widowControl w:val="0"/>
        <w:spacing w:before="100" w:after="100"/>
        <w:ind w:left="567"/>
        <w:contextualSpacing/>
        <w:jc w:val="both"/>
        <w:rPr>
          <w:rFonts w:ascii="Arial Narrow" w:hAnsi="Arial Narrow"/>
          <w:i/>
          <w:sz w:val="24"/>
          <w:szCs w:val="24"/>
        </w:rPr>
      </w:pPr>
      <w:r w:rsidRPr="001B1080">
        <w:rPr>
          <w:rFonts w:ascii="Arial Narrow" w:eastAsia="Arial Unicode MS" w:hAnsi="Arial Narrow"/>
          <w:i/>
          <w:sz w:val="24"/>
          <w:szCs w:val="24"/>
          <w:lang w:val="es-CO"/>
        </w:rPr>
        <w:t>En esa misma dirección, señaló posteriormente:</w:t>
      </w:r>
    </w:p>
    <w:p w:rsidR="00C41F97" w:rsidRPr="001B1080" w:rsidRDefault="00C41F97" w:rsidP="00A83B99">
      <w:pPr>
        <w:widowControl w:val="0"/>
        <w:spacing w:before="100" w:after="100"/>
        <w:ind w:left="1134"/>
        <w:contextualSpacing/>
        <w:jc w:val="both"/>
        <w:rPr>
          <w:rFonts w:ascii="Arial Narrow" w:hAnsi="Arial Narrow"/>
          <w:i/>
          <w:sz w:val="24"/>
          <w:szCs w:val="24"/>
        </w:rPr>
      </w:pPr>
    </w:p>
    <w:p w:rsidR="00C41F97" w:rsidRPr="001B1080" w:rsidRDefault="00FA5A79" w:rsidP="00A83B99">
      <w:pPr>
        <w:widowControl w:val="0"/>
        <w:spacing w:before="100" w:after="100"/>
        <w:ind w:left="1134"/>
        <w:contextualSpacing/>
        <w:jc w:val="both"/>
        <w:rPr>
          <w:rFonts w:ascii="Arial Narrow" w:hAnsi="Arial Narrow"/>
          <w:i/>
          <w:sz w:val="24"/>
          <w:szCs w:val="24"/>
        </w:rPr>
      </w:pPr>
      <w:r w:rsidRPr="001B1080">
        <w:rPr>
          <w:rFonts w:ascii="Arial Narrow" w:hAnsi="Arial Narrow" w:cs="Arial"/>
          <w:i/>
          <w:sz w:val="24"/>
          <w:szCs w:val="24"/>
        </w:rPr>
        <w:t>“Empezamos por enfatizar que uno de los pilares del derecho a la salud es la integralidad en torno a la prestación del servicio,</w:t>
      </w:r>
      <w:r w:rsidRPr="001B1080">
        <w:rPr>
          <w:rFonts w:ascii="Arial Narrow" w:hAnsi="Arial Narrow" w:cs="Arial"/>
          <w:b/>
          <w:i/>
          <w:sz w:val="24"/>
          <w:szCs w:val="24"/>
        </w:rPr>
        <w:t xml:space="preserve"> </w:t>
      </w:r>
      <w:r w:rsidRPr="001B1080">
        <w:rPr>
          <w:rFonts w:ascii="Arial Narrow" w:hAnsi="Arial Narrow" w:cs="Arial"/>
          <w:i/>
          <w:sz w:val="24"/>
          <w:szCs w:val="24"/>
        </w:rPr>
        <w:t xml:space="preserve">el cual tiene como fin que </w:t>
      </w:r>
      <w:r w:rsidRPr="001B1080">
        <w:rPr>
          <w:rFonts w:ascii="Arial Narrow" w:hAnsi="Arial Narrow" w:cs="Arial"/>
          <w:b/>
          <w:i/>
          <w:sz w:val="24"/>
          <w:szCs w:val="24"/>
        </w:rPr>
        <w:t>el suministro, la atención y el tratamiento a que tienen derecho las personas que se encuentran afiliadas al Sistema de Seguridad Social en Salud sea provisto de todos aquellos medicamentos, cirugías, procedimientos quirúrgicos, insumos médicos y demás tratamientos prescritos por el médico tratante, que propendan por el restablecimiento de la salud del paciente.</w:t>
      </w:r>
    </w:p>
    <w:p w:rsidR="00C41F97" w:rsidRPr="001B1080" w:rsidRDefault="00C41F97" w:rsidP="00A83B99">
      <w:pPr>
        <w:widowControl w:val="0"/>
        <w:spacing w:before="100" w:after="100"/>
        <w:ind w:left="567"/>
        <w:contextualSpacing/>
        <w:jc w:val="both"/>
        <w:rPr>
          <w:rFonts w:ascii="Arial Narrow" w:hAnsi="Arial Narrow" w:cs="Arial"/>
          <w:i/>
          <w:sz w:val="24"/>
          <w:szCs w:val="24"/>
        </w:rPr>
      </w:pPr>
    </w:p>
    <w:p w:rsidR="00C41F97" w:rsidRPr="001B1080" w:rsidRDefault="00FA5A79" w:rsidP="00A83B99">
      <w:pPr>
        <w:widowControl w:val="0"/>
        <w:spacing w:before="100" w:after="100"/>
        <w:ind w:left="567"/>
        <w:contextualSpacing/>
        <w:jc w:val="both"/>
        <w:rPr>
          <w:rFonts w:ascii="Arial Narrow" w:hAnsi="Arial Narrow" w:cs="Arial"/>
          <w:i/>
          <w:sz w:val="24"/>
          <w:szCs w:val="24"/>
        </w:rPr>
      </w:pPr>
      <w:r w:rsidRPr="001B1080">
        <w:rPr>
          <w:rFonts w:ascii="Arial Narrow" w:hAnsi="Arial Narrow" w:cs="Arial"/>
          <w:i/>
          <w:sz w:val="24"/>
          <w:szCs w:val="24"/>
        </w:rPr>
        <w:t>Sobre la integralidad en el servicio de salud la Corte Constitucional, en la sentencia T 760 del 31 de julio de 2008, M.P. Manuel José Cepeda Espinosa, ha adver</w:t>
      </w:r>
      <w:r w:rsidR="00C41F97" w:rsidRPr="001B1080">
        <w:rPr>
          <w:rFonts w:ascii="Arial Narrow" w:hAnsi="Arial Narrow" w:cs="Arial"/>
          <w:i/>
          <w:sz w:val="24"/>
          <w:szCs w:val="24"/>
        </w:rPr>
        <w:t>tido de manera contundente que:</w:t>
      </w:r>
    </w:p>
    <w:p w:rsidR="00C41F97" w:rsidRPr="001B1080" w:rsidRDefault="00C41F97" w:rsidP="00A83B99">
      <w:pPr>
        <w:widowControl w:val="0"/>
        <w:spacing w:before="100" w:after="100"/>
        <w:ind w:left="1134"/>
        <w:contextualSpacing/>
        <w:jc w:val="both"/>
        <w:rPr>
          <w:rFonts w:ascii="Arial Narrow" w:hAnsi="Arial Narrow" w:cs="Arial"/>
          <w:i/>
          <w:sz w:val="24"/>
          <w:szCs w:val="24"/>
        </w:rPr>
      </w:pPr>
    </w:p>
    <w:p w:rsidR="00C41F97" w:rsidRPr="001B1080" w:rsidRDefault="00FA5A79" w:rsidP="00A83B99">
      <w:pPr>
        <w:widowControl w:val="0"/>
        <w:spacing w:before="100" w:after="100"/>
        <w:ind w:left="1134"/>
        <w:contextualSpacing/>
        <w:jc w:val="both"/>
        <w:rPr>
          <w:rFonts w:ascii="Arial Narrow" w:hAnsi="Arial Narrow" w:cs="Arial"/>
          <w:i/>
          <w:sz w:val="24"/>
          <w:szCs w:val="24"/>
        </w:rPr>
      </w:pPr>
      <w:r w:rsidRPr="001B1080">
        <w:rPr>
          <w:rFonts w:ascii="Arial Narrow" w:hAnsi="Arial Narrow" w:cs="Arial"/>
          <w:i/>
          <w:sz w:val="24"/>
          <w:szCs w:val="24"/>
        </w:rPr>
        <w:t xml:space="preserve">“(…) la atención y el tratamiento a que tienen derecho los pertenecientes al sistema de seguridad social en salud cuyo estado de enfermedad esté afectando su integridad personal o su vida en condiciones dignas, son integrales; es decir, </w:t>
      </w:r>
      <w:r w:rsidRPr="001B1080">
        <w:rPr>
          <w:rFonts w:ascii="Arial Narrow" w:hAnsi="Arial Narrow" w:cs="Arial"/>
          <w:b/>
          <w:i/>
          <w:sz w:val="24"/>
          <w:szCs w:val="24"/>
        </w:rPr>
        <w:t>deben contener todo cuidado, suministro de medicamentos, intervenciones quirúrgicas, prácticas de rehabilitación, exámenes para el diagnóstico y el seguimiento, así como todo otro componente que el médico tratante valore como necesario para el pleno restablecimiento de la salud del paciente o para mitigar las dolencias que le impiden llevar su vida en mejores condiciones</w:t>
      </w:r>
      <w:r w:rsidRPr="001B1080">
        <w:rPr>
          <w:rFonts w:ascii="Arial Narrow" w:hAnsi="Arial Narrow" w:cs="Arial"/>
          <w:i/>
          <w:sz w:val="24"/>
          <w:szCs w:val="24"/>
        </w:rPr>
        <w:t>; y en tal dimensión, debe ser proporcionado a sus afiliados por las entidades encargadas de prestar el servicio público de</w:t>
      </w:r>
      <w:r w:rsidR="00C41F97" w:rsidRPr="001B1080">
        <w:rPr>
          <w:rFonts w:ascii="Arial Narrow" w:hAnsi="Arial Narrow" w:cs="Arial"/>
          <w:i/>
          <w:sz w:val="24"/>
          <w:szCs w:val="24"/>
        </w:rPr>
        <w:t xml:space="preserve"> la seguridad social en salud”.</w:t>
      </w:r>
    </w:p>
    <w:p w:rsidR="00C41F97" w:rsidRPr="001B1080" w:rsidRDefault="00C41F97" w:rsidP="00A83B99">
      <w:pPr>
        <w:widowControl w:val="0"/>
        <w:spacing w:before="100" w:after="100"/>
        <w:ind w:left="567"/>
        <w:contextualSpacing/>
        <w:jc w:val="both"/>
        <w:rPr>
          <w:rFonts w:ascii="Arial Narrow" w:hAnsi="Arial Narrow" w:cs="Arial"/>
          <w:i/>
          <w:sz w:val="24"/>
          <w:szCs w:val="24"/>
        </w:rPr>
      </w:pPr>
    </w:p>
    <w:p w:rsidR="00C41F97" w:rsidRPr="001B1080" w:rsidRDefault="00FA5A79" w:rsidP="00A83B99">
      <w:pPr>
        <w:widowControl w:val="0"/>
        <w:spacing w:before="100" w:after="100"/>
        <w:ind w:left="567"/>
        <w:contextualSpacing/>
        <w:jc w:val="both"/>
        <w:rPr>
          <w:rFonts w:ascii="Arial Narrow" w:hAnsi="Arial Narrow"/>
          <w:i/>
          <w:sz w:val="24"/>
          <w:szCs w:val="24"/>
        </w:rPr>
      </w:pPr>
      <w:r w:rsidRPr="001B1080">
        <w:rPr>
          <w:rFonts w:ascii="Arial Narrow" w:hAnsi="Arial Narrow" w:cs="Arial"/>
          <w:i/>
          <w:sz w:val="24"/>
          <w:szCs w:val="24"/>
        </w:rPr>
        <w:t xml:space="preserve">En este sentido </w:t>
      </w:r>
      <w:r w:rsidRPr="001B1080">
        <w:rPr>
          <w:rFonts w:ascii="Arial Narrow" w:hAnsi="Arial Narrow" w:cs="Arial"/>
          <w:b/>
          <w:i/>
          <w:sz w:val="24"/>
          <w:szCs w:val="24"/>
        </w:rPr>
        <w:t>el principio de integralidad</w:t>
      </w:r>
      <w:r w:rsidRPr="001B1080">
        <w:rPr>
          <w:rFonts w:ascii="Arial Narrow" w:hAnsi="Arial Narrow" w:cs="Arial"/>
          <w:i/>
          <w:sz w:val="24"/>
          <w:szCs w:val="24"/>
        </w:rPr>
        <w:t xml:space="preserve"> no </w:t>
      </w:r>
      <w:r w:rsidRPr="001B1080">
        <w:rPr>
          <w:rFonts w:ascii="Arial Narrow" w:hAnsi="Arial Narrow" w:cs="Arial"/>
          <w:b/>
          <w:i/>
          <w:sz w:val="24"/>
          <w:szCs w:val="24"/>
        </w:rPr>
        <w:t>implica</w:t>
      </w:r>
      <w:r w:rsidRPr="001B1080">
        <w:rPr>
          <w:rFonts w:ascii="Arial Narrow" w:hAnsi="Arial Narrow" w:cs="Arial"/>
          <w:i/>
          <w:sz w:val="24"/>
          <w:szCs w:val="24"/>
        </w:rPr>
        <w:t xml:space="preserve"> que al paciente se le presten todos los servicios de salud que desee, sino </w:t>
      </w:r>
      <w:r w:rsidRPr="001B1080">
        <w:rPr>
          <w:rFonts w:ascii="Arial Narrow" w:hAnsi="Arial Narrow" w:cs="Arial"/>
          <w:b/>
          <w:i/>
          <w:sz w:val="24"/>
          <w:szCs w:val="24"/>
        </w:rPr>
        <w:t>que sea su médico tratante quien determine cuáles son los procedimientos o medicamentos idóneos para el tratamiento de la enfermedad o la sintomatología que padece el paciente</w:t>
      </w:r>
      <w:r w:rsidRPr="001B1080">
        <w:rPr>
          <w:rFonts w:ascii="Arial Narrow" w:hAnsi="Arial Narrow" w:cs="Arial"/>
          <w:i/>
          <w:sz w:val="24"/>
          <w:szCs w:val="24"/>
        </w:rPr>
        <w:t>. Sin embargo, este precepto tampoco se da por cumplido con la aplicación de un tratamiento médico meramente paliativo, sino solamente con la suma de todos los servicios requeridos para que el diagnóstico evolucione favorablemente.</w:t>
      </w:r>
    </w:p>
    <w:p w:rsidR="00C41F97" w:rsidRPr="001B1080" w:rsidRDefault="00C41F97" w:rsidP="00A83B99">
      <w:pPr>
        <w:widowControl w:val="0"/>
        <w:spacing w:before="100" w:after="100"/>
        <w:ind w:left="567"/>
        <w:contextualSpacing/>
        <w:jc w:val="both"/>
        <w:rPr>
          <w:rFonts w:ascii="Arial Narrow" w:hAnsi="Arial Narrow"/>
          <w:i/>
          <w:sz w:val="24"/>
          <w:szCs w:val="24"/>
        </w:rPr>
      </w:pPr>
    </w:p>
    <w:p w:rsidR="00C41F97" w:rsidRPr="001B1080" w:rsidRDefault="00FA5A79" w:rsidP="00A83B99">
      <w:pPr>
        <w:widowControl w:val="0"/>
        <w:spacing w:before="100" w:after="100"/>
        <w:ind w:left="567"/>
        <w:contextualSpacing/>
        <w:jc w:val="both"/>
        <w:rPr>
          <w:rFonts w:ascii="Arial Narrow" w:hAnsi="Arial Narrow"/>
          <w:i/>
          <w:sz w:val="24"/>
          <w:szCs w:val="24"/>
        </w:rPr>
      </w:pPr>
      <w:r w:rsidRPr="001B1080">
        <w:rPr>
          <w:rFonts w:ascii="Arial Narrow" w:hAnsi="Arial Narrow" w:cs="Arial"/>
          <w:i/>
          <w:sz w:val="24"/>
          <w:szCs w:val="24"/>
        </w:rPr>
        <w:t xml:space="preserve">De tal forma que lo expuesto en la cita trascrita sirve de complemento a la normatividad vigente para que los pacientes reciban una atención adecuada y completa, destinada al restablecimiento de su estado de salud, con el fin de que las personas afiliadas al régimen de salud reciban una prestación del servicio óptima, oportuna, eficiente y de calidad; en conclusión, tal como se afirmó en la sentencia </w:t>
      </w:r>
      <w:r w:rsidRPr="001B1080">
        <w:rPr>
          <w:rFonts w:ascii="Arial Narrow" w:eastAsia="SimSun" w:hAnsi="Arial Narrow" w:cs="Arial"/>
          <w:i/>
          <w:iCs/>
          <w:kern w:val="28"/>
          <w:sz w:val="24"/>
          <w:szCs w:val="24"/>
        </w:rPr>
        <w:t xml:space="preserve">T 206 del 15 de abril de 2013 M.P. Jorge Iván Palacio </w:t>
      </w:r>
      <w:proofErr w:type="spellStart"/>
      <w:r w:rsidRPr="001B1080">
        <w:rPr>
          <w:rFonts w:ascii="Arial Narrow" w:eastAsia="SimSun" w:hAnsi="Arial Narrow" w:cs="Arial"/>
          <w:i/>
          <w:iCs/>
          <w:kern w:val="28"/>
          <w:sz w:val="24"/>
          <w:szCs w:val="24"/>
        </w:rPr>
        <w:t>Palacio</w:t>
      </w:r>
      <w:proofErr w:type="spellEnd"/>
      <w:r w:rsidRPr="001B1080">
        <w:rPr>
          <w:rFonts w:ascii="Arial Narrow" w:hAnsi="Arial Narrow" w:cs="Arial"/>
          <w:i/>
          <w:sz w:val="24"/>
          <w:szCs w:val="24"/>
        </w:rPr>
        <w:t>:</w:t>
      </w:r>
    </w:p>
    <w:p w:rsidR="00C41F97" w:rsidRPr="001B1080" w:rsidRDefault="00C41F97" w:rsidP="00A83B99">
      <w:pPr>
        <w:widowControl w:val="0"/>
        <w:spacing w:before="100" w:after="100"/>
        <w:ind w:left="1134"/>
        <w:contextualSpacing/>
        <w:jc w:val="both"/>
        <w:rPr>
          <w:rFonts w:ascii="Arial Narrow" w:hAnsi="Arial Narrow"/>
          <w:i/>
          <w:sz w:val="24"/>
          <w:szCs w:val="24"/>
        </w:rPr>
      </w:pPr>
    </w:p>
    <w:p w:rsidR="00C41F97" w:rsidRPr="001B1080" w:rsidRDefault="00FA5A79" w:rsidP="00A83B99">
      <w:pPr>
        <w:widowControl w:val="0"/>
        <w:spacing w:before="100" w:after="100"/>
        <w:ind w:left="1134"/>
        <w:contextualSpacing/>
        <w:jc w:val="both"/>
        <w:rPr>
          <w:rFonts w:ascii="Arial Narrow" w:hAnsi="Arial Narrow" w:cs="Arial"/>
          <w:i/>
          <w:sz w:val="24"/>
          <w:szCs w:val="24"/>
        </w:rPr>
      </w:pPr>
      <w:r w:rsidRPr="001B1080">
        <w:rPr>
          <w:rFonts w:ascii="Arial Narrow" w:hAnsi="Arial Narrow" w:cs="Arial"/>
          <w:i/>
          <w:sz w:val="24"/>
          <w:szCs w:val="24"/>
        </w:rPr>
        <w:t xml:space="preserve"> “… el derecho a la salud debe entenderse como un derecho al disfrute de toda una gama de facilidades, bienes, servicios y condiciones necesarios para alcanzar el más alto nivel posible de salud</w:t>
      </w:r>
      <w:r w:rsidRPr="001B1080">
        <w:rPr>
          <w:rFonts w:ascii="Arial Narrow" w:hAnsi="Arial Narrow" w:cs="Arial"/>
          <w:i/>
          <w:sz w:val="24"/>
          <w:szCs w:val="24"/>
          <w:vertAlign w:val="superscript"/>
        </w:rPr>
        <w:t>”</w:t>
      </w:r>
      <w:r w:rsidR="00C41F97" w:rsidRPr="001B1080">
        <w:rPr>
          <w:rFonts w:ascii="Arial Narrow" w:hAnsi="Arial Narrow" w:cs="Arial"/>
          <w:i/>
          <w:sz w:val="24"/>
          <w:szCs w:val="24"/>
        </w:rPr>
        <w:t>.</w:t>
      </w:r>
    </w:p>
    <w:p w:rsidR="00C41F97" w:rsidRPr="001B1080" w:rsidRDefault="00C41F97" w:rsidP="00A83B99">
      <w:pPr>
        <w:widowControl w:val="0"/>
        <w:spacing w:before="100" w:after="100"/>
        <w:ind w:left="567"/>
        <w:contextualSpacing/>
        <w:jc w:val="both"/>
        <w:rPr>
          <w:rFonts w:ascii="Arial Narrow" w:hAnsi="Arial Narrow" w:cs="Arial"/>
          <w:i/>
          <w:sz w:val="24"/>
          <w:szCs w:val="24"/>
        </w:rPr>
      </w:pPr>
    </w:p>
    <w:p w:rsidR="00CD3C18" w:rsidRDefault="00FA5A79" w:rsidP="00CD3C18">
      <w:pPr>
        <w:widowControl w:val="0"/>
        <w:spacing w:before="100" w:after="100"/>
        <w:ind w:left="567"/>
        <w:contextualSpacing/>
        <w:jc w:val="both"/>
        <w:rPr>
          <w:rFonts w:ascii="Arial Narrow" w:hAnsi="Arial Narrow"/>
          <w:i/>
          <w:sz w:val="24"/>
          <w:szCs w:val="24"/>
        </w:rPr>
      </w:pPr>
      <w:r w:rsidRPr="001B1080">
        <w:rPr>
          <w:rFonts w:ascii="Arial Narrow" w:hAnsi="Arial Narrow" w:cs="Arial"/>
          <w:i/>
          <w:sz w:val="24"/>
          <w:szCs w:val="24"/>
        </w:rPr>
        <w:t xml:space="preserve">Ahora bien, el principio de integralidad no puede entenderse aislado al de continuidad de la prestación del servicio de salud, el cual, en términos de la </w:t>
      </w:r>
      <w:r w:rsidRPr="001B1080">
        <w:rPr>
          <w:rFonts w:ascii="Arial Narrow" w:eastAsia="SimSun" w:hAnsi="Arial Narrow" w:cs="Arial"/>
          <w:i/>
          <w:iCs/>
          <w:kern w:val="28"/>
          <w:sz w:val="24"/>
          <w:szCs w:val="24"/>
        </w:rPr>
        <w:t>sentencia C- 800 del 16 de septiembre de 2003, M.P. Manuel José Cepeda Espinosa,</w:t>
      </w:r>
      <w:r w:rsidRPr="001B1080">
        <w:rPr>
          <w:rFonts w:ascii="Arial Narrow" w:hAnsi="Arial Narrow" w:cs="Arial"/>
          <w:i/>
          <w:iCs/>
          <w:sz w:val="24"/>
          <w:szCs w:val="24"/>
          <w:shd w:val="clear" w:color="auto" w:fill="FFFFFF"/>
        </w:rPr>
        <w:t xml:space="preserve"> busca evitar que se deje de prestar un servicio básico para todas las personas, independientemente de establecer a quién corresponde cubrir los costos económicos del tratamiento, así como tampoco exige que se siga un tratamiento inocuo ni tampoco impide que se ordene que pasados varios meses de haberse terminado un tratamiento por una enfermedad se inicie uno nuevo y distinto por otra enfermedad diferente…”</w:t>
      </w:r>
      <w:r w:rsidRPr="001B1080">
        <w:rPr>
          <w:rStyle w:val="Refdenotaalpie"/>
          <w:rFonts w:ascii="Arial Narrow" w:hAnsi="Arial Narrow" w:cs="Arial"/>
          <w:i/>
          <w:iCs/>
          <w:sz w:val="24"/>
          <w:szCs w:val="24"/>
          <w:shd w:val="clear" w:color="auto" w:fill="FFFFFF"/>
        </w:rPr>
        <w:footnoteReference w:id="2"/>
      </w:r>
      <w:r w:rsidRPr="001B1080">
        <w:rPr>
          <w:rFonts w:ascii="Arial Narrow" w:hAnsi="Arial Narrow" w:cs="Arial"/>
          <w:i/>
          <w:iCs/>
          <w:sz w:val="24"/>
          <w:szCs w:val="24"/>
          <w:shd w:val="clear" w:color="auto" w:fill="FFFFFF"/>
        </w:rPr>
        <w:t>.</w:t>
      </w:r>
    </w:p>
    <w:p w:rsidR="00CD3C18" w:rsidRDefault="00CD3C18" w:rsidP="00CD3C18">
      <w:pPr>
        <w:widowControl w:val="0"/>
        <w:spacing w:before="100" w:after="100"/>
        <w:contextualSpacing/>
        <w:jc w:val="both"/>
        <w:rPr>
          <w:rFonts w:ascii="Arial Narrow" w:hAnsi="Arial Narrow" w:cs="Arial"/>
          <w:i/>
          <w:sz w:val="24"/>
          <w:szCs w:val="24"/>
        </w:rPr>
      </w:pPr>
    </w:p>
    <w:p w:rsidR="00CD3C18" w:rsidRDefault="00C30F60" w:rsidP="00CD3C18">
      <w:pPr>
        <w:widowControl w:val="0"/>
        <w:spacing w:before="100" w:after="100"/>
        <w:contextualSpacing/>
        <w:jc w:val="center"/>
        <w:rPr>
          <w:rFonts w:ascii="Arial Narrow" w:hAnsi="Arial Narrow"/>
          <w:i/>
          <w:sz w:val="24"/>
          <w:szCs w:val="24"/>
        </w:rPr>
      </w:pPr>
      <w:r w:rsidRPr="001B1080">
        <w:rPr>
          <w:rFonts w:ascii="Lucida Sans Unicode" w:hAnsi="Lucida Sans Unicode" w:cs="Lucida Sans Unicode"/>
          <w:b/>
          <w:sz w:val="24"/>
          <w:szCs w:val="24"/>
        </w:rPr>
        <w:t>LA ACCIÓN DE TUTELA COMO MECANISMO DE PROTECCIÓN</w:t>
      </w:r>
    </w:p>
    <w:p w:rsidR="00CD3C18" w:rsidRDefault="00CD3C18" w:rsidP="00A83B99">
      <w:pPr>
        <w:widowControl w:val="0"/>
        <w:spacing w:before="100" w:after="100"/>
        <w:contextualSpacing/>
        <w:jc w:val="both"/>
        <w:rPr>
          <w:rFonts w:ascii="Arial Narrow" w:hAnsi="Arial Narrow"/>
          <w:i/>
          <w:sz w:val="24"/>
          <w:szCs w:val="24"/>
        </w:rPr>
      </w:pPr>
    </w:p>
    <w:p w:rsidR="00EA5E6D" w:rsidRPr="00CD3C18" w:rsidRDefault="0049374A" w:rsidP="00A83B99">
      <w:pPr>
        <w:widowControl w:val="0"/>
        <w:spacing w:before="100" w:after="100"/>
        <w:contextualSpacing/>
        <w:jc w:val="both"/>
        <w:rPr>
          <w:rFonts w:ascii="Arial Narrow" w:hAnsi="Arial Narrow"/>
          <w:i/>
          <w:sz w:val="24"/>
          <w:szCs w:val="24"/>
        </w:rPr>
      </w:pPr>
      <w:r w:rsidRPr="001B1080">
        <w:rPr>
          <w:rFonts w:ascii="Lucida Sans Unicode" w:hAnsi="Lucida Sans Unicode" w:cs="Lucida Sans Unicode"/>
          <w:sz w:val="24"/>
          <w:szCs w:val="24"/>
        </w:rPr>
        <w:t>En</w:t>
      </w:r>
      <w:r w:rsidR="00FC758D" w:rsidRPr="001B1080">
        <w:rPr>
          <w:rFonts w:ascii="Lucida Sans Unicode" w:hAnsi="Lucida Sans Unicode" w:cs="Lucida Sans Unicode"/>
          <w:sz w:val="24"/>
          <w:szCs w:val="24"/>
        </w:rPr>
        <w:t xml:space="preserve"> la Constitución de 1991 se consagr</w:t>
      </w:r>
      <w:r w:rsidR="00836B45" w:rsidRPr="001B1080">
        <w:rPr>
          <w:rFonts w:ascii="Lucida Sans Unicode" w:hAnsi="Lucida Sans Unicode" w:cs="Lucida Sans Unicode"/>
          <w:sz w:val="24"/>
          <w:szCs w:val="24"/>
        </w:rPr>
        <w:t xml:space="preserve">ó </w:t>
      </w:r>
      <w:r w:rsidR="00C87FF7" w:rsidRPr="001B1080">
        <w:rPr>
          <w:rFonts w:ascii="Lucida Sans Unicode" w:hAnsi="Lucida Sans Unicode" w:cs="Lucida Sans Unicode"/>
          <w:sz w:val="24"/>
          <w:szCs w:val="24"/>
        </w:rPr>
        <w:t xml:space="preserve">la acción de tutela como </w:t>
      </w:r>
      <w:r w:rsidR="00836B45" w:rsidRPr="001B1080">
        <w:rPr>
          <w:rFonts w:ascii="Lucida Sans Unicode" w:hAnsi="Lucida Sans Unicode" w:cs="Lucida Sans Unicode"/>
          <w:sz w:val="24"/>
          <w:szCs w:val="24"/>
        </w:rPr>
        <w:t xml:space="preserve">un mecanismo </w:t>
      </w:r>
      <w:r w:rsidR="00FC758D" w:rsidRPr="001B1080">
        <w:rPr>
          <w:rFonts w:ascii="Lucida Sans Unicode" w:hAnsi="Lucida Sans Unicode" w:cs="Lucida Sans Unicode"/>
          <w:sz w:val="24"/>
          <w:szCs w:val="24"/>
        </w:rPr>
        <w:t>de protección</w:t>
      </w:r>
      <w:r w:rsidR="00C87FF7" w:rsidRPr="001B1080">
        <w:rPr>
          <w:rFonts w:ascii="Lucida Sans Unicode" w:hAnsi="Lucida Sans Unicode" w:cs="Lucida Sans Unicode"/>
          <w:sz w:val="24"/>
          <w:szCs w:val="24"/>
        </w:rPr>
        <w:t xml:space="preserve"> de los derechos fundamentales</w:t>
      </w:r>
      <w:r w:rsidR="00836B45" w:rsidRPr="001B1080">
        <w:rPr>
          <w:rFonts w:ascii="Lucida Sans Unicode" w:hAnsi="Lucida Sans Unicode" w:cs="Lucida Sans Unicode"/>
          <w:sz w:val="24"/>
          <w:szCs w:val="24"/>
        </w:rPr>
        <w:t>,</w:t>
      </w:r>
      <w:r w:rsidR="002D6BBA" w:rsidRPr="001B1080">
        <w:rPr>
          <w:rFonts w:ascii="Lucida Sans Unicode" w:hAnsi="Lucida Sans Unicode" w:cs="Lucida Sans Unicode"/>
          <w:sz w:val="24"/>
          <w:szCs w:val="24"/>
        </w:rPr>
        <w:t xml:space="preserve"> más precisamente </w:t>
      </w:r>
      <w:r w:rsidR="00C30F60" w:rsidRPr="001B1080">
        <w:rPr>
          <w:rFonts w:ascii="Lucida Sans Unicode" w:hAnsi="Lucida Sans Unicode" w:cs="Lucida Sans Unicode"/>
          <w:sz w:val="24"/>
          <w:szCs w:val="24"/>
          <w:lang w:val="es-ES"/>
        </w:rPr>
        <w:t xml:space="preserve">en el </w:t>
      </w:r>
      <w:r w:rsidR="00C30F60" w:rsidRPr="001B1080">
        <w:rPr>
          <w:rFonts w:ascii="Lucida Sans Unicode" w:hAnsi="Lucida Sans Unicode" w:cs="Lucida Sans Unicode"/>
          <w:sz w:val="24"/>
          <w:szCs w:val="24"/>
        </w:rPr>
        <w:t xml:space="preserve">artículo 86 de la </w:t>
      </w:r>
      <w:r w:rsidR="00C30F60" w:rsidRPr="001B1080">
        <w:rPr>
          <w:rFonts w:ascii="Lucida Sans Unicode" w:hAnsi="Lucida Sans Unicode" w:cs="Lucida Sans Unicode"/>
          <w:sz w:val="24"/>
          <w:szCs w:val="24"/>
          <w:lang w:val="es-ES"/>
        </w:rPr>
        <w:t>Carta Política y reglamentada por los Decretos 2591 de 1991, 306 de 1992 y 1382 de 2000, como mecanismo directo y expedito para la protección de los derechos constitucionales fundamentales,</w:t>
      </w:r>
      <w:r w:rsidR="00C87FF7" w:rsidRPr="001B1080">
        <w:rPr>
          <w:rFonts w:ascii="Lucida Sans Unicode" w:hAnsi="Lucida Sans Unicode" w:cs="Lucida Sans Unicode"/>
          <w:sz w:val="24"/>
          <w:szCs w:val="24"/>
          <w:lang w:val="es-ES"/>
        </w:rPr>
        <w:t xml:space="preserve"> el cual le </w:t>
      </w:r>
      <w:r w:rsidR="00C30F60" w:rsidRPr="001B1080">
        <w:rPr>
          <w:rFonts w:ascii="Lucida Sans Unicode" w:hAnsi="Lucida Sans Unicode" w:cs="Lucida Sans Unicode"/>
          <w:sz w:val="24"/>
          <w:szCs w:val="24"/>
          <w:lang w:val="es-ES"/>
        </w:rPr>
        <w:t xml:space="preserve">permite a </w:t>
      </w:r>
      <w:r w:rsidR="00C87FF7" w:rsidRPr="001B1080">
        <w:rPr>
          <w:rFonts w:ascii="Lucida Sans Unicode" w:hAnsi="Lucida Sans Unicode" w:cs="Lucida Sans Unicode"/>
          <w:sz w:val="24"/>
          <w:szCs w:val="24"/>
          <w:lang w:val="es-ES"/>
        </w:rPr>
        <w:t xml:space="preserve">todas </w:t>
      </w:r>
      <w:r w:rsidR="00C30F60" w:rsidRPr="001B1080">
        <w:rPr>
          <w:rFonts w:ascii="Lucida Sans Unicode" w:hAnsi="Lucida Sans Unicode" w:cs="Lucida Sans Unicode"/>
          <w:sz w:val="24"/>
          <w:szCs w:val="24"/>
          <w:lang w:val="es-ES"/>
        </w:rPr>
        <w:t>las personas</w:t>
      </w:r>
      <w:r w:rsidR="00C87FF7" w:rsidRPr="001B1080">
        <w:rPr>
          <w:rFonts w:ascii="Lucida Sans Unicode" w:hAnsi="Lucida Sans Unicode" w:cs="Lucida Sans Unicode"/>
          <w:sz w:val="24"/>
          <w:szCs w:val="24"/>
          <w:lang w:val="es-ES"/>
        </w:rPr>
        <w:t xml:space="preserve">, como se indicó en la sentencia T-1020 de 30 de octubre de 2003, magistrado ponente Jaime Córdoba Triviño, </w:t>
      </w:r>
      <w:r w:rsidR="00C30F60" w:rsidRPr="001B1080">
        <w:rPr>
          <w:rFonts w:ascii="Lucida Sans Unicode" w:hAnsi="Lucida Sans Unicode" w:cs="Lucida Sans Unicode"/>
          <w:sz w:val="24"/>
          <w:szCs w:val="24"/>
          <w:lang w:val="es-ES"/>
        </w:rPr>
        <w:t xml:space="preserve">reclamar ante los jueces, en todo momento y lugar, mediante un procedimiento preferente y sumario, la protección inmediata de los mismos, cuando quiera </w:t>
      </w:r>
      <w:proofErr w:type="gramStart"/>
      <w:r w:rsidR="00C30F60" w:rsidRPr="001B1080">
        <w:rPr>
          <w:rFonts w:ascii="Lucida Sans Unicode" w:hAnsi="Lucida Sans Unicode" w:cs="Lucida Sans Unicode"/>
          <w:sz w:val="24"/>
          <w:szCs w:val="24"/>
          <w:lang w:val="es-ES"/>
        </w:rPr>
        <w:t>que</w:t>
      </w:r>
      <w:proofErr w:type="gramEnd"/>
      <w:r w:rsidR="00C30F60" w:rsidRPr="001B1080">
        <w:rPr>
          <w:rFonts w:ascii="Lucida Sans Unicode" w:hAnsi="Lucida Sans Unicode" w:cs="Lucida Sans Unicode"/>
          <w:sz w:val="24"/>
          <w:szCs w:val="24"/>
          <w:lang w:val="es-ES"/>
        </w:rPr>
        <w:t xml:space="preserve"> resulten amenazados o vulnerados por la acción o la omisión de cualquiera autoridad pública o de los particulares, siempre que no se disponga de otro medio de defensa judicial, salvo que se trate de impedir un daño irremediable, en cuyo evento procede como mecanismo transitorio.</w:t>
      </w:r>
    </w:p>
    <w:p w:rsidR="00EA5E6D" w:rsidRPr="001B1080" w:rsidRDefault="00EA5E6D" w:rsidP="00A83B99">
      <w:pPr>
        <w:widowControl w:val="0"/>
        <w:spacing w:before="100" w:after="100"/>
        <w:contextualSpacing/>
        <w:jc w:val="both"/>
        <w:rPr>
          <w:rFonts w:ascii="Lucida Sans Unicode" w:hAnsi="Lucida Sans Unicode" w:cs="Lucida Sans Unicode"/>
          <w:sz w:val="24"/>
          <w:szCs w:val="24"/>
          <w:lang w:val="es-ES"/>
        </w:rPr>
      </w:pPr>
    </w:p>
    <w:p w:rsidR="00F54A9F" w:rsidRPr="001B1080" w:rsidRDefault="002D6BBA" w:rsidP="00A83B99">
      <w:pPr>
        <w:widowControl w:val="0"/>
        <w:spacing w:before="100" w:after="100"/>
        <w:contextualSpacing/>
        <w:jc w:val="both"/>
        <w:rPr>
          <w:rFonts w:ascii="Lucida Sans Unicode" w:hAnsi="Lucida Sans Unicode" w:cs="Lucida Sans Unicode"/>
          <w:sz w:val="24"/>
          <w:szCs w:val="24"/>
          <w:lang w:val="es-ES"/>
        </w:rPr>
      </w:pPr>
      <w:r w:rsidRPr="001B1080">
        <w:rPr>
          <w:rFonts w:ascii="Lucida Sans Unicode" w:hAnsi="Lucida Sans Unicode" w:cs="Lucida Sans Unicode"/>
          <w:sz w:val="24"/>
          <w:szCs w:val="24"/>
        </w:rPr>
        <w:t xml:space="preserve">Ahora bien, </w:t>
      </w:r>
      <w:r w:rsidR="003617C3" w:rsidRPr="001B1080">
        <w:rPr>
          <w:rFonts w:ascii="Lucida Sans Unicode" w:hAnsi="Lucida Sans Unicode" w:cs="Lucida Sans Unicode"/>
          <w:sz w:val="24"/>
          <w:szCs w:val="24"/>
        </w:rPr>
        <w:t>dentro de ese amplio piélago de derechos fundamentales consagrados en la Constitución,</w:t>
      </w:r>
      <w:r w:rsidR="0049374A" w:rsidRPr="001B1080">
        <w:rPr>
          <w:rFonts w:ascii="Lucida Sans Unicode" w:hAnsi="Lucida Sans Unicode" w:cs="Lucida Sans Unicode"/>
          <w:sz w:val="24"/>
          <w:szCs w:val="24"/>
        </w:rPr>
        <w:t xml:space="preserve"> en el CAPÍTULO II de los </w:t>
      </w:r>
      <w:r w:rsidR="000A2C77" w:rsidRPr="001B1080">
        <w:rPr>
          <w:rFonts w:ascii="Lucida Sans Unicode" w:hAnsi="Lucida Sans Unicode" w:cs="Lucida Sans Unicode"/>
          <w:i/>
          <w:sz w:val="24"/>
          <w:szCs w:val="24"/>
        </w:rPr>
        <w:t>DERECHOS SOCIALES, ECONÓMICOS Y CULTURALES</w:t>
      </w:r>
      <w:r w:rsidR="0049374A" w:rsidRPr="001B1080">
        <w:rPr>
          <w:rFonts w:ascii="Lucida Sans Unicode" w:hAnsi="Lucida Sans Unicode" w:cs="Lucida Sans Unicode"/>
          <w:sz w:val="24"/>
          <w:szCs w:val="24"/>
        </w:rPr>
        <w:t xml:space="preserve"> </w:t>
      </w:r>
      <w:r w:rsidR="003617C3" w:rsidRPr="001B1080">
        <w:rPr>
          <w:rFonts w:ascii="Lucida Sans Unicode" w:hAnsi="Lucida Sans Unicode" w:cs="Lucida Sans Unicode"/>
          <w:sz w:val="24"/>
          <w:szCs w:val="24"/>
        </w:rPr>
        <w:t xml:space="preserve">se encuentra el </w:t>
      </w:r>
      <w:r w:rsidR="0049374A" w:rsidRPr="001B1080">
        <w:rPr>
          <w:rFonts w:ascii="Lucida Sans Unicode" w:hAnsi="Lucida Sans Unicode" w:cs="Lucida Sans Unicode"/>
          <w:sz w:val="24"/>
          <w:szCs w:val="24"/>
        </w:rPr>
        <w:t xml:space="preserve">de </w:t>
      </w:r>
      <w:r w:rsidR="0049374A" w:rsidRPr="001B1080">
        <w:rPr>
          <w:rFonts w:ascii="Lucida Sans Unicode" w:hAnsi="Lucida Sans Unicode" w:cs="Lucida Sans Unicode"/>
          <w:i/>
          <w:sz w:val="24"/>
          <w:szCs w:val="24"/>
        </w:rPr>
        <w:t>“servicio de salud y saneamiento ambiental”</w:t>
      </w:r>
      <w:r w:rsidR="003F0672" w:rsidRPr="001B1080">
        <w:rPr>
          <w:rFonts w:ascii="Lucida Sans Unicode" w:hAnsi="Lucida Sans Unicode" w:cs="Lucida Sans Unicode"/>
          <w:sz w:val="24"/>
          <w:szCs w:val="24"/>
        </w:rPr>
        <w:t>, el derecho a la salud había sido invocado en las acciones de tutela en conexidad con el de la vida y otros derechos,</w:t>
      </w:r>
      <w:r w:rsidR="001A14D4" w:rsidRPr="001B1080">
        <w:rPr>
          <w:rFonts w:ascii="Lucida Sans Unicode" w:hAnsi="Lucida Sans Unicode" w:cs="Lucida Sans Unicode"/>
          <w:sz w:val="24"/>
          <w:szCs w:val="24"/>
        </w:rPr>
        <w:t xml:space="preserve"> en la </w:t>
      </w:r>
      <w:r w:rsidR="00F54A9F" w:rsidRPr="001B1080">
        <w:rPr>
          <w:rFonts w:ascii="Lucida Sans Unicode" w:hAnsi="Lucida Sans Unicode" w:cs="Lucida Sans Unicode"/>
          <w:sz w:val="24"/>
          <w:szCs w:val="24"/>
        </w:rPr>
        <w:t>sentencia T-395/98 se indic</w:t>
      </w:r>
      <w:r w:rsidR="000A2C77" w:rsidRPr="001B1080">
        <w:rPr>
          <w:rFonts w:ascii="Lucida Sans Unicode" w:hAnsi="Lucida Sans Unicode" w:cs="Lucida Sans Unicode"/>
          <w:sz w:val="24"/>
          <w:szCs w:val="24"/>
        </w:rPr>
        <w:t>ó</w:t>
      </w:r>
      <w:r w:rsidR="00F54A9F" w:rsidRPr="001B1080">
        <w:rPr>
          <w:rFonts w:ascii="Lucida Sans Unicode" w:hAnsi="Lucida Sans Unicode" w:cs="Lucida Sans Unicode"/>
          <w:sz w:val="24"/>
          <w:szCs w:val="24"/>
        </w:rPr>
        <w:t xml:space="preserve"> que:</w:t>
      </w:r>
    </w:p>
    <w:p w:rsidR="00F54A9F" w:rsidRPr="001B1080" w:rsidRDefault="00F54A9F" w:rsidP="00A83B99">
      <w:pPr>
        <w:widowControl w:val="0"/>
        <w:spacing w:before="100" w:after="100"/>
        <w:ind w:left="567"/>
        <w:contextualSpacing/>
        <w:jc w:val="both"/>
        <w:rPr>
          <w:rFonts w:ascii="Lucida Sans Unicode" w:hAnsi="Lucida Sans Unicode" w:cs="Lucida Sans Unicode"/>
          <w:sz w:val="24"/>
          <w:szCs w:val="24"/>
        </w:rPr>
      </w:pPr>
    </w:p>
    <w:p w:rsidR="00B026B7" w:rsidRPr="001B1080" w:rsidRDefault="00B026B7" w:rsidP="00A83B99">
      <w:pPr>
        <w:widowControl w:val="0"/>
        <w:spacing w:before="100" w:after="100"/>
        <w:ind w:left="567"/>
        <w:contextualSpacing/>
        <w:jc w:val="both"/>
        <w:rPr>
          <w:rFonts w:ascii="Lucida Sans Unicode" w:hAnsi="Lucida Sans Unicode" w:cs="Lucida Sans Unicode"/>
          <w:sz w:val="24"/>
          <w:szCs w:val="24"/>
        </w:rPr>
      </w:pPr>
      <w:r w:rsidRPr="001B1080">
        <w:rPr>
          <w:rFonts w:ascii="Arial Narrow" w:hAnsi="Arial Narrow"/>
          <w:i/>
          <w:iCs/>
          <w:sz w:val="24"/>
          <w:szCs w:val="24"/>
          <w:bdr w:val="none" w:sz="0" w:space="0" w:color="auto" w:frame="1"/>
          <w:lang w:val="es-CO"/>
        </w:rPr>
        <w:t>“Al derecho a la salud le ha sido reconocida una naturaleza prestacional, derivada del deber del Estado de garantizar el servicio de salud y el saneamiento ambiental, establecidos en el artículo 49 de la Constitución. Esa naturaleza, emanada de la decisión del Constituyente de establecer unos objetivos y programas propios del Estado Social de Derecho, implica que desde el punto de vista prestacional el derecho a la salud se encuentra supeditado a procedimientos legales, programáticos y operativos que materialicen su alcance y su efectividad como un servicio público paulatinamente extensivo a todos los ciudadanos. Por tal razón, el derecho a la salud entendido desde este punto de vista prestacional, de infraestructura y acceso, requiere para su concreción de un desarrollo legal, apropiación de recursos, etc. En efecto,</w:t>
      </w:r>
      <w:r w:rsidRPr="001B1080">
        <w:rPr>
          <w:rStyle w:val="apple-converted-space"/>
          <w:rFonts w:ascii="Arial Narrow" w:hAnsi="Arial Narrow"/>
          <w:i/>
          <w:iCs/>
          <w:sz w:val="24"/>
          <w:szCs w:val="24"/>
          <w:bdr w:val="none" w:sz="0" w:space="0" w:color="auto" w:frame="1"/>
          <w:lang w:val="es-CO"/>
        </w:rPr>
        <w:t> </w:t>
      </w:r>
      <w:r w:rsidRPr="001B1080">
        <w:rPr>
          <w:rFonts w:ascii="Arial Narrow" w:hAnsi="Arial Narrow"/>
          <w:i/>
          <w:iCs/>
          <w:sz w:val="24"/>
          <w:szCs w:val="24"/>
          <w:bdr w:val="none" w:sz="0" w:space="0" w:color="auto" w:frame="1"/>
          <w:lang w:val="es-CO"/>
        </w:rPr>
        <w:t>es al Estado a quien se le "impone el deber de concretar, organizar, dirigir y reglamentar, conforme a los principios de eficiencia, universalidad y solidaridad, todo un sistema prestacional en materia de salud con la participación de entidades públicas y privadas, bajo la vigilancia y control de aquél, a través del cual se busca garantizar a todas las personas el acceso a los servicios de promoción, protección y recuperación de la salud y de saneamiento ambiental." En consecuencia "la posibilidad de exigir un derecho de prestación es apreciable sólo en el caso concreto y dependiendo del tipo de derecho", que de reunir el carácter de conexo con el derecho a la vida y la integridad de la persona, puede ser protegido como fundamental, según el caso concreto.</w:t>
      </w:r>
    </w:p>
    <w:p w:rsidR="00B026B7" w:rsidRPr="001B1080" w:rsidRDefault="00B026B7" w:rsidP="00A83B99">
      <w:pPr>
        <w:widowControl w:val="0"/>
        <w:spacing w:before="100" w:after="100"/>
        <w:contextualSpacing/>
        <w:jc w:val="both"/>
        <w:rPr>
          <w:rFonts w:ascii="Lucida Sans Unicode" w:hAnsi="Lucida Sans Unicode" w:cs="Lucida Sans Unicode"/>
          <w:sz w:val="24"/>
          <w:szCs w:val="24"/>
        </w:rPr>
      </w:pPr>
    </w:p>
    <w:p w:rsidR="00A26BD1" w:rsidRPr="001B1080" w:rsidRDefault="00CE70C0" w:rsidP="00A83B99">
      <w:pPr>
        <w:widowControl w:val="0"/>
        <w:spacing w:before="100" w:after="100"/>
        <w:contextualSpacing/>
        <w:jc w:val="both"/>
        <w:rPr>
          <w:rFonts w:ascii="Lucida Sans Unicode" w:hAnsi="Lucida Sans Unicode" w:cs="Lucida Sans Unicode"/>
          <w:sz w:val="24"/>
          <w:szCs w:val="24"/>
        </w:rPr>
      </w:pPr>
      <w:r>
        <w:rPr>
          <w:rFonts w:ascii="Lucida Sans Unicode" w:hAnsi="Lucida Sans Unicode" w:cs="Lucida Sans Unicode"/>
          <w:sz w:val="24"/>
          <w:szCs w:val="24"/>
        </w:rPr>
        <w:t>C</w:t>
      </w:r>
      <w:r w:rsidR="00B026B7" w:rsidRPr="001B1080">
        <w:rPr>
          <w:rFonts w:ascii="Lucida Sans Unicode" w:hAnsi="Lucida Sans Unicode" w:cs="Lucida Sans Unicode"/>
          <w:sz w:val="24"/>
          <w:szCs w:val="24"/>
        </w:rPr>
        <w:t xml:space="preserve">omo se sabe, tanto a nivel local como nacional </w:t>
      </w:r>
      <w:r w:rsidR="002D6BBA" w:rsidRPr="001B1080">
        <w:rPr>
          <w:rFonts w:ascii="Lucida Sans Unicode" w:hAnsi="Lucida Sans Unicode" w:cs="Lucida Sans Unicode"/>
          <w:sz w:val="24"/>
          <w:szCs w:val="24"/>
        </w:rPr>
        <w:t xml:space="preserve">el acceso a la salud se convirtió en una </w:t>
      </w:r>
      <w:r w:rsidR="00B026B7" w:rsidRPr="001B1080">
        <w:rPr>
          <w:rFonts w:ascii="Lucida Sans Unicode" w:hAnsi="Lucida Sans Unicode" w:cs="Lucida Sans Unicode"/>
          <w:sz w:val="24"/>
          <w:szCs w:val="24"/>
        </w:rPr>
        <w:t xml:space="preserve">utopía, </w:t>
      </w:r>
      <w:r w:rsidR="00981EC5" w:rsidRPr="001B1080">
        <w:rPr>
          <w:rFonts w:ascii="Lucida Sans Unicode" w:hAnsi="Lucida Sans Unicode" w:cs="Lucida Sans Unicode"/>
          <w:sz w:val="24"/>
          <w:szCs w:val="24"/>
        </w:rPr>
        <w:t xml:space="preserve">ya que </w:t>
      </w:r>
      <w:r w:rsidR="003617C3" w:rsidRPr="001B1080">
        <w:rPr>
          <w:rFonts w:ascii="Lucida Sans Unicode" w:hAnsi="Lucida Sans Unicode" w:cs="Lucida Sans Unicode"/>
          <w:sz w:val="24"/>
          <w:szCs w:val="24"/>
        </w:rPr>
        <w:t xml:space="preserve">las EPS y las IPS </w:t>
      </w:r>
      <w:r w:rsidR="005B0390" w:rsidRPr="001B1080">
        <w:rPr>
          <w:rFonts w:ascii="Lucida Sans Unicode" w:hAnsi="Lucida Sans Unicode" w:cs="Lucida Sans Unicode"/>
          <w:sz w:val="24"/>
          <w:szCs w:val="24"/>
        </w:rPr>
        <w:t>no han podido suplir la necesidad del servicio de salud y el gobierno no ha presentado una política pública que haga frente a la protección del derecho a la s</w:t>
      </w:r>
      <w:r w:rsidR="00D64EBB" w:rsidRPr="001B1080">
        <w:rPr>
          <w:rFonts w:ascii="Lucida Sans Unicode" w:hAnsi="Lucida Sans Unicode" w:cs="Lucida Sans Unicode"/>
          <w:sz w:val="24"/>
          <w:szCs w:val="24"/>
        </w:rPr>
        <w:t>alud de todos los ciudadanos res</w:t>
      </w:r>
      <w:r w:rsidR="005B0390" w:rsidRPr="001B1080">
        <w:rPr>
          <w:rFonts w:ascii="Lucida Sans Unicode" w:hAnsi="Lucida Sans Unicode" w:cs="Lucida Sans Unicode"/>
          <w:sz w:val="24"/>
          <w:szCs w:val="24"/>
        </w:rPr>
        <w:t>i</w:t>
      </w:r>
      <w:r w:rsidR="00D64EBB" w:rsidRPr="001B1080">
        <w:rPr>
          <w:rFonts w:ascii="Lucida Sans Unicode" w:hAnsi="Lucida Sans Unicode" w:cs="Lucida Sans Unicode"/>
          <w:sz w:val="24"/>
          <w:szCs w:val="24"/>
        </w:rPr>
        <w:t>d</w:t>
      </w:r>
      <w:r w:rsidR="005B0390" w:rsidRPr="001B1080">
        <w:rPr>
          <w:rFonts w:ascii="Lucida Sans Unicode" w:hAnsi="Lucida Sans Unicode" w:cs="Lucida Sans Unicode"/>
          <w:sz w:val="24"/>
          <w:szCs w:val="24"/>
        </w:rPr>
        <w:t>entes</w:t>
      </w:r>
      <w:r w:rsidR="00EA5E6D" w:rsidRPr="001B1080">
        <w:rPr>
          <w:rFonts w:ascii="Lucida Sans Unicode" w:hAnsi="Lucida Sans Unicode" w:cs="Lucida Sans Unicode"/>
          <w:sz w:val="24"/>
          <w:szCs w:val="24"/>
        </w:rPr>
        <w:t xml:space="preserve"> en Colombia</w:t>
      </w:r>
      <w:r>
        <w:rPr>
          <w:rFonts w:ascii="Lucida Sans Unicode" w:hAnsi="Lucida Sans Unicode" w:cs="Lucida Sans Unicode"/>
          <w:sz w:val="24"/>
          <w:szCs w:val="24"/>
        </w:rPr>
        <w:t xml:space="preserve"> de manera efectiva y eficiente.</w:t>
      </w:r>
    </w:p>
    <w:p w:rsidR="00A26BD1" w:rsidRPr="001B1080" w:rsidRDefault="00A26BD1" w:rsidP="00A83B99">
      <w:pPr>
        <w:widowControl w:val="0"/>
        <w:spacing w:before="100" w:after="100"/>
        <w:contextualSpacing/>
        <w:jc w:val="both"/>
        <w:rPr>
          <w:rFonts w:ascii="Lucida Sans Unicode" w:hAnsi="Lucida Sans Unicode" w:cs="Lucida Sans Unicode"/>
          <w:sz w:val="24"/>
          <w:szCs w:val="24"/>
        </w:rPr>
      </w:pPr>
    </w:p>
    <w:p w:rsidR="00A26BD1" w:rsidRPr="001B1080" w:rsidRDefault="00CE70C0" w:rsidP="00A83B99">
      <w:pPr>
        <w:widowControl w:val="0"/>
        <w:spacing w:before="100" w:after="100"/>
        <w:contextualSpacing/>
        <w:jc w:val="both"/>
        <w:rPr>
          <w:rFonts w:ascii="Lucida Sans Unicode" w:hAnsi="Lucida Sans Unicode" w:cs="Lucida Sans Unicode"/>
          <w:sz w:val="24"/>
          <w:szCs w:val="24"/>
        </w:rPr>
      </w:pPr>
      <w:r>
        <w:rPr>
          <w:rFonts w:ascii="Lucida Sans Unicode" w:hAnsi="Lucida Sans Unicode" w:cs="Lucida Sans Unicode"/>
          <w:sz w:val="24"/>
          <w:szCs w:val="24"/>
        </w:rPr>
        <w:t xml:space="preserve">Debido a la situación descrita, los usuarios </w:t>
      </w:r>
      <w:r w:rsidR="00877D9A" w:rsidRPr="001B1080">
        <w:rPr>
          <w:rFonts w:ascii="Lucida Sans Unicode" w:hAnsi="Lucida Sans Unicode" w:cs="Lucida Sans Unicode"/>
          <w:sz w:val="24"/>
          <w:szCs w:val="24"/>
        </w:rPr>
        <w:t xml:space="preserve"> </w:t>
      </w:r>
      <w:r w:rsidR="0089454F" w:rsidRPr="001B1080">
        <w:rPr>
          <w:rFonts w:ascii="Lucida Sans Unicode" w:hAnsi="Lucida Sans Unicode" w:cs="Lucida Sans Unicode"/>
          <w:sz w:val="24"/>
          <w:szCs w:val="24"/>
        </w:rPr>
        <w:t xml:space="preserve">han encontrado en </w:t>
      </w:r>
      <w:r w:rsidR="002D6BBA" w:rsidRPr="001B1080">
        <w:rPr>
          <w:rFonts w:ascii="Lucida Sans Unicode" w:hAnsi="Lucida Sans Unicode" w:cs="Lucida Sans Unicode"/>
          <w:sz w:val="24"/>
          <w:szCs w:val="24"/>
        </w:rPr>
        <w:t xml:space="preserve">la </w:t>
      </w:r>
      <w:r w:rsidR="00B026B7" w:rsidRPr="001B1080">
        <w:rPr>
          <w:rFonts w:ascii="Lucida Sans Unicode" w:hAnsi="Lucida Sans Unicode" w:cs="Lucida Sans Unicode"/>
          <w:sz w:val="24"/>
          <w:szCs w:val="24"/>
        </w:rPr>
        <w:t xml:space="preserve">acción de </w:t>
      </w:r>
      <w:r w:rsidR="002D6BBA" w:rsidRPr="001B1080">
        <w:rPr>
          <w:rFonts w:ascii="Lucida Sans Unicode" w:hAnsi="Lucida Sans Unicode" w:cs="Lucida Sans Unicode"/>
          <w:sz w:val="24"/>
          <w:szCs w:val="24"/>
        </w:rPr>
        <w:t xml:space="preserve">tutela </w:t>
      </w:r>
      <w:r w:rsidR="002D6BBA" w:rsidRPr="001B1080">
        <w:rPr>
          <w:rFonts w:ascii="Lucida Sans Unicode" w:hAnsi="Lucida Sans Unicode" w:cs="Lucida Sans Unicode"/>
          <w:sz w:val="24"/>
          <w:szCs w:val="24"/>
          <w:shd w:val="clear" w:color="auto" w:fill="FFFFFF"/>
        </w:rPr>
        <w:t xml:space="preserve">un mecanismo </w:t>
      </w:r>
      <w:r w:rsidR="005B0390" w:rsidRPr="001B1080">
        <w:rPr>
          <w:rFonts w:ascii="Lucida Sans Unicode" w:hAnsi="Lucida Sans Unicode" w:cs="Lucida Sans Unicode"/>
          <w:sz w:val="24"/>
          <w:szCs w:val="24"/>
          <w:shd w:val="clear" w:color="auto" w:fill="FFFFFF"/>
        </w:rPr>
        <w:t xml:space="preserve">para exigir </w:t>
      </w:r>
      <w:r w:rsidR="000A2C77" w:rsidRPr="001B1080">
        <w:rPr>
          <w:rFonts w:ascii="Lucida Sans Unicode" w:hAnsi="Lucida Sans Unicode" w:cs="Lucida Sans Unicode"/>
          <w:sz w:val="24"/>
          <w:szCs w:val="24"/>
          <w:shd w:val="clear" w:color="auto" w:fill="FFFFFF"/>
        </w:rPr>
        <w:t xml:space="preserve">el </w:t>
      </w:r>
      <w:r w:rsidR="002D6BBA" w:rsidRPr="001B1080">
        <w:rPr>
          <w:rFonts w:ascii="Lucida Sans Unicode" w:hAnsi="Lucida Sans Unicode" w:cs="Lucida Sans Unicode"/>
          <w:sz w:val="24"/>
          <w:szCs w:val="24"/>
          <w:shd w:val="clear" w:color="auto" w:fill="FFFFFF"/>
        </w:rPr>
        <w:t>acce</w:t>
      </w:r>
      <w:r w:rsidR="000A2C77" w:rsidRPr="001B1080">
        <w:rPr>
          <w:rFonts w:ascii="Lucida Sans Unicode" w:hAnsi="Lucida Sans Unicode" w:cs="Lucida Sans Unicode"/>
          <w:sz w:val="24"/>
          <w:szCs w:val="24"/>
          <w:shd w:val="clear" w:color="auto" w:fill="FFFFFF"/>
        </w:rPr>
        <w:t>so</w:t>
      </w:r>
      <w:r w:rsidR="002D6BBA" w:rsidRPr="001B1080">
        <w:rPr>
          <w:rFonts w:ascii="Lucida Sans Unicode" w:hAnsi="Lucida Sans Unicode" w:cs="Lucida Sans Unicode"/>
          <w:sz w:val="24"/>
          <w:szCs w:val="24"/>
          <w:shd w:val="clear" w:color="auto" w:fill="FFFFFF"/>
        </w:rPr>
        <w:t xml:space="preserve"> a</w:t>
      </w:r>
      <w:r w:rsidR="005B0390" w:rsidRPr="001B1080">
        <w:rPr>
          <w:rFonts w:ascii="Lucida Sans Unicode" w:hAnsi="Lucida Sans Unicode" w:cs="Lucida Sans Unicode"/>
          <w:sz w:val="24"/>
          <w:szCs w:val="24"/>
          <w:shd w:val="clear" w:color="auto" w:fill="FFFFFF"/>
        </w:rPr>
        <w:t xml:space="preserve"> los</w:t>
      </w:r>
      <w:r w:rsidR="002D6BBA" w:rsidRPr="001B1080">
        <w:rPr>
          <w:rFonts w:ascii="Lucida Sans Unicode" w:hAnsi="Lucida Sans Unicode" w:cs="Lucida Sans Unicode"/>
          <w:sz w:val="24"/>
          <w:szCs w:val="24"/>
          <w:shd w:val="clear" w:color="auto" w:fill="FFFFFF"/>
        </w:rPr>
        <w:t xml:space="preserve"> servicios de salud y más concretamente a la atención médica</w:t>
      </w:r>
      <w:r w:rsidR="0089454F" w:rsidRPr="001B1080">
        <w:rPr>
          <w:rFonts w:ascii="Lucida Sans Unicode" w:hAnsi="Lucida Sans Unicode" w:cs="Lucida Sans Unicode"/>
          <w:sz w:val="24"/>
          <w:szCs w:val="24"/>
          <w:shd w:val="clear" w:color="auto" w:fill="FFFFFF"/>
        </w:rPr>
        <w:t xml:space="preserve">, </w:t>
      </w:r>
      <w:r w:rsidR="001939CC" w:rsidRPr="001B1080">
        <w:rPr>
          <w:rFonts w:ascii="Lucida Sans Unicode" w:hAnsi="Lucida Sans Unicode" w:cs="Lucida Sans Unicode"/>
          <w:sz w:val="24"/>
          <w:szCs w:val="24"/>
          <w:shd w:val="clear" w:color="auto" w:fill="FFFFFF"/>
        </w:rPr>
        <w:t xml:space="preserve">a tratamientos, </w:t>
      </w:r>
      <w:r w:rsidR="0089454F" w:rsidRPr="001B1080">
        <w:rPr>
          <w:rFonts w:ascii="Lucida Sans Unicode" w:hAnsi="Lucida Sans Unicode" w:cs="Lucida Sans Unicode"/>
          <w:sz w:val="24"/>
          <w:szCs w:val="24"/>
          <w:shd w:val="clear" w:color="auto" w:fill="FFFFFF"/>
        </w:rPr>
        <w:t>entrega de medicamentos</w:t>
      </w:r>
      <w:r w:rsidR="001939CC" w:rsidRPr="001B1080">
        <w:rPr>
          <w:rFonts w:ascii="Lucida Sans Unicode" w:hAnsi="Lucida Sans Unicode" w:cs="Lucida Sans Unicode"/>
          <w:sz w:val="24"/>
          <w:szCs w:val="24"/>
          <w:shd w:val="clear" w:color="auto" w:fill="FFFFFF"/>
        </w:rPr>
        <w:t>, cirugías</w:t>
      </w:r>
      <w:r>
        <w:rPr>
          <w:rFonts w:ascii="Lucida Sans Unicode" w:hAnsi="Lucida Sans Unicode" w:cs="Lucida Sans Unicode"/>
          <w:sz w:val="24"/>
          <w:szCs w:val="24"/>
          <w:shd w:val="clear" w:color="auto" w:fill="FFFFFF"/>
        </w:rPr>
        <w:t>,</w:t>
      </w:r>
      <w:r w:rsidR="001939CC" w:rsidRPr="001B1080">
        <w:rPr>
          <w:rFonts w:ascii="Lucida Sans Unicode" w:hAnsi="Lucida Sans Unicode" w:cs="Lucida Sans Unicode"/>
          <w:sz w:val="24"/>
          <w:szCs w:val="24"/>
          <w:shd w:val="clear" w:color="auto" w:fill="FFFFFF"/>
        </w:rPr>
        <w:t xml:space="preserve"> entre o</w:t>
      </w:r>
      <w:r w:rsidR="00AF1AD7" w:rsidRPr="001B1080">
        <w:rPr>
          <w:rFonts w:ascii="Lucida Sans Unicode" w:hAnsi="Lucida Sans Unicode" w:cs="Lucida Sans Unicode"/>
          <w:sz w:val="24"/>
          <w:szCs w:val="24"/>
          <w:shd w:val="clear" w:color="auto" w:fill="FFFFFF"/>
        </w:rPr>
        <w:t>t</w:t>
      </w:r>
      <w:r w:rsidR="001939CC" w:rsidRPr="001B1080">
        <w:rPr>
          <w:rFonts w:ascii="Lucida Sans Unicode" w:hAnsi="Lucida Sans Unicode" w:cs="Lucida Sans Unicode"/>
          <w:sz w:val="24"/>
          <w:szCs w:val="24"/>
          <w:shd w:val="clear" w:color="auto" w:fill="FFFFFF"/>
        </w:rPr>
        <w:t>ros</w:t>
      </w:r>
      <w:r w:rsidR="000A2C77" w:rsidRPr="001B1080">
        <w:rPr>
          <w:rFonts w:ascii="Lucida Sans Unicode" w:hAnsi="Lucida Sans Unicode" w:cs="Lucida Sans Unicode"/>
          <w:sz w:val="24"/>
          <w:szCs w:val="24"/>
          <w:shd w:val="clear" w:color="auto" w:fill="FFFFFF"/>
        </w:rPr>
        <w:t xml:space="preserve">, </w:t>
      </w:r>
      <w:r w:rsidR="005B0390" w:rsidRPr="001B1080">
        <w:rPr>
          <w:rFonts w:ascii="Lucida Sans Unicode" w:hAnsi="Lucida Sans Unicode" w:cs="Lucida Sans Unicode"/>
          <w:sz w:val="24"/>
          <w:szCs w:val="24"/>
          <w:shd w:val="clear" w:color="auto" w:fill="FFFFFF"/>
        </w:rPr>
        <w:t>que están o no contemplados en el POS</w:t>
      </w:r>
      <w:r w:rsidR="001939CC" w:rsidRPr="001B1080">
        <w:rPr>
          <w:rFonts w:ascii="Lucida Sans Unicode" w:hAnsi="Lucida Sans Unicode" w:cs="Lucida Sans Unicode"/>
          <w:sz w:val="24"/>
          <w:szCs w:val="24"/>
          <w:shd w:val="clear" w:color="auto" w:fill="FFFFFF"/>
        </w:rPr>
        <w:t xml:space="preserve">, y así poder </w:t>
      </w:r>
      <w:r w:rsidR="002D6BBA" w:rsidRPr="001B1080">
        <w:rPr>
          <w:rFonts w:ascii="Lucida Sans Unicode" w:hAnsi="Lucida Sans Unicode" w:cs="Lucida Sans Unicode"/>
          <w:sz w:val="24"/>
          <w:szCs w:val="24"/>
          <w:shd w:val="clear" w:color="auto" w:fill="FFFFFF"/>
        </w:rPr>
        <w:t>hace</w:t>
      </w:r>
      <w:r>
        <w:rPr>
          <w:rFonts w:ascii="Lucida Sans Unicode" w:hAnsi="Lucida Sans Unicode" w:cs="Lucida Sans Unicode"/>
          <w:sz w:val="24"/>
          <w:szCs w:val="24"/>
          <w:shd w:val="clear" w:color="auto" w:fill="FFFFFF"/>
        </w:rPr>
        <w:t>r</w:t>
      </w:r>
      <w:r w:rsidR="002D6BBA" w:rsidRPr="001B1080">
        <w:rPr>
          <w:rFonts w:ascii="Lucida Sans Unicode" w:hAnsi="Lucida Sans Unicode" w:cs="Lucida Sans Unicode"/>
          <w:sz w:val="24"/>
          <w:szCs w:val="24"/>
          <w:shd w:val="clear" w:color="auto" w:fill="FFFFFF"/>
        </w:rPr>
        <w:t xml:space="preserve"> efectivo </w:t>
      </w:r>
      <w:r>
        <w:rPr>
          <w:rFonts w:ascii="Lucida Sans Unicode" w:hAnsi="Lucida Sans Unicode" w:cs="Lucida Sans Unicode"/>
          <w:sz w:val="24"/>
          <w:szCs w:val="24"/>
          <w:shd w:val="clear" w:color="auto" w:fill="FFFFFF"/>
        </w:rPr>
        <w:t>tal</w:t>
      </w:r>
      <w:r w:rsidR="002D6BBA" w:rsidRPr="001B1080">
        <w:rPr>
          <w:rFonts w:ascii="Lucida Sans Unicode" w:hAnsi="Lucida Sans Unicode" w:cs="Lucida Sans Unicode"/>
          <w:sz w:val="24"/>
          <w:szCs w:val="24"/>
          <w:shd w:val="clear" w:color="auto" w:fill="FFFFFF"/>
        </w:rPr>
        <w:t xml:space="preserve"> derecho.</w:t>
      </w:r>
    </w:p>
    <w:p w:rsidR="00A26BD1" w:rsidRPr="001B1080" w:rsidRDefault="00A26BD1" w:rsidP="00A83B99">
      <w:pPr>
        <w:widowControl w:val="0"/>
        <w:spacing w:before="100" w:after="100"/>
        <w:contextualSpacing/>
        <w:jc w:val="both"/>
        <w:rPr>
          <w:rFonts w:ascii="Lucida Sans Unicode" w:hAnsi="Lucida Sans Unicode" w:cs="Lucida Sans Unicode"/>
          <w:sz w:val="24"/>
          <w:szCs w:val="24"/>
        </w:rPr>
      </w:pPr>
    </w:p>
    <w:p w:rsidR="00A26BD1" w:rsidRPr="001B1080" w:rsidRDefault="00CE70C0" w:rsidP="00A83B99">
      <w:pPr>
        <w:widowControl w:val="0"/>
        <w:spacing w:before="100" w:after="100"/>
        <w:contextualSpacing/>
        <w:jc w:val="both"/>
        <w:rPr>
          <w:rFonts w:ascii="Lucida Sans Unicode" w:hAnsi="Lucida Sans Unicode" w:cs="Lucida Sans Unicode"/>
          <w:sz w:val="24"/>
          <w:szCs w:val="24"/>
        </w:rPr>
      </w:pPr>
      <w:r>
        <w:rPr>
          <w:rFonts w:ascii="Lucida Sans Unicode" w:hAnsi="Lucida Sans Unicode" w:cs="Lucida Sans Unicode"/>
          <w:sz w:val="24"/>
          <w:szCs w:val="24"/>
        </w:rPr>
        <w:t xml:space="preserve">Como es apenas lógico, </w:t>
      </w:r>
      <w:r w:rsidR="00AF1AD7" w:rsidRPr="001B1080">
        <w:rPr>
          <w:rFonts w:ascii="Lucida Sans Unicode" w:hAnsi="Lucida Sans Unicode" w:cs="Lucida Sans Unicode"/>
          <w:sz w:val="24"/>
          <w:szCs w:val="24"/>
        </w:rPr>
        <w:t>esta jurisdicción no es ajena a la problemática presentada por la comunidad,</w:t>
      </w:r>
      <w:r w:rsidR="000A2C77" w:rsidRPr="001B1080">
        <w:rPr>
          <w:rFonts w:ascii="Lucida Sans Unicode" w:hAnsi="Lucida Sans Unicode" w:cs="Lucida Sans Unicode"/>
          <w:sz w:val="24"/>
          <w:szCs w:val="24"/>
        </w:rPr>
        <w:t xml:space="preserve"> que </w:t>
      </w:r>
      <w:r>
        <w:rPr>
          <w:rFonts w:ascii="Lucida Sans Unicode" w:hAnsi="Lucida Sans Unicode" w:cs="Lucida Sans Unicode"/>
          <w:sz w:val="24"/>
          <w:szCs w:val="24"/>
        </w:rPr>
        <w:t xml:space="preserve">acude a la </w:t>
      </w:r>
      <w:r w:rsidR="00AF1AD7" w:rsidRPr="001B1080">
        <w:rPr>
          <w:rFonts w:ascii="Lucida Sans Unicode" w:hAnsi="Lucida Sans Unicode" w:cs="Lucida Sans Unicode"/>
          <w:sz w:val="24"/>
          <w:szCs w:val="24"/>
        </w:rPr>
        <w:t>administración de justicia</w:t>
      </w:r>
      <w:r>
        <w:rPr>
          <w:rFonts w:ascii="Lucida Sans Unicode" w:hAnsi="Lucida Sans Unicode" w:cs="Lucida Sans Unicode"/>
          <w:sz w:val="24"/>
          <w:szCs w:val="24"/>
        </w:rPr>
        <w:t xml:space="preserve"> como tabla de salvación para que</w:t>
      </w:r>
      <w:r w:rsidR="00AF1AD7" w:rsidRPr="001B1080">
        <w:rPr>
          <w:rFonts w:ascii="Lucida Sans Unicode" w:hAnsi="Lucida Sans Unicode" w:cs="Lucida Sans Unicode"/>
          <w:sz w:val="24"/>
          <w:szCs w:val="24"/>
        </w:rPr>
        <w:t xml:space="preserve"> se protejan </w:t>
      </w:r>
      <w:r w:rsidR="00D31BDF" w:rsidRPr="001B1080">
        <w:rPr>
          <w:rFonts w:ascii="Lucida Sans Unicode" w:hAnsi="Lucida Sans Unicode" w:cs="Lucida Sans Unicode"/>
          <w:sz w:val="24"/>
          <w:szCs w:val="24"/>
        </w:rPr>
        <w:t>sus derechos fundamentales, entre ellos el de l</w:t>
      </w:r>
      <w:r w:rsidR="00AF1AD7" w:rsidRPr="001B1080">
        <w:rPr>
          <w:rFonts w:ascii="Lucida Sans Unicode" w:hAnsi="Lucida Sans Unicode" w:cs="Lucida Sans Unicode"/>
          <w:sz w:val="24"/>
          <w:szCs w:val="24"/>
        </w:rPr>
        <w:t>a salud.</w:t>
      </w:r>
    </w:p>
    <w:p w:rsidR="00CD3C18" w:rsidRDefault="00CD3C18"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3C45AA" w:rsidRPr="001B1080" w:rsidRDefault="003C45AA" w:rsidP="00A83B99">
      <w:pPr>
        <w:widowControl w:val="0"/>
        <w:spacing w:before="100" w:after="100"/>
        <w:contextualSpacing/>
        <w:jc w:val="both"/>
        <w:rPr>
          <w:rFonts w:ascii="Lucida Sans Unicode" w:hAnsi="Lucida Sans Unicode" w:cs="Lucida Sans Unicode"/>
          <w:sz w:val="24"/>
          <w:szCs w:val="24"/>
        </w:rPr>
      </w:pPr>
      <w:r w:rsidRPr="001B1080">
        <w:rPr>
          <w:rFonts w:ascii="Lucida Sans Unicode" w:eastAsia="Calibri" w:hAnsi="Lucida Sans Unicode" w:cs="Lucida Sans Unicode"/>
          <w:sz w:val="24"/>
          <w:szCs w:val="24"/>
          <w:lang w:val="es-CO" w:eastAsia="en-US"/>
        </w:rPr>
        <w:t xml:space="preserve">Haciendo un muestreo de las tutelas que se han presentado, </w:t>
      </w:r>
      <w:r w:rsidR="00B573A2" w:rsidRPr="001B1080">
        <w:rPr>
          <w:rFonts w:ascii="Lucida Sans Unicode" w:eastAsia="Calibri" w:hAnsi="Lucida Sans Unicode" w:cs="Lucida Sans Unicode"/>
          <w:sz w:val="24"/>
          <w:szCs w:val="24"/>
          <w:lang w:val="es-CO" w:eastAsia="en-US"/>
        </w:rPr>
        <w:t xml:space="preserve">y que tienen relación con el derecho a la </w:t>
      </w:r>
      <w:r w:rsidRPr="001B1080">
        <w:rPr>
          <w:rFonts w:ascii="Lucida Sans Unicode" w:eastAsia="Calibri" w:hAnsi="Lucida Sans Unicode" w:cs="Lucida Sans Unicode"/>
          <w:sz w:val="24"/>
          <w:szCs w:val="24"/>
          <w:lang w:val="es-CO" w:eastAsia="en-US"/>
        </w:rPr>
        <w:t>salud, en la jurisdicción de lo contencioso administrativo, desde el 2013 a la fecha tenemos que</w:t>
      </w:r>
      <w:r w:rsidR="00195EB0" w:rsidRPr="001B1080">
        <w:rPr>
          <w:rFonts w:ascii="Lucida Sans Unicode" w:eastAsia="Calibri" w:hAnsi="Lucida Sans Unicode" w:cs="Lucida Sans Unicode"/>
          <w:sz w:val="24"/>
          <w:szCs w:val="24"/>
          <w:lang w:val="es-CO" w:eastAsia="en-US"/>
        </w:rPr>
        <w:t xml:space="preserve"> para el año 2013 se presentaron 55 tutelas; para el 2014 se presentaron 46, para el 2015 se presentaron 47 y para el 2016, a la fecha 32</w:t>
      </w:r>
      <w:r w:rsidR="000A2C77" w:rsidRPr="001B1080">
        <w:rPr>
          <w:rFonts w:ascii="Lucida Sans Unicode" w:eastAsia="Calibri" w:hAnsi="Lucida Sans Unicode" w:cs="Lucida Sans Unicode"/>
          <w:sz w:val="24"/>
          <w:szCs w:val="24"/>
          <w:lang w:val="es-CO" w:eastAsia="en-US"/>
        </w:rPr>
        <w:t>, total 180 tutelas relacionadas con el servicio de salud,</w:t>
      </w:r>
      <w:r w:rsidR="00195EB0" w:rsidRPr="001B1080">
        <w:rPr>
          <w:rFonts w:ascii="Lucida Sans Unicode" w:eastAsia="Calibri" w:hAnsi="Lucida Sans Unicode" w:cs="Lucida Sans Unicode"/>
          <w:sz w:val="24"/>
          <w:szCs w:val="24"/>
          <w:lang w:val="es-CO" w:eastAsia="en-US"/>
        </w:rPr>
        <w:t xml:space="preserve"> distribuidas así:</w:t>
      </w:r>
    </w:p>
    <w:p w:rsidR="00EA5E6D" w:rsidRPr="001B1080" w:rsidRDefault="00EA5E6D" w:rsidP="00A83B99">
      <w:pPr>
        <w:widowControl w:val="0"/>
        <w:spacing w:before="100" w:after="100"/>
        <w:contextualSpacing/>
        <w:jc w:val="both"/>
        <w:rPr>
          <w:rFonts w:ascii="Lucida Sans Unicode" w:hAnsi="Lucida Sans Unicode" w:cs="Lucida Sans Unicode"/>
          <w:sz w:val="24"/>
          <w:szCs w:val="24"/>
        </w:rPr>
      </w:pPr>
    </w:p>
    <w:p w:rsidR="003C45AA" w:rsidRPr="001B1080" w:rsidRDefault="003C45AA"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3C45AA" w:rsidRPr="001B1080" w:rsidRDefault="00063E5D" w:rsidP="00A83B99">
      <w:pPr>
        <w:widowControl w:val="0"/>
        <w:spacing w:before="100" w:after="100"/>
        <w:contextualSpacing/>
        <w:jc w:val="center"/>
        <w:rPr>
          <w:rFonts w:ascii="Lucida Sans Unicode" w:eastAsia="Calibri" w:hAnsi="Lucida Sans Unicode" w:cs="Lucida Sans Unicode"/>
          <w:sz w:val="24"/>
          <w:szCs w:val="24"/>
          <w:lang w:val="es-CO" w:eastAsia="en-US"/>
        </w:rPr>
      </w:pPr>
      <w:r w:rsidRPr="001B1080">
        <w:rPr>
          <w:noProof/>
          <w:lang w:val="es-ES"/>
        </w:rPr>
        <w:drawing>
          <wp:inline distT="0" distB="0" distL="0" distR="0" wp14:anchorId="265542A3" wp14:editId="2FEA2E79">
            <wp:extent cx="4368597" cy="2516429"/>
            <wp:effectExtent l="0" t="0" r="13335" b="1778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C45AA" w:rsidRPr="001B1080" w:rsidRDefault="003C45AA"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D372CE" w:rsidRPr="001B1080" w:rsidRDefault="00E507B4" w:rsidP="00A83B99">
      <w:pPr>
        <w:widowControl w:val="0"/>
        <w:spacing w:before="100" w:after="100"/>
        <w:contextualSpacing/>
        <w:jc w:val="both"/>
        <w:rPr>
          <w:rFonts w:ascii="Lucida Sans Unicode" w:eastAsia="Calibri" w:hAnsi="Lucida Sans Unicode" w:cs="Lucida Sans Unicode"/>
          <w:sz w:val="24"/>
          <w:szCs w:val="24"/>
          <w:lang w:val="es-CO" w:eastAsia="en-US"/>
        </w:rPr>
      </w:pPr>
      <w:r w:rsidRPr="001B1080">
        <w:rPr>
          <w:rFonts w:ascii="Lucida Sans Unicode" w:eastAsia="Calibri" w:hAnsi="Lucida Sans Unicode" w:cs="Lucida Sans Unicode"/>
          <w:sz w:val="24"/>
          <w:szCs w:val="24"/>
          <w:lang w:val="es-CO" w:eastAsia="en-US"/>
        </w:rPr>
        <w:t>La distribución porcentual de tutelas tramitadas en cada uno de los juzgados y el Tribunal es</w:t>
      </w:r>
      <w:r w:rsidR="00C74DD0" w:rsidRPr="001B1080">
        <w:rPr>
          <w:rFonts w:ascii="Lucida Sans Unicode" w:eastAsia="Calibri" w:hAnsi="Lucida Sans Unicode" w:cs="Lucida Sans Unicode"/>
          <w:sz w:val="24"/>
          <w:szCs w:val="24"/>
          <w:lang w:val="es-CO" w:eastAsia="en-US"/>
        </w:rPr>
        <w:t xml:space="preserve">: </w:t>
      </w:r>
    </w:p>
    <w:p w:rsidR="00C74DD0" w:rsidRPr="001B1080" w:rsidRDefault="00C74DD0"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C74DD0" w:rsidRPr="001B1080" w:rsidRDefault="00C74DD0"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D372CE" w:rsidRPr="001B1080" w:rsidRDefault="00E507B4" w:rsidP="00A83B99">
      <w:pPr>
        <w:widowControl w:val="0"/>
        <w:spacing w:before="100" w:after="100"/>
        <w:contextualSpacing/>
        <w:jc w:val="both"/>
        <w:rPr>
          <w:rFonts w:ascii="Lucida Sans Unicode" w:eastAsia="Calibri" w:hAnsi="Lucida Sans Unicode" w:cs="Lucida Sans Unicode"/>
          <w:sz w:val="24"/>
          <w:szCs w:val="24"/>
          <w:lang w:val="es-CO" w:eastAsia="en-US"/>
        </w:rPr>
      </w:pPr>
      <w:r w:rsidRPr="001B1080">
        <w:rPr>
          <w:noProof/>
          <w:lang w:val="es-ES"/>
        </w:rPr>
        <w:drawing>
          <wp:inline distT="0" distB="0" distL="0" distR="0" wp14:anchorId="4605A7D5" wp14:editId="620461FB">
            <wp:extent cx="4821580" cy="2691994"/>
            <wp:effectExtent l="0" t="0" r="17145" b="1333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72CE" w:rsidRPr="001B1080" w:rsidRDefault="00D372CE"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68463C" w:rsidRPr="001B1080" w:rsidRDefault="00E507B4" w:rsidP="00A83B99">
      <w:pPr>
        <w:widowControl w:val="0"/>
        <w:spacing w:before="100" w:after="100"/>
        <w:contextualSpacing/>
        <w:jc w:val="both"/>
        <w:rPr>
          <w:rFonts w:ascii="Lucida Sans Unicode" w:eastAsia="Calibri" w:hAnsi="Lucida Sans Unicode" w:cs="Lucida Sans Unicode"/>
          <w:sz w:val="24"/>
          <w:szCs w:val="24"/>
          <w:lang w:val="es-CO" w:eastAsia="en-US"/>
        </w:rPr>
      </w:pPr>
      <w:r w:rsidRPr="001B1080">
        <w:rPr>
          <w:rFonts w:ascii="Lucida Sans Unicode" w:eastAsia="Calibri" w:hAnsi="Lucida Sans Unicode" w:cs="Lucida Sans Unicode"/>
          <w:sz w:val="24"/>
          <w:szCs w:val="24"/>
          <w:lang w:val="es-CO" w:eastAsia="en-US"/>
        </w:rPr>
        <w:t xml:space="preserve">Las </w:t>
      </w:r>
      <w:r w:rsidR="009C50A0" w:rsidRPr="001B1080">
        <w:rPr>
          <w:rFonts w:ascii="Lucida Sans Unicode" w:eastAsia="Calibri" w:hAnsi="Lucida Sans Unicode" w:cs="Lucida Sans Unicode"/>
          <w:sz w:val="24"/>
          <w:szCs w:val="24"/>
          <w:lang w:val="es-CO" w:eastAsia="en-US"/>
        </w:rPr>
        <w:t xml:space="preserve">principales </w:t>
      </w:r>
      <w:r w:rsidR="0068463C" w:rsidRPr="001B1080">
        <w:rPr>
          <w:rFonts w:ascii="Lucida Sans Unicode" w:eastAsia="Calibri" w:hAnsi="Lucida Sans Unicode" w:cs="Lucida Sans Unicode"/>
          <w:sz w:val="24"/>
          <w:szCs w:val="24"/>
          <w:lang w:val="es-CO" w:eastAsia="en-US"/>
        </w:rPr>
        <w:t>entidades que más demandan</w:t>
      </w:r>
      <w:r w:rsidR="00D372CE" w:rsidRPr="001B1080">
        <w:rPr>
          <w:rFonts w:ascii="Lucida Sans Unicode" w:eastAsia="Calibri" w:hAnsi="Lucida Sans Unicode" w:cs="Lucida Sans Unicode"/>
          <w:sz w:val="24"/>
          <w:szCs w:val="24"/>
          <w:lang w:val="es-CO" w:eastAsia="en-US"/>
        </w:rPr>
        <w:t xml:space="preserve"> los ciudadanos invocando el derecho a la salud, bien sea como derecho fundamental solo o en conjunto con otros derechos</w:t>
      </w:r>
      <w:r w:rsidR="0068463C" w:rsidRPr="001B1080">
        <w:rPr>
          <w:rFonts w:ascii="Lucida Sans Unicode" w:eastAsia="Calibri" w:hAnsi="Lucida Sans Unicode" w:cs="Lucida Sans Unicode"/>
          <w:sz w:val="24"/>
          <w:szCs w:val="24"/>
          <w:lang w:val="es-CO" w:eastAsia="en-US"/>
        </w:rPr>
        <w:t xml:space="preserve"> ante </w:t>
      </w:r>
      <w:r w:rsidR="00D372CE" w:rsidRPr="001B1080">
        <w:rPr>
          <w:rFonts w:ascii="Lucida Sans Unicode" w:eastAsia="Calibri" w:hAnsi="Lucida Sans Unicode" w:cs="Lucida Sans Unicode"/>
          <w:sz w:val="24"/>
          <w:szCs w:val="24"/>
          <w:lang w:val="es-CO" w:eastAsia="en-US"/>
        </w:rPr>
        <w:t>esta j</w:t>
      </w:r>
      <w:r w:rsidR="0068463C" w:rsidRPr="001B1080">
        <w:rPr>
          <w:rFonts w:ascii="Lucida Sans Unicode" w:eastAsia="Calibri" w:hAnsi="Lucida Sans Unicode" w:cs="Lucida Sans Unicode"/>
          <w:sz w:val="24"/>
          <w:szCs w:val="24"/>
          <w:lang w:val="es-CO" w:eastAsia="en-US"/>
        </w:rPr>
        <w:t>urisdicción</w:t>
      </w:r>
      <w:r w:rsidR="009C50A0" w:rsidRPr="001B1080">
        <w:rPr>
          <w:rFonts w:ascii="Lucida Sans Unicode" w:eastAsia="Calibri" w:hAnsi="Lucida Sans Unicode" w:cs="Lucida Sans Unicode"/>
          <w:sz w:val="24"/>
          <w:szCs w:val="24"/>
          <w:lang w:val="es-CO" w:eastAsia="en-US"/>
        </w:rPr>
        <w:t xml:space="preserve"> contenciosa administrativa, durante el periodo del 1</w:t>
      </w:r>
      <w:r w:rsidR="00CD3C18">
        <w:rPr>
          <w:rFonts w:ascii="Lucida Sans Unicode" w:eastAsia="Calibri" w:hAnsi="Lucida Sans Unicode" w:cs="Lucida Sans Unicode"/>
          <w:sz w:val="24"/>
          <w:szCs w:val="24"/>
          <w:lang w:val="es-CO" w:eastAsia="en-US"/>
        </w:rPr>
        <w:t>º</w:t>
      </w:r>
      <w:r w:rsidR="009C50A0" w:rsidRPr="001B1080">
        <w:rPr>
          <w:rFonts w:ascii="Lucida Sans Unicode" w:eastAsia="Calibri" w:hAnsi="Lucida Sans Unicode" w:cs="Lucida Sans Unicode"/>
          <w:sz w:val="24"/>
          <w:szCs w:val="24"/>
          <w:lang w:val="es-CO" w:eastAsia="en-US"/>
        </w:rPr>
        <w:t xml:space="preserve"> de enero de 2013 al 31 agosto de 2016</w:t>
      </w:r>
      <w:r w:rsidR="00AE0317" w:rsidRPr="001B1080">
        <w:rPr>
          <w:rFonts w:ascii="Lucida Sans Unicode" w:eastAsia="Calibri" w:hAnsi="Lucida Sans Unicode" w:cs="Lucida Sans Unicode"/>
          <w:sz w:val="24"/>
          <w:szCs w:val="24"/>
          <w:lang w:val="es-CO" w:eastAsia="en-US"/>
        </w:rPr>
        <w:t xml:space="preserve">, </w:t>
      </w:r>
      <w:r w:rsidR="0068463C" w:rsidRPr="001B1080">
        <w:rPr>
          <w:rFonts w:ascii="Lucida Sans Unicode" w:eastAsia="Calibri" w:hAnsi="Lucida Sans Unicode" w:cs="Lucida Sans Unicode"/>
          <w:sz w:val="24"/>
          <w:szCs w:val="24"/>
          <w:lang w:val="es-CO" w:eastAsia="en-US"/>
        </w:rPr>
        <w:t>son:</w:t>
      </w:r>
    </w:p>
    <w:p w:rsidR="00AE0317" w:rsidRPr="001B1080" w:rsidRDefault="00AE0317"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AE0317" w:rsidRPr="001B1080" w:rsidRDefault="00C94993" w:rsidP="00A83B99">
      <w:pPr>
        <w:widowControl w:val="0"/>
        <w:spacing w:before="100" w:after="100"/>
        <w:contextualSpacing/>
        <w:jc w:val="center"/>
        <w:rPr>
          <w:rFonts w:ascii="Lucida Sans Unicode" w:eastAsia="Calibri" w:hAnsi="Lucida Sans Unicode" w:cs="Lucida Sans Unicode"/>
          <w:sz w:val="24"/>
          <w:szCs w:val="24"/>
          <w:lang w:val="es-CO" w:eastAsia="en-US"/>
        </w:rPr>
      </w:pPr>
      <w:r w:rsidRPr="001B1080">
        <w:rPr>
          <w:noProof/>
          <w:lang w:val="es-ES"/>
        </w:rPr>
        <w:drawing>
          <wp:inline distT="0" distB="0" distL="0" distR="0" wp14:anchorId="5D2FBE96" wp14:editId="0BAF699F">
            <wp:extent cx="4111142" cy="2523744"/>
            <wp:effectExtent l="0" t="0" r="3810" b="1016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0317" w:rsidRPr="001B1080" w:rsidRDefault="00AE0317"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763967" w:rsidRPr="001B1080" w:rsidRDefault="00AE0317" w:rsidP="00A83B99">
      <w:pPr>
        <w:widowControl w:val="0"/>
        <w:spacing w:before="100" w:after="100"/>
        <w:contextualSpacing/>
        <w:jc w:val="both"/>
        <w:rPr>
          <w:rFonts w:ascii="Lucida Sans Unicode" w:eastAsia="Calibri" w:hAnsi="Lucida Sans Unicode" w:cs="Lucida Sans Unicode"/>
          <w:sz w:val="24"/>
          <w:szCs w:val="24"/>
          <w:lang w:val="es-CO" w:eastAsia="en-US"/>
        </w:rPr>
      </w:pPr>
      <w:r w:rsidRPr="001B1080">
        <w:rPr>
          <w:rFonts w:ascii="Lucida Sans Unicode" w:eastAsia="Calibri" w:hAnsi="Lucida Sans Unicode" w:cs="Lucida Sans Unicode"/>
          <w:sz w:val="24"/>
          <w:szCs w:val="24"/>
          <w:lang w:val="es-CO" w:eastAsia="en-US"/>
        </w:rPr>
        <w:t xml:space="preserve">Es decir, que </w:t>
      </w:r>
      <w:r w:rsidR="00763967" w:rsidRPr="001B1080">
        <w:rPr>
          <w:rFonts w:ascii="Lucida Sans Unicode" w:eastAsia="Calibri" w:hAnsi="Lucida Sans Unicode" w:cs="Lucida Sans Unicode"/>
          <w:sz w:val="24"/>
          <w:szCs w:val="24"/>
          <w:lang w:val="es-CO" w:eastAsia="en-US"/>
        </w:rPr>
        <w:t>las entidades con mayor número de demanda de tutela, por servicios de salud, en Casanare son: en primer lugar la Secretaría de Salud de Yopal (1</w:t>
      </w:r>
      <w:r w:rsidR="00C94993" w:rsidRPr="001B1080">
        <w:rPr>
          <w:rFonts w:ascii="Lucida Sans Unicode" w:eastAsia="Calibri" w:hAnsi="Lucida Sans Unicode" w:cs="Lucida Sans Unicode"/>
          <w:sz w:val="24"/>
          <w:szCs w:val="24"/>
          <w:lang w:val="es-CO" w:eastAsia="en-US"/>
        </w:rPr>
        <w:t>3</w:t>
      </w:r>
      <w:r w:rsidR="00763967" w:rsidRPr="001B1080">
        <w:rPr>
          <w:rFonts w:ascii="Lucida Sans Unicode" w:eastAsia="Calibri" w:hAnsi="Lucida Sans Unicode" w:cs="Lucida Sans Unicode"/>
          <w:sz w:val="24"/>
          <w:szCs w:val="24"/>
          <w:lang w:val="es-CO" w:eastAsia="en-US"/>
        </w:rPr>
        <w:t>.</w:t>
      </w:r>
      <w:r w:rsidR="00C94993" w:rsidRPr="001B1080">
        <w:rPr>
          <w:rFonts w:ascii="Lucida Sans Unicode" w:eastAsia="Calibri" w:hAnsi="Lucida Sans Unicode" w:cs="Lucida Sans Unicode"/>
          <w:sz w:val="24"/>
          <w:szCs w:val="24"/>
          <w:lang w:val="es-CO" w:eastAsia="en-US"/>
        </w:rPr>
        <w:t>89</w:t>
      </w:r>
      <w:r w:rsidR="00763967" w:rsidRPr="001B1080">
        <w:rPr>
          <w:rFonts w:ascii="Lucida Sans Unicode" w:eastAsia="Calibri" w:hAnsi="Lucida Sans Unicode" w:cs="Lucida Sans Unicode"/>
          <w:sz w:val="24"/>
          <w:szCs w:val="24"/>
          <w:lang w:val="es-CO" w:eastAsia="en-US"/>
        </w:rPr>
        <w:t>%); sigue la Secretaría de Salud departamental (1</w:t>
      </w:r>
      <w:r w:rsidR="00C94993" w:rsidRPr="001B1080">
        <w:rPr>
          <w:rFonts w:ascii="Lucida Sans Unicode" w:eastAsia="Calibri" w:hAnsi="Lucida Sans Unicode" w:cs="Lucida Sans Unicode"/>
          <w:sz w:val="24"/>
          <w:szCs w:val="24"/>
          <w:lang w:val="es-CO" w:eastAsia="en-US"/>
        </w:rPr>
        <w:t>3</w:t>
      </w:r>
      <w:r w:rsidR="00763967" w:rsidRPr="001B1080">
        <w:rPr>
          <w:rFonts w:ascii="Lucida Sans Unicode" w:eastAsia="Calibri" w:hAnsi="Lucida Sans Unicode" w:cs="Lucida Sans Unicode"/>
          <w:sz w:val="24"/>
          <w:szCs w:val="24"/>
          <w:lang w:val="es-CO" w:eastAsia="en-US"/>
        </w:rPr>
        <w:t>.</w:t>
      </w:r>
      <w:r w:rsidR="00C94993" w:rsidRPr="001B1080">
        <w:rPr>
          <w:rFonts w:ascii="Lucida Sans Unicode" w:eastAsia="Calibri" w:hAnsi="Lucida Sans Unicode" w:cs="Lucida Sans Unicode"/>
          <w:sz w:val="24"/>
          <w:szCs w:val="24"/>
          <w:lang w:val="es-CO" w:eastAsia="en-US"/>
        </w:rPr>
        <w:t>33</w:t>
      </w:r>
      <w:r w:rsidR="00763967" w:rsidRPr="001B1080">
        <w:rPr>
          <w:rFonts w:ascii="Lucida Sans Unicode" w:eastAsia="Calibri" w:hAnsi="Lucida Sans Unicode" w:cs="Lucida Sans Unicode"/>
          <w:sz w:val="24"/>
          <w:szCs w:val="24"/>
          <w:lang w:val="es-CO" w:eastAsia="en-US"/>
        </w:rPr>
        <w:t>%); Capresoca (11.</w:t>
      </w:r>
      <w:r w:rsidR="00C94993" w:rsidRPr="001B1080">
        <w:rPr>
          <w:rFonts w:ascii="Lucida Sans Unicode" w:eastAsia="Calibri" w:hAnsi="Lucida Sans Unicode" w:cs="Lucida Sans Unicode"/>
          <w:sz w:val="24"/>
          <w:szCs w:val="24"/>
          <w:lang w:val="es-CO" w:eastAsia="en-US"/>
        </w:rPr>
        <w:t>11</w:t>
      </w:r>
      <w:r w:rsidR="00763967" w:rsidRPr="001B1080">
        <w:rPr>
          <w:rFonts w:ascii="Lucida Sans Unicode" w:eastAsia="Calibri" w:hAnsi="Lucida Sans Unicode" w:cs="Lucida Sans Unicode"/>
          <w:sz w:val="24"/>
          <w:szCs w:val="24"/>
          <w:lang w:val="es-CO" w:eastAsia="en-US"/>
        </w:rPr>
        <w:t>%); Ejército Nacional</w:t>
      </w:r>
      <w:r w:rsidR="00C94993" w:rsidRPr="001B1080">
        <w:rPr>
          <w:rFonts w:ascii="Lucida Sans Unicode" w:eastAsia="Calibri" w:hAnsi="Lucida Sans Unicode" w:cs="Lucida Sans Unicode"/>
          <w:sz w:val="24"/>
          <w:szCs w:val="24"/>
          <w:lang w:val="es-CO" w:eastAsia="en-US"/>
        </w:rPr>
        <w:t xml:space="preserve"> (10</w:t>
      </w:r>
      <w:r w:rsidR="00763967" w:rsidRPr="001B1080">
        <w:rPr>
          <w:rFonts w:ascii="Lucida Sans Unicode" w:eastAsia="Calibri" w:hAnsi="Lucida Sans Unicode" w:cs="Lucida Sans Unicode"/>
          <w:sz w:val="24"/>
          <w:szCs w:val="24"/>
          <w:lang w:val="es-CO" w:eastAsia="en-US"/>
        </w:rPr>
        <w:t>%), Min. Defensa (Policía Nacional) y Hospital de Yopal (8.</w:t>
      </w:r>
      <w:r w:rsidR="00C94993" w:rsidRPr="001B1080">
        <w:rPr>
          <w:rFonts w:ascii="Lucida Sans Unicode" w:eastAsia="Calibri" w:hAnsi="Lucida Sans Unicode" w:cs="Lucida Sans Unicode"/>
          <w:sz w:val="24"/>
          <w:szCs w:val="24"/>
          <w:lang w:val="es-CO" w:eastAsia="en-US"/>
        </w:rPr>
        <w:t>33</w:t>
      </w:r>
      <w:r w:rsidR="00763967" w:rsidRPr="001B1080">
        <w:rPr>
          <w:rFonts w:ascii="Lucida Sans Unicode" w:eastAsia="Calibri" w:hAnsi="Lucida Sans Unicode" w:cs="Lucida Sans Unicode"/>
          <w:sz w:val="24"/>
          <w:szCs w:val="24"/>
          <w:lang w:val="es-CO" w:eastAsia="en-US"/>
        </w:rPr>
        <w:t>%); Clínica Casanare y Nueva EPS (</w:t>
      </w:r>
      <w:r w:rsidR="00C94993" w:rsidRPr="001B1080">
        <w:rPr>
          <w:rFonts w:ascii="Lucida Sans Unicode" w:eastAsia="Calibri" w:hAnsi="Lucida Sans Unicode" w:cs="Lucida Sans Unicode"/>
          <w:sz w:val="24"/>
          <w:szCs w:val="24"/>
          <w:lang w:val="es-CO" w:eastAsia="en-US"/>
        </w:rPr>
        <w:t>6</w:t>
      </w:r>
      <w:r w:rsidR="00763967" w:rsidRPr="001B1080">
        <w:rPr>
          <w:rFonts w:ascii="Lucida Sans Unicode" w:eastAsia="Calibri" w:hAnsi="Lucida Sans Unicode" w:cs="Lucida Sans Unicode"/>
          <w:sz w:val="24"/>
          <w:szCs w:val="24"/>
          <w:lang w:val="es-CO" w:eastAsia="en-US"/>
        </w:rPr>
        <w:t>.</w:t>
      </w:r>
      <w:r w:rsidR="00C94993" w:rsidRPr="001B1080">
        <w:rPr>
          <w:rFonts w:ascii="Lucida Sans Unicode" w:eastAsia="Calibri" w:hAnsi="Lucida Sans Unicode" w:cs="Lucida Sans Unicode"/>
          <w:sz w:val="24"/>
          <w:szCs w:val="24"/>
          <w:lang w:val="es-CO" w:eastAsia="en-US"/>
        </w:rPr>
        <w:t>67</w:t>
      </w:r>
      <w:r w:rsidR="00763967" w:rsidRPr="001B1080">
        <w:rPr>
          <w:rFonts w:ascii="Lucida Sans Unicode" w:eastAsia="Calibri" w:hAnsi="Lucida Sans Unicode" w:cs="Lucida Sans Unicode"/>
          <w:sz w:val="24"/>
          <w:szCs w:val="24"/>
          <w:lang w:val="es-CO" w:eastAsia="en-US"/>
        </w:rPr>
        <w:t xml:space="preserve">%); Hospital de Aguazul e </w:t>
      </w:r>
      <w:proofErr w:type="spellStart"/>
      <w:r w:rsidR="00763967" w:rsidRPr="001B1080">
        <w:rPr>
          <w:rFonts w:ascii="Lucida Sans Unicode" w:eastAsia="Calibri" w:hAnsi="Lucida Sans Unicode" w:cs="Lucida Sans Unicode"/>
          <w:sz w:val="24"/>
          <w:szCs w:val="24"/>
          <w:lang w:val="es-CO" w:eastAsia="en-US"/>
        </w:rPr>
        <w:t>Inpec</w:t>
      </w:r>
      <w:proofErr w:type="spellEnd"/>
      <w:r w:rsidR="00763967" w:rsidRPr="001B1080">
        <w:rPr>
          <w:rFonts w:ascii="Lucida Sans Unicode" w:eastAsia="Calibri" w:hAnsi="Lucida Sans Unicode" w:cs="Lucida Sans Unicode"/>
          <w:sz w:val="24"/>
          <w:szCs w:val="24"/>
          <w:lang w:val="es-CO" w:eastAsia="en-US"/>
        </w:rPr>
        <w:t xml:space="preserve"> (6.</w:t>
      </w:r>
      <w:r w:rsidR="00C94993" w:rsidRPr="001B1080">
        <w:rPr>
          <w:rFonts w:ascii="Lucida Sans Unicode" w:eastAsia="Calibri" w:hAnsi="Lucida Sans Unicode" w:cs="Lucida Sans Unicode"/>
          <w:sz w:val="24"/>
          <w:szCs w:val="24"/>
          <w:lang w:val="es-CO" w:eastAsia="en-US"/>
        </w:rPr>
        <w:t>11</w:t>
      </w:r>
      <w:r w:rsidR="00763967" w:rsidRPr="001B1080">
        <w:rPr>
          <w:rFonts w:ascii="Lucida Sans Unicode" w:eastAsia="Calibri" w:hAnsi="Lucida Sans Unicode" w:cs="Lucida Sans Unicode"/>
          <w:sz w:val="24"/>
          <w:szCs w:val="24"/>
          <w:lang w:val="es-CO" w:eastAsia="en-US"/>
        </w:rPr>
        <w:t>%) y Hospital de Tauramena (4.</w:t>
      </w:r>
      <w:r w:rsidR="00C94993" w:rsidRPr="001B1080">
        <w:rPr>
          <w:rFonts w:ascii="Lucida Sans Unicode" w:eastAsia="Calibri" w:hAnsi="Lucida Sans Unicode" w:cs="Lucida Sans Unicode"/>
          <w:sz w:val="24"/>
          <w:szCs w:val="24"/>
          <w:lang w:val="es-CO" w:eastAsia="en-US"/>
        </w:rPr>
        <w:t>44</w:t>
      </w:r>
      <w:r w:rsidR="00763967" w:rsidRPr="001B1080">
        <w:rPr>
          <w:rFonts w:ascii="Lucida Sans Unicode" w:eastAsia="Calibri" w:hAnsi="Lucida Sans Unicode" w:cs="Lucida Sans Unicode"/>
          <w:sz w:val="24"/>
          <w:szCs w:val="24"/>
          <w:lang w:val="es-CO" w:eastAsia="en-US"/>
        </w:rPr>
        <w:t>%).</w:t>
      </w:r>
    </w:p>
    <w:p w:rsidR="00023A24" w:rsidRPr="001B1080" w:rsidRDefault="00023A24"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CF349A" w:rsidRDefault="00023A24" w:rsidP="00A83B99">
      <w:pPr>
        <w:widowControl w:val="0"/>
        <w:spacing w:before="100" w:after="100"/>
        <w:contextualSpacing/>
        <w:jc w:val="both"/>
        <w:rPr>
          <w:rFonts w:ascii="Lucida Sans Unicode" w:eastAsia="Calibri" w:hAnsi="Lucida Sans Unicode" w:cs="Lucida Sans Unicode"/>
          <w:sz w:val="24"/>
          <w:szCs w:val="24"/>
          <w:lang w:val="es-CO" w:eastAsia="en-US"/>
        </w:rPr>
      </w:pPr>
      <w:r w:rsidRPr="001B1080">
        <w:rPr>
          <w:rFonts w:ascii="Lucida Sans Unicode" w:eastAsia="Calibri" w:hAnsi="Lucida Sans Unicode" w:cs="Lucida Sans Unicode"/>
          <w:sz w:val="24"/>
          <w:szCs w:val="24"/>
          <w:lang w:val="es-CO" w:eastAsia="en-US"/>
        </w:rPr>
        <w:t>No obstante lo anterior, es deplorable que las entidades encargadas de la prestación de este servicio fundamental para el ciudadano, desconozcan abiertamente los postulados constitucionales, legales y doctrinales sobre la materia, al punto que aun tramitándose en su contra incidentes de desacato opten por persistir en el incumplimiento de sus obligaciones y deberes.</w:t>
      </w:r>
    </w:p>
    <w:p w:rsidR="00CF349A" w:rsidRDefault="00CF349A"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32464E" w:rsidRDefault="00CF349A" w:rsidP="00A83B99">
      <w:pPr>
        <w:widowControl w:val="0"/>
        <w:spacing w:before="100" w:after="100"/>
        <w:contextualSpacing/>
        <w:jc w:val="both"/>
        <w:rPr>
          <w:rFonts w:ascii="Lucida Sans Unicode" w:eastAsia="Calibri" w:hAnsi="Lucida Sans Unicode" w:cs="Lucida Sans Unicode"/>
          <w:sz w:val="24"/>
          <w:szCs w:val="24"/>
          <w:lang w:val="es-CO" w:eastAsia="en-US"/>
        </w:rPr>
      </w:pPr>
      <w:r>
        <w:rPr>
          <w:rFonts w:ascii="Lucida Sans Unicode" w:eastAsia="Calibri" w:hAnsi="Lucida Sans Unicode" w:cs="Lucida Sans Unicode"/>
          <w:sz w:val="24"/>
          <w:szCs w:val="24"/>
          <w:lang w:val="es-CO" w:eastAsia="en-US"/>
        </w:rPr>
        <w:t>Aunado a lo anterior, la Corte Constitucional ha establecido la posibilidad de que se aplique la denominada “Inejecución de la sanción” que los Jueces Constitucionales imponemos al desatar los incidentes de desacato; lo que en nuestro sentir constituye un craso error que lo que hace es propiciar una verdadera burla a la justicia, habida cuenta que los prestadores del servicio de salud optan por negar dichos servicios o retardarlos bajo el entendido de que así los sancionen, después y transcurrido  un largo lapso de tiempo dan cumplimiento a su libre a</w:t>
      </w:r>
      <w:r w:rsidR="0032464E">
        <w:rPr>
          <w:rFonts w:ascii="Lucida Sans Unicode" w:eastAsia="Calibri" w:hAnsi="Lucida Sans Unicode" w:cs="Lucida Sans Unicode"/>
          <w:sz w:val="24"/>
          <w:szCs w:val="24"/>
          <w:lang w:val="es-CO" w:eastAsia="en-US"/>
        </w:rPr>
        <w:t>lbedrio</w:t>
      </w:r>
      <w:r>
        <w:rPr>
          <w:rFonts w:ascii="Lucida Sans Unicode" w:eastAsia="Calibri" w:hAnsi="Lucida Sans Unicode" w:cs="Lucida Sans Unicode"/>
          <w:sz w:val="24"/>
          <w:szCs w:val="24"/>
          <w:lang w:val="es-CO" w:eastAsia="en-US"/>
        </w:rPr>
        <w:t xml:space="preserve"> de las órdenes que</w:t>
      </w:r>
      <w:r w:rsidR="0032464E">
        <w:rPr>
          <w:rFonts w:ascii="Lucida Sans Unicode" w:eastAsia="Calibri" w:hAnsi="Lucida Sans Unicode" w:cs="Lucida Sans Unicode"/>
          <w:sz w:val="24"/>
          <w:szCs w:val="24"/>
          <w:lang w:val="es-CO" w:eastAsia="en-US"/>
        </w:rPr>
        <w:t xml:space="preserve"> la sentencia establezca (incluso cuando ya se ha configurado hasta un perjuicio irremediable para los tutelantes, por muerte de los pacientes)</w:t>
      </w:r>
      <w:r>
        <w:rPr>
          <w:rFonts w:ascii="Lucida Sans Unicode" w:eastAsia="Calibri" w:hAnsi="Lucida Sans Unicode" w:cs="Lucida Sans Unicode"/>
          <w:sz w:val="24"/>
          <w:szCs w:val="24"/>
          <w:lang w:val="es-CO" w:eastAsia="en-US"/>
        </w:rPr>
        <w:t xml:space="preserve"> </w:t>
      </w:r>
      <w:r w:rsidR="0032464E">
        <w:rPr>
          <w:rFonts w:ascii="Lucida Sans Unicode" w:eastAsia="Calibri" w:hAnsi="Lucida Sans Unicode" w:cs="Lucida Sans Unicode"/>
          <w:sz w:val="24"/>
          <w:szCs w:val="24"/>
          <w:lang w:val="es-CO" w:eastAsia="en-US"/>
        </w:rPr>
        <w:t>y acuden a pedir la exoneración de la multa o arresto impuestos en detrimento del aparato judicial y de los derechos de los asociados.</w:t>
      </w:r>
    </w:p>
    <w:p w:rsidR="0032464E" w:rsidRDefault="0032464E"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023A24" w:rsidRPr="001B1080" w:rsidRDefault="0032464E" w:rsidP="00A83B99">
      <w:pPr>
        <w:widowControl w:val="0"/>
        <w:spacing w:before="100" w:after="100"/>
        <w:contextualSpacing/>
        <w:jc w:val="both"/>
        <w:rPr>
          <w:rFonts w:ascii="Lucida Sans Unicode" w:eastAsia="Calibri" w:hAnsi="Lucida Sans Unicode" w:cs="Lucida Sans Unicode"/>
          <w:sz w:val="24"/>
          <w:szCs w:val="24"/>
          <w:lang w:val="es-CO" w:eastAsia="en-US"/>
        </w:rPr>
      </w:pPr>
      <w:r>
        <w:rPr>
          <w:rFonts w:ascii="Lucida Sans Unicode" w:eastAsia="Calibri" w:hAnsi="Lucida Sans Unicode" w:cs="Lucida Sans Unicode"/>
          <w:sz w:val="24"/>
          <w:szCs w:val="24"/>
          <w:lang w:val="es-CO" w:eastAsia="en-US"/>
        </w:rPr>
        <w:t xml:space="preserve">Debe llamarse entonces la atención y exigirle a los organismos que han sido instituidos para la prestación del servicio y garantía del derecho fundamental a la salud, el cumplimiento estricto a los estándares constitucionales existentes al respecto.     </w:t>
      </w:r>
      <w:r w:rsidR="00CF349A">
        <w:rPr>
          <w:rFonts w:ascii="Lucida Sans Unicode" w:eastAsia="Calibri" w:hAnsi="Lucida Sans Unicode" w:cs="Lucida Sans Unicode"/>
          <w:sz w:val="24"/>
          <w:szCs w:val="24"/>
          <w:lang w:val="es-CO" w:eastAsia="en-US"/>
        </w:rPr>
        <w:t xml:space="preserve">  </w:t>
      </w:r>
      <w:r w:rsidR="00023A24" w:rsidRPr="001B1080">
        <w:rPr>
          <w:rFonts w:ascii="Lucida Sans Unicode" w:eastAsia="Calibri" w:hAnsi="Lucida Sans Unicode" w:cs="Lucida Sans Unicode"/>
          <w:sz w:val="24"/>
          <w:szCs w:val="24"/>
          <w:lang w:val="es-CO" w:eastAsia="en-US"/>
        </w:rPr>
        <w:t xml:space="preserve"> </w:t>
      </w:r>
    </w:p>
    <w:p w:rsidR="009C50A0" w:rsidRDefault="009C50A0"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32464E" w:rsidRDefault="0032464E" w:rsidP="00CD3C18">
      <w:pPr>
        <w:widowControl w:val="0"/>
        <w:spacing w:before="100" w:after="100"/>
        <w:contextualSpacing/>
        <w:jc w:val="center"/>
        <w:rPr>
          <w:rFonts w:ascii="Lucida Sans Unicode" w:eastAsia="Calibri" w:hAnsi="Lucida Sans Unicode" w:cs="Lucida Sans Unicode"/>
          <w:sz w:val="24"/>
          <w:szCs w:val="24"/>
          <w:lang w:val="es-CO" w:eastAsia="en-US"/>
        </w:rPr>
      </w:pPr>
      <w:r w:rsidRPr="00CD3C18">
        <w:rPr>
          <w:rFonts w:ascii="Lucida Sans Unicode" w:eastAsia="Calibri" w:hAnsi="Lucida Sans Unicode" w:cs="Lucida Sans Unicode"/>
          <w:b/>
          <w:sz w:val="24"/>
          <w:szCs w:val="24"/>
          <w:lang w:val="es-CO" w:eastAsia="en-US"/>
        </w:rPr>
        <w:t>LA CONFIGURACIÓN DE DAÑO Y LOS LITIGIOS PARA LOGRAR SU INDEMNIZACIÓN</w:t>
      </w:r>
      <w:r>
        <w:rPr>
          <w:rFonts w:ascii="Lucida Sans Unicode" w:eastAsia="Calibri" w:hAnsi="Lucida Sans Unicode" w:cs="Lucida Sans Unicode"/>
          <w:sz w:val="24"/>
          <w:szCs w:val="24"/>
          <w:lang w:val="es-CO" w:eastAsia="en-US"/>
        </w:rPr>
        <w:t>:</w:t>
      </w:r>
    </w:p>
    <w:p w:rsidR="0032464E" w:rsidRPr="001B1080" w:rsidRDefault="0032464E" w:rsidP="00A83B99">
      <w:pPr>
        <w:widowControl w:val="0"/>
        <w:spacing w:before="100" w:after="100"/>
        <w:contextualSpacing/>
        <w:jc w:val="both"/>
        <w:rPr>
          <w:rFonts w:ascii="Lucida Sans Unicode" w:eastAsia="Calibri" w:hAnsi="Lucida Sans Unicode" w:cs="Lucida Sans Unicode"/>
          <w:sz w:val="24"/>
          <w:szCs w:val="24"/>
          <w:lang w:val="es-CO" w:eastAsia="en-US"/>
        </w:rPr>
      </w:pPr>
      <w:r>
        <w:rPr>
          <w:rFonts w:ascii="Lucida Sans Unicode" w:eastAsia="Calibri" w:hAnsi="Lucida Sans Unicode" w:cs="Lucida Sans Unicode"/>
          <w:sz w:val="24"/>
          <w:szCs w:val="24"/>
          <w:lang w:val="es-CO" w:eastAsia="en-US"/>
        </w:rPr>
        <w:t xml:space="preserve"> </w:t>
      </w:r>
    </w:p>
    <w:p w:rsidR="00A83C5E" w:rsidRDefault="00A83C5E" w:rsidP="00A83B99">
      <w:pPr>
        <w:widowControl w:val="0"/>
        <w:spacing w:before="100" w:after="100"/>
        <w:contextualSpacing/>
        <w:jc w:val="both"/>
        <w:rPr>
          <w:rFonts w:ascii="Lucida Sans Unicode" w:eastAsia="Calibri" w:hAnsi="Lucida Sans Unicode" w:cs="Lucida Sans Unicode"/>
          <w:sz w:val="24"/>
          <w:szCs w:val="24"/>
          <w:lang w:val="es-CO" w:eastAsia="en-US"/>
        </w:rPr>
      </w:pPr>
      <w:r>
        <w:rPr>
          <w:rFonts w:ascii="Lucida Sans Unicode" w:eastAsia="Calibri" w:hAnsi="Lucida Sans Unicode" w:cs="Lucida Sans Unicode"/>
          <w:sz w:val="24"/>
          <w:szCs w:val="24"/>
          <w:lang w:val="es-CO" w:eastAsia="en-US"/>
        </w:rPr>
        <w:t>Las entidades encargadas de la prestación del servicio de salud en el País (</w:t>
      </w:r>
      <w:proofErr w:type="spellStart"/>
      <w:r>
        <w:rPr>
          <w:rFonts w:ascii="Lucida Sans Unicode" w:eastAsia="Calibri" w:hAnsi="Lucida Sans Unicode" w:cs="Lucida Sans Unicode"/>
          <w:sz w:val="24"/>
          <w:szCs w:val="24"/>
          <w:lang w:val="es-CO" w:eastAsia="en-US"/>
        </w:rPr>
        <w:t>EPS’s</w:t>
      </w:r>
      <w:proofErr w:type="spellEnd"/>
      <w:r>
        <w:rPr>
          <w:rFonts w:ascii="Lucida Sans Unicode" w:eastAsia="Calibri" w:hAnsi="Lucida Sans Unicode" w:cs="Lucida Sans Unicode"/>
          <w:sz w:val="24"/>
          <w:szCs w:val="24"/>
          <w:lang w:val="es-CO" w:eastAsia="en-US"/>
        </w:rPr>
        <w:t xml:space="preserve"> e </w:t>
      </w:r>
      <w:proofErr w:type="spellStart"/>
      <w:r>
        <w:rPr>
          <w:rFonts w:ascii="Lucida Sans Unicode" w:eastAsia="Calibri" w:hAnsi="Lucida Sans Unicode" w:cs="Lucida Sans Unicode"/>
          <w:sz w:val="24"/>
          <w:szCs w:val="24"/>
          <w:lang w:val="es-CO" w:eastAsia="en-US"/>
        </w:rPr>
        <w:t>IPS’s</w:t>
      </w:r>
      <w:proofErr w:type="spellEnd"/>
      <w:r>
        <w:rPr>
          <w:rFonts w:ascii="Lucida Sans Unicode" w:eastAsia="Calibri" w:hAnsi="Lucida Sans Unicode" w:cs="Lucida Sans Unicode"/>
          <w:sz w:val="24"/>
          <w:szCs w:val="24"/>
          <w:lang w:val="es-CO" w:eastAsia="en-US"/>
        </w:rPr>
        <w:t>) pueden eventualmente incurrir en falencias que conlleven a la causación de daños a la integridad física o incluso a la vida de los pacientes, razón por la cual el legislador ha estatuido un mecanismo o herramienta jurídica que hace viable el reconocimiento y pago del menoscabo que se llegare a configurar.</w:t>
      </w:r>
    </w:p>
    <w:p w:rsidR="00A83C5E" w:rsidRDefault="00A83C5E"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22331C" w:rsidRDefault="00A83C5E" w:rsidP="00A83B99">
      <w:pPr>
        <w:widowControl w:val="0"/>
        <w:spacing w:before="100" w:after="100"/>
        <w:contextualSpacing/>
        <w:jc w:val="both"/>
        <w:rPr>
          <w:rFonts w:ascii="Lucida Sans Unicode" w:hAnsi="Lucida Sans Unicode" w:cs="Lucida Sans Unicode"/>
          <w:sz w:val="24"/>
          <w:szCs w:val="24"/>
        </w:rPr>
      </w:pPr>
      <w:r>
        <w:rPr>
          <w:rFonts w:ascii="Lucida Sans Unicode" w:eastAsia="Calibri" w:hAnsi="Lucida Sans Unicode" w:cs="Lucida Sans Unicode"/>
          <w:sz w:val="24"/>
          <w:szCs w:val="24"/>
          <w:lang w:val="es-CO" w:eastAsia="en-US"/>
        </w:rPr>
        <w:t xml:space="preserve">En tal sentido, </w:t>
      </w:r>
      <w:r w:rsidR="00A83B99" w:rsidRPr="001B1080">
        <w:rPr>
          <w:rFonts w:ascii="Lucida Sans Unicode" w:hAnsi="Lucida Sans Unicode" w:cs="Lucida Sans Unicode"/>
          <w:sz w:val="24"/>
          <w:szCs w:val="24"/>
          <w:lang w:val="es-ES"/>
        </w:rPr>
        <w:t xml:space="preserve">con el medio de control de </w:t>
      </w:r>
      <w:r w:rsidR="00A83B99" w:rsidRPr="001B1080">
        <w:rPr>
          <w:rFonts w:ascii="Lucida Sans Unicode" w:hAnsi="Lucida Sans Unicode" w:cs="Lucida Sans Unicode"/>
          <w:sz w:val="24"/>
          <w:szCs w:val="24"/>
        </w:rPr>
        <w:t xml:space="preserve">reparación directa (art. 140 del CPACA) se busca la reparación de los daños causados por una entidad estatal, esta acción encuentra su </w:t>
      </w:r>
      <w:r w:rsidR="0022331C">
        <w:rPr>
          <w:rFonts w:ascii="Lucida Sans Unicode" w:hAnsi="Lucida Sans Unicode" w:cs="Lucida Sans Unicode"/>
          <w:sz w:val="24"/>
          <w:szCs w:val="24"/>
        </w:rPr>
        <w:t>fuente</w:t>
      </w:r>
      <w:r w:rsidR="00A83B99" w:rsidRPr="001B1080">
        <w:rPr>
          <w:rFonts w:ascii="Lucida Sans Unicode" w:hAnsi="Lucida Sans Unicode" w:cs="Lucida Sans Unicode"/>
          <w:sz w:val="24"/>
          <w:szCs w:val="24"/>
        </w:rPr>
        <w:t xml:space="preserve"> jurídica en el artículo 90 de la Constitución Política</w:t>
      </w:r>
      <w:r w:rsidR="0022331C">
        <w:rPr>
          <w:rFonts w:ascii="Lucida Sans Unicode" w:hAnsi="Lucida Sans Unicode" w:cs="Lucida Sans Unicode"/>
          <w:sz w:val="24"/>
          <w:szCs w:val="24"/>
        </w:rPr>
        <w:t xml:space="preserve"> (conocido doctrinalmente como la cláusula general de responsabilidad),</w:t>
      </w:r>
      <w:r w:rsidR="00A83B99" w:rsidRPr="001B1080">
        <w:rPr>
          <w:rFonts w:ascii="Lucida Sans Unicode" w:hAnsi="Lucida Sans Unicode" w:cs="Lucida Sans Unicode"/>
          <w:sz w:val="24"/>
          <w:szCs w:val="24"/>
        </w:rPr>
        <w:t xml:space="preserve"> el cual establece que el Estado deberá responder por el daño antijurídico que cause</w:t>
      </w:r>
      <w:r w:rsidR="0022331C">
        <w:rPr>
          <w:rFonts w:ascii="Lucida Sans Unicode" w:hAnsi="Lucida Sans Unicode" w:cs="Lucida Sans Unicode"/>
          <w:sz w:val="24"/>
          <w:szCs w:val="24"/>
        </w:rPr>
        <w:t>n sus servidores</w:t>
      </w:r>
      <w:r w:rsidR="00A83B99" w:rsidRPr="001B1080">
        <w:rPr>
          <w:rFonts w:ascii="Lucida Sans Unicode" w:hAnsi="Lucida Sans Unicode" w:cs="Lucida Sans Unicode"/>
          <w:sz w:val="24"/>
          <w:szCs w:val="24"/>
        </w:rPr>
        <w:t>.</w:t>
      </w:r>
    </w:p>
    <w:p w:rsidR="0022331C" w:rsidRDefault="0022331C" w:rsidP="00A83B99">
      <w:pPr>
        <w:widowControl w:val="0"/>
        <w:spacing w:before="100" w:after="100"/>
        <w:contextualSpacing/>
        <w:jc w:val="both"/>
        <w:rPr>
          <w:rFonts w:ascii="Lucida Sans Unicode" w:hAnsi="Lucida Sans Unicode" w:cs="Lucida Sans Unicode"/>
          <w:sz w:val="24"/>
          <w:szCs w:val="24"/>
        </w:rPr>
      </w:pPr>
    </w:p>
    <w:p w:rsidR="00A83B99" w:rsidRPr="001B1080" w:rsidRDefault="00A83B99" w:rsidP="00A83B99">
      <w:pPr>
        <w:widowControl w:val="0"/>
        <w:spacing w:before="100" w:after="100"/>
        <w:contextualSpacing/>
        <w:jc w:val="both"/>
        <w:rPr>
          <w:rFonts w:ascii="Lucida Sans Unicode" w:eastAsia="Calibri" w:hAnsi="Lucida Sans Unicode" w:cs="Lucida Sans Unicode"/>
          <w:sz w:val="24"/>
          <w:szCs w:val="24"/>
          <w:lang w:val="es-CO" w:eastAsia="en-US"/>
        </w:rPr>
      </w:pPr>
      <w:r w:rsidRPr="001B1080">
        <w:rPr>
          <w:rFonts w:ascii="Lucida Sans Unicode" w:hAnsi="Lucida Sans Unicode" w:cs="Lucida Sans Unicode"/>
          <w:sz w:val="24"/>
          <w:szCs w:val="24"/>
        </w:rPr>
        <w:t>Se podrá demandar a través de este medio de control cuando por las siguientes causas el Estado cause perjuicio a alguna persona:</w:t>
      </w:r>
    </w:p>
    <w:p w:rsidR="00A83B99" w:rsidRPr="001B1080" w:rsidRDefault="00A83B99"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A83B99" w:rsidRPr="001B1080" w:rsidRDefault="00A83B99" w:rsidP="00A83B99">
      <w:pPr>
        <w:pStyle w:val="Prrafodelista"/>
        <w:widowControl w:val="0"/>
        <w:numPr>
          <w:ilvl w:val="0"/>
          <w:numId w:val="2"/>
        </w:numPr>
        <w:spacing w:before="100" w:after="100"/>
        <w:jc w:val="both"/>
        <w:rPr>
          <w:rFonts w:ascii="Lucida Sans Unicode" w:eastAsia="Calibri" w:hAnsi="Lucida Sans Unicode" w:cs="Lucida Sans Unicode"/>
          <w:sz w:val="24"/>
          <w:szCs w:val="24"/>
          <w:lang w:val="es-CO" w:eastAsia="en-US"/>
        </w:rPr>
      </w:pPr>
      <w:r w:rsidRPr="001B1080">
        <w:rPr>
          <w:rFonts w:ascii="Lucida Sans Unicode" w:eastAsia="Calibri" w:hAnsi="Lucida Sans Unicode" w:cs="Lucida Sans Unicode"/>
          <w:sz w:val="24"/>
          <w:szCs w:val="24"/>
          <w:lang w:val="es-CO" w:eastAsia="en-US"/>
        </w:rPr>
        <w:t>Por Acción</w:t>
      </w:r>
      <w:r w:rsidRPr="001B1080">
        <w:rPr>
          <w:rFonts w:ascii="Lucida Sans Unicode" w:hAnsi="Lucida Sans Unicode" w:cs="Lucida Sans Unicode"/>
          <w:sz w:val="24"/>
          <w:szCs w:val="24"/>
        </w:rPr>
        <w:t>, cuando el estado de manera activa causa el perjuicio.</w:t>
      </w:r>
    </w:p>
    <w:p w:rsidR="00A83B99" w:rsidRPr="001B1080" w:rsidRDefault="00A83B99" w:rsidP="00A83B99">
      <w:pPr>
        <w:pStyle w:val="Prrafodelista"/>
        <w:widowControl w:val="0"/>
        <w:numPr>
          <w:ilvl w:val="0"/>
          <w:numId w:val="2"/>
        </w:numPr>
        <w:spacing w:before="100" w:after="100"/>
        <w:jc w:val="both"/>
        <w:rPr>
          <w:rFonts w:ascii="Lucida Sans Unicode" w:eastAsia="Calibri" w:hAnsi="Lucida Sans Unicode" w:cs="Lucida Sans Unicode"/>
          <w:sz w:val="24"/>
          <w:szCs w:val="24"/>
          <w:lang w:val="es-CO" w:eastAsia="en-US"/>
        </w:rPr>
      </w:pPr>
      <w:r w:rsidRPr="001B1080">
        <w:rPr>
          <w:rFonts w:ascii="Lucida Sans Unicode" w:hAnsi="Lucida Sans Unicode" w:cs="Lucida Sans Unicode"/>
          <w:sz w:val="24"/>
          <w:szCs w:val="24"/>
        </w:rPr>
        <w:t>Omisión, cuando por inactividad de las obligaciones propias de la entidad se causa el daño.</w:t>
      </w:r>
    </w:p>
    <w:p w:rsidR="00A83B99" w:rsidRPr="001B1080" w:rsidRDefault="00A83B99" w:rsidP="00A83B99">
      <w:pPr>
        <w:pStyle w:val="Prrafodelista"/>
        <w:widowControl w:val="0"/>
        <w:numPr>
          <w:ilvl w:val="0"/>
          <w:numId w:val="2"/>
        </w:numPr>
        <w:spacing w:before="100" w:after="100"/>
        <w:jc w:val="both"/>
        <w:rPr>
          <w:rFonts w:ascii="Lucida Sans Unicode" w:eastAsia="Calibri" w:hAnsi="Lucida Sans Unicode" w:cs="Lucida Sans Unicode"/>
          <w:sz w:val="24"/>
          <w:szCs w:val="24"/>
          <w:lang w:val="es-CO" w:eastAsia="en-US"/>
        </w:rPr>
      </w:pPr>
      <w:r w:rsidRPr="001B1080">
        <w:rPr>
          <w:rFonts w:ascii="Lucida Sans Unicode" w:hAnsi="Lucida Sans Unicode" w:cs="Lucida Sans Unicode"/>
          <w:sz w:val="24"/>
          <w:szCs w:val="24"/>
        </w:rPr>
        <w:t>Operación administrativa, cuando la administración se encuentre en ejecución de una orden emitida a través de un acto administrativo y cause perjuicios.</w:t>
      </w:r>
    </w:p>
    <w:p w:rsidR="00A83B99" w:rsidRPr="001B1080" w:rsidRDefault="00A83B99" w:rsidP="00A83B99">
      <w:pPr>
        <w:pStyle w:val="Prrafodelista"/>
        <w:widowControl w:val="0"/>
        <w:numPr>
          <w:ilvl w:val="0"/>
          <w:numId w:val="2"/>
        </w:numPr>
        <w:spacing w:before="100" w:after="100"/>
        <w:jc w:val="both"/>
        <w:rPr>
          <w:rFonts w:ascii="Lucida Sans Unicode" w:eastAsia="Calibri" w:hAnsi="Lucida Sans Unicode" w:cs="Lucida Sans Unicode"/>
          <w:sz w:val="24"/>
          <w:szCs w:val="24"/>
          <w:lang w:val="es-CO" w:eastAsia="en-US"/>
        </w:rPr>
      </w:pPr>
      <w:r w:rsidRPr="001B1080">
        <w:rPr>
          <w:rFonts w:ascii="Lucida Sans Unicode" w:hAnsi="Lucida Sans Unicode" w:cs="Lucida Sans Unicode"/>
          <w:sz w:val="24"/>
          <w:szCs w:val="24"/>
        </w:rPr>
        <w:t>Ocupación temporal o permanente de un inmueble.</w:t>
      </w:r>
    </w:p>
    <w:p w:rsidR="00A83B99" w:rsidRPr="001B1080" w:rsidRDefault="00A83B99" w:rsidP="00A83B99">
      <w:pPr>
        <w:pStyle w:val="Prrafodelista"/>
        <w:widowControl w:val="0"/>
        <w:numPr>
          <w:ilvl w:val="0"/>
          <w:numId w:val="2"/>
        </w:numPr>
        <w:spacing w:before="100" w:after="100"/>
        <w:jc w:val="both"/>
        <w:rPr>
          <w:rFonts w:ascii="Lucida Sans Unicode" w:eastAsia="Calibri" w:hAnsi="Lucida Sans Unicode" w:cs="Lucida Sans Unicode"/>
          <w:sz w:val="24"/>
          <w:szCs w:val="24"/>
          <w:lang w:val="es-CO" w:eastAsia="en-US"/>
        </w:rPr>
      </w:pPr>
      <w:r w:rsidRPr="001B1080">
        <w:rPr>
          <w:rFonts w:ascii="Lucida Sans Unicode" w:hAnsi="Lucida Sans Unicode" w:cs="Lucida Sans Unicode"/>
          <w:sz w:val="24"/>
          <w:szCs w:val="24"/>
        </w:rPr>
        <w:t>Un hecho.</w:t>
      </w:r>
    </w:p>
    <w:p w:rsidR="00A83B99" w:rsidRPr="001B1080" w:rsidRDefault="00A83B99" w:rsidP="00A83B99">
      <w:pPr>
        <w:pStyle w:val="Prrafodelista"/>
        <w:widowControl w:val="0"/>
        <w:numPr>
          <w:ilvl w:val="0"/>
          <w:numId w:val="2"/>
        </w:numPr>
        <w:spacing w:before="100" w:after="100"/>
        <w:jc w:val="both"/>
        <w:rPr>
          <w:rFonts w:ascii="Lucida Sans Unicode" w:eastAsia="Calibri" w:hAnsi="Lucida Sans Unicode" w:cs="Lucida Sans Unicode"/>
          <w:sz w:val="24"/>
          <w:szCs w:val="24"/>
          <w:lang w:val="es-CO" w:eastAsia="en-US"/>
        </w:rPr>
      </w:pPr>
      <w:r w:rsidRPr="001B1080">
        <w:rPr>
          <w:rFonts w:ascii="Lucida Sans Unicode" w:hAnsi="Lucida Sans Unicode" w:cs="Lucida Sans Unicode"/>
          <w:sz w:val="24"/>
          <w:szCs w:val="24"/>
        </w:rPr>
        <w:t>O por cualquier otra causa imputable a una entidad pública.</w:t>
      </w:r>
    </w:p>
    <w:p w:rsidR="00A83B99" w:rsidRPr="001B1080" w:rsidRDefault="00A83B99" w:rsidP="00A83B99">
      <w:pPr>
        <w:pStyle w:val="NormalWeb"/>
        <w:spacing w:before="0" w:beforeAutospacing="0" w:after="0" w:afterAutospacing="0"/>
        <w:contextualSpacing/>
        <w:jc w:val="both"/>
        <w:rPr>
          <w:rFonts w:ascii="Lucida Sans Unicode" w:hAnsi="Lucida Sans Unicode" w:cs="Lucida Sans Unicode"/>
        </w:rPr>
      </w:pPr>
    </w:p>
    <w:p w:rsidR="00A83B99" w:rsidRPr="001B1080" w:rsidRDefault="00A83B99" w:rsidP="00A83B99">
      <w:pPr>
        <w:pStyle w:val="NormalWeb"/>
        <w:spacing w:before="0" w:beforeAutospacing="0" w:after="0" w:afterAutospacing="0"/>
        <w:contextualSpacing/>
        <w:jc w:val="both"/>
        <w:rPr>
          <w:rFonts w:ascii="Lucida Sans Unicode" w:hAnsi="Lucida Sans Unicode" w:cs="Lucida Sans Unicode"/>
        </w:rPr>
      </w:pPr>
      <w:r w:rsidRPr="001B1080">
        <w:rPr>
          <w:rFonts w:ascii="Lucida Sans Unicode" w:hAnsi="Lucida Sans Unicode" w:cs="Lucida Sans Unicode"/>
        </w:rPr>
        <w:t xml:space="preserve">Las entidades públicas también podrán ejercer esta acción cuando un particular o cuando otra entidad pública les cause un daño, de conformidad con lo señalado en el artículo 140 del </w:t>
      </w:r>
      <w:r w:rsidR="009B7D2B" w:rsidRPr="001B1080">
        <w:rPr>
          <w:rFonts w:ascii="Lucida Sans Unicode" w:hAnsi="Lucida Sans Unicode" w:cs="Lucida Sans Unicode"/>
        </w:rPr>
        <w:t>C</w:t>
      </w:r>
      <w:r w:rsidRPr="001B1080">
        <w:rPr>
          <w:rFonts w:ascii="Lucida Sans Unicode" w:hAnsi="Lucida Sans Unicode" w:cs="Lucida Sans Unicode"/>
        </w:rPr>
        <w:t xml:space="preserve">ódigo de </w:t>
      </w:r>
      <w:r w:rsidR="009B7D2B" w:rsidRPr="001B1080">
        <w:rPr>
          <w:rFonts w:ascii="Lucida Sans Unicode" w:hAnsi="Lucida Sans Unicode" w:cs="Lucida Sans Unicode"/>
        </w:rPr>
        <w:t xml:space="preserve">Procedimiento Administrativo </w:t>
      </w:r>
      <w:r w:rsidRPr="001B1080">
        <w:rPr>
          <w:rFonts w:ascii="Lucida Sans Unicode" w:hAnsi="Lucida Sans Unicode" w:cs="Lucida Sans Unicode"/>
        </w:rPr>
        <w:t xml:space="preserve">y de lo </w:t>
      </w:r>
      <w:r w:rsidR="009B7D2B" w:rsidRPr="001B1080">
        <w:rPr>
          <w:rFonts w:ascii="Lucida Sans Unicode" w:hAnsi="Lucida Sans Unicode" w:cs="Lucida Sans Unicode"/>
        </w:rPr>
        <w:t>Contencioso Administrativo</w:t>
      </w:r>
      <w:r w:rsidRPr="001B1080">
        <w:rPr>
          <w:rFonts w:ascii="Lucida Sans Unicode" w:hAnsi="Lucida Sans Unicode" w:cs="Lucida Sans Unicode"/>
        </w:rPr>
        <w:t>, el cual regula el medio de control de reparación directa.</w:t>
      </w:r>
    </w:p>
    <w:p w:rsidR="00A83B99" w:rsidRPr="001B1080" w:rsidRDefault="00A83B99" w:rsidP="00A83B99">
      <w:pPr>
        <w:pStyle w:val="NormalWeb"/>
        <w:spacing w:before="0" w:beforeAutospacing="0" w:after="0" w:afterAutospacing="0"/>
        <w:contextualSpacing/>
        <w:jc w:val="both"/>
        <w:rPr>
          <w:rFonts w:ascii="Lucida Sans Unicode" w:hAnsi="Lucida Sans Unicode" w:cs="Lucida Sans Unicode"/>
        </w:rPr>
      </w:pPr>
    </w:p>
    <w:p w:rsidR="00A83B99" w:rsidRPr="001B1080" w:rsidRDefault="00A83B99" w:rsidP="00A83B99">
      <w:pPr>
        <w:pStyle w:val="NormalWeb"/>
        <w:spacing w:before="0" w:beforeAutospacing="0" w:after="0" w:afterAutospacing="0"/>
        <w:contextualSpacing/>
        <w:jc w:val="both"/>
        <w:rPr>
          <w:rFonts w:ascii="Lucida Sans Unicode" w:hAnsi="Lucida Sans Unicode" w:cs="Lucida Sans Unicode"/>
        </w:rPr>
      </w:pPr>
      <w:r w:rsidRPr="001B1080">
        <w:rPr>
          <w:rFonts w:ascii="Lucida Sans Unicode" w:hAnsi="Lucida Sans Unicode" w:cs="Lucida Sans Unicode"/>
        </w:rPr>
        <w:t>Para interponer esta acción el único requisito previo que hay que agotar es el de la</w:t>
      </w:r>
      <w:r w:rsidRPr="001B1080">
        <w:rPr>
          <w:rStyle w:val="apple-converted-space"/>
          <w:rFonts w:ascii="Lucida Sans Unicode" w:hAnsi="Lucida Sans Unicode" w:cs="Lucida Sans Unicode"/>
        </w:rPr>
        <w:t> </w:t>
      </w:r>
      <w:hyperlink r:id="rId11" w:history="1">
        <w:r w:rsidRPr="001B1080">
          <w:rPr>
            <w:rStyle w:val="Hipervnculo"/>
            <w:rFonts w:ascii="Lucida Sans Unicode" w:hAnsi="Lucida Sans Unicode" w:cs="Lucida Sans Unicode"/>
            <w:color w:val="auto"/>
            <w:u w:val="none"/>
          </w:rPr>
          <w:t>conciliación</w:t>
        </w:r>
      </w:hyperlink>
      <w:r w:rsidRPr="001B1080">
        <w:rPr>
          <w:rFonts w:ascii="Lucida Sans Unicode" w:hAnsi="Lucida Sans Unicode" w:cs="Lucida Sans Unicode"/>
        </w:rPr>
        <w:t xml:space="preserve"> prejudicial, de conformidad con lo establecido en el numeral 1° del artículo 161 del mencionado código el cual establece lo siguiente:</w:t>
      </w:r>
    </w:p>
    <w:p w:rsidR="00EF4E10" w:rsidRDefault="00EF4E10" w:rsidP="00E30F3A">
      <w:pPr>
        <w:pStyle w:val="NormalWeb"/>
        <w:spacing w:before="0" w:beforeAutospacing="0" w:after="0" w:afterAutospacing="0"/>
        <w:ind w:left="567"/>
        <w:contextualSpacing/>
        <w:jc w:val="both"/>
        <w:rPr>
          <w:rFonts w:ascii="Arial Narrow" w:hAnsi="Arial Narrow" w:cs="Lucida Sans Unicode"/>
          <w:i/>
          <w:iCs/>
        </w:rPr>
      </w:pPr>
    </w:p>
    <w:p w:rsidR="00E30F3A" w:rsidRPr="001B1080" w:rsidRDefault="00A83B99" w:rsidP="00E30F3A">
      <w:pPr>
        <w:pStyle w:val="NormalWeb"/>
        <w:spacing w:before="0" w:beforeAutospacing="0" w:after="0" w:afterAutospacing="0"/>
        <w:ind w:left="567"/>
        <w:contextualSpacing/>
        <w:jc w:val="both"/>
        <w:rPr>
          <w:rFonts w:ascii="Arial Narrow" w:hAnsi="Arial Narrow" w:cs="Lucida Sans Unicode"/>
          <w:i/>
          <w:iCs/>
        </w:rPr>
      </w:pPr>
      <w:r w:rsidRPr="001B1080">
        <w:rPr>
          <w:rFonts w:ascii="Arial Narrow" w:hAnsi="Arial Narrow" w:cs="Lucida Sans Unicode"/>
          <w:i/>
          <w:iCs/>
        </w:rPr>
        <w:t>“Cuando los asuntos sean conciliables, el trámite de la conciliación extrajudicial constituirá requisito de procedibilidad de toda demanda en que se formulen pretensiones relativas a nulidad con restablecimiento del derecho, </w:t>
      </w:r>
      <w:r w:rsidRPr="001B1080">
        <w:rPr>
          <w:rFonts w:ascii="Arial Narrow" w:hAnsi="Arial Narrow" w:cs="Lucida Sans Unicode"/>
          <w:b/>
          <w:bCs/>
          <w:i/>
          <w:iCs/>
        </w:rPr>
        <w:t>reparación directa </w:t>
      </w:r>
      <w:r w:rsidRPr="001B1080">
        <w:rPr>
          <w:rFonts w:ascii="Arial Narrow" w:hAnsi="Arial Narrow" w:cs="Lucida Sans Unicode"/>
          <w:i/>
          <w:iCs/>
        </w:rPr>
        <w:t>y controversias contractuales”.</w:t>
      </w:r>
    </w:p>
    <w:p w:rsidR="00E30F3A" w:rsidRPr="001B1080" w:rsidRDefault="00E30F3A" w:rsidP="00E30F3A">
      <w:pPr>
        <w:pStyle w:val="NormalWeb"/>
        <w:spacing w:before="0" w:beforeAutospacing="0" w:after="0" w:afterAutospacing="0"/>
        <w:contextualSpacing/>
        <w:jc w:val="both"/>
        <w:rPr>
          <w:rFonts w:ascii="Lucida Sans Unicode" w:hAnsi="Lucida Sans Unicode" w:cs="Lucida Sans Unicode"/>
          <w:i/>
          <w:iCs/>
        </w:rPr>
      </w:pPr>
    </w:p>
    <w:p w:rsidR="00391AC4" w:rsidRPr="001B1080" w:rsidRDefault="00A83B99" w:rsidP="000A628A">
      <w:pPr>
        <w:pStyle w:val="NormalWeb"/>
        <w:spacing w:before="0" w:beforeAutospacing="0" w:after="0" w:afterAutospacing="0"/>
        <w:contextualSpacing/>
        <w:jc w:val="both"/>
        <w:rPr>
          <w:rFonts w:ascii="Lucida Sans Unicode" w:hAnsi="Lucida Sans Unicode" w:cs="Lucida Sans Unicode"/>
        </w:rPr>
      </w:pPr>
      <w:r w:rsidRPr="001B1080">
        <w:rPr>
          <w:rFonts w:ascii="Lucida Sans Unicode" w:hAnsi="Lucida Sans Unicode" w:cs="Lucida Sans Unicode"/>
        </w:rPr>
        <w:t>Este medio de control se caracteriza además por tener una caducidad de dos años, la cual se contabilizara a partir del día siguiente de la circunstancia que haya generado el perjuicio, cuando el afectado haya tenido o debió tener conocimiento, en este caso el afectado tendrá la carga de la prueba respecto a acreditar la imposibilidad de haber tenido conocimiento del momento de la ocurrencia del hecho.</w:t>
      </w:r>
    </w:p>
    <w:p w:rsidR="00391AC4" w:rsidRPr="001B1080" w:rsidRDefault="00391AC4" w:rsidP="000A628A">
      <w:pPr>
        <w:pStyle w:val="NormalWeb"/>
        <w:spacing w:before="0" w:beforeAutospacing="0" w:after="0" w:afterAutospacing="0"/>
        <w:contextualSpacing/>
        <w:jc w:val="both"/>
        <w:rPr>
          <w:rFonts w:ascii="Lucida Sans Unicode" w:hAnsi="Lucida Sans Unicode" w:cs="Lucida Sans Unicode"/>
        </w:rPr>
      </w:pPr>
    </w:p>
    <w:p w:rsidR="009B7D2B" w:rsidRPr="001B1080" w:rsidRDefault="00391AC4" w:rsidP="000A628A">
      <w:pPr>
        <w:pStyle w:val="NormalWeb"/>
        <w:spacing w:before="0" w:beforeAutospacing="0" w:after="0" w:afterAutospacing="0"/>
        <w:contextualSpacing/>
        <w:jc w:val="both"/>
        <w:rPr>
          <w:rFonts w:ascii="Lucida Sans Unicode" w:hAnsi="Lucida Sans Unicode" w:cs="Lucida Sans Unicode"/>
        </w:rPr>
      </w:pPr>
      <w:r w:rsidRPr="001B1080">
        <w:rPr>
          <w:rFonts w:ascii="Lucida Sans Unicode" w:hAnsi="Lucida Sans Unicode" w:cs="Lucida Sans Unicode"/>
        </w:rPr>
        <w:t>Ahora bien,</w:t>
      </w:r>
      <w:r w:rsidR="0022331C">
        <w:rPr>
          <w:rFonts w:ascii="Lucida Sans Unicode" w:hAnsi="Lucida Sans Unicode" w:cs="Lucida Sans Unicode"/>
        </w:rPr>
        <w:t xml:space="preserve"> en el tema específico de la salud,</w:t>
      </w:r>
      <w:r w:rsidRPr="001B1080">
        <w:rPr>
          <w:rFonts w:ascii="Lucida Sans Unicode" w:hAnsi="Lucida Sans Unicode" w:cs="Lucida Sans Unicode"/>
        </w:rPr>
        <w:t xml:space="preserve"> la</w:t>
      </w:r>
      <w:r w:rsidR="0022331C">
        <w:rPr>
          <w:rFonts w:ascii="Lucida Sans Unicode" w:hAnsi="Lucida Sans Unicode" w:cs="Lucida Sans Unicode"/>
        </w:rPr>
        <w:t xml:space="preserve"> denominada</w:t>
      </w:r>
      <w:r w:rsidRPr="001B1080">
        <w:rPr>
          <w:rFonts w:ascii="Lucida Sans Unicode" w:hAnsi="Lucida Sans Unicode" w:cs="Lucida Sans Unicode"/>
        </w:rPr>
        <w:t xml:space="preserve"> </w:t>
      </w:r>
      <w:r w:rsidR="0022331C">
        <w:rPr>
          <w:rFonts w:ascii="Lucida Sans Unicode" w:hAnsi="Lucida Sans Unicode" w:cs="Lucida Sans Unicode"/>
        </w:rPr>
        <w:t>“</w:t>
      </w:r>
      <w:r w:rsidRPr="001B1080">
        <w:rPr>
          <w:rFonts w:ascii="Lucida Sans Unicode" w:hAnsi="Lucida Sans Unicode" w:cs="Lucida Sans Unicode"/>
        </w:rPr>
        <w:t>responsabilidad por falla médica</w:t>
      </w:r>
      <w:r w:rsidR="0022331C">
        <w:rPr>
          <w:rFonts w:ascii="Lucida Sans Unicode" w:hAnsi="Lucida Sans Unicode" w:cs="Lucida Sans Unicode"/>
        </w:rPr>
        <w:t>”</w:t>
      </w:r>
      <w:r w:rsidRPr="001B1080">
        <w:rPr>
          <w:rFonts w:ascii="Lucida Sans Unicode" w:hAnsi="Lucida Sans Unicode" w:cs="Lucida Sans Unicode"/>
        </w:rPr>
        <w:t xml:space="preserve"> ha evolucionado a lo largo de los años, pasando desde el régimen de falla probada del servicio, la falla presunta del servicio, la carga dinámica de la prueba y en el año 2006, mediante sentencia del 31 de agosto</w:t>
      </w:r>
      <w:r w:rsidRPr="001B1080">
        <w:rPr>
          <w:rStyle w:val="Refdenotaalpie"/>
          <w:rFonts w:ascii="Lucida Sans Unicode" w:hAnsi="Lucida Sans Unicode" w:cs="Lucida Sans Unicode"/>
        </w:rPr>
        <w:footnoteReference w:id="3"/>
      </w:r>
      <w:r w:rsidRPr="001B1080">
        <w:rPr>
          <w:rFonts w:ascii="Lucida Sans Unicode" w:hAnsi="Lucida Sans Unicode" w:cs="Lucida Sans Unicode"/>
        </w:rPr>
        <w:t>, volvió al régimen de falla probada, en razón de la complejidad de los temas médicos y la dificultad para las instituciones públicas en el ámbito probatorio, debido al tiempo que transcurre y la cantidad de casos que manejan.</w:t>
      </w:r>
    </w:p>
    <w:p w:rsidR="009B7D2B" w:rsidRPr="001B1080" w:rsidRDefault="009B7D2B" w:rsidP="000A628A">
      <w:pPr>
        <w:pStyle w:val="NormalWeb"/>
        <w:spacing w:before="0" w:beforeAutospacing="0" w:after="0" w:afterAutospacing="0"/>
        <w:contextualSpacing/>
        <w:jc w:val="both"/>
        <w:rPr>
          <w:rFonts w:ascii="Lucida Sans Unicode" w:hAnsi="Lucida Sans Unicode" w:cs="Lucida Sans Unicode"/>
        </w:rPr>
      </w:pPr>
    </w:p>
    <w:p w:rsidR="00202BEA" w:rsidRPr="001B1080" w:rsidRDefault="00202BEA" w:rsidP="000A628A">
      <w:pPr>
        <w:pStyle w:val="NormalWeb"/>
        <w:spacing w:before="0" w:beforeAutospacing="0" w:after="0" w:afterAutospacing="0"/>
        <w:contextualSpacing/>
        <w:jc w:val="both"/>
        <w:rPr>
          <w:rFonts w:ascii="Lucida Sans Unicode" w:hAnsi="Lucida Sans Unicode" w:cs="Lucida Sans Unicode"/>
        </w:rPr>
      </w:pPr>
      <w:r w:rsidRPr="001B1080">
        <w:rPr>
          <w:rFonts w:ascii="Lucida Sans Unicode" w:hAnsi="Lucida Sans Unicode" w:cs="Lucida Sans Unicode"/>
        </w:rPr>
        <w:t xml:space="preserve">Así lo expresó la Sección </w:t>
      </w:r>
      <w:r w:rsidR="009B7D2B" w:rsidRPr="001B1080">
        <w:rPr>
          <w:rFonts w:ascii="Lucida Sans Unicode" w:hAnsi="Lucida Sans Unicode" w:cs="Lucida Sans Unicode"/>
        </w:rPr>
        <w:t>T</w:t>
      </w:r>
      <w:r w:rsidRPr="001B1080">
        <w:rPr>
          <w:rFonts w:ascii="Lucida Sans Unicode" w:hAnsi="Lucida Sans Unicode" w:cs="Lucida Sans Unicode"/>
        </w:rPr>
        <w:t>ercera</w:t>
      </w:r>
      <w:r w:rsidR="009B7D2B" w:rsidRPr="001B1080">
        <w:rPr>
          <w:rFonts w:ascii="Lucida Sans Unicode" w:hAnsi="Lucida Sans Unicode" w:cs="Lucida Sans Unicode"/>
        </w:rPr>
        <w:t xml:space="preserve"> del Consejo de Estado</w:t>
      </w:r>
      <w:r w:rsidRPr="001B1080">
        <w:rPr>
          <w:rFonts w:ascii="Lucida Sans Unicode" w:hAnsi="Lucida Sans Unicode" w:cs="Lucida Sans Unicode"/>
        </w:rPr>
        <w:t>:</w:t>
      </w:r>
    </w:p>
    <w:p w:rsidR="00202BEA" w:rsidRPr="001B1080" w:rsidRDefault="00202BEA" w:rsidP="00202BEA">
      <w:pPr>
        <w:pStyle w:val="NormalWeb"/>
        <w:spacing w:before="0" w:beforeAutospacing="0" w:after="0" w:afterAutospacing="0"/>
        <w:ind w:left="567"/>
        <w:contextualSpacing/>
        <w:jc w:val="both"/>
        <w:rPr>
          <w:rFonts w:ascii="Arial Narrow" w:hAnsi="Arial Narrow"/>
        </w:rPr>
      </w:pPr>
    </w:p>
    <w:p w:rsidR="00202BEA" w:rsidRPr="001B1080" w:rsidRDefault="00202BEA" w:rsidP="00202BEA">
      <w:pPr>
        <w:pStyle w:val="NormalWeb"/>
        <w:spacing w:before="0" w:beforeAutospacing="0" w:after="0" w:afterAutospacing="0"/>
        <w:ind w:left="567"/>
        <w:contextualSpacing/>
        <w:jc w:val="both"/>
        <w:rPr>
          <w:rFonts w:ascii="Arial Narrow" w:hAnsi="Arial Narrow"/>
        </w:rPr>
      </w:pPr>
      <w:r w:rsidRPr="001B1080">
        <w:rPr>
          <w:rFonts w:ascii="Arial Narrow" w:hAnsi="Arial Narrow"/>
        </w:rPr>
        <w:t>“(…) Un primer momento en la evolución jurisprudencial sobre la responsabilidad por el servicio médico asistencial, exigía al actor aportar la prueba de la falla para la prosperidad de sus pretensiones, por considerar que se trataba de una obligación de medio y por lo tanto, de la sola existencia del daño no había lugar a presumir la falla del servicio.</w:t>
      </w:r>
    </w:p>
    <w:p w:rsidR="00202BEA" w:rsidRPr="001B1080" w:rsidRDefault="00202BEA" w:rsidP="00202BEA">
      <w:pPr>
        <w:pStyle w:val="NormalWeb"/>
        <w:spacing w:before="0" w:beforeAutospacing="0" w:after="0" w:afterAutospacing="0"/>
        <w:ind w:left="567"/>
        <w:contextualSpacing/>
        <w:jc w:val="both"/>
        <w:rPr>
          <w:rFonts w:ascii="Arial Narrow" w:hAnsi="Arial Narrow"/>
        </w:rPr>
      </w:pPr>
    </w:p>
    <w:p w:rsidR="00202BEA" w:rsidRPr="001B1080" w:rsidRDefault="00202BEA" w:rsidP="00202BEA">
      <w:pPr>
        <w:pStyle w:val="NormalWeb"/>
        <w:spacing w:before="0" w:beforeAutospacing="0" w:after="0" w:afterAutospacing="0"/>
        <w:ind w:left="567"/>
        <w:contextualSpacing/>
        <w:jc w:val="both"/>
        <w:rPr>
          <w:rFonts w:ascii="Arial Narrow" w:hAnsi="Arial Narrow"/>
        </w:rPr>
      </w:pPr>
      <w:r w:rsidRPr="001B1080">
        <w:rPr>
          <w:rFonts w:ascii="Arial Narrow" w:hAnsi="Arial Narrow"/>
        </w:rPr>
        <w:t>En la década anterior se introdujeron algunos criterios con el objeto de morigerar la carga de la prueba de la falla del servicio, aunque siempre sobre la noción de</w:t>
      </w:r>
      <w:r w:rsidRPr="001B1080">
        <w:rPr>
          <w:rFonts w:ascii="Arial Narrow" w:hAnsi="Arial Narrow" w:cs="Lucida Sans Unicode"/>
        </w:rPr>
        <w:t xml:space="preserve"> </w:t>
      </w:r>
      <w:r w:rsidRPr="001B1080">
        <w:rPr>
          <w:rFonts w:ascii="Arial Narrow" w:hAnsi="Arial Narrow"/>
        </w:rPr>
        <w:t>que dicha falla era el fundamento de la responsabilidad de la administración por la prestación del servicio médico.</w:t>
      </w:r>
    </w:p>
    <w:p w:rsidR="00202BEA" w:rsidRPr="001B1080" w:rsidRDefault="00202BEA" w:rsidP="00202BEA">
      <w:pPr>
        <w:pStyle w:val="NormalWeb"/>
        <w:spacing w:before="0" w:beforeAutospacing="0" w:after="0" w:afterAutospacing="0"/>
        <w:ind w:left="567"/>
        <w:contextualSpacing/>
        <w:jc w:val="both"/>
        <w:rPr>
          <w:rFonts w:ascii="Arial Narrow" w:hAnsi="Arial Narrow"/>
        </w:rPr>
      </w:pPr>
    </w:p>
    <w:p w:rsidR="00202BEA" w:rsidRPr="001B1080" w:rsidRDefault="00202BEA" w:rsidP="00202BEA">
      <w:pPr>
        <w:pStyle w:val="NormalWeb"/>
        <w:spacing w:before="0" w:beforeAutospacing="0" w:after="0" w:afterAutospacing="0"/>
        <w:ind w:left="567"/>
        <w:contextualSpacing/>
        <w:jc w:val="both"/>
        <w:rPr>
          <w:rFonts w:ascii="Arial Narrow" w:hAnsi="Arial Narrow"/>
        </w:rPr>
      </w:pPr>
      <w:r w:rsidRPr="001B1080">
        <w:rPr>
          <w:rFonts w:ascii="Arial Narrow" w:hAnsi="Arial Narrow"/>
        </w:rPr>
        <w:t>Así, en sentencia de octubre 24 de 1990, expediente No. 5902, se empezó a introducir el principio de presunción de falla del servicio médico, que posteriormente fue adoptado de manera explícita por la Sección. En esta providencia se consideró que el artículo 1604 del Código Civil debía ser aplicado también en relación con la responsabilidad extracontractual y en consecuencia, la prueba de la diligencia y cuidado correspondía al demandado en los casos de responsabilidad médica.</w:t>
      </w:r>
    </w:p>
    <w:p w:rsidR="00202BEA" w:rsidRPr="001B1080" w:rsidRDefault="00202BEA" w:rsidP="00202BEA">
      <w:pPr>
        <w:pStyle w:val="NormalWeb"/>
        <w:spacing w:before="0" w:beforeAutospacing="0" w:after="0" w:afterAutospacing="0"/>
        <w:ind w:left="567"/>
        <w:contextualSpacing/>
        <w:jc w:val="both"/>
        <w:rPr>
          <w:rFonts w:ascii="Arial Narrow" w:hAnsi="Arial Narrow"/>
        </w:rPr>
      </w:pPr>
    </w:p>
    <w:p w:rsidR="00202BEA" w:rsidRPr="001B1080" w:rsidRDefault="00202BEA" w:rsidP="00202BEA">
      <w:pPr>
        <w:pStyle w:val="NormalWeb"/>
        <w:spacing w:before="0" w:beforeAutospacing="0" w:after="0" w:afterAutospacing="0"/>
        <w:ind w:left="567"/>
        <w:contextualSpacing/>
        <w:jc w:val="both"/>
        <w:rPr>
          <w:rFonts w:ascii="Arial Narrow" w:hAnsi="Arial Narrow"/>
        </w:rPr>
      </w:pPr>
      <w:r w:rsidRPr="001B1080">
        <w:rPr>
          <w:rFonts w:ascii="Arial Narrow" w:hAnsi="Arial Narrow"/>
        </w:rPr>
        <w:t>La presunción de falla del servicio médico que con esta posición jurisprudencial se acogió, fue reiterada en decisión del 30 de julio de 1992, expediente No. 6897, pero con un fundamento jurídico diferente, el cual hacía referencia a la mejor posibilidad en que se encontraban los profesionales de explicar y demostrar el tratamiento que aplicaron al paciente, dado su “conocimiento técnico y real por cuanto ejecutaron la respectiva conducta”, lo cual les permitía satisfacer las inquietudes y cuestionamientos que pudieran formularse contra sus procedimientos. Esa regla de juicio había sido tratada desde antes en la doctrina y jurisprudencia foráneas.</w:t>
      </w:r>
    </w:p>
    <w:p w:rsidR="00202BEA" w:rsidRPr="001B1080" w:rsidRDefault="00202BEA" w:rsidP="00202BEA">
      <w:pPr>
        <w:pStyle w:val="NormalWeb"/>
        <w:spacing w:before="0" w:beforeAutospacing="0" w:after="0" w:afterAutospacing="0"/>
        <w:ind w:left="567"/>
        <w:contextualSpacing/>
        <w:jc w:val="both"/>
        <w:rPr>
          <w:rFonts w:ascii="Arial Narrow" w:hAnsi="Arial Narrow"/>
        </w:rPr>
      </w:pPr>
    </w:p>
    <w:p w:rsidR="00202BEA" w:rsidRPr="001B1080" w:rsidRDefault="00202BEA" w:rsidP="00202BEA">
      <w:pPr>
        <w:pStyle w:val="NormalWeb"/>
        <w:spacing w:before="0" w:beforeAutospacing="0" w:after="0" w:afterAutospacing="0"/>
        <w:ind w:left="567"/>
        <w:contextualSpacing/>
        <w:jc w:val="both"/>
        <w:rPr>
          <w:rFonts w:ascii="Arial Narrow" w:hAnsi="Arial Narrow"/>
        </w:rPr>
      </w:pPr>
      <w:r w:rsidRPr="001B1080">
        <w:rPr>
          <w:rFonts w:ascii="Arial Narrow" w:hAnsi="Arial Narrow"/>
        </w:rPr>
        <w:t xml:space="preserve">Así por ejemplo, en los años </w:t>
      </w:r>
      <w:r w:rsidR="009B7D2B" w:rsidRPr="001B1080">
        <w:rPr>
          <w:rFonts w:ascii="Arial Narrow" w:hAnsi="Arial Narrow"/>
        </w:rPr>
        <w:t>ochenta</w:t>
      </w:r>
      <w:r w:rsidRPr="001B1080">
        <w:rPr>
          <w:rFonts w:ascii="Arial Narrow" w:hAnsi="Arial Narrow"/>
        </w:rPr>
        <w:t xml:space="preserve"> había una fuerte tendencia entre los autores y jueces argentinos de considerar que el médico era quien se encontraba en mejores condiciones probatorias, porque era quien poseía la prueba y tenía una explicación posible de lo sucedido. En sentido contrario, </w:t>
      </w:r>
      <w:proofErr w:type="spellStart"/>
      <w:r w:rsidRPr="001B1080">
        <w:rPr>
          <w:rFonts w:ascii="Arial Narrow" w:hAnsi="Arial Narrow"/>
        </w:rPr>
        <w:t>Mazeaud</w:t>
      </w:r>
      <w:proofErr w:type="spellEnd"/>
      <w:r w:rsidRPr="001B1080">
        <w:rPr>
          <w:rFonts w:ascii="Arial Narrow" w:hAnsi="Arial Narrow"/>
        </w:rPr>
        <w:t xml:space="preserve"> y </w:t>
      </w:r>
      <w:proofErr w:type="spellStart"/>
      <w:r w:rsidRPr="001B1080">
        <w:rPr>
          <w:rFonts w:ascii="Arial Narrow" w:hAnsi="Arial Narrow"/>
        </w:rPr>
        <w:t>Tunc</w:t>
      </w:r>
      <w:proofErr w:type="spellEnd"/>
      <w:r w:rsidRPr="001B1080">
        <w:rPr>
          <w:rFonts w:ascii="Arial Narrow" w:hAnsi="Arial Narrow"/>
        </w:rPr>
        <w:t>, consideraban desde tiempo atrás que quien se encontraba en mejores condiciones de probar era el paciente y no el médico, pues a éste le resultaba extremadamente difícil demostrar su diligencia permanente. “Tan solo una persona del oficio, al menos tan perita como él y que hubiera seguido todos sus actos, podría declarar que el médico ha prestado cuidados concienzudos, solícitos y conformes con los resultados conseguidos por la ciencia”.</w:t>
      </w:r>
    </w:p>
    <w:p w:rsidR="00202BEA" w:rsidRPr="001B1080" w:rsidRDefault="00202BEA" w:rsidP="00202BEA">
      <w:pPr>
        <w:pStyle w:val="NormalWeb"/>
        <w:spacing w:before="0" w:beforeAutospacing="0" w:after="0" w:afterAutospacing="0"/>
        <w:ind w:left="567"/>
        <w:contextualSpacing/>
        <w:jc w:val="both"/>
        <w:rPr>
          <w:rFonts w:ascii="Arial Narrow" w:hAnsi="Arial Narrow"/>
        </w:rPr>
      </w:pPr>
    </w:p>
    <w:p w:rsidR="00FF705F" w:rsidRPr="001B1080" w:rsidRDefault="00202BEA" w:rsidP="00202BEA">
      <w:pPr>
        <w:pStyle w:val="NormalWeb"/>
        <w:spacing w:before="0" w:beforeAutospacing="0" w:after="0" w:afterAutospacing="0"/>
        <w:ind w:left="567"/>
        <w:contextualSpacing/>
        <w:jc w:val="both"/>
        <w:rPr>
          <w:rFonts w:ascii="Arial Narrow" w:hAnsi="Arial Narrow"/>
        </w:rPr>
      </w:pPr>
      <w:r w:rsidRPr="001B1080">
        <w:rPr>
          <w:rFonts w:ascii="Arial Narrow" w:hAnsi="Arial Narrow"/>
        </w:rPr>
        <w:t>Posteriormente, la Sala cuestionó la aplicación generalizada de la presunción de la falla del servicio y señaló que dicha presunción no debía ser aplicada de manera general sino que en cada caso el juez debía establecer cuál de las partes estaba en mejores condiciones de probar la falla o su ausencia. Dijo la Sala:</w:t>
      </w:r>
    </w:p>
    <w:p w:rsidR="00FF705F" w:rsidRPr="001B1080" w:rsidRDefault="00FF705F" w:rsidP="00202BEA">
      <w:pPr>
        <w:pStyle w:val="NormalWeb"/>
        <w:spacing w:before="0" w:beforeAutospacing="0" w:after="0" w:afterAutospacing="0"/>
        <w:ind w:left="567"/>
        <w:contextualSpacing/>
        <w:jc w:val="both"/>
        <w:rPr>
          <w:rFonts w:ascii="Arial Narrow" w:hAnsi="Arial Narrow"/>
        </w:rPr>
      </w:pPr>
    </w:p>
    <w:p w:rsidR="00FF705F" w:rsidRPr="001B1080" w:rsidRDefault="00202BEA" w:rsidP="00FF705F">
      <w:pPr>
        <w:pStyle w:val="NormalWeb"/>
        <w:spacing w:before="0" w:beforeAutospacing="0" w:after="0" w:afterAutospacing="0"/>
        <w:ind w:left="1134"/>
        <w:contextualSpacing/>
        <w:jc w:val="both"/>
        <w:rPr>
          <w:rFonts w:ascii="Arial Narrow" w:hAnsi="Arial Narrow"/>
        </w:rPr>
      </w:pPr>
      <w:r w:rsidRPr="001B1080">
        <w:rPr>
          <w:rFonts w:ascii="Arial Narrow" w:hAnsi="Arial Narrow"/>
        </w:rPr>
        <w:t>“...no todos los hechos y circunstancias relevantes para establecer si las entidades públicas obraron debidamente tienen implicaciones técnicas y científicas. Habrá que valorar en cada caso, si estas se encuentran presentes o no. Así, habrá situaciones en las que, es el paciente quien se encuentra en mejor posición para demostrar ciertos hechos relacionados con la actuación de la entidad respectiva. Allí está, precisamente, la explicación del dinamismo de las cargas, cuya aplicación se hace imposible ante el recurso obligado a la teoría de la falla del servicio presunta, donde simplemente se produce la inversión permanente del deber probatorio”</w:t>
      </w:r>
      <w:r w:rsidR="00FF705F" w:rsidRPr="001B1080">
        <w:rPr>
          <w:rStyle w:val="Refdenotaalpie"/>
          <w:rFonts w:ascii="Arial Narrow" w:hAnsi="Arial Narrow"/>
        </w:rPr>
        <w:footnoteReference w:id="4"/>
      </w:r>
      <w:r w:rsidRPr="001B1080">
        <w:rPr>
          <w:rFonts w:ascii="Arial Narrow" w:hAnsi="Arial Narrow"/>
        </w:rPr>
        <w:t>.</w:t>
      </w:r>
    </w:p>
    <w:p w:rsidR="00FF705F" w:rsidRPr="001B1080" w:rsidRDefault="00FF705F" w:rsidP="00202BEA">
      <w:pPr>
        <w:pStyle w:val="NormalWeb"/>
        <w:spacing w:before="0" w:beforeAutospacing="0" w:after="0" w:afterAutospacing="0"/>
        <w:ind w:left="567"/>
        <w:contextualSpacing/>
        <w:jc w:val="both"/>
        <w:rPr>
          <w:rFonts w:ascii="Arial Narrow" w:hAnsi="Arial Narrow"/>
        </w:rPr>
      </w:pPr>
    </w:p>
    <w:p w:rsidR="00FF705F" w:rsidRPr="001B1080" w:rsidRDefault="00202BEA" w:rsidP="00202BEA">
      <w:pPr>
        <w:pStyle w:val="NormalWeb"/>
        <w:spacing w:before="0" w:beforeAutospacing="0" w:after="0" w:afterAutospacing="0"/>
        <w:ind w:left="567"/>
        <w:contextualSpacing/>
        <w:jc w:val="both"/>
        <w:rPr>
          <w:rFonts w:ascii="Arial Narrow" w:hAnsi="Arial Narrow"/>
        </w:rPr>
      </w:pPr>
      <w:r w:rsidRPr="001B1080">
        <w:rPr>
          <w:rFonts w:ascii="Arial Narrow" w:hAnsi="Arial Narrow"/>
        </w:rPr>
        <w:t>Sin embargo, se advirtió en la práctica jurisprudencial que la aplicación de esa regla probatoria traía mayores dificultades de las que podría ayudar a solucionar, pues la definición de cuál era la parte que estaba en mejores condiciones de probar determinados hechos relacionados con la actuación médica, sólo podía definirse en el auto que decretara las p</w:t>
      </w:r>
      <w:r w:rsidR="00FF705F" w:rsidRPr="001B1080">
        <w:rPr>
          <w:rFonts w:ascii="Arial Narrow" w:hAnsi="Arial Narrow"/>
        </w:rPr>
        <w:t>ruebas y nunca en la sentencia.</w:t>
      </w:r>
    </w:p>
    <w:p w:rsidR="00FF705F" w:rsidRPr="001B1080" w:rsidRDefault="00FF705F" w:rsidP="00202BEA">
      <w:pPr>
        <w:pStyle w:val="NormalWeb"/>
        <w:spacing w:before="0" w:beforeAutospacing="0" w:after="0" w:afterAutospacing="0"/>
        <w:ind w:left="567"/>
        <w:contextualSpacing/>
        <w:jc w:val="both"/>
        <w:rPr>
          <w:rFonts w:ascii="Arial Narrow" w:hAnsi="Arial Narrow"/>
        </w:rPr>
      </w:pPr>
    </w:p>
    <w:p w:rsidR="00FF705F" w:rsidRPr="001B1080" w:rsidRDefault="00202BEA" w:rsidP="00202BEA">
      <w:pPr>
        <w:pStyle w:val="NormalWeb"/>
        <w:spacing w:before="0" w:beforeAutospacing="0" w:after="0" w:afterAutospacing="0"/>
        <w:ind w:left="567"/>
        <w:contextualSpacing/>
        <w:jc w:val="both"/>
        <w:rPr>
          <w:rFonts w:ascii="Arial Narrow" w:hAnsi="Arial Narrow"/>
        </w:rPr>
      </w:pPr>
      <w:r w:rsidRPr="001B1080">
        <w:rPr>
          <w:rFonts w:ascii="Arial Narrow" w:hAnsi="Arial Narrow"/>
        </w:rPr>
        <w:t>Lo contrario implicaría sorprender a las partes atribuyéndoles los efectos de las deficiencias probatorias, con fundamento en una regla diferente a la prevista en el artículo 177 del Código de Procedimiento Civil, en un momento procesal en el que ya no tenían oportunidad de ejercer su derecho de de</w:t>
      </w:r>
      <w:r w:rsidR="00FF705F" w:rsidRPr="001B1080">
        <w:rPr>
          <w:rFonts w:ascii="Arial Narrow" w:hAnsi="Arial Narrow"/>
        </w:rPr>
        <w:t>fensa aportando nuevas pruebas.</w:t>
      </w:r>
    </w:p>
    <w:p w:rsidR="00FF705F" w:rsidRPr="001B1080" w:rsidRDefault="00FF705F" w:rsidP="00202BEA">
      <w:pPr>
        <w:pStyle w:val="NormalWeb"/>
        <w:spacing w:before="0" w:beforeAutospacing="0" w:after="0" w:afterAutospacing="0"/>
        <w:ind w:left="567"/>
        <w:contextualSpacing/>
        <w:jc w:val="both"/>
        <w:rPr>
          <w:rFonts w:ascii="Arial Narrow" w:hAnsi="Arial Narrow"/>
        </w:rPr>
      </w:pPr>
    </w:p>
    <w:p w:rsidR="00FF705F" w:rsidRPr="001B1080" w:rsidRDefault="00202BEA" w:rsidP="00FF705F">
      <w:pPr>
        <w:pStyle w:val="NormalWeb"/>
        <w:spacing w:before="0" w:beforeAutospacing="0" w:after="0" w:afterAutospacing="0"/>
        <w:ind w:left="567"/>
        <w:contextualSpacing/>
        <w:jc w:val="both"/>
        <w:rPr>
          <w:rFonts w:ascii="Arial Narrow" w:hAnsi="Arial Narrow"/>
        </w:rPr>
      </w:pPr>
      <w:r w:rsidRPr="001B1080">
        <w:rPr>
          <w:rFonts w:ascii="Arial Narrow" w:hAnsi="Arial Narrow"/>
        </w:rPr>
        <w:t>Pero, señalar en el auto de decreto de pruebas la distribución de las cargas probatorias es en la práctica sumamente difícil, dado que para ese momento el juez sólo cuenta con la información que se suministra en la demanda y su contestación, la que regularmente es muy incipiente. Los reparos anteriores han sido controvertidos por los defensores de la teoría de las cargas dinámicas de las pruebas, con fundamento en la existencia del deber de lealtad que asiste a las partes en el proceso, el cual les obliga a suministrar todos los medios de que disponen para acreditar la veracidad de los hechos y, en</w:t>
      </w:r>
      <w:r w:rsidR="00FF705F" w:rsidRPr="001B1080">
        <w:rPr>
          <w:rFonts w:ascii="Arial Narrow" w:hAnsi="Arial Narrow" w:cs="Lucida Sans Unicode"/>
        </w:rPr>
        <w:t xml:space="preserve"> </w:t>
      </w:r>
      <w:r w:rsidR="00FF705F" w:rsidRPr="001B1080">
        <w:rPr>
          <w:rFonts w:ascii="Arial Narrow" w:hAnsi="Arial Narrow"/>
        </w:rPr>
        <w:t>consecuencia, que bien puede el juez en la sentencia hacer correr a la parte negligente con los efectos adversos de su omisión probatoria.</w:t>
      </w:r>
    </w:p>
    <w:p w:rsidR="00FF705F" w:rsidRPr="001B1080" w:rsidRDefault="00FF705F" w:rsidP="00FF705F">
      <w:pPr>
        <w:pStyle w:val="NormalWeb"/>
        <w:spacing w:before="0" w:beforeAutospacing="0" w:after="0" w:afterAutospacing="0"/>
        <w:ind w:left="567"/>
        <w:contextualSpacing/>
        <w:jc w:val="both"/>
        <w:rPr>
          <w:rFonts w:ascii="Arial Narrow" w:hAnsi="Arial Narrow"/>
        </w:rPr>
      </w:pPr>
      <w:r w:rsidRPr="001B1080">
        <w:rPr>
          <w:rFonts w:ascii="Arial Narrow" w:hAnsi="Arial Narrow"/>
        </w:rPr>
        <w:t>Sin embargo, no es necesario modificar las reglas probatorias señaladas en la ley para hacer efectivas las consecuencias que se derivan de la violación del deber de lealtad de las partes, dado que el artículo 249 del Código de Procedimiento Civil, establece que el juez podrá deducir indicios de su conducta procesal.</w:t>
      </w:r>
    </w:p>
    <w:p w:rsidR="00FF705F" w:rsidRPr="001B1080" w:rsidRDefault="00FF705F" w:rsidP="00FF705F">
      <w:pPr>
        <w:pStyle w:val="NormalWeb"/>
        <w:spacing w:before="0" w:beforeAutospacing="0" w:after="0" w:afterAutospacing="0"/>
        <w:ind w:left="567"/>
        <w:contextualSpacing/>
        <w:jc w:val="both"/>
        <w:rPr>
          <w:rFonts w:ascii="Arial Narrow" w:hAnsi="Arial Narrow"/>
        </w:rPr>
      </w:pPr>
    </w:p>
    <w:p w:rsidR="00FF705F" w:rsidRPr="001B1080" w:rsidRDefault="00FF705F" w:rsidP="00FF705F">
      <w:pPr>
        <w:pStyle w:val="NormalWeb"/>
        <w:spacing w:before="0" w:beforeAutospacing="0" w:after="0" w:afterAutospacing="0"/>
        <w:ind w:left="567"/>
        <w:contextualSpacing/>
        <w:jc w:val="both"/>
        <w:rPr>
          <w:rFonts w:ascii="Arial Narrow" w:hAnsi="Arial Narrow"/>
        </w:rPr>
      </w:pPr>
      <w:r w:rsidRPr="001B1080">
        <w:rPr>
          <w:rFonts w:ascii="Arial Narrow" w:hAnsi="Arial Narrow"/>
        </w:rPr>
        <w:t>Así, por ejemplo, de la renuencia a suministrar la historia clínica, o hacerlo de manera incompleta, o no documentar datos relevantes de la prestación médica, puede inferirse el interés de la parte de ocultar un hecho que le resulta adverso a sus intereses; como puede serlo también en contra de la parte demandante, el negarse a la práctica de un examen médico con el fin de establecer la veracidad de las secuelas que hubiera podido derivarse de una intervención, o el ocultar información sobre sus antecedentes congénitos, que por ejemplo, pudieran tener incidencia sobre la causa del daño aparentemente derivado de la intervención médica.</w:t>
      </w:r>
    </w:p>
    <w:p w:rsidR="00FF705F" w:rsidRPr="001B1080" w:rsidRDefault="00FF705F" w:rsidP="00FF705F">
      <w:pPr>
        <w:pStyle w:val="NormalWeb"/>
        <w:spacing w:before="0" w:beforeAutospacing="0" w:after="0" w:afterAutospacing="0"/>
        <w:ind w:left="567"/>
        <w:contextualSpacing/>
        <w:jc w:val="both"/>
        <w:rPr>
          <w:rFonts w:ascii="Arial Narrow" w:hAnsi="Arial Narrow"/>
        </w:rPr>
      </w:pPr>
    </w:p>
    <w:p w:rsidR="005E3EDB" w:rsidRPr="001B1080" w:rsidRDefault="00FF705F" w:rsidP="00FF705F">
      <w:pPr>
        <w:pStyle w:val="NormalWeb"/>
        <w:spacing w:before="0" w:beforeAutospacing="0" w:after="0" w:afterAutospacing="0"/>
        <w:ind w:left="567"/>
        <w:contextualSpacing/>
        <w:jc w:val="both"/>
        <w:rPr>
          <w:rFonts w:ascii="Arial Narrow" w:hAnsi="Arial Narrow"/>
        </w:rPr>
      </w:pPr>
      <w:r w:rsidRPr="001B1080">
        <w:rPr>
          <w:rFonts w:ascii="Arial Narrow" w:hAnsi="Arial Narrow"/>
        </w:rPr>
        <w:t>Por eso, de manera reciente la Sala ha recogido las reglas jurisprudenciales anteriores, es decir, las de presunción de falla médica, o de la distribución de las cargas probatorias de acuerdo con el juicio sobre la mejor posibilidad de su aporte, para acoger la regla general que señala que en materia de responsabilidad médica deben estar acreditados en el proceso todos los elementos que la configuran, para lo cual se puede echar mano de todos los medios probatorios legalmente aceptados, cobrando particular importancia la prueba indiciaria que pueda construirse con fundamento en las demás pruebas que obren en el proceso, en especial para la demostración del nexo causal entre la actividad médica y el daño. Se acoge dicho criterio porque además de ajustarse a la normatividad vigente (art. 90 de la Constitución y 177 del Código de Procedimiento Civil), resulta más equitativa.</w:t>
      </w:r>
    </w:p>
    <w:p w:rsidR="005E3EDB" w:rsidRPr="001B1080" w:rsidRDefault="005E3EDB" w:rsidP="00FF705F">
      <w:pPr>
        <w:pStyle w:val="NormalWeb"/>
        <w:spacing w:before="0" w:beforeAutospacing="0" w:after="0" w:afterAutospacing="0"/>
        <w:ind w:left="567"/>
        <w:contextualSpacing/>
        <w:jc w:val="both"/>
        <w:rPr>
          <w:rFonts w:ascii="Arial Narrow" w:hAnsi="Arial Narrow"/>
        </w:rPr>
      </w:pPr>
    </w:p>
    <w:p w:rsidR="00716519" w:rsidRPr="001B1080" w:rsidRDefault="00FF705F" w:rsidP="00716519">
      <w:pPr>
        <w:pStyle w:val="NormalWeb"/>
        <w:spacing w:before="0" w:beforeAutospacing="0" w:after="0" w:afterAutospacing="0"/>
        <w:ind w:left="567"/>
        <w:contextualSpacing/>
        <w:jc w:val="both"/>
      </w:pPr>
      <w:r w:rsidRPr="001B1080">
        <w:rPr>
          <w:rFonts w:ascii="Arial Narrow" w:hAnsi="Arial Narrow"/>
        </w:rPr>
        <w:t>La presunción de la falla del servicio margina del debate probatorio asuntos muy relevantes, como el de la distinción entre los hechos que pueden calificarse como omisiones, retardos o deficiencias y los que constituyen efectos de la misma enfermedad que sufra el paciente. La presunción traslada al Estado la carga de desvirtuar una presunción que falló, en una materia tan compleja, donde el alea constituye un factor inevitable y donde el paso del tiempo y las condiciones de masa (impersonales) en las que se presta el servicio en las instituciones</w:t>
      </w:r>
      <w:r w:rsidR="00716519" w:rsidRPr="001B1080">
        <w:rPr>
          <w:rFonts w:ascii="Arial Narrow" w:hAnsi="Arial Narrow" w:cs="Lucida Sans Unicode"/>
        </w:rPr>
        <w:t xml:space="preserve"> </w:t>
      </w:r>
      <w:r w:rsidR="00716519" w:rsidRPr="001B1080">
        <w:t>públicas hacen muy compleja la demostración de todos los actos en los que éste se materializa.</w:t>
      </w:r>
    </w:p>
    <w:p w:rsidR="00716519" w:rsidRPr="001B1080" w:rsidRDefault="00716519" w:rsidP="00716519">
      <w:pPr>
        <w:pStyle w:val="NormalWeb"/>
        <w:spacing w:before="0" w:beforeAutospacing="0" w:after="0" w:afterAutospacing="0"/>
        <w:ind w:left="567"/>
        <w:contextualSpacing/>
        <w:jc w:val="both"/>
      </w:pPr>
    </w:p>
    <w:p w:rsidR="00202BEA" w:rsidRPr="001B1080" w:rsidRDefault="00716519" w:rsidP="00716519">
      <w:pPr>
        <w:pStyle w:val="NormalWeb"/>
        <w:spacing w:before="0" w:beforeAutospacing="0" w:after="0" w:afterAutospacing="0"/>
        <w:ind w:left="567"/>
        <w:contextualSpacing/>
        <w:jc w:val="both"/>
        <w:rPr>
          <w:rFonts w:ascii="Arial Narrow" w:hAnsi="Arial Narrow" w:cs="Lucida Sans Unicode"/>
        </w:rPr>
      </w:pPr>
      <w:r w:rsidRPr="001B1080">
        <w:t>En efecto, no debe perderse de vista que el sólo transcurso del tiempo entre el momento en que se presta el servicio y aquél en el que la entidad debe ejercer su defensa, aunado además a la imposibilidad de establecer una relación más estrecha entre los médicos y sus pacientes, hace a veces más difícil para la entidad que para el paciente acreditar las circunstancias en las cuales se prestó el servicio. Por eso, el énfasis debe centrarse en la exigencia institucional de llevar las historias clínicas de manera tan completa y clara que su solo estudio permita al juez, con la ayuda de peritos idóneos si es necesario, establecer si hubo o no responsabilidad estatal en los daños que aduzcan sufrir los pacientes como consecuencia de la prestación del servicio médico.”6</w:t>
      </w:r>
    </w:p>
    <w:p w:rsidR="00716519" w:rsidRPr="001B1080" w:rsidRDefault="00716519" w:rsidP="000A628A">
      <w:pPr>
        <w:pStyle w:val="NormalWeb"/>
        <w:spacing w:before="0" w:beforeAutospacing="0" w:after="0" w:afterAutospacing="0"/>
        <w:contextualSpacing/>
        <w:jc w:val="both"/>
        <w:rPr>
          <w:rFonts w:ascii="Lucida Sans Unicode" w:hAnsi="Lucida Sans Unicode" w:cs="Lucida Sans Unicode"/>
        </w:rPr>
      </w:pPr>
    </w:p>
    <w:p w:rsidR="00CD3C18" w:rsidRDefault="00CE5DB3" w:rsidP="000A628A">
      <w:pPr>
        <w:pStyle w:val="NormalWeb"/>
        <w:spacing w:before="0" w:beforeAutospacing="0" w:after="0" w:afterAutospacing="0"/>
        <w:contextualSpacing/>
        <w:jc w:val="both"/>
        <w:rPr>
          <w:rFonts w:ascii="Lucida Sans Unicode" w:hAnsi="Lucida Sans Unicode" w:cs="Lucida Sans Unicode"/>
          <w:i/>
        </w:rPr>
      </w:pPr>
      <w:r w:rsidRPr="001B1080">
        <w:rPr>
          <w:rFonts w:ascii="Lucida Sans Unicode" w:hAnsi="Lucida Sans Unicode" w:cs="Lucida Sans Unicode"/>
        </w:rPr>
        <w:t xml:space="preserve">Ahora bien, </w:t>
      </w:r>
      <w:r w:rsidR="000A628A" w:rsidRPr="001B1080">
        <w:rPr>
          <w:rFonts w:ascii="Lucida Sans Unicode" w:hAnsi="Lucida Sans Unicode" w:cs="Lucida Sans Unicode"/>
        </w:rPr>
        <w:t xml:space="preserve">para entender </w:t>
      </w:r>
      <w:r w:rsidRPr="001B1080">
        <w:rPr>
          <w:rFonts w:ascii="Lucida Sans Unicode" w:hAnsi="Lucida Sans Unicode" w:cs="Lucida Sans Unicode"/>
        </w:rPr>
        <w:t xml:space="preserve">la acción de reparación directa en fallas médicas, debemos tener en cuenta </w:t>
      </w:r>
      <w:r w:rsidR="000A628A" w:rsidRPr="001B1080">
        <w:rPr>
          <w:rFonts w:ascii="Lucida Sans Unicode" w:hAnsi="Lucida Sans Unicode" w:cs="Lucida Sans Unicode"/>
        </w:rPr>
        <w:t xml:space="preserve">que la </w:t>
      </w:r>
      <w:r w:rsidRPr="001B1080">
        <w:rPr>
          <w:rFonts w:ascii="Lucida Sans Unicode" w:hAnsi="Lucida Sans Unicode" w:cs="Lucida Sans Unicode"/>
        </w:rPr>
        <w:t>responsabilidad médica</w:t>
      </w:r>
      <w:r w:rsidR="000A628A" w:rsidRPr="001B1080">
        <w:rPr>
          <w:rFonts w:ascii="Lucida Sans Unicode" w:hAnsi="Lucida Sans Unicode" w:cs="Lucida Sans Unicode"/>
        </w:rPr>
        <w:t xml:space="preserve"> es de medio y no de resultado y la Corte Suprema de Justicia en sentencia del 5 de marzo de 1940 la ha definido como: </w:t>
      </w:r>
      <w:r w:rsidR="000A628A" w:rsidRPr="001B1080">
        <w:rPr>
          <w:rFonts w:ascii="Lucida Sans Unicode" w:hAnsi="Lucida Sans Unicode" w:cs="Lucida Sans Unicode"/>
          <w:i/>
        </w:rPr>
        <w:t>“[…] La obligación profesional del médico no es, por regla general, de resultado sino de medio, o sea que el facultativo está obligado a desplegar en pro de su cliente los conocimientos de su ciencia y pericia, y los dictados de su prudencia, sin que pueda ser responsable del funesto desenlace de la enfermedad que padece su cliente o de la no curación de éste […]”.</w:t>
      </w:r>
    </w:p>
    <w:p w:rsidR="00CD3C18" w:rsidRDefault="00CD3C18" w:rsidP="000A628A">
      <w:pPr>
        <w:pStyle w:val="NormalWeb"/>
        <w:spacing w:before="0" w:beforeAutospacing="0" w:after="0" w:afterAutospacing="0"/>
        <w:contextualSpacing/>
        <w:jc w:val="both"/>
        <w:rPr>
          <w:rFonts w:ascii="Lucida Sans Unicode" w:hAnsi="Lucida Sans Unicode" w:cs="Lucida Sans Unicode"/>
          <w:i/>
        </w:rPr>
      </w:pPr>
    </w:p>
    <w:p w:rsidR="009A40B0" w:rsidRPr="00CD3C18" w:rsidRDefault="000A628A" w:rsidP="000A628A">
      <w:pPr>
        <w:pStyle w:val="NormalWeb"/>
        <w:spacing w:before="0" w:beforeAutospacing="0" w:after="0" w:afterAutospacing="0"/>
        <w:contextualSpacing/>
        <w:jc w:val="both"/>
        <w:rPr>
          <w:rFonts w:ascii="Lucida Sans Unicode" w:hAnsi="Lucida Sans Unicode" w:cs="Lucida Sans Unicode"/>
          <w:i/>
        </w:rPr>
      </w:pPr>
      <w:r w:rsidRPr="001B1080">
        <w:rPr>
          <w:rFonts w:ascii="Lucida Sans Unicode" w:hAnsi="Lucida Sans Unicode" w:cs="Lucida Sans Unicode"/>
        </w:rPr>
        <w:t>Con base en lo anterior, e</w:t>
      </w:r>
      <w:r w:rsidR="009A40B0" w:rsidRPr="001B1080">
        <w:rPr>
          <w:rFonts w:ascii="Lucida Sans Unicode" w:hAnsi="Lucida Sans Unicode" w:cs="Lucida Sans Unicode"/>
        </w:rPr>
        <w:t xml:space="preserve">n reparación directa, sobre </w:t>
      </w:r>
      <w:r w:rsidR="00AE2C7B" w:rsidRPr="001B1080">
        <w:rPr>
          <w:rFonts w:ascii="Lucida Sans Unicode" w:hAnsi="Lucida Sans Unicode" w:cs="Lucida Sans Unicode"/>
        </w:rPr>
        <w:t>temas del servicio médico</w:t>
      </w:r>
      <w:r w:rsidR="0022331C">
        <w:rPr>
          <w:rFonts w:ascii="Lucida Sans Unicode" w:hAnsi="Lucida Sans Unicode" w:cs="Lucida Sans Unicode"/>
        </w:rPr>
        <w:t>-asistencial</w:t>
      </w:r>
      <w:r w:rsidR="00716519" w:rsidRPr="001B1080">
        <w:rPr>
          <w:rFonts w:ascii="Lucida Sans Unicode" w:hAnsi="Lucida Sans Unicode" w:cs="Lucida Sans Unicode"/>
        </w:rPr>
        <w:t>, s</w:t>
      </w:r>
      <w:r w:rsidR="009A40B0" w:rsidRPr="001B1080">
        <w:rPr>
          <w:rFonts w:ascii="Lucida Sans Unicode" w:hAnsi="Lucida Sans Unicode" w:cs="Lucida Sans Unicode"/>
        </w:rPr>
        <w:t xml:space="preserve">e tiene que desde el año 2013 a la fecha se han presentado </w:t>
      </w:r>
      <w:r w:rsidR="00AE2C7B" w:rsidRPr="001B1080">
        <w:rPr>
          <w:rFonts w:ascii="Lucida Sans Unicode" w:hAnsi="Lucida Sans Unicode" w:cs="Lucida Sans Unicode"/>
        </w:rPr>
        <w:t>ante esta Jurisdicción un total de 85 demandas, distribuidas así:</w:t>
      </w:r>
    </w:p>
    <w:p w:rsidR="00AE2C7B" w:rsidRPr="001B1080" w:rsidRDefault="00AE2C7B"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AE78FD" w:rsidRPr="001B1080" w:rsidRDefault="00AE78FD" w:rsidP="00CD3C18">
      <w:pPr>
        <w:widowControl w:val="0"/>
        <w:spacing w:before="100" w:after="100"/>
        <w:contextualSpacing/>
        <w:jc w:val="center"/>
        <w:rPr>
          <w:rFonts w:ascii="Lucida Sans Unicode" w:eastAsia="Calibri" w:hAnsi="Lucida Sans Unicode" w:cs="Lucida Sans Unicode"/>
          <w:sz w:val="24"/>
          <w:szCs w:val="24"/>
          <w:lang w:val="es-CO" w:eastAsia="en-US"/>
        </w:rPr>
      </w:pPr>
      <w:r w:rsidRPr="001B1080">
        <w:rPr>
          <w:noProof/>
          <w:lang w:val="es-ES"/>
        </w:rPr>
        <w:drawing>
          <wp:inline distT="0" distB="0" distL="0" distR="0" wp14:anchorId="6373A62B" wp14:editId="66BA9C4E">
            <wp:extent cx="3595094" cy="2052955"/>
            <wp:effectExtent l="0" t="0" r="5715" b="444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E78FD" w:rsidRPr="001B1080" w:rsidRDefault="00AE78FD"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966D87" w:rsidRPr="001B1080" w:rsidRDefault="00AE78FD" w:rsidP="00A83B99">
      <w:pPr>
        <w:widowControl w:val="0"/>
        <w:spacing w:before="100" w:after="100"/>
        <w:contextualSpacing/>
        <w:jc w:val="both"/>
        <w:rPr>
          <w:rFonts w:ascii="Lucida Sans Unicode" w:eastAsia="Calibri" w:hAnsi="Lucida Sans Unicode" w:cs="Lucida Sans Unicode"/>
          <w:sz w:val="24"/>
          <w:szCs w:val="24"/>
          <w:lang w:val="es-CO" w:eastAsia="en-US"/>
        </w:rPr>
      </w:pPr>
      <w:r w:rsidRPr="001B1080">
        <w:rPr>
          <w:rFonts w:ascii="Lucida Sans Unicode" w:eastAsia="Calibri" w:hAnsi="Lucida Sans Unicode" w:cs="Lucida Sans Unicode"/>
          <w:sz w:val="24"/>
          <w:szCs w:val="24"/>
          <w:lang w:val="es-CO" w:eastAsia="en-US"/>
        </w:rPr>
        <w:t>Y los motivos por los qué más se demanda e</w:t>
      </w:r>
      <w:r w:rsidR="00AE2C7B" w:rsidRPr="001B1080">
        <w:rPr>
          <w:rFonts w:ascii="Lucida Sans Unicode" w:eastAsia="Calibri" w:hAnsi="Lucida Sans Unicode" w:cs="Lucida Sans Unicode"/>
          <w:sz w:val="24"/>
          <w:szCs w:val="24"/>
          <w:lang w:val="es-CO" w:eastAsia="en-US"/>
        </w:rPr>
        <w:t xml:space="preserve">s: error en el diagnóstico, por no remisión </w:t>
      </w:r>
      <w:r w:rsidR="00966D87" w:rsidRPr="001B1080">
        <w:rPr>
          <w:rFonts w:ascii="Lucida Sans Unicode" w:eastAsia="Calibri" w:hAnsi="Lucida Sans Unicode" w:cs="Lucida Sans Unicode"/>
          <w:sz w:val="24"/>
          <w:szCs w:val="24"/>
          <w:lang w:val="es-CO" w:eastAsia="en-US"/>
        </w:rPr>
        <w:t>y remisión tardía a nivel superior de atención, mala p</w:t>
      </w:r>
      <w:r w:rsidR="000A628A" w:rsidRPr="001B1080">
        <w:rPr>
          <w:rFonts w:ascii="Lucida Sans Unicode" w:eastAsia="Calibri" w:hAnsi="Lucida Sans Unicode" w:cs="Lucida Sans Unicode"/>
          <w:sz w:val="24"/>
          <w:szCs w:val="24"/>
          <w:lang w:val="es-CO" w:eastAsia="en-US"/>
        </w:rPr>
        <w:t>r</w:t>
      </w:r>
      <w:r w:rsidR="00966D87" w:rsidRPr="001B1080">
        <w:rPr>
          <w:rFonts w:ascii="Lucida Sans Unicode" w:eastAsia="Calibri" w:hAnsi="Lucida Sans Unicode" w:cs="Lucida Sans Unicode"/>
          <w:sz w:val="24"/>
          <w:szCs w:val="24"/>
          <w:lang w:val="es-CO" w:eastAsia="en-US"/>
        </w:rPr>
        <w:t>axis</w:t>
      </w:r>
      <w:r w:rsidR="0022331C">
        <w:rPr>
          <w:rFonts w:ascii="Lucida Sans Unicode" w:eastAsia="Calibri" w:hAnsi="Lucida Sans Unicode" w:cs="Lucida Sans Unicode"/>
          <w:sz w:val="24"/>
          <w:szCs w:val="24"/>
          <w:lang w:val="es-CO" w:eastAsia="en-US"/>
        </w:rPr>
        <w:t xml:space="preserve"> médica,</w:t>
      </w:r>
      <w:r w:rsidR="000A628A" w:rsidRPr="001B1080">
        <w:rPr>
          <w:rFonts w:ascii="Lucida Sans Unicode" w:eastAsia="Calibri" w:hAnsi="Lucida Sans Unicode" w:cs="Lucida Sans Unicode"/>
          <w:sz w:val="24"/>
          <w:szCs w:val="24"/>
          <w:lang w:val="es-CO" w:eastAsia="en-US"/>
        </w:rPr>
        <w:t xml:space="preserve"> entre otros.</w:t>
      </w:r>
      <w:r w:rsidR="00966D87" w:rsidRPr="001B1080">
        <w:rPr>
          <w:rFonts w:ascii="Lucida Sans Unicode" w:eastAsia="Calibri" w:hAnsi="Lucida Sans Unicode" w:cs="Lucida Sans Unicode"/>
          <w:sz w:val="24"/>
          <w:szCs w:val="24"/>
          <w:lang w:val="es-CO" w:eastAsia="en-US"/>
        </w:rPr>
        <w:t xml:space="preserve"> </w:t>
      </w:r>
    </w:p>
    <w:p w:rsidR="00966D87" w:rsidRPr="001B1080" w:rsidRDefault="00966D87"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3F0735" w:rsidRPr="001B1080" w:rsidRDefault="00966D87" w:rsidP="003F0735">
      <w:pPr>
        <w:widowControl w:val="0"/>
        <w:spacing w:before="100" w:after="100"/>
        <w:contextualSpacing/>
        <w:jc w:val="both"/>
        <w:rPr>
          <w:rFonts w:ascii="Lucida Sans Unicode" w:eastAsia="Calibri" w:hAnsi="Lucida Sans Unicode" w:cs="Lucida Sans Unicode"/>
          <w:sz w:val="24"/>
          <w:szCs w:val="24"/>
          <w:lang w:val="es-CO" w:eastAsia="en-US"/>
        </w:rPr>
      </w:pPr>
      <w:r w:rsidRPr="001B1080">
        <w:rPr>
          <w:rFonts w:ascii="Lucida Sans Unicode" w:eastAsia="Calibri" w:hAnsi="Lucida Sans Unicode" w:cs="Lucida Sans Unicode"/>
          <w:sz w:val="24"/>
          <w:szCs w:val="24"/>
          <w:lang w:val="es-CO" w:eastAsia="en-US"/>
        </w:rPr>
        <w:t xml:space="preserve">Además de lo anterior, también como título de imputación independiente tenemos el de </w:t>
      </w:r>
      <w:r w:rsidR="003F0735" w:rsidRPr="0022331C">
        <w:rPr>
          <w:rFonts w:ascii="Lucida Sans Unicode" w:eastAsia="Calibri" w:hAnsi="Lucida Sans Unicode" w:cs="Lucida Sans Unicode"/>
          <w:b/>
          <w:sz w:val="24"/>
          <w:szCs w:val="24"/>
          <w:lang w:val="es-CO" w:eastAsia="en-US"/>
        </w:rPr>
        <w:t>pérdida</w:t>
      </w:r>
      <w:r w:rsidRPr="0022331C">
        <w:rPr>
          <w:rFonts w:ascii="Lucida Sans Unicode" w:eastAsia="Calibri" w:hAnsi="Lucida Sans Unicode" w:cs="Lucida Sans Unicode"/>
          <w:b/>
          <w:sz w:val="24"/>
          <w:szCs w:val="24"/>
          <w:lang w:val="es-CO" w:eastAsia="en-US"/>
        </w:rPr>
        <w:t xml:space="preserve"> de oportunidad</w:t>
      </w:r>
      <w:r w:rsidR="003F0735" w:rsidRPr="001B1080">
        <w:rPr>
          <w:rFonts w:ascii="Lucida Sans Unicode" w:eastAsia="Calibri" w:hAnsi="Lucida Sans Unicode" w:cs="Lucida Sans Unicode"/>
          <w:sz w:val="24"/>
          <w:szCs w:val="24"/>
          <w:lang w:val="es-CO" w:eastAsia="en-US"/>
        </w:rPr>
        <w:t xml:space="preserve"> y el Tribunal en un caso reciente, con ponencia del </w:t>
      </w:r>
      <w:r w:rsidR="0022331C">
        <w:rPr>
          <w:rFonts w:ascii="Lucida Sans Unicode" w:eastAsia="Calibri" w:hAnsi="Lucida Sans Unicode" w:cs="Lucida Sans Unicode"/>
          <w:sz w:val="24"/>
          <w:szCs w:val="24"/>
          <w:lang w:val="es-CO" w:eastAsia="en-US"/>
        </w:rPr>
        <w:t>Magistrado</w:t>
      </w:r>
      <w:r w:rsidR="003F0735" w:rsidRPr="001B1080">
        <w:rPr>
          <w:rFonts w:ascii="Lucida Sans Unicode" w:eastAsia="Calibri" w:hAnsi="Lucida Sans Unicode" w:cs="Lucida Sans Unicode"/>
          <w:sz w:val="24"/>
          <w:szCs w:val="24"/>
          <w:lang w:val="es-CO" w:eastAsia="en-US"/>
        </w:rPr>
        <w:t xml:space="preserve"> Trujillo </w:t>
      </w:r>
      <w:r w:rsidR="003F0735" w:rsidRPr="001B1080">
        <w:rPr>
          <w:rFonts w:ascii="Lucida Sans Unicode" w:eastAsia="Arial Unicode MS" w:hAnsi="Lucida Sans Unicode" w:cs="Lucida Sans Unicode"/>
          <w:sz w:val="24"/>
          <w:szCs w:val="24"/>
          <w:lang w:val="es-CO"/>
        </w:rPr>
        <w:t>hizo alusión, así:</w:t>
      </w:r>
    </w:p>
    <w:p w:rsidR="003F0735" w:rsidRPr="001B1080" w:rsidRDefault="003F0735" w:rsidP="003F0735">
      <w:pPr>
        <w:widowControl w:val="0"/>
        <w:spacing w:before="100" w:after="100"/>
        <w:ind w:left="567"/>
        <w:contextualSpacing/>
        <w:jc w:val="both"/>
        <w:rPr>
          <w:rFonts w:ascii="Lucida Sans Unicode" w:eastAsia="Calibri" w:hAnsi="Lucida Sans Unicode" w:cs="Lucida Sans Unicode"/>
          <w:sz w:val="24"/>
          <w:szCs w:val="24"/>
          <w:lang w:val="es-CO" w:eastAsia="en-US"/>
        </w:rPr>
      </w:pPr>
    </w:p>
    <w:p w:rsidR="003F0735" w:rsidRPr="001B1080" w:rsidRDefault="003F0735" w:rsidP="003F0735">
      <w:pPr>
        <w:widowControl w:val="0"/>
        <w:spacing w:before="100" w:after="100"/>
        <w:ind w:left="567"/>
        <w:contextualSpacing/>
        <w:jc w:val="both"/>
        <w:rPr>
          <w:rFonts w:ascii="Lucida Sans Unicode" w:eastAsia="Calibri" w:hAnsi="Lucida Sans Unicode" w:cs="Lucida Sans Unicode"/>
          <w:sz w:val="24"/>
          <w:szCs w:val="24"/>
          <w:lang w:val="es-CO" w:eastAsia="en-US"/>
        </w:rPr>
      </w:pPr>
      <w:r w:rsidRPr="001B1080">
        <w:rPr>
          <w:rFonts w:ascii="Lucida Sans Unicode" w:eastAsia="Calibri" w:hAnsi="Lucida Sans Unicode" w:cs="Lucida Sans Unicode"/>
          <w:sz w:val="24"/>
          <w:szCs w:val="24"/>
          <w:lang w:val="es-CO" w:eastAsia="en-US"/>
        </w:rPr>
        <w:t>“…</w:t>
      </w:r>
      <w:r w:rsidRPr="001B1080">
        <w:rPr>
          <w:rFonts w:ascii="Arial Narrow" w:hAnsi="Arial Narrow"/>
          <w:sz w:val="24"/>
          <w:szCs w:val="24"/>
        </w:rPr>
        <w:t xml:space="preserve">tratándose de eventos en los que se configura </w:t>
      </w:r>
      <w:r w:rsidRPr="001B1080">
        <w:rPr>
          <w:rFonts w:ascii="Arial Narrow" w:hAnsi="Arial Narrow"/>
          <w:i/>
          <w:sz w:val="24"/>
          <w:szCs w:val="24"/>
        </w:rPr>
        <w:t xml:space="preserve">pérdida de oportunidad, </w:t>
      </w:r>
      <w:r w:rsidRPr="001B1080">
        <w:rPr>
          <w:rFonts w:ascii="Arial Narrow" w:hAnsi="Arial Narrow"/>
          <w:sz w:val="24"/>
          <w:szCs w:val="24"/>
        </w:rPr>
        <w:t>como daño autónomo, esta Corporación ha indicado:</w:t>
      </w:r>
    </w:p>
    <w:p w:rsidR="003F0735" w:rsidRPr="001B1080" w:rsidRDefault="003F0735" w:rsidP="003F0735">
      <w:pPr>
        <w:spacing w:line="276" w:lineRule="auto"/>
        <w:jc w:val="both"/>
        <w:rPr>
          <w:rFonts w:ascii="Arial Narrow" w:hAnsi="Arial Narrow"/>
          <w:sz w:val="24"/>
          <w:szCs w:val="24"/>
        </w:rPr>
      </w:pPr>
    </w:p>
    <w:p w:rsidR="003F0735" w:rsidRPr="001B1080" w:rsidRDefault="003F0735" w:rsidP="003F0735">
      <w:pPr>
        <w:ind w:left="1134"/>
        <w:jc w:val="both"/>
        <w:rPr>
          <w:rFonts w:ascii="Arial Narrow" w:hAnsi="Arial Narrow"/>
          <w:sz w:val="24"/>
          <w:szCs w:val="24"/>
        </w:rPr>
      </w:pPr>
      <w:r w:rsidRPr="001B1080">
        <w:rPr>
          <w:rFonts w:ascii="Arial Narrow" w:hAnsi="Arial Narrow"/>
          <w:b/>
          <w:i/>
          <w:sz w:val="24"/>
          <w:szCs w:val="24"/>
        </w:rPr>
        <w:t>“4.1 Marco teórico. Pérdida de oportunidad: daño autónomo en eventos médico asistenciales. Técnica de reparación.</w:t>
      </w:r>
    </w:p>
    <w:p w:rsidR="003F0735" w:rsidRPr="001B1080" w:rsidRDefault="003F0735" w:rsidP="003F0735">
      <w:pPr>
        <w:ind w:left="1134"/>
        <w:jc w:val="both"/>
        <w:rPr>
          <w:rFonts w:ascii="Arial Narrow" w:hAnsi="Arial Narrow"/>
          <w:sz w:val="24"/>
          <w:szCs w:val="24"/>
        </w:rPr>
      </w:pPr>
    </w:p>
    <w:p w:rsidR="003F0735" w:rsidRPr="001B1080" w:rsidRDefault="003F0735" w:rsidP="003F0735">
      <w:pPr>
        <w:ind w:left="1134"/>
        <w:jc w:val="both"/>
        <w:rPr>
          <w:rFonts w:ascii="Arial Narrow" w:eastAsia="Calibri" w:hAnsi="Arial Narrow" w:cs="Calibri"/>
          <w:sz w:val="24"/>
          <w:szCs w:val="24"/>
          <w:lang w:eastAsia="en-US"/>
        </w:rPr>
      </w:pPr>
      <w:r w:rsidRPr="001B1080">
        <w:rPr>
          <w:rFonts w:ascii="Arial Narrow" w:eastAsia="Calibri" w:hAnsi="Arial Narrow" w:cs="Calibri"/>
          <w:sz w:val="24"/>
          <w:szCs w:val="24"/>
          <w:lang w:eastAsia="en-US"/>
        </w:rPr>
        <w:t xml:space="preserve">4.1.1 En fallos recientes esta Corporación ha tendido hacia la sistematización de una teoría de la </w:t>
      </w:r>
      <w:r w:rsidRPr="001B1080">
        <w:rPr>
          <w:rFonts w:ascii="Arial Narrow" w:eastAsia="Calibri" w:hAnsi="Arial Narrow" w:cs="Calibri"/>
          <w:b/>
          <w:i/>
          <w:sz w:val="24"/>
          <w:szCs w:val="24"/>
          <w:lang w:eastAsia="en-US"/>
        </w:rPr>
        <w:t>pérdida de oportunidad,</w:t>
      </w:r>
      <w:r w:rsidRPr="001B1080">
        <w:rPr>
          <w:rFonts w:ascii="Arial Narrow" w:eastAsia="Calibri" w:hAnsi="Arial Narrow" w:cs="Calibri"/>
          <w:i/>
          <w:sz w:val="24"/>
          <w:szCs w:val="24"/>
          <w:lang w:eastAsia="en-US"/>
        </w:rPr>
        <w:t xml:space="preserve"> </w:t>
      </w:r>
      <w:r w:rsidRPr="001B1080">
        <w:rPr>
          <w:rFonts w:ascii="Arial Narrow" w:eastAsia="Calibri" w:hAnsi="Arial Narrow" w:cs="Calibri"/>
          <w:sz w:val="24"/>
          <w:szCs w:val="24"/>
          <w:lang w:eastAsia="en-US"/>
        </w:rPr>
        <w:t xml:space="preserve">tanto como título de imputación en sede causal como de </w:t>
      </w:r>
      <w:r w:rsidRPr="001B1080">
        <w:rPr>
          <w:rFonts w:ascii="Arial Narrow" w:eastAsia="Calibri" w:hAnsi="Arial Narrow" w:cs="Calibri"/>
          <w:b/>
          <w:i/>
          <w:sz w:val="24"/>
          <w:szCs w:val="24"/>
          <w:lang w:eastAsia="en-US"/>
        </w:rPr>
        <w:t>daño autónomo</w:t>
      </w:r>
      <w:r w:rsidRPr="001B1080">
        <w:rPr>
          <w:rFonts w:ascii="Arial Narrow" w:eastAsia="Calibri" w:hAnsi="Arial Narrow" w:cs="Calibri"/>
          <w:sz w:val="24"/>
          <w:szCs w:val="24"/>
          <w:lang w:eastAsia="en-US"/>
        </w:rPr>
        <w:t xml:space="preserve"> derivado de la omisión de oportuna remisión al servicio de referencia que corresponda. Al respecto se ha dicho:</w:t>
      </w:r>
    </w:p>
    <w:p w:rsidR="003F0735" w:rsidRPr="001B1080" w:rsidRDefault="003F0735" w:rsidP="003F0735">
      <w:pPr>
        <w:ind w:left="1418"/>
        <w:jc w:val="both"/>
        <w:rPr>
          <w:rFonts w:ascii="Arial Narrow" w:eastAsia="Calibri" w:hAnsi="Arial Narrow" w:cs="Calibri"/>
          <w:sz w:val="24"/>
          <w:szCs w:val="24"/>
          <w:lang w:eastAsia="en-US"/>
        </w:rPr>
      </w:pPr>
    </w:p>
    <w:p w:rsidR="003F0735" w:rsidRPr="001B1080" w:rsidRDefault="003F0735" w:rsidP="003F0735">
      <w:pPr>
        <w:ind w:left="1418"/>
        <w:jc w:val="both"/>
        <w:rPr>
          <w:rFonts w:ascii="Arial Narrow" w:hAnsi="Arial Narrow"/>
          <w:sz w:val="24"/>
          <w:szCs w:val="24"/>
        </w:rPr>
      </w:pPr>
      <w:r w:rsidRPr="001B1080">
        <w:rPr>
          <w:rFonts w:ascii="Arial Narrow" w:hAnsi="Arial Narrow" w:cs="Arial"/>
          <w:sz w:val="24"/>
          <w:szCs w:val="24"/>
        </w:rPr>
        <w:t xml:space="preserve">“4.3.3 La </w:t>
      </w:r>
      <w:r w:rsidRPr="001B1080">
        <w:rPr>
          <w:rFonts w:ascii="Arial Narrow" w:hAnsi="Arial Narrow" w:cs="Arial"/>
          <w:b/>
          <w:i/>
          <w:sz w:val="24"/>
          <w:szCs w:val="24"/>
        </w:rPr>
        <w:t>pérdida de oportunidad</w:t>
      </w:r>
      <w:r w:rsidRPr="001B1080">
        <w:rPr>
          <w:rFonts w:ascii="Arial Narrow" w:hAnsi="Arial Narrow" w:cs="Arial"/>
          <w:sz w:val="24"/>
          <w:szCs w:val="24"/>
        </w:rPr>
        <w:t xml:space="preserve"> tiene la doble connotación anunciada: </w:t>
      </w:r>
      <w:r w:rsidRPr="001B1080">
        <w:rPr>
          <w:rFonts w:ascii="Arial Narrow" w:hAnsi="Arial Narrow" w:cs="Arial"/>
          <w:b/>
          <w:sz w:val="24"/>
          <w:szCs w:val="24"/>
        </w:rPr>
        <w:t>daño autónomo</w:t>
      </w:r>
      <w:r w:rsidRPr="001B1080">
        <w:rPr>
          <w:rFonts w:ascii="Arial Narrow" w:hAnsi="Arial Narrow" w:cs="Arial"/>
          <w:sz w:val="24"/>
          <w:szCs w:val="24"/>
        </w:rPr>
        <w:t xml:space="preserve">, pero también técnica de imputación, como una variante de la </w:t>
      </w:r>
      <w:r w:rsidRPr="001B1080">
        <w:rPr>
          <w:rFonts w:ascii="Arial Narrow" w:hAnsi="Arial Narrow" w:cs="Arial"/>
          <w:i/>
          <w:sz w:val="24"/>
          <w:szCs w:val="24"/>
        </w:rPr>
        <w:t>falla del servicio</w:t>
      </w:r>
      <w:r w:rsidRPr="001B1080">
        <w:rPr>
          <w:rFonts w:ascii="Arial Narrow" w:hAnsi="Arial Narrow" w:cs="Arial"/>
          <w:sz w:val="24"/>
          <w:szCs w:val="24"/>
        </w:rPr>
        <w:t xml:space="preserve"> que se pondera en sede de nexo causal, cuando no exista certeza en torno a la relación entre la actividad médico asistencial y el </w:t>
      </w:r>
      <w:r w:rsidRPr="001B1080">
        <w:rPr>
          <w:rFonts w:ascii="Arial Narrow" w:hAnsi="Arial Narrow" w:cs="Arial"/>
          <w:i/>
          <w:sz w:val="24"/>
          <w:szCs w:val="24"/>
        </w:rPr>
        <w:t xml:space="preserve">daño a la salud </w:t>
      </w:r>
      <w:r w:rsidRPr="001B1080">
        <w:rPr>
          <w:rFonts w:ascii="Arial Narrow" w:hAnsi="Arial Narrow" w:cs="Arial"/>
          <w:sz w:val="24"/>
          <w:szCs w:val="24"/>
        </w:rPr>
        <w:t xml:space="preserve">– para el caso – o respecto de la probabilidad razonable de haberse logrado el resultado esperado desde la arista positiva – curación sin secuelas --. El </w:t>
      </w:r>
      <w:r w:rsidRPr="001B1080">
        <w:rPr>
          <w:rFonts w:ascii="Arial Narrow" w:hAnsi="Arial Narrow" w:cs="Arial"/>
          <w:b/>
          <w:sz w:val="24"/>
          <w:szCs w:val="24"/>
        </w:rPr>
        <w:t>Consejo de Estado</w:t>
      </w:r>
      <w:r w:rsidRPr="001B1080">
        <w:rPr>
          <w:rFonts w:ascii="Arial Narrow" w:hAnsi="Arial Narrow" w:cs="Arial"/>
          <w:sz w:val="24"/>
          <w:szCs w:val="24"/>
        </w:rPr>
        <w:t xml:space="preserve"> ha precisado la segunda opción así:</w:t>
      </w:r>
    </w:p>
    <w:p w:rsidR="003F0735" w:rsidRPr="001B1080" w:rsidRDefault="003F0735" w:rsidP="003F0735">
      <w:pPr>
        <w:ind w:left="1418"/>
        <w:jc w:val="both"/>
        <w:rPr>
          <w:rFonts w:ascii="Arial Narrow" w:hAnsi="Arial Narrow"/>
          <w:sz w:val="24"/>
          <w:szCs w:val="24"/>
        </w:rPr>
      </w:pPr>
    </w:p>
    <w:p w:rsidR="003F0735" w:rsidRPr="001B1080" w:rsidRDefault="003F0735" w:rsidP="003F0735">
      <w:pPr>
        <w:ind w:left="1418"/>
        <w:jc w:val="both"/>
        <w:rPr>
          <w:rFonts w:ascii="Arial Narrow" w:hAnsi="Arial Narrow"/>
          <w:sz w:val="24"/>
          <w:szCs w:val="24"/>
        </w:rPr>
      </w:pPr>
      <w:r w:rsidRPr="001B1080">
        <w:rPr>
          <w:rFonts w:ascii="Arial Narrow" w:hAnsi="Arial Narrow" w:cs="Tahoma"/>
          <w:sz w:val="24"/>
          <w:szCs w:val="24"/>
        </w:rPr>
        <w:t xml:space="preserve">Así las cosas, en tratándose de la pérdida de la oportunidad, se deben precisar algunos aspectos sobre el tema, a efectos de garantizar su correcta aplicación. Tales precisiones son las siguientes: </w:t>
      </w:r>
    </w:p>
    <w:p w:rsidR="003F0735" w:rsidRPr="001B1080" w:rsidRDefault="003F0735" w:rsidP="003F0735">
      <w:pPr>
        <w:ind w:left="1418"/>
        <w:jc w:val="both"/>
        <w:rPr>
          <w:rFonts w:ascii="Arial Narrow" w:hAnsi="Arial Narrow"/>
          <w:sz w:val="24"/>
          <w:szCs w:val="24"/>
        </w:rPr>
      </w:pPr>
    </w:p>
    <w:p w:rsidR="003F0735" w:rsidRPr="001B1080" w:rsidRDefault="003F0735" w:rsidP="003F0735">
      <w:pPr>
        <w:ind w:left="1418"/>
        <w:jc w:val="both"/>
        <w:rPr>
          <w:rFonts w:ascii="Arial Narrow" w:hAnsi="Arial Narrow" w:cs="Tahoma"/>
          <w:sz w:val="24"/>
          <w:szCs w:val="24"/>
        </w:rPr>
      </w:pPr>
      <w:r w:rsidRPr="001B1080">
        <w:rPr>
          <w:rFonts w:ascii="Arial Narrow" w:hAnsi="Arial Narrow" w:cs="Tahoma"/>
          <w:sz w:val="24"/>
          <w:szCs w:val="24"/>
        </w:rPr>
        <w:t>a) La pérdida de la oportunidad es un concepto jurídico que permite definir problemas de imputación, en aquellos eventos en que no existe prueba suficiente del nexo causal que define una determinada relación causa – efecto. En consecuencia, el análisis de esta figura debe realizarse en sede de la imputación fáctica.</w:t>
      </w:r>
    </w:p>
    <w:p w:rsidR="003F0735" w:rsidRPr="001B1080" w:rsidRDefault="003F0735" w:rsidP="003F0735">
      <w:pPr>
        <w:ind w:left="1418"/>
        <w:jc w:val="both"/>
        <w:rPr>
          <w:rFonts w:ascii="Arial Narrow" w:hAnsi="Arial Narrow" w:cs="Tahoma"/>
          <w:sz w:val="24"/>
          <w:szCs w:val="24"/>
        </w:rPr>
      </w:pPr>
    </w:p>
    <w:p w:rsidR="003F0735" w:rsidRPr="001B1080" w:rsidRDefault="003F0735" w:rsidP="003F0735">
      <w:pPr>
        <w:ind w:left="1418"/>
        <w:jc w:val="both"/>
        <w:rPr>
          <w:rFonts w:ascii="Arial Narrow" w:hAnsi="Arial Narrow" w:cs="Tahoma"/>
          <w:sz w:val="24"/>
          <w:szCs w:val="24"/>
        </w:rPr>
      </w:pPr>
      <w:r w:rsidRPr="001B1080">
        <w:rPr>
          <w:rFonts w:ascii="Arial Narrow" w:hAnsi="Arial Narrow" w:cs="Tahoma"/>
          <w:sz w:val="24"/>
          <w:szCs w:val="24"/>
        </w:rPr>
        <w:t xml:space="preserve">b) La figura tiene aplicación en aquellas situaciones en que </w:t>
      </w:r>
      <w:r w:rsidRPr="001B1080">
        <w:rPr>
          <w:rFonts w:ascii="Arial Narrow" w:hAnsi="Arial Narrow" w:cs="Tahoma"/>
          <w:b/>
          <w:sz w:val="24"/>
          <w:szCs w:val="24"/>
        </w:rPr>
        <w:t>existe duda o incertidumbre en el nexo causal</w:t>
      </w:r>
      <w:r w:rsidRPr="001B1080">
        <w:rPr>
          <w:rFonts w:ascii="Arial Narrow" w:hAnsi="Arial Narrow" w:cs="Tahoma"/>
          <w:sz w:val="24"/>
          <w:szCs w:val="24"/>
        </w:rPr>
        <w:t xml:space="preserve">, de tal forma que el grado de probabilidad oscile en un margen entre el 1% y el 99% de que un daño sea el producto de una causa específica, siempre que el porcentaje, sin importar el </w:t>
      </w:r>
      <w:r w:rsidRPr="001B1080">
        <w:rPr>
          <w:rFonts w:ascii="Arial Narrow" w:hAnsi="Arial Narrow" w:cs="Tahoma"/>
          <w:i/>
          <w:sz w:val="24"/>
          <w:szCs w:val="24"/>
        </w:rPr>
        <w:t>quantum</w:t>
      </w:r>
      <w:r w:rsidRPr="001B1080">
        <w:rPr>
          <w:rFonts w:ascii="Arial Narrow" w:hAnsi="Arial Narrow" w:cs="Tahoma"/>
          <w:sz w:val="24"/>
          <w:szCs w:val="24"/>
        </w:rPr>
        <w:t>, constituya una oportunidad sustancial de alcanzar un resultado más favorable.</w:t>
      </w:r>
    </w:p>
    <w:p w:rsidR="003F0735" w:rsidRPr="001B1080" w:rsidRDefault="003F0735" w:rsidP="003F0735">
      <w:pPr>
        <w:ind w:left="1418"/>
        <w:jc w:val="both"/>
        <w:rPr>
          <w:rFonts w:ascii="Arial Narrow" w:hAnsi="Arial Narrow" w:cs="Tahoma"/>
          <w:sz w:val="24"/>
          <w:szCs w:val="24"/>
        </w:rPr>
      </w:pPr>
    </w:p>
    <w:p w:rsidR="003F0735" w:rsidRPr="001B1080" w:rsidRDefault="003F0735" w:rsidP="003F0735">
      <w:pPr>
        <w:ind w:left="1418"/>
        <w:jc w:val="both"/>
        <w:rPr>
          <w:rFonts w:ascii="Arial Narrow" w:hAnsi="Arial Narrow" w:cs="Tahoma"/>
          <w:sz w:val="24"/>
          <w:szCs w:val="24"/>
        </w:rPr>
      </w:pPr>
      <w:r w:rsidRPr="001B1080">
        <w:rPr>
          <w:rFonts w:ascii="Arial Narrow" w:hAnsi="Arial Narrow" w:cs="Tahoma"/>
          <w:sz w:val="24"/>
          <w:szCs w:val="24"/>
        </w:rPr>
        <w:t xml:space="preserve">Si el juez no tiene inquietudes frente al nexo causal que sirve de soporte a la imputación fáctica y jurídica del resultado, no existe razón o justificación para hablar de pérdida de oportunidad, por cuanto como tal no se presentó esta circunstancia, sino que, lo que acaeció es una de dos hipótesis: i) que materialmente no se puede atribuir el resultado en un 100%, en cuyo caso habrá que absolver al demandado o, ii) que material y jurídicamente se atribuya el resultado al demandado de manera plena, en cuyo caso la imputación no estará basada en la probabilidad sino en la certeza, por ende, el daño será en un 100%  </w:t>
      </w:r>
      <w:proofErr w:type="spellStart"/>
      <w:r w:rsidRPr="001B1080">
        <w:rPr>
          <w:rFonts w:ascii="Arial Narrow" w:hAnsi="Arial Narrow" w:cs="Tahoma"/>
          <w:sz w:val="24"/>
          <w:szCs w:val="24"/>
        </w:rPr>
        <w:t>endilgable</w:t>
      </w:r>
      <w:proofErr w:type="spellEnd"/>
      <w:r w:rsidRPr="001B1080">
        <w:rPr>
          <w:rFonts w:ascii="Arial Narrow" w:hAnsi="Arial Narrow" w:cs="Tahoma"/>
          <w:sz w:val="24"/>
          <w:szCs w:val="24"/>
        </w:rPr>
        <w:t xml:space="preserve"> a la conducta de determinada conducta estatal.</w:t>
      </w:r>
    </w:p>
    <w:p w:rsidR="003F0735" w:rsidRPr="001B1080" w:rsidRDefault="003F0735" w:rsidP="003F0735">
      <w:pPr>
        <w:ind w:left="1418"/>
        <w:jc w:val="both"/>
        <w:rPr>
          <w:rFonts w:ascii="Arial Narrow" w:hAnsi="Arial Narrow" w:cs="Tahoma"/>
          <w:sz w:val="24"/>
          <w:szCs w:val="24"/>
        </w:rPr>
      </w:pPr>
    </w:p>
    <w:p w:rsidR="003F0735" w:rsidRPr="001B1080" w:rsidRDefault="003F0735" w:rsidP="003F0735">
      <w:pPr>
        <w:ind w:left="1418"/>
        <w:jc w:val="both"/>
        <w:rPr>
          <w:rFonts w:ascii="Arial Narrow" w:hAnsi="Arial Narrow" w:cs="Tahoma"/>
          <w:sz w:val="24"/>
          <w:szCs w:val="24"/>
        </w:rPr>
      </w:pPr>
      <w:r w:rsidRPr="001B1080">
        <w:rPr>
          <w:rFonts w:ascii="Arial Narrow" w:hAnsi="Arial Narrow" w:cs="Tahoma"/>
          <w:sz w:val="24"/>
          <w:szCs w:val="24"/>
        </w:rPr>
        <w:t>c) Comoquiera que el análisis de la pérdida de la oportunidad se efectúa en la instancia del estudio del nexo causal –como presupuesto de la imputación fáctica u objetiva del daño–</w:t>
      </w:r>
      <w:r w:rsidRPr="001B1080">
        <w:rPr>
          <w:rFonts w:ascii="Arial Narrow" w:hAnsi="Arial Narrow" w:cs="Tahoma"/>
          <w:sz w:val="24"/>
          <w:szCs w:val="24"/>
          <w:vertAlign w:val="superscript"/>
          <w:lang w:val="en-US" w:eastAsia="x-none"/>
        </w:rPr>
        <w:footnoteReference w:id="5"/>
      </w:r>
      <w:r w:rsidRPr="001B1080">
        <w:rPr>
          <w:rFonts w:ascii="Arial Narrow" w:hAnsi="Arial Narrow" w:cs="Tahoma"/>
          <w:sz w:val="24"/>
          <w:szCs w:val="24"/>
        </w:rPr>
        <w:t>, la función del operador judicial en estos eventos, es la de apoyarse en las pruebas científicas y técnicas aportadas al proceso para aproximarse al porcentaje de probabilidad sobre el cual se debe establecer el grado de la pérdida de la oportunidad de recuperación y, consecuencialmente, el impacto de tal valor en el monto a indemnizar, pues que como ya se analizó, el perjuicio no puede ser total ante la falta de certeza</w:t>
      </w:r>
      <w:r w:rsidRPr="001B1080">
        <w:rPr>
          <w:rFonts w:ascii="Arial Narrow" w:hAnsi="Arial Narrow" w:cs="Tahoma"/>
          <w:sz w:val="24"/>
          <w:szCs w:val="24"/>
          <w:vertAlign w:val="superscript"/>
          <w:lang w:val="en-US" w:eastAsia="x-none"/>
        </w:rPr>
        <w:footnoteReference w:id="6"/>
      </w:r>
      <w:r w:rsidRPr="001B1080">
        <w:rPr>
          <w:rFonts w:ascii="Arial Narrow" w:hAnsi="Arial Narrow" w:cs="Tahoma"/>
          <w:sz w:val="24"/>
          <w:szCs w:val="24"/>
        </w:rPr>
        <w:t>.</w:t>
      </w:r>
    </w:p>
    <w:p w:rsidR="003F0735" w:rsidRPr="001B1080" w:rsidRDefault="003F0735" w:rsidP="003F0735">
      <w:pPr>
        <w:ind w:left="1418"/>
        <w:jc w:val="both"/>
        <w:rPr>
          <w:rFonts w:ascii="Arial Narrow" w:hAnsi="Arial Narrow"/>
          <w:sz w:val="24"/>
          <w:szCs w:val="24"/>
        </w:rPr>
      </w:pPr>
      <w:r w:rsidRPr="001B1080">
        <w:rPr>
          <w:rFonts w:ascii="Arial Narrow" w:hAnsi="Arial Narrow" w:cs="Tahoma"/>
          <w:sz w:val="24"/>
          <w:szCs w:val="24"/>
        </w:rPr>
        <w:t>Así las cosas, y dada la dificultad de determinar la cuantificación del perjuicio cuando se trata de una pérdida de oportunidad, es claro que la valoración del mismo, dependerá de las circunstancias especiales que rodeen cada caso en concreto, teniendo en cuenta siempre las perspectivas que a futuro se tengan en relación con la obtención del beneficio, para lo cual se deberá emplear, en lo posible, los datos proporcionados por la  estadística y observando siempre que lo indemnizable es la desventaja de no obtener un beneficio, se itera este aspecto que es fundamental, para efectos de cuantificación del perjuicio como tal.</w:t>
      </w:r>
    </w:p>
    <w:p w:rsidR="003F0735" w:rsidRPr="001B1080" w:rsidRDefault="003F0735" w:rsidP="003F0735">
      <w:pPr>
        <w:ind w:left="1418"/>
        <w:jc w:val="both"/>
        <w:rPr>
          <w:rFonts w:ascii="Arial Narrow" w:hAnsi="Arial Narrow"/>
          <w:sz w:val="24"/>
          <w:szCs w:val="24"/>
        </w:rPr>
      </w:pPr>
    </w:p>
    <w:p w:rsidR="003F0735" w:rsidRPr="001B1080" w:rsidRDefault="003F0735" w:rsidP="003F0735">
      <w:pPr>
        <w:ind w:left="1418"/>
        <w:jc w:val="both"/>
        <w:rPr>
          <w:rFonts w:ascii="Arial Narrow" w:hAnsi="Arial Narrow"/>
          <w:sz w:val="24"/>
          <w:szCs w:val="24"/>
        </w:rPr>
      </w:pPr>
      <w:r w:rsidRPr="001B1080">
        <w:rPr>
          <w:rFonts w:ascii="Arial Narrow" w:hAnsi="Arial Narrow" w:cs="Tahoma"/>
          <w:sz w:val="24"/>
          <w:szCs w:val="24"/>
        </w:rPr>
        <w:t>De otro lado, ante la ausencia de elementos y criterios técnicos o científicos en la determinación del porcentaje que representa la oportunidad perdida frente al daño padecido, el juez deberá recurrir a la equidad, en los términos del artículo 16 de la ley 446 de 1998</w:t>
      </w:r>
      <w:r w:rsidRPr="001B1080">
        <w:rPr>
          <w:rFonts w:ascii="Arial Narrow" w:hAnsi="Arial Narrow" w:cs="Tahoma"/>
          <w:sz w:val="24"/>
          <w:szCs w:val="24"/>
          <w:vertAlign w:val="superscript"/>
          <w:lang w:val="en-US" w:eastAsia="x-none"/>
        </w:rPr>
        <w:footnoteReference w:id="7"/>
      </w:r>
      <w:r w:rsidRPr="001B1080">
        <w:rPr>
          <w:rFonts w:ascii="Arial Narrow" w:hAnsi="Arial Narrow" w:cs="Tahoma"/>
          <w:sz w:val="24"/>
          <w:szCs w:val="24"/>
        </w:rPr>
        <w:t>, para sopesar los medios de convicción que obren en el proceso y, a partir de allí, establecer el valor aproximado a que asciende el costo de aquélla, valor este que servirá para adoptar la liquidación de perjuicios correspondiente</w:t>
      </w:r>
      <w:r w:rsidRPr="001B1080">
        <w:rPr>
          <w:rStyle w:val="Refdenotaalpie"/>
          <w:rFonts w:ascii="Arial Narrow" w:hAnsi="Arial Narrow" w:cs="Tahoma"/>
          <w:sz w:val="24"/>
          <w:szCs w:val="24"/>
        </w:rPr>
        <w:footnoteReference w:id="8"/>
      </w:r>
      <w:r w:rsidRPr="001B1080">
        <w:rPr>
          <w:rFonts w:ascii="Arial Narrow" w:hAnsi="Arial Narrow" w:cs="Tahoma"/>
          <w:sz w:val="24"/>
          <w:szCs w:val="24"/>
        </w:rPr>
        <w:t xml:space="preserve">. </w:t>
      </w:r>
    </w:p>
    <w:p w:rsidR="003F0735" w:rsidRPr="001B1080" w:rsidRDefault="003F0735" w:rsidP="003F0735">
      <w:pPr>
        <w:ind w:left="567"/>
        <w:jc w:val="both"/>
        <w:rPr>
          <w:rFonts w:ascii="Arial Narrow" w:hAnsi="Arial Narrow"/>
          <w:sz w:val="24"/>
          <w:szCs w:val="24"/>
        </w:rPr>
      </w:pPr>
    </w:p>
    <w:p w:rsidR="003F0735" w:rsidRPr="00BC33B4" w:rsidRDefault="003F0735" w:rsidP="00BC33B4">
      <w:pPr>
        <w:ind w:left="567"/>
        <w:jc w:val="both"/>
        <w:rPr>
          <w:rFonts w:ascii="Arial Narrow" w:hAnsi="Arial Narrow"/>
          <w:sz w:val="24"/>
          <w:szCs w:val="24"/>
        </w:rPr>
      </w:pPr>
      <w:r w:rsidRPr="001B1080">
        <w:rPr>
          <w:rFonts w:ascii="Arial Narrow" w:hAnsi="Arial Narrow" w:cs="Arial"/>
          <w:sz w:val="24"/>
          <w:szCs w:val="24"/>
        </w:rPr>
        <w:t xml:space="preserve">4.3.4 Los lineamientos que preceden responden una discusión en torno a la </w:t>
      </w:r>
      <w:r w:rsidRPr="001B1080">
        <w:rPr>
          <w:rFonts w:ascii="Arial Narrow" w:hAnsi="Arial Narrow" w:cs="Arial"/>
          <w:i/>
          <w:sz w:val="24"/>
          <w:szCs w:val="24"/>
        </w:rPr>
        <w:t>imputación fáctica</w:t>
      </w:r>
      <w:r w:rsidRPr="001B1080">
        <w:rPr>
          <w:rFonts w:ascii="Arial Narrow" w:hAnsi="Arial Narrow" w:cs="Arial"/>
          <w:sz w:val="24"/>
          <w:szCs w:val="24"/>
        </w:rPr>
        <w:t xml:space="preserve">, únicamente por ahora; el enfoque dogmático propuesto para el tercer problema jurídico interroga si la demora en la ejecución de una orden de remisión a centro asistencial de mayor nivel de complejidad (servicio de </w:t>
      </w:r>
      <w:r w:rsidRPr="001B1080">
        <w:rPr>
          <w:rFonts w:ascii="Arial Narrow" w:hAnsi="Arial Narrow" w:cs="Arial"/>
          <w:i/>
          <w:sz w:val="24"/>
          <w:szCs w:val="24"/>
        </w:rPr>
        <w:t>referencia</w:t>
      </w:r>
      <w:r w:rsidRPr="001B1080">
        <w:rPr>
          <w:rFonts w:ascii="Arial Narrow" w:hAnsi="Arial Narrow" w:cs="Arial"/>
          <w:sz w:val="24"/>
          <w:szCs w:val="24"/>
        </w:rPr>
        <w:t xml:space="preserve">) puede comprometer la responsabilidad de la administración sanitaria. Y la respuesta es </w:t>
      </w:r>
      <w:r w:rsidRPr="001B1080">
        <w:rPr>
          <w:rFonts w:ascii="Arial Narrow" w:hAnsi="Arial Narrow" w:cs="Arial"/>
          <w:b/>
          <w:i/>
          <w:sz w:val="24"/>
          <w:szCs w:val="24"/>
        </w:rPr>
        <w:t>SÍ</w:t>
      </w:r>
      <w:r w:rsidRPr="001B1080">
        <w:rPr>
          <w:rFonts w:ascii="Arial Narrow" w:hAnsi="Arial Narrow" w:cs="Arial"/>
          <w:sz w:val="24"/>
          <w:szCs w:val="24"/>
        </w:rPr>
        <w:t>, cuando se establezca que haber actuado con presteza habría podido mejorar el pronóstico clínico”</w:t>
      </w:r>
      <w:r w:rsidRPr="001B1080">
        <w:rPr>
          <w:rStyle w:val="Refdenotaalpie"/>
          <w:rFonts w:ascii="Arial Narrow" w:hAnsi="Arial Narrow" w:cs="Arial"/>
          <w:sz w:val="24"/>
          <w:szCs w:val="24"/>
        </w:rPr>
        <w:footnoteReference w:id="9"/>
      </w:r>
      <w:r w:rsidRPr="001B1080">
        <w:rPr>
          <w:rFonts w:ascii="Arial Narrow" w:hAnsi="Arial Narrow" w:cs="Arial"/>
          <w:sz w:val="24"/>
          <w:szCs w:val="24"/>
        </w:rPr>
        <w:t xml:space="preserve">. </w:t>
      </w:r>
    </w:p>
    <w:p w:rsidR="00CD3C18" w:rsidRDefault="00CD3C18" w:rsidP="003F0735">
      <w:pPr>
        <w:widowControl w:val="0"/>
        <w:jc w:val="both"/>
        <w:rPr>
          <w:rFonts w:ascii="Arial Narrow" w:hAnsi="Arial Narrow" w:cs="Arial"/>
          <w:sz w:val="24"/>
          <w:szCs w:val="24"/>
        </w:rPr>
      </w:pPr>
    </w:p>
    <w:p w:rsidR="003F0735" w:rsidRDefault="003F0735" w:rsidP="003F0735">
      <w:pPr>
        <w:widowControl w:val="0"/>
        <w:jc w:val="both"/>
        <w:rPr>
          <w:rFonts w:ascii="Arial Narrow" w:hAnsi="Arial Narrow" w:cs="Arial"/>
          <w:sz w:val="24"/>
          <w:szCs w:val="24"/>
        </w:rPr>
      </w:pPr>
      <w:r w:rsidRPr="001B1080">
        <w:rPr>
          <w:rFonts w:ascii="Arial Narrow" w:hAnsi="Arial Narrow" w:cs="Arial"/>
          <w:sz w:val="24"/>
          <w:szCs w:val="24"/>
        </w:rPr>
        <w:t xml:space="preserve">4.1.3 La línea que antecede identifica la </w:t>
      </w:r>
      <w:r w:rsidRPr="001B1080">
        <w:rPr>
          <w:rFonts w:ascii="Arial Narrow" w:hAnsi="Arial Narrow" w:cs="Arial"/>
          <w:i/>
          <w:sz w:val="24"/>
          <w:szCs w:val="24"/>
        </w:rPr>
        <w:t>pérdida de oportunidad</w:t>
      </w:r>
      <w:r w:rsidRPr="001B1080">
        <w:rPr>
          <w:rFonts w:ascii="Arial Narrow" w:hAnsi="Arial Narrow" w:cs="Arial"/>
          <w:sz w:val="24"/>
          <w:szCs w:val="24"/>
        </w:rPr>
        <w:t xml:space="preserve"> como daño autónomo, diferenciado de las consecuencias adversas de una falla típica del servicio médico asistencial, en eventos en los que habría podido </w:t>
      </w:r>
      <w:r w:rsidRPr="001B1080">
        <w:rPr>
          <w:rFonts w:ascii="Arial Narrow" w:hAnsi="Arial Narrow" w:cs="Arial"/>
          <w:i/>
          <w:sz w:val="24"/>
          <w:szCs w:val="24"/>
        </w:rPr>
        <w:t>hacerse más</w:t>
      </w:r>
      <w:r w:rsidRPr="001B1080">
        <w:rPr>
          <w:rFonts w:ascii="Arial Narrow" w:hAnsi="Arial Narrow" w:cs="Arial"/>
          <w:sz w:val="24"/>
          <w:szCs w:val="24"/>
        </w:rPr>
        <w:t xml:space="preserve"> o </w:t>
      </w:r>
      <w:r w:rsidRPr="001B1080">
        <w:rPr>
          <w:rFonts w:ascii="Arial Narrow" w:hAnsi="Arial Narrow" w:cs="Arial"/>
          <w:i/>
          <w:sz w:val="24"/>
          <w:szCs w:val="24"/>
        </w:rPr>
        <w:t xml:space="preserve">actuarse conforme a </w:t>
      </w:r>
      <w:proofErr w:type="spellStart"/>
      <w:r w:rsidRPr="001B1080">
        <w:rPr>
          <w:rFonts w:ascii="Arial Narrow" w:hAnsi="Arial Narrow" w:cs="Arial"/>
          <w:i/>
          <w:sz w:val="24"/>
          <w:szCs w:val="24"/>
        </w:rPr>
        <w:t>Lex</w:t>
      </w:r>
      <w:proofErr w:type="spellEnd"/>
      <w:r w:rsidRPr="001B1080">
        <w:rPr>
          <w:rFonts w:ascii="Arial Narrow" w:hAnsi="Arial Narrow" w:cs="Arial"/>
          <w:i/>
          <w:sz w:val="24"/>
          <w:szCs w:val="24"/>
        </w:rPr>
        <w:t xml:space="preserve"> </w:t>
      </w:r>
      <w:proofErr w:type="spellStart"/>
      <w:r w:rsidRPr="001B1080">
        <w:rPr>
          <w:rFonts w:ascii="Arial Narrow" w:hAnsi="Arial Narrow" w:cs="Arial"/>
          <w:i/>
          <w:sz w:val="24"/>
          <w:szCs w:val="24"/>
        </w:rPr>
        <w:t>Artis</w:t>
      </w:r>
      <w:proofErr w:type="spellEnd"/>
      <w:r w:rsidRPr="001B1080">
        <w:rPr>
          <w:rFonts w:ascii="Arial Narrow" w:hAnsi="Arial Narrow" w:cs="Arial"/>
          <w:i/>
          <w:sz w:val="24"/>
          <w:szCs w:val="24"/>
        </w:rPr>
        <w:t xml:space="preserve"> </w:t>
      </w:r>
      <w:r w:rsidRPr="001B1080">
        <w:rPr>
          <w:rFonts w:ascii="Arial Narrow" w:hAnsi="Arial Narrow" w:cs="Arial"/>
          <w:sz w:val="24"/>
          <w:szCs w:val="24"/>
        </w:rPr>
        <w:t xml:space="preserve">o a guías o protocolos de atención, con </w:t>
      </w:r>
      <w:r w:rsidRPr="001B1080">
        <w:rPr>
          <w:rFonts w:ascii="Arial Narrow" w:hAnsi="Arial Narrow" w:cs="Arial"/>
          <w:i/>
          <w:sz w:val="24"/>
          <w:szCs w:val="24"/>
        </w:rPr>
        <w:t>probabilidad razonable</w:t>
      </w:r>
      <w:r w:rsidRPr="001B1080">
        <w:rPr>
          <w:rFonts w:ascii="Arial Narrow" w:hAnsi="Arial Narrow" w:cs="Arial"/>
          <w:sz w:val="24"/>
          <w:szCs w:val="24"/>
        </w:rPr>
        <w:t xml:space="preserve"> de mejorar el estado de salud del paciente, atemperar secuelas o sufrimientos y brindar así una </w:t>
      </w:r>
      <w:r w:rsidRPr="001B1080">
        <w:rPr>
          <w:rFonts w:ascii="Arial Narrow" w:hAnsi="Arial Narrow" w:cs="Arial"/>
          <w:i/>
          <w:sz w:val="24"/>
          <w:szCs w:val="24"/>
        </w:rPr>
        <w:t>oportunidad de sanación</w:t>
      </w:r>
      <w:r w:rsidRPr="001B1080">
        <w:rPr>
          <w:rFonts w:ascii="Arial Narrow" w:hAnsi="Arial Narrow" w:cs="Arial"/>
          <w:sz w:val="24"/>
          <w:szCs w:val="24"/>
        </w:rPr>
        <w:t xml:space="preserve"> que no haya tenido el afectado, por motivos imputables al servicio</w:t>
      </w:r>
      <w:r w:rsidR="0022331C">
        <w:rPr>
          <w:rFonts w:ascii="Arial Narrow" w:hAnsi="Arial Narrow" w:cs="Arial"/>
          <w:sz w:val="24"/>
          <w:szCs w:val="24"/>
        </w:rPr>
        <w:t>”</w:t>
      </w:r>
      <w:r w:rsidRPr="001B1080">
        <w:rPr>
          <w:rFonts w:ascii="Arial Narrow" w:hAnsi="Arial Narrow" w:cs="Arial"/>
          <w:sz w:val="24"/>
          <w:szCs w:val="24"/>
        </w:rPr>
        <w:t>.</w:t>
      </w:r>
    </w:p>
    <w:p w:rsidR="00EF4E10" w:rsidRDefault="00EF4E10" w:rsidP="003F0735">
      <w:pPr>
        <w:widowControl w:val="0"/>
        <w:jc w:val="both"/>
        <w:rPr>
          <w:rFonts w:ascii="Arial Narrow" w:hAnsi="Arial Narrow" w:cs="Arial"/>
          <w:sz w:val="24"/>
          <w:szCs w:val="24"/>
        </w:rPr>
      </w:pPr>
    </w:p>
    <w:p w:rsidR="0022331C" w:rsidRDefault="0022331C" w:rsidP="0022331C">
      <w:pPr>
        <w:widowControl w:val="0"/>
        <w:spacing w:before="100" w:after="100"/>
        <w:contextualSpacing/>
        <w:jc w:val="both"/>
        <w:rPr>
          <w:rFonts w:ascii="Lucida Sans Unicode" w:eastAsia="Calibri" w:hAnsi="Lucida Sans Unicode" w:cs="Lucida Sans Unicode"/>
          <w:sz w:val="24"/>
          <w:szCs w:val="24"/>
          <w:lang w:val="es-CO" w:eastAsia="en-US"/>
        </w:rPr>
      </w:pPr>
      <w:r>
        <w:rPr>
          <w:rFonts w:ascii="Lucida Sans Unicode" w:eastAsia="Calibri" w:hAnsi="Lucida Sans Unicode" w:cs="Lucida Sans Unicode"/>
          <w:sz w:val="24"/>
          <w:szCs w:val="24"/>
          <w:lang w:val="es-CO" w:eastAsia="en-US"/>
        </w:rPr>
        <w:t>Desafortunadamente y no obstante que son recurrentes las situaciones por las cuales se demanda en ejercicio del medio de control de reparación directa por presuntas fallas médicas, las entidades y los servidores que de ellas forman parte, hacen caso omiso a esas falencias y continúan incurriendo en las mismas generando los procesos en contra y condenas cuantiosísimas que afectan el patrimonio público.</w:t>
      </w:r>
    </w:p>
    <w:p w:rsidR="0022331C" w:rsidRDefault="0022331C" w:rsidP="0022331C">
      <w:pPr>
        <w:widowControl w:val="0"/>
        <w:spacing w:before="100" w:after="100"/>
        <w:contextualSpacing/>
        <w:jc w:val="both"/>
        <w:rPr>
          <w:rFonts w:ascii="Lucida Sans Unicode" w:eastAsia="Calibri" w:hAnsi="Lucida Sans Unicode" w:cs="Lucida Sans Unicode"/>
          <w:sz w:val="24"/>
          <w:szCs w:val="24"/>
          <w:lang w:val="es-CO" w:eastAsia="en-US"/>
        </w:rPr>
      </w:pPr>
    </w:p>
    <w:p w:rsidR="00BC33B4" w:rsidRDefault="0022331C" w:rsidP="0022331C">
      <w:pPr>
        <w:widowControl w:val="0"/>
        <w:spacing w:before="100" w:after="100"/>
        <w:contextualSpacing/>
        <w:jc w:val="both"/>
        <w:rPr>
          <w:rFonts w:ascii="Lucida Sans Unicode" w:eastAsia="Calibri" w:hAnsi="Lucida Sans Unicode" w:cs="Lucida Sans Unicode"/>
          <w:sz w:val="24"/>
          <w:szCs w:val="24"/>
          <w:lang w:val="es-CO" w:eastAsia="en-US"/>
        </w:rPr>
      </w:pPr>
      <w:r>
        <w:rPr>
          <w:rFonts w:ascii="Lucida Sans Unicode" w:eastAsia="Calibri" w:hAnsi="Lucida Sans Unicode" w:cs="Lucida Sans Unicode"/>
          <w:sz w:val="24"/>
          <w:szCs w:val="24"/>
          <w:lang w:val="es-CO" w:eastAsia="en-US"/>
        </w:rPr>
        <w:t>Esas decisiones</w:t>
      </w:r>
      <w:r w:rsidR="00BC33B4">
        <w:rPr>
          <w:rFonts w:ascii="Lucida Sans Unicode" w:eastAsia="Calibri" w:hAnsi="Lucida Sans Unicode" w:cs="Lucida Sans Unicode"/>
          <w:sz w:val="24"/>
          <w:szCs w:val="24"/>
          <w:lang w:val="es-CO" w:eastAsia="en-US"/>
        </w:rPr>
        <w:t xml:space="preserve"> condenatorias</w:t>
      </w:r>
      <w:r>
        <w:rPr>
          <w:rFonts w:ascii="Lucida Sans Unicode" w:eastAsia="Calibri" w:hAnsi="Lucida Sans Unicode" w:cs="Lucida Sans Unicode"/>
          <w:sz w:val="24"/>
          <w:szCs w:val="24"/>
          <w:lang w:val="es-CO" w:eastAsia="en-US"/>
        </w:rPr>
        <w:t xml:space="preserve"> de</w:t>
      </w:r>
      <w:r w:rsidR="00BC33B4">
        <w:rPr>
          <w:rFonts w:ascii="Lucida Sans Unicode" w:eastAsia="Calibri" w:hAnsi="Lucida Sans Unicode" w:cs="Lucida Sans Unicode"/>
          <w:sz w:val="24"/>
          <w:szCs w:val="24"/>
          <w:lang w:val="es-CO" w:eastAsia="en-US"/>
        </w:rPr>
        <w:t xml:space="preserve"> la jurisdicción contencioso administrativa</w:t>
      </w:r>
      <w:r>
        <w:rPr>
          <w:rFonts w:ascii="Lucida Sans Unicode" w:eastAsia="Calibri" w:hAnsi="Lucida Sans Unicode" w:cs="Lucida Sans Unicode"/>
          <w:sz w:val="24"/>
          <w:szCs w:val="24"/>
          <w:lang w:val="es-CO" w:eastAsia="en-US"/>
        </w:rPr>
        <w:t xml:space="preserve"> y el pago de las mismas, conllevan una obligación correlativa para los administradores públicos y no es otra que dar aplicación a la acción de REPETICIÓN reglamentada en la ley 678 de 2001</w:t>
      </w:r>
      <w:r w:rsidR="00BC33B4">
        <w:rPr>
          <w:rFonts w:ascii="Lucida Sans Unicode" w:eastAsia="Calibri" w:hAnsi="Lucida Sans Unicode" w:cs="Lucida Sans Unicode"/>
          <w:sz w:val="24"/>
          <w:szCs w:val="24"/>
          <w:lang w:val="es-CO" w:eastAsia="en-US"/>
        </w:rPr>
        <w:t xml:space="preserve"> y que procede contra servidores, ex servidores y aún contratistas de las entidades públicas que con su conducta dolosa o gravemente culposa hayan dado lugar a su imposición.</w:t>
      </w:r>
    </w:p>
    <w:p w:rsidR="00BC33B4" w:rsidRDefault="00BC33B4" w:rsidP="0022331C">
      <w:pPr>
        <w:widowControl w:val="0"/>
        <w:spacing w:before="100" w:after="100"/>
        <w:contextualSpacing/>
        <w:jc w:val="both"/>
        <w:rPr>
          <w:rFonts w:ascii="Lucida Sans Unicode" w:eastAsia="Calibri" w:hAnsi="Lucida Sans Unicode" w:cs="Lucida Sans Unicode"/>
          <w:sz w:val="24"/>
          <w:szCs w:val="24"/>
          <w:lang w:val="es-CO" w:eastAsia="en-US"/>
        </w:rPr>
      </w:pPr>
    </w:p>
    <w:p w:rsidR="00BC33B4" w:rsidRDefault="00BC33B4" w:rsidP="0022331C">
      <w:pPr>
        <w:widowControl w:val="0"/>
        <w:spacing w:before="100" w:after="100"/>
        <w:contextualSpacing/>
        <w:jc w:val="both"/>
        <w:rPr>
          <w:rFonts w:ascii="Lucida Sans Unicode" w:eastAsia="Calibri" w:hAnsi="Lucida Sans Unicode" w:cs="Lucida Sans Unicode"/>
          <w:sz w:val="24"/>
          <w:szCs w:val="24"/>
          <w:lang w:val="es-CO" w:eastAsia="en-US"/>
        </w:rPr>
      </w:pPr>
      <w:r>
        <w:rPr>
          <w:rFonts w:ascii="Lucida Sans Unicode" w:eastAsia="Calibri" w:hAnsi="Lucida Sans Unicode" w:cs="Lucida Sans Unicode"/>
          <w:sz w:val="24"/>
          <w:szCs w:val="24"/>
          <w:lang w:val="es-CO" w:eastAsia="en-US"/>
        </w:rPr>
        <w:t>Sin embargo, es lamentable constatar que en este aspecto también existe un incumplimiento soterrado de los administradores, ya que no hacen uso de tal medio de control y cuando por casualidad lo ponen en práctica a través de profesionales del derecho, por lo general las demandas están mal presentadas, mal enfocadas, no cumplen con los requerimientos constitucionales, legales, jurisprudenciales y doctrinales que posibiliten sentencias estimatorias y resarcimiento al erario de las cuantías que han tenido que desembolsar para el pago de las condenas impuestas.</w:t>
      </w:r>
    </w:p>
    <w:p w:rsidR="00BC33B4" w:rsidRDefault="00BC33B4" w:rsidP="0022331C">
      <w:pPr>
        <w:widowControl w:val="0"/>
        <w:spacing w:before="100" w:after="100"/>
        <w:contextualSpacing/>
        <w:jc w:val="both"/>
        <w:rPr>
          <w:rFonts w:ascii="Lucida Sans Unicode" w:eastAsia="Calibri" w:hAnsi="Lucida Sans Unicode" w:cs="Lucida Sans Unicode"/>
          <w:sz w:val="24"/>
          <w:szCs w:val="24"/>
          <w:lang w:val="es-CO" w:eastAsia="en-US"/>
        </w:rPr>
      </w:pPr>
    </w:p>
    <w:p w:rsidR="00AE78FD" w:rsidRDefault="009E7A43" w:rsidP="00A83B99">
      <w:pPr>
        <w:widowControl w:val="0"/>
        <w:spacing w:before="100" w:after="100"/>
        <w:contextualSpacing/>
        <w:jc w:val="both"/>
        <w:rPr>
          <w:rFonts w:ascii="Lucida Sans Unicode" w:eastAsia="Calibri" w:hAnsi="Lucida Sans Unicode" w:cs="Lucida Sans Unicode"/>
          <w:sz w:val="24"/>
          <w:szCs w:val="24"/>
          <w:lang w:val="es-CO" w:eastAsia="en-US"/>
        </w:rPr>
      </w:pPr>
      <w:r>
        <w:rPr>
          <w:rFonts w:ascii="Lucida Sans Unicode" w:eastAsia="Calibri" w:hAnsi="Lucida Sans Unicode" w:cs="Lucida Sans Unicode"/>
          <w:sz w:val="24"/>
          <w:szCs w:val="24"/>
          <w:lang w:val="es-CO" w:eastAsia="en-US"/>
        </w:rPr>
        <w:t xml:space="preserve">A manera de conclusión, dado el </w:t>
      </w:r>
      <w:r w:rsidR="00BC33B4">
        <w:rPr>
          <w:rFonts w:ascii="Lucida Sans Unicode" w:eastAsia="Calibri" w:hAnsi="Lucida Sans Unicode" w:cs="Lucida Sans Unicode"/>
          <w:sz w:val="24"/>
          <w:szCs w:val="24"/>
          <w:lang w:val="es-CO" w:eastAsia="en-US"/>
        </w:rPr>
        <w:t>deplorable panorama que someramente se ha presentado en esta corta intervención, nos permite pedirle a los ordenadores de gasto y demás servidores públicos de todas las entidades que han atendido el llamado a este seminario, que cumplan a cabalidad con las funciones y atribuciones que el ordenamiento jurídico les impone para evitar precisamente las demandas en su contra y que por favor adopten una verdadera política pública de  “cultura de la legalidad” en Casanare.</w:t>
      </w:r>
    </w:p>
    <w:p w:rsidR="00CD3C18" w:rsidRDefault="00CD3C18"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CD3C18" w:rsidRDefault="00CD3C18"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CD3C18" w:rsidRDefault="00CD3C18" w:rsidP="00A83B99">
      <w:pPr>
        <w:widowControl w:val="0"/>
        <w:spacing w:before="100" w:after="100"/>
        <w:contextualSpacing/>
        <w:jc w:val="both"/>
        <w:rPr>
          <w:rFonts w:ascii="Lucida Sans Unicode" w:eastAsia="Calibri" w:hAnsi="Lucida Sans Unicode" w:cs="Lucida Sans Unicode"/>
          <w:sz w:val="24"/>
          <w:szCs w:val="24"/>
          <w:lang w:val="es-CO" w:eastAsia="en-US"/>
        </w:rPr>
      </w:pPr>
      <w:r>
        <w:rPr>
          <w:rFonts w:ascii="Lucida Sans Unicode" w:eastAsia="Calibri" w:hAnsi="Lucida Sans Unicode" w:cs="Lucida Sans Unicode"/>
          <w:sz w:val="24"/>
          <w:szCs w:val="24"/>
          <w:lang w:val="es-CO" w:eastAsia="en-US"/>
        </w:rPr>
        <w:t>Muchas gracias.</w:t>
      </w:r>
    </w:p>
    <w:p w:rsidR="008A1192" w:rsidRDefault="008A1192"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8A1192" w:rsidRDefault="008A1192"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8A1192" w:rsidRDefault="008A1192"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8A1192" w:rsidRDefault="008A1192"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8A1192" w:rsidRDefault="008A1192"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8A1192" w:rsidRDefault="008A1192"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8A1192" w:rsidRDefault="008A1192"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8A1192" w:rsidRDefault="008A1192"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8A1192" w:rsidRDefault="008A1192"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8A1192" w:rsidRDefault="008A1192"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8A1192" w:rsidRDefault="008A1192"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E334BE" w:rsidRDefault="00E334BE" w:rsidP="00A83B99">
      <w:pPr>
        <w:widowControl w:val="0"/>
        <w:spacing w:before="100" w:after="100"/>
        <w:contextualSpacing/>
        <w:jc w:val="both"/>
        <w:rPr>
          <w:rFonts w:ascii="Lucida Sans Unicode" w:eastAsia="Calibri" w:hAnsi="Lucida Sans Unicode" w:cs="Lucida Sans Unicode"/>
          <w:sz w:val="24"/>
          <w:szCs w:val="24"/>
          <w:lang w:val="es-CO" w:eastAsia="en-US"/>
        </w:rPr>
      </w:pPr>
      <w:r>
        <w:rPr>
          <w:rFonts w:ascii="Lucida Sans Unicode" w:eastAsia="Calibri" w:hAnsi="Lucida Sans Unicode" w:cs="Lucida Sans Unicode"/>
          <w:sz w:val="24"/>
          <w:szCs w:val="24"/>
          <w:lang w:val="es-CO" w:eastAsia="en-US"/>
        </w:rPr>
        <w:t xml:space="preserve">Yopal, 19 de septiembre de 2016 </w:t>
      </w:r>
    </w:p>
    <w:p w:rsidR="00E334BE" w:rsidRDefault="00E334BE"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E334BE" w:rsidRDefault="00E334BE"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E334BE" w:rsidRDefault="00E334BE"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E334BE" w:rsidRDefault="00E334BE"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E334BE" w:rsidRDefault="00E334BE"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8A1192" w:rsidRDefault="008A1192" w:rsidP="00A83B99">
      <w:pPr>
        <w:widowControl w:val="0"/>
        <w:spacing w:before="100" w:after="100"/>
        <w:contextualSpacing/>
        <w:jc w:val="both"/>
        <w:rPr>
          <w:rFonts w:ascii="Lucida Sans Unicode" w:eastAsia="Calibri" w:hAnsi="Lucida Sans Unicode" w:cs="Lucida Sans Unicode"/>
          <w:sz w:val="24"/>
          <w:szCs w:val="24"/>
          <w:lang w:val="es-CO" w:eastAsia="en-US"/>
        </w:rPr>
      </w:pPr>
      <w:r>
        <w:rPr>
          <w:rFonts w:ascii="Lucida Sans Unicode" w:eastAsia="Calibri" w:hAnsi="Lucida Sans Unicode" w:cs="Lucida Sans Unicode"/>
          <w:sz w:val="24"/>
          <w:szCs w:val="24"/>
          <w:lang w:val="es-CO" w:eastAsia="en-US"/>
        </w:rPr>
        <w:t>Doctor</w:t>
      </w:r>
    </w:p>
    <w:p w:rsidR="008A1192" w:rsidRPr="00E334BE" w:rsidRDefault="00E334BE" w:rsidP="00A83B99">
      <w:pPr>
        <w:widowControl w:val="0"/>
        <w:spacing w:before="100" w:after="100"/>
        <w:contextualSpacing/>
        <w:jc w:val="both"/>
        <w:rPr>
          <w:rFonts w:ascii="Lucida Sans Unicode" w:eastAsia="Calibri" w:hAnsi="Lucida Sans Unicode" w:cs="Lucida Sans Unicode"/>
          <w:b/>
          <w:sz w:val="24"/>
          <w:szCs w:val="24"/>
          <w:lang w:val="es-CO" w:eastAsia="en-US"/>
        </w:rPr>
      </w:pPr>
      <w:r w:rsidRPr="00E334BE">
        <w:rPr>
          <w:rFonts w:ascii="Lucida Sans Unicode" w:eastAsia="Calibri" w:hAnsi="Lucida Sans Unicode" w:cs="Lucida Sans Unicode"/>
          <w:b/>
          <w:sz w:val="24"/>
          <w:szCs w:val="24"/>
          <w:lang w:val="es-CO" w:eastAsia="en-US"/>
        </w:rPr>
        <w:t>NÉSTOR TRUJILLO GONZÁLEZ</w:t>
      </w:r>
    </w:p>
    <w:p w:rsidR="008A1192" w:rsidRDefault="008A1192" w:rsidP="00A83B99">
      <w:pPr>
        <w:widowControl w:val="0"/>
        <w:spacing w:before="100" w:after="100"/>
        <w:contextualSpacing/>
        <w:jc w:val="both"/>
        <w:rPr>
          <w:rFonts w:ascii="Lucida Sans Unicode" w:eastAsia="Calibri" w:hAnsi="Lucida Sans Unicode" w:cs="Lucida Sans Unicode"/>
          <w:sz w:val="24"/>
          <w:szCs w:val="24"/>
          <w:lang w:val="es-CO" w:eastAsia="en-US"/>
        </w:rPr>
      </w:pPr>
      <w:r>
        <w:rPr>
          <w:rFonts w:ascii="Lucida Sans Unicode" w:eastAsia="Calibri" w:hAnsi="Lucida Sans Unicode" w:cs="Lucida Sans Unicode"/>
          <w:sz w:val="24"/>
          <w:szCs w:val="24"/>
          <w:lang w:val="es-CO" w:eastAsia="en-US"/>
        </w:rPr>
        <w:t>Presidente Tribunal Administrativo de Casanare.</w:t>
      </w:r>
    </w:p>
    <w:p w:rsidR="008A1192" w:rsidRDefault="008A1192"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8A1192" w:rsidRDefault="008A1192"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8A1192" w:rsidRDefault="008A1192"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E334BE" w:rsidRDefault="00E334BE"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8A1192" w:rsidRDefault="008A1192" w:rsidP="00A83B99">
      <w:pPr>
        <w:widowControl w:val="0"/>
        <w:spacing w:before="100" w:after="100"/>
        <w:contextualSpacing/>
        <w:jc w:val="both"/>
        <w:rPr>
          <w:rFonts w:ascii="Lucida Sans Unicode" w:eastAsia="Calibri" w:hAnsi="Lucida Sans Unicode" w:cs="Lucida Sans Unicode"/>
          <w:sz w:val="24"/>
          <w:szCs w:val="24"/>
          <w:lang w:val="es-CO" w:eastAsia="en-US"/>
        </w:rPr>
      </w:pPr>
      <w:r>
        <w:rPr>
          <w:rFonts w:ascii="Lucida Sans Unicode" w:eastAsia="Calibri" w:hAnsi="Lucida Sans Unicode" w:cs="Lucida Sans Unicode"/>
          <w:sz w:val="24"/>
          <w:szCs w:val="24"/>
          <w:lang w:val="es-CO" w:eastAsia="en-US"/>
        </w:rPr>
        <w:t>Cordial saludo.</w:t>
      </w:r>
    </w:p>
    <w:p w:rsidR="008A1192" w:rsidRDefault="008A1192"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8A1192" w:rsidRDefault="008A1192"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8A1192" w:rsidRDefault="008A1192"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E334BE" w:rsidRDefault="008A1192" w:rsidP="00A83B99">
      <w:pPr>
        <w:widowControl w:val="0"/>
        <w:spacing w:before="100" w:after="100"/>
        <w:contextualSpacing/>
        <w:jc w:val="both"/>
        <w:rPr>
          <w:rFonts w:ascii="Lucida Sans Unicode" w:eastAsia="Calibri" w:hAnsi="Lucida Sans Unicode" w:cs="Lucida Sans Unicode"/>
          <w:i/>
          <w:sz w:val="24"/>
          <w:szCs w:val="24"/>
          <w:lang w:val="es-CO" w:eastAsia="en-US"/>
        </w:rPr>
      </w:pPr>
      <w:r>
        <w:rPr>
          <w:rFonts w:ascii="Lucida Sans Unicode" w:eastAsia="Calibri" w:hAnsi="Lucida Sans Unicode" w:cs="Lucida Sans Unicode"/>
          <w:sz w:val="24"/>
          <w:szCs w:val="24"/>
          <w:lang w:val="es-CO" w:eastAsia="en-US"/>
        </w:rPr>
        <w:t xml:space="preserve">La anterior para hacer entrega de la ponencia presentada </w:t>
      </w:r>
      <w:r w:rsidR="00E334BE">
        <w:rPr>
          <w:rFonts w:ascii="Lucida Sans Unicode" w:eastAsia="Calibri" w:hAnsi="Lucida Sans Unicode" w:cs="Lucida Sans Unicode"/>
          <w:sz w:val="24"/>
          <w:szCs w:val="24"/>
          <w:lang w:val="es-CO" w:eastAsia="en-US"/>
        </w:rPr>
        <w:t>por el suscrito en el marco d</w:t>
      </w:r>
      <w:r>
        <w:rPr>
          <w:rFonts w:ascii="Lucida Sans Unicode" w:eastAsia="Calibri" w:hAnsi="Lucida Sans Unicode" w:cs="Lucida Sans Unicode"/>
          <w:sz w:val="24"/>
          <w:szCs w:val="24"/>
          <w:lang w:val="es-CO" w:eastAsia="en-US"/>
        </w:rPr>
        <w:t xml:space="preserve">el </w:t>
      </w:r>
      <w:r w:rsidR="00E334BE" w:rsidRPr="00E334BE">
        <w:rPr>
          <w:rFonts w:ascii="Lucida Sans Unicode" w:eastAsia="Calibri" w:hAnsi="Lucida Sans Unicode" w:cs="Lucida Sans Unicode"/>
          <w:i/>
          <w:sz w:val="24"/>
          <w:szCs w:val="24"/>
          <w:lang w:val="es-CO" w:eastAsia="en-US"/>
        </w:rPr>
        <w:t>“</w:t>
      </w:r>
      <w:r w:rsidRPr="00E334BE">
        <w:rPr>
          <w:rFonts w:ascii="Lucida Sans Unicode" w:eastAsia="Calibri" w:hAnsi="Lucida Sans Unicode" w:cs="Lucida Sans Unicode"/>
          <w:i/>
          <w:sz w:val="24"/>
          <w:szCs w:val="24"/>
          <w:lang w:val="es-CO" w:eastAsia="en-US"/>
        </w:rPr>
        <w:t>SEMINARIO CULTURA DE LA LEGALIDAD EN CASANARE</w:t>
      </w:r>
      <w:r w:rsidR="00E334BE">
        <w:rPr>
          <w:rFonts w:ascii="Lucida Sans Unicode" w:eastAsia="Calibri" w:hAnsi="Lucida Sans Unicode" w:cs="Lucida Sans Unicode"/>
          <w:i/>
          <w:sz w:val="24"/>
          <w:szCs w:val="24"/>
          <w:lang w:val="es-CO" w:eastAsia="en-US"/>
        </w:rPr>
        <w:t>”</w:t>
      </w:r>
      <w:r w:rsidRPr="00E334BE">
        <w:rPr>
          <w:rFonts w:ascii="Lucida Sans Unicode" w:eastAsia="Calibri" w:hAnsi="Lucida Sans Unicode" w:cs="Lucida Sans Unicode"/>
          <w:i/>
          <w:sz w:val="24"/>
          <w:szCs w:val="24"/>
          <w:lang w:val="es-CO" w:eastAsia="en-US"/>
        </w:rPr>
        <w:t xml:space="preserve"> </w:t>
      </w:r>
      <w:r>
        <w:rPr>
          <w:rFonts w:ascii="Lucida Sans Unicode" w:eastAsia="Calibri" w:hAnsi="Lucida Sans Unicode" w:cs="Lucida Sans Unicode"/>
          <w:sz w:val="24"/>
          <w:szCs w:val="24"/>
          <w:lang w:val="es-CO" w:eastAsia="en-US"/>
        </w:rPr>
        <w:t xml:space="preserve">llevado a cabo el día 9 de septiembre del año en curso, </w:t>
      </w:r>
      <w:r w:rsidR="00E334BE">
        <w:rPr>
          <w:rFonts w:ascii="Lucida Sans Unicode" w:eastAsia="Calibri" w:hAnsi="Lucida Sans Unicode" w:cs="Lucida Sans Unicode"/>
          <w:sz w:val="24"/>
          <w:szCs w:val="24"/>
          <w:lang w:val="es-CO" w:eastAsia="en-US"/>
        </w:rPr>
        <w:t xml:space="preserve">en el Salón Múltiple de la policía Nacional, </w:t>
      </w:r>
      <w:r>
        <w:rPr>
          <w:rFonts w:ascii="Lucida Sans Unicode" w:eastAsia="Calibri" w:hAnsi="Lucida Sans Unicode" w:cs="Lucida Sans Unicode"/>
          <w:sz w:val="24"/>
          <w:szCs w:val="24"/>
          <w:lang w:val="es-CO" w:eastAsia="en-US"/>
        </w:rPr>
        <w:t xml:space="preserve">el tema fue </w:t>
      </w:r>
      <w:r w:rsidRPr="008A1192">
        <w:rPr>
          <w:rFonts w:ascii="Lucida Sans Unicode" w:eastAsia="Calibri" w:hAnsi="Lucida Sans Unicode" w:cs="Lucida Sans Unicode"/>
          <w:i/>
          <w:sz w:val="24"/>
          <w:szCs w:val="24"/>
          <w:lang w:val="es-CO" w:eastAsia="en-US"/>
        </w:rPr>
        <w:t>“EL SERVICIO MÉDICO ASISTENCIAL Y LOS CONFLICTOS CONSTITUCIONALES Y DE REPARACIÓN DIRECTA”</w:t>
      </w:r>
      <w:r w:rsidR="00E334BE">
        <w:rPr>
          <w:rFonts w:ascii="Lucida Sans Unicode" w:eastAsia="Calibri" w:hAnsi="Lucida Sans Unicode" w:cs="Lucida Sans Unicode"/>
          <w:i/>
          <w:sz w:val="24"/>
          <w:szCs w:val="24"/>
          <w:lang w:val="es-CO" w:eastAsia="en-US"/>
        </w:rPr>
        <w:t>.</w:t>
      </w:r>
    </w:p>
    <w:p w:rsidR="00E334BE" w:rsidRDefault="00E334BE" w:rsidP="00A83B99">
      <w:pPr>
        <w:widowControl w:val="0"/>
        <w:spacing w:before="100" w:after="100"/>
        <w:contextualSpacing/>
        <w:jc w:val="both"/>
        <w:rPr>
          <w:rFonts w:ascii="Lucida Sans Unicode" w:eastAsia="Calibri" w:hAnsi="Lucida Sans Unicode" w:cs="Lucida Sans Unicode"/>
          <w:i/>
          <w:sz w:val="24"/>
          <w:szCs w:val="24"/>
          <w:lang w:val="es-CO" w:eastAsia="en-US"/>
        </w:rPr>
      </w:pPr>
    </w:p>
    <w:p w:rsidR="008A1192" w:rsidRDefault="00E334BE" w:rsidP="00A83B99">
      <w:pPr>
        <w:widowControl w:val="0"/>
        <w:spacing w:before="100" w:after="100"/>
        <w:contextualSpacing/>
        <w:jc w:val="both"/>
        <w:rPr>
          <w:rFonts w:ascii="Lucida Sans Unicode" w:eastAsia="Calibri" w:hAnsi="Lucida Sans Unicode" w:cs="Lucida Sans Unicode"/>
          <w:sz w:val="24"/>
          <w:szCs w:val="24"/>
          <w:lang w:val="es-CO" w:eastAsia="en-US"/>
        </w:rPr>
      </w:pPr>
      <w:r>
        <w:rPr>
          <w:rFonts w:ascii="Lucida Sans Unicode" w:eastAsia="Calibri" w:hAnsi="Lucida Sans Unicode" w:cs="Lucida Sans Unicode"/>
          <w:sz w:val="24"/>
          <w:szCs w:val="24"/>
          <w:lang w:val="es-CO" w:eastAsia="en-US"/>
        </w:rPr>
        <w:t>Lo anterior para su conocimiento y fines pertinentes.</w:t>
      </w:r>
    </w:p>
    <w:p w:rsidR="008A1192" w:rsidRDefault="008A1192"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E334BE" w:rsidRDefault="00E334BE"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E334BE" w:rsidRDefault="00E334BE"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E334BE" w:rsidRDefault="00E334BE" w:rsidP="00A83B99">
      <w:pPr>
        <w:widowControl w:val="0"/>
        <w:spacing w:before="100" w:after="100"/>
        <w:contextualSpacing/>
        <w:jc w:val="both"/>
        <w:rPr>
          <w:rFonts w:ascii="Lucida Sans Unicode" w:eastAsia="Calibri" w:hAnsi="Lucida Sans Unicode" w:cs="Lucida Sans Unicode"/>
          <w:sz w:val="24"/>
          <w:szCs w:val="24"/>
          <w:lang w:val="es-CO" w:eastAsia="en-US"/>
        </w:rPr>
      </w:pPr>
      <w:r>
        <w:rPr>
          <w:rFonts w:ascii="Lucida Sans Unicode" w:eastAsia="Calibri" w:hAnsi="Lucida Sans Unicode" w:cs="Lucida Sans Unicode"/>
          <w:sz w:val="24"/>
          <w:szCs w:val="24"/>
          <w:lang w:val="es-CO" w:eastAsia="en-US"/>
        </w:rPr>
        <w:t>Cordialmente,</w:t>
      </w:r>
    </w:p>
    <w:p w:rsidR="00E334BE" w:rsidRDefault="00E334BE"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E334BE" w:rsidRDefault="00E334BE"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E334BE" w:rsidRDefault="00E334BE"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E334BE" w:rsidRDefault="00E334BE" w:rsidP="00A83B99">
      <w:pPr>
        <w:widowControl w:val="0"/>
        <w:spacing w:before="100" w:after="100"/>
        <w:contextualSpacing/>
        <w:jc w:val="both"/>
        <w:rPr>
          <w:rFonts w:ascii="Lucida Sans Unicode" w:eastAsia="Calibri" w:hAnsi="Lucida Sans Unicode" w:cs="Lucida Sans Unicode"/>
          <w:sz w:val="24"/>
          <w:szCs w:val="24"/>
          <w:lang w:val="es-CO" w:eastAsia="en-US"/>
        </w:rPr>
      </w:pPr>
      <w:r>
        <w:rPr>
          <w:rFonts w:ascii="Lucida Sans Unicode" w:eastAsia="Calibri" w:hAnsi="Lucida Sans Unicode" w:cs="Lucida Sans Unicode"/>
          <w:sz w:val="24"/>
          <w:szCs w:val="24"/>
          <w:lang w:val="es-CO" w:eastAsia="en-US"/>
        </w:rPr>
        <w:t>NELSON MANUEL BRICEÑO CHIRIVÍ</w:t>
      </w:r>
    </w:p>
    <w:p w:rsidR="00E334BE" w:rsidRDefault="00E334BE" w:rsidP="00A83B99">
      <w:pPr>
        <w:widowControl w:val="0"/>
        <w:spacing w:before="100" w:after="100"/>
        <w:contextualSpacing/>
        <w:jc w:val="both"/>
        <w:rPr>
          <w:rFonts w:ascii="Lucida Sans Unicode" w:eastAsia="Calibri" w:hAnsi="Lucida Sans Unicode" w:cs="Lucida Sans Unicode"/>
          <w:sz w:val="24"/>
          <w:szCs w:val="24"/>
          <w:lang w:val="es-CO" w:eastAsia="en-US"/>
        </w:rPr>
      </w:pPr>
      <w:r>
        <w:rPr>
          <w:rFonts w:ascii="Lucida Sans Unicode" w:eastAsia="Calibri" w:hAnsi="Lucida Sans Unicode" w:cs="Lucida Sans Unicode"/>
          <w:sz w:val="24"/>
          <w:szCs w:val="24"/>
          <w:lang w:val="es-CO" w:eastAsia="en-US"/>
        </w:rPr>
        <w:t>Magistrado</w:t>
      </w:r>
    </w:p>
    <w:p w:rsidR="008A1192" w:rsidRDefault="008A1192"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8A1192" w:rsidRDefault="008A1192"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8A1192" w:rsidRDefault="008A1192"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8A1192" w:rsidRDefault="008A1192" w:rsidP="00A83B99">
      <w:pPr>
        <w:widowControl w:val="0"/>
        <w:spacing w:before="100" w:after="100"/>
        <w:contextualSpacing/>
        <w:jc w:val="both"/>
        <w:rPr>
          <w:rFonts w:ascii="Lucida Sans Unicode" w:eastAsia="Calibri" w:hAnsi="Lucida Sans Unicode" w:cs="Lucida Sans Unicode"/>
          <w:sz w:val="24"/>
          <w:szCs w:val="24"/>
          <w:lang w:val="es-CO" w:eastAsia="en-US"/>
        </w:rPr>
      </w:pPr>
    </w:p>
    <w:p w:rsidR="008A1192" w:rsidRPr="001B1080" w:rsidRDefault="00E334BE" w:rsidP="00A83B99">
      <w:pPr>
        <w:widowControl w:val="0"/>
        <w:spacing w:before="100" w:after="100"/>
        <w:contextualSpacing/>
        <w:jc w:val="both"/>
        <w:rPr>
          <w:rFonts w:ascii="Lucida Sans Unicode" w:eastAsia="Calibri" w:hAnsi="Lucida Sans Unicode" w:cs="Lucida Sans Unicode"/>
          <w:sz w:val="24"/>
          <w:szCs w:val="24"/>
          <w:lang w:val="es-CO" w:eastAsia="en-US"/>
        </w:rPr>
      </w:pPr>
      <w:r>
        <w:rPr>
          <w:rFonts w:ascii="Lucida Sans Unicode" w:eastAsia="Calibri" w:hAnsi="Lucida Sans Unicode" w:cs="Lucida Sans Unicode"/>
          <w:sz w:val="24"/>
          <w:szCs w:val="24"/>
          <w:lang w:val="es-CO" w:eastAsia="en-US"/>
        </w:rPr>
        <w:t>Se anexa ponencia en 7 páginas y un CD.</w:t>
      </w:r>
      <w:bookmarkStart w:id="0" w:name="_GoBack"/>
      <w:bookmarkEnd w:id="0"/>
    </w:p>
    <w:sectPr w:rsidR="008A1192" w:rsidRPr="001B1080" w:rsidSect="00286636">
      <w:pgSz w:w="12240" w:h="18720" w:code="14"/>
      <w:pgMar w:top="1701"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796" w:rsidRDefault="00832796" w:rsidP="00832796">
      <w:r>
        <w:separator/>
      </w:r>
    </w:p>
  </w:endnote>
  <w:endnote w:type="continuationSeparator" w:id="0">
    <w:p w:rsidR="00832796" w:rsidRDefault="00832796" w:rsidP="0083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796" w:rsidRDefault="00832796" w:rsidP="00832796">
      <w:r>
        <w:separator/>
      </w:r>
    </w:p>
  </w:footnote>
  <w:footnote w:type="continuationSeparator" w:id="0">
    <w:p w:rsidR="00832796" w:rsidRDefault="00832796" w:rsidP="00832796">
      <w:r>
        <w:continuationSeparator/>
      </w:r>
    </w:p>
  </w:footnote>
  <w:footnote w:id="1">
    <w:p w:rsidR="00FA5A79" w:rsidRPr="00FF705F" w:rsidRDefault="00FA5A79" w:rsidP="00FF705F">
      <w:pPr>
        <w:pStyle w:val="Textonotapie"/>
        <w:contextualSpacing/>
        <w:jc w:val="both"/>
        <w:rPr>
          <w:rFonts w:ascii="Arial Narrow" w:hAnsi="Arial Narrow"/>
        </w:rPr>
      </w:pPr>
      <w:r w:rsidRPr="00FF705F">
        <w:rPr>
          <w:rFonts w:ascii="Arial Narrow" w:hAnsi="Arial Narrow" w:cs="Arial"/>
          <w:shd w:val="clear" w:color="auto" w:fill="FFFFFF"/>
        </w:rPr>
        <w:footnoteRef/>
      </w:r>
      <w:r w:rsidRPr="00FF705F">
        <w:rPr>
          <w:rFonts w:ascii="Arial Narrow" w:hAnsi="Arial Narrow" w:cs="Arial"/>
          <w:shd w:val="clear" w:color="auto" w:fill="FFFFFF"/>
        </w:rPr>
        <w:t xml:space="preserve"> TAC, sentencia del 28 de febrero de 2013, expediente 850013331001-2013-00002-01 M.P. Néstor Trujillo González. En esa oportunidad</w:t>
      </w:r>
      <w:r w:rsidR="00B026B7" w:rsidRPr="00FF705F">
        <w:rPr>
          <w:rFonts w:ascii="Arial Narrow" w:hAnsi="Arial Narrow" w:cs="Arial"/>
          <w:shd w:val="clear" w:color="auto" w:fill="FFFFFF"/>
        </w:rPr>
        <w:t xml:space="preserve"> </w:t>
      </w:r>
      <w:r w:rsidRPr="00FF705F">
        <w:rPr>
          <w:rFonts w:ascii="Arial Narrow" w:hAnsi="Arial Narrow" w:cs="Arial"/>
          <w:shd w:val="clear" w:color="auto" w:fill="FFFFFF"/>
        </w:rPr>
        <w:t xml:space="preserve">se precisó el alcance de la atención integral en salud a mujeres embarazadas. Reiteración en fallo del 30 de septiembre de 2013, mismo ponente, radicación </w:t>
      </w:r>
      <w:r w:rsidRPr="00FF705F">
        <w:rPr>
          <w:rFonts w:ascii="Arial Narrow" w:hAnsi="Arial Narrow" w:cs="Arial"/>
        </w:rPr>
        <w:t>850013333002-2013-00035-01 (2013-0504) y sentencia del 29 de mayo de 2014, mismo ponente, radicación 850012333000-2014-00082-00. Temática tratada igualmente en sentencias del 6 de septiembre y 7 de diciembre de 2012, radicaciones 85001 - 3331 - 001- 2012 – 00034- 01 y 85001 - 3331 - 001- 2012 – 00103- 01 ambas con ponencia del magistrado José Antonio Figueroa Burbano.</w:t>
      </w:r>
    </w:p>
  </w:footnote>
  <w:footnote w:id="2">
    <w:p w:rsidR="00FA5A79" w:rsidRPr="00FF705F" w:rsidRDefault="00FA5A79" w:rsidP="00FF705F">
      <w:pPr>
        <w:pStyle w:val="Textonotapie"/>
        <w:contextualSpacing/>
        <w:jc w:val="both"/>
        <w:rPr>
          <w:rFonts w:ascii="Arial Narrow" w:hAnsi="Arial Narrow"/>
        </w:rPr>
      </w:pPr>
    </w:p>
    <w:p w:rsidR="00FA5A79" w:rsidRPr="00FF705F" w:rsidRDefault="00FA5A79" w:rsidP="00FF705F">
      <w:pPr>
        <w:pStyle w:val="Textonotapie"/>
        <w:contextualSpacing/>
        <w:jc w:val="both"/>
        <w:rPr>
          <w:rFonts w:ascii="Arial Narrow" w:hAnsi="Arial Narrow"/>
        </w:rPr>
      </w:pPr>
      <w:r w:rsidRPr="00FF705F">
        <w:rPr>
          <w:rStyle w:val="Refdenotaalpie"/>
          <w:rFonts w:ascii="Arial Narrow" w:hAnsi="Arial Narrow"/>
        </w:rPr>
        <w:footnoteRef/>
      </w:r>
      <w:r w:rsidRPr="00FF705F">
        <w:rPr>
          <w:rFonts w:ascii="Arial Narrow" w:hAnsi="Arial Narrow"/>
        </w:rPr>
        <w:t xml:space="preserve"> TAC. Sentencia del 24 de abril de 2014. Radicado No. 85001-33-31-001-2014-00027-01, actora</w:t>
      </w:r>
      <w:r w:rsidR="002D6BBA" w:rsidRPr="00FF705F">
        <w:rPr>
          <w:rFonts w:ascii="Arial Narrow" w:hAnsi="Arial Narrow"/>
        </w:rPr>
        <w:t xml:space="preserve">: Luz </w:t>
      </w:r>
      <w:proofErr w:type="spellStart"/>
      <w:r w:rsidR="002D6BBA" w:rsidRPr="00FF705F">
        <w:rPr>
          <w:rFonts w:ascii="Arial Narrow" w:hAnsi="Arial Narrow"/>
        </w:rPr>
        <w:t>Yomaira</w:t>
      </w:r>
      <w:proofErr w:type="spellEnd"/>
      <w:r w:rsidR="002D6BBA" w:rsidRPr="00FF705F">
        <w:rPr>
          <w:rFonts w:ascii="Arial Narrow" w:hAnsi="Arial Narrow"/>
        </w:rPr>
        <w:t xml:space="preserve"> Garrido Arriaga, </w:t>
      </w:r>
      <w:r w:rsidRPr="00FF705F">
        <w:rPr>
          <w:rFonts w:ascii="Arial Narrow" w:hAnsi="Arial Narrow"/>
        </w:rPr>
        <w:t xml:space="preserve">Accionada: Capresoca </w:t>
      </w:r>
      <w:proofErr w:type="spellStart"/>
      <w:r w:rsidRPr="00FF705F">
        <w:rPr>
          <w:rFonts w:ascii="Arial Narrow" w:hAnsi="Arial Narrow"/>
        </w:rPr>
        <w:t>EPS</w:t>
      </w:r>
      <w:proofErr w:type="spellEnd"/>
      <w:r w:rsidRPr="00FF705F">
        <w:rPr>
          <w:rFonts w:ascii="Arial Narrow" w:hAnsi="Arial Narrow"/>
        </w:rPr>
        <w:t xml:space="preserve">. 24 de abril de 2014M.P. Héctor Alonso Ángel </w:t>
      </w:r>
      <w:proofErr w:type="spellStart"/>
      <w:r w:rsidRPr="00FF705F">
        <w:rPr>
          <w:rFonts w:ascii="Arial Narrow" w:hAnsi="Arial Narrow"/>
        </w:rPr>
        <w:t>Ángel</w:t>
      </w:r>
      <w:proofErr w:type="spellEnd"/>
      <w:r w:rsidRPr="00FF705F">
        <w:rPr>
          <w:rFonts w:ascii="Arial Narrow" w:hAnsi="Arial Narrow"/>
        </w:rPr>
        <w:t>.</w:t>
      </w:r>
    </w:p>
  </w:footnote>
  <w:footnote w:id="3">
    <w:p w:rsidR="00391AC4" w:rsidRPr="00FF705F" w:rsidRDefault="00391AC4" w:rsidP="00FF705F">
      <w:pPr>
        <w:pStyle w:val="Textonotapie"/>
        <w:contextualSpacing/>
        <w:jc w:val="both"/>
        <w:rPr>
          <w:rFonts w:ascii="Arial Narrow" w:hAnsi="Arial Narrow"/>
          <w:lang w:val="es-CO"/>
        </w:rPr>
      </w:pPr>
      <w:r w:rsidRPr="00FF705F">
        <w:rPr>
          <w:rStyle w:val="Refdenotaalpie"/>
          <w:rFonts w:ascii="Arial Narrow" w:hAnsi="Arial Narrow"/>
        </w:rPr>
        <w:footnoteRef/>
      </w:r>
      <w:r w:rsidRPr="00FF705F">
        <w:rPr>
          <w:rFonts w:ascii="Arial Narrow" w:hAnsi="Arial Narrow"/>
        </w:rPr>
        <w:t xml:space="preserve"> Consejo de Estado; Sección Tercera, Sentencia del 31 de agosto de 2006, </w:t>
      </w:r>
      <w:proofErr w:type="spellStart"/>
      <w:r w:rsidRPr="00FF705F">
        <w:rPr>
          <w:rFonts w:ascii="Arial Narrow" w:hAnsi="Arial Narrow"/>
        </w:rPr>
        <w:t>Exp</w:t>
      </w:r>
      <w:proofErr w:type="spellEnd"/>
      <w:r w:rsidRPr="00FF705F">
        <w:rPr>
          <w:rFonts w:ascii="Arial Narrow" w:hAnsi="Arial Narrow"/>
        </w:rPr>
        <w:t>. 15772; C.P. Ruth Stella Correa.</w:t>
      </w:r>
    </w:p>
  </w:footnote>
  <w:footnote w:id="4">
    <w:p w:rsidR="00FF705F" w:rsidRPr="00FF705F" w:rsidRDefault="00FF705F" w:rsidP="00FF705F">
      <w:pPr>
        <w:pStyle w:val="Textonotapie"/>
        <w:contextualSpacing/>
        <w:jc w:val="both"/>
        <w:rPr>
          <w:rFonts w:ascii="Arial Narrow" w:hAnsi="Arial Narrow"/>
          <w:lang w:val="es-CO"/>
        </w:rPr>
      </w:pPr>
      <w:r w:rsidRPr="00FF705F">
        <w:rPr>
          <w:rStyle w:val="Refdenotaalpie"/>
          <w:rFonts w:ascii="Arial Narrow" w:hAnsi="Arial Narrow"/>
        </w:rPr>
        <w:footnoteRef/>
      </w:r>
      <w:r w:rsidRPr="00FF705F">
        <w:rPr>
          <w:rFonts w:ascii="Arial Narrow" w:hAnsi="Arial Narrow"/>
        </w:rPr>
        <w:t xml:space="preserve"> Sentencia del 10 de febrero de 2000, </w:t>
      </w:r>
      <w:proofErr w:type="spellStart"/>
      <w:r w:rsidRPr="00FF705F">
        <w:rPr>
          <w:rFonts w:ascii="Arial Narrow" w:hAnsi="Arial Narrow"/>
        </w:rPr>
        <w:t>Exp</w:t>
      </w:r>
      <w:proofErr w:type="spellEnd"/>
      <w:r w:rsidRPr="00FF705F">
        <w:rPr>
          <w:rFonts w:ascii="Arial Narrow" w:hAnsi="Arial Narrow"/>
        </w:rPr>
        <w:t xml:space="preserve">: 11.878. En el mismo sentido, sentencia del 8 de febrero de 2001, </w:t>
      </w:r>
      <w:proofErr w:type="spellStart"/>
      <w:r w:rsidRPr="00FF705F">
        <w:rPr>
          <w:rFonts w:ascii="Arial Narrow" w:hAnsi="Arial Narrow"/>
        </w:rPr>
        <w:t>Exp</w:t>
      </w:r>
      <w:proofErr w:type="spellEnd"/>
      <w:r w:rsidRPr="00FF705F">
        <w:rPr>
          <w:rFonts w:ascii="Arial Narrow" w:hAnsi="Arial Narrow"/>
        </w:rPr>
        <w:t>: 12.792.</w:t>
      </w:r>
    </w:p>
  </w:footnote>
  <w:footnote w:id="5">
    <w:p w:rsidR="003F0735" w:rsidRPr="00196DE1" w:rsidRDefault="003F0735" w:rsidP="003F0735">
      <w:pPr>
        <w:pStyle w:val="Sinespaciado"/>
        <w:jc w:val="both"/>
        <w:rPr>
          <w:rFonts w:ascii="Arial Narrow" w:hAnsi="Arial Narrow" w:cs="Tahoma"/>
          <w:sz w:val="16"/>
          <w:szCs w:val="16"/>
          <w:lang w:val="es-MX"/>
        </w:rPr>
      </w:pPr>
      <w:r w:rsidRPr="00196DE1">
        <w:rPr>
          <w:rStyle w:val="Refdenotaalpie"/>
          <w:rFonts w:ascii="Arial Narrow" w:hAnsi="Arial Narrow" w:cs="Tahoma"/>
          <w:sz w:val="16"/>
          <w:szCs w:val="16"/>
        </w:rPr>
        <w:footnoteRef/>
      </w:r>
      <w:r w:rsidRPr="00196DE1">
        <w:rPr>
          <w:rFonts w:ascii="Arial Narrow" w:hAnsi="Arial Narrow" w:cs="Tahoma"/>
          <w:sz w:val="16"/>
          <w:szCs w:val="16"/>
        </w:rPr>
        <w:t xml:space="preserve"> </w:t>
      </w:r>
      <w:r w:rsidRPr="00624377">
        <w:rPr>
          <w:rFonts w:ascii="Arial Narrow" w:hAnsi="Arial Narrow" w:cs="Tahoma"/>
          <w:i/>
          <w:sz w:val="16"/>
          <w:szCs w:val="16"/>
        </w:rPr>
        <w:t>“(…) En este trabajo la doctrina de la pérdida de la oportunidad se entiende como una teoría de causalidad probabilística (</w:t>
      </w:r>
      <w:proofErr w:type="spellStart"/>
      <w:r w:rsidRPr="00624377">
        <w:rPr>
          <w:rFonts w:ascii="Arial Narrow" w:hAnsi="Arial Narrow" w:cs="Tahoma"/>
          <w:i/>
          <w:sz w:val="16"/>
          <w:szCs w:val="16"/>
        </w:rPr>
        <w:t>probabilistic</w:t>
      </w:r>
      <w:proofErr w:type="spellEnd"/>
      <w:r w:rsidRPr="00624377">
        <w:rPr>
          <w:rFonts w:ascii="Arial Narrow" w:hAnsi="Arial Narrow" w:cs="Tahoma"/>
          <w:i/>
          <w:sz w:val="16"/>
          <w:szCs w:val="16"/>
        </w:rPr>
        <w:t xml:space="preserve"> </w:t>
      </w:r>
      <w:proofErr w:type="spellStart"/>
      <w:r w:rsidRPr="00624377">
        <w:rPr>
          <w:rFonts w:ascii="Arial Narrow" w:hAnsi="Arial Narrow" w:cs="Tahoma"/>
          <w:i/>
          <w:sz w:val="16"/>
          <w:szCs w:val="16"/>
        </w:rPr>
        <w:t>causation</w:t>
      </w:r>
      <w:proofErr w:type="spellEnd"/>
      <w:r w:rsidRPr="00624377">
        <w:rPr>
          <w:rFonts w:ascii="Arial Narrow" w:hAnsi="Arial Narrow" w:cs="Tahoma"/>
          <w:i/>
          <w:sz w:val="16"/>
          <w:szCs w:val="16"/>
        </w:rPr>
        <w:t>), conforme a la cual, en los casos de incerteza causal mencionados, es posible afirmar que la actuación médica privó al paciente de determinadas expectativas de curación o de supervivencia, consideradas a la luz de la ciencia médica, que deben ser indemnizadas. En tal caso, es posible condenar al facultativo por el daño sufrido por el paciente pero se reduce el montante de la indemnización en razón de la probabilidad de que el daño se hubiera producido igualmente de haber actuado aquel diligentemente.”</w:t>
      </w:r>
      <w:r w:rsidRPr="00196DE1">
        <w:rPr>
          <w:rFonts w:ascii="Arial Narrow" w:hAnsi="Arial Narrow" w:cs="Tahoma"/>
          <w:sz w:val="16"/>
          <w:szCs w:val="16"/>
        </w:rPr>
        <w:t xml:space="preserve"> L</w:t>
      </w:r>
      <w:r w:rsidRPr="00196DE1">
        <w:rPr>
          <w:rFonts w:ascii="Arial Narrow" w:hAnsi="Arial Narrow" w:cs="Tahoma"/>
          <w:sz w:val="16"/>
          <w:szCs w:val="16"/>
          <w:lang w:val="es-MX"/>
        </w:rPr>
        <w:t>UNA Yerga, Álvaro Ob. Cit. Pág. 2.</w:t>
      </w:r>
    </w:p>
  </w:footnote>
  <w:footnote w:id="6">
    <w:p w:rsidR="003F0735" w:rsidRDefault="003F0735" w:rsidP="003F0735">
      <w:pPr>
        <w:pStyle w:val="Sinespaciado"/>
        <w:jc w:val="both"/>
        <w:rPr>
          <w:rFonts w:ascii="Arial Narrow" w:hAnsi="Arial Narrow" w:cs="Tahoma"/>
          <w:sz w:val="16"/>
          <w:szCs w:val="16"/>
        </w:rPr>
      </w:pPr>
    </w:p>
    <w:p w:rsidR="003F0735" w:rsidRDefault="003F0735" w:rsidP="003F0735">
      <w:pPr>
        <w:pStyle w:val="Sinespaciado"/>
        <w:jc w:val="both"/>
        <w:rPr>
          <w:rFonts w:ascii="Arial Narrow" w:hAnsi="Arial Narrow" w:cs="Tahoma"/>
          <w:sz w:val="16"/>
          <w:szCs w:val="16"/>
        </w:rPr>
      </w:pPr>
      <w:r w:rsidRPr="00196DE1">
        <w:rPr>
          <w:rStyle w:val="Refdenotaalpie"/>
          <w:rFonts w:ascii="Arial Narrow" w:hAnsi="Arial Narrow" w:cs="Tahoma"/>
          <w:sz w:val="16"/>
          <w:szCs w:val="16"/>
        </w:rPr>
        <w:footnoteRef/>
      </w:r>
      <w:r w:rsidRPr="00196DE1">
        <w:rPr>
          <w:rFonts w:ascii="Arial Narrow" w:hAnsi="Arial Narrow" w:cs="Tahoma"/>
          <w:sz w:val="16"/>
          <w:szCs w:val="16"/>
        </w:rPr>
        <w:t xml:space="preserve"> “</w:t>
      </w:r>
      <w:r w:rsidRPr="00624377">
        <w:rPr>
          <w:rFonts w:ascii="Arial Narrow" w:hAnsi="Arial Narrow" w:cs="Tahoma"/>
          <w:i/>
          <w:sz w:val="16"/>
          <w:szCs w:val="16"/>
        </w:rPr>
        <w:t>La Chance es la posibilidad de un beneficio probable futuro que integra facultades de actuación del sujeto, conlleva un daño aun cuando pueda resultar dificultosa la estimación de su medida. En esta concurrencia de factores pasados y futuros, necesarios y contingentes existe una consecuencia actual y cierta. A raíz del acto imputable se ha perdido una chance por la que debe reconocerse el derecho a exigir su reparación. La doctrina aconseja efectuar un balance de las perspectivas a favor y en contra. Del saldo resultante se obtendrá la proporción del resarcimiento (…). La indemnización deberá ser de la chance y no de la ganancia perdida”</w:t>
      </w:r>
      <w:r w:rsidRPr="00196DE1">
        <w:rPr>
          <w:rFonts w:ascii="Arial Narrow" w:hAnsi="Arial Narrow" w:cs="Tahoma"/>
          <w:sz w:val="16"/>
          <w:szCs w:val="16"/>
        </w:rPr>
        <w:t xml:space="preserve"> TANZI, Silvia. La reparación de la pérdida de la chance. En obra colectiva </w:t>
      </w:r>
      <w:smartTag w:uri="urn:schemas-microsoft-com:office:smarttags" w:element="PersonName">
        <w:smartTagPr>
          <w:attr w:name="ProductID" w:val="La Responsabilidad"/>
        </w:smartTagPr>
        <w:r w:rsidRPr="00196DE1">
          <w:rPr>
            <w:rFonts w:ascii="Arial Narrow" w:hAnsi="Arial Narrow" w:cs="Tahoma"/>
            <w:sz w:val="16"/>
            <w:szCs w:val="16"/>
          </w:rPr>
          <w:t>La Responsabilidad</w:t>
        </w:r>
      </w:smartTag>
      <w:r w:rsidRPr="00196DE1">
        <w:rPr>
          <w:rFonts w:ascii="Arial Narrow" w:hAnsi="Arial Narrow" w:cs="Tahoma"/>
          <w:sz w:val="16"/>
          <w:szCs w:val="16"/>
        </w:rPr>
        <w:t xml:space="preserve">, libro homenaje al Profesor Isidoro </w:t>
      </w:r>
      <w:proofErr w:type="spellStart"/>
      <w:r w:rsidRPr="00196DE1">
        <w:rPr>
          <w:rFonts w:ascii="Arial Narrow" w:hAnsi="Arial Narrow" w:cs="Tahoma"/>
          <w:sz w:val="16"/>
          <w:szCs w:val="16"/>
        </w:rPr>
        <w:t>Goldember</w:t>
      </w:r>
      <w:proofErr w:type="spellEnd"/>
      <w:r w:rsidRPr="00196DE1">
        <w:rPr>
          <w:rFonts w:ascii="Arial Narrow" w:hAnsi="Arial Narrow" w:cs="Tahoma"/>
          <w:sz w:val="16"/>
          <w:szCs w:val="16"/>
        </w:rPr>
        <w:t xml:space="preserve">. Ed. Arboleda. Pág. 222. Obra citada por VÁSQUEZ Ferreira, Roberto A. La pérdida de una chance como daño indemnizable en </w:t>
      </w:r>
      <w:smartTag w:uri="urn:schemas-microsoft-com:office:smarttags" w:element="PersonName">
        <w:smartTagPr>
          <w:attr w:name="ProductID" w:val="la Mala Praxis"/>
        </w:smartTagPr>
        <w:r w:rsidRPr="00196DE1">
          <w:rPr>
            <w:rFonts w:ascii="Arial Narrow" w:hAnsi="Arial Narrow" w:cs="Tahoma"/>
            <w:sz w:val="16"/>
            <w:szCs w:val="16"/>
          </w:rPr>
          <w:t>la Mala Praxis</w:t>
        </w:r>
      </w:smartTag>
      <w:r w:rsidRPr="00196DE1">
        <w:rPr>
          <w:rFonts w:ascii="Arial Narrow" w:hAnsi="Arial Narrow" w:cs="Tahoma"/>
          <w:sz w:val="16"/>
          <w:szCs w:val="16"/>
        </w:rPr>
        <w:t xml:space="preserve"> Médica. Derecho Médico. I Simposio Iberoamericano. IV Jornadas Uruguayas de Responsabilidad Médica. Ed. B de F. Montevideo – Buenos Aires. 2001 Pág. 536 y s.s.</w:t>
      </w:r>
    </w:p>
    <w:p w:rsidR="003F0735" w:rsidRPr="00196DE1" w:rsidRDefault="003F0735" w:rsidP="003F0735">
      <w:pPr>
        <w:pStyle w:val="Sinespaciado"/>
        <w:jc w:val="both"/>
        <w:rPr>
          <w:rFonts w:ascii="Arial Narrow" w:hAnsi="Arial Narrow" w:cs="Tahoma"/>
          <w:sz w:val="16"/>
          <w:szCs w:val="16"/>
        </w:rPr>
      </w:pPr>
    </w:p>
  </w:footnote>
  <w:footnote w:id="7">
    <w:p w:rsidR="003F0735" w:rsidRPr="00524406" w:rsidRDefault="003F0735" w:rsidP="003F0735">
      <w:pPr>
        <w:pStyle w:val="Sinespaciado"/>
        <w:jc w:val="both"/>
        <w:rPr>
          <w:rFonts w:ascii="Arial Narrow" w:hAnsi="Arial Narrow" w:cs="Tahoma"/>
          <w:sz w:val="18"/>
          <w:szCs w:val="18"/>
        </w:rPr>
      </w:pPr>
      <w:r w:rsidRPr="00524406">
        <w:rPr>
          <w:rStyle w:val="Refdenotaalpie"/>
          <w:rFonts w:ascii="Arial Narrow" w:hAnsi="Arial Narrow" w:cs="Tahoma"/>
          <w:sz w:val="18"/>
          <w:szCs w:val="18"/>
        </w:rPr>
        <w:footnoteRef/>
      </w:r>
      <w:r w:rsidRPr="00524406">
        <w:rPr>
          <w:rFonts w:ascii="Arial Narrow" w:hAnsi="Arial Narrow" w:cs="Tahoma"/>
          <w:sz w:val="18"/>
          <w:szCs w:val="18"/>
        </w:rPr>
        <w:t xml:space="preserve"> “Dentro de cualquier proceso que se surta ante la Administración de Justicia, la valoración de daños irrogados a las personas y a las cosas, atenderá los principios de reparación integral y equidad y observará los criterios técnicos actuariales.”</w:t>
      </w:r>
    </w:p>
  </w:footnote>
  <w:footnote w:id="8">
    <w:p w:rsidR="003F0735" w:rsidRPr="00524406" w:rsidRDefault="003F0735" w:rsidP="003F0735">
      <w:pPr>
        <w:pStyle w:val="Textonotapie"/>
        <w:jc w:val="both"/>
        <w:rPr>
          <w:rFonts w:ascii="Arial Narrow" w:hAnsi="Arial Narrow"/>
          <w:sz w:val="18"/>
          <w:szCs w:val="18"/>
        </w:rPr>
      </w:pPr>
      <w:r w:rsidRPr="00524406">
        <w:rPr>
          <w:rStyle w:val="Refdenotaalpie"/>
          <w:rFonts w:ascii="Arial Narrow" w:hAnsi="Arial Narrow"/>
          <w:sz w:val="18"/>
          <w:szCs w:val="18"/>
        </w:rPr>
        <w:footnoteRef/>
      </w:r>
      <w:r w:rsidRPr="00524406">
        <w:rPr>
          <w:rFonts w:ascii="Arial Narrow" w:hAnsi="Arial Narrow"/>
          <w:sz w:val="18"/>
          <w:szCs w:val="18"/>
        </w:rPr>
        <w:t xml:space="preserve"> Consejo de Estado, Sección Tercera (C), sentencia 25.869 del 24 de octubre de 2013, ponente Enrique Gil Botero, radicación </w:t>
      </w:r>
      <w:r w:rsidRPr="00524406">
        <w:rPr>
          <w:rFonts w:ascii="Arial Narrow" w:hAnsi="Arial Narrow" w:cs="Tahoma"/>
          <w:iCs/>
          <w:sz w:val="18"/>
          <w:szCs w:val="18"/>
        </w:rPr>
        <w:t>68001-23-15-000-1995-11195-01, en la que se recoge e identifica la línea.</w:t>
      </w:r>
    </w:p>
  </w:footnote>
  <w:footnote w:id="9">
    <w:p w:rsidR="003F0735" w:rsidRPr="00524406" w:rsidRDefault="003F0735" w:rsidP="003F0735">
      <w:pPr>
        <w:pStyle w:val="Encabezado"/>
        <w:tabs>
          <w:tab w:val="clear" w:pos="4252"/>
          <w:tab w:val="clear" w:pos="8504"/>
        </w:tabs>
        <w:jc w:val="both"/>
        <w:rPr>
          <w:rFonts w:ascii="Arial Narrow" w:hAnsi="Arial Narrow"/>
          <w:sz w:val="18"/>
          <w:szCs w:val="18"/>
        </w:rPr>
      </w:pPr>
    </w:p>
    <w:p w:rsidR="003F0735" w:rsidRPr="00524406" w:rsidRDefault="003F0735" w:rsidP="003F0735">
      <w:pPr>
        <w:pStyle w:val="Encabezado"/>
        <w:tabs>
          <w:tab w:val="clear" w:pos="4252"/>
          <w:tab w:val="clear" w:pos="8504"/>
        </w:tabs>
        <w:jc w:val="both"/>
        <w:rPr>
          <w:rFonts w:ascii="Arial Narrow" w:hAnsi="Arial Narrow" w:cs="Arial"/>
          <w:sz w:val="18"/>
          <w:szCs w:val="18"/>
        </w:rPr>
      </w:pPr>
      <w:r w:rsidRPr="00524406">
        <w:rPr>
          <w:rStyle w:val="Refdenotaalpie"/>
          <w:rFonts w:ascii="Arial Narrow" w:hAnsi="Arial Narrow"/>
          <w:sz w:val="18"/>
          <w:szCs w:val="18"/>
        </w:rPr>
        <w:footnoteRef/>
      </w:r>
      <w:r w:rsidRPr="00524406">
        <w:rPr>
          <w:rFonts w:ascii="Arial Narrow" w:hAnsi="Arial Narrow"/>
          <w:sz w:val="18"/>
          <w:szCs w:val="18"/>
        </w:rPr>
        <w:t xml:space="preserve"> TAC, sentencia del 25 de junio de 2015, radicado </w:t>
      </w:r>
      <w:r w:rsidRPr="00524406">
        <w:rPr>
          <w:rFonts w:ascii="Arial Narrow" w:hAnsi="Arial Narrow" w:cs="Arial"/>
          <w:sz w:val="18"/>
          <w:szCs w:val="18"/>
        </w:rPr>
        <w:t xml:space="preserve">850013333002-2013-00262-01, ponente Néstor Trujillo González. (Pérdida de oportunidad – caso virus de influenza H1N1). En el mismo sentido, sentencia del 9 de octubre de 2014, radicación: 850013331002-2010-00462-01 (meningitis viral - neonato); </w:t>
      </w:r>
      <w:r w:rsidRPr="00524406">
        <w:rPr>
          <w:rFonts w:ascii="Arial Narrow" w:hAnsi="Arial Narrow"/>
          <w:sz w:val="18"/>
          <w:szCs w:val="18"/>
        </w:rPr>
        <w:t xml:space="preserve">sentencia del 28 de agosto de 2014, radicación </w:t>
      </w:r>
      <w:r w:rsidRPr="00524406">
        <w:rPr>
          <w:rFonts w:ascii="Arial Narrow" w:hAnsi="Arial Narrow" w:cs="Arial"/>
          <w:sz w:val="18"/>
          <w:szCs w:val="18"/>
        </w:rPr>
        <w:t xml:space="preserve">850013331702-2012-00065-01 y </w:t>
      </w:r>
      <w:r w:rsidRPr="00524406">
        <w:rPr>
          <w:rFonts w:ascii="Arial Narrow" w:hAnsi="Arial Narrow"/>
          <w:sz w:val="18"/>
          <w:szCs w:val="18"/>
        </w:rPr>
        <w:t xml:space="preserve">sentencia del 22 de mayo de 2014, radicado 850013331002-2012-00096-01. Todas del mismo ponente, entre otras. </w:t>
      </w:r>
    </w:p>
    <w:p w:rsidR="003F0735" w:rsidRPr="00524406" w:rsidRDefault="003F0735" w:rsidP="003F0735">
      <w:pPr>
        <w:pStyle w:val="Textonotapie"/>
        <w:jc w:val="both"/>
        <w:rPr>
          <w:rFonts w:ascii="Arial Narrow" w:hAnsi="Arial Narrow"/>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DA3031"/>
    <w:multiLevelType w:val="multilevel"/>
    <w:tmpl w:val="FC32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63090E"/>
    <w:multiLevelType w:val="hybridMultilevel"/>
    <w:tmpl w:val="366C15E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F60"/>
    <w:rsid w:val="00023A24"/>
    <w:rsid w:val="00056F24"/>
    <w:rsid w:val="00063E5D"/>
    <w:rsid w:val="000A2C77"/>
    <w:rsid w:val="000A628A"/>
    <w:rsid w:val="000B7162"/>
    <w:rsid w:val="000B7E2F"/>
    <w:rsid w:val="000F7AE4"/>
    <w:rsid w:val="001939CC"/>
    <w:rsid w:val="00195EB0"/>
    <w:rsid w:val="001A14D4"/>
    <w:rsid w:val="001B1080"/>
    <w:rsid w:val="001B54EF"/>
    <w:rsid w:val="00202BEA"/>
    <w:rsid w:val="0022331C"/>
    <w:rsid w:val="00232646"/>
    <w:rsid w:val="00286636"/>
    <w:rsid w:val="002C5271"/>
    <w:rsid w:val="002D6BBA"/>
    <w:rsid w:val="0032464E"/>
    <w:rsid w:val="003617C3"/>
    <w:rsid w:val="003626CD"/>
    <w:rsid w:val="00384CCE"/>
    <w:rsid w:val="00391AC4"/>
    <w:rsid w:val="003C45AA"/>
    <w:rsid w:val="003F0672"/>
    <w:rsid w:val="003F0735"/>
    <w:rsid w:val="00447459"/>
    <w:rsid w:val="00486264"/>
    <w:rsid w:val="0049374A"/>
    <w:rsid w:val="004C1379"/>
    <w:rsid w:val="004D300B"/>
    <w:rsid w:val="005A0C19"/>
    <w:rsid w:val="005B0390"/>
    <w:rsid w:val="005D1271"/>
    <w:rsid w:val="005E3EDB"/>
    <w:rsid w:val="005E527F"/>
    <w:rsid w:val="00621457"/>
    <w:rsid w:val="006235C6"/>
    <w:rsid w:val="0068463C"/>
    <w:rsid w:val="00687270"/>
    <w:rsid w:val="006D79D6"/>
    <w:rsid w:val="006F4245"/>
    <w:rsid w:val="00716519"/>
    <w:rsid w:val="00763967"/>
    <w:rsid w:val="00785ECF"/>
    <w:rsid w:val="00797A90"/>
    <w:rsid w:val="007F5954"/>
    <w:rsid w:val="00832796"/>
    <w:rsid w:val="00836B45"/>
    <w:rsid w:val="00840E42"/>
    <w:rsid w:val="008454DC"/>
    <w:rsid w:val="00877D9A"/>
    <w:rsid w:val="0089337D"/>
    <w:rsid w:val="0089454F"/>
    <w:rsid w:val="008A1192"/>
    <w:rsid w:val="00966D87"/>
    <w:rsid w:val="00981EC5"/>
    <w:rsid w:val="009A40B0"/>
    <w:rsid w:val="009B7D2B"/>
    <w:rsid w:val="009C50A0"/>
    <w:rsid w:val="009E7A43"/>
    <w:rsid w:val="00A26BD1"/>
    <w:rsid w:val="00A83B99"/>
    <w:rsid w:val="00A83C5E"/>
    <w:rsid w:val="00AB0D7A"/>
    <w:rsid w:val="00AB3F95"/>
    <w:rsid w:val="00AE0317"/>
    <w:rsid w:val="00AE2C7B"/>
    <w:rsid w:val="00AE78FD"/>
    <w:rsid w:val="00AF1AD7"/>
    <w:rsid w:val="00B02132"/>
    <w:rsid w:val="00B026B7"/>
    <w:rsid w:val="00B573A2"/>
    <w:rsid w:val="00B8133B"/>
    <w:rsid w:val="00BB24F3"/>
    <w:rsid w:val="00BC33B4"/>
    <w:rsid w:val="00BD055B"/>
    <w:rsid w:val="00C14E89"/>
    <w:rsid w:val="00C30F60"/>
    <w:rsid w:val="00C41F97"/>
    <w:rsid w:val="00C74DD0"/>
    <w:rsid w:val="00C87FF7"/>
    <w:rsid w:val="00C94993"/>
    <w:rsid w:val="00CA1E5B"/>
    <w:rsid w:val="00CA28DD"/>
    <w:rsid w:val="00CA5EBA"/>
    <w:rsid w:val="00CD3C18"/>
    <w:rsid w:val="00CE3A61"/>
    <w:rsid w:val="00CE5DB3"/>
    <w:rsid w:val="00CE70C0"/>
    <w:rsid w:val="00CF349A"/>
    <w:rsid w:val="00CF7F71"/>
    <w:rsid w:val="00D204C2"/>
    <w:rsid w:val="00D31BDF"/>
    <w:rsid w:val="00D372CE"/>
    <w:rsid w:val="00D64EBB"/>
    <w:rsid w:val="00D66CB3"/>
    <w:rsid w:val="00E30F3A"/>
    <w:rsid w:val="00E334BE"/>
    <w:rsid w:val="00E507B4"/>
    <w:rsid w:val="00EA5E6D"/>
    <w:rsid w:val="00EF4E10"/>
    <w:rsid w:val="00F0552F"/>
    <w:rsid w:val="00F54A9F"/>
    <w:rsid w:val="00F73807"/>
    <w:rsid w:val="00F766B3"/>
    <w:rsid w:val="00FA5A79"/>
    <w:rsid w:val="00FB2B34"/>
    <w:rsid w:val="00FC758D"/>
    <w:rsid w:val="00FD700E"/>
    <w:rsid w:val="00FF70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1147F821-496E-44B7-A1B5-3DE71D0E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F60"/>
    <w:pPr>
      <w:overflowPunct w:val="0"/>
      <w:autoSpaceDE w:val="0"/>
      <w:autoSpaceDN w:val="0"/>
      <w:adjustRightInd w:val="0"/>
      <w:jc w:val="left"/>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A0C19"/>
    <w:pPr>
      <w:overflowPunct/>
      <w:autoSpaceDE/>
      <w:autoSpaceDN/>
      <w:adjustRightInd/>
      <w:spacing w:before="100" w:beforeAutospacing="1" w:after="100" w:afterAutospacing="1"/>
      <w:textAlignment w:val="auto"/>
    </w:pPr>
    <w:rPr>
      <w:sz w:val="24"/>
      <w:szCs w:val="24"/>
      <w:lang w:val="es-ES"/>
    </w:rPr>
  </w:style>
  <w:style w:type="character" w:customStyle="1" w:styleId="apple-converted-space">
    <w:name w:val="apple-converted-space"/>
    <w:basedOn w:val="Fuentedeprrafopredeter"/>
    <w:rsid w:val="005A0C19"/>
  </w:style>
  <w:style w:type="character" w:styleId="Hipervnculo">
    <w:name w:val="Hyperlink"/>
    <w:basedOn w:val="Fuentedeprrafopredeter"/>
    <w:uiPriority w:val="99"/>
    <w:unhideWhenUsed/>
    <w:rsid w:val="005A0C19"/>
    <w:rPr>
      <w:color w:val="0000FF"/>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texto de nota al p"/>
    <w:basedOn w:val="Normal"/>
    <w:link w:val="TextonotapieCar"/>
    <w:qFormat/>
    <w:rsid w:val="00832796"/>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rsid w:val="00832796"/>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 de nota al pie 2,referencia nota al pie,Pie de Página,FC,Texto de nota al pi,Appel note de bas de page,Footnotes refss,Footnote number,BVI fnr,f,4_G,16 Point,Superscript 6 Point,Texto nota al pie,Nota de pie"/>
    <w:basedOn w:val="Fuentedeprrafopredeter"/>
    <w:uiPriority w:val="99"/>
    <w:qFormat/>
    <w:rsid w:val="00832796"/>
    <w:rPr>
      <w:vertAlign w:val="superscript"/>
    </w:rPr>
  </w:style>
  <w:style w:type="paragraph" w:styleId="Textoindependiente">
    <w:name w:val="Body Text"/>
    <w:basedOn w:val="Normal"/>
    <w:link w:val="TextoindependienteCar"/>
    <w:rsid w:val="00832796"/>
    <w:rPr>
      <w:sz w:val="28"/>
      <w:lang w:val="es-ES"/>
    </w:rPr>
  </w:style>
  <w:style w:type="character" w:customStyle="1" w:styleId="TextoindependienteCar">
    <w:name w:val="Texto independiente Car"/>
    <w:basedOn w:val="Fuentedeprrafopredeter"/>
    <w:link w:val="Textoindependiente"/>
    <w:rsid w:val="00832796"/>
    <w:rPr>
      <w:rFonts w:ascii="Times New Roman" w:eastAsia="Times New Roman" w:hAnsi="Times New Roman" w:cs="Times New Roman"/>
      <w:sz w:val="28"/>
      <w:szCs w:val="20"/>
      <w:lang w:eastAsia="es-ES"/>
    </w:rPr>
  </w:style>
  <w:style w:type="paragraph" w:customStyle="1" w:styleId="Default">
    <w:name w:val="Default"/>
    <w:rsid w:val="00832796"/>
    <w:pPr>
      <w:autoSpaceDE w:val="0"/>
      <w:autoSpaceDN w:val="0"/>
      <w:adjustRightInd w:val="0"/>
      <w:jc w:val="left"/>
    </w:pPr>
    <w:rPr>
      <w:rFonts w:ascii="Trebuchet MS" w:eastAsia="Times New Roman" w:hAnsi="Trebuchet MS" w:cs="Trebuchet MS"/>
      <w:color w:val="000000"/>
      <w:sz w:val="24"/>
      <w:szCs w:val="24"/>
      <w:lang w:eastAsia="es-ES"/>
    </w:rPr>
  </w:style>
  <w:style w:type="paragraph" w:styleId="Prrafodelista">
    <w:name w:val="List Paragraph"/>
    <w:basedOn w:val="Normal"/>
    <w:uiPriority w:val="34"/>
    <w:qFormat/>
    <w:rsid w:val="00C41F97"/>
    <w:pPr>
      <w:ind w:left="720"/>
      <w:contextualSpacing/>
    </w:pPr>
  </w:style>
  <w:style w:type="paragraph" w:customStyle="1" w:styleId="parrafo">
    <w:name w:val="parrafo"/>
    <w:basedOn w:val="Normal"/>
    <w:rsid w:val="00981EC5"/>
    <w:pPr>
      <w:overflowPunct/>
      <w:autoSpaceDE/>
      <w:autoSpaceDN/>
      <w:adjustRightInd/>
      <w:spacing w:before="100" w:beforeAutospacing="1" w:after="100" w:afterAutospacing="1"/>
      <w:textAlignment w:val="auto"/>
    </w:pPr>
    <w:rPr>
      <w:sz w:val="24"/>
      <w:szCs w:val="24"/>
      <w:lang w:val="es-ES"/>
    </w:rPr>
  </w:style>
  <w:style w:type="character" w:styleId="Textoennegrita">
    <w:name w:val="Strong"/>
    <w:basedOn w:val="Fuentedeprrafopredeter"/>
    <w:uiPriority w:val="22"/>
    <w:qFormat/>
    <w:rsid w:val="00981EC5"/>
    <w:rPr>
      <w:b/>
      <w:bCs/>
    </w:rPr>
  </w:style>
  <w:style w:type="paragraph" w:styleId="Encabezado">
    <w:name w:val="header"/>
    <w:basedOn w:val="Normal"/>
    <w:link w:val="EncabezadoCar"/>
    <w:unhideWhenUsed/>
    <w:rsid w:val="00EA5E6D"/>
    <w:pPr>
      <w:tabs>
        <w:tab w:val="center" w:pos="4252"/>
        <w:tab w:val="right" w:pos="8504"/>
      </w:tabs>
    </w:pPr>
  </w:style>
  <w:style w:type="character" w:customStyle="1" w:styleId="EncabezadoCar">
    <w:name w:val="Encabezado Car"/>
    <w:basedOn w:val="Fuentedeprrafopredeter"/>
    <w:link w:val="Encabezado"/>
    <w:rsid w:val="00EA5E6D"/>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EA5E6D"/>
    <w:pPr>
      <w:tabs>
        <w:tab w:val="center" w:pos="4252"/>
        <w:tab w:val="right" w:pos="8504"/>
      </w:tabs>
    </w:pPr>
  </w:style>
  <w:style w:type="character" w:customStyle="1" w:styleId="PiedepginaCar">
    <w:name w:val="Pie de página Car"/>
    <w:basedOn w:val="Fuentedeprrafopredeter"/>
    <w:link w:val="Piedepgina"/>
    <w:uiPriority w:val="99"/>
    <w:rsid w:val="00EA5E6D"/>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D64EBB"/>
    <w:rPr>
      <w:rFonts w:ascii="Tahoma" w:hAnsi="Tahoma" w:cs="Tahoma"/>
      <w:sz w:val="16"/>
      <w:szCs w:val="16"/>
    </w:rPr>
  </w:style>
  <w:style w:type="character" w:customStyle="1" w:styleId="TextodegloboCar">
    <w:name w:val="Texto de globo Car"/>
    <w:basedOn w:val="Fuentedeprrafopredeter"/>
    <w:link w:val="Textodeglobo"/>
    <w:uiPriority w:val="99"/>
    <w:semiHidden/>
    <w:rsid w:val="00D64EBB"/>
    <w:rPr>
      <w:rFonts w:ascii="Tahoma" w:eastAsia="Times New Roman" w:hAnsi="Tahoma" w:cs="Tahoma"/>
      <w:sz w:val="16"/>
      <w:szCs w:val="16"/>
      <w:lang w:val="es-ES_tradnl" w:eastAsia="es-ES"/>
    </w:rPr>
  </w:style>
  <w:style w:type="paragraph" w:styleId="Sinespaciado">
    <w:name w:val="No Spacing"/>
    <w:qFormat/>
    <w:rsid w:val="003F0735"/>
    <w:pPr>
      <w:jc w:val="left"/>
    </w:pPr>
    <w:rPr>
      <w:rFonts w:ascii="Verdana" w:eastAsia="Times New Roman" w:hAnsi="Verdana"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97650">
      <w:bodyDiv w:val="1"/>
      <w:marLeft w:val="0"/>
      <w:marRight w:val="0"/>
      <w:marTop w:val="0"/>
      <w:marBottom w:val="0"/>
      <w:divBdr>
        <w:top w:val="none" w:sz="0" w:space="0" w:color="auto"/>
        <w:left w:val="none" w:sz="0" w:space="0" w:color="auto"/>
        <w:bottom w:val="none" w:sz="0" w:space="0" w:color="auto"/>
        <w:right w:val="none" w:sz="0" w:space="0" w:color="auto"/>
      </w:divBdr>
    </w:div>
    <w:div w:id="326400178">
      <w:bodyDiv w:val="1"/>
      <w:marLeft w:val="0"/>
      <w:marRight w:val="0"/>
      <w:marTop w:val="0"/>
      <w:marBottom w:val="0"/>
      <w:divBdr>
        <w:top w:val="none" w:sz="0" w:space="0" w:color="auto"/>
        <w:left w:val="none" w:sz="0" w:space="0" w:color="auto"/>
        <w:bottom w:val="none" w:sz="0" w:space="0" w:color="auto"/>
        <w:right w:val="none" w:sz="0" w:space="0" w:color="auto"/>
      </w:divBdr>
    </w:div>
    <w:div w:id="481046922">
      <w:bodyDiv w:val="1"/>
      <w:marLeft w:val="0"/>
      <w:marRight w:val="0"/>
      <w:marTop w:val="0"/>
      <w:marBottom w:val="0"/>
      <w:divBdr>
        <w:top w:val="none" w:sz="0" w:space="0" w:color="auto"/>
        <w:left w:val="none" w:sz="0" w:space="0" w:color="auto"/>
        <w:bottom w:val="none" w:sz="0" w:space="0" w:color="auto"/>
        <w:right w:val="none" w:sz="0" w:space="0" w:color="auto"/>
      </w:divBdr>
    </w:div>
    <w:div w:id="680199135">
      <w:bodyDiv w:val="1"/>
      <w:marLeft w:val="0"/>
      <w:marRight w:val="0"/>
      <w:marTop w:val="0"/>
      <w:marBottom w:val="0"/>
      <w:divBdr>
        <w:top w:val="none" w:sz="0" w:space="0" w:color="auto"/>
        <w:left w:val="none" w:sz="0" w:space="0" w:color="auto"/>
        <w:bottom w:val="none" w:sz="0" w:space="0" w:color="auto"/>
        <w:right w:val="none" w:sz="0" w:space="0" w:color="auto"/>
      </w:divBdr>
    </w:div>
    <w:div w:id="956643039">
      <w:bodyDiv w:val="1"/>
      <w:marLeft w:val="0"/>
      <w:marRight w:val="0"/>
      <w:marTop w:val="0"/>
      <w:marBottom w:val="0"/>
      <w:divBdr>
        <w:top w:val="none" w:sz="0" w:space="0" w:color="auto"/>
        <w:left w:val="none" w:sz="0" w:space="0" w:color="auto"/>
        <w:bottom w:val="none" w:sz="0" w:space="0" w:color="auto"/>
        <w:right w:val="none" w:sz="0" w:space="0" w:color="auto"/>
      </w:divBdr>
    </w:div>
    <w:div w:id="1195190624">
      <w:bodyDiv w:val="1"/>
      <w:marLeft w:val="0"/>
      <w:marRight w:val="0"/>
      <w:marTop w:val="0"/>
      <w:marBottom w:val="0"/>
      <w:divBdr>
        <w:top w:val="none" w:sz="0" w:space="0" w:color="auto"/>
        <w:left w:val="none" w:sz="0" w:space="0" w:color="auto"/>
        <w:bottom w:val="none" w:sz="0" w:space="0" w:color="auto"/>
        <w:right w:val="none" w:sz="0" w:space="0" w:color="auto"/>
      </w:divBdr>
    </w:div>
    <w:div w:id="1548293461">
      <w:bodyDiv w:val="1"/>
      <w:marLeft w:val="0"/>
      <w:marRight w:val="0"/>
      <w:marTop w:val="0"/>
      <w:marBottom w:val="0"/>
      <w:divBdr>
        <w:top w:val="none" w:sz="0" w:space="0" w:color="auto"/>
        <w:left w:val="none" w:sz="0" w:space="0" w:color="auto"/>
        <w:bottom w:val="none" w:sz="0" w:space="0" w:color="auto"/>
        <w:right w:val="none" w:sz="0" w:space="0" w:color="auto"/>
      </w:divBdr>
    </w:div>
    <w:div w:id="1831285095">
      <w:bodyDiv w:val="1"/>
      <w:marLeft w:val="0"/>
      <w:marRight w:val="0"/>
      <w:marTop w:val="0"/>
      <w:marBottom w:val="0"/>
      <w:divBdr>
        <w:top w:val="none" w:sz="0" w:space="0" w:color="auto"/>
        <w:left w:val="none" w:sz="0" w:space="0" w:color="auto"/>
        <w:bottom w:val="none" w:sz="0" w:space="0" w:color="auto"/>
        <w:right w:val="none" w:sz="0" w:space="0" w:color="auto"/>
      </w:divBdr>
    </w:div>
    <w:div w:id="1978492436">
      <w:bodyDiv w:val="1"/>
      <w:marLeft w:val="0"/>
      <w:marRight w:val="0"/>
      <w:marTop w:val="0"/>
      <w:marBottom w:val="0"/>
      <w:divBdr>
        <w:top w:val="none" w:sz="0" w:space="0" w:color="auto"/>
        <w:left w:val="none" w:sz="0" w:space="0" w:color="auto"/>
        <w:bottom w:val="none" w:sz="0" w:space="0" w:color="auto"/>
        <w:right w:val="none" w:sz="0" w:space="0" w:color="auto"/>
      </w:divBdr>
    </w:div>
    <w:div w:id="1986079000">
      <w:bodyDiv w:val="1"/>
      <w:marLeft w:val="0"/>
      <w:marRight w:val="0"/>
      <w:marTop w:val="0"/>
      <w:marBottom w:val="0"/>
      <w:divBdr>
        <w:top w:val="none" w:sz="0" w:space="0" w:color="auto"/>
        <w:left w:val="none" w:sz="0" w:space="0" w:color="auto"/>
        <w:bottom w:val="none" w:sz="0" w:space="0" w:color="auto"/>
        <w:right w:val="none" w:sz="0" w:space="0" w:color="auto"/>
      </w:divBdr>
    </w:div>
    <w:div w:id="200284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rencie.com/conciliacion.html" TargetMode="Externa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PROCESOS%20-%20SALUD%20TUTELA%20Y%20R.%20DIREC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PROCESOS%20-%20SALUD%20TUTELA%20Y%20R.%20DIREC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ACCIONES DE TUTELA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Jdo.1º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Hoja1!$A$2:$A$5</c:f>
              <c:numCache>
                <c:formatCode>General</c:formatCode>
                <c:ptCount val="4"/>
                <c:pt idx="0">
                  <c:v>2013</c:v>
                </c:pt>
                <c:pt idx="1">
                  <c:v>2014</c:v>
                </c:pt>
                <c:pt idx="2">
                  <c:v>2015</c:v>
                </c:pt>
                <c:pt idx="3">
                  <c:v>2016</c:v>
                </c:pt>
              </c:numCache>
            </c:numRef>
          </c:cat>
          <c:val>
            <c:numRef>
              <c:f>Hoja1!$B$2:$B$5</c:f>
              <c:numCache>
                <c:formatCode>General</c:formatCode>
                <c:ptCount val="4"/>
                <c:pt idx="0">
                  <c:v>17</c:v>
                </c:pt>
                <c:pt idx="1">
                  <c:v>12</c:v>
                </c:pt>
                <c:pt idx="2">
                  <c:v>13</c:v>
                </c:pt>
                <c:pt idx="3">
                  <c:v>5</c:v>
                </c:pt>
              </c:numCache>
            </c:numRef>
          </c:val>
        </c:ser>
        <c:ser>
          <c:idx val="1"/>
          <c:order val="1"/>
          <c:tx>
            <c:strRef>
              <c:f>Hoja1!$C$1</c:f>
              <c:strCache>
                <c:ptCount val="1"/>
                <c:pt idx="0">
                  <c:v>Jdo.2º</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Hoja1!$A$2:$A$5</c:f>
              <c:numCache>
                <c:formatCode>General</c:formatCode>
                <c:ptCount val="4"/>
                <c:pt idx="0">
                  <c:v>2013</c:v>
                </c:pt>
                <c:pt idx="1">
                  <c:v>2014</c:v>
                </c:pt>
                <c:pt idx="2">
                  <c:v>2015</c:v>
                </c:pt>
                <c:pt idx="3">
                  <c:v>2016</c:v>
                </c:pt>
              </c:numCache>
            </c:numRef>
          </c:cat>
          <c:val>
            <c:numRef>
              <c:f>Hoja1!$C$2:$C$5</c:f>
              <c:numCache>
                <c:formatCode>General</c:formatCode>
                <c:ptCount val="4"/>
                <c:pt idx="0">
                  <c:v>28</c:v>
                </c:pt>
                <c:pt idx="1">
                  <c:v>19</c:v>
                </c:pt>
                <c:pt idx="2">
                  <c:v>30</c:v>
                </c:pt>
                <c:pt idx="3">
                  <c:v>13</c:v>
                </c:pt>
              </c:numCache>
            </c:numRef>
          </c:val>
        </c:ser>
        <c:ser>
          <c:idx val="2"/>
          <c:order val="2"/>
          <c:tx>
            <c:strRef>
              <c:f>Hoja1!$D$1</c:f>
              <c:strCache>
                <c:ptCount val="1"/>
                <c:pt idx="0">
                  <c:v>Tribunal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Hoja1!$A$2:$A$5</c:f>
              <c:numCache>
                <c:formatCode>General</c:formatCode>
                <c:ptCount val="4"/>
                <c:pt idx="0">
                  <c:v>2013</c:v>
                </c:pt>
                <c:pt idx="1">
                  <c:v>2014</c:v>
                </c:pt>
                <c:pt idx="2">
                  <c:v>2015</c:v>
                </c:pt>
                <c:pt idx="3">
                  <c:v>2016</c:v>
                </c:pt>
              </c:numCache>
            </c:numRef>
          </c:cat>
          <c:val>
            <c:numRef>
              <c:f>Hoja1!$D$2:$D$5</c:f>
              <c:numCache>
                <c:formatCode>General</c:formatCode>
                <c:ptCount val="4"/>
                <c:pt idx="0">
                  <c:v>10</c:v>
                </c:pt>
                <c:pt idx="1">
                  <c:v>15</c:v>
                </c:pt>
                <c:pt idx="2">
                  <c:v>4</c:v>
                </c:pt>
                <c:pt idx="3">
                  <c:v>14</c:v>
                </c:pt>
              </c:numCache>
            </c:numRef>
          </c:val>
        </c:ser>
        <c:dLbls>
          <c:showLegendKey val="0"/>
          <c:showVal val="0"/>
          <c:showCatName val="0"/>
          <c:showSerName val="0"/>
          <c:showPercent val="0"/>
          <c:showBubbleSize val="0"/>
        </c:dLbls>
        <c:gapWidth val="219"/>
        <c:overlap val="-27"/>
        <c:axId val="-735161840"/>
        <c:axId val="-735153136"/>
      </c:barChart>
      <c:catAx>
        <c:axId val="-73516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735153136"/>
        <c:crosses val="autoZero"/>
        <c:auto val="1"/>
        <c:lblAlgn val="ctr"/>
        <c:lblOffset val="100"/>
        <c:noMultiLvlLbl val="0"/>
      </c:catAx>
      <c:valAx>
        <c:axId val="-735153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7351618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ES"/>
              <a:t>PROCENTAJE DE TUTELAS TRAMITADAS</a:t>
            </a:r>
          </a:p>
          <a:p>
            <a:pPr>
              <a:defRPr/>
            </a:pPr>
            <a:endParaRPr lang="es-ES"/>
          </a:p>
        </c:rich>
      </c:tx>
      <c:layout>
        <c:manualLayout>
          <c:xMode val="edge"/>
          <c:yMode val="edge"/>
          <c:x val="0.23178455818022747"/>
          <c:y val="1.8518518518518517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Hoja2!$C$20</c:f>
              <c:strCache>
                <c:ptCount val="1"/>
                <c:pt idx="0">
                  <c:v>2013</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Hoja2!$B$21:$B$23</c:f>
              <c:strCache>
                <c:ptCount val="3"/>
                <c:pt idx="0">
                  <c:v>Juzgado 1</c:v>
                </c:pt>
                <c:pt idx="1">
                  <c:v>juzgado 2</c:v>
                </c:pt>
                <c:pt idx="2">
                  <c:v>Tribunal</c:v>
                </c:pt>
              </c:strCache>
            </c:strRef>
          </c:cat>
          <c:val>
            <c:numRef>
              <c:f>Hoja2!$C$21:$C$23</c:f>
              <c:numCache>
                <c:formatCode>0.00%</c:formatCode>
                <c:ptCount val="3"/>
                <c:pt idx="0" formatCode="0%">
                  <c:v>0.36</c:v>
                </c:pt>
                <c:pt idx="1">
                  <c:v>0.56000000000000005</c:v>
                </c:pt>
                <c:pt idx="2">
                  <c:v>0.08</c:v>
                </c:pt>
              </c:numCache>
            </c:numRef>
          </c:val>
        </c:ser>
        <c:ser>
          <c:idx val="1"/>
          <c:order val="1"/>
          <c:tx>
            <c:strRef>
              <c:f>Hoja2!$D$20</c:f>
              <c:strCache>
                <c:ptCount val="1"/>
                <c:pt idx="0">
                  <c:v>2014</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Hoja2!$B$21:$B$23</c:f>
              <c:strCache>
                <c:ptCount val="3"/>
                <c:pt idx="0">
                  <c:v>Juzgado 1</c:v>
                </c:pt>
                <c:pt idx="1">
                  <c:v>juzgado 2</c:v>
                </c:pt>
                <c:pt idx="2">
                  <c:v>Tribunal</c:v>
                </c:pt>
              </c:strCache>
            </c:strRef>
          </c:cat>
          <c:val>
            <c:numRef>
              <c:f>Hoja2!$D$21:$D$23</c:f>
              <c:numCache>
                <c:formatCode>0.00%</c:formatCode>
                <c:ptCount val="3"/>
                <c:pt idx="0" formatCode="0%">
                  <c:v>0.29270000000000002</c:v>
                </c:pt>
                <c:pt idx="1">
                  <c:v>0.46339999999999998</c:v>
                </c:pt>
                <c:pt idx="2">
                  <c:v>0.24390000000000001</c:v>
                </c:pt>
              </c:numCache>
            </c:numRef>
          </c:val>
        </c:ser>
        <c:ser>
          <c:idx val="2"/>
          <c:order val="2"/>
          <c:tx>
            <c:strRef>
              <c:f>Hoja2!$E$20</c:f>
              <c:strCache>
                <c:ptCount val="1"/>
                <c:pt idx="0">
                  <c:v>2015</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Hoja2!$B$21:$B$23</c:f>
              <c:strCache>
                <c:ptCount val="3"/>
                <c:pt idx="0">
                  <c:v>Juzgado 1</c:v>
                </c:pt>
                <c:pt idx="1">
                  <c:v>juzgado 2</c:v>
                </c:pt>
                <c:pt idx="2">
                  <c:v>Tribunal</c:v>
                </c:pt>
              </c:strCache>
            </c:strRef>
          </c:cat>
          <c:val>
            <c:numRef>
              <c:f>Hoja2!$E$21:$E$23</c:f>
              <c:numCache>
                <c:formatCode>0.00%</c:formatCode>
                <c:ptCount val="3"/>
                <c:pt idx="0" formatCode="0%">
                  <c:v>0.25</c:v>
                </c:pt>
                <c:pt idx="1">
                  <c:v>0.57689999999999997</c:v>
                </c:pt>
                <c:pt idx="2">
                  <c:v>0.1731</c:v>
                </c:pt>
              </c:numCache>
            </c:numRef>
          </c:val>
        </c:ser>
        <c:ser>
          <c:idx val="3"/>
          <c:order val="3"/>
          <c:tx>
            <c:strRef>
              <c:f>Hoja2!$F$20</c:f>
              <c:strCache>
                <c:ptCount val="1"/>
                <c:pt idx="0">
                  <c:v>2016</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Hoja2!$B$21:$B$23</c:f>
              <c:strCache>
                <c:ptCount val="3"/>
                <c:pt idx="0">
                  <c:v>Juzgado 1</c:v>
                </c:pt>
                <c:pt idx="1">
                  <c:v>juzgado 2</c:v>
                </c:pt>
                <c:pt idx="2">
                  <c:v>Tribunal</c:v>
                </c:pt>
              </c:strCache>
            </c:strRef>
          </c:cat>
          <c:val>
            <c:numRef>
              <c:f>Hoja2!$F$21:$F$23</c:f>
              <c:numCache>
                <c:formatCode>0.00%</c:formatCode>
                <c:ptCount val="3"/>
                <c:pt idx="0" formatCode="0%">
                  <c:v>0.15</c:v>
                </c:pt>
                <c:pt idx="1">
                  <c:v>0.40629999999999999</c:v>
                </c:pt>
                <c:pt idx="2">
                  <c:v>0.4375</c:v>
                </c:pt>
              </c:numCache>
            </c:numRef>
          </c:val>
        </c:ser>
        <c:dLbls>
          <c:dLblPos val="outEnd"/>
          <c:showLegendKey val="0"/>
          <c:showVal val="1"/>
          <c:showCatName val="0"/>
          <c:showSerName val="0"/>
          <c:showPercent val="0"/>
          <c:showBubbleSize val="0"/>
        </c:dLbls>
        <c:gapWidth val="444"/>
        <c:overlap val="-90"/>
        <c:axId val="-735152592"/>
        <c:axId val="-735152048"/>
      </c:barChart>
      <c:catAx>
        <c:axId val="-7351525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ES"/>
          </a:p>
        </c:txPr>
        <c:crossAx val="-735152048"/>
        <c:crosses val="autoZero"/>
        <c:auto val="1"/>
        <c:lblAlgn val="ctr"/>
        <c:lblOffset val="100"/>
        <c:noMultiLvlLbl val="0"/>
      </c:catAx>
      <c:valAx>
        <c:axId val="-735152048"/>
        <c:scaling>
          <c:orientation val="minMax"/>
        </c:scaling>
        <c:delete val="1"/>
        <c:axPos val="l"/>
        <c:numFmt formatCode="0%" sourceLinked="1"/>
        <c:majorTickMark val="none"/>
        <c:minorTickMark val="none"/>
        <c:tickLblPos val="nextTo"/>
        <c:crossAx val="-73515259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60949256342957"/>
          <c:y val="0.18300925925925926"/>
          <c:w val="0.86221347331583542"/>
          <c:h val="0.35695282881306506"/>
        </c:manualLayout>
      </c:layout>
      <c:bar3DChart>
        <c:barDir val="col"/>
        <c:grouping val="clustered"/>
        <c:varyColors val="0"/>
        <c:ser>
          <c:idx val="0"/>
          <c:order val="0"/>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Hoja3!$F$18:$F$28</c:f>
              <c:strCache>
                <c:ptCount val="11"/>
                <c:pt idx="0">
                  <c:v>Sec. Salud mun. Yopal</c:v>
                </c:pt>
                <c:pt idx="1">
                  <c:v>Sec, salud departamental</c:v>
                </c:pt>
                <c:pt idx="2">
                  <c:v>Capresoca</c:v>
                </c:pt>
                <c:pt idx="3">
                  <c:v>Ejercito Nacional</c:v>
                </c:pt>
                <c:pt idx="4">
                  <c:v>Min. Defensa</c:v>
                </c:pt>
                <c:pt idx="5">
                  <c:v>Hospital de Yopal</c:v>
                </c:pt>
                <c:pt idx="6">
                  <c:v>Clínica Casanare</c:v>
                </c:pt>
                <c:pt idx="7">
                  <c:v>Nueva EPS</c:v>
                </c:pt>
                <c:pt idx="8">
                  <c:v>H. Aguazul.</c:v>
                </c:pt>
                <c:pt idx="9">
                  <c:v>Inpec</c:v>
                </c:pt>
                <c:pt idx="10">
                  <c:v>H. Tauramena.</c:v>
                </c:pt>
              </c:strCache>
            </c:strRef>
          </c:cat>
          <c:val>
            <c:numRef>
              <c:f>Hoja3!$G$18:$G$28</c:f>
              <c:numCache>
                <c:formatCode>General</c:formatCode>
                <c:ptCount val="11"/>
              </c:numCache>
            </c:numRef>
          </c:val>
        </c:ser>
        <c:ser>
          <c:idx val="1"/>
          <c:order val="1"/>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Hoja3!$F$18:$F$28</c:f>
              <c:strCache>
                <c:ptCount val="11"/>
                <c:pt idx="0">
                  <c:v>Sec. Salud mun. Yopal</c:v>
                </c:pt>
                <c:pt idx="1">
                  <c:v>Sec, salud departamental</c:v>
                </c:pt>
                <c:pt idx="2">
                  <c:v>Capresoca</c:v>
                </c:pt>
                <c:pt idx="3">
                  <c:v>Ejercito Nacional</c:v>
                </c:pt>
                <c:pt idx="4">
                  <c:v>Min. Defensa</c:v>
                </c:pt>
                <c:pt idx="5">
                  <c:v>Hospital de Yopal</c:v>
                </c:pt>
                <c:pt idx="6">
                  <c:v>Clínica Casanare</c:v>
                </c:pt>
                <c:pt idx="7">
                  <c:v>Nueva EPS</c:v>
                </c:pt>
                <c:pt idx="8">
                  <c:v>H. Aguazul.</c:v>
                </c:pt>
                <c:pt idx="9">
                  <c:v>Inpec</c:v>
                </c:pt>
                <c:pt idx="10">
                  <c:v>H. Tauramena.</c:v>
                </c:pt>
              </c:strCache>
            </c:strRef>
          </c:cat>
          <c:val>
            <c:numRef>
              <c:f>Hoja3!$H$18:$H$28</c:f>
              <c:numCache>
                <c:formatCode>General</c:formatCode>
                <c:ptCount val="11"/>
                <c:pt idx="0">
                  <c:v>13.89</c:v>
                </c:pt>
                <c:pt idx="1">
                  <c:v>13.33</c:v>
                </c:pt>
                <c:pt idx="2">
                  <c:v>11.11</c:v>
                </c:pt>
                <c:pt idx="3">
                  <c:v>10</c:v>
                </c:pt>
                <c:pt idx="4">
                  <c:v>8.33</c:v>
                </c:pt>
                <c:pt idx="5">
                  <c:v>8.33</c:v>
                </c:pt>
                <c:pt idx="6">
                  <c:v>6.67</c:v>
                </c:pt>
                <c:pt idx="7">
                  <c:v>6.67</c:v>
                </c:pt>
                <c:pt idx="8">
                  <c:v>6.11</c:v>
                </c:pt>
                <c:pt idx="9">
                  <c:v>6.11</c:v>
                </c:pt>
                <c:pt idx="10">
                  <c:v>4.4400000000000004</c:v>
                </c:pt>
              </c:numCache>
            </c:numRef>
          </c:val>
        </c:ser>
        <c:dLbls>
          <c:showLegendKey val="0"/>
          <c:showVal val="1"/>
          <c:showCatName val="0"/>
          <c:showSerName val="0"/>
          <c:showPercent val="0"/>
          <c:showBubbleSize val="0"/>
        </c:dLbls>
        <c:gapWidth val="150"/>
        <c:shape val="box"/>
        <c:axId val="-735148784"/>
        <c:axId val="-735158032"/>
        <c:axId val="0"/>
      </c:bar3DChart>
      <c:catAx>
        <c:axId val="-7351487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ES"/>
          </a:p>
        </c:txPr>
        <c:crossAx val="-735158032"/>
        <c:crosses val="autoZero"/>
        <c:auto val="1"/>
        <c:lblAlgn val="ctr"/>
        <c:lblOffset val="100"/>
        <c:noMultiLvlLbl val="0"/>
      </c:catAx>
      <c:valAx>
        <c:axId val="-735158032"/>
        <c:scaling>
          <c:orientation val="minMax"/>
        </c:scaling>
        <c:delete val="1"/>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crossAx val="-735148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REPARACIÓN DIRECTA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Jdo. 1º</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Hoja1!$A$2:$A$5</c:f>
              <c:numCache>
                <c:formatCode>General</c:formatCode>
                <c:ptCount val="4"/>
                <c:pt idx="0">
                  <c:v>2013</c:v>
                </c:pt>
                <c:pt idx="1">
                  <c:v>2014</c:v>
                </c:pt>
                <c:pt idx="2">
                  <c:v>2015</c:v>
                </c:pt>
                <c:pt idx="3">
                  <c:v>2016</c:v>
                </c:pt>
              </c:numCache>
            </c:numRef>
          </c:cat>
          <c:val>
            <c:numRef>
              <c:f>Hoja1!$B$2:$B$5</c:f>
              <c:numCache>
                <c:formatCode>General</c:formatCode>
                <c:ptCount val="4"/>
                <c:pt idx="0">
                  <c:v>9</c:v>
                </c:pt>
                <c:pt idx="1">
                  <c:v>7</c:v>
                </c:pt>
                <c:pt idx="2">
                  <c:v>8</c:v>
                </c:pt>
                <c:pt idx="3">
                  <c:v>7</c:v>
                </c:pt>
              </c:numCache>
            </c:numRef>
          </c:val>
        </c:ser>
        <c:ser>
          <c:idx val="1"/>
          <c:order val="1"/>
          <c:tx>
            <c:strRef>
              <c:f>Hoja1!$C$1</c:f>
              <c:strCache>
                <c:ptCount val="1"/>
                <c:pt idx="0">
                  <c:v>Jdo. 2º</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Hoja1!$A$2:$A$5</c:f>
              <c:numCache>
                <c:formatCode>General</c:formatCode>
                <c:ptCount val="4"/>
                <c:pt idx="0">
                  <c:v>2013</c:v>
                </c:pt>
                <c:pt idx="1">
                  <c:v>2014</c:v>
                </c:pt>
                <c:pt idx="2">
                  <c:v>2015</c:v>
                </c:pt>
                <c:pt idx="3">
                  <c:v>2016</c:v>
                </c:pt>
              </c:numCache>
            </c:numRef>
          </c:cat>
          <c:val>
            <c:numRef>
              <c:f>Hoja1!$C$2:$C$5</c:f>
              <c:numCache>
                <c:formatCode>General</c:formatCode>
                <c:ptCount val="4"/>
                <c:pt idx="0">
                  <c:v>14</c:v>
                </c:pt>
                <c:pt idx="1">
                  <c:v>7</c:v>
                </c:pt>
                <c:pt idx="2">
                  <c:v>11</c:v>
                </c:pt>
                <c:pt idx="3">
                  <c:v>6</c:v>
                </c:pt>
              </c:numCache>
            </c:numRef>
          </c:val>
        </c:ser>
        <c:ser>
          <c:idx val="2"/>
          <c:order val="2"/>
          <c:tx>
            <c:strRef>
              <c:f>Hoja1!$D$1</c:f>
              <c:strCache>
                <c:ptCount val="1"/>
                <c:pt idx="0">
                  <c:v>Tribunal</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Hoja1!$A$2:$A$5</c:f>
              <c:numCache>
                <c:formatCode>General</c:formatCode>
                <c:ptCount val="4"/>
                <c:pt idx="0">
                  <c:v>2013</c:v>
                </c:pt>
                <c:pt idx="1">
                  <c:v>2014</c:v>
                </c:pt>
                <c:pt idx="2">
                  <c:v>2015</c:v>
                </c:pt>
                <c:pt idx="3">
                  <c:v>2016</c:v>
                </c:pt>
              </c:numCache>
            </c:numRef>
          </c:cat>
          <c:val>
            <c:numRef>
              <c:f>Hoja1!$D$2:$D$5</c:f>
              <c:numCache>
                <c:formatCode>General</c:formatCode>
                <c:ptCount val="4"/>
                <c:pt idx="0">
                  <c:v>6</c:v>
                </c:pt>
                <c:pt idx="1">
                  <c:v>3</c:v>
                </c:pt>
                <c:pt idx="2">
                  <c:v>3</c:v>
                </c:pt>
                <c:pt idx="3">
                  <c:v>4</c:v>
                </c:pt>
              </c:numCache>
            </c:numRef>
          </c:val>
        </c:ser>
        <c:dLbls>
          <c:dLblPos val="outEnd"/>
          <c:showLegendKey val="0"/>
          <c:showVal val="1"/>
          <c:showCatName val="0"/>
          <c:showSerName val="0"/>
          <c:showPercent val="0"/>
          <c:showBubbleSize val="0"/>
        </c:dLbls>
        <c:gapWidth val="219"/>
        <c:overlap val="-27"/>
        <c:axId val="-735150960"/>
        <c:axId val="-735157488"/>
      </c:barChart>
      <c:catAx>
        <c:axId val="-735150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735157488"/>
        <c:crosses val="autoZero"/>
        <c:auto val="1"/>
        <c:lblAlgn val="ctr"/>
        <c:lblOffset val="100"/>
        <c:noMultiLvlLbl val="0"/>
      </c:catAx>
      <c:valAx>
        <c:axId val="-735157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7351509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6DF1C-5EC0-4DFB-8BAC-B1E4722A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15</Pages>
  <Words>6057</Words>
  <Characters>33315</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Barrera Blanco</dc:creator>
  <cp:keywords/>
  <dc:description/>
  <cp:lastModifiedBy>Jesús Barrera Blanco</cp:lastModifiedBy>
  <cp:revision>28</cp:revision>
  <cp:lastPrinted>2016-09-19T12:46:00Z</cp:lastPrinted>
  <dcterms:created xsi:type="dcterms:W3CDTF">2016-09-07T19:29:00Z</dcterms:created>
  <dcterms:modified xsi:type="dcterms:W3CDTF">2016-09-19T12:55:00Z</dcterms:modified>
</cp:coreProperties>
</file>