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F5" w:rsidRDefault="00FC44F5" w:rsidP="001468B4">
      <w:pPr>
        <w:spacing w:after="0" w:line="360" w:lineRule="auto"/>
        <w:jc w:val="both"/>
        <w:rPr>
          <w:rFonts w:ascii="Century Gothic" w:eastAsia="Calibri" w:hAnsi="Century Gothic" w:cs="Arial"/>
          <w:lang w:val="es-CO"/>
        </w:rPr>
      </w:pPr>
    </w:p>
    <w:p w:rsidR="009843B9" w:rsidRPr="0099226F" w:rsidRDefault="009843B9" w:rsidP="001468B4">
      <w:pPr>
        <w:spacing w:after="0" w:line="360" w:lineRule="auto"/>
        <w:jc w:val="both"/>
        <w:rPr>
          <w:rFonts w:ascii="Century Gothic" w:eastAsia="Calibri" w:hAnsi="Century Gothic" w:cs="Arial"/>
          <w:lang w:val="es-CO"/>
        </w:rPr>
      </w:pPr>
      <w:bookmarkStart w:id="0" w:name="_GoBack"/>
      <w:bookmarkEnd w:id="0"/>
      <w:r w:rsidRPr="0099226F">
        <w:rPr>
          <w:rFonts w:ascii="Century Gothic" w:eastAsia="Calibri" w:hAnsi="Century Gothic" w:cs="Arial"/>
          <w:lang w:val="es-CO"/>
        </w:rPr>
        <w:t xml:space="preserve">Cartagena de </w:t>
      </w:r>
      <w:r w:rsidR="001468B4" w:rsidRPr="0099226F">
        <w:rPr>
          <w:rFonts w:ascii="Century Gothic" w:eastAsia="Calibri" w:hAnsi="Century Gothic" w:cs="Arial"/>
          <w:lang w:val="es-CO"/>
        </w:rPr>
        <w:t>I</w:t>
      </w:r>
      <w:r w:rsidRPr="0099226F">
        <w:rPr>
          <w:rFonts w:ascii="Century Gothic" w:eastAsia="Calibri" w:hAnsi="Century Gothic" w:cs="Arial"/>
          <w:lang w:val="es-CO"/>
        </w:rPr>
        <w:t>ndias D</w:t>
      </w:r>
      <w:r w:rsidR="001468B4" w:rsidRPr="0099226F">
        <w:rPr>
          <w:rFonts w:ascii="Century Gothic" w:eastAsia="Calibri" w:hAnsi="Century Gothic" w:cs="Arial"/>
          <w:lang w:val="es-CO"/>
        </w:rPr>
        <w:t xml:space="preserve"> </w:t>
      </w:r>
      <w:r w:rsidRPr="0099226F">
        <w:rPr>
          <w:rFonts w:ascii="Century Gothic" w:eastAsia="Calibri" w:hAnsi="Century Gothic" w:cs="Arial"/>
          <w:lang w:val="es-CO"/>
        </w:rPr>
        <w:t xml:space="preserve">T </w:t>
      </w:r>
      <w:r w:rsidR="00053488" w:rsidRPr="0099226F">
        <w:rPr>
          <w:rFonts w:ascii="Century Gothic" w:eastAsia="Calibri" w:hAnsi="Century Gothic" w:cs="Arial"/>
          <w:lang w:val="es-CO"/>
        </w:rPr>
        <w:t>C,</w:t>
      </w:r>
      <w:r w:rsidR="001468B4" w:rsidRPr="0099226F">
        <w:rPr>
          <w:rFonts w:ascii="Century Gothic" w:eastAsia="Calibri" w:hAnsi="Century Gothic" w:cs="Arial"/>
          <w:lang w:val="es-CO"/>
        </w:rPr>
        <w:t xml:space="preserve"> veintisiete</w:t>
      </w:r>
      <w:r w:rsidR="00053488" w:rsidRPr="0099226F">
        <w:rPr>
          <w:rFonts w:ascii="Century Gothic" w:eastAsia="Calibri" w:hAnsi="Century Gothic" w:cs="Arial"/>
          <w:lang w:val="es-CO"/>
        </w:rPr>
        <w:t xml:space="preserve"> </w:t>
      </w:r>
      <w:r w:rsidR="00704B28" w:rsidRPr="0099226F">
        <w:rPr>
          <w:rFonts w:ascii="Century Gothic" w:eastAsia="Calibri" w:hAnsi="Century Gothic" w:cs="Arial"/>
          <w:lang w:val="es-CO"/>
        </w:rPr>
        <w:t>(</w:t>
      </w:r>
      <w:r w:rsidR="001468B4" w:rsidRPr="0099226F">
        <w:rPr>
          <w:rFonts w:ascii="Century Gothic" w:eastAsia="Calibri" w:hAnsi="Century Gothic" w:cs="Arial"/>
          <w:lang w:val="es-CO"/>
        </w:rPr>
        <w:t>27</w:t>
      </w:r>
      <w:r w:rsidRPr="0099226F">
        <w:rPr>
          <w:rFonts w:ascii="Century Gothic" w:eastAsia="Calibri" w:hAnsi="Century Gothic" w:cs="Arial"/>
          <w:lang w:val="es-CO"/>
        </w:rPr>
        <w:t>) de</w:t>
      </w:r>
      <w:r w:rsidR="001468B4" w:rsidRPr="0099226F">
        <w:rPr>
          <w:rFonts w:ascii="Century Gothic" w:eastAsia="Calibri" w:hAnsi="Century Gothic" w:cs="Arial"/>
          <w:lang w:val="es-CO"/>
        </w:rPr>
        <w:t xml:space="preserve"> octubre</w:t>
      </w:r>
      <w:r w:rsidRPr="0099226F">
        <w:rPr>
          <w:rFonts w:ascii="Century Gothic" w:eastAsia="Calibri" w:hAnsi="Century Gothic" w:cs="Arial"/>
          <w:lang w:val="es-CO"/>
        </w:rPr>
        <w:t xml:space="preserve"> </w:t>
      </w:r>
      <w:r w:rsidR="00053488" w:rsidRPr="0099226F">
        <w:rPr>
          <w:rFonts w:ascii="Century Gothic" w:eastAsia="Calibri" w:hAnsi="Century Gothic" w:cs="Arial"/>
          <w:lang w:val="es-CO"/>
        </w:rPr>
        <w:t>de dos mil quince (2015)</w:t>
      </w:r>
    </w:p>
    <w:p w:rsidR="002852BE" w:rsidRPr="0099226F" w:rsidRDefault="002852BE" w:rsidP="00C5321A">
      <w:pPr>
        <w:pStyle w:val="Prrafodelista"/>
        <w:widowControl w:val="0"/>
        <w:autoSpaceDE w:val="0"/>
        <w:autoSpaceDN w:val="0"/>
        <w:adjustRightInd w:val="0"/>
        <w:spacing w:after="0" w:line="240" w:lineRule="auto"/>
        <w:ind w:left="675"/>
        <w:jc w:val="both"/>
        <w:rPr>
          <w:rFonts w:ascii="Century Gothic" w:hAnsi="Century Gothic"/>
          <w:bCs/>
          <w:highlight w:val="yellow"/>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1C17E9" w:rsidRPr="0099226F" w:rsidTr="00442CD0">
        <w:trPr>
          <w:trHeight w:val="359"/>
        </w:trPr>
        <w:tc>
          <w:tcPr>
            <w:tcW w:w="1399" w:type="pct"/>
            <w:vAlign w:val="center"/>
          </w:tcPr>
          <w:p w:rsidR="009843B9" w:rsidRPr="0099226F" w:rsidRDefault="009843B9" w:rsidP="00C5321A">
            <w:pPr>
              <w:spacing w:after="0" w:line="240" w:lineRule="auto"/>
              <w:jc w:val="both"/>
              <w:rPr>
                <w:rFonts w:ascii="Century Gothic" w:hAnsi="Century Gothic" w:cs="Arial"/>
                <w:b/>
              </w:rPr>
            </w:pPr>
            <w:r w:rsidRPr="0099226F">
              <w:rPr>
                <w:rFonts w:ascii="Century Gothic" w:hAnsi="Century Gothic" w:cs="Arial"/>
                <w:b/>
              </w:rPr>
              <w:t>Medio de control</w:t>
            </w:r>
          </w:p>
        </w:tc>
        <w:tc>
          <w:tcPr>
            <w:tcW w:w="3601" w:type="pct"/>
            <w:vAlign w:val="center"/>
          </w:tcPr>
          <w:p w:rsidR="009843B9" w:rsidRPr="0099226F" w:rsidRDefault="009843B9" w:rsidP="00C5321A">
            <w:pPr>
              <w:spacing w:after="0" w:line="240" w:lineRule="auto"/>
              <w:jc w:val="both"/>
              <w:rPr>
                <w:rFonts w:ascii="Century Gothic" w:hAnsi="Century Gothic" w:cs="Arial"/>
              </w:rPr>
            </w:pPr>
            <w:r w:rsidRPr="0099226F">
              <w:rPr>
                <w:rFonts w:ascii="Century Gothic" w:eastAsia="Arial Unicode MS" w:hAnsi="Century Gothic" w:cs="Arial"/>
              </w:rPr>
              <w:t>NULIDAD Y RESTABLECIMIENTO DEL DERECHO</w:t>
            </w:r>
          </w:p>
        </w:tc>
      </w:tr>
      <w:tr w:rsidR="001C17E9" w:rsidRPr="0099226F" w:rsidTr="00442CD0">
        <w:trPr>
          <w:trHeight w:val="345"/>
        </w:trPr>
        <w:tc>
          <w:tcPr>
            <w:tcW w:w="1399" w:type="pct"/>
            <w:vAlign w:val="center"/>
          </w:tcPr>
          <w:p w:rsidR="009843B9" w:rsidRPr="0099226F" w:rsidRDefault="009843B9" w:rsidP="00C5321A">
            <w:pPr>
              <w:spacing w:after="0" w:line="240" w:lineRule="auto"/>
              <w:jc w:val="both"/>
              <w:rPr>
                <w:rFonts w:ascii="Century Gothic" w:hAnsi="Century Gothic" w:cs="Arial"/>
                <w:b/>
              </w:rPr>
            </w:pPr>
            <w:r w:rsidRPr="0099226F">
              <w:rPr>
                <w:rFonts w:ascii="Century Gothic" w:hAnsi="Century Gothic" w:cs="Arial"/>
                <w:b/>
              </w:rPr>
              <w:t>Radicado</w:t>
            </w:r>
          </w:p>
        </w:tc>
        <w:tc>
          <w:tcPr>
            <w:tcW w:w="3601" w:type="pct"/>
            <w:vAlign w:val="center"/>
          </w:tcPr>
          <w:p w:rsidR="009843B9" w:rsidRPr="0099226F" w:rsidRDefault="008F4BC3" w:rsidP="00C5321A">
            <w:pPr>
              <w:spacing w:after="0" w:line="240" w:lineRule="auto"/>
              <w:jc w:val="both"/>
              <w:rPr>
                <w:rFonts w:ascii="Century Gothic" w:hAnsi="Century Gothic" w:cs="Arial"/>
              </w:rPr>
            </w:pPr>
            <w:r w:rsidRPr="0099226F">
              <w:rPr>
                <w:rFonts w:ascii="Century Gothic" w:hAnsi="Century Gothic" w:cs="Arial"/>
              </w:rPr>
              <w:t>130013333004-2014-00025-01</w:t>
            </w:r>
          </w:p>
        </w:tc>
      </w:tr>
      <w:tr w:rsidR="001C17E9" w:rsidRPr="0099226F" w:rsidTr="00442CD0">
        <w:trPr>
          <w:trHeight w:val="345"/>
        </w:trPr>
        <w:tc>
          <w:tcPr>
            <w:tcW w:w="1399" w:type="pct"/>
            <w:vAlign w:val="center"/>
          </w:tcPr>
          <w:p w:rsidR="009843B9" w:rsidRPr="0099226F" w:rsidRDefault="009843B9" w:rsidP="00C5321A">
            <w:pPr>
              <w:spacing w:after="0" w:line="240" w:lineRule="auto"/>
              <w:jc w:val="both"/>
              <w:rPr>
                <w:rFonts w:ascii="Century Gothic" w:hAnsi="Century Gothic" w:cs="Arial"/>
                <w:b/>
              </w:rPr>
            </w:pPr>
            <w:r w:rsidRPr="0099226F">
              <w:rPr>
                <w:rFonts w:ascii="Century Gothic" w:hAnsi="Century Gothic" w:cs="Arial"/>
                <w:b/>
              </w:rPr>
              <w:t>Demandante</w:t>
            </w:r>
          </w:p>
        </w:tc>
        <w:tc>
          <w:tcPr>
            <w:tcW w:w="3601" w:type="pct"/>
            <w:vAlign w:val="center"/>
          </w:tcPr>
          <w:p w:rsidR="009843B9" w:rsidRPr="0099226F" w:rsidRDefault="008F4BC3" w:rsidP="00C5321A">
            <w:pPr>
              <w:spacing w:after="0" w:line="240" w:lineRule="auto"/>
              <w:jc w:val="both"/>
              <w:rPr>
                <w:rFonts w:ascii="Century Gothic" w:hAnsi="Century Gothic" w:cs="Arial"/>
              </w:rPr>
            </w:pPr>
            <w:r w:rsidRPr="0099226F">
              <w:rPr>
                <w:rFonts w:ascii="Century Gothic" w:hAnsi="Century Gothic" w:cs="Arial"/>
              </w:rPr>
              <w:t>CARMEN ELENA CASTRO CORDERO</w:t>
            </w:r>
          </w:p>
        </w:tc>
      </w:tr>
      <w:tr w:rsidR="001C17E9" w:rsidRPr="0099226F" w:rsidTr="00442CD0">
        <w:trPr>
          <w:trHeight w:val="345"/>
        </w:trPr>
        <w:tc>
          <w:tcPr>
            <w:tcW w:w="1399" w:type="pct"/>
            <w:vAlign w:val="center"/>
          </w:tcPr>
          <w:p w:rsidR="009843B9" w:rsidRPr="0099226F" w:rsidRDefault="009843B9" w:rsidP="00C5321A">
            <w:pPr>
              <w:spacing w:after="0" w:line="240" w:lineRule="auto"/>
              <w:jc w:val="both"/>
              <w:rPr>
                <w:rFonts w:ascii="Century Gothic" w:hAnsi="Century Gothic" w:cs="Arial"/>
                <w:b/>
              </w:rPr>
            </w:pPr>
            <w:r w:rsidRPr="0099226F">
              <w:rPr>
                <w:rFonts w:ascii="Century Gothic" w:hAnsi="Century Gothic" w:cs="Arial"/>
                <w:b/>
              </w:rPr>
              <w:t>Demandado</w:t>
            </w:r>
          </w:p>
        </w:tc>
        <w:tc>
          <w:tcPr>
            <w:tcW w:w="3601" w:type="pct"/>
            <w:vAlign w:val="center"/>
          </w:tcPr>
          <w:p w:rsidR="009843B9" w:rsidRPr="0099226F" w:rsidRDefault="009432D4" w:rsidP="00C5321A">
            <w:pPr>
              <w:spacing w:after="0" w:line="240" w:lineRule="auto"/>
              <w:jc w:val="both"/>
              <w:rPr>
                <w:rFonts w:ascii="Century Gothic" w:hAnsi="Century Gothic" w:cs="Arial"/>
              </w:rPr>
            </w:pPr>
            <w:r w:rsidRPr="0099226F">
              <w:rPr>
                <w:rFonts w:ascii="Century Gothic" w:hAnsi="Century Gothic" w:cs="Arial"/>
              </w:rPr>
              <w:t>UGPP</w:t>
            </w:r>
          </w:p>
        </w:tc>
      </w:tr>
      <w:tr w:rsidR="001C17E9" w:rsidRPr="0099226F" w:rsidTr="00442CD0">
        <w:trPr>
          <w:trHeight w:val="345"/>
        </w:trPr>
        <w:tc>
          <w:tcPr>
            <w:tcW w:w="1399" w:type="pct"/>
            <w:vAlign w:val="center"/>
          </w:tcPr>
          <w:p w:rsidR="008F4BC3" w:rsidRPr="0099226F" w:rsidRDefault="008F4BC3" w:rsidP="00C5321A">
            <w:pPr>
              <w:spacing w:after="0" w:line="240" w:lineRule="auto"/>
              <w:jc w:val="both"/>
              <w:rPr>
                <w:rFonts w:ascii="Century Gothic" w:hAnsi="Century Gothic" w:cs="Arial"/>
                <w:b/>
              </w:rPr>
            </w:pPr>
            <w:r w:rsidRPr="0099226F">
              <w:rPr>
                <w:rFonts w:ascii="Century Gothic" w:hAnsi="Century Gothic" w:cs="Arial"/>
                <w:b/>
              </w:rPr>
              <w:t>Tema</w:t>
            </w:r>
          </w:p>
        </w:tc>
        <w:tc>
          <w:tcPr>
            <w:tcW w:w="3601" w:type="pct"/>
            <w:vAlign w:val="center"/>
          </w:tcPr>
          <w:p w:rsidR="008F4BC3" w:rsidRPr="0099226F" w:rsidRDefault="008F4BC3" w:rsidP="004570A6">
            <w:pPr>
              <w:spacing w:after="0" w:line="240" w:lineRule="auto"/>
              <w:jc w:val="both"/>
              <w:rPr>
                <w:rFonts w:ascii="Century Gothic" w:hAnsi="Century Gothic" w:cs="Arial"/>
              </w:rPr>
            </w:pPr>
            <w:r w:rsidRPr="0099226F">
              <w:rPr>
                <w:rFonts w:ascii="Century Gothic" w:hAnsi="Century Gothic" w:cs="Arial"/>
              </w:rPr>
              <w:t>Reliquidación pensional inclusión de todos los factores salariales</w:t>
            </w:r>
            <w:r w:rsidR="004570A6" w:rsidRPr="0099226F">
              <w:rPr>
                <w:rFonts w:ascii="Century Gothic" w:hAnsi="Century Gothic" w:cs="Arial"/>
              </w:rPr>
              <w:t>/</w:t>
            </w:r>
            <w:r w:rsidR="004570A6" w:rsidRPr="0099226F">
              <w:rPr>
                <w:rFonts w:ascii="Century Gothic" w:hAnsi="Century Gothic" w:cs="Arial"/>
                <w:b/>
              </w:rPr>
              <w:t>Rectificación de criterio</w:t>
            </w:r>
          </w:p>
        </w:tc>
      </w:tr>
      <w:tr w:rsidR="001C17E9" w:rsidRPr="0099226F" w:rsidTr="00442CD0">
        <w:trPr>
          <w:trHeight w:val="345"/>
        </w:trPr>
        <w:tc>
          <w:tcPr>
            <w:tcW w:w="1399" w:type="pct"/>
            <w:vAlign w:val="center"/>
          </w:tcPr>
          <w:p w:rsidR="009843B9" w:rsidRPr="0099226F" w:rsidRDefault="009843B9" w:rsidP="00C5321A">
            <w:pPr>
              <w:pStyle w:val="Encabezado"/>
              <w:jc w:val="both"/>
              <w:rPr>
                <w:rFonts w:ascii="Century Gothic" w:hAnsi="Century Gothic" w:cs="Arial"/>
                <w:b/>
              </w:rPr>
            </w:pPr>
            <w:r w:rsidRPr="0099226F">
              <w:rPr>
                <w:rFonts w:ascii="Century Gothic" w:eastAsia="Calibri" w:hAnsi="Century Gothic" w:cs="Arial"/>
                <w:b/>
                <w:lang w:val="es-CO"/>
              </w:rPr>
              <w:t xml:space="preserve">Magistrado Ponente </w:t>
            </w:r>
          </w:p>
        </w:tc>
        <w:tc>
          <w:tcPr>
            <w:tcW w:w="3601" w:type="pct"/>
            <w:vAlign w:val="center"/>
          </w:tcPr>
          <w:p w:rsidR="009843B9" w:rsidRPr="0099226F" w:rsidRDefault="009843B9" w:rsidP="00C5321A">
            <w:pPr>
              <w:spacing w:after="0" w:line="240" w:lineRule="auto"/>
              <w:jc w:val="both"/>
              <w:rPr>
                <w:rFonts w:ascii="Century Gothic" w:hAnsi="Century Gothic" w:cs="Arial"/>
              </w:rPr>
            </w:pPr>
            <w:r w:rsidRPr="0099226F">
              <w:rPr>
                <w:rFonts w:ascii="Century Gothic" w:hAnsi="Century Gothic" w:cs="Arial"/>
              </w:rPr>
              <w:t>HIRINA MEZA RHÉNALS</w:t>
            </w:r>
          </w:p>
        </w:tc>
      </w:tr>
    </w:tbl>
    <w:p w:rsidR="009843B9" w:rsidRPr="0099226F" w:rsidRDefault="00ED7427" w:rsidP="001468B4">
      <w:pPr>
        <w:tabs>
          <w:tab w:val="left" w:pos="7290"/>
        </w:tabs>
        <w:spacing w:after="0" w:line="360" w:lineRule="auto"/>
        <w:jc w:val="both"/>
        <w:rPr>
          <w:rFonts w:ascii="Century Gothic" w:hAnsi="Century Gothic" w:cs="Arial"/>
          <w:b/>
          <w:sz w:val="24"/>
          <w:szCs w:val="24"/>
        </w:rPr>
      </w:pPr>
      <w:r w:rsidRPr="0099226F">
        <w:rPr>
          <w:rFonts w:ascii="Century Gothic" w:hAnsi="Century Gothic" w:cs="Arial"/>
          <w:b/>
          <w:sz w:val="24"/>
          <w:szCs w:val="24"/>
        </w:rPr>
        <w:tab/>
      </w:r>
    </w:p>
    <w:p w:rsidR="009843B9" w:rsidRPr="0099226F" w:rsidRDefault="009843B9" w:rsidP="001468B4">
      <w:pPr>
        <w:pStyle w:val="Textonormal"/>
        <w:spacing w:line="360" w:lineRule="auto"/>
        <w:rPr>
          <w:rFonts w:ascii="Century Gothic" w:hAnsi="Century Gothic" w:cs="Century Gothic"/>
          <w:szCs w:val="24"/>
        </w:rPr>
      </w:pPr>
      <w:r w:rsidRPr="0099226F">
        <w:rPr>
          <w:rFonts w:ascii="Century Gothic" w:hAnsi="Century Gothic" w:cs="Century Gothic"/>
          <w:szCs w:val="24"/>
          <w:lang w:val="es-ES"/>
        </w:rPr>
        <w:t>Procede</w:t>
      </w:r>
      <w:r w:rsidRPr="0099226F">
        <w:rPr>
          <w:rFonts w:ascii="Century Gothic" w:hAnsi="Century Gothic" w:cs="Century Gothic"/>
          <w:szCs w:val="24"/>
        </w:rPr>
        <w:t xml:space="preserve"> el Tribunal Administrativo de Bolívar a pronunciarse respecto del recurso de apelación interpuesto por la parte demandada contra la sentencia de fecha </w:t>
      </w:r>
      <w:r w:rsidR="003C399B" w:rsidRPr="0099226F">
        <w:rPr>
          <w:rFonts w:ascii="Century Gothic" w:hAnsi="Century Gothic" w:cs="Century Gothic"/>
          <w:szCs w:val="24"/>
        </w:rPr>
        <w:t>treinta (30</w:t>
      </w:r>
      <w:r w:rsidRPr="0099226F">
        <w:rPr>
          <w:rFonts w:ascii="Century Gothic" w:hAnsi="Century Gothic" w:cs="Century Gothic"/>
          <w:szCs w:val="24"/>
        </w:rPr>
        <w:t xml:space="preserve">) de </w:t>
      </w:r>
      <w:r w:rsidR="003C399B" w:rsidRPr="0099226F">
        <w:rPr>
          <w:rFonts w:ascii="Century Gothic" w:hAnsi="Century Gothic" w:cs="Century Gothic"/>
          <w:szCs w:val="24"/>
        </w:rPr>
        <w:t xml:space="preserve">septiembre </w:t>
      </w:r>
      <w:r w:rsidR="005B5C2A" w:rsidRPr="0099226F">
        <w:rPr>
          <w:rFonts w:ascii="Century Gothic" w:hAnsi="Century Gothic" w:cs="Century Gothic"/>
          <w:szCs w:val="24"/>
        </w:rPr>
        <w:t>d</w:t>
      </w:r>
      <w:r w:rsidRPr="0099226F">
        <w:rPr>
          <w:rFonts w:ascii="Century Gothic" w:hAnsi="Century Gothic" w:cs="Century Gothic"/>
          <w:szCs w:val="24"/>
        </w:rPr>
        <w:t xml:space="preserve">e </w:t>
      </w:r>
      <w:r w:rsidR="005B5C2A" w:rsidRPr="0099226F">
        <w:rPr>
          <w:rFonts w:ascii="Century Gothic" w:hAnsi="Century Gothic" w:cs="Century Gothic"/>
          <w:szCs w:val="24"/>
        </w:rPr>
        <w:t>dos mil catorce (2014)</w:t>
      </w:r>
      <w:r w:rsidRPr="0099226F">
        <w:rPr>
          <w:rFonts w:ascii="Century Gothic" w:hAnsi="Century Gothic" w:cs="Century Gothic"/>
          <w:szCs w:val="24"/>
        </w:rPr>
        <w:t xml:space="preserve">, proferida por el Juzgado </w:t>
      </w:r>
      <w:r w:rsidR="008F4BC3" w:rsidRPr="0099226F">
        <w:rPr>
          <w:rFonts w:ascii="Century Gothic" w:hAnsi="Century Gothic" w:cs="Century Gothic"/>
          <w:szCs w:val="24"/>
        </w:rPr>
        <w:t xml:space="preserve">Cuarto </w:t>
      </w:r>
      <w:r w:rsidR="005B5C2A" w:rsidRPr="0099226F">
        <w:rPr>
          <w:rFonts w:ascii="Century Gothic" w:hAnsi="Century Gothic" w:cs="Century Gothic"/>
          <w:szCs w:val="24"/>
        </w:rPr>
        <w:t xml:space="preserve">Administrativo </w:t>
      </w:r>
      <w:r w:rsidRPr="0099226F">
        <w:rPr>
          <w:rFonts w:ascii="Century Gothic" w:hAnsi="Century Gothic" w:cs="Century Gothic"/>
          <w:szCs w:val="24"/>
        </w:rPr>
        <w:t xml:space="preserve">del Circuito de Cartagena, </w:t>
      </w:r>
      <w:r w:rsidR="00C07876" w:rsidRPr="0099226F">
        <w:rPr>
          <w:rFonts w:ascii="Century Gothic" w:hAnsi="Century Gothic" w:cs="Century Gothic"/>
          <w:szCs w:val="24"/>
        </w:rPr>
        <w:t>mediante la cual se</w:t>
      </w:r>
      <w:r w:rsidR="0037302B" w:rsidRPr="0099226F">
        <w:rPr>
          <w:rFonts w:ascii="Century Gothic" w:hAnsi="Century Gothic" w:cs="Century Gothic"/>
          <w:szCs w:val="24"/>
        </w:rPr>
        <w:t xml:space="preserve"> accedió a las pretensiones de la </w:t>
      </w:r>
      <w:r w:rsidR="00C07876" w:rsidRPr="0099226F">
        <w:rPr>
          <w:rFonts w:ascii="Century Gothic" w:hAnsi="Century Gothic" w:cs="Century Gothic"/>
          <w:szCs w:val="24"/>
        </w:rPr>
        <w:t>demanda.</w:t>
      </w:r>
    </w:p>
    <w:p w:rsidR="009843B9" w:rsidRPr="0099226F" w:rsidRDefault="009843B9" w:rsidP="001468B4">
      <w:pPr>
        <w:spacing w:after="0" w:line="360" w:lineRule="auto"/>
        <w:jc w:val="both"/>
        <w:rPr>
          <w:rFonts w:ascii="Century Gothic" w:hAnsi="Century Gothic" w:cs="Century Gothic"/>
          <w:sz w:val="24"/>
          <w:szCs w:val="24"/>
          <w:lang w:val="es-ES_tradnl"/>
        </w:rPr>
      </w:pPr>
    </w:p>
    <w:p w:rsidR="009843B9" w:rsidRPr="0099226F" w:rsidRDefault="009843B9" w:rsidP="001468B4">
      <w:pPr>
        <w:pStyle w:val="Textonormal"/>
        <w:numPr>
          <w:ilvl w:val="0"/>
          <w:numId w:val="6"/>
        </w:numPr>
        <w:spacing w:line="360" w:lineRule="auto"/>
        <w:jc w:val="center"/>
        <w:rPr>
          <w:rFonts w:ascii="Century Gothic" w:hAnsi="Century Gothic" w:cs="Century Gothic"/>
          <w:b/>
          <w:bCs/>
          <w:szCs w:val="24"/>
          <w:lang w:val="es-ES"/>
        </w:rPr>
      </w:pPr>
      <w:r w:rsidRPr="0099226F">
        <w:rPr>
          <w:rFonts w:ascii="Century Gothic" w:hAnsi="Century Gothic" w:cs="Century Gothic"/>
          <w:b/>
          <w:bCs/>
          <w:szCs w:val="24"/>
          <w:lang w:val="es-ES"/>
        </w:rPr>
        <w:t>ANTECEDENTES</w:t>
      </w:r>
    </w:p>
    <w:p w:rsidR="009843B9" w:rsidRPr="0099226F" w:rsidRDefault="009843B9" w:rsidP="001468B4">
      <w:pPr>
        <w:pStyle w:val="Textonormal"/>
        <w:spacing w:line="360" w:lineRule="auto"/>
        <w:rPr>
          <w:rFonts w:ascii="Century Gothic" w:hAnsi="Century Gothic" w:cs="Century Gothic"/>
          <w:b/>
          <w:bCs/>
          <w:szCs w:val="24"/>
        </w:rPr>
      </w:pPr>
    </w:p>
    <w:p w:rsidR="009843B9" w:rsidRPr="0099226F" w:rsidRDefault="009843B9" w:rsidP="001468B4">
      <w:pPr>
        <w:pStyle w:val="Textonormal"/>
        <w:spacing w:line="360" w:lineRule="auto"/>
        <w:rPr>
          <w:rFonts w:ascii="Century Gothic" w:hAnsi="Century Gothic" w:cs="Century Gothic"/>
          <w:b/>
          <w:bCs/>
          <w:szCs w:val="24"/>
        </w:rPr>
      </w:pPr>
      <w:r w:rsidRPr="0099226F">
        <w:rPr>
          <w:rFonts w:ascii="Century Gothic" w:hAnsi="Century Gothic" w:cs="Century Gothic"/>
          <w:b/>
          <w:bCs/>
          <w:szCs w:val="24"/>
        </w:rPr>
        <w:t>1. La demanda.</w:t>
      </w:r>
    </w:p>
    <w:p w:rsidR="009843B9" w:rsidRPr="0099226F" w:rsidRDefault="009843B9" w:rsidP="001468B4">
      <w:pPr>
        <w:spacing w:after="0" w:line="360" w:lineRule="auto"/>
        <w:jc w:val="both"/>
        <w:rPr>
          <w:rFonts w:ascii="Century Gothic" w:hAnsi="Century Gothic" w:cs="Arial Narrow"/>
          <w:b/>
          <w:iCs/>
          <w:sz w:val="24"/>
          <w:szCs w:val="24"/>
        </w:rPr>
      </w:pPr>
    </w:p>
    <w:p w:rsidR="00AB23BC" w:rsidRPr="0099226F" w:rsidRDefault="009843B9" w:rsidP="001468B4">
      <w:pPr>
        <w:spacing w:after="0" w:line="360" w:lineRule="auto"/>
        <w:jc w:val="both"/>
        <w:rPr>
          <w:rFonts w:ascii="Century Gothic" w:hAnsi="Century Gothic" w:cs="Arial Narrow"/>
          <w:b/>
          <w:iCs/>
          <w:sz w:val="24"/>
          <w:szCs w:val="24"/>
        </w:rPr>
      </w:pPr>
      <w:r w:rsidRPr="0099226F">
        <w:rPr>
          <w:rFonts w:ascii="Century Gothic" w:hAnsi="Century Gothic" w:cs="Arial Narrow"/>
          <w:b/>
          <w:iCs/>
          <w:sz w:val="24"/>
          <w:szCs w:val="24"/>
        </w:rPr>
        <w:t>1.1 Pretensiones.</w:t>
      </w:r>
    </w:p>
    <w:p w:rsidR="008F4BC3" w:rsidRPr="0099226F" w:rsidRDefault="008F4BC3" w:rsidP="001468B4">
      <w:pPr>
        <w:spacing w:after="0" w:line="360" w:lineRule="auto"/>
        <w:jc w:val="both"/>
        <w:rPr>
          <w:rFonts w:ascii="Century Gothic" w:hAnsi="Century Gothic" w:cs="Arial Narrow"/>
          <w:b/>
          <w:iCs/>
          <w:sz w:val="24"/>
          <w:szCs w:val="24"/>
        </w:rPr>
      </w:pPr>
    </w:p>
    <w:p w:rsidR="008F4BC3" w:rsidRPr="0099226F" w:rsidRDefault="008F4BC3" w:rsidP="001468B4">
      <w:pPr>
        <w:spacing w:after="0" w:line="360" w:lineRule="auto"/>
        <w:jc w:val="both"/>
        <w:rPr>
          <w:rFonts w:ascii="Century Gothic" w:eastAsia="Calibri" w:hAnsi="Century Gothic"/>
          <w:sz w:val="24"/>
          <w:szCs w:val="24"/>
          <w:lang w:val="es-CO"/>
        </w:rPr>
      </w:pPr>
      <w:r w:rsidRPr="0099226F">
        <w:rPr>
          <w:rFonts w:ascii="Century Gothic" w:eastAsia="Calibri" w:hAnsi="Century Gothic"/>
          <w:sz w:val="24"/>
          <w:szCs w:val="24"/>
          <w:lang w:val="es-CO"/>
        </w:rPr>
        <w:t xml:space="preserve">En síntesis solicita que se declare la nulidad de las Resoluciones No. 002955 del 12 de febrero de 2010 mediante la cual se negó la reliquidación de la pensión y 010309 del 23 de agosto de 2010 </w:t>
      </w:r>
      <w:r w:rsidR="009D52FC" w:rsidRPr="0099226F">
        <w:rPr>
          <w:rFonts w:ascii="Century Gothic" w:eastAsia="Calibri" w:hAnsi="Century Gothic"/>
          <w:sz w:val="24"/>
          <w:szCs w:val="24"/>
          <w:lang w:val="es-CO"/>
        </w:rPr>
        <w:t xml:space="preserve">por </w:t>
      </w:r>
      <w:r w:rsidRPr="0099226F">
        <w:rPr>
          <w:rFonts w:ascii="Century Gothic" w:eastAsia="Calibri" w:hAnsi="Century Gothic"/>
          <w:sz w:val="24"/>
          <w:szCs w:val="24"/>
          <w:lang w:val="es-CO"/>
        </w:rPr>
        <w:t xml:space="preserve">la cual se resolvió el recurso de reposición confirmando en todas y cada una de sus partes el acto recurrido.  </w:t>
      </w:r>
    </w:p>
    <w:p w:rsidR="008F4BC3" w:rsidRPr="0099226F" w:rsidRDefault="008F4BC3" w:rsidP="001468B4">
      <w:pPr>
        <w:spacing w:after="0" w:line="360" w:lineRule="auto"/>
        <w:jc w:val="both"/>
        <w:rPr>
          <w:rFonts w:ascii="Century Gothic" w:eastAsia="Calibri" w:hAnsi="Century Gothic"/>
          <w:b/>
          <w:sz w:val="24"/>
          <w:szCs w:val="24"/>
          <w:lang w:val="es-CO"/>
        </w:rPr>
      </w:pPr>
    </w:p>
    <w:p w:rsidR="008F4BC3" w:rsidRPr="0099226F" w:rsidRDefault="008F4BC3" w:rsidP="001468B4">
      <w:pPr>
        <w:spacing w:after="0" w:line="360" w:lineRule="auto"/>
        <w:jc w:val="both"/>
        <w:rPr>
          <w:rFonts w:ascii="Century Gothic" w:eastAsia="Calibri" w:hAnsi="Century Gothic"/>
          <w:sz w:val="24"/>
          <w:szCs w:val="24"/>
          <w:lang w:val="es-CO"/>
        </w:rPr>
      </w:pPr>
      <w:r w:rsidRPr="0099226F">
        <w:rPr>
          <w:rFonts w:ascii="Century Gothic" w:eastAsia="Calibri" w:hAnsi="Century Gothic"/>
          <w:sz w:val="24"/>
          <w:szCs w:val="24"/>
          <w:lang w:val="es-CO"/>
        </w:rPr>
        <w:t>En calidad de restablecimiento del derecho, solicita se ordene a la demandada i) reliquidar la pensión con el 75% del promedio devengado en el último año de servicios y la inclusión de todos los factores salariales devengados</w:t>
      </w:r>
      <w:r w:rsidR="00E029F6" w:rsidRPr="0099226F">
        <w:rPr>
          <w:rFonts w:ascii="Century Gothic" w:eastAsia="Calibri" w:hAnsi="Century Gothic"/>
          <w:sz w:val="24"/>
          <w:szCs w:val="24"/>
          <w:lang w:val="es-CO"/>
        </w:rPr>
        <w:t>,</w:t>
      </w:r>
      <w:r w:rsidRPr="0099226F">
        <w:rPr>
          <w:rFonts w:ascii="Century Gothic" w:eastAsia="Calibri" w:hAnsi="Century Gothic"/>
          <w:sz w:val="24"/>
          <w:szCs w:val="24"/>
          <w:lang w:val="es-CO"/>
        </w:rPr>
        <w:t xml:space="preserve"> efectiva a partir del 01 de </w:t>
      </w:r>
      <w:r w:rsidR="006E2AD1" w:rsidRPr="0099226F">
        <w:rPr>
          <w:rFonts w:ascii="Century Gothic" w:eastAsia="Calibri" w:hAnsi="Century Gothic"/>
          <w:sz w:val="24"/>
          <w:szCs w:val="24"/>
          <w:lang w:val="es-CO"/>
        </w:rPr>
        <w:t>enero de 2007,</w:t>
      </w:r>
      <w:r w:rsidRPr="0099226F">
        <w:rPr>
          <w:rFonts w:ascii="Century Gothic" w:eastAsia="Calibri" w:hAnsi="Century Gothic"/>
          <w:sz w:val="24"/>
          <w:szCs w:val="24"/>
          <w:lang w:val="es-CO"/>
        </w:rPr>
        <w:t xml:space="preserve"> ii)  liquidar y pagar a </w:t>
      </w:r>
      <w:r w:rsidRPr="0099226F">
        <w:rPr>
          <w:rFonts w:ascii="Century Gothic" w:eastAsia="Calibri" w:hAnsi="Century Gothic"/>
          <w:sz w:val="24"/>
          <w:szCs w:val="24"/>
          <w:lang w:val="es-CO"/>
        </w:rPr>
        <w:lastRenderedPageBreak/>
        <w:t xml:space="preserve">favor de la demandante las diferencias entre lo que se le ha venido pagando de conformidad con la Resolución </w:t>
      </w:r>
      <w:r w:rsidR="006E2AD1" w:rsidRPr="0099226F">
        <w:rPr>
          <w:rFonts w:ascii="Century Gothic" w:eastAsia="Calibri" w:hAnsi="Century Gothic"/>
          <w:sz w:val="24"/>
          <w:szCs w:val="24"/>
          <w:lang w:val="es-CO"/>
        </w:rPr>
        <w:t>54322 del 1</w:t>
      </w:r>
      <w:r w:rsidRPr="0099226F">
        <w:rPr>
          <w:rFonts w:ascii="Century Gothic" w:eastAsia="Calibri" w:hAnsi="Century Gothic"/>
          <w:sz w:val="24"/>
          <w:szCs w:val="24"/>
          <w:lang w:val="es-CO"/>
        </w:rPr>
        <w:t xml:space="preserve">4 de </w:t>
      </w:r>
      <w:r w:rsidR="006E2AD1" w:rsidRPr="0099226F">
        <w:rPr>
          <w:rFonts w:ascii="Century Gothic" w:eastAsia="Calibri" w:hAnsi="Century Gothic"/>
          <w:sz w:val="24"/>
          <w:szCs w:val="24"/>
          <w:lang w:val="es-CO"/>
        </w:rPr>
        <w:t xml:space="preserve">noviembre </w:t>
      </w:r>
      <w:r w:rsidRPr="0099226F">
        <w:rPr>
          <w:rFonts w:ascii="Century Gothic" w:eastAsia="Calibri" w:hAnsi="Century Gothic"/>
          <w:sz w:val="24"/>
          <w:szCs w:val="24"/>
          <w:lang w:val="es-CO"/>
        </w:rPr>
        <w:t>de 200</w:t>
      </w:r>
      <w:r w:rsidR="006E2AD1" w:rsidRPr="0099226F">
        <w:rPr>
          <w:rFonts w:ascii="Century Gothic" w:eastAsia="Calibri" w:hAnsi="Century Gothic"/>
          <w:sz w:val="24"/>
          <w:szCs w:val="24"/>
          <w:lang w:val="es-CO"/>
        </w:rPr>
        <w:t>7</w:t>
      </w:r>
      <w:r w:rsidRPr="0099226F">
        <w:rPr>
          <w:rFonts w:ascii="Century Gothic" w:eastAsia="Calibri" w:hAnsi="Century Gothic"/>
          <w:sz w:val="24"/>
          <w:szCs w:val="24"/>
          <w:lang w:val="es-CO"/>
        </w:rPr>
        <w:t xml:space="preserve"> y lo que se ordene pagar en la sentencia que ponga fin a este proceso. Iii) </w:t>
      </w:r>
      <w:r w:rsidR="00E029F6" w:rsidRPr="0099226F">
        <w:rPr>
          <w:rFonts w:ascii="Century Gothic" w:eastAsia="Calibri" w:hAnsi="Century Gothic"/>
          <w:sz w:val="24"/>
          <w:szCs w:val="24"/>
          <w:lang w:val="es-CO"/>
        </w:rPr>
        <w:t>Q</w:t>
      </w:r>
      <w:r w:rsidRPr="0099226F">
        <w:rPr>
          <w:rFonts w:ascii="Century Gothic" w:eastAsia="Calibri" w:hAnsi="Century Gothic"/>
          <w:sz w:val="24"/>
          <w:szCs w:val="24"/>
          <w:lang w:val="es-CO"/>
        </w:rPr>
        <w:t xml:space="preserve">ue sobre las sumas </w:t>
      </w:r>
      <w:r w:rsidR="00E029F6" w:rsidRPr="0099226F">
        <w:rPr>
          <w:rFonts w:ascii="Century Gothic" w:eastAsia="Calibri" w:hAnsi="Century Gothic"/>
          <w:sz w:val="24"/>
          <w:szCs w:val="24"/>
          <w:lang w:val="es-CO"/>
        </w:rPr>
        <w:t>a</w:t>
      </w:r>
      <w:r w:rsidRPr="0099226F">
        <w:rPr>
          <w:rFonts w:ascii="Century Gothic" w:eastAsia="Calibri" w:hAnsi="Century Gothic"/>
          <w:sz w:val="24"/>
          <w:szCs w:val="24"/>
          <w:lang w:val="es-CO"/>
        </w:rPr>
        <w:t xml:space="preserve"> pagar, se le apliquen las respectivas actualizaciones </w:t>
      </w:r>
      <w:r w:rsidR="00E029F6" w:rsidRPr="0099226F">
        <w:rPr>
          <w:rFonts w:ascii="Century Gothic" w:eastAsia="Calibri" w:hAnsi="Century Gothic"/>
          <w:sz w:val="24"/>
          <w:szCs w:val="24"/>
          <w:lang w:val="es-CO"/>
        </w:rPr>
        <w:t>e</w:t>
      </w:r>
      <w:r w:rsidRPr="0099226F">
        <w:rPr>
          <w:rFonts w:ascii="Century Gothic" w:eastAsia="Calibri" w:hAnsi="Century Gothic"/>
          <w:sz w:val="24"/>
          <w:szCs w:val="24"/>
          <w:lang w:val="es-CO"/>
        </w:rPr>
        <w:t xml:space="preserve"> intereses conforme lo disponen los artículos 187 y 192 del C.C.A con las formulas, índices y cálculos operacionales, reconocidos y utilizados jurisprudencialmente por el Honorable Consejo de Estado</w:t>
      </w:r>
      <w:r w:rsidR="00E029F6" w:rsidRPr="0099226F">
        <w:rPr>
          <w:rFonts w:ascii="Century Gothic" w:eastAsia="Calibri" w:hAnsi="Century Gothic"/>
          <w:sz w:val="24"/>
          <w:szCs w:val="24"/>
          <w:lang w:val="es-CO"/>
        </w:rPr>
        <w:t>.</w:t>
      </w:r>
      <w:r w:rsidRPr="0099226F">
        <w:rPr>
          <w:rFonts w:ascii="Century Gothic" w:eastAsia="Calibri" w:hAnsi="Century Gothic"/>
          <w:sz w:val="24"/>
          <w:szCs w:val="24"/>
          <w:lang w:val="es-CO"/>
        </w:rPr>
        <w:t xml:space="preserve"> iv) Condenar en costas y agencias en derecho a la entidad demandada, conforme lo dispone el Art. 188 C.C.A.</w:t>
      </w:r>
      <w:r w:rsidR="00E029F6" w:rsidRPr="0099226F">
        <w:rPr>
          <w:rFonts w:ascii="Century Gothic" w:eastAsia="Calibri" w:hAnsi="Century Gothic"/>
          <w:sz w:val="24"/>
          <w:szCs w:val="24"/>
          <w:lang w:val="es-CO"/>
        </w:rPr>
        <w:t xml:space="preserve"> y la jurisprudencia</w:t>
      </w:r>
      <w:r w:rsidRPr="0099226F">
        <w:rPr>
          <w:rFonts w:ascii="Century Gothic" w:eastAsia="Calibri" w:hAnsi="Century Gothic"/>
          <w:sz w:val="24"/>
          <w:szCs w:val="24"/>
          <w:lang w:val="es-CO"/>
        </w:rPr>
        <w:t>.</w:t>
      </w:r>
    </w:p>
    <w:p w:rsidR="006E2AD1" w:rsidRPr="0099226F" w:rsidRDefault="006E2AD1" w:rsidP="001468B4">
      <w:pPr>
        <w:spacing w:after="0" w:line="360" w:lineRule="auto"/>
        <w:jc w:val="both"/>
        <w:rPr>
          <w:rFonts w:ascii="Century Gothic" w:eastAsia="Calibri" w:hAnsi="Century Gothic"/>
          <w:sz w:val="24"/>
          <w:szCs w:val="24"/>
          <w:lang w:val="es-CO"/>
        </w:rPr>
      </w:pPr>
    </w:p>
    <w:p w:rsidR="009843B9" w:rsidRPr="0099226F" w:rsidRDefault="009843B9" w:rsidP="001468B4">
      <w:pPr>
        <w:spacing w:after="0" w:line="360" w:lineRule="auto"/>
        <w:jc w:val="both"/>
        <w:rPr>
          <w:rFonts w:ascii="Century Gothic" w:hAnsi="Century Gothic"/>
          <w:b/>
          <w:sz w:val="24"/>
          <w:szCs w:val="24"/>
        </w:rPr>
      </w:pPr>
      <w:r w:rsidRPr="0099226F">
        <w:rPr>
          <w:rFonts w:ascii="Century Gothic" w:hAnsi="Century Gothic"/>
          <w:b/>
          <w:sz w:val="24"/>
          <w:szCs w:val="24"/>
        </w:rPr>
        <w:t>1.2. Hechos</w:t>
      </w:r>
    </w:p>
    <w:p w:rsidR="006E2AD1" w:rsidRPr="0099226F" w:rsidRDefault="006E2AD1" w:rsidP="001468B4">
      <w:pPr>
        <w:spacing w:after="0" w:line="360" w:lineRule="auto"/>
        <w:jc w:val="both"/>
        <w:rPr>
          <w:rFonts w:ascii="Century Gothic" w:hAnsi="Century Gothic"/>
          <w:b/>
          <w:sz w:val="24"/>
          <w:szCs w:val="24"/>
        </w:rPr>
      </w:pPr>
    </w:p>
    <w:p w:rsidR="00E32576" w:rsidRPr="0099226F" w:rsidRDefault="009843B9" w:rsidP="001468B4">
      <w:pPr>
        <w:spacing w:after="0" w:line="360" w:lineRule="auto"/>
        <w:jc w:val="both"/>
        <w:rPr>
          <w:rFonts w:ascii="Century Gothic" w:hAnsi="Century Gothic"/>
          <w:sz w:val="24"/>
          <w:szCs w:val="24"/>
        </w:rPr>
      </w:pPr>
      <w:r w:rsidRPr="0099226F">
        <w:rPr>
          <w:rFonts w:ascii="Century Gothic" w:hAnsi="Century Gothic"/>
          <w:sz w:val="24"/>
          <w:szCs w:val="24"/>
        </w:rPr>
        <w:t>Se relatan así:</w:t>
      </w:r>
    </w:p>
    <w:p w:rsidR="006E2AD1" w:rsidRPr="0099226F" w:rsidRDefault="006E2AD1" w:rsidP="001468B4">
      <w:pPr>
        <w:spacing w:after="0" w:line="360" w:lineRule="auto"/>
        <w:jc w:val="both"/>
        <w:rPr>
          <w:rFonts w:ascii="Century Gothic" w:hAnsi="Century Gothic"/>
          <w:sz w:val="24"/>
          <w:szCs w:val="24"/>
        </w:rPr>
      </w:pPr>
    </w:p>
    <w:p w:rsidR="006E2AD1" w:rsidRPr="0099226F" w:rsidRDefault="00E32576" w:rsidP="001468B4">
      <w:pPr>
        <w:spacing w:after="0" w:line="360" w:lineRule="auto"/>
        <w:jc w:val="both"/>
        <w:rPr>
          <w:rFonts w:ascii="Century Gothic" w:hAnsi="Century Gothic"/>
          <w:sz w:val="24"/>
          <w:szCs w:val="24"/>
        </w:rPr>
      </w:pPr>
      <w:r w:rsidRPr="0099226F">
        <w:rPr>
          <w:rFonts w:ascii="Century Gothic" w:hAnsi="Century Gothic"/>
          <w:sz w:val="24"/>
          <w:szCs w:val="24"/>
        </w:rPr>
        <w:t>1.2.1.</w:t>
      </w:r>
      <w:r w:rsidR="009F55F4" w:rsidRPr="0099226F">
        <w:rPr>
          <w:rFonts w:ascii="Century Gothic" w:hAnsi="Century Gothic"/>
          <w:sz w:val="24"/>
          <w:szCs w:val="24"/>
        </w:rPr>
        <w:t xml:space="preserve"> </w:t>
      </w:r>
      <w:r w:rsidR="006E2AD1" w:rsidRPr="0099226F">
        <w:rPr>
          <w:rFonts w:ascii="Century Gothic" w:hAnsi="Century Gothic"/>
          <w:sz w:val="24"/>
          <w:szCs w:val="24"/>
        </w:rPr>
        <w:t>Afirma que laboró de forma ininterrumpida durante más de 20 años al servicio del Estado</w:t>
      </w:r>
      <w:r w:rsidR="001727FB" w:rsidRPr="0099226F">
        <w:rPr>
          <w:rFonts w:ascii="Century Gothic" w:hAnsi="Century Gothic"/>
          <w:sz w:val="24"/>
          <w:szCs w:val="24"/>
        </w:rPr>
        <w:t>,</w:t>
      </w:r>
      <w:r w:rsidR="006E2AD1" w:rsidRPr="0099226F">
        <w:rPr>
          <w:rFonts w:ascii="Century Gothic" w:hAnsi="Century Gothic"/>
          <w:sz w:val="24"/>
          <w:szCs w:val="24"/>
        </w:rPr>
        <w:t xml:space="preserve"> hasta el 30 de diciembre de 2006, por lo que se pension</w:t>
      </w:r>
      <w:r w:rsidR="001727FB" w:rsidRPr="0099226F">
        <w:rPr>
          <w:rFonts w:ascii="Century Gothic" w:hAnsi="Century Gothic"/>
          <w:sz w:val="24"/>
          <w:szCs w:val="24"/>
        </w:rPr>
        <w:t>ó</w:t>
      </w:r>
      <w:r w:rsidR="006E2AD1" w:rsidRPr="0099226F">
        <w:rPr>
          <w:rFonts w:ascii="Century Gothic" w:hAnsi="Century Gothic"/>
          <w:sz w:val="24"/>
          <w:szCs w:val="24"/>
        </w:rPr>
        <w:t xml:space="preserve"> con 20 años de servicio y 55 años de edad con cuantía equivalente al promedio de todo lo devengado durante el último año de servicios. </w:t>
      </w:r>
    </w:p>
    <w:p w:rsidR="006E2AD1" w:rsidRPr="0099226F" w:rsidRDefault="006E2AD1" w:rsidP="001468B4">
      <w:pPr>
        <w:spacing w:after="0" w:line="360" w:lineRule="auto"/>
        <w:jc w:val="both"/>
        <w:rPr>
          <w:rFonts w:ascii="Century Gothic" w:hAnsi="Century Gothic"/>
          <w:sz w:val="24"/>
          <w:szCs w:val="24"/>
        </w:rPr>
      </w:pPr>
    </w:p>
    <w:p w:rsidR="006C01B7" w:rsidRPr="0099226F" w:rsidRDefault="006E2AD1"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1.2.2 </w:t>
      </w:r>
      <w:r w:rsidR="00670ADD" w:rsidRPr="0099226F">
        <w:rPr>
          <w:rFonts w:ascii="Century Gothic" w:hAnsi="Century Gothic"/>
          <w:sz w:val="24"/>
          <w:szCs w:val="24"/>
        </w:rPr>
        <w:t xml:space="preserve">Expresa que </w:t>
      </w:r>
      <w:r w:rsidR="009F55F4" w:rsidRPr="0099226F">
        <w:rPr>
          <w:rFonts w:ascii="Century Gothic" w:hAnsi="Century Gothic"/>
          <w:sz w:val="24"/>
          <w:szCs w:val="24"/>
        </w:rPr>
        <w:t xml:space="preserve">CAJANAL reconoció </w:t>
      </w:r>
      <w:r w:rsidR="0053430A" w:rsidRPr="0099226F">
        <w:rPr>
          <w:rFonts w:ascii="Century Gothic" w:hAnsi="Century Gothic"/>
          <w:sz w:val="24"/>
          <w:szCs w:val="24"/>
        </w:rPr>
        <w:t xml:space="preserve">la </w:t>
      </w:r>
      <w:r w:rsidR="009F55F4" w:rsidRPr="0099226F">
        <w:rPr>
          <w:rFonts w:ascii="Century Gothic" w:hAnsi="Century Gothic"/>
          <w:sz w:val="24"/>
          <w:szCs w:val="24"/>
        </w:rPr>
        <w:t>pensión de la acci</w:t>
      </w:r>
      <w:r w:rsidR="0053430A" w:rsidRPr="0099226F">
        <w:rPr>
          <w:rFonts w:ascii="Century Gothic" w:hAnsi="Century Gothic"/>
          <w:sz w:val="24"/>
          <w:szCs w:val="24"/>
        </w:rPr>
        <w:t>onante</w:t>
      </w:r>
      <w:r w:rsidR="009F55F4" w:rsidRPr="0099226F">
        <w:rPr>
          <w:rFonts w:ascii="Century Gothic" w:hAnsi="Century Gothic"/>
          <w:sz w:val="24"/>
          <w:szCs w:val="24"/>
        </w:rPr>
        <w:t xml:space="preserve"> mediante Resolución No. </w:t>
      </w:r>
      <w:r w:rsidRPr="0099226F">
        <w:rPr>
          <w:rFonts w:ascii="Century Gothic" w:hAnsi="Century Gothic"/>
          <w:sz w:val="24"/>
          <w:szCs w:val="24"/>
        </w:rPr>
        <w:t>54322 del 14 de noviembre de 2007</w:t>
      </w:r>
      <w:r w:rsidR="009F55F4" w:rsidRPr="0099226F">
        <w:rPr>
          <w:rFonts w:ascii="Century Gothic" w:hAnsi="Century Gothic"/>
          <w:sz w:val="24"/>
          <w:szCs w:val="24"/>
        </w:rPr>
        <w:t>, en cuantía de $</w:t>
      </w:r>
      <w:r w:rsidRPr="0099226F">
        <w:rPr>
          <w:rFonts w:ascii="Century Gothic" w:hAnsi="Century Gothic"/>
          <w:sz w:val="24"/>
          <w:szCs w:val="24"/>
        </w:rPr>
        <w:t>904.623,83</w:t>
      </w:r>
      <w:r w:rsidR="0053430A" w:rsidRPr="0099226F">
        <w:rPr>
          <w:rFonts w:ascii="Century Gothic" w:hAnsi="Century Gothic"/>
          <w:sz w:val="24"/>
          <w:szCs w:val="24"/>
        </w:rPr>
        <w:t>,</w:t>
      </w:r>
      <w:r w:rsidRPr="0099226F">
        <w:rPr>
          <w:rFonts w:ascii="Century Gothic" w:hAnsi="Century Gothic"/>
          <w:sz w:val="24"/>
          <w:szCs w:val="24"/>
        </w:rPr>
        <w:t xml:space="preserve"> efectiva a partir del 01</w:t>
      </w:r>
      <w:r w:rsidR="009F55F4" w:rsidRPr="0099226F">
        <w:rPr>
          <w:rFonts w:ascii="Century Gothic" w:hAnsi="Century Gothic"/>
          <w:sz w:val="24"/>
          <w:szCs w:val="24"/>
        </w:rPr>
        <w:t xml:space="preserve"> de </w:t>
      </w:r>
      <w:r w:rsidRPr="0099226F">
        <w:rPr>
          <w:rFonts w:ascii="Century Gothic" w:hAnsi="Century Gothic"/>
          <w:sz w:val="24"/>
          <w:szCs w:val="24"/>
        </w:rPr>
        <w:t xml:space="preserve">enero </w:t>
      </w:r>
      <w:r w:rsidR="009F55F4" w:rsidRPr="0099226F">
        <w:rPr>
          <w:rFonts w:ascii="Century Gothic" w:hAnsi="Century Gothic"/>
          <w:sz w:val="24"/>
          <w:szCs w:val="24"/>
        </w:rPr>
        <w:t xml:space="preserve">de </w:t>
      </w:r>
      <w:r w:rsidRPr="0099226F">
        <w:rPr>
          <w:rFonts w:ascii="Century Gothic" w:hAnsi="Century Gothic"/>
          <w:sz w:val="24"/>
          <w:szCs w:val="24"/>
        </w:rPr>
        <w:t>2007, condicionada a demostrar retiro definitivo del servicio oficial</w:t>
      </w:r>
      <w:r w:rsidR="009F55F4" w:rsidRPr="0099226F">
        <w:rPr>
          <w:rFonts w:ascii="Century Gothic" w:hAnsi="Century Gothic"/>
          <w:sz w:val="24"/>
          <w:szCs w:val="24"/>
        </w:rPr>
        <w:t>.</w:t>
      </w:r>
    </w:p>
    <w:p w:rsidR="006E2AD1" w:rsidRPr="0099226F" w:rsidRDefault="006E2AD1" w:rsidP="001468B4">
      <w:pPr>
        <w:spacing w:after="0" w:line="360" w:lineRule="auto"/>
        <w:jc w:val="both"/>
        <w:rPr>
          <w:rFonts w:ascii="Century Gothic" w:hAnsi="Century Gothic"/>
          <w:sz w:val="24"/>
          <w:szCs w:val="24"/>
        </w:rPr>
      </w:pPr>
    </w:p>
    <w:p w:rsidR="00544534" w:rsidRPr="0099226F" w:rsidRDefault="00F30C2D" w:rsidP="001468B4">
      <w:pPr>
        <w:spacing w:after="0" w:line="360" w:lineRule="auto"/>
        <w:jc w:val="both"/>
        <w:rPr>
          <w:rFonts w:ascii="Century Gothic" w:eastAsia="Calibri" w:hAnsi="Century Gothic"/>
          <w:sz w:val="24"/>
          <w:szCs w:val="24"/>
          <w:lang w:val="es-CO"/>
        </w:rPr>
      </w:pPr>
      <w:r w:rsidRPr="0099226F">
        <w:rPr>
          <w:rFonts w:ascii="Century Gothic" w:eastAsia="Calibri" w:hAnsi="Century Gothic"/>
          <w:sz w:val="24"/>
          <w:szCs w:val="24"/>
          <w:lang w:val="es-CO"/>
        </w:rPr>
        <w:t xml:space="preserve">1.2.3. </w:t>
      </w:r>
      <w:r w:rsidR="00670ADD" w:rsidRPr="0099226F">
        <w:rPr>
          <w:rFonts w:ascii="Century Gothic" w:eastAsia="Calibri" w:hAnsi="Century Gothic"/>
          <w:sz w:val="24"/>
          <w:szCs w:val="24"/>
          <w:lang w:val="es-CO"/>
        </w:rPr>
        <w:t xml:space="preserve">Indica </w:t>
      </w:r>
      <w:r w:rsidR="006E2AD1" w:rsidRPr="0099226F">
        <w:rPr>
          <w:rFonts w:ascii="Century Gothic" w:eastAsia="Calibri" w:hAnsi="Century Gothic"/>
          <w:sz w:val="24"/>
          <w:szCs w:val="24"/>
          <w:lang w:val="es-CO"/>
        </w:rPr>
        <w:t>que el 26 de agosto de 2009, solicit</w:t>
      </w:r>
      <w:r w:rsidR="007C38B5" w:rsidRPr="0099226F">
        <w:rPr>
          <w:rFonts w:ascii="Century Gothic" w:eastAsia="Calibri" w:hAnsi="Century Gothic"/>
          <w:sz w:val="24"/>
          <w:szCs w:val="24"/>
          <w:lang w:val="es-CO"/>
        </w:rPr>
        <w:t>ó</w:t>
      </w:r>
      <w:r w:rsidR="006E2AD1" w:rsidRPr="0099226F">
        <w:rPr>
          <w:rFonts w:ascii="Century Gothic" w:eastAsia="Calibri" w:hAnsi="Century Gothic"/>
          <w:sz w:val="24"/>
          <w:szCs w:val="24"/>
          <w:lang w:val="es-CO"/>
        </w:rPr>
        <w:t xml:space="preserve"> a la entidad demandada la reliquidación</w:t>
      </w:r>
      <w:r w:rsidR="00544534" w:rsidRPr="0099226F">
        <w:rPr>
          <w:rFonts w:ascii="Century Gothic" w:eastAsia="Calibri" w:hAnsi="Century Gothic"/>
          <w:sz w:val="24"/>
          <w:szCs w:val="24"/>
          <w:lang w:val="es-CO"/>
        </w:rPr>
        <w:t xml:space="preserve"> de su pensión</w:t>
      </w:r>
      <w:r w:rsidR="006E2AD1" w:rsidRPr="0099226F">
        <w:rPr>
          <w:rFonts w:ascii="Century Gothic" w:eastAsia="Calibri" w:hAnsi="Century Gothic"/>
          <w:sz w:val="24"/>
          <w:szCs w:val="24"/>
          <w:lang w:val="es-CO"/>
        </w:rPr>
        <w:t xml:space="preserve"> </w:t>
      </w:r>
      <w:r w:rsidR="00544534" w:rsidRPr="0099226F">
        <w:rPr>
          <w:rFonts w:ascii="Century Gothic" w:eastAsia="Calibri" w:hAnsi="Century Gothic"/>
          <w:sz w:val="24"/>
          <w:szCs w:val="24"/>
          <w:lang w:val="es-CO"/>
        </w:rPr>
        <w:t>teniendo en cuenta el 75% del promedio devengado en el último año de servicios y la totalidad de factores salariales</w:t>
      </w:r>
      <w:r w:rsidR="00143DCA" w:rsidRPr="0099226F">
        <w:rPr>
          <w:rFonts w:ascii="Century Gothic" w:eastAsia="Calibri" w:hAnsi="Century Gothic"/>
          <w:sz w:val="24"/>
          <w:szCs w:val="24"/>
          <w:lang w:val="es-CO"/>
        </w:rPr>
        <w:t xml:space="preserve">, siéndole negada su reclamación </w:t>
      </w:r>
      <w:r w:rsidR="009F55F4" w:rsidRPr="0099226F">
        <w:rPr>
          <w:rFonts w:ascii="Century Gothic" w:eastAsia="Calibri" w:hAnsi="Century Gothic"/>
          <w:sz w:val="24"/>
          <w:szCs w:val="24"/>
          <w:lang w:val="es-CO"/>
        </w:rPr>
        <w:t xml:space="preserve">mediante Resolución No. </w:t>
      </w:r>
      <w:r w:rsidR="00544534" w:rsidRPr="0099226F">
        <w:rPr>
          <w:rFonts w:ascii="Century Gothic" w:eastAsia="Calibri" w:hAnsi="Century Gothic"/>
          <w:sz w:val="24"/>
          <w:szCs w:val="24"/>
          <w:lang w:val="es-CO"/>
        </w:rPr>
        <w:t xml:space="preserve"> 002955 del 12</w:t>
      </w:r>
      <w:r w:rsidR="009F55F4" w:rsidRPr="0099226F">
        <w:rPr>
          <w:rFonts w:ascii="Century Gothic" w:eastAsia="Calibri" w:hAnsi="Century Gothic"/>
          <w:sz w:val="24"/>
          <w:szCs w:val="24"/>
          <w:lang w:val="es-CO"/>
        </w:rPr>
        <w:t xml:space="preserve"> d</w:t>
      </w:r>
      <w:r w:rsidR="006273EA" w:rsidRPr="0099226F">
        <w:rPr>
          <w:rFonts w:ascii="Century Gothic" w:eastAsia="Calibri" w:hAnsi="Century Gothic"/>
          <w:sz w:val="24"/>
          <w:szCs w:val="24"/>
          <w:lang w:val="es-CO"/>
        </w:rPr>
        <w:t>e</w:t>
      </w:r>
      <w:r w:rsidR="009F55F4" w:rsidRPr="0099226F">
        <w:rPr>
          <w:rFonts w:ascii="Century Gothic" w:eastAsia="Calibri" w:hAnsi="Century Gothic"/>
          <w:sz w:val="24"/>
          <w:szCs w:val="24"/>
          <w:lang w:val="es-CO"/>
        </w:rPr>
        <w:t xml:space="preserve"> </w:t>
      </w:r>
      <w:r w:rsidR="00143DCA" w:rsidRPr="0099226F">
        <w:rPr>
          <w:rFonts w:ascii="Century Gothic" w:eastAsia="Calibri" w:hAnsi="Century Gothic"/>
          <w:sz w:val="24"/>
          <w:szCs w:val="24"/>
          <w:lang w:val="es-CO"/>
        </w:rPr>
        <w:t>febrero de</w:t>
      </w:r>
      <w:r w:rsidR="00544534" w:rsidRPr="0099226F">
        <w:rPr>
          <w:rFonts w:ascii="Century Gothic" w:eastAsia="Calibri" w:hAnsi="Century Gothic"/>
          <w:sz w:val="24"/>
          <w:szCs w:val="24"/>
          <w:lang w:val="es-CO"/>
        </w:rPr>
        <w:t xml:space="preserve"> 2010</w:t>
      </w:r>
      <w:r w:rsidR="00143DCA" w:rsidRPr="0099226F">
        <w:rPr>
          <w:rFonts w:ascii="Century Gothic" w:eastAsia="Calibri" w:hAnsi="Century Gothic"/>
          <w:sz w:val="24"/>
          <w:szCs w:val="24"/>
          <w:lang w:val="es-CO"/>
        </w:rPr>
        <w:t xml:space="preserve">, la cual, recurrida fue confirmada a través de </w:t>
      </w:r>
      <w:r w:rsidR="00544534" w:rsidRPr="0099226F">
        <w:rPr>
          <w:rFonts w:ascii="Century Gothic" w:eastAsia="Calibri" w:hAnsi="Century Gothic"/>
          <w:sz w:val="24"/>
          <w:szCs w:val="24"/>
          <w:lang w:val="es-CO"/>
        </w:rPr>
        <w:t>Resolución No. 010309 del 23 de agosto de 2010</w:t>
      </w:r>
      <w:r w:rsidR="00143DCA" w:rsidRPr="0099226F">
        <w:rPr>
          <w:rFonts w:ascii="Century Gothic" w:eastAsia="Calibri" w:hAnsi="Century Gothic"/>
          <w:sz w:val="24"/>
          <w:szCs w:val="24"/>
          <w:lang w:val="es-CO"/>
        </w:rPr>
        <w:t>.</w:t>
      </w:r>
    </w:p>
    <w:p w:rsidR="00143DCA" w:rsidRPr="0099226F" w:rsidRDefault="00143DCA" w:rsidP="001468B4">
      <w:pPr>
        <w:spacing w:after="0" w:line="360" w:lineRule="auto"/>
        <w:jc w:val="both"/>
        <w:rPr>
          <w:rFonts w:ascii="Century Gothic" w:eastAsia="Calibri" w:hAnsi="Century Gothic"/>
          <w:sz w:val="24"/>
          <w:szCs w:val="24"/>
          <w:lang w:val="es-CO"/>
        </w:rPr>
      </w:pPr>
    </w:p>
    <w:p w:rsidR="009843B9" w:rsidRPr="0099226F" w:rsidRDefault="009843B9" w:rsidP="001468B4">
      <w:pPr>
        <w:spacing w:after="0" w:line="360" w:lineRule="auto"/>
        <w:jc w:val="both"/>
        <w:rPr>
          <w:rFonts w:ascii="Century Gothic" w:hAnsi="Century Gothic"/>
          <w:b/>
          <w:sz w:val="24"/>
          <w:szCs w:val="24"/>
        </w:rPr>
      </w:pPr>
      <w:r w:rsidRPr="0099226F">
        <w:rPr>
          <w:rFonts w:ascii="Century Gothic" w:hAnsi="Century Gothic"/>
          <w:b/>
          <w:sz w:val="24"/>
          <w:szCs w:val="24"/>
        </w:rPr>
        <w:t>1.3 Normas violadas y cargos de nulidad.</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pStyle w:val="Prrafodelista"/>
        <w:numPr>
          <w:ilvl w:val="0"/>
          <w:numId w:val="14"/>
        </w:numPr>
        <w:spacing w:after="0" w:line="360" w:lineRule="auto"/>
        <w:jc w:val="both"/>
        <w:rPr>
          <w:rFonts w:ascii="Century Gothic" w:hAnsi="Century Gothic"/>
          <w:sz w:val="24"/>
          <w:szCs w:val="24"/>
        </w:rPr>
      </w:pPr>
      <w:r w:rsidRPr="0099226F">
        <w:rPr>
          <w:rFonts w:ascii="Century Gothic" w:hAnsi="Century Gothic"/>
          <w:sz w:val="24"/>
          <w:szCs w:val="24"/>
        </w:rPr>
        <w:t>Preámbulo y artículos 2, 6, 25,29, 53, y 123 de la Constitución Política de Colombia</w:t>
      </w:r>
    </w:p>
    <w:p w:rsidR="0074516D" w:rsidRPr="0099226F" w:rsidRDefault="0074516D" w:rsidP="001468B4">
      <w:pPr>
        <w:pStyle w:val="Prrafodelista"/>
        <w:numPr>
          <w:ilvl w:val="0"/>
          <w:numId w:val="14"/>
        </w:numPr>
        <w:spacing w:after="0" w:line="360" w:lineRule="auto"/>
        <w:jc w:val="both"/>
        <w:rPr>
          <w:rFonts w:ascii="Century Gothic" w:hAnsi="Century Gothic"/>
          <w:sz w:val="24"/>
          <w:szCs w:val="24"/>
        </w:rPr>
      </w:pPr>
      <w:r w:rsidRPr="0099226F">
        <w:rPr>
          <w:rFonts w:ascii="Century Gothic" w:hAnsi="Century Gothic"/>
          <w:sz w:val="24"/>
          <w:szCs w:val="24"/>
        </w:rPr>
        <w:t>Artículo 36 de la Ley 100 de 1993</w:t>
      </w:r>
      <w:r w:rsidR="001B7767" w:rsidRPr="0099226F">
        <w:rPr>
          <w:rFonts w:ascii="Century Gothic" w:hAnsi="Century Gothic"/>
          <w:sz w:val="24"/>
          <w:szCs w:val="24"/>
        </w:rPr>
        <w:t xml:space="preserve"> por aplicación indebida</w:t>
      </w:r>
      <w:r w:rsidRPr="0099226F">
        <w:rPr>
          <w:rFonts w:ascii="Century Gothic" w:hAnsi="Century Gothic"/>
          <w:sz w:val="24"/>
          <w:szCs w:val="24"/>
        </w:rPr>
        <w:t xml:space="preserve">. </w:t>
      </w:r>
    </w:p>
    <w:p w:rsidR="0074516D" w:rsidRPr="0099226F" w:rsidRDefault="0074516D" w:rsidP="001468B4">
      <w:pPr>
        <w:pStyle w:val="Prrafodelista"/>
        <w:numPr>
          <w:ilvl w:val="0"/>
          <w:numId w:val="14"/>
        </w:numPr>
        <w:spacing w:after="0" w:line="360" w:lineRule="auto"/>
        <w:jc w:val="both"/>
        <w:rPr>
          <w:rFonts w:ascii="Century Gothic" w:hAnsi="Century Gothic"/>
          <w:sz w:val="24"/>
          <w:szCs w:val="24"/>
        </w:rPr>
      </w:pPr>
      <w:r w:rsidRPr="0099226F">
        <w:rPr>
          <w:rFonts w:ascii="Century Gothic" w:hAnsi="Century Gothic"/>
          <w:sz w:val="24"/>
          <w:szCs w:val="24"/>
        </w:rPr>
        <w:t>Artículo 1 de la Ley 33 de 1985</w:t>
      </w:r>
      <w:r w:rsidR="001B7767" w:rsidRPr="0099226F">
        <w:rPr>
          <w:rFonts w:ascii="Century Gothic" w:hAnsi="Century Gothic"/>
          <w:sz w:val="24"/>
          <w:szCs w:val="24"/>
        </w:rPr>
        <w:t xml:space="preserve"> por indebida aplicación</w:t>
      </w:r>
      <w:r w:rsidRPr="0099226F">
        <w:rPr>
          <w:rFonts w:ascii="Century Gothic" w:hAnsi="Century Gothic"/>
          <w:sz w:val="24"/>
          <w:szCs w:val="24"/>
        </w:rPr>
        <w:t>.</w:t>
      </w:r>
    </w:p>
    <w:p w:rsidR="0074516D" w:rsidRPr="0099226F" w:rsidRDefault="0074516D" w:rsidP="001468B4">
      <w:pPr>
        <w:pStyle w:val="Prrafodelista"/>
        <w:numPr>
          <w:ilvl w:val="0"/>
          <w:numId w:val="14"/>
        </w:numPr>
        <w:spacing w:after="0" w:line="360" w:lineRule="auto"/>
        <w:jc w:val="both"/>
        <w:rPr>
          <w:rFonts w:ascii="Century Gothic" w:hAnsi="Century Gothic"/>
          <w:sz w:val="24"/>
          <w:szCs w:val="24"/>
        </w:rPr>
      </w:pPr>
      <w:r w:rsidRPr="0099226F">
        <w:rPr>
          <w:rFonts w:ascii="Century Gothic" w:hAnsi="Century Gothic"/>
          <w:sz w:val="24"/>
          <w:szCs w:val="24"/>
        </w:rPr>
        <w:t xml:space="preserve">Artículo 45 del Decreto 1045 de 1978. </w:t>
      </w:r>
    </w:p>
    <w:p w:rsidR="001B7767" w:rsidRPr="0099226F" w:rsidRDefault="001B7767" w:rsidP="001468B4">
      <w:pPr>
        <w:pStyle w:val="Prrafodelista"/>
        <w:numPr>
          <w:ilvl w:val="0"/>
          <w:numId w:val="14"/>
        </w:numPr>
        <w:spacing w:after="0" w:line="360" w:lineRule="auto"/>
        <w:jc w:val="both"/>
        <w:rPr>
          <w:rFonts w:ascii="Century Gothic" w:hAnsi="Century Gothic"/>
          <w:sz w:val="24"/>
          <w:szCs w:val="24"/>
        </w:rPr>
      </w:pPr>
      <w:r w:rsidRPr="0099226F">
        <w:rPr>
          <w:rFonts w:ascii="Century Gothic" w:hAnsi="Century Gothic"/>
          <w:sz w:val="24"/>
          <w:szCs w:val="24"/>
        </w:rPr>
        <w:t>Artículo 102 ley 1437 de 2011 por falta de aplicación</w:t>
      </w:r>
    </w:p>
    <w:p w:rsidR="0074516D" w:rsidRPr="0099226F" w:rsidRDefault="0074516D" w:rsidP="001468B4">
      <w:pPr>
        <w:pStyle w:val="Prrafodelista"/>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Preámbulo y Artículo 2 de la C.P: Considera que los actos impugnados contradicen estos postulados; ya que la administración en una actitud arbitraria y sin hacer uso de las herramientas legales que regulan la materia, niega un derecho adquirido legalmente por la accionante.</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Artículos 6 y 123 de la C.P: por cuanto a la demandante según sus condiciones personales, laborales, morales y en general</w:t>
      </w:r>
      <w:r w:rsidR="006E46C5" w:rsidRPr="0099226F">
        <w:rPr>
          <w:rFonts w:ascii="Century Gothic" w:hAnsi="Century Gothic"/>
          <w:sz w:val="24"/>
          <w:szCs w:val="24"/>
        </w:rPr>
        <w:t>,</w:t>
      </w:r>
      <w:r w:rsidRPr="0099226F">
        <w:rPr>
          <w:rFonts w:ascii="Century Gothic" w:hAnsi="Century Gothic"/>
          <w:sz w:val="24"/>
          <w:szCs w:val="24"/>
        </w:rPr>
        <w:t xml:space="preserve"> dentro de la entidad, siempre se desempeñó con responsabilidad, ética, cumplimiento y en general con la orientación permanente y dirigida al buen servicio. </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Artículos 25 y 29 de la C.P: también se violenta el derecho adquirido a través del trabajo en el tiempo que permaneció vinculada a la administración pública, violentando los derechos a la seguridad social establecidos en estas normas superiores, como los derechos adquiridos por el tiempo que estuvo vinculada a la administración pública, al desconocerse la reliquidación de su pensión en los términos solicitados, no obstante estar establecido legalmente que la entidad debe hacerlo. </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Artículo 36 de la Ley 100 de 1993 de la C.P: se vulnera el régimen de transición previsto en este artículo, por cuanto está establecido un sistema </w:t>
      </w:r>
      <w:r w:rsidRPr="0099226F">
        <w:rPr>
          <w:rFonts w:ascii="Century Gothic" w:hAnsi="Century Gothic"/>
          <w:sz w:val="24"/>
          <w:szCs w:val="24"/>
        </w:rPr>
        <w:lastRenderedPageBreak/>
        <w:t>general de pensiones, al propio tiempo que permitió la aplicación de estatutos excepcionales que mantienen su vigencia en virtud de la aplicación del mencionado régimen de transición, el cual salvaguarda los derechos adquiridos de sus beneficiarios. Por lo anterior afirma que la demandante por reunir los requisitos es beneficiaria del régimen de transición y tiene derecho a que se le aplique en su totalidad</w:t>
      </w:r>
      <w:r w:rsidR="000F74C6" w:rsidRPr="0099226F">
        <w:rPr>
          <w:rFonts w:ascii="Century Gothic" w:hAnsi="Century Gothic"/>
          <w:sz w:val="24"/>
          <w:szCs w:val="24"/>
        </w:rPr>
        <w:t xml:space="preserve"> el régimen anterior que es el parágrafo 2 del artículo 1º de la ley 33 de 1985, al cual no se le dio correcta aplicación</w:t>
      </w:r>
      <w:r w:rsidRPr="0099226F">
        <w:rPr>
          <w:rFonts w:ascii="Century Gothic" w:hAnsi="Century Gothic"/>
          <w:sz w:val="24"/>
          <w:szCs w:val="24"/>
        </w:rPr>
        <w:t>.</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Artículo 1º de la Ley 33 de 1985: se viola esta disposición teniendo en cuenta que </w:t>
      </w:r>
      <w:r w:rsidR="000F74C6" w:rsidRPr="0099226F">
        <w:rPr>
          <w:rFonts w:ascii="Century Gothic" w:hAnsi="Century Gothic"/>
          <w:sz w:val="24"/>
          <w:szCs w:val="24"/>
        </w:rPr>
        <w:t>se</w:t>
      </w:r>
      <w:r w:rsidRPr="0099226F">
        <w:rPr>
          <w:rFonts w:ascii="Century Gothic" w:hAnsi="Century Gothic"/>
          <w:sz w:val="24"/>
          <w:szCs w:val="24"/>
        </w:rPr>
        <w:t xml:space="preserve"> aplica </w:t>
      </w:r>
      <w:r w:rsidR="002E4256" w:rsidRPr="0099226F">
        <w:rPr>
          <w:rFonts w:ascii="Century Gothic" w:hAnsi="Century Gothic"/>
          <w:sz w:val="24"/>
          <w:szCs w:val="24"/>
        </w:rPr>
        <w:t>respecto a la</w:t>
      </w:r>
      <w:r w:rsidRPr="0099226F">
        <w:rPr>
          <w:rFonts w:ascii="Century Gothic" w:hAnsi="Century Gothic"/>
          <w:sz w:val="24"/>
          <w:szCs w:val="24"/>
        </w:rPr>
        <w:t xml:space="preserve"> edad que regía con anterioridad a dicha Ley</w:t>
      </w:r>
      <w:r w:rsidR="005557F7" w:rsidRPr="0099226F">
        <w:rPr>
          <w:rFonts w:ascii="Century Gothic" w:hAnsi="Century Gothic"/>
          <w:sz w:val="24"/>
          <w:szCs w:val="24"/>
        </w:rPr>
        <w:t>,</w:t>
      </w:r>
      <w:r w:rsidRPr="0099226F">
        <w:rPr>
          <w:rFonts w:ascii="Century Gothic" w:hAnsi="Century Gothic"/>
          <w:sz w:val="24"/>
          <w:szCs w:val="24"/>
        </w:rPr>
        <w:t xml:space="preserve"> pero no en cuanto al monto de </w:t>
      </w:r>
      <w:r w:rsidR="005557F7" w:rsidRPr="0099226F">
        <w:rPr>
          <w:rFonts w:ascii="Century Gothic" w:hAnsi="Century Gothic"/>
          <w:sz w:val="24"/>
          <w:szCs w:val="24"/>
        </w:rPr>
        <w:t>la</w:t>
      </w:r>
      <w:r w:rsidRPr="0099226F">
        <w:rPr>
          <w:rFonts w:ascii="Century Gothic" w:hAnsi="Century Gothic"/>
          <w:sz w:val="24"/>
          <w:szCs w:val="24"/>
        </w:rPr>
        <w:t xml:space="preserve"> pensión, que para el presente caso es </w:t>
      </w:r>
      <w:r w:rsidR="002E4256" w:rsidRPr="0099226F">
        <w:rPr>
          <w:rFonts w:ascii="Century Gothic" w:hAnsi="Century Gothic"/>
          <w:sz w:val="24"/>
          <w:szCs w:val="24"/>
        </w:rPr>
        <w:t>conforme a</w:t>
      </w:r>
      <w:r w:rsidRPr="0099226F">
        <w:rPr>
          <w:rFonts w:ascii="Century Gothic" w:hAnsi="Century Gothic"/>
          <w:sz w:val="24"/>
          <w:szCs w:val="24"/>
        </w:rPr>
        <w:t>l Art. 73 del Decreto 1848 de 1969.</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Artículo 45 del Decreto 1045 de 1978: </w:t>
      </w:r>
      <w:r w:rsidR="002E4256" w:rsidRPr="0099226F">
        <w:rPr>
          <w:rFonts w:ascii="Century Gothic" w:hAnsi="Century Gothic"/>
          <w:sz w:val="24"/>
          <w:szCs w:val="24"/>
        </w:rPr>
        <w:t xml:space="preserve">se viola </w:t>
      </w:r>
      <w:r w:rsidRPr="0099226F">
        <w:rPr>
          <w:rFonts w:ascii="Century Gothic" w:hAnsi="Century Gothic"/>
          <w:sz w:val="24"/>
          <w:szCs w:val="24"/>
        </w:rPr>
        <w:t>al no incluir dentro de la liquidación de la pensión todos los factores salariales devengados en el último año de servicio, los cuales están señalados en este artículo, el cual es aplicable a la demandante.</w:t>
      </w:r>
    </w:p>
    <w:p w:rsidR="00544534" w:rsidRPr="0099226F" w:rsidRDefault="00544534" w:rsidP="001468B4">
      <w:pPr>
        <w:spacing w:after="0" w:line="360" w:lineRule="auto"/>
        <w:jc w:val="both"/>
        <w:rPr>
          <w:rFonts w:ascii="Century Gothic" w:hAnsi="Century Gothic"/>
          <w:sz w:val="24"/>
          <w:szCs w:val="24"/>
        </w:rPr>
      </w:pPr>
    </w:p>
    <w:p w:rsidR="00544534" w:rsidRPr="0099226F" w:rsidRDefault="00BE3904" w:rsidP="001468B4">
      <w:pPr>
        <w:spacing w:after="0" w:line="360" w:lineRule="auto"/>
        <w:jc w:val="both"/>
        <w:rPr>
          <w:rFonts w:ascii="Century Gothic" w:hAnsi="Century Gothic"/>
          <w:sz w:val="24"/>
          <w:szCs w:val="24"/>
        </w:rPr>
      </w:pPr>
      <w:r w:rsidRPr="0099226F">
        <w:rPr>
          <w:rFonts w:ascii="Century Gothic" w:hAnsi="Century Gothic"/>
          <w:sz w:val="24"/>
          <w:szCs w:val="24"/>
        </w:rPr>
        <w:t>Por</w:t>
      </w:r>
      <w:r w:rsidR="0074516D" w:rsidRPr="0099226F">
        <w:rPr>
          <w:rFonts w:ascii="Century Gothic" w:hAnsi="Century Gothic"/>
          <w:sz w:val="24"/>
          <w:szCs w:val="24"/>
        </w:rPr>
        <w:t xml:space="preserve"> otra parte, </w:t>
      </w:r>
      <w:r w:rsidR="00544534" w:rsidRPr="0099226F">
        <w:rPr>
          <w:rFonts w:ascii="Century Gothic" w:hAnsi="Century Gothic"/>
          <w:sz w:val="24"/>
          <w:szCs w:val="24"/>
        </w:rPr>
        <w:t>señala que los actos acusados están viciados de nulidad, por expedición irregular, falsa motivación, violación directa de la ley y violación de normas superiores.</w:t>
      </w:r>
    </w:p>
    <w:p w:rsidR="00544534" w:rsidRPr="0099226F" w:rsidRDefault="00544534" w:rsidP="001468B4">
      <w:pPr>
        <w:spacing w:after="0" w:line="360" w:lineRule="auto"/>
        <w:jc w:val="both"/>
        <w:rPr>
          <w:rFonts w:ascii="Century Gothic" w:hAnsi="Century Gothic"/>
          <w:sz w:val="24"/>
          <w:szCs w:val="24"/>
        </w:rPr>
      </w:pPr>
    </w:p>
    <w:p w:rsidR="00544534" w:rsidRPr="0099226F" w:rsidRDefault="00BE3904" w:rsidP="001468B4">
      <w:pPr>
        <w:spacing w:after="0" w:line="360" w:lineRule="auto"/>
        <w:jc w:val="both"/>
        <w:rPr>
          <w:rFonts w:ascii="Century Gothic" w:hAnsi="Century Gothic"/>
          <w:sz w:val="24"/>
          <w:szCs w:val="24"/>
        </w:rPr>
      </w:pPr>
      <w:r w:rsidRPr="0099226F">
        <w:rPr>
          <w:rFonts w:ascii="Century Gothic" w:hAnsi="Century Gothic"/>
          <w:sz w:val="24"/>
          <w:szCs w:val="24"/>
        </w:rPr>
        <w:t>Lo anterior por cuanto</w:t>
      </w:r>
      <w:r w:rsidR="00544534" w:rsidRPr="0099226F">
        <w:rPr>
          <w:rFonts w:ascii="Century Gothic" w:hAnsi="Century Gothic"/>
          <w:sz w:val="24"/>
          <w:szCs w:val="24"/>
        </w:rPr>
        <w:t>, señala</w:t>
      </w:r>
      <w:r w:rsidRPr="0099226F">
        <w:rPr>
          <w:rFonts w:ascii="Century Gothic" w:hAnsi="Century Gothic"/>
          <w:sz w:val="24"/>
          <w:szCs w:val="24"/>
        </w:rPr>
        <w:t>,</w:t>
      </w:r>
      <w:r w:rsidR="00544534" w:rsidRPr="0099226F">
        <w:rPr>
          <w:rFonts w:ascii="Century Gothic" w:hAnsi="Century Gothic"/>
          <w:sz w:val="24"/>
          <w:szCs w:val="24"/>
        </w:rPr>
        <w:t xml:space="preserve"> los actos acusados desconocieron</w:t>
      </w:r>
      <w:r w:rsidR="00A064F6" w:rsidRPr="0099226F">
        <w:rPr>
          <w:rFonts w:ascii="Century Gothic" w:hAnsi="Century Gothic"/>
          <w:sz w:val="24"/>
          <w:szCs w:val="24"/>
        </w:rPr>
        <w:t xml:space="preserve"> </w:t>
      </w:r>
      <w:r w:rsidR="0069393E" w:rsidRPr="0099226F">
        <w:rPr>
          <w:rFonts w:ascii="Century Gothic" w:hAnsi="Century Gothic"/>
          <w:sz w:val="24"/>
          <w:szCs w:val="24"/>
        </w:rPr>
        <w:t>los</w:t>
      </w:r>
      <w:r w:rsidR="00544534" w:rsidRPr="0099226F">
        <w:rPr>
          <w:rFonts w:ascii="Century Gothic" w:hAnsi="Century Gothic"/>
          <w:sz w:val="24"/>
          <w:szCs w:val="24"/>
        </w:rPr>
        <w:t xml:space="preserve">  derechos adquiridos</w:t>
      </w:r>
      <w:r w:rsidR="0069393E" w:rsidRPr="0099226F">
        <w:rPr>
          <w:rFonts w:ascii="Century Gothic" w:hAnsi="Century Gothic"/>
          <w:sz w:val="24"/>
          <w:szCs w:val="24"/>
        </w:rPr>
        <w:t xml:space="preserve"> de la actora</w:t>
      </w:r>
      <w:r w:rsidR="00A064F6" w:rsidRPr="0099226F">
        <w:rPr>
          <w:rFonts w:ascii="Century Gothic" w:hAnsi="Century Gothic"/>
          <w:sz w:val="24"/>
          <w:szCs w:val="24"/>
        </w:rPr>
        <w:t>, como quiera que el artículo 36 de la ley 100 de 1993, prescribe que la edad para acceder a la pensión, el tiempo de servicios o el número de semanas cotizadas y el monto de la pensión será el establecido en el régimen anterior al cual se encontraba afiliad</w:t>
      </w:r>
      <w:r w:rsidR="000E2489" w:rsidRPr="0099226F">
        <w:rPr>
          <w:rFonts w:ascii="Century Gothic" w:hAnsi="Century Gothic"/>
          <w:sz w:val="24"/>
          <w:szCs w:val="24"/>
        </w:rPr>
        <w:t>o</w:t>
      </w:r>
      <w:r w:rsidR="00A064F6" w:rsidRPr="0099226F">
        <w:rPr>
          <w:rFonts w:ascii="Century Gothic" w:hAnsi="Century Gothic"/>
          <w:sz w:val="24"/>
          <w:szCs w:val="24"/>
        </w:rPr>
        <w:t xml:space="preserve"> el beneficiario, que para el caso concreto no es otro que el contemplado en </w:t>
      </w:r>
      <w:r w:rsidR="00A064F6" w:rsidRPr="0099226F">
        <w:rPr>
          <w:rFonts w:ascii="Century Gothic" w:hAnsi="Century Gothic"/>
          <w:sz w:val="24"/>
          <w:szCs w:val="24"/>
        </w:rPr>
        <w:lastRenderedPageBreak/>
        <w:t xml:space="preserve">el parágrafo 2 del artículo 1 de la ley 33 de 1985 que es la norma específica y más favorable que la norma aplicada por la entidad demandada. </w:t>
      </w:r>
    </w:p>
    <w:p w:rsidR="00A064F6" w:rsidRPr="0099226F" w:rsidRDefault="00A064F6" w:rsidP="001468B4">
      <w:pPr>
        <w:spacing w:after="0" w:line="360" w:lineRule="auto"/>
        <w:jc w:val="both"/>
        <w:rPr>
          <w:rFonts w:ascii="Century Gothic" w:hAnsi="Century Gothic"/>
          <w:sz w:val="24"/>
          <w:szCs w:val="24"/>
        </w:rPr>
      </w:pPr>
    </w:p>
    <w:p w:rsidR="00A064F6" w:rsidRPr="0099226F" w:rsidRDefault="00A064F6" w:rsidP="001468B4">
      <w:pPr>
        <w:spacing w:after="0" w:line="360" w:lineRule="auto"/>
        <w:jc w:val="both"/>
        <w:rPr>
          <w:rFonts w:ascii="Century Gothic" w:hAnsi="Century Gothic"/>
          <w:sz w:val="24"/>
          <w:szCs w:val="24"/>
        </w:rPr>
      </w:pPr>
      <w:r w:rsidRPr="0099226F">
        <w:rPr>
          <w:rFonts w:ascii="Century Gothic" w:hAnsi="Century Gothic"/>
          <w:sz w:val="24"/>
          <w:szCs w:val="24"/>
        </w:rPr>
        <w:t>Sobre la violación de norma superior, indica que dado que el Decreto 1158 de 1994 es posterior al artículo 45 del Decreto 1045 de 1978, y que la actora es beneficiaria del régimen de transición</w:t>
      </w:r>
      <w:r w:rsidR="000E2489" w:rsidRPr="0099226F">
        <w:rPr>
          <w:rFonts w:ascii="Century Gothic" w:hAnsi="Century Gothic"/>
          <w:sz w:val="24"/>
          <w:szCs w:val="24"/>
        </w:rPr>
        <w:t>,</w:t>
      </w:r>
      <w:r w:rsidRPr="0099226F">
        <w:rPr>
          <w:rFonts w:ascii="Century Gothic" w:hAnsi="Century Gothic"/>
          <w:sz w:val="24"/>
          <w:szCs w:val="24"/>
        </w:rPr>
        <w:t xml:space="preserve"> es a este último al que tiene</w:t>
      </w:r>
      <w:r w:rsidR="000E2489" w:rsidRPr="0099226F">
        <w:rPr>
          <w:rFonts w:ascii="Century Gothic" w:hAnsi="Century Gothic"/>
          <w:sz w:val="24"/>
          <w:szCs w:val="24"/>
        </w:rPr>
        <w:t xml:space="preserve"> derecho</w:t>
      </w:r>
      <w:r w:rsidRPr="0099226F">
        <w:rPr>
          <w:rFonts w:ascii="Century Gothic" w:hAnsi="Century Gothic"/>
          <w:sz w:val="24"/>
          <w:szCs w:val="24"/>
        </w:rPr>
        <w:t xml:space="preserve"> se le aplique. </w:t>
      </w:r>
    </w:p>
    <w:p w:rsidR="00A064F6" w:rsidRPr="0099226F" w:rsidRDefault="00A064F6"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b/>
          <w:sz w:val="24"/>
          <w:szCs w:val="24"/>
        </w:rPr>
      </w:pPr>
      <w:r w:rsidRPr="0099226F">
        <w:rPr>
          <w:rFonts w:ascii="Century Gothic" w:hAnsi="Century Gothic"/>
          <w:b/>
          <w:sz w:val="24"/>
          <w:szCs w:val="24"/>
        </w:rPr>
        <w:t xml:space="preserve">2. Contestación de la demanda </w:t>
      </w:r>
    </w:p>
    <w:p w:rsidR="0074516D" w:rsidRPr="0099226F" w:rsidRDefault="0074516D" w:rsidP="001468B4">
      <w:pPr>
        <w:spacing w:after="0" w:line="360" w:lineRule="auto"/>
        <w:jc w:val="both"/>
        <w:rPr>
          <w:rFonts w:ascii="Century Gothic" w:hAnsi="Century Gothic"/>
          <w:b/>
          <w:sz w:val="24"/>
          <w:szCs w:val="24"/>
        </w:rPr>
      </w:pPr>
    </w:p>
    <w:p w:rsidR="0074516D" w:rsidRPr="0099226F" w:rsidRDefault="0074516D" w:rsidP="001468B4">
      <w:pPr>
        <w:spacing w:after="0" w:line="360" w:lineRule="auto"/>
        <w:jc w:val="both"/>
        <w:rPr>
          <w:rFonts w:ascii="Century Gothic" w:hAnsi="Century Gothic"/>
          <w:b/>
          <w:sz w:val="24"/>
          <w:szCs w:val="24"/>
        </w:rPr>
      </w:pPr>
      <w:r w:rsidRPr="0099226F">
        <w:rPr>
          <w:rFonts w:ascii="Century Gothic" w:hAnsi="Century Gothic"/>
          <w:b/>
          <w:sz w:val="24"/>
          <w:szCs w:val="24"/>
        </w:rPr>
        <w:t>2.1. UNIDAD ADMINISTRATIVA ESPECIAL DE GESTION PENSIONAL Y CONTRIBUCIONES PARAFISCALES DE LA PROTECCION SOCIAL- UGPP.</w:t>
      </w:r>
      <w:r w:rsidRPr="0099226F">
        <w:rPr>
          <w:rFonts w:ascii="Century Gothic" w:hAnsi="Century Gothic"/>
          <w:b/>
          <w:sz w:val="24"/>
          <w:szCs w:val="24"/>
          <w:vertAlign w:val="superscript"/>
        </w:rPr>
        <w:footnoteReference w:id="1"/>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La entidad demandada contestó la demanda en oportunidad, resumida de la siguiente forma: </w:t>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247F29"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Se opone a las pretensiones debido a que la demandante obtu</w:t>
      </w:r>
      <w:r w:rsidR="00764202" w:rsidRPr="0099226F">
        <w:rPr>
          <w:rFonts w:ascii="Century Gothic" w:eastAsia="Times New Roman" w:hAnsi="Century Gothic" w:cs="Times New Roman"/>
          <w:sz w:val="24"/>
          <w:szCs w:val="24"/>
          <w:lang w:eastAsia="es-ES"/>
        </w:rPr>
        <w:t>vo el estatus de pensionada el 10</w:t>
      </w:r>
      <w:r w:rsidRPr="0099226F">
        <w:rPr>
          <w:rFonts w:ascii="Century Gothic" w:eastAsia="Times New Roman" w:hAnsi="Century Gothic" w:cs="Times New Roman"/>
          <w:sz w:val="24"/>
          <w:szCs w:val="24"/>
          <w:lang w:eastAsia="es-ES"/>
        </w:rPr>
        <w:t xml:space="preserve"> de </w:t>
      </w:r>
      <w:r w:rsidR="00764202" w:rsidRPr="0099226F">
        <w:rPr>
          <w:rFonts w:ascii="Century Gothic" w:eastAsia="Times New Roman" w:hAnsi="Century Gothic" w:cs="Times New Roman"/>
          <w:sz w:val="24"/>
          <w:szCs w:val="24"/>
          <w:lang w:eastAsia="es-ES"/>
        </w:rPr>
        <w:t xml:space="preserve">diciembre </w:t>
      </w:r>
      <w:r w:rsidRPr="0099226F">
        <w:rPr>
          <w:rFonts w:ascii="Century Gothic" w:eastAsia="Times New Roman" w:hAnsi="Century Gothic" w:cs="Times New Roman"/>
          <w:sz w:val="24"/>
          <w:szCs w:val="24"/>
          <w:lang w:eastAsia="es-ES"/>
        </w:rPr>
        <w:t>de</w:t>
      </w:r>
      <w:r w:rsidR="00AE3FC0" w:rsidRPr="0099226F">
        <w:rPr>
          <w:rFonts w:ascii="Century Gothic" w:eastAsia="Times New Roman" w:hAnsi="Century Gothic" w:cs="Times New Roman"/>
          <w:sz w:val="24"/>
          <w:szCs w:val="24"/>
          <w:lang w:eastAsia="es-ES"/>
        </w:rPr>
        <w:t xml:space="preserve"> 2006</w:t>
      </w:r>
      <w:r w:rsidRPr="0099226F">
        <w:rPr>
          <w:rFonts w:ascii="Century Gothic" w:eastAsia="Times New Roman" w:hAnsi="Century Gothic" w:cs="Times New Roman"/>
          <w:sz w:val="24"/>
          <w:szCs w:val="24"/>
          <w:lang w:eastAsia="es-ES"/>
        </w:rPr>
        <w:t>, en vigencia de la Ley 100 de 1993 y sus decretos reglamentarios,</w:t>
      </w:r>
      <w:r w:rsidR="00BD7F4A" w:rsidRPr="0099226F">
        <w:rPr>
          <w:rFonts w:ascii="Century Gothic" w:eastAsia="Times New Roman" w:hAnsi="Century Gothic" w:cs="Times New Roman"/>
          <w:sz w:val="24"/>
          <w:szCs w:val="24"/>
          <w:lang w:eastAsia="es-ES"/>
        </w:rPr>
        <w:t xml:space="preserve"> en virtud de lo cual se encuentra cobijada por el Régimen de Transición, por lo que su pensión de vejez debe ser calculada conforme al tiempo de servicios, edad y monto contemplados en la ley 33 de 1985 esto es 20 años de servicio al estado y 55 años de edad, y con un monto del 75 de ingreso base de liquidación. Y en lo tocante con el ingreso base de liquidación debe seguir</w:t>
      </w:r>
      <w:r w:rsidR="00381415" w:rsidRPr="0099226F">
        <w:rPr>
          <w:rFonts w:ascii="Century Gothic" w:eastAsia="Times New Roman" w:hAnsi="Century Gothic" w:cs="Times New Roman"/>
          <w:sz w:val="24"/>
          <w:szCs w:val="24"/>
          <w:lang w:eastAsia="es-ES"/>
        </w:rPr>
        <w:t>se</w:t>
      </w:r>
      <w:r w:rsidR="00BD7F4A" w:rsidRPr="0099226F">
        <w:rPr>
          <w:rFonts w:ascii="Century Gothic" w:eastAsia="Times New Roman" w:hAnsi="Century Gothic" w:cs="Times New Roman"/>
          <w:sz w:val="24"/>
          <w:szCs w:val="24"/>
          <w:lang w:eastAsia="es-ES"/>
        </w:rPr>
        <w:t xml:space="preserve"> lo previsto en el inciso 3 del artículo 36 de la Ley 100 de 1993, el cual establece </w:t>
      </w:r>
      <w:r w:rsidR="00381415" w:rsidRPr="0099226F">
        <w:rPr>
          <w:rFonts w:ascii="Century Gothic" w:eastAsia="Times New Roman" w:hAnsi="Century Gothic" w:cs="Times New Roman"/>
          <w:sz w:val="24"/>
          <w:szCs w:val="24"/>
          <w:lang w:eastAsia="es-ES"/>
        </w:rPr>
        <w:t>que para</w:t>
      </w:r>
      <w:r w:rsidR="00BD7F4A" w:rsidRPr="0099226F">
        <w:rPr>
          <w:rFonts w:ascii="Century Gothic" w:eastAsia="Times New Roman" w:hAnsi="Century Gothic" w:cs="Times New Roman"/>
          <w:sz w:val="24"/>
          <w:szCs w:val="24"/>
          <w:lang w:eastAsia="es-ES"/>
        </w:rPr>
        <w:t xml:space="preserve"> fijar el ingreso base de liquidación s</w:t>
      </w:r>
      <w:r w:rsidR="00381415" w:rsidRPr="0099226F">
        <w:rPr>
          <w:rFonts w:ascii="Century Gothic" w:eastAsia="Times New Roman" w:hAnsi="Century Gothic" w:cs="Times New Roman"/>
          <w:sz w:val="24"/>
          <w:szCs w:val="24"/>
          <w:lang w:eastAsia="es-ES"/>
        </w:rPr>
        <w:t>e tomará</w:t>
      </w:r>
      <w:r w:rsidR="00BD7F4A" w:rsidRPr="0099226F">
        <w:rPr>
          <w:rFonts w:ascii="Century Gothic" w:eastAsia="Times New Roman" w:hAnsi="Century Gothic" w:cs="Times New Roman"/>
          <w:sz w:val="24"/>
          <w:szCs w:val="24"/>
          <w:lang w:eastAsia="es-ES"/>
        </w:rPr>
        <w:t xml:space="preserve"> el promedio de lo devengado que les hiciera falta para obtener el derecho a la pensión, o de diez (10) años en caso de que fuese superior</w:t>
      </w:r>
      <w:r w:rsidR="00247F29" w:rsidRPr="0099226F">
        <w:rPr>
          <w:rFonts w:ascii="Century Gothic" w:eastAsia="Times New Roman" w:hAnsi="Century Gothic" w:cs="Times New Roman"/>
          <w:sz w:val="24"/>
          <w:szCs w:val="24"/>
          <w:lang w:eastAsia="es-ES"/>
        </w:rPr>
        <w:t>, actualizado anualmente con base en la variación del índice de precios al consumidor.</w:t>
      </w:r>
    </w:p>
    <w:p w:rsidR="00992091" w:rsidRPr="0099226F" w:rsidRDefault="00992091" w:rsidP="001468B4">
      <w:pPr>
        <w:spacing w:after="0" w:line="360" w:lineRule="auto"/>
        <w:contextualSpacing/>
        <w:jc w:val="both"/>
        <w:rPr>
          <w:rFonts w:ascii="Century Gothic" w:eastAsia="Times New Roman" w:hAnsi="Century Gothic" w:cs="Times New Roman"/>
          <w:sz w:val="24"/>
          <w:szCs w:val="24"/>
          <w:lang w:eastAsia="es-ES"/>
        </w:rPr>
      </w:pPr>
    </w:p>
    <w:p w:rsidR="00247F29" w:rsidRPr="0099226F" w:rsidRDefault="00247F29"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Sobre los factores salariales a tener en cuenta para liquidar la pensión, precisa que para ello ha de seguirse lo establecido en el artículo 1 del Decreto 1158 de 1994, el cual prevé como tales: a) la asignación mensual, b) lo gastos de representación, c) la prima técnica, cuando sea factor salarial, d) las primas de antigüedad, ascensional y de capacitación cuando sean factores salariales, e) la remuneración por trabajo dominical y festivo, f) la remuneración por trabajo suplementario o de horas extras o realizado en jornada nocturna y g) la bonificación por servicios prestados. Para el efecto indica que a la actora al momento de liquidarle su pensión se le tuvieron en cuenta los factores previstos por la norma.</w:t>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Plantea también que de acceder a conceder tales factores violarían el principio de sostenibilidad fiscal que asegura la correspondencia entre los recursos financieros del sistema y la satisfacción de los derechos de los afiliados al sistema de seguridad social. Así mismo menciona una confusión de las nociones de salario y prestación social. Por último presenta las excepciones de inexistencia de la obligación y cobro de lo no debido, </w:t>
      </w:r>
      <w:r w:rsidR="00247F29" w:rsidRPr="0099226F">
        <w:rPr>
          <w:rFonts w:ascii="Century Gothic" w:eastAsia="Times New Roman" w:hAnsi="Century Gothic" w:cs="Times New Roman"/>
          <w:sz w:val="24"/>
          <w:szCs w:val="24"/>
          <w:lang w:eastAsia="es-ES"/>
        </w:rPr>
        <w:t xml:space="preserve">prescripción y la </w:t>
      </w:r>
      <w:r w:rsidR="00381415" w:rsidRPr="0099226F">
        <w:rPr>
          <w:rFonts w:ascii="Century Gothic" w:eastAsia="Times New Roman" w:hAnsi="Century Gothic" w:cs="Times New Roman"/>
          <w:sz w:val="24"/>
          <w:szCs w:val="24"/>
          <w:lang w:eastAsia="es-ES"/>
        </w:rPr>
        <w:t>genérica</w:t>
      </w:r>
      <w:r w:rsidRPr="0099226F">
        <w:rPr>
          <w:rFonts w:ascii="Century Gothic" w:eastAsia="Times New Roman" w:hAnsi="Century Gothic" w:cs="Times New Roman"/>
          <w:sz w:val="24"/>
          <w:szCs w:val="24"/>
          <w:lang w:eastAsia="es-ES"/>
        </w:rPr>
        <w:t xml:space="preserve">. </w:t>
      </w:r>
    </w:p>
    <w:p w:rsidR="0074516D" w:rsidRPr="0099226F" w:rsidRDefault="0074516D" w:rsidP="001468B4">
      <w:pPr>
        <w:spacing w:after="0" w:line="360" w:lineRule="auto"/>
        <w:contextualSpacing/>
        <w:jc w:val="both"/>
        <w:rPr>
          <w:rFonts w:ascii="Century Gothic" w:eastAsia="Times New Roman" w:hAnsi="Century Gothic" w:cs="Times New Roman"/>
          <w:b/>
          <w:sz w:val="24"/>
          <w:szCs w:val="24"/>
          <w:lang w:eastAsia="es-ES"/>
        </w:rPr>
      </w:pPr>
    </w:p>
    <w:p w:rsidR="0074516D" w:rsidRPr="0099226F" w:rsidRDefault="0074516D" w:rsidP="001468B4">
      <w:pPr>
        <w:spacing w:after="0" w:line="360" w:lineRule="auto"/>
        <w:jc w:val="both"/>
        <w:rPr>
          <w:rFonts w:ascii="Century Gothic" w:hAnsi="Century Gothic"/>
          <w:b/>
          <w:sz w:val="24"/>
          <w:szCs w:val="24"/>
        </w:rPr>
      </w:pPr>
      <w:r w:rsidRPr="0099226F">
        <w:rPr>
          <w:rFonts w:ascii="Century Gothic" w:hAnsi="Century Gothic"/>
          <w:sz w:val="24"/>
          <w:szCs w:val="24"/>
        </w:rPr>
        <w:t xml:space="preserve">  </w:t>
      </w:r>
      <w:r w:rsidRPr="0099226F">
        <w:rPr>
          <w:rFonts w:ascii="Century Gothic" w:hAnsi="Century Gothic"/>
          <w:b/>
          <w:sz w:val="24"/>
          <w:szCs w:val="24"/>
        </w:rPr>
        <w:t>3. Sentencia de Primera Instancia</w:t>
      </w:r>
      <w:r w:rsidRPr="0099226F">
        <w:rPr>
          <w:rFonts w:ascii="Century Gothic" w:hAnsi="Century Gothic"/>
          <w:b/>
          <w:sz w:val="24"/>
          <w:szCs w:val="24"/>
          <w:vertAlign w:val="superscript"/>
        </w:rPr>
        <w:footnoteReference w:id="2"/>
      </w:r>
      <w:r w:rsidRPr="0099226F">
        <w:rPr>
          <w:rFonts w:ascii="Century Gothic" w:hAnsi="Century Gothic"/>
          <w:b/>
          <w:sz w:val="24"/>
          <w:szCs w:val="24"/>
        </w:rPr>
        <w:t>.</w:t>
      </w:r>
    </w:p>
    <w:p w:rsidR="0074516D" w:rsidRPr="0099226F" w:rsidRDefault="0074516D" w:rsidP="001468B4">
      <w:pPr>
        <w:spacing w:after="0" w:line="360" w:lineRule="auto"/>
        <w:jc w:val="both"/>
        <w:rPr>
          <w:rFonts w:ascii="Century Gothic" w:hAnsi="Century Gothic"/>
          <w:b/>
          <w:sz w:val="24"/>
          <w:szCs w:val="24"/>
        </w:rPr>
      </w:pPr>
    </w:p>
    <w:p w:rsidR="0074516D" w:rsidRPr="0099226F" w:rsidRDefault="0074516D" w:rsidP="001468B4">
      <w:pPr>
        <w:spacing w:after="0" w:line="360" w:lineRule="auto"/>
        <w:contextualSpacing/>
        <w:jc w:val="both"/>
        <w:rPr>
          <w:rFonts w:ascii="Century Gothic" w:hAnsi="Century Gothic"/>
          <w:sz w:val="24"/>
          <w:szCs w:val="24"/>
        </w:rPr>
      </w:pPr>
      <w:r w:rsidRPr="0099226F">
        <w:rPr>
          <w:rFonts w:ascii="Century Gothic" w:hAnsi="Century Gothic"/>
          <w:sz w:val="24"/>
          <w:szCs w:val="24"/>
        </w:rPr>
        <w:t xml:space="preserve">Mediante sentencia de fecha </w:t>
      </w:r>
      <w:r w:rsidR="000C39A2" w:rsidRPr="0099226F">
        <w:rPr>
          <w:rFonts w:ascii="Century Gothic" w:hAnsi="Century Gothic" w:cs="Century Gothic"/>
          <w:sz w:val="24"/>
          <w:szCs w:val="24"/>
        </w:rPr>
        <w:t>treinta</w:t>
      </w:r>
      <w:r w:rsidRPr="0099226F">
        <w:rPr>
          <w:rFonts w:ascii="Century Gothic" w:hAnsi="Century Gothic" w:cs="Century Gothic"/>
          <w:sz w:val="24"/>
          <w:szCs w:val="24"/>
        </w:rPr>
        <w:t xml:space="preserve"> (</w:t>
      </w:r>
      <w:r w:rsidR="000C39A2" w:rsidRPr="0099226F">
        <w:rPr>
          <w:rFonts w:ascii="Century Gothic" w:hAnsi="Century Gothic" w:cs="Century Gothic"/>
          <w:sz w:val="24"/>
          <w:szCs w:val="24"/>
        </w:rPr>
        <w:t>30</w:t>
      </w:r>
      <w:r w:rsidRPr="0099226F">
        <w:rPr>
          <w:rFonts w:ascii="Century Gothic" w:hAnsi="Century Gothic" w:cs="Century Gothic"/>
          <w:sz w:val="24"/>
          <w:szCs w:val="24"/>
        </w:rPr>
        <w:t xml:space="preserve">) </w:t>
      </w:r>
      <w:r w:rsidRPr="0099226F">
        <w:rPr>
          <w:rFonts w:ascii="Century Gothic" w:hAnsi="Century Gothic"/>
          <w:sz w:val="24"/>
          <w:szCs w:val="24"/>
        </w:rPr>
        <w:t xml:space="preserve">de </w:t>
      </w:r>
      <w:r w:rsidR="000C39A2" w:rsidRPr="0099226F">
        <w:rPr>
          <w:rFonts w:ascii="Century Gothic" w:hAnsi="Century Gothic"/>
          <w:sz w:val="24"/>
          <w:szCs w:val="24"/>
        </w:rPr>
        <w:t xml:space="preserve">septiembre </w:t>
      </w:r>
      <w:r w:rsidRPr="0099226F">
        <w:rPr>
          <w:rFonts w:ascii="Century Gothic" w:hAnsi="Century Gothic"/>
          <w:sz w:val="24"/>
          <w:szCs w:val="24"/>
        </w:rPr>
        <w:t xml:space="preserve">de dos mil catorce (2014), el Juzgado </w:t>
      </w:r>
      <w:r w:rsidR="00C61000" w:rsidRPr="0099226F">
        <w:rPr>
          <w:rFonts w:ascii="Century Gothic" w:hAnsi="Century Gothic"/>
          <w:sz w:val="24"/>
          <w:szCs w:val="24"/>
        </w:rPr>
        <w:t>Cuarto Administrativo</w:t>
      </w:r>
      <w:r w:rsidRPr="0099226F">
        <w:rPr>
          <w:rFonts w:ascii="Century Gothic" w:hAnsi="Century Gothic"/>
          <w:sz w:val="24"/>
          <w:szCs w:val="24"/>
        </w:rPr>
        <w:t xml:space="preserve"> del Circuito de Cartagena, accedió las pretensiones de la demanda, bajo los siguientes argumentos:</w:t>
      </w:r>
    </w:p>
    <w:p w:rsidR="0074516D" w:rsidRPr="0099226F" w:rsidRDefault="0074516D" w:rsidP="001468B4">
      <w:pPr>
        <w:spacing w:after="0" w:line="360" w:lineRule="auto"/>
        <w:contextualSpacing/>
        <w:jc w:val="both"/>
        <w:rPr>
          <w:rFonts w:ascii="Century Gothic" w:hAnsi="Century Gothic"/>
          <w:sz w:val="24"/>
          <w:szCs w:val="24"/>
        </w:rPr>
      </w:pPr>
    </w:p>
    <w:p w:rsidR="00EB0C13" w:rsidRPr="0099226F" w:rsidRDefault="00EB0C13"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Consideró el A quo que, conforme a las pruebas obrantes en el proceso, está acreditado que la demandante es beneficiaria del régimen de transición previsto en el artículo 36 de la Ley 100 de 1993 y que por tanto, la </w:t>
      </w:r>
      <w:r w:rsidRPr="0099226F">
        <w:rPr>
          <w:rFonts w:ascii="Century Gothic" w:eastAsia="Times New Roman" w:hAnsi="Century Gothic" w:cs="Times New Roman"/>
          <w:sz w:val="24"/>
          <w:szCs w:val="24"/>
          <w:lang w:eastAsia="es-ES"/>
        </w:rPr>
        <w:lastRenderedPageBreak/>
        <w:t>UGPP debió tener en cuenta al momento de reconocer y reliquidar la pensión de la actora el régimen contenido en la Ley 33 de 1985, liquidando la misma con la inclusión de todos los factores salariales devengados en el último año de servicios, en virtud de</w:t>
      </w:r>
      <w:r w:rsidR="00C61000" w:rsidRPr="0099226F">
        <w:rPr>
          <w:rFonts w:ascii="Century Gothic" w:eastAsia="Times New Roman" w:hAnsi="Century Gothic" w:cs="Times New Roman"/>
          <w:sz w:val="24"/>
          <w:szCs w:val="24"/>
          <w:lang w:eastAsia="es-ES"/>
        </w:rPr>
        <w:t xml:space="preserve"> </w:t>
      </w:r>
      <w:r w:rsidRPr="0099226F">
        <w:rPr>
          <w:rFonts w:ascii="Century Gothic" w:eastAsia="Times New Roman" w:hAnsi="Century Gothic" w:cs="Times New Roman"/>
          <w:sz w:val="24"/>
          <w:szCs w:val="24"/>
          <w:lang w:eastAsia="es-ES"/>
        </w:rPr>
        <w:t>l</w:t>
      </w:r>
      <w:r w:rsidR="00C61000" w:rsidRPr="0099226F">
        <w:rPr>
          <w:rFonts w:ascii="Century Gothic" w:eastAsia="Times New Roman" w:hAnsi="Century Gothic" w:cs="Times New Roman"/>
          <w:sz w:val="24"/>
          <w:szCs w:val="24"/>
          <w:lang w:eastAsia="es-ES"/>
        </w:rPr>
        <w:t>os</w:t>
      </w:r>
      <w:r w:rsidRPr="0099226F">
        <w:rPr>
          <w:rFonts w:ascii="Century Gothic" w:eastAsia="Times New Roman" w:hAnsi="Century Gothic" w:cs="Times New Roman"/>
          <w:sz w:val="24"/>
          <w:szCs w:val="24"/>
          <w:lang w:eastAsia="es-ES"/>
        </w:rPr>
        <w:t xml:space="preserve"> principio</w:t>
      </w:r>
      <w:r w:rsidR="00C61000" w:rsidRPr="0099226F">
        <w:rPr>
          <w:rFonts w:ascii="Century Gothic" w:eastAsia="Times New Roman" w:hAnsi="Century Gothic" w:cs="Times New Roman"/>
          <w:sz w:val="24"/>
          <w:szCs w:val="24"/>
          <w:lang w:eastAsia="es-ES"/>
        </w:rPr>
        <w:t>s</w:t>
      </w:r>
      <w:r w:rsidRPr="0099226F">
        <w:rPr>
          <w:rFonts w:ascii="Century Gothic" w:eastAsia="Times New Roman" w:hAnsi="Century Gothic" w:cs="Times New Roman"/>
          <w:sz w:val="24"/>
          <w:szCs w:val="24"/>
          <w:lang w:eastAsia="es-ES"/>
        </w:rPr>
        <w:t xml:space="preserve"> de inescindibilidad y favorabilidad.</w:t>
      </w:r>
    </w:p>
    <w:p w:rsidR="00EB0C13" w:rsidRPr="0099226F" w:rsidRDefault="00EB0C13" w:rsidP="001468B4">
      <w:pPr>
        <w:spacing w:after="0" w:line="360" w:lineRule="auto"/>
        <w:contextualSpacing/>
        <w:jc w:val="both"/>
        <w:rPr>
          <w:rFonts w:ascii="Century Gothic" w:eastAsia="Times New Roman" w:hAnsi="Century Gothic" w:cs="Times New Roman"/>
          <w:sz w:val="24"/>
          <w:szCs w:val="24"/>
          <w:lang w:eastAsia="es-ES"/>
        </w:rPr>
      </w:pPr>
    </w:p>
    <w:p w:rsidR="00EB0C13" w:rsidRPr="0099226F" w:rsidRDefault="00EB0C13"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Señala que su decisión se fundamenta en la jurisprudencia del H. Consejo de Estado, corporación que ha señalado que el artículo 1 de la Ley 62 de 1985 no incluye una lista taxativa sino meramente enunciativa de los factores que componen la base de liquidación pensional, lo cual permite incluir otros que también fueron devengados por el trabajador previa deducción de los aportes que dejaron de efectuarse.  </w:t>
      </w:r>
    </w:p>
    <w:p w:rsidR="00EB0C13" w:rsidRPr="0099226F" w:rsidRDefault="00EB0C13" w:rsidP="001468B4">
      <w:pPr>
        <w:spacing w:after="0" w:line="360" w:lineRule="auto"/>
        <w:contextualSpacing/>
        <w:jc w:val="both"/>
        <w:rPr>
          <w:rFonts w:ascii="Century Gothic" w:eastAsia="Times New Roman" w:hAnsi="Century Gothic" w:cs="Times New Roman"/>
          <w:sz w:val="24"/>
          <w:szCs w:val="24"/>
          <w:lang w:eastAsia="es-ES"/>
        </w:rPr>
      </w:pPr>
    </w:p>
    <w:p w:rsidR="00EB0C13" w:rsidRPr="0099226F" w:rsidRDefault="00EB0C13"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Conforme a lo anterior, declaró la nulidad de los actos administrativos acusados y ordenó la reliquidación de la pensión de jubilación de la actora incluyendo todos los factores devengados durante el último </w:t>
      </w:r>
      <w:r w:rsidR="004355E8" w:rsidRPr="0099226F">
        <w:rPr>
          <w:rFonts w:ascii="Century Gothic" w:eastAsia="Times New Roman" w:hAnsi="Century Gothic" w:cs="Times New Roman"/>
          <w:sz w:val="24"/>
          <w:szCs w:val="24"/>
          <w:lang w:eastAsia="es-ES"/>
        </w:rPr>
        <w:t xml:space="preserve">año </w:t>
      </w:r>
      <w:r w:rsidRPr="0099226F">
        <w:rPr>
          <w:rFonts w:ascii="Century Gothic" w:eastAsia="Times New Roman" w:hAnsi="Century Gothic" w:cs="Times New Roman"/>
          <w:sz w:val="24"/>
          <w:szCs w:val="24"/>
          <w:lang w:eastAsia="es-ES"/>
        </w:rPr>
        <w:t>de servicios y en consecuencia el pago de las diferencias pensionales que resultaran de la liquidación, debidamente indexadas. Finalmente, declaró la prescripción de las mesadas pensionales</w:t>
      </w:r>
      <w:r w:rsidR="00FC3BE0" w:rsidRPr="0099226F">
        <w:rPr>
          <w:rFonts w:ascii="Century Gothic" w:eastAsia="Times New Roman" w:hAnsi="Century Gothic" w:cs="Times New Roman"/>
          <w:sz w:val="24"/>
          <w:szCs w:val="24"/>
          <w:lang w:eastAsia="es-ES"/>
        </w:rPr>
        <w:t xml:space="preserve"> </w:t>
      </w:r>
      <w:r w:rsidRPr="0099226F">
        <w:rPr>
          <w:rFonts w:ascii="Century Gothic" w:eastAsia="Times New Roman" w:hAnsi="Century Gothic" w:cs="Times New Roman"/>
          <w:sz w:val="24"/>
          <w:szCs w:val="24"/>
          <w:lang w:eastAsia="es-ES"/>
        </w:rPr>
        <w:t xml:space="preserve">anteriores al </w:t>
      </w:r>
      <w:r w:rsidR="00FC3BE0" w:rsidRPr="0099226F">
        <w:rPr>
          <w:rFonts w:ascii="Century Gothic" w:eastAsia="Times New Roman" w:hAnsi="Century Gothic" w:cs="Times New Roman"/>
          <w:sz w:val="24"/>
          <w:szCs w:val="24"/>
          <w:lang w:eastAsia="es-ES"/>
        </w:rPr>
        <w:t>22</w:t>
      </w:r>
      <w:r w:rsidRPr="0099226F">
        <w:rPr>
          <w:rFonts w:ascii="Century Gothic" w:eastAsia="Times New Roman" w:hAnsi="Century Gothic" w:cs="Times New Roman"/>
          <w:sz w:val="24"/>
          <w:szCs w:val="24"/>
          <w:lang w:eastAsia="es-ES"/>
        </w:rPr>
        <w:t xml:space="preserve"> de </w:t>
      </w:r>
      <w:r w:rsidR="00FC3BE0" w:rsidRPr="0099226F">
        <w:rPr>
          <w:rFonts w:ascii="Century Gothic" w:eastAsia="Times New Roman" w:hAnsi="Century Gothic" w:cs="Times New Roman"/>
          <w:sz w:val="24"/>
          <w:szCs w:val="24"/>
          <w:lang w:eastAsia="es-ES"/>
        </w:rPr>
        <w:t xml:space="preserve">enero </w:t>
      </w:r>
      <w:r w:rsidRPr="0099226F">
        <w:rPr>
          <w:rFonts w:ascii="Century Gothic" w:eastAsia="Times New Roman" w:hAnsi="Century Gothic" w:cs="Times New Roman"/>
          <w:sz w:val="24"/>
          <w:szCs w:val="24"/>
          <w:lang w:eastAsia="es-ES"/>
        </w:rPr>
        <w:t>de 20</w:t>
      </w:r>
      <w:r w:rsidR="00FC3BE0" w:rsidRPr="0099226F">
        <w:rPr>
          <w:rFonts w:ascii="Century Gothic" w:eastAsia="Times New Roman" w:hAnsi="Century Gothic" w:cs="Times New Roman"/>
          <w:sz w:val="24"/>
          <w:szCs w:val="24"/>
          <w:lang w:eastAsia="es-ES"/>
        </w:rPr>
        <w:t>11</w:t>
      </w:r>
      <w:r w:rsidRPr="0099226F">
        <w:rPr>
          <w:rFonts w:ascii="Century Gothic" w:eastAsia="Times New Roman" w:hAnsi="Century Gothic" w:cs="Times New Roman"/>
          <w:sz w:val="24"/>
          <w:szCs w:val="24"/>
          <w:lang w:eastAsia="es-ES"/>
        </w:rPr>
        <w:t>.</w:t>
      </w:r>
    </w:p>
    <w:p w:rsidR="0074516D" w:rsidRPr="0099226F" w:rsidRDefault="0074516D" w:rsidP="001468B4">
      <w:pPr>
        <w:spacing w:after="0" w:line="360" w:lineRule="auto"/>
        <w:contextualSpacing/>
        <w:jc w:val="both"/>
        <w:rPr>
          <w:rFonts w:ascii="Century Gothic" w:hAnsi="Century Gothic"/>
          <w:sz w:val="24"/>
          <w:szCs w:val="24"/>
          <w:lang w:val="es-CO"/>
        </w:rPr>
      </w:pPr>
    </w:p>
    <w:p w:rsidR="0074516D"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4. Recurso de apelación. UGPP</w:t>
      </w:r>
      <w:r w:rsidRPr="0099226F">
        <w:rPr>
          <w:rFonts w:ascii="Century Gothic" w:hAnsi="Century Gothic"/>
          <w:b/>
          <w:sz w:val="24"/>
          <w:szCs w:val="24"/>
          <w:vertAlign w:val="superscript"/>
        </w:rPr>
        <w:footnoteReference w:id="3"/>
      </w:r>
      <w:r w:rsidRPr="0099226F">
        <w:rPr>
          <w:rFonts w:ascii="Century Gothic" w:hAnsi="Century Gothic"/>
          <w:b/>
          <w:sz w:val="24"/>
          <w:szCs w:val="24"/>
        </w:rPr>
        <w:t xml:space="preserve">.- </w:t>
      </w:r>
    </w:p>
    <w:p w:rsidR="0074516D" w:rsidRPr="0099226F" w:rsidRDefault="0074516D" w:rsidP="001468B4">
      <w:pPr>
        <w:spacing w:after="0" w:line="360" w:lineRule="auto"/>
        <w:contextualSpacing/>
        <w:jc w:val="both"/>
        <w:rPr>
          <w:rFonts w:ascii="Century Gothic" w:hAnsi="Century Gothic"/>
          <w:sz w:val="24"/>
          <w:szCs w:val="24"/>
        </w:rPr>
      </w:pP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La parte demandada recurre la sentencia de primera instancia, señalando que para el reconocimiento y liquidación de la pensión de la demandante por estar amparada bajo el régimen de transición, se tuvieron en cuenta los factores salariales que para el efecto prevén la Ley 100 de 1993 y el Decreto reglamentario 1158 de 1994. </w:t>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lastRenderedPageBreak/>
        <w:t>Afirma que al caso de la actora le fue aplicado el principio de inescindibilidad, por cuanto fue sometido en su integridad a lo dispuesto en el artículo 36 de la Ley 100 de 1993, que es el que contempla las reglas para las personas pertenecientes al régimen de transición en cuanto a la base de liquidación, por lo que no podría aplicársele las Leyes 33 y 62 de 1985.</w:t>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74516D" w:rsidRPr="0099226F" w:rsidRDefault="00B90A52"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S</w:t>
      </w:r>
      <w:r w:rsidR="0074516D" w:rsidRPr="0099226F">
        <w:rPr>
          <w:rFonts w:ascii="Century Gothic" w:eastAsia="Times New Roman" w:hAnsi="Century Gothic" w:cs="Times New Roman"/>
          <w:sz w:val="24"/>
          <w:szCs w:val="24"/>
          <w:lang w:eastAsia="es-ES"/>
        </w:rPr>
        <w:t xml:space="preserve">eñala </w:t>
      </w:r>
      <w:r w:rsidRPr="0099226F">
        <w:rPr>
          <w:rFonts w:ascii="Century Gothic" w:eastAsia="Times New Roman" w:hAnsi="Century Gothic" w:cs="Times New Roman"/>
          <w:sz w:val="24"/>
          <w:szCs w:val="24"/>
          <w:lang w:eastAsia="es-ES"/>
        </w:rPr>
        <w:t>que no debe ser reconocid</w:t>
      </w:r>
      <w:r w:rsidR="007E6A70" w:rsidRPr="0099226F">
        <w:rPr>
          <w:rFonts w:ascii="Century Gothic" w:eastAsia="Times New Roman" w:hAnsi="Century Gothic" w:cs="Times New Roman"/>
          <w:sz w:val="24"/>
          <w:szCs w:val="24"/>
          <w:lang w:eastAsia="es-ES"/>
        </w:rPr>
        <w:t>a</w:t>
      </w:r>
      <w:r w:rsidRPr="0099226F">
        <w:rPr>
          <w:rFonts w:ascii="Century Gothic" w:eastAsia="Times New Roman" w:hAnsi="Century Gothic" w:cs="Times New Roman"/>
          <w:sz w:val="24"/>
          <w:szCs w:val="24"/>
          <w:lang w:eastAsia="es-ES"/>
        </w:rPr>
        <w:t xml:space="preserve"> la indexación, como quiera que el artículo 178 del C.C.A establece que la liquidación de las condenas que se resuelvan mediante sentencia de la jurisdicción contenciosa administrativa deben efectuarse en t</w:t>
      </w:r>
      <w:r w:rsidR="007E6A70" w:rsidRPr="0099226F">
        <w:rPr>
          <w:rFonts w:ascii="Century Gothic" w:eastAsia="Times New Roman" w:hAnsi="Century Gothic" w:cs="Times New Roman"/>
          <w:sz w:val="24"/>
          <w:szCs w:val="24"/>
          <w:lang w:eastAsia="es-ES"/>
        </w:rPr>
        <w:t>odos los casos mediante sumas lí</w:t>
      </w:r>
      <w:r w:rsidRPr="0099226F">
        <w:rPr>
          <w:rFonts w:ascii="Century Gothic" w:eastAsia="Times New Roman" w:hAnsi="Century Gothic" w:cs="Times New Roman"/>
          <w:sz w:val="24"/>
          <w:szCs w:val="24"/>
          <w:lang w:eastAsia="es-ES"/>
        </w:rPr>
        <w:t xml:space="preserve">quidas de moneda en curso legal y cualquier reajuste a dicha condena solo podrá determinarse tomando como base el IPC, o al por mayor. </w:t>
      </w:r>
    </w:p>
    <w:p w:rsidR="00B90A52" w:rsidRPr="0099226F" w:rsidRDefault="00B90A52" w:rsidP="001468B4">
      <w:pPr>
        <w:spacing w:after="0" w:line="360" w:lineRule="auto"/>
        <w:contextualSpacing/>
        <w:jc w:val="both"/>
        <w:rPr>
          <w:rFonts w:ascii="Century Gothic" w:eastAsia="Times New Roman" w:hAnsi="Century Gothic" w:cs="Times New Roman"/>
          <w:sz w:val="24"/>
          <w:szCs w:val="24"/>
          <w:lang w:eastAsia="es-ES"/>
        </w:rPr>
      </w:pPr>
    </w:p>
    <w:p w:rsidR="00B90A52" w:rsidRPr="0099226F" w:rsidRDefault="00B90A52" w:rsidP="001468B4">
      <w:pPr>
        <w:spacing w:after="0" w:line="360" w:lineRule="auto"/>
        <w:contextualSpacing/>
        <w:jc w:val="both"/>
        <w:rPr>
          <w:rFonts w:ascii="Century Gothic" w:eastAsia="Times New Roman" w:hAnsi="Century Gothic" w:cs="Times New Roman"/>
          <w:sz w:val="24"/>
          <w:szCs w:val="24"/>
          <w:lang w:eastAsia="es-ES"/>
        </w:rPr>
      </w:pPr>
      <w:r w:rsidRPr="0099226F">
        <w:rPr>
          <w:rFonts w:ascii="Century Gothic" w:eastAsia="Times New Roman" w:hAnsi="Century Gothic" w:cs="Times New Roman"/>
          <w:sz w:val="24"/>
          <w:szCs w:val="24"/>
          <w:lang w:eastAsia="es-ES"/>
        </w:rPr>
        <w:t xml:space="preserve">También señala el recurrente que de conceder los tales factores se incurriría en una transgresión al principio de sostenibilidad presupuestal, ya que debe existir coordinación entre los emolumentos y los egresos, además de una transgresión al principio de solidaridad en materia de seguridad social.  </w:t>
      </w:r>
    </w:p>
    <w:p w:rsidR="0074516D" w:rsidRPr="0099226F" w:rsidRDefault="0074516D" w:rsidP="001468B4">
      <w:pPr>
        <w:spacing w:after="0" w:line="360" w:lineRule="auto"/>
        <w:contextualSpacing/>
        <w:jc w:val="both"/>
        <w:rPr>
          <w:rFonts w:ascii="Century Gothic" w:eastAsia="Times New Roman" w:hAnsi="Century Gothic" w:cs="Times New Roman"/>
          <w:sz w:val="24"/>
          <w:szCs w:val="24"/>
          <w:lang w:eastAsia="es-ES"/>
        </w:rPr>
      </w:pPr>
    </w:p>
    <w:p w:rsidR="0074516D"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5. Trámite procesal de segunda instancia.</w:t>
      </w:r>
      <w:r w:rsidRPr="0099226F">
        <w:rPr>
          <w:rFonts w:ascii="Century Gothic" w:hAnsi="Century Gothic"/>
          <w:b/>
          <w:sz w:val="24"/>
          <w:szCs w:val="24"/>
          <w:vertAlign w:val="superscript"/>
        </w:rPr>
        <w:footnoteReference w:id="4"/>
      </w:r>
    </w:p>
    <w:p w:rsidR="0074516D" w:rsidRPr="0099226F" w:rsidRDefault="0074516D" w:rsidP="001468B4">
      <w:pPr>
        <w:spacing w:after="0" w:line="360" w:lineRule="auto"/>
        <w:contextualSpacing/>
        <w:jc w:val="both"/>
        <w:rPr>
          <w:rFonts w:ascii="Century Gothic" w:hAnsi="Century Gothic"/>
          <w:b/>
          <w:sz w:val="24"/>
          <w:szCs w:val="24"/>
        </w:rPr>
      </w:pPr>
    </w:p>
    <w:p w:rsidR="0074516D" w:rsidRPr="0099226F" w:rsidRDefault="0074516D" w:rsidP="001468B4">
      <w:pPr>
        <w:spacing w:after="0" w:line="360" w:lineRule="auto"/>
        <w:contextualSpacing/>
        <w:jc w:val="both"/>
        <w:rPr>
          <w:rFonts w:ascii="Century Gothic" w:hAnsi="Century Gothic"/>
          <w:sz w:val="24"/>
          <w:szCs w:val="24"/>
        </w:rPr>
      </w:pPr>
      <w:r w:rsidRPr="0099226F">
        <w:rPr>
          <w:rFonts w:ascii="Century Gothic" w:hAnsi="Century Gothic"/>
          <w:sz w:val="24"/>
          <w:szCs w:val="24"/>
        </w:rPr>
        <w:t>Mediante auto de fecha veinte (20) de marzo de dos mil quince (2015), se admitió el recurso de apelación presentado por la parte demandada y se ordenó correr traslado para alegar de conclusión y para que el Ministerio Público rindiera concepto.</w:t>
      </w:r>
    </w:p>
    <w:p w:rsidR="0074516D" w:rsidRPr="0099226F" w:rsidRDefault="0074516D" w:rsidP="001468B4">
      <w:pPr>
        <w:spacing w:after="0" w:line="360" w:lineRule="auto"/>
        <w:contextualSpacing/>
        <w:jc w:val="both"/>
        <w:rPr>
          <w:rFonts w:ascii="Century Gothic" w:hAnsi="Century Gothic"/>
          <w:b/>
          <w:sz w:val="24"/>
          <w:szCs w:val="24"/>
        </w:rPr>
      </w:pPr>
    </w:p>
    <w:p w:rsidR="0074516D"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5.1 Alegatos de conclusión.</w:t>
      </w:r>
    </w:p>
    <w:p w:rsidR="0074516D" w:rsidRPr="0099226F" w:rsidRDefault="0074516D" w:rsidP="001468B4">
      <w:pPr>
        <w:spacing w:after="0" w:line="360" w:lineRule="auto"/>
        <w:contextualSpacing/>
        <w:jc w:val="both"/>
        <w:rPr>
          <w:rFonts w:ascii="Century Gothic" w:hAnsi="Century Gothic"/>
          <w:b/>
          <w:sz w:val="24"/>
          <w:szCs w:val="24"/>
        </w:rPr>
      </w:pPr>
    </w:p>
    <w:p w:rsidR="007E6A70"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5.1.1 Parte demandada</w:t>
      </w:r>
    </w:p>
    <w:p w:rsidR="007E6A70" w:rsidRPr="0099226F" w:rsidRDefault="007E6A70" w:rsidP="007E6A70">
      <w:pPr>
        <w:spacing w:after="0" w:line="240" w:lineRule="auto"/>
        <w:contextualSpacing/>
        <w:jc w:val="both"/>
        <w:rPr>
          <w:rFonts w:ascii="Century Gothic" w:hAnsi="Century Gothic"/>
          <w:b/>
          <w:sz w:val="24"/>
          <w:szCs w:val="24"/>
        </w:rPr>
      </w:pPr>
    </w:p>
    <w:p w:rsidR="0074516D" w:rsidRPr="0099226F" w:rsidRDefault="0074516D" w:rsidP="001468B4">
      <w:pPr>
        <w:spacing w:after="0" w:line="360" w:lineRule="auto"/>
        <w:contextualSpacing/>
        <w:jc w:val="both"/>
        <w:rPr>
          <w:rFonts w:ascii="Century Gothic" w:hAnsi="Century Gothic"/>
          <w:sz w:val="24"/>
          <w:szCs w:val="24"/>
        </w:rPr>
      </w:pPr>
      <w:r w:rsidRPr="0099226F">
        <w:rPr>
          <w:rFonts w:ascii="Century Gothic" w:hAnsi="Century Gothic"/>
          <w:sz w:val="24"/>
          <w:szCs w:val="24"/>
        </w:rPr>
        <w:lastRenderedPageBreak/>
        <w:t>Indica que como quiera que la accionante se encuentra cobijada por el régimen de transición consagrado en el artículo 36 de la Ley 100 de 1993, para el reconocimiento de su asignación pensional debe tenerse en cuenta</w:t>
      </w:r>
      <w:r w:rsidR="0031682C" w:rsidRPr="0099226F">
        <w:rPr>
          <w:rFonts w:ascii="Century Gothic" w:hAnsi="Century Gothic"/>
          <w:sz w:val="24"/>
          <w:szCs w:val="24"/>
        </w:rPr>
        <w:t xml:space="preserve">, en lo que respecta con edad, tiempo de servicios </w:t>
      </w:r>
      <w:r w:rsidR="00CB478F" w:rsidRPr="0099226F">
        <w:rPr>
          <w:rFonts w:ascii="Century Gothic" w:hAnsi="Century Gothic"/>
          <w:sz w:val="24"/>
          <w:szCs w:val="24"/>
        </w:rPr>
        <w:t>lo preceptuado en la ley 33 de 1985 y a fin de establecer el IBL para la liquidación de su mesada pensional</w:t>
      </w:r>
      <w:r w:rsidR="00D34A0E" w:rsidRPr="0099226F">
        <w:rPr>
          <w:rFonts w:ascii="Century Gothic" w:hAnsi="Century Gothic"/>
          <w:sz w:val="24"/>
          <w:szCs w:val="24"/>
        </w:rPr>
        <w:t>,</w:t>
      </w:r>
      <w:r w:rsidR="00CB478F" w:rsidRPr="0099226F">
        <w:rPr>
          <w:rFonts w:ascii="Century Gothic" w:hAnsi="Century Gothic"/>
          <w:sz w:val="24"/>
          <w:szCs w:val="24"/>
        </w:rPr>
        <w:t xml:space="preserve"> lo previsto en el artículo 36 de la Ley 100 y el</w:t>
      </w:r>
      <w:r w:rsidRPr="0099226F">
        <w:rPr>
          <w:rFonts w:ascii="Century Gothic" w:hAnsi="Century Gothic"/>
          <w:sz w:val="24"/>
          <w:szCs w:val="24"/>
        </w:rPr>
        <w:t xml:space="preserve"> Decreto 1158 de 1994.</w:t>
      </w:r>
      <w:r w:rsidR="00D34A0E" w:rsidRPr="0099226F">
        <w:rPr>
          <w:rFonts w:ascii="Century Gothic" w:hAnsi="Century Gothic"/>
          <w:sz w:val="24"/>
          <w:szCs w:val="24"/>
        </w:rPr>
        <w:t xml:space="preserve"> </w:t>
      </w:r>
      <w:r w:rsidRPr="0099226F">
        <w:rPr>
          <w:rFonts w:ascii="Century Gothic" w:hAnsi="Century Gothic"/>
          <w:sz w:val="24"/>
          <w:szCs w:val="24"/>
        </w:rPr>
        <w:t>Reitera los argumentos de la contestación, en especial el atinente a la violación del principio de sostenibilidad del sistema, pues debe existir congruencia entre los aportes cotizados de tal manera que antes de recibir se debe coadyuvar</w:t>
      </w:r>
      <w:r w:rsidR="00F03673">
        <w:rPr>
          <w:rFonts w:ascii="Century Gothic" w:hAnsi="Century Gothic"/>
          <w:sz w:val="24"/>
          <w:szCs w:val="24"/>
        </w:rPr>
        <w:t xml:space="preserve"> (folios 172-180)</w:t>
      </w:r>
      <w:r w:rsidR="004B79B2">
        <w:rPr>
          <w:rFonts w:ascii="Century Gothic" w:hAnsi="Century Gothic"/>
          <w:sz w:val="24"/>
          <w:szCs w:val="24"/>
        </w:rPr>
        <w:t xml:space="preserve"> </w:t>
      </w:r>
      <w:r w:rsidRPr="0099226F">
        <w:rPr>
          <w:rFonts w:ascii="Century Gothic" w:hAnsi="Century Gothic"/>
          <w:sz w:val="24"/>
          <w:szCs w:val="24"/>
        </w:rPr>
        <w:t>.</w:t>
      </w:r>
    </w:p>
    <w:p w:rsidR="0074516D" w:rsidRPr="0099226F" w:rsidRDefault="0074516D" w:rsidP="001468B4">
      <w:pPr>
        <w:spacing w:after="0" w:line="360" w:lineRule="auto"/>
        <w:contextualSpacing/>
        <w:jc w:val="both"/>
        <w:rPr>
          <w:rFonts w:ascii="Century Gothic" w:hAnsi="Century Gothic"/>
          <w:sz w:val="24"/>
          <w:szCs w:val="24"/>
        </w:rPr>
      </w:pPr>
    </w:p>
    <w:p w:rsidR="0074516D"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 xml:space="preserve">5.1.2 Parte demandante </w:t>
      </w:r>
    </w:p>
    <w:p w:rsidR="0074516D" w:rsidRPr="0099226F" w:rsidRDefault="0074516D" w:rsidP="001468B4">
      <w:pPr>
        <w:spacing w:after="0" w:line="360" w:lineRule="auto"/>
        <w:contextualSpacing/>
        <w:jc w:val="both"/>
        <w:rPr>
          <w:rFonts w:ascii="Century Gothic" w:hAnsi="Century Gothic"/>
          <w:b/>
          <w:sz w:val="24"/>
          <w:szCs w:val="24"/>
        </w:rPr>
      </w:pPr>
    </w:p>
    <w:p w:rsidR="0074516D" w:rsidRPr="0099226F" w:rsidRDefault="0074516D" w:rsidP="001468B4">
      <w:pPr>
        <w:spacing w:after="0" w:line="360" w:lineRule="auto"/>
        <w:contextualSpacing/>
        <w:jc w:val="both"/>
        <w:rPr>
          <w:rFonts w:ascii="Century Gothic" w:hAnsi="Century Gothic"/>
          <w:sz w:val="24"/>
          <w:szCs w:val="24"/>
        </w:rPr>
      </w:pPr>
      <w:r w:rsidRPr="0099226F">
        <w:rPr>
          <w:rFonts w:ascii="Century Gothic" w:hAnsi="Century Gothic"/>
          <w:sz w:val="24"/>
          <w:szCs w:val="24"/>
        </w:rPr>
        <w:t xml:space="preserve">Considera que del acervo probatorio encontrado en el expediente se puede deducir que en efecto la </w:t>
      </w:r>
      <w:r w:rsidR="00F82F9F" w:rsidRPr="0099226F">
        <w:rPr>
          <w:rFonts w:ascii="Century Gothic" w:hAnsi="Century Gothic"/>
          <w:sz w:val="24"/>
          <w:szCs w:val="24"/>
        </w:rPr>
        <w:t>actora</w:t>
      </w:r>
      <w:r w:rsidR="00CB478F" w:rsidRPr="0099226F">
        <w:rPr>
          <w:rFonts w:ascii="Century Gothic" w:hAnsi="Century Gothic"/>
          <w:sz w:val="24"/>
          <w:szCs w:val="24"/>
        </w:rPr>
        <w:t xml:space="preserve"> </w:t>
      </w:r>
      <w:r w:rsidRPr="0099226F">
        <w:rPr>
          <w:rFonts w:ascii="Century Gothic" w:hAnsi="Century Gothic"/>
          <w:sz w:val="24"/>
          <w:szCs w:val="24"/>
        </w:rPr>
        <w:t>está amparada por el régimen de transición previsto en el numeral 2º del artículo 36 de la Ley 100 de 1993, quedando también demostrado que la UGPP no expone nada distinto a lo reiterado en el proceso y que persiste en continuar dilatándolo, siendo dicha entidad la principal afectada pues cada día que pasa se suman los intereses moratorios, la indexación, entre otros aspectos.</w:t>
      </w:r>
      <w:r w:rsidR="00F82F9F" w:rsidRPr="0099226F">
        <w:rPr>
          <w:rFonts w:ascii="Century Gothic" w:hAnsi="Century Gothic"/>
          <w:sz w:val="24"/>
          <w:szCs w:val="24"/>
        </w:rPr>
        <w:t xml:space="preserve"> </w:t>
      </w:r>
    </w:p>
    <w:p w:rsidR="00F82F9F" w:rsidRPr="0099226F" w:rsidRDefault="00F82F9F" w:rsidP="001468B4">
      <w:pPr>
        <w:spacing w:after="0" w:line="360" w:lineRule="auto"/>
        <w:contextualSpacing/>
        <w:jc w:val="both"/>
        <w:rPr>
          <w:rFonts w:ascii="Century Gothic" w:hAnsi="Century Gothic"/>
          <w:sz w:val="24"/>
          <w:szCs w:val="24"/>
        </w:rPr>
      </w:pPr>
    </w:p>
    <w:p w:rsidR="0074516D" w:rsidRPr="0099226F" w:rsidRDefault="0074516D" w:rsidP="001468B4">
      <w:pPr>
        <w:spacing w:after="0" w:line="360" w:lineRule="auto"/>
        <w:contextualSpacing/>
        <w:jc w:val="both"/>
        <w:rPr>
          <w:rFonts w:ascii="Century Gothic" w:hAnsi="Century Gothic"/>
          <w:sz w:val="24"/>
          <w:szCs w:val="24"/>
        </w:rPr>
      </w:pPr>
      <w:r w:rsidRPr="0099226F">
        <w:rPr>
          <w:rFonts w:ascii="Century Gothic" w:hAnsi="Century Gothic"/>
          <w:sz w:val="24"/>
          <w:szCs w:val="24"/>
        </w:rPr>
        <w:t>Por tal razón solicita se tengan en cuenta las consideraciones planteadas igualmente en la demanda y como consecuencia de ello, modificar la sentencia apelada y condenar en costas a la entidad demandada por haber demostrado una conducta dilatoria y temeraria frente al proceso</w:t>
      </w:r>
      <w:r w:rsidR="0028232F">
        <w:rPr>
          <w:rFonts w:ascii="Century Gothic" w:hAnsi="Century Gothic"/>
          <w:sz w:val="24"/>
          <w:szCs w:val="24"/>
        </w:rPr>
        <w:t xml:space="preserve"> (folios 182 a 183)</w:t>
      </w:r>
      <w:r w:rsidRPr="0099226F">
        <w:rPr>
          <w:rFonts w:ascii="Century Gothic" w:hAnsi="Century Gothic"/>
          <w:sz w:val="24"/>
          <w:szCs w:val="24"/>
        </w:rPr>
        <w:t>.</w:t>
      </w:r>
    </w:p>
    <w:p w:rsidR="0074516D" w:rsidRPr="0099226F" w:rsidRDefault="0074516D" w:rsidP="001468B4">
      <w:pPr>
        <w:spacing w:after="0" w:line="360" w:lineRule="auto"/>
        <w:contextualSpacing/>
        <w:jc w:val="both"/>
        <w:rPr>
          <w:rFonts w:ascii="Century Gothic" w:hAnsi="Century Gothic"/>
          <w:sz w:val="24"/>
          <w:szCs w:val="24"/>
        </w:rPr>
      </w:pPr>
    </w:p>
    <w:p w:rsidR="0074516D" w:rsidRPr="0099226F" w:rsidRDefault="0074516D" w:rsidP="001468B4">
      <w:pPr>
        <w:spacing w:after="0" w:line="360" w:lineRule="auto"/>
        <w:contextualSpacing/>
        <w:jc w:val="both"/>
        <w:rPr>
          <w:rFonts w:ascii="Century Gothic" w:hAnsi="Century Gothic"/>
          <w:b/>
          <w:sz w:val="24"/>
          <w:szCs w:val="24"/>
        </w:rPr>
      </w:pPr>
      <w:r w:rsidRPr="0099226F">
        <w:rPr>
          <w:rFonts w:ascii="Century Gothic" w:hAnsi="Century Gothic"/>
          <w:b/>
          <w:sz w:val="24"/>
          <w:szCs w:val="24"/>
        </w:rPr>
        <w:t>6. CONCEPTO DEL MINISTERIO PÚBLICO</w:t>
      </w:r>
    </w:p>
    <w:p w:rsidR="0074516D" w:rsidRPr="0099226F" w:rsidRDefault="0074516D" w:rsidP="001468B4">
      <w:pPr>
        <w:spacing w:after="0" w:line="360" w:lineRule="auto"/>
        <w:rPr>
          <w:rFonts w:ascii="Century Gothic" w:hAnsi="Century Gothic" w:cs="Arial"/>
          <w:b/>
          <w:iCs/>
          <w:sz w:val="24"/>
          <w:szCs w:val="24"/>
          <w:highlight w:val="yellow"/>
          <w:lang w:val="es-CO"/>
        </w:rPr>
      </w:pPr>
    </w:p>
    <w:p w:rsidR="0074516D" w:rsidRPr="0099226F" w:rsidRDefault="0074516D" w:rsidP="001468B4">
      <w:pPr>
        <w:spacing w:after="0" w:line="360" w:lineRule="auto"/>
        <w:jc w:val="both"/>
        <w:rPr>
          <w:rFonts w:ascii="Century Gothic" w:hAnsi="Century Gothic" w:cs="Arial"/>
          <w:iCs/>
          <w:sz w:val="24"/>
          <w:szCs w:val="24"/>
          <w:lang w:val="es-CO"/>
        </w:rPr>
      </w:pPr>
      <w:r w:rsidRPr="0099226F">
        <w:rPr>
          <w:rFonts w:ascii="Century Gothic" w:hAnsi="Century Gothic" w:cs="Arial"/>
          <w:iCs/>
          <w:sz w:val="24"/>
          <w:szCs w:val="24"/>
          <w:lang w:val="es-CO"/>
        </w:rPr>
        <w:t xml:space="preserve">La Representante del Ministerio </w:t>
      </w:r>
      <w:r w:rsidR="00CB478F" w:rsidRPr="0099226F">
        <w:rPr>
          <w:rFonts w:ascii="Century Gothic" w:hAnsi="Century Gothic" w:cs="Arial"/>
          <w:iCs/>
          <w:sz w:val="24"/>
          <w:szCs w:val="24"/>
          <w:lang w:val="es-CO"/>
        </w:rPr>
        <w:t xml:space="preserve">no presentó </w:t>
      </w:r>
      <w:r w:rsidR="00CE633E" w:rsidRPr="0099226F">
        <w:rPr>
          <w:rFonts w:ascii="Century Gothic" w:hAnsi="Century Gothic" w:cs="Arial"/>
          <w:iCs/>
          <w:sz w:val="24"/>
          <w:szCs w:val="24"/>
          <w:lang w:val="es-CO"/>
        </w:rPr>
        <w:t>concepto</w:t>
      </w:r>
      <w:r w:rsidRPr="0099226F">
        <w:rPr>
          <w:rFonts w:ascii="Century Gothic" w:hAnsi="Century Gothic" w:cs="Arial"/>
          <w:iCs/>
          <w:sz w:val="24"/>
          <w:szCs w:val="24"/>
          <w:lang w:val="es-CO"/>
        </w:rPr>
        <w:t>.</w:t>
      </w:r>
    </w:p>
    <w:p w:rsidR="0074516D" w:rsidRDefault="0074516D" w:rsidP="001468B4">
      <w:pPr>
        <w:spacing w:after="0" w:line="360" w:lineRule="auto"/>
        <w:jc w:val="both"/>
        <w:rPr>
          <w:rFonts w:ascii="Century Gothic" w:hAnsi="Century Gothic" w:cs="Arial"/>
          <w:iCs/>
          <w:sz w:val="24"/>
          <w:szCs w:val="24"/>
          <w:lang w:val="es-CO"/>
        </w:rPr>
      </w:pPr>
    </w:p>
    <w:p w:rsidR="0028232F" w:rsidRPr="0099226F" w:rsidRDefault="0028232F" w:rsidP="001468B4">
      <w:pPr>
        <w:spacing w:after="0" w:line="360" w:lineRule="auto"/>
        <w:jc w:val="both"/>
        <w:rPr>
          <w:rFonts w:ascii="Century Gothic" w:hAnsi="Century Gothic" w:cs="Arial"/>
          <w:iCs/>
          <w:sz w:val="24"/>
          <w:szCs w:val="24"/>
          <w:lang w:val="es-CO"/>
        </w:rPr>
      </w:pPr>
    </w:p>
    <w:p w:rsidR="0074516D" w:rsidRPr="0099226F" w:rsidRDefault="0074516D" w:rsidP="001468B4">
      <w:pPr>
        <w:spacing w:after="0" w:line="360" w:lineRule="auto"/>
        <w:jc w:val="center"/>
        <w:rPr>
          <w:rFonts w:ascii="Century Gothic" w:hAnsi="Century Gothic" w:cs="Arial"/>
          <w:b/>
          <w:iCs/>
          <w:sz w:val="24"/>
          <w:szCs w:val="24"/>
          <w:lang w:val="es-CO"/>
        </w:rPr>
      </w:pPr>
      <w:r w:rsidRPr="0099226F">
        <w:rPr>
          <w:rFonts w:ascii="Century Gothic" w:hAnsi="Century Gothic" w:cs="Arial"/>
          <w:b/>
          <w:iCs/>
          <w:sz w:val="24"/>
          <w:szCs w:val="24"/>
          <w:lang w:val="es-CO"/>
        </w:rPr>
        <w:t>II. CONSIDERACIONES</w:t>
      </w:r>
    </w:p>
    <w:p w:rsidR="0074516D" w:rsidRPr="0099226F" w:rsidRDefault="0074516D" w:rsidP="001468B4">
      <w:pPr>
        <w:spacing w:after="0" w:line="360" w:lineRule="auto"/>
        <w:jc w:val="center"/>
        <w:rPr>
          <w:rFonts w:ascii="Century Gothic" w:hAnsi="Century Gothic" w:cs="Arial"/>
          <w:b/>
          <w:iCs/>
          <w:sz w:val="24"/>
          <w:szCs w:val="24"/>
          <w:lang w:val="es-CO"/>
        </w:rPr>
      </w:pPr>
    </w:p>
    <w:p w:rsidR="0074516D" w:rsidRPr="0099226F" w:rsidRDefault="0074516D" w:rsidP="001468B4">
      <w:pPr>
        <w:numPr>
          <w:ilvl w:val="0"/>
          <w:numId w:val="18"/>
        </w:numPr>
        <w:spacing w:after="0" w:line="360" w:lineRule="auto"/>
        <w:contextualSpacing/>
        <w:rPr>
          <w:rFonts w:ascii="Century Gothic" w:hAnsi="Century Gothic" w:cs="Arial"/>
          <w:b/>
          <w:iCs/>
          <w:sz w:val="24"/>
          <w:szCs w:val="24"/>
          <w:lang w:val="es-CO"/>
        </w:rPr>
      </w:pPr>
      <w:r w:rsidRPr="0099226F">
        <w:rPr>
          <w:rFonts w:ascii="Century Gothic" w:hAnsi="Century Gothic" w:cs="Arial"/>
          <w:b/>
          <w:iCs/>
          <w:sz w:val="24"/>
          <w:szCs w:val="24"/>
          <w:lang w:val="es-CO"/>
        </w:rPr>
        <w:t>ASUNTO PREVIO.</w:t>
      </w:r>
    </w:p>
    <w:p w:rsidR="0074516D" w:rsidRPr="0099226F" w:rsidRDefault="0074516D" w:rsidP="001468B4">
      <w:pPr>
        <w:spacing w:after="0" w:line="360" w:lineRule="auto"/>
        <w:ind w:left="720"/>
        <w:contextualSpacing/>
        <w:rPr>
          <w:rFonts w:ascii="Century Gothic" w:hAnsi="Century Gothic" w:cs="Arial"/>
          <w:b/>
          <w:iCs/>
          <w:sz w:val="24"/>
          <w:szCs w:val="24"/>
          <w:lang w:val="es-CO"/>
        </w:rPr>
      </w:pPr>
    </w:p>
    <w:p w:rsidR="0074516D" w:rsidRPr="0099226F" w:rsidRDefault="0074516D" w:rsidP="001468B4">
      <w:pPr>
        <w:numPr>
          <w:ilvl w:val="1"/>
          <w:numId w:val="18"/>
        </w:numPr>
        <w:spacing w:after="0" w:line="360" w:lineRule="auto"/>
        <w:contextualSpacing/>
        <w:rPr>
          <w:rFonts w:ascii="Century Gothic" w:hAnsi="Century Gothic" w:cs="Arial"/>
          <w:b/>
          <w:iCs/>
          <w:sz w:val="24"/>
          <w:szCs w:val="24"/>
          <w:lang w:val="es-CO"/>
        </w:rPr>
      </w:pPr>
      <w:r w:rsidRPr="0099226F">
        <w:rPr>
          <w:rFonts w:ascii="Century Gothic" w:hAnsi="Century Gothic" w:cs="Arial"/>
          <w:b/>
          <w:iCs/>
          <w:sz w:val="24"/>
          <w:szCs w:val="24"/>
          <w:lang w:val="es-CO"/>
        </w:rPr>
        <w:t>Control de legalidad.</w:t>
      </w:r>
    </w:p>
    <w:p w:rsidR="0074516D" w:rsidRPr="0099226F" w:rsidRDefault="0074516D" w:rsidP="001468B4">
      <w:pPr>
        <w:spacing w:after="0" w:line="360" w:lineRule="auto"/>
        <w:ind w:left="1080"/>
        <w:contextualSpacing/>
        <w:rPr>
          <w:rFonts w:ascii="Century Gothic" w:hAnsi="Century Gothic" w:cs="Arial"/>
          <w:b/>
          <w:iCs/>
          <w:sz w:val="24"/>
          <w:szCs w:val="24"/>
          <w:lang w:val="es-CO"/>
        </w:rPr>
      </w:pPr>
    </w:p>
    <w:p w:rsidR="0074516D" w:rsidRPr="0099226F" w:rsidRDefault="0074516D" w:rsidP="001468B4">
      <w:pPr>
        <w:spacing w:after="0" w:line="360" w:lineRule="auto"/>
        <w:contextualSpacing/>
        <w:jc w:val="both"/>
        <w:rPr>
          <w:rFonts w:ascii="Century Gothic" w:hAnsi="Century Gothic"/>
          <w:sz w:val="24"/>
          <w:szCs w:val="24"/>
          <w:lang w:val="es-CO"/>
        </w:rPr>
      </w:pPr>
      <w:r w:rsidRPr="0099226F">
        <w:rPr>
          <w:rFonts w:ascii="Century Gothic" w:hAnsi="Century Gothic"/>
          <w:sz w:val="24"/>
          <w:szCs w:val="24"/>
          <w:lang w:val="es-CO"/>
        </w:rPr>
        <w:t xml:space="preserve">Revisado el expediente se observa </w:t>
      </w:r>
      <w:r w:rsidR="00CE633E" w:rsidRPr="0099226F">
        <w:rPr>
          <w:rFonts w:ascii="Century Gothic" w:hAnsi="Century Gothic"/>
          <w:sz w:val="24"/>
          <w:szCs w:val="24"/>
          <w:lang w:val="es-CO"/>
        </w:rPr>
        <w:t xml:space="preserve">que </w:t>
      </w:r>
      <w:r w:rsidRPr="0099226F">
        <w:rPr>
          <w:rFonts w:ascii="Century Gothic" w:hAnsi="Century Gothic"/>
          <w:sz w:val="24"/>
          <w:szCs w:val="24"/>
          <w:lang w:val="es-CO"/>
        </w:rPr>
        <w:t xml:space="preserve">en el desarrollo de las etapas procesales de primera instancia no se ejerció el control de legalidad previsto en el artículo 207 del CPACA. Sin embargo, ninguna de las partes ni el Ministerio público objetó el trámite procesal adelantado.  Por ello y como en esta instancia no se observan vicios </w:t>
      </w:r>
      <w:r w:rsidR="00CE633E" w:rsidRPr="0099226F">
        <w:rPr>
          <w:rFonts w:ascii="Century Gothic" w:hAnsi="Century Gothic"/>
          <w:sz w:val="24"/>
          <w:szCs w:val="24"/>
          <w:lang w:val="es-CO"/>
        </w:rPr>
        <w:t>q</w:t>
      </w:r>
      <w:r w:rsidRPr="0099226F">
        <w:rPr>
          <w:rFonts w:ascii="Century Gothic" w:hAnsi="Century Gothic"/>
          <w:sz w:val="24"/>
          <w:szCs w:val="24"/>
          <w:lang w:val="es-CO"/>
        </w:rPr>
        <w:t xml:space="preserve">ue acarreen la nulidad del proceso o impidan proferir decisión, se </w:t>
      </w:r>
      <w:r w:rsidR="00CE633E" w:rsidRPr="0099226F">
        <w:rPr>
          <w:rFonts w:ascii="Century Gothic" w:hAnsi="Century Gothic"/>
          <w:sz w:val="24"/>
          <w:szCs w:val="24"/>
          <w:lang w:val="es-CO"/>
        </w:rPr>
        <w:t>continúa</w:t>
      </w:r>
      <w:r w:rsidRPr="0099226F">
        <w:rPr>
          <w:rFonts w:ascii="Century Gothic" w:hAnsi="Century Gothic"/>
          <w:sz w:val="24"/>
          <w:szCs w:val="24"/>
          <w:lang w:val="es-CO"/>
        </w:rPr>
        <w:t xml:space="preserve"> </w:t>
      </w:r>
      <w:r w:rsidR="00265329" w:rsidRPr="0099226F">
        <w:rPr>
          <w:rFonts w:ascii="Century Gothic" w:hAnsi="Century Gothic"/>
          <w:sz w:val="24"/>
          <w:szCs w:val="24"/>
          <w:lang w:val="es-CO"/>
        </w:rPr>
        <w:t>con la resolución de la</w:t>
      </w:r>
      <w:r w:rsidRPr="0099226F">
        <w:rPr>
          <w:rFonts w:ascii="Century Gothic" w:hAnsi="Century Gothic"/>
          <w:sz w:val="24"/>
          <w:szCs w:val="24"/>
          <w:lang w:val="es-CO"/>
        </w:rPr>
        <w:t xml:space="preserve"> alzada.</w:t>
      </w:r>
    </w:p>
    <w:p w:rsidR="0074516D" w:rsidRPr="0099226F" w:rsidRDefault="0074516D" w:rsidP="001468B4">
      <w:pPr>
        <w:spacing w:after="0" w:line="360" w:lineRule="auto"/>
        <w:rPr>
          <w:rFonts w:ascii="Century Gothic" w:hAnsi="Century Gothic" w:cs="Arial"/>
          <w:b/>
          <w:iCs/>
          <w:sz w:val="24"/>
          <w:szCs w:val="24"/>
          <w:lang w:val="es-CO"/>
        </w:rPr>
      </w:pPr>
    </w:p>
    <w:p w:rsidR="0074516D" w:rsidRPr="0099226F" w:rsidRDefault="0074516D" w:rsidP="001468B4">
      <w:pPr>
        <w:numPr>
          <w:ilvl w:val="0"/>
          <w:numId w:val="18"/>
        </w:numPr>
        <w:spacing w:after="0" w:line="360" w:lineRule="auto"/>
        <w:contextualSpacing/>
        <w:rPr>
          <w:rFonts w:ascii="Century Gothic" w:hAnsi="Century Gothic" w:cs="Arial"/>
          <w:b/>
          <w:iCs/>
          <w:sz w:val="24"/>
          <w:szCs w:val="24"/>
        </w:rPr>
      </w:pPr>
      <w:r w:rsidRPr="0099226F">
        <w:rPr>
          <w:rFonts w:ascii="Century Gothic" w:hAnsi="Century Gothic" w:cs="Arial"/>
          <w:b/>
          <w:iCs/>
          <w:sz w:val="24"/>
          <w:szCs w:val="24"/>
        </w:rPr>
        <w:t>ASUNTO DE FONDO</w:t>
      </w:r>
    </w:p>
    <w:p w:rsidR="0074516D" w:rsidRPr="0099226F" w:rsidRDefault="0074516D" w:rsidP="001468B4">
      <w:pPr>
        <w:spacing w:after="0" w:line="360" w:lineRule="auto"/>
        <w:ind w:left="720"/>
        <w:contextualSpacing/>
        <w:rPr>
          <w:rFonts w:ascii="Century Gothic" w:hAnsi="Century Gothic" w:cs="Arial"/>
          <w:b/>
          <w:iCs/>
          <w:sz w:val="24"/>
          <w:szCs w:val="24"/>
        </w:rPr>
      </w:pPr>
    </w:p>
    <w:p w:rsidR="0074516D" w:rsidRPr="0099226F" w:rsidRDefault="0074516D" w:rsidP="001468B4">
      <w:pPr>
        <w:numPr>
          <w:ilvl w:val="1"/>
          <w:numId w:val="18"/>
        </w:numPr>
        <w:spacing w:after="0" w:line="360" w:lineRule="auto"/>
        <w:contextualSpacing/>
        <w:rPr>
          <w:rFonts w:ascii="Century Gothic" w:hAnsi="Century Gothic" w:cs="Arial"/>
          <w:b/>
          <w:iCs/>
          <w:sz w:val="24"/>
          <w:szCs w:val="24"/>
        </w:rPr>
      </w:pPr>
      <w:r w:rsidRPr="0099226F">
        <w:rPr>
          <w:rFonts w:ascii="Century Gothic" w:hAnsi="Century Gothic" w:cs="Arial"/>
          <w:b/>
          <w:iCs/>
          <w:sz w:val="24"/>
          <w:szCs w:val="24"/>
        </w:rPr>
        <w:t>Problema</w:t>
      </w:r>
      <w:r w:rsidR="0008752A" w:rsidRPr="0099226F">
        <w:rPr>
          <w:rFonts w:ascii="Century Gothic" w:hAnsi="Century Gothic" w:cs="Arial"/>
          <w:b/>
          <w:iCs/>
          <w:sz w:val="24"/>
          <w:szCs w:val="24"/>
        </w:rPr>
        <w:t>s</w:t>
      </w:r>
      <w:r w:rsidRPr="0099226F">
        <w:rPr>
          <w:rFonts w:ascii="Century Gothic" w:hAnsi="Century Gothic" w:cs="Arial"/>
          <w:b/>
          <w:iCs/>
          <w:sz w:val="24"/>
          <w:szCs w:val="24"/>
        </w:rPr>
        <w:t xml:space="preserve"> jurídico</w:t>
      </w:r>
      <w:r w:rsidR="0008752A" w:rsidRPr="0099226F">
        <w:rPr>
          <w:rFonts w:ascii="Century Gothic" w:hAnsi="Century Gothic" w:cs="Arial"/>
          <w:b/>
          <w:iCs/>
          <w:sz w:val="24"/>
          <w:szCs w:val="24"/>
        </w:rPr>
        <w:t>s</w:t>
      </w:r>
      <w:r w:rsidR="00277432">
        <w:rPr>
          <w:rFonts w:ascii="Century Gothic" w:hAnsi="Century Gothic" w:cs="Arial"/>
          <w:b/>
          <w:iCs/>
          <w:sz w:val="24"/>
          <w:szCs w:val="24"/>
        </w:rPr>
        <w:t xml:space="preserve"> y tesis</w:t>
      </w:r>
      <w:r w:rsidRPr="0099226F">
        <w:rPr>
          <w:rFonts w:ascii="Century Gothic" w:hAnsi="Century Gothic" w:cs="Arial"/>
          <w:b/>
          <w:iCs/>
          <w:sz w:val="24"/>
          <w:szCs w:val="24"/>
        </w:rPr>
        <w:t>.</w:t>
      </w:r>
    </w:p>
    <w:p w:rsidR="0074516D" w:rsidRPr="0099226F" w:rsidRDefault="0074516D" w:rsidP="001468B4">
      <w:pPr>
        <w:spacing w:after="0" w:line="360" w:lineRule="auto"/>
        <w:ind w:left="1080"/>
        <w:contextualSpacing/>
        <w:rPr>
          <w:rFonts w:ascii="Century Gothic" w:hAnsi="Century Gothic" w:cs="Arial"/>
          <w:b/>
          <w:iCs/>
          <w:sz w:val="24"/>
          <w:szCs w:val="24"/>
        </w:rPr>
      </w:pPr>
    </w:p>
    <w:p w:rsidR="0074516D" w:rsidRPr="0099226F" w:rsidRDefault="0074516D" w:rsidP="001468B4">
      <w:pPr>
        <w:spacing w:after="0" w:line="360" w:lineRule="auto"/>
        <w:jc w:val="both"/>
        <w:rPr>
          <w:rFonts w:ascii="Century Gothic" w:eastAsia="Calibri" w:hAnsi="Century Gothic" w:cs="Arial"/>
          <w:iCs/>
          <w:sz w:val="24"/>
          <w:szCs w:val="24"/>
          <w:lang w:val="es-CO"/>
        </w:rPr>
      </w:pPr>
      <w:r w:rsidRPr="0099226F">
        <w:rPr>
          <w:rFonts w:ascii="Century Gothic" w:eastAsia="Calibri" w:hAnsi="Century Gothic" w:cs="Arial"/>
          <w:iCs/>
          <w:sz w:val="24"/>
          <w:szCs w:val="24"/>
          <w:lang w:val="es-CO"/>
        </w:rPr>
        <w:t xml:space="preserve">La Sala encuentra que </w:t>
      </w:r>
      <w:r w:rsidR="00E75A8A">
        <w:rPr>
          <w:rFonts w:ascii="Century Gothic" w:eastAsia="Calibri" w:hAnsi="Century Gothic" w:cs="Arial"/>
          <w:iCs/>
          <w:sz w:val="24"/>
          <w:szCs w:val="24"/>
          <w:lang w:val="es-CO"/>
        </w:rPr>
        <w:t>el</w:t>
      </w:r>
      <w:r w:rsidRPr="0099226F">
        <w:rPr>
          <w:rFonts w:ascii="Century Gothic" w:eastAsia="Calibri" w:hAnsi="Century Gothic" w:cs="Arial"/>
          <w:iCs/>
          <w:sz w:val="24"/>
          <w:szCs w:val="24"/>
          <w:lang w:val="es-CO"/>
        </w:rPr>
        <w:t xml:space="preserve"> problema jurídico</w:t>
      </w:r>
      <w:r w:rsidR="00E75A8A">
        <w:rPr>
          <w:rFonts w:ascii="Century Gothic" w:eastAsia="Calibri" w:hAnsi="Century Gothic" w:cs="Arial"/>
          <w:iCs/>
          <w:sz w:val="24"/>
          <w:szCs w:val="24"/>
          <w:lang w:val="es-CO"/>
        </w:rPr>
        <w:t xml:space="preserve"> central</w:t>
      </w:r>
      <w:r w:rsidRPr="0099226F">
        <w:rPr>
          <w:rFonts w:ascii="Century Gothic" w:eastAsia="Calibri" w:hAnsi="Century Gothic" w:cs="Arial"/>
          <w:iCs/>
          <w:sz w:val="24"/>
          <w:szCs w:val="24"/>
          <w:lang w:val="es-CO"/>
        </w:rPr>
        <w:t xml:space="preserve">, determinado por el sustento de la alzada, </w:t>
      </w:r>
      <w:r w:rsidR="00E75A8A">
        <w:rPr>
          <w:rFonts w:ascii="Century Gothic" w:eastAsia="Calibri" w:hAnsi="Century Gothic" w:cs="Arial"/>
          <w:iCs/>
          <w:sz w:val="24"/>
          <w:szCs w:val="24"/>
          <w:lang w:val="es-CO"/>
        </w:rPr>
        <w:t xml:space="preserve">es de tipo normativo y </w:t>
      </w:r>
      <w:r w:rsidRPr="0099226F">
        <w:rPr>
          <w:rFonts w:ascii="Century Gothic" w:eastAsia="Calibri" w:hAnsi="Century Gothic" w:cs="Arial"/>
          <w:iCs/>
          <w:sz w:val="24"/>
          <w:szCs w:val="24"/>
          <w:lang w:val="es-CO"/>
        </w:rPr>
        <w:t xml:space="preserve">se concreta en </w:t>
      </w:r>
      <w:r w:rsidR="00E75A8A">
        <w:rPr>
          <w:rFonts w:ascii="Century Gothic" w:eastAsia="Calibri" w:hAnsi="Century Gothic" w:cs="Arial"/>
          <w:iCs/>
          <w:sz w:val="24"/>
          <w:szCs w:val="24"/>
          <w:lang w:val="es-CO"/>
        </w:rPr>
        <w:t>e</w:t>
      </w:r>
      <w:r w:rsidRPr="0099226F">
        <w:rPr>
          <w:rFonts w:ascii="Century Gothic" w:eastAsia="Calibri" w:hAnsi="Century Gothic" w:cs="Arial"/>
          <w:iCs/>
          <w:sz w:val="24"/>
          <w:szCs w:val="24"/>
          <w:lang w:val="es-CO"/>
        </w:rPr>
        <w:t xml:space="preserve">l siguiente cuestionamiento: </w:t>
      </w:r>
    </w:p>
    <w:p w:rsidR="0074516D" w:rsidRPr="0099226F" w:rsidRDefault="0074516D" w:rsidP="001468B4">
      <w:pPr>
        <w:spacing w:after="0" w:line="360" w:lineRule="auto"/>
        <w:jc w:val="both"/>
        <w:rPr>
          <w:rFonts w:ascii="Century Gothic" w:eastAsia="Calibri" w:hAnsi="Century Gothic" w:cs="Arial"/>
          <w:iCs/>
          <w:sz w:val="24"/>
          <w:szCs w:val="24"/>
          <w:lang w:val="es-CO"/>
        </w:rPr>
      </w:pPr>
    </w:p>
    <w:p w:rsidR="0071740A" w:rsidRPr="0099226F" w:rsidRDefault="0071740A" w:rsidP="00963B6A">
      <w:pPr>
        <w:tabs>
          <w:tab w:val="right" w:pos="8838"/>
        </w:tabs>
        <w:spacing w:after="0" w:line="360" w:lineRule="auto"/>
        <w:jc w:val="both"/>
        <w:rPr>
          <w:rFonts w:ascii="Century Gothic" w:hAnsi="Century Gothic"/>
          <w:i/>
          <w:sz w:val="24"/>
          <w:szCs w:val="24"/>
        </w:rPr>
      </w:pPr>
      <w:r w:rsidRPr="0099226F">
        <w:rPr>
          <w:rFonts w:ascii="Century Gothic" w:eastAsia="Times New Roman" w:hAnsi="Century Gothic"/>
          <w:i/>
          <w:sz w:val="24"/>
          <w:szCs w:val="24"/>
          <w:lang w:val="es-ES_tradnl" w:eastAsia="es-ES"/>
        </w:rPr>
        <w:t>¿</w:t>
      </w:r>
      <w:r w:rsidR="00704DDC" w:rsidRPr="0099226F">
        <w:rPr>
          <w:rFonts w:ascii="Century Gothic" w:eastAsia="Times New Roman" w:hAnsi="Century Gothic"/>
          <w:i/>
          <w:sz w:val="24"/>
          <w:szCs w:val="24"/>
          <w:lang w:val="es-ES_tradnl" w:eastAsia="es-ES"/>
        </w:rPr>
        <w:t xml:space="preserve">Tiene derecho la </w:t>
      </w:r>
      <w:r w:rsidR="0030048B">
        <w:rPr>
          <w:rFonts w:ascii="Century Gothic" w:eastAsia="Times New Roman" w:hAnsi="Century Gothic"/>
          <w:i/>
          <w:sz w:val="24"/>
          <w:szCs w:val="24"/>
          <w:lang w:val="es-ES_tradnl" w:eastAsia="es-ES"/>
        </w:rPr>
        <w:t xml:space="preserve">parte </w:t>
      </w:r>
      <w:r w:rsidR="00704DDC" w:rsidRPr="0099226F">
        <w:rPr>
          <w:rFonts w:ascii="Century Gothic" w:eastAsia="Times New Roman" w:hAnsi="Century Gothic"/>
          <w:i/>
          <w:sz w:val="24"/>
          <w:szCs w:val="24"/>
          <w:lang w:val="es-ES_tradnl" w:eastAsia="es-ES"/>
        </w:rPr>
        <w:t>actora a que s</w:t>
      </w:r>
      <w:r w:rsidR="00E02EA9">
        <w:rPr>
          <w:rFonts w:ascii="Century Gothic" w:eastAsia="Times New Roman" w:hAnsi="Century Gothic"/>
          <w:i/>
          <w:sz w:val="24"/>
          <w:szCs w:val="24"/>
          <w:lang w:val="es-ES_tradnl" w:eastAsia="es-ES"/>
        </w:rPr>
        <w:t>e reliquide s</w:t>
      </w:r>
      <w:r w:rsidR="00704DDC" w:rsidRPr="0099226F">
        <w:rPr>
          <w:rFonts w:ascii="Century Gothic" w:eastAsia="Times New Roman" w:hAnsi="Century Gothic"/>
          <w:i/>
          <w:sz w:val="24"/>
          <w:szCs w:val="24"/>
          <w:lang w:val="es-ES_tradnl" w:eastAsia="es-ES"/>
        </w:rPr>
        <w:t xml:space="preserve">u </w:t>
      </w:r>
      <w:r w:rsidRPr="0099226F">
        <w:rPr>
          <w:rFonts w:ascii="Century Gothic" w:eastAsia="Times New Roman" w:hAnsi="Century Gothic"/>
          <w:i/>
          <w:sz w:val="24"/>
          <w:szCs w:val="24"/>
          <w:lang w:val="es-ES_tradnl" w:eastAsia="es-ES"/>
        </w:rPr>
        <w:t xml:space="preserve">pensión </w:t>
      </w:r>
      <w:r w:rsidR="00E02EA9" w:rsidRPr="0099226F">
        <w:rPr>
          <w:rFonts w:ascii="Century Gothic" w:hAnsi="Century Gothic"/>
          <w:i/>
          <w:sz w:val="24"/>
          <w:szCs w:val="24"/>
        </w:rPr>
        <w:t xml:space="preserve">con </w:t>
      </w:r>
      <w:r w:rsidR="00D61C39">
        <w:rPr>
          <w:rFonts w:ascii="Century Gothic" w:hAnsi="Century Gothic"/>
          <w:i/>
          <w:sz w:val="24"/>
          <w:szCs w:val="24"/>
        </w:rPr>
        <w:t xml:space="preserve">el </w:t>
      </w:r>
      <w:r w:rsidR="00D61C39" w:rsidRPr="00D61C39">
        <w:rPr>
          <w:rFonts w:ascii="Century Gothic" w:hAnsi="Century Gothic"/>
          <w:i/>
          <w:sz w:val="24"/>
          <w:szCs w:val="24"/>
        </w:rPr>
        <w:t>setenta y cinco por ciento (75%) del salario promedio que sirvió de base para los aportes durante el último año de servicio</w:t>
      </w:r>
      <w:r w:rsidR="00F004A6">
        <w:rPr>
          <w:rFonts w:ascii="Century Gothic" w:hAnsi="Century Gothic"/>
          <w:i/>
          <w:sz w:val="24"/>
          <w:szCs w:val="24"/>
        </w:rPr>
        <w:t>s</w:t>
      </w:r>
      <w:r w:rsidR="00E02EA9" w:rsidRPr="0099226F">
        <w:rPr>
          <w:rFonts w:ascii="Century Gothic" w:hAnsi="Century Gothic"/>
          <w:i/>
          <w:sz w:val="24"/>
          <w:szCs w:val="24"/>
        </w:rPr>
        <w:t>, como lo ordena el artículo 1° de la ley 33 de 1985</w:t>
      </w:r>
      <w:r w:rsidR="001366A4">
        <w:rPr>
          <w:rFonts w:ascii="Century Gothic" w:hAnsi="Century Gothic"/>
          <w:i/>
          <w:sz w:val="24"/>
          <w:szCs w:val="24"/>
        </w:rPr>
        <w:t xml:space="preserve"> aplicado por el a quo, o asiste razón a la demandada apelante</w:t>
      </w:r>
      <w:r w:rsidR="00F004A6">
        <w:rPr>
          <w:rFonts w:ascii="Century Gothic" w:hAnsi="Century Gothic"/>
          <w:i/>
          <w:sz w:val="24"/>
          <w:szCs w:val="24"/>
        </w:rPr>
        <w:t>,</w:t>
      </w:r>
      <w:r w:rsidR="0018335A">
        <w:rPr>
          <w:rFonts w:ascii="Century Gothic" w:hAnsi="Century Gothic"/>
          <w:i/>
          <w:sz w:val="24"/>
          <w:szCs w:val="24"/>
        </w:rPr>
        <w:t xml:space="preserve"> en cuanto a que la norma que debe aplicarse para liquidar </w:t>
      </w:r>
      <w:r w:rsidR="006F65D4">
        <w:rPr>
          <w:rFonts w:ascii="Century Gothic" w:hAnsi="Century Gothic"/>
          <w:i/>
          <w:sz w:val="24"/>
          <w:szCs w:val="24"/>
        </w:rPr>
        <w:t>la</w:t>
      </w:r>
      <w:r w:rsidR="0018335A">
        <w:rPr>
          <w:rFonts w:ascii="Century Gothic" w:hAnsi="Century Gothic"/>
          <w:i/>
          <w:sz w:val="24"/>
          <w:szCs w:val="24"/>
        </w:rPr>
        <w:t xml:space="preserve"> pensión </w:t>
      </w:r>
      <w:r w:rsidR="006F65D4">
        <w:rPr>
          <w:rFonts w:ascii="Century Gothic" w:hAnsi="Century Gothic"/>
          <w:i/>
          <w:sz w:val="24"/>
          <w:szCs w:val="24"/>
        </w:rPr>
        <w:t xml:space="preserve">de la </w:t>
      </w:r>
      <w:r w:rsidR="0030048B">
        <w:rPr>
          <w:rFonts w:ascii="Century Gothic" w:hAnsi="Century Gothic"/>
          <w:i/>
          <w:sz w:val="24"/>
          <w:szCs w:val="24"/>
        </w:rPr>
        <w:t xml:space="preserve">parte </w:t>
      </w:r>
      <w:r w:rsidR="006F65D4">
        <w:rPr>
          <w:rFonts w:ascii="Century Gothic" w:hAnsi="Century Gothic"/>
          <w:i/>
          <w:sz w:val="24"/>
          <w:szCs w:val="24"/>
        </w:rPr>
        <w:t xml:space="preserve">demandante </w:t>
      </w:r>
      <w:r w:rsidR="0018335A">
        <w:rPr>
          <w:rFonts w:ascii="Century Gothic" w:hAnsi="Century Gothic"/>
          <w:i/>
          <w:sz w:val="24"/>
          <w:szCs w:val="24"/>
        </w:rPr>
        <w:t xml:space="preserve">es </w:t>
      </w:r>
      <w:r w:rsidR="00704DDC" w:rsidRPr="0099226F">
        <w:rPr>
          <w:rFonts w:ascii="Century Gothic" w:hAnsi="Century Gothic"/>
          <w:i/>
          <w:sz w:val="24"/>
          <w:szCs w:val="24"/>
        </w:rPr>
        <w:t>el inciso tercero del artículo 36 de la Ley 100 de 1993</w:t>
      </w:r>
      <w:r w:rsidR="00223E66">
        <w:rPr>
          <w:rFonts w:ascii="Century Gothic" w:hAnsi="Century Gothic"/>
          <w:i/>
          <w:sz w:val="24"/>
          <w:szCs w:val="24"/>
        </w:rPr>
        <w:t>?.</w:t>
      </w:r>
    </w:p>
    <w:p w:rsidR="00B609B3" w:rsidRDefault="00B609B3" w:rsidP="00963B6A">
      <w:pPr>
        <w:tabs>
          <w:tab w:val="right" w:pos="8838"/>
        </w:tabs>
        <w:spacing w:after="0" w:line="360" w:lineRule="auto"/>
        <w:jc w:val="both"/>
        <w:rPr>
          <w:rFonts w:ascii="Century Gothic" w:hAnsi="Century Gothic"/>
          <w:sz w:val="24"/>
          <w:szCs w:val="24"/>
        </w:rPr>
      </w:pPr>
    </w:p>
    <w:p w:rsidR="00704DDC" w:rsidRDefault="00E75A8A" w:rsidP="00963B6A">
      <w:pPr>
        <w:tabs>
          <w:tab w:val="right" w:pos="8838"/>
        </w:tabs>
        <w:spacing w:after="0" w:line="360" w:lineRule="auto"/>
        <w:jc w:val="both"/>
        <w:rPr>
          <w:rFonts w:ascii="Century Gothic" w:hAnsi="Century Gothic"/>
          <w:i/>
          <w:sz w:val="24"/>
          <w:szCs w:val="24"/>
        </w:rPr>
      </w:pPr>
      <w:r>
        <w:rPr>
          <w:rFonts w:ascii="Century Gothic" w:hAnsi="Century Gothic"/>
          <w:sz w:val="24"/>
          <w:szCs w:val="24"/>
        </w:rPr>
        <w:t>Adicionalmente, y s</w:t>
      </w:r>
      <w:r w:rsidR="00704DDC" w:rsidRPr="0099226F">
        <w:rPr>
          <w:rFonts w:ascii="Century Gothic" w:hAnsi="Century Gothic"/>
          <w:sz w:val="24"/>
          <w:szCs w:val="24"/>
        </w:rPr>
        <w:t xml:space="preserve">ólo de establecer la Sala que la pensión de la </w:t>
      </w:r>
      <w:r w:rsidR="0030048B">
        <w:rPr>
          <w:rFonts w:ascii="Century Gothic" w:hAnsi="Century Gothic"/>
          <w:sz w:val="24"/>
          <w:szCs w:val="24"/>
        </w:rPr>
        <w:t xml:space="preserve">parte </w:t>
      </w:r>
      <w:r w:rsidR="00704DDC" w:rsidRPr="0099226F">
        <w:rPr>
          <w:rFonts w:ascii="Century Gothic" w:hAnsi="Century Gothic"/>
          <w:sz w:val="24"/>
          <w:szCs w:val="24"/>
        </w:rPr>
        <w:t>demandante debe liquidarse con el 75% del promedio de los salarios percibidos en el último año de servicios, como lo ordena el artículo 1° de la ley 33 de 1985,</w:t>
      </w:r>
      <w:r w:rsidR="00704DDC" w:rsidRPr="0099226F">
        <w:rPr>
          <w:rFonts w:ascii="Century Gothic" w:hAnsi="Century Gothic"/>
          <w:i/>
          <w:sz w:val="24"/>
          <w:szCs w:val="24"/>
        </w:rPr>
        <w:t xml:space="preserve"> </w:t>
      </w:r>
      <w:r>
        <w:rPr>
          <w:rFonts w:ascii="Century Gothic" w:hAnsi="Century Gothic"/>
          <w:sz w:val="24"/>
          <w:szCs w:val="24"/>
        </w:rPr>
        <w:t>deberá abordar como problema asociado, el siguiente interrogante:</w:t>
      </w:r>
      <w:r w:rsidR="00704DDC" w:rsidRPr="0099226F">
        <w:rPr>
          <w:rFonts w:ascii="Century Gothic" w:hAnsi="Century Gothic"/>
          <w:i/>
          <w:sz w:val="24"/>
          <w:szCs w:val="24"/>
        </w:rPr>
        <w:t xml:space="preserve"> </w:t>
      </w:r>
      <w:r w:rsidR="001D6142">
        <w:rPr>
          <w:rFonts w:ascii="Century Gothic" w:hAnsi="Century Gothic"/>
          <w:i/>
          <w:sz w:val="24"/>
          <w:szCs w:val="24"/>
        </w:rPr>
        <w:t xml:space="preserve"> </w:t>
      </w:r>
      <w:r>
        <w:rPr>
          <w:rFonts w:ascii="Century Gothic" w:hAnsi="Century Gothic"/>
          <w:i/>
          <w:sz w:val="24"/>
          <w:szCs w:val="24"/>
        </w:rPr>
        <w:t>¿C</w:t>
      </w:r>
      <w:r w:rsidR="00704DDC" w:rsidRPr="0099226F">
        <w:rPr>
          <w:rFonts w:ascii="Century Gothic" w:hAnsi="Century Gothic"/>
          <w:i/>
          <w:sz w:val="24"/>
          <w:szCs w:val="24"/>
        </w:rPr>
        <w:t xml:space="preserve">uáles fueron </w:t>
      </w:r>
      <w:r w:rsidRPr="00E75A8A">
        <w:rPr>
          <w:rFonts w:ascii="Century Gothic" w:hAnsi="Century Gothic"/>
          <w:i/>
          <w:sz w:val="24"/>
          <w:szCs w:val="24"/>
        </w:rPr>
        <w:t xml:space="preserve">los salarios percibidos </w:t>
      </w:r>
      <w:r>
        <w:rPr>
          <w:rFonts w:ascii="Century Gothic" w:hAnsi="Century Gothic"/>
          <w:i/>
          <w:sz w:val="24"/>
          <w:szCs w:val="24"/>
        </w:rPr>
        <w:t xml:space="preserve">por la parte actora </w:t>
      </w:r>
      <w:r w:rsidRPr="00E75A8A">
        <w:rPr>
          <w:rFonts w:ascii="Century Gothic" w:hAnsi="Century Gothic"/>
          <w:i/>
          <w:sz w:val="24"/>
          <w:szCs w:val="24"/>
        </w:rPr>
        <w:t>en el último año de servicios</w:t>
      </w:r>
      <w:r w:rsidR="00704DDC" w:rsidRPr="0099226F">
        <w:rPr>
          <w:rFonts w:ascii="Century Gothic" w:hAnsi="Century Gothic"/>
          <w:i/>
          <w:sz w:val="24"/>
          <w:szCs w:val="24"/>
        </w:rPr>
        <w:t xml:space="preserve"> y si la </w:t>
      </w:r>
      <w:r w:rsidR="0030048B">
        <w:rPr>
          <w:rFonts w:ascii="Century Gothic" w:hAnsi="Century Gothic"/>
          <w:i/>
          <w:sz w:val="24"/>
          <w:szCs w:val="24"/>
        </w:rPr>
        <w:t xml:space="preserve">parte </w:t>
      </w:r>
      <w:r w:rsidR="00704DDC" w:rsidRPr="0099226F">
        <w:rPr>
          <w:rFonts w:ascii="Century Gothic" w:hAnsi="Century Gothic"/>
          <w:i/>
          <w:sz w:val="24"/>
          <w:szCs w:val="24"/>
        </w:rPr>
        <w:t xml:space="preserve">demandada los </w:t>
      </w:r>
      <w:r w:rsidR="00BE51A7" w:rsidRPr="0099226F">
        <w:rPr>
          <w:rFonts w:ascii="Century Gothic" w:hAnsi="Century Gothic"/>
          <w:i/>
          <w:sz w:val="24"/>
          <w:szCs w:val="24"/>
        </w:rPr>
        <w:t xml:space="preserve">incluyó </w:t>
      </w:r>
      <w:r w:rsidR="00704DDC" w:rsidRPr="0099226F">
        <w:rPr>
          <w:rFonts w:ascii="Century Gothic" w:hAnsi="Century Gothic"/>
          <w:i/>
          <w:sz w:val="24"/>
          <w:szCs w:val="24"/>
        </w:rPr>
        <w:t>al momento de expedir los actos acusados?.</w:t>
      </w:r>
    </w:p>
    <w:p w:rsidR="00277432" w:rsidRDefault="00277432" w:rsidP="001D6142">
      <w:pPr>
        <w:tabs>
          <w:tab w:val="right" w:pos="8838"/>
        </w:tabs>
        <w:spacing w:after="0" w:line="240" w:lineRule="auto"/>
        <w:jc w:val="both"/>
        <w:rPr>
          <w:rFonts w:ascii="Century Gothic" w:hAnsi="Century Gothic"/>
          <w:i/>
          <w:sz w:val="24"/>
          <w:szCs w:val="24"/>
        </w:rPr>
      </w:pPr>
    </w:p>
    <w:p w:rsidR="00277432" w:rsidRPr="00277432" w:rsidRDefault="00277432" w:rsidP="00963B6A">
      <w:pPr>
        <w:tabs>
          <w:tab w:val="right" w:pos="8838"/>
        </w:tabs>
        <w:spacing w:after="0" w:line="360" w:lineRule="auto"/>
        <w:jc w:val="both"/>
        <w:rPr>
          <w:rFonts w:ascii="Century Gothic" w:hAnsi="Century Gothic"/>
          <w:b/>
          <w:sz w:val="24"/>
          <w:szCs w:val="24"/>
        </w:rPr>
      </w:pPr>
      <w:r w:rsidRPr="00277432">
        <w:rPr>
          <w:rFonts w:ascii="Century Gothic" w:hAnsi="Century Gothic"/>
          <w:b/>
          <w:sz w:val="24"/>
          <w:szCs w:val="24"/>
        </w:rPr>
        <w:t>TESIS</w:t>
      </w:r>
    </w:p>
    <w:p w:rsidR="00277432" w:rsidRDefault="00277432" w:rsidP="001D6142">
      <w:pPr>
        <w:tabs>
          <w:tab w:val="right" w:pos="8838"/>
        </w:tabs>
        <w:spacing w:after="0" w:line="240" w:lineRule="auto"/>
        <w:jc w:val="both"/>
        <w:rPr>
          <w:rFonts w:ascii="Century Gothic" w:hAnsi="Century Gothic"/>
          <w:i/>
          <w:sz w:val="24"/>
          <w:szCs w:val="24"/>
        </w:rPr>
      </w:pPr>
    </w:p>
    <w:p w:rsidR="00277432" w:rsidRPr="0099226F" w:rsidRDefault="001D6142" w:rsidP="00277432">
      <w:pPr>
        <w:tabs>
          <w:tab w:val="right" w:pos="8838"/>
        </w:tabs>
        <w:spacing w:after="0" w:line="360" w:lineRule="auto"/>
        <w:jc w:val="both"/>
        <w:rPr>
          <w:rFonts w:ascii="Century Gothic" w:hAnsi="Century Gothic" w:cs="Arial"/>
          <w:sz w:val="24"/>
          <w:szCs w:val="24"/>
        </w:rPr>
      </w:pPr>
      <w:r>
        <w:rPr>
          <w:rFonts w:ascii="Century Gothic" w:hAnsi="Century Gothic" w:cs="Arial"/>
          <w:sz w:val="24"/>
          <w:szCs w:val="24"/>
          <w:lang w:val="es-CO"/>
        </w:rPr>
        <w:t>A</w:t>
      </w:r>
      <w:r w:rsidR="00277432" w:rsidRPr="0099226F">
        <w:rPr>
          <w:rFonts w:ascii="Century Gothic" w:hAnsi="Century Gothic" w:cs="Arial"/>
          <w:sz w:val="24"/>
          <w:szCs w:val="24"/>
        </w:rPr>
        <w:t>tendiendo la interpretación fijada por la H. Corte Constitucional en la sentencia SU 230 de 2015</w:t>
      </w:r>
      <w:r>
        <w:rPr>
          <w:rFonts w:ascii="Century Gothic" w:hAnsi="Century Gothic" w:cs="Arial"/>
          <w:sz w:val="24"/>
          <w:szCs w:val="24"/>
        </w:rPr>
        <w:t>,</w:t>
      </w:r>
      <w:r w:rsidR="00277432">
        <w:rPr>
          <w:rFonts w:ascii="Century Gothic" w:hAnsi="Century Gothic" w:cs="Arial"/>
          <w:sz w:val="24"/>
          <w:szCs w:val="24"/>
        </w:rPr>
        <w:t xml:space="preserve"> para calcular </w:t>
      </w:r>
      <w:r w:rsidR="00277432" w:rsidRPr="0099226F">
        <w:rPr>
          <w:rFonts w:ascii="Century Gothic" w:hAnsi="Century Gothic" w:cs="Arial"/>
          <w:sz w:val="24"/>
          <w:szCs w:val="24"/>
        </w:rPr>
        <w:t>el</w:t>
      </w:r>
      <w:r w:rsidR="00277432">
        <w:rPr>
          <w:rFonts w:ascii="Century Gothic" w:hAnsi="Century Gothic" w:cs="Arial"/>
          <w:sz w:val="24"/>
          <w:szCs w:val="24"/>
        </w:rPr>
        <w:t xml:space="preserve"> ingreso base de liquidación –</w:t>
      </w:r>
      <w:r w:rsidR="00277432" w:rsidRPr="0099226F">
        <w:rPr>
          <w:rFonts w:ascii="Century Gothic" w:hAnsi="Century Gothic" w:cs="Arial"/>
          <w:sz w:val="24"/>
          <w:szCs w:val="24"/>
        </w:rPr>
        <w:t xml:space="preserve"> IBL</w:t>
      </w:r>
      <w:r w:rsidR="00277432">
        <w:rPr>
          <w:rFonts w:ascii="Century Gothic" w:hAnsi="Century Gothic" w:cs="Arial"/>
          <w:sz w:val="24"/>
          <w:szCs w:val="24"/>
        </w:rPr>
        <w:t xml:space="preserve"> –de la pensión de la actora</w:t>
      </w:r>
      <w:r>
        <w:rPr>
          <w:rFonts w:ascii="Century Gothic" w:hAnsi="Century Gothic" w:cs="Arial"/>
          <w:sz w:val="24"/>
          <w:szCs w:val="24"/>
        </w:rPr>
        <w:t xml:space="preserve"> en el presente caso,</w:t>
      </w:r>
      <w:r w:rsidR="00277432" w:rsidRPr="0099226F">
        <w:rPr>
          <w:rFonts w:ascii="Century Gothic" w:hAnsi="Century Gothic" w:cs="Arial"/>
          <w:sz w:val="24"/>
          <w:szCs w:val="24"/>
        </w:rPr>
        <w:t xml:space="preserve"> debe seguirse</w:t>
      </w:r>
      <w:r w:rsidR="00277432">
        <w:rPr>
          <w:rFonts w:ascii="Century Gothic" w:hAnsi="Century Gothic" w:cs="Arial"/>
          <w:sz w:val="24"/>
          <w:szCs w:val="24"/>
        </w:rPr>
        <w:t xml:space="preserve"> </w:t>
      </w:r>
      <w:r w:rsidR="00277432" w:rsidRPr="0099226F">
        <w:rPr>
          <w:rFonts w:ascii="Century Gothic" w:hAnsi="Century Gothic" w:cs="Arial"/>
          <w:sz w:val="24"/>
          <w:szCs w:val="24"/>
        </w:rPr>
        <w:t xml:space="preserve">lo previsto en el </w:t>
      </w:r>
      <w:r w:rsidR="00277432">
        <w:rPr>
          <w:rFonts w:ascii="Century Gothic" w:hAnsi="Century Gothic" w:cs="Arial"/>
          <w:sz w:val="24"/>
          <w:szCs w:val="24"/>
        </w:rPr>
        <w:t xml:space="preserve">inciso 3º del </w:t>
      </w:r>
      <w:r w:rsidR="00277432" w:rsidRPr="0099226F">
        <w:rPr>
          <w:rFonts w:ascii="Century Gothic" w:hAnsi="Century Gothic" w:cs="Arial"/>
          <w:sz w:val="24"/>
          <w:szCs w:val="24"/>
        </w:rPr>
        <w:t>artículo 36 de la Ley 100</w:t>
      </w:r>
      <w:r w:rsidR="00277432">
        <w:rPr>
          <w:rFonts w:ascii="Century Gothic" w:hAnsi="Century Gothic" w:cs="Arial"/>
          <w:sz w:val="24"/>
          <w:szCs w:val="24"/>
        </w:rPr>
        <w:t xml:space="preserve"> de 1993</w:t>
      </w:r>
      <w:r>
        <w:rPr>
          <w:rFonts w:ascii="Century Gothic" w:hAnsi="Century Gothic" w:cs="Arial"/>
          <w:sz w:val="24"/>
          <w:szCs w:val="24"/>
        </w:rPr>
        <w:t>, razón por la que este Tribunal dispondrá revocar la sentencia de primera instancia</w:t>
      </w:r>
      <w:r w:rsidR="00277432" w:rsidRPr="0099226F">
        <w:rPr>
          <w:rFonts w:ascii="Century Gothic" w:hAnsi="Century Gothic" w:cs="Arial"/>
          <w:sz w:val="24"/>
          <w:szCs w:val="24"/>
        </w:rPr>
        <w:t xml:space="preserve">. </w:t>
      </w:r>
    </w:p>
    <w:p w:rsidR="00704DDC" w:rsidRPr="0099226F" w:rsidRDefault="00704DDC" w:rsidP="001D6142">
      <w:pPr>
        <w:tabs>
          <w:tab w:val="right" w:pos="8838"/>
        </w:tabs>
        <w:spacing w:after="0" w:line="240" w:lineRule="auto"/>
        <w:jc w:val="both"/>
        <w:rPr>
          <w:rFonts w:ascii="Century Gothic" w:eastAsia="Times New Roman" w:hAnsi="Century Gothic"/>
          <w:i/>
          <w:sz w:val="24"/>
          <w:szCs w:val="24"/>
          <w:lang w:val="es-ES_tradnl" w:eastAsia="es-ES"/>
        </w:rPr>
      </w:pPr>
    </w:p>
    <w:p w:rsidR="0074516D" w:rsidRPr="0099226F" w:rsidRDefault="0074516D" w:rsidP="001468B4">
      <w:pPr>
        <w:spacing w:after="0" w:line="360" w:lineRule="auto"/>
        <w:jc w:val="both"/>
        <w:rPr>
          <w:rFonts w:ascii="Century Gothic" w:eastAsia="Calibri" w:hAnsi="Century Gothic"/>
          <w:b/>
          <w:sz w:val="24"/>
          <w:szCs w:val="24"/>
          <w:lang w:val="es-CO"/>
        </w:rPr>
      </w:pPr>
      <w:r w:rsidRPr="0099226F">
        <w:rPr>
          <w:rFonts w:ascii="Century Gothic" w:eastAsia="Calibri" w:hAnsi="Century Gothic"/>
          <w:b/>
          <w:sz w:val="24"/>
          <w:szCs w:val="24"/>
          <w:lang w:val="es-CO"/>
        </w:rPr>
        <w:t>2.2. Marco normativo y jurisprudencial.</w:t>
      </w:r>
    </w:p>
    <w:p w:rsidR="0074516D" w:rsidRPr="0099226F" w:rsidRDefault="0074516D" w:rsidP="001D6142">
      <w:pPr>
        <w:spacing w:after="0" w:line="240" w:lineRule="auto"/>
        <w:jc w:val="both"/>
        <w:rPr>
          <w:rFonts w:ascii="Century Gothic" w:eastAsia="Calibri" w:hAnsi="Century Gothic" w:cs="Arial Narrow"/>
          <w:bCs/>
          <w:sz w:val="24"/>
          <w:szCs w:val="24"/>
          <w:lang w:val="es-CO"/>
        </w:rPr>
      </w:pPr>
    </w:p>
    <w:p w:rsidR="0074516D" w:rsidRPr="0099226F" w:rsidRDefault="0074516D" w:rsidP="00FC0B98">
      <w:pPr>
        <w:tabs>
          <w:tab w:val="left" w:pos="426"/>
          <w:tab w:val="right" w:pos="8838"/>
        </w:tabs>
        <w:spacing w:after="0" w:line="360" w:lineRule="auto"/>
        <w:contextualSpacing/>
        <w:jc w:val="both"/>
        <w:rPr>
          <w:rFonts w:ascii="Century Gothic" w:hAnsi="Century Gothic" w:cs="Tahoma"/>
          <w:b/>
          <w:sz w:val="24"/>
          <w:szCs w:val="24"/>
        </w:rPr>
      </w:pPr>
      <w:r w:rsidRPr="0099226F">
        <w:rPr>
          <w:rFonts w:ascii="Century Gothic" w:hAnsi="Century Gothic" w:cs="Tahoma"/>
          <w:b/>
          <w:sz w:val="24"/>
          <w:szCs w:val="24"/>
        </w:rPr>
        <w:t>Del régimen de transición previsto en el artículo 36 de la Ley 100 de 1993.</w:t>
      </w:r>
    </w:p>
    <w:p w:rsidR="0074516D" w:rsidRPr="0099226F" w:rsidRDefault="0074516D" w:rsidP="001D6142">
      <w:pPr>
        <w:tabs>
          <w:tab w:val="left" w:pos="426"/>
          <w:tab w:val="right" w:pos="8838"/>
        </w:tabs>
        <w:spacing w:after="0" w:line="240" w:lineRule="auto"/>
        <w:contextualSpacing/>
        <w:jc w:val="both"/>
        <w:rPr>
          <w:rFonts w:ascii="Century Gothic" w:hAnsi="Century Gothic" w:cs="Tahoma"/>
          <w:b/>
          <w:sz w:val="24"/>
          <w:szCs w:val="24"/>
        </w:rPr>
      </w:pPr>
    </w:p>
    <w:p w:rsidR="00214860" w:rsidRPr="0099226F" w:rsidRDefault="00214860" w:rsidP="001468B4">
      <w:pPr>
        <w:tabs>
          <w:tab w:val="left" w:pos="426"/>
          <w:tab w:val="right" w:pos="8838"/>
        </w:tabs>
        <w:spacing w:after="0" w:line="36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Con la expedición de la ley 100 de 1993</w:t>
      </w:r>
      <w:r w:rsidR="00FE727B" w:rsidRPr="0099226F">
        <w:rPr>
          <w:rFonts w:ascii="Century Gothic" w:hAnsi="Century Gothic" w:cs="Tahoma"/>
          <w:sz w:val="24"/>
          <w:szCs w:val="24"/>
          <w:lang w:val="es-CO"/>
        </w:rPr>
        <w:t> se</w:t>
      </w:r>
      <w:r w:rsidRPr="0099226F">
        <w:rPr>
          <w:rFonts w:ascii="Century Gothic" w:hAnsi="Century Gothic" w:cs="Tahoma"/>
          <w:sz w:val="24"/>
          <w:szCs w:val="24"/>
          <w:lang w:val="es-CO"/>
        </w:rPr>
        <w:t xml:space="preserve"> creó el Sistema de Seguridad Social Integral, derogando los regímenes pensionales existentes para ese momento </w:t>
      </w:r>
      <w:r w:rsidR="00BB5164" w:rsidRPr="0099226F">
        <w:rPr>
          <w:rFonts w:ascii="Century Gothic" w:hAnsi="Century Gothic" w:cs="Tahoma"/>
          <w:sz w:val="24"/>
          <w:szCs w:val="24"/>
          <w:lang w:val="es-CO"/>
        </w:rPr>
        <w:t xml:space="preserve">e integrándolos </w:t>
      </w:r>
      <w:r w:rsidRPr="0099226F">
        <w:rPr>
          <w:rFonts w:ascii="Century Gothic" w:hAnsi="Century Gothic" w:cs="Tahoma"/>
          <w:sz w:val="24"/>
          <w:szCs w:val="24"/>
          <w:lang w:val="es-CO"/>
        </w:rPr>
        <w:t>en un sistema general. Como consecuencia, los requisitos de edad y tiempo de servicios, o semanas de cotización para acceder al reconocimiento y pago de la pensión de vejez sufrieron modificación.</w:t>
      </w:r>
    </w:p>
    <w:p w:rsidR="00214860" w:rsidRPr="0099226F" w:rsidRDefault="00214860" w:rsidP="001D6142">
      <w:pPr>
        <w:tabs>
          <w:tab w:val="left" w:pos="426"/>
          <w:tab w:val="right" w:pos="8838"/>
        </w:tabs>
        <w:spacing w:after="0" w:line="24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 </w:t>
      </w:r>
    </w:p>
    <w:p w:rsidR="00214860" w:rsidRPr="0099226F" w:rsidRDefault="00214860" w:rsidP="001468B4">
      <w:pPr>
        <w:tabs>
          <w:tab w:val="left" w:pos="426"/>
          <w:tab w:val="right" w:pos="8838"/>
        </w:tabs>
        <w:spacing w:after="0" w:line="36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Sin embargo, con el fin de proteger a quienes tenían expectativa legítima de adquirir el derecho a la pensión por estar próximos a cumplir los requisitos para ello, el legislador estableció un régimen de transición</w:t>
      </w:r>
      <w:r w:rsidR="00FF1406" w:rsidRPr="0099226F">
        <w:rPr>
          <w:rFonts w:ascii="Century Gothic" w:hAnsi="Century Gothic" w:cs="Tahoma"/>
          <w:sz w:val="24"/>
          <w:szCs w:val="24"/>
          <w:lang w:val="es-CO"/>
        </w:rPr>
        <w:t xml:space="preserve"> que </w:t>
      </w:r>
      <w:r w:rsidR="00F12C4E" w:rsidRPr="0099226F">
        <w:rPr>
          <w:rFonts w:ascii="Century Gothic" w:hAnsi="Century Gothic" w:cs="Tahoma"/>
          <w:sz w:val="24"/>
          <w:szCs w:val="24"/>
          <w:lang w:val="es-CO"/>
        </w:rPr>
        <w:t>qued</w:t>
      </w:r>
      <w:r w:rsidR="00BB5164" w:rsidRPr="0099226F">
        <w:rPr>
          <w:rFonts w:ascii="Century Gothic" w:hAnsi="Century Gothic" w:cs="Tahoma"/>
          <w:sz w:val="24"/>
          <w:szCs w:val="24"/>
          <w:lang w:val="es-CO"/>
        </w:rPr>
        <w:t>ó</w:t>
      </w:r>
      <w:r w:rsidR="00F12C4E" w:rsidRPr="0099226F">
        <w:rPr>
          <w:rFonts w:ascii="Century Gothic" w:hAnsi="Century Gothic" w:cs="Tahoma"/>
          <w:sz w:val="24"/>
          <w:szCs w:val="24"/>
          <w:lang w:val="es-CO"/>
        </w:rPr>
        <w:t xml:space="preserve"> contemplado en el </w:t>
      </w:r>
      <w:r w:rsidR="002562EA" w:rsidRPr="0099226F">
        <w:rPr>
          <w:rFonts w:ascii="Century Gothic" w:hAnsi="Century Gothic" w:cs="Tahoma"/>
          <w:sz w:val="24"/>
          <w:szCs w:val="24"/>
          <w:lang w:val="es-CO"/>
        </w:rPr>
        <w:t>artículo</w:t>
      </w:r>
      <w:r w:rsidR="00F12C4E" w:rsidRPr="0099226F">
        <w:rPr>
          <w:rFonts w:ascii="Century Gothic" w:hAnsi="Century Gothic" w:cs="Tahoma"/>
          <w:sz w:val="24"/>
          <w:szCs w:val="24"/>
          <w:lang w:val="es-CO"/>
        </w:rPr>
        <w:t xml:space="preserve"> 36</w:t>
      </w:r>
      <w:r w:rsidR="00FF1406" w:rsidRPr="0099226F">
        <w:rPr>
          <w:rFonts w:ascii="Century Gothic" w:hAnsi="Century Gothic" w:cs="Tahoma"/>
          <w:sz w:val="24"/>
          <w:szCs w:val="24"/>
          <w:lang w:val="es-CO"/>
        </w:rPr>
        <w:t xml:space="preserve"> ibídem, dirigido a </w:t>
      </w:r>
      <w:r w:rsidRPr="0099226F">
        <w:rPr>
          <w:rFonts w:ascii="Century Gothic" w:hAnsi="Century Gothic" w:cs="Tahoma"/>
          <w:sz w:val="24"/>
          <w:szCs w:val="24"/>
          <w:lang w:val="es-CO"/>
        </w:rPr>
        <w:t>hace</w:t>
      </w:r>
      <w:r w:rsidR="00F12C4E" w:rsidRPr="0099226F">
        <w:rPr>
          <w:rFonts w:ascii="Century Gothic" w:hAnsi="Century Gothic" w:cs="Tahoma"/>
          <w:sz w:val="24"/>
          <w:szCs w:val="24"/>
          <w:lang w:val="es-CO"/>
        </w:rPr>
        <w:t>r</w:t>
      </w:r>
      <w:r w:rsidRPr="0099226F">
        <w:rPr>
          <w:rFonts w:ascii="Century Gothic" w:hAnsi="Century Gothic" w:cs="Tahoma"/>
          <w:sz w:val="24"/>
          <w:szCs w:val="24"/>
          <w:lang w:val="es-CO"/>
        </w:rPr>
        <w:t xml:space="preserve"> efectivo el principio </w:t>
      </w:r>
      <w:r w:rsidRPr="0099226F">
        <w:rPr>
          <w:rFonts w:ascii="Century Gothic" w:hAnsi="Century Gothic" w:cs="Tahoma"/>
          <w:sz w:val="24"/>
          <w:szCs w:val="24"/>
          <w:lang w:val="es-CO"/>
        </w:rPr>
        <w:lastRenderedPageBreak/>
        <w:t>de favorabilidad en la interpretación y aplicación de la ley laboral.</w:t>
      </w:r>
      <w:r w:rsidR="004E02A9">
        <w:rPr>
          <w:rFonts w:ascii="Century Gothic" w:hAnsi="Century Gothic" w:cs="Tahoma"/>
          <w:sz w:val="24"/>
          <w:szCs w:val="24"/>
          <w:lang w:val="es-CO"/>
        </w:rPr>
        <w:t xml:space="preserve"> </w:t>
      </w:r>
      <w:r w:rsidRPr="0099226F">
        <w:rPr>
          <w:rFonts w:ascii="Century Gothic" w:hAnsi="Century Gothic" w:cs="Tahoma"/>
          <w:sz w:val="24"/>
          <w:szCs w:val="24"/>
          <w:lang w:val="es-CO"/>
        </w:rPr>
        <w:t>Específicamente, la mencionada disposición señala:</w:t>
      </w:r>
    </w:p>
    <w:p w:rsidR="00214860" w:rsidRPr="0099226F" w:rsidRDefault="00214860" w:rsidP="001D6142">
      <w:pPr>
        <w:tabs>
          <w:tab w:val="left" w:pos="426"/>
          <w:tab w:val="right" w:pos="8838"/>
        </w:tabs>
        <w:spacing w:after="0" w:line="24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 </w:t>
      </w:r>
    </w:p>
    <w:p w:rsidR="00214860" w:rsidRPr="0099226F" w:rsidRDefault="00214860" w:rsidP="001D6142">
      <w:pPr>
        <w:tabs>
          <w:tab w:val="left" w:pos="426"/>
          <w:tab w:val="right" w:pos="8838"/>
        </w:tabs>
        <w:spacing w:after="0" w:line="240" w:lineRule="auto"/>
        <w:ind w:left="425"/>
        <w:contextualSpacing/>
        <w:jc w:val="both"/>
        <w:rPr>
          <w:rFonts w:ascii="Century Gothic" w:hAnsi="Century Gothic" w:cs="Tahoma"/>
          <w:i/>
          <w:lang w:val="es-CO"/>
        </w:rPr>
      </w:pPr>
      <w:r w:rsidRPr="0099226F">
        <w:rPr>
          <w:rFonts w:ascii="Century Gothic" w:hAnsi="Century Gothic" w:cs="Tahoma"/>
          <w:i/>
          <w:iCs/>
          <w:lang w:val="es-CO"/>
        </w:rPr>
        <w:t>“ARTÍCULO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214860" w:rsidRPr="0099226F" w:rsidRDefault="00214860" w:rsidP="001D6142">
      <w:pPr>
        <w:tabs>
          <w:tab w:val="left" w:pos="426"/>
          <w:tab w:val="right" w:pos="8838"/>
        </w:tabs>
        <w:spacing w:after="0" w:line="240" w:lineRule="auto"/>
        <w:ind w:left="425"/>
        <w:contextualSpacing/>
        <w:jc w:val="both"/>
        <w:rPr>
          <w:rFonts w:ascii="Century Gothic" w:hAnsi="Century Gothic" w:cs="Tahoma"/>
          <w:i/>
          <w:lang w:val="es-CO"/>
        </w:rPr>
      </w:pPr>
      <w:r w:rsidRPr="0099226F">
        <w:rPr>
          <w:rFonts w:ascii="Century Gothic" w:hAnsi="Century Gothic" w:cs="Tahoma"/>
          <w:i/>
          <w:iCs/>
          <w:lang w:val="es-CO"/>
        </w:rPr>
        <w:t xml:space="preserve">La </w:t>
      </w:r>
      <w:r w:rsidRPr="0099226F">
        <w:rPr>
          <w:rFonts w:ascii="Century Gothic" w:hAnsi="Century Gothic" w:cs="Tahoma"/>
          <w:b/>
          <w:i/>
          <w:iCs/>
          <w:lang w:val="es-CO"/>
        </w:rPr>
        <w:t xml:space="preserve">edad </w:t>
      </w:r>
      <w:r w:rsidRPr="0099226F">
        <w:rPr>
          <w:rFonts w:ascii="Century Gothic" w:hAnsi="Century Gothic" w:cs="Tahoma"/>
          <w:i/>
          <w:iCs/>
          <w:lang w:val="es-CO"/>
        </w:rPr>
        <w:t xml:space="preserve">para acceder a la pensión de vejez, el </w:t>
      </w:r>
      <w:r w:rsidRPr="0099226F">
        <w:rPr>
          <w:rFonts w:ascii="Century Gothic" w:hAnsi="Century Gothic" w:cs="Tahoma"/>
          <w:b/>
          <w:i/>
          <w:iCs/>
          <w:lang w:val="es-CO"/>
        </w:rPr>
        <w:t>tiempo de servicio</w:t>
      </w:r>
      <w:r w:rsidRPr="0099226F">
        <w:rPr>
          <w:rFonts w:ascii="Century Gothic" w:hAnsi="Century Gothic" w:cs="Tahoma"/>
          <w:i/>
          <w:iCs/>
          <w:lang w:val="es-CO"/>
        </w:rPr>
        <w:t xml:space="preserve"> o el </w:t>
      </w:r>
      <w:r w:rsidRPr="0099226F">
        <w:rPr>
          <w:rFonts w:ascii="Century Gothic" w:hAnsi="Century Gothic" w:cs="Tahoma"/>
          <w:b/>
          <w:i/>
          <w:iCs/>
          <w:lang w:val="es-CO"/>
        </w:rPr>
        <w:t>número de semanas cotizadas</w:t>
      </w:r>
      <w:r w:rsidRPr="0099226F">
        <w:rPr>
          <w:rFonts w:ascii="Century Gothic" w:hAnsi="Century Gothic" w:cs="Tahoma"/>
          <w:i/>
          <w:iCs/>
          <w:lang w:val="es-CO"/>
        </w:rPr>
        <w:t xml:space="preserve">, y el </w:t>
      </w:r>
      <w:r w:rsidRPr="0099226F">
        <w:rPr>
          <w:rFonts w:ascii="Century Gothic" w:hAnsi="Century Gothic" w:cs="Tahoma"/>
          <w:b/>
          <w:i/>
          <w:iCs/>
          <w:lang w:val="es-CO"/>
        </w:rPr>
        <w:t>monto de la pensión de vejez</w:t>
      </w:r>
      <w:r w:rsidRPr="0099226F">
        <w:rPr>
          <w:rFonts w:ascii="Century Gothic" w:hAnsi="Century Gothic" w:cs="Tahoma"/>
          <w:i/>
          <w:iCs/>
          <w:lang w:val="es-CO"/>
        </w:rPr>
        <w:t xml:space="preserve"> de las personas que al momento de entrar en vigencia el Sistema tengan treinta y cinco (35) o más años de edad si son mujeres o cuarenta (40) o más años de edad si son hombres, o quince (15) o más años de servicios cotizados, </w:t>
      </w:r>
      <w:r w:rsidRPr="0099226F">
        <w:rPr>
          <w:rFonts w:ascii="Century Gothic" w:hAnsi="Century Gothic" w:cs="Tahoma"/>
          <w:b/>
          <w:i/>
          <w:iCs/>
          <w:lang w:val="es-CO"/>
        </w:rPr>
        <w:t>será la establecida en el régimen anterior al cual se encuentren afiliados</w:t>
      </w:r>
      <w:r w:rsidRPr="0099226F">
        <w:rPr>
          <w:rFonts w:ascii="Century Gothic" w:hAnsi="Century Gothic" w:cs="Tahoma"/>
          <w:i/>
          <w:iCs/>
          <w:lang w:val="es-CO"/>
        </w:rPr>
        <w:t xml:space="preserve">. </w:t>
      </w:r>
      <w:r w:rsidRPr="0099226F">
        <w:rPr>
          <w:rFonts w:ascii="Century Gothic" w:hAnsi="Century Gothic" w:cs="Tahoma"/>
          <w:b/>
          <w:i/>
          <w:iCs/>
          <w:lang w:val="es-CO"/>
        </w:rPr>
        <w:t>Las demás condiciones y requisitos aplicables a estas personas para acceder a la pensión de vejez, se regirán por las disposiciones contenidas en la presente Ley</w:t>
      </w:r>
      <w:r w:rsidRPr="0099226F">
        <w:rPr>
          <w:rFonts w:ascii="Century Gothic" w:hAnsi="Century Gothic" w:cs="Tahoma"/>
          <w:i/>
          <w:iCs/>
          <w:lang w:val="es-CO"/>
        </w:rPr>
        <w:t>.</w:t>
      </w:r>
    </w:p>
    <w:p w:rsidR="00214860" w:rsidRPr="0099226F" w:rsidRDefault="00214860" w:rsidP="001D6142">
      <w:pPr>
        <w:tabs>
          <w:tab w:val="left" w:pos="426"/>
          <w:tab w:val="right" w:pos="8838"/>
        </w:tabs>
        <w:spacing w:after="0" w:line="240" w:lineRule="auto"/>
        <w:ind w:left="425"/>
        <w:contextualSpacing/>
        <w:jc w:val="both"/>
        <w:rPr>
          <w:rFonts w:ascii="Century Gothic" w:hAnsi="Century Gothic" w:cs="Tahoma"/>
          <w:b/>
          <w:i/>
          <w:lang w:val="es-CO"/>
        </w:rPr>
      </w:pPr>
      <w:r w:rsidRPr="0099226F">
        <w:rPr>
          <w:rFonts w:ascii="Century Gothic" w:hAnsi="Century Gothic" w:cs="Tahoma"/>
          <w:b/>
          <w:i/>
          <w:iCs/>
          <w:lang w:val="es-CO"/>
        </w:rPr>
        <w:t>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 (…)”</w:t>
      </w:r>
    </w:p>
    <w:p w:rsidR="00214860" w:rsidRPr="0099226F" w:rsidRDefault="00214860" w:rsidP="001D6142">
      <w:pPr>
        <w:tabs>
          <w:tab w:val="left" w:pos="426"/>
          <w:tab w:val="right" w:pos="8838"/>
        </w:tabs>
        <w:spacing w:after="0" w:line="24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 </w:t>
      </w:r>
    </w:p>
    <w:p w:rsidR="00E3705F" w:rsidRDefault="00345140" w:rsidP="001468B4">
      <w:pPr>
        <w:tabs>
          <w:tab w:val="left" w:pos="426"/>
          <w:tab w:val="right" w:pos="8838"/>
        </w:tabs>
        <w:spacing w:after="0" w:line="360" w:lineRule="auto"/>
        <w:contextualSpacing/>
        <w:jc w:val="both"/>
        <w:rPr>
          <w:rFonts w:ascii="Century Gothic" w:hAnsi="Century Gothic" w:cs="Tahoma"/>
          <w:sz w:val="24"/>
          <w:szCs w:val="24"/>
          <w:lang w:val="es-CO"/>
        </w:rPr>
      </w:pPr>
      <w:r>
        <w:rPr>
          <w:rFonts w:ascii="Century Gothic" w:hAnsi="Century Gothic" w:cs="Tahoma"/>
          <w:sz w:val="24"/>
          <w:szCs w:val="24"/>
          <w:lang w:val="es-CO"/>
        </w:rPr>
        <w:t>Acorde con lo anterior</w:t>
      </w:r>
      <w:r w:rsidR="00214860" w:rsidRPr="0099226F">
        <w:rPr>
          <w:rFonts w:ascii="Century Gothic" w:hAnsi="Century Gothic" w:cs="Tahoma"/>
          <w:sz w:val="24"/>
          <w:szCs w:val="24"/>
          <w:lang w:val="es-CO"/>
        </w:rPr>
        <w:t>, s</w:t>
      </w:r>
      <w:r>
        <w:rPr>
          <w:rFonts w:ascii="Century Gothic" w:hAnsi="Century Gothic" w:cs="Tahoma"/>
          <w:sz w:val="24"/>
          <w:szCs w:val="24"/>
          <w:lang w:val="es-CO"/>
        </w:rPr>
        <w:t>o</w:t>
      </w:r>
      <w:r w:rsidR="00214860" w:rsidRPr="0099226F">
        <w:rPr>
          <w:rFonts w:ascii="Century Gothic" w:hAnsi="Century Gothic" w:cs="Tahoma"/>
          <w:sz w:val="24"/>
          <w:szCs w:val="24"/>
          <w:lang w:val="es-CO"/>
        </w:rPr>
        <w:t>n beneficiarios de la transición pensional</w:t>
      </w:r>
      <w:r>
        <w:rPr>
          <w:rFonts w:ascii="Century Gothic" w:hAnsi="Century Gothic" w:cs="Tahoma"/>
          <w:sz w:val="24"/>
          <w:szCs w:val="24"/>
          <w:lang w:val="es-CO"/>
        </w:rPr>
        <w:t>,</w:t>
      </w:r>
      <w:r w:rsidR="00214860" w:rsidRPr="0099226F">
        <w:rPr>
          <w:rFonts w:ascii="Century Gothic" w:hAnsi="Century Gothic" w:cs="Tahoma"/>
          <w:sz w:val="24"/>
          <w:szCs w:val="24"/>
          <w:lang w:val="es-CO"/>
        </w:rPr>
        <w:t xml:space="preserve"> quienes al momento de entrada en vigencia del Sistema General de Pensiones (1° de abril de 1994)</w:t>
      </w:r>
      <w:r w:rsidR="00AD56A0" w:rsidRPr="0099226F">
        <w:rPr>
          <w:rFonts w:ascii="Century Gothic" w:hAnsi="Century Gothic" w:cs="Tahoma"/>
          <w:sz w:val="24"/>
          <w:szCs w:val="24"/>
          <w:lang w:val="es-CO"/>
        </w:rPr>
        <w:t>,</w:t>
      </w:r>
      <w:r w:rsidR="00214860" w:rsidRPr="0099226F">
        <w:rPr>
          <w:rFonts w:ascii="Century Gothic" w:hAnsi="Century Gothic" w:cs="Tahoma"/>
          <w:sz w:val="24"/>
          <w:szCs w:val="24"/>
          <w:lang w:val="es-CO"/>
        </w:rPr>
        <w:t xml:space="preserve"> tuvieran 35 años o más en el caso de las mujeres, o 40 o más en el caso de los hombres</w:t>
      </w:r>
      <w:r w:rsidR="00AD56A0" w:rsidRPr="0099226F">
        <w:rPr>
          <w:rFonts w:ascii="Century Gothic" w:hAnsi="Century Gothic" w:cs="Tahoma"/>
          <w:sz w:val="24"/>
          <w:szCs w:val="24"/>
          <w:lang w:val="es-CO"/>
        </w:rPr>
        <w:t>,</w:t>
      </w:r>
      <w:r w:rsidR="00214860" w:rsidRPr="0099226F">
        <w:rPr>
          <w:rFonts w:ascii="Century Gothic" w:hAnsi="Century Gothic" w:cs="Tahoma"/>
          <w:sz w:val="24"/>
          <w:szCs w:val="24"/>
          <w:lang w:val="es-CO"/>
        </w:rPr>
        <w:t xml:space="preserve"> o contaran </w:t>
      </w:r>
      <w:r w:rsidR="008919B7">
        <w:rPr>
          <w:rFonts w:ascii="Century Gothic" w:hAnsi="Century Gothic" w:cs="Tahoma"/>
          <w:sz w:val="24"/>
          <w:szCs w:val="24"/>
          <w:lang w:val="es-CO"/>
        </w:rPr>
        <w:t xml:space="preserve">con </w:t>
      </w:r>
      <w:r w:rsidR="00214860" w:rsidRPr="0099226F">
        <w:rPr>
          <w:rFonts w:ascii="Century Gothic" w:hAnsi="Century Gothic" w:cs="Tahoma"/>
          <w:sz w:val="24"/>
          <w:szCs w:val="24"/>
          <w:lang w:val="es-CO"/>
        </w:rPr>
        <w:t xml:space="preserve">15 o más años de servicios. </w:t>
      </w:r>
    </w:p>
    <w:p w:rsidR="00E3705F" w:rsidRDefault="00E3705F" w:rsidP="001D6142">
      <w:pPr>
        <w:tabs>
          <w:tab w:val="left" w:pos="426"/>
          <w:tab w:val="right" w:pos="8838"/>
        </w:tabs>
        <w:spacing w:after="0" w:line="240" w:lineRule="auto"/>
        <w:contextualSpacing/>
        <w:jc w:val="both"/>
        <w:rPr>
          <w:rFonts w:ascii="Century Gothic" w:hAnsi="Century Gothic" w:cs="Tahoma"/>
          <w:sz w:val="24"/>
          <w:szCs w:val="24"/>
          <w:lang w:val="es-CO"/>
        </w:rPr>
      </w:pPr>
    </w:p>
    <w:p w:rsidR="0065031F" w:rsidRPr="001D6142" w:rsidRDefault="00214860" w:rsidP="001D6142">
      <w:pPr>
        <w:tabs>
          <w:tab w:val="left" w:pos="426"/>
          <w:tab w:val="right" w:pos="8838"/>
        </w:tabs>
        <w:spacing w:after="0" w:line="360" w:lineRule="auto"/>
        <w:contextualSpacing/>
        <w:jc w:val="both"/>
        <w:rPr>
          <w:rFonts w:ascii="Century Gothic" w:hAnsi="Century Gothic" w:cs="Tahoma"/>
          <w:sz w:val="24"/>
          <w:szCs w:val="24"/>
          <w:lang w:val="es-CO"/>
        </w:rPr>
      </w:pPr>
      <w:r w:rsidRPr="0099226F">
        <w:rPr>
          <w:rFonts w:ascii="Century Gothic" w:hAnsi="Century Gothic" w:cs="Tahoma"/>
          <w:sz w:val="24"/>
          <w:szCs w:val="24"/>
          <w:lang w:val="es-CO"/>
        </w:rPr>
        <w:t>Esta garantía</w:t>
      </w:r>
      <w:r w:rsidR="00E3705F">
        <w:rPr>
          <w:rFonts w:ascii="Century Gothic" w:hAnsi="Century Gothic" w:cs="Tahoma"/>
          <w:sz w:val="24"/>
          <w:szCs w:val="24"/>
          <w:lang w:val="es-CO"/>
        </w:rPr>
        <w:t>,</w:t>
      </w:r>
      <w:r w:rsidRPr="0099226F">
        <w:rPr>
          <w:rFonts w:ascii="Century Gothic" w:hAnsi="Century Gothic" w:cs="Tahoma"/>
          <w:sz w:val="24"/>
          <w:szCs w:val="24"/>
          <w:lang w:val="es-CO"/>
        </w:rPr>
        <w:t xml:space="preserve"> implica que </w:t>
      </w:r>
      <w:r w:rsidR="0065031F" w:rsidRPr="0099226F">
        <w:rPr>
          <w:rFonts w:ascii="Century Gothic" w:hAnsi="Century Gothic" w:cs="Tahoma"/>
          <w:sz w:val="24"/>
          <w:szCs w:val="24"/>
          <w:lang w:val="es-CO"/>
        </w:rPr>
        <w:t xml:space="preserve">para el reconocimiento pensional de aquellas personas cubiertas por </w:t>
      </w:r>
      <w:r w:rsidR="00AD56A0" w:rsidRPr="0099226F">
        <w:rPr>
          <w:rFonts w:ascii="Century Gothic" w:hAnsi="Century Gothic" w:cs="Tahoma"/>
          <w:sz w:val="24"/>
          <w:szCs w:val="24"/>
          <w:lang w:val="es-CO"/>
        </w:rPr>
        <w:t>la</w:t>
      </w:r>
      <w:r w:rsidR="0065031F" w:rsidRPr="0099226F">
        <w:rPr>
          <w:rFonts w:ascii="Century Gothic" w:hAnsi="Century Gothic" w:cs="Tahoma"/>
          <w:sz w:val="24"/>
          <w:szCs w:val="24"/>
          <w:lang w:val="es-CO"/>
        </w:rPr>
        <w:t xml:space="preserve"> transición</w:t>
      </w:r>
      <w:r w:rsidR="00AD56A0" w:rsidRPr="0099226F">
        <w:rPr>
          <w:rFonts w:ascii="Century Gothic" w:hAnsi="Century Gothic" w:cs="Tahoma"/>
          <w:sz w:val="24"/>
          <w:szCs w:val="24"/>
          <w:lang w:val="es-CO"/>
        </w:rPr>
        <w:t>,</w:t>
      </w:r>
      <w:r w:rsidR="0065031F" w:rsidRPr="0099226F">
        <w:rPr>
          <w:rFonts w:ascii="Century Gothic" w:hAnsi="Century Gothic" w:cs="Tahoma"/>
          <w:sz w:val="24"/>
          <w:szCs w:val="24"/>
          <w:lang w:val="es-CO"/>
        </w:rPr>
        <w:t xml:space="preserve"> se tendrá en cuenta </w:t>
      </w:r>
      <w:r w:rsidRPr="0099226F">
        <w:rPr>
          <w:rFonts w:ascii="Century Gothic" w:hAnsi="Century Gothic" w:cs="Tahoma"/>
          <w:sz w:val="24"/>
          <w:szCs w:val="24"/>
          <w:lang w:val="es-CO"/>
        </w:rPr>
        <w:t>el régimen anterior al cual se encontraban afiliadas, según el principio de favorabilidad</w:t>
      </w:r>
      <w:r w:rsidR="0065031F" w:rsidRPr="0099226F">
        <w:rPr>
          <w:rFonts w:ascii="Century Gothic" w:hAnsi="Century Gothic" w:cs="Tahoma"/>
          <w:sz w:val="24"/>
          <w:szCs w:val="24"/>
          <w:lang w:val="es-CO"/>
        </w:rPr>
        <w:t>, respecto de los siguientes elementos:</w:t>
      </w:r>
      <w:r w:rsidRPr="0099226F">
        <w:rPr>
          <w:rFonts w:ascii="Century Gothic" w:hAnsi="Century Gothic" w:cs="Tahoma"/>
          <w:sz w:val="24"/>
          <w:szCs w:val="24"/>
          <w:lang w:val="es-CO"/>
        </w:rPr>
        <w:t xml:space="preserve"> </w:t>
      </w:r>
      <w:r w:rsidR="001D6142">
        <w:rPr>
          <w:rFonts w:ascii="Century Gothic" w:hAnsi="Century Gothic" w:cs="Tahoma"/>
          <w:sz w:val="24"/>
          <w:szCs w:val="24"/>
          <w:lang w:val="es-CO"/>
        </w:rPr>
        <w:t xml:space="preserve"> i) </w:t>
      </w:r>
      <w:r w:rsidR="0065031F" w:rsidRPr="0099226F">
        <w:rPr>
          <w:rFonts w:ascii="Century Gothic" w:hAnsi="Century Gothic" w:cs="Arial"/>
          <w:sz w:val="24"/>
          <w:szCs w:val="24"/>
        </w:rPr>
        <w:t>Edad par</w:t>
      </w:r>
      <w:r w:rsidR="001D6142">
        <w:rPr>
          <w:rFonts w:ascii="Century Gothic" w:hAnsi="Century Gothic" w:cs="Arial"/>
          <w:sz w:val="24"/>
          <w:szCs w:val="24"/>
        </w:rPr>
        <w:t xml:space="preserve">a acceder a la pensión de vejez; ii) </w:t>
      </w:r>
      <w:r w:rsidR="0065031F" w:rsidRPr="0099226F">
        <w:rPr>
          <w:rFonts w:ascii="Century Gothic" w:hAnsi="Century Gothic" w:cs="Arial"/>
          <w:sz w:val="24"/>
          <w:szCs w:val="24"/>
        </w:rPr>
        <w:t>Tiempo de servici</w:t>
      </w:r>
      <w:r w:rsidR="001D6142">
        <w:rPr>
          <w:rFonts w:ascii="Century Gothic" w:hAnsi="Century Gothic" w:cs="Arial"/>
          <w:sz w:val="24"/>
          <w:szCs w:val="24"/>
        </w:rPr>
        <w:t xml:space="preserve">o o número de semanas cotizadas; iii) </w:t>
      </w:r>
      <w:r w:rsidR="0065031F" w:rsidRPr="0099226F">
        <w:rPr>
          <w:rFonts w:ascii="Century Gothic" w:hAnsi="Century Gothic" w:cs="Arial"/>
          <w:b/>
          <w:sz w:val="24"/>
          <w:szCs w:val="24"/>
        </w:rPr>
        <w:t>Monto</w:t>
      </w:r>
      <w:r w:rsidR="0065031F" w:rsidRPr="0099226F">
        <w:rPr>
          <w:rFonts w:ascii="Century Gothic" w:hAnsi="Century Gothic" w:cs="Arial"/>
          <w:sz w:val="24"/>
          <w:szCs w:val="24"/>
        </w:rPr>
        <w:t xml:space="preserve"> de la pensión de vejez.</w:t>
      </w:r>
    </w:p>
    <w:p w:rsidR="00C54067" w:rsidRPr="0099226F" w:rsidRDefault="00C54067" w:rsidP="001D6142">
      <w:pPr>
        <w:tabs>
          <w:tab w:val="left" w:pos="426"/>
          <w:tab w:val="right" w:pos="8838"/>
        </w:tabs>
        <w:spacing w:after="0" w:line="240" w:lineRule="auto"/>
        <w:contextualSpacing/>
        <w:jc w:val="both"/>
        <w:rPr>
          <w:rFonts w:ascii="Century Gothic" w:hAnsi="Century Gothic" w:cs="Tahoma"/>
          <w:b/>
          <w:sz w:val="24"/>
          <w:szCs w:val="24"/>
          <w:lang w:val="es-CO"/>
        </w:rPr>
      </w:pPr>
    </w:p>
    <w:p w:rsidR="00592E3D" w:rsidRPr="0099226F" w:rsidRDefault="00592E3D" w:rsidP="001468B4">
      <w:pPr>
        <w:spacing w:after="0" w:line="360" w:lineRule="auto"/>
        <w:jc w:val="both"/>
        <w:rPr>
          <w:rFonts w:ascii="Century Gothic" w:hAnsi="Century Gothic"/>
          <w:sz w:val="24"/>
          <w:szCs w:val="24"/>
          <w:lang w:val="es-CO"/>
        </w:rPr>
      </w:pPr>
      <w:r w:rsidRPr="0099226F">
        <w:rPr>
          <w:rFonts w:ascii="Century Gothic" w:hAnsi="Century Gothic"/>
          <w:sz w:val="24"/>
          <w:szCs w:val="24"/>
          <w:lang w:val="es-CO"/>
        </w:rPr>
        <w:t>Ahora bien,</w:t>
      </w:r>
      <w:r w:rsidR="003A2D60" w:rsidRPr="0099226F">
        <w:rPr>
          <w:rFonts w:ascii="Century Gothic" w:hAnsi="Century Gothic"/>
          <w:sz w:val="24"/>
          <w:szCs w:val="24"/>
          <w:lang w:val="es-CO"/>
        </w:rPr>
        <w:t xml:space="preserve"> en relación con la </w:t>
      </w:r>
      <w:r w:rsidRPr="0099226F">
        <w:rPr>
          <w:rFonts w:ascii="Century Gothic" w:hAnsi="Century Gothic"/>
          <w:sz w:val="24"/>
          <w:szCs w:val="24"/>
          <w:lang w:val="es-CO"/>
        </w:rPr>
        <w:t xml:space="preserve">aplicación de los dos primeros </w:t>
      </w:r>
      <w:r w:rsidR="00890255">
        <w:rPr>
          <w:rFonts w:ascii="Century Gothic" w:hAnsi="Century Gothic"/>
          <w:sz w:val="24"/>
          <w:szCs w:val="24"/>
          <w:lang w:val="es-CO"/>
        </w:rPr>
        <w:t xml:space="preserve">elementos </w:t>
      </w:r>
      <w:r w:rsidRPr="0099226F">
        <w:rPr>
          <w:rFonts w:ascii="Century Gothic" w:hAnsi="Century Gothic"/>
          <w:sz w:val="24"/>
          <w:szCs w:val="24"/>
          <w:lang w:val="es-CO"/>
        </w:rPr>
        <w:t xml:space="preserve">no ha existido ningún tipo de controversia. Sin embargo, el tercer aspecto, esto es, la noción de </w:t>
      </w:r>
      <w:r w:rsidRPr="0099226F">
        <w:rPr>
          <w:rFonts w:ascii="Century Gothic" w:hAnsi="Century Gothic"/>
          <w:i/>
          <w:sz w:val="24"/>
          <w:szCs w:val="24"/>
          <w:lang w:val="es-CO"/>
        </w:rPr>
        <w:t xml:space="preserve">“monto”, </w:t>
      </w:r>
      <w:r w:rsidR="00900F84">
        <w:rPr>
          <w:rFonts w:ascii="Century Gothic" w:hAnsi="Century Gothic"/>
          <w:sz w:val="24"/>
          <w:szCs w:val="24"/>
          <w:lang w:val="es-CO"/>
        </w:rPr>
        <w:t xml:space="preserve">sí </w:t>
      </w:r>
      <w:r w:rsidRPr="0099226F">
        <w:rPr>
          <w:rFonts w:ascii="Century Gothic" w:hAnsi="Century Gothic"/>
          <w:sz w:val="24"/>
          <w:szCs w:val="24"/>
          <w:lang w:val="es-CO"/>
        </w:rPr>
        <w:t xml:space="preserve">ha sido objeto de amplios debates a nivel doctrinario y jurisprudencial. </w:t>
      </w:r>
    </w:p>
    <w:p w:rsidR="0074516D" w:rsidRPr="0099226F" w:rsidRDefault="00592E3D" w:rsidP="001468B4">
      <w:pPr>
        <w:spacing w:after="0" w:line="360" w:lineRule="auto"/>
        <w:jc w:val="both"/>
        <w:rPr>
          <w:rFonts w:ascii="Century Gothic" w:eastAsia="Times New Roman" w:hAnsi="Century Gothic" w:cs="Arial"/>
          <w:sz w:val="24"/>
          <w:szCs w:val="24"/>
          <w:lang w:val="es-ES_tradnl" w:eastAsia="es-ES"/>
        </w:rPr>
      </w:pPr>
      <w:r w:rsidRPr="0099226F">
        <w:rPr>
          <w:rFonts w:ascii="Century Gothic" w:hAnsi="Century Gothic"/>
          <w:sz w:val="24"/>
          <w:szCs w:val="24"/>
          <w:lang w:val="es-CO"/>
        </w:rPr>
        <w:lastRenderedPageBreak/>
        <w:t xml:space="preserve">En efecto, la </w:t>
      </w:r>
      <w:r w:rsidR="00014514">
        <w:rPr>
          <w:rFonts w:ascii="Century Gothic" w:hAnsi="Century Gothic"/>
          <w:sz w:val="24"/>
          <w:szCs w:val="24"/>
          <w:lang w:val="es-CO"/>
        </w:rPr>
        <w:t>J</w:t>
      </w:r>
      <w:r w:rsidRPr="0099226F">
        <w:rPr>
          <w:rFonts w:ascii="Century Gothic" w:hAnsi="Century Gothic"/>
          <w:sz w:val="24"/>
          <w:szCs w:val="24"/>
          <w:lang w:val="es-CO"/>
        </w:rPr>
        <w:t xml:space="preserve">urisdicción Contenciosa Administrativa dando aplicación </w:t>
      </w:r>
      <w:r w:rsidR="00BB5164" w:rsidRPr="0099226F">
        <w:rPr>
          <w:rFonts w:ascii="Century Gothic" w:hAnsi="Century Gothic"/>
          <w:sz w:val="24"/>
          <w:szCs w:val="24"/>
          <w:lang w:val="es-CO"/>
        </w:rPr>
        <w:t xml:space="preserve">al </w:t>
      </w:r>
      <w:r w:rsidRPr="0099226F">
        <w:rPr>
          <w:rFonts w:ascii="Century Gothic" w:hAnsi="Century Gothic"/>
          <w:sz w:val="24"/>
          <w:szCs w:val="24"/>
          <w:lang w:val="es-CO"/>
        </w:rPr>
        <w:t>principio de inescindibilidad, ha venido señalando</w:t>
      </w:r>
      <w:r w:rsidR="0074516D" w:rsidRPr="0099226F">
        <w:rPr>
          <w:rFonts w:ascii="Century Gothic" w:eastAsia="Times New Roman" w:hAnsi="Century Gothic" w:cs="Arial"/>
          <w:sz w:val="24"/>
          <w:szCs w:val="24"/>
          <w:lang w:val="es-ES_tradnl" w:eastAsia="es-ES"/>
        </w:rPr>
        <w:t>,</w:t>
      </w:r>
      <w:r w:rsidRPr="0099226F">
        <w:rPr>
          <w:rFonts w:ascii="Century Gothic" w:eastAsia="Times New Roman" w:hAnsi="Century Gothic" w:cs="Arial"/>
          <w:sz w:val="24"/>
          <w:szCs w:val="24"/>
          <w:lang w:val="es-ES_tradnl" w:eastAsia="es-ES"/>
        </w:rPr>
        <w:t xml:space="preserve"> que </w:t>
      </w:r>
      <w:r w:rsidR="0074516D" w:rsidRPr="0099226F">
        <w:rPr>
          <w:rFonts w:ascii="Century Gothic" w:eastAsia="Times New Roman" w:hAnsi="Century Gothic" w:cs="Arial"/>
          <w:sz w:val="24"/>
          <w:szCs w:val="24"/>
          <w:lang w:val="es-ES_tradnl" w:eastAsia="es-ES"/>
        </w:rPr>
        <w:t xml:space="preserve">no resultan aplicables las normas reglamentarias de la Ley 100 de 1993, que determinan las bases que se deben tener en cuenta para la liquidación pensional del personal sometido al régimen de transición pensional de que trata el inciso </w:t>
      </w:r>
      <w:r w:rsidR="006A4A6B">
        <w:rPr>
          <w:rFonts w:ascii="Century Gothic" w:eastAsia="Times New Roman" w:hAnsi="Century Gothic" w:cs="Arial"/>
          <w:sz w:val="24"/>
          <w:szCs w:val="24"/>
          <w:lang w:val="es-ES_tradnl" w:eastAsia="es-ES"/>
        </w:rPr>
        <w:t>2</w:t>
      </w:r>
      <w:r w:rsidR="0074516D" w:rsidRPr="0099226F">
        <w:rPr>
          <w:rFonts w:ascii="Century Gothic" w:eastAsia="Times New Roman" w:hAnsi="Century Gothic" w:cs="Arial"/>
          <w:sz w:val="24"/>
          <w:szCs w:val="24"/>
          <w:lang w:val="es-ES_tradnl" w:eastAsia="es-ES"/>
        </w:rPr>
        <w:t xml:space="preserve">° del artículo </w:t>
      </w:r>
      <w:r w:rsidRPr="0099226F">
        <w:rPr>
          <w:rFonts w:ascii="Century Gothic" w:eastAsia="Times New Roman" w:hAnsi="Century Gothic" w:cs="Arial"/>
          <w:sz w:val="24"/>
          <w:szCs w:val="24"/>
          <w:lang w:val="es-ES_tradnl" w:eastAsia="es-ES"/>
        </w:rPr>
        <w:t xml:space="preserve">36 de la Ley 100 de 1993, pues </w:t>
      </w:r>
      <w:r w:rsidR="0074516D" w:rsidRPr="0099226F">
        <w:rPr>
          <w:rFonts w:ascii="Century Gothic" w:eastAsia="Times New Roman" w:hAnsi="Century Gothic" w:cs="Arial"/>
          <w:sz w:val="24"/>
          <w:szCs w:val="24"/>
          <w:lang w:val="es-ES_tradnl" w:eastAsia="es-ES"/>
        </w:rPr>
        <w:t>si la prestación periódica se debe liquidar y reconocer bajo una ley anterior en los aspecto</w:t>
      </w:r>
      <w:r w:rsidR="00D96404">
        <w:rPr>
          <w:rFonts w:ascii="Century Gothic" w:eastAsia="Times New Roman" w:hAnsi="Century Gothic" w:cs="Arial"/>
          <w:sz w:val="24"/>
          <w:szCs w:val="24"/>
          <w:lang w:val="es-ES_tradnl" w:eastAsia="es-ES"/>
        </w:rPr>
        <w:t>s de edad, tiempo y monto pensio</w:t>
      </w:r>
      <w:r w:rsidR="0074516D" w:rsidRPr="0099226F">
        <w:rPr>
          <w:rFonts w:ascii="Century Gothic" w:eastAsia="Times New Roman" w:hAnsi="Century Gothic" w:cs="Arial"/>
          <w:sz w:val="24"/>
          <w:szCs w:val="24"/>
          <w:lang w:val="es-ES_tradnl" w:eastAsia="es-ES"/>
        </w:rPr>
        <w:t>nales (</w:t>
      </w:r>
      <w:r w:rsidR="006256C1" w:rsidRPr="0099226F">
        <w:rPr>
          <w:rFonts w:ascii="Century Gothic" w:eastAsia="Times New Roman" w:hAnsi="Century Gothic" w:cs="Arial"/>
          <w:sz w:val="24"/>
          <w:szCs w:val="24"/>
          <w:lang w:val="es-ES_tradnl" w:eastAsia="es-ES"/>
        </w:rPr>
        <w:t xml:space="preserve">entendiendo por monto la dupla </w:t>
      </w:r>
      <w:r w:rsidR="0074516D" w:rsidRPr="0099226F">
        <w:rPr>
          <w:rFonts w:ascii="Century Gothic" w:eastAsia="Times New Roman" w:hAnsi="Century Gothic" w:cs="Arial"/>
          <w:sz w:val="24"/>
          <w:szCs w:val="24"/>
          <w:lang w:val="es-ES_tradnl" w:eastAsia="es-ES"/>
        </w:rPr>
        <w:t>porcentaje y base de la liquidación), sería esta normatividad la aplicable, más aún cuando contempla una regulación especial, favorable y diferente.</w:t>
      </w:r>
    </w:p>
    <w:p w:rsidR="00592E3D" w:rsidRPr="0099226F" w:rsidRDefault="00592E3D" w:rsidP="001468B4">
      <w:pPr>
        <w:spacing w:after="0" w:line="360" w:lineRule="auto"/>
        <w:jc w:val="both"/>
        <w:rPr>
          <w:rFonts w:ascii="Century Gothic" w:eastAsia="Times New Roman" w:hAnsi="Century Gothic" w:cs="Arial"/>
          <w:sz w:val="24"/>
          <w:szCs w:val="24"/>
          <w:lang w:val="es-ES_tradnl" w:eastAsia="es-ES"/>
        </w:rPr>
      </w:pPr>
    </w:p>
    <w:p w:rsidR="00592E3D" w:rsidRPr="0099226F" w:rsidRDefault="00592E3D" w:rsidP="001468B4">
      <w:pPr>
        <w:spacing w:after="0" w:line="360" w:lineRule="auto"/>
        <w:jc w:val="both"/>
        <w:rPr>
          <w:rFonts w:ascii="Century Gothic" w:hAnsi="Century Gothic"/>
          <w:sz w:val="24"/>
          <w:szCs w:val="24"/>
          <w:lang w:eastAsia="es-ES"/>
        </w:rPr>
      </w:pPr>
      <w:r w:rsidRPr="0099226F">
        <w:rPr>
          <w:rFonts w:ascii="Century Gothic" w:eastAsia="Times New Roman" w:hAnsi="Century Gothic" w:cs="Arial"/>
          <w:sz w:val="24"/>
          <w:szCs w:val="24"/>
          <w:lang w:val="es-ES_tradnl" w:eastAsia="es-ES"/>
        </w:rPr>
        <w:t xml:space="preserve">Por su parte, </w:t>
      </w:r>
      <w:r w:rsidR="00193B57" w:rsidRPr="0099226F">
        <w:rPr>
          <w:rFonts w:ascii="Century Gothic" w:eastAsia="Times New Roman" w:hAnsi="Century Gothic" w:cs="Arial"/>
          <w:sz w:val="24"/>
          <w:szCs w:val="24"/>
          <w:lang w:val="es-ES_tradnl" w:eastAsia="es-ES"/>
        </w:rPr>
        <w:t>el máximo órgano de cierre de la</w:t>
      </w:r>
      <w:r w:rsidRPr="0099226F">
        <w:rPr>
          <w:rFonts w:ascii="Century Gothic" w:eastAsia="Times New Roman" w:hAnsi="Century Gothic" w:cs="Arial"/>
          <w:sz w:val="24"/>
          <w:szCs w:val="24"/>
          <w:lang w:val="es-ES_tradnl" w:eastAsia="es-ES"/>
        </w:rPr>
        <w:t xml:space="preserve"> justicia ordinaria</w:t>
      </w:r>
      <w:r w:rsidR="00193B57" w:rsidRPr="0099226F">
        <w:rPr>
          <w:rFonts w:ascii="Century Gothic" w:eastAsia="Times New Roman" w:hAnsi="Century Gothic" w:cs="Arial"/>
          <w:sz w:val="24"/>
          <w:szCs w:val="24"/>
          <w:lang w:val="es-ES_tradnl" w:eastAsia="es-ES"/>
        </w:rPr>
        <w:t>, ha</w:t>
      </w:r>
      <w:r w:rsidRPr="0099226F">
        <w:rPr>
          <w:rFonts w:ascii="Century Gothic" w:eastAsia="Times New Roman" w:hAnsi="Century Gothic" w:cs="Arial"/>
          <w:sz w:val="24"/>
          <w:szCs w:val="24"/>
          <w:lang w:val="es-ES_tradnl" w:eastAsia="es-ES"/>
        </w:rPr>
        <w:t xml:space="preserve"> interpretado </w:t>
      </w:r>
      <w:r w:rsidR="00193B57" w:rsidRPr="0099226F">
        <w:rPr>
          <w:rFonts w:ascii="Century Gothic" w:eastAsia="Times New Roman" w:hAnsi="Century Gothic" w:cs="Arial"/>
          <w:sz w:val="24"/>
          <w:szCs w:val="24"/>
          <w:lang w:val="es-ES_tradnl" w:eastAsia="es-ES"/>
        </w:rPr>
        <w:t>que cuando el</w:t>
      </w:r>
      <w:r w:rsidRPr="0099226F">
        <w:rPr>
          <w:rFonts w:ascii="Century Gothic" w:eastAsia="Times New Roman" w:hAnsi="Century Gothic" w:cs="Arial"/>
          <w:sz w:val="24"/>
          <w:szCs w:val="24"/>
          <w:lang w:val="es-ES_tradnl" w:eastAsia="es-ES"/>
        </w:rPr>
        <w:t xml:space="preserve"> artículo 33 de la Ley 100 de 1993, </w:t>
      </w:r>
      <w:r w:rsidR="001335D1" w:rsidRPr="0099226F">
        <w:rPr>
          <w:rFonts w:ascii="Century Gothic" w:eastAsia="Times New Roman" w:hAnsi="Century Gothic" w:cs="Arial"/>
          <w:sz w:val="24"/>
          <w:szCs w:val="24"/>
          <w:lang w:val="es-ES_tradnl" w:eastAsia="es-ES"/>
        </w:rPr>
        <w:t>establece</w:t>
      </w:r>
      <w:r w:rsidRPr="0099226F">
        <w:rPr>
          <w:rFonts w:ascii="Century Gothic" w:eastAsia="Times New Roman" w:hAnsi="Century Gothic" w:cs="Arial"/>
          <w:sz w:val="24"/>
          <w:szCs w:val="24"/>
          <w:lang w:val="es-ES_tradnl" w:eastAsia="es-ES"/>
        </w:rPr>
        <w:t xml:space="preserve">  </w:t>
      </w:r>
      <w:r w:rsidRPr="0099226F">
        <w:rPr>
          <w:rFonts w:ascii="Century Gothic" w:hAnsi="Century Gothic"/>
          <w:sz w:val="24"/>
          <w:szCs w:val="24"/>
          <w:lang w:eastAsia="es-ES"/>
        </w:rPr>
        <w:t>el</w:t>
      </w:r>
      <w:r w:rsidR="001335D1" w:rsidRPr="0099226F">
        <w:rPr>
          <w:rFonts w:ascii="Century Gothic" w:hAnsi="Century Gothic"/>
          <w:sz w:val="24"/>
          <w:szCs w:val="24"/>
          <w:lang w:eastAsia="es-ES"/>
        </w:rPr>
        <w:t xml:space="preserve"> término </w:t>
      </w:r>
      <w:r w:rsidRPr="0099226F">
        <w:rPr>
          <w:rFonts w:ascii="Century Gothic" w:hAnsi="Century Gothic"/>
          <w:sz w:val="24"/>
          <w:szCs w:val="24"/>
          <w:lang w:eastAsia="es-ES"/>
        </w:rPr>
        <w:t xml:space="preserve"> “</w:t>
      </w:r>
      <w:r w:rsidRPr="0099226F">
        <w:rPr>
          <w:rFonts w:ascii="Century Gothic" w:hAnsi="Century Gothic"/>
          <w:i/>
          <w:sz w:val="24"/>
          <w:szCs w:val="24"/>
          <w:lang w:eastAsia="es-ES"/>
        </w:rPr>
        <w:t>monto”</w:t>
      </w:r>
      <w:r w:rsidRPr="0099226F">
        <w:rPr>
          <w:rFonts w:ascii="Century Gothic" w:hAnsi="Century Gothic"/>
          <w:sz w:val="24"/>
          <w:szCs w:val="24"/>
          <w:lang w:eastAsia="es-ES"/>
        </w:rPr>
        <w:t xml:space="preserve"> de la pensión</w:t>
      </w:r>
      <w:r w:rsidR="0078734E" w:rsidRPr="0099226F">
        <w:rPr>
          <w:rFonts w:ascii="Century Gothic" w:hAnsi="Century Gothic"/>
          <w:sz w:val="24"/>
          <w:szCs w:val="24"/>
          <w:lang w:eastAsia="es-ES"/>
        </w:rPr>
        <w:t>,</w:t>
      </w:r>
      <w:r w:rsidRPr="0099226F">
        <w:rPr>
          <w:rFonts w:ascii="Century Gothic" w:hAnsi="Century Gothic"/>
          <w:sz w:val="24"/>
          <w:szCs w:val="24"/>
          <w:lang w:eastAsia="es-ES"/>
        </w:rPr>
        <w:t xml:space="preserve"> sólo hace referencia al porcentaje (75%); pero </w:t>
      </w:r>
      <w:r w:rsidR="0078734E" w:rsidRPr="0099226F">
        <w:rPr>
          <w:rFonts w:ascii="Century Gothic" w:hAnsi="Century Gothic"/>
          <w:sz w:val="24"/>
          <w:szCs w:val="24"/>
          <w:lang w:eastAsia="es-ES"/>
        </w:rPr>
        <w:t xml:space="preserve">que </w:t>
      </w:r>
      <w:r w:rsidRPr="0099226F">
        <w:rPr>
          <w:rFonts w:ascii="Century Gothic" w:hAnsi="Century Gothic"/>
          <w:sz w:val="24"/>
          <w:szCs w:val="24"/>
          <w:lang w:eastAsia="es-ES"/>
        </w:rPr>
        <w:t xml:space="preserve">el ingreso base de liquidación que se debe tener en cuenta es el que consagra el inciso </w:t>
      </w:r>
      <w:r w:rsidR="00C66872">
        <w:rPr>
          <w:rFonts w:ascii="Century Gothic" w:hAnsi="Century Gothic"/>
          <w:sz w:val="24"/>
          <w:szCs w:val="24"/>
          <w:lang w:eastAsia="es-ES"/>
        </w:rPr>
        <w:t xml:space="preserve">3º </w:t>
      </w:r>
      <w:r w:rsidRPr="0099226F">
        <w:rPr>
          <w:rFonts w:ascii="Century Gothic" w:hAnsi="Century Gothic"/>
          <w:sz w:val="24"/>
          <w:szCs w:val="24"/>
          <w:lang w:eastAsia="es-ES"/>
        </w:rPr>
        <w:t>del ar</w:t>
      </w:r>
      <w:r w:rsidR="00193B57" w:rsidRPr="0099226F">
        <w:rPr>
          <w:rFonts w:ascii="Century Gothic" w:hAnsi="Century Gothic"/>
          <w:sz w:val="24"/>
          <w:szCs w:val="24"/>
          <w:lang w:eastAsia="es-ES"/>
        </w:rPr>
        <w:t>tículo 36 de la Ley 100 de 1993,</w:t>
      </w:r>
      <w:r w:rsidRPr="0099226F">
        <w:rPr>
          <w:rFonts w:ascii="Century Gothic" w:hAnsi="Century Gothic"/>
          <w:sz w:val="24"/>
          <w:szCs w:val="24"/>
          <w:lang w:eastAsia="es-ES"/>
        </w:rPr>
        <w:t xml:space="preserve"> es decir, el promedio de los salarios devengados que sirvieron de base para los aportes durante los últimos 10 años.</w:t>
      </w:r>
    </w:p>
    <w:p w:rsidR="00193B57" w:rsidRPr="0099226F" w:rsidRDefault="00193B57" w:rsidP="001468B4">
      <w:pPr>
        <w:spacing w:after="0" w:line="360" w:lineRule="auto"/>
        <w:jc w:val="both"/>
        <w:rPr>
          <w:rFonts w:ascii="Century Gothic" w:hAnsi="Century Gothic"/>
          <w:sz w:val="24"/>
          <w:szCs w:val="24"/>
          <w:lang w:eastAsia="es-ES"/>
        </w:rPr>
      </w:pPr>
    </w:p>
    <w:p w:rsidR="00193B57" w:rsidRPr="0099226F" w:rsidRDefault="00E62D25" w:rsidP="001468B4">
      <w:pPr>
        <w:spacing w:after="0" w:line="360" w:lineRule="auto"/>
        <w:jc w:val="both"/>
        <w:rPr>
          <w:rFonts w:ascii="Century Gothic" w:hAnsi="Century Gothic"/>
          <w:sz w:val="24"/>
          <w:szCs w:val="24"/>
          <w:lang w:val="es-CO"/>
        </w:rPr>
      </w:pPr>
      <w:r w:rsidRPr="0099226F">
        <w:rPr>
          <w:rFonts w:ascii="Century Gothic" w:hAnsi="Century Gothic"/>
          <w:sz w:val="24"/>
          <w:szCs w:val="24"/>
          <w:lang w:eastAsia="es-ES"/>
        </w:rPr>
        <w:t xml:space="preserve">Ahora bien, </w:t>
      </w:r>
      <w:r w:rsidR="00193B57" w:rsidRPr="0099226F">
        <w:rPr>
          <w:rFonts w:ascii="Century Gothic" w:hAnsi="Century Gothic"/>
          <w:sz w:val="24"/>
          <w:szCs w:val="24"/>
          <w:lang w:eastAsia="es-ES"/>
        </w:rPr>
        <w:t xml:space="preserve">la H. Corte Constitucional, en </w:t>
      </w:r>
      <w:r w:rsidR="00C66872">
        <w:rPr>
          <w:rFonts w:ascii="Century Gothic" w:hAnsi="Century Gothic"/>
          <w:sz w:val="24"/>
          <w:szCs w:val="24"/>
          <w:lang w:eastAsia="es-ES"/>
        </w:rPr>
        <w:t xml:space="preserve">reciente </w:t>
      </w:r>
      <w:r w:rsidR="00193B57" w:rsidRPr="0099226F">
        <w:rPr>
          <w:rFonts w:ascii="Century Gothic" w:hAnsi="Century Gothic"/>
          <w:sz w:val="24"/>
          <w:szCs w:val="24"/>
          <w:lang w:eastAsia="es-ES"/>
        </w:rPr>
        <w:t xml:space="preserve">sentencia </w:t>
      </w:r>
      <w:r w:rsidRPr="0099226F">
        <w:rPr>
          <w:rFonts w:ascii="Century Gothic" w:hAnsi="Century Gothic"/>
          <w:b/>
          <w:sz w:val="24"/>
          <w:szCs w:val="24"/>
          <w:lang w:eastAsia="es-ES"/>
        </w:rPr>
        <w:t>SU</w:t>
      </w:r>
      <w:r w:rsidR="00193B57" w:rsidRPr="0099226F">
        <w:rPr>
          <w:rFonts w:ascii="Century Gothic" w:hAnsi="Century Gothic"/>
          <w:b/>
          <w:sz w:val="24"/>
          <w:szCs w:val="24"/>
          <w:lang w:eastAsia="es-ES"/>
        </w:rPr>
        <w:t>-230 de 2015</w:t>
      </w:r>
      <w:r w:rsidR="00193B57" w:rsidRPr="0099226F">
        <w:rPr>
          <w:rFonts w:ascii="Century Gothic" w:hAnsi="Century Gothic"/>
          <w:sz w:val="24"/>
          <w:szCs w:val="24"/>
          <w:lang w:eastAsia="es-ES"/>
        </w:rPr>
        <w:t>, precis</w:t>
      </w:r>
      <w:r w:rsidR="001B60D2" w:rsidRPr="0099226F">
        <w:rPr>
          <w:rFonts w:ascii="Century Gothic" w:hAnsi="Century Gothic"/>
          <w:sz w:val="24"/>
          <w:szCs w:val="24"/>
          <w:lang w:eastAsia="es-ES"/>
        </w:rPr>
        <w:t>ó</w:t>
      </w:r>
      <w:r w:rsidR="00193B57" w:rsidRPr="0099226F">
        <w:rPr>
          <w:rFonts w:ascii="Century Gothic" w:hAnsi="Century Gothic"/>
          <w:sz w:val="24"/>
          <w:szCs w:val="24"/>
          <w:lang w:eastAsia="es-ES"/>
        </w:rPr>
        <w:t xml:space="preserve"> que si bien </w:t>
      </w:r>
      <w:r w:rsidR="00193B57" w:rsidRPr="0099226F">
        <w:rPr>
          <w:rFonts w:ascii="Century Gothic" w:hAnsi="Century Gothic"/>
          <w:sz w:val="24"/>
          <w:szCs w:val="24"/>
          <w:lang w:val="es-CO"/>
        </w:rPr>
        <w:t>existía un precedente reiterado por distintas Salas de Revisión de esa Corporación</w:t>
      </w:r>
      <w:r w:rsidR="001B60D2" w:rsidRPr="0099226F">
        <w:rPr>
          <w:rFonts w:ascii="Century Gothic" w:hAnsi="Century Gothic"/>
          <w:sz w:val="24"/>
          <w:szCs w:val="24"/>
          <w:lang w:val="es-CO"/>
        </w:rPr>
        <w:t>,</w:t>
      </w:r>
      <w:r w:rsidR="00193B57" w:rsidRPr="0099226F">
        <w:rPr>
          <w:rFonts w:ascii="Century Gothic" w:hAnsi="Century Gothic"/>
          <w:sz w:val="24"/>
          <w:szCs w:val="24"/>
          <w:lang w:val="es-CO"/>
        </w:rPr>
        <w:t xml:space="preserve"> en cuanto a la aplicación de</w:t>
      </w:r>
      <w:r w:rsidR="009B32E9" w:rsidRPr="0099226F">
        <w:rPr>
          <w:rFonts w:ascii="Century Gothic" w:hAnsi="Century Gothic"/>
          <w:sz w:val="24"/>
          <w:szCs w:val="24"/>
          <w:lang w:val="es-CO"/>
        </w:rPr>
        <w:t xml:space="preserve"> </w:t>
      </w:r>
      <w:r w:rsidR="00193B57" w:rsidRPr="0099226F">
        <w:rPr>
          <w:rFonts w:ascii="Century Gothic" w:hAnsi="Century Gothic"/>
          <w:sz w:val="24"/>
          <w:szCs w:val="24"/>
          <w:lang w:val="es-CO"/>
        </w:rPr>
        <w:t>l</w:t>
      </w:r>
      <w:r w:rsidR="009B32E9" w:rsidRPr="0099226F">
        <w:rPr>
          <w:rFonts w:ascii="Century Gothic" w:hAnsi="Century Gothic"/>
          <w:sz w:val="24"/>
          <w:szCs w:val="24"/>
          <w:lang w:val="es-CO"/>
        </w:rPr>
        <w:t>os</w:t>
      </w:r>
      <w:r w:rsidR="00193B57" w:rsidRPr="0099226F">
        <w:rPr>
          <w:rFonts w:ascii="Century Gothic" w:hAnsi="Century Gothic"/>
          <w:sz w:val="24"/>
          <w:szCs w:val="24"/>
          <w:lang w:val="es-CO"/>
        </w:rPr>
        <w:t xml:space="preserve"> principio</w:t>
      </w:r>
      <w:r w:rsidR="009B32E9" w:rsidRPr="0099226F">
        <w:rPr>
          <w:rFonts w:ascii="Century Gothic" w:hAnsi="Century Gothic"/>
          <w:sz w:val="24"/>
          <w:szCs w:val="24"/>
          <w:lang w:val="es-CO"/>
        </w:rPr>
        <w:t>s</w:t>
      </w:r>
      <w:r w:rsidR="00193B57" w:rsidRPr="0099226F">
        <w:rPr>
          <w:rFonts w:ascii="Century Gothic" w:hAnsi="Century Gothic"/>
          <w:sz w:val="24"/>
          <w:szCs w:val="24"/>
          <w:lang w:val="es-CO"/>
        </w:rPr>
        <w:t xml:space="preserve"> de </w:t>
      </w:r>
      <w:r w:rsidR="009B32E9" w:rsidRPr="0099226F">
        <w:rPr>
          <w:rFonts w:ascii="Century Gothic" w:hAnsi="Century Gothic"/>
          <w:sz w:val="24"/>
          <w:szCs w:val="24"/>
          <w:lang w:val="es-CO"/>
        </w:rPr>
        <w:t xml:space="preserve">inescindibilidad e </w:t>
      </w:r>
      <w:r w:rsidR="00193B57" w:rsidRPr="0099226F">
        <w:rPr>
          <w:rFonts w:ascii="Century Gothic" w:hAnsi="Century Gothic"/>
          <w:sz w:val="24"/>
          <w:szCs w:val="24"/>
          <w:lang w:val="es-CO"/>
        </w:rPr>
        <w:t>integralidad del régimen especial</w:t>
      </w:r>
      <w:r w:rsidR="00714575" w:rsidRPr="0099226F">
        <w:rPr>
          <w:rFonts w:ascii="Century Gothic" w:hAnsi="Century Gothic"/>
          <w:sz w:val="24"/>
          <w:szCs w:val="24"/>
          <w:lang w:val="es-CO"/>
        </w:rPr>
        <w:t>,</w:t>
      </w:r>
      <w:r w:rsidR="001B60D2" w:rsidRPr="0099226F">
        <w:rPr>
          <w:rFonts w:ascii="Century Gothic" w:hAnsi="Century Gothic"/>
          <w:sz w:val="24"/>
          <w:szCs w:val="24"/>
          <w:lang w:val="es-CO"/>
        </w:rPr>
        <w:t xml:space="preserve"> </w:t>
      </w:r>
      <w:r w:rsidR="00193B57" w:rsidRPr="0099226F">
        <w:rPr>
          <w:rFonts w:ascii="Century Gothic" w:hAnsi="Century Gothic"/>
          <w:sz w:val="24"/>
          <w:szCs w:val="24"/>
          <w:lang w:val="es-CO"/>
        </w:rPr>
        <w:t>en el sentido que el monto de la pensión incluía el IBL como un aspecto a tener en cuenta en el régimen de transición</w:t>
      </w:r>
      <w:r w:rsidR="00714575" w:rsidRPr="0099226F">
        <w:rPr>
          <w:rFonts w:ascii="Century Gothic" w:hAnsi="Century Gothic"/>
          <w:sz w:val="24"/>
          <w:szCs w:val="24"/>
          <w:lang w:val="es-CO"/>
        </w:rPr>
        <w:t xml:space="preserve"> – criterio</w:t>
      </w:r>
      <w:r w:rsidR="00E51CF6" w:rsidRPr="0099226F">
        <w:rPr>
          <w:rFonts w:ascii="Century Gothic" w:hAnsi="Century Gothic"/>
          <w:sz w:val="24"/>
          <w:szCs w:val="24"/>
          <w:lang w:val="es-CO"/>
        </w:rPr>
        <w:t xml:space="preserve"> decantado por </w:t>
      </w:r>
      <w:r w:rsidR="00714575" w:rsidRPr="0099226F">
        <w:rPr>
          <w:rFonts w:ascii="Century Gothic" w:hAnsi="Century Gothic"/>
          <w:sz w:val="24"/>
          <w:szCs w:val="24"/>
          <w:lang w:val="es-CO"/>
        </w:rPr>
        <w:t>el Consejo de Estado -</w:t>
      </w:r>
      <w:r w:rsidR="00193B57" w:rsidRPr="0099226F">
        <w:rPr>
          <w:rFonts w:ascii="Century Gothic" w:hAnsi="Century Gothic"/>
          <w:sz w:val="24"/>
          <w:szCs w:val="24"/>
          <w:lang w:val="es-CO"/>
        </w:rPr>
        <w:t>, también lo es que e</w:t>
      </w:r>
      <w:r w:rsidR="009B32E9" w:rsidRPr="0099226F">
        <w:rPr>
          <w:rFonts w:ascii="Century Gothic" w:hAnsi="Century Gothic"/>
          <w:sz w:val="24"/>
          <w:szCs w:val="24"/>
          <w:lang w:val="es-CO"/>
        </w:rPr>
        <w:t xml:space="preserve">l Tribunal Constitucional </w:t>
      </w:r>
      <w:r w:rsidR="00193B57" w:rsidRPr="0099226F">
        <w:rPr>
          <w:rFonts w:ascii="Century Gothic" w:hAnsi="Century Gothic"/>
          <w:sz w:val="24"/>
          <w:szCs w:val="24"/>
          <w:lang w:val="es-CO"/>
        </w:rPr>
        <w:t xml:space="preserve">no se había pronunciado en sede de constitucionalidad acerca de la interpretación que debe </w:t>
      </w:r>
      <w:r w:rsidR="00C66872">
        <w:rPr>
          <w:rFonts w:ascii="Century Gothic" w:hAnsi="Century Gothic"/>
          <w:sz w:val="24"/>
          <w:szCs w:val="24"/>
          <w:lang w:val="es-CO"/>
        </w:rPr>
        <w:t xml:space="preserve">darse </w:t>
      </w:r>
      <w:r w:rsidR="00193B57" w:rsidRPr="0099226F">
        <w:rPr>
          <w:rFonts w:ascii="Century Gothic" w:hAnsi="Century Gothic"/>
          <w:sz w:val="24"/>
          <w:szCs w:val="24"/>
          <w:lang w:val="es-CO"/>
        </w:rPr>
        <w:t xml:space="preserve">al inciso </w:t>
      </w:r>
      <w:r w:rsidR="00C66872">
        <w:rPr>
          <w:rFonts w:ascii="Century Gothic" w:hAnsi="Century Gothic"/>
          <w:sz w:val="24"/>
          <w:szCs w:val="24"/>
          <w:lang w:val="es-CO"/>
        </w:rPr>
        <w:t xml:space="preserve">3º </w:t>
      </w:r>
      <w:r w:rsidR="00193B57" w:rsidRPr="0099226F">
        <w:rPr>
          <w:rFonts w:ascii="Century Gothic" w:hAnsi="Century Gothic"/>
          <w:sz w:val="24"/>
          <w:szCs w:val="24"/>
          <w:lang w:val="es-CO"/>
        </w:rPr>
        <w:t xml:space="preserve">del artículo 36 de la Ley 100 de 1993, señalando </w:t>
      </w:r>
      <w:r w:rsidR="001B60D2" w:rsidRPr="0099226F">
        <w:rPr>
          <w:rFonts w:ascii="Century Gothic" w:hAnsi="Century Gothic"/>
          <w:sz w:val="24"/>
          <w:szCs w:val="24"/>
          <w:lang w:val="es-CO"/>
        </w:rPr>
        <w:t>categóricamente</w:t>
      </w:r>
      <w:r w:rsidR="003E2E30">
        <w:rPr>
          <w:rFonts w:ascii="Century Gothic" w:hAnsi="Century Gothic"/>
          <w:sz w:val="24"/>
          <w:szCs w:val="24"/>
          <w:lang w:val="es-CO"/>
        </w:rPr>
        <w:t xml:space="preserve"> </w:t>
      </w:r>
      <w:r w:rsidR="00193B57" w:rsidRPr="0099226F">
        <w:rPr>
          <w:rFonts w:ascii="Century Gothic" w:hAnsi="Century Gothic"/>
          <w:sz w:val="24"/>
          <w:szCs w:val="24"/>
          <w:lang w:val="es-CO"/>
        </w:rPr>
        <w:t>que el IBL no es un elemento del régimen de transición</w:t>
      </w:r>
      <w:r w:rsidR="00852BE8" w:rsidRPr="0099226F">
        <w:rPr>
          <w:rFonts w:ascii="Century Gothic" w:hAnsi="Century Gothic"/>
          <w:sz w:val="24"/>
          <w:szCs w:val="24"/>
          <w:lang w:val="es-CO"/>
        </w:rPr>
        <w:t xml:space="preserve">, por lo que siendo </w:t>
      </w:r>
      <w:r w:rsidR="00193B57" w:rsidRPr="0099226F">
        <w:rPr>
          <w:rFonts w:ascii="Century Gothic" w:hAnsi="Century Gothic"/>
          <w:sz w:val="24"/>
          <w:szCs w:val="24"/>
          <w:lang w:val="es-CO"/>
        </w:rPr>
        <w:t xml:space="preserve">competencia de la Sala Plena de esa Corporación establecer un cambio </w:t>
      </w:r>
      <w:r w:rsidR="00193B57" w:rsidRPr="0099226F">
        <w:rPr>
          <w:rFonts w:ascii="Century Gothic" w:hAnsi="Century Gothic"/>
          <w:sz w:val="24"/>
          <w:szCs w:val="24"/>
          <w:lang w:val="es-CO"/>
        </w:rPr>
        <w:lastRenderedPageBreak/>
        <w:t>de jurisprudencia, aún en aquéllos casos en que existe la deno</w:t>
      </w:r>
      <w:r w:rsidR="00852BE8" w:rsidRPr="0099226F">
        <w:rPr>
          <w:rFonts w:ascii="Century Gothic" w:hAnsi="Century Gothic"/>
          <w:sz w:val="24"/>
          <w:szCs w:val="24"/>
          <w:lang w:val="es-CO"/>
        </w:rPr>
        <w:t xml:space="preserve">minada jurisprudencia en vigor, </w:t>
      </w:r>
      <w:r w:rsidR="007C465A" w:rsidRPr="0099226F">
        <w:rPr>
          <w:rFonts w:ascii="Century Gothic" w:hAnsi="Century Gothic"/>
          <w:sz w:val="24"/>
          <w:szCs w:val="24"/>
          <w:lang w:val="es-CO"/>
        </w:rPr>
        <w:t>acogía</w:t>
      </w:r>
      <w:r w:rsidR="00852BE8" w:rsidRPr="0099226F">
        <w:rPr>
          <w:rFonts w:ascii="Century Gothic" w:hAnsi="Century Gothic"/>
          <w:sz w:val="24"/>
          <w:szCs w:val="24"/>
          <w:lang w:val="es-CO"/>
        </w:rPr>
        <w:t xml:space="preserve"> la </w:t>
      </w:r>
      <w:r w:rsidR="003E2E30">
        <w:rPr>
          <w:rFonts w:ascii="Century Gothic" w:hAnsi="Century Gothic"/>
          <w:sz w:val="24"/>
          <w:szCs w:val="24"/>
          <w:lang w:val="es-CO"/>
        </w:rPr>
        <w:t xml:space="preserve">Corte Constitucional la </w:t>
      </w:r>
      <w:r w:rsidR="00852BE8" w:rsidRPr="0099226F">
        <w:rPr>
          <w:rFonts w:ascii="Century Gothic" w:hAnsi="Century Gothic"/>
          <w:sz w:val="24"/>
          <w:szCs w:val="24"/>
          <w:lang w:val="es-CO"/>
        </w:rPr>
        <w:t>tesis de la H. Corte Suprema de Justicia. Para sustentar</w:t>
      </w:r>
      <w:r w:rsidR="003E2E30">
        <w:rPr>
          <w:rFonts w:ascii="Century Gothic" w:hAnsi="Century Gothic"/>
          <w:sz w:val="24"/>
          <w:szCs w:val="24"/>
          <w:lang w:val="es-CO"/>
        </w:rPr>
        <w:t xml:space="preserve"> ese cambio de jurisprudencia </w:t>
      </w:r>
      <w:r w:rsidR="00852BE8" w:rsidRPr="0099226F">
        <w:rPr>
          <w:rFonts w:ascii="Century Gothic" w:hAnsi="Century Gothic"/>
          <w:sz w:val="24"/>
          <w:szCs w:val="24"/>
          <w:lang w:val="es-CO"/>
        </w:rPr>
        <w:t>sostuvo</w:t>
      </w:r>
      <w:r w:rsidR="001B60D2" w:rsidRPr="0099226F">
        <w:rPr>
          <w:rFonts w:ascii="Century Gothic" w:hAnsi="Century Gothic"/>
          <w:sz w:val="24"/>
          <w:szCs w:val="24"/>
          <w:lang w:val="es-CO"/>
        </w:rPr>
        <w:t xml:space="preserve"> esencialmente que</w:t>
      </w:r>
      <w:r w:rsidR="00852BE8" w:rsidRPr="0099226F">
        <w:rPr>
          <w:rFonts w:ascii="Century Gothic" w:hAnsi="Century Gothic"/>
          <w:sz w:val="24"/>
          <w:szCs w:val="24"/>
          <w:lang w:val="es-CO"/>
        </w:rPr>
        <w:t xml:space="preserve">: </w:t>
      </w:r>
    </w:p>
    <w:p w:rsidR="007C465A" w:rsidRPr="0099226F" w:rsidRDefault="007C465A" w:rsidP="001468B4">
      <w:pPr>
        <w:spacing w:after="0" w:line="360" w:lineRule="auto"/>
        <w:jc w:val="both"/>
        <w:rPr>
          <w:rFonts w:ascii="Century Gothic" w:hAnsi="Century Gothic"/>
          <w:sz w:val="24"/>
          <w:szCs w:val="24"/>
          <w:lang w:val="es-CO"/>
        </w:rPr>
      </w:pPr>
    </w:p>
    <w:p w:rsidR="00852BE8" w:rsidRPr="0099226F" w:rsidRDefault="00852BE8" w:rsidP="00510C0D">
      <w:pPr>
        <w:pStyle w:val="Prrafodelista"/>
        <w:tabs>
          <w:tab w:val="left" w:pos="284"/>
          <w:tab w:val="left" w:pos="709"/>
          <w:tab w:val="left" w:pos="993"/>
        </w:tabs>
        <w:spacing w:after="0" w:line="240" w:lineRule="auto"/>
        <w:ind w:left="709" w:right="20"/>
        <w:jc w:val="both"/>
        <w:rPr>
          <w:rFonts w:ascii="Century Gothic" w:hAnsi="Century Gothic"/>
          <w:i/>
        </w:rPr>
      </w:pPr>
      <w:r w:rsidRPr="0099226F">
        <w:rPr>
          <w:rFonts w:ascii="Century Gothic" w:hAnsi="Century Gothic"/>
          <w:i/>
          <w:lang w:val="es-CO"/>
        </w:rPr>
        <w:t>“Aunque la interpretación de las reglas del IBL establecidas en la Sentencia C-258 de 2013</w:t>
      </w:r>
      <w:r w:rsidRPr="0099226F">
        <w:rPr>
          <w:rFonts w:ascii="Century Gothic" w:hAnsi="Century Gothic"/>
          <w:i/>
          <w:vertAlign w:val="superscript"/>
          <w:lang w:val="es-CO"/>
        </w:rPr>
        <w:footnoteReference w:id="5"/>
      </w:r>
      <w:r w:rsidRPr="0099226F">
        <w:rPr>
          <w:rFonts w:ascii="Century Gothic" w:hAnsi="Century Gothic"/>
          <w:i/>
          <w:lang w:val="es-CO"/>
        </w:rPr>
        <w:t xml:space="preserve"> se enmarcan en el análisis del régimen especial consagrado en el artículo 17 de la Ley 4 de 1992, con fundamento </w:t>
      </w:r>
      <w:r w:rsidRPr="0099226F">
        <w:rPr>
          <w:rFonts w:ascii="Century Gothic" w:hAnsi="Century Gothic"/>
          <w:b/>
          <w:i/>
        </w:rPr>
        <w:t>(i)</w:t>
      </w:r>
      <w:r w:rsidRPr="0099226F">
        <w:rPr>
          <w:rFonts w:ascii="Century Gothic" w:hAnsi="Century Gothic"/>
          <w:i/>
        </w:rPr>
        <w:t xml:space="preserve"> en que dicho régimen vulneraba el derecho a la igualdad al conceder privilegios a una de las clases más favorecidas de la sociedad y </w:t>
      </w:r>
      <w:r w:rsidRPr="0099226F">
        <w:rPr>
          <w:rFonts w:ascii="Century Gothic" w:hAnsi="Century Gothic"/>
          <w:b/>
          <w:i/>
        </w:rPr>
        <w:t>(ii)</w:t>
      </w:r>
      <w:r w:rsidRPr="0099226F">
        <w:rPr>
          <w:rFonts w:ascii="Century Gothic" w:hAnsi="Century Gothic"/>
          <w:i/>
        </w:rPr>
        <w:t xml:space="preserve"> en la medida en que el régimen especial de congresistas y magistrados contiene ventajas desproporcionadas frente a los demás regímenes especiales, </w:t>
      </w:r>
      <w:r w:rsidRPr="0099226F">
        <w:rPr>
          <w:rFonts w:ascii="Century Gothic" w:hAnsi="Century Gothic"/>
          <w:b/>
          <w:i/>
        </w:rPr>
        <w:t>ello no excluye la interpretación en abstracto que se realizó sobre el artículo 36 de la Ley 100 de 1993 en el sentido de establecer que el IBL no es un aspecto de la transición y, por tanto, son las reglas contenidas en este las que deben observarse para determinar el monto pensional con independencia del régimen especial al que se pertenezca</w:t>
      </w:r>
      <w:r w:rsidRPr="0099226F">
        <w:rPr>
          <w:rFonts w:ascii="Century Gothic" w:hAnsi="Century Gothic"/>
          <w:i/>
        </w:rPr>
        <w:t xml:space="preserve">.” </w:t>
      </w:r>
    </w:p>
    <w:p w:rsidR="00852BE8" w:rsidRPr="0099226F" w:rsidRDefault="00852BE8" w:rsidP="001468B4">
      <w:pPr>
        <w:spacing w:after="0" w:line="360" w:lineRule="auto"/>
        <w:jc w:val="both"/>
        <w:rPr>
          <w:rFonts w:ascii="Century Gothic" w:hAnsi="Century Gothic"/>
          <w:sz w:val="24"/>
          <w:szCs w:val="24"/>
          <w:lang w:val="es-CO"/>
        </w:rPr>
      </w:pPr>
    </w:p>
    <w:p w:rsidR="00AD608F" w:rsidRPr="0099226F" w:rsidRDefault="001B60D2" w:rsidP="001468B4">
      <w:pPr>
        <w:tabs>
          <w:tab w:val="left" w:pos="7513"/>
          <w:tab w:val="right" w:pos="8838"/>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_tradnl" w:eastAsia="es-ES"/>
        </w:rPr>
      </w:pPr>
      <w:r w:rsidRPr="0099226F">
        <w:rPr>
          <w:rFonts w:ascii="Century Gothic" w:hAnsi="Century Gothic"/>
          <w:sz w:val="24"/>
          <w:szCs w:val="24"/>
        </w:rPr>
        <w:t xml:space="preserve">Ante el anterior panorama de diversidad interpretativa, debe manifestarse que este </w:t>
      </w:r>
      <w:r w:rsidR="00852BE8" w:rsidRPr="0099226F">
        <w:rPr>
          <w:rFonts w:ascii="Century Gothic" w:hAnsi="Century Gothic"/>
          <w:sz w:val="24"/>
          <w:szCs w:val="24"/>
        </w:rPr>
        <w:t xml:space="preserve">Tribunal </w:t>
      </w:r>
      <w:r w:rsidR="00BD1072">
        <w:rPr>
          <w:rFonts w:ascii="Century Gothic" w:hAnsi="Century Gothic"/>
          <w:sz w:val="24"/>
          <w:szCs w:val="24"/>
        </w:rPr>
        <w:t xml:space="preserve">Administrativo de Bolívar, </w:t>
      </w:r>
      <w:r w:rsidRPr="0099226F">
        <w:rPr>
          <w:rFonts w:ascii="Century Gothic" w:hAnsi="Century Gothic"/>
          <w:sz w:val="24"/>
          <w:szCs w:val="24"/>
        </w:rPr>
        <w:t>en sus distintas Sala</w:t>
      </w:r>
      <w:r w:rsidR="0017629C" w:rsidRPr="0099226F">
        <w:rPr>
          <w:rFonts w:ascii="Century Gothic" w:hAnsi="Century Gothic"/>
          <w:sz w:val="24"/>
          <w:szCs w:val="24"/>
        </w:rPr>
        <w:t>s</w:t>
      </w:r>
      <w:r w:rsidR="00154146">
        <w:rPr>
          <w:rFonts w:ascii="Century Gothic" w:hAnsi="Century Gothic"/>
          <w:sz w:val="24"/>
          <w:szCs w:val="24"/>
        </w:rPr>
        <w:t xml:space="preserve"> de Oralidad</w:t>
      </w:r>
      <w:r w:rsidR="00521AE6" w:rsidRPr="0099226F">
        <w:rPr>
          <w:rFonts w:ascii="Century Gothic" w:hAnsi="Century Gothic"/>
          <w:sz w:val="24"/>
          <w:szCs w:val="24"/>
        </w:rPr>
        <w:t>,</w:t>
      </w:r>
      <w:r w:rsidRPr="0099226F">
        <w:rPr>
          <w:rFonts w:ascii="Century Gothic" w:hAnsi="Century Gothic"/>
          <w:sz w:val="24"/>
          <w:szCs w:val="24"/>
        </w:rPr>
        <w:t xml:space="preserve"> venía acogiendo </w:t>
      </w:r>
      <w:r w:rsidR="00F97A55">
        <w:rPr>
          <w:rFonts w:ascii="Century Gothic" w:hAnsi="Century Gothic"/>
          <w:sz w:val="24"/>
          <w:szCs w:val="24"/>
        </w:rPr>
        <w:t xml:space="preserve">pacíficamente </w:t>
      </w:r>
      <w:r w:rsidRPr="0099226F">
        <w:rPr>
          <w:rFonts w:ascii="Century Gothic" w:hAnsi="Century Gothic"/>
          <w:sz w:val="24"/>
          <w:szCs w:val="24"/>
        </w:rPr>
        <w:t>el criterio fijado por el Consejo de Estado</w:t>
      </w:r>
      <w:r w:rsidRPr="0099226F">
        <w:rPr>
          <w:rStyle w:val="Refdenotaalpie"/>
          <w:rFonts w:ascii="Century Gothic" w:hAnsi="Century Gothic"/>
          <w:sz w:val="24"/>
          <w:szCs w:val="24"/>
        </w:rPr>
        <w:footnoteReference w:id="6"/>
      </w:r>
      <w:r w:rsidRPr="0099226F">
        <w:rPr>
          <w:rFonts w:ascii="Century Gothic" w:hAnsi="Century Gothic"/>
          <w:sz w:val="24"/>
          <w:szCs w:val="24"/>
        </w:rPr>
        <w:t xml:space="preserve">, </w:t>
      </w:r>
      <w:r w:rsidR="00521AE6" w:rsidRPr="0099226F">
        <w:rPr>
          <w:rFonts w:ascii="Century Gothic" w:hAnsi="Century Gothic"/>
          <w:sz w:val="24"/>
          <w:szCs w:val="24"/>
        </w:rPr>
        <w:t xml:space="preserve">máximo órgano de cierre de la jurisdicción contenciosa administrativa, sin embargo, </w:t>
      </w:r>
      <w:r w:rsidR="002804AF" w:rsidRPr="0099226F">
        <w:rPr>
          <w:rFonts w:ascii="Century Gothic" w:hAnsi="Century Gothic"/>
          <w:sz w:val="24"/>
          <w:szCs w:val="24"/>
        </w:rPr>
        <w:t xml:space="preserve">la lectura detenida de la Sentencia SU-230/15, </w:t>
      </w:r>
      <w:r w:rsidR="00D963BB" w:rsidRPr="0099226F">
        <w:rPr>
          <w:rFonts w:ascii="Century Gothic" w:hAnsi="Century Gothic"/>
          <w:sz w:val="24"/>
          <w:szCs w:val="24"/>
        </w:rPr>
        <w:t xml:space="preserve">aunada a la no existencia de sentencia posterior del superior funcional que sustente y unifique doctrina distinta, </w:t>
      </w:r>
      <w:r w:rsidR="002804AF" w:rsidRPr="0099226F">
        <w:rPr>
          <w:rFonts w:ascii="Century Gothic" w:hAnsi="Century Gothic"/>
          <w:sz w:val="24"/>
          <w:szCs w:val="24"/>
        </w:rPr>
        <w:t>no deja otro camino que el de acatar</w:t>
      </w:r>
      <w:r w:rsidR="00D963BB" w:rsidRPr="0099226F">
        <w:rPr>
          <w:rFonts w:ascii="Century Gothic" w:hAnsi="Century Gothic"/>
          <w:sz w:val="24"/>
          <w:szCs w:val="24"/>
        </w:rPr>
        <w:t xml:space="preserve"> </w:t>
      </w:r>
      <w:r w:rsidR="00047BC9" w:rsidRPr="0099226F">
        <w:rPr>
          <w:rFonts w:ascii="Century Gothic" w:hAnsi="Century Gothic"/>
          <w:sz w:val="24"/>
          <w:szCs w:val="24"/>
        </w:rPr>
        <w:t xml:space="preserve">a partir de hoy, </w:t>
      </w:r>
      <w:r w:rsidR="002804AF" w:rsidRPr="0099226F">
        <w:rPr>
          <w:rFonts w:ascii="Century Gothic" w:hAnsi="Century Gothic"/>
          <w:sz w:val="24"/>
          <w:szCs w:val="24"/>
        </w:rPr>
        <w:t>el precedente interpretativo vertido por el máximo Tribunal Constitucional en ese proveído de unificación</w:t>
      </w:r>
      <w:r w:rsidR="004169FB" w:rsidRPr="0099226F">
        <w:rPr>
          <w:rStyle w:val="Refdenotaalpie"/>
          <w:rFonts w:ascii="Century Gothic" w:hAnsi="Century Gothic"/>
          <w:sz w:val="24"/>
          <w:szCs w:val="24"/>
        </w:rPr>
        <w:footnoteReference w:id="7"/>
      </w:r>
      <w:r w:rsidR="0086109D" w:rsidRPr="0099226F">
        <w:rPr>
          <w:rFonts w:ascii="Century Gothic" w:hAnsi="Century Gothic"/>
          <w:sz w:val="24"/>
          <w:szCs w:val="24"/>
        </w:rPr>
        <w:t xml:space="preserve">, </w:t>
      </w:r>
      <w:r w:rsidR="00AD608F" w:rsidRPr="0099226F">
        <w:rPr>
          <w:rFonts w:ascii="Century Gothic" w:hAnsi="Century Gothic"/>
          <w:sz w:val="24"/>
          <w:szCs w:val="24"/>
        </w:rPr>
        <w:t xml:space="preserve">conforme al cual </w:t>
      </w:r>
      <w:r w:rsidR="00AD608F" w:rsidRPr="0099226F">
        <w:rPr>
          <w:rFonts w:ascii="Century Gothic" w:eastAsia="Times New Roman" w:hAnsi="Century Gothic" w:cs="Arial"/>
          <w:sz w:val="24"/>
          <w:szCs w:val="24"/>
          <w:lang w:val="es-ES_tradnl" w:eastAsia="es-ES"/>
        </w:rPr>
        <w:t>el alcance</w:t>
      </w:r>
      <w:r w:rsidR="00884DBD" w:rsidRPr="0099226F">
        <w:rPr>
          <w:rFonts w:ascii="Century Gothic" w:eastAsia="Times New Roman" w:hAnsi="Century Gothic" w:cs="Arial"/>
          <w:sz w:val="24"/>
          <w:szCs w:val="24"/>
          <w:lang w:val="es-ES_tradnl" w:eastAsia="es-ES"/>
        </w:rPr>
        <w:t xml:space="preserve"> </w:t>
      </w:r>
      <w:r w:rsidR="00AD608F" w:rsidRPr="0099226F">
        <w:rPr>
          <w:rFonts w:ascii="Century Gothic" w:eastAsia="Times New Roman" w:hAnsi="Century Gothic" w:cs="Arial"/>
          <w:sz w:val="24"/>
          <w:szCs w:val="24"/>
          <w:lang w:val="es-ES_tradnl" w:eastAsia="es-ES"/>
        </w:rPr>
        <w:lastRenderedPageBreak/>
        <w:t>del artículo 36 de la Ley 100 de 1993 fijado en la sentencia C-258 de 2013, ha de ser aplicado sobre todos los asuntos pensionales regidos por esa norma y no exclusivamente respecto de quienes son beneficiarios del artículo 17 de la Ley 4</w:t>
      </w:r>
      <w:r w:rsidR="00602279">
        <w:rPr>
          <w:rFonts w:ascii="Century Gothic" w:eastAsia="Times New Roman" w:hAnsi="Century Gothic" w:cs="Arial"/>
          <w:sz w:val="24"/>
          <w:szCs w:val="24"/>
          <w:lang w:val="es-ES_tradnl" w:eastAsia="es-ES"/>
        </w:rPr>
        <w:t xml:space="preserve">ª </w:t>
      </w:r>
      <w:r w:rsidR="00AD608F" w:rsidRPr="0099226F">
        <w:rPr>
          <w:rFonts w:ascii="Century Gothic" w:eastAsia="Times New Roman" w:hAnsi="Century Gothic" w:cs="Arial"/>
          <w:sz w:val="24"/>
          <w:szCs w:val="24"/>
          <w:lang w:val="es-ES_tradnl" w:eastAsia="es-ES"/>
        </w:rPr>
        <w:t>de 1992.</w:t>
      </w:r>
    </w:p>
    <w:p w:rsidR="00AD608F" w:rsidRPr="0099226F" w:rsidRDefault="00AD608F" w:rsidP="001468B4">
      <w:pPr>
        <w:tabs>
          <w:tab w:val="left" w:pos="7513"/>
          <w:tab w:val="right" w:pos="8838"/>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_tradnl" w:eastAsia="es-ES"/>
        </w:rPr>
      </w:pPr>
    </w:p>
    <w:p w:rsidR="00047BC9" w:rsidRPr="0099226F" w:rsidRDefault="00AD608F" w:rsidP="001468B4">
      <w:pPr>
        <w:tabs>
          <w:tab w:val="left" w:pos="7513"/>
          <w:tab w:val="right" w:pos="8838"/>
        </w:tabs>
        <w:overflowPunct w:val="0"/>
        <w:autoSpaceDE w:val="0"/>
        <w:autoSpaceDN w:val="0"/>
        <w:adjustRightInd w:val="0"/>
        <w:spacing w:after="0" w:line="360" w:lineRule="auto"/>
        <w:jc w:val="both"/>
        <w:textAlignment w:val="baseline"/>
        <w:rPr>
          <w:rFonts w:ascii="Century Gothic" w:hAnsi="Century Gothic"/>
          <w:sz w:val="24"/>
          <w:szCs w:val="24"/>
        </w:rPr>
      </w:pPr>
      <w:r w:rsidRPr="0099226F">
        <w:rPr>
          <w:rFonts w:ascii="Century Gothic" w:eastAsia="Times New Roman" w:hAnsi="Century Gothic" w:cs="Arial"/>
          <w:sz w:val="24"/>
          <w:szCs w:val="24"/>
          <w:lang w:val="es-ES_tradnl" w:eastAsia="es-ES"/>
        </w:rPr>
        <w:t xml:space="preserve">Se justifica la rectificación de </w:t>
      </w:r>
      <w:r w:rsidR="007D24CE" w:rsidRPr="0099226F">
        <w:rPr>
          <w:rFonts w:ascii="Century Gothic" w:eastAsia="Times New Roman" w:hAnsi="Century Gothic" w:cs="Arial"/>
          <w:sz w:val="24"/>
          <w:szCs w:val="24"/>
          <w:lang w:val="es-ES_tradnl" w:eastAsia="es-ES"/>
        </w:rPr>
        <w:t xml:space="preserve">criterio de </w:t>
      </w:r>
      <w:r w:rsidRPr="0099226F">
        <w:rPr>
          <w:rFonts w:ascii="Century Gothic" w:eastAsia="Times New Roman" w:hAnsi="Century Gothic" w:cs="Arial"/>
          <w:sz w:val="24"/>
          <w:szCs w:val="24"/>
          <w:lang w:val="es-ES_tradnl" w:eastAsia="es-ES"/>
        </w:rPr>
        <w:t>este Tribunal</w:t>
      </w:r>
      <w:r w:rsidR="00454549" w:rsidRPr="0099226F">
        <w:rPr>
          <w:rFonts w:ascii="Century Gothic" w:eastAsia="Times New Roman" w:hAnsi="Century Gothic" w:cs="Arial"/>
          <w:sz w:val="24"/>
          <w:szCs w:val="24"/>
          <w:lang w:val="es-ES_tradnl" w:eastAsia="es-ES"/>
        </w:rPr>
        <w:t xml:space="preserve"> Administrativo</w:t>
      </w:r>
      <w:r w:rsidR="00302AE3" w:rsidRPr="0099226F">
        <w:rPr>
          <w:rFonts w:ascii="Century Gothic" w:eastAsia="Times New Roman" w:hAnsi="Century Gothic" w:cs="Arial"/>
          <w:sz w:val="24"/>
          <w:szCs w:val="24"/>
          <w:lang w:val="es-ES_tradnl" w:eastAsia="es-ES"/>
        </w:rPr>
        <w:t>,</w:t>
      </w:r>
      <w:r w:rsidR="007D24CE" w:rsidRPr="0099226F">
        <w:rPr>
          <w:rFonts w:ascii="Century Gothic" w:eastAsia="Times New Roman" w:hAnsi="Century Gothic" w:cs="Arial"/>
          <w:sz w:val="24"/>
          <w:szCs w:val="24"/>
          <w:lang w:val="es-ES_tradnl" w:eastAsia="es-ES"/>
        </w:rPr>
        <w:t xml:space="preserve"> </w:t>
      </w:r>
      <w:r w:rsidRPr="0099226F">
        <w:rPr>
          <w:rFonts w:ascii="Century Gothic" w:eastAsia="Times New Roman" w:hAnsi="Century Gothic" w:cs="Arial"/>
          <w:sz w:val="24"/>
          <w:szCs w:val="24"/>
          <w:lang w:val="es-ES_tradnl" w:eastAsia="es-ES"/>
        </w:rPr>
        <w:t xml:space="preserve">en que </w:t>
      </w:r>
      <w:r w:rsidR="0086109D" w:rsidRPr="0099226F">
        <w:rPr>
          <w:rFonts w:ascii="Century Gothic" w:hAnsi="Century Gothic"/>
          <w:sz w:val="24"/>
          <w:szCs w:val="24"/>
        </w:rPr>
        <w:t>tal como l</w:t>
      </w:r>
      <w:r w:rsidRPr="0099226F">
        <w:rPr>
          <w:rFonts w:ascii="Century Gothic" w:hAnsi="Century Gothic"/>
          <w:sz w:val="24"/>
          <w:szCs w:val="24"/>
        </w:rPr>
        <w:t>a</w:t>
      </w:r>
      <w:r w:rsidR="0086109D" w:rsidRPr="0099226F">
        <w:rPr>
          <w:rFonts w:ascii="Century Gothic" w:hAnsi="Century Gothic"/>
          <w:sz w:val="24"/>
          <w:szCs w:val="24"/>
        </w:rPr>
        <w:t xml:space="preserve"> mism</w:t>
      </w:r>
      <w:r w:rsidRPr="0099226F">
        <w:rPr>
          <w:rFonts w:ascii="Century Gothic" w:hAnsi="Century Gothic"/>
          <w:sz w:val="24"/>
          <w:szCs w:val="24"/>
        </w:rPr>
        <w:t xml:space="preserve">a </w:t>
      </w:r>
      <w:r w:rsidR="00F31A33" w:rsidRPr="0099226F">
        <w:rPr>
          <w:rFonts w:ascii="Century Gothic" w:hAnsi="Century Gothic"/>
          <w:sz w:val="24"/>
          <w:szCs w:val="24"/>
        </w:rPr>
        <w:t>Sentencia</w:t>
      </w:r>
      <w:r w:rsidRPr="0099226F">
        <w:rPr>
          <w:rFonts w:ascii="Century Gothic" w:hAnsi="Century Gothic"/>
          <w:sz w:val="24"/>
          <w:szCs w:val="24"/>
        </w:rPr>
        <w:t xml:space="preserve"> SU 230/15 destaca,</w:t>
      </w:r>
      <w:r w:rsidR="00F31A33" w:rsidRPr="0099226F">
        <w:rPr>
          <w:rFonts w:ascii="Century Gothic" w:hAnsi="Century Gothic"/>
          <w:sz w:val="24"/>
          <w:szCs w:val="24"/>
        </w:rPr>
        <w:t xml:space="preserve"> la tesis conforme a la cual </w:t>
      </w:r>
      <w:r w:rsidR="007D24CE" w:rsidRPr="0099226F">
        <w:rPr>
          <w:rFonts w:ascii="Century Gothic" w:hAnsi="Century Gothic"/>
          <w:sz w:val="24"/>
          <w:szCs w:val="24"/>
        </w:rPr>
        <w:t>e</w:t>
      </w:r>
      <w:r w:rsidR="002C431F" w:rsidRPr="0099226F">
        <w:rPr>
          <w:rFonts w:ascii="Century Gothic" w:hAnsi="Century Gothic"/>
          <w:iCs/>
          <w:sz w:val="24"/>
          <w:szCs w:val="24"/>
          <w:lang w:val="es-CO"/>
        </w:rPr>
        <w:t>l Ingreso Base de Liquidación no fue un aspecto sometido a transición, como se desprende del texto del artículo 36 de la Ley 100 de 1993</w:t>
      </w:r>
      <w:r w:rsidR="00454549" w:rsidRPr="0099226F">
        <w:rPr>
          <w:rFonts w:ascii="Century Gothic" w:hAnsi="Century Gothic"/>
          <w:iCs/>
          <w:sz w:val="24"/>
          <w:szCs w:val="24"/>
          <w:lang w:val="es-CO"/>
        </w:rPr>
        <w:t>,</w:t>
      </w:r>
      <w:r w:rsidR="00F31A33" w:rsidRPr="0099226F">
        <w:rPr>
          <w:rFonts w:ascii="Century Gothic" w:hAnsi="Century Gothic"/>
          <w:sz w:val="24"/>
          <w:szCs w:val="24"/>
        </w:rPr>
        <w:t xml:space="preserve"> es</w:t>
      </w:r>
      <w:r w:rsidR="0086109D" w:rsidRPr="0099226F">
        <w:rPr>
          <w:rFonts w:ascii="Century Gothic" w:hAnsi="Century Gothic"/>
          <w:sz w:val="24"/>
          <w:szCs w:val="24"/>
        </w:rPr>
        <w:t xml:space="preserve"> </w:t>
      </w:r>
      <w:r w:rsidR="0086109D" w:rsidRPr="0099226F">
        <w:rPr>
          <w:rFonts w:ascii="Century Gothic" w:hAnsi="Century Gothic"/>
          <w:b/>
          <w:sz w:val="24"/>
          <w:szCs w:val="24"/>
        </w:rPr>
        <w:t>“la última interpretación constitucionalmente aceptada”</w:t>
      </w:r>
      <w:r w:rsidRPr="0099226F">
        <w:rPr>
          <w:rFonts w:ascii="Century Gothic" w:hAnsi="Century Gothic"/>
          <w:sz w:val="24"/>
          <w:szCs w:val="24"/>
        </w:rPr>
        <w:t xml:space="preserve">, </w:t>
      </w:r>
      <w:r w:rsidR="00F31A33" w:rsidRPr="0099226F">
        <w:rPr>
          <w:rFonts w:ascii="Century Gothic" w:hAnsi="Century Gothic"/>
          <w:sz w:val="24"/>
          <w:szCs w:val="24"/>
        </w:rPr>
        <w:t xml:space="preserve">interpretación que a todas luces resulta </w:t>
      </w:r>
      <w:r w:rsidRPr="0099226F">
        <w:rPr>
          <w:rFonts w:ascii="Century Gothic" w:hAnsi="Century Gothic"/>
          <w:sz w:val="24"/>
          <w:szCs w:val="24"/>
        </w:rPr>
        <w:t xml:space="preserve">vinculante para el presente caso, en </w:t>
      </w:r>
      <w:r w:rsidR="00454549" w:rsidRPr="0099226F">
        <w:rPr>
          <w:rFonts w:ascii="Century Gothic" w:hAnsi="Century Gothic"/>
          <w:sz w:val="24"/>
          <w:szCs w:val="24"/>
        </w:rPr>
        <w:t>e</w:t>
      </w:r>
      <w:r w:rsidRPr="0099226F">
        <w:rPr>
          <w:rFonts w:ascii="Century Gothic" w:hAnsi="Century Gothic"/>
          <w:sz w:val="24"/>
          <w:szCs w:val="24"/>
        </w:rPr>
        <w:t xml:space="preserve">l que </w:t>
      </w:r>
      <w:r w:rsidR="009208D4" w:rsidRPr="0099226F">
        <w:rPr>
          <w:rFonts w:ascii="Century Gothic" w:hAnsi="Century Gothic"/>
          <w:sz w:val="24"/>
          <w:szCs w:val="24"/>
        </w:rPr>
        <w:t>se debate un asunto que gu</w:t>
      </w:r>
      <w:r w:rsidRPr="0099226F">
        <w:rPr>
          <w:rFonts w:ascii="Century Gothic" w:hAnsi="Century Gothic"/>
          <w:sz w:val="24"/>
          <w:szCs w:val="24"/>
        </w:rPr>
        <w:t>a</w:t>
      </w:r>
      <w:r w:rsidR="009208D4" w:rsidRPr="0099226F">
        <w:rPr>
          <w:rFonts w:ascii="Century Gothic" w:hAnsi="Century Gothic"/>
          <w:sz w:val="24"/>
          <w:szCs w:val="24"/>
        </w:rPr>
        <w:t xml:space="preserve">rda similitud sustancial con </w:t>
      </w:r>
      <w:r w:rsidRPr="0099226F">
        <w:rPr>
          <w:rFonts w:ascii="Century Gothic" w:hAnsi="Century Gothic"/>
          <w:sz w:val="24"/>
          <w:szCs w:val="24"/>
        </w:rPr>
        <w:t>e</w:t>
      </w:r>
      <w:r w:rsidR="009208D4" w:rsidRPr="0099226F">
        <w:rPr>
          <w:rFonts w:ascii="Century Gothic" w:hAnsi="Century Gothic"/>
          <w:sz w:val="24"/>
          <w:szCs w:val="24"/>
        </w:rPr>
        <w:t>l</w:t>
      </w:r>
      <w:r w:rsidRPr="0099226F">
        <w:rPr>
          <w:rFonts w:ascii="Century Gothic" w:hAnsi="Century Gothic"/>
          <w:sz w:val="24"/>
          <w:szCs w:val="24"/>
        </w:rPr>
        <w:t xml:space="preserve"> que motivara la emisión de la </w:t>
      </w:r>
      <w:r w:rsidR="00454549" w:rsidRPr="0099226F">
        <w:rPr>
          <w:rFonts w:ascii="Century Gothic" w:hAnsi="Century Gothic"/>
          <w:sz w:val="24"/>
          <w:szCs w:val="24"/>
        </w:rPr>
        <w:t>s</w:t>
      </w:r>
      <w:r w:rsidR="009208D4" w:rsidRPr="0099226F">
        <w:rPr>
          <w:rFonts w:ascii="Century Gothic" w:hAnsi="Century Gothic"/>
          <w:sz w:val="24"/>
          <w:szCs w:val="24"/>
        </w:rPr>
        <w:t>entencia SU 230 de 2015</w:t>
      </w:r>
      <w:r w:rsidR="0032619C" w:rsidRPr="0099226F">
        <w:rPr>
          <w:rStyle w:val="Refdenotaalpie"/>
          <w:rFonts w:ascii="Century Gothic" w:hAnsi="Century Gothic"/>
          <w:sz w:val="24"/>
          <w:szCs w:val="24"/>
        </w:rPr>
        <w:footnoteReference w:id="8"/>
      </w:r>
      <w:r w:rsidRPr="0099226F">
        <w:rPr>
          <w:rFonts w:ascii="Century Gothic" w:hAnsi="Century Gothic"/>
          <w:sz w:val="24"/>
          <w:szCs w:val="24"/>
        </w:rPr>
        <w:t xml:space="preserve">. </w:t>
      </w:r>
    </w:p>
    <w:p w:rsidR="00047BC9" w:rsidRPr="0099226F" w:rsidRDefault="00047BC9" w:rsidP="001468B4">
      <w:pPr>
        <w:tabs>
          <w:tab w:val="left" w:pos="7513"/>
          <w:tab w:val="right" w:pos="8838"/>
        </w:tabs>
        <w:overflowPunct w:val="0"/>
        <w:autoSpaceDE w:val="0"/>
        <w:autoSpaceDN w:val="0"/>
        <w:adjustRightInd w:val="0"/>
        <w:spacing w:after="0" w:line="360" w:lineRule="auto"/>
        <w:jc w:val="both"/>
        <w:textAlignment w:val="baseline"/>
        <w:rPr>
          <w:rFonts w:ascii="Century Gothic" w:hAnsi="Century Gothic"/>
          <w:sz w:val="24"/>
          <w:szCs w:val="24"/>
        </w:rPr>
      </w:pPr>
    </w:p>
    <w:p w:rsidR="007C465A" w:rsidRPr="0099226F" w:rsidRDefault="00AD608F" w:rsidP="001468B4">
      <w:pPr>
        <w:tabs>
          <w:tab w:val="left" w:pos="7513"/>
          <w:tab w:val="right" w:pos="8838"/>
        </w:tabs>
        <w:overflowPunct w:val="0"/>
        <w:autoSpaceDE w:val="0"/>
        <w:autoSpaceDN w:val="0"/>
        <w:adjustRightInd w:val="0"/>
        <w:spacing w:after="0" w:line="360" w:lineRule="auto"/>
        <w:jc w:val="both"/>
        <w:textAlignment w:val="baseline"/>
        <w:rPr>
          <w:rFonts w:ascii="Century Gothic" w:hAnsi="Century Gothic"/>
          <w:sz w:val="24"/>
          <w:szCs w:val="24"/>
        </w:rPr>
      </w:pPr>
      <w:r w:rsidRPr="0099226F">
        <w:rPr>
          <w:rFonts w:ascii="Century Gothic" w:hAnsi="Century Gothic"/>
          <w:sz w:val="24"/>
          <w:szCs w:val="24"/>
        </w:rPr>
        <w:t xml:space="preserve">En ese sentido, </w:t>
      </w:r>
      <w:r w:rsidR="00047BC9" w:rsidRPr="0099226F">
        <w:rPr>
          <w:rFonts w:ascii="Century Gothic" w:hAnsi="Century Gothic"/>
          <w:sz w:val="24"/>
          <w:szCs w:val="24"/>
        </w:rPr>
        <w:t xml:space="preserve">se valora que la presente lis, gira centralmente en torno al derecho a la seguridad social en su componente pensional, </w:t>
      </w:r>
      <w:r w:rsidR="00F31A33" w:rsidRPr="0099226F">
        <w:rPr>
          <w:rFonts w:ascii="Century Gothic" w:hAnsi="Century Gothic"/>
          <w:sz w:val="24"/>
          <w:szCs w:val="24"/>
        </w:rPr>
        <w:t xml:space="preserve">derecho fundamental </w:t>
      </w:r>
      <w:r w:rsidR="00047BC9" w:rsidRPr="0099226F">
        <w:rPr>
          <w:rFonts w:ascii="Century Gothic" w:hAnsi="Century Gothic"/>
          <w:sz w:val="24"/>
          <w:szCs w:val="24"/>
        </w:rPr>
        <w:t xml:space="preserve">que es al que, al puntualizar el entendimiento que ha de darse </w:t>
      </w:r>
      <w:r w:rsidR="00047BC9" w:rsidRPr="0099226F">
        <w:rPr>
          <w:rFonts w:ascii="Century Gothic" w:hAnsi="Century Gothic"/>
          <w:sz w:val="24"/>
          <w:szCs w:val="24"/>
        </w:rPr>
        <w:lastRenderedPageBreak/>
        <w:t xml:space="preserve">al </w:t>
      </w:r>
      <w:r w:rsidR="001B474F">
        <w:rPr>
          <w:rFonts w:ascii="Century Gothic" w:hAnsi="Century Gothic"/>
          <w:sz w:val="24"/>
          <w:szCs w:val="24"/>
        </w:rPr>
        <w:t xml:space="preserve">concepto </w:t>
      </w:r>
      <w:r w:rsidR="00047BC9" w:rsidRPr="0099226F">
        <w:rPr>
          <w:rFonts w:ascii="Century Gothic" w:hAnsi="Century Gothic"/>
          <w:sz w:val="24"/>
          <w:szCs w:val="24"/>
        </w:rPr>
        <w:t>IBL, se está fijando alcance interpretativo</w:t>
      </w:r>
      <w:r w:rsidRPr="0099226F">
        <w:rPr>
          <w:rFonts w:ascii="Century Gothic" w:hAnsi="Century Gothic"/>
          <w:sz w:val="24"/>
          <w:szCs w:val="24"/>
        </w:rPr>
        <w:t xml:space="preserve">, </w:t>
      </w:r>
      <w:r w:rsidR="009208D4" w:rsidRPr="0099226F">
        <w:rPr>
          <w:rFonts w:ascii="Century Gothic" w:hAnsi="Century Gothic"/>
          <w:sz w:val="24"/>
          <w:szCs w:val="24"/>
        </w:rPr>
        <w:t>resulta</w:t>
      </w:r>
      <w:r w:rsidRPr="0099226F">
        <w:rPr>
          <w:rFonts w:ascii="Century Gothic" w:hAnsi="Century Gothic"/>
          <w:sz w:val="24"/>
          <w:szCs w:val="24"/>
        </w:rPr>
        <w:t xml:space="preserve">ndo por tanto </w:t>
      </w:r>
      <w:r w:rsidR="00047BC9" w:rsidRPr="0099226F">
        <w:rPr>
          <w:rFonts w:ascii="Century Gothic" w:hAnsi="Century Gothic"/>
          <w:sz w:val="24"/>
          <w:szCs w:val="24"/>
        </w:rPr>
        <w:t xml:space="preserve">de </w:t>
      </w:r>
      <w:r w:rsidR="00F31A33" w:rsidRPr="0099226F">
        <w:rPr>
          <w:rFonts w:ascii="Century Gothic" w:hAnsi="Century Gothic"/>
          <w:sz w:val="24"/>
          <w:szCs w:val="24"/>
        </w:rPr>
        <w:t>forzosa</w:t>
      </w:r>
      <w:r w:rsidR="00047BC9" w:rsidRPr="0099226F">
        <w:rPr>
          <w:rFonts w:ascii="Century Gothic" w:hAnsi="Century Gothic"/>
          <w:sz w:val="24"/>
          <w:szCs w:val="24"/>
        </w:rPr>
        <w:t xml:space="preserve"> acogida</w:t>
      </w:r>
      <w:r w:rsidRPr="0099226F">
        <w:rPr>
          <w:rFonts w:ascii="Century Gothic" w:hAnsi="Century Gothic"/>
          <w:sz w:val="24"/>
          <w:szCs w:val="24"/>
        </w:rPr>
        <w:t xml:space="preserve"> dicha doctrina</w:t>
      </w:r>
      <w:r w:rsidR="00047BC9" w:rsidRPr="0099226F">
        <w:rPr>
          <w:rFonts w:ascii="Century Gothic" w:hAnsi="Century Gothic"/>
          <w:sz w:val="24"/>
          <w:szCs w:val="24"/>
        </w:rPr>
        <w:t>, consignada en providencia de unificación del Tribunal Constitucional.</w:t>
      </w:r>
    </w:p>
    <w:p w:rsidR="002C431F" w:rsidRPr="0099226F" w:rsidRDefault="002C431F" w:rsidP="001468B4">
      <w:pPr>
        <w:tabs>
          <w:tab w:val="left" w:pos="7513"/>
          <w:tab w:val="right" w:pos="8838"/>
        </w:tabs>
        <w:overflowPunct w:val="0"/>
        <w:autoSpaceDE w:val="0"/>
        <w:autoSpaceDN w:val="0"/>
        <w:adjustRightInd w:val="0"/>
        <w:spacing w:after="0" w:line="360" w:lineRule="auto"/>
        <w:jc w:val="both"/>
        <w:textAlignment w:val="baseline"/>
        <w:rPr>
          <w:rFonts w:ascii="Century Gothic" w:hAnsi="Century Gothic"/>
          <w:sz w:val="24"/>
          <w:szCs w:val="24"/>
        </w:rPr>
      </w:pPr>
    </w:p>
    <w:p w:rsidR="00E5504E" w:rsidRPr="0099226F" w:rsidRDefault="00464460" w:rsidP="001468B4">
      <w:pPr>
        <w:tabs>
          <w:tab w:val="left" w:pos="7513"/>
          <w:tab w:val="right" w:pos="8838"/>
        </w:tabs>
        <w:overflowPunct w:val="0"/>
        <w:autoSpaceDE w:val="0"/>
        <w:autoSpaceDN w:val="0"/>
        <w:adjustRightInd w:val="0"/>
        <w:spacing w:after="0" w:line="360" w:lineRule="auto"/>
        <w:jc w:val="both"/>
        <w:textAlignment w:val="baseline"/>
        <w:rPr>
          <w:rFonts w:ascii="Century Gothic" w:hAnsi="Century Gothic"/>
          <w:sz w:val="24"/>
          <w:szCs w:val="24"/>
        </w:rPr>
      </w:pPr>
      <w:r w:rsidRPr="0099226F">
        <w:rPr>
          <w:rFonts w:ascii="Century Gothic" w:hAnsi="Century Gothic"/>
          <w:sz w:val="24"/>
          <w:szCs w:val="24"/>
        </w:rPr>
        <w:t>Bajo ese hilo conductor</w:t>
      </w:r>
      <w:r w:rsidR="00E5504E" w:rsidRPr="0099226F">
        <w:rPr>
          <w:rFonts w:ascii="Century Gothic" w:hAnsi="Century Gothic"/>
          <w:sz w:val="24"/>
          <w:szCs w:val="24"/>
        </w:rPr>
        <w:t>, aunque la</w:t>
      </w:r>
      <w:r w:rsidR="00F66C01" w:rsidRPr="0099226F">
        <w:rPr>
          <w:rFonts w:ascii="Century Gothic" w:hAnsi="Century Gothic"/>
          <w:sz w:val="24"/>
          <w:szCs w:val="24"/>
        </w:rPr>
        <w:t xml:space="preserve"> demanda </w:t>
      </w:r>
      <w:r w:rsidR="00314ECD">
        <w:rPr>
          <w:rFonts w:ascii="Century Gothic" w:hAnsi="Century Gothic"/>
          <w:sz w:val="24"/>
          <w:szCs w:val="24"/>
        </w:rPr>
        <w:t>cuya alzada se estudia</w:t>
      </w:r>
      <w:r w:rsidR="00F66C01" w:rsidRPr="0099226F">
        <w:rPr>
          <w:rFonts w:ascii="Century Gothic" w:hAnsi="Century Gothic"/>
          <w:sz w:val="24"/>
          <w:szCs w:val="24"/>
        </w:rPr>
        <w:t xml:space="preserve"> haya sido presentada con anterioridad a</w:t>
      </w:r>
      <w:r w:rsidR="002F40EA" w:rsidRPr="0099226F">
        <w:rPr>
          <w:rFonts w:ascii="Century Gothic" w:hAnsi="Century Gothic"/>
          <w:sz w:val="24"/>
          <w:szCs w:val="24"/>
        </w:rPr>
        <w:t>l 29 de abril de 2015, fecha de</w:t>
      </w:r>
      <w:r w:rsidR="00F66C01" w:rsidRPr="0099226F">
        <w:rPr>
          <w:rFonts w:ascii="Century Gothic" w:hAnsi="Century Gothic"/>
          <w:sz w:val="24"/>
          <w:szCs w:val="24"/>
        </w:rPr>
        <w:t xml:space="preserve"> emisi</w:t>
      </w:r>
      <w:r w:rsidR="00E5504E" w:rsidRPr="0099226F">
        <w:rPr>
          <w:rFonts w:ascii="Century Gothic" w:hAnsi="Century Gothic"/>
          <w:sz w:val="24"/>
          <w:szCs w:val="24"/>
        </w:rPr>
        <w:t xml:space="preserve">ón de </w:t>
      </w:r>
      <w:r w:rsidR="002F40EA" w:rsidRPr="0099226F">
        <w:rPr>
          <w:rFonts w:ascii="Century Gothic" w:hAnsi="Century Gothic"/>
          <w:sz w:val="24"/>
          <w:szCs w:val="24"/>
        </w:rPr>
        <w:t>l</w:t>
      </w:r>
      <w:r w:rsidR="00E5504E" w:rsidRPr="0099226F">
        <w:rPr>
          <w:rFonts w:ascii="Century Gothic" w:hAnsi="Century Gothic"/>
          <w:sz w:val="24"/>
          <w:szCs w:val="24"/>
        </w:rPr>
        <w:t>a</w:t>
      </w:r>
      <w:r w:rsidR="00F66C01" w:rsidRPr="0099226F">
        <w:rPr>
          <w:rFonts w:ascii="Century Gothic" w:hAnsi="Century Gothic"/>
          <w:sz w:val="24"/>
          <w:szCs w:val="24"/>
        </w:rPr>
        <w:t xml:space="preserve"> sentencia</w:t>
      </w:r>
      <w:r w:rsidRPr="0099226F">
        <w:rPr>
          <w:rFonts w:ascii="Century Gothic" w:hAnsi="Century Gothic"/>
          <w:sz w:val="24"/>
          <w:szCs w:val="24"/>
        </w:rPr>
        <w:t xml:space="preserve"> SU 230/15</w:t>
      </w:r>
      <w:r w:rsidR="00F66C01" w:rsidRPr="0099226F">
        <w:rPr>
          <w:rFonts w:ascii="Century Gothic" w:hAnsi="Century Gothic"/>
          <w:sz w:val="24"/>
          <w:szCs w:val="24"/>
        </w:rPr>
        <w:t>,</w:t>
      </w:r>
      <w:r w:rsidRPr="0099226F">
        <w:rPr>
          <w:rFonts w:ascii="Century Gothic" w:hAnsi="Century Gothic"/>
          <w:sz w:val="24"/>
          <w:szCs w:val="24"/>
        </w:rPr>
        <w:t xml:space="preserve"> debe </w:t>
      </w:r>
      <w:r w:rsidR="002F40EA" w:rsidRPr="0099226F">
        <w:rPr>
          <w:rFonts w:ascii="Century Gothic" w:hAnsi="Century Gothic"/>
          <w:sz w:val="24"/>
          <w:szCs w:val="24"/>
        </w:rPr>
        <w:t xml:space="preserve">resolverse </w:t>
      </w:r>
      <w:r w:rsidR="00314ECD">
        <w:rPr>
          <w:rFonts w:ascii="Century Gothic" w:hAnsi="Century Gothic"/>
          <w:sz w:val="24"/>
          <w:szCs w:val="24"/>
        </w:rPr>
        <w:t xml:space="preserve">en segunda instancia </w:t>
      </w:r>
      <w:r w:rsidRPr="0099226F">
        <w:rPr>
          <w:rFonts w:ascii="Century Gothic" w:hAnsi="Century Gothic"/>
          <w:sz w:val="24"/>
          <w:szCs w:val="24"/>
        </w:rPr>
        <w:t>aplic</w:t>
      </w:r>
      <w:r w:rsidR="002F40EA" w:rsidRPr="0099226F">
        <w:rPr>
          <w:rFonts w:ascii="Century Gothic" w:hAnsi="Century Gothic"/>
          <w:sz w:val="24"/>
          <w:szCs w:val="24"/>
        </w:rPr>
        <w:t xml:space="preserve">ando </w:t>
      </w:r>
      <w:r w:rsidRPr="0099226F">
        <w:rPr>
          <w:rFonts w:ascii="Century Gothic" w:hAnsi="Century Gothic"/>
          <w:sz w:val="24"/>
          <w:szCs w:val="24"/>
        </w:rPr>
        <w:t xml:space="preserve">la </w:t>
      </w:r>
      <w:r w:rsidR="00314ECD">
        <w:rPr>
          <w:rFonts w:ascii="Century Gothic" w:hAnsi="Century Gothic"/>
          <w:sz w:val="24"/>
          <w:szCs w:val="24"/>
        </w:rPr>
        <w:t>exégesis</w:t>
      </w:r>
      <w:r w:rsidR="002F40EA" w:rsidRPr="0099226F">
        <w:rPr>
          <w:rFonts w:ascii="Century Gothic" w:hAnsi="Century Gothic"/>
          <w:sz w:val="24"/>
          <w:szCs w:val="24"/>
        </w:rPr>
        <w:t xml:space="preserve"> </w:t>
      </w:r>
      <w:r w:rsidR="00314ECD">
        <w:rPr>
          <w:rFonts w:ascii="Century Gothic" w:hAnsi="Century Gothic"/>
          <w:sz w:val="24"/>
          <w:szCs w:val="24"/>
        </w:rPr>
        <w:t xml:space="preserve">normativa </w:t>
      </w:r>
      <w:r w:rsidRPr="0099226F">
        <w:rPr>
          <w:rFonts w:ascii="Century Gothic" w:hAnsi="Century Gothic"/>
          <w:sz w:val="24"/>
          <w:szCs w:val="24"/>
        </w:rPr>
        <w:t>contenida</w:t>
      </w:r>
      <w:r w:rsidR="00314ECD">
        <w:rPr>
          <w:rFonts w:ascii="Century Gothic" w:hAnsi="Century Gothic"/>
          <w:sz w:val="24"/>
          <w:szCs w:val="24"/>
        </w:rPr>
        <w:t xml:space="preserve"> en dicho proveído de unificación</w:t>
      </w:r>
      <w:r w:rsidRPr="0099226F">
        <w:rPr>
          <w:rFonts w:ascii="Century Gothic" w:hAnsi="Century Gothic"/>
          <w:sz w:val="24"/>
          <w:szCs w:val="24"/>
        </w:rPr>
        <w:t>, pues</w:t>
      </w:r>
      <w:r w:rsidR="00F66C01" w:rsidRPr="0099226F">
        <w:rPr>
          <w:rFonts w:ascii="Century Gothic" w:hAnsi="Century Gothic"/>
          <w:sz w:val="24"/>
          <w:szCs w:val="24"/>
        </w:rPr>
        <w:t xml:space="preserve"> a</w:t>
      </w:r>
      <w:r w:rsidRPr="0099226F">
        <w:rPr>
          <w:rFonts w:ascii="Century Gothic" w:hAnsi="Century Gothic"/>
          <w:sz w:val="24"/>
          <w:szCs w:val="24"/>
        </w:rPr>
        <w:t xml:space="preserve">l momento de la definición de esta </w:t>
      </w:r>
      <w:r w:rsidR="00F66C01" w:rsidRPr="0099226F">
        <w:rPr>
          <w:rFonts w:ascii="Century Gothic" w:hAnsi="Century Gothic"/>
          <w:sz w:val="24"/>
          <w:szCs w:val="24"/>
        </w:rPr>
        <w:t>instancia</w:t>
      </w:r>
      <w:r w:rsidR="00E5504E" w:rsidRPr="0099226F">
        <w:rPr>
          <w:rFonts w:ascii="Century Gothic" w:hAnsi="Century Gothic"/>
          <w:sz w:val="24"/>
          <w:szCs w:val="24"/>
        </w:rPr>
        <w:t xml:space="preserve">, </w:t>
      </w:r>
      <w:r w:rsidR="002F40EA" w:rsidRPr="0099226F">
        <w:rPr>
          <w:rFonts w:ascii="Century Gothic" w:hAnsi="Century Gothic"/>
          <w:sz w:val="24"/>
          <w:szCs w:val="24"/>
        </w:rPr>
        <w:t xml:space="preserve">es </w:t>
      </w:r>
      <w:r w:rsidR="00E5504E" w:rsidRPr="0099226F">
        <w:rPr>
          <w:rFonts w:ascii="Century Gothic" w:hAnsi="Century Gothic"/>
          <w:sz w:val="24"/>
          <w:szCs w:val="24"/>
        </w:rPr>
        <w:t xml:space="preserve">esa </w:t>
      </w:r>
      <w:r w:rsidR="002F40EA" w:rsidRPr="0099226F">
        <w:rPr>
          <w:rFonts w:ascii="Century Gothic" w:hAnsi="Century Gothic"/>
          <w:sz w:val="24"/>
          <w:szCs w:val="24"/>
        </w:rPr>
        <w:t xml:space="preserve">la </w:t>
      </w:r>
      <w:r w:rsidR="00E5504E" w:rsidRPr="0099226F">
        <w:rPr>
          <w:rFonts w:ascii="Century Gothic" w:hAnsi="Century Gothic"/>
          <w:sz w:val="24"/>
          <w:szCs w:val="24"/>
        </w:rPr>
        <w:t xml:space="preserve">interpretación vigente y a la que debe sujetarse este Tribunal.  </w:t>
      </w:r>
    </w:p>
    <w:p w:rsidR="008A452D" w:rsidRPr="0099226F" w:rsidRDefault="008A452D" w:rsidP="001468B4">
      <w:pPr>
        <w:tabs>
          <w:tab w:val="left" w:pos="7513"/>
          <w:tab w:val="right" w:pos="8838"/>
        </w:tabs>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_tradnl" w:eastAsia="es-ES"/>
        </w:rPr>
      </w:pPr>
    </w:p>
    <w:p w:rsidR="0074516D" w:rsidRPr="0099226F" w:rsidRDefault="0074516D" w:rsidP="001468B4">
      <w:pPr>
        <w:numPr>
          <w:ilvl w:val="0"/>
          <w:numId w:val="11"/>
        </w:numPr>
        <w:spacing w:after="0" w:line="360" w:lineRule="auto"/>
        <w:contextualSpacing/>
        <w:rPr>
          <w:rFonts w:ascii="Century Gothic" w:hAnsi="Century Gothic"/>
          <w:b/>
          <w:bCs/>
          <w:sz w:val="24"/>
          <w:szCs w:val="24"/>
        </w:rPr>
      </w:pPr>
      <w:r w:rsidRPr="0099226F">
        <w:rPr>
          <w:rFonts w:ascii="Century Gothic" w:hAnsi="Century Gothic"/>
          <w:b/>
          <w:bCs/>
          <w:sz w:val="24"/>
          <w:szCs w:val="24"/>
        </w:rPr>
        <w:t>El caso concreto.</w:t>
      </w:r>
    </w:p>
    <w:p w:rsidR="0074516D" w:rsidRPr="0099226F" w:rsidRDefault="0074516D" w:rsidP="001468B4">
      <w:pPr>
        <w:spacing w:after="0" w:line="360" w:lineRule="auto"/>
        <w:ind w:left="720"/>
        <w:contextualSpacing/>
        <w:rPr>
          <w:rFonts w:ascii="Century Gothic" w:hAnsi="Century Gothic"/>
          <w:b/>
          <w:bCs/>
          <w:sz w:val="24"/>
          <w:szCs w:val="24"/>
        </w:rPr>
      </w:pPr>
    </w:p>
    <w:p w:rsidR="0074516D" w:rsidRPr="0099226F" w:rsidRDefault="0074516D" w:rsidP="001468B4">
      <w:pPr>
        <w:numPr>
          <w:ilvl w:val="1"/>
          <w:numId w:val="11"/>
        </w:numPr>
        <w:spacing w:after="0" w:line="360" w:lineRule="auto"/>
        <w:contextualSpacing/>
        <w:rPr>
          <w:rFonts w:ascii="Century Gothic" w:hAnsi="Century Gothic"/>
          <w:b/>
          <w:bCs/>
          <w:sz w:val="24"/>
          <w:szCs w:val="24"/>
        </w:rPr>
      </w:pPr>
      <w:r w:rsidRPr="0099226F">
        <w:rPr>
          <w:rFonts w:ascii="Century Gothic" w:hAnsi="Century Gothic"/>
          <w:b/>
          <w:bCs/>
          <w:sz w:val="24"/>
          <w:szCs w:val="24"/>
        </w:rPr>
        <w:t>Hechos relevantes probados.</w:t>
      </w:r>
    </w:p>
    <w:p w:rsidR="0074516D" w:rsidRPr="0099226F" w:rsidRDefault="0074516D"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sz w:val="24"/>
          <w:szCs w:val="24"/>
        </w:rPr>
        <w:t>En el proceso quedaron acreditados los siguientes hechos relevantes para la resolución del problema jurídico:</w:t>
      </w:r>
    </w:p>
    <w:p w:rsidR="0074516D" w:rsidRPr="0099226F" w:rsidRDefault="0074516D" w:rsidP="001468B4">
      <w:pPr>
        <w:spacing w:after="0" w:line="360" w:lineRule="auto"/>
        <w:contextualSpacing/>
        <w:rPr>
          <w:rFonts w:ascii="Century Gothic" w:hAnsi="Century Gothic"/>
          <w:b/>
          <w:bCs/>
          <w:sz w:val="24"/>
          <w:szCs w:val="24"/>
        </w:rPr>
      </w:pPr>
    </w:p>
    <w:p w:rsidR="0074516D" w:rsidRPr="0099226F" w:rsidRDefault="000E7619" w:rsidP="001468B4">
      <w:pPr>
        <w:numPr>
          <w:ilvl w:val="2"/>
          <w:numId w:val="20"/>
        </w:numPr>
        <w:spacing w:after="0" w:line="360" w:lineRule="auto"/>
        <w:contextualSpacing/>
        <w:jc w:val="both"/>
        <w:rPr>
          <w:rFonts w:ascii="Century Gothic" w:hAnsi="Century Gothic"/>
          <w:sz w:val="24"/>
          <w:szCs w:val="24"/>
        </w:rPr>
      </w:pPr>
      <w:r>
        <w:rPr>
          <w:rFonts w:ascii="Century Gothic" w:hAnsi="Century Gothic"/>
          <w:sz w:val="24"/>
          <w:szCs w:val="24"/>
        </w:rPr>
        <w:t>L</w:t>
      </w:r>
      <w:r w:rsidR="0074516D" w:rsidRPr="0099226F">
        <w:rPr>
          <w:rFonts w:ascii="Century Gothic" w:hAnsi="Century Gothic"/>
          <w:sz w:val="24"/>
          <w:szCs w:val="24"/>
        </w:rPr>
        <w:t xml:space="preserve">a Señora </w:t>
      </w:r>
      <w:r w:rsidR="00DD6739" w:rsidRPr="0099226F">
        <w:rPr>
          <w:rFonts w:ascii="Century Gothic" w:hAnsi="Century Gothic"/>
          <w:sz w:val="24"/>
          <w:szCs w:val="24"/>
        </w:rPr>
        <w:t>CARMEN ELENA CASTRO CORDERO</w:t>
      </w:r>
      <w:r w:rsidR="00D21258">
        <w:rPr>
          <w:rFonts w:ascii="Century Gothic" w:hAnsi="Century Gothic"/>
          <w:sz w:val="24"/>
          <w:szCs w:val="24"/>
        </w:rPr>
        <w:t>, hoy demandante,</w:t>
      </w:r>
      <w:r w:rsidR="0074516D" w:rsidRPr="0099226F">
        <w:rPr>
          <w:rFonts w:ascii="Century Gothic" w:hAnsi="Century Gothic"/>
          <w:sz w:val="24"/>
          <w:szCs w:val="24"/>
        </w:rPr>
        <w:t xml:space="preserve"> laboró en el Hospital San Ju</w:t>
      </w:r>
      <w:r w:rsidR="00FB77E3" w:rsidRPr="0099226F">
        <w:rPr>
          <w:rFonts w:ascii="Century Gothic" w:hAnsi="Century Gothic"/>
          <w:sz w:val="24"/>
          <w:szCs w:val="24"/>
        </w:rPr>
        <w:t>an de Dios de Mompox desde el 21</w:t>
      </w:r>
      <w:r w:rsidR="0074516D" w:rsidRPr="0099226F">
        <w:rPr>
          <w:rFonts w:ascii="Century Gothic" w:hAnsi="Century Gothic"/>
          <w:sz w:val="24"/>
          <w:szCs w:val="24"/>
        </w:rPr>
        <w:t xml:space="preserve"> de </w:t>
      </w:r>
      <w:r w:rsidR="00FB77E3" w:rsidRPr="0099226F">
        <w:rPr>
          <w:rFonts w:ascii="Century Gothic" w:hAnsi="Century Gothic"/>
          <w:sz w:val="24"/>
          <w:szCs w:val="24"/>
        </w:rPr>
        <w:t xml:space="preserve">enero </w:t>
      </w:r>
      <w:r w:rsidR="0074516D" w:rsidRPr="0099226F">
        <w:rPr>
          <w:rFonts w:ascii="Century Gothic" w:hAnsi="Century Gothic"/>
          <w:sz w:val="24"/>
          <w:szCs w:val="24"/>
        </w:rPr>
        <w:t>de 1</w:t>
      </w:r>
      <w:r w:rsidR="00FB77E3" w:rsidRPr="0099226F">
        <w:rPr>
          <w:rFonts w:ascii="Century Gothic" w:hAnsi="Century Gothic"/>
          <w:sz w:val="24"/>
          <w:szCs w:val="24"/>
        </w:rPr>
        <w:t xml:space="preserve">980 hasta el 10 de enero de 1983 y desde el 11 de noviembre de 1986 hasta el 30 de </w:t>
      </w:r>
      <w:r w:rsidR="00D21258">
        <w:rPr>
          <w:rFonts w:ascii="Century Gothic" w:hAnsi="Century Gothic"/>
          <w:sz w:val="24"/>
          <w:szCs w:val="24"/>
        </w:rPr>
        <w:t xml:space="preserve">diciembre </w:t>
      </w:r>
      <w:r w:rsidR="00FB77E3" w:rsidRPr="0099226F">
        <w:rPr>
          <w:rFonts w:ascii="Century Gothic" w:hAnsi="Century Gothic"/>
          <w:sz w:val="24"/>
          <w:szCs w:val="24"/>
        </w:rPr>
        <w:t>de 2006</w:t>
      </w:r>
      <w:r w:rsidR="0074516D" w:rsidRPr="0099226F">
        <w:rPr>
          <w:rFonts w:ascii="Century Gothic" w:hAnsi="Century Gothic"/>
          <w:sz w:val="24"/>
          <w:szCs w:val="24"/>
        </w:rPr>
        <w:t xml:space="preserve"> (</w:t>
      </w:r>
      <w:r w:rsidR="00DB4551">
        <w:rPr>
          <w:rFonts w:ascii="Century Gothic" w:hAnsi="Century Gothic"/>
          <w:sz w:val="24"/>
          <w:szCs w:val="24"/>
        </w:rPr>
        <w:t>así consta</w:t>
      </w:r>
      <w:r w:rsidR="00A83852" w:rsidRPr="0099226F">
        <w:rPr>
          <w:rFonts w:ascii="Century Gothic" w:hAnsi="Century Gothic"/>
          <w:sz w:val="24"/>
          <w:szCs w:val="24"/>
        </w:rPr>
        <w:t xml:space="preserve"> en la Resolución de reconocimiento de pensión obrante a folios 8 al 12 del expediente que se repite en el expediente ma</w:t>
      </w:r>
      <w:r w:rsidR="00D21258">
        <w:rPr>
          <w:rFonts w:ascii="Century Gothic" w:hAnsi="Century Gothic"/>
          <w:sz w:val="24"/>
          <w:szCs w:val="24"/>
        </w:rPr>
        <w:t>gnético como documento 10 acto a</w:t>
      </w:r>
      <w:r w:rsidR="00A83852" w:rsidRPr="0099226F">
        <w:rPr>
          <w:rFonts w:ascii="Century Gothic" w:hAnsi="Century Gothic"/>
          <w:sz w:val="24"/>
          <w:szCs w:val="24"/>
        </w:rPr>
        <w:t xml:space="preserve">dministrativo con </w:t>
      </w:r>
      <w:r w:rsidR="00D21258">
        <w:rPr>
          <w:rFonts w:ascii="Century Gothic" w:hAnsi="Century Gothic"/>
          <w:sz w:val="24"/>
          <w:szCs w:val="24"/>
        </w:rPr>
        <w:t>n</w:t>
      </w:r>
      <w:r w:rsidR="00A83852" w:rsidRPr="0099226F">
        <w:rPr>
          <w:rFonts w:ascii="Century Gothic" w:hAnsi="Century Gothic"/>
          <w:sz w:val="24"/>
          <w:szCs w:val="24"/>
        </w:rPr>
        <w:t xml:space="preserve">otificación </w:t>
      </w:r>
      <w:r w:rsidR="00DB4551">
        <w:rPr>
          <w:rFonts w:ascii="Century Gothic" w:hAnsi="Century Gothic"/>
          <w:sz w:val="24"/>
          <w:szCs w:val="24"/>
        </w:rPr>
        <w:t xml:space="preserve">y en </w:t>
      </w:r>
      <w:r w:rsidR="00DB4551" w:rsidRPr="0099226F">
        <w:rPr>
          <w:rFonts w:ascii="Century Gothic" w:hAnsi="Century Gothic"/>
          <w:sz w:val="24"/>
          <w:szCs w:val="24"/>
        </w:rPr>
        <w:t>certificación del Hospital San Juan de Dios de Mompox, Doc. 5 certificado de factores salariales</w:t>
      </w:r>
      <w:r w:rsidR="00DB4551">
        <w:rPr>
          <w:rFonts w:ascii="Century Gothic" w:hAnsi="Century Gothic"/>
          <w:sz w:val="24"/>
          <w:szCs w:val="24"/>
        </w:rPr>
        <w:t xml:space="preserve"> y</w:t>
      </w:r>
      <w:r w:rsidR="00DB4551" w:rsidRPr="0099226F">
        <w:rPr>
          <w:rFonts w:ascii="Century Gothic" w:hAnsi="Century Gothic"/>
          <w:sz w:val="24"/>
          <w:szCs w:val="24"/>
        </w:rPr>
        <w:t xml:space="preserve"> Doc. 6</w:t>
      </w:r>
      <w:r w:rsidR="00DB4551">
        <w:rPr>
          <w:rFonts w:ascii="Century Gothic" w:hAnsi="Century Gothic"/>
          <w:sz w:val="24"/>
          <w:szCs w:val="24"/>
        </w:rPr>
        <w:t>,</w:t>
      </w:r>
      <w:r w:rsidR="00DB4551" w:rsidRPr="0099226F">
        <w:rPr>
          <w:rFonts w:ascii="Century Gothic" w:hAnsi="Century Gothic"/>
          <w:sz w:val="24"/>
          <w:szCs w:val="24"/>
        </w:rPr>
        <w:t xml:space="preserve"> contenid</w:t>
      </w:r>
      <w:r w:rsidR="00DB4551">
        <w:rPr>
          <w:rFonts w:ascii="Century Gothic" w:hAnsi="Century Gothic"/>
          <w:sz w:val="24"/>
          <w:szCs w:val="24"/>
        </w:rPr>
        <w:t>o</w:t>
      </w:r>
      <w:r w:rsidR="00DB4551" w:rsidRPr="0099226F">
        <w:rPr>
          <w:rFonts w:ascii="Century Gothic" w:hAnsi="Century Gothic"/>
          <w:sz w:val="24"/>
          <w:szCs w:val="24"/>
        </w:rPr>
        <w:t>s en el expediente magnético aportado por la UGPP a folio 88 del plenario</w:t>
      </w:r>
      <w:r w:rsidR="0074516D" w:rsidRPr="0099226F">
        <w:rPr>
          <w:rFonts w:ascii="Century Gothic" w:hAnsi="Century Gothic"/>
          <w:sz w:val="24"/>
          <w:szCs w:val="24"/>
        </w:rPr>
        <w:t>).</w:t>
      </w:r>
    </w:p>
    <w:p w:rsidR="0074516D" w:rsidRPr="0099226F" w:rsidRDefault="0074516D" w:rsidP="001468B4">
      <w:pPr>
        <w:spacing w:after="0" w:line="360" w:lineRule="auto"/>
        <w:ind w:left="360"/>
        <w:jc w:val="both"/>
        <w:rPr>
          <w:rFonts w:ascii="Century Gothic" w:hAnsi="Century Gothic"/>
          <w:sz w:val="24"/>
          <w:szCs w:val="24"/>
        </w:rPr>
      </w:pPr>
    </w:p>
    <w:p w:rsidR="0074516D" w:rsidRPr="0099226F" w:rsidRDefault="00640914" w:rsidP="001468B4">
      <w:pPr>
        <w:numPr>
          <w:ilvl w:val="2"/>
          <w:numId w:val="20"/>
        </w:numPr>
        <w:spacing w:after="0" w:line="360" w:lineRule="auto"/>
        <w:contextualSpacing/>
        <w:jc w:val="both"/>
        <w:rPr>
          <w:rFonts w:ascii="Century Gothic" w:hAnsi="Century Gothic"/>
          <w:sz w:val="24"/>
          <w:szCs w:val="24"/>
        </w:rPr>
      </w:pPr>
      <w:r>
        <w:rPr>
          <w:rFonts w:ascii="Century Gothic" w:hAnsi="Century Gothic"/>
          <w:sz w:val="24"/>
          <w:szCs w:val="24"/>
        </w:rPr>
        <w:lastRenderedPageBreak/>
        <w:t>La</w:t>
      </w:r>
      <w:r w:rsidR="0074516D" w:rsidRPr="0099226F">
        <w:rPr>
          <w:rFonts w:ascii="Century Gothic" w:hAnsi="Century Gothic"/>
          <w:sz w:val="24"/>
          <w:szCs w:val="24"/>
        </w:rPr>
        <w:t xml:space="preserve"> accionante nació el </w:t>
      </w:r>
      <w:r w:rsidR="0055200A" w:rsidRPr="0099226F">
        <w:rPr>
          <w:rFonts w:ascii="Century Gothic" w:hAnsi="Century Gothic"/>
          <w:sz w:val="24"/>
          <w:szCs w:val="24"/>
        </w:rPr>
        <w:t>10</w:t>
      </w:r>
      <w:r w:rsidR="0074516D" w:rsidRPr="0099226F">
        <w:rPr>
          <w:rFonts w:ascii="Century Gothic" w:hAnsi="Century Gothic"/>
          <w:sz w:val="24"/>
          <w:szCs w:val="24"/>
        </w:rPr>
        <w:t xml:space="preserve"> de </w:t>
      </w:r>
      <w:r w:rsidR="0055200A" w:rsidRPr="0099226F">
        <w:rPr>
          <w:rFonts w:ascii="Century Gothic" w:hAnsi="Century Gothic"/>
          <w:sz w:val="24"/>
          <w:szCs w:val="24"/>
        </w:rPr>
        <w:t xml:space="preserve">diciembre </w:t>
      </w:r>
      <w:r w:rsidR="0074516D" w:rsidRPr="0099226F">
        <w:rPr>
          <w:rFonts w:ascii="Century Gothic" w:hAnsi="Century Gothic"/>
          <w:sz w:val="24"/>
          <w:szCs w:val="24"/>
        </w:rPr>
        <w:t xml:space="preserve">de </w:t>
      </w:r>
      <w:r w:rsidR="0055200A" w:rsidRPr="0099226F">
        <w:rPr>
          <w:rFonts w:ascii="Century Gothic" w:hAnsi="Century Gothic"/>
          <w:sz w:val="24"/>
          <w:szCs w:val="24"/>
        </w:rPr>
        <w:t>1951</w:t>
      </w:r>
      <w:r w:rsidR="0074516D" w:rsidRPr="0099226F">
        <w:rPr>
          <w:rFonts w:ascii="Century Gothic" w:hAnsi="Century Gothic"/>
          <w:sz w:val="24"/>
          <w:szCs w:val="24"/>
        </w:rPr>
        <w:t xml:space="preserve">, de donde puede establecerse que alcanzó la edad de 55 años el día </w:t>
      </w:r>
      <w:r w:rsidR="0055200A" w:rsidRPr="0099226F">
        <w:rPr>
          <w:rFonts w:ascii="Century Gothic" w:hAnsi="Century Gothic"/>
          <w:sz w:val="24"/>
          <w:szCs w:val="24"/>
        </w:rPr>
        <w:t>10</w:t>
      </w:r>
      <w:r w:rsidR="0074516D" w:rsidRPr="0099226F">
        <w:rPr>
          <w:rFonts w:ascii="Century Gothic" w:hAnsi="Century Gothic"/>
          <w:sz w:val="24"/>
          <w:szCs w:val="24"/>
        </w:rPr>
        <w:t xml:space="preserve"> de </w:t>
      </w:r>
      <w:r w:rsidR="0055200A" w:rsidRPr="0099226F">
        <w:rPr>
          <w:rFonts w:ascii="Century Gothic" w:hAnsi="Century Gothic"/>
          <w:sz w:val="24"/>
          <w:szCs w:val="24"/>
        </w:rPr>
        <w:t xml:space="preserve">diciembre </w:t>
      </w:r>
      <w:r w:rsidR="0074516D" w:rsidRPr="0099226F">
        <w:rPr>
          <w:rFonts w:ascii="Century Gothic" w:hAnsi="Century Gothic"/>
          <w:sz w:val="24"/>
          <w:szCs w:val="24"/>
        </w:rPr>
        <w:t xml:space="preserve">de </w:t>
      </w:r>
      <w:r w:rsidR="0055200A" w:rsidRPr="0099226F">
        <w:rPr>
          <w:rFonts w:ascii="Century Gothic" w:hAnsi="Century Gothic"/>
          <w:sz w:val="24"/>
          <w:szCs w:val="24"/>
        </w:rPr>
        <w:t>2006</w:t>
      </w:r>
      <w:r w:rsidR="00963622">
        <w:rPr>
          <w:rFonts w:ascii="Century Gothic" w:hAnsi="Century Gothic"/>
          <w:sz w:val="24"/>
          <w:szCs w:val="24"/>
        </w:rPr>
        <w:t xml:space="preserve"> </w:t>
      </w:r>
      <w:r w:rsidR="0074516D" w:rsidRPr="0099226F">
        <w:rPr>
          <w:rFonts w:ascii="Century Gothic" w:hAnsi="Century Gothic"/>
          <w:sz w:val="24"/>
          <w:szCs w:val="24"/>
        </w:rPr>
        <w:t xml:space="preserve">(copia de la cédula de ciudadanía de </w:t>
      </w:r>
      <w:r w:rsidR="0055200A" w:rsidRPr="0099226F">
        <w:rPr>
          <w:rFonts w:ascii="Century Gothic" w:hAnsi="Century Gothic"/>
          <w:sz w:val="24"/>
          <w:szCs w:val="24"/>
        </w:rPr>
        <w:t>la actora contenida en el Doc. 3</w:t>
      </w:r>
      <w:r w:rsidR="0074516D" w:rsidRPr="0099226F">
        <w:rPr>
          <w:rFonts w:ascii="Century Gothic" w:hAnsi="Century Gothic"/>
          <w:sz w:val="24"/>
          <w:szCs w:val="24"/>
        </w:rPr>
        <w:t xml:space="preserve"> </w:t>
      </w:r>
      <w:r w:rsidR="00963622" w:rsidRPr="0099226F">
        <w:rPr>
          <w:rFonts w:ascii="Century Gothic" w:hAnsi="Century Gothic"/>
          <w:sz w:val="24"/>
          <w:szCs w:val="24"/>
        </w:rPr>
        <w:t>y registro</w:t>
      </w:r>
      <w:r w:rsidR="0055200A" w:rsidRPr="0099226F">
        <w:rPr>
          <w:rFonts w:ascii="Century Gothic" w:hAnsi="Century Gothic"/>
          <w:sz w:val="24"/>
          <w:szCs w:val="24"/>
        </w:rPr>
        <w:t xml:space="preserve"> civil de nacimiento </w:t>
      </w:r>
      <w:r w:rsidR="0074516D" w:rsidRPr="0099226F">
        <w:rPr>
          <w:rFonts w:ascii="Century Gothic" w:hAnsi="Century Gothic"/>
          <w:sz w:val="24"/>
          <w:szCs w:val="24"/>
        </w:rPr>
        <w:t>obrante a</w:t>
      </w:r>
      <w:r w:rsidR="0055200A" w:rsidRPr="0099226F">
        <w:rPr>
          <w:rFonts w:ascii="Century Gothic" w:hAnsi="Century Gothic"/>
          <w:sz w:val="24"/>
          <w:szCs w:val="24"/>
        </w:rPr>
        <w:t xml:space="preserve"> folio 4</w:t>
      </w:r>
      <w:r w:rsidR="0074516D" w:rsidRPr="0099226F">
        <w:rPr>
          <w:rFonts w:ascii="Century Gothic" w:hAnsi="Century Gothic"/>
          <w:sz w:val="24"/>
          <w:szCs w:val="24"/>
        </w:rPr>
        <w:t xml:space="preserve"> del expediente magnético folio 8</w:t>
      </w:r>
      <w:r w:rsidR="00FB77E3" w:rsidRPr="0099226F">
        <w:rPr>
          <w:rFonts w:ascii="Century Gothic" w:hAnsi="Century Gothic"/>
          <w:sz w:val="24"/>
          <w:szCs w:val="24"/>
        </w:rPr>
        <w:t>8</w:t>
      </w:r>
      <w:r w:rsidR="00963622">
        <w:rPr>
          <w:rFonts w:ascii="Century Gothic" w:hAnsi="Century Gothic"/>
          <w:sz w:val="24"/>
          <w:szCs w:val="24"/>
        </w:rPr>
        <w:t>)</w:t>
      </w:r>
      <w:r w:rsidR="0074516D" w:rsidRPr="0099226F">
        <w:rPr>
          <w:rFonts w:ascii="Century Gothic" w:hAnsi="Century Gothic"/>
          <w:sz w:val="24"/>
          <w:szCs w:val="24"/>
        </w:rPr>
        <w:t>.</w:t>
      </w:r>
    </w:p>
    <w:p w:rsidR="0074516D" w:rsidRPr="0099226F" w:rsidRDefault="0074516D" w:rsidP="001468B4">
      <w:pPr>
        <w:spacing w:after="0" w:line="360" w:lineRule="auto"/>
        <w:jc w:val="both"/>
        <w:rPr>
          <w:rFonts w:ascii="Century Gothic" w:hAnsi="Century Gothic"/>
          <w:sz w:val="24"/>
          <w:szCs w:val="24"/>
        </w:rPr>
      </w:pPr>
    </w:p>
    <w:p w:rsidR="00A83852" w:rsidRDefault="00640914" w:rsidP="0001135B">
      <w:pPr>
        <w:numPr>
          <w:ilvl w:val="2"/>
          <w:numId w:val="20"/>
        </w:numPr>
        <w:spacing w:after="0" w:line="360" w:lineRule="auto"/>
        <w:contextualSpacing/>
        <w:jc w:val="both"/>
        <w:rPr>
          <w:rFonts w:ascii="Century Gothic" w:hAnsi="Century Gothic"/>
          <w:sz w:val="24"/>
          <w:szCs w:val="24"/>
        </w:rPr>
      </w:pPr>
      <w:r w:rsidRPr="00AE5908">
        <w:rPr>
          <w:rFonts w:ascii="Century Gothic" w:hAnsi="Century Gothic"/>
          <w:sz w:val="24"/>
          <w:szCs w:val="24"/>
        </w:rPr>
        <w:t>La</w:t>
      </w:r>
      <w:r w:rsidR="0074516D" w:rsidRPr="00AE5908">
        <w:rPr>
          <w:rFonts w:ascii="Century Gothic" w:hAnsi="Century Gothic"/>
          <w:sz w:val="24"/>
          <w:szCs w:val="24"/>
        </w:rPr>
        <w:t xml:space="preserve"> CAJA NACIONAL DE PREVISION SOCIAL CAJANAL a través de Resolución No. </w:t>
      </w:r>
      <w:r w:rsidR="00A83852" w:rsidRPr="00AE5908">
        <w:rPr>
          <w:rFonts w:ascii="Century Gothic" w:hAnsi="Century Gothic"/>
          <w:sz w:val="24"/>
          <w:szCs w:val="24"/>
        </w:rPr>
        <w:t>54322 del 14</w:t>
      </w:r>
      <w:r w:rsidR="0074516D" w:rsidRPr="00AE5908">
        <w:rPr>
          <w:rFonts w:ascii="Century Gothic" w:hAnsi="Century Gothic"/>
          <w:sz w:val="24"/>
          <w:szCs w:val="24"/>
        </w:rPr>
        <w:t xml:space="preserve"> de </w:t>
      </w:r>
      <w:r w:rsidR="00A83852" w:rsidRPr="00AE5908">
        <w:rPr>
          <w:rFonts w:ascii="Century Gothic" w:hAnsi="Century Gothic"/>
          <w:sz w:val="24"/>
          <w:szCs w:val="24"/>
        </w:rPr>
        <w:t xml:space="preserve">Noviembre </w:t>
      </w:r>
      <w:r w:rsidR="0074516D" w:rsidRPr="00AE5908">
        <w:rPr>
          <w:rFonts w:ascii="Century Gothic" w:hAnsi="Century Gothic"/>
          <w:sz w:val="24"/>
          <w:szCs w:val="24"/>
        </w:rPr>
        <w:t xml:space="preserve">de </w:t>
      </w:r>
      <w:r w:rsidR="00A83852" w:rsidRPr="00AE5908">
        <w:rPr>
          <w:rFonts w:ascii="Century Gothic" w:hAnsi="Century Gothic"/>
          <w:sz w:val="24"/>
          <w:szCs w:val="24"/>
        </w:rPr>
        <w:t>2007</w:t>
      </w:r>
      <w:r w:rsidR="0074516D" w:rsidRPr="00AE5908">
        <w:rPr>
          <w:rFonts w:ascii="Century Gothic" w:hAnsi="Century Gothic"/>
          <w:sz w:val="24"/>
          <w:szCs w:val="24"/>
        </w:rPr>
        <w:t xml:space="preserve"> reconoció y ordenó el pago de pensión de vejez a la accionante</w:t>
      </w:r>
      <w:r w:rsidR="00A83852" w:rsidRPr="00AE5908">
        <w:rPr>
          <w:rFonts w:ascii="Century Gothic" w:hAnsi="Century Gothic"/>
          <w:sz w:val="24"/>
          <w:szCs w:val="24"/>
        </w:rPr>
        <w:t xml:space="preserve"> a partir del 1 de enero de 2007</w:t>
      </w:r>
      <w:r w:rsidR="0074516D" w:rsidRPr="00AE5908">
        <w:rPr>
          <w:rFonts w:ascii="Century Gothic" w:hAnsi="Century Gothic"/>
          <w:sz w:val="24"/>
          <w:szCs w:val="24"/>
        </w:rPr>
        <w:t xml:space="preserve">, sujeta a la demostración del retiro definitivo del servicio, teniendo en cuenta para la liquidación </w:t>
      </w:r>
      <w:r w:rsidR="00AE5908" w:rsidRPr="00AE5908">
        <w:rPr>
          <w:rFonts w:ascii="Century Gothic" w:hAnsi="Century Gothic"/>
          <w:sz w:val="24"/>
          <w:szCs w:val="24"/>
        </w:rPr>
        <w:t xml:space="preserve">pensional </w:t>
      </w:r>
      <w:r w:rsidR="00A83852" w:rsidRPr="00AE5908">
        <w:rPr>
          <w:rFonts w:ascii="Century Gothic" w:hAnsi="Century Gothic"/>
          <w:sz w:val="24"/>
          <w:szCs w:val="24"/>
        </w:rPr>
        <w:t>lo devengado entre el 1 de enero de 1997 y el 30 de diciembre de 2006 por concepto de:</w:t>
      </w:r>
      <w:r w:rsidR="0074516D" w:rsidRPr="00AE5908">
        <w:rPr>
          <w:rFonts w:ascii="Century Gothic" w:hAnsi="Century Gothic"/>
          <w:sz w:val="24"/>
          <w:szCs w:val="24"/>
        </w:rPr>
        <w:t xml:space="preserve"> </w:t>
      </w:r>
    </w:p>
    <w:p w:rsidR="003F3841" w:rsidRDefault="003F3841" w:rsidP="003F3841">
      <w:pPr>
        <w:pStyle w:val="Prrafodelista"/>
        <w:rPr>
          <w:rFonts w:ascii="Century Gothic" w:hAnsi="Century Gothic"/>
          <w:sz w:val="24"/>
          <w:szCs w:val="24"/>
        </w:rPr>
      </w:pPr>
    </w:p>
    <w:p w:rsidR="00A83852" w:rsidRPr="0099226F" w:rsidRDefault="00A83852" w:rsidP="001468B4">
      <w:pPr>
        <w:pStyle w:val="Prrafodelista"/>
        <w:numPr>
          <w:ilvl w:val="0"/>
          <w:numId w:val="23"/>
        </w:numPr>
        <w:spacing w:after="0" w:line="360" w:lineRule="auto"/>
        <w:jc w:val="both"/>
        <w:rPr>
          <w:rFonts w:ascii="Century Gothic" w:hAnsi="Century Gothic"/>
          <w:sz w:val="24"/>
          <w:szCs w:val="24"/>
        </w:rPr>
      </w:pPr>
      <w:r w:rsidRPr="0099226F">
        <w:rPr>
          <w:rFonts w:ascii="Century Gothic" w:hAnsi="Century Gothic"/>
          <w:sz w:val="24"/>
          <w:szCs w:val="24"/>
        </w:rPr>
        <w:t xml:space="preserve">Asignación Básica. </w:t>
      </w:r>
    </w:p>
    <w:p w:rsidR="00A83852" w:rsidRPr="0099226F" w:rsidRDefault="00A83852" w:rsidP="001468B4">
      <w:pPr>
        <w:pStyle w:val="Prrafodelista"/>
        <w:numPr>
          <w:ilvl w:val="0"/>
          <w:numId w:val="23"/>
        </w:numPr>
        <w:spacing w:after="0" w:line="360" w:lineRule="auto"/>
        <w:jc w:val="both"/>
        <w:rPr>
          <w:rFonts w:ascii="Century Gothic" w:hAnsi="Century Gothic"/>
          <w:sz w:val="24"/>
          <w:szCs w:val="24"/>
        </w:rPr>
      </w:pPr>
      <w:r w:rsidRPr="0099226F">
        <w:rPr>
          <w:rFonts w:ascii="Century Gothic" w:hAnsi="Century Gothic"/>
          <w:sz w:val="24"/>
          <w:szCs w:val="24"/>
        </w:rPr>
        <w:t xml:space="preserve">Horas extras. </w:t>
      </w:r>
    </w:p>
    <w:p w:rsidR="00A83852" w:rsidRPr="0099226F" w:rsidRDefault="007D49B8" w:rsidP="001468B4">
      <w:pPr>
        <w:pStyle w:val="Prrafodelista"/>
        <w:numPr>
          <w:ilvl w:val="0"/>
          <w:numId w:val="23"/>
        </w:numPr>
        <w:spacing w:after="0" w:line="360" w:lineRule="auto"/>
        <w:jc w:val="both"/>
        <w:rPr>
          <w:rFonts w:ascii="Century Gothic" w:hAnsi="Century Gothic"/>
          <w:sz w:val="24"/>
          <w:szCs w:val="24"/>
        </w:rPr>
      </w:pPr>
      <w:r w:rsidRPr="0099226F">
        <w:rPr>
          <w:rFonts w:ascii="Century Gothic" w:hAnsi="Century Gothic"/>
          <w:sz w:val="24"/>
          <w:szCs w:val="24"/>
        </w:rPr>
        <w:t>Bonificación</w:t>
      </w:r>
      <w:r w:rsidR="00A83852" w:rsidRPr="0099226F">
        <w:rPr>
          <w:rFonts w:ascii="Century Gothic" w:hAnsi="Century Gothic"/>
          <w:sz w:val="24"/>
          <w:szCs w:val="24"/>
        </w:rPr>
        <w:t xml:space="preserve"> por servicios prestados</w:t>
      </w:r>
    </w:p>
    <w:p w:rsidR="00A83852" w:rsidRPr="0099226F" w:rsidRDefault="00A83852" w:rsidP="001468B4">
      <w:pPr>
        <w:pStyle w:val="Prrafodelista"/>
        <w:numPr>
          <w:ilvl w:val="0"/>
          <w:numId w:val="23"/>
        </w:numPr>
        <w:spacing w:after="0" w:line="360" w:lineRule="auto"/>
        <w:jc w:val="both"/>
        <w:rPr>
          <w:rFonts w:ascii="Century Gothic" w:hAnsi="Century Gothic"/>
          <w:sz w:val="24"/>
          <w:szCs w:val="24"/>
        </w:rPr>
      </w:pPr>
      <w:r w:rsidRPr="0099226F">
        <w:rPr>
          <w:rFonts w:ascii="Century Gothic" w:hAnsi="Century Gothic"/>
          <w:sz w:val="24"/>
          <w:szCs w:val="24"/>
        </w:rPr>
        <w:t xml:space="preserve">Prima de </w:t>
      </w:r>
      <w:r w:rsidR="007D49B8" w:rsidRPr="0099226F">
        <w:rPr>
          <w:rFonts w:ascii="Century Gothic" w:hAnsi="Century Gothic"/>
          <w:sz w:val="24"/>
          <w:szCs w:val="24"/>
        </w:rPr>
        <w:t>antigüedad</w:t>
      </w:r>
    </w:p>
    <w:p w:rsidR="003F3841" w:rsidRDefault="003F3841" w:rsidP="003F3841">
      <w:pPr>
        <w:spacing w:after="0" w:line="360" w:lineRule="auto"/>
        <w:contextualSpacing/>
        <w:jc w:val="both"/>
        <w:rPr>
          <w:rFonts w:ascii="Century Gothic" w:hAnsi="Century Gothic"/>
          <w:sz w:val="24"/>
          <w:szCs w:val="24"/>
        </w:rPr>
      </w:pPr>
    </w:p>
    <w:p w:rsidR="00AE5908" w:rsidRPr="0099226F" w:rsidRDefault="00AE5908" w:rsidP="003F3841">
      <w:pPr>
        <w:spacing w:after="0" w:line="360" w:lineRule="auto"/>
        <w:contextualSpacing/>
        <w:jc w:val="both"/>
        <w:rPr>
          <w:rFonts w:ascii="Century Gothic" w:hAnsi="Century Gothic"/>
          <w:sz w:val="24"/>
          <w:szCs w:val="24"/>
        </w:rPr>
      </w:pPr>
      <w:r w:rsidRPr="0099226F">
        <w:rPr>
          <w:rFonts w:ascii="Century Gothic" w:hAnsi="Century Gothic"/>
          <w:sz w:val="24"/>
          <w:szCs w:val="24"/>
        </w:rPr>
        <w:t xml:space="preserve">(Folios </w:t>
      </w:r>
      <w:r w:rsidR="00E0228F">
        <w:rPr>
          <w:rFonts w:ascii="Century Gothic" w:hAnsi="Century Gothic"/>
          <w:sz w:val="24"/>
          <w:szCs w:val="24"/>
        </w:rPr>
        <w:t xml:space="preserve">8 al 12, </w:t>
      </w:r>
      <w:r w:rsidRPr="0099226F">
        <w:rPr>
          <w:rFonts w:ascii="Century Gothic" w:hAnsi="Century Gothic"/>
          <w:sz w:val="24"/>
          <w:szCs w:val="24"/>
        </w:rPr>
        <w:t xml:space="preserve">se repite en el expediente magnético como documento 10 </w:t>
      </w:r>
      <w:r w:rsidR="00E0228F">
        <w:rPr>
          <w:rFonts w:ascii="Century Gothic" w:hAnsi="Century Gothic"/>
          <w:sz w:val="24"/>
          <w:szCs w:val="24"/>
        </w:rPr>
        <w:t>a</w:t>
      </w:r>
      <w:r w:rsidRPr="0099226F">
        <w:rPr>
          <w:rFonts w:ascii="Century Gothic" w:hAnsi="Century Gothic"/>
          <w:sz w:val="24"/>
          <w:szCs w:val="24"/>
        </w:rPr>
        <w:t xml:space="preserve">cto </w:t>
      </w:r>
      <w:r w:rsidR="00E0228F">
        <w:rPr>
          <w:rFonts w:ascii="Century Gothic" w:hAnsi="Century Gothic"/>
          <w:sz w:val="24"/>
          <w:szCs w:val="24"/>
        </w:rPr>
        <w:t>a</w:t>
      </w:r>
      <w:r w:rsidRPr="0099226F">
        <w:rPr>
          <w:rFonts w:ascii="Century Gothic" w:hAnsi="Century Gothic"/>
          <w:sz w:val="24"/>
          <w:szCs w:val="24"/>
        </w:rPr>
        <w:t xml:space="preserve">dministrativo con </w:t>
      </w:r>
      <w:r w:rsidR="00E0228F">
        <w:rPr>
          <w:rFonts w:ascii="Century Gothic" w:hAnsi="Century Gothic"/>
          <w:sz w:val="24"/>
          <w:szCs w:val="24"/>
        </w:rPr>
        <w:t>n</w:t>
      </w:r>
      <w:r w:rsidRPr="0099226F">
        <w:rPr>
          <w:rFonts w:ascii="Century Gothic" w:hAnsi="Century Gothic"/>
          <w:sz w:val="24"/>
          <w:szCs w:val="24"/>
        </w:rPr>
        <w:t>otificación).</w:t>
      </w:r>
    </w:p>
    <w:p w:rsidR="0074516D" w:rsidRPr="0099226F" w:rsidRDefault="0074516D" w:rsidP="001468B4">
      <w:pPr>
        <w:spacing w:after="0" w:line="360" w:lineRule="auto"/>
        <w:contextualSpacing/>
        <w:rPr>
          <w:rFonts w:ascii="Century Gothic" w:hAnsi="Century Gothic"/>
          <w:sz w:val="24"/>
          <w:szCs w:val="24"/>
        </w:rPr>
      </w:pPr>
    </w:p>
    <w:p w:rsidR="0074516D" w:rsidRPr="0099226F" w:rsidRDefault="0074516D" w:rsidP="0038243D">
      <w:pPr>
        <w:numPr>
          <w:ilvl w:val="2"/>
          <w:numId w:val="20"/>
        </w:numPr>
        <w:spacing w:after="0" w:line="360" w:lineRule="auto"/>
        <w:contextualSpacing/>
        <w:jc w:val="both"/>
        <w:rPr>
          <w:rFonts w:ascii="Century Gothic" w:hAnsi="Century Gothic"/>
          <w:sz w:val="24"/>
          <w:szCs w:val="24"/>
        </w:rPr>
      </w:pPr>
      <w:r w:rsidRPr="0038243D">
        <w:rPr>
          <w:rFonts w:ascii="Century Gothic" w:hAnsi="Century Gothic"/>
          <w:sz w:val="24"/>
          <w:szCs w:val="24"/>
        </w:rPr>
        <w:t xml:space="preserve">La accionante a través de su apoderada presento solicitud ante CAJANAL para la reliquidación </w:t>
      </w:r>
      <w:r w:rsidR="006670E4" w:rsidRPr="0038243D">
        <w:rPr>
          <w:rFonts w:ascii="Century Gothic" w:hAnsi="Century Gothic"/>
          <w:sz w:val="24"/>
          <w:szCs w:val="24"/>
        </w:rPr>
        <w:t>de su pensión por nuevo factor de salario,</w:t>
      </w:r>
      <w:r w:rsidRPr="0038243D">
        <w:rPr>
          <w:rFonts w:ascii="Century Gothic" w:hAnsi="Century Gothic"/>
          <w:sz w:val="24"/>
          <w:szCs w:val="24"/>
        </w:rPr>
        <w:t xml:space="preserve"> el día 26 de agosto de 2009 (Folios 16-18)</w:t>
      </w:r>
      <w:r w:rsidR="0038243D" w:rsidRPr="0038243D">
        <w:rPr>
          <w:rFonts w:ascii="Century Gothic" w:hAnsi="Century Gothic"/>
          <w:sz w:val="24"/>
          <w:szCs w:val="24"/>
        </w:rPr>
        <w:t xml:space="preserve">, </w:t>
      </w:r>
      <w:r w:rsidR="0038243D">
        <w:rPr>
          <w:rFonts w:ascii="Century Gothic" w:hAnsi="Century Gothic"/>
          <w:sz w:val="24"/>
          <w:szCs w:val="24"/>
        </w:rPr>
        <w:t xml:space="preserve">pedido </w:t>
      </w:r>
      <w:r w:rsidR="0038243D" w:rsidRPr="0038243D">
        <w:rPr>
          <w:rFonts w:ascii="Century Gothic" w:hAnsi="Century Gothic"/>
          <w:sz w:val="24"/>
          <w:szCs w:val="24"/>
        </w:rPr>
        <w:t xml:space="preserve">que fue </w:t>
      </w:r>
      <w:r w:rsidR="0038243D">
        <w:rPr>
          <w:rFonts w:ascii="Century Gothic" w:hAnsi="Century Gothic"/>
          <w:sz w:val="24"/>
          <w:szCs w:val="24"/>
        </w:rPr>
        <w:t xml:space="preserve">denegado </w:t>
      </w:r>
      <w:r w:rsidR="0038243D" w:rsidRPr="0038243D">
        <w:rPr>
          <w:rFonts w:ascii="Century Gothic" w:hAnsi="Century Gothic"/>
          <w:sz w:val="24"/>
          <w:szCs w:val="24"/>
        </w:rPr>
        <w:t xml:space="preserve">por </w:t>
      </w:r>
      <w:r w:rsidRPr="0038243D">
        <w:rPr>
          <w:rFonts w:ascii="Century Gothic" w:hAnsi="Century Gothic"/>
          <w:sz w:val="24"/>
          <w:szCs w:val="24"/>
        </w:rPr>
        <w:t>CAJANAL en liquidación</w:t>
      </w:r>
      <w:r w:rsidR="0038243D">
        <w:rPr>
          <w:rFonts w:ascii="Century Gothic" w:hAnsi="Century Gothic"/>
          <w:sz w:val="24"/>
          <w:szCs w:val="24"/>
        </w:rPr>
        <w:t xml:space="preserve"> mediante</w:t>
      </w:r>
      <w:r w:rsidRPr="0038243D">
        <w:rPr>
          <w:rFonts w:ascii="Century Gothic" w:hAnsi="Century Gothic"/>
          <w:sz w:val="24"/>
          <w:szCs w:val="24"/>
        </w:rPr>
        <w:t xml:space="preserve"> Resolución No. </w:t>
      </w:r>
      <w:r w:rsidR="00A773B2" w:rsidRPr="0038243D">
        <w:rPr>
          <w:rFonts w:ascii="Century Gothic" w:hAnsi="Century Gothic"/>
          <w:sz w:val="24"/>
          <w:szCs w:val="24"/>
        </w:rPr>
        <w:t>002955 del 12</w:t>
      </w:r>
      <w:r w:rsidRPr="0038243D">
        <w:rPr>
          <w:rFonts w:ascii="Century Gothic" w:hAnsi="Century Gothic"/>
          <w:sz w:val="24"/>
          <w:szCs w:val="24"/>
        </w:rPr>
        <w:t xml:space="preserve"> de </w:t>
      </w:r>
      <w:r w:rsidR="00A773B2" w:rsidRPr="0038243D">
        <w:rPr>
          <w:rFonts w:ascii="Century Gothic" w:hAnsi="Century Gothic"/>
          <w:sz w:val="24"/>
          <w:szCs w:val="24"/>
        </w:rPr>
        <w:t xml:space="preserve">febrero </w:t>
      </w:r>
      <w:r w:rsidRPr="0038243D">
        <w:rPr>
          <w:rFonts w:ascii="Century Gothic" w:hAnsi="Century Gothic"/>
          <w:sz w:val="24"/>
          <w:szCs w:val="24"/>
        </w:rPr>
        <w:t>de 2010 (Folios 25-26)</w:t>
      </w:r>
      <w:r w:rsidR="0038243D">
        <w:rPr>
          <w:rFonts w:ascii="Century Gothic" w:hAnsi="Century Gothic"/>
          <w:sz w:val="24"/>
          <w:szCs w:val="24"/>
        </w:rPr>
        <w:t>, la cual fue recurrida por la hoy actora, en</w:t>
      </w:r>
      <w:r w:rsidR="00425AB5" w:rsidRPr="0099226F">
        <w:rPr>
          <w:rFonts w:ascii="Century Gothic" w:hAnsi="Century Gothic"/>
          <w:sz w:val="24"/>
          <w:szCs w:val="24"/>
        </w:rPr>
        <w:t xml:space="preserve"> fecha 23 de marzo de 2010 (F. 23-25</w:t>
      </w:r>
      <w:r w:rsidRPr="0099226F">
        <w:rPr>
          <w:rFonts w:ascii="Century Gothic" w:hAnsi="Century Gothic"/>
          <w:sz w:val="24"/>
          <w:szCs w:val="24"/>
        </w:rPr>
        <w:t>)</w:t>
      </w:r>
      <w:r w:rsidR="00425AB5" w:rsidRPr="0099226F">
        <w:rPr>
          <w:rFonts w:ascii="Century Gothic" w:hAnsi="Century Gothic"/>
          <w:sz w:val="24"/>
          <w:szCs w:val="24"/>
        </w:rPr>
        <w:t xml:space="preserve">, </w:t>
      </w:r>
      <w:r w:rsidR="0038243D">
        <w:rPr>
          <w:rFonts w:ascii="Century Gothic" w:hAnsi="Century Gothic"/>
          <w:sz w:val="24"/>
          <w:szCs w:val="24"/>
        </w:rPr>
        <w:t>resolviéndose con</w:t>
      </w:r>
      <w:r w:rsidRPr="0099226F">
        <w:rPr>
          <w:rFonts w:ascii="Century Gothic" w:hAnsi="Century Gothic"/>
          <w:sz w:val="24"/>
          <w:szCs w:val="24"/>
        </w:rPr>
        <w:t xml:space="preserve"> Resolución No. </w:t>
      </w:r>
      <w:r w:rsidR="00425AB5" w:rsidRPr="0099226F">
        <w:rPr>
          <w:rFonts w:ascii="Century Gothic" w:hAnsi="Century Gothic"/>
          <w:sz w:val="24"/>
          <w:szCs w:val="24"/>
        </w:rPr>
        <w:t xml:space="preserve">0010309 </w:t>
      </w:r>
      <w:r w:rsidRPr="0099226F">
        <w:rPr>
          <w:rFonts w:ascii="Century Gothic" w:hAnsi="Century Gothic"/>
          <w:sz w:val="24"/>
          <w:szCs w:val="24"/>
        </w:rPr>
        <w:t xml:space="preserve">del </w:t>
      </w:r>
      <w:r w:rsidR="00425AB5" w:rsidRPr="0099226F">
        <w:rPr>
          <w:rFonts w:ascii="Century Gothic" w:hAnsi="Century Gothic"/>
          <w:sz w:val="24"/>
          <w:szCs w:val="24"/>
        </w:rPr>
        <w:t>23</w:t>
      </w:r>
      <w:r w:rsidRPr="0099226F">
        <w:rPr>
          <w:rFonts w:ascii="Century Gothic" w:hAnsi="Century Gothic"/>
          <w:sz w:val="24"/>
          <w:szCs w:val="24"/>
        </w:rPr>
        <w:t xml:space="preserve"> de </w:t>
      </w:r>
      <w:r w:rsidR="00425AB5" w:rsidRPr="0099226F">
        <w:rPr>
          <w:rFonts w:ascii="Century Gothic" w:hAnsi="Century Gothic"/>
          <w:sz w:val="24"/>
          <w:szCs w:val="24"/>
        </w:rPr>
        <w:t xml:space="preserve"> agosto de 2010, </w:t>
      </w:r>
      <w:r w:rsidR="0038243D">
        <w:rPr>
          <w:rFonts w:ascii="Century Gothic" w:hAnsi="Century Gothic"/>
          <w:sz w:val="24"/>
          <w:szCs w:val="24"/>
        </w:rPr>
        <w:t xml:space="preserve">en el sentido de </w:t>
      </w:r>
      <w:r w:rsidR="00425AB5" w:rsidRPr="0099226F">
        <w:rPr>
          <w:rFonts w:ascii="Century Gothic" w:hAnsi="Century Gothic"/>
          <w:sz w:val="24"/>
          <w:szCs w:val="24"/>
        </w:rPr>
        <w:t>confirma</w:t>
      </w:r>
      <w:r w:rsidR="0038243D">
        <w:rPr>
          <w:rFonts w:ascii="Century Gothic" w:hAnsi="Century Gothic"/>
          <w:sz w:val="24"/>
          <w:szCs w:val="24"/>
        </w:rPr>
        <w:t xml:space="preserve">r la denegación de la reliquidación </w:t>
      </w:r>
      <w:r w:rsidR="0038243D">
        <w:rPr>
          <w:rFonts w:ascii="Century Gothic" w:hAnsi="Century Gothic"/>
          <w:sz w:val="24"/>
          <w:szCs w:val="24"/>
        </w:rPr>
        <w:lastRenderedPageBreak/>
        <w:t xml:space="preserve">pensional </w:t>
      </w:r>
      <w:r w:rsidR="00287729">
        <w:rPr>
          <w:rFonts w:ascii="Century Gothic" w:hAnsi="Century Gothic"/>
          <w:sz w:val="24"/>
          <w:szCs w:val="24"/>
        </w:rPr>
        <w:t>con nuevos factores devengados en el último año de servicio</w:t>
      </w:r>
      <w:r w:rsidR="0038243D">
        <w:rPr>
          <w:rFonts w:ascii="Century Gothic" w:hAnsi="Century Gothic"/>
          <w:sz w:val="24"/>
          <w:szCs w:val="24"/>
        </w:rPr>
        <w:t xml:space="preserve"> (</w:t>
      </w:r>
      <w:r w:rsidR="00425AB5" w:rsidRPr="0099226F">
        <w:rPr>
          <w:rFonts w:ascii="Century Gothic" w:hAnsi="Century Gothic"/>
          <w:sz w:val="24"/>
          <w:szCs w:val="24"/>
        </w:rPr>
        <w:t>F. 26-28</w:t>
      </w:r>
      <w:r w:rsidRPr="0099226F">
        <w:rPr>
          <w:rFonts w:ascii="Century Gothic" w:hAnsi="Century Gothic"/>
          <w:sz w:val="24"/>
          <w:szCs w:val="24"/>
        </w:rPr>
        <w:t>).</w:t>
      </w:r>
    </w:p>
    <w:p w:rsidR="0074516D" w:rsidRPr="0099226F" w:rsidRDefault="0074516D" w:rsidP="001468B4">
      <w:pPr>
        <w:spacing w:after="0" w:line="360" w:lineRule="auto"/>
        <w:ind w:left="720"/>
        <w:contextualSpacing/>
        <w:rPr>
          <w:rFonts w:ascii="Century Gothic" w:hAnsi="Century Gothic"/>
          <w:sz w:val="24"/>
          <w:szCs w:val="24"/>
        </w:rPr>
      </w:pPr>
    </w:p>
    <w:p w:rsidR="0074516D" w:rsidRPr="0099226F" w:rsidRDefault="0074516D" w:rsidP="001468B4">
      <w:pPr>
        <w:numPr>
          <w:ilvl w:val="1"/>
          <w:numId w:val="11"/>
        </w:numPr>
        <w:spacing w:after="0" w:line="360" w:lineRule="auto"/>
        <w:jc w:val="both"/>
        <w:rPr>
          <w:rFonts w:ascii="Century Gothic" w:eastAsia="Times New Roman" w:hAnsi="Century Gothic" w:cs="Times New Roman"/>
          <w:b/>
          <w:bCs/>
          <w:spacing w:val="-3"/>
          <w:sz w:val="24"/>
          <w:szCs w:val="24"/>
          <w:lang w:eastAsia="es-ES"/>
        </w:rPr>
      </w:pPr>
      <w:r w:rsidRPr="0099226F">
        <w:rPr>
          <w:rFonts w:ascii="Century Gothic" w:eastAsia="Times New Roman" w:hAnsi="Century Gothic" w:cs="Times New Roman"/>
          <w:b/>
          <w:bCs/>
          <w:spacing w:val="-3"/>
          <w:sz w:val="24"/>
          <w:szCs w:val="24"/>
          <w:lang w:eastAsia="es-ES"/>
        </w:rPr>
        <w:t>Del análisis de las pruebas frente al marco normativo y jurisprudencial</w:t>
      </w:r>
    </w:p>
    <w:p w:rsidR="0067012C" w:rsidRPr="0099226F" w:rsidRDefault="0067012C" w:rsidP="001468B4">
      <w:pPr>
        <w:spacing w:after="0" w:line="360" w:lineRule="auto"/>
        <w:jc w:val="both"/>
        <w:rPr>
          <w:rFonts w:ascii="Century Gothic" w:eastAsia="Times New Roman" w:hAnsi="Century Gothic" w:cs="Times New Roman"/>
          <w:b/>
          <w:bCs/>
          <w:spacing w:val="-3"/>
          <w:sz w:val="24"/>
          <w:szCs w:val="24"/>
          <w:lang w:eastAsia="es-ES"/>
        </w:rPr>
      </w:pPr>
    </w:p>
    <w:p w:rsidR="00B47613" w:rsidRPr="0099226F" w:rsidRDefault="00B47613"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eastAsia="es-ES"/>
        </w:rPr>
      </w:pPr>
      <w:r w:rsidRPr="0099226F">
        <w:rPr>
          <w:rFonts w:ascii="Century Gothic" w:eastAsia="Times New Roman" w:hAnsi="Century Gothic" w:cs="Times New Roman"/>
          <w:bCs/>
          <w:sz w:val="24"/>
          <w:szCs w:val="24"/>
          <w:lang w:eastAsia="es-ES"/>
        </w:rPr>
        <w:t>Acorde con el texto de</w:t>
      </w:r>
      <w:r w:rsidR="00287729">
        <w:rPr>
          <w:rFonts w:ascii="Century Gothic" w:eastAsia="Times New Roman" w:hAnsi="Century Gothic" w:cs="Times New Roman"/>
          <w:bCs/>
          <w:sz w:val="24"/>
          <w:szCs w:val="24"/>
          <w:lang w:eastAsia="es-ES"/>
        </w:rPr>
        <w:t xml:space="preserve"> </w:t>
      </w:r>
      <w:r w:rsidRPr="0099226F">
        <w:rPr>
          <w:rFonts w:ascii="Century Gothic" w:eastAsia="Times New Roman" w:hAnsi="Century Gothic" w:cs="Times New Roman"/>
          <w:bCs/>
          <w:sz w:val="24"/>
          <w:szCs w:val="24"/>
          <w:lang w:eastAsia="es-ES"/>
        </w:rPr>
        <w:t>l</w:t>
      </w:r>
      <w:r w:rsidR="00287729">
        <w:rPr>
          <w:rFonts w:ascii="Century Gothic" w:eastAsia="Times New Roman" w:hAnsi="Century Gothic" w:cs="Times New Roman"/>
          <w:bCs/>
          <w:sz w:val="24"/>
          <w:szCs w:val="24"/>
          <w:lang w:eastAsia="es-ES"/>
        </w:rPr>
        <w:t>os</w:t>
      </w:r>
      <w:r w:rsidRPr="0099226F">
        <w:rPr>
          <w:rFonts w:ascii="Century Gothic" w:eastAsia="Times New Roman" w:hAnsi="Century Gothic" w:cs="Times New Roman"/>
          <w:bCs/>
          <w:sz w:val="24"/>
          <w:szCs w:val="24"/>
          <w:lang w:eastAsia="es-ES"/>
        </w:rPr>
        <w:t xml:space="preserve"> acto</w:t>
      </w:r>
      <w:r w:rsidR="00287729">
        <w:rPr>
          <w:rFonts w:ascii="Century Gothic" w:eastAsia="Times New Roman" w:hAnsi="Century Gothic" w:cs="Times New Roman"/>
          <w:bCs/>
          <w:sz w:val="24"/>
          <w:szCs w:val="24"/>
          <w:lang w:eastAsia="es-ES"/>
        </w:rPr>
        <w:t>s</w:t>
      </w:r>
      <w:r w:rsidRPr="0099226F">
        <w:rPr>
          <w:rFonts w:ascii="Century Gothic" w:eastAsia="Times New Roman" w:hAnsi="Century Gothic" w:cs="Times New Roman"/>
          <w:bCs/>
          <w:sz w:val="24"/>
          <w:szCs w:val="24"/>
          <w:lang w:eastAsia="es-ES"/>
        </w:rPr>
        <w:t xml:space="preserve"> acusado</w:t>
      </w:r>
      <w:r w:rsidR="00287729">
        <w:rPr>
          <w:rFonts w:ascii="Century Gothic" w:eastAsia="Times New Roman" w:hAnsi="Century Gothic" w:cs="Times New Roman"/>
          <w:bCs/>
          <w:sz w:val="24"/>
          <w:szCs w:val="24"/>
          <w:lang w:eastAsia="es-ES"/>
        </w:rPr>
        <w:t>s</w:t>
      </w:r>
      <w:r w:rsidRPr="0099226F">
        <w:rPr>
          <w:rFonts w:ascii="Century Gothic" w:eastAsia="Times New Roman" w:hAnsi="Century Gothic" w:cs="Times New Roman"/>
          <w:bCs/>
          <w:sz w:val="24"/>
          <w:szCs w:val="24"/>
          <w:lang w:eastAsia="es-ES"/>
        </w:rPr>
        <w:t>, la entidad demandada negó el reajuste de la pensión de la accionante argumentando que al momento en que entr</w:t>
      </w:r>
      <w:r w:rsidR="004B4535" w:rsidRPr="0099226F">
        <w:rPr>
          <w:rFonts w:ascii="Century Gothic" w:eastAsia="Times New Roman" w:hAnsi="Century Gothic" w:cs="Times New Roman"/>
          <w:bCs/>
          <w:sz w:val="24"/>
          <w:szCs w:val="24"/>
          <w:lang w:eastAsia="es-ES"/>
        </w:rPr>
        <w:t>ó</w:t>
      </w:r>
      <w:r w:rsidRPr="0099226F">
        <w:rPr>
          <w:rFonts w:ascii="Century Gothic" w:eastAsia="Times New Roman" w:hAnsi="Century Gothic" w:cs="Times New Roman"/>
          <w:bCs/>
          <w:sz w:val="24"/>
          <w:szCs w:val="24"/>
          <w:lang w:eastAsia="es-ES"/>
        </w:rPr>
        <w:t xml:space="preserve"> en vigencia la Ley 100 de 1993, le faltaban más de diez años para adquirir su status pensional</w:t>
      </w:r>
      <w:r w:rsidR="00451635">
        <w:rPr>
          <w:rFonts w:ascii="Century Gothic" w:eastAsia="Times New Roman" w:hAnsi="Century Gothic" w:cs="Times New Roman"/>
          <w:bCs/>
          <w:sz w:val="24"/>
          <w:szCs w:val="24"/>
          <w:lang w:eastAsia="es-ES"/>
        </w:rPr>
        <w:t>,</w:t>
      </w:r>
      <w:r w:rsidRPr="0099226F">
        <w:rPr>
          <w:rFonts w:ascii="Century Gothic" w:eastAsia="Times New Roman" w:hAnsi="Century Gothic" w:cs="Times New Roman"/>
          <w:bCs/>
          <w:sz w:val="24"/>
          <w:szCs w:val="24"/>
          <w:lang w:eastAsia="es-ES"/>
        </w:rPr>
        <w:t xml:space="preserve"> quedando por tanto cobijada </w:t>
      </w:r>
      <w:r w:rsidR="00451635">
        <w:rPr>
          <w:rFonts w:ascii="Century Gothic" w:eastAsia="Times New Roman" w:hAnsi="Century Gothic" w:cs="Times New Roman"/>
          <w:bCs/>
          <w:sz w:val="24"/>
          <w:szCs w:val="24"/>
          <w:lang w:eastAsia="es-ES"/>
        </w:rPr>
        <w:t xml:space="preserve">por el régimen de transición, y su situación gobernada </w:t>
      </w:r>
      <w:r w:rsidRPr="0099226F">
        <w:rPr>
          <w:rFonts w:ascii="Century Gothic" w:eastAsia="Times New Roman" w:hAnsi="Century Gothic" w:cs="Times New Roman"/>
          <w:bCs/>
          <w:sz w:val="24"/>
          <w:szCs w:val="24"/>
          <w:lang w:eastAsia="es-ES"/>
        </w:rPr>
        <w:t xml:space="preserve">por la Ley 33 de 1985 en </w:t>
      </w:r>
      <w:r w:rsidR="00C178A9" w:rsidRPr="0099226F">
        <w:rPr>
          <w:rFonts w:ascii="Century Gothic" w:eastAsia="Times New Roman" w:hAnsi="Century Gothic" w:cs="Times New Roman"/>
          <w:bCs/>
          <w:sz w:val="24"/>
          <w:szCs w:val="24"/>
          <w:lang w:eastAsia="es-ES"/>
        </w:rPr>
        <w:t>cuanto</w:t>
      </w:r>
      <w:r w:rsidRPr="0099226F">
        <w:rPr>
          <w:rFonts w:ascii="Century Gothic" w:eastAsia="Times New Roman" w:hAnsi="Century Gothic" w:cs="Times New Roman"/>
          <w:bCs/>
          <w:sz w:val="24"/>
          <w:szCs w:val="24"/>
          <w:lang w:eastAsia="es-ES"/>
        </w:rPr>
        <w:t xml:space="preserve"> al monto, tiempo y edad requerid</w:t>
      </w:r>
      <w:r w:rsidR="002A7F3B">
        <w:rPr>
          <w:rFonts w:ascii="Century Gothic" w:eastAsia="Times New Roman" w:hAnsi="Century Gothic" w:cs="Times New Roman"/>
          <w:bCs/>
          <w:sz w:val="24"/>
          <w:szCs w:val="24"/>
          <w:lang w:eastAsia="es-ES"/>
        </w:rPr>
        <w:t>o</w:t>
      </w:r>
      <w:r w:rsidRPr="0099226F">
        <w:rPr>
          <w:rFonts w:ascii="Century Gothic" w:eastAsia="Times New Roman" w:hAnsi="Century Gothic" w:cs="Times New Roman"/>
          <w:bCs/>
          <w:sz w:val="24"/>
          <w:szCs w:val="24"/>
          <w:lang w:eastAsia="es-ES"/>
        </w:rPr>
        <w:t xml:space="preserve">s para acceder a la pensión, pero </w:t>
      </w:r>
      <w:r w:rsidR="002A7F3B">
        <w:rPr>
          <w:rFonts w:ascii="Century Gothic" w:eastAsia="Times New Roman" w:hAnsi="Century Gothic" w:cs="Times New Roman"/>
          <w:bCs/>
          <w:sz w:val="24"/>
          <w:szCs w:val="24"/>
          <w:lang w:eastAsia="es-ES"/>
        </w:rPr>
        <w:t xml:space="preserve">no </w:t>
      </w:r>
      <w:r w:rsidRPr="0099226F">
        <w:rPr>
          <w:rFonts w:ascii="Century Gothic" w:eastAsia="Times New Roman" w:hAnsi="Century Gothic" w:cs="Times New Roman"/>
          <w:bCs/>
          <w:sz w:val="24"/>
          <w:szCs w:val="24"/>
          <w:lang w:eastAsia="es-ES"/>
        </w:rPr>
        <w:t xml:space="preserve">en </w:t>
      </w:r>
      <w:r w:rsidR="002A7F3B">
        <w:rPr>
          <w:rFonts w:ascii="Century Gothic" w:eastAsia="Times New Roman" w:hAnsi="Century Gothic" w:cs="Times New Roman"/>
          <w:bCs/>
          <w:sz w:val="24"/>
          <w:szCs w:val="24"/>
          <w:lang w:eastAsia="es-ES"/>
        </w:rPr>
        <w:t xml:space="preserve">cuanto </w:t>
      </w:r>
      <w:r w:rsidRPr="0099226F">
        <w:rPr>
          <w:rFonts w:ascii="Century Gothic" w:eastAsia="Times New Roman" w:hAnsi="Century Gothic" w:cs="Times New Roman"/>
          <w:bCs/>
          <w:sz w:val="24"/>
          <w:szCs w:val="24"/>
          <w:lang w:eastAsia="es-ES"/>
        </w:rPr>
        <w:t>a los factores base para liquidar</w:t>
      </w:r>
      <w:r w:rsidR="00C178A9" w:rsidRPr="0099226F">
        <w:rPr>
          <w:rFonts w:ascii="Century Gothic" w:eastAsia="Times New Roman" w:hAnsi="Century Gothic" w:cs="Times New Roman"/>
          <w:bCs/>
          <w:sz w:val="24"/>
          <w:szCs w:val="24"/>
          <w:lang w:eastAsia="es-ES"/>
        </w:rPr>
        <w:t>la, respecto de lo</w:t>
      </w:r>
      <w:r w:rsidR="00451635">
        <w:rPr>
          <w:rFonts w:ascii="Century Gothic" w:eastAsia="Times New Roman" w:hAnsi="Century Gothic" w:cs="Times New Roman"/>
          <w:bCs/>
          <w:sz w:val="24"/>
          <w:szCs w:val="24"/>
          <w:lang w:eastAsia="es-ES"/>
        </w:rPr>
        <w:t>s</w:t>
      </w:r>
      <w:r w:rsidR="00C178A9" w:rsidRPr="0099226F">
        <w:rPr>
          <w:rFonts w:ascii="Century Gothic" w:eastAsia="Times New Roman" w:hAnsi="Century Gothic" w:cs="Times New Roman"/>
          <w:bCs/>
          <w:sz w:val="24"/>
          <w:szCs w:val="24"/>
          <w:lang w:eastAsia="es-ES"/>
        </w:rPr>
        <w:t xml:space="preserve"> cual</w:t>
      </w:r>
      <w:r w:rsidR="00451635">
        <w:rPr>
          <w:rFonts w:ascii="Century Gothic" w:eastAsia="Times New Roman" w:hAnsi="Century Gothic" w:cs="Times New Roman"/>
          <w:bCs/>
          <w:sz w:val="24"/>
          <w:szCs w:val="24"/>
          <w:lang w:eastAsia="es-ES"/>
        </w:rPr>
        <w:t>es</w:t>
      </w:r>
      <w:r w:rsidR="00C178A9" w:rsidRPr="0099226F">
        <w:rPr>
          <w:rFonts w:ascii="Century Gothic" w:eastAsia="Times New Roman" w:hAnsi="Century Gothic" w:cs="Times New Roman"/>
          <w:bCs/>
          <w:sz w:val="24"/>
          <w:szCs w:val="24"/>
          <w:lang w:eastAsia="es-ES"/>
        </w:rPr>
        <w:t xml:space="preserve"> le resulta </w:t>
      </w:r>
      <w:r w:rsidRPr="0099226F">
        <w:rPr>
          <w:rFonts w:ascii="Century Gothic" w:eastAsia="Times New Roman" w:hAnsi="Century Gothic" w:cs="Times New Roman"/>
          <w:bCs/>
          <w:sz w:val="24"/>
          <w:szCs w:val="24"/>
          <w:lang w:eastAsia="es-ES"/>
        </w:rPr>
        <w:t>aplicable lo dispuesto en el Decreto 691 de 1994</w:t>
      </w:r>
      <w:r w:rsidR="00734E9B">
        <w:rPr>
          <w:rFonts w:ascii="Century Gothic" w:eastAsia="Times New Roman" w:hAnsi="Century Gothic" w:cs="Times New Roman"/>
          <w:bCs/>
          <w:sz w:val="24"/>
          <w:szCs w:val="24"/>
          <w:lang w:eastAsia="es-ES"/>
        </w:rPr>
        <w:t>,</w:t>
      </w:r>
      <w:r w:rsidRPr="0099226F">
        <w:rPr>
          <w:rFonts w:ascii="Century Gothic" w:eastAsia="Times New Roman" w:hAnsi="Century Gothic" w:cs="Times New Roman"/>
          <w:bCs/>
          <w:sz w:val="24"/>
          <w:szCs w:val="24"/>
          <w:lang w:eastAsia="es-ES"/>
        </w:rPr>
        <w:t xml:space="preserve"> </w:t>
      </w:r>
      <w:r w:rsidR="002A7F3B">
        <w:rPr>
          <w:rFonts w:ascii="Century Gothic" w:eastAsia="Times New Roman" w:hAnsi="Century Gothic" w:cs="Times New Roman"/>
          <w:bCs/>
          <w:sz w:val="24"/>
          <w:szCs w:val="24"/>
          <w:lang w:eastAsia="es-ES"/>
        </w:rPr>
        <w:t>por lo que</w:t>
      </w:r>
      <w:r w:rsidRPr="0099226F">
        <w:rPr>
          <w:rFonts w:ascii="Century Gothic" w:eastAsia="Times New Roman" w:hAnsi="Century Gothic" w:cs="Times New Roman"/>
          <w:bCs/>
          <w:sz w:val="24"/>
          <w:szCs w:val="24"/>
          <w:lang w:eastAsia="es-ES"/>
        </w:rPr>
        <w:t xml:space="preserve"> el monto de su pensión debía calcularse en consideración a los factores salariales descritos por el Decreto 1158 de 1994</w:t>
      </w:r>
      <w:r w:rsidR="00734E9B">
        <w:rPr>
          <w:rFonts w:ascii="Century Gothic" w:eastAsia="Times New Roman" w:hAnsi="Century Gothic" w:cs="Times New Roman"/>
          <w:bCs/>
          <w:sz w:val="24"/>
          <w:szCs w:val="24"/>
          <w:lang w:eastAsia="es-ES"/>
        </w:rPr>
        <w:t>,</w:t>
      </w:r>
      <w:r w:rsidRPr="0099226F">
        <w:rPr>
          <w:rFonts w:ascii="Century Gothic" w:eastAsia="Times New Roman" w:hAnsi="Century Gothic" w:cs="Times New Roman"/>
          <w:bCs/>
          <w:sz w:val="24"/>
          <w:szCs w:val="24"/>
          <w:lang w:eastAsia="es-ES"/>
        </w:rPr>
        <w:t xml:space="preserve"> que modificó el artículo 6º del precitado decreto 691 del mismo año, normativa que no consagra los</w:t>
      </w:r>
      <w:r w:rsidR="00734E9B">
        <w:rPr>
          <w:rFonts w:ascii="Century Gothic" w:eastAsia="Times New Roman" w:hAnsi="Century Gothic" w:cs="Times New Roman"/>
          <w:bCs/>
          <w:sz w:val="24"/>
          <w:szCs w:val="24"/>
          <w:lang w:eastAsia="es-ES"/>
        </w:rPr>
        <w:t xml:space="preserve"> nuevos</w:t>
      </w:r>
      <w:r w:rsidRPr="0099226F">
        <w:rPr>
          <w:rFonts w:ascii="Century Gothic" w:eastAsia="Times New Roman" w:hAnsi="Century Gothic" w:cs="Times New Roman"/>
          <w:bCs/>
          <w:sz w:val="24"/>
          <w:szCs w:val="24"/>
          <w:lang w:eastAsia="es-ES"/>
        </w:rPr>
        <w:t xml:space="preserve"> factores salariales cuya inclusión reclama</w:t>
      </w:r>
      <w:r w:rsidR="00734E9B">
        <w:rPr>
          <w:rFonts w:ascii="Century Gothic" w:eastAsia="Times New Roman" w:hAnsi="Century Gothic" w:cs="Times New Roman"/>
          <w:bCs/>
          <w:sz w:val="24"/>
          <w:szCs w:val="24"/>
          <w:lang w:eastAsia="es-ES"/>
        </w:rPr>
        <w:t xml:space="preserve"> la hoy demandante</w:t>
      </w:r>
      <w:r w:rsidRPr="0099226F">
        <w:rPr>
          <w:rFonts w:ascii="Century Gothic" w:eastAsia="Times New Roman" w:hAnsi="Century Gothic" w:cs="Times New Roman"/>
          <w:bCs/>
          <w:sz w:val="24"/>
          <w:szCs w:val="24"/>
          <w:lang w:eastAsia="es-ES"/>
        </w:rPr>
        <w:t xml:space="preserve">. </w:t>
      </w:r>
    </w:p>
    <w:p w:rsidR="00B47613" w:rsidRPr="0099226F" w:rsidRDefault="00B47613" w:rsidP="001468B4">
      <w:pPr>
        <w:spacing w:after="0" w:line="360" w:lineRule="auto"/>
        <w:jc w:val="both"/>
        <w:rPr>
          <w:rFonts w:ascii="Century Gothic" w:eastAsia="Times New Roman" w:hAnsi="Century Gothic" w:cs="Times New Roman"/>
          <w:b/>
          <w:bCs/>
          <w:spacing w:val="-3"/>
          <w:sz w:val="24"/>
          <w:szCs w:val="24"/>
          <w:lang w:eastAsia="es-ES"/>
        </w:rPr>
      </w:pPr>
    </w:p>
    <w:p w:rsidR="00FB2D72" w:rsidRPr="0099226F" w:rsidRDefault="00B14571"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val="es-CO" w:eastAsia="es-ES"/>
        </w:rPr>
      </w:pPr>
      <w:r>
        <w:rPr>
          <w:rFonts w:ascii="Century Gothic" w:eastAsia="Times New Roman" w:hAnsi="Century Gothic" w:cs="Times New Roman"/>
          <w:bCs/>
          <w:sz w:val="24"/>
          <w:szCs w:val="24"/>
          <w:lang w:val="es-CO" w:eastAsia="es-ES"/>
        </w:rPr>
        <w:t>C</w:t>
      </w:r>
      <w:r w:rsidR="00FB2D72" w:rsidRPr="0099226F">
        <w:rPr>
          <w:rFonts w:ascii="Century Gothic" w:eastAsia="Times New Roman" w:hAnsi="Century Gothic" w:cs="Times New Roman"/>
          <w:bCs/>
          <w:sz w:val="24"/>
          <w:szCs w:val="24"/>
          <w:lang w:val="es-CO" w:eastAsia="es-ES"/>
        </w:rPr>
        <w:t>onforme a las pruebas recaudadas en el proceso, se encuentra demostrado, como lo afirma la parte demandante y lo reconoce  la entidad accionada en</w:t>
      </w:r>
      <w:r w:rsidR="0069549E" w:rsidRPr="0099226F">
        <w:rPr>
          <w:rFonts w:ascii="Century Gothic" w:eastAsia="Times New Roman" w:hAnsi="Century Gothic" w:cs="Times New Roman"/>
          <w:bCs/>
          <w:sz w:val="24"/>
          <w:szCs w:val="24"/>
          <w:lang w:val="es-CO" w:eastAsia="es-ES"/>
        </w:rPr>
        <w:t xml:space="preserve"> el recurso de apelación</w:t>
      </w:r>
      <w:r w:rsidR="00B47613" w:rsidRPr="0099226F">
        <w:rPr>
          <w:rFonts w:ascii="Century Gothic" w:eastAsia="Times New Roman" w:hAnsi="Century Gothic" w:cs="Times New Roman"/>
          <w:bCs/>
          <w:sz w:val="24"/>
          <w:szCs w:val="24"/>
          <w:lang w:val="es-CO" w:eastAsia="es-ES"/>
        </w:rPr>
        <w:t xml:space="preserve"> y en el acto acusado</w:t>
      </w:r>
      <w:r w:rsidR="0069549E" w:rsidRPr="0099226F">
        <w:rPr>
          <w:rFonts w:ascii="Century Gothic" w:eastAsia="Times New Roman" w:hAnsi="Century Gothic" w:cs="Times New Roman"/>
          <w:bCs/>
          <w:sz w:val="24"/>
          <w:szCs w:val="24"/>
          <w:lang w:val="es-CO" w:eastAsia="es-ES"/>
        </w:rPr>
        <w:t>,</w:t>
      </w:r>
      <w:r w:rsidR="004D04AC">
        <w:rPr>
          <w:rFonts w:ascii="Century Gothic" w:eastAsia="Times New Roman" w:hAnsi="Century Gothic" w:cs="Times New Roman"/>
          <w:bCs/>
          <w:sz w:val="24"/>
          <w:szCs w:val="24"/>
          <w:lang w:val="es-CO" w:eastAsia="es-ES"/>
        </w:rPr>
        <w:t xml:space="preserve"> que</w:t>
      </w:r>
      <w:r w:rsidR="00FB2D72" w:rsidRPr="0099226F">
        <w:rPr>
          <w:rFonts w:ascii="Century Gothic" w:eastAsia="Times New Roman" w:hAnsi="Century Gothic" w:cs="Times New Roman"/>
          <w:bCs/>
          <w:sz w:val="24"/>
          <w:szCs w:val="24"/>
          <w:lang w:val="es-CO" w:eastAsia="es-ES"/>
        </w:rPr>
        <w:t xml:space="preserve"> la señora </w:t>
      </w:r>
      <w:r w:rsidR="0069549E" w:rsidRPr="004D04AC">
        <w:rPr>
          <w:rFonts w:ascii="Century Gothic" w:eastAsia="Times New Roman" w:hAnsi="Century Gothic" w:cs="Times New Roman"/>
          <w:b/>
          <w:bCs/>
          <w:sz w:val="24"/>
          <w:szCs w:val="24"/>
          <w:lang w:val="es-CO" w:eastAsia="es-ES"/>
        </w:rPr>
        <w:t>CARMEN ELENA CASTRO CORDERO</w:t>
      </w:r>
      <w:r w:rsidR="0069549E" w:rsidRPr="0099226F">
        <w:rPr>
          <w:rFonts w:ascii="Century Gothic" w:eastAsia="Times New Roman" w:hAnsi="Century Gothic" w:cs="Times New Roman"/>
          <w:bCs/>
          <w:sz w:val="24"/>
          <w:szCs w:val="24"/>
          <w:lang w:val="es-CO" w:eastAsia="es-ES"/>
        </w:rPr>
        <w:t xml:space="preserve"> </w:t>
      </w:r>
      <w:r w:rsidR="00FB2D72" w:rsidRPr="0099226F">
        <w:rPr>
          <w:rFonts w:ascii="Century Gothic" w:eastAsia="Times New Roman" w:hAnsi="Century Gothic" w:cs="Times New Roman"/>
          <w:bCs/>
          <w:sz w:val="24"/>
          <w:szCs w:val="24"/>
          <w:lang w:val="es-CO" w:eastAsia="es-ES"/>
        </w:rPr>
        <w:t xml:space="preserve">es beneficiaria del régimen de transición previsto en el artículo 36 de la Ley 100 de 1993, en la medida en que para la fecha en que entró a regir esta Ley - 1 de </w:t>
      </w:r>
      <w:r w:rsidR="0069549E" w:rsidRPr="0099226F">
        <w:rPr>
          <w:rFonts w:ascii="Century Gothic" w:eastAsia="Times New Roman" w:hAnsi="Century Gothic" w:cs="Times New Roman"/>
          <w:bCs/>
          <w:sz w:val="24"/>
          <w:szCs w:val="24"/>
          <w:lang w:val="es-CO" w:eastAsia="es-ES"/>
        </w:rPr>
        <w:t>Abril de 1994-,  tenía más de 42</w:t>
      </w:r>
      <w:r w:rsidR="002411AE">
        <w:rPr>
          <w:rFonts w:ascii="Century Gothic" w:eastAsia="Times New Roman" w:hAnsi="Century Gothic" w:cs="Times New Roman"/>
          <w:bCs/>
          <w:sz w:val="24"/>
          <w:szCs w:val="24"/>
          <w:lang w:val="es-CO" w:eastAsia="es-ES"/>
        </w:rPr>
        <w:t xml:space="preserve"> años de edad,</w:t>
      </w:r>
      <w:r w:rsidR="00FB2D72" w:rsidRPr="0099226F">
        <w:rPr>
          <w:rFonts w:ascii="Century Gothic" w:eastAsia="Times New Roman" w:hAnsi="Century Gothic" w:cs="Times New Roman"/>
          <w:bCs/>
          <w:sz w:val="24"/>
          <w:szCs w:val="24"/>
          <w:lang w:val="es-CO" w:eastAsia="es-ES"/>
        </w:rPr>
        <w:t xml:space="preserve"> cumpliendo así con uno de los dos presupuestos alternativos para beneficiarse del mismo: tener a dicha fecha 35 años o más. </w:t>
      </w:r>
    </w:p>
    <w:p w:rsidR="00FB2D72" w:rsidRPr="0099226F" w:rsidRDefault="00FB2D72"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val="es-CO" w:eastAsia="es-ES"/>
        </w:rPr>
      </w:pPr>
    </w:p>
    <w:p w:rsidR="00FB2D72" w:rsidRPr="0099226F" w:rsidRDefault="00A31D6C" w:rsidP="001468B4">
      <w:pPr>
        <w:tabs>
          <w:tab w:val="left" w:pos="7513"/>
          <w:tab w:val="right" w:pos="8838"/>
        </w:tabs>
        <w:autoSpaceDE w:val="0"/>
        <w:autoSpaceDN w:val="0"/>
        <w:adjustRightInd w:val="0"/>
        <w:spacing w:after="0" w:line="360" w:lineRule="auto"/>
        <w:jc w:val="both"/>
        <w:rPr>
          <w:rFonts w:ascii="Century Gothic" w:hAnsi="Century Gothic" w:cs="Arial"/>
          <w:sz w:val="24"/>
          <w:szCs w:val="24"/>
        </w:rPr>
      </w:pPr>
      <w:r>
        <w:rPr>
          <w:rFonts w:ascii="Century Gothic" w:eastAsia="Times New Roman" w:hAnsi="Century Gothic" w:cs="Times New Roman"/>
          <w:bCs/>
          <w:sz w:val="24"/>
          <w:szCs w:val="24"/>
          <w:lang w:val="es-CO" w:eastAsia="es-ES"/>
        </w:rPr>
        <w:t>Así las cosas</w:t>
      </w:r>
      <w:r w:rsidR="002411AE">
        <w:rPr>
          <w:rFonts w:ascii="Century Gothic" w:eastAsia="Times New Roman" w:hAnsi="Century Gothic" w:cs="Times New Roman"/>
          <w:bCs/>
          <w:sz w:val="24"/>
          <w:szCs w:val="24"/>
          <w:lang w:val="es-CO" w:eastAsia="es-ES"/>
        </w:rPr>
        <w:t xml:space="preserve">, no se discute en este proceso </w:t>
      </w:r>
      <w:r w:rsidR="00FB2D72" w:rsidRPr="0099226F">
        <w:rPr>
          <w:rFonts w:ascii="Century Gothic" w:eastAsia="Times New Roman" w:hAnsi="Century Gothic" w:cs="Times New Roman"/>
          <w:bCs/>
          <w:sz w:val="24"/>
          <w:szCs w:val="24"/>
          <w:lang w:val="es-CO" w:eastAsia="es-ES"/>
        </w:rPr>
        <w:t>que la situación p</w:t>
      </w:r>
      <w:r>
        <w:rPr>
          <w:rFonts w:ascii="Century Gothic" w:eastAsia="Times New Roman" w:hAnsi="Century Gothic" w:cs="Times New Roman"/>
          <w:bCs/>
          <w:sz w:val="24"/>
          <w:szCs w:val="24"/>
          <w:lang w:val="es-CO" w:eastAsia="es-ES"/>
        </w:rPr>
        <w:t>ensional</w:t>
      </w:r>
      <w:r w:rsidR="00FB2D72" w:rsidRPr="0099226F">
        <w:rPr>
          <w:rFonts w:ascii="Century Gothic" w:eastAsia="Times New Roman" w:hAnsi="Century Gothic" w:cs="Times New Roman"/>
          <w:bCs/>
          <w:sz w:val="24"/>
          <w:szCs w:val="24"/>
          <w:lang w:val="es-CO" w:eastAsia="es-ES"/>
        </w:rPr>
        <w:t xml:space="preserve"> de la actora quedó sometida al régimen establecido por la Ley 33 de 1985</w:t>
      </w:r>
      <w:r w:rsidR="0069549E" w:rsidRPr="0099226F">
        <w:rPr>
          <w:rFonts w:ascii="Century Gothic" w:eastAsia="Times New Roman" w:hAnsi="Century Gothic" w:cs="Times New Roman"/>
          <w:bCs/>
          <w:sz w:val="24"/>
          <w:szCs w:val="24"/>
          <w:lang w:val="es-CO" w:eastAsia="es-ES"/>
        </w:rPr>
        <w:t xml:space="preserve">, </w:t>
      </w:r>
      <w:r>
        <w:rPr>
          <w:rFonts w:ascii="Century Gothic" w:eastAsia="Times New Roman" w:hAnsi="Century Gothic" w:cs="Times New Roman"/>
          <w:bCs/>
          <w:sz w:val="24"/>
          <w:szCs w:val="24"/>
          <w:lang w:val="es-CO" w:eastAsia="es-ES"/>
        </w:rPr>
        <w:t xml:space="preserve">por </w:t>
      </w:r>
      <w:r w:rsidR="0069549E" w:rsidRPr="0099226F">
        <w:rPr>
          <w:rFonts w:ascii="Century Gothic" w:eastAsia="Times New Roman" w:hAnsi="Century Gothic" w:cs="Times New Roman"/>
          <w:bCs/>
          <w:sz w:val="24"/>
          <w:szCs w:val="24"/>
          <w:lang w:val="es-CO" w:eastAsia="es-ES"/>
        </w:rPr>
        <w:t xml:space="preserve">lo </w:t>
      </w:r>
      <w:r w:rsidR="0069549E" w:rsidRPr="0099226F">
        <w:rPr>
          <w:rFonts w:ascii="Century Gothic" w:eastAsia="Times New Roman" w:hAnsi="Century Gothic" w:cs="Times New Roman"/>
          <w:bCs/>
          <w:sz w:val="24"/>
          <w:szCs w:val="24"/>
          <w:lang w:val="es-CO" w:eastAsia="es-ES"/>
        </w:rPr>
        <w:lastRenderedPageBreak/>
        <w:t>que de aplicarse en su integridad esta norma</w:t>
      </w:r>
      <w:r>
        <w:rPr>
          <w:rFonts w:ascii="Century Gothic" w:eastAsia="Times New Roman" w:hAnsi="Century Gothic" w:cs="Times New Roman"/>
          <w:bCs/>
          <w:sz w:val="24"/>
          <w:szCs w:val="24"/>
          <w:lang w:val="es-CO" w:eastAsia="es-ES"/>
        </w:rPr>
        <w:t xml:space="preserve">, </w:t>
      </w:r>
      <w:r w:rsidR="0069549E" w:rsidRPr="0099226F">
        <w:rPr>
          <w:rFonts w:ascii="Century Gothic" w:eastAsia="Times New Roman" w:hAnsi="Century Gothic" w:cs="Times New Roman"/>
          <w:bCs/>
          <w:sz w:val="24"/>
          <w:szCs w:val="24"/>
          <w:lang w:val="es-CO" w:eastAsia="es-ES"/>
        </w:rPr>
        <w:t xml:space="preserve">su </w:t>
      </w:r>
      <w:r w:rsidR="00FB2D72" w:rsidRPr="0099226F">
        <w:rPr>
          <w:rFonts w:ascii="Century Gothic" w:eastAsia="Times New Roman" w:hAnsi="Century Gothic" w:cs="Times New Roman"/>
          <w:bCs/>
          <w:sz w:val="24"/>
          <w:szCs w:val="24"/>
          <w:lang w:val="es-CO" w:eastAsia="es-ES"/>
        </w:rPr>
        <w:t xml:space="preserve">pensión de </w:t>
      </w:r>
      <w:r w:rsidR="0069549E" w:rsidRPr="0099226F">
        <w:rPr>
          <w:rFonts w:ascii="Century Gothic" w:eastAsia="Times New Roman" w:hAnsi="Century Gothic" w:cs="Times New Roman"/>
          <w:bCs/>
          <w:sz w:val="24"/>
          <w:szCs w:val="24"/>
          <w:lang w:val="es-CO" w:eastAsia="es-ES"/>
        </w:rPr>
        <w:t>vejez</w:t>
      </w:r>
      <w:r w:rsidR="00BB7611" w:rsidRPr="0099226F">
        <w:rPr>
          <w:rFonts w:ascii="Century Gothic" w:eastAsia="Times New Roman" w:hAnsi="Century Gothic" w:cs="Times New Roman"/>
          <w:bCs/>
          <w:sz w:val="24"/>
          <w:szCs w:val="24"/>
          <w:lang w:val="es-CO" w:eastAsia="es-ES"/>
        </w:rPr>
        <w:t xml:space="preserve"> </w:t>
      </w:r>
      <w:r>
        <w:rPr>
          <w:rFonts w:ascii="Century Gothic" w:eastAsia="Times New Roman" w:hAnsi="Century Gothic" w:cs="Times New Roman"/>
          <w:bCs/>
          <w:sz w:val="24"/>
          <w:szCs w:val="24"/>
          <w:lang w:val="es-CO" w:eastAsia="es-ES"/>
        </w:rPr>
        <w:t xml:space="preserve">tendría que </w:t>
      </w:r>
      <w:r w:rsidR="00FB2D72" w:rsidRPr="0099226F">
        <w:rPr>
          <w:rFonts w:ascii="Century Gothic" w:eastAsia="Times New Roman" w:hAnsi="Century Gothic" w:cs="Times New Roman"/>
          <w:bCs/>
          <w:sz w:val="24"/>
          <w:szCs w:val="24"/>
          <w:lang w:val="es-CO" w:eastAsia="es-ES"/>
        </w:rPr>
        <w:t xml:space="preserve">liquidarse </w:t>
      </w:r>
      <w:r>
        <w:rPr>
          <w:rFonts w:ascii="Century Gothic" w:eastAsia="Times New Roman" w:hAnsi="Century Gothic" w:cs="Times New Roman"/>
          <w:bCs/>
          <w:sz w:val="24"/>
          <w:szCs w:val="24"/>
          <w:lang w:val="es-CO" w:eastAsia="es-ES"/>
        </w:rPr>
        <w:t>incluyendo</w:t>
      </w:r>
      <w:r w:rsidR="00FB2D72" w:rsidRPr="0099226F">
        <w:rPr>
          <w:rFonts w:ascii="Century Gothic" w:eastAsia="Times New Roman" w:hAnsi="Century Gothic" w:cs="Times New Roman"/>
          <w:bCs/>
          <w:sz w:val="24"/>
          <w:szCs w:val="24"/>
          <w:lang w:val="es-CO" w:eastAsia="es-ES"/>
        </w:rPr>
        <w:t xml:space="preserve"> </w:t>
      </w:r>
      <w:r>
        <w:rPr>
          <w:rFonts w:ascii="Century Gothic" w:eastAsia="Times New Roman" w:hAnsi="Century Gothic" w:cs="Times New Roman"/>
          <w:bCs/>
          <w:sz w:val="24"/>
          <w:szCs w:val="24"/>
          <w:lang w:val="es-CO" w:eastAsia="es-ES"/>
        </w:rPr>
        <w:t>la totalidad de los</w:t>
      </w:r>
      <w:r w:rsidR="00FB2D72" w:rsidRPr="0099226F">
        <w:rPr>
          <w:rFonts w:ascii="Century Gothic" w:eastAsia="Times New Roman" w:hAnsi="Century Gothic" w:cs="Times New Roman"/>
          <w:bCs/>
          <w:sz w:val="24"/>
          <w:szCs w:val="24"/>
          <w:lang w:val="es-CO" w:eastAsia="es-ES"/>
        </w:rPr>
        <w:t xml:space="preserve"> factores que hubieran servido de base para calcular los aportes durante el último año de servicios</w:t>
      </w:r>
      <w:r w:rsidR="00FB2D72" w:rsidRPr="0099226F">
        <w:rPr>
          <w:rFonts w:ascii="Century Gothic" w:hAnsi="Century Gothic" w:cs="Arial"/>
          <w:sz w:val="24"/>
          <w:szCs w:val="24"/>
        </w:rPr>
        <w:t>.</w:t>
      </w:r>
    </w:p>
    <w:p w:rsidR="0069549E" w:rsidRPr="0099226F" w:rsidRDefault="0069549E" w:rsidP="001468B4">
      <w:pPr>
        <w:tabs>
          <w:tab w:val="left" w:pos="7513"/>
          <w:tab w:val="right" w:pos="8838"/>
        </w:tabs>
        <w:autoSpaceDE w:val="0"/>
        <w:autoSpaceDN w:val="0"/>
        <w:adjustRightInd w:val="0"/>
        <w:spacing w:after="0" w:line="360" w:lineRule="auto"/>
        <w:jc w:val="both"/>
        <w:rPr>
          <w:rFonts w:ascii="Century Gothic" w:hAnsi="Century Gothic" w:cs="Arial"/>
          <w:sz w:val="24"/>
          <w:szCs w:val="24"/>
        </w:rPr>
      </w:pPr>
    </w:p>
    <w:p w:rsidR="0069549E" w:rsidRPr="0099226F" w:rsidRDefault="0069549E" w:rsidP="001468B4">
      <w:pPr>
        <w:tabs>
          <w:tab w:val="right" w:pos="8838"/>
        </w:tabs>
        <w:spacing w:after="0" w:line="360" w:lineRule="auto"/>
        <w:jc w:val="both"/>
        <w:rPr>
          <w:rFonts w:ascii="Century Gothic" w:hAnsi="Century Gothic" w:cs="Arial"/>
          <w:sz w:val="24"/>
          <w:szCs w:val="24"/>
        </w:rPr>
      </w:pPr>
      <w:r w:rsidRPr="0099226F">
        <w:rPr>
          <w:rFonts w:ascii="Century Gothic" w:hAnsi="Century Gothic" w:cs="Arial"/>
          <w:sz w:val="24"/>
          <w:szCs w:val="24"/>
        </w:rPr>
        <w:t>No obstante lo anterior, y atendiendo la interpretación fijada por la H. Corte Constitucional en la sentencia SU 230 de 2015</w:t>
      </w:r>
      <w:r w:rsidR="0064084D">
        <w:rPr>
          <w:rFonts w:ascii="Century Gothic" w:hAnsi="Century Gothic" w:cs="Arial"/>
          <w:sz w:val="24"/>
          <w:szCs w:val="24"/>
        </w:rPr>
        <w:t xml:space="preserve"> a que se ha hecho referencia en el marco normativo de la presente providencia</w:t>
      </w:r>
      <w:r w:rsidRPr="0099226F">
        <w:rPr>
          <w:rFonts w:ascii="Century Gothic" w:hAnsi="Century Gothic" w:cs="Arial"/>
          <w:sz w:val="24"/>
          <w:szCs w:val="24"/>
        </w:rPr>
        <w:t>, al encontrarse sujeta la situación pensional de la actora, al régimen de transición del artículo 36 de la Ley 100 de 1993, ello exclusivamente le da derecho a beneficiarse de los elementos previstos en la Ley anterior, atinentes, a</w:t>
      </w:r>
      <w:r w:rsidR="000D7FD8">
        <w:rPr>
          <w:rFonts w:ascii="Century Gothic" w:hAnsi="Century Gothic" w:cs="Arial"/>
          <w:sz w:val="24"/>
          <w:szCs w:val="24"/>
        </w:rPr>
        <w:t>:</w:t>
      </w:r>
      <w:r w:rsidRPr="0099226F">
        <w:rPr>
          <w:rFonts w:ascii="Century Gothic" w:hAnsi="Century Gothic" w:cs="Arial"/>
          <w:sz w:val="24"/>
          <w:szCs w:val="24"/>
        </w:rPr>
        <w:t xml:space="preserve"> i) </w:t>
      </w:r>
      <w:r w:rsidR="000D7FD8">
        <w:rPr>
          <w:rFonts w:ascii="Century Gothic" w:hAnsi="Century Gothic" w:cs="Arial"/>
          <w:sz w:val="24"/>
          <w:szCs w:val="24"/>
        </w:rPr>
        <w:t>e</w:t>
      </w:r>
      <w:r w:rsidRPr="0099226F">
        <w:rPr>
          <w:rFonts w:ascii="Century Gothic" w:hAnsi="Century Gothic" w:cs="Arial"/>
          <w:sz w:val="24"/>
          <w:szCs w:val="24"/>
        </w:rPr>
        <w:t xml:space="preserve">dad para acceder a la pensión de vejez, ii) </w:t>
      </w:r>
      <w:r w:rsidR="000D7FD8">
        <w:rPr>
          <w:rFonts w:ascii="Century Gothic" w:hAnsi="Century Gothic" w:cs="Arial"/>
          <w:sz w:val="24"/>
          <w:szCs w:val="24"/>
        </w:rPr>
        <w:t>t</w:t>
      </w:r>
      <w:r w:rsidRPr="0099226F">
        <w:rPr>
          <w:rFonts w:ascii="Century Gothic" w:hAnsi="Century Gothic" w:cs="Arial"/>
          <w:sz w:val="24"/>
          <w:szCs w:val="24"/>
        </w:rPr>
        <w:t>iempo de servicio o número de semanas cotizadas,</w:t>
      </w:r>
      <w:r w:rsidR="00C178A9" w:rsidRPr="0099226F">
        <w:rPr>
          <w:rFonts w:ascii="Century Gothic" w:hAnsi="Century Gothic" w:cs="Arial"/>
          <w:sz w:val="24"/>
          <w:szCs w:val="24"/>
        </w:rPr>
        <w:t xml:space="preserve"> y </w:t>
      </w:r>
      <w:r w:rsidRPr="0099226F">
        <w:rPr>
          <w:rFonts w:ascii="Century Gothic" w:hAnsi="Century Gothic" w:cs="Arial"/>
          <w:sz w:val="24"/>
          <w:szCs w:val="24"/>
        </w:rPr>
        <w:t>iii)</w:t>
      </w:r>
      <w:r w:rsidR="000D7FD8" w:rsidRPr="000D7FD8">
        <w:rPr>
          <w:rFonts w:ascii="Century Gothic" w:hAnsi="Century Gothic" w:cs="Arial"/>
          <w:b/>
          <w:sz w:val="24"/>
          <w:szCs w:val="24"/>
        </w:rPr>
        <w:t>m</w:t>
      </w:r>
      <w:r w:rsidRPr="0099226F">
        <w:rPr>
          <w:rFonts w:ascii="Century Gothic" w:hAnsi="Century Gothic" w:cs="Arial"/>
          <w:b/>
          <w:sz w:val="24"/>
          <w:szCs w:val="24"/>
        </w:rPr>
        <w:t>onto</w:t>
      </w:r>
      <w:r w:rsidRPr="0099226F">
        <w:rPr>
          <w:rFonts w:ascii="Century Gothic" w:hAnsi="Century Gothic" w:cs="Arial"/>
          <w:sz w:val="24"/>
          <w:szCs w:val="24"/>
        </w:rPr>
        <w:t xml:space="preserve"> de la pensión de vejez</w:t>
      </w:r>
      <w:r w:rsidR="000D7FD8">
        <w:rPr>
          <w:rFonts w:ascii="Century Gothic" w:hAnsi="Century Gothic" w:cs="Arial"/>
          <w:sz w:val="24"/>
          <w:szCs w:val="24"/>
        </w:rPr>
        <w:t xml:space="preserve">, pero </w:t>
      </w:r>
      <w:r w:rsidRPr="0099226F">
        <w:rPr>
          <w:rFonts w:ascii="Century Gothic" w:hAnsi="Century Gothic" w:cs="Arial"/>
          <w:sz w:val="24"/>
          <w:szCs w:val="24"/>
        </w:rPr>
        <w:t xml:space="preserve">entendido este </w:t>
      </w:r>
      <w:r w:rsidR="00BB7611" w:rsidRPr="0099226F">
        <w:rPr>
          <w:rFonts w:ascii="Century Gothic" w:hAnsi="Century Gothic" w:cs="Arial"/>
          <w:sz w:val="24"/>
          <w:szCs w:val="24"/>
        </w:rPr>
        <w:t>último</w:t>
      </w:r>
      <w:r w:rsidRPr="0099226F">
        <w:rPr>
          <w:rFonts w:ascii="Century Gothic" w:hAnsi="Century Gothic" w:cs="Arial"/>
          <w:sz w:val="24"/>
          <w:szCs w:val="24"/>
        </w:rPr>
        <w:t xml:space="preserve"> </w:t>
      </w:r>
      <w:r w:rsidR="0064084D">
        <w:rPr>
          <w:rFonts w:ascii="Century Gothic" w:hAnsi="Century Gothic" w:cs="Arial"/>
          <w:sz w:val="24"/>
          <w:szCs w:val="24"/>
        </w:rPr>
        <w:t xml:space="preserve">concepto </w:t>
      </w:r>
      <w:r w:rsidRPr="0099226F">
        <w:rPr>
          <w:rFonts w:ascii="Century Gothic" w:hAnsi="Century Gothic" w:cs="Arial"/>
          <w:sz w:val="24"/>
          <w:szCs w:val="24"/>
        </w:rPr>
        <w:t xml:space="preserve">como el </w:t>
      </w:r>
      <w:r w:rsidR="000D7FD8" w:rsidRPr="0064084D">
        <w:rPr>
          <w:rFonts w:ascii="Century Gothic" w:hAnsi="Century Gothic" w:cs="Arial"/>
          <w:i/>
          <w:sz w:val="24"/>
          <w:szCs w:val="24"/>
        </w:rPr>
        <w:t>porcentaje</w:t>
      </w:r>
      <w:r w:rsidRPr="0099226F">
        <w:rPr>
          <w:rFonts w:ascii="Century Gothic" w:hAnsi="Century Gothic" w:cs="Arial"/>
          <w:sz w:val="24"/>
          <w:szCs w:val="24"/>
        </w:rPr>
        <w:t xml:space="preserve"> sobre el cual se liquidar</w:t>
      </w:r>
      <w:r w:rsidR="000D7FD8">
        <w:rPr>
          <w:rFonts w:ascii="Century Gothic" w:hAnsi="Century Gothic" w:cs="Arial"/>
          <w:sz w:val="24"/>
          <w:szCs w:val="24"/>
        </w:rPr>
        <w:t>á</w:t>
      </w:r>
      <w:r w:rsidRPr="0099226F">
        <w:rPr>
          <w:rFonts w:ascii="Century Gothic" w:hAnsi="Century Gothic" w:cs="Arial"/>
          <w:sz w:val="24"/>
          <w:szCs w:val="24"/>
        </w:rPr>
        <w:t xml:space="preserve"> la pensión, más</w:t>
      </w:r>
      <w:r w:rsidR="00C97E45" w:rsidRPr="0099226F">
        <w:rPr>
          <w:rFonts w:ascii="Century Gothic" w:hAnsi="Century Gothic" w:cs="Arial"/>
          <w:sz w:val="24"/>
          <w:szCs w:val="24"/>
        </w:rPr>
        <w:t xml:space="preserve"> no</w:t>
      </w:r>
      <w:r w:rsidR="00C178A9" w:rsidRPr="0099226F">
        <w:rPr>
          <w:rFonts w:ascii="Century Gothic" w:hAnsi="Century Gothic" w:cs="Arial"/>
          <w:sz w:val="24"/>
          <w:szCs w:val="24"/>
        </w:rPr>
        <w:t xml:space="preserve"> como </w:t>
      </w:r>
      <w:r w:rsidR="00C97E45" w:rsidRPr="0099226F">
        <w:rPr>
          <w:rFonts w:ascii="Century Gothic" w:hAnsi="Century Gothic" w:cs="Arial"/>
          <w:sz w:val="24"/>
          <w:szCs w:val="24"/>
        </w:rPr>
        <w:t>el</w:t>
      </w:r>
      <w:r w:rsidR="000D7FD8">
        <w:rPr>
          <w:rFonts w:ascii="Century Gothic" w:hAnsi="Century Gothic" w:cs="Arial"/>
          <w:sz w:val="24"/>
          <w:szCs w:val="24"/>
        </w:rPr>
        <w:t xml:space="preserve"> ingreso base de liquidación –</w:t>
      </w:r>
      <w:r w:rsidR="00C97E45" w:rsidRPr="0099226F">
        <w:rPr>
          <w:rFonts w:ascii="Century Gothic" w:hAnsi="Century Gothic" w:cs="Arial"/>
          <w:sz w:val="24"/>
          <w:szCs w:val="24"/>
        </w:rPr>
        <w:t xml:space="preserve"> </w:t>
      </w:r>
      <w:r w:rsidRPr="0099226F">
        <w:rPr>
          <w:rFonts w:ascii="Century Gothic" w:hAnsi="Century Gothic" w:cs="Arial"/>
          <w:sz w:val="24"/>
          <w:szCs w:val="24"/>
        </w:rPr>
        <w:t>IBL</w:t>
      </w:r>
      <w:r w:rsidR="000D7FD8">
        <w:rPr>
          <w:rFonts w:ascii="Century Gothic" w:hAnsi="Century Gothic" w:cs="Arial"/>
          <w:sz w:val="24"/>
          <w:szCs w:val="24"/>
        </w:rPr>
        <w:t xml:space="preserve"> -</w:t>
      </w:r>
      <w:r w:rsidR="00C97E45" w:rsidRPr="0099226F">
        <w:rPr>
          <w:rFonts w:ascii="Century Gothic" w:hAnsi="Century Gothic" w:cs="Arial"/>
          <w:sz w:val="24"/>
          <w:szCs w:val="24"/>
        </w:rPr>
        <w:t>, aspecto este para el cual debe seguirse</w:t>
      </w:r>
      <w:r w:rsidR="00011974">
        <w:rPr>
          <w:rFonts w:ascii="Century Gothic" w:hAnsi="Century Gothic" w:cs="Arial"/>
          <w:sz w:val="24"/>
          <w:szCs w:val="24"/>
        </w:rPr>
        <w:t xml:space="preserve"> inexorablemente</w:t>
      </w:r>
      <w:r w:rsidR="00C97E45" w:rsidRPr="0099226F">
        <w:rPr>
          <w:rFonts w:ascii="Century Gothic" w:hAnsi="Century Gothic" w:cs="Arial"/>
          <w:sz w:val="24"/>
          <w:szCs w:val="24"/>
        </w:rPr>
        <w:t xml:space="preserve"> lo previsto en el </w:t>
      </w:r>
      <w:r w:rsidR="00011974">
        <w:rPr>
          <w:rFonts w:ascii="Century Gothic" w:hAnsi="Century Gothic" w:cs="Arial"/>
          <w:sz w:val="24"/>
          <w:szCs w:val="24"/>
        </w:rPr>
        <w:t xml:space="preserve">inciso 3º del </w:t>
      </w:r>
      <w:r w:rsidR="00C97E45" w:rsidRPr="0099226F">
        <w:rPr>
          <w:rFonts w:ascii="Century Gothic" w:hAnsi="Century Gothic" w:cs="Arial"/>
          <w:sz w:val="24"/>
          <w:szCs w:val="24"/>
        </w:rPr>
        <w:t>artículo 36 de la Ley 100</w:t>
      </w:r>
      <w:r w:rsidR="00EA05F4">
        <w:rPr>
          <w:rFonts w:ascii="Century Gothic" w:hAnsi="Century Gothic" w:cs="Arial"/>
          <w:sz w:val="24"/>
          <w:szCs w:val="24"/>
        </w:rPr>
        <w:t xml:space="preserve"> de 1993</w:t>
      </w:r>
      <w:r w:rsidR="00BB7611" w:rsidRPr="0099226F">
        <w:rPr>
          <w:rFonts w:ascii="Century Gothic" w:hAnsi="Century Gothic" w:cs="Arial"/>
          <w:sz w:val="24"/>
          <w:szCs w:val="24"/>
        </w:rPr>
        <w:t xml:space="preserve">. </w:t>
      </w:r>
    </w:p>
    <w:p w:rsidR="00C97E45" w:rsidRPr="0099226F" w:rsidRDefault="00C97E45" w:rsidP="001468B4">
      <w:pPr>
        <w:tabs>
          <w:tab w:val="right" w:pos="8838"/>
        </w:tabs>
        <w:spacing w:after="0" w:line="360" w:lineRule="auto"/>
        <w:jc w:val="both"/>
        <w:rPr>
          <w:rFonts w:ascii="Century Gothic" w:hAnsi="Century Gothic" w:cs="Arial"/>
          <w:sz w:val="24"/>
          <w:szCs w:val="24"/>
        </w:rPr>
      </w:pPr>
    </w:p>
    <w:p w:rsidR="00C97E45" w:rsidRPr="0099226F" w:rsidRDefault="007963B4" w:rsidP="001468B4">
      <w:pPr>
        <w:tabs>
          <w:tab w:val="right" w:pos="8838"/>
        </w:tabs>
        <w:spacing w:after="0" w:line="360" w:lineRule="auto"/>
        <w:jc w:val="both"/>
        <w:rPr>
          <w:rFonts w:ascii="Century Gothic" w:hAnsi="Century Gothic" w:cs="Arial"/>
          <w:sz w:val="24"/>
          <w:szCs w:val="24"/>
        </w:rPr>
      </w:pPr>
      <w:r>
        <w:rPr>
          <w:rFonts w:ascii="Century Gothic" w:hAnsi="Century Gothic" w:cs="Arial"/>
          <w:sz w:val="24"/>
          <w:szCs w:val="24"/>
        </w:rPr>
        <w:t>En esa línea, p</w:t>
      </w:r>
      <w:r w:rsidR="00C97E45" w:rsidRPr="0099226F">
        <w:rPr>
          <w:rFonts w:ascii="Century Gothic" w:hAnsi="Century Gothic" w:cs="Arial"/>
          <w:sz w:val="24"/>
          <w:szCs w:val="24"/>
        </w:rPr>
        <w:t xml:space="preserve">ara el cálculo </w:t>
      </w:r>
      <w:r w:rsidRPr="0099226F">
        <w:rPr>
          <w:rFonts w:ascii="Century Gothic" w:hAnsi="Century Gothic" w:cs="Arial"/>
          <w:sz w:val="24"/>
          <w:szCs w:val="24"/>
        </w:rPr>
        <w:t>del IBL</w:t>
      </w:r>
      <w:r>
        <w:rPr>
          <w:rFonts w:ascii="Century Gothic" w:hAnsi="Century Gothic" w:cs="Arial"/>
          <w:sz w:val="24"/>
          <w:szCs w:val="24"/>
        </w:rPr>
        <w:t xml:space="preserve"> de</w:t>
      </w:r>
      <w:r w:rsidR="00C97E45" w:rsidRPr="0099226F">
        <w:rPr>
          <w:rFonts w:ascii="Century Gothic" w:hAnsi="Century Gothic" w:cs="Arial"/>
          <w:sz w:val="24"/>
          <w:szCs w:val="24"/>
        </w:rPr>
        <w:t xml:space="preserve"> la pensión de ve</w:t>
      </w:r>
      <w:r w:rsidR="000B3913">
        <w:rPr>
          <w:rFonts w:ascii="Century Gothic" w:hAnsi="Century Gothic" w:cs="Arial"/>
          <w:sz w:val="24"/>
          <w:szCs w:val="24"/>
        </w:rPr>
        <w:t>jez de las personas beneficiaria</w:t>
      </w:r>
      <w:r w:rsidR="00C97E45" w:rsidRPr="0099226F">
        <w:rPr>
          <w:rFonts w:ascii="Century Gothic" w:hAnsi="Century Gothic" w:cs="Arial"/>
          <w:sz w:val="24"/>
          <w:szCs w:val="24"/>
        </w:rPr>
        <w:t xml:space="preserve">s del régimen de transición, </w:t>
      </w:r>
      <w:r w:rsidR="00FB470D">
        <w:rPr>
          <w:rFonts w:ascii="Century Gothic" w:hAnsi="Century Gothic" w:cs="Arial"/>
          <w:sz w:val="24"/>
          <w:szCs w:val="24"/>
        </w:rPr>
        <w:t xml:space="preserve">habrá que estimarse </w:t>
      </w:r>
      <w:r w:rsidR="00FB470D" w:rsidRPr="00FB470D">
        <w:rPr>
          <w:rFonts w:ascii="Century Gothic" w:hAnsi="Century Gothic" w:cs="Arial"/>
          <w:sz w:val="24"/>
          <w:szCs w:val="24"/>
        </w:rPr>
        <w:t xml:space="preserve">que </w:t>
      </w:r>
      <w:r w:rsidR="00FB470D">
        <w:rPr>
          <w:rFonts w:ascii="Century Gothic" w:hAnsi="Century Gothic" w:cs="Arial"/>
          <w:sz w:val="24"/>
          <w:szCs w:val="24"/>
        </w:rPr>
        <w:t xml:space="preserve">si </w:t>
      </w:r>
      <w:r w:rsidR="00FB470D" w:rsidRPr="00FB470D">
        <w:rPr>
          <w:rFonts w:ascii="Century Gothic" w:hAnsi="Century Gothic" w:cs="Arial"/>
          <w:sz w:val="24"/>
          <w:szCs w:val="24"/>
        </w:rPr>
        <w:t>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w:t>
      </w:r>
    </w:p>
    <w:p w:rsidR="00BB7611" w:rsidRPr="0099226F" w:rsidRDefault="00BB7611" w:rsidP="001468B4">
      <w:pPr>
        <w:tabs>
          <w:tab w:val="right" w:pos="8838"/>
        </w:tabs>
        <w:spacing w:after="0" w:line="360" w:lineRule="auto"/>
        <w:jc w:val="both"/>
        <w:rPr>
          <w:rFonts w:ascii="Century Gothic" w:hAnsi="Century Gothic" w:cs="Arial"/>
          <w:sz w:val="24"/>
          <w:szCs w:val="24"/>
        </w:rPr>
      </w:pPr>
    </w:p>
    <w:p w:rsidR="00F535E9" w:rsidRPr="0099226F" w:rsidRDefault="00F1547A"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
          <w:bCs/>
          <w:sz w:val="24"/>
          <w:szCs w:val="24"/>
          <w:lang w:eastAsia="es-ES"/>
        </w:rPr>
      </w:pPr>
      <w:r>
        <w:rPr>
          <w:rFonts w:ascii="Century Gothic" w:eastAsia="Times New Roman" w:hAnsi="Century Gothic" w:cs="Times New Roman"/>
          <w:bCs/>
          <w:sz w:val="24"/>
          <w:szCs w:val="24"/>
          <w:lang w:eastAsia="es-ES"/>
        </w:rPr>
        <w:t xml:space="preserve">Ahora bien, </w:t>
      </w:r>
      <w:r w:rsidR="001553FF">
        <w:rPr>
          <w:rFonts w:ascii="Century Gothic" w:eastAsia="Times New Roman" w:hAnsi="Century Gothic" w:cs="Times New Roman"/>
          <w:bCs/>
          <w:sz w:val="24"/>
          <w:szCs w:val="24"/>
          <w:lang w:eastAsia="es-ES"/>
        </w:rPr>
        <w:t>en el presente caso está acreditado que</w:t>
      </w:r>
      <w:r>
        <w:rPr>
          <w:rFonts w:ascii="Century Gothic" w:eastAsia="Times New Roman" w:hAnsi="Century Gothic" w:cs="Times New Roman"/>
          <w:bCs/>
          <w:sz w:val="24"/>
          <w:szCs w:val="24"/>
          <w:lang w:eastAsia="es-ES"/>
        </w:rPr>
        <w:t xml:space="preserve"> </w:t>
      </w:r>
      <w:r w:rsidR="001553FF">
        <w:rPr>
          <w:rFonts w:ascii="Century Gothic" w:eastAsia="Times New Roman" w:hAnsi="Century Gothic" w:cs="Times New Roman"/>
          <w:bCs/>
          <w:sz w:val="24"/>
          <w:szCs w:val="24"/>
          <w:lang w:eastAsia="es-ES"/>
        </w:rPr>
        <w:t xml:space="preserve">a </w:t>
      </w:r>
      <w:r w:rsidR="00296F34" w:rsidRPr="0099226F">
        <w:rPr>
          <w:rFonts w:ascii="Century Gothic" w:eastAsia="Times New Roman" w:hAnsi="Century Gothic" w:cs="Times New Roman"/>
          <w:bCs/>
          <w:sz w:val="24"/>
          <w:szCs w:val="24"/>
          <w:lang w:eastAsia="es-ES"/>
        </w:rPr>
        <w:t>la actora</w:t>
      </w:r>
      <w:r w:rsidR="001553FF">
        <w:rPr>
          <w:rFonts w:ascii="Century Gothic" w:eastAsia="Times New Roman" w:hAnsi="Century Gothic" w:cs="Times New Roman"/>
          <w:bCs/>
          <w:sz w:val="24"/>
          <w:szCs w:val="24"/>
          <w:lang w:eastAsia="es-ES"/>
        </w:rPr>
        <w:t>,</w:t>
      </w:r>
      <w:r w:rsidR="00296F34" w:rsidRPr="0099226F">
        <w:rPr>
          <w:rFonts w:ascii="Century Gothic" w:eastAsia="Times New Roman" w:hAnsi="Century Gothic" w:cs="Times New Roman"/>
          <w:bCs/>
          <w:sz w:val="24"/>
          <w:szCs w:val="24"/>
          <w:lang w:eastAsia="es-ES"/>
        </w:rPr>
        <w:t xml:space="preserve"> al momento de la entrada en vigencia de la Ley 100 de 1993, le hacían falta más de diez años para acceder a </w:t>
      </w:r>
      <w:r w:rsidR="001553FF">
        <w:rPr>
          <w:rFonts w:ascii="Century Gothic" w:eastAsia="Times New Roman" w:hAnsi="Century Gothic" w:cs="Times New Roman"/>
          <w:bCs/>
          <w:sz w:val="24"/>
          <w:szCs w:val="24"/>
          <w:lang w:eastAsia="es-ES"/>
        </w:rPr>
        <w:t>su</w:t>
      </w:r>
      <w:r w:rsidR="00296F34" w:rsidRPr="0099226F">
        <w:rPr>
          <w:rFonts w:ascii="Century Gothic" w:eastAsia="Times New Roman" w:hAnsi="Century Gothic" w:cs="Times New Roman"/>
          <w:bCs/>
          <w:sz w:val="24"/>
          <w:szCs w:val="24"/>
          <w:lang w:eastAsia="es-ES"/>
        </w:rPr>
        <w:t xml:space="preserve"> pensión</w:t>
      </w:r>
      <w:r w:rsidR="001553FF">
        <w:rPr>
          <w:rFonts w:ascii="Century Gothic" w:eastAsia="Times New Roman" w:hAnsi="Century Gothic" w:cs="Times New Roman"/>
          <w:bCs/>
          <w:sz w:val="24"/>
          <w:szCs w:val="24"/>
          <w:lang w:eastAsia="es-ES"/>
        </w:rPr>
        <w:t xml:space="preserve"> de vejez</w:t>
      </w:r>
      <w:r w:rsidR="00296F34" w:rsidRPr="0099226F">
        <w:rPr>
          <w:rFonts w:ascii="Century Gothic" w:eastAsia="Times New Roman" w:hAnsi="Century Gothic" w:cs="Times New Roman"/>
          <w:bCs/>
          <w:sz w:val="24"/>
          <w:szCs w:val="24"/>
          <w:lang w:eastAsia="es-ES"/>
        </w:rPr>
        <w:t>, pues al 1</w:t>
      </w:r>
      <w:r w:rsidR="00AD6F33">
        <w:rPr>
          <w:rFonts w:ascii="Century Gothic" w:eastAsia="Times New Roman" w:hAnsi="Century Gothic" w:cs="Times New Roman"/>
          <w:bCs/>
          <w:sz w:val="24"/>
          <w:szCs w:val="24"/>
          <w:lang w:eastAsia="es-ES"/>
        </w:rPr>
        <w:t xml:space="preserve">º </w:t>
      </w:r>
      <w:r w:rsidR="00296F34" w:rsidRPr="0099226F">
        <w:rPr>
          <w:rFonts w:ascii="Century Gothic" w:eastAsia="Times New Roman" w:hAnsi="Century Gothic" w:cs="Times New Roman"/>
          <w:bCs/>
          <w:sz w:val="24"/>
          <w:szCs w:val="24"/>
          <w:lang w:eastAsia="es-ES"/>
        </w:rPr>
        <w:t>de abril de 1994,</w:t>
      </w:r>
      <w:r w:rsidR="00FA1FB0" w:rsidRPr="0099226F">
        <w:rPr>
          <w:rFonts w:ascii="Century Gothic" w:eastAsia="Times New Roman" w:hAnsi="Century Gothic" w:cs="Times New Roman"/>
          <w:bCs/>
          <w:sz w:val="24"/>
          <w:szCs w:val="24"/>
          <w:lang w:eastAsia="es-ES"/>
        </w:rPr>
        <w:t xml:space="preserve"> tenía 42 años de edad y</w:t>
      </w:r>
      <w:r w:rsidR="00296F34" w:rsidRPr="0099226F">
        <w:rPr>
          <w:rFonts w:ascii="Century Gothic" w:eastAsia="Times New Roman" w:hAnsi="Century Gothic" w:cs="Times New Roman"/>
          <w:bCs/>
          <w:sz w:val="24"/>
          <w:szCs w:val="24"/>
          <w:lang w:eastAsia="es-ES"/>
        </w:rPr>
        <w:t xml:space="preserve"> </w:t>
      </w:r>
      <w:r w:rsidR="00FA1FB0" w:rsidRPr="0099226F">
        <w:rPr>
          <w:rFonts w:ascii="Century Gothic" w:eastAsia="Times New Roman" w:hAnsi="Century Gothic" w:cs="Times New Roman"/>
          <w:bCs/>
          <w:sz w:val="24"/>
          <w:szCs w:val="24"/>
          <w:lang w:eastAsia="es-ES"/>
        </w:rPr>
        <w:t xml:space="preserve">como tiempo </w:t>
      </w:r>
      <w:r w:rsidR="001553FF">
        <w:rPr>
          <w:rFonts w:ascii="Century Gothic" w:eastAsia="Times New Roman" w:hAnsi="Century Gothic" w:cs="Times New Roman"/>
          <w:bCs/>
          <w:sz w:val="24"/>
          <w:szCs w:val="24"/>
          <w:lang w:eastAsia="es-ES"/>
        </w:rPr>
        <w:t xml:space="preserve">de </w:t>
      </w:r>
      <w:r w:rsidR="00FA1FB0" w:rsidRPr="0099226F">
        <w:rPr>
          <w:rFonts w:ascii="Century Gothic" w:eastAsia="Times New Roman" w:hAnsi="Century Gothic" w:cs="Times New Roman"/>
          <w:bCs/>
          <w:sz w:val="24"/>
          <w:szCs w:val="24"/>
          <w:lang w:eastAsia="es-ES"/>
        </w:rPr>
        <w:t xml:space="preserve">servicios </w:t>
      </w:r>
      <w:r w:rsidR="00296F34" w:rsidRPr="0099226F">
        <w:rPr>
          <w:rFonts w:ascii="Century Gothic" w:eastAsia="Times New Roman" w:hAnsi="Century Gothic" w:cs="Times New Roman"/>
          <w:bCs/>
          <w:sz w:val="24"/>
          <w:szCs w:val="24"/>
          <w:lang w:eastAsia="es-ES"/>
        </w:rPr>
        <w:t xml:space="preserve">diez (10) años, tres (3) meses y veintidós </w:t>
      </w:r>
      <w:r w:rsidR="00FA1FB0" w:rsidRPr="0099226F">
        <w:rPr>
          <w:rFonts w:ascii="Century Gothic" w:eastAsia="Times New Roman" w:hAnsi="Century Gothic" w:cs="Times New Roman"/>
          <w:bCs/>
          <w:sz w:val="24"/>
          <w:szCs w:val="24"/>
          <w:lang w:eastAsia="es-ES"/>
        </w:rPr>
        <w:t xml:space="preserve">(22) </w:t>
      </w:r>
      <w:r w:rsidR="001553FF" w:rsidRPr="0099226F">
        <w:rPr>
          <w:rFonts w:ascii="Century Gothic" w:eastAsia="Times New Roman" w:hAnsi="Century Gothic" w:cs="Times New Roman"/>
          <w:bCs/>
          <w:sz w:val="24"/>
          <w:szCs w:val="24"/>
          <w:lang w:eastAsia="es-ES"/>
        </w:rPr>
        <w:t>días</w:t>
      </w:r>
      <w:r w:rsidR="00FA1FB0" w:rsidRPr="0099226F">
        <w:rPr>
          <w:rFonts w:ascii="Century Gothic" w:eastAsia="Times New Roman" w:hAnsi="Century Gothic" w:cs="Times New Roman"/>
          <w:bCs/>
          <w:sz w:val="24"/>
          <w:szCs w:val="24"/>
          <w:lang w:eastAsia="es-ES"/>
        </w:rPr>
        <w:t xml:space="preserve">, </w:t>
      </w:r>
      <w:r w:rsidR="001553FF">
        <w:rPr>
          <w:rFonts w:ascii="Century Gothic" w:eastAsia="Times New Roman" w:hAnsi="Century Gothic" w:cs="Times New Roman"/>
          <w:bCs/>
          <w:sz w:val="24"/>
          <w:szCs w:val="24"/>
          <w:lang w:eastAsia="es-ES"/>
        </w:rPr>
        <w:t xml:space="preserve">de manera, que es claro su derecho a que </w:t>
      </w:r>
      <w:r w:rsidR="00F535E9" w:rsidRPr="0099226F">
        <w:rPr>
          <w:rFonts w:ascii="Century Gothic" w:eastAsia="Times New Roman" w:hAnsi="Century Gothic" w:cs="Times New Roman"/>
          <w:bCs/>
          <w:sz w:val="24"/>
          <w:szCs w:val="24"/>
          <w:lang w:eastAsia="es-ES"/>
        </w:rPr>
        <w:t xml:space="preserve">su </w:t>
      </w:r>
      <w:r w:rsidR="00F535E9" w:rsidRPr="0099226F">
        <w:rPr>
          <w:rFonts w:ascii="Century Gothic" w:eastAsia="Times New Roman" w:hAnsi="Century Gothic" w:cs="Times New Roman"/>
          <w:bCs/>
          <w:sz w:val="24"/>
          <w:szCs w:val="24"/>
          <w:lang w:eastAsia="es-ES"/>
        </w:rPr>
        <w:lastRenderedPageBreak/>
        <w:t>pensión</w:t>
      </w:r>
      <w:r w:rsidR="001553FF">
        <w:rPr>
          <w:rFonts w:ascii="Century Gothic" w:eastAsia="Times New Roman" w:hAnsi="Century Gothic" w:cs="Times New Roman"/>
          <w:bCs/>
          <w:sz w:val="24"/>
          <w:szCs w:val="24"/>
          <w:lang w:eastAsia="es-ES"/>
        </w:rPr>
        <w:t xml:space="preserve"> le fuera liquidada</w:t>
      </w:r>
      <w:r w:rsidR="00296F34" w:rsidRPr="0099226F">
        <w:rPr>
          <w:rFonts w:ascii="Century Gothic" w:eastAsia="Times New Roman" w:hAnsi="Century Gothic" w:cs="Times New Roman"/>
          <w:bCs/>
          <w:sz w:val="24"/>
          <w:szCs w:val="24"/>
          <w:lang w:eastAsia="es-ES"/>
        </w:rPr>
        <w:t xml:space="preserve"> teniendo como </w:t>
      </w:r>
      <w:r w:rsidR="00334C96">
        <w:rPr>
          <w:rFonts w:ascii="Century Gothic" w:eastAsia="Times New Roman" w:hAnsi="Century Gothic" w:cs="Times New Roman"/>
          <w:bCs/>
          <w:sz w:val="24"/>
          <w:szCs w:val="24"/>
          <w:lang w:eastAsia="es-ES"/>
        </w:rPr>
        <w:t>IBL</w:t>
      </w:r>
      <w:r w:rsidR="00F636E4">
        <w:rPr>
          <w:rFonts w:ascii="Century Gothic" w:eastAsia="Times New Roman" w:hAnsi="Century Gothic" w:cs="Times New Roman"/>
          <w:bCs/>
          <w:sz w:val="24"/>
          <w:szCs w:val="24"/>
          <w:lang w:eastAsia="es-ES"/>
        </w:rPr>
        <w:t xml:space="preserve"> el promedio de </w:t>
      </w:r>
      <w:r w:rsidR="00296F34" w:rsidRPr="0099226F">
        <w:rPr>
          <w:rFonts w:ascii="Century Gothic" w:eastAsia="Times New Roman" w:hAnsi="Century Gothic" w:cs="Times New Roman"/>
          <w:bCs/>
          <w:sz w:val="24"/>
          <w:szCs w:val="24"/>
          <w:lang w:eastAsia="es-ES"/>
        </w:rPr>
        <w:t xml:space="preserve">los </w:t>
      </w:r>
      <w:r w:rsidR="00F636E4">
        <w:rPr>
          <w:rFonts w:ascii="Century Gothic" w:eastAsia="Times New Roman" w:hAnsi="Century Gothic" w:cs="Times New Roman"/>
          <w:bCs/>
          <w:sz w:val="24"/>
          <w:szCs w:val="24"/>
          <w:lang w:eastAsia="es-ES"/>
        </w:rPr>
        <w:t>salarios devengados</w:t>
      </w:r>
      <w:r w:rsidR="00334C96">
        <w:rPr>
          <w:rFonts w:ascii="Century Gothic" w:eastAsia="Times New Roman" w:hAnsi="Century Gothic" w:cs="Times New Roman"/>
          <w:bCs/>
          <w:sz w:val="24"/>
          <w:szCs w:val="24"/>
          <w:lang w:eastAsia="es-ES"/>
        </w:rPr>
        <w:t xml:space="preserve"> durante los</w:t>
      </w:r>
      <w:r w:rsidR="00F636E4">
        <w:rPr>
          <w:rFonts w:ascii="Century Gothic" w:eastAsia="Times New Roman" w:hAnsi="Century Gothic" w:cs="Times New Roman"/>
          <w:bCs/>
          <w:sz w:val="24"/>
          <w:szCs w:val="24"/>
          <w:lang w:eastAsia="es-ES"/>
        </w:rPr>
        <w:t xml:space="preserve"> </w:t>
      </w:r>
      <w:r w:rsidR="00FA1FB0" w:rsidRPr="0099226F">
        <w:rPr>
          <w:rFonts w:ascii="Century Gothic" w:eastAsia="Times New Roman" w:hAnsi="Century Gothic" w:cs="Times New Roman"/>
          <w:bCs/>
          <w:sz w:val="24"/>
          <w:szCs w:val="24"/>
          <w:lang w:eastAsia="es-ES"/>
        </w:rPr>
        <w:t xml:space="preserve">últimos diez años de </w:t>
      </w:r>
      <w:r w:rsidR="00FA1FB0" w:rsidRPr="00334C96">
        <w:rPr>
          <w:rFonts w:ascii="Century Gothic" w:eastAsia="Times New Roman" w:hAnsi="Century Gothic" w:cs="Times New Roman"/>
          <w:bCs/>
          <w:sz w:val="24"/>
          <w:szCs w:val="24"/>
          <w:lang w:eastAsia="es-ES"/>
        </w:rPr>
        <w:t>servicios y</w:t>
      </w:r>
      <w:r w:rsidR="00334C96">
        <w:rPr>
          <w:rFonts w:ascii="Century Gothic" w:eastAsia="Times New Roman" w:hAnsi="Century Gothic" w:cs="Times New Roman"/>
          <w:bCs/>
          <w:sz w:val="24"/>
          <w:szCs w:val="24"/>
          <w:lang w:eastAsia="es-ES"/>
        </w:rPr>
        <w:t xml:space="preserve"> sobre los cuales hubiere cotizado, promedio que fue el tenido en cuenta en la Resolución 54322 del 14 de noviembre de 2007 expedida por CAJANAL, mediante la cual se reconoció su pensión de vejez considerando lo devengado durante los años 1997 a 2006</w:t>
      </w:r>
      <w:r w:rsidR="005071E3">
        <w:rPr>
          <w:rFonts w:ascii="Century Gothic" w:eastAsia="Times New Roman" w:hAnsi="Century Gothic" w:cs="Times New Roman"/>
          <w:bCs/>
          <w:sz w:val="24"/>
          <w:szCs w:val="24"/>
          <w:lang w:eastAsia="es-ES"/>
        </w:rPr>
        <w:t xml:space="preserve"> (folios 8 a 12)</w:t>
      </w:r>
      <w:r w:rsidR="00334C96">
        <w:rPr>
          <w:rFonts w:ascii="Century Gothic" w:eastAsia="Times New Roman" w:hAnsi="Century Gothic" w:cs="Times New Roman"/>
          <w:bCs/>
          <w:sz w:val="24"/>
          <w:szCs w:val="24"/>
          <w:lang w:eastAsia="es-ES"/>
        </w:rPr>
        <w:t>.</w:t>
      </w:r>
      <w:r w:rsidR="00FA1FB0" w:rsidRPr="00334C96">
        <w:rPr>
          <w:rFonts w:ascii="Century Gothic" w:eastAsia="Times New Roman" w:hAnsi="Century Gothic" w:cs="Times New Roman"/>
          <w:bCs/>
          <w:sz w:val="24"/>
          <w:szCs w:val="24"/>
          <w:lang w:eastAsia="es-ES"/>
        </w:rPr>
        <w:t xml:space="preserve"> </w:t>
      </w:r>
    </w:p>
    <w:p w:rsidR="00B374C5" w:rsidRDefault="00B374C5"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eastAsia="es-ES"/>
        </w:rPr>
      </w:pPr>
    </w:p>
    <w:p w:rsidR="00F535E9" w:rsidRPr="0099226F" w:rsidRDefault="00F535E9"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eastAsia="es-ES"/>
        </w:rPr>
      </w:pPr>
      <w:r w:rsidRPr="0099226F">
        <w:rPr>
          <w:rFonts w:ascii="Century Gothic" w:eastAsia="Times New Roman" w:hAnsi="Century Gothic" w:cs="Times New Roman"/>
          <w:bCs/>
          <w:sz w:val="24"/>
          <w:szCs w:val="24"/>
          <w:lang w:eastAsia="es-ES"/>
        </w:rPr>
        <w:t>E</w:t>
      </w:r>
      <w:r w:rsidR="00222BA3">
        <w:rPr>
          <w:rFonts w:ascii="Century Gothic" w:eastAsia="Times New Roman" w:hAnsi="Century Gothic" w:cs="Times New Roman"/>
          <w:bCs/>
          <w:sz w:val="24"/>
          <w:szCs w:val="24"/>
          <w:lang w:eastAsia="es-ES"/>
        </w:rPr>
        <w:t>n ese orden, e</w:t>
      </w:r>
      <w:r w:rsidRPr="0099226F">
        <w:rPr>
          <w:rFonts w:ascii="Century Gothic" w:eastAsia="Times New Roman" w:hAnsi="Century Gothic" w:cs="Times New Roman"/>
          <w:bCs/>
          <w:sz w:val="24"/>
          <w:szCs w:val="24"/>
          <w:lang w:eastAsia="es-ES"/>
        </w:rPr>
        <w:t xml:space="preserve">l recuento normativo y fáctico hasta aquí expuesto se constituye en razón suficiente para concluir </w:t>
      </w:r>
      <w:r w:rsidR="00B56E10" w:rsidRPr="0099226F">
        <w:rPr>
          <w:rFonts w:ascii="Century Gothic" w:eastAsia="Times New Roman" w:hAnsi="Century Gothic" w:cs="Times New Roman"/>
          <w:bCs/>
          <w:sz w:val="24"/>
          <w:szCs w:val="24"/>
          <w:lang w:eastAsia="es-ES"/>
        </w:rPr>
        <w:t xml:space="preserve">que la </w:t>
      </w:r>
      <w:r w:rsidR="00233A69">
        <w:rPr>
          <w:rFonts w:ascii="Century Gothic" w:eastAsia="Times New Roman" w:hAnsi="Century Gothic" w:cs="Times New Roman"/>
          <w:bCs/>
          <w:sz w:val="24"/>
          <w:szCs w:val="24"/>
          <w:lang w:eastAsia="es-ES"/>
        </w:rPr>
        <w:t xml:space="preserve">reclamación de </w:t>
      </w:r>
      <w:r w:rsidRPr="0099226F">
        <w:rPr>
          <w:rFonts w:ascii="Century Gothic" w:eastAsia="Times New Roman" w:hAnsi="Century Gothic" w:cs="Times New Roman"/>
          <w:bCs/>
          <w:sz w:val="24"/>
          <w:szCs w:val="24"/>
          <w:lang w:eastAsia="es-ES"/>
        </w:rPr>
        <w:t xml:space="preserve">reliquidación pensional </w:t>
      </w:r>
      <w:r w:rsidR="00233A69">
        <w:rPr>
          <w:rFonts w:ascii="Century Gothic" w:eastAsia="Times New Roman" w:hAnsi="Century Gothic" w:cs="Times New Roman"/>
          <w:bCs/>
          <w:sz w:val="24"/>
          <w:szCs w:val="24"/>
          <w:lang w:eastAsia="es-ES"/>
        </w:rPr>
        <w:t>de</w:t>
      </w:r>
      <w:r w:rsidRPr="0099226F">
        <w:rPr>
          <w:rFonts w:ascii="Century Gothic" w:eastAsia="Times New Roman" w:hAnsi="Century Gothic" w:cs="Times New Roman"/>
          <w:bCs/>
          <w:sz w:val="24"/>
          <w:szCs w:val="24"/>
          <w:lang w:eastAsia="es-ES"/>
        </w:rPr>
        <w:t xml:space="preserve"> la accionante</w:t>
      </w:r>
      <w:r w:rsidR="00B374C5">
        <w:rPr>
          <w:rFonts w:ascii="Century Gothic" w:eastAsia="Times New Roman" w:hAnsi="Century Gothic" w:cs="Times New Roman"/>
          <w:bCs/>
          <w:sz w:val="24"/>
          <w:szCs w:val="24"/>
          <w:lang w:eastAsia="es-ES"/>
        </w:rPr>
        <w:t>,</w:t>
      </w:r>
      <w:r w:rsidRPr="0099226F">
        <w:rPr>
          <w:rFonts w:ascii="Century Gothic" w:eastAsia="Times New Roman" w:hAnsi="Century Gothic" w:cs="Times New Roman"/>
          <w:bCs/>
          <w:sz w:val="24"/>
          <w:szCs w:val="24"/>
          <w:lang w:eastAsia="es-ES"/>
        </w:rPr>
        <w:t xml:space="preserve"> tendiente a </w:t>
      </w:r>
      <w:r w:rsidR="00B374C5">
        <w:rPr>
          <w:rFonts w:ascii="Century Gothic" w:eastAsia="Times New Roman" w:hAnsi="Century Gothic" w:cs="Times New Roman"/>
          <w:bCs/>
          <w:sz w:val="24"/>
          <w:szCs w:val="24"/>
          <w:lang w:eastAsia="es-ES"/>
        </w:rPr>
        <w:t xml:space="preserve">que se le aplique como IBL el 75% de todo lo devengado durante el último año de servicios, conforme al artículo 1º de la Ley 33 de 1985, no está llamada a </w:t>
      </w:r>
      <w:r w:rsidR="00B56E10" w:rsidRPr="0099226F">
        <w:rPr>
          <w:rFonts w:ascii="Century Gothic" w:eastAsia="Times New Roman" w:hAnsi="Century Gothic" w:cs="Times New Roman"/>
          <w:bCs/>
          <w:sz w:val="24"/>
          <w:szCs w:val="24"/>
          <w:lang w:eastAsia="es-ES"/>
        </w:rPr>
        <w:t>prosperar</w:t>
      </w:r>
      <w:r w:rsidRPr="0099226F">
        <w:rPr>
          <w:rFonts w:ascii="Century Gothic" w:eastAsia="Times New Roman" w:hAnsi="Century Gothic" w:cs="Times New Roman"/>
          <w:bCs/>
          <w:sz w:val="24"/>
          <w:szCs w:val="24"/>
          <w:lang w:eastAsia="es-ES"/>
        </w:rPr>
        <w:t xml:space="preserve">, por cuanto </w:t>
      </w:r>
      <w:r w:rsidR="00B374C5">
        <w:rPr>
          <w:rFonts w:ascii="Century Gothic" w:eastAsia="Times New Roman" w:hAnsi="Century Gothic" w:cs="Times New Roman"/>
          <w:bCs/>
          <w:sz w:val="24"/>
          <w:szCs w:val="24"/>
          <w:lang w:eastAsia="es-ES"/>
        </w:rPr>
        <w:t xml:space="preserve">es claro que </w:t>
      </w:r>
      <w:r w:rsidR="00B56E10" w:rsidRPr="0099226F">
        <w:rPr>
          <w:rFonts w:ascii="Century Gothic" w:eastAsia="Times New Roman" w:hAnsi="Century Gothic" w:cs="Times New Roman"/>
          <w:bCs/>
          <w:sz w:val="24"/>
          <w:szCs w:val="24"/>
          <w:lang w:eastAsia="es-ES"/>
        </w:rPr>
        <w:t xml:space="preserve">la norma que gobierna su situación </w:t>
      </w:r>
      <w:r w:rsidR="00B374C5">
        <w:rPr>
          <w:rFonts w:ascii="Century Gothic" w:eastAsia="Times New Roman" w:hAnsi="Century Gothic" w:cs="Times New Roman"/>
          <w:bCs/>
          <w:sz w:val="24"/>
          <w:szCs w:val="24"/>
          <w:lang w:eastAsia="es-ES"/>
        </w:rPr>
        <w:t xml:space="preserve">pensional </w:t>
      </w:r>
      <w:r w:rsidR="00233A69">
        <w:rPr>
          <w:rFonts w:ascii="Century Gothic" w:eastAsia="Times New Roman" w:hAnsi="Century Gothic" w:cs="Times New Roman"/>
          <w:bCs/>
          <w:sz w:val="24"/>
          <w:szCs w:val="24"/>
          <w:lang w:eastAsia="es-ES"/>
        </w:rPr>
        <w:t xml:space="preserve">en materia de IBL, </w:t>
      </w:r>
      <w:r w:rsidR="00B374C5">
        <w:rPr>
          <w:rFonts w:ascii="Century Gothic" w:eastAsia="Times New Roman" w:hAnsi="Century Gothic" w:cs="Times New Roman"/>
          <w:bCs/>
          <w:sz w:val="24"/>
          <w:szCs w:val="24"/>
          <w:lang w:eastAsia="es-ES"/>
        </w:rPr>
        <w:t>es el inciso 3º del artículo 36 de la Ley 100 de 1993</w:t>
      </w:r>
      <w:r w:rsidR="00B56E10" w:rsidRPr="0099226F">
        <w:rPr>
          <w:rFonts w:ascii="Century Gothic" w:eastAsia="Times New Roman" w:hAnsi="Century Gothic" w:cs="Times New Roman"/>
          <w:bCs/>
          <w:sz w:val="24"/>
          <w:szCs w:val="24"/>
          <w:lang w:eastAsia="es-ES"/>
        </w:rPr>
        <w:t xml:space="preserve">, de </w:t>
      </w:r>
      <w:r w:rsidR="00B374C5">
        <w:rPr>
          <w:rFonts w:ascii="Century Gothic" w:eastAsia="Times New Roman" w:hAnsi="Century Gothic" w:cs="Times New Roman"/>
          <w:bCs/>
          <w:sz w:val="24"/>
          <w:szCs w:val="24"/>
          <w:lang w:eastAsia="es-ES"/>
        </w:rPr>
        <w:t xml:space="preserve">lo que se </w:t>
      </w:r>
      <w:r w:rsidR="00B56E10" w:rsidRPr="0099226F">
        <w:rPr>
          <w:rFonts w:ascii="Century Gothic" w:eastAsia="Times New Roman" w:hAnsi="Century Gothic" w:cs="Times New Roman"/>
          <w:bCs/>
          <w:sz w:val="24"/>
          <w:szCs w:val="24"/>
          <w:lang w:eastAsia="es-ES"/>
        </w:rPr>
        <w:t xml:space="preserve">establece </w:t>
      </w:r>
      <w:r w:rsidRPr="0099226F">
        <w:rPr>
          <w:rFonts w:ascii="Century Gothic" w:eastAsia="Times New Roman" w:hAnsi="Century Gothic" w:cs="Times New Roman"/>
          <w:bCs/>
          <w:sz w:val="24"/>
          <w:szCs w:val="24"/>
          <w:lang w:eastAsia="es-ES"/>
        </w:rPr>
        <w:t>q</w:t>
      </w:r>
      <w:r w:rsidR="00B374C5">
        <w:rPr>
          <w:rFonts w:ascii="Century Gothic" w:eastAsia="Times New Roman" w:hAnsi="Century Gothic" w:cs="Times New Roman"/>
          <w:bCs/>
          <w:sz w:val="24"/>
          <w:szCs w:val="24"/>
          <w:lang w:eastAsia="es-ES"/>
        </w:rPr>
        <w:t xml:space="preserve">ue el </w:t>
      </w:r>
      <w:r w:rsidR="00B374C5" w:rsidRPr="0099226F">
        <w:rPr>
          <w:rFonts w:ascii="Century Gothic" w:eastAsia="Times New Roman" w:hAnsi="Century Gothic" w:cs="Times New Roman"/>
          <w:bCs/>
          <w:sz w:val="24"/>
          <w:szCs w:val="24"/>
          <w:lang w:eastAsia="es-ES"/>
        </w:rPr>
        <w:t>quantum</w:t>
      </w:r>
      <w:r w:rsidRPr="0099226F">
        <w:rPr>
          <w:rFonts w:ascii="Century Gothic" w:eastAsia="Times New Roman" w:hAnsi="Century Gothic" w:cs="Times New Roman"/>
          <w:bCs/>
          <w:sz w:val="24"/>
          <w:szCs w:val="24"/>
          <w:lang w:eastAsia="es-ES"/>
        </w:rPr>
        <w:t xml:space="preserve"> pensional fue correctamente</w:t>
      </w:r>
      <w:r w:rsidR="00B56E10" w:rsidRPr="0099226F">
        <w:rPr>
          <w:rFonts w:ascii="Century Gothic" w:eastAsia="Times New Roman" w:hAnsi="Century Gothic" w:cs="Times New Roman"/>
          <w:bCs/>
          <w:sz w:val="24"/>
          <w:szCs w:val="24"/>
          <w:lang w:eastAsia="es-ES"/>
        </w:rPr>
        <w:t xml:space="preserve">  liquidado</w:t>
      </w:r>
      <w:r w:rsidR="00233A69">
        <w:rPr>
          <w:rFonts w:ascii="Century Gothic" w:eastAsia="Times New Roman" w:hAnsi="Century Gothic" w:cs="Times New Roman"/>
          <w:bCs/>
          <w:sz w:val="24"/>
          <w:szCs w:val="24"/>
          <w:lang w:eastAsia="es-ES"/>
        </w:rPr>
        <w:t xml:space="preserve"> por la entidad demandada</w:t>
      </w:r>
      <w:r w:rsidR="00B14571">
        <w:rPr>
          <w:rFonts w:ascii="Century Gothic" w:eastAsia="Times New Roman" w:hAnsi="Century Gothic" w:cs="Times New Roman"/>
          <w:bCs/>
          <w:sz w:val="24"/>
          <w:szCs w:val="24"/>
          <w:lang w:eastAsia="es-ES"/>
        </w:rPr>
        <w:t xml:space="preserve"> y que debe mantenerse la legalidad de los actos acusados</w:t>
      </w:r>
      <w:r w:rsidR="00B56E10" w:rsidRPr="0099226F">
        <w:rPr>
          <w:rFonts w:ascii="Century Gothic" w:eastAsia="Times New Roman" w:hAnsi="Century Gothic" w:cs="Times New Roman"/>
          <w:bCs/>
          <w:sz w:val="24"/>
          <w:szCs w:val="24"/>
          <w:lang w:eastAsia="es-ES"/>
        </w:rPr>
        <w:t>.</w:t>
      </w:r>
    </w:p>
    <w:p w:rsidR="00B56E10" w:rsidRPr="0099226F" w:rsidRDefault="00B56E10"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eastAsia="es-ES"/>
        </w:rPr>
      </w:pPr>
    </w:p>
    <w:p w:rsidR="00FB2D72" w:rsidRPr="0099226F" w:rsidRDefault="00B14571"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val="es-CO" w:eastAsia="es-ES"/>
        </w:rPr>
      </w:pPr>
      <w:r>
        <w:rPr>
          <w:rFonts w:ascii="Century Gothic" w:eastAsia="Times New Roman" w:hAnsi="Century Gothic" w:cs="Times New Roman"/>
          <w:bCs/>
          <w:sz w:val="24"/>
          <w:szCs w:val="24"/>
          <w:lang w:val="es-CO" w:eastAsia="es-ES"/>
        </w:rPr>
        <w:t>En suma,</w:t>
      </w:r>
      <w:r w:rsidR="00FB2D72" w:rsidRPr="0099226F">
        <w:rPr>
          <w:rFonts w:ascii="Century Gothic" w:eastAsia="Times New Roman" w:hAnsi="Century Gothic" w:cs="Times New Roman"/>
          <w:bCs/>
          <w:sz w:val="24"/>
          <w:szCs w:val="24"/>
          <w:lang w:val="es-CO" w:eastAsia="es-ES"/>
        </w:rPr>
        <w:t xml:space="preserve"> asistiéndole razón a la entidad accionada respecto de los argumentos expuestos en el recurso de apelación, </w:t>
      </w:r>
      <w:r w:rsidR="00794F87">
        <w:rPr>
          <w:rFonts w:ascii="Century Gothic" w:eastAsia="Times New Roman" w:hAnsi="Century Gothic" w:cs="Times New Roman"/>
          <w:bCs/>
          <w:sz w:val="24"/>
          <w:szCs w:val="24"/>
          <w:lang w:val="es-CO" w:eastAsia="es-ES"/>
        </w:rPr>
        <w:t xml:space="preserve">- </w:t>
      </w:r>
      <w:r w:rsidR="00B56E10" w:rsidRPr="0099226F">
        <w:rPr>
          <w:rFonts w:ascii="Century Gothic" w:eastAsia="Times New Roman" w:hAnsi="Century Gothic" w:cs="Times New Roman"/>
          <w:bCs/>
          <w:sz w:val="24"/>
          <w:szCs w:val="24"/>
          <w:lang w:val="es-CO" w:eastAsia="es-ES"/>
        </w:rPr>
        <w:t>ello en aplicación del precedente jurisprudencial acogido por este Tri</w:t>
      </w:r>
      <w:r w:rsidR="00B47613" w:rsidRPr="0099226F">
        <w:rPr>
          <w:rFonts w:ascii="Century Gothic" w:eastAsia="Times New Roman" w:hAnsi="Century Gothic" w:cs="Times New Roman"/>
          <w:bCs/>
          <w:sz w:val="24"/>
          <w:szCs w:val="24"/>
          <w:lang w:val="es-CO" w:eastAsia="es-ES"/>
        </w:rPr>
        <w:t>bunal en la presente providencia</w:t>
      </w:r>
      <w:r w:rsidR="00FB26C2">
        <w:rPr>
          <w:rFonts w:ascii="Century Gothic" w:eastAsia="Times New Roman" w:hAnsi="Century Gothic" w:cs="Times New Roman"/>
          <w:bCs/>
          <w:sz w:val="24"/>
          <w:szCs w:val="24"/>
          <w:lang w:val="es-CO" w:eastAsia="es-ES"/>
        </w:rPr>
        <w:t xml:space="preserve"> -</w:t>
      </w:r>
      <w:r w:rsidR="00B47613" w:rsidRPr="0099226F">
        <w:rPr>
          <w:rFonts w:ascii="Century Gothic" w:eastAsia="Times New Roman" w:hAnsi="Century Gothic" w:cs="Times New Roman"/>
          <w:bCs/>
          <w:sz w:val="24"/>
          <w:szCs w:val="24"/>
          <w:lang w:val="es-CO" w:eastAsia="es-ES"/>
        </w:rPr>
        <w:t>,</w:t>
      </w:r>
      <w:r w:rsidR="00FB2D72" w:rsidRPr="0099226F">
        <w:rPr>
          <w:rFonts w:ascii="Century Gothic" w:eastAsia="Times New Roman" w:hAnsi="Century Gothic" w:cs="Times New Roman"/>
          <w:bCs/>
          <w:sz w:val="24"/>
          <w:szCs w:val="24"/>
          <w:lang w:val="es-CO" w:eastAsia="es-ES"/>
        </w:rPr>
        <w:t xml:space="preserve"> se </w:t>
      </w:r>
      <w:r w:rsidR="00B47613" w:rsidRPr="0099226F">
        <w:rPr>
          <w:rFonts w:ascii="Century Gothic" w:eastAsia="Times New Roman" w:hAnsi="Century Gothic" w:cs="Times New Roman"/>
          <w:bCs/>
          <w:sz w:val="24"/>
          <w:szCs w:val="24"/>
          <w:lang w:val="es-CO" w:eastAsia="es-ES"/>
        </w:rPr>
        <w:t>revocar</w:t>
      </w:r>
      <w:r w:rsidR="00794F87">
        <w:rPr>
          <w:rFonts w:ascii="Century Gothic" w:eastAsia="Times New Roman" w:hAnsi="Century Gothic" w:cs="Times New Roman"/>
          <w:bCs/>
          <w:sz w:val="24"/>
          <w:szCs w:val="24"/>
          <w:lang w:val="es-CO" w:eastAsia="es-ES"/>
        </w:rPr>
        <w:t>á</w:t>
      </w:r>
      <w:r w:rsidR="00B47613" w:rsidRPr="0099226F">
        <w:rPr>
          <w:rFonts w:ascii="Century Gothic" w:eastAsia="Times New Roman" w:hAnsi="Century Gothic" w:cs="Times New Roman"/>
          <w:bCs/>
          <w:sz w:val="24"/>
          <w:szCs w:val="24"/>
          <w:lang w:val="es-CO" w:eastAsia="es-ES"/>
        </w:rPr>
        <w:t xml:space="preserve"> </w:t>
      </w:r>
      <w:r w:rsidR="00FB2D72" w:rsidRPr="0099226F">
        <w:rPr>
          <w:rFonts w:ascii="Century Gothic" w:eastAsia="Times New Roman" w:hAnsi="Century Gothic" w:cs="Times New Roman"/>
          <w:bCs/>
          <w:sz w:val="24"/>
          <w:szCs w:val="24"/>
          <w:lang w:val="es-CO" w:eastAsia="es-ES"/>
        </w:rPr>
        <w:t xml:space="preserve">la sentencia de fecha </w:t>
      </w:r>
      <w:r w:rsidR="00B47613" w:rsidRPr="0099226F">
        <w:rPr>
          <w:rFonts w:ascii="Century Gothic" w:eastAsia="Times New Roman" w:hAnsi="Century Gothic" w:cs="Times New Roman"/>
          <w:bCs/>
          <w:sz w:val="24"/>
          <w:szCs w:val="24"/>
          <w:lang w:val="es-CO" w:eastAsia="es-ES"/>
        </w:rPr>
        <w:t xml:space="preserve">treinta </w:t>
      </w:r>
      <w:r w:rsidR="00FB2D72" w:rsidRPr="0099226F">
        <w:rPr>
          <w:rFonts w:ascii="Century Gothic" w:eastAsia="Times New Roman" w:hAnsi="Century Gothic" w:cs="Times New Roman"/>
          <w:bCs/>
          <w:sz w:val="24"/>
          <w:szCs w:val="24"/>
          <w:lang w:val="es-CO" w:eastAsia="es-ES"/>
        </w:rPr>
        <w:t>(</w:t>
      </w:r>
      <w:r w:rsidR="00B47613" w:rsidRPr="0099226F">
        <w:rPr>
          <w:rFonts w:ascii="Century Gothic" w:eastAsia="Times New Roman" w:hAnsi="Century Gothic" w:cs="Times New Roman"/>
          <w:bCs/>
          <w:sz w:val="24"/>
          <w:szCs w:val="24"/>
          <w:lang w:val="es-CO" w:eastAsia="es-ES"/>
        </w:rPr>
        <w:t>30</w:t>
      </w:r>
      <w:r w:rsidR="00FB2D72" w:rsidRPr="0099226F">
        <w:rPr>
          <w:rFonts w:ascii="Century Gothic" w:eastAsia="Times New Roman" w:hAnsi="Century Gothic" w:cs="Times New Roman"/>
          <w:bCs/>
          <w:sz w:val="24"/>
          <w:szCs w:val="24"/>
          <w:lang w:val="es-CO" w:eastAsia="es-ES"/>
        </w:rPr>
        <w:t xml:space="preserve">) de </w:t>
      </w:r>
      <w:r w:rsidR="00B47613" w:rsidRPr="0099226F">
        <w:rPr>
          <w:rFonts w:ascii="Century Gothic" w:eastAsia="Times New Roman" w:hAnsi="Century Gothic" w:cs="Times New Roman"/>
          <w:bCs/>
          <w:sz w:val="24"/>
          <w:szCs w:val="24"/>
          <w:lang w:val="es-CO" w:eastAsia="es-ES"/>
        </w:rPr>
        <w:t xml:space="preserve">septiembre </w:t>
      </w:r>
      <w:r w:rsidR="00FB2D72" w:rsidRPr="0099226F">
        <w:rPr>
          <w:rFonts w:ascii="Century Gothic" w:eastAsia="Times New Roman" w:hAnsi="Century Gothic" w:cs="Times New Roman"/>
          <w:bCs/>
          <w:sz w:val="24"/>
          <w:szCs w:val="24"/>
          <w:lang w:val="es-CO" w:eastAsia="es-ES"/>
        </w:rPr>
        <w:t xml:space="preserve">de dos mil </w:t>
      </w:r>
      <w:r w:rsidR="00B759EA">
        <w:rPr>
          <w:rFonts w:ascii="Century Gothic" w:eastAsia="Times New Roman" w:hAnsi="Century Gothic" w:cs="Times New Roman"/>
          <w:bCs/>
          <w:sz w:val="24"/>
          <w:szCs w:val="24"/>
          <w:lang w:val="es-CO" w:eastAsia="es-ES"/>
        </w:rPr>
        <w:t>catorce</w:t>
      </w:r>
      <w:r w:rsidR="00B47613" w:rsidRPr="0099226F">
        <w:rPr>
          <w:rFonts w:ascii="Century Gothic" w:eastAsia="Times New Roman" w:hAnsi="Century Gothic" w:cs="Times New Roman"/>
          <w:bCs/>
          <w:sz w:val="24"/>
          <w:szCs w:val="24"/>
          <w:lang w:val="es-CO" w:eastAsia="es-ES"/>
        </w:rPr>
        <w:t xml:space="preserve"> </w:t>
      </w:r>
      <w:r w:rsidR="00FB2D72" w:rsidRPr="0099226F">
        <w:rPr>
          <w:rFonts w:ascii="Century Gothic" w:eastAsia="Times New Roman" w:hAnsi="Century Gothic" w:cs="Times New Roman"/>
          <w:bCs/>
          <w:sz w:val="24"/>
          <w:szCs w:val="24"/>
          <w:lang w:val="es-CO" w:eastAsia="es-ES"/>
        </w:rPr>
        <w:t>(</w:t>
      </w:r>
      <w:r w:rsidR="00B47613" w:rsidRPr="0099226F">
        <w:rPr>
          <w:rFonts w:ascii="Century Gothic" w:eastAsia="Times New Roman" w:hAnsi="Century Gothic" w:cs="Times New Roman"/>
          <w:bCs/>
          <w:sz w:val="24"/>
          <w:szCs w:val="24"/>
          <w:lang w:val="es-CO" w:eastAsia="es-ES"/>
        </w:rPr>
        <w:t>201</w:t>
      </w:r>
      <w:r w:rsidR="00B759EA">
        <w:rPr>
          <w:rFonts w:ascii="Century Gothic" w:eastAsia="Times New Roman" w:hAnsi="Century Gothic" w:cs="Times New Roman"/>
          <w:bCs/>
          <w:sz w:val="24"/>
          <w:szCs w:val="24"/>
          <w:lang w:val="es-CO" w:eastAsia="es-ES"/>
        </w:rPr>
        <w:t>4</w:t>
      </w:r>
      <w:r w:rsidR="00FB2D72" w:rsidRPr="0099226F">
        <w:rPr>
          <w:rFonts w:ascii="Century Gothic" w:eastAsia="Times New Roman" w:hAnsi="Century Gothic" w:cs="Times New Roman"/>
          <w:bCs/>
          <w:sz w:val="24"/>
          <w:szCs w:val="24"/>
          <w:lang w:val="es-CO" w:eastAsia="es-ES"/>
        </w:rPr>
        <w:t xml:space="preserve">) por medio de la cual el Juzgado </w:t>
      </w:r>
      <w:r w:rsidR="00B47613" w:rsidRPr="0099226F">
        <w:rPr>
          <w:rFonts w:ascii="Century Gothic" w:eastAsia="Times New Roman" w:hAnsi="Century Gothic" w:cs="Times New Roman"/>
          <w:bCs/>
          <w:sz w:val="24"/>
          <w:szCs w:val="24"/>
          <w:lang w:val="es-CO" w:eastAsia="es-ES"/>
        </w:rPr>
        <w:t xml:space="preserve">Cuarto </w:t>
      </w:r>
      <w:r w:rsidR="00FB2D72" w:rsidRPr="0099226F">
        <w:rPr>
          <w:rFonts w:ascii="Century Gothic" w:eastAsia="Times New Roman" w:hAnsi="Century Gothic" w:cs="Times New Roman"/>
          <w:bCs/>
          <w:sz w:val="24"/>
          <w:szCs w:val="24"/>
          <w:lang w:val="es-CO" w:eastAsia="es-ES"/>
        </w:rPr>
        <w:t>Administrativo del Circuito de Cartagena declaró la nulidad de los actos acusados y accedió a la reliquidación pensional</w:t>
      </w:r>
      <w:r w:rsidR="00233A69">
        <w:rPr>
          <w:rFonts w:ascii="Century Gothic" w:eastAsia="Times New Roman" w:hAnsi="Century Gothic" w:cs="Times New Roman"/>
          <w:bCs/>
          <w:sz w:val="24"/>
          <w:szCs w:val="24"/>
          <w:lang w:val="es-CO" w:eastAsia="es-ES"/>
        </w:rPr>
        <w:t xml:space="preserve"> de la demandante</w:t>
      </w:r>
      <w:r>
        <w:rPr>
          <w:rFonts w:ascii="Century Gothic" w:eastAsia="Times New Roman" w:hAnsi="Century Gothic" w:cs="Times New Roman"/>
          <w:bCs/>
          <w:sz w:val="24"/>
          <w:szCs w:val="24"/>
          <w:lang w:val="es-CO" w:eastAsia="es-ES"/>
        </w:rPr>
        <w:t xml:space="preserve">. En su lugar, </w:t>
      </w:r>
      <w:r w:rsidR="00794F87">
        <w:rPr>
          <w:rFonts w:ascii="Century Gothic" w:eastAsia="Times New Roman" w:hAnsi="Century Gothic" w:cs="Times New Roman"/>
          <w:bCs/>
          <w:sz w:val="24"/>
          <w:szCs w:val="24"/>
          <w:lang w:val="es-CO" w:eastAsia="es-ES"/>
        </w:rPr>
        <w:t>se decidirá denegar las pretensiones de la demanda</w:t>
      </w:r>
      <w:r w:rsidR="00FB2D72" w:rsidRPr="0099226F">
        <w:rPr>
          <w:rFonts w:ascii="Century Gothic" w:eastAsia="Times New Roman" w:hAnsi="Century Gothic" w:cs="Times New Roman"/>
          <w:bCs/>
          <w:sz w:val="24"/>
          <w:szCs w:val="24"/>
          <w:lang w:val="es-CO" w:eastAsia="es-ES"/>
        </w:rPr>
        <w:t>.</w:t>
      </w:r>
    </w:p>
    <w:p w:rsidR="00B14571" w:rsidRPr="0099226F" w:rsidRDefault="00B14571" w:rsidP="001468B4">
      <w:pPr>
        <w:suppressAutoHyphens/>
        <w:overflowPunct w:val="0"/>
        <w:autoSpaceDE w:val="0"/>
        <w:autoSpaceDN w:val="0"/>
        <w:adjustRightInd w:val="0"/>
        <w:spacing w:after="0" w:line="360" w:lineRule="auto"/>
        <w:jc w:val="both"/>
        <w:textAlignment w:val="baseline"/>
        <w:rPr>
          <w:rFonts w:ascii="Century Gothic" w:eastAsia="Times New Roman" w:hAnsi="Century Gothic" w:cs="Times New Roman"/>
          <w:bCs/>
          <w:sz w:val="24"/>
          <w:szCs w:val="24"/>
          <w:lang w:eastAsia="es-ES"/>
        </w:rPr>
      </w:pPr>
    </w:p>
    <w:p w:rsidR="0074516D" w:rsidRPr="0099226F" w:rsidRDefault="00464460" w:rsidP="001468B4">
      <w:pPr>
        <w:suppressAutoHyphens/>
        <w:overflowPunct w:val="0"/>
        <w:autoSpaceDE w:val="0"/>
        <w:autoSpaceDN w:val="0"/>
        <w:adjustRightInd w:val="0"/>
        <w:spacing w:after="0" w:line="360" w:lineRule="auto"/>
        <w:jc w:val="both"/>
        <w:textAlignment w:val="baseline"/>
        <w:rPr>
          <w:rFonts w:ascii="Century Gothic" w:hAnsi="Century Gothic"/>
          <w:b/>
          <w:bCs/>
          <w:sz w:val="24"/>
          <w:szCs w:val="24"/>
          <w:lang w:val="es-CO"/>
        </w:rPr>
      </w:pPr>
      <w:r w:rsidRPr="0099226F">
        <w:rPr>
          <w:rFonts w:ascii="Century Gothic" w:hAnsi="Century Gothic"/>
          <w:b/>
          <w:bCs/>
          <w:sz w:val="24"/>
          <w:szCs w:val="24"/>
          <w:lang w:val="es-CO"/>
        </w:rPr>
        <w:t xml:space="preserve">3.3 </w:t>
      </w:r>
      <w:r w:rsidR="0074516D" w:rsidRPr="0099226F">
        <w:rPr>
          <w:rFonts w:ascii="Century Gothic" w:hAnsi="Century Gothic"/>
          <w:b/>
          <w:bCs/>
          <w:sz w:val="24"/>
          <w:szCs w:val="24"/>
          <w:lang w:val="es-CO"/>
        </w:rPr>
        <w:t>Condena en costas en segunda instancia.</w:t>
      </w:r>
    </w:p>
    <w:p w:rsidR="005B6067" w:rsidRPr="0099226F" w:rsidRDefault="005B6067" w:rsidP="001468B4">
      <w:pPr>
        <w:spacing w:after="0" w:line="360" w:lineRule="auto"/>
        <w:jc w:val="both"/>
        <w:rPr>
          <w:rFonts w:ascii="Century Gothic" w:hAnsi="Century Gothic"/>
          <w:sz w:val="24"/>
          <w:szCs w:val="24"/>
        </w:rPr>
      </w:pPr>
      <w:r w:rsidRPr="0099226F">
        <w:rPr>
          <w:rFonts w:ascii="Century Gothic" w:hAnsi="Century Gothic"/>
          <w:sz w:val="24"/>
          <w:szCs w:val="24"/>
        </w:rPr>
        <w:t xml:space="preserve">El artículo 188 del Código de Procedimiento Administrativo y de lo Contencioso Administrativo señala, que </w:t>
      </w:r>
      <w:r w:rsidRPr="0099226F">
        <w:rPr>
          <w:rFonts w:ascii="Century Gothic" w:hAnsi="Century Gothic"/>
          <w:i/>
          <w:sz w:val="24"/>
          <w:szCs w:val="24"/>
        </w:rPr>
        <w:t xml:space="preserve">“Salvo en los procesos en que se </w:t>
      </w:r>
      <w:r w:rsidRPr="0099226F">
        <w:rPr>
          <w:rFonts w:ascii="Century Gothic" w:hAnsi="Century Gothic"/>
          <w:i/>
          <w:sz w:val="24"/>
          <w:szCs w:val="24"/>
        </w:rPr>
        <w:lastRenderedPageBreak/>
        <w:t xml:space="preserve">ventile un interés público, la sentencia dispondrá sobre la condena en costas, cuya liquidación y ejecución se regirán por las normas del Código de Procedimiento Civil”. </w:t>
      </w:r>
      <w:r w:rsidRPr="0099226F">
        <w:rPr>
          <w:rFonts w:ascii="Century Gothic" w:hAnsi="Century Gothic"/>
          <w:sz w:val="24"/>
          <w:szCs w:val="24"/>
        </w:rPr>
        <w:t>A su turno, el artículo 365 del Código General del Proceso señala que se condenará en costas a la parte vencida en el proceso, o a quien se le resuelva desfavorablemente el recurso de apelación.</w:t>
      </w:r>
    </w:p>
    <w:p w:rsidR="005B6067" w:rsidRPr="0099226F" w:rsidRDefault="005B6067" w:rsidP="001468B4">
      <w:pPr>
        <w:spacing w:after="0" w:line="360" w:lineRule="auto"/>
        <w:jc w:val="both"/>
        <w:rPr>
          <w:rFonts w:ascii="Century Gothic" w:hAnsi="Century Gothic"/>
          <w:sz w:val="24"/>
          <w:szCs w:val="24"/>
        </w:rPr>
      </w:pPr>
    </w:p>
    <w:p w:rsidR="005B6067" w:rsidRPr="0099226F" w:rsidRDefault="005B6067" w:rsidP="001468B4">
      <w:pPr>
        <w:spacing w:after="0" w:line="360" w:lineRule="auto"/>
        <w:jc w:val="both"/>
        <w:rPr>
          <w:rFonts w:ascii="Century Gothic" w:hAnsi="Century Gothic"/>
          <w:bCs/>
          <w:sz w:val="24"/>
          <w:szCs w:val="24"/>
          <w:lang w:val="es-ES_tradnl"/>
        </w:rPr>
      </w:pPr>
      <w:r w:rsidRPr="0099226F">
        <w:rPr>
          <w:rFonts w:ascii="Century Gothic" w:hAnsi="Century Gothic"/>
          <w:bCs/>
          <w:sz w:val="24"/>
          <w:szCs w:val="24"/>
          <w:lang w:val="es-ES_tradnl"/>
        </w:rPr>
        <w:t>En ese sentido, si bien habría lugar a condenar en costas a</w:t>
      </w:r>
      <w:r w:rsidR="00CE0504" w:rsidRPr="0099226F">
        <w:rPr>
          <w:rFonts w:ascii="Century Gothic" w:hAnsi="Century Gothic"/>
          <w:bCs/>
          <w:sz w:val="24"/>
          <w:szCs w:val="24"/>
          <w:lang w:val="es-ES_tradnl"/>
        </w:rPr>
        <w:t xml:space="preserve"> </w:t>
      </w:r>
      <w:r w:rsidRPr="0099226F">
        <w:rPr>
          <w:rFonts w:ascii="Century Gothic" w:hAnsi="Century Gothic"/>
          <w:bCs/>
          <w:sz w:val="24"/>
          <w:szCs w:val="24"/>
          <w:lang w:val="es-ES_tradnl"/>
        </w:rPr>
        <w:t>l</w:t>
      </w:r>
      <w:r w:rsidR="00CE0504" w:rsidRPr="0099226F">
        <w:rPr>
          <w:rFonts w:ascii="Century Gothic" w:hAnsi="Century Gothic"/>
          <w:bCs/>
          <w:sz w:val="24"/>
          <w:szCs w:val="24"/>
          <w:lang w:val="es-ES_tradnl"/>
        </w:rPr>
        <w:t>a parte</w:t>
      </w:r>
      <w:r w:rsidRPr="0099226F">
        <w:rPr>
          <w:rFonts w:ascii="Century Gothic" w:hAnsi="Century Gothic"/>
          <w:bCs/>
          <w:sz w:val="24"/>
          <w:szCs w:val="24"/>
          <w:lang w:val="es-ES_tradnl"/>
        </w:rPr>
        <w:t xml:space="preserve"> demandante por </w:t>
      </w:r>
      <w:r w:rsidR="00CE0504" w:rsidRPr="0099226F">
        <w:rPr>
          <w:rFonts w:ascii="Century Gothic" w:hAnsi="Century Gothic"/>
          <w:bCs/>
          <w:sz w:val="24"/>
          <w:szCs w:val="24"/>
          <w:lang w:val="es-ES_tradnl"/>
        </w:rPr>
        <w:t xml:space="preserve">haber </w:t>
      </w:r>
      <w:r w:rsidRPr="0099226F">
        <w:rPr>
          <w:rFonts w:ascii="Century Gothic" w:hAnsi="Century Gothic"/>
          <w:bCs/>
          <w:sz w:val="24"/>
          <w:szCs w:val="24"/>
          <w:lang w:val="es-ES_tradnl"/>
        </w:rPr>
        <w:t>resulta</w:t>
      </w:r>
      <w:r w:rsidR="00CE0504" w:rsidRPr="0099226F">
        <w:rPr>
          <w:rFonts w:ascii="Century Gothic" w:hAnsi="Century Gothic"/>
          <w:bCs/>
          <w:sz w:val="24"/>
          <w:szCs w:val="24"/>
          <w:lang w:val="es-ES_tradnl"/>
        </w:rPr>
        <w:t>do</w:t>
      </w:r>
      <w:r w:rsidRPr="0099226F">
        <w:rPr>
          <w:rFonts w:ascii="Century Gothic" w:hAnsi="Century Gothic"/>
          <w:bCs/>
          <w:sz w:val="24"/>
          <w:szCs w:val="24"/>
          <w:lang w:val="es-ES_tradnl"/>
        </w:rPr>
        <w:t xml:space="preserve"> vencid</w:t>
      </w:r>
      <w:r w:rsidR="00CE0504" w:rsidRPr="0099226F">
        <w:rPr>
          <w:rFonts w:ascii="Century Gothic" w:hAnsi="Century Gothic"/>
          <w:bCs/>
          <w:sz w:val="24"/>
          <w:szCs w:val="24"/>
          <w:lang w:val="es-ES_tradnl"/>
        </w:rPr>
        <w:t>a</w:t>
      </w:r>
      <w:r w:rsidRPr="0099226F">
        <w:rPr>
          <w:rFonts w:ascii="Century Gothic" w:hAnsi="Century Gothic"/>
          <w:bCs/>
          <w:sz w:val="24"/>
          <w:szCs w:val="24"/>
          <w:lang w:val="es-ES_tradnl"/>
        </w:rPr>
        <w:t xml:space="preserve"> en el </w:t>
      </w:r>
      <w:r w:rsidR="00CE0504" w:rsidRPr="0099226F">
        <w:rPr>
          <w:rFonts w:ascii="Century Gothic" w:hAnsi="Century Gothic"/>
          <w:bCs/>
          <w:sz w:val="24"/>
          <w:szCs w:val="24"/>
          <w:lang w:val="es-ES_tradnl"/>
        </w:rPr>
        <w:t xml:space="preserve">presente </w:t>
      </w:r>
      <w:r w:rsidRPr="0099226F">
        <w:rPr>
          <w:rFonts w:ascii="Century Gothic" w:hAnsi="Century Gothic"/>
          <w:bCs/>
          <w:sz w:val="24"/>
          <w:szCs w:val="24"/>
          <w:lang w:val="es-ES_tradnl"/>
        </w:rPr>
        <w:t xml:space="preserve">proceso, la Sala no </w:t>
      </w:r>
      <w:r w:rsidR="00D133AD" w:rsidRPr="0099226F">
        <w:rPr>
          <w:rFonts w:ascii="Century Gothic" w:hAnsi="Century Gothic"/>
          <w:bCs/>
          <w:sz w:val="24"/>
          <w:szCs w:val="24"/>
          <w:lang w:val="es-ES_tradnl"/>
        </w:rPr>
        <w:t xml:space="preserve">le </w:t>
      </w:r>
      <w:r w:rsidRPr="0099226F">
        <w:rPr>
          <w:rFonts w:ascii="Century Gothic" w:hAnsi="Century Gothic"/>
          <w:bCs/>
          <w:sz w:val="24"/>
          <w:szCs w:val="24"/>
          <w:lang w:val="es-ES_tradnl"/>
        </w:rPr>
        <w:t>impon</w:t>
      </w:r>
      <w:r w:rsidR="00D133AD" w:rsidRPr="0099226F">
        <w:rPr>
          <w:rFonts w:ascii="Century Gothic" w:hAnsi="Century Gothic"/>
          <w:bCs/>
          <w:sz w:val="24"/>
          <w:szCs w:val="24"/>
          <w:lang w:val="es-ES_tradnl"/>
        </w:rPr>
        <w:t xml:space="preserve">drá tal condena, teniendo en cuenta </w:t>
      </w:r>
      <w:r w:rsidRPr="0099226F">
        <w:rPr>
          <w:rFonts w:ascii="Century Gothic" w:hAnsi="Century Gothic"/>
          <w:bCs/>
          <w:sz w:val="24"/>
          <w:szCs w:val="24"/>
          <w:lang w:val="es-ES_tradnl"/>
        </w:rPr>
        <w:t xml:space="preserve">que para la fecha </w:t>
      </w:r>
      <w:r w:rsidR="00D133AD" w:rsidRPr="0099226F">
        <w:rPr>
          <w:rFonts w:ascii="Century Gothic" w:hAnsi="Century Gothic"/>
          <w:bCs/>
          <w:sz w:val="24"/>
          <w:szCs w:val="24"/>
          <w:lang w:val="es-ES_tradnl"/>
        </w:rPr>
        <w:t>en que presentó su demanda</w:t>
      </w:r>
      <w:r w:rsidR="00F93BE2" w:rsidRPr="0099226F">
        <w:rPr>
          <w:rFonts w:ascii="Century Gothic" w:hAnsi="Century Gothic"/>
          <w:bCs/>
          <w:sz w:val="24"/>
          <w:szCs w:val="24"/>
          <w:lang w:val="es-ES_tradnl"/>
        </w:rPr>
        <w:t>,</w:t>
      </w:r>
      <w:r w:rsidR="00D133AD" w:rsidRPr="0099226F">
        <w:rPr>
          <w:rFonts w:ascii="Century Gothic" w:hAnsi="Century Gothic"/>
          <w:bCs/>
          <w:sz w:val="24"/>
          <w:szCs w:val="24"/>
          <w:lang w:val="es-ES_tradnl"/>
        </w:rPr>
        <w:t xml:space="preserve"> </w:t>
      </w:r>
      <w:r w:rsidRPr="0099226F">
        <w:rPr>
          <w:rFonts w:ascii="Century Gothic" w:hAnsi="Century Gothic"/>
          <w:bCs/>
          <w:sz w:val="24"/>
          <w:szCs w:val="24"/>
          <w:lang w:val="es-ES_tradnl"/>
        </w:rPr>
        <w:t xml:space="preserve">la tesis que adoptaba este Tribunal era la inescindibilidad del régimen de transición, </w:t>
      </w:r>
      <w:r w:rsidR="00E348C4" w:rsidRPr="0099226F">
        <w:rPr>
          <w:rFonts w:ascii="Century Gothic" w:hAnsi="Century Gothic"/>
          <w:bCs/>
          <w:sz w:val="24"/>
          <w:szCs w:val="24"/>
          <w:lang w:val="es-ES_tradnl"/>
        </w:rPr>
        <w:t>criterio</w:t>
      </w:r>
      <w:r w:rsidR="00D133AD" w:rsidRPr="0099226F">
        <w:rPr>
          <w:rFonts w:ascii="Century Gothic" w:hAnsi="Century Gothic"/>
          <w:bCs/>
          <w:sz w:val="24"/>
          <w:szCs w:val="24"/>
          <w:lang w:val="es-ES_tradnl"/>
        </w:rPr>
        <w:t xml:space="preserve"> en cuyo marco </w:t>
      </w:r>
      <w:r w:rsidR="00E348C4" w:rsidRPr="0099226F">
        <w:rPr>
          <w:rFonts w:ascii="Century Gothic" w:hAnsi="Century Gothic"/>
          <w:bCs/>
          <w:sz w:val="24"/>
          <w:szCs w:val="24"/>
          <w:lang w:val="es-ES_tradnl"/>
        </w:rPr>
        <w:t xml:space="preserve">se entiende </w:t>
      </w:r>
      <w:r w:rsidR="00D133AD" w:rsidRPr="0099226F">
        <w:rPr>
          <w:rFonts w:ascii="Century Gothic" w:hAnsi="Century Gothic"/>
          <w:bCs/>
          <w:sz w:val="24"/>
          <w:szCs w:val="24"/>
          <w:lang w:val="es-ES_tradnl"/>
        </w:rPr>
        <w:t>actu</w:t>
      </w:r>
      <w:r w:rsidR="00E348C4" w:rsidRPr="0099226F">
        <w:rPr>
          <w:rFonts w:ascii="Century Gothic" w:hAnsi="Century Gothic"/>
          <w:bCs/>
          <w:sz w:val="24"/>
          <w:szCs w:val="24"/>
          <w:lang w:val="es-ES_tradnl"/>
        </w:rPr>
        <w:t xml:space="preserve">ó la parte accionante </w:t>
      </w:r>
      <w:r w:rsidR="00D133AD" w:rsidRPr="0099226F">
        <w:rPr>
          <w:rFonts w:ascii="Century Gothic" w:hAnsi="Century Gothic"/>
          <w:bCs/>
          <w:sz w:val="24"/>
          <w:szCs w:val="24"/>
          <w:lang w:val="es-ES_tradnl"/>
        </w:rPr>
        <w:t xml:space="preserve">bajo el convencimiento </w:t>
      </w:r>
      <w:r w:rsidR="00E348C4" w:rsidRPr="0099226F">
        <w:rPr>
          <w:rFonts w:ascii="Century Gothic" w:hAnsi="Century Gothic"/>
          <w:bCs/>
          <w:sz w:val="24"/>
          <w:szCs w:val="24"/>
          <w:lang w:val="es-ES_tradnl"/>
        </w:rPr>
        <w:t>de</w:t>
      </w:r>
      <w:r w:rsidR="00D133AD" w:rsidRPr="0099226F">
        <w:rPr>
          <w:rFonts w:ascii="Century Gothic" w:hAnsi="Century Gothic"/>
          <w:bCs/>
          <w:sz w:val="24"/>
          <w:szCs w:val="24"/>
          <w:lang w:val="es-ES_tradnl"/>
        </w:rPr>
        <w:t xml:space="preserve"> que era necesaria </w:t>
      </w:r>
      <w:r w:rsidRPr="0099226F">
        <w:rPr>
          <w:rFonts w:ascii="Century Gothic" w:hAnsi="Century Gothic"/>
          <w:bCs/>
          <w:sz w:val="24"/>
          <w:szCs w:val="24"/>
          <w:lang w:val="es-ES_tradnl"/>
        </w:rPr>
        <w:t>la puesta en funcionamiento de la jurisdicción</w:t>
      </w:r>
      <w:r w:rsidR="00E348C4" w:rsidRPr="0099226F">
        <w:rPr>
          <w:rFonts w:ascii="Century Gothic" w:hAnsi="Century Gothic"/>
          <w:bCs/>
          <w:sz w:val="24"/>
          <w:szCs w:val="24"/>
          <w:lang w:val="es-ES_tradnl"/>
        </w:rPr>
        <w:t xml:space="preserve"> y </w:t>
      </w:r>
      <w:r w:rsidR="00F93BE2" w:rsidRPr="0099226F">
        <w:rPr>
          <w:rFonts w:ascii="Century Gothic" w:hAnsi="Century Gothic"/>
          <w:bCs/>
          <w:sz w:val="24"/>
          <w:szCs w:val="24"/>
          <w:lang w:val="es-ES_tradnl"/>
        </w:rPr>
        <w:t xml:space="preserve">que </w:t>
      </w:r>
      <w:r w:rsidR="00E348C4" w:rsidRPr="0099226F">
        <w:rPr>
          <w:rFonts w:ascii="Century Gothic" w:hAnsi="Century Gothic"/>
          <w:bCs/>
          <w:sz w:val="24"/>
          <w:szCs w:val="24"/>
          <w:lang w:val="es-ES_tradnl"/>
        </w:rPr>
        <w:t>sus pretensiones podrían ser prósperas</w:t>
      </w:r>
      <w:r w:rsidRPr="0099226F">
        <w:rPr>
          <w:rFonts w:ascii="Century Gothic" w:hAnsi="Century Gothic"/>
          <w:bCs/>
          <w:sz w:val="24"/>
          <w:szCs w:val="24"/>
          <w:lang w:val="es-ES_tradnl"/>
        </w:rPr>
        <w:t>.</w:t>
      </w:r>
      <w:r w:rsidR="00E348C4" w:rsidRPr="0099226F">
        <w:rPr>
          <w:rFonts w:ascii="Century Gothic" w:hAnsi="Century Gothic"/>
          <w:bCs/>
          <w:sz w:val="24"/>
          <w:szCs w:val="24"/>
          <w:lang w:val="es-ES_tradnl"/>
        </w:rPr>
        <w:t xml:space="preserve"> </w:t>
      </w:r>
      <w:r w:rsidRPr="0099226F">
        <w:rPr>
          <w:rFonts w:ascii="Century Gothic" w:hAnsi="Century Gothic"/>
          <w:bCs/>
          <w:sz w:val="24"/>
          <w:szCs w:val="24"/>
          <w:lang w:val="es-ES_tradnl"/>
        </w:rPr>
        <w:t>En tal sentido, al resultar vencida la parte demandante</w:t>
      </w:r>
      <w:r w:rsidR="00E348C4" w:rsidRPr="0099226F">
        <w:rPr>
          <w:rFonts w:ascii="Century Gothic" w:hAnsi="Century Gothic"/>
          <w:bCs/>
          <w:sz w:val="24"/>
          <w:szCs w:val="24"/>
          <w:lang w:val="es-ES_tradnl"/>
        </w:rPr>
        <w:t>, por</w:t>
      </w:r>
      <w:r w:rsidRPr="0099226F">
        <w:rPr>
          <w:rFonts w:ascii="Century Gothic" w:hAnsi="Century Gothic"/>
          <w:bCs/>
          <w:sz w:val="24"/>
          <w:szCs w:val="24"/>
          <w:lang w:val="es-ES_tradnl"/>
        </w:rPr>
        <w:t xml:space="preserve"> revocarse la sentencia de primera instancia con ocasión del cambio de criterio de esta Corporación, </w:t>
      </w:r>
      <w:r w:rsidR="00E348C4" w:rsidRPr="0099226F">
        <w:rPr>
          <w:rFonts w:ascii="Century Gothic" w:hAnsi="Century Gothic"/>
          <w:bCs/>
          <w:sz w:val="24"/>
          <w:szCs w:val="24"/>
          <w:lang w:val="es-ES_tradnl"/>
        </w:rPr>
        <w:t>resulta</w:t>
      </w:r>
      <w:r w:rsidRPr="0099226F">
        <w:rPr>
          <w:rFonts w:ascii="Century Gothic" w:hAnsi="Century Gothic"/>
          <w:bCs/>
          <w:sz w:val="24"/>
          <w:szCs w:val="24"/>
          <w:lang w:val="es-ES_tradnl"/>
        </w:rPr>
        <w:t xml:space="preserve"> inequitativo imponer condena en costas en su contra.</w:t>
      </w:r>
    </w:p>
    <w:p w:rsidR="0074516D" w:rsidRPr="0099226F" w:rsidRDefault="0074516D" w:rsidP="001468B4">
      <w:pPr>
        <w:spacing w:after="0" w:line="360" w:lineRule="auto"/>
        <w:jc w:val="both"/>
        <w:rPr>
          <w:rFonts w:ascii="Century Gothic" w:hAnsi="Century Gothic" w:cs="Arial"/>
          <w:sz w:val="24"/>
          <w:szCs w:val="24"/>
          <w:lang w:val="es-ES_tradnl"/>
        </w:rPr>
      </w:pPr>
    </w:p>
    <w:p w:rsidR="0074516D" w:rsidRPr="0099226F" w:rsidRDefault="0074516D" w:rsidP="001468B4">
      <w:pPr>
        <w:suppressAutoHyphens/>
        <w:overflowPunct w:val="0"/>
        <w:autoSpaceDE w:val="0"/>
        <w:autoSpaceDN w:val="0"/>
        <w:adjustRightInd w:val="0"/>
        <w:spacing w:after="0" w:line="360" w:lineRule="auto"/>
        <w:jc w:val="both"/>
        <w:textAlignment w:val="baseline"/>
        <w:rPr>
          <w:rFonts w:ascii="Century Gothic" w:hAnsi="Century Gothic"/>
          <w:bCs/>
          <w:sz w:val="24"/>
          <w:szCs w:val="24"/>
          <w:lang w:val="es-CO"/>
        </w:rPr>
      </w:pPr>
      <w:r w:rsidRPr="0099226F">
        <w:rPr>
          <w:rFonts w:ascii="Century Gothic" w:hAnsi="Century Gothic"/>
          <w:bCs/>
          <w:sz w:val="24"/>
          <w:szCs w:val="24"/>
          <w:lang w:val="es-CO"/>
        </w:rPr>
        <w:t xml:space="preserve">En mérito de lo expuesto, el </w:t>
      </w:r>
      <w:r w:rsidRPr="0099226F">
        <w:rPr>
          <w:rFonts w:ascii="Century Gothic" w:hAnsi="Century Gothic"/>
          <w:b/>
          <w:bCs/>
          <w:sz w:val="24"/>
          <w:szCs w:val="24"/>
          <w:lang w:val="es-CO"/>
        </w:rPr>
        <w:t>TRIBUNAL ADMINISTRATIVO DE BOLÍVAR</w:t>
      </w:r>
      <w:r w:rsidRPr="0099226F">
        <w:rPr>
          <w:rFonts w:ascii="Century Gothic" w:hAnsi="Century Gothic"/>
          <w:bCs/>
          <w:sz w:val="24"/>
          <w:szCs w:val="24"/>
          <w:lang w:val="es-CO"/>
        </w:rPr>
        <w:t xml:space="preserve"> administrando justicia en nombre de la República y por autoridad de la Ley,</w:t>
      </w:r>
    </w:p>
    <w:p w:rsidR="0074516D" w:rsidRPr="0099226F" w:rsidRDefault="0074516D" w:rsidP="001468B4">
      <w:pPr>
        <w:spacing w:after="0" w:line="360" w:lineRule="auto"/>
        <w:rPr>
          <w:rFonts w:ascii="Century Gothic" w:hAnsi="Century Gothic" w:cs="Arial"/>
          <w:b/>
          <w:iCs/>
          <w:sz w:val="24"/>
          <w:szCs w:val="24"/>
        </w:rPr>
      </w:pPr>
    </w:p>
    <w:p w:rsidR="0074516D" w:rsidRPr="0099226F" w:rsidRDefault="0074516D" w:rsidP="001468B4">
      <w:pPr>
        <w:spacing w:after="0" w:line="360" w:lineRule="auto"/>
        <w:jc w:val="center"/>
        <w:rPr>
          <w:rFonts w:ascii="Century Gothic" w:hAnsi="Century Gothic" w:cs="Arial"/>
          <w:b/>
          <w:iCs/>
          <w:sz w:val="24"/>
          <w:szCs w:val="24"/>
        </w:rPr>
      </w:pPr>
      <w:r w:rsidRPr="0099226F">
        <w:rPr>
          <w:rFonts w:ascii="Century Gothic" w:hAnsi="Century Gothic" w:cs="Arial"/>
          <w:b/>
          <w:iCs/>
          <w:sz w:val="24"/>
          <w:szCs w:val="24"/>
        </w:rPr>
        <w:t>FALLA</w:t>
      </w:r>
    </w:p>
    <w:p w:rsidR="0074516D" w:rsidRPr="0099226F" w:rsidRDefault="0074516D" w:rsidP="001468B4">
      <w:pPr>
        <w:spacing w:after="0" w:line="360" w:lineRule="auto"/>
        <w:jc w:val="center"/>
        <w:rPr>
          <w:rFonts w:ascii="Century Gothic" w:hAnsi="Century Gothic" w:cs="Arial"/>
          <w:b/>
          <w:iCs/>
          <w:sz w:val="24"/>
          <w:szCs w:val="24"/>
        </w:rPr>
      </w:pPr>
    </w:p>
    <w:p w:rsidR="005B6067" w:rsidRPr="0099226F" w:rsidRDefault="0074516D" w:rsidP="001468B4">
      <w:pPr>
        <w:suppressAutoHyphens/>
        <w:overflowPunct w:val="0"/>
        <w:autoSpaceDE w:val="0"/>
        <w:autoSpaceDN w:val="0"/>
        <w:adjustRightInd w:val="0"/>
        <w:spacing w:after="0" w:line="360" w:lineRule="auto"/>
        <w:jc w:val="both"/>
        <w:textAlignment w:val="baseline"/>
        <w:rPr>
          <w:rFonts w:ascii="Century Gothic" w:hAnsi="Century Gothic" w:cs="Arial"/>
          <w:bCs/>
          <w:iCs/>
          <w:sz w:val="24"/>
          <w:szCs w:val="24"/>
          <w:lang w:val="es-CO"/>
        </w:rPr>
      </w:pPr>
      <w:r w:rsidRPr="0099226F">
        <w:rPr>
          <w:rFonts w:ascii="Century Gothic" w:hAnsi="Century Gothic" w:cs="Arial"/>
          <w:b/>
          <w:iCs/>
          <w:sz w:val="24"/>
          <w:szCs w:val="24"/>
          <w:lang w:val="es-CO"/>
        </w:rPr>
        <w:t xml:space="preserve">PRIMERO: </w:t>
      </w:r>
      <w:r w:rsidR="005B6067" w:rsidRPr="0099226F">
        <w:rPr>
          <w:rFonts w:ascii="Century Gothic" w:hAnsi="Century Gothic" w:cs="Arial"/>
          <w:b/>
          <w:iCs/>
          <w:sz w:val="24"/>
          <w:szCs w:val="24"/>
          <w:lang w:val="es-CO"/>
        </w:rPr>
        <w:t>REVOCA</w:t>
      </w:r>
      <w:r w:rsidR="00CE0504" w:rsidRPr="0099226F">
        <w:rPr>
          <w:rFonts w:ascii="Century Gothic" w:hAnsi="Century Gothic" w:cs="Arial"/>
          <w:b/>
          <w:iCs/>
          <w:sz w:val="24"/>
          <w:szCs w:val="24"/>
          <w:lang w:val="es-CO"/>
        </w:rPr>
        <w:t>R</w:t>
      </w:r>
      <w:r w:rsidR="005B6067" w:rsidRPr="0099226F">
        <w:rPr>
          <w:rFonts w:ascii="Century Gothic" w:hAnsi="Century Gothic" w:cs="Arial"/>
          <w:b/>
          <w:iCs/>
          <w:sz w:val="24"/>
          <w:szCs w:val="24"/>
          <w:lang w:val="es-CO"/>
        </w:rPr>
        <w:t xml:space="preserve"> </w:t>
      </w:r>
      <w:r w:rsidR="00CE0504" w:rsidRPr="0099226F">
        <w:rPr>
          <w:rFonts w:ascii="Century Gothic" w:hAnsi="Century Gothic" w:cs="Arial"/>
          <w:iCs/>
          <w:sz w:val="24"/>
          <w:szCs w:val="24"/>
          <w:lang w:val="es-CO"/>
        </w:rPr>
        <w:t xml:space="preserve">en su integridad </w:t>
      </w:r>
      <w:r w:rsidR="005B6067" w:rsidRPr="0099226F">
        <w:rPr>
          <w:rFonts w:ascii="Century Gothic" w:hAnsi="Century Gothic" w:cs="Arial"/>
          <w:bCs/>
          <w:iCs/>
          <w:sz w:val="24"/>
          <w:szCs w:val="24"/>
          <w:lang w:val="es-CO"/>
        </w:rPr>
        <w:t xml:space="preserve">la sentencia de fecha treinta (30) de septiembre de dos mil </w:t>
      </w:r>
      <w:r w:rsidR="00E95984">
        <w:rPr>
          <w:rFonts w:ascii="Century Gothic" w:hAnsi="Century Gothic" w:cs="Arial"/>
          <w:bCs/>
          <w:iCs/>
          <w:sz w:val="24"/>
          <w:szCs w:val="24"/>
          <w:lang w:val="es-CO"/>
        </w:rPr>
        <w:t>catorce</w:t>
      </w:r>
      <w:r w:rsidR="005B6067" w:rsidRPr="0099226F">
        <w:rPr>
          <w:rFonts w:ascii="Century Gothic" w:hAnsi="Century Gothic" w:cs="Arial"/>
          <w:bCs/>
          <w:iCs/>
          <w:sz w:val="24"/>
          <w:szCs w:val="24"/>
          <w:lang w:val="es-CO"/>
        </w:rPr>
        <w:t xml:space="preserve"> (201</w:t>
      </w:r>
      <w:r w:rsidR="00E95984">
        <w:rPr>
          <w:rFonts w:ascii="Century Gothic" w:hAnsi="Century Gothic" w:cs="Arial"/>
          <w:bCs/>
          <w:iCs/>
          <w:sz w:val="24"/>
          <w:szCs w:val="24"/>
          <w:lang w:val="es-CO"/>
        </w:rPr>
        <w:t>4</w:t>
      </w:r>
      <w:r w:rsidR="005B6067" w:rsidRPr="0099226F">
        <w:rPr>
          <w:rFonts w:ascii="Century Gothic" w:hAnsi="Century Gothic" w:cs="Arial"/>
          <w:bCs/>
          <w:iCs/>
          <w:sz w:val="24"/>
          <w:szCs w:val="24"/>
          <w:lang w:val="es-CO"/>
        </w:rPr>
        <w:t xml:space="preserve">) </w:t>
      </w:r>
      <w:r w:rsidR="00CE0504" w:rsidRPr="0099226F">
        <w:rPr>
          <w:rFonts w:ascii="Century Gothic" w:hAnsi="Century Gothic" w:cs="Arial"/>
          <w:bCs/>
          <w:iCs/>
          <w:sz w:val="24"/>
          <w:szCs w:val="24"/>
          <w:lang w:val="es-CO"/>
        </w:rPr>
        <w:t>dictada por e</w:t>
      </w:r>
      <w:r w:rsidR="005B6067" w:rsidRPr="0099226F">
        <w:rPr>
          <w:rFonts w:ascii="Century Gothic" w:hAnsi="Century Gothic" w:cs="Arial"/>
          <w:bCs/>
          <w:iCs/>
          <w:sz w:val="24"/>
          <w:szCs w:val="24"/>
          <w:lang w:val="es-CO"/>
        </w:rPr>
        <w:t>l Juzgado Cuarto Administrativo</w:t>
      </w:r>
      <w:r w:rsidR="00CE0504" w:rsidRPr="0099226F">
        <w:rPr>
          <w:rFonts w:ascii="Century Gothic" w:hAnsi="Century Gothic" w:cs="Arial"/>
          <w:bCs/>
          <w:iCs/>
          <w:sz w:val="24"/>
          <w:szCs w:val="24"/>
          <w:lang w:val="es-CO"/>
        </w:rPr>
        <w:t xml:space="preserve"> Oral</w:t>
      </w:r>
      <w:r w:rsidR="005B6067" w:rsidRPr="0099226F">
        <w:rPr>
          <w:rFonts w:ascii="Century Gothic" w:hAnsi="Century Gothic" w:cs="Arial"/>
          <w:bCs/>
          <w:iCs/>
          <w:sz w:val="24"/>
          <w:szCs w:val="24"/>
          <w:lang w:val="es-CO"/>
        </w:rPr>
        <w:t xml:space="preserve"> del Circuito de Cartagena</w:t>
      </w:r>
      <w:r w:rsidR="00CE0504" w:rsidRPr="0099226F">
        <w:rPr>
          <w:rFonts w:ascii="Century Gothic" w:hAnsi="Century Gothic" w:cs="Arial"/>
          <w:bCs/>
          <w:iCs/>
          <w:sz w:val="24"/>
          <w:szCs w:val="24"/>
          <w:lang w:val="es-CO"/>
        </w:rPr>
        <w:t xml:space="preserve">. En su lugar, </w:t>
      </w:r>
      <w:r w:rsidR="00CE0504" w:rsidRPr="0099226F">
        <w:rPr>
          <w:rFonts w:ascii="Century Gothic" w:hAnsi="Century Gothic" w:cs="Arial"/>
          <w:b/>
          <w:bCs/>
          <w:iCs/>
          <w:sz w:val="24"/>
          <w:szCs w:val="24"/>
          <w:lang w:val="es-CO"/>
        </w:rPr>
        <w:t>DENEGAR</w:t>
      </w:r>
      <w:r w:rsidR="00CE0504" w:rsidRPr="0099226F">
        <w:rPr>
          <w:rFonts w:ascii="Century Gothic" w:hAnsi="Century Gothic" w:cs="Arial"/>
          <w:bCs/>
          <w:iCs/>
          <w:sz w:val="24"/>
          <w:szCs w:val="24"/>
          <w:lang w:val="es-CO"/>
        </w:rPr>
        <w:t xml:space="preserve"> las pretensiones de la demanda de </w:t>
      </w:r>
      <w:r w:rsidR="005B6067" w:rsidRPr="0099226F">
        <w:rPr>
          <w:rFonts w:ascii="Century Gothic" w:hAnsi="Century Gothic" w:cs="Arial"/>
          <w:bCs/>
          <w:iCs/>
          <w:sz w:val="24"/>
          <w:szCs w:val="24"/>
          <w:lang w:val="es-CO"/>
        </w:rPr>
        <w:t xml:space="preserve">nulidad </w:t>
      </w:r>
      <w:r w:rsidR="00CE0504" w:rsidRPr="0099226F">
        <w:rPr>
          <w:rFonts w:ascii="Century Gothic" w:hAnsi="Century Gothic" w:cs="Arial"/>
          <w:bCs/>
          <w:iCs/>
          <w:sz w:val="24"/>
          <w:szCs w:val="24"/>
          <w:lang w:val="es-CO"/>
        </w:rPr>
        <w:t xml:space="preserve">y restablecimiento del derecho, incoada por </w:t>
      </w:r>
      <w:r w:rsidR="00CE0504" w:rsidRPr="0099226F">
        <w:rPr>
          <w:rFonts w:ascii="Century Gothic" w:hAnsi="Century Gothic" w:cs="Arial"/>
          <w:sz w:val="24"/>
          <w:szCs w:val="24"/>
        </w:rPr>
        <w:t>CARMEN ELENA CASTRO CORDERO contra la UGPP</w:t>
      </w:r>
      <w:r w:rsidR="005B6067" w:rsidRPr="0099226F">
        <w:rPr>
          <w:rFonts w:ascii="Century Gothic" w:hAnsi="Century Gothic" w:cs="Arial"/>
          <w:bCs/>
          <w:iCs/>
          <w:sz w:val="24"/>
          <w:szCs w:val="24"/>
          <w:lang w:val="es-CO"/>
        </w:rPr>
        <w:t>.</w:t>
      </w:r>
    </w:p>
    <w:p w:rsidR="0074516D" w:rsidRPr="0099226F" w:rsidRDefault="0074516D" w:rsidP="001468B4">
      <w:pPr>
        <w:spacing w:after="0" w:line="360" w:lineRule="auto"/>
        <w:jc w:val="both"/>
        <w:rPr>
          <w:rFonts w:ascii="Century Gothic" w:hAnsi="Century Gothic" w:cs="Arial"/>
          <w:b/>
          <w:iCs/>
          <w:sz w:val="24"/>
          <w:szCs w:val="24"/>
          <w:lang w:val="es-CO"/>
        </w:rPr>
      </w:pPr>
    </w:p>
    <w:p w:rsidR="0074516D" w:rsidRPr="0099226F" w:rsidRDefault="0074516D" w:rsidP="001468B4">
      <w:pPr>
        <w:spacing w:after="0" w:line="360" w:lineRule="auto"/>
        <w:jc w:val="both"/>
        <w:rPr>
          <w:rFonts w:ascii="Century Gothic" w:hAnsi="Century Gothic" w:cs="Arial"/>
          <w:b/>
          <w:iCs/>
          <w:sz w:val="24"/>
          <w:szCs w:val="24"/>
          <w:lang w:val="es-CO"/>
        </w:rPr>
      </w:pPr>
      <w:r w:rsidRPr="0099226F">
        <w:rPr>
          <w:rFonts w:ascii="Century Gothic" w:hAnsi="Century Gothic" w:cs="Arial"/>
          <w:b/>
          <w:iCs/>
          <w:sz w:val="24"/>
          <w:szCs w:val="24"/>
          <w:lang w:val="es-CO"/>
        </w:rPr>
        <w:lastRenderedPageBreak/>
        <w:t xml:space="preserve">SEGUNDO: </w:t>
      </w:r>
      <w:r w:rsidR="005B6067" w:rsidRPr="0099226F">
        <w:rPr>
          <w:rFonts w:ascii="Century Gothic" w:hAnsi="Century Gothic" w:cs="Arial"/>
          <w:iCs/>
          <w:sz w:val="24"/>
          <w:szCs w:val="24"/>
          <w:lang w:val="es-CO"/>
        </w:rPr>
        <w:t>Sin condena en costas.</w:t>
      </w:r>
      <w:r w:rsidR="005B6067" w:rsidRPr="0099226F">
        <w:rPr>
          <w:rFonts w:ascii="Century Gothic" w:hAnsi="Century Gothic" w:cs="Arial"/>
          <w:b/>
          <w:iCs/>
          <w:sz w:val="24"/>
          <w:szCs w:val="24"/>
          <w:lang w:val="es-CO"/>
        </w:rPr>
        <w:t xml:space="preserve"> </w:t>
      </w:r>
    </w:p>
    <w:p w:rsidR="005B6067" w:rsidRPr="0099226F" w:rsidRDefault="005B6067" w:rsidP="001468B4">
      <w:pPr>
        <w:spacing w:after="0" w:line="360" w:lineRule="auto"/>
        <w:jc w:val="both"/>
        <w:rPr>
          <w:rFonts w:ascii="Century Gothic" w:hAnsi="Century Gothic"/>
          <w:sz w:val="24"/>
          <w:szCs w:val="24"/>
        </w:rPr>
      </w:pPr>
    </w:p>
    <w:p w:rsidR="0074516D" w:rsidRPr="0099226F" w:rsidRDefault="0074516D" w:rsidP="001468B4">
      <w:pPr>
        <w:spacing w:after="0" w:line="360" w:lineRule="auto"/>
        <w:jc w:val="both"/>
        <w:rPr>
          <w:rFonts w:ascii="Century Gothic" w:hAnsi="Century Gothic"/>
          <w:sz w:val="24"/>
          <w:szCs w:val="24"/>
        </w:rPr>
      </w:pPr>
      <w:r w:rsidRPr="0099226F">
        <w:rPr>
          <w:rFonts w:ascii="Century Gothic" w:hAnsi="Century Gothic" w:cs="Arial"/>
          <w:b/>
          <w:iCs/>
          <w:sz w:val="24"/>
          <w:szCs w:val="24"/>
          <w:lang w:val="es-CO"/>
        </w:rPr>
        <w:t xml:space="preserve">TERCERO: </w:t>
      </w:r>
      <w:r w:rsidRPr="0099226F">
        <w:rPr>
          <w:rFonts w:ascii="Century Gothic" w:hAnsi="Century Gothic" w:cs="Arial"/>
          <w:iCs/>
          <w:sz w:val="24"/>
          <w:szCs w:val="24"/>
          <w:lang w:val="es-CO"/>
        </w:rPr>
        <w:t>Ejecutoriada la presente providencia, devuélvase el expediente al juzgado de origen, previas las anotaciones de rigor.</w:t>
      </w:r>
    </w:p>
    <w:p w:rsidR="0074516D" w:rsidRPr="0099226F" w:rsidRDefault="0074516D" w:rsidP="001468B4">
      <w:pPr>
        <w:spacing w:after="0" w:line="360" w:lineRule="auto"/>
        <w:rPr>
          <w:rFonts w:ascii="Century Gothic" w:hAnsi="Century Gothic" w:cs="Arial"/>
          <w:b/>
          <w:iCs/>
          <w:sz w:val="24"/>
          <w:szCs w:val="24"/>
          <w:lang w:val="es-CO"/>
        </w:rPr>
      </w:pPr>
    </w:p>
    <w:p w:rsidR="0074516D" w:rsidRPr="0099226F" w:rsidRDefault="0074516D" w:rsidP="001468B4">
      <w:pPr>
        <w:spacing w:after="0" w:line="360" w:lineRule="auto"/>
        <w:jc w:val="center"/>
        <w:rPr>
          <w:rFonts w:ascii="Century Gothic" w:hAnsi="Century Gothic" w:cs="Arial"/>
          <w:b/>
          <w:iCs/>
          <w:sz w:val="24"/>
          <w:szCs w:val="24"/>
          <w:lang w:val="es-CO"/>
        </w:rPr>
      </w:pPr>
      <w:r w:rsidRPr="0099226F">
        <w:rPr>
          <w:rFonts w:ascii="Century Gothic" w:hAnsi="Century Gothic" w:cs="Arial"/>
          <w:b/>
          <w:iCs/>
          <w:sz w:val="24"/>
          <w:szCs w:val="24"/>
          <w:lang w:val="es-CO"/>
        </w:rPr>
        <w:t>NOTIFÍQUESE Y CÚMPLASE</w:t>
      </w:r>
    </w:p>
    <w:p w:rsidR="0074516D" w:rsidRPr="0099226F" w:rsidRDefault="0074516D" w:rsidP="001468B4">
      <w:pPr>
        <w:spacing w:after="0" w:line="360" w:lineRule="auto"/>
        <w:jc w:val="center"/>
        <w:rPr>
          <w:rFonts w:ascii="Century Gothic" w:hAnsi="Century Gothic" w:cs="Arial"/>
          <w:b/>
          <w:iCs/>
          <w:sz w:val="24"/>
          <w:szCs w:val="24"/>
          <w:lang w:val="es-CO"/>
        </w:rPr>
      </w:pPr>
    </w:p>
    <w:p w:rsidR="0074516D" w:rsidRPr="0099226F" w:rsidRDefault="0074516D" w:rsidP="001468B4">
      <w:pPr>
        <w:overflowPunct w:val="0"/>
        <w:autoSpaceDE w:val="0"/>
        <w:autoSpaceDN w:val="0"/>
        <w:adjustRightInd w:val="0"/>
        <w:spacing w:after="0" w:line="360" w:lineRule="auto"/>
        <w:contextualSpacing/>
        <w:jc w:val="center"/>
        <w:rPr>
          <w:rFonts w:ascii="Century Gothic" w:eastAsia="Times New Roman" w:hAnsi="Century Gothic" w:cs="Arial"/>
          <w:sz w:val="24"/>
          <w:szCs w:val="24"/>
          <w:lang w:val="es-CO" w:eastAsia="es-ES"/>
        </w:rPr>
      </w:pPr>
      <w:r w:rsidRPr="0099226F">
        <w:rPr>
          <w:rFonts w:ascii="Century Gothic" w:eastAsia="Times New Roman" w:hAnsi="Century Gothic" w:cs="Arial"/>
          <w:sz w:val="24"/>
          <w:szCs w:val="24"/>
          <w:lang w:val="es-CO" w:eastAsia="es-ES"/>
        </w:rPr>
        <w:t>Constancia: el proyecto de esta providencia fue estudiado y decidido en sesión de la fecha.</w:t>
      </w:r>
    </w:p>
    <w:p w:rsidR="0074516D" w:rsidRPr="0099226F" w:rsidRDefault="0074516D" w:rsidP="001468B4">
      <w:pPr>
        <w:overflowPunct w:val="0"/>
        <w:autoSpaceDE w:val="0"/>
        <w:autoSpaceDN w:val="0"/>
        <w:adjustRightInd w:val="0"/>
        <w:spacing w:after="0" w:line="360" w:lineRule="auto"/>
        <w:ind w:left="720"/>
        <w:contextualSpacing/>
        <w:jc w:val="center"/>
        <w:rPr>
          <w:rFonts w:ascii="Century Gothic" w:eastAsia="Times New Roman" w:hAnsi="Century Gothic" w:cs="Arial"/>
          <w:b/>
          <w:sz w:val="24"/>
          <w:szCs w:val="24"/>
          <w:lang w:val="es-CO" w:eastAsia="es-ES"/>
        </w:rPr>
      </w:pPr>
    </w:p>
    <w:p w:rsidR="0074516D" w:rsidRPr="0099226F" w:rsidRDefault="0074516D" w:rsidP="001468B4">
      <w:pPr>
        <w:overflowPunct w:val="0"/>
        <w:autoSpaceDE w:val="0"/>
        <w:autoSpaceDN w:val="0"/>
        <w:adjustRightInd w:val="0"/>
        <w:spacing w:after="0" w:line="360" w:lineRule="auto"/>
        <w:contextualSpacing/>
        <w:jc w:val="center"/>
        <w:rPr>
          <w:rFonts w:ascii="Century Gothic" w:eastAsia="Times New Roman" w:hAnsi="Century Gothic" w:cs="Arial"/>
          <w:b/>
          <w:sz w:val="24"/>
          <w:szCs w:val="24"/>
          <w:lang w:val="es-CO" w:eastAsia="es-ES"/>
        </w:rPr>
      </w:pPr>
      <w:r w:rsidRPr="0099226F">
        <w:rPr>
          <w:rFonts w:ascii="Century Gothic" w:eastAsia="Times New Roman" w:hAnsi="Century Gothic" w:cs="Arial"/>
          <w:b/>
          <w:sz w:val="24"/>
          <w:szCs w:val="24"/>
          <w:lang w:val="es-CO" w:eastAsia="es-ES"/>
        </w:rPr>
        <w:t>LOS MAGISTRADOS</w:t>
      </w:r>
    </w:p>
    <w:p w:rsidR="0074516D" w:rsidRPr="0099226F" w:rsidRDefault="0074516D" w:rsidP="001468B4">
      <w:pPr>
        <w:spacing w:after="0" w:line="360" w:lineRule="auto"/>
        <w:contextualSpacing/>
        <w:rPr>
          <w:rFonts w:ascii="Century Gothic" w:hAnsi="Century Gothic" w:cs="Arial"/>
          <w:sz w:val="24"/>
          <w:szCs w:val="24"/>
        </w:rPr>
      </w:pPr>
    </w:p>
    <w:p w:rsidR="0074516D" w:rsidRPr="0099226F" w:rsidRDefault="0074516D" w:rsidP="001468B4">
      <w:pPr>
        <w:spacing w:after="0" w:line="360" w:lineRule="auto"/>
        <w:contextualSpacing/>
        <w:rPr>
          <w:rFonts w:ascii="Century Gothic" w:hAnsi="Century Gothic" w:cs="Arial"/>
          <w:sz w:val="24"/>
          <w:szCs w:val="24"/>
        </w:rPr>
      </w:pPr>
    </w:p>
    <w:p w:rsidR="0074516D" w:rsidRPr="0099226F" w:rsidRDefault="0074516D" w:rsidP="001468B4">
      <w:pPr>
        <w:spacing w:after="0" w:line="360" w:lineRule="auto"/>
        <w:contextualSpacing/>
        <w:rPr>
          <w:rFonts w:ascii="Century Gothic" w:hAnsi="Century Gothic" w:cs="Arial"/>
          <w:b/>
          <w:sz w:val="24"/>
          <w:szCs w:val="24"/>
        </w:rPr>
      </w:pPr>
    </w:p>
    <w:p w:rsidR="0074516D" w:rsidRPr="0099226F" w:rsidRDefault="0074516D" w:rsidP="001468B4">
      <w:pPr>
        <w:spacing w:after="0" w:line="360" w:lineRule="auto"/>
        <w:contextualSpacing/>
        <w:jc w:val="center"/>
        <w:rPr>
          <w:rFonts w:ascii="Century Gothic" w:hAnsi="Century Gothic" w:cs="Arial"/>
          <w:b/>
          <w:sz w:val="24"/>
          <w:szCs w:val="24"/>
        </w:rPr>
      </w:pPr>
      <w:r w:rsidRPr="0099226F">
        <w:rPr>
          <w:rFonts w:ascii="Century Gothic" w:hAnsi="Century Gothic" w:cs="Arial"/>
          <w:b/>
          <w:sz w:val="24"/>
          <w:szCs w:val="24"/>
        </w:rPr>
        <w:t>HIRINA MEZA RHÉNALS</w:t>
      </w:r>
    </w:p>
    <w:p w:rsidR="0074516D" w:rsidRPr="0099226F" w:rsidRDefault="0074516D" w:rsidP="001468B4">
      <w:pPr>
        <w:spacing w:after="0" w:line="360" w:lineRule="auto"/>
        <w:contextualSpacing/>
        <w:jc w:val="center"/>
        <w:rPr>
          <w:rFonts w:ascii="Century Gothic" w:hAnsi="Century Gothic" w:cs="Arial"/>
          <w:b/>
          <w:sz w:val="24"/>
          <w:szCs w:val="24"/>
        </w:rPr>
      </w:pPr>
    </w:p>
    <w:p w:rsidR="0074516D" w:rsidRPr="0099226F" w:rsidRDefault="0074516D" w:rsidP="001468B4">
      <w:pPr>
        <w:spacing w:after="0" w:line="360" w:lineRule="auto"/>
        <w:contextualSpacing/>
        <w:jc w:val="center"/>
        <w:rPr>
          <w:rFonts w:ascii="Century Gothic" w:hAnsi="Century Gothic" w:cs="Arial"/>
          <w:b/>
          <w:sz w:val="24"/>
          <w:szCs w:val="24"/>
        </w:rPr>
      </w:pPr>
    </w:p>
    <w:p w:rsidR="0074516D" w:rsidRPr="0099226F" w:rsidRDefault="0074516D" w:rsidP="001468B4">
      <w:pPr>
        <w:spacing w:after="0" w:line="360" w:lineRule="auto"/>
        <w:contextualSpacing/>
        <w:jc w:val="center"/>
        <w:rPr>
          <w:rFonts w:ascii="Century Gothic" w:hAnsi="Century Gothic" w:cs="Arial"/>
          <w:b/>
          <w:sz w:val="24"/>
          <w:szCs w:val="24"/>
        </w:rPr>
      </w:pPr>
    </w:p>
    <w:p w:rsidR="0074516D" w:rsidRPr="0099226F" w:rsidRDefault="0074516D" w:rsidP="001468B4">
      <w:pPr>
        <w:spacing w:after="0" w:line="360" w:lineRule="auto"/>
        <w:contextualSpacing/>
        <w:jc w:val="center"/>
        <w:rPr>
          <w:rFonts w:ascii="Century Gothic" w:hAnsi="Century Gothic" w:cs="Arial"/>
          <w:b/>
          <w:sz w:val="24"/>
          <w:szCs w:val="24"/>
        </w:rPr>
      </w:pPr>
    </w:p>
    <w:p w:rsidR="009843B9" w:rsidRPr="0099226F" w:rsidRDefault="0074516D" w:rsidP="001468B4">
      <w:pPr>
        <w:spacing w:after="0" w:line="360" w:lineRule="auto"/>
        <w:contextualSpacing/>
        <w:jc w:val="center"/>
        <w:rPr>
          <w:rFonts w:ascii="Century Gothic" w:hAnsi="Century Gothic" w:cs="Arial"/>
          <w:b/>
          <w:sz w:val="24"/>
          <w:szCs w:val="24"/>
        </w:rPr>
      </w:pPr>
      <w:r w:rsidRPr="0099226F">
        <w:rPr>
          <w:rFonts w:ascii="Century Gothic" w:hAnsi="Century Gothic" w:cs="Arial"/>
          <w:b/>
          <w:sz w:val="24"/>
          <w:szCs w:val="24"/>
        </w:rPr>
        <w:t>LUIS MIGUEL VILLALOBOS ÁLVAREZ                JORGE ELIÉCER FANDIÑO GALLO</w:t>
      </w:r>
    </w:p>
    <w:p w:rsidR="00A95A49" w:rsidRPr="0099226F" w:rsidRDefault="00A95A49" w:rsidP="001468B4">
      <w:pPr>
        <w:spacing w:after="0" w:line="360" w:lineRule="auto"/>
        <w:contextualSpacing/>
        <w:jc w:val="center"/>
        <w:rPr>
          <w:rFonts w:ascii="Century Gothic" w:hAnsi="Century Gothic" w:cs="Arial"/>
          <w:b/>
          <w:sz w:val="24"/>
          <w:szCs w:val="24"/>
        </w:rPr>
      </w:pPr>
    </w:p>
    <w:p w:rsidR="00A95A49" w:rsidRDefault="00A95A49" w:rsidP="00A95A49">
      <w:pPr>
        <w:spacing w:after="0" w:line="240" w:lineRule="auto"/>
        <w:contextualSpacing/>
        <w:jc w:val="both"/>
        <w:rPr>
          <w:rFonts w:ascii="Century Gothic" w:hAnsi="Century Gothic" w:cs="Arial"/>
          <w:sz w:val="18"/>
          <w:szCs w:val="18"/>
        </w:rPr>
      </w:pPr>
    </w:p>
    <w:p w:rsidR="00B14571" w:rsidRDefault="00B14571" w:rsidP="00A95A49">
      <w:pPr>
        <w:spacing w:after="0" w:line="240" w:lineRule="auto"/>
        <w:contextualSpacing/>
        <w:jc w:val="both"/>
        <w:rPr>
          <w:rFonts w:ascii="Century Gothic" w:hAnsi="Century Gothic" w:cs="Arial"/>
          <w:sz w:val="18"/>
          <w:szCs w:val="18"/>
        </w:rPr>
      </w:pPr>
    </w:p>
    <w:p w:rsidR="00B14571" w:rsidRPr="0099226F" w:rsidRDefault="00B14571" w:rsidP="00A95A49">
      <w:pPr>
        <w:spacing w:after="0" w:line="240" w:lineRule="auto"/>
        <w:contextualSpacing/>
        <w:jc w:val="both"/>
        <w:rPr>
          <w:rFonts w:ascii="Century Gothic" w:hAnsi="Century Gothic" w:cs="Arial"/>
          <w:sz w:val="18"/>
          <w:szCs w:val="18"/>
        </w:rPr>
      </w:pPr>
    </w:p>
    <w:p w:rsidR="00233A69" w:rsidRPr="00233A69" w:rsidRDefault="00233A69" w:rsidP="00233A69">
      <w:pPr>
        <w:suppressAutoHyphens/>
        <w:overflowPunct w:val="0"/>
        <w:autoSpaceDE w:val="0"/>
        <w:autoSpaceDN w:val="0"/>
        <w:adjustRightInd w:val="0"/>
        <w:spacing w:after="0" w:line="240" w:lineRule="auto"/>
        <w:jc w:val="both"/>
        <w:textAlignment w:val="baseline"/>
        <w:rPr>
          <w:rFonts w:ascii="Century Gothic" w:hAnsi="Century Gothic" w:cs="Arial"/>
          <w:bCs/>
          <w:i/>
          <w:iCs/>
          <w:sz w:val="18"/>
          <w:szCs w:val="18"/>
          <w:lang w:val="es-CO"/>
        </w:rPr>
      </w:pPr>
      <w:r w:rsidRPr="00233A69">
        <w:rPr>
          <w:rFonts w:ascii="Century Gothic" w:hAnsi="Century Gothic" w:cs="Arial"/>
          <w:iCs/>
          <w:sz w:val="18"/>
          <w:szCs w:val="18"/>
          <w:lang w:val="es-CO"/>
        </w:rPr>
        <w:t xml:space="preserve">Hoja de firmas sentencia de segunda instancia en la que se decide: </w:t>
      </w:r>
      <w:r w:rsidRPr="00233A69">
        <w:rPr>
          <w:rFonts w:ascii="Century Gothic" w:hAnsi="Century Gothic" w:cs="Arial"/>
          <w:i/>
          <w:iCs/>
          <w:sz w:val="18"/>
          <w:szCs w:val="18"/>
          <w:lang w:val="es-CO"/>
        </w:rPr>
        <w:t xml:space="preserve">PRIMERO: REVOCAR en su integridad </w:t>
      </w:r>
      <w:r w:rsidRPr="00233A69">
        <w:rPr>
          <w:rFonts w:ascii="Century Gothic" w:hAnsi="Century Gothic" w:cs="Arial"/>
          <w:bCs/>
          <w:i/>
          <w:iCs/>
          <w:sz w:val="18"/>
          <w:szCs w:val="18"/>
          <w:lang w:val="es-CO"/>
        </w:rPr>
        <w:t xml:space="preserve">la sentencia de fecha treinta (30) de septiembre de dos mil </w:t>
      </w:r>
      <w:r w:rsidR="00E95984">
        <w:rPr>
          <w:rFonts w:ascii="Century Gothic" w:hAnsi="Century Gothic" w:cs="Arial"/>
          <w:bCs/>
          <w:i/>
          <w:iCs/>
          <w:sz w:val="18"/>
          <w:szCs w:val="18"/>
          <w:lang w:val="es-CO"/>
        </w:rPr>
        <w:t>catorce</w:t>
      </w:r>
      <w:r w:rsidRPr="00233A69">
        <w:rPr>
          <w:rFonts w:ascii="Century Gothic" w:hAnsi="Century Gothic" w:cs="Arial"/>
          <w:bCs/>
          <w:i/>
          <w:iCs/>
          <w:sz w:val="18"/>
          <w:szCs w:val="18"/>
          <w:lang w:val="es-CO"/>
        </w:rPr>
        <w:t xml:space="preserve"> (201</w:t>
      </w:r>
      <w:r w:rsidR="00E95984">
        <w:rPr>
          <w:rFonts w:ascii="Century Gothic" w:hAnsi="Century Gothic" w:cs="Arial"/>
          <w:bCs/>
          <w:i/>
          <w:iCs/>
          <w:sz w:val="18"/>
          <w:szCs w:val="18"/>
          <w:lang w:val="es-CO"/>
        </w:rPr>
        <w:t>4</w:t>
      </w:r>
      <w:r w:rsidRPr="00233A69">
        <w:rPr>
          <w:rFonts w:ascii="Century Gothic" w:hAnsi="Century Gothic" w:cs="Arial"/>
          <w:bCs/>
          <w:i/>
          <w:iCs/>
          <w:sz w:val="18"/>
          <w:szCs w:val="18"/>
          <w:lang w:val="es-CO"/>
        </w:rPr>
        <w:t xml:space="preserve">) dictada por el Juzgado Cuarto Administrativo Oral del Circuito de Cartagena. En su lugar, DENEGAR las pretensiones de la demanda de nulidad y restablecimiento del derecho, incoada por </w:t>
      </w:r>
      <w:r w:rsidRPr="00233A69">
        <w:rPr>
          <w:rFonts w:ascii="Century Gothic" w:hAnsi="Century Gothic" w:cs="Arial"/>
          <w:i/>
          <w:sz w:val="18"/>
          <w:szCs w:val="18"/>
        </w:rPr>
        <w:t>CARMEN ELENA CASTRO CORDERO contra la UGPP</w:t>
      </w:r>
      <w:r w:rsidRPr="00233A69">
        <w:rPr>
          <w:rFonts w:ascii="Century Gothic" w:hAnsi="Century Gothic" w:cs="Arial"/>
          <w:bCs/>
          <w:i/>
          <w:iCs/>
          <w:sz w:val="18"/>
          <w:szCs w:val="18"/>
          <w:lang w:val="es-CO"/>
        </w:rPr>
        <w:t>.</w:t>
      </w:r>
      <w:r>
        <w:rPr>
          <w:rFonts w:ascii="Century Gothic" w:hAnsi="Century Gothic" w:cs="Arial"/>
          <w:bCs/>
          <w:i/>
          <w:iCs/>
          <w:sz w:val="18"/>
          <w:szCs w:val="18"/>
          <w:lang w:val="es-CO"/>
        </w:rPr>
        <w:t xml:space="preserve"> SEGUNDO…”</w:t>
      </w:r>
    </w:p>
    <w:p w:rsidR="00233A69" w:rsidRPr="0099226F" w:rsidRDefault="00233A69" w:rsidP="00233A69">
      <w:pPr>
        <w:spacing w:after="0" w:line="360" w:lineRule="auto"/>
        <w:jc w:val="both"/>
        <w:rPr>
          <w:rFonts w:ascii="Century Gothic" w:hAnsi="Century Gothic" w:cs="Arial"/>
          <w:b/>
          <w:iCs/>
          <w:sz w:val="24"/>
          <w:szCs w:val="24"/>
          <w:lang w:val="es-CO"/>
        </w:rPr>
      </w:pPr>
    </w:p>
    <w:p w:rsidR="00A95A49" w:rsidRPr="0099226F" w:rsidRDefault="00A95A49" w:rsidP="00A95A49">
      <w:pPr>
        <w:spacing w:after="0" w:line="360" w:lineRule="auto"/>
        <w:contextualSpacing/>
        <w:rPr>
          <w:rFonts w:ascii="Century Gothic" w:eastAsia="Times New Roman" w:hAnsi="Century Gothic" w:cs="Arial"/>
          <w:b/>
          <w:sz w:val="24"/>
          <w:szCs w:val="24"/>
          <w:lang w:eastAsia="es-ES"/>
        </w:rPr>
        <w:sectPr w:rsidR="00A95A49" w:rsidRPr="0099226F" w:rsidSect="00C47F14">
          <w:headerReference w:type="default" r:id="rId8"/>
          <w:footerReference w:type="default" r:id="rId9"/>
          <w:type w:val="nextColumn"/>
          <w:pgSz w:w="12242" w:h="18705" w:code="120"/>
          <w:pgMar w:top="1418" w:right="1701" w:bottom="1418" w:left="1701" w:header="709" w:footer="1021" w:gutter="0"/>
          <w:cols w:space="708"/>
          <w:docGrid w:linePitch="360"/>
        </w:sectPr>
      </w:pPr>
    </w:p>
    <w:p w:rsidR="00A1489C" w:rsidRPr="0099226F" w:rsidRDefault="00A1489C" w:rsidP="00696802">
      <w:pPr>
        <w:spacing w:after="0" w:line="360" w:lineRule="auto"/>
        <w:contextualSpacing/>
        <w:jc w:val="center"/>
        <w:rPr>
          <w:rFonts w:ascii="Century Gothic" w:hAnsi="Century Gothic" w:cs="Arial"/>
          <w:sz w:val="24"/>
          <w:szCs w:val="24"/>
        </w:rPr>
      </w:pPr>
    </w:p>
    <w:sectPr w:rsidR="00A1489C" w:rsidRPr="0099226F" w:rsidSect="0074516D">
      <w:headerReference w:type="default" r:id="rId10"/>
      <w:footerReference w:type="default" r:id="rId11"/>
      <w:type w:val="nextColumn"/>
      <w:pgSz w:w="12242" w:h="18705" w:code="119"/>
      <w:pgMar w:top="1418" w:right="1701" w:bottom="1418" w:left="1701" w:header="709"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68" w:rsidRDefault="00BD3C68" w:rsidP="0029283B">
      <w:pPr>
        <w:spacing w:after="0" w:line="240" w:lineRule="auto"/>
      </w:pPr>
      <w:r>
        <w:separator/>
      </w:r>
    </w:p>
  </w:endnote>
  <w:endnote w:type="continuationSeparator" w:id="0">
    <w:p w:rsidR="00BD3C68" w:rsidRDefault="00BD3C68"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Black" w:eastAsiaTheme="minorHAnsi" w:hAnsi="Arial Black"/>
        <w:b/>
        <w:sz w:val="18"/>
        <w:lang w:eastAsia="en-US"/>
      </w:rPr>
      <w:id w:val="264884334"/>
      <w:docPartObj>
        <w:docPartGallery w:val="Page Numbers (Bottom of Page)"/>
        <w:docPartUnique/>
      </w:docPartObj>
    </w:sdtPr>
    <w:sdtEndPr>
      <w:rPr>
        <w:rFonts w:ascii="Arial" w:hAnsi="Arial" w:cs="Arial"/>
        <w:b w:val="0"/>
        <w:sz w:val="16"/>
        <w:szCs w:val="16"/>
      </w:rPr>
    </w:sdtEndPr>
    <w:sdtContent>
      <w:sdt>
        <w:sdtPr>
          <w:rPr>
            <w:rFonts w:ascii="Arial Black" w:eastAsiaTheme="minorHAnsi" w:hAnsi="Arial Black"/>
            <w:b/>
            <w:sz w:val="18"/>
            <w:lang w:eastAsia="en-US"/>
          </w:rPr>
          <w:id w:val="1930148184"/>
          <w:docPartObj>
            <w:docPartGallery w:val="Page Numbers (Top of Page)"/>
            <w:docPartUnique/>
          </w:docPartObj>
        </w:sdtPr>
        <w:sdtEndPr>
          <w:rPr>
            <w:rFonts w:ascii="Arial" w:hAnsi="Arial" w:cs="Arial"/>
            <w:b w:val="0"/>
            <w:sz w:val="16"/>
            <w:szCs w:val="16"/>
          </w:rPr>
        </w:sdtEndPr>
        <w:sdtContent>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464"/>
              <w:gridCol w:w="3968"/>
              <w:gridCol w:w="2379"/>
            </w:tblGrid>
            <w:tr w:rsidR="00A95A49" w:rsidRPr="00C3111F" w:rsidTr="00ED1875">
              <w:trPr>
                <w:trHeight w:val="286"/>
              </w:trPr>
              <w:tc>
                <w:tcPr>
                  <w:tcW w:w="2244" w:type="dxa"/>
                </w:tcPr>
                <w:p w:rsidR="00A95A49" w:rsidRDefault="00A95A49" w:rsidP="00564D70">
                  <w:pPr>
                    <w:pStyle w:val="Piedepgina"/>
                    <w:rPr>
                      <w:rFonts w:ascii="Arial Black" w:eastAsiaTheme="minorHAnsi" w:hAnsi="Arial Black"/>
                      <w:b/>
                      <w:sz w:val="18"/>
                      <w:lang w:eastAsia="en-US"/>
                    </w:rPr>
                  </w:pPr>
                </w:p>
                <w:p w:rsidR="00A95A49" w:rsidRPr="00E34859" w:rsidRDefault="00A95A49" w:rsidP="00564D70">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FCA - 008</w:t>
                  </w:r>
                  <w:r w:rsidRPr="00E34859">
                    <w:rPr>
                      <w:rFonts w:ascii="Arial Black" w:hAnsi="Arial Black" w:cs="Arial"/>
                      <w:b/>
                      <w:bCs/>
                      <w:color w:val="0D0D0D" w:themeColor="text1" w:themeTint="F2"/>
                      <w:sz w:val="18"/>
                      <w:szCs w:val="20"/>
                    </w:rPr>
                    <w:t xml:space="preserve">                     </w:t>
                  </w:r>
                </w:p>
              </w:tc>
              <w:tc>
                <w:tcPr>
                  <w:tcW w:w="1464" w:type="dxa"/>
                </w:tcPr>
                <w:p w:rsidR="00A95A49" w:rsidRDefault="00A95A49" w:rsidP="00C3111F">
                  <w:pPr>
                    <w:pStyle w:val="Piedepgina"/>
                    <w:rPr>
                      <w:rFonts w:ascii="Arial Black" w:hAnsi="Arial Black" w:cs="Arial"/>
                      <w:b/>
                      <w:bCs/>
                      <w:color w:val="0D0D0D" w:themeColor="text1" w:themeTint="F2"/>
                      <w:sz w:val="18"/>
                      <w:szCs w:val="20"/>
                    </w:rPr>
                  </w:pPr>
                </w:p>
                <w:p w:rsidR="00A95A49" w:rsidRPr="00E34859" w:rsidRDefault="00A95A49" w:rsidP="00C3111F">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68" w:type="dxa"/>
                </w:tcPr>
                <w:p w:rsidR="00A95A49" w:rsidRDefault="00A95A49" w:rsidP="00C3111F">
                  <w:pPr>
                    <w:pStyle w:val="Piedepgina"/>
                    <w:rPr>
                      <w:rFonts w:ascii="Arial Black" w:hAnsi="Arial Black" w:cs="Arial"/>
                      <w:b/>
                      <w:bCs/>
                      <w:color w:val="0D0D0D" w:themeColor="text1" w:themeTint="F2"/>
                      <w:sz w:val="18"/>
                      <w:szCs w:val="20"/>
                    </w:rPr>
                  </w:pPr>
                </w:p>
                <w:p w:rsidR="00A95A49" w:rsidRPr="00E34859" w:rsidRDefault="00A95A49" w:rsidP="00C3111F">
                  <w:pPr>
                    <w:pStyle w:val="Piedepgina"/>
                    <w:rPr>
                      <w:rFonts w:ascii="Arial Black" w:hAnsi="Arial Black" w:cs="Arial"/>
                      <w:b/>
                      <w:sz w:val="18"/>
                      <w:szCs w:val="16"/>
                    </w:rPr>
                  </w:pPr>
                  <w:r w:rsidRPr="00E34859">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16-02-2015</w:t>
                  </w:r>
                </w:p>
              </w:tc>
              <w:tc>
                <w:tcPr>
                  <w:tcW w:w="2379" w:type="dxa"/>
                </w:tcPr>
                <w:p w:rsidR="00A95A49" w:rsidRDefault="00A95A49" w:rsidP="00C3111F">
                  <w:pPr>
                    <w:pStyle w:val="Piedepgina"/>
                    <w:jc w:val="right"/>
                    <w:rPr>
                      <w:rFonts w:ascii="Arial Black" w:hAnsi="Arial Black" w:cs="Arial"/>
                      <w:b/>
                      <w:sz w:val="18"/>
                      <w:szCs w:val="16"/>
                    </w:rPr>
                  </w:pPr>
                </w:p>
                <w:p w:rsidR="00A95A49" w:rsidRPr="00403BEE" w:rsidRDefault="00A95A49" w:rsidP="00A932D2">
                  <w:pPr>
                    <w:pStyle w:val="Piedepgina"/>
                    <w:jc w:val="right"/>
                    <w:rPr>
                      <w:rFonts w:ascii="Arial Black" w:hAnsi="Arial Black" w:cs="Arial"/>
                      <w:b/>
                      <w:bCs/>
                      <w:color w:val="0D0D0D" w:themeColor="text1" w:themeTint="F2"/>
                      <w:sz w:val="18"/>
                      <w:szCs w:val="20"/>
                    </w:rPr>
                  </w:pPr>
                  <w:r w:rsidRPr="00403BEE">
                    <w:rPr>
                      <w:rFonts w:ascii="Arial Black" w:hAnsi="Arial Black" w:cs="Arial"/>
                      <w:b/>
                      <w:sz w:val="18"/>
                      <w:szCs w:val="16"/>
                    </w:rPr>
                    <w:t xml:space="preserve">Página </w:t>
                  </w:r>
                  <w:r w:rsidRPr="00403BEE">
                    <w:rPr>
                      <w:rFonts w:ascii="Arial Black" w:hAnsi="Arial Black" w:cs="Arial"/>
                      <w:b/>
                      <w:bCs/>
                      <w:sz w:val="18"/>
                      <w:szCs w:val="16"/>
                    </w:rPr>
                    <w:fldChar w:fldCharType="begin"/>
                  </w:r>
                  <w:r w:rsidRPr="00403BEE">
                    <w:rPr>
                      <w:rFonts w:ascii="Arial Black" w:hAnsi="Arial Black" w:cs="Arial"/>
                      <w:b/>
                      <w:bCs/>
                      <w:sz w:val="18"/>
                      <w:szCs w:val="16"/>
                    </w:rPr>
                    <w:instrText>PAGE</w:instrText>
                  </w:r>
                  <w:r w:rsidRPr="00403BEE">
                    <w:rPr>
                      <w:rFonts w:ascii="Arial Black" w:hAnsi="Arial Black" w:cs="Arial"/>
                      <w:b/>
                      <w:bCs/>
                      <w:sz w:val="18"/>
                      <w:szCs w:val="16"/>
                    </w:rPr>
                    <w:fldChar w:fldCharType="separate"/>
                  </w:r>
                  <w:r w:rsidR="00D04BDA">
                    <w:rPr>
                      <w:rFonts w:ascii="Arial Black" w:hAnsi="Arial Black" w:cs="Arial"/>
                      <w:b/>
                      <w:bCs/>
                      <w:noProof/>
                      <w:sz w:val="18"/>
                      <w:szCs w:val="16"/>
                    </w:rPr>
                    <w:t>1</w:t>
                  </w:r>
                  <w:r w:rsidRPr="00403BEE">
                    <w:rPr>
                      <w:rFonts w:ascii="Arial Black" w:hAnsi="Arial Black" w:cs="Arial"/>
                      <w:b/>
                      <w:bCs/>
                      <w:sz w:val="18"/>
                      <w:szCs w:val="16"/>
                    </w:rPr>
                    <w:fldChar w:fldCharType="end"/>
                  </w:r>
                </w:p>
              </w:tc>
            </w:tr>
          </w:tbl>
          <w:p w:rsidR="00A95A49" w:rsidRPr="008B3965" w:rsidRDefault="00BD3C68" w:rsidP="00C3111F">
            <w:pPr>
              <w:pStyle w:val="Piedepgina"/>
              <w:rPr>
                <w:rFonts w:ascii="Arial" w:hAnsi="Arial" w:cs="Arial"/>
              </w:rPr>
            </w:pPr>
          </w:p>
        </w:sdtContent>
      </w:sdt>
    </w:sdtContent>
  </w:sdt>
  <w:tbl>
    <w:tblPr>
      <w:tblStyle w:val="Tablaconcuadrcula"/>
      <w:tblW w:w="3343" w:type="dxa"/>
      <w:tblInd w:w="11547" w:type="dxa"/>
      <w:tblLook w:val="04A0" w:firstRow="1" w:lastRow="0" w:firstColumn="1" w:lastColumn="0" w:noHBand="0" w:noVBand="1"/>
    </w:tblPr>
    <w:tblGrid>
      <w:gridCol w:w="3343"/>
    </w:tblGrid>
    <w:tr w:rsidR="00A95A49" w:rsidTr="00442CD0">
      <w:tc>
        <w:tcPr>
          <w:tcW w:w="3343" w:type="dxa"/>
        </w:tcPr>
        <w:tbl>
          <w:tblPr>
            <w:tblStyle w:val="Tablaconcuadrcula"/>
            <w:tblW w:w="0" w:type="auto"/>
            <w:tblLook w:val="04A0" w:firstRow="1" w:lastRow="0" w:firstColumn="1" w:lastColumn="0" w:noHBand="0" w:noVBand="1"/>
          </w:tblPr>
          <w:tblGrid>
            <w:gridCol w:w="3112"/>
          </w:tblGrid>
          <w:tr w:rsidR="00A95A49" w:rsidTr="003A078C">
            <w:tc>
              <w:tcPr>
                <w:tcW w:w="3112" w:type="dxa"/>
              </w:tcPr>
              <w:p w:rsidR="00A95A49" w:rsidRDefault="00A95A49" w:rsidP="00442CD0">
                <w:pPr>
                  <w:pStyle w:val="Piedepgina"/>
                  <w:jc w:val="center"/>
                  <w:rPr>
                    <w:rFonts w:ascii="Arial Black" w:hAnsi="Arial Black"/>
                    <w:sz w:val="16"/>
                    <w:szCs w:val="16"/>
                  </w:rPr>
                </w:pPr>
              </w:p>
            </w:tc>
          </w:tr>
        </w:tbl>
        <w:p w:rsidR="00A95A49" w:rsidRPr="00057A13" w:rsidRDefault="00A95A49" w:rsidP="00442CD0">
          <w:pPr>
            <w:pStyle w:val="Piedepgina"/>
            <w:jc w:val="center"/>
            <w:rPr>
              <w:rFonts w:ascii="Arial Black" w:hAnsi="Arial Black"/>
              <w:sz w:val="16"/>
              <w:szCs w:val="16"/>
            </w:rPr>
          </w:pPr>
          <w:r>
            <w:rPr>
              <w:rFonts w:ascii="Arial Black" w:hAnsi="Arial Black"/>
              <w:noProof/>
              <w:sz w:val="16"/>
              <w:szCs w:val="16"/>
              <w:lang w:val="es-CO" w:eastAsia="es-CO"/>
            </w:rPr>
            <w:drawing>
              <wp:anchor distT="0" distB="0" distL="114300" distR="114300" simplePos="0" relativeHeight="251740160" behindDoc="0" locked="0" layoutInCell="1" allowOverlap="1" wp14:anchorId="383C50C7" wp14:editId="7CF3BBD4">
                <wp:simplePos x="0" y="0"/>
                <wp:positionH relativeFrom="column">
                  <wp:posOffset>4718685</wp:posOffset>
                </wp:positionH>
                <wp:positionV relativeFrom="paragraph">
                  <wp:posOffset>3625850</wp:posOffset>
                </wp:positionV>
                <wp:extent cx="621665" cy="5245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A13">
            <w:rPr>
              <w:rFonts w:ascii="Arial Black" w:hAnsi="Arial Black"/>
              <w:sz w:val="16"/>
              <w:szCs w:val="16"/>
            </w:rPr>
            <w:t>Código: FR-333  Revisión: 01</w:t>
          </w:r>
        </w:p>
      </w:tc>
    </w:tr>
  </w:tbl>
  <w:p w:rsidR="00A95A49" w:rsidRPr="008B3965" w:rsidRDefault="00A95A49" w:rsidP="00BA4E0E">
    <w:pPr>
      <w:pStyle w:val="Encabezado"/>
      <w:jc w:val="both"/>
      <w:rPr>
        <w:rFonts w:ascii="Arial" w:hAnsi="Arial" w:cs="Arial"/>
        <w:sz w:val="18"/>
        <w:lang w:val="es-CO"/>
      </w:rPr>
    </w:pPr>
    <w:r>
      <w:rPr>
        <w:rFonts w:ascii="Arial" w:hAnsi="Arial" w:cs="Arial"/>
        <w:b/>
        <w:bCs/>
        <w:color w:val="0D0D0D" w:themeColor="text1" w:themeTint="F2"/>
        <w:sz w:val="16"/>
        <w:szCs w:val="20"/>
      </w:rPr>
      <w:tab/>
    </w:r>
    <w:r>
      <w:rPr>
        <w:rFonts w:ascii="Arial" w:hAnsi="Arial" w:cs="Arial"/>
        <w:b/>
        <w:bCs/>
        <w:color w:val="0D0D0D" w:themeColor="text1" w:themeTint="F2"/>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Black" w:eastAsiaTheme="minorHAnsi" w:hAnsi="Arial Black"/>
        <w:b/>
        <w:sz w:val="18"/>
        <w:lang w:eastAsia="en-US"/>
      </w:rPr>
      <w:id w:val="-1882085942"/>
      <w:docPartObj>
        <w:docPartGallery w:val="Page Numbers (Bottom of Page)"/>
        <w:docPartUnique/>
      </w:docPartObj>
    </w:sdtPr>
    <w:sdtEndPr>
      <w:rPr>
        <w:rFonts w:ascii="Arial" w:hAnsi="Arial" w:cs="Arial"/>
        <w:b w:val="0"/>
        <w:sz w:val="16"/>
        <w:szCs w:val="16"/>
      </w:rPr>
    </w:sdtEndPr>
    <w:sdtContent>
      <w:sdt>
        <w:sdtPr>
          <w:rPr>
            <w:rFonts w:ascii="Arial Black" w:eastAsiaTheme="minorHAnsi" w:hAnsi="Arial Black"/>
            <w:b/>
            <w:sz w:val="18"/>
            <w:lang w:eastAsia="en-US"/>
          </w:rPr>
          <w:id w:val="-1505277286"/>
          <w:docPartObj>
            <w:docPartGallery w:val="Page Numbers (Top of Page)"/>
            <w:docPartUnique/>
          </w:docPartObj>
        </w:sdtPr>
        <w:sdtEndPr>
          <w:rPr>
            <w:rFonts w:ascii="Arial" w:hAnsi="Arial" w:cs="Arial"/>
            <w:b w:val="0"/>
            <w:sz w:val="16"/>
            <w:szCs w:val="16"/>
          </w:rPr>
        </w:sdtEndPr>
        <w:sdtContent>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370"/>
              <w:gridCol w:w="3385"/>
              <w:gridCol w:w="2091"/>
            </w:tblGrid>
            <w:tr w:rsidR="00A83852" w:rsidRPr="00C3111F" w:rsidTr="00557074">
              <w:tc>
                <w:tcPr>
                  <w:tcW w:w="2210" w:type="dxa"/>
                </w:tcPr>
                <w:p w:rsidR="00A83852" w:rsidRPr="00F214B4" w:rsidRDefault="00A83852" w:rsidP="00442CD0">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PCA- 008</w:t>
                  </w:r>
                  <w:r w:rsidRPr="00F214B4">
                    <w:rPr>
                      <w:rFonts w:ascii="Arial Black" w:hAnsi="Arial Black" w:cs="Arial"/>
                      <w:b/>
                      <w:bCs/>
                      <w:color w:val="0D0D0D" w:themeColor="text1" w:themeTint="F2"/>
                      <w:sz w:val="18"/>
                      <w:szCs w:val="20"/>
                    </w:rPr>
                    <w:t xml:space="preserve">                      </w:t>
                  </w:r>
                </w:p>
              </w:tc>
              <w:tc>
                <w:tcPr>
                  <w:tcW w:w="1442" w:type="dxa"/>
                </w:tcPr>
                <w:p w:rsidR="00A83852" w:rsidRPr="00F214B4" w:rsidRDefault="00A83852" w:rsidP="00C3111F">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09" w:type="dxa"/>
                </w:tcPr>
                <w:p w:rsidR="00A83852" w:rsidRPr="00F214B4" w:rsidRDefault="00A83852" w:rsidP="00C3111F">
                  <w:pPr>
                    <w:pStyle w:val="Piedepgina"/>
                    <w:rPr>
                      <w:rFonts w:ascii="Arial Black" w:hAnsi="Arial Black" w:cs="Arial"/>
                      <w:b/>
                      <w:sz w:val="18"/>
                      <w:szCs w:val="16"/>
                    </w:rPr>
                  </w:pPr>
                  <w:r w:rsidRPr="00F214B4">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18-09-2014</w:t>
                  </w:r>
                </w:p>
              </w:tc>
              <w:tc>
                <w:tcPr>
                  <w:tcW w:w="2343" w:type="dxa"/>
                </w:tcPr>
                <w:p w:rsidR="00A83852" w:rsidRPr="005E6C97" w:rsidRDefault="00A83852" w:rsidP="00C3111F">
                  <w:pPr>
                    <w:pStyle w:val="Piedepgina"/>
                    <w:jc w:val="right"/>
                    <w:rPr>
                      <w:rFonts w:ascii="Arial Black" w:hAnsi="Arial Black" w:cs="Arial"/>
                      <w:b/>
                      <w:bCs/>
                      <w:color w:val="0D0D0D" w:themeColor="text1" w:themeTint="F2"/>
                      <w:sz w:val="18"/>
                      <w:szCs w:val="20"/>
                    </w:rPr>
                  </w:pPr>
                  <w:r w:rsidRPr="005E6C97">
                    <w:rPr>
                      <w:rFonts w:ascii="Arial Black" w:hAnsi="Arial Black" w:cs="Arial"/>
                      <w:b/>
                      <w:sz w:val="18"/>
                      <w:szCs w:val="16"/>
                    </w:rPr>
                    <w:t xml:space="preserve">Página </w:t>
                  </w:r>
                  <w:r w:rsidRPr="005E6C97">
                    <w:rPr>
                      <w:rFonts w:ascii="Arial Black" w:hAnsi="Arial Black" w:cs="Arial"/>
                      <w:b/>
                      <w:bCs/>
                      <w:sz w:val="18"/>
                      <w:szCs w:val="16"/>
                    </w:rPr>
                    <w:fldChar w:fldCharType="begin"/>
                  </w:r>
                  <w:r w:rsidRPr="005E6C97">
                    <w:rPr>
                      <w:rFonts w:ascii="Arial Black" w:hAnsi="Arial Black" w:cs="Arial"/>
                      <w:b/>
                      <w:bCs/>
                      <w:sz w:val="18"/>
                      <w:szCs w:val="16"/>
                    </w:rPr>
                    <w:instrText>PAGE</w:instrText>
                  </w:r>
                  <w:r w:rsidRPr="005E6C97">
                    <w:rPr>
                      <w:rFonts w:ascii="Arial Black" w:hAnsi="Arial Black" w:cs="Arial"/>
                      <w:b/>
                      <w:bCs/>
                      <w:sz w:val="18"/>
                      <w:szCs w:val="16"/>
                    </w:rPr>
                    <w:fldChar w:fldCharType="separate"/>
                  </w:r>
                  <w:r w:rsidR="00FC44F5">
                    <w:rPr>
                      <w:rFonts w:ascii="Arial Black" w:hAnsi="Arial Black" w:cs="Arial"/>
                      <w:b/>
                      <w:bCs/>
                      <w:noProof/>
                      <w:sz w:val="18"/>
                      <w:szCs w:val="16"/>
                    </w:rPr>
                    <w:t>23</w:t>
                  </w:r>
                  <w:r w:rsidRPr="005E6C97">
                    <w:rPr>
                      <w:rFonts w:ascii="Arial Black" w:hAnsi="Arial Black" w:cs="Arial"/>
                      <w:b/>
                      <w:bCs/>
                      <w:sz w:val="18"/>
                      <w:szCs w:val="16"/>
                    </w:rPr>
                    <w:fldChar w:fldCharType="end"/>
                  </w:r>
                  <w:r w:rsidRPr="005E6C97">
                    <w:rPr>
                      <w:rFonts w:ascii="Arial Black" w:hAnsi="Arial Black" w:cs="Arial"/>
                      <w:b/>
                      <w:sz w:val="18"/>
                      <w:szCs w:val="16"/>
                    </w:rPr>
                    <w:t xml:space="preserve"> de </w:t>
                  </w:r>
                  <w:r w:rsidRPr="005E6C97">
                    <w:rPr>
                      <w:rFonts w:ascii="Arial Black" w:hAnsi="Arial Black" w:cs="Arial"/>
                      <w:b/>
                      <w:bCs/>
                      <w:sz w:val="18"/>
                      <w:szCs w:val="16"/>
                    </w:rPr>
                    <w:fldChar w:fldCharType="begin"/>
                  </w:r>
                  <w:r w:rsidRPr="005E6C97">
                    <w:rPr>
                      <w:rFonts w:ascii="Arial Black" w:hAnsi="Arial Black" w:cs="Arial"/>
                      <w:b/>
                      <w:bCs/>
                      <w:sz w:val="18"/>
                      <w:szCs w:val="16"/>
                    </w:rPr>
                    <w:instrText>NUMPAGES</w:instrText>
                  </w:r>
                  <w:r w:rsidRPr="005E6C97">
                    <w:rPr>
                      <w:rFonts w:ascii="Arial Black" w:hAnsi="Arial Black" w:cs="Arial"/>
                      <w:b/>
                      <w:bCs/>
                      <w:sz w:val="18"/>
                      <w:szCs w:val="16"/>
                    </w:rPr>
                    <w:fldChar w:fldCharType="separate"/>
                  </w:r>
                  <w:r w:rsidR="00FC44F5">
                    <w:rPr>
                      <w:rFonts w:ascii="Arial Black" w:hAnsi="Arial Black" w:cs="Arial"/>
                      <w:b/>
                      <w:bCs/>
                      <w:noProof/>
                      <w:sz w:val="18"/>
                      <w:szCs w:val="16"/>
                    </w:rPr>
                    <w:t>23</w:t>
                  </w:r>
                  <w:r w:rsidRPr="005E6C97">
                    <w:rPr>
                      <w:rFonts w:ascii="Arial Black" w:hAnsi="Arial Black" w:cs="Arial"/>
                      <w:b/>
                      <w:bCs/>
                      <w:sz w:val="18"/>
                      <w:szCs w:val="16"/>
                    </w:rPr>
                    <w:fldChar w:fldCharType="end"/>
                  </w:r>
                </w:p>
              </w:tc>
            </w:tr>
          </w:tbl>
          <w:p w:rsidR="00A83852" w:rsidRPr="008B3965" w:rsidRDefault="00BD3C68" w:rsidP="00C3111F">
            <w:pPr>
              <w:pStyle w:val="Piedepgina"/>
              <w:rPr>
                <w:rFonts w:ascii="Arial" w:hAnsi="Arial" w:cs="Arial"/>
              </w:rPr>
            </w:pPr>
          </w:p>
        </w:sdtContent>
      </w:sdt>
    </w:sdtContent>
  </w:sdt>
  <w:tbl>
    <w:tblPr>
      <w:tblStyle w:val="Tablaconcuadrcula1"/>
      <w:tblW w:w="3343" w:type="dxa"/>
      <w:tblInd w:w="11547" w:type="dxa"/>
      <w:tblLook w:val="04A0" w:firstRow="1" w:lastRow="0" w:firstColumn="1" w:lastColumn="0" w:noHBand="0" w:noVBand="1"/>
    </w:tblPr>
    <w:tblGrid>
      <w:gridCol w:w="3343"/>
    </w:tblGrid>
    <w:tr w:rsidR="00A83852" w:rsidTr="00442CD0">
      <w:tc>
        <w:tcPr>
          <w:tcW w:w="3343" w:type="dxa"/>
        </w:tcPr>
        <w:tbl>
          <w:tblPr>
            <w:tblStyle w:val="Tablaconcuadrcula1"/>
            <w:tblW w:w="0" w:type="auto"/>
            <w:tblLook w:val="04A0" w:firstRow="1" w:lastRow="0" w:firstColumn="1" w:lastColumn="0" w:noHBand="0" w:noVBand="1"/>
          </w:tblPr>
          <w:tblGrid>
            <w:gridCol w:w="3112"/>
          </w:tblGrid>
          <w:tr w:rsidR="00A83852" w:rsidTr="003A078C">
            <w:tc>
              <w:tcPr>
                <w:tcW w:w="3112" w:type="dxa"/>
              </w:tcPr>
              <w:p w:rsidR="00A83852" w:rsidRDefault="00A83852" w:rsidP="00442CD0">
                <w:pPr>
                  <w:pStyle w:val="Piedepgina"/>
                  <w:jc w:val="center"/>
                  <w:rPr>
                    <w:rFonts w:ascii="Arial Black" w:hAnsi="Arial Black"/>
                    <w:sz w:val="16"/>
                    <w:szCs w:val="16"/>
                  </w:rPr>
                </w:pPr>
              </w:p>
            </w:tc>
          </w:tr>
        </w:tbl>
        <w:p w:rsidR="00A83852" w:rsidRPr="00057A13" w:rsidRDefault="00A83852" w:rsidP="00442CD0">
          <w:pPr>
            <w:pStyle w:val="Piedepgina"/>
            <w:jc w:val="center"/>
            <w:rPr>
              <w:rFonts w:ascii="Arial Black" w:hAnsi="Arial Black"/>
              <w:sz w:val="16"/>
              <w:szCs w:val="16"/>
            </w:rPr>
          </w:pPr>
          <w:r>
            <w:rPr>
              <w:rFonts w:ascii="Arial Black" w:hAnsi="Arial Black"/>
              <w:noProof/>
              <w:sz w:val="16"/>
              <w:szCs w:val="16"/>
              <w:lang w:val="es-CO" w:eastAsia="es-CO"/>
            </w:rPr>
            <w:drawing>
              <wp:anchor distT="0" distB="0" distL="114300" distR="114300" simplePos="0" relativeHeight="251738112" behindDoc="0" locked="0" layoutInCell="1" allowOverlap="1" wp14:anchorId="2A87EC06" wp14:editId="3B7667CA">
                <wp:simplePos x="0" y="0"/>
                <wp:positionH relativeFrom="column">
                  <wp:posOffset>4718685</wp:posOffset>
                </wp:positionH>
                <wp:positionV relativeFrom="paragraph">
                  <wp:posOffset>3625850</wp:posOffset>
                </wp:positionV>
                <wp:extent cx="621665" cy="524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A13">
            <w:rPr>
              <w:rFonts w:ascii="Arial Black" w:hAnsi="Arial Black"/>
              <w:sz w:val="16"/>
              <w:szCs w:val="16"/>
            </w:rPr>
            <w:t>Código: FR-333  Revisión: 01</w:t>
          </w:r>
        </w:p>
      </w:tc>
    </w:tr>
  </w:tbl>
  <w:p w:rsidR="00A83852" w:rsidRPr="008B3965" w:rsidRDefault="00A83852" w:rsidP="00BA4E0E">
    <w:pPr>
      <w:pStyle w:val="Encabezado"/>
      <w:jc w:val="both"/>
      <w:rPr>
        <w:rFonts w:ascii="Arial" w:hAnsi="Arial" w:cs="Arial"/>
        <w:sz w:val="18"/>
        <w:lang w:val="es-CO"/>
      </w:rPr>
    </w:pPr>
    <w:r>
      <w:rPr>
        <w:rFonts w:ascii="Arial" w:hAnsi="Arial" w:cs="Arial"/>
        <w:b/>
        <w:bCs/>
        <w:color w:val="0D0D0D" w:themeColor="text1" w:themeTint="F2"/>
        <w:sz w:val="16"/>
        <w:szCs w:val="20"/>
      </w:rPr>
      <w:tab/>
    </w:r>
    <w:r>
      <w:rPr>
        <w:rFonts w:ascii="Arial" w:hAnsi="Arial" w:cs="Arial"/>
        <w:b/>
        <w:bCs/>
        <w:color w:val="0D0D0D" w:themeColor="text1" w:themeTint="F2"/>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68" w:rsidRDefault="00BD3C68" w:rsidP="0029283B">
      <w:pPr>
        <w:spacing w:after="0" w:line="240" w:lineRule="auto"/>
      </w:pPr>
      <w:r>
        <w:separator/>
      </w:r>
    </w:p>
  </w:footnote>
  <w:footnote w:type="continuationSeparator" w:id="0">
    <w:p w:rsidR="00BD3C68" w:rsidRDefault="00BD3C68" w:rsidP="0029283B">
      <w:pPr>
        <w:spacing w:after="0" w:line="240" w:lineRule="auto"/>
      </w:pPr>
      <w:r>
        <w:continuationSeparator/>
      </w:r>
    </w:p>
  </w:footnote>
  <w:footnote w:id="1">
    <w:p w:rsidR="00A83852" w:rsidRPr="00992091" w:rsidRDefault="00A83852" w:rsidP="00BB7DFF">
      <w:pPr>
        <w:pStyle w:val="Textonotapie"/>
        <w:jc w:val="both"/>
        <w:rPr>
          <w:rFonts w:ascii="Century Gothic" w:hAnsi="Century Gothic" w:cs="Gisha"/>
          <w:lang w:val="es-CO"/>
        </w:rPr>
      </w:pPr>
      <w:r w:rsidRPr="00992091">
        <w:rPr>
          <w:rStyle w:val="Refdenotaalpie"/>
          <w:rFonts w:ascii="Century Gothic" w:hAnsi="Century Gothic" w:cs="Gisha"/>
        </w:rPr>
        <w:footnoteRef/>
      </w:r>
      <w:r w:rsidRPr="00992091">
        <w:rPr>
          <w:rFonts w:ascii="Century Gothic" w:hAnsi="Century Gothic" w:cs="Gisha"/>
        </w:rPr>
        <w:t xml:space="preserve"> </w:t>
      </w:r>
      <w:r w:rsidRPr="00992091">
        <w:rPr>
          <w:rFonts w:ascii="Century Gothic" w:hAnsi="Century Gothic" w:cs="Gisha"/>
          <w:lang w:val="es-CO"/>
        </w:rPr>
        <w:t>Folios 77 al 86</w:t>
      </w:r>
    </w:p>
  </w:footnote>
  <w:footnote w:id="2">
    <w:p w:rsidR="00A83852" w:rsidRPr="00992091" w:rsidRDefault="00A83852" w:rsidP="00BB7DFF">
      <w:pPr>
        <w:pStyle w:val="Textonotapie"/>
        <w:jc w:val="both"/>
        <w:rPr>
          <w:rFonts w:ascii="Century Gothic" w:hAnsi="Century Gothic" w:cs="Gisha"/>
          <w:lang w:val="es-CO"/>
        </w:rPr>
      </w:pPr>
      <w:r w:rsidRPr="00992091">
        <w:rPr>
          <w:rStyle w:val="Refdenotaalpie"/>
          <w:rFonts w:ascii="Century Gothic" w:hAnsi="Century Gothic" w:cs="Gisha"/>
        </w:rPr>
        <w:footnoteRef/>
      </w:r>
      <w:r w:rsidRPr="00992091">
        <w:rPr>
          <w:rFonts w:ascii="Century Gothic" w:hAnsi="Century Gothic" w:cs="Gisha"/>
        </w:rPr>
        <w:t xml:space="preserve"> </w:t>
      </w:r>
      <w:r w:rsidRPr="00992091">
        <w:rPr>
          <w:rFonts w:ascii="Century Gothic" w:hAnsi="Century Gothic" w:cs="Gisha"/>
          <w:lang w:val="es-CO"/>
        </w:rPr>
        <w:t>Folios 111 al 117</w:t>
      </w:r>
      <w:r w:rsidR="004B79B2">
        <w:rPr>
          <w:rFonts w:ascii="Century Gothic" w:hAnsi="Century Gothic" w:cs="Gisha"/>
          <w:lang w:val="es-CO"/>
        </w:rPr>
        <w:t>.</w:t>
      </w:r>
    </w:p>
  </w:footnote>
  <w:footnote w:id="3">
    <w:p w:rsidR="00A83852" w:rsidRPr="00992091" w:rsidRDefault="00A83852" w:rsidP="00BB7DFF">
      <w:pPr>
        <w:pStyle w:val="Textonotapie"/>
        <w:jc w:val="both"/>
        <w:rPr>
          <w:rFonts w:ascii="Century Gothic" w:hAnsi="Century Gothic" w:cs="Gisha"/>
        </w:rPr>
      </w:pPr>
      <w:r w:rsidRPr="00992091">
        <w:rPr>
          <w:rStyle w:val="Refdenotaalpie"/>
          <w:rFonts w:ascii="Century Gothic" w:hAnsi="Century Gothic" w:cs="Gisha"/>
        </w:rPr>
        <w:footnoteRef/>
      </w:r>
      <w:r w:rsidRPr="00992091">
        <w:rPr>
          <w:rFonts w:ascii="Century Gothic" w:hAnsi="Century Gothic" w:cs="Gisha"/>
        </w:rPr>
        <w:t xml:space="preserve"> Folios 136 al 139</w:t>
      </w:r>
      <w:r w:rsidR="007E6A70" w:rsidRPr="00992091">
        <w:rPr>
          <w:rFonts w:ascii="Century Gothic" w:hAnsi="Century Gothic" w:cs="Gisha"/>
        </w:rPr>
        <w:t>.</w:t>
      </w:r>
    </w:p>
  </w:footnote>
  <w:footnote w:id="4">
    <w:p w:rsidR="00A83852" w:rsidRPr="00992091" w:rsidRDefault="00A83852" w:rsidP="00BB7DFF">
      <w:pPr>
        <w:pStyle w:val="Textonotapie"/>
        <w:jc w:val="both"/>
        <w:rPr>
          <w:rFonts w:ascii="Century Gothic" w:hAnsi="Century Gothic" w:cs="Gisha"/>
          <w:lang w:val="es-CO"/>
        </w:rPr>
      </w:pPr>
      <w:r w:rsidRPr="00992091">
        <w:rPr>
          <w:rStyle w:val="Refdenotaalpie"/>
          <w:rFonts w:ascii="Century Gothic" w:hAnsi="Century Gothic" w:cs="Gisha"/>
        </w:rPr>
        <w:footnoteRef/>
      </w:r>
      <w:r w:rsidRPr="00992091">
        <w:rPr>
          <w:rFonts w:ascii="Century Gothic" w:hAnsi="Century Gothic" w:cs="Gisha"/>
        </w:rPr>
        <w:t xml:space="preserve"> </w:t>
      </w:r>
      <w:r w:rsidRPr="00992091">
        <w:rPr>
          <w:rFonts w:ascii="Century Gothic" w:hAnsi="Century Gothic" w:cs="Gisha"/>
          <w:lang w:val="es-CO"/>
        </w:rPr>
        <w:t>Folio 170</w:t>
      </w:r>
      <w:r w:rsidR="004B79B2">
        <w:rPr>
          <w:rFonts w:ascii="Century Gothic" w:hAnsi="Century Gothic" w:cs="Gisha"/>
          <w:lang w:val="es-CO"/>
        </w:rPr>
        <w:t>.</w:t>
      </w:r>
    </w:p>
  </w:footnote>
  <w:footnote w:id="5">
    <w:p w:rsidR="00A83852" w:rsidRDefault="00A83852" w:rsidP="00BB7DFF">
      <w:pPr>
        <w:pStyle w:val="Textonotapie"/>
        <w:jc w:val="both"/>
        <w:rPr>
          <w:rFonts w:ascii="Century Gothic" w:hAnsi="Century Gothic" w:cs="Gisha"/>
          <w:lang w:val="es-CO"/>
        </w:rPr>
      </w:pPr>
      <w:r w:rsidRPr="00992091">
        <w:rPr>
          <w:rFonts w:ascii="Century Gothic" w:hAnsi="Century Gothic" w:cs="Gisha"/>
          <w:vertAlign w:val="superscript"/>
        </w:rPr>
        <w:footnoteRef/>
      </w:r>
      <w:r w:rsidRPr="00992091">
        <w:rPr>
          <w:rFonts w:ascii="Century Gothic" w:hAnsi="Century Gothic" w:cs="Gisha"/>
        </w:rPr>
        <w:t xml:space="preserve"> </w:t>
      </w:r>
      <w:r w:rsidRPr="00992091">
        <w:rPr>
          <w:rFonts w:ascii="Century Gothic" w:hAnsi="Century Gothic" w:cs="Gisha"/>
          <w:lang w:val="es-CO"/>
        </w:rPr>
        <w:t>M.P. Jorge Ignacio Pretelt Chaljub</w:t>
      </w:r>
    </w:p>
    <w:p w:rsidR="00553B9C" w:rsidRPr="00992091" w:rsidRDefault="00553B9C" w:rsidP="00BB7DFF">
      <w:pPr>
        <w:pStyle w:val="Textonotapie"/>
        <w:jc w:val="both"/>
        <w:rPr>
          <w:rFonts w:ascii="Century Gothic" w:hAnsi="Century Gothic" w:cs="Gisha"/>
        </w:rPr>
      </w:pPr>
    </w:p>
  </w:footnote>
  <w:footnote w:id="6">
    <w:p w:rsidR="00A83852" w:rsidRPr="00992091" w:rsidRDefault="00A83852" w:rsidP="00BB7DFF">
      <w:pPr>
        <w:pStyle w:val="NormalWeb"/>
        <w:spacing w:before="0" w:beforeAutospacing="0" w:after="0" w:afterAutospacing="0"/>
        <w:jc w:val="both"/>
        <w:rPr>
          <w:rFonts w:ascii="Century Gothic" w:hAnsi="Century Gothic" w:cs="Gisha"/>
          <w:bCs/>
          <w:spacing w:val="-20"/>
          <w:sz w:val="20"/>
          <w:szCs w:val="20"/>
        </w:rPr>
      </w:pPr>
      <w:r w:rsidRPr="00992091">
        <w:rPr>
          <w:rStyle w:val="Refdenotaalpie"/>
          <w:rFonts w:ascii="Century Gothic" w:hAnsi="Century Gothic" w:cs="Gisha"/>
          <w:sz w:val="20"/>
          <w:szCs w:val="20"/>
        </w:rPr>
        <w:footnoteRef/>
      </w:r>
      <w:r w:rsidRPr="00992091">
        <w:rPr>
          <w:rFonts w:ascii="Century Gothic" w:hAnsi="Century Gothic" w:cs="Gisha"/>
          <w:sz w:val="20"/>
          <w:szCs w:val="20"/>
        </w:rPr>
        <w:t xml:space="preserve"> </w:t>
      </w:r>
      <w:r w:rsidRPr="00992091">
        <w:rPr>
          <w:rFonts w:ascii="Century Gothic" w:hAnsi="Century Gothic" w:cs="Gisha"/>
          <w:bCs/>
          <w:spacing w:val="-20"/>
          <w:sz w:val="20"/>
          <w:szCs w:val="20"/>
        </w:rPr>
        <w:t xml:space="preserve">Criterio que aparece reafirmado en las consideraciones de la </w:t>
      </w:r>
      <w:r w:rsidRPr="00992091">
        <w:rPr>
          <w:rFonts w:ascii="Century Gothic" w:hAnsi="Century Gothic" w:cs="Gisha"/>
          <w:sz w:val="20"/>
          <w:szCs w:val="20"/>
        </w:rPr>
        <w:t>sentencia de unificación proferida por la sección segunda del H. Consejo de Estado el 12 de septiembre de 2014, C</w:t>
      </w:r>
      <w:r w:rsidRPr="00992091">
        <w:rPr>
          <w:rFonts w:ascii="Century Gothic" w:hAnsi="Century Gothic" w:cs="Gisha"/>
          <w:bCs/>
          <w:spacing w:val="-20"/>
          <w:sz w:val="20"/>
          <w:szCs w:val="20"/>
        </w:rPr>
        <w:t xml:space="preserve">onsejero   Ponente:    Gustavo   </w:t>
      </w:r>
      <w:r w:rsidR="00553B9C" w:rsidRPr="00992091">
        <w:rPr>
          <w:rFonts w:ascii="Century Gothic" w:hAnsi="Century Gothic" w:cs="Gisha"/>
          <w:bCs/>
          <w:spacing w:val="-20"/>
          <w:sz w:val="20"/>
          <w:szCs w:val="20"/>
        </w:rPr>
        <w:t>Eduardo Gómez</w:t>
      </w:r>
      <w:r w:rsidRPr="00992091">
        <w:rPr>
          <w:rFonts w:ascii="Century Gothic" w:hAnsi="Century Gothic" w:cs="Gisha"/>
          <w:bCs/>
          <w:spacing w:val="-20"/>
          <w:sz w:val="20"/>
          <w:szCs w:val="20"/>
        </w:rPr>
        <w:t xml:space="preserve">   Aranguren (E), </w:t>
      </w:r>
      <w:r w:rsidRPr="00992091">
        <w:rPr>
          <w:rFonts w:ascii="Century Gothic" w:hAnsi="Century Gothic" w:cs="Gisha"/>
          <w:bCs/>
          <w:sz w:val="20"/>
          <w:szCs w:val="20"/>
        </w:rPr>
        <w:t>Ref:    Expediente No. 25000-23-42-000-2013-00632-01 (1434-2014) Actor: Gladys Agudelo Ordóñez. Accionada Administradora Colombiana De Pensiones - Colpensiones -</w:t>
      </w:r>
    </w:p>
    <w:p w:rsidR="00A83852" w:rsidRPr="00992091" w:rsidRDefault="00A83852" w:rsidP="00BB7DFF">
      <w:pPr>
        <w:pStyle w:val="Textonotapie"/>
        <w:jc w:val="both"/>
        <w:rPr>
          <w:rFonts w:ascii="Century Gothic" w:hAnsi="Century Gothic" w:cs="Gisha"/>
          <w:lang w:val="es-CO"/>
        </w:rPr>
      </w:pPr>
    </w:p>
  </w:footnote>
  <w:footnote w:id="7">
    <w:p w:rsidR="00A83852" w:rsidRPr="001B474F" w:rsidRDefault="00A83852" w:rsidP="00BB7DFF">
      <w:pPr>
        <w:spacing w:after="0" w:line="240" w:lineRule="auto"/>
        <w:jc w:val="both"/>
        <w:rPr>
          <w:rFonts w:ascii="Century Gothic" w:hAnsi="Century Gothic" w:cs="Gisha"/>
          <w:sz w:val="20"/>
          <w:szCs w:val="20"/>
        </w:rPr>
      </w:pPr>
      <w:r w:rsidRPr="00992091">
        <w:rPr>
          <w:rStyle w:val="Refdenotaalpie"/>
          <w:rFonts w:ascii="Century Gothic" w:hAnsi="Century Gothic" w:cs="Gisha"/>
          <w:sz w:val="20"/>
          <w:szCs w:val="20"/>
        </w:rPr>
        <w:footnoteRef/>
      </w:r>
      <w:r w:rsidRPr="00992091">
        <w:rPr>
          <w:rFonts w:ascii="Century Gothic" w:hAnsi="Century Gothic" w:cs="Gisha"/>
          <w:sz w:val="20"/>
          <w:szCs w:val="20"/>
        </w:rPr>
        <w:t xml:space="preserve"> </w:t>
      </w:r>
      <w:r w:rsidRPr="00992091">
        <w:rPr>
          <w:rFonts w:ascii="Century Gothic" w:hAnsi="Century Gothic" w:cs="Gisha"/>
          <w:sz w:val="20"/>
          <w:szCs w:val="20"/>
          <w:lang w:val="es-CO"/>
        </w:rPr>
        <w:t xml:space="preserve">Igualmente, en </w:t>
      </w:r>
      <w:r w:rsidRPr="00553B9C">
        <w:rPr>
          <w:rFonts w:ascii="Century Gothic" w:hAnsi="Century Gothic" w:cs="Gisha"/>
          <w:sz w:val="20"/>
          <w:szCs w:val="20"/>
        </w:rPr>
        <w:t>Sentencia T-078/14 en la que se dispuso no</w:t>
      </w:r>
      <w:r w:rsidRPr="00992091">
        <w:rPr>
          <w:rFonts w:ascii="Century Gothic" w:hAnsi="Century Gothic" w:cs="Gisha"/>
          <w:sz w:val="20"/>
          <w:szCs w:val="20"/>
        </w:rPr>
        <w:t xml:space="preserve"> tutelar el derecho fundamental al debido proceso, en razón a que no se estructuró el defecto sustantivo alegado por el accionante, por cuanto, la decisión recurrida se apoyó en las normas aplicables (inciso 3°, art.36 Ley 100/93 y la convención colectiva) que se adecuaban a las circunstancias fácticas del caso concreto, en lo relacionado con el </w:t>
      </w:r>
      <w:r w:rsidR="002F40EA" w:rsidRPr="00992091">
        <w:rPr>
          <w:rFonts w:ascii="Century Gothic" w:hAnsi="Century Gothic" w:cs="Gisha"/>
          <w:sz w:val="20"/>
          <w:szCs w:val="20"/>
        </w:rPr>
        <w:t>cálculo</w:t>
      </w:r>
      <w:r w:rsidRPr="00992091">
        <w:rPr>
          <w:rFonts w:ascii="Century Gothic" w:hAnsi="Century Gothic" w:cs="Gisha"/>
          <w:sz w:val="20"/>
          <w:szCs w:val="20"/>
        </w:rPr>
        <w:t xml:space="preserve"> del ingreso base de liquidación. Ello, por cuanto las entidades accionadas aplicaron correctamente el régimen de transición, en armonía con los presupuestos establecidos en la convención colectiva pactada con Telecom, atendiendo en todo caso, la jurisprudencia constitucional, que determina que el </w:t>
      </w:r>
      <w:r w:rsidRPr="00992091">
        <w:rPr>
          <w:rFonts w:ascii="Century Gothic" w:hAnsi="Century Gothic" w:cs="Gisha"/>
          <w:i/>
          <w:sz w:val="20"/>
          <w:szCs w:val="20"/>
        </w:rPr>
        <w:t>monto</w:t>
      </w:r>
      <w:r w:rsidRPr="00992091">
        <w:rPr>
          <w:rFonts w:ascii="Century Gothic" w:hAnsi="Century Gothic" w:cs="Gisha"/>
          <w:sz w:val="20"/>
          <w:szCs w:val="20"/>
        </w:rPr>
        <w:t xml:space="preserve"> y </w:t>
      </w:r>
      <w:r w:rsidRPr="00992091">
        <w:rPr>
          <w:rFonts w:ascii="Century Gothic" w:hAnsi="Century Gothic" w:cs="Gisha"/>
          <w:i/>
          <w:sz w:val="20"/>
          <w:szCs w:val="20"/>
        </w:rPr>
        <w:t>el ingreso base de liquidación</w:t>
      </w:r>
      <w:r w:rsidRPr="00992091">
        <w:rPr>
          <w:rFonts w:ascii="Century Gothic" w:hAnsi="Century Gothic" w:cs="Gisha"/>
          <w:sz w:val="20"/>
          <w:szCs w:val="20"/>
        </w:rPr>
        <w:t xml:space="preserve"> de la pensión de vejez se calculan bajo presupuestos diferentes, el primer concepto, bajo el régimen especial del que fuese beneficiario el afiliado antes de la entrada en vigencia del tránsito normativo, y el segundo, siguiendo lo previsto en el inciso 3° del artículo 36 de la Ley 100/93. Doctrina ratificada en</w:t>
      </w:r>
      <w:r w:rsidR="00D81947" w:rsidRPr="00992091">
        <w:rPr>
          <w:rFonts w:ascii="Century Gothic" w:hAnsi="Century Gothic" w:cs="Gisha"/>
          <w:sz w:val="20"/>
          <w:szCs w:val="20"/>
        </w:rPr>
        <w:t xml:space="preserve"> </w:t>
      </w:r>
      <w:r w:rsidRPr="001B474F">
        <w:rPr>
          <w:rFonts w:ascii="Century Gothic" w:hAnsi="Century Gothic" w:cs="Gisha"/>
          <w:sz w:val="20"/>
          <w:szCs w:val="20"/>
        </w:rPr>
        <w:t>Auto 326/14 que decidió solicitud de nulidad de dicha sentencia T-078/14.</w:t>
      </w:r>
    </w:p>
    <w:p w:rsidR="00A83852" w:rsidRPr="00992091" w:rsidRDefault="00A83852" w:rsidP="00BB7DFF">
      <w:pPr>
        <w:spacing w:after="0" w:line="240" w:lineRule="auto"/>
        <w:jc w:val="both"/>
        <w:rPr>
          <w:rFonts w:ascii="Century Gothic" w:hAnsi="Century Gothic" w:cs="Gisha"/>
          <w:b/>
          <w:sz w:val="20"/>
          <w:szCs w:val="20"/>
        </w:rPr>
      </w:pPr>
    </w:p>
    <w:p w:rsidR="00A83852" w:rsidRPr="00992091" w:rsidRDefault="00A83852" w:rsidP="00BB7DFF">
      <w:pPr>
        <w:pStyle w:val="Textonotapie"/>
        <w:jc w:val="both"/>
        <w:rPr>
          <w:rFonts w:ascii="Century Gothic" w:hAnsi="Century Gothic" w:cs="Gisha"/>
          <w:lang w:val="es-CO"/>
        </w:rPr>
      </w:pPr>
    </w:p>
  </w:footnote>
  <w:footnote w:id="8">
    <w:p w:rsidR="0032619C" w:rsidRPr="00BB7DFF" w:rsidRDefault="0032619C" w:rsidP="001B6F31">
      <w:pPr>
        <w:spacing w:line="240" w:lineRule="auto"/>
        <w:ind w:right="-58"/>
        <w:jc w:val="both"/>
        <w:rPr>
          <w:rFonts w:ascii="Century Gothic" w:hAnsi="Century Gothic" w:cs="Gisha"/>
          <w:sz w:val="20"/>
          <w:szCs w:val="20"/>
        </w:rPr>
      </w:pPr>
      <w:r w:rsidRPr="00992091">
        <w:rPr>
          <w:rStyle w:val="Refdenotaalpie"/>
          <w:rFonts w:ascii="Century Gothic" w:hAnsi="Century Gothic" w:cs="Gisha"/>
          <w:sz w:val="20"/>
          <w:szCs w:val="20"/>
        </w:rPr>
        <w:footnoteRef/>
      </w:r>
      <w:r w:rsidRPr="00992091">
        <w:rPr>
          <w:rFonts w:ascii="Century Gothic" w:hAnsi="Century Gothic" w:cs="Gisha"/>
          <w:sz w:val="20"/>
          <w:szCs w:val="20"/>
        </w:rPr>
        <w:t xml:space="preserve"> </w:t>
      </w:r>
      <w:r w:rsidRPr="00992091">
        <w:rPr>
          <w:rFonts w:ascii="Century Gothic" w:hAnsi="Century Gothic" w:cs="Gisha"/>
          <w:sz w:val="20"/>
          <w:szCs w:val="20"/>
          <w:lang w:val="es-CO"/>
        </w:rPr>
        <w:t xml:space="preserve">Sobre la fuerza vinculante de la doctrina recogida en la Sentencia SU -230/15, véase lo señalado por la misma Corte en dicho proveído, en especial el aparte en el que se indica: </w:t>
      </w:r>
      <w:r w:rsidRPr="00992091">
        <w:rPr>
          <w:rFonts w:ascii="Century Gothic" w:hAnsi="Century Gothic" w:cs="Gisha"/>
          <w:sz w:val="20"/>
          <w:szCs w:val="20"/>
        </w:rPr>
        <w:t xml:space="preserve">En cuanto a los </w:t>
      </w:r>
      <w:r w:rsidRPr="00992091">
        <w:rPr>
          <w:rFonts w:ascii="Century Gothic" w:hAnsi="Century Gothic" w:cs="Gisha"/>
          <w:b/>
          <w:sz w:val="20"/>
          <w:szCs w:val="20"/>
        </w:rPr>
        <w:t>fallos de revisión de tutela</w:t>
      </w:r>
      <w:r w:rsidRPr="00992091">
        <w:rPr>
          <w:rFonts w:ascii="Century Gothic" w:hAnsi="Century Gothic" w:cs="Gisha"/>
          <w:sz w:val="20"/>
          <w:szCs w:val="20"/>
        </w:rPr>
        <w:t xml:space="preserve">, el respeto de su </w:t>
      </w:r>
      <w:r w:rsidRPr="00992091">
        <w:rPr>
          <w:rFonts w:ascii="Century Gothic" w:hAnsi="Century Gothic" w:cs="Gisha"/>
          <w:i/>
          <w:sz w:val="20"/>
          <w:szCs w:val="20"/>
        </w:rPr>
        <w:t>ratio decidendi</w:t>
      </w:r>
      <w:r w:rsidRPr="00992091">
        <w:rPr>
          <w:rFonts w:ascii="Century Gothic" w:hAnsi="Century Gothic" w:cs="Gisha"/>
          <w:sz w:val="20"/>
          <w:szCs w:val="20"/>
        </w:rPr>
        <w:t xml:space="preserve"> es necesario para lograr la concreción de los principios de igualdad en la aplicación de la ley y de confianza legítima -que prohíbe al Estado sorprender a los ciudadanos con decisiones o actuaciones imprevistas- y para garantizar los mandatos constitucionales y la realización de los contenidos desarrollados por su intérprete autorizado. Es por esto que la interpretación y alcance que se le dé a los derechos fundamentales en los pronunciamientos realizados en los fallos de revisión de tutela deben prevalecer sobre la interpretación llevada a cabo por otras autoridades judiciales, aún sean altos tribunales de cierre de las demás jurisdicciones.</w:t>
      </w:r>
      <w:r w:rsidRPr="00BB7DFF">
        <w:rPr>
          <w:rFonts w:ascii="Century Gothic" w:hAnsi="Century Gothic" w:cs="Gisha"/>
          <w:sz w:val="20"/>
          <w:szCs w:val="20"/>
        </w:rPr>
        <w:t xml:space="preserve"> </w:t>
      </w:r>
    </w:p>
    <w:p w:rsidR="0032619C" w:rsidRPr="00BB7DFF" w:rsidRDefault="0032619C" w:rsidP="00BB7DFF">
      <w:pPr>
        <w:pStyle w:val="Textonotapie"/>
        <w:jc w:val="both"/>
        <w:rPr>
          <w:rFonts w:ascii="Century Gothic" w:hAnsi="Century Gothic" w:cs="Gisha"/>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A49" w:rsidRDefault="00A95A49" w:rsidP="00992539">
    <w:pPr>
      <w:pStyle w:val="Encabezado"/>
      <w:rPr>
        <w:rFonts w:ascii="Arial Black" w:hAnsi="Arial Black"/>
        <w:b/>
        <w:color w:val="000000"/>
        <w:sz w:val="20"/>
        <w:szCs w:val="20"/>
        <w14:textOutline w14:w="12700" w14:cap="rnd" w14:cmpd="sng" w14:algn="ctr">
          <w14:noFill/>
          <w14:prstDash w14:val="solid"/>
          <w14:bevel/>
        </w14:textOutline>
      </w:rPr>
    </w:pPr>
    <w:r>
      <w:rPr>
        <w:noProof/>
        <w:lang w:val="es-CO" w:eastAsia="es-CO"/>
      </w:rPr>
      <mc:AlternateContent>
        <mc:Choice Requires="wps">
          <w:drawing>
            <wp:anchor distT="0" distB="0" distL="114300" distR="114300" simplePos="0" relativeHeight="251742208" behindDoc="1" locked="0" layoutInCell="1" allowOverlap="1" wp14:anchorId="7FB83387" wp14:editId="589DB20F">
              <wp:simplePos x="0" y="0"/>
              <wp:positionH relativeFrom="column">
                <wp:posOffset>1055227</wp:posOffset>
              </wp:positionH>
              <wp:positionV relativeFrom="paragraph">
                <wp:posOffset>9628</wp:posOffset>
              </wp:positionV>
              <wp:extent cx="4276725" cy="798118"/>
              <wp:effectExtent l="0" t="0" r="28575" b="21590"/>
              <wp:wrapNone/>
              <wp:docPr id="7" name="Cuadro de texto 7"/>
              <wp:cNvGraphicFramePr/>
              <a:graphic xmlns:a="http://schemas.openxmlformats.org/drawingml/2006/main">
                <a:graphicData uri="http://schemas.microsoft.com/office/word/2010/wordprocessingShape">
                  <wps:wsp>
                    <wps:cNvSpPr txBox="1"/>
                    <wps:spPr>
                      <a:xfrm>
                        <a:off x="0" y="0"/>
                        <a:ext cx="4276725" cy="798118"/>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95A49" w:rsidRDefault="00A95A49" w:rsidP="00032386">
                          <w:pPr>
                            <w:pStyle w:val="NormalWeb"/>
                            <w:spacing w:before="0" w:beforeAutospacing="0" w:after="0" w:afterAutospacing="0"/>
                            <w:jc w:val="center"/>
                            <w:rPr>
                              <w:b/>
                            </w:rPr>
                          </w:pPr>
                        </w:p>
                        <w:p w:rsidR="00A95A49" w:rsidRDefault="00A95A49" w:rsidP="00032386">
                          <w:pPr>
                            <w:pStyle w:val="NormalWeb"/>
                            <w:spacing w:before="0" w:beforeAutospacing="0" w:after="0" w:afterAutospacing="0"/>
                            <w:jc w:val="center"/>
                            <w:rPr>
                              <w:b/>
                            </w:rPr>
                          </w:pPr>
                          <w:r w:rsidRPr="00A12EE0">
                            <w:rPr>
                              <w:b/>
                            </w:rPr>
                            <w:t>TRIBUNAL ADMINISTRATIVO DE BOLÍVAR</w:t>
                          </w:r>
                        </w:p>
                        <w:p w:rsidR="00A95A49" w:rsidRDefault="00A95A49" w:rsidP="00032386">
                          <w:pPr>
                            <w:pStyle w:val="NormalWeb"/>
                            <w:spacing w:before="0" w:beforeAutospacing="0" w:after="0" w:afterAutospacing="0"/>
                            <w:jc w:val="center"/>
                            <w:rPr>
                              <w:b/>
                            </w:rPr>
                          </w:pPr>
                          <w:r>
                            <w:rPr>
                              <w:b/>
                            </w:rPr>
                            <w:t xml:space="preserve">SALA DE DECISIÓN No 003 </w:t>
                          </w:r>
                        </w:p>
                        <w:p w:rsidR="00A95A49" w:rsidRDefault="00A95A49" w:rsidP="00032386">
                          <w:pPr>
                            <w:pStyle w:val="NormalWeb"/>
                            <w:spacing w:before="0" w:beforeAutospacing="0" w:after="0" w:afterAutospacing="0"/>
                            <w:jc w:val="center"/>
                            <w:rPr>
                              <w:b/>
                            </w:rPr>
                          </w:pPr>
                          <w:r>
                            <w:rPr>
                              <w:b/>
                            </w:rPr>
                            <w:t>SENTENCIA No</w:t>
                          </w:r>
                          <w:r w:rsidR="008F031A">
                            <w:rPr>
                              <w:b/>
                            </w:rPr>
                            <w:t>. 65</w:t>
                          </w:r>
                        </w:p>
                        <w:p w:rsidR="00A95A49" w:rsidRPr="00A12EE0" w:rsidRDefault="00A95A49" w:rsidP="00AF786B">
                          <w:pPr>
                            <w:pStyle w:val="NormalWeb"/>
                            <w:spacing w:before="0" w:beforeAutospacing="0" w:after="0" w:afterAutospacing="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83387" id="_x0000_t202" coordsize="21600,21600" o:spt="202" path="m,l,21600r21600,l21600,xe">
              <v:stroke joinstyle="miter"/>
              <v:path gradientshapeok="t" o:connecttype="rect"/>
            </v:shapetype>
            <v:shape id="Cuadro de texto 7" o:spid="_x0000_s1026" type="#_x0000_t202" style="position:absolute;margin-left:83.1pt;margin-top:.75pt;width:336.75pt;height:62.8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" filled="f" strokecolor="white [3212]" strokeweight=".5pt">
              <v:textbox>
                <w:txbxContent>
                  <w:p w:rsidR="00A95A49" w:rsidRDefault="00A95A49" w:rsidP="00032386">
                    <w:pPr>
                      <w:pStyle w:val="NormalWeb"/>
                      <w:spacing w:before="0" w:beforeAutospacing="0" w:after="0" w:afterAutospacing="0"/>
                      <w:jc w:val="center"/>
                      <w:rPr>
                        <w:b/>
                      </w:rPr>
                    </w:pPr>
                  </w:p>
                  <w:p w:rsidR="00A95A49" w:rsidRDefault="00A95A49" w:rsidP="00032386">
                    <w:pPr>
                      <w:pStyle w:val="NormalWeb"/>
                      <w:spacing w:before="0" w:beforeAutospacing="0" w:after="0" w:afterAutospacing="0"/>
                      <w:jc w:val="center"/>
                      <w:rPr>
                        <w:b/>
                      </w:rPr>
                    </w:pPr>
                    <w:r w:rsidRPr="00A12EE0">
                      <w:rPr>
                        <w:b/>
                      </w:rPr>
                      <w:t>TRIBUNAL ADMINISTRATIVO DE BOLÍVAR</w:t>
                    </w:r>
                  </w:p>
                  <w:p w:rsidR="00A95A49" w:rsidRDefault="00A95A49" w:rsidP="00032386">
                    <w:pPr>
                      <w:pStyle w:val="NormalWeb"/>
                      <w:spacing w:before="0" w:beforeAutospacing="0" w:after="0" w:afterAutospacing="0"/>
                      <w:jc w:val="center"/>
                      <w:rPr>
                        <w:b/>
                      </w:rPr>
                    </w:pPr>
                    <w:r>
                      <w:rPr>
                        <w:b/>
                      </w:rPr>
                      <w:t xml:space="preserve">SALA DE DECISIÓN No 003 </w:t>
                    </w:r>
                  </w:p>
                  <w:p w:rsidR="00A95A49" w:rsidRDefault="00A95A49" w:rsidP="00032386">
                    <w:pPr>
                      <w:pStyle w:val="NormalWeb"/>
                      <w:spacing w:before="0" w:beforeAutospacing="0" w:after="0" w:afterAutospacing="0"/>
                      <w:jc w:val="center"/>
                      <w:rPr>
                        <w:b/>
                      </w:rPr>
                    </w:pPr>
                    <w:r>
                      <w:rPr>
                        <w:b/>
                      </w:rPr>
                      <w:t>SENTENCIA No</w:t>
                    </w:r>
                    <w:r w:rsidR="008F031A">
                      <w:rPr>
                        <w:b/>
                      </w:rPr>
                      <w:t>. 65</w:t>
                    </w:r>
                  </w:p>
                  <w:p w:rsidR="00A95A49" w:rsidRPr="00A12EE0" w:rsidRDefault="00A95A49" w:rsidP="00AF786B">
                    <w:pPr>
                      <w:pStyle w:val="NormalWeb"/>
                      <w:spacing w:before="0" w:beforeAutospacing="0" w:after="0" w:afterAutospacing="0"/>
                      <w:jc w:val="center"/>
                      <w:rPr>
                        <w:b/>
                      </w:rPr>
                    </w:pPr>
                  </w:p>
                </w:txbxContent>
              </v:textbox>
            </v:shape>
          </w:pict>
        </mc:Fallback>
      </mc:AlternateContent>
    </w:r>
    <w:r w:rsidRPr="00E76EB4">
      <w:rPr>
        <w:rFonts w:ascii="Arial Black" w:hAnsi="Arial Black"/>
        <w:b/>
        <w:noProof/>
        <w:color w:val="000000"/>
        <w:sz w:val="20"/>
        <w:szCs w:val="20"/>
        <w:lang w:val="es-CO" w:eastAsia="es-CO"/>
        <w14:textOutline w14:w="12700" w14:cap="rnd" w14:cmpd="sng" w14:algn="ctr">
          <w14:noFill/>
          <w14:prstDash w14:val="solid"/>
          <w14:bevel/>
        </w14:textOutline>
      </w:rPr>
      <mc:AlternateContent>
        <mc:Choice Requires="wps">
          <w:drawing>
            <wp:anchor distT="45720" distB="45720" distL="114300" distR="114300" simplePos="0" relativeHeight="251743232" behindDoc="0" locked="0" layoutInCell="1" allowOverlap="1" wp14:anchorId="34C4D892" wp14:editId="7EB51AD3">
              <wp:simplePos x="0" y="0"/>
              <wp:positionH relativeFrom="column">
                <wp:posOffset>4930140</wp:posOffset>
              </wp:positionH>
              <wp:positionV relativeFrom="paragraph">
                <wp:posOffset>6985</wp:posOffset>
              </wp:positionV>
              <wp:extent cx="114300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0050"/>
                      </a:xfrm>
                      <a:prstGeom prst="rect">
                        <a:avLst/>
                      </a:prstGeom>
                      <a:solidFill>
                        <a:srgbClr val="FFFFFF"/>
                      </a:solidFill>
                      <a:ln w="9525">
                        <a:noFill/>
                        <a:miter lim="800000"/>
                        <a:headEnd/>
                        <a:tailEnd/>
                      </a:ln>
                    </wps:spPr>
                    <wps:txbx>
                      <w:txbxContent>
                        <w:p w:rsidR="00A95A49" w:rsidRPr="00E76EB4" w:rsidRDefault="00A95A49">
                          <w:pPr>
                            <w:rPr>
                              <w:rFonts w:ascii="Times New Roman" w:hAnsi="Times New Roman" w:cs="Times New Roman"/>
                              <w:b/>
                              <w:sz w:val="36"/>
                              <w:szCs w:val="36"/>
                            </w:rPr>
                          </w:pPr>
                          <w:r w:rsidRPr="00E76EB4">
                            <w:rPr>
                              <w:rFonts w:ascii="Times New Roman" w:hAnsi="Times New Roman" w:cs="Times New Roman"/>
                              <w:b/>
                              <w:sz w:val="36"/>
                              <w:szCs w:val="36"/>
                            </w:rPr>
                            <w:t>SIGCMA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4D892" id="Cuadro de texto 2" o:spid="_x0000_s1027" type="#_x0000_t202" style="position:absolute;margin-left:388.2pt;margin-top:.55pt;width:90pt;height:3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" stroked="f">
              <v:textbox>
                <w:txbxContent>
                  <w:p w:rsidR="00A95A49" w:rsidRPr="00E76EB4" w:rsidRDefault="00A95A49">
                    <w:pPr>
                      <w:rPr>
                        <w:rFonts w:ascii="Times New Roman" w:hAnsi="Times New Roman" w:cs="Times New Roman"/>
                        <w:b/>
                        <w:sz w:val="36"/>
                        <w:szCs w:val="36"/>
                      </w:rPr>
                    </w:pPr>
                    <w:r w:rsidRPr="00E76EB4">
                      <w:rPr>
                        <w:rFonts w:ascii="Times New Roman" w:hAnsi="Times New Roman" w:cs="Times New Roman"/>
                        <w:b/>
                        <w:sz w:val="36"/>
                        <w:szCs w:val="36"/>
                      </w:rPr>
                      <w:t>SIGCMA</w:t>
                    </w:r>
                  </w:p>
                </w:txbxContent>
              </v:textbox>
              <w10:wrap type="square"/>
            </v:shape>
          </w:pict>
        </mc:Fallback>
      </mc:AlternateContent>
    </w:r>
    <w:r>
      <w:rPr>
        <w:noProof/>
        <w:lang w:val="es-CO" w:eastAsia="es-CO"/>
      </w:rPr>
      <w:drawing>
        <wp:anchor distT="0" distB="0" distL="114300" distR="114300" simplePos="0" relativeHeight="251741184" behindDoc="0" locked="0" layoutInCell="1" allowOverlap="1" wp14:anchorId="04D2FCED" wp14:editId="2D3DD5B5">
          <wp:simplePos x="0" y="0"/>
          <wp:positionH relativeFrom="column">
            <wp:posOffset>166370</wp:posOffset>
          </wp:positionH>
          <wp:positionV relativeFrom="paragraph">
            <wp:posOffset>6985</wp:posOffset>
          </wp:positionV>
          <wp:extent cx="866775" cy="866775"/>
          <wp:effectExtent l="0" t="0" r="9525" b="9525"/>
          <wp:wrapSquare wrapText="bothSides"/>
          <wp:docPr id="8"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A95A49" w:rsidRPr="00A95A49" w:rsidRDefault="00A95A49" w:rsidP="003A231E">
    <w:pPr>
      <w:pStyle w:val="NormalWeb"/>
      <w:tabs>
        <w:tab w:val="left" w:pos="3915"/>
      </w:tabs>
      <w:spacing w:before="0" w:beforeAutospacing="0" w:after="0" w:afterAutospacing="0"/>
      <w:rPr>
        <w:rFonts w:ascii="Century Gothic" w:hAnsi="Century Gothic"/>
        <w:b/>
        <w:sz w:val="20"/>
        <w:szCs w:val="20"/>
        <w14:textOutline w14:w="12700" w14:cap="rnd" w14:cmpd="sng" w14:algn="ctr">
          <w14:noFill/>
          <w14:prstDash w14:val="solid"/>
          <w14:bevel/>
        </w14:textOutline>
      </w:rPr>
    </w:pPr>
    <w:r w:rsidRPr="00A95A49">
      <w:rPr>
        <w:rFonts w:ascii="Century Gothic" w:hAnsi="Century Gothic"/>
        <w:b/>
        <w:sz w:val="20"/>
        <w:szCs w:val="20"/>
        <w14:textOutline w14:w="12700" w14:cap="rnd" w14:cmpd="sng" w14:algn="ctr">
          <w14:noFill/>
          <w14:prstDash w14:val="solid"/>
          <w14:bevel/>
        </w14:textOutline>
      </w:rPr>
      <w:tab/>
    </w:r>
  </w:p>
  <w:p w:rsidR="00A95A49" w:rsidRPr="00A95A49" w:rsidRDefault="00A95A49" w:rsidP="00207396">
    <w:pPr>
      <w:pStyle w:val="NormalWeb"/>
      <w:spacing w:before="0" w:beforeAutospacing="0" w:after="0" w:afterAutospacing="0"/>
      <w:jc w:val="center"/>
      <w:rPr>
        <w:rFonts w:ascii="Century Gothic" w:hAnsi="Century Gothic"/>
        <w:b/>
        <w:sz w:val="20"/>
        <w:szCs w:val="20"/>
        <w14:textOutline w14:w="12700" w14:cap="rnd" w14:cmpd="sng" w14:algn="ctr">
          <w14:noFill/>
          <w14:prstDash w14:val="solid"/>
          <w14:bevel/>
        </w14:textOutline>
      </w:rPr>
    </w:pPr>
  </w:p>
  <w:p w:rsidR="00A95A49" w:rsidRPr="00A95A49" w:rsidRDefault="00A95A49" w:rsidP="003A231E">
    <w:pPr>
      <w:pStyle w:val="NormalWeb"/>
      <w:tabs>
        <w:tab w:val="left" w:pos="855"/>
      </w:tabs>
      <w:spacing w:before="0" w:beforeAutospacing="0" w:after="0" w:afterAutospacing="0"/>
      <w:rPr>
        <w:rFonts w:ascii="Century Gothic" w:hAnsi="Century Gothic"/>
        <w:b/>
        <w:sz w:val="20"/>
        <w:szCs w:val="20"/>
        <w14:textOutline w14:w="12700" w14:cap="rnd" w14:cmpd="sng" w14:algn="ctr">
          <w14:noFill/>
          <w14:prstDash w14:val="solid"/>
          <w14:bevel/>
        </w14:textOutline>
      </w:rPr>
    </w:pPr>
    <w:r w:rsidRPr="00A95A49">
      <w:rPr>
        <w:rFonts w:ascii="Century Gothic" w:hAnsi="Century Gothic"/>
        <w:b/>
        <w:sz w:val="20"/>
        <w:szCs w:val="20"/>
        <w14:textOutline w14:w="12700" w14:cap="rnd" w14:cmpd="sng" w14:algn="ctr">
          <w14:noFill/>
          <w14:prstDash w14:val="solid"/>
          <w14:bevel/>
        </w14:textOutline>
      </w:rPr>
      <w:tab/>
    </w:r>
  </w:p>
  <w:p w:rsidR="00A95A49" w:rsidRPr="00A95A49" w:rsidRDefault="00A95A49" w:rsidP="00AF786B">
    <w:pPr>
      <w:pStyle w:val="NormalWeb"/>
      <w:tabs>
        <w:tab w:val="left" w:pos="2031"/>
      </w:tabs>
      <w:spacing w:before="0" w:beforeAutospacing="0" w:after="0" w:afterAutospacing="0"/>
      <w:rPr>
        <w:rFonts w:ascii="Century Gothic" w:hAnsi="Century Gothic"/>
        <w:b/>
        <w:sz w:val="20"/>
        <w:szCs w:val="20"/>
        <w14:textOutline w14:w="12700" w14:cap="rnd" w14:cmpd="sng" w14:algn="ctr">
          <w14:noFill/>
          <w14:prstDash w14:val="solid"/>
          <w14:bevel/>
        </w14:textOutline>
      </w:rPr>
    </w:pPr>
    <w:r w:rsidRPr="00A95A49">
      <w:rPr>
        <w:rFonts w:ascii="Century Gothic" w:hAnsi="Century Gothic"/>
        <w:b/>
        <w:sz w:val="20"/>
        <w:szCs w:val="20"/>
        <w14:textOutline w14:w="12700" w14:cap="rnd" w14:cmpd="sng" w14:algn="ctr">
          <w14:noFill/>
          <w14:prstDash w14:val="solid"/>
          <w14:bevel/>
        </w14:textOutline>
      </w:rPr>
      <w:tab/>
    </w:r>
    <w:r w:rsidRPr="00A95A49">
      <w:rPr>
        <w:rFonts w:ascii="Century Gothic" w:hAnsi="Century Gothic"/>
        <w:b/>
        <w:sz w:val="20"/>
        <w:szCs w:val="20"/>
        <w14:textOutline w14:w="12700" w14:cap="rnd" w14:cmpd="sng" w14:algn="ctr">
          <w14:noFill/>
          <w14:prstDash w14:val="solid"/>
          <w14:bevel/>
        </w14:textOutline>
      </w:rPr>
      <w:tab/>
    </w:r>
    <w:r w:rsidRPr="00A95A49">
      <w:rPr>
        <w:rFonts w:ascii="Century Gothic" w:hAnsi="Century Gothic"/>
        <w:b/>
        <w:sz w:val="20"/>
        <w:szCs w:val="20"/>
        <w14:textOutline w14:w="12700" w14:cap="rnd" w14:cmpd="sng" w14:algn="ctr">
          <w14:noFill/>
          <w14:prstDash w14:val="solid"/>
          <w14:bevel/>
        </w14:textOutline>
      </w:rPr>
      <w:tab/>
    </w:r>
    <w:r w:rsidRPr="00A95A49">
      <w:rPr>
        <w:rFonts w:ascii="Century Gothic" w:hAnsi="Century Gothic"/>
        <w:b/>
        <w:sz w:val="20"/>
        <w:szCs w:val="20"/>
        <w14:textOutline w14:w="12700" w14:cap="rnd" w14:cmpd="sng" w14:algn="ctr">
          <w14:noFill/>
          <w14:prstDash w14:val="solid"/>
          <w14:bevel/>
        </w14:textOutline>
      </w:rPr>
      <w:tab/>
    </w:r>
  </w:p>
  <w:p w:rsidR="00A95A49" w:rsidRPr="00A95A49" w:rsidRDefault="00A95A49" w:rsidP="00AF786B">
    <w:pPr>
      <w:pStyle w:val="Encabezado"/>
      <w:tabs>
        <w:tab w:val="left" w:pos="1523"/>
      </w:tabs>
      <w:rPr>
        <w:rFonts w:ascii="Century Gothic" w:hAnsi="Century Gothic"/>
      </w:rPr>
    </w:pPr>
    <w:r w:rsidRPr="00A95A49">
      <w:rPr>
        <w:rFonts w:ascii="Century Gothic" w:hAnsi="Century Gothic"/>
      </w:rPr>
      <w:tab/>
    </w:r>
  </w:p>
  <w:p w:rsidR="00A95A49" w:rsidRDefault="00A95A49" w:rsidP="008B3965">
    <w:pPr>
      <w:pStyle w:val="Encabezado"/>
      <w:tabs>
        <w:tab w:val="left" w:pos="6855"/>
      </w:tabs>
      <w:jc w:val="right"/>
      <w:rPr>
        <w:rFonts w:ascii="Arial" w:hAnsi="Arial" w:cs="Arial"/>
        <w:b/>
        <w:sz w:val="20"/>
        <w:szCs w:val="20"/>
      </w:rPr>
    </w:pPr>
  </w:p>
  <w:p w:rsidR="00A95A49" w:rsidRDefault="00A95A49" w:rsidP="00AF786B">
    <w:pPr>
      <w:pStyle w:val="Encabezado"/>
      <w:tabs>
        <w:tab w:val="left" w:pos="6855"/>
      </w:tabs>
      <w:jc w:val="right"/>
      <w:rPr>
        <w:rFonts w:ascii="Arial" w:hAnsi="Arial" w:cs="Arial"/>
        <w:b/>
        <w:sz w:val="20"/>
        <w:szCs w:val="20"/>
      </w:rPr>
    </w:pPr>
    <w:r>
      <w:rPr>
        <w:rFonts w:ascii="Arial" w:hAnsi="Arial" w:cs="Arial"/>
        <w:b/>
        <w:sz w:val="20"/>
        <w:szCs w:val="20"/>
      </w:rPr>
      <w:tab/>
      <w:t>Radicado 130013333004-2014-00025-01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52" w:rsidRDefault="00A83852" w:rsidP="00442CD0">
    <w:pPr>
      <w:pStyle w:val="NormalWeb"/>
      <w:tabs>
        <w:tab w:val="left" w:pos="2880"/>
        <w:tab w:val="center" w:pos="4986"/>
      </w:tabs>
      <w:spacing w:before="0" w:beforeAutospacing="0" w:after="0" w:afterAutospacing="0"/>
      <w:jc w:val="center"/>
      <w:rPr>
        <w:rFonts w:ascii="Arial Black" w:hAnsi="Arial Black" w:cstheme="minorBidi"/>
        <w:b/>
        <w:color w:val="000000"/>
        <w:sz w:val="20"/>
        <w:szCs w:val="20"/>
        <w14:textOutline w14:w="12700" w14:cap="rnd" w14:cmpd="sng" w14:algn="ctr">
          <w14:noFill/>
          <w14:prstDash w14:val="solid"/>
          <w14:bevel/>
        </w14:textOutline>
      </w:rPr>
    </w:pPr>
  </w:p>
  <w:p w:rsidR="00A83852" w:rsidRDefault="00A83852" w:rsidP="00442CD0">
    <w:pPr>
      <w:pStyle w:val="NormalWeb"/>
      <w:tabs>
        <w:tab w:val="left" w:pos="2880"/>
        <w:tab w:val="center" w:pos="4986"/>
      </w:tabs>
      <w:spacing w:before="0" w:beforeAutospacing="0" w:after="0" w:afterAutospacing="0"/>
      <w:jc w:val="center"/>
      <w:rPr>
        <w:rFonts w:ascii="Arial Black" w:hAnsi="Arial Black"/>
        <w:noProof/>
        <w:color w:val="000000"/>
        <w:sz w:val="32"/>
        <w:szCs w:val="32"/>
      </w:rPr>
    </w:pPr>
  </w:p>
  <w:p w:rsidR="00A83852" w:rsidRDefault="00A83852" w:rsidP="00442CD0">
    <w:pPr>
      <w:pStyle w:val="NormalWeb"/>
      <w:tabs>
        <w:tab w:val="left" w:pos="2880"/>
        <w:tab w:val="center" w:pos="4986"/>
      </w:tabs>
      <w:spacing w:before="0" w:beforeAutospacing="0" w:after="0" w:afterAutospacing="0"/>
      <w:jc w:val="center"/>
      <w:rPr>
        <w:rFonts w:ascii="Arial Black" w:hAnsi="Arial Black"/>
        <w:noProof/>
        <w:color w:val="000000"/>
        <w:sz w:val="32"/>
        <w:szCs w:val="32"/>
      </w:rPr>
    </w:pPr>
  </w:p>
  <w:p w:rsidR="00A83852" w:rsidRDefault="00A83852" w:rsidP="00442CD0">
    <w:pPr>
      <w:pStyle w:val="NormalWeb"/>
      <w:tabs>
        <w:tab w:val="left" w:pos="2880"/>
        <w:tab w:val="center" w:pos="4986"/>
      </w:tabs>
      <w:spacing w:before="0" w:beforeAutospacing="0" w:after="0" w:afterAutospacing="0"/>
      <w:jc w:val="center"/>
      <w:rPr>
        <w:rFonts w:ascii="Arial Black" w:hAnsi="Arial Black"/>
        <w:noProof/>
        <w:color w:val="000000"/>
        <w:sz w:val="32"/>
        <w:szCs w:val="32"/>
      </w:rPr>
    </w:pPr>
  </w:p>
  <w:p w:rsidR="00A83852" w:rsidRPr="00CE07B2" w:rsidRDefault="00A83852" w:rsidP="00442CD0">
    <w:pPr>
      <w:pStyle w:val="NormalWeb"/>
      <w:tabs>
        <w:tab w:val="left" w:pos="2880"/>
        <w:tab w:val="center" w:pos="4986"/>
      </w:tabs>
      <w:spacing w:before="0" w:beforeAutospacing="0" w:after="0" w:afterAutospacing="0"/>
      <w:jc w:val="center"/>
      <w:rPr>
        <w:rFonts w:ascii="Arial Black" w:hAnsi="Arial Black"/>
        <w:noProof/>
        <w:color w:val="000000"/>
        <w:sz w:val="20"/>
        <w:szCs w:val="20"/>
      </w:rPr>
    </w:pPr>
  </w:p>
  <w:p w:rsidR="00A83852" w:rsidRDefault="00A83852" w:rsidP="00442CD0">
    <w:pPr>
      <w:pStyle w:val="Encabezado"/>
      <w:tabs>
        <w:tab w:val="left" w:pos="6855"/>
      </w:tabs>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Pr="001E29DB">
      <w:rPr>
        <w:rFonts w:ascii="Arial" w:hAnsi="Arial" w:cs="Arial"/>
        <w:b/>
        <w:sz w:val="20"/>
        <w:szCs w:val="20"/>
      </w:rPr>
      <w:t>Radicado No.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945DF"/>
    <w:multiLevelType w:val="multilevel"/>
    <w:tmpl w:val="8216F7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E6B5B22"/>
    <w:multiLevelType w:val="hybridMultilevel"/>
    <w:tmpl w:val="7B6AF4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17444C"/>
    <w:multiLevelType w:val="hybridMultilevel"/>
    <w:tmpl w:val="77883728"/>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C43689"/>
    <w:multiLevelType w:val="hybridMultilevel"/>
    <w:tmpl w:val="C7F8FB76"/>
    <w:lvl w:ilvl="0" w:tplc="76F29BF0">
      <w:start w:val="1"/>
      <w:numFmt w:val="lowerLetter"/>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39B3A0E"/>
    <w:multiLevelType w:val="hybridMultilevel"/>
    <w:tmpl w:val="1696EE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348F16D7"/>
    <w:multiLevelType w:val="multilevel"/>
    <w:tmpl w:val="C3E25286"/>
    <w:lvl w:ilvl="0">
      <w:start w:val="3"/>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6">
    <w:nsid w:val="3B4F0D03"/>
    <w:multiLevelType w:val="hybridMultilevel"/>
    <w:tmpl w:val="B2D4211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FF10FF3"/>
    <w:multiLevelType w:val="hybridMultilevel"/>
    <w:tmpl w:val="32DC92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07A1A3A"/>
    <w:multiLevelType w:val="hybridMultilevel"/>
    <w:tmpl w:val="B768A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51991C37"/>
    <w:multiLevelType w:val="multilevel"/>
    <w:tmpl w:val="037C216C"/>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3EB2D12"/>
    <w:multiLevelType w:val="hybridMultilevel"/>
    <w:tmpl w:val="A3D4961E"/>
    <w:lvl w:ilvl="0" w:tplc="F5C63D7C">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36436A"/>
    <w:multiLevelType w:val="multilevel"/>
    <w:tmpl w:val="1C16C5EE"/>
    <w:lvl w:ilvl="0">
      <w:start w:val="2"/>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83078C9"/>
    <w:multiLevelType w:val="multilevel"/>
    <w:tmpl w:val="980CA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F20107D"/>
    <w:multiLevelType w:val="hybridMultilevel"/>
    <w:tmpl w:val="1C2C0F86"/>
    <w:lvl w:ilvl="0" w:tplc="76F067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B377C4B"/>
    <w:multiLevelType w:val="hybridMultilevel"/>
    <w:tmpl w:val="2A50A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B4639E6"/>
    <w:multiLevelType w:val="hybridMultilevel"/>
    <w:tmpl w:val="C7F8FB76"/>
    <w:lvl w:ilvl="0" w:tplc="76F29BF0">
      <w:start w:val="1"/>
      <w:numFmt w:val="lowerLetter"/>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6D48210E"/>
    <w:multiLevelType w:val="hybridMultilevel"/>
    <w:tmpl w:val="3442593C"/>
    <w:lvl w:ilvl="0" w:tplc="C8B45ED4">
      <w:start w:val="1"/>
      <w:numFmt w:val="decimal"/>
      <w:lvlText w:val="%1."/>
      <w:lvlJc w:val="left"/>
      <w:pPr>
        <w:tabs>
          <w:tab w:val="num" w:pos="1080"/>
        </w:tabs>
        <w:ind w:left="1080" w:hanging="360"/>
      </w:pPr>
    </w:lvl>
    <w:lvl w:ilvl="1" w:tplc="46AEE568">
      <w:numFmt w:val="none"/>
      <w:lvlText w:val=""/>
      <w:lvlJc w:val="left"/>
      <w:pPr>
        <w:tabs>
          <w:tab w:val="num" w:pos="360"/>
        </w:tabs>
      </w:pPr>
    </w:lvl>
    <w:lvl w:ilvl="2" w:tplc="8BFCC6FE">
      <w:numFmt w:val="none"/>
      <w:lvlText w:val=""/>
      <w:lvlJc w:val="left"/>
      <w:pPr>
        <w:tabs>
          <w:tab w:val="num" w:pos="360"/>
        </w:tabs>
      </w:pPr>
    </w:lvl>
    <w:lvl w:ilvl="3" w:tplc="A14A33FC">
      <w:numFmt w:val="none"/>
      <w:lvlText w:val=""/>
      <w:lvlJc w:val="left"/>
      <w:pPr>
        <w:tabs>
          <w:tab w:val="num" w:pos="360"/>
        </w:tabs>
      </w:pPr>
    </w:lvl>
    <w:lvl w:ilvl="4" w:tplc="94063664">
      <w:numFmt w:val="none"/>
      <w:lvlText w:val=""/>
      <w:lvlJc w:val="left"/>
      <w:pPr>
        <w:tabs>
          <w:tab w:val="num" w:pos="360"/>
        </w:tabs>
      </w:pPr>
    </w:lvl>
    <w:lvl w:ilvl="5" w:tplc="2376DB3A">
      <w:numFmt w:val="none"/>
      <w:lvlText w:val=""/>
      <w:lvlJc w:val="left"/>
      <w:pPr>
        <w:tabs>
          <w:tab w:val="num" w:pos="360"/>
        </w:tabs>
      </w:pPr>
    </w:lvl>
    <w:lvl w:ilvl="6" w:tplc="BE043E16">
      <w:numFmt w:val="none"/>
      <w:lvlText w:val=""/>
      <w:lvlJc w:val="left"/>
      <w:pPr>
        <w:tabs>
          <w:tab w:val="num" w:pos="360"/>
        </w:tabs>
      </w:pPr>
    </w:lvl>
    <w:lvl w:ilvl="7" w:tplc="258252F2">
      <w:numFmt w:val="none"/>
      <w:lvlText w:val=""/>
      <w:lvlJc w:val="left"/>
      <w:pPr>
        <w:tabs>
          <w:tab w:val="num" w:pos="360"/>
        </w:tabs>
      </w:pPr>
    </w:lvl>
    <w:lvl w:ilvl="8" w:tplc="A594922E">
      <w:numFmt w:val="none"/>
      <w:lvlText w:val=""/>
      <w:lvlJc w:val="left"/>
      <w:pPr>
        <w:tabs>
          <w:tab w:val="num" w:pos="360"/>
        </w:tabs>
      </w:pPr>
    </w:lvl>
  </w:abstractNum>
  <w:abstractNum w:abstractNumId="17">
    <w:nsid w:val="6DCE59D3"/>
    <w:multiLevelType w:val="multilevel"/>
    <w:tmpl w:val="836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1F7B2B"/>
    <w:multiLevelType w:val="hybridMultilevel"/>
    <w:tmpl w:val="3442593C"/>
    <w:lvl w:ilvl="0" w:tplc="C8B45ED4">
      <w:start w:val="1"/>
      <w:numFmt w:val="decimal"/>
      <w:lvlText w:val="%1."/>
      <w:lvlJc w:val="left"/>
      <w:pPr>
        <w:tabs>
          <w:tab w:val="num" w:pos="1080"/>
        </w:tabs>
        <w:ind w:left="1080" w:hanging="360"/>
      </w:pPr>
    </w:lvl>
    <w:lvl w:ilvl="1" w:tplc="46AEE568">
      <w:numFmt w:val="none"/>
      <w:lvlText w:val=""/>
      <w:lvlJc w:val="left"/>
      <w:pPr>
        <w:tabs>
          <w:tab w:val="num" w:pos="360"/>
        </w:tabs>
      </w:pPr>
    </w:lvl>
    <w:lvl w:ilvl="2" w:tplc="8BFCC6FE">
      <w:numFmt w:val="none"/>
      <w:lvlText w:val=""/>
      <w:lvlJc w:val="left"/>
      <w:pPr>
        <w:tabs>
          <w:tab w:val="num" w:pos="360"/>
        </w:tabs>
      </w:pPr>
    </w:lvl>
    <w:lvl w:ilvl="3" w:tplc="A14A33FC">
      <w:numFmt w:val="none"/>
      <w:lvlText w:val=""/>
      <w:lvlJc w:val="left"/>
      <w:pPr>
        <w:tabs>
          <w:tab w:val="num" w:pos="360"/>
        </w:tabs>
      </w:pPr>
    </w:lvl>
    <w:lvl w:ilvl="4" w:tplc="94063664">
      <w:numFmt w:val="none"/>
      <w:lvlText w:val=""/>
      <w:lvlJc w:val="left"/>
      <w:pPr>
        <w:tabs>
          <w:tab w:val="num" w:pos="360"/>
        </w:tabs>
      </w:pPr>
    </w:lvl>
    <w:lvl w:ilvl="5" w:tplc="2376DB3A">
      <w:numFmt w:val="none"/>
      <w:lvlText w:val=""/>
      <w:lvlJc w:val="left"/>
      <w:pPr>
        <w:tabs>
          <w:tab w:val="num" w:pos="360"/>
        </w:tabs>
      </w:pPr>
    </w:lvl>
    <w:lvl w:ilvl="6" w:tplc="BE043E16">
      <w:numFmt w:val="none"/>
      <w:lvlText w:val=""/>
      <w:lvlJc w:val="left"/>
      <w:pPr>
        <w:tabs>
          <w:tab w:val="num" w:pos="360"/>
        </w:tabs>
      </w:pPr>
    </w:lvl>
    <w:lvl w:ilvl="7" w:tplc="258252F2">
      <w:numFmt w:val="none"/>
      <w:lvlText w:val=""/>
      <w:lvlJc w:val="left"/>
      <w:pPr>
        <w:tabs>
          <w:tab w:val="num" w:pos="360"/>
        </w:tabs>
      </w:pPr>
    </w:lvl>
    <w:lvl w:ilvl="8" w:tplc="A594922E">
      <w:numFmt w:val="none"/>
      <w:lvlText w:val=""/>
      <w:lvlJc w:val="left"/>
      <w:pPr>
        <w:tabs>
          <w:tab w:val="num" w:pos="360"/>
        </w:tabs>
      </w:pPr>
    </w:lvl>
  </w:abstractNum>
  <w:abstractNum w:abstractNumId="19">
    <w:nsid w:val="76AD1B12"/>
    <w:multiLevelType w:val="hybridMultilevel"/>
    <w:tmpl w:val="7A442442"/>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2231" w:hanging="360"/>
      </w:pPr>
      <w:rPr>
        <w:rFonts w:ascii="Courier New" w:hAnsi="Courier New" w:cs="Courier New" w:hint="default"/>
      </w:rPr>
    </w:lvl>
    <w:lvl w:ilvl="2" w:tplc="240A0005" w:tentative="1">
      <w:start w:val="1"/>
      <w:numFmt w:val="bullet"/>
      <w:lvlText w:val=""/>
      <w:lvlJc w:val="left"/>
      <w:pPr>
        <w:ind w:left="2951" w:hanging="360"/>
      </w:pPr>
      <w:rPr>
        <w:rFonts w:ascii="Wingdings" w:hAnsi="Wingdings" w:hint="default"/>
      </w:rPr>
    </w:lvl>
    <w:lvl w:ilvl="3" w:tplc="240A0001" w:tentative="1">
      <w:start w:val="1"/>
      <w:numFmt w:val="bullet"/>
      <w:lvlText w:val=""/>
      <w:lvlJc w:val="left"/>
      <w:pPr>
        <w:ind w:left="3671" w:hanging="360"/>
      </w:pPr>
      <w:rPr>
        <w:rFonts w:ascii="Symbol" w:hAnsi="Symbol" w:hint="default"/>
      </w:rPr>
    </w:lvl>
    <w:lvl w:ilvl="4" w:tplc="240A0003" w:tentative="1">
      <w:start w:val="1"/>
      <w:numFmt w:val="bullet"/>
      <w:lvlText w:val="o"/>
      <w:lvlJc w:val="left"/>
      <w:pPr>
        <w:ind w:left="4391" w:hanging="360"/>
      </w:pPr>
      <w:rPr>
        <w:rFonts w:ascii="Courier New" w:hAnsi="Courier New" w:cs="Courier New" w:hint="default"/>
      </w:rPr>
    </w:lvl>
    <w:lvl w:ilvl="5" w:tplc="240A0005" w:tentative="1">
      <w:start w:val="1"/>
      <w:numFmt w:val="bullet"/>
      <w:lvlText w:val=""/>
      <w:lvlJc w:val="left"/>
      <w:pPr>
        <w:ind w:left="5111" w:hanging="360"/>
      </w:pPr>
      <w:rPr>
        <w:rFonts w:ascii="Wingdings" w:hAnsi="Wingdings" w:hint="default"/>
      </w:rPr>
    </w:lvl>
    <w:lvl w:ilvl="6" w:tplc="240A0001" w:tentative="1">
      <w:start w:val="1"/>
      <w:numFmt w:val="bullet"/>
      <w:lvlText w:val=""/>
      <w:lvlJc w:val="left"/>
      <w:pPr>
        <w:ind w:left="5831" w:hanging="360"/>
      </w:pPr>
      <w:rPr>
        <w:rFonts w:ascii="Symbol" w:hAnsi="Symbol" w:hint="default"/>
      </w:rPr>
    </w:lvl>
    <w:lvl w:ilvl="7" w:tplc="240A0003" w:tentative="1">
      <w:start w:val="1"/>
      <w:numFmt w:val="bullet"/>
      <w:lvlText w:val="o"/>
      <w:lvlJc w:val="left"/>
      <w:pPr>
        <w:ind w:left="6551" w:hanging="360"/>
      </w:pPr>
      <w:rPr>
        <w:rFonts w:ascii="Courier New" w:hAnsi="Courier New" w:cs="Courier New" w:hint="default"/>
      </w:rPr>
    </w:lvl>
    <w:lvl w:ilvl="8" w:tplc="240A0005" w:tentative="1">
      <w:start w:val="1"/>
      <w:numFmt w:val="bullet"/>
      <w:lvlText w:val=""/>
      <w:lvlJc w:val="left"/>
      <w:pPr>
        <w:ind w:left="7271" w:hanging="360"/>
      </w:pPr>
      <w:rPr>
        <w:rFonts w:ascii="Wingdings" w:hAnsi="Wingdings" w:hint="default"/>
      </w:rPr>
    </w:lvl>
  </w:abstractNum>
  <w:abstractNum w:abstractNumId="20">
    <w:nsid w:val="773E5EFD"/>
    <w:multiLevelType w:val="multilevel"/>
    <w:tmpl w:val="08C4886A"/>
    <w:lvl w:ilvl="0">
      <w:start w:val="1"/>
      <w:numFmt w:val="upperRoman"/>
      <w:lvlText w:val="%1."/>
      <w:lvlJc w:val="left"/>
      <w:pPr>
        <w:ind w:left="1080" w:hanging="720"/>
      </w:pPr>
      <w:rPr>
        <w:rFonts w:hint="default"/>
        <w:b/>
        <w:i w:val="0"/>
        <w:iCs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8D669E7"/>
    <w:multiLevelType w:val="hybridMultilevel"/>
    <w:tmpl w:val="327E67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78DC6026"/>
    <w:multiLevelType w:val="hybridMultilevel"/>
    <w:tmpl w:val="E392D38C"/>
    <w:lvl w:ilvl="0" w:tplc="F5C63D7C">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9B16035"/>
    <w:multiLevelType w:val="hybridMultilevel"/>
    <w:tmpl w:val="F3E68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ECA5A81"/>
    <w:multiLevelType w:val="hybridMultilevel"/>
    <w:tmpl w:val="D2B0697C"/>
    <w:lvl w:ilvl="0" w:tplc="3EC2144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3"/>
  </w:num>
  <w:num w:numId="5">
    <w:abstractNumId w:val="4"/>
  </w:num>
  <w:num w:numId="6">
    <w:abstractNumId w:val="20"/>
  </w:num>
  <w:num w:numId="7">
    <w:abstractNumId w:val="17"/>
  </w:num>
  <w:num w:numId="8">
    <w:abstractNumId w:val="23"/>
  </w:num>
  <w:num w:numId="9">
    <w:abstractNumId w:val="3"/>
  </w:num>
  <w:num w:numId="10">
    <w:abstractNumId w:val="21"/>
  </w:num>
  <w:num w:numId="11">
    <w:abstractNumId w:val="5"/>
  </w:num>
  <w:num w:numId="12">
    <w:abstractNumId w:val="14"/>
  </w:num>
  <w:num w:numId="13">
    <w:abstractNumId w:val="10"/>
  </w:num>
  <w:num w:numId="14">
    <w:abstractNumId w:val="22"/>
  </w:num>
  <w:num w:numId="15">
    <w:abstractNumId w:val="18"/>
  </w:num>
  <w:num w:numId="16">
    <w:abstractNumId w:val="24"/>
  </w:num>
  <w:num w:numId="17">
    <w:abstractNumId w:val="15"/>
  </w:num>
  <w:num w:numId="18">
    <w:abstractNumId w:val="12"/>
  </w:num>
  <w:num w:numId="19">
    <w:abstractNumId w:val="11"/>
  </w:num>
  <w:num w:numId="20">
    <w:abstractNumId w:val="0"/>
  </w:num>
  <w:num w:numId="21">
    <w:abstractNumId w:val="9"/>
  </w:num>
  <w:num w:numId="22">
    <w:abstractNumId w:val="6"/>
  </w:num>
  <w:num w:numId="23">
    <w:abstractNumId w:val="8"/>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11974"/>
    <w:rsid w:val="00014514"/>
    <w:rsid w:val="0002215D"/>
    <w:rsid w:val="00032386"/>
    <w:rsid w:val="00036DD4"/>
    <w:rsid w:val="0004045C"/>
    <w:rsid w:val="00045C2D"/>
    <w:rsid w:val="000478D8"/>
    <w:rsid w:val="00047BC9"/>
    <w:rsid w:val="00050F8F"/>
    <w:rsid w:val="00053488"/>
    <w:rsid w:val="00055262"/>
    <w:rsid w:val="00063B17"/>
    <w:rsid w:val="0007317C"/>
    <w:rsid w:val="000759FD"/>
    <w:rsid w:val="000760CD"/>
    <w:rsid w:val="000812C4"/>
    <w:rsid w:val="0008315B"/>
    <w:rsid w:val="0008752A"/>
    <w:rsid w:val="00087C3B"/>
    <w:rsid w:val="00090245"/>
    <w:rsid w:val="00092BAA"/>
    <w:rsid w:val="00094D63"/>
    <w:rsid w:val="000A487D"/>
    <w:rsid w:val="000B3913"/>
    <w:rsid w:val="000B4875"/>
    <w:rsid w:val="000C0463"/>
    <w:rsid w:val="000C39A2"/>
    <w:rsid w:val="000C72E3"/>
    <w:rsid w:val="000D7FD8"/>
    <w:rsid w:val="000E2489"/>
    <w:rsid w:val="000E6CA4"/>
    <w:rsid w:val="000E7619"/>
    <w:rsid w:val="000E78F3"/>
    <w:rsid w:val="000F7123"/>
    <w:rsid w:val="000F74C6"/>
    <w:rsid w:val="00113A02"/>
    <w:rsid w:val="00117F9B"/>
    <w:rsid w:val="00121C9F"/>
    <w:rsid w:val="001222CD"/>
    <w:rsid w:val="00124D5D"/>
    <w:rsid w:val="00126B7D"/>
    <w:rsid w:val="00131A41"/>
    <w:rsid w:val="001335D1"/>
    <w:rsid w:val="001366A4"/>
    <w:rsid w:val="0014073A"/>
    <w:rsid w:val="00143DCA"/>
    <w:rsid w:val="001442CB"/>
    <w:rsid w:val="001468B4"/>
    <w:rsid w:val="00154146"/>
    <w:rsid w:val="001553FF"/>
    <w:rsid w:val="00160AE7"/>
    <w:rsid w:val="0016772E"/>
    <w:rsid w:val="001708BD"/>
    <w:rsid w:val="001727FB"/>
    <w:rsid w:val="00175E0C"/>
    <w:rsid w:val="0017629C"/>
    <w:rsid w:val="001762B6"/>
    <w:rsid w:val="00181D23"/>
    <w:rsid w:val="0018335A"/>
    <w:rsid w:val="00183A66"/>
    <w:rsid w:val="001843E6"/>
    <w:rsid w:val="00184D2C"/>
    <w:rsid w:val="0018528B"/>
    <w:rsid w:val="00191824"/>
    <w:rsid w:val="00193B57"/>
    <w:rsid w:val="001A7C97"/>
    <w:rsid w:val="001B474F"/>
    <w:rsid w:val="001B60D2"/>
    <w:rsid w:val="001B6F31"/>
    <w:rsid w:val="001B7767"/>
    <w:rsid w:val="001C17E9"/>
    <w:rsid w:val="001D3FF1"/>
    <w:rsid w:val="001D5A3E"/>
    <w:rsid w:val="001D6142"/>
    <w:rsid w:val="001D77AB"/>
    <w:rsid w:val="001D7B5F"/>
    <w:rsid w:val="001E1EF3"/>
    <w:rsid w:val="001E2F56"/>
    <w:rsid w:val="001E342F"/>
    <w:rsid w:val="001E6967"/>
    <w:rsid w:val="001F044A"/>
    <w:rsid w:val="001F0C82"/>
    <w:rsid w:val="001F4143"/>
    <w:rsid w:val="00201C3C"/>
    <w:rsid w:val="002050B9"/>
    <w:rsid w:val="00207396"/>
    <w:rsid w:val="00207FEB"/>
    <w:rsid w:val="002133C8"/>
    <w:rsid w:val="00214860"/>
    <w:rsid w:val="00222BA3"/>
    <w:rsid w:val="00223E66"/>
    <w:rsid w:val="0022475F"/>
    <w:rsid w:val="00227A87"/>
    <w:rsid w:val="00233076"/>
    <w:rsid w:val="00233A0F"/>
    <w:rsid w:val="00233A69"/>
    <w:rsid w:val="002345B2"/>
    <w:rsid w:val="00235BCC"/>
    <w:rsid w:val="002411AE"/>
    <w:rsid w:val="00242B5D"/>
    <w:rsid w:val="0024332A"/>
    <w:rsid w:val="00247F29"/>
    <w:rsid w:val="0025133B"/>
    <w:rsid w:val="00253DD0"/>
    <w:rsid w:val="002562EA"/>
    <w:rsid w:val="00256746"/>
    <w:rsid w:val="00256F58"/>
    <w:rsid w:val="00263990"/>
    <w:rsid w:val="002648F3"/>
    <w:rsid w:val="002649BC"/>
    <w:rsid w:val="00265329"/>
    <w:rsid w:val="00265FA5"/>
    <w:rsid w:val="0027454E"/>
    <w:rsid w:val="00277432"/>
    <w:rsid w:val="002804AF"/>
    <w:rsid w:val="0028232F"/>
    <w:rsid w:val="002824A4"/>
    <w:rsid w:val="002852BE"/>
    <w:rsid w:val="00287287"/>
    <w:rsid w:val="00287729"/>
    <w:rsid w:val="0029283B"/>
    <w:rsid w:val="00294367"/>
    <w:rsid w:val="00296F34"/>
    <w:rsid w:val="00297FBA"/>
    <w:rsid w:val="002A2A29"/>
    <w:rsid w:val="002A3043"/>
    <w:rsid w:val="002A32DB"/>
    <w:rsid w:val="002A335C"/>
    <w:rsid w:val="002A524B"/>
    <w:rsid w:val="002A7C22"/>
    <w:rsid w:val="002A7F3B"/>
    <w:rsid w:val="002B28A5"/>
    <w:rsid w:val="002B47C5"/>
    <w:rsid w:val="002C33CD"/>
    <w:rsid w:val="002C431F"/>
    <w:rsid w:val="002C4CF5"/>
    <w:rsid w:val="002D2872"/>
    <w:rsid w:val="002D504B"/>
    <w:rsid w:val="002E4256"/>
    <w:rsid w:val="002E6126"/>
    <w:rsid w:val="002E65F2"/>
    <w:rsid w:val="002E6BAE"/>
    <w:rsid w:val="002F13BB"/>
    <w:rsid w:val="002F2A6E"/>
    <w:rsid w:val="002F40EA"/>
    <w:rsid w:val="002F5833"/>
    <w:rsid w:val="0030048B"/>
    <w:rsid w:val="00302AE3"/>
    <w:rsid w:val="00305B38"/>
    <w:rsid w:val="00314ECD"/>
    <w:rsid w:val="00315E29"/>
    <w:rsid w:val="0031682C"/>
    <w:rsid w:val="0032619C"/>
    <w:rsid w:val="003268F2"/>
    <w:rsid w:val="00334C7F"/>
    <w:rsid w:val="00334C96"/>
    <w:rsid w:val="00335AF9"/>
    <w:rsid w:val="00343240"/>
    <w:rsid w:val="00345140"/>
    <w:rsid w:val="00345A5F"/>
    <w:rsid w:val="00361760"/>
    <w:rsid w:val="003643A0"/>
    <w:rsid w:val="00370EFA"/>
    <w:rsid w:val="003725C8"/>
    <w:rsid w:val="0037302B"/>
    <w:rsid w:val="00381415"/>
    <w:rsid w:val="0038243D"/>
    <w:rsid w:val="003933CA"/>
    <w:rsid w:val="00393FAC"/>
    <w:rsid w:val="003947DD"/>
    <w:rsid w:val="00395279"/>
    <w:rsid w:val="00395F4D"/>
    <w:rsid w:val="00396E18"/>
    <w:rsid w:val="003978BE"/>
    <w:rsid w:val="003A078C"/>
    <w:rsid w:val="003A231E"/>
    <w:rsid w:val="003A2D60"/>
    <w:rsid w:val="003A447A"/>
    <w:rsid w:val="003B4B78"/>
    <w:rsid w:val="003C0C73"/>
    <w:rsid w:val="003C399B"/>
    <w:rsid w:val="003C685F"/>
    <w:rsid w:val="003C7CDD"/>
    <w:rsid w:val="003E2E30"/>
    <w:rsid w:val="003E5C1E"/>
    <w:rsid w:val="003F3841"/>
    <w:rsid w:val="003F4C0D"/>
    <w:rsid w:val="004008F7"/>
    <w:rsid w:val="00403BEE"/>
    <w:rsid w:val="00407A4A"/>
    <w:rsid w:val="00407EAA"/>
    <w:rsid w:val="00410B4C"/>
    <w:rsid w:val="00414087"/>
    <w:rsid w:val="00415A31"/>
    <w:rsid w:val="004169FB"/>
    <w:rsid w:val="00421DF4"/>
    <w:rsid w:val="00425AB5"/>
    <w:rsid w:val="0043277D"/>
    <w:rsid w:val="004355E8"/>
    <w:rsid w:val="00441245"/>
    <w:rsid w:val="004421A6"/>
    <w:rsid w:val="00442CD0"/>
    <w:rsid w:val="004453BB"/>
    <w:rsid w:val="00447994"/>
    <w:rsid w:val="0045140A"/>
    <w:rsid w:val="00451635"/>
    <w:rsid w:val="00451F64"/>
    <w:rsid w:val="00454549"/>
    <w:rsid w:val="004570A6"/>
    <w:rsid w:val="00464460"/>
    <w:rsid w:val="004774DC"/>
    <w:rsid w:val="004827D0"/>
    <w:rsid w:val="004900A9"/>
    <w:rsid w:val="00494516"/>
    <w:rsid w:val="004A7FDB"/>
    <w:rsid w:val="004B4535"/>
    <w:rsid w:val="004B5932"/>
    <w:rsid w:val="004B79B2"/>
    <w:rsid w:val="004C42FF"/>
    <w:rsid w:val="004C69BD"/>
    <w:rsid w:val="004D04AC"/>
    <w:rsid w:val="004D2744"/>
    <w:rsid w:val="004E02A9"/>
    <w:rsid w:val="004E2F54"/>
    <w:rsid w:val="004E6263"/>
    <w:rsid w:val="004F69EE"/>
    <w:rsid w:val="004F7D17"/>
    <w:rsid w:val="005071E3"/>
    <w:rsid w:val="00510C0D"/>
    <w:rsid w:val="00515974"/>
    <w:rsid w:val="0051641B"/>
    <w:rsid w:val="005167D6"/>
    <w:rsid w:val="00521AE6"/>
    <w:rsid w:val="00526C29"/>
    <w:rsid w:val="0053430A"/>
    <w:rsid w:val="00537EA4"/>
    <w:rsid w:val="00540A80"/>
    <w:rsid w:val="005425CB"/>
    <w:rsid w:val="00544534"/>
    <w:rsid w:val="0055200A"/>
    <w:rsid w:val="00553B9C"/>
    <w:rsid w:val="005557F7"/>
    <w:rsid w:val="00557074"/>
    <w:rsid w:val="00560E79"/>
    <w:rsid w:val="00564D70"/>
    <w:rsid w:val="00566587"/>
    <w:rsid w:val="00570A8D"/>
    <w:rsid w:val="00575A28"/>
    <w:rsid w:val="00583117"/>
    <w:rsid w:val="0059203B"/>
    <w:rsid w:val="0059255D"/>
    <w:rsid w:val="00592E3D"/>
    <w:rsid w:val="00594585"/>
    <w:rsid w:val="005A1D18"/>
    <w:rsid w:val="005A3667"/>
    <w:rsid w:val="005A583B"/>
    <w:rsid w:val="005A6B45"/>
    <w:rsid w:val="005A7728"/>
    <w:rsid w:val="005B4F4A"/>
    <w:rsid w:val="005B54DC"/>
    <w:rsid w:val="005B5C2A"/>
    <w:rsid w:val="005B6067"/>
    <w:rsid w:val="005C69E9"/>
    <w:rsid w:val="005D240A"/>
    <w:rsid w:val="005D5048"/>
    <w:rsid w:val="005E0519"/>
    <w:rsid w:val="005E3DA8"/>
    <w:rsid w:val="005E6EBB"/>
    <w:rsid w:val="005F1D5C"/>
    <w:rsid w:val="005F4A00"/>
    <w:rsid w:val="005F6F11"/>
    <w:rsid w:val="00602279"/>
    <w:rsid w:val="00603802"/>
    <w:rsid w:val="0061459C"/>
    <w:rsid w:val="00617C26"/>
    <w:rsid w:val="006207F3"/>
    <w:rsid w:val="00623530"/>
    <w:rsid w:val="006256C1"/>
    <w:rsid w:val="00625D0B"/>
    <w:rsid w:val="00625F30"/>
    <w:rsid w:val="006273EA"/>
    <w:rsid w:val="0063395C"/>
    <w:rsid w:val="0064084D"/>
    <w:rsid w:val="00640914"/>
    <w:rsid w:val="00645DAC"/>
    <w:rsid w:val="0065025D"/>
    <w:rsid w:val="0065031F"/>
    <w:rsid w:val="00653F1C"/>
    <w:rsid w:val="0065750E"/>
    <w:rsid w:val="00660E08"/>
    <w:rsid w:val="00661A67"/>
    <w:rsid w:val="00663D60"/>
    <w:rsid w:val="006670E4"/>
    <w:rsid w:val="00667EA7"/>
    <w:rsid w:val="0067012C"/>
    <w:rsid w:val="0067077B"/>
    <w:rsid w:val="00670ADD"/>
    <w:rsid w:val="006729AB"/>
    <w:rsid w:val="00681B69"/>
    <w:rsid w:val="00683FD4"/>
    <w:rsid w:val="00684078"/>
    <w:rsid w:val="00685203"/>
    <w:rsid w:val="00691FDC"/>
    <w:rsid w:val="0069393E"/>
    <w:rsid w:val="0069549E"/>
    <w:rsid w:val="00696802"/>
    <w:rsid w:val="006970F6"/>
    <w:rsid w:val="006A1AFD"/>
    <w:rsid w:val="006A4A6B"/>
    <w:rsid w:val="006A57A1"/>
    <w:rsid w:val="006B5885"/>
    <w:rsid w:val="006C01B7"/>
    <w:rsid w:val="006C5FA2"/>
    <w:rsid w:val="006D47A6"/>
    <w:rsid w:val="006D5A50"/>
    <w:rsid w:val="006E0A70"/>
    <w:rsid w:val="006E2AD1"/>
    <w:rsid w:val="006E3337"/>
    <w:rsid w:val="006E3DF0"/>
    <w:rsid w:val="006E46C5"/>
    <w:rsid w:val="006F65D4"/>
    <w:rsid w:val="00704B28"/>
    <w:rsid w:val="00704DDC"/>
    <w:rsid w:val="0070502A"/>
    <w:rsid w:val="00706B5B"/>
    <w:rsid w:val="00714575"/>
    <w:rsid w:val="00714EAB"/>
    <w:rsid w:val="0071740A"/>
    <w:rsid w:val="007213A7"/>
    <w:rsid w:val="00726335"/>
    <w:rsid w:val="00730DB3"/>
    <w:rsid w:val="007345C5"/>
    <w:rsid w:val="007346FE"/>
    <w:rsid w:val="00734E9B"/>
    <w:rsid w:val="007401FB"/>
    <w:rsid w:val="007414C9"/>
    <w:rsid w:val="00742F6A"/>
    <w:rsid w:val="0074516D"/>
    <w:rsid w:val="0074575E"/>
    <w:rsid w:val="00756965"/>
    <w:rsid w:val="00761413"/>
    <w:rsid w:val="007620E4"/>
    <w:rsid w:val="007621A4"/>
    <w:rsid w:val="00763796"/>
    <w:rsid w:val="00763928"/>
    <w:rsid w:val="00764202"/>
    <w:rsid w:val="00771427"/>
    <w:rsid w:val="00771B57"/>
    <w:rsid w:val="00771C19"/>
    <w:rsid w:val="00777365"/>
    <w:rsid w:val="0078734E"/>
    <w:rsid w:val="00794F87"/>
    <w:rsid w:val="007963B4"/>
    <w:rsid w:val="007A367E"/>
    <w:rsid w:val="007C3221"/>
    <w:rsid w:val="007C38B5"/>
    <w:rsid w:val="007C465A"/>
    <w:rsid w:val="007C793A"/>
    <w:rsid w:val="007D24CE"/>
    <w:rsid w:val="007D49B8"/>
    <w:rsid w:val="007D4A40"/>
    <w:rsid w:val="007D5BE4"/>
    <w:rsid w:val="007D7C96"/>
    <w:rsid w:val="007E458C"/>
    <w:rsid w:val="007E6A70"/>
    <w:rsid w:val="007F3C64"/>
    <w:rsid w:val="00806537"/>
    <w:rsid w:val="00814DD5"/>
    <w:rsid w:val="00816877"/>
    <w:rsid w:val="008223CE"/>
    <w:rsid w:val="00827977"/>
    <w:rsid w:val="00830AF3"/>
    <w:rsid w:val="008324ED"/>
    <w:rsid w:val="00833545"/>
    <w:rsid w:val="008342DB"/>
    <w:rsid w:val="008355F8"/>
    <w:rsid w:val="00840639"/>
    <w:rsid w:val="00852BE8"/>
    <w:rsid w:val="008532C0"/>
    <w:rsid w:val="00856DDA"/>
    <w:rsid w:val="00857CB6"/>
    <w:rsid w:val="0086109D"/>
    <w:rsid w:val="0086336F"/>
    <w:rsid w:val="00865117"/>
    <w:rsid w:val="00865A8E"/>
    <w:rsid w:val="00865F02"/>
    <w:rsid w:val="00866006"/>
    <w:rsid w:val="008673C8"/>
    <w:rsid w:val="0087212C"/>
    <w:rsid w:val="008725B0"/>
    <w:rsid w:val="00875386"/>
    <w:rsid w:val="00884DBD"/>
    <w:rsid w:val="00890255"/>
    <w:rsid w:val="008919B7"/>
    <w:rsid w:val="008A4024"/>
    <w:rsid w:val="008A452D"/>
    <w:rsid w:val="008A788A"/>
    <w:rsid w:val="008B299E"/>
    <w:rsid w:val="008B2D92"/>
    <w:rsid w:val="008B371C"/>
    <w:rsid w:val="008B3965"/>
    <w:rsid w:val="008B59DB"/>
    <w:rsid w:val="008B70EF"/>
    <w:rsid w:val="008C7DED"/>
    <w:rsid w:val="008D0F23"/>
    <w:rsid w:val="008D2FB1"/>
    <w:rsid w:val="008D37C8"/>
    <w:rsid w:val="008D63D8"/>
    <w:rsid w:val="008D7D58"/>
    <w:rsid w:val="008E182A"/>
    <w:rsid w:val="008E5F86"/>
    <w:rsid w:val="008E6BF7"/>
    <w:rsid w:val="008F031A"/>
    <w:rsid w:val="008F26ED"/>
    <w:rsid w:val="008F3B48"/>
    <w:rsid w:val="008F4BC3"/>
    <w:rsid w:val="00900F84"/>
    <w:rsid w:val="00903B77"/>
    <w:rsid w:val="009053E2"/>
    <w:rsid w:val="0090726E"/>
    <w:rsid w:val="0091146F"/>
    <w:rsid w:val="009208D4"/>
    <w:rsid w:val="00921306"/>
    <w:rsid w:val="00921507"/>
    <w:rsid w:val="00923E91"/>
    <w:rsid w:val="009311A3"/>
    <w:rsid w:val="00932467"/>
    <w:rsid w:val="009338B7"/>
    <w:rsid w:val="00933FBD"/>
    <w:rsid w:val="009432D4"/>
    <w:rsid w:val="0094401E"/>
    <w:rsid w:val="009478E5"/>
    <w:rsid w:val="009538B4"/>
    <w:rsid w:val="00956BC6"/>
    <w:rsid w:val="009604A4"/>
    <w:rsid w:val="00963622"/>
    <w:rsid w:val="00963B6A"/>
    <w:rsid w:val="00966EF4"/>
    <w:rsid w:val="00970033"/>
    <w:rsid w:val="0097013E"/>
    <w:rsid w:val="009736FA"/>
    <w:rsid w:val="0098022A"/>
    <w:rsid w:val="009843B9"/>
    <w:rsid w:val="009846DF"/>
    <w:rsid w:val="0099064A"/>
    <w:rsid w:val="00992091"/>
    <w:rsid w:val="0099226F"/>
    <w:rsid w:val="00992539"/>
    <w:rsid w:val="009A004A"/>
    <w:rsid w:val="009A27BB"/>
    <w:rsid w:val="009B32E9"/>
    <w:rsid w:val="009C472C"/>
    <w:rsid w:val="009C6C9E"/>
    <w:rsid w:val="009C6FE9"/>
    <w:rsid w:val="009D172A"/>
    <w:rsid w:val="009D1775"/>
    <w:rsid w:val="009D2920"/>
    <w:rsid w:val="009D52FC"/>
    <w:rsid w:val="009E3CD2"/>
    <w:rsid w:val="009F03A8"/>
    <w:rsid w:val="009F3A5E"/>
    <w:rsid w:val="009F55F4"/>
    <w:rsid w:val="00A063C3"/>
    <w:rsid w:val="00A064F6"/>
    <w:rsid w:val="00A06CD3"/>
    <w:rsid w:val="00A07D7C"/>
    <w:rsid w:val="00A12EE0"/>
    <w:rsid w:val="00A13A3C"/>
    <w:rsid w:val="00A1489C"/>
    <w:rsid w:val="00A153A0"/>
    <w:rsid w:val="00A16F42"/>
    <w:rsid w:val="00A31D6C"/>
    <w:rsid w:val="00A34022"/>
    <w:rsid w:val="00A355C3"/>
    <w:rsid w:val="00A362F4"/>
    <w:rsid w:val="00A40702"/>
    <w:rsid w:val="00A41E81"/>
    <w:rsid w:val="00A44054"/>
    <w:rsid w:val="00A46A87"/>
    <w:rsid w:val="00A52AFD"/>
    <w:rsid w:val="00A5388F"/>
    <w:rsid w:val="00A55C29"/>
    <w:rsid w:val="00A65478"/>
    <w:rsid w:val="00A71B17"/>
    <w:rsid w:val="00A741F5"/>
    <w:rsid w:val="00A765C7"/>
    <w:rsid w:val="00A773B2"/>
    <w:rsid w:val="00A8094F"/>
    <w:rsid w:val="00A83852"/>
    <w:rsid w:val="00A85954"/>
    <w:rsid w:val="00A90BCC"/>
    <w:rsid w:val="00A932D2"/>
    <w:rsid w:val="00A95A49"/>
    <w:rsid w:val="00A9704B"/>
    <w:rsid w:val="00A97FAC"/>
    <w:rsid w:val="00AA0654"/>
    <w:rsid w:val="00AA16E9"/>
    <w:rsid w:val="00AA4FB0"/>
    <w:rsid w:val="00AA732B"/>
    <w:rsid w:val="00AB23BC"/>
    <w:rsid w:val="00AC4A11"/>
    <w:rsid w:val="00AC612B"/>
    <w:rsid w:val="00AD0CFF"/>
    <w:rsid w:val="00AD56A0"/>
    <w:rsid w:val="00AD608F"/>
    <w:rsid w:val="00AD6F33"/>
    <w:rsid w:val="00AE2676"/>
    <w:rsid w:val="00AE26E7"/>
    <w:rsid w:val="00AE3731"/>
    <w:rsid w:val="00AE3FC0"/>
    <w:rsid w:val="00AE5908"/>
    <w:rsid w:val="00AE6B87"/>
    <w:rsid w:val="00AF1F55"/>
    <w:rsid w:val="00AF6601"/>
    <w:rsid w:val="00B00F8F"/>
    <w:rsid w:val="00B05DC8"/>
    <w:rsid w:val="00B07C21"/>
    <w:rsid w:val="00B07EB9"/>
    <w:rsid w:val="00B11516"/>
    <w:rsid w:val="00B13944"/>
    <w:rsid w:val="00B14571"/>
    <w:rsid w:val="00B1516A"/>
    <w:rsid w:val="00B23F85"/>
    <w:rsid w:val="00B2473C"/>
    <w:rsid w:val="00B24D5F"/>
    <w:rsid w:val="00B374C5"/>
    <w:rsid w:val="00B4126D"/>
    <w:rsid w:val="00B415B5"/>
    <w:rsid w:val="00B4349F"/>
    <w:rsid w:val="00B466B0"/>
    <w:rsid w:val="00B47613"/>
    <w:rsid w:val="00B51595"/>
    <w:rsid w:val="00B51A6D"/>
    <w:rsid w:val="00B54C85"/>
    <w:rsid w:val="00B56E10"/>
    <w:rsid w:val="00B602EF"/>
    <w:rsid w:val="00B609B3"/>
    <w:rsid w:val="00B61635"/>
    <w:rsid w:val="00B64204"/>
    <w:rsid w:val="00B726E2"/>
    <w:rsid w:val="00B727C0"/>
    <w:rsid w:val="00B759EA"/>
    <w:rsid w:val="00B8006A"/>
    <w:rsid w:val="00B83F90"/>
    <w:rsid w:val="00B90A52"/>
    <w:rsid w:val="00B920BF"/>
    <w:rsid w:val="00BA3BB4"/>
    <w:rsid w:val="00BA4E0E"/>
    <w:rsid w:val="00BA5293"/>
    <w:rsid w:val="00BA55E4"/>
    <w:rsid w:val="00BA7224"/>
    <w:rsid w:val="00BA76B4"/>
    <w:rsid w:val="00BB17F7"/>
    <w:rsid w:val="00BB5164"/>
    <w:rsid w:val="00BB720E"/>
    <w:rsid w:val="00BB7611"/>
    <w:rsid w:val="00BB7DFF"/>
    <w:rsid w:val="00BC1E0D"/>
    <w:rsid w:val="00BC2A1A"/>
    <w:rsid w:val="00BC48A9"/>
    <w:rsid w:val="00BC4F27"/>
    <w:rsid w:val="00BC501A"/>
    <w:rsid w:val="00BC741C"/>
    <w:rsid w:val="00BC7AA1"/>
    <w:rsid w:val="00BD1072"/>
    <w:rsid w:val="00BD24F2"/>
    <w:rsid w:val="00BD3C68"/>
    <w:rsid w:val="00BD7F4A"/>
    <w:rsid w:val="00BE1BB9"/>
    <w:rsid w:val="00BE1D59"/>
    <w:rsid w:val="00BE2B51"/>
    <w:rsid w:val="00BE3904"/>
    <w:rsid w:val="00BE51A7"/>
    <w:rsid w:val="00BF2378"/>
    <w:rsid w:val="00BF32F6"/>
    <w:rsid w:val="00BF63AE"/>
    <w:rsid w:val="00BF700C"/>
    <w:rsid w:val="00C02166"/>
    <w:rsid w:val="00C0367C"/>
    <w:rsid w:val="00C04B93"/>
    <w:rsid w:val="00C0611F"/>
    <w:rsid w:val="00C07517"/>
    <w:rsid w:val="00C07876"/>
    <w:rsid w:val="00C178A9"/>
    <w:rsid w:val="00C17F2D"/>
    <w:rsid w:val="00C2243B"/>
    <w:rsid w:val="00C23FEF"/>
    <w:rsid w:val="00C3111F"/>
    <w:rsid w:val="00C31611"/>
    <w:rsid w:val="00C348BE"/>
    <w:rsid w:val="00C412C0"/>
    <w:rsid w:val="00C46B60"/>
    <w:rsid w:val="00C47F14"/>
    <w:rsid w:val="00C51E4B"/>
    <w:rsid w:val="00C5321A"/>
    <w:rsid w:val="00C54067"/>
    <w:rsid w:val="00C5488F"/>
    <w:rsid w:val="00C6033F"/>
    <w:rsid w:val="00C607AD"/>
    <w:rsid w:val="00C61000"/>
    <w:rsid w:val="00C6420A"/>
    <w:rsid w:val="00C66872"/>
    <w:rsid w:val="00C66B1B"/>
    <w:rsid w:val="00C73951"/>
    <w:rsid w:val="00C84FF9"/>
    <w:rsid w:val="00C8567D"/>
    <w:rsid w:val="00C87C5E"/>
    <w:rsid w:val="00C92679"/>
    <w:rsid w:val="00C92DA3"/>
    <w:rsid w:val="00C97E45"/>
    <w:rsid w:val="00CA5575"/>
    <w:rsid w:val="00CA5926"/>
    <w:rsid w:val="00CB099F"/>
    <w:rsid w:val="00CB478F"/>
    <w:rsid w:val="00CB5186"/>
    <w:rsid w:val="00CB6E6E"/>
    <w:rsid w:val="00CC14AE"/>
    <w:rsid w:val="00CC3C24"/>
    <w:rsid w:val="00CD1F72"/>
    <w:rsid w:val="00CE0504"/>
    <w:rsid w:val="00CE2B10"/>
    <w:rsid w:val="00CE633E"/>
    <w:rsid w:val="00CF07AE"/>
    <w:rsid w:val="00CF4E1D"/>
    <w:rsid w:val="00CF7286"/>
    <w:rsid w:val="00D04BDA"/>
    <w:rsid w:val="00D0578C"/>
    <w:rsid w:val="00D11161"/>
    <w:rsid w:val="00D133AD"/>
    <w:rsid w:val="00D16447"/>
    <w:rsid w:val="00D21258"/>
    <w:rsid w:val="00D30D00"/>
    <w:rsid w:val="00D32436"/>
    <w:rsid w:val="00D331D3"/>
    <w:rsid w:val="00D34A0E"/>
    <w:rsid w:val="00D42C95"/>
    <w:rsid w:val="00D43C4B"/>
    <w:rsid w:val="00D548AB"/>
    <w:rsid w:val="00D60656"/>
    <w:rsid w:val="00D60EF4"/>
    <w:rsid w:val="00D6176D"/>
    <w:rsid w:val="00D61C39"/>
    <w:rsid w:val="00D62A6E"/>
    <w:rsid w:val="00D62FEE"/>
    <w:rsid w:val="00D64252"/>
    <w:rsid w:val="00D705C7"/>
    <w:rsid w:val="00D71F62"/>
    <w:rsid w:val="00D756F7"/>
    <w:rsid w:val="00D77C2E"/>
    <w:rsid w:val="00D81947"/>
    <w:rsid w:val="00D84AB5"/>
    <w:rsid w:val="00D879A5"/>
    <w:rsid w:val="00D963BB"/>
    <w:rsid w:val="00D96404"/>
    <w:rsid w:val="00D97B74"/>
    <w:rsid w:val="00DA625B"/>
    <w:rsid w:val="00DA7D4C"/>
    <w:rsid w:val="00DB4551"/>
    <w:rsid w:val="00DB75FC"/>
    <w:rsid w:val="00DC1BAC"/>
    <w:rsid w:val="00DC61A1"/>
    <w:rsid w:val="00DC6EBC"/>
    <w:rsid w:val="00DC7165"/>
    <w:rsid w:val="00DD2A55"/>
    <w:rsid w:val="00DD2ACD"/>
    <w:rsid w:val="00DD5A39"/>
    <w:rsid w:val="00DD6739"/>
    <w:rsid w:val="00DE2EE3"/>
    <w:rsid w:val="00DE317C"/>
    <w:rsid w:val="00DF0D6B"/>
    <w:rsid w:val="00E0228F"/>
    <w:rsid w:val="00E029F6"/>
    <w:rsid w:val="00E02EA9"/>
    <w:rsid w:val="00E058B4"/>
    <w:rsid w:val="00E1108F"/>
    <w:rsid w:val="00E1131D"/>
    <w:rsid w:val="00E12912"/>
    <w:rsid w:val="00E12D6B"/>
    <w:rsid w:val="00E17B9F"/>
    <w:rsid w:val="00E2503E"/>
    <w:rsid w:val="00E255B9"/>
    <w:rsid w:val="00E258A0"/>
    <w:rsid w:val="00E3152D"/>
    <w:rsid w:val="00E31FFB"/>
    <w:rsid w:val="00E32576"/>
    <w:rsid w:val="00E33079"/>
    <w:rsid w:val="00E34859"/>
    <w:rsid w:val="00E348C4"/>
    <w:rsid w:val="00E35739"/>
    <w:rsid w:val="00E3705F"/>
    <w:rsid w:val="00E43598"/>
    <w:rsid w:val="00E51CF6"/>
    <w:rsid w:val="00E5504E"/>
    <w:rsid w:val="00E56688"/>
    <w:rsid w:val="00E62BB5"/>
    <w:rsid w:val="00E62D25"/>
    <w:rsid w:val="00E73415"/>
    <w:rsid w:val="00E741C6"/>
    <w:rsid w:val="00E74A79"/>
    <w:rsid w:val="00E75A8A"/>
    <w:rsid w:val="00E76EB4"/>
    <w:rsid w:val="00E8173F"/>
    <w:rsid w:val="00E95984"/>
    <w:rsid w:val="00EA05F4"/>
    <w:rsid w:val="00EA40CB"/>
    <w:rsid w:val="00EA6FCC"/>
    <w:rsid w:val="00EB0C13"/>
    <w:rsid w:val="00EB2036"/>
    <w:rsid w:val="00EB76E3"/>
    <w:rsid w:val="00EC23BE"/>
    <w:rsid w:val="00EC5CA1"/>
    <w:rsid w:val="00EC6AE7"/>
    <w:rsid w:val="00ED1875"/>
    <w:rsid w:val="00ED7427"/>
    <w:rsid w:val="00EE1BD5"/>
    <w:rsid w:val="00EE3966"/>
    <w:rsid w:val="00EE6092"/>
    <w:rsid w:val="00F004A6"/>
    <w:rsid w:val="00F00A46"/>
    <w:rsid w:val="00F03243"/>
    <w:rsid w:val="00F03673"/>
    <w:rsid w:val="00F12C4E"/>
    <w:rsid w:val="00F1547A"/>
    <w:rsid w:val="00F165A0"/>
    <w:rsid w:val="00F23C41"/>
    <w:rsid w:val="00F27A1A"/>
    <w:rsid w:val="00F30C2D"/>
    <w:rsid w:val="00F30DD3"/>
    <w:rsid w:val="00F31A33"/>
    <w:rsid w:val="00F43626"/>
    <w:rsid w:val="00F4527E"/>
    <w:rsid w:val="00F457B6"/>
    <w:rsid w:val="00F51454"/>
    <w:rsid w:val="00F5196B"/>
    <w:rsid w:val="00F535E9"/>
    <w:rsid w:val="00F617C3"/>
    <w:rsid w:val="00F636E4"/>
    <w:rsid w:val="00F65D8C"/>
    <w:rsid w:val="00F66C01"/>
    <w:rsid w:val="00F713F1"/>
    <w:rsid w:val="00F742C9"/>
    <w:rsid w:val="00F747CE"/>
    <w:rsid w:val="00F75210"/>
    <w:rsid w:val="00F82F9F"/>
    <w:rsid w:val="00F92AE0"/>
    <w:rsid w:val="00F93069"/>
    <w:rsid w:val="00F93BE2"/>
    <w:rsid w:val="00F947A1"/>
    <w:rsid w:val="00F97892"/>
    <w:rsid w:val="00F97A55"/>
    <w:rsid w:val="00FA1FB0"/>
    <w:rsid w:val="00FB26C2"/>
    <w:rsid w:val="00FB2D72"/>
    <w:rsid w:val="00FB4387"/>
    <w:rsid w:val="00FB470D"/>
    <w:rsid w:val="00FB77E3"/>
    <w:rsid w:val="00FC0B98"/>
    <w:rsid w:val="00FC2AF3"/>
    <w:rsid w:val="00FC3BE0"/>
    <w:rsid w:val="00FC44F5"/>
    <w:rsid w:val="00FC4C7E"/>
    <w:rsid w:val="00FC5E4E"/>
    <w:rsid w:val="00FD65D3"/>
    <w:rsid w:val="00FE5FCC"/>
    <w:rsid w:val="00FE727B"/>
    <w:rsid w:val="00FF02C3"/>
    <w:rsid w:val="00FF05DE"/>
    <w:rsid w:val="00FF0E17"/>
    <w:rsid w:val="00FF1406"/>
    <w:rsid w:val="00FF5407"/>
    <w:rsid w:val="00FF58ED"/>
    <w:rsid w:val="00FF7D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06A78-3231-4C7B-AE1A-8795903C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A1489C"/>
    <w:pPr>
      <w:ind w:left="720"/>
      <w:contextualSpacing/>
    </w:pPr>
  </w:style>
  <w:style w:type="table" w:customStyle="1" w:styleId="Tablaconcuadrcula1">
    <w:name w:val="Tabla con cuadrícula1"/>
    <w:basedOn w:val="Tablanormal"/>
    <w:next w:val="Tablaconcuadrcula"/>
    <w:uiPriority w:val="59"/>
    <w:rsid w:val="00032386"/>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E73415"/>
  </w:style>
  <w:style w:type="paragraph" w:customStyle="1" w:styleId="Sangra2detindependiente1">
    <w:name w:val="Sangría 2 de t. independiente1"/>
    <w:basedOn w:val="Normal"/>
    <w:rsid w:val="00E73415"/>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texto de nota al pi,Footnote Text Cha"/>
    <w:basedOn w:val="Normal"/>
    <w:link w:val="TextonotapieCar"/>
    <w:uiPriority w:val="99"/>
    <w:unhideWhenUsed/>
    <w:rsid w:val="00C02166"/>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2,Footnote Text Char Char Char Car Car1"/>
    <w:basedOn w:val="Fuentedeprrafopredeter"/>
    <w:link w:val="Textonotapie"/>
    <w:rsid w:val="00C02166"/>
    <w:rPr>
      <w:sz w:val="20"/>
      <w:szCs w:val="20"/>
      <w:lang w:val="es-ES"/>
    </w:rPr>
  </w:style>
  <w:style w:type="character" w:styleId="Refdenotaalpie">
    <w:name w:val="footnote reference"/>
    <w:aliases w:val="Texto de nota al pie,Ref. de nota al pie 2,Footnotes refss,Appel note de bas de page,Footnote number,referencia nota al pie,BVI fnr,f,4_G,16 Point,Superscript 6 Point,Texto nota al pie,Pie de Página,FC,Texto de nota al pi,Ref,F"/>
    <w:basedOn w:val="Fuentedeprrafopredeter"/>
    <w:unhideWhenUsed/>
    <w:rsid w:val="00C02166"/>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uiPriority w:val="99"/>
    <w:rsid w:val="009843B9"/>
    <w:rPr>
      <w:rFonts w:ascii="Times New Roman" w:eastAsia="Times New Roman" w:hAnsi="Times New Roman" w:cs="Times New Roman"/>
      <w:sz w:val="20"/>
      <w:szCs w:val="20"/>
      <w:lang w:val="es-ES" w:eastAsia="zh-CN"/>
    </w:rPr>
  </w:style>
  <w:style w:type="paragraph" w:styleId="Textoindependiente">
    <w:name w:val="Body Text"/>
    <w:basedOn w:val="Normal"/>
    <w:link w:val="TextoindependienteCar"/>
    <w:rsid w:val="009843B9"/>
    <w:pPr>
      <w:overflowPunct w:val="0"/>
      <w:autoSpaceDE w:val="0"/>
      <w:autoSpaceDN w:val="0"/>
      <w:adjustRightInd w:val="0"/>
      <w:spacing w:after="0" w:line="360" w:lineRule="auto"/>
      <w:ind w:right="-301"/>
      <w:jc w:val="both"/>
      <w:textAlignment w:val="baseline"/>
    </w:pPr>
    <w:rPr>
      <w:rFonts w:ascii="Arial" w:eastAsia="Times New Roman" w:hAnsi="Arial" w:cs="Times New Roman"/>
      <w:i/>
      <w:spacing w:val="-3"/>
      <w:sz w:val="28"/>
      <w:szCs w:val="20"/>
      <w:lang w:eastAsia="es-ES"/>
    </w:rPr>
  </w:style>
  <w:style w:type="character" w:customStyle="1" w:styleId="TextoindependienteCar">
    <w:name w:val="Texto independiente Car"/>
    <w:basedOn w:val="Fuentedeprrafopredeter"/>
    <w:link w:val="Textoindependiente"/>
    <w:rsid w:val="009843B9"/>
    <w:rPr>
      <w:rFonts w:ascii="Arial" w:eastAsia="Times New Roman" w:hAnsi="Arial" w:cs="Times New Roman"/>
      <w:i/>
      <w:spacing w:val="-3"/>
      <w:sz w:val="28"/>
      <w:szCs w:val="20"/>
      <w:lang w:val="es-ES" w:eastAsia="es-ES"/>
    </w:rPr>
  </w:style>
  <w:style w:type="paragraph" w:customStyle="1" w:styleId="Textonormal">
    <w:name w:val="Texto normal"/>
    <w:basedOn w:val="Normal"/>
    <w:link w:val="TextonormalCar"/>
    <w:rsid w:val="009843B9"/>
    <w:pPr>
      <w:widowControl w:val="0"/>
      <w:adjustRightInd w:val="0"/>
      <w:spacing w:after="0" w:line="360" w:lineRule="atLeast"/>
      <w:jc w:val="both"/>
      <w:textAlignment w:val="baseline"/>
    </w:pPr>
    <w:rPr>
      <w:rFonts w:ascii="Arial" w:eastAsia="Times New Roman" w:hAnsi="Arial" w:cs="Arial"/>
      <w:sz w:val="24"/>
      <w:szCs w:val="20"/>
      <w:lang w:val="es-ES_tradnl" w:eastAsia="es-ES"/>
    </w:rPr>
  </w:style>
  <w:style w:type="character" w:customStyle="1" w:styleId="TextonormalCar">
    <w:name w:val="Texto normal Car"/>
    <w:link w:val="Textonormal"/>
    <w:rsid w:val="009843B9"/>
    <w:rPr>
      <w:rFonts w:ascii="Arial" w:eastAsia="Times New Roman" w:hAnsi="Arial" w:cs="Arial"/>
      <w:sz w:val="24"/>
      <w:szCs w:val="20"/>
      <w:lang w:val="es-ES_tradnl" w:eastAsia="es-ES"/>
    </w:rPr>
  </w:style>
  <w:style w:type="paragraph" w:styleId="Textoindependiente2">
    <w:name w:val="Body Text 2"/>
    <w:basedOn w:val="Normal"/>
    <w:link w:val="Textoindependiente2Car"/>
    <w:rsid w:val="009843B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9843B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9843B9"/>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9843B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nhideWhenUsed/>
    <w:rsid w:val="009843B9"/>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9843B9"/>
    <w:rPr>
      <w:rFonts w:ascii="Times New Roman" w:eastAsia="Times New Roman" w:hAnsi="Times New Roman" w:cs="Times New Roman"/>
      <w:sz w:val="16"/>
      <w:szCs w:val="16"/>
      <w:lang w:val="es-ES" w:eastAsia="es-ES"/>
    </w:rPr>
  </w:style>
  <w:style w:type="character" w:styleId="Textoennegrita">
    <w:name w:val="Strong"/>
    <w:qFormat/>
    <w:rsid w:val="00191824"/>
    <w:rPr>
      <w:b/>
      <w:bCs/>
    </w:rPr>
  </w:style>
  <w:style w:type="paragraph" w:customStyle="1" w:styleId="Textoindependiente21">
    <w:name w:val="Texto independiente 21"/>
    <w:basedOn w:val="Normal"/>
    <w:rsid w:val="00191824"/>
    <w:pPr>
      <w:overflowPunct w:val="0"/>
      <w:autoSpaceDE w:val="0"/>
      <w:autoSpaceDN w:val="0"/>
      <w:adjustRightInd w:val="0"/>
      <w:spacing w:after="0" w:line="360" w:lineRule="auto"/>
      <w:jc w:val="both"/>
      <w:textAlignment w:val="baseline"/>
    </w:pPr>
    <w:rPr>
      <w:rFonts w:ascii="Arial" w:eastAsia="Times New Roman" w:hAnsi="Arial" w:cs="Times New Roman"/>
      <w:sz w:val="25"/>
      <w:szCs w:val="20"/>
      <w:lang w:val="es-ES_tradnl" w:eastAsia="es-ES"/>
    </w:rPr>
  </w:style>
  <w:style w:type="paragraph" w:customStyle="1" w:styleId="Textosinformato1">
    <w:name w:val="Texto sin formato1"/>
    <w:basedOn w:val="Normal"/>
    <w:rsid w:val="0019182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9020">
      <w:bodyDiv w:val="1"/>
      <w:marLeft w:val="0"/>
      <w:marRight w:val="0"/>
      <w:marTop w:val="0"/>
      <w:marBottom w:val="0"/>
      <w:divBdr>
        <w:top w:val="none" w:sz="0" w:space="0" w:color="auto"/>
        <w:left w:val="none" w:sz="0" w:space="0" w:color="auto"/>
        <w:bottom w:val="none" w:sz="0" w:space="0" w:color="auto"/>
        <w:right w:val="none" w:sz="0" w:space="0" w:color="auto"/>
      </w:divBdr>
    </w:div>
    <w:div w:id="567610920">
      <w:bodyDiv w:val="1"/>
      <w:marLeft w:val="0"/>
      <w:marRight w:val="0"/>
      <w:marTop w:val="0"/>
      <w:marBottom w:val="0"/>
      <w:divBdr>
        <w:top w:val="none" w:sz="0" w:space="0" w:color="auto"/>
        <w:left w:val="none" w:sz="0" w:space="0" w:color="auto"/>
        <w:bottom w:val="none" w:sz="0" w:space="0" w:color="auto"/>
        <w:right w:val="none" w:sz="0" w:space="0" w:color="auto"/>
      </w:divBdr>
    </w:div>
    <w:div w:id="590814888">
      <w:bodyDiv w:val="1"/>
      <w:marLeft w:val="0"/>
      <w:marRight w:val="0"/>
      <w:marTop w:val="0"/>
      <w:marBottom w:val="0"/>
      <w:divBdr>
        <w:top w:val="none" w:sz="0" w:space="0" w:color="auto"/>
        <w:left w:val="none" w:sz="0" w:space="0" w:color="auto"/>
        <w:bottom w:val="none" w:sz="0" w:space="0" w:color="auto"/>
        <w:right w:val="none" w:sz="0" w:space="0" w:color="auto"/>
      </w:divBdr>
    </w:div>
    <w:div w:id="649604320">
      <w:bodyDiv w:val="1"/>
      <w:marLeft w:val="0"/>
      <w:marRight w:val="0"/>
      <w:marTop w:val="0"/>
      <w:marBottom w:val="0"/>
      <w:divBdr>
        <w:top w:val="none" w:sz="0" w:space="0" w:color="auto"/>
        <w:left w:val="none" w:sz="0" w:space="0" w:color="auto"/>
        <w:bottom w:val="none" w:sz="0" w:space="0" w:color="auto"/>
        <w:right w:val="none" w:sz="0" w:space="0" w:color="auto"/>
      </w:divBdr>
    </w:div>
    <w:div w:id="680744145">
      <w:bodyDiv w:val="1"/>
      <w:marLeft w:val="0"/>
      <w:marRight w:val="0"/>
      <w:marTop w:val="0"/>
      <w:marBottom w:val="0"/>
      <w:divBdr>
        <w:top w:val="none" w:sz="0" w:space="0" w:color="auto"/>
        <w:left w:val="none" w:sz="0" w:space="0" w:color="auto"/>
        <w:bottom w:val="none" w:sz="0" w:space="0" w:color="auto"/>
        <w:right w:val="none" w:sz="0" w:space="0" w:color="auto"/>
      </w:divBdr>
    </w:div>
    <w:div w:id="854030446">
      <w:bodyDiv w:val="1"/>
      <w:marLeft w:val="0"/>
      <w:marRight w:val="0"/>
      <w:marTop w:val="0"/>
      <w:marBottom w:val="0"/>
      <w:divBdr>
        <w:top w:val="none" w:sz="0" w:space="0" w:color="auto"/>
        <w:left w:val="none" w:sz="0" w:space="0" w:color="auto"/>
        <w:bottom w:val="none" w:sz="0" w:space="0" w:color="auto"/>
        <w:right w:val="none" w:sz="0" w:space="0" w:color="auto"/>
      </w:divBdr>
    </w:div>
    <w:div w:id="999119095">
      <w:bodyDiv w:val="1"/>
      <w:marLeft w:val="0"/>
      <w:marRight w:val="0"/>
      <w:marTop w:val="0"/>
      <w:marBottom w:val="0"/>
      <w:divBdr>
        <w:top w:val="none" w:sz="0" w:space="0" w:color="auto"/>
        <w:left w:val="none" w:sz="0" w:space="0" w:color="auto"/>
        <w:bottom w:val="none" w:sz="0" w:space="0" w:color="auto"/>
        <w:right w:val="none" w:sz="0" w:space="0" w:color="auto"/>
      </w:divBdr>
    </w:div>
    <w:div w:id="1167943911">
      <w:bodyDiv w:val="1"/>
      <w:marLeft w:val="0"/>
      <w:marRight w:val="0"/>
      <w:marTop w:val="0"/>
      <w:marBottom w:val="0"/>
      <w:divBdr>
        <w:top w:val="none" w:sz="0" w:space="0" w:color="auto"/>
        <w:left w:val="none" w:sz="0" w:space="0" w:color="auto"/>
        <w:bottom w:val="none" w:sz="0" w:space="0" w:color="auto"/>
        <w:right w:val="none" w:sz="0" w:space="0" w:color="auto"/>
      </w:divBdr>
    </w:div>
    <w:div w:id="1262881081">
      <w:bodyDiv w:val="1"/>
      <w:marLeft w:val="0"/>
      <w:marRight w:val="0"/>
      <w:marTop w:val="0"/>
      <w:marBottom w:val="0"/>
      <w:divBdr>
        <w:top w:val="none" w:sz="0" w:space="0" w:color="auto"/>
        <w:left w:val="none" w:sz="0" w:space="0" w:color="auto"/>
        <w:bottom w:val="none" w:sz="0" w:space="0" w:color="auto"/>
        <w:right w:val="none" w:sz="0" w:space="0" w:color="auto"/>
      </w:divBdr>
    </w:div>
    <w:div w:id="1490562926">
      <w:bodyDiv w:val="1"/>
      <w:marLeft w:val="0"/>
      <w:marRight w:val="0"/>
      <w:marTop w:val="0"/>
      <w:marBottom w:val="0"/>
      <w:divBdr>
        <w:top w:val="none" w:sz="0" w:space="0" w:color="auto"/>
        <w:left w:val="none" w:sz="0" w:space="0" w:color="auto"/>
        <w:bottom w:val="none" w:sz="0" w:space="0" w:color="auto"/>
        <w:right w:val="none" w:sz="0" w:space="0" w:color="auto"/>
      </w:divBdr>
    </w:div>
    <w:div w:id="1554001952">
      <w:bodyDiv w:val="1"/>
      <w:marLeft w:val="0"/>
      <w:marRight w:val="0"/>
      <w:marTop w:val="0"/>
      <w:marBottom w:val="0"/>
      <w:divBdr>
        <w:top w:val="none" w:sz="0" w:space="0" w:color="auto"/>
        <w:left w:val="none" w:sz="0" w:space="0" w:color="auto"/>
        <w:bottom w:val="none" w:sz="0" w:space="0" w:color="auto"/>
        <w:right w:val="none" w:sz="0" w:space="0" w:color="auto"/>
      </w:divBdr>
    </w:div>
    <w:div w:id="1579364173">
      <w:bodyDiv w:val="1"/>
      <w:marLeft w:val="0"/>
      <w:marRight w:val="0"/>
      <w:marTop w:val="0"/>
      <w:marBottom w:val="0"/>
      <w:divBdr>
        <w:top w:val="none" w:sz="0" w:space="0" w:color="auto"/>
        <w:left w:val="none" w:sz="0" w:space="0" w:color="auto"/>
        <w:bottom w:val="none" w:sz="0" w:space="0" w:color="auto"/>
        <w:right w:val="none" w:sz="0" w:space="0" w:color="auto"/>
      </w:divBdr>
    </w:div>
    <w:div w:id="1602567004">
      <w:bodyDiv w:val="1"/>
      <w:marLeft w:val="0"/>
      <w:marRight w:val="0"/>
      <w:marTop w:val="0"/>
      <w:marBottom w:val="0"/>
      <w:divBdr>
        <w:top w:val="none" w:sz="0" w:space="0" w:color="auto"/>
        <w:left w:val="none" w:sz="0" w:space="0" w:color="auto"/>
        <w:bottom w:val="none" w:sz="0" w:space="0" w:color="auto"/>
        <w:right w:val="none" w:sz="0" w:space="0" w:color="auto"/>
      </w:divBdr>
    </w:div>
    <w:div w:id="1894273027">
      <w:bodyDiv w:val="1"/>
      <w:marLeft w:val="0"/>
      <w:marRight w:val="0"/>
      <w:marTop w:val="0"/>
      <w:marBottom w:val="0"/>
      <w:divBdr>
        <w:top w:val="none" w:sz="0" w:space="0" w:color="auto"/>
        <w:left w:val="none" w:sz="0" w:space="0" w:color="auto"/>
        <w:bottom w:val="none" w:sz="0" w:space="0" w:color="auto"/>
        <w:right w:val="none" w:sz="0" w:space="0" w:color="auto"/>
      </w:divBdr>
    </w:div>
    <w:div w:id="1915504698">
      <w:bodyDiv w:val="1"/>
      <w:marLeft w:val="0"/>
      <w:marRight w:val="0"/>
      <w:marTop w:val="0"/>
      <w:marBottom w:val="0"/>
      <w:divBdr>
        <w:top w:val="none" w:sz="0" w:space="0" w:color="auto"/>
        <w:left w:val="none" w:sz="0" w:space="0" w:color="auto"/>
        <w:bottom w:val="none" w:sz="0" w:space="0" w:color="auto"/>
        <w:right w:val="none" w:sz="0" w:space="0" w:color="auto"/>
      </w:divBdr>
    </w:div>
    <w:div w:id="1934431865">
      <w:bodyDiv w:val="1"/>
      <w:marLeft w:val="0"/>
      <w:marRight w:val="0"/>
      <w:marTop w:val="0"/>
      <w:marBottom w:val="0"/>
      <w:divBdr>
        <w:top w:val="none" w:sz="0" w:space="0" w:color="auto"/>
        <w:left w:val="none" w:sz="0" w:space="0" w:color="auto"/>
        <w:bottom w:val="none" w:sz="0" w:space="0" w:color="auto"/>
        <w:right w:val="none" w:sz="0" w:space="0" w:color="auto"/>
      </w:divBdr>
    </w:div>
    <w:div w:id="1968972977">
      <w:bodyDiv w:val="1"/>
      <w:marLeft w:val="0"/>
      <w:marRight w:val="0"/>
      <w:marTop w:val="0"/>
      <w:marBottom w:val="0"/>
      <w:divBdr>
        <w:top w:val="none" w:sz="0" w:space="0" w:color="auto"/>
        <w:left w:val="none" w:sz="0" w:space="0" w:color="auto"/>
        <w:bottom w:val="none" w:sz="0" w:space="0" w:color="auto"/>
        <w:right w:val="none" w:sz="0" w:space="0" w:color="auto"/>
      </w:divBdr>
    </w:div>
    <w:div w:id="19944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CFCA-15DC-4705-B51D-F28794AB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5330</Words>
  <Characters>29319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CSJ07318</cp:lastModifiedBy>
  <cp:revision>4</cp:revision>
  <cp:lastPrinted>2015-11-18T15:14:00Z</cp:lastPrinted>
  <dcterms:created xsi:type="dcterms:W3CDTF">2016-02-16T14:07:00Z</dcterms:created>
  <dcterms:modified xsi:type="dcterms:W3CDTF">2016-02-16T22:01:00Z</dcterms:modified>
</cp:coreProperties>
</file>