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74" w:rsidRDefault="00073E74" w:rsidP="00073E74">
      <w:pPr>
        <w:spacing w:after="0" w:line="240" w:lineRule="auto"/>
        <w:ind w:right="51"/>
        <w:jc w:val="center"/>
        <w:rPr>
          <w:rFonts w:ascii="Arial" w:eastAsia="Times New Roman" w:hAnsi="Arial" w:cs="Arial"/>
          <w:lang w:val="es-ES_tradnl" w:eastAsia="es-ES"/>
        </w:rPr>
      </w:pPr>
    </w:p>
    <w:p w:rsidR="00073E74" w:rsidRDefault="00073E74" w:rsidP="00073E74">
      <w:pPr>
        <w:spacing w:after="0" w:line="240" w:lineRule="auto"/>
        <w:ind w:right="51"/>
        <w:jc w:val="center"/>
        <w:rPr>
          <w:rFonts w:ascii="Arial" w:eastAsia="Times New Roman" w:hAnsi="Arial" w:cs="Arial"/>
          <w:lang w:val="es-ES_tradnl" w:eastAsia="es-ES"/>
        </w:rPr>
      </w:pPr>
    </w:p>
    <w:p w:rsidR="00073E74" w:rsidRPr="00D05A74" w:rsidRDefault="00073E74" w:rsidP="00073E74">
      <w:pPr>
        <w:spacing w:after="0" w:line="240" w:lineRule="auto"/>
        <w:ind w:right="51"/>
        <w:jc w:val="center"/>
        <w:rPr>
          <w:rFonts w:ascii="Arial" w:eastAsia="Times New Roman" w:hAnsi="Arial" w:cs="Arial"/>
          <w:lang w:val="es-ES_tradnl" w:eastAsia="es-ES"/>
        </w:rPr>
      </w:pPr>
      <w:r w:rsidRPr="00D05A74">
        <w:rPr>
          <w:rFonts w:ascii="Arial" w:hAnsi="Arial" w:cs="Arial"/>
          <w:b/>
          <w:noProof/>
          <w:spacing w:val="-4"/>
          <w:lang w:eastAsia="es-CO"/>
        </w:rPr>
        <w:drawing>
          <wp:inline distT="0" distB="0" distL="0" distR="0">
            <wp:extent cx="857250" cy="895350"/>
            <wp:effectExtent l="0" t="0" r="0" b="0"/>
            <wp:docPr id="8"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95350"/>
                    </a:xfrm>
                    <a:prstGeom prst="rect">
                      <a:avLst/>
                    </a:prstGeom>
                    <a:noFill/>
                    <a:ln>
                      <a:noFill/>
                    </a:ln>
                  </pic:spPr>
                </pic:pic>
              </a:graphicData>
            </a:graphic>
          </wp:inline>
        </w:drawing>
      </w:r>
    </w:p>
    <w:p w:rsidR="00073E74" w:rsidRPr="00D05A74" w:rsidRDefault="00073E74" w:rsidP="00073E74">
      <w:pPr>
        <w:spacing w:after="0" w:line="240" w:lineRule="auto"/>
        <w:ind w:right="51"/>
        <w:jc w:val="center"/>
        <w:rPr>
          <w:rFonts w:ascii="Arial" w:eastAsia="Times New Roman" w:hAnsi="Arial" w:cs="Arial"/>
          <w:lang w:val="es-ES_tradnl" w:eastAsia="es-ES"/>
        </w:rPr>
      </w:pPr>
    </w:p>
    <w:p w:rsidR="00073E74" w:rsidRPr="00D05A74" w:rsidRDefault="00073E74" w:rsidP="00073E74">
      <w:pPr>
        <w:tabs>
          <w:tab w:val="center" w:pos="3985"/>
        </w:tabs>
        <w:suppressAutoHyphens/>
        <w:spacing w:after="0" w:line="240"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 xml:space="preserve">TRIBUNAL CONTENCIOSO ADMINISTRATIVO </w:t>
      </w:r>
    </w:p>
    <w:p w:rsidR="00073E74" w:rsidRPr="00D05A74" w:rsidRDefault="00073E74" w:rsidP="00073E74">
      <w:pPr>
        <w:tabs>
          <w:tab w:val="center" w:pos="3985"/>
        </w:tabs>
        <w:suppressAutoHyphens/>
        <w:spacing w:after="0" w:line="240" w:lineRule="auto"/>
        <w:jc w:val="center"/>
        <w:rPr>
          <w:rFonts w:ascii="Arial" w:hAnsi="Arial" w:cs="Arial"/>
          <w:b/>
          <w:spacing w:val="-4"/>
          <w:lang w:val="es-ES_tradnl" w:eastAsia="es-ES_tradnl"/>
        </w:rPr>
      </w:pPr>
      <w:r w:rsidRPr="00D05A74">
        <w:rPr>
          <w:rFonts w:ascii="Arial" w:hAnsi="Arial" w:cs="Arial"/>
          <w:b/>
          <w:spacing w:val="-4"/>
          <w:lang w:val="es-ES_tradnl" w:eastAsia="es-ES_tradnl"/>
        </w:rPr>
        <w:t>DEL VALLE DEL CAUCA</w:t>
      </w:r>
    </w:p>
    <w:p w:rsidR="00073E74" w:rsidRPr="00D05A74" w:rsidRDefault="00073E74" w:rsidP="00073E74">
      <w:pPr>
        <w:spacing w:line="240" w:lineRule="auto"/>
        <w:jc w:val="center"/>
        <w:rPr>
          <w:lang w:val="es-ES_tradnl"/>
        </w:rPr>
      </w:pPr>
    </w:p>
    <w:p w:rsidR="00073E74" w:rsidRPr="00D05A74" w:rsidRDefault="00073E74" w:rsidP="00073E74">
      <w:pPr>
        <w:spacing w:line="240" w:lineRule="auto"/>
        <w:jc w:val="center"/>
        <w:rPr>
          <w:rFonts w:ascii="Arial" w:hAnsi="Arial" w:cs="Arial"/>
          <w:b/>
          <w:lang w:val="es-ES_tradnl"/>
        </w:rPr>
      </w:pPr>
      <w:r w:rsidRPr="00D05A74">
        <w:rPr>
          <w:rFonts w:ascii="Arial" w:hAnsi="Arial" w:cs="Arial"/>
          <w:b/>
          <w:lang w:val="es-ES_tradnl"/>
        </w:rPr>
        <w:t xml:space="preserve">CONVOCATORIA VIRTUAL </w:t>
      </w:r>
    </w:p>
    <w:p w:rsidR="00073E74" w:rsidRDefault="00073E74" w:rsidP="00073E74">
      <w:pPr>
        <w:spacing w:line="240" w:lineRule="auto"/>
        <w:jc w:val="both"/>
        <w:rPr>
          <w:rFonts w:ascii="Arial" w:hAnsi="Arial" w:cs="Arial"/>
          <w:lang w:val="es-ES_tradnl"/>
        </w:rPr>
      </w:pPr>
      <w:r w:rsidRPr="00DB0D5C">
        <w:rPr>
          <w:rFonts w:ascii="Arial" w:hAnsi="Arial" w:cs="Arial"/>
          <w:lang w:val="es-ES_tradnl"/>
        </w:rPr>
        <w:t>Atendiendo q</w:t>
      </w:r>
      <w:proofErr w:type="spellStart"/>
      <w:r w:rsidRPr="00DB0D5C">
        <w:rPr>
          <w:rFonts w:ascii="Arial" w:hAnsi="Arial" w:cs="Arial"/>
        </w:rPr>
        <w:t>ue</w:t>
      </w:r>
      <w:proofErr w:type="spellEnd"/>
      <w:r w:rsidRPr="00DB0D5C">
        <w:rPr>
          <w:rFonts w:ascii="Arial" w:hAnsi="Arial" w:cs="Arial"/>
        </w:rPr>
        <w:t xml:space="preserve"> el Acuerdo PCSJ20-11567 ordenó levantar la suspensión de términos a partir del 1 de julio de 2020 y estableció las reglas sobre condiciones de trabajo en la Rama Judicial; ingreso y permanencia en las sedes; condiciones de bioseguridad; condiciones de trabajo en casa y medios de seguimiento a la aplicación de dicho Acuerdo. Que dentro del contexto anterior, el Consejo Superior de la Judicatura ha señalado como regla general que los servidores judiciales laboren bajo el esquema de trabajo no presencial, en casa o a distancia, y reiterando que cuando sea necesario de manera presencial se hará con máximo el 20 % de servidores</w:t>
      </w:r>
      <w:r>
        <w:rPr>
          <w:rFonts w:ascii="Arial" w:hAnsi="Arial" w:cs="Arial"/>
          <w:lang w:val="es-ES_tradnl"/>
        </w:rPr>
        <w:t>;</w:t>
      </w:r>
      <w:r w:rsidRPr="00D05A74">
        <w:rPr>
          <w:rFonts w:ascii="Arial" w:hAnsi="Arial" w:cs="Arial"/>
          <w:lang w:val="es-ES_tradnl"/>
        </w:rPr>
        <w:t xml:space="preserve"> </w:t>
      </w:r>
      <w:r>
        <w:rPr>
          <w:rFonts w:ascii="Arial" w:hAnsi="Arial" w:cs="Arial"/>
          <w:lang w:val="es-ES_tradnl"/>
        </w:rPr>
        <w:t xml:space="preserve">lo cual fue reafirmado por el Acuerdo </w:t>
      </w:r>
      <w:r w:rsidRPr="00353378">
        <w:rPr>
          <w:rFonts w:ascii="Arial" w:hAnsi="Arial" w:cs="Arial"/>
          <w:lang w:val="es-ES_tradnl"/>
        </w:rPr>
        <w:t>PCSJA20-11623</w:t>
      </w:r>
      <w:r>
        <w:rPr>
          <w:rFonts w:ascii="Arial" w:hAnsi="Arial" w:cs="Arial"/>
          <w:lang w:val="es-ES_tradnl"/>
        </w:rPr>
        <w:t xml:space="preserve"> del  </w:t>
      </w:r>
      <w:r w:rsidRPr="00353378">
        <w:rPr>
          <w:rFonts w:ascii="Arial" w:hAnsi="Arial" w:cs="Arial"/>
          <w:lang w:val="es-ES_tradnl"/>
        </w:rPr>
        <w:t>28/08/2020</w:t>
      </w:r>
      <w:r>
        <w:rPr>
          <w:rFonts w:ascii="Arial" w:hAnsi="Arial" w:cs="Arial"/>
          <w:lang w:val="es-ES_tradnl"/>
        </w:rPr>
        <w:t xml:space="preserve">, </w:t>
      </w:r>
      <w:r w:rsidRPr="00D05A74">
        <w:rPr>
          <w:rFonts w:ascii="Arial" w:hAnsi="Arial" w:cs="Arial"/>
          <w:lang w:val="es-ES_tradnl"/>
        </w:rPr>
        <w:t>el titular del despacho, OMAR EDGAR BORJA SOTO, convoca a sesión virtual a los magistrados EDUARDO ANTONIO LUBO BARROS y OSCAR SILVIO NARVÁEZ DAZA, quienes conforman la Sala de Decisión, para discutir l</w:t>
      </w:r>
      <w:r>
        <w:rPr>
          <w:rFonts w:ascii="Arial" w:hAnsi="Arial" w:cs="Arial"/>
          <w:lang w:val="es-ES_tradnl"/>
        </w:rPr>
        <w:t>os</w:t>
      </w:r>
      <w:r w:rsidRPr="00D05A74">
        <w:rPr>
          <w:rFonts w:ascii="Arial" w:hAnsi="Arial" w:cs="Arial"/>
          <w:lang w:val="es-ES_tradnl"/>
        </w:rPr>
        <w:t xml:space="preserve"> siguiente</w:t>
      </w:r>
      <w:r>
        <w:rPr>
          <w:rFonts w:ascii="Arial" w:hAnsi="Arial" w:cs="Arial"/>
          <w:lang w:val="es-ES_tradnl"/>
        </w:rPr>
        <w:t>s</w:t>
      </w:r>
      <w:r w:rsidRPr="00D05A74">
        <w:rPr>
          <w:rFonts w:ascii="Arial" w:hAnsi="Arial" w:cs="Arial"/>
          <w:lang w:val="es-ES_tradnl"/>
        </w:rPr>
        <w:t xml:space="preserve"> proyecto</w:t>
      </w:r>
      <w:r>
        <w:rPr>
          <w:rFonts w:ascii="Arial" w:hAnsi="Arial" w:cs="Arial"/>
          <w:lang w:val="es-ES_tradnl"/>
        </w:rPr>
        <w:t>s:</w:t>
      </w:r>
    </w:p>
    <w:p w:rsidR="00073E74" w:rsidRDefault="00073E74" w:rsidP="00073E74">
      <w:pPr>
        <w:pStyle w:val="Sinespaciado"/>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073E74" w:rsidRPr="00133EBE" w:rsidTr="00484A86">
        <w:tc>
          <w:tcPr>
            <w:tcW w:w="3261" w:type="dxa"/>
          </w:tcPr>
          <w:p w:rsidR="00073E74" w:rsidRPr="00133EBE" w:rsidRDefault="00073E74" w:rsidP="00073E74">
            <w:pPr>
              <w:tabs>
                <w:tab w:val="left" w:pos="-720"/>
              </w:tabs>
              <w:suppressAutoHyphens/>
              <w:spacing w:after="0" w:line="240" w:lineRule="auto"/>
              <w:rPr>
                <w:rFonts w:ascii="Arial" w:hAnsi="Arial" w:cs="Arial"/>
                <w:b/>
                <w:spacing w:val="-3"/>
                <w:sz w:val="24"/>
                <w:szCs w:val="24"/>
                <w:lang w:val="es-ES_tradnl" w:eastAsia="es-ES_tradnl"/>
              </w:rPr>
            </w:pPr>
            <w:r w:rsidRPr="00133EBE">
              <w:rPr>
                <w:rFonts w:ascii="Arial" w:hAnsi="Arial" w:cs="Arial"/>
                <w:b/>
                <w:spacing w:val="-3"/>
                <w:sz w:val="24"/>
                <w:szCs w:val="24"/>
                <w:lang w:val="es-ES_tradnl" w:eastAsia="es-ES_tradnl"/>
              </w:rPr>
              <w:t xml:space="preserve">Magistrado Ponente: </w:t>
            </w:r>
          </w:p>
        </w:tc>
        <w:tc>
          <w:tcPr>
            <w:tcW w:w="5595" w:type="dxa"/>
          </w:tcPr>
          <w:p w:rsidR="00073E74" w:rsidRPr="00133EBE" w:rsidRDefault="00073E74" w:rsidP="00073E74">
            <w:pPr>
              <w:tabs>
                <w:tab w:val="left" w:pos="-720"/>
              </w:tabs>
              <w:suppressAutoHyphens/>
              <w:spacing w:after="0" w:line="240" w:lineRule="auto"/>
              <w:jc w:val="both"/>
              <w:rPr>
                <w:rFonts w:ascii="Arial" w:hAnsi="Arial" w:cs="Arial"/>
                <w:spacing w:val="-3"/>
                <w:sz w:val="24"/>
                <w:szCs w:val="24"/>
                <w:lang w:val="es-ES_tradnl" w:eastAsia="es-ES_tradnl"/>
              </w:rPr>
            </w:pPr>
            <w:r w:rsidRPr="00133EBE">
              <w:rPr>
                <w:rFonts w:ascii="Arial" w:hAnsi="Arial" w:cs="Arial"/>
                <w:b/>
                <w:spacing w:val="-3"/>
                <w:sz w:val="24"/>
                <w:szCs w:val="24"/>
                <w:lang w:val="es-ES_tradnl" w:eastAsia="es-ES_tradnl"/>
              </w:rPr>
              <w:t>OMAR EDGAR BORJA SOTO</w:t>
            </w:r>
          </w:p>
        </w:tc>
      </w:tr>
      <w:tr w:rsidR="00073E74" w:rsidRPr="00133EBE" w:rsidTr="00484A86">
        <w:tc>
          <w:tcPr>
            <w:tcW w:w="3261" w:type="dxa"/>
          </w:tcPr>
          <w:p w:rsidR="00073E74" w:rsidRPr="00133EBE" w:rsidRDefault="00073E74" w:rsidP="00073E74">
            <w:pPr>
              <w:tabs>
                <w:tab w:val="left" w:pos="-720"/>
              </w:tabs>
              <w:suppressAutoHyphens/>
              <w:spacing w:after="0" w:line="240" w:lineRule="auto"/>
              <w:rPr>
                <w:rFonts w:ascii="Arial" w:hAnsi="Arial" w:cs="Arial"/>
                <w:spacing w:val="-3"/>
                <w:sz w:val="24"/>
                <w:szCs w:val="24"/>
                <w:lang w:val="es-ES_tradnl" w:eastAsia="es-ES_tradnl"/>
              </w:rPr>
            </w:pPr>
            <w:r w:rsidRPr="00133EBE">
              <w:rPr>
                <w:rFonts w:ascii="Arial" w:hAnsi="Arial" w:cs="Arial"/>
                <w:spacing w:val="-3"/>
                <w:sz w:val="24"/>
                <w:szCs w:val="24"/>
                <w:lang w:val="es-ES_tradnl" w:eastAsia="es-ES_tradnl"/>
              </w:rPr>
              <w:t>Medio de Control</w:t>
            </w:r>
          </w:p>
        </w:tc>
        <w:tc>
          <w:tcPr>
            <w:tcW w:w="5595" w:type="dxa"/>
          </w:tcPr>
          <w:p w:rsidR="00073E74" w:rsidRPr="00133EBE" w:rsidRDefault="00073E74" w:rsidP="00073E74">
            <w:pPr>
              <w:tabs>
                <w:tab w:val="left" w:pos="-720"/>
              </w:tabs>
              <w:suppressAutoHyphens/>
              <w:spacing w:after="0" w:line="240" w:lineRule="auto"/>
              <w:jc w:val="both"/>
              <w:rPr>
                <w:rFonts w:ascii="Arial" w:hAnsi="Arial" w:cs="Arial"/>
                <w:b/>
                <w:spacing w:val="-3"/>
                <w:sz w:val="24"/>
                <w:szCs w:val="24"/>
                <w:lang w:val="es-ES_tradnl" w:eastAsia="es-ES_tradnl"/>
              </w:rPr>
            </w:pPr>
            <w:r w:rsidRPr="00133EBE">
              <w:rPr>
                <w:rFonts w:ascii="Arial" w:hAnsi="Arial" w:cs="Arial"/>
                <w:b/>
                <w:spacing w:val="-3"/>
                <w:sz w:val="24"/>
                <w:szCs w:val="24"/>
                <w:lang w:val="es-ES_tradnl" w:eastAsia="es-ES_tradnl"/>
              </w:rPr>
              <w:t>Tutela Segunda Instancia</w:t>
            </w:r>
          </w:p>
        </w:tc>
      </w:tr>
      <w:tr w:rsidR="00073E74" w:rsidRPr="00133EBE" w:rsidTr="00484A86">
        <w:tc>
          <w:tcPr>
            <w:tcW w:w="3261" w:type="dxa"/>
          </w:tcPr>
          <w:p w:rsidR="00073E74" w:rsidRPr="00133EBE" w:rsidRDefault="00073E74" w:rsidP="00073E74">
            <w:pPr>
              <w:tabs>
                <w:tab w:val="left" w:pos="-720"/>
              </w:tabs>
              <w:suppressAutoHyphens/>
              <w:spacing w:after="0" w:line="240" w:lineRule="auto"/>
              <w:rPr>
                <w:rFonts w:ascii="Arial" w:hAnsi="Arial" w:cs="Arial"/>
                <w:spacing w:val="-3"/>
                <w:sz w:val="24"/>
                <w:szCs w:val="24"/>
                <w:lang w:val="es-ES_tradnl" w:eastAsia="es-ES_tradnl"/>
              </w:rPr>
            </w:pPr>
            <w:r w:rsidRPr="00133EBE">
              <w:rPr>
                <w:rFonts w:ascii="Arial" w:hAnsi="Arial" w:cs="Arial"/>
                <w:spacing w:val="-3"/>
                <w:sz w:val="24"/>
                <w:szCs w:val="24"/>
                <w:lang w:val="es-ES_tradnl" w:eastAsia="es-ES_tradnl"/>
              </w:rPr>
              <w:t>Ref. Proceso</w:t>
            </w:r>
          </w:p>
        </w:tc>
        <w:tc>
          <w:tcPr>
            <w:tcW w:w="5595" w:type="dxa"/>
          </w:tcPr>
          <w:p w:rsidR="00073E74" w:rsidRPr="00133EBE" w:rsidRDefault="00073E74" w:rsidP="00073E74">
            <w:pPr>
              <w:tabs>
                <w:tab w:val="left" w:pos="-720"/>
              </w:tabs>
              <w:suppressAutoHyphens/>
              <w:spacing w:after="0" w:line="240" w:lineRule="auto"/>
              <w:jc w:val="both"/>
              <w:rPr>
                <w:rFonts w:ascii="Arial" w:hAnsi="Arial" w:cs="Arial"/>
                <w:spacing w:val="-3"/>
                <w:sz w:val="24"/>
                <w:szCs w:val="24"/>
                <w:lang w:val="es-ES_tradnl" w:eastAsia="es-ES_tradnl"/>
              </w:rPr>
            </w:pPr>
            <w:r w:rsidRPr="00133EBE">
              <w:rPr>
                <w:rFonts w:ascii="Arial" w:hAnsi="Arial" w:cs="Arial"/>
                <w:spacing w:val="-3"/>
                <w:sz w:val="24"/>
                <w:szCs w:val="24"/>
                <w:lang w:val="es-ES_tradnl" w:eastAsia="es-ES_tradnl"/>
              </w:rPr>
              <w:t>76001-33-33-010-2020-00092-01</w:t>
            </w:r>
          </w:p>
        </w:tc>
      </w:tr>
      <w:tr w:rsidR="00073E74" w:rsidRPr="00133EBE" w:rsidTr="00484A86">
        <w:tc>
          <w:tcPr>
            <w:tcW w:w="3261" w:type="dxa"/>
          </w:tcPr>
          <w:p w:rsidR="00073E74" w:rsidRPr="00133EBE" w:rsidRDefault="00073E74" w:rsidP="00073E74">
            <w:pPr>
              <w:tabs>
                <w:tab w:val="left" w:pos="-720"/>
              </w:tabs>
              <w:suppressAutoHyphens/>
              <w:spacing w:after="0" w:line="240" w:lineRule="auto"/>
              <w:rPr>
                <w:rFonts w:ascii="Arial" w:hAnsi="Arial" w:cs="Arial"/>
                <w:spacing w:val="-3"/>
                <w:sz w:val="24"/>
                <w:szCs w:val="24"/>
                <w:lang w:val="es-ES_tradnl" w:eastAsia="es-ES_tradnl"/>
              </w:rPr>
            </w:pPr>
            <w:r w:rsidRPr="00133EBE">
              <w:rPr>
                <w:rFonts w:ascii="Arial" w:hAnsi="Arial" w:cs="Arial"/>
                <w:spacing w:val="-3"/>
                <w:sz w:val="24"/>
                <w:szCs w:val="24"/>
                <w:lang w:val="es-ES_tradnl" w:eastAsia="es-ES_tradnl"/>
              </w:rPr>
              <w:t>Demandante</w:t>
            </w:r>
          </w:p>
        </w:tc>
        <w:tc>
          <w:tcPr>
            <w:tcW w:w="5595" w:type="dxa"/>
          </w:tcPr>
          <w:p w:rsidR="00073E74" w:rsidRPr="00133EBE" w:rsidRDefault="00073E74" w:rsidP="00073E74">
            <w:pPr>
              <w:tabs>
                <w:tab w:val="left" w:pos="-720"/>
              </w:tabs>
              <w:suppressAutoHyphens/>
              <w:spacing w:after="0" w:line="240" w:lineRule="auto"/>
              <w:jc w:val="both"/>
              <w:rPr>
                <w:rFonts w:ascii="Arial" w:hAnsi="Arial" w:cs="Arial"/>
                <w:spacing w:val="-3"/>
                <w:sz w:val="24"/>
                <w:szCs w:val="24"/>
                <w:lang w:val="es-ES_tradnl" w:eastAsia="es-ES_tradnl"/>
              </w:rPr>
            </w:pPr>
            <w:r w:rsidRPr="00133EBE">
              <w:rPr>
                <w:rFonts w:ascii="Arial" w:hAnsi="Arial" w:cs="Arial"/>
                <w:spacing w:val="-3"/>
                <w:sz w:val="24"/>
                <w:szCs w:val="24"/>
                <w:lang w:val="es-ES_tradnl" w:eastAsia="es-ES_tradnl"/>
              </w:rPr>
              <w:t>JOSÉ DENIS HERRERA SALAZAR como agente oficioso de la señora MIRYAM GONZÁLEZ USECHE</w:t>
            </w:r>
          </w:p>
        </w:tc>
      </w:tr>
      <w:tr w:rsidR="00073E74" w:rsidRPr="00133EBE" w:rsidTr="00484A86">
        <w:trPr>
          <w:trHeight w:val="361"/>
        </w:trPr>
        <w:tc>
          <w:tcPr>
            <w:tcW w:w="3261" w:type="dxa"/>
          </w:tcPr>
          <w:p w:rsidR="00073E74" w:rsidRPr="00133EBE" w:rsidRDefault="00073E74" w:rsidP="00073E74">
            <w:pPr>
              <w:tabs>
                <w:tab w:val="left" w:pos="-720"/>
              </w:tabs>
              <w:suppressAutoHyphens/>
              <w:spacing w:after="0" w:line="240" w:lineRule="auto"/>
              <w:rPr>
                <w:rFonts w:ascii="Arial" w:hAnsi="Arial" w:cs="Arial"/>
                <w:spacing w:val="-3"/>
                <w:sz w:val="24"/>
                <w:szCs w:val="24"/>
                <w:lang w:val="es-ES_tradnl" w:eastAsia="es-ES_tradnl"/>
              </w:rPr>
            </w:pPr>
            <w:r w:rsidRPr="00133EBE">
              <w:rPr>
                <w:rFonts w:ascii="Arial" w:hAnsi="Arial" w:cs="Arial"/>
                <w:spacing w:val="-3"/>
                <w:sz w:val="24"/>
                <w:szCs w:val="24"/>
                <w:lang w:val="es-ES_tradnl" w:eastAsia="es-ES_tradnl"/>
              </w:rPr>
              <w:t>Demandado</w:t>
            </w:r>
          </w:p>
        </w:tc>
        <w:tc>
          <w:tcPr>
            <w:tcW w:w="5595" w:type="dxa"/>
          </w:tcPr>
          <w:p w:rsidR="00073E74" w:rsidRPr="00133EBE" w:rsidRDefault="00073E74" w:rsidP="00073E74">
            <w:pPr>
              <w:tabs>
                <w:tab w:val="left" w:pos="720"/>
                <w:tab w:val="left" w:pos="1985"/>
                <w:tab w:val="left" w:pos="3119"/>
                <w:tab w:val="left" w:pos="3780"/>
              </w:tabs>
              <w:spacing w:after="0" w:line="240" w:lineRule="auto"/>
              <w:rPr>
                <w:rFonts w:ascii="Arial" w:hAnsi="Arial" w:cs="Arial"/>
                <w:sz w:val="24"/>
                <w:szCs w:val="24"/>
                <w:lang w:val="es-ES" w:eastAsia="es-ES_tradnl"/>
              </w:rPr>
            </w:pPr>
            <w:r w:rsidRPr="00133EBE">
              <w:rPr>
                <w:rFonts w:ascii="Arial" w:hAnsi="Arial" w:cs="Arial"/>
                <w:sz w:val="24"/>
                <w:szCs w:val="24"/>
                <w:lang w:val="es-ES" w:eastAsia="es-ES_tradnl"/>
              </w:rPr>
              <w:t>NUEVA EPS</w:t>
            </w:r>
          </w:p>
        </w:tc>
      </w:tr>
    </w:tbl>
    <w:p w:rsidR="00073E74" w:rsidRPr="00AB55CD" w:rsidRDefault="00073E74" w:rsidP="00073E74">
      <w:pPr>
        <w:spacing w:line="240" w:lineRule="auto"/>
        <w:ind w:left="708" w:hanging="708"/>
        <w:jc w:val="both"/>
        <w:rPr>
          <w:rFonts w:ascii="Arial" w:hAnsi="Arial" w:cs="Arial"/>
        </w:rPr>
      </w:pPr>
    </w:p>
    <w:p w:rsidR="00073E74" w:rsidRPr="00D05A74" w:rsidRDefault="00073E74" w:rsidP="00073E74">
      <w:pPr>
        <w:spacing w:line="240" w:lineRule="auto"/>
        <w:jc w:val="both"/>
        <w:rPr>
          <w:rFonts w:ascii="Arial" w:hAnsi="Arial" w:cs="Arial"/>
        </w:rPr>
      </w:pPr>
      <w:r w:rsidRPr="00D05A74">
        <w:rPr>
          <w:rFonts w:ascii="Arial" w:hAnsi="Arial" w:cs="Arial"/>
          <w:noProof/>
          <w:lang w:eastAsia="es-CO"/>
        </w:rPr>
        <w:drawing>
          <wp:anchor distT="0" distB="0" distL="114300" distR="114300" simplePos="0" relativeHeight="251659264" behindDoc="1" locked="0" layoutInCell="1" allowOverlap="1">
            <wp:simplePos x="0" y="0"/>
            <wp:positionH relativeFrom="margin">
              <wp:align>center</wp:align>
            </wp:positionH>
            <wp:positionV relativeFrom="paragraph">
              <wp:posOffset>700549</wp:posOffset>
            </wp:positionV>
            <wp:extent cx="2542996" cy="1923690"/>
            <wp:effectExtent l="19050" t="0" r="0" b="0"/>
            <wp:wrapTight wrapText="bothSides">
              <wp:wrapPolygon edited="0">
                <wp:start x="-162" y="0"/>
                <wp:lineTo x="-162" y="21390"/>
                <wp:lineTo x="21521" y="21390"/>
                <wp:lineTo x="21521" y="0"/>
                <wp:lineTo x="-162" y="0"/>
              </wp:wrapPolygon>
            </wp:wrapTight>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brightnessContrast brigh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2996" cy="1923690"/>
                    </a:xfrm>
                    <a:prstGeom prst="rect">
                      <a:avLst/>
                    </a:prstGeom>
                    <a:noFill/>
                    <a:ln>
                      <a:noFill/>
                    </a:ln>
                  </pic:spPr>
                </pic:pic>
              </a:graphicData>
            </a:graphic>
          </wp:anchor>
        </w:drawing>
      </w:r>
      <w:r w:rsidRPr="00D05A74">
        <w:rPr>
          <w:rFonts w:ascii="Arial" w:hAnsi="Arial" w:cs="Arial"/>
        </w:rPr>
        <w:t xml:space="preserve">Convocar a sesión virtual a los honorables Magistrados para el </w:t>
      </w:r>
      <w:r>
        <w:rPr>
          <w:rFonts w:ascii="Arial" w:hAnsi="Arial" w:cs="Arial"/>
        </w:rPr>
        <w:t xml:space="preserve">primero </w:t>
      </w:r>
      <w:r w:rsidRPr="00D05A74">
        <w:rPr>
          <w:rFonts w:ascii="Arial" w:hAnsi="Arial" w:cs="Arial"/>
        </w:rPr>
        <w:t>(</w:t>
      </w:r>
      <w:r>
        <w:rPr>
          <w:rFonts w:ascii="Arial" w:hAnsi="Arial" w:cs="Arial"/>
        </w:rPr>
        <w:t>01</w:t>
      </w:r>
      <w:r w:rsidRPr="00D05A74">
        <w:rPr>
          <w:rFonts w:ascii="Arial" w:hAnsi="Arial" w:cs="Arial"/>
        </w:rPr>
        <w:t xml:space="preserve">) de </w:t>
      </w:r>
      <w:r>
        <w:rPr>
          <w:rFonts w:ascii="Arial" w:hAnsi="Arial" w:cs="Arial"/>
        </w:rPr>
        <w:t xml:space="preserve">septiembre </w:t>
      </w:r>
      <w:r w:rsidRPr="00D05A74">
        <w:rPr>
          <w:rFonts w:ascii="Arial" w:hAnsi="Arial" w:cs="Arial"/>
        </w:rPr>
        <w:t xml:space="preserve">de 2020 a las </w:t>
      </w:r>
      <w:r>
        <w:rPr>
          <w:rFonts w:ascii="Arial" w:hAnsi="Arial" w:cs="Arial"/>
        </w:rPr>
        <w:t xml:space="preserve">tres </w:t>
      </w:r>
      <w:r w:rsidRPr="00D05A74">
        <w:rPr>
          <w:rFonts w:ascii="Arial" w:hAnsi="Arial" w:cs="Arial"/>
        </w:rPr>
        <w:t xml:space="preserve">de la </w:t>
      </w:r>
      <w:r>
        <w:rPr>
          <w:rFonts w:ascii="Arial" w:hAnsi="Arial" w:cs="Arial"/>
        </w:rPr>
        <w:t xml:space="preserve">tarde </w:t>
      </w:r>
      <w:r w:rsidRPr="00D05A74">
        <w:rPr>
          <w:rFonts w:ascii="Arial" w:hAnsi="Arial" w:cs="Arial"/>
        </w:rPr>
        <w:t>(</w:t>
      </w:r>
      <w:r>
        <w:rPr>
          <w:rFonts w:ascii="Arial" w:hAnsi="Arial" w:cs="Arial"/>
        </w:rPr>
        <w:t>03:00</w:t>
      </w:r>
      <w:r w:rsidRPr="00D05A74">
        <w:rPr>
          <w:rFonts w:ascii="Arial" w:hAnsi="Arial" w:cs="Arial"/>
        </w:rPr>
        <w:t xml:space="preserve"> </w:t>
      </w:r>
      <w:r>
        <w:rPr>
          <w:rFonts w:ascii="Arial" w:hAnsi="Arial" w:cs="Arial"/>
        </w:rPr>
        <w:t>p</w:t>
      </w:r>
      <w:r w:rsidRPr="00D05A74">
        <w:rPr>
          <w:rFonts w:ascii="Arial" w:hAnsi="Arial" w:cs="Arial"/>
        </w:rPr>
        <w:t>m).</w:t>
      </w:r>
    </w:p>
    <w:p w:rsidR="00073E74" w:rsidRPr="00D05A74" w:rsidRDefault="00073E74" w:rsidP="00073E74">
      <w:pPr>
        <w:spacing w:line="240" w:lineRule="auto"/>
        <w:rPr>
          <w:rFonts w:ascii="Arial" w:hAnsi="Arial" w:cs="Arial"/>
        </w:rPr>
      </w:pPr>
    </w:p>
    <w:p w:rsidR="00073E74" w:rsidRPr="00D05A74" w:rsidRDefault="00073E74" w:rsidP="00073E74">
      <w:pPr>
        <w:spacing w:line="240" w:lineRule="auto"/>
        <w:rPr>
          <w:rFonts w:ascii="Arial" w:hAnsi="Arial" w:cs="Arial"/>
        </w:rPr>
      </w:pPr>
    </w:p>
    <w:p w:rsidR="00073E74" w:rsidRPr="00D05A74" w:rsidRDefault="00073E74" w:rsidP="00073E74">
      <w:pPr>
        <w:spacing w:line="240" w:lineRule="auto"/>
        <w:rPr>
          <w:rFonts w:ascii="Arial" w:hAnsi="Arial" w:cs="Arial"/>
        </w:rPr>
      </w:pPr>
    </w:p>
    <w:p w:rsidR="00073E74" w:rsidRDefault="00073E74" w:rsidP="00073E74">
      <w:pPr>
        <w:spacing w:line="240" w:lineRule="auto"/>
        <w:rPr>
          <w:rFonts w:ascii="Arial" w:hAnsi="Arial" w:cs="Arial"/>
        </w:rPr>
      </w:pPr>
    </w:p>
    <w:p w:rsidR="00073E74" w:rsidRDefault="00073E74" w:rsidP="00073E74">
      <w:pPr>
        <w:spacing w:line="240" w:lineRule="auto"/>
        <w:rPr>
          <w:rFonts w:ascii="Arial" w:hAnsi="Arial" w:cs="Arial"/>
        </w:rPr>
      </w:pPr>
    </w:p>
    <w:p w:rsidR="00073E74" w:rsidRDefault="00073E74" w:rsidP="00073E74">
      <w:pPr>
        <w:spacing w:line="240" w:lineRule="auto"/>
        <w:jc w:val="both"/>
        <w:rPr>
          <w:rFonts w:ascii="Arial" w:hAnsi="Arial" w:cs="Arial"/>
        </w:rPr>
      </w:pPr>
    </w:p>
    <w:p w:rsidR="00073E74" w:rsidRDefault="00073E74" w:rsidP="00073E74">
      <w:pPr>
        <w:spacing w:line="240" w:lineRule="auto"/>
        <w:jc w:val="both"/>
        <w:rPr>
          <w:rFonts w:ascii="Arial" w:hAnsi="Arial" w:cs="Arial"/>
        </w:rPr>
      </w:pPr>
    </w:p>
    <w:p w:rsidR="00073E74" w:rsidRDefault="00073E74" w:rsidP="00073E74">
      <w:pPr>
        <w:spacing w:line="240" w:lineRule="auto"/>
        <w:jc w:val="both"/>
        <w:rPr>
          <w:rFonts w:ascii="Arial" w:hAnsi="Arial" w:cs="Arial"/>
        </w:rPr>
      </w:pPr>
    </w:p>
    <w:p w:rsidR="00073E74" w:rsidRDefault="00073E74" w:rsidP="00073E74">
      <w:pPr>
        <w:spacing w:line="240" w:lineRule="auto"/>
        <w:jc w:val="both"/>
        <w:rPr>
          <w:rFonts w:ascii="Arial" w:hAnsi="Arial" w:cs="Arial"/>
        </w:rPr>
      </w:pPr>
    </w:p>
    <w:p w:rsidR="00073E74" w:rsidRDefault="00073E74" w:rsidP="00073E74">
      <w:pPr>
        <w:spacing w:line="240" w:lineRule="auto"/>
        <w:jc w:val="both"/>
        <w:rPr>
          <w:rFonts w:ascii="Arial" w:hAnsi="Arial" w:cs="Arial"/>
        </w:rPr>
      </w:pPr>
    </w:p>
    <w:p w:rsidR="00073E74" w:rsidRDefault="00073E74" w:rsidP="00073E74">
      <w:pPr>
        <w:spacing w:line="240" w:lineRule="auto"/>
        <w:jc w:val="both"/>
      </w:pPr>
      <w:r w:rsidRPr="00D05A74">
        <w:rPr>
          <w:rFonts w:ascii="Arial" w:hAnsi="Arial" w:cs="Arial"/>
        </w:rPr>
        <w:t xml:space="preserve">Remítase copia del presente a las cuentas de correo institucional de los Magistrados que conforman la Sala de Decisión y al de la Secretaría del Tribunal, hoy </w:t>
      </w:r>
      <w:r>
        <w:rPr>
          <w:rFonts w:ascii="Arial" w:hAnsi="Arial" w:cs="Arial"/>
        </w:rPr>
        <w:t>treinta y uno (31</w:t>
      </w:r>
      <w:r w:rsidRPr="00D05A74">
        <w:rPr>
          <w:rFonts w:ascii="Arial" w:hAnsi="Arial" w:cs="Arial"/>
        </w:rPr>
        <w:t xml:space="preserve">) de </w:t>
      </w:r>
      <w:r>
        <w:rPr>
          <w:rFonts w:ascii="Arial" w:hAnsi="Arial" w:cs="Arial"/>
        </w:rPr>
        <w:t xml:space="preserve">agosto </w:t>
      </w:r>
      <w:r w:rsidRPr="00D05A74">
        <w:rPr>
          <w:rFonts w:ascii="Arial" w:hAnsi="Arial" w:cs="Arial"/>
        </w:rPr>
        <w:t>de dos mil veinte (2020)</w:t>
      </w:r>
      <w:r>
        <w:rPr>
          <w:rFonts w:ascii="Arial" w:hAnsi="Arial" w:cs="Arial"/>
        </w:rPr>
        <w:t>.</w:t>
      </w:r>
    </w:p>
    <w:p w:rsidR="00073E74" w:rsidRDefault="00073E74" w:rsidP="00073E74">
      <w:pPr>
        <w:spacing w:line="240" w:lineRule="auto"/>
      </w:pPr>
    </w:p>
    <w:p w:rsidR="00073E74" w:rsidRDefault="00073E74" w:rsidP="00073E74">
      <w:pPr>
        <w:spacing w:line="240" w:lineRule="auto"/>
      </w:pPr>
    </w:p>
    <w:p w:rsidR="005718F5" w:rsidRDefault="005718F5" w:rsidP="00073E74">
      <w:pPr>
        <w:spacing w:line="240" w:lineRule="auto"/>
      </w:pPr>
    </w:p>
    <w:sectPr w:rsidR="005718F5" w:rsidSect="00344D73">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073E74"/>
    <w:rsid w:val="00073E74"/>
    <w:rsid w:val="005718F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74"/>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3E74"/>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073E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3E7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microsoft.com/office/2007/relationships/hdphoto"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1387</Characters>
  <Application>Microsoft Office Word</Application>
  <DocSecurity>0</DocSecurity>
  <Lines>11</Lines>
  <Paragraphs>3</Paragraphs>
  <ScaleCrop>false</ScaleCrop>
  <Company>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2020-08-31T22:39:00Z</dcterms:created>
  <dcterms:modified xsi:type="dcterms:W3CDTF">2020-08-31T22:42:00Z</dcterms:modified>
</cp:coreProperties>
</file>