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7D1" w:rsidRPr="00A06B43" w:rsidRDefault="007827D1" w:rsidP="007827D1">
      <w:pPr>
        <w:spacing w:after="0" w:line="360" w:lineRule="auto"/>
        <w:jc w:val="center"/>
        <w:textAlignment w:val="baseline"/>
        <w:rPr>
          <w:rFonts w:ascii="Verdana" w:eastAsia="Times New Roman" w:hAnsi="Verdana" w:cs="Segoe UI"/>
          <w:sz w:val="24"/>
          <w:szCs w:val="24"/>
          <w:lang w:eastAsia="es-CO"/>
        </w:rPr>
      </w:pPr>
      <w:r w:rsidRPr="00A06B43">
        <w:rPr>
          <w:rFonts w:ascii="Verdana" w:eastAsia="Times New Roman" w:hAnsi="Verdana" w:cs="Segoe UI"/>
          <w:b/>
          <w:bCs/>
          <w:sz w:val="24"/>
          <w:szCs w:val="24"/>
          <w:lang w:val="es-ES" w:eastAsia="es-CO"/>
        </w:rPr>
        <w:t>REPÚBLICA DE COLOMBIA</w:t>
      </w:r>
      <w:r w:rsidRPr="00A06B43">
        <w:rPr>
          <w:rFonts w:ascii="Verdana" w:eastAsia="Times New Roman" w:hAnsi="Verdana" w:cs="Segoe UI"/>
          <w:sz w:val="24"/>
          <w:szCs w:val="24"/>
          <w:lang w:eastAsia="es-CO"/>
        </w:rPr>
        <w:t> </w:t>
      </w:r>
    </w:p>
    <w:p w:rsidR="007827D1" w:rsidRPr="00A06B43" w:rsidRDefault="007827D1" w:rsidP="007827D1">
      <w:pPr>
        <w:spacing w:after="0" w:line="360" w:lineRule="auto"/>
        <w:jc w:val="center"/>
        <w:textAlignment w:val="baseline"/>
        <w:rPr>
          <w:rFonts w:ascii="Verdana" w:eastAsia="Times New Roman" w:hAnsi="Verdana" w:cs="Segoe UI"/>
          <w:sz w:val="24"/>
          <w:szCs w:val="24"/>
          <w:lang w:eastAsia="es-CO"/>
        </w:rPr>
      </w:pPr>
      <w:r w:rsidRPr="206AFDE1">
        <w:rPr>
          <w:rFonts w:ascii="Verdana" w:eastAsia="Times New Roman" w:hAnsi="Verdana" w:cs="Segoe UI"/>
          <w:sz w:val="24"/>
          <w:szCs w:val="24"/>
          <w:lang w:eastAsia="es-CO"/>
        </w:rPr>
        <w:t> </w:t>
      </w:r>
      <w:r>
        <w:rPr>
          <w:noProof/>
          <w:lang w:eastAsia="es-CO"/>
        </w:rPr>
        <w:drawing>
          <wp:inline distT="0" distB="0" distL="0" distR="0" wp14:anchorId="207B9B3E" wp14:editId="40FF4ECC">
            <wp:extent cx="723554" cy="669925"/>
            <wp:effectExtent l="0" t="0" r="635" b="0"/>
            <wp:docPr id="1991340126"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7">
                      <a:extLst>
                        <a:ext uri="{28A0092B-C50C-407E-A947-70E740481C1C}">
                          <a14:useLocalDpi xmlns:a14="http://schemas.microsoft.com/office/drawing/2010/main" val="0"/>
                        </a:ext>
                      </a:extLst>
                    </a:blip>
                    <a:stretch>
                      <a:fillRect/>
                    </a:stretch>
                  </pic:blipFill>
                  <pic:spPr>
                    <a:xfrm>
                      <a:off x="0" y="0"/>
                      <a:ext cx="723554" cy="669925"/>
                    </a:xfrm>
                    <a:prstGeom prst="rect">
                      <a:avLst/>
                    </a:prstGeom>
                  </pic:spPr>
                </pic:pic>
              </a:graphicData>
            </a:graphic>
          </wp:inline>
        </w:drawing>
      </w:r>
    </w:p>
    <w:p w:rsidR="007827D1" w:rsidRPr="00A06B43" w:rsidRDefault="007827D1" w:rsidP="007827D1">
      <w:pPr>
        <w:spacing w:after="0" w:line="360" w:lineRule="auto"/>
        <w:jc w:val="center"/>
        <w:textAlignment w:val="baseline"/>
        <w:rPr>
          <w:rFonts w:ascii="Verdana" w:eastAsia="Times New Roman" w:hAnsi="Verdana" w:cs="Segoe UI"/>
          <w:sz w:val="24"/>
          <w:szCs w:val="24"/>
          <w:lang w:eastAsia="es-CO"/>
        </w:rPr>
      </w:pPr>
      <w:r w:rsidRPr="00A06B43">
        <w:rPr>
          <w:rFonts w:ascii="Verdana" w:eastAsia="Times New Roman" w:hAnsi="Verdana" w:cs="Segoe UI"/>
          <w:b/>
          <w:bCs/>
          <w:sz w:val="24"/>
          <w:szCs w:val="24"/>
          <w:lang w:val="es-ES" w:eastAsia="es-CO"/>
        </w:rPr>
        <w:t>TRIBUNAL ADMINISTRATIVO DE BOYACÁ </w:t>
      </w:r>
      <w:r w:rsidRPr="00A06B43">
        <w:rPr>
          <w:rFonts w:ascii="Verdana" w:eastAsia="Times New Roman" w:hAnsi="Verdana" w:cs="Segoe UI"/>
          <w:sz w:val="24"/>
          <w:szCs w:val="24"/>
          <w:lang w:eastAsia="es-CO"/>
        </w:rPr>
        <w:t> </w:t>
      </w:r>
    </w:p>
    <w:p w:rsidR="007827D1" w:rsidRPr="00A06B43" w:rsidRDefault="007827D1" w:rsidP="007827D1">
      <w:pPr>
        <w:spacing w:after="0" w:line="360" w:lineRule="auto"/>
        <w:jc w:val="center"/>
        <w:textAlignment w:val="baseline"/>
        <w:rPr>
          <w:rFonts w:ascii="Verdana" w:eastAsia="Times New Roman" w:hAnsi="Verdana" w:cs="Segoe UI"/>
          <w:sz w:val="24"/>
          <w:szCs w:val="24"/>
          <w:lang w:eastAsia="es-CO"/>
        </w:rPr>
      </w:pPr>
      <w:r w:rsidRPr="00A06B43">
        <w:rPr>
          <w:rFonts w:ascii="Verdana" w:eastAsia="Times New Roman" w:hAnsi="Verdana" w:cs="Segoe UI"/>
          <w:b/>
          <w:bCs/>
          <w:sz w:val="24"/>
          <w:szCs w:val="24"/>
          <w:lang w:val="es-ES" w:eastAsia="es-CO"/>
        </w:rPr>
        <w:t>DESPACHO No. 4</w:t>
      </w:r>
      <w:r w:rsidRPr="00A06B43">
        <w:rPr>
          <w:rFonts w:ascii="Verdana" w:eastAsia="Times New Roman" w:hAnsi="Verdana" w:cs="Segoe UI"/>
          <w:sz w:val="24"/>
          <w:szCs w:val="24"/>
          <w:lang w:eastAsia="es-CO"/>
        </w:rPr>
        <w:t> </w:t>
      </w:r>
    </w:p>
    <w:p w:rsidR="007827D1" w:rsidRPr="00A06B43" w:rsidRDefault="007827D1" w:rsidP="007827D1">
      <w:pPr>
        <w:spacing w:after="0" w:line="360" w:lineRule="auto"/>
        <w:jc w:val="center"/>
        <w:textAlignment w:val="baseline"/>
        <w:rPr>
          <w:rFonts w:ascii="Verdana" w:eastAsia="Times New Roman" w:hAnsi="Verdana" w:cs="Segoe UI"/>
          <w:sz w:val="24"/>
          <w:szCs w:val="24"/>
          <w:lang w:eastAsia="es-CO"/>
        </w:rPr>
      </w:pPr>
      <w:r w:rsidRPr="00A06B43">
        <w:rPr>
          <w:rFonts w:ascii="Verdana" w:eastAsia="Times New Roman" w:hAnsi="Verdana" w:cs="Segoe UI"/>
          <w:b/>
          <w:bCs/>
          <w:sz w:val="24"/>
          <w:szCs w:val="24"/>
          <w:lang w:val="es-ES" w:eastAsia="es-CO"/>
        </w:rPr>
        <w:t>MAGISTRADO: FELIX ALBERTO RODRIGUEZ RIVEROS</w:t>
      </w:r>
      <w:r w:rsidRPr="00A06B43">
        <w:rPr>
          <w:rFonts w:ascii="Verdana" w:eastAsia="Times New Roman" w:hAnsi="Verdana" w:cs="Segoe UI"/>
          <w:sz w:val="24"/>
          <w:szCs w:val="24"/>
          <w:lang w:eastAsia="es-CO"/>
        </w:rPr>
        <w:t> </w:t>
      </w:r>
    </w:p>
    <w:p w:rsidR="007827D1" w:rsidRPr="00A06B43" w:rsidRDefault="007827D1" w:rsidP="007827D1">
      <w:pPr>
        <w:spacing w:after="0" w:line="360" w:lineRule="auto"/>
        <w:jc w:val="center"/>
        <w:textAlignment w:val="baseline"/>
        <w:rPr>
          <w:rFonts w:ascii="Verdana" w:eastAsia="Times New Roman" w:hAnsi="Verdana" w:cs="Segoe UI"/>
          <w:sz w:val="24"/>
          <w:szCs w:val="24"/>
          <w:lang w:eastAsia="es-CO"/>
        </w:rPr>
      </w:pPr>
      <w:r w:rsidRPr="00A06B43">
        <w:rPr>
          <w:rFonts w:ascii="Verdana" w:eastAsia="Times New Roman" w:hAnsi="Verdana" w:cs="Segoe UI"/>
          <w:sz w:val="24"/>
          <w:szCs w:val="24"/>
          <w:lang w:eastAsia="es-CO"/>
        </w:rPr>
        <w:t> </w:t>
      </w:r>
    </w:p>
    <w:p w:rsidR="007827D1" w:rsidRPr="00A06B43" w:rsidRDefault="0057363E" w:rsidP="007827D1">
      <w:pPr>
        <w:spacing w:after="0" w:line="360" w:lineRule="auto"/>
        <w:textAlignment w:val="baseline"/>
        <w:rPr>
          <w:rFonts w:ascii="Verdana" w:eastAsia="Times New Roman" w:hAnsi="Verdana" w:cs="Segoe UI"/>
          <w:sz w:val="24"/>
          <w:szCs w:val="24"/>
          <w:lang w:eastAsia="es-CO"/>
        </w:rPr>
      </w:pPr>
      <w:r>
        <w:rPr>
          <w:rFonts w:ascii="Verdana" w:eastAsia="Times New Roman" w:hAnsi="Verdana" w:cs="Segoe UI"/>
          <w:sz w:val="24"/>
          <w:szCs w:val="24"/>
          <w:lang w:val="es-ES" w:eastAsia="es-CO"/>
        </w:rPr>
        <w:t xml:space="preserve">Tunja, </w:t>
      </w:r>
      <w:r w:rsidR="00DF48BC">
        <w:rPr>
          <w:rFonts w:ascii="Verdana" w:eastAsia="Times New Roman" w:hAnsi="Verdana" w:cs="Segoe UI"/>
          <w:sz w:val="24"/>
          <w:szCs w:val="24"/>
          <w:lang w:val="es-ES" w:eastAsia="es-CO"/>
        </w:rPr>
        <w:t>veintinueve (29)</w:t>
      </w:r>
      <w:r>
        <w:rPr>
          <w:rFonts w:ascii="Verdana" w:eastAsia="Times New Roman" w:hAnsi="Verdana" w:cs="Segoe UI"/>
          <w:sz w:val="24"/>
          <w:szCs w:val="24"/>
          <w:lang w:val="es-ES" w:eastAsia="es-CO"/>
        </w:rPr>
        <w:t xml:space="preserve"> de enero de dos mil veintiuno (2021)</w:t>
      </w:r>
    </w:p>
    <w:p w:rsidR="007827D1" w:rsidRPr="00A06B43" w:rsidRDefault="007827D1" w:rsidP="007827D1">
      <w:pPr>
        <w:spacing w:after="0" w:line="360" w:lineRule="auto"/>
        <w:textAlignment w:val="baseline"/>
        <w:rPr>
          <w:rFonts w:ascii="Verdana" w:eastAsia="Times New Roman" w:hAnsi="Verdana" w:cs="Segoe UI"/>
          <w:sz w:val="24"/>
          <w:szCs w:val="24"/>
          <w:lang w:eastAsia="es-CO"/>
        </w:rPr>
      </w:pPr>
      <w:r w:rsidRPr="00A06B43">
        <w:rPr>
          <w:rFonts w:ascii="Verdana" w:eastAsia="Times New Roman" w:hAnsi="Verdana" w:cs="Segoe UI"/>
          <w:sz w:val="24"/>
          <w:szCs w:val="24"/>
          <w:lang w:eastAsia="es-CO"/>
        </w:rPr>
        <w:t> </w:t>
      </w:r>
    </w:p>
    <w:p w:rsidR="007827D1" w:rsidRDefault="007827D1" w:rsidP="007827D1">
      <w:pPr>
        <w:spacing w:after="0" w:line="360" w:lineRule="auto"/>
        <w:jc w:val="both"/>
        <w:textAlignment w:val="baseline"/>
        <w:rPr>
          <w:rFonts w:ascii="Verdana" w:hAnsi="Verdana"/>
          <w:b/>
          <w:bCs/>
          <w:sz w:val="24"/>
          <w:szCs w:val="24"/>
        </w:rPr>
      </w:pPr>
      <w:r w:rsidRPr="76B1705E">
        <w:rPr>
          <w:rFonts w:ascii="Verdana" w:eastAsia="Times New Roman" w:hAnsi="Verdana" w:cs="Segoe UI"/>
          <w:b/>
          <w:bCs/>
          <w:sz w:val="24"/>
          <w:szCs w:val="24"/>
          <w:lang w:val="es-ES" w:eastAsia="es-CO"/>
        </w:rPr>
        <w:t xml:space="preserve">MEDIO DE CONTROL: CONTROL INMEDIATO DE LEGALIDAD – </w:t>
      </w:r>
      <w:r w:rsidRPr="76B1705E">
        <w:rPr>
          <w:rFonts w:ascii="Verdana" w:hAnsi="Verdana"/>
          <w:b/>
          <w:bCs/>
          <w:sz w:val="24"/>
          <w:szCs w:val="24"/>
        </w:rPr>
        <w:t xml:space="preserve">Decreto No. </w:t>
      </w:r>
      <w:r>
        <w:rPr>
          <w:rFonts w:ascii="Verdana" w:hAnsi="Verdana"/>
          <w:b/>
          <w:bCs/>
          <w:sz w:val="24"/>
          <w:szCs w:val="24"/>
        </w:rPr>
        <w:t>193 de 23 de junio de 2020 expedido por el Alcalde Municipal de Tunja.</w:t>
      </w:r>
    </w:p>
    <w:p w:rsidR="007827D1" w:rsidRPr="00774099" w:rsidRDefault="007827D1" w:rsidP="007827D1">
      <w:pPr>
        <w:spacing w:after="0" w:line="360" w:lineRule="auto"/>
        <w:jc w:val="both"/>
        <w:textAlignment w:val="baseline"/>
        <w:rPr>
          <w:rFonts w:ascii="Verdana" w:hAnsi="Verdana"/>
          <w:b/>
          <w:bCs/>
          <w:sz w:val="24"/>
          <w:szCs w:val="24"/>
        </w:rPr>
      </w:pPr>
      <w:r>
        <w:rPr>
          <w:rFonts w:ascii="Verdana" w:hAnsi="Verdana"/>
          <w:b/>
          <w:bCs/>
          <w:sz w:val="24"/>
          <w:szCs w:val="24"/>
        </w:rPr>
        <w:t>RADICADO: 150012333000 2020- 01843- 00</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782"/>
      </w:tblGrid>
      <w:tr w:rsidR="007827D1">
        <w:trPr>
          <w:trHeight w:val="125"/>
        </w:trPr>
        <w:tc>
          <w:tcPr>
            <w:tcW w:w="3782" w:type="dxa"/>
          </w:tcPr>
          <w:p w:rsidR="007827D1" w:rsidRDefault="007827D1" w:rsidP="007827D1">
            <w:pPr>
              <w:pStyle w:val="Default"/>
              <w:rPr>
                <w:sz w:val="28"/>
                <w:szCs w:val="28"/>
              </w:rPr>
            </w:pPr>
          </w:p>
        </w:tc>
      </w:tr>
    </w:tbl>
    <w:p w:rsidR="007827D1" w:rsidRPr="00A06B43" w:rsidRDefault="007827D1" w:rsidP="007827D1">
      <w:pPr>
        <w:spacing w:after="0" w:line="360" w:lineRule="auto"/>
        <w:jc w:val="center"/>
        <w:textAlignment w:val="baseline"/>
        <w:rPr>
          <w:rFonts w:ascii="Verdana" w:eastAsia="Times New Roman" w:hAnsi="Verdana" w:cs="Segoe UI"/>
          <w:sz w:val="24"/>
          <w:szCs w:val="24"/>
          <w:lang w:eastAsia="es-CO"/>
        </w:rPr>
      </w:pPr>
      <w:r w:rsidRPr="00A06B43">
        <w:rPr>
          <w:rFonts w:ascii="Verdana" w:eastAsia="Times New Roman" w:hAnsi="Verdana" w:cs="Segoe UI"/>
          <w:b/>
          <w:bCs/>
          <w:sz w:val="24"/>
          <w:szCs w:val="24"/>
          <w:lang w:val="es-ES" w:eastAsia="es-CO"/>
        </w:rPr>
        <w:t>I.  ASUNTO A RESOLVER</w:t>
      </w:r>
    </w:p>
    <w:p w:rsidR="007827D1" w:rsidRPr="00A06B43" w:rsidRDefault="007827D1" w:rsidP="007827D1">
      <w:pPr>
        <w:spacing w:after="0" w:line="360" w:lineRule="auto"/>
        <w:jc w:val="center"/>
        <w:textAlignment w:val="baseline"/>
        <w:rPr>
          <w:rFonts w:ascii="Verdana" w:eastAsia="Times New Roman" w:hAnsi="Verdana" w:cs="Segoe UI"/>
          <w:sz w:val="24"/>
          <w:szCs w:val="24"/>
          <w:lang w:eastAsia="es-CO"/>
        </w:rPr>
      </w:pPr>
      <w:r w:rsidRPr="00A06B43">
        <w:rPr>
          <w:rFonts w:ascii="Verdana" w:eastAsia="Times New Roman" w:hAnsi="Verdana" w:cs="Segoe UI"/>
          <w:sz w:val="24"/>
          <w:szCs w:val="24"/>
          <w:lang w:eastAsia="es-CO"/>
        </w:rPr>
        <w:t> </w:t>
      </w:r>
    </w:p>
    <w:p w:rsidR="007827D1" w:rsidRDefault="007827D1" w:rsidP="007827D1">
      <w:pPr>
        <w:spacing w:after="0" w:line="360" w:lineRule="auto"/>
        <w:jc w:val="both"/>
        <w:textAlignment w:val="baseline"/>
        <w:rPr>
          <w:rFonts w:ascii="Verdana" w:eastAsia="Times New Roman" w:hAnsi="Verdana" w:cs="Arial"/>
          <w:sz w:val="24"/>
          <w:szCs w:val="24"/>
          <w:lang w:eastAsia="es-CO"/>
        </w:rPr>
      </w:pPr>
      <w:r w:rsidRPr="206AFDE1">
        <w:rPr>
          <w:rFonts w:ascii="Verdana" w:eastAsia="Times New Roman" w:hAnsi="Verdana" w:cs="Arial"/>
          <w:sz w:val="24"/>
          <w:szCs w:val="24"/>
          <w:lang w:eastAsia="es-CO"/>
        </w:rPr>
        <w:t>Proveniente de la secretaria de este Tribunal</w:t>
      </w:r>
      <w:r w:rsidR="00CA0B1B">
        <w:rPr>
          <w:rStyle w:val="Refdenotaalpie"/>
          <w:rFonts w:ascii="Verdana" w:eastAsia="Times New Roman" w:hAnsi="Verdana" w:cs="Arial"/>
          <w:sz w:val="24"/>
          <w:szCs w:val="24"/>
          <w:lang w:eastAsia="es-CO"/>
        </w:rPr>
        <w:footnoteReference w:id="1"/>
      </w:r>
      <w:r w:rsidRPr="206AFDE1">
        <w:rPr>
          <w:rFonts w:ascii="Verdana" w:eastAsia="Times New Roman" w:hAnsi="Verdana" w:cs="Arial"/>
          <w:sz w:val="24"/>
          <w:szCs w:val="24"/>
          <w:lang w:eastAsia="es-CO"/>
        </w:rPr>
        <w:t xml:space="preserve"> se ha recibido el </w:t>
      </w:r>
      <w:r w:rsidRPr="000D5ECC">
        <w:rPr>
          <w:rFonts w:ascii="Verdana" w:hAnsi="Verdana"/>
          <w:sz w:val="24"/>
          <w:szCs w:val="24"/>
        </w:rPr>
        <w:t xml:space="preserve">Decreto </w:t>
      </w:r>
      <w:r w:rsidR="00476C19" w:rsidRPr="000D5ECC">
        <w:rPr>
          <w:rFonts w:ascii="Verdana" w:hAnsi="Verdana"/>
          <w:sz w:val="24"/>
          <w:szCs w:val="24"/>
        </w:rPr>
        <w:t xml:space="preserve">193 de 23 de junio de 2020 </w:t>
      </w:r>
      <w:r w:rsidRPr="000D5ECC">
        <w:rPr>
          <w:rFonts w:ascii="Verdana" w:hAnsi="Verdana"/>
          <w:sz w:val="24"/>
          <w:szCs w:val="24"/>
        </w:rPr>
        <w:t xml:space="preserve">expedido por el Alcalde Municipal de </w:t>
      </w:r>
      <w:r w:rsidR="00476C19" w:rsidRPr="000D5ECC">
        <w:rPr>
          <w:rFonts w:ascii="Verdana" w:hAnsi="Verdana"/>
          <w:sz w:val="24"/>
          <w:szCs w:val="24"/>
        </w:rPr>
        <w:t xml:space="preserve">Tunja </w:t>
      </w:r>
      <w:r w:rsidR="00476C19" w:rsidRPr="000D5ECC">
        <w:rPr>
          <w:rFonts w:ascii="Verdana" w:hAnsi="Verdana" w:cs="Arial"/>
          <w:sz w:val="24"/>
          <w:szCs w:val="24"/>
          <w:lang w:val="es-ES"/>
        </w:rPr>
        <w:t>“</w:t>
      </w:r>
      <w:r w:rsidR="00476C19" w:rsidRPr="000D5ECC">
        <w:rPr>
          <w:rFonts w:ascii="Verdana" w:hAnsi="Verdana" w:cs="Times New Roman"/>
          <w:i/>
          <w:iCs/>
          <w:sz w:val="24"/>
          <w:szCs w:val="24"/>
          <w:lang w:val="es-ES"/>
        </w:rPr>
        <w:t>Por medio del cual se prorrogan las medidas de cierre de términos adoptadas en el Decreto 177 de 5 de junio de 2020 y se toman otras determinaciones”</w:t>
      </w:r>
      <w:r w:rsidRPr="206AFDE1">
        <w:rPr>
          <w:rFonts w:ascii="Verdana" w:eastAsia="Times New Roman" w:hAnsi="Verdana" w:cs="Arial"/>
          <w:i/>
          <w:iCs/>
          <w:sz w:val="24"/>
          <w:szCs w:val="24"/>
          <w:lang w:eastAsia="es-CO"/>
        </w:rPr>
        <w:t xml:space="preserve">; </w:t>
      </w:r>
      <w:r w:rsidRPr="206AFDE1">
        <w:rPr>
          <w:rFonts w:ascii="Verdana" w:eastAsia="Times New Roman" w:hAnsi="Verdana" w:cs="Arial"/>
          <w:sz w:val="24"/>
          <w:szCs w:val="24"/>
          <w:lang w:eastAsia="es-CO"/>
        </w:rPr>
        <w:t>acto administrativo que, de acuerdo con su parte motiva, fue expedido en desarrollo del Decreto 637 de 06 de mayo de 2020, entre otras disposiciones de carácter nacional, y que fue remitido para efectos del control inmediato de legalidad previsto en el artículo 136 del CPACA.</w:t>
      </w:r>
    </w:p>
    <w:p w:rsidR="007827D1" w:rsidRDefault="007827D1" w:rsidP="007827D1">
      <w:pPr>
        <w:spacing w:after="0" w:line="360" w:lineRule="auto"/>
        <w:jc w:val="both"/>
        <w:rPr>
          <w:rFonts w:ascii="Verdana" w:eastAsia="Times New Roman" w:hAnsi="Verdana" w:cs="Arial"/>
          <w:sz w:val="24"/>
          <w:szCs w:val="24"/>
          <w:lang w:eastAsia="es-CO"/>
        </w:rPr>
      </w:pPr>
    </w:p>
    <w:p w:rsidR="007827D1" w:rsidRDefault="007827D1" w:rsidP="007827D1">
      <w:pPr>
        <w:spacing w:after="0" w:line="360" w:lineRule="auto"/>
        <w:jc w:val="both"/>
        <w:rPr>
          <w:rFonts w:ascii="Verdana" w:eastAsia="Times New Roman" w:hAnsi="Verdana" w:cs="Arial"/>
          <w:sz w:val="24"/>
          <w:szCs w:val="24"/>
          <w:lang w:eastAsia="es-CO"/>
        </w:rPr>
      </w:pPr>
      <w:r w:rsidRPr="002E09B3">
        <w:rPr>
          <w:rStyle w:val="normaltextrun"/>
          <w:rFonts w:ascii="Verdana" w:hAnsi="Verdana"/>
          <w:color w:val="000000"/>
          <w:sz w:val="24"/>
          <w:szCs w:val="24"/>
          <w:bdr w:val="none" w:sz="0" w:space="0" w:color="auto" w:frame="1"/>
        </w:rPr>
        <w:t>El Despacho dispondrá iniciar el trámite del control inmediato de legalidad, teniendo en cuenta que el decreto municipal indicado en el párrafo anterior fue expedido por el Alcalde de un municipio que hace parte de la jurisdicción del Departamento de Boyacá,</w:t>
      </w:r>
      <w:r w:rsidRPr="002E09B3">
        <w:rPr>
          <w:rFonts w:ascii="Verdana" w:eastAsia="Times New Roman" w:hAnsi="Verdana" w:cs="Arial"/>
          <w:sz w:val="24"/>
          <w:szCs w:val="24"/>
          <w:lang w:eastAsia="es-CO"/>
        </w:rPr>
        <w:t xml:space="preserve"> hecho que fija la competencia de</w:t>
      </w:r>
      <w:r w:rsidRPr="08A0BB92">
        <w:rPr>
          <w:rFonts w:ascii="Verdana" w:eastAsia="Times New Roman" w:hAnsi="Verdana" w:cs="Arial"/>
          <w:sz w:val="24"/>
          <w:szCs w:val="24"/>
          <w:lang w:eastAsia="es-CO"/>
        </w:rPr>
        <w:t xml:space="preserve"> su control en este tribunal de conformidad con las prescripciones del artículo 151-14 del CPACA; es de carácter general, ya que está dirigido </w:t>
      </w:r>
      <w:r w:rsidR="000D5ECC">
        <w:rPr>
          <w:rFonts w:ascii="Verdana" w:eastAsia="Times New Roman" w:hAnsi="Verdana" w:cs="Arial"/>
          <w:sz w:val="24"/>
          <w:szCs w:val="24"/>
          <w:lang w:eastAsia="es-CO"/>
        </w:rPr>
        <w:t xml:space="preserve">a todos las personas que tienen en curso procesos </w:t>
      </w:r>
      <w:r w:rsidR="001A21B2">
        <w:rPr>
          <w:rFonts w:ascii="Verdana" w:eastAsia="Times New Roman" w:hAnsi="Verdana" w:cs="Arial"/>
          <w:sz w:val="24"/>
          <w:szCs w:val="24"/>
          <w:lang w:eastAsia="es-CO"/>
        </w:rPr>
        <w:t xml:space="preserve">administrativos y disciplinarios </w:t>
      </w:r>
      <w:r w:rsidR="000D5ECC">
        <w:rPr>
          <w:rFonts w:ascii="Verdana" w:eastAsia="Times New Roman" w:hAnsi="Verdana" w:cs="Arial"/>
          <w:sz w:val="24"/>
          <w:szCs w:val="24"/>
          <w:lang w:eastAsia="es-CO"/>
        </w:rPr>
        <w:t>en la administración municipal de Tunja</w:t>
      </w:r>
      <w:r w:rsidRPr="08A0BB92">
        <w:rPr>
          <w:rFonts w:ascii="Verdana" w:eastAsia="Times New Roman" w:hAnsi="Verdana" w:cs="Arial"/>
          <w:sz w:val="24"/>
          <w:szCs w:val="24"/>
          <w:lang w:eastAsia="es-CO"/>
        </w:rPr>
        <w:t xml:space="preserve">, con lo cual se cumple el requisito establecido por el artículo 136 del CPACA </w:t>
      </w:r>
      <w:r w:rsidRPr="08A0BB92">
        <w:rPr>
          <w:rFonts w:ascii="Verdana" w:eastAsia="Times New Roman" w:hAnsi="Verdana" w:cs="Arial"/>
          <w:sz w:val="24"/>
          <w:szCs w:val="24"/>
          <w:lang w:eastAsia="es-CO"/>
        </w:rPr>
        <w:lastRenderedPageBreak/>
        <w:t xml:space="preserve">para que sea procedente el control de legalidad previsto en dicha norma; se profirió en desarrollo de la declaratoria del Estado de Emergencia adoptada por el Gobierno Nacional mediante el Decreto </w:t>
      </w:r>
      <w:r>
        <w:rPr>
          <w:rFonts w:ascii="Verdana" w:eastAsia="Times New Roman" w:hAnsi="Verdana" w:cs="Arial"/>
          <w:sz w:val="24"/>
          <w:szCs w:val="24"/>
          <w:lang w:eastAsia="es-CO"/>
        </w:rPr>
        <w:t xml:space="preserve">637 </w:t>
      </w:r>
      <w:r w:rsidRPr="08A0BB92">
        <w:rPr>
          <w:rFonts w:ascii="Verdana" w:eastAsia="Times New Roman" w:hAnsi="Verdana" w:cs="Arial"/>
          <w:sz w:val="24"/>
          <w:szCs w:val="24"/>
          <w:lang w:eastAsia="es-CO"/>
        </w:rPr>
        <w:t xml:space="preserve">de </w:t>
      </w:r>
      <w:r>
        <w:rPr>
          <w:rFonts w:ascii="Verdana" w:eastAsia="Times New Roman" w:hAnsi="Verdana" w:cs="Arial"/>
          <w:sz w:val="24"/>
          <w:szCs w:val="24"/>
          <w:lang w:eastAsia="es-CO"/>
        </w:rPr>
        <w:t xml:space="preserve">06 de mayo </w:t>
      </w:r>
      <w:r w:rsidRPr="08A0BB92">
        <w:rPr>
          <w:rFonts w:ascii="Verdana" w:eastAsia="Times New Roman" w:hAnsi="Verdana" w:cs="Arial"/>
          <w:sz w:val="24"/>
          <w:szCs w:val="24"/>
          <w:lang w:eastAsia="es-CO"/>
        </w:rPr>
        <w:t xml:space="preserve">de 2020, según lo señalado en el mismo acto administrativo objeto de control de legalidad. Además, el Decreto objeto de este control fue proferido por la autoridad local competente el día </w:t>
      </w:r>
      <w:r w:rsidR="000D5ECC">
        <w:rPr>
          <w:rFonts w:ascii="Verdana" w:eastAsia="Times New Roman" w:hAnsi="Verdana" w:cs="Arial"/>
          <w:sz w:val="24"/>
          <w:szCs w:val="24"/>
          <w:lang w:eastAsia="es-CO"/>
        </w:rPr>
        <w:t xml:space="preserve">23 </w:t>
      </w:r>
      <w:r w:rsidRPr="08A0BB92">
        <w:rPr>
          <w:rFonts w:ascii="Verdana" w:eastAsia="Times New Roman" w:hAnsi="Verdana" w:cs="Arial"/>
          <w:sz w:val="24"/>
          <w:szCs w:val="24"/>
          <w:lang w:eastAsia="es-CO"/>
        </w:rPr>
        <w:t>de junio, esto es, en fecha posterior a la declaratoria del Estado de Emergencia por el Gobierno Nacional.</w:t>
      </w:r>
    </w:p>
    <w:p w:rsidR="007827D1" w:rsidRPr="00A06B43" w:rsidRDefault="007827D1" w:rsidP="007827D1">
      <w:pPr>
        <w:spacing w:after="0" w:line="360" w:lineRule="auto"/>
        <w:jc w:val="both"/>
        <w:rPr>
          <w:rFonts w:ascii="Verdana" w:eastAsia="Times New Roman" w:hAnsi="Verdana" w:cs="Arial"/>
          <w:sz w:val="24"/>
          <w:szCs w:val="24"/>
          <w:lang w:eastAsia="es-CO"/>
        </w:rPr>
      </w:pPr>
    </w:p>
    <w:p w:rsidR="007827D1" w:rsidRPr="00A06B43" w:rsidRDefault="007827D1" w:rsidP="007827D1">
      <w:pPr>
        <w:spacing w:after="0" w:line="360" w:lineRule="auto"/>
        <w:jc w:val="both"/>
        <w:textAlignment w:val="baseline"/>
        <w:rPr>
          <w:rFonts w:ascii="Verdana" w:eastAsia="Times New Roman" w:hAnsi="Verdana" w:cs="Segoe UI"/>
          <w:sz w:val="24"/>
          <w:szCs w:val="24"/>
          <w:lang w:val="es-ES" w:eastAsia="es-CO"/>
        </w:rPr>
      </w:pPr>
      <w:r w:rsidRPr="00A06B43">
        <w:rPr>
          <w:rFonts w:ascii="Verdana" w:eastAsia="Times New Roman" w:hAnsi="Verdana" w:cs="Segoe UI"/>
          <w:sz w:val="24"/>
          <w:szCs w:val="24"/>
          <w:lang w:val="es-ES" w:eastAsia="es-CO"/>
        </w:rPr>
        <w:t>En consecuencia, el Despacho:</w:t>
      </w:r>
    </w:p>
    <w:p w:rsidR="007827D1" w:rsidRPr="00A06B43" w:rsidRDefault="007827D1" w:rsidP="007827D1">
      <w:pPr>
        <w:spacing w:after="0" w:line="360" w:lineRule="auto"/>
        <w:jc w:val="both"/>
        <w:textAlignment w:val="baseline"/>
        <w:rPr>
          <w:rFonts w:ascii="Verdana" w:eastAsia="Times New Roman" w:hAnsi="Verdana" w:cs="Segoe UI"/>
          <w:sz w:val="24"/>
          <w:szCs w:val="24"/>
          <w:lang w:val="es-ES" w:eastAsia="es-CO"/>
        </w:rPr>
      </w:pPr>
    </w:p>
    <w:p w:rsidR="007827D1" w:rsidRPr="00A06B43" w:rsidRDefault="007827D1" w:rsidP="007827D1">
      <w:pPr>
        <w:spacing w:after="0" w:line="360" w:lineRule="auto"/>
        <w:jc w:val="center"/>
        <w:textAlignment w:val="baseline"/>
        <w:rPr>
          <w:rFonts w:ascii="Verdana" w:eastAsia="Times New Roman" w:hAnsi="Verdana" w:cs="Segoe UI"/>
          <w:b/>
          <w:sz w:val="24"/>
          <w:szCs w:val="24"/>
          <w:lang w:val="es-ES" w:eastAsia="es-CO"/>
        </w:rPr>
      </w:pPr>
      <w:r w:rsidRPr="00A06B43">
        <w:rPr>
          <w:rFonts w:ascii="Verdana" w:eastAsia="Times New Roman" w:hAnsi="Verdana" w:cs="Segoe UI"/>
          <w:b/>
          <w:sz w:val="24"/>
          <w:szCs w:val="24"/>
          <w:lang w:val="es-ES" w:eastAsia="es-CO"/>
        </w:rPr>
        <w:t>RESUELVE</w:t>
      </w:r>
    </w:p>
    <w:p w:rsidR="007827D1" w:rsidRPr="00A06B43" w:rsidRDefault="007827D1" w:rsidP="007827D1">
      <w:pPr>
        <w:spacing w:after="0" w:line="360" w:lineRule="auto"/>
        <w:jc w:val="both"/>
        <w:textAlignment w:val="baseline"/>
        <w:rPr>
          <w:rFonts w:ascii="Verdana" w:eastAsia="Times New Roman" w:hAnsi="Verdana" w:cs="Segoe UI"/>
          <w:sz w:val="24"/>
          <w:szCs w:val="24"/>
          <w:lang w:val="es-ES" w:eastAsia="es-CO"/>
        </w:rPr>
      </w:pPr>
    </w:p>
    <w:p w:rsidR="007827D1" w:rsidRPr="00A06B43" w:rsidRDefault="007827D1" w:rsidP="007827D1">
      <w:pPr>
        <w:spacing w:after="0" w:line="360" w:lineRule="auto"/>
        <w:jc w:val="both"/>
        <w:textAlignment w:val="baseline"/>
        <w:rPr>
          <w:rFonts w:ascii="Verdana" w:eastAsia="Times New Roman" w:hAnsi="Verdana" w:cs="Segoe UI"/>
          <w:sz w:val="24"/>
          <w:szCs w:val="24"/>
          <w:lang w:val="es-ES" w:eastAsia="es-CO"/>
        </w:rPr>
      </w:pPr>
      <w:r w:rsidRPr="08A0BB92">
        <w:rPr>
          <w:rFonts w:ascii="Verdana" w:eastAsia="Times New Roman" w:hAnsi="Verdana" w:cs="Segoe UI"/>
          <w:b/>
          <w:bCs/>
          <w:sz w:val="24"/>
          <w:szCs w:val="24"/>
          <w:lang w:val="es-ES" w:eastAsia="es-CO"/>
        </w:rPr>
        <w:t>Primero</w:t>
      </w:r>
      <w:r w:rsidRPr="08A0BB92">
        <w:rPr>
          <w:rFonts w:ascii="Verdana" w:eastAsia="Times New Roman" w:hAnsi="Verdana" w:cs="Segoe UI"/>
          <w:sz w:val="24"/>
          <w:szCs w:val="24"/>
          <w:lang w:val="es-ES" w:eastAsia="es-CO"/>
        </w:rPr>
        <w:t xml:space="preserve">. </w:t>
      </w:r>
      <w:r w:rsidRPr="08A0BB92">
        <w:rPr>
          <w:rFonts w:ascii="Verdana" w:eastAsia="Times New Roman" w:hAnsi="Verdana" w:cs="Segoe UI"/>
          <w:b/>
          <w:bCs/>
          <w:sz w:val="24"/>
          <w:szCs w:val="24"/>
          <w:lang w:val="es-ES" w:eastAsia="es-CO"/>
        </w:rPr>
        <w:t>Avocar,</w:t>
      </w:r>
      <w:r w:rsidRPr="08A0BB92">
        <w:rPr>
          <w:rFonts w:ascii="Verdana" w:eastAsia="Times New Roman" w:hAnsi="Verdana" w:cs="Segoe UI"/>
          <w:sz w:val="24"/>
          <w:szCs w:val="24"/>
          <w:lang w:val="es-ES" w:eastAsia="es-CO"/>
        </w:rPr>
        <w:t xml:space="preserve"> en única instancia, el control inmediato de legalidad del</w:t>
      </w:r>
      <w:r w:rsidR="000D5ECC">
        <w:rPr>
          <w:rFonts w:ascii="Verdana" w:eastAsia="Times New Roman" w:hAnsi="Verdana" w:cs="Segoe UI"/>
          <w:sz w:val="24"/>
          <w:szCs w:val="24"/>
          <w:lang w:val="es-ES" w:eastAsia="es-CO"/>
        </w:rPr>
        <w:t xml:space="preserve"> </w:t>
      </w:r>
      <w:r w:rsidR="000D5ECC" w:rsidRPr="000D5ECC">
        <w:rPr>
          <w:rFonts w:ascii="Verdana" w:hAnsi="Verdana"/>
          <w:sz w:val="24"/>
          <w:szCs w:val="24"/>
        </w:rPr>
        <w:t>Decreto 193 de 23 de junio de 2020 expedido por el Alcalde Municipal de Tunja</w:t>
      </w:r>
      <w:r w:rsidRPr="08A0BB92">
        <w:rPr>
          <w:rFonts w:ascii="Verdana" w:eastAsia="Times New Roman" w:hAnsi="Verdana" w:cs="Segoe UI"/>
          <w:sz w:val="24"/>
          <w:szCs w:val="24"/>
          <w:lang w:val="es-ES" w:eastAsia="es-CO"/>
        </w:rPr>
        <w:t>, de conformidad con lo dispuesto en el numeral 14 del artículo 151 del C.P.A.C.A.</w:t>
      </w:r>
    </w:p>
    <w:p w:rsidR="007827D1" w:rsidRPr="00A06B43" w:rsidRDefault="007827D1" w:rsidP="007827D1">
      <w:pPr>
        <w:spacing w:after="0" w:line="360" w:lineRule="auto"/>
        <w:jc w:val="both"/>
        <w:textAlignment w:val="baseline"/>
        <w:rPr>
          <w:rFonts w:ascii="Verdana" w:eastAsia="Times New Roman" w:hAnsi="Verdana" w:cs="Segoe UI"/>
          <w:sz w:val="24"/>
          <w:szCs w:val="24"/>
          <w:lang w:val="es-ES" w:eastAsia="es-CO"/>
        </w:rPr>
      </w:pPr>
    </w:p>
    <w:p w:rsidR="007827D1" w:rsidRPr="00A06B43" w:rsidRDefault="007827D1" w:rsidP="007827D1">
      <w:pPr>
        <w:spacing w:after="0" w:line="360" w:lineRule="auto"/>
        <w:jc w:val="both"/>
        <w:textAlignment w:val="baseline"/>
        <w:rPr>
          <w:rFonts w:ascii="Verdana" w:eastAsia="Times New Roman" w:hAnsi="Verdana" w:cs="Segoe UI"/>
          <w:sz w:val="24"/>
          <w:szCs w:val="24"/>
          <w:lang w:val="es-ES" w:eastAsia="es-CO"/>
        </w:rPr>
      </w:pPr>
      <w:r w:rsidRPr="00A06B43">
        <w:rPr>
          <w:rFonts w:ascii="Verdana" w:eastAsia="Times New Roman" w:hAnsi="Verdana" w:cs="Segoe UI"/>
          <w:b/>
          <w:sz w:val="24"/>
          <w:szCs w:val="24"/>
          <w:lang w:val="es-ES" w:eastAsia="es-CO"/>
        </w:rPr>
        <w:t xml:space="preserve">Segundo. Tramitar </w:t>
      </w:r>
      <w:r w:rsidRPr="00A06B43">
        <w:rPr>
          <w:rFonts w:ascii="Verdana" w:eastAsia="Times New Roman" w:hAnsi="Verdana" w:cs="Segoe UI"/>
          <w:sz w:val="24"/>
          <w:szCs w:val="24"/>
          <w:lang w:val="es-ES" w:eastAsia="es-CO"/>
        </w:rPr>
        <w:t>el presente asunto</w:t>
      </w:r>
      <w:r>
        <w:rPr>
          <w:rFonts w:ascii="Verdana" w:eastAsia="Times New Roman" w:hAnsi="Verdana" w:cs="Segoe UI"/>
          <w:sz w:val="24"/>
          <w:szCs w:val="24"/>
          <w:lang w:val="es-ES" w:eastAsia="es-CO"/>
        </w:rPr>
        <w:t xml:space="preserve"> </w:t>
      </w:r>
      <w:r w:rsidRPr="00A06B43">
        <w:rPr>
          <w:rFonts w:ascii="Verdana" w:eastAsia="Times New Roman" w:hAnsi="Verdana" w:cs="Segoe UI"/>
          <w:sz w:val="24"/>
          <w:szCs w:val="24"/>
          <w:lang w:val="es-ES" w:eastAsia="es-CO"/>
        </w:rPr>
        <w:t>conforme a lo previsto en el artículo 185 del C.P.A.C.A.</w:t>
      </w:r>
    </w:p>
    <w:p w:rsidR="007827D1" w:rsidRPr="00A06B43" w:rsidRDefault="007827D1" w:rsidP="007827D1">
      <w:pPr>
        <w:spacing w:after="0" w:line="360" w:lineRule="auto"/>
        <w:jc w:val="both"/>
        <w:textAlignment w:val="baseline"/>
        <w:rPr>
          <w:rFonts w:ascii="Verdana" w:eastAsia="Times New Roman" w:hAnsi="Verdana" w:cs="Segoe UI"/>
          <w:sz w:val="24"/>
          <w:szCs w:val="24"/>
          <w:lang w:val="es-ES" w:eastAsia="es-CO"/>
        </w:rPr>
      </w:pPr>
    </w:p>
    <w:p w:rsidR="007827D1" w:rsidRDefault="007827D1" w:rsidP="007827D1">
      <w:pPr>
        <w:spacing w:after="0" w:line="360" w:lineRule="auto"/>
        <w:jc w:val="both"/>
        <w:rPr>
          <w:rFonts w:ascii="Verdana" w:eastAsia="Calibri" w:hAnsi="Verdana" w:cs="Arial"/>
          <w:sz w:val="24"/>
          <w:szCs w:val="24"/>
          <w:lang w:val="es-ES_tradnl"/>
        </w:rPr>
      </w:pPr>
      <w:r w:rsidRPr="00A06B43">
        <w:rPr>
          <w:rFonts w:ascii="Verdana" w:eastAsia="Calibri" w:hAnsi="Verdana" w:cs="Segoe UI"/>
          <w:b/>
          <w:sz w:val="24"/>
          <w:szCs w:val="24"/>
          <w:lang w:val="es-ES"/>
        </w:rPr>
        <w:t>Tercero</w:t>
      </w:r>
      <w:r>
        <w:rPr>
          <w:rFonts w:ascii="Verdana" w:eastAsia="Calibri" w:hAnsi="Verdana" w:cs="Segoe UI"/>
          <w:b/>
          <w:sz w:val="24"/>
          <w:szCs w:val="24"/>
          <w:lang w:val="es-ES"/>
        </w:rPr>
        <w:t>.</w:t>
      </w:r>
      <w:r w:rsidRPr="00A06B43">
        <w:rPr>
          <w:rFonts w:ascii="Verdana" w:eastAsia="Calibri" w:hAnsi="Verdana" w:cs="Segoe UI"/>
          <w:b/>
          <w:sz w:val="24"/>
          <w:szCs w:val="24"/>
          <w:lang w:val="es-ES"/>
        </w:rPr>
        <w:t xml:space="preserve"> </w:t>
      </w:r>
      <w:r w:rsidRPr="00A06B43">
        <w:rPr>
          <w:rFonts w:ascii="Verdana" w:eastAsia="Calibri" w:hAnsi="Verdana" w:cs="Segoe UI"/>
          <w:sz w:val="24"/>
          <w:szCs w:val="24"/>
          <w:lang w:val="es-ES"/>
        </w:rPr>
        <w:t>Conforme a las previsiones del artículo 185-2 del C.P.A.C.A.,</w:t>
      </w:r>
      <w:r>
        <w:rPr>
          <w:rFonts w:ascii="Verdana" w:eastAsia="Calibri" w:hAnsi="Verdana" w:cs="Segoe UI"/>
          <w:sz w:val="24"/>
          <w:szCs w:val="24"/>
          <w:lang w:val="es-ES"/>
        </w:rPr>
        <w:t xml:space="preserve"> </w:t>
      </w:r>
      <w:r w:rsidRPr="00A06B43">
        <w:rPr>
          <w:rFonts w:ascii="Verdana" w:eastAsia="Calibri" w:hAnsi="Verdana" w:cs="Segoe UI"/>
          <w:sz w:val="24"/>
          <w:szCs w:val="24"/>
          <w:lang w:val="es-ES"/>
        </w:rPr>
        <w:t xml:space="preserve">ordenar a la Secretaría del Tribunal </w:t>
      </w:r>
      <w:r w:rsidRPr="00A06B43">
        <w:rPr>
          <w:rFonts w:ascii="Verdana" w:eastAsia="Calibri" w:hAnsi="Verdana" w:cs="Segoe UI"/>
          <w:b/>
          <w:sz w:val="24"/>
          <w:szCs w:val="24"/>
          <w:lang w:val="es-ES"/>
        </w:rPr>
        <w:t>fijar</w:t>
      </w:r>
      <w:r w:rsidRPr="00A06B43">
        <w:rPr>
          <w:rFonts w:ascii="Verdana" w:eastAsia="Calibri" w:hAnsi="Verdana" w:cs="Segoe UI"/>
          <w:sz w:val="24"/>
          <w:szCs w:val="24"/>
          <w:lang w:val="es-ES"/>
        </w:rPr>
        <w:t xml:space="preserve"> por el término de 10 días, un </w:t>
      </w:r>
      <w:r w:rsidRPr="00C04117">
        <w:rPr>
          <w:rFonts w:ascii="Verdana" w:eastAsia="Calibri" w:hAnsi="Verdana" w:cs="Segoe UI"/>
          <w:sz w:val="24"/>
          <w:szCs w:val="24"/>
          <w:lang w:val="es-ES"/>
        </w:rPr>
        <w:t xml:space="preserve">aviso en la página web de la jurisdicción de lo Contencioso Administrativo, </w:t>
      </w:r>
      <w:r w:rsidRPr="00A06B43">
        <w:rPr>
          <w:rFonts w:ascii="Verdana" w:eastAsia="Calibri" w:hAnsi="Verdana" w:cs="Arial"/>
          <w:sz w:val="24"/>
          <w:szCs w:val="24"/>
          <w:lang w:val="es-ES_tradnl"/>
        </w:rPr>
        <w:t>anunciando la existencia del proceso de la referencia</w:t>
      </w:r>
      <w:r w:rsidRPr="00A06B43">
        <w:rPr>
          <w:rFonts w:ascii="Verdana" w:eastAsia="Calibri" w:hAnsi="Verdana" w:cs="Segoe UI"/>
          <w:sz w:val="24"/>
          <w:szCs w:val="24"/>
          <w:lang w:val="es-ES"/>
        </w:rPr>
        <w:t>,</w:t>
      </w:r>
      <w:r w:rsidRPr="00A06B43">
        <w:rPr>
          <w:rFonts w:ascii="Verdana" w:eastAsia="Calibri" w:hAnsi="Verdana" w:cs="Arial"/>
          <w:sz w:val="24"/>
          <w:szCs w:val="24"/>
          <w:lang w:val="es-ES_tradnl"/>
        </w:rPr>
        <w:t xml:space="preserve"> término dentro del cual cualquier </w:t>
      </w:r>
      <w:r>
        <w:rPr>
          <w:rFonts w:ascii="Verdana" w:eastAsia="Calibri" w:hAnsi="Verdana" w:cs="Arial"/>
          <w:sz w:val="24"/>
          <w:szCs w:val="24"/>
          <w:lang w:val="es-ES_tradnl"/>
        </w:rPr>
        <w:t>ciudadano</w:t>
      </w:r>
      <w:r w:rsidRPr="00A06B43">
        <w:rPr>
          <w:rFonts w:ascii="Verdana" w:eastAsia="Calibri" w:hAnsi="Verdana" w:cs="Arial"/>
          <w:sz w:val="24"/>
          <w:szCs w:val="24"/>
          <w:lang w:val="es-ES_tradnl"/>
        </w:rPr>
        <w:t xml:space="preserve"> podrá intervenir para defender o impugnar la legalidad del acto administrativo. </w:t>
      </w:r>
      <w:r>
        <w:rPr>
          <w:rFonts w:ascii="Verdana" w:eastAsia="Calibri" w:hAnsi="Verdana" w:cs="Arial"/>
          <w:sz w:val="24"/>
          <w:szCs w:val="24"/>
          <w:lang w:val="es-ES_tradnl"/>
        </w:rPr>
        <w:t xml:space="preserve">Copia del aviso deberá remitirse a la Alcaldía Municipal de </w:t>
      </w:r>
      <w:r w:rsidR="000D5ECC">
        <w:rPr>
          <w:rFonts w:ascii="Verdana" w:eastAsia="Calibri" w:hAnsi="Verdana" w:cs="Arial"/>
          <w:sz w:val="24"/>
          <w:szCs w:val="24"/>
          <w:lang w:val="es-ES_tradnl"/>
        </w:rPr>
        <w:t>Tunja</w:t>
      </w:r>
      <w:r>
        <w:rPr>
          <w:rFonts w:ascii="Verdana" w:eastAsia="Calibri" w:hAnsi="Verdana" w:cs="Arial"/>
          <w:sz w:val="24"/>
          <w:szCs w:val="24"/>
          <w:lang w:val="es-ES_tradnl"/>
        </w:rPr>
        <w:t xml:space="preserve"> para que sea fijado en las instalaciones de la misma.</w:t>
      </w:r>
    </w:p>
    <w:p w:rsidR="007827D1" w:rsidRDefault="007827D1" w:rsidP="007827D1">
      <w:pPr>
        <w:spacing w:after="0" w:line="360" w:lineRule="auto"/>
        <w:jc w:val="both"/>
        <w:rPr>
          <w:rFonts w:ascii="Verdana" w:eastAsia="Calibri" w:hAnsi="Verdana" w:cs="Arial"/>
          <w:sz w:val="24"/>
          <w:szCs w:val="24"/>
          <w:lang w:val="es-ES_tradnl"/>
        </w:rPr>
      </w:pPr>
    </w:p>
    <w:p w:rsidR="007827D1" w:rsidRPr="002E09B3" w:rsidRDefault="007827D1" w:rsidP="007827D1">
      <w:pPr>
        <w:pStyle w:val="paragraph"/>
        <w:spacing w:before="0" w:beforeAutospacing="0" w:after="0" w:afterAutospacing="0" w:line="360" w:lineRule="auto"/>
        <w:jc w:val="both"/>
        <w:textAlignment w:val="baseline"/>
        <w:rPr>
          <w:rFonts w:ascii="Verdana" w:hAnsi="Verdana" w:cs="Segoe UI"/>
        </w:rPr>
      </w:pPr>
      <w:r w:rsidRPr="002E09B3">
        <w:rPr>
          <w:rFonts w:ascii="Verdana" w:eastAsia="Calibri" w:hAnsi="Verdana" w:cs="Arial"/>
          <w:b/>
          <w:lang w:val="es-ES_tradnl"/>
        </w:rPr>
        <w:t xml:space="preserve">Cuarto. </w:t>
      </w:r>
      <w:r w:rsidRPr="002E09B3">
        <w:rPr>
          <w:rFonts w:ascii="Verdana" w:eastAsia="Calibri" w:hAnsi="Verdana" w:cs="Arial"/>
          <w:lang w:val="es-ES_tradnl"/>
        </w:rPr>
        <w:t>S</w:t>
      </w:r>
      <w:r w:rsidRPr="002E09B3">
        <w:rPr>
          <w:rStyle w:val="normaltextrun"/>
          <w:rFonts w:ascii="Verdana" w:hAnsi="Verdana" w:cs="Segoe UI"/>
          <w:lang w:val="es-ES"/>
        </w:rPr>
        <w:t>e invita al Personero Municipal de </w:t>
      </w:r>
      <w:r w:rsidR="000D5ECC">
        <w:rPr>
          <w:rFonts w:ascii="Verdana" w:eastAsia="Calibri" w:hAnsi="Verdana" w:cs="Arial"/>
          <w:lang w:val="es-ES_tradnl"/>
        </w:rPr>
        <w:t>Tunja</w:t>
      </w:r>
      <w:r w:rsidRPr="002E09B3">
        <w:rPr>
          <w:rStyle w:val="normaltextrun"/>
          <w:rFonts w:ascii="Verdana" w:hAnsi="Verdana" w:cs="Segoe UI"/>
          <w:lang w:val="es-ES"/>
        </w:rPr>
        <w:t> a presentar por escrito, dentro del término de diez (10) días contados a partir de la fecha de expedición de esta providencia, su concepto acerca de los puntos relevantes para la elaboración del proyecto de fallo.</w:t>
      </w:r>
      <w:r w:rsidRPr="002E09B3">
        <w:rPr>
          <w:rStyle w:val="eop"/>
          <w:rFonts w:ascii="Verdana" w:hAnsi="Verdana" w:cs="Segoe UI"/>
        </w:rPr>
        <w:t> </w:t>
      </w:r>
    </w:p>
    <w:p w:rsidR="007827D1" w:rsidRPr="002E09B3" w:rsidRDefault="007827D1" w:rsidP="007827D1">
      <w:pPr>
        <w:pStyle w:val="paragraph"/>
        <w:spacing w:before="0" w:beforeAutospacing="0" w:after="0" w:afterAutospacing="0" w:line="360" w:lineRule="auto"/>
        <w:jc w:val="both"/>
        <w:textAlignment w:val="baseline"/>
        <w:rPr>
          <w:rFonts w:ascii="Verdana" w:hAnsi="Verdana" w:cs="Segoe UI"/>
        </w:rPr>
      </w:pPr>
      <w:r w:rsidRPr="002E09B3">
        <w:rPr>
          <w:rStyle w:val="eop"/>
          <w:rFonts w:ascii="Verdana" w:hAnsi="Verdana" w:cs="Segoe UI"/>
        </w:rPr>
        <w:t> </w:t>
      </w:r>
    </w:p>
    <w:p w:rsidR="007827D1" w:rsidRPr="002E09B3" w:rsidRDefault="007827D1" w:rsidP="007827D1">
      <w:pPr>
        <w:pStyle w:val="paragraph"/>
        <w:spacing w:before="0" w:beforeAutospacing="0" w:after="0" w:afterAutospacing="0" w:line="360" w:lineRule="auto"/>
        <w:jc w:val="both"/>
        <w:textAlignment w:val="baseline"/>
        <w:rPr>
          <w:rFonts w:ascii="Verdana" w:hAnsi="Verdana" w:cs="Segoe UI"/>
        </w:rPr>
      </w:pPr>
      <w:r w:rsidRPr="002E09B3">
        <w:rPr>
          <w:rStyle w:val="normaltextrun"/>
          <w:rFonts w:ascii="Verdana" w:hAnsi="Verdana" w:cs="Segoe UI"/>
          <w:lang w:val="es-ES"/>
        </w:rPr>
        <w:t>Para los fines de participación ciudadana y del personero, se habilita el correo electrónico </w:t>
      </w:r>
      <w:hyperlink r:id="rId8" w:tgtFrame="_blank" w:history="1">
        <w:r w:rsidRPr="002E09B3">
          <w:rPr>
            <w:rStyle w:val="normaltextrun"/>
            <w:rFonts w:ascii="Verdana" w:hAnsi="Verdana" w:cs="Segoe UI"/>
            <w:color w:val="0000FF"/>
            <w:u w:val="single"/>
            <w:lang w:val="es-ES"/>
          </w:rPr>
          <w:t>sectradmboy@cendoj.ramajudicial.gov.co</w:t>
        </w:r>
      </w:hyperlink>
      <w:r w:rsidRPr="002E09B3">
        <w:rPr>
          <w:rStyle w:val="normaltextrun"/>
          <w:rFonts w:ascii="Verdana" w:hAnsi="Verdana" w:cs="Segoe UI"/>
          <w:lang w:val="es-ES"/>
        </w:rPr>
        <w:t> para remitir las intervenciones que se quieran realizar en el presente asunto.</w:t>
      </w:r>
      <w:r w:rsidRPr="002E09B3">
        <w:rPr>
          <w:rStyle w:val="eop"/>
          <w:rFonts w:ascii="Verdana" w:hAnsi="Verdana" w:cs="Segoe UI"/>
        </w:rPr>
        <w:t> </w:t>
      </w:r>
    </w:p>
    <w:p w:rsidR="007827D1" w:rsidRDefault="007827D1" w:rsidP="007827D1">
      <w:pPr>
        <w:spacing w:after="0" w:line="360" w:lineRule="auto"/>
        <w:jc w:val="both"/>
      </w:pPr>
      <w:r>
        <w:rPr>
          <w:rFonts w:ascii="Verdana" w:eastAsia="Calibri" w:hAnsi="Verdana" w:cs="Arial"/>
          <w:b/>
          <w:sz w:val="24"/>
          <w:szCs w:val="24"/>
          <w:lang w:val="es-ES_tradnl"/>
        </w:rPr>
        <w:t xml:space="preserve">Quinto: </w:t>
      </w:r>
      <w:r>
        <w:rPr>
          <w:rFonts w:ascii="Verdana" w:eastAsia="Calibri" w:hAnsi="Verdana" w:cs="Arial"/>
          <w:sz w:val="24"/>
          <w:szCs w:val="24"/>
          <w:lang w:val="es-ES_tradnl"/>
        </w:rPr>
        <w:t xml:space="preserve">Oficiar al Alcalde Municipal de </w:t>
      </w:r>
      <w:r w:rsidR="000D5ECC">
        <w:rPr>
          <w:rFonts w:ascii="Verdana" w:eastAsia="Calibri" w:hAnsi="Verdana" w:cs="Arial"/>
          <w:sz w:val="24"/>
          <w:szCs w:val="24"/>
          <w:lang w:val="es-ES_tradnl"/>
        </w:rPr>
        <w:t xml:space="preserve">Tunja </w:t>
      </w:r>
      <w:r>
        <w:rPr>
          <w:rFonts w:ascii="Verdana" w:eastAsia="Calibri" w:hAnsi="Verdana" w:cs="Arial"/>
          <w:sz w:val="24"/>
          <w:szCs w:val="24"/>
          <w:lang w:val="es-ES_tradnl"/>
        </w:rPr>
        <w:t xml:space="preserve">para que conforme a lo previsto en el artículo 185- 4 del CPACA., en el término de diez (10) días, allegue copia íntegra del expediente administrativo que contenga los antecedentes que dieron origen al Decreto </w:t>
      </w:r>
      <w:r w:rsidR="000D5ECC">
        <w:rPr>
          <w:rFonts w:ascii="Verdana" w:eastAsia="Calibri" w:hAnsi="Verdana" w:cs="Arial"/>
          <w:sz w:val="24"/>
          <w:szCs w:val="24"/>
          <w:lang w:val="es-ES_tradnl"/>
        </w:rPr>
        <w:t>193 de 23</w:t>
      </w:r>
      <w:r>
        <w:rPr>
          <w:rFonts w:ascii="Verdana" w:hAnsi="Verdana"/>
          <w:sz w:val="24"/>
          <w:szCs w:val="24"/>
        </w:rPr>
        <w:t xml:space="preserve"> de junio</w:t>
      </w:r>
      <w:r w:rsidRPr="0099605C">
        <w:rPr>
          <w:rFonts w:ascii="Verdana" w:hAnsi="Verdana"/>
          <w:sz w:val="24"/>
          <w:szCs w:val="24"/>
        </w:rPr>
        <w:t xml:space="preserve"> de 2020</w:t>
      </w:r>
      <w:r>
        <w:rPr>
          <w:rFonts w:ascii="Verdana" w:eastAsia="Calibri" w:hAnsi="Verdana" w:cs="Arial"/>
          <w:sz w:val="24"/>
          <w:szCs w:val="24"/>
          <w:lang w:val="es-ES_tradnl"/>
        </w:rPr>
        <w:t xml:space="preserve">, con destino al proceso de la referencia al correo electrónico </w:t>
      </w:r>
      <w:hyperlink r:id="rId9" w:history="1">
        <w:r>
          <w:rPr>
            <w:rStyle w:val="Hipervnculo"/>
            <w:rFonts w:ascii="Verdana" w:eastAsia="Calibri" w:hAnsi="Verdana" w:cs="Arial"/>
            <w:sz w:val="24"/>
            <w:szCs w:val="24"/>
            <w:lang w:val="es-ES_tradnl"/>
          </w:rPr>
          <w:t>sectradmboy@cendoj.ramajudicial.gov.co</w:t>
        </w:r>
      </w:hyperlink>
      <w:r>
        <w:t>.</w:t>
      </w:r>
    </w:p>
    <w:p w:rsidR="007827D1" w:rsidRDefault="007827D1" w:rsidP="007827D1">
      <w:pPr>
        <w:spacing w:after="0" w:line="360" w:lineRule="auto"/>
        <w:jc w:val="both"/>
        <w:rPr>
          <w:rFonts w:ascii="Verdana" w:eastAsia="Calibri" w:hAnsi="Verdana" w:cs="Arial"/>
          <w:b/>
          <w:sz w:val="24"/>
          <w:szCs w:val="24"/>
          <w:lang w:val="es-ES_tradnl"/>
        </w:rPr>
      </w:pPr>
    </w:p>
    <w:p w:rsidR="007827D1" w:rsidRDefault="007827D1" w:rsidP="007827D1">
      <w:pPr>
        <w:spacing w:after="0" w:line="360" w:lineRule="auto"/>
        <w:jc w:val="both"/>
        <w:rPr>
          <w:rFonts w:ascii="Verdana" w:eastAsia="Calibri" w:hAnsi="Verdana" w:cs="Arial"/>
          <w:sz w:val="24"/>
          <w:szCs w:val="24"/>
          <w:lang w:val="es-ES_tradnl"/>
        </w:rPr>
      </w:pPr>
      <w:r>
        <w:rPr>
          <w:rFonts w:ascii="Verdana" w:eastAsia="Calibri" w:hAnsi="Verdana" w:cs="Arial"/>
          <w:b/>
          <w:sz w:val="24"/>
          <w:szCs w:val="24"/>
          <w:lang w:val="es-ES_tradnl"/>
        </w:rPr>
        <w:t>Sexto</w:t>
      </w:r>
      <w:r w:rsidRPr="00145359">
        <w:rPr>
          <w:rFonts w:ascii="Verdana" w:eastAsia="Calibri" w:hAnsi="Verdana" w:cs="Arial"/>
          <w:b/>
          <w:sz w:val="24"/>
          <w:szCs w:val="24"/>
          <w:lang w:val="es-ES_tradnl"/>
        </w:rPr>
        <w:t>.</w:t>
      </w:r>
      <w:r>
        <w:rPr>
          <w:rFonts w:ascii="Verdana" w:eastAsia="Calibri" w:hAnsi="Verdana" w:cs="Arial"/>
          <w:sz w:val="24"/>
          <w:szCs w:val="24"/>
          <w:lang w:val="es-ES_tradnl"/>
        </w:rPr>
        <w:t xml:space="preserve"> </w:t>
      </w:r>
      <w:r w:rsidRPr="00A06B43">
        <w:rPr>
          <w:rFonts w:ascii="Verdana" w:eastAsia="Calibri" w:hAnsi="Verdana" w:cs="Arial"/>
          <w:sz w:val="24"/>
          <w:szCs w:val="24"/>
          <w:lang w:val="es-ES_tradnl"/>
        </w:rPr>
        <w:t xml:space="preserve">Vencido el término de publicación del aviso, por Secretaría </w:t>
      </w:r>
      <w:r w:rsidRPr="00A06B43">
        <w:rPr>
          <w:rFonts w:ascii="Verdana" w:eastAsia="Calibri" w:hAnsi="Verdana" w:cs="Arial"/>
          <w:b/>
          <w:sz w:val="24"/>
          <w:szCs w:val="24"/>
          <w:lang w:val="es-ES_tradnl"/>
        </w:rPr>
        <w:t>remítase</w:t>
      </w:r>
      <w:r w:rsidRPr="00A06B43">
        <w:rPr>
          <w:rFonts w:ascii="Verdana" w:eastAsia="Calibri" w:hAnsi="Verdana" w:cs="Arial"/>
          <w:sz w:val="24"/>
          <w:szCs w:val="24"/>
          <w:lang w:val="es-ES_tradnl"/>
        </w:rPr>
        <w:t xml:space="preserve"> el asunto al </w:t>
      </w:r>
      <w:r>
        <w:rPr>
          <w:rFonts w:ascii="Verdana" w:eastAsia="Calibri" w:hAnsi="Verdana" w:cs="Arial"/>
          <w:sz w:val="24"/>
          <w:szCs w:val="24"/>
          <w:lang w:val="es-ES_tradnl"/>
        </w:rPr>
        <w:t>Procurador delegado</w:t>
      </w:r>
      <w:r w:rsidRPr="00A06B43">
        <w:rPr>
          <w:rFonts w:ascii="Verdana" w:eastAsia="Calibri" w:hAnsi="Verdana" w:cs="Arial"/>
          <w:sz w:val="24"/>
          <w:szCs w:val="24"/>
          <w:lang w:val="es-ES_tradnl"/>
        </w:rPr>
        <w:t xml:space="preserve"> para que dentro de los 10 días siguientes rinda concepto</w:t>
      </w:r>
      <w:r>
        <w:rPr>
          <w:rFonts w:ascii="Verdana" w:eastAsia="Calibri" w:hAnsi="Verdana" w:cs="Arial"/>
          <w:sz w:val="24"/>
          <w:szCs w:val="24"/>
          <w:lang w:val="es-ES_tradnl"/>
        </w:rPr>
        <w:t xml:space="preserve"> si así lo desea</w:t>
      </w:r>
      <w:r w:rsidRPr="00A06B43">
        <w:rPr>
          <w:rFonts w:ascii="Verdana" w:eastAsia="Calibri" w:hAnsi="Verdana" w:cs="Arial"/>
          <w:sz w:val="24"/>
          <w:szCs w:val="24"/>
          <w:lang w:val="es-ES_tradnl"/>
        </w:rPr>
        <w:t>.</w:t>
      </w:r>
    </w:p>
    <w:p w:rsidR="007827D1" w:rsidRPr="00A06B43" w:rsidRDefault="007827D1" w:rsidP="007827D1">
      <w:pPr>
        <w:spacing w:after="0" w:line="360" w:lineRule="auto"/>
        <w:jc w:val="both"/>
        <w:rPr>
          <w:rFonts w:ascii="Verdana" w:eastAsia="Calibri" w:hAnsi="Verdana" w:cs="Arial"/>
          <w:sz w:val="24"/>
          <w:szCs w:val="24"/>
          <w:lang w:val="es-ES_tradnl"/>
        </w:rPr>
      </w:pPr>
    </w:p>
    <w:p w:rsidR="007827D1" w:rsidRDefault="007827D1" w:rsidP="007827D1">
      <w:pPr>
        <w:spacing w:after="0" w:line="360" w:lineRule="auto"/>
        <w:jc w:val="both"/>
        <w:rPr>
          <w:rFonts w:ascii="Verdana" w:eastAsia="Calibri" w:hAnsi="Verdana" w:cs="Arial"/>
          <w:sz w:val="24"/>
          <w:szCs w:val="24"/>
          <w:lang w:val="es-ES_tradnl"/>
        </w:rPr>
      </w:pPr>
      <w:r>
        <w:rPr>
          <w:rFonts w:ascii="Verdana" w:eastAsia="Calibri" w:hAnsi="Verdana" w:cs="Arial"/>
          <w:b/>
          <w:sz w:val="24"/>
          <w:szCs w:val="24"/>
          <w:lang w:val="es-ES_tradnl"/>
        </w:rPr>
        <w:t>Séptimo</w:t>
      </w:r>
      <w:r w:rsidRPr="00A06B43">
        <w:rPr>
          <w:rFonts w:ascii="Verdana" w:eastAsia="Calibri" w:hAnsi="Verdana" w:cs="Arial"/>
          <w:b/>
          <w:sz w:val="24"/>
          <w:szCs w:val="24"/>
          <w:lang w:val="es-ES_tradnl"/>
        </w:rPr>
        <w:t xml:space="preserve">. </w:t>
      </w:r>
      <w:r w:rsidRPr="00A06B43">
        <w:rPr>
          <w:rFonts w:ascii="Verdana" w:eastAsia="Calibri" w:hAnsi="Verdana" w:cs="Arial"/>
          <w:sz w:val="24"/>
          <w:szCs w:val="24"/>
          <w:lang w:val="es-ES_tradnl"/>
        </w:rPr>
        <w:t xml:space="preserve">Cumplido lo anterior, y vencido el término de traslado al Ministerio Público, </w:t>
      </w:r>
      <w:r>
        <w:rPr>
          <w:rFonts w:ascii="Verdana" w:eastAsia="Calibri" w:hAnsi="Verdana" w:cs="Arial"/>
          <w:sz w:val="24"/>
          <w:szCs w:val="24"/>
          <w:lang w:val="es-ES_tradnl"/>
        </w:rPr>
        <w:t>el Magistrado Ponente registrará proyecto de fallo dentro de los quince (15) días siguientes a la fecha de entrada al Despacho para sentencia.</w:t>
      </w:r>
    </w:p>
    <w:p w:rsidR="007827D1" w:rsidRDefault="007827D1" w:rsidP="007827D1">
      <w:pPr>
        <w:spacing w:after="0" w:line="360" w:lineRule="auto"/>
        <w:jc w:val="both"/>
        <w:rPr>
          <w:rFonts w:ascii="Verdana" w:eastAsia="Calibri" w:hAnsi="Verdana" w:cs="Arial"/>
          <w:sz w:val="24"/>
          <w:szCs w:val="24"/>
          <w:lang w:val="es-ES_tradnl"/>
        </w:rPr>
      </w:pPr>
    </w:p>
    <w:p w:rsidR="007827D1" w:rsidRPr="00A06B43" w:rsidRDefault="007827D1" w:rsidP="007827D1">
      <w:pPr>
        <w:spacing w:after="0" w:line="360" w:lineRule="auto"/>
        <w:jc w:val="both"/>
        <w:rPr>
          <w:rFonts w:ascii="Verdana" w:eastAsia="Calibri" w:hAnsi="Verdana" w:cs="Arial"/>
          <w:sz w:val="24"/>
          <w:szCs w:val="24"/>
          <w:lang w:val="es-ES_tradnl"/>
        </w:rPr>
      </w:pPr>
      <w:r>
        <w:rPr>
          <w:rFonts w:ascii="Verdana" w:eastAsia="Calibri" w:hAnsi="Verdana" w:cs="Arial"/>
          <w:b/>
          <w:sz w:val="24"/>
          <w:szCs w:val="24"/>
          <w:lang w:val="es-ES_tradnl"/>
        </w:rPr>
        <w:t xml:space="preserve">Octavo. </w:t>
      </w:r>
      <w:r w:rsidRPr="00020E1F">
        <w:rPr>
          <w:rFonts w:ascii="Verdana" w:eastAsia="Calibri" w:hAnsi="Verdana" w:cs="Arial"/>
          <w:sz w:val="24"/>
          <w:szCs w:val="24"/>
          <w:lang w:val="es-ES_tradnl"/>
        </w:rPr>
        <w:t>L</w:t>
      </w:r>
      <w:r w:rsidRPr="00A06B43">
        <w:rPr>
          <w:rFonts w:ascii="Verdana" w:eastAsia="Calibri" w:hAnsi="Verdana" w:cs="Arial"/>
          <w:sz w:val="24"/>
          <w:szCs w:val="24"/>
          <w:lang w:val="es-ES_tradnl"/>
        </w:rPr>
        <w:t>a Sala Plena de ésta corporación procederá a adoptar el fallo de instancia en los términos previstos en el artículo 186 -6 del C.P.A.C.A.</w:t>
      </w:r>
    </w:p>
    <w:p w:rsidR="007827D1" w:rsidRPr="00A06B43" w:rsidRDefault="007827D1" w:rsidP="007827D1">
      <w:pPr>
        <w:spacing w:after="0" w:line="360" w:lineRule="auto"/>
        <w:jc w:val="both"/>
        <w:textAlignment w:val="baseline"/>
        <w:rPr>
          <w:rFonts w:ascii="Verdana" w:eastAsia="Times New Roman" w:hAnsi="Verdana" w:cs="Segoe UI"/>
          <w:sz w:val="24"/>
          <w:szCs w:val="24"/>
          <w:lang w:eastAsia="es-CO"/>
        </w:rPr>
      </w:pPr>
    </w:p>
    <w:p w:rsidR="007827D1" w:rsidRPr="00A06B43" w:rsidRDefault="007827D1" w:rsidP="007827D1">
      <w:pPr>
        <w:spacing w:after="0" w:line="360" w:lineRule="auto"/>
        <w:jc w:val="both"/>
        <w:textAlignment w:val="baseline"/>
        <w:rPr>
          <w:rFonts w:ascii="Verdana" w:eastAsia="Times New Roman" w:hAnsi="Verdana" w:cs="Segoe UI"/>
          <w:sz w:val="24"/>
          <w:szCs w:val="24"/>
          <w:lang w:eastAsia="es-CO"/>
        </w:rPr>
      </w:pPr>
      <w:r w:rsidRPr="00A06B43">
        <w:rPr>
          <w:rFonts w:ascii="Verdana" w:eastAsia="Times New Roman" w:hAnsi="Verdana" w:cs="Segoe UI"/>
          <w:b/>
          <w:bCs/>
          <w:sz w:val="24"/>
          <w:szCs w:val="24"/>
          <w:lang w:val="es-ES" w:eastAsia="es-CO"/>
        </w:rPr>
        <w:t>Notifíquese y cúmplase</w:t>
      </w:r>
      <w:r w:rsidRPr="00A06B43">
        <w:rPr>
          <w:rFonts w:ascii="Verdana" w:eastAsia="Times New Roman" w:hAnsi="Verdana" w:cs="Segoe UI"/>
          <w:sz w:val="24"/>
          <w:szCs w:val="24"/>
          <w:lang w:eastAsia="es-CO"/>
        </w:rPr>
        <w:t> </w:t>
      </w:r>
    </w:p>
    <w:p w:rsidR="007827D1" w:rsidRPr="00A06B43" w:rsidRDefault="007827D1" w:rsidP="007827D1">
      <w:pPr>
        <w:spacing w:after="0" w:line="360" w:lineRule="auto"/>
        <w:jc w:val="both"/>
        <w:textAlignment w:val="baseline"/>
        <w:rPr>
          <w:rFonts w:ascii="Verdana" w:eastAsia="Times New Roman" w:hAnsi="Verdana" w:cs="Segoe UI"/>
          <w:sz w:val="24"/>
          <w:szCs w:val="24"/>
          <w:lang w:eastAsia="es-CO"/>
        </w:rPr>
      </w:pPr>
      <w:r w:rsidRPr="00A06B43">
        <w:rPr>
          <w:rFonts w:ascii="Verdana" w:eastAsia="Times New Roman" w:hAnsi="Verdana" w:cs="Segoe UI"/>
          <w:sz w:val="24"/>
          <w:szCs w:val="24"/>
          <w:lang w:eastAsia="es-CO"/>
        </w:rPr>
        <w:t> </w:t>
      </w:r>
    </w:p>
    <w:p w:rsidR="007827D1" w:rsidRPr="00A06B43" w:rsidRDefault="007827D1" w:rsidP="007827D1">
      <w:pPr>
        <w:spacing w:after="0" w:line="360" w:lineRule="auto"/>
        <w:jc w:val="both"/>
        <w:textAlignment w:val="baseline"/>
      </w:pPr>
      <w:r w:rsidRPr="206AFDE1">
        <w:rPr>
          <w:rFonts w:ascii="Verdana" w:eastAsia="Times New Roman" w:hAnsi="Verdana" w:cs="Segoe UI"/>
          <w:sz w:val="24"/>
          <w:szCs w:val="24"/>
          <w:lang w:eastAsia="es-CO"/>
        </w:rPr>
        <w:t xml:space="preserve">                                   </w:t>
      </w:r>
    </w:p>
    <w:p w:rsidR="007827D1" w:rsidRPr="00A06B43" w:rsidRDefault="007827D1" w:rsidP="007827D1">
      <w:pPr>
        <w:spacing w:after="0" w:line="360" w:lineRule="auto"/>
        <w:jc w:val="center"/>
        <w:textAlignment w:val="baseline"/>
        <w:rPr>
          <w:rFonts w:ascii="Verdana" w:eastAsia="Times New Roman" w:hAnsi="Verdana" w:cs="Segoe UI"/>
          <w:sz w:val="24"/>
          <w:szCs w:val="24"/>
          <w:lang w:eastAsia="es-CO"/>
        </w:rPr>
      </w:pPr>
      <w:r w:rsidRPr="00A06B43">
        <w:rPr>
          <w:rFonts w:ascii="Verdana" w:eastAsia="Times New Roman" w:hAnsi="Verdana" w:cs="Segoe UI"/>
          <w:b/>
          <w:bCs/>
          <w:sz w:val="24"/>
          <w:szCs w:val="24"/>
          <w:lang w:val="es-ES" w:eastAsia="es-CO"/>
        </w:rPr>
        <w:t>FÉ</w:t>
      </w:r>
      <w:bookmarkStart w:id="0" w:name="_GoBack"/>
      <w:bookmarkEnd w:id="0"/>
      <w:r w:rsidRPr="00A06B43">
        <w:rPr>
          <w:rFonts w:ascii="Verdana" w:eastAsia="Times New Roman" w:hAnsi="Verdana" w:cs="Segoe UI"/>
          <w:b/>
          <w:bCs/>
          <w:sz w:val="24"/>
          <w:szCs w:val="24"/>
          <w:lang w:val="es-ES" w:eastAsia="es-CO"/>
        </w:rPr>
        <w:t>LIX ALBERTO RODRÍGUEZ RIVEROS</w:t>
      </w:r>
      <w:r w:rsidRPr="00A06B43">
        <w:rPr>
          <w:rFonts w:ascii="Verdana" w:eastAsia="Times New Roman" w:hAnsi="Verdana" w:cs="Segoe UI"/>
          <w:sz w:val="24"/>
          <w:szCs w:val="24"/>
          <w:lang w:eastAsia="es-CO"/>
        </w:rPr>
        <w:t> </w:t>
      </w:r>
    </w:p>
    <w:p w:rsidR="007827D1" w:rsidRDefault="007827D1" w:rsidP="007827D1">
      <w:pPr>
        <w:spacing w:after="0" w:line="360" w:lineRule="auto"/>
        <w:jc w:val="center"/>
        <w:textAlignment w:val="baseline"/>
      </w:pPr>
      <w:r w:rsidRPr="00A06B43">
        <w:rPr>
          <w:rFonts w:ascii="Verdana" w:eastAsia="Times New Roman" w:hAnsi="Verdana" w:cs="Segoe UI"/>
          <w:b/>
          <w:bCs/>
          <w:sz w:val="24"/>
          <w:szCs w:val="24"/>
          <w:lang w:val="es-ES" w:eastAsia="es-CO"/>
        </w:rPr>
        <w:t>Magistrado</w:t>
      </w:r>
    </w:p>
    <w:p w:rsidR="007827D1" w:rsidRDefault="007827D1" w:rsidP="007827D1"/>
    <w:p w:rsidR="007827D1" w:rsidRDefault="007827D1" w:rsidP="007827D1"/>
    <w:p w:rsidR="007827D1" w:rsidRDefault="007827D1" w:rsidP="007827D1"/>
    <w:p w:rsidR="007827D1" w:rsidRDefault="007827D1" w:rsidP="007827D1"/>
    <w:p w:rsidR="00071EAA" w:rsidRDefault="00071EAA"/>
    <w:sectPr w:rsidR="00071EAA" w:rsidSect="00805FBF">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B1B" w:rsidRDefault="00CA0B1B" w:rsidP="00CA0B1B">
      <w:pPr>
        <w:spacing w:after="0" w:line="240" w:lineRule="auto"/>
      </w:pPr>
      <w:r>
        <w:separator/>
      </w:r>
    </w:p>
  </w:endnote>
  <w:endnote w:type="continuationSeparator" w:id="0">
    <w:p w:rsidR="00CA0B1B" w:rsidRDefault="00CA0B1B" w:rsidP="00CA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B1B" w:rsidRDefault="00CA0B1B" w:rsidP="00CA0B1B">
      <w:pPr>
        <w:spacing w:after="0" w:line="240" w:lineRule="auto"/>
      </w:pPr>
      <w:r>
        <w:separator/>
      </w:r>
    </w:p>
  </w:footnote>
  <w:footnote w:type="continuationSeparator" w:id="0">
    <w:p w:rsidR="00CA0B1B" w:rsidRDefault="00CA0B1B" w:rsidP="00CA0B1B">
      <w:pPr>
        <w:spacing w:after="0" w:line="240" w:lineRule="auto"/>
      </w:pPr>
      <w:r>
        <w:continuationSeparator/>
      </w:r>
    </w:p>
  </w:footnote>
  <w:footnote w:id="1">
    <w:p w:rsidR="00CA0B1B" w:rsidRPr="00CA0B1B" w:rsidRDefault="00CA0B1B" w:rsidP="00F77A5C">
      <w:pPr>
        <w:pStyle w:val="Textonotapie"/>
        <w:jc w:val="both"/>
        <w:rPr>
          <w:lang w:val="es-ES"/>
        </w:rPr>
      </w:pPr>
      <w:r>
        <w:rPr>
          <w:rStyle w:val="Refdenotaalpie"/>
        </w:rPr>
        <w:footnoteRef/>
      </w:r>
      <w:r>
        <w:t xml:space="preserve">El proceso de la referencia </w:t>
      </w:r>
      <w:r w:rsidR="00F77A5C">
        <w:t>ingresó a este Despacho por</w:t>
      </w:r>
      <w:r w:rsidR="007C1BB7">
        <w:t xml:space="preserve"> </w:t>
      </w:r>
      <w:r>
        <w:t xml:space="preserve">remisión </w:t>
      </w:r>
      <w:r w:rsidR="007C1BB7">
        <w:t>efectuada por el Despacho No. 6 de éste Tribunal, mediante auto de 06 de agosto de 2020,</w:t>
      </w:r>
      <w:r w:rsidR="00F77A5C">
        <w:t xml:space="preserve"> por considerar que debía realizarse el estudio del Decreto 193 de 23 de junio de 2020 en conjunto con el 105 de 24 de marzo de 2020 que fue avocado por éste Despacho mediante auto de 27 de mayo de 2020 proferido dentro del procesos 2020- 0699- 00, del cual ya se emitió decisión de fondo.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7D1"/>
    <w:rsid w:val="00071EAA"/>
    <w:rsid w:val="000D5ECC"/>
    <w:rsid w:val="001A21B2"/>
    <w:rsid w:val="003E607B"/>
    <w:rsid w:val="00476C19"/>
    <w:rsid w:val="0057363E"/>
    <w:rsid w:val="007827D1"/>
    <w:rsid w:val="007C1BB7"/>
    <w:rsid w:val="007E76D2"/>
    <w:rsid w:val="00CA0B1B"/>
    <w:rsid w:val="00DF48BC"/>
    <w:rsid w:val="00F77A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D47DB-21BA-415F-9748-B2DCFC26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7D1"/>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827D1"/>
    <w:rPr>
      <w:color w:val="0000FF"/>
      <w:u w:val="single"/>
    </w:rPr>
  </w:style>
  <w:style w:type="character" w:customStyle="1" w:styleId="normaltextrun">
    <w:name w:val="normaltextrun"/>
    <w:basedOn w:val="Fuentedeprrafopredeter"/>
    <w:rsid w:val="007827D1"/>
  </w:style>
  <w:style w:type="paragraph" w:customStyle="1" w:styleId="paragraph">
    <w:name w:val="paragraph"/>
    <w:basedOn w:val="Normal"/>
    <w:rsid w:val="007827D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7827D1"/>
  </w:style>
  <w:style w:type="paragraph" w:customStyle="1" w:styleId="Default">
    <w:name w:val="Default"/>
    <w:rsid w:val="007827D1"/>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uiPriority w:val="99"/>
    <w:semiHidden/>
    <w:unhideWhenUsed/>
    <w:rsid w:val="00CA0B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0B1B"/>
    <w:rPr>
      <w:sz w:val="20"/>
      <w:szCs w:val="20"/>
      <w:lang w:val="es-CO"/>
    </w:rPr>
  </w:style>
  <w:style w:type="character" w:styleId="Refdenotaalpie">
    <w:name w:val="footnote reference"/>
    <w:basedOn w:val="Fuentedeprrafopredeter"/>
    <w:uiPriority w:val="99"/>
    <w:semiHidden/>
    <w:unhideWhenUsed/>
    <w:rsid w:val="00CA0B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tradmboy@cendoj.ramajudicial.gov.c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ctradmboy@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A4435-5DA8-4D33-BC79-42043234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719</Words>
  <Characters>3958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LILIANA QUINTERO PINTO</cp:lastModifiedBy>
  <cp:revision>4</cp:revision>
  <dcterms:created xsi:type="dcterms:W3CDTF">2021-01-21T17:04:00Z</dcterms:created>
  <dcterms:modified xsi:type="dcterms:W3CDTF">2021-01-29T16:58:00Z</dcterms:modified>
</cp:coreProperties>
</file>