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01</w:t>
      </w:r>
      <w:r w:rsidR="00E551A1">
        <w:rPr>
          <w:rFonts w:asciiTheme="minorHAnsi" w:hAnsiTheme="minorHAnsi"/>
          <w:color w:val="000000"/>
          <w:szCs w:val="28"/>
          <w:lang w:val="es-ES" w:eastAsia="es-ES"/>
        </w:rPr>
        <w:t>8</w:t>
      </w:r>
      <w:r w:rsidR="00AC03F1">
        <w:rPr>
          <w:rFonts w:asciiTheme="minorHAnsi" w:hAnsiTheme="minorHAnsi"/>
          <w:color w:val="000000"/>
          <w:szCs w:val="28"/>
          <w:lang w:val="es-ES" w:eastAsia="es-ES"/>
        </w:rPr>
        <w:t>7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263BE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176BB3">
        <w:rPr>
          <w:rFonts w:asciiTheme="minorHAnsi" w:hAnsiTheme="minorHAnsi"/>
          <w:spacing w:val="-2"/>
          <w:szCs w:val="28"/>
        </w:rPr>
        <w:t xml:space="preserve"> 30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C03F1">
        <w:rPr>
          <w:rFonts w:asciiTheme="minorHAnsi" w:hAnsiTheme="minorHAnsi"/>
          <w:szCs w:val="28"/>
          <w:lang w:val="es-ES" w:eastAsia="es-ES"/>
        </w:rPr>
        <w:t>MARÍA TERESA PERALTA DE LÓPEZ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E25E4C">
        <w:rPr>
          <w:rFonts w:asciiTheme="minorHAnsi" w:hAnsiTheme="minorHAnsi"/>
          <w:szCs w:val="28"/>
          <w:lang w:val="es-ES" w:eastAsia="es-ES"/>
        </w:rPr>
        <w:t>NACIÓN</w:t>
      </w:r>
      <w:r w:rsidR="00AC03F1">
        <w:rPr>
          <w:rFonts w:asciiTheme="minorHAnsi" w:hAnsiTheme="minorHAnsi"/>
          <w:szCs w:val="28"/>
          <w:lang w:val="es-ES" w:eastAsia="es-ES"/>
        </w:rPr>
        <w:t xml:space="preserve"> – MINDEFENSA- POLICÍA NACIONAL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2D2999">
        <w:rPr>
          <w:rFonts w:asciiTheme="minorHAnsi" w:hAnsiTheme="minorHAnsi"/>
          <w:szCs w:val="28"/>
          <w:lang w:val="es-ES" w:eastAsia="es-ES"/>
        </w:rPr>
        <w:t>7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2D2999">
        <w:rPr>
          <w:rFonts w:asciiTheme="minorHAnsi" w:hAnsiTheme="minorHAnsi"/>
          <w:szCs w:val="28"/>
          <w:lang w:val="es-ES" w:eastAsia="es-ES"/>
        </w:rPr>
        <w:t>3</w:t>
      </w:r>
      <w:r w:rsidRPr="00D263BE">
        <w:rPr>
          <w:rFonts w:asciiTheme="minorHAnsi" w:hAnsiTheme="minorHAnsi"/>
          <w:szCs w:val="28"/>
          <w:lang w:val="es-ES" w:eastAsia="es-ES"/>
        </w:rPr>
        <w:t>-00</w:t>
      </w:r>
      <w:r w:rsidR="00AC03F1">
        <w:rPr>
          <w:rFonts w:asciiTheme="minorHAnsi" w:hAnsiTheme="minorHAnsi"/>
          <w:szCs w:val="28"/>
          <w:lang w:val="es-ES" w:eastAsia="es-ES"/>
        </w:rPr>
        <w:t>264</w:t>
      </w:r>
      <w:r w:rsidRPr="00D263BE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el recurso de apelación interpuesto por la parte </w:t>
      </w:r>
      <w:r w:rsidR="002D2999">
        <w:rPr>
          <w:rFonts w:asciiTheme="minorHAnsi" w:hAnsiTheme="minorHAnsi"/>
          <w:spacing w:val="-2"/>
          <w:sz w:val="28"/>
          <w:szCs w:val="28"/>
        </w:rPr>
        <w:t>demandante</w:t>
      </w:r>
      <w:r w:rsidR="002D299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2D2999">
        <w:rPr>
          <w:rFonts w:asciiTheme="minorHAnsi" w:hAnsiTheme="minorHAnsi"/>
          <w:spacing w:val="-2"/>
          <w:sz w:val="28"/>
          <w:szCs w:val="28"/>
        </w:rPr>
        <w:t xml:space="preserve">y </w:t>
      </w:r>
      <w:r w:rsidRPr="00BF4F17">
        <w:rPr>
          <w:rFonts w:asciiTheme="minorHAnsi" w:hAnsiTheme="minorHAnsi"/>
          <w:spacing w:val="-2"/>
          <w:sz w:val="28"/>
          <w:szCs w:val="28"/>
        </w:rPr>
        <w:t>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E25E4C">
        <w:rPr>
          <w:rFonts w:asciiTheme="minorHAnsi" w:hAnsiTheme="minorHAnsi"/>
          <w:spacing w:val="-2"/>
          <w:sz w:val="28"/>
          <w:szCs w:val="28"/>
        </w:rPr>
        <w:t>2</w:t>
      </w:r>
      <w:r w:rsidR="00AC03F1">
        <w:rPr>
          <w:rFonts w:asciiTheme="minorHAnsi" w:hAnsiTheme="minorHAnsi"/>
          <w:spacing w:val="-2"/>
          <w:sz w:val="28"/>
          <w:szCs w:val="28"/>
        </w:rPr>
        <w:t>2</w:t>
      </w:r>
      <w:r w:rsidR="00E25E4C">
        <w:rPr>
          <w:rFonts w:asciiTheme="minorHAnsi" w:hAnsiTheme="minorHAnsi"/>
          <w:spacing w:val="-2"/>
          <w:sz w:val="28"/>
          <w:szCs w:val="28"/>
        </w:rPr>
        <w:t xml:space="preserve"> de abril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AC2984">
        <w:rPr>
          <w:rFonts w:asciiTheme="minorHAnsi" w:hAnsiTheme="minorHAnsi"/>
          <w:spacing w:val="-2"/>
          <w:sz w:val="28"/>
          <w:szCs w:val="28"/>
        </w:rPr>
        <w:t>Séptimo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8A4E6C">
        <w:rPr>
          <w:rFonts w:asciiTheme="minorHAnsi" w:hAnsiTheme="minorHAnsi"/>
          <w:spacing w:val="-2"/>
          <w:sz w:val="28"/>
          <w:szCs w:val="28"/>
        </w:rPr>
        <w:t>9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D263BE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176BB3" w:rsidRDefault="00176BB3" w:rsidP="00176BB3">
      <w:pPr>
        <w:keepNext/>
        <w:widowControl/>
        <w:overflowPunct/>
        <w:autoSpaceDE/>
        <w:autoSpaceDN/>
        <w:adjustRightInd/>
        <w:ind w:left="4248" w:firstLine="70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176BB3" w:rsidRPr="00A97845" w:rsidRDefault="00176BB3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E5" w:rsidRDefault="00D43EE5">
      <w:r>
        <w:separator/>
      </w:r>
    </w:p>
  </w:endnote>
  <w:endnote w:type="continuationSeparator" w:id="0">
    <w:p w:rsidR="00D43EE5" w:rsidRDefault="00D4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D43EE5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D43EE5" w:rsidP="00EB2704">
    <w:pPr>
      <w:pStyle w:val="Piedepgina"/>
    </w:pPr>
  </w:p>
  <w:p w:rsidR="003C264A" w:rsidRPr="00360AD8" w:rsidRDefault="00D43EE5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E5" w:rsidRDefault="00D43EE5">
      <w:r>
        <w:separator/>
      </w:r>
    </w:p>
  </w:footnote>
  <w:footnote w:type="continuationSeparator" w:id="0">
    <w:p w:rsidR="00D43EE5" w:rsidRDefault="00D43EE5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D43EE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6BB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D43EE5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47E06"/>
    <w:rsid w:val="000757F7"/>
    <w:rsid w:val="00094047"/>
    <w:rsid w:val="000941BC"/>
    <w:rsid w:val="000A5137"/>
    <w:rsid w:val="000F3091"/>
    <w:rsid w:val="00126583"/>
    <w:rsid w:val="0017169D"/>
    <w:rsid w:val="00176BB3"/>
    <w:rsid w:val="001F0F10"/>
    <w:rsid w:val="0020112E"/>
    <w:rsid w:val="00224D79"/>
    <w:rsid w:val="00293141"/>
    <w:rsid w:val="002D25E7"/>
    <w:rsid w:val="002D2999"/>
    <w:rsid w:val="002D5884"/>
    <w:rsid w:val="002E267C"/>
    <w:rsid w:val="00302447"/>
    <w:rsid w:val="00316251"/>
    <w:rsid w:val="003B53B6"/>
    <w:rsid w:val="003D1BD4"/>
    <w:rsid w:val="003D7342"/>
    <w:rsid w:val="003F1739"/>
    <w:rsid w:val="00400E37"/>
    <w:rsid w:val="004013BF"/>
    <w:rsid w:val="00490F14"/>
    <w:rsid w:val="004D78E5"/>
    <w:rsid w:val="00565B2A"/>
    <w:rsid w:val="00567F9B"/>
    <w:rsid w:val="005B26D8"/>
    <w:rsid w:val="005D4008"/>
    <w:rsid w:val="005F49C3"/>
    <w:rsid w:val="006028DD"/>
    <w:rsid w:val="006361DC"/>
    <w:rsid w:val="006514CE"/>
    <w:rsid w:val="00684934"/>
    <w:rsid w:val="006A471D"/>
    <w:rsid w:val="006D3F48"/>
    <w:rsid w:val="006E0723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86392"/>
    <w:rsid w:val="008A4E6C"/>
    <w:rsid w:val="008B2201"/>
    <w:rsid w:val="008E21BE"/>
    <w:rsid w:val="008F2D4D"/>
    <w:rsid w:val="00987710"/>
    <w:rsid w:val="00987AC1"/>
    <w:rsid w:val="009A52B6"/>
    <w:rsid w:val="009A5C91"/>
    <w:rsid w:val="00A221B2"/>
    <w:rsid w:val="00A34D5E"/>
    <w:rsid w:val="00A84405"/>
    <w:rsid w:val="00A850D7"/>
    <w:rsid w:val="00A96537"/>
    <w:rsid w:val="00A97845"/>
    <w:rsid w:val="00AB1E65"/>
    <w:rsid w:val="00AB50E5"/>
    <w:rsid w:val="00AC03F1"/>
    <w:rsid w:val="00AC2984"/>
    <w:rsid w:val="00B137DA"/>
    <w:rsid w:val="00B25AFA"/>
    <w:rsid w:val="00B34B07"/>
    <w:rsid w:val="00B405DF"/>
    <w:rsid w:val="00B478AB"/>
    <w:rsid w:val="00B52411"/>
    <w:rsid w:val="00B54EC4"/>
    <w:rsid w:val="00BB3A1E"/>
    <w:rsid w:val="00BB7DB2"/>
    <w:rsid w:val="00BE3628"/>
    <w:rsid w:val="00BE638C"/>
    <w:rsid w:val="00C76A89"/>
    <w:rsid w:val="00C947C5"/>
    <w:rsid w:val="00D263BE"/>
    <w:rsid w:val="00D43EE5"/>
    <w:rsid w:val="00D73B76"/>
    <w:rsid w:val="00DA2877"/>
    <w:rsid w:val="00DC1588"/>
    <w:rsid w:val="00DD4DF9"/>
    <w:rsid w:val="00E02C71"/>
    <w:rsid w:val="00E146FB"/>
    <w:rsid w:val="00E25E4C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9063D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DCD2-3BC0-49A5-AA36-BD71AFDF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17</cp:revision>
  <cp:lastPrinted>2014-09-10T13:30:00Z</cp:lastPrinted>
  <dcterms:created xsi:type="dcterms:W3CDTF">2014-09-09T19:35:00Z</dcterms:created>
  <dcterms:modified xsi:type="dcterms:W3CDTF">2014-09-30T17:06:00Z</dcterms:modified>
</cp:coreProperties>
</file>