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95D" w:rsidRPr="004E3469" w:rsidRDefault="0002395D" w:rsidP="0002395D">
      <w:pPr>
        <w:pStyle w:val="Ttulo"/>
        <w:rPr>
          <w:rFonts w:asciiTheme="minorHAnsi" w:hAnsiTheme="minorHAnsi" w:cstheme="minorHAnsi"/>
          <w:i w:val="0"/>
          <w:sz w:val="28"/>
          <w:szCs w:val="28"/>
        </w:rPr>
      </w:pPr>
      <w:r w:rsidRPr="004E3469">
        <w:rPr>
          <w:rFonts w:asciiTheme="minorHAnsi" w:hAnsiTheme="minorHAnsi" w:cstheme="minorHAnsi"/>
          <w:i w:val="0"/>
          <w:sz w:val="28"/>
          <w:szCs w:val="28"/>
        </w:rPr>
        <w:t>REPÚBLICA DE COLOMBIA</w:t>
      </w:r>
    </w:p>
    <w:p w:rsidR="0002395D" w:rsidRPr="004E3469" w:rsidRDefault="0002395D" w:rsidP="0002395D">
      <w:pPr>
        <w:tabs>
          <w:tab w:val="left" w:pos="2410"/>
        </w:tabs>
        <w:jc w:val="center"/>
        <w:rPr>
          <w:rFonts w:asciiTheme="minorHAnsi" w:hAnsiTheme="minorHAnsi" w:cstheme="minorHAnsi"/>
          <w:b/>
          <w:sz w:val="28"/>
          <w:szCs w:val="28"/>
        </w:rPr>
      </w:pPr>
      <w:r w:rsidRPr="004E3469">
        <w:rPr>
          <w:rFonts w:asciiTheme="minorHAnsi" w:hAnsiTheme="minorHAnsi" w:cstheme="minorHAnsi"/>
          <w:b/>
          <w:noProof/>
          <w:sz w:val="28"/>
          <w:szCs w:val="28"/>
          <w:lang w:val="es-CO" w:eastAsia="es-CO"/>
        </w:rPr>
        <w:drawing>
          <wp:anchor distT="0" distB="0" distL="114300" distR="114300" simplePos="0" relativeHeight="251659264" behindDoc="1" locked="0" layoutInCell="1" allowOverlap="1">
            <wp:simplePos x="0" y="0"/>
            <wp:positionH relativeFrom="column">
              <wp:posOffset>2532380</wp:posOffset>
            </wp:positionH>
            <wp:positionV relativeFrom="paragraph">
              <wp:posOffset>88265</wp:posOffset>
            </wp:positionV>
            <wp:extent cx="845820" cy="914400"/>
            <wp:effectExtent l="19050" t="0" r="0" b="0"/>
            <wp:wrapSquare wrapText="bothSides"/>
            <wp:docPr id="4"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7" cstate="print"/>
                    <a:srcRect/>
                    <a:stretch>
                      <a:fillRect/>
                    </a:stretch>
                  </pic:blipFill>
                  <pic:spPr bwMode="auto">
                    <a:xfrm>
                      <a:off x="0" y="0"/>
                      <a:ext cx="845820" cy="914400"/>
                    </a:xfrm>
                    <a:prstGeom prst="rect">
                      <a:avLst/>
                    </a:prstGeom>
                    <a:noFill/>
                    <a:ln w="9525">
                      <a:noFill/>
                      <a:miter lim="800000"/>
                      <a:headEnd/>
                      <a:tailEnd/>
                    </a:ln>
                  </pic:spPr>
                </pic:pic>
              </a:graphicData>
            </a:graphic>
          </wp:anchor>
        </w:drawing>
      </w:r>
    </w:p>
    <w:p w:rsidR="0002395D" w:rsidRPr="004E3469" w:rsidRDefault="0002395D" w:rsidP="0002395D">
      <w:pPr>
        <w:tabs>
          <w:tab w:val="left" w:pos="2410"/>
        </w:tabs>
        <w:jc w:val="center"/>
        <w:rPr>
          <w:rFonts w:asciiTheme="minorHAnsi" w:hAnsiTheme="minorHAnsi" w:cstheme="minorHAnsi"/>
          <w:b/>
          <w:sz w:val="28"/>
          <w:szCs w:val="28"/>
        </w:rPr>
      </w:pPr>
    </w:p>
    <w:p w:rsidR="0002395D" w:rsidRPr="004E3469" w:rsidRDefault="0002395D" w:rsidP="0002395D">
      <w:pPr>
        <w:tabs>
          <w:tab w:val="left" w:pos="2410"/>
        </w:tabs>
        <w:jc w:val="center"/>
        <w:rPr>
          <w:rFonts w:asciiTheme="minorHAnsi" w:hAnsiTheme="minorHAnsi" w:cstheme="minorHAnsi"/>
          <w:b/>
          <w:sz w:val="28"/>
          <w:szCs w:val="28"/>
        </w:rPr>
      </w:pPr>
    </w:p>
    <w:p w:rsidR="0002395D" w:rsidRPr="004E3469" w:rsidRDefault="0002395D" w:rsidP="0002395D">
      <w:pPr>
        <w:tabs>
          <w:tab w:val="left" w:pos="2410"/>
        </w:tabs>
        <w:jc w:val="center"/>
        <w:rPr>
          <w:rFonts w:asciiTheme="minorHAnsi" w:hAnsiTheme="minorHAnsi" w:cstheme="minorHAnsi"/>
          <w:b/>
          <w:sz w:val="28"/>
          <w:szCs w:val="28"/>
        </w:rPr>
      </w:pPr>
    </w:p>
    <w:p w:rsidR="0002395D" w:rsidRPr="004E3469" w:rsidRDefault="0002395D" w:rsidP="0002395D">
      <w:pPr>
        <w:tabs>
          <w:tab w:val="left" w:pos="2410"/>
        </w:tabs>
        <w:jc w:val="center"/>
        <w:rPr>
          <w:rFonts w:asciiTheme="minorHAnsi" w:hAnsiTheme="minorHAnsi" w:cstheme="minorHAnsi"/>
          <w:b/>
          <w:sz w:val="28"/>
          <w:szCs w:val="28"/>
        </w:rPr>
      </w:pPr>
    </w:p>
    <w:p w:rsidR="0002395D" w:rsidRPr="004E3469" w:rsidRDefault="0002395D" w:rsidP="0002395D">
      <w:pPr>
        <w:pStyle w:val="Ttulo4"/>
        <w:jc w:val="center"/>
        <w:rPr>
          <w:rFonts w:asciiTheme="minorHAnsi" w:hAnsiTheme="minorHAnsi" w:cstheme="minorHAnsi"/>
          <w:i w:val="0"/>
        </w:rPr>
      </w:pPr>
      <w:r w:rsidRPr="004E3469">
        <w:rPr>
          <w:rFonts w:asciiTheme="minorHAnsi" w:hAnsiTheme="minorHAnsi" w:cstheme="minorHAnsi"/>
          <w:i w:val="0"/>
        </w:rPr>
        <w:t>TRIBUNAL  ADMINISTRATIVO DEL META</w:t>
      </w:r>
    </w:p>
    <w:p w:rsidR="0002395D" w:rsidRPr="004E3469" w:rsidRDefault="0002395D" w:rsidP="0002395D">
      <w:pPr>
        <w:pStyle w:val="Ttulo1"/>
        <w:rPr>
          <w:rFonts w:asciiTheme="minorHAnsi" w:hAnsiTheme="minorHAnsi" w:cstheme="minorHAnsi"/>
          <w:sz w:val="28"/>
          <w:szCs w:val="28"/>
        </w:rPr>
      </w:pPr>
    </w:p>
    <w:p w:rsidR="0002395D" w:rsidRPr="004E3469" w:rsidRDefault="0002395D" w:rsidP="0002395D">
      <w:pPr>
        <w:rPr>
          <w:rFonts w:asciiTheme="minorHAnsi" w:hAnsiTheme="minorHAnsi" w:cstheme="minorHAnsi"/>
          <w:sz w:val="28"/>
          <w:szCs w:val="28"/>
        </w:rPr>
      </w:pPr>
    </w:p>
    <w:p w:rsidR="0002395D" w:rsidRPr="004E3469" w:rsidRDefault="0002395D" w:rsidP="0002395D">
      <w:pPr>
        <w:jc w:val="center"/>
        <w:rPr>
          <w:rFonts w:asciiTheme="minorHAnsi" w:hAnsiTheme="minorHAnsi" w:cstheme="minorHAnsi"/>
          <w:sz w:val="28"/>
          <w:szCs w:val="28"/>
        </w:rPr>
      </w:pPr>
      <w:r w:rsidRPr="004E3469">
        <w:rPr>
          <w:rFonts w:asciiTheme="minorHAnsi" w:hAnsiTheme="minorHAnsi" w:cstheme="minorHAnsi"/>
          <w:sz w:val="28"/>
          <w:szCs w:val="28"/>
        </w:rPr>
        <w:t>Auto de Interlocutorio No. 017</w:t>
      </w:r>
      <w:r w:rsidR="00136249" w:rsidRPr="004E3469">
        <w:rPr>
          <w:rFonts w:asciiTheme="minorHAnsi" w:hAnsiTheme="minorHAnsi" w:cstheme="minorHAnsi"/>
          <w:sz w:val="28"/>
          <w:szCs w:val="28"/>
        </w:rPr>
        <w:t>4</w:t>
      </w:r>
    </w:p>
    <w:p w:rsidR="0002395D" w:rsidRPr="004E3469" w:rsidRDefault="0002395D" w:rsidP="0002395D">
      <w:pPr>
        <w:jc w:val="center"/>
        <w:rPr>
          <w:rFonts w:asciiTheme="minorHAnsi" w:hAnsiTheme="minorHAnsi" w:cstheme="minorHAnsi"/>
          <w:sz w:val="28"/>
          <w:szCs w:val="28"/>
        </w:rPr>
      </w:pPr>
    </w:p>
    <w:p w:rsidR="006D08BC" w:rsidRPr="00BB616E" w:rsidRDefault="006D08BC" w:rsidP="006D08BC">
      <w:pPr>
        <w:ind w:firstLine="1134"/>
        <w:jc w:val="both"/>
        <w:rPr>
          <w:rFonts w:asciiTheme="minorHAnsi" w:hAnsiTheme="minorHAnsi" w:cstheme="minorHAnsi"/>
          <w:sz w:val="28"/>
          <w:szCs w:val="28"/>
        </w:rPr>
      </w:pPr>
      <w:r w:rsidRPr="00BB616E">
        <w:rPr>
          <w:rFonts w:asciiTheme="minorHAnsi" w:hAnsiTheme="minorHAnsi" w:cstheme="minorHAnsi"/>
          <w:sz w:val="28"/>
          <w:szCs w:val="28"/>
        </w:rPr>
        <w:t xml:space="preserve">Villavicencio,    </w:t>
      </w:r>
      <w:r>
        <w:rPr>
          <w:rFonts w:asciiTheme="minorHAnsi" w:hAnsiTheme="minorHAnsi" w:cstheme="minorHAnsi"/>
          <w:sz w:val="28"/>
          <w:szCs w:val="28"/>
        </w:rPr>
        <w:t>dieciséis (16) de septiembre de dos mil catorce (2014)</w:t>
      </w:r>
    </w:p>
    <w:p w:rsidR="0002395D" w:rsidRPr="004E3469" w:rsidRDefault="0002395D" w:rsidP="0002395D">
      <w:pPr>
        <w:rPr>
          <w:rFonts w:asciiTheme="minorHAnsi" w:hAnsiTheme="minorHAnsi" w:cstheme="minorHAnsi"/>
          <w:sz w:val="28"/>
          <w:szCs w:val="28"/>
        </w:rPr>
      </w:pPr>
    </w:p>
    <w:p w:rsidR="0002395D" w:rsidRPr="004E3469" w:rsidRDefault="0002395D" w:rsidP="0002395D">
      <w:pPr>
        <w:rPr>
          <w:rFonts w:asciiTheme="minorHAnsi" w:hAnsiTheme="minorHAnsi" w:cstheme="minorHAnsi"/>
          <w:sz w:val="28"/>
          <w:szCs w:val="28"/>
        </w:rPr>
      </w:pPr>
    </w:p>
    <w:p w:rsidR="0002395D" w:rsidRPr="004E3469" w:rsidRDefault="0002395D" w:rsidP="0002395D">
      <w:pPr>
        <w:ind w:left="143" w:firstLine="708"/>
        <w:jc w:val="both"/>
        <w:rPr>
          <w:rFonts w:asciiTheme="minorHAnsi" w:hAnsiTheme="minorHAnsi" w:cstheme="minorHAnsi"/>
          <w:sz w:val="28"/>
          <w:szCs w:val="28"/>
        </w:rPr>
      </w:pPr>
      <w:r w:rsidRPr="004E3469">
        <w:rPr>
          <w:rFonts w:asciiTheme="minorHAnsi" w:hAnsiTheme="minorHAnsi" w:cstheme="minorHAnsi"/>
          <w:sz w:val="28"/>
          <w:szCs w:val="28"/>
        </w:rPr>
        <w:t>MEDIO DE CONTROL:</w:t>
      </w:r>
      <w:r w:rsidRPr="004E3469">
        <w:rPr>
          <w:rFonts w:asciiTheme="minorHAnsi" w:hAnsiTheme="minorHAnsi" w:cstheme="minorHAnsi"/>
          <w:sz w:val="28"/>
          <w:szCs w:val="28"/>
        </w:rPr>
        <w:tab/>
        <w:t>NULIDAD Y RESTABLECIMIENTO  DEL DERECHO</w:t>
      </w:r>
    </w:p>
    <w:p w:rsidR="0002395D" w:rsidRPr="004E3469" w:rsidRDefault="0002395D" w:rsidP="0002395D">
      <w:pPr>
        <w:ind w:left="143" w:firstLine="708"/>
        <w:jc w:val="both"/>
        <w:rPr>
          <w:rFonts w:asciiTheme="minorHAnsi" w:hAnsiTheme="minorHAnsi" w:cstheme="minorHAnsi"/>
          <w:bCs/>
          <w:sz w:val="28"/>
          <w:szCs w:val="28"/>
        </w:rPr>
      </w:pPr>
      <w:r w:rsidRPr="004E3469">
        <w:rPr>
          <w:rFonts w:asciiTheme="minorHAnsi" w:hAnsiTheme="minorHAnsi" w:cstheme="minorHAnsi"/>
          <w:bCs/>
          <w:sz w:val="28"/>
          <w:szCs w:val="28"/>
        </w:rPr>
        <w:t>DEMANDANTE:</w:t>
      </w:r>
      <w:r w:rsidRPr="004E3469">
        <w:rPr>
          <w:rFonts w:asciiTheme="minorHAnsi" w:hAnsiTheme="minorHAnsi" w:cstheme="minorHAnsi"/>
          <w:bCs/>
          <w:sz w:val="28"/>
          <w:szCs w:val="28"/>
        </w:rPr>
        <w:tab/>
      </w:r>
      <w:r w:rsidRPr="004E3469">
        <w:rPr>
          <w:rFonts w:asciiTheme="minorHAnsi" w:hAnsiTheme="minorHAnsi" w:cstheme="minorHAnsi"/>
          <w:bCs/>
          <w:sz w:val="28"/>
          <w:szCs w:val="28"/>
        </w:rPr>
        <w:tab/>
      </w:r>
      <w:r w:rsidR="00136249" w:rsidRPr="004E3469">
        <w:rPr>
          <w:rFonts w:asciiTheme="minorHAnsi" w:hAnsiTheme="minorHAnsi" w:cstheme="minorHAnsi"/>
          <w:bCs/>
          <w:sz w:val="28"/>
          <w:szCs w:val="28"/>
        </w:rPr>
        <w:t>DESIDERIO LOZANO CAMPOS</w:t>
      </w:r>
      <w:r w:rsidRPr="004E3469">
        <w:rPr>
          <w:rFonts w:asciiTheme="minorHAnsi" w:hAnsiTheme="minorHAnsi" w:cstheme="minorHAnsi"/>
          <w:bCs/>
          <w:sz w:val="28"/>
          <w:szCs w:val="28"/>
        </w:rPr>
        <w:t xml:space="preserve"> </w:t>
      </w:r>
    </w:p>
    <w:p w:rsidR="0002395D" w:rsidRPr="004E3469" w:rsidRDefault="0002395D" w:rsidP="0002395D">
      <w:pPr>
        <w:ind w:left="3536" w:right="-487" w:hanging="2685"/>
        <w:rPr>
          <w:rFonts w:asciiTheme="minorHAnsi" w:hAnsiTheme="minorHAnsi" w:cstheme="minorHAnsi"/>
          <w:sz w:val="28"/>
          <w:szCs w:val="28"/>
        </w:rPr>
      </w:pPr>
      <w:r w:rsidRPr="004E3469">
        <w:rPr>
          <w:rFonts w:asciiTheme="minorHAnsi" w:hAnsiTheme="minorHAnsi" w:cstheme="minorHAnsi"/>
          <w:sz w:val="28"/>
          <w:szCs w:val="28"/>
        </w:rPr>
        <w:t xml:space="preserve">DEMANDADO:   </w:t>
      </w:r>
      <w:r w:rsidRPr="004E3469">
        <w:rPr>
          <w:rFonts w:asciiTheme="minorHAnsi" w:hAnsiTheme="minorHAnsi" w:cstheme="minorHAnsi"/>
          <w:sz w:val="28"/>
          <w:szCs w:val="28"/>
        </w:rPr>
        <w:tab/>
      </w:r>
      <w:r w:rsidRPr="004E3469">
        <w:rPr>
          <w:rFonts w:asciiTheme="minorHAnsi" w:hAnsiTheme="minorHAnsi" w:cstheme="minorHAnsi"/>
          <w:sz w:val="28"/>
          <w:szCs w:val="28"/>
        </w:rPr>
        <w:tab/>
        <w:t xml:space="preserve">DEPARTAMENTO DEL GUAVIARE – SECRETARÍA DE SALUD </w:t>
      </w:r>
    </w:p>
    <w:p w:rsidR="0002395D" w:rsidRPr="004E3469" w:rsidRDefault="0002395D" w:rsidP="0002395D">
      <w:pPr>
        <w:widowControl w:val="0"/>
        <w:ind w:left="143" w:firstLine="708"/>
        <w:rPr>
          <w:rFonts w:asciiTheme="minorHAnsi" w:hAnsiTheme="minorHAnsi" w:cstheme="minorHAnsi"/>
          <w:sz w:val="28"/>
          <w:szCs w:val="28"/>
        </w:rPr>
      </w:pPr>
      <w:r w:rsidRPr="004E3469">
        <w:rPr>
          <w:rFonts w:asciiTheme="minorHAnsi" w:hAnsiTheme="minorHAnsi" w:cstheme="minorHAnsi"/>
          <w:sz w:val="28"/>
          <w:szCs w:val="28"/>
        </w:rPr>
        <w:t xml:space="preserve">EXPEDIENTE:   </w:t>
      </w:r>
      <w:r w:rsidRPr="004E3469">
        <w:rPr>
          <w:rFonts w:asciiTheme="minorHAnsi" w:hAnsiTheme="minorHAnsi" w:cstheme="minorHAnsi"/>
          <w:sz w:val="28"/>
          <w:szCs w:val="28"/>
        </w:rPr>
        <w:tab/>
      </w:r>
      <w:r w:rsidRPr="004E3469">
        <w:rPr>
          <w:rFonts w:asciiTheme="minorHAnsi" w:hAnsiTheme="minorHAnsi" w:cstheme="minorHAnsi"/>
          <w:sz w:val="28"/>
          <w:szCs w:val="28"/>
        </w:rPr>
        <w:tab/>
        <w:t>50001-33-33-003-2013-000</w:t>
      </w:r>
      <w:r w:rsidR="00567D88" w:rsidRPr="004E3469">
        <w:rPr>
          <w:rFonts w:asciiTheme="minorHAnsi" w:hAnsiTheme="minorHAnsi" w:cstheme="minorHAnsi"/>
          <w:sz w:val="28"/>
          <w:szCs w:val="28"/>
        </w:rPr>
        <w:t>68</w:t>
      </w:r>
      <w:r w:rsidRPr="004E3469">
        <w:rPr>
          <w:rFonts w:asciiTheme="minorHAnsi" w:hAnsiTheme="minorHAnsi" w:cstheme="minorHAnsi"/>
          <w:sz w:val="28"/>
          <w:szCs w:val="28"/>
        </w:rPr>
        <w:t>-01</w:t>
      </w:r>
    </w:p>
    <w:p w:rsidR="0002395D" w:rsidRPr="004E3469" w:rsidRDefault="0002395D" w:rsidP="0002395D">
      <w:pPr>
        <w:widowControl w:val="0"/>
        <w:ind w:left="143" w:firstLine="708"/>
        <w:jc w:val="both"/>
        <w:rPr>
          <w:rFonts w:asciiTheme="minorHAnsi" w:hAnsiTheme="minorHAnsi" w:cstheme="minorHAnsi"/>
          <w:sz w:val="28"/>
          <w:szCs w:val="28"/>
        </w:rPr>
      </w:pPr>
      <w:r w:rsidRPr="004E3469">
        <w:rPr>
          <w:rFonts w:asciiTheme="minorHAnsi" w:hAnsiTheme="minorHAnsi" w:cstheme="minorHAnsi"/>
          <w:sz w:val="28"/>
          <w:szCs w:val="28"/>
        </w:rPr>
        <w:t>TEMA:</w:t>
      </w:r>
      <w:r w:rsidRPr="004E3469">
        <w:rPr>
          <w:rFonts w:asciiTheme="minorHAnsi" w:hAnsiTheme="minorHAnsi" w:cstheme="minorHAnsi"/>
          <w:sz w:val="28"/>
          <w:szCs w:val="28"/>
        </w:rPr>
        <w:tab/>
      </w:r>
      <w:r w:rsidRPr="004E3469">
        <w:rPr>
          <w:rFonts w:asciiTheme="minorHAnsi" w:hAnsiTheme="minorHAnsi" w:cstheme="minorHAnsi"/>
          <w:sz w:val="28"/>
          <w:szCs w:val="28"/>
        </w:rPr>
        <w:tab/>
      </w:r>
      <w:r w:rsidRPr="004E3469">
        <w:rPr>
          <w:rFonts w:asciiTheme="minorHAnsi" w:hAnsiTheme="minorHAnsi" w:cstheme="minorHAnsi"/>
          <w:sz w:val="28"/>
          <w:szCs w:val="28"/>
        </w:rPr>
        <w:tab/>
        <w:t>CADUCIDAD</w:t>
      </w:r>
    </w:p>
    <w:p w:rsidR="0002395D" w:rsidRPr="004E3469" w:rsidRDefault="0002395D" w:rsidP="0002395D">
      <w:pPr>
        <w:widowControl w:val="0"/>
        <w:ind w:left="851" w:firstLine="1134"/>
        <w:jc w:val="both"/>
        <w:rPr>
          <w:rFonts w:asciiTheme="minorHAnsi" w:hAnsiTheme="minorHAnsi" w:cstheme="minorHAnsi"/>
          <w:sz w:val="28"/>
          <w:szCs w:val="28"/>
        </w:rPr>
      </w:pPr>
    </w:p>
    <w:p w:rsidR="0002395D" w:rsidRPr="004E3469" w:rsidRDefault="0002395D" w:rsidP="0002395D">
      <w:pPr>
        <w:widowControl w:val="0"/>
        <w:ind w:left="851" w:firstLine="709"/>
        <w:jc w:val="center"/>
        <w:rPr>
          <w:rFonts w:asciiTheme="minorHAnsi" w:hAnsiTheme="minorHAnsi" w:cstheme="minorHAnsi"/>
          <w:sz w:val="28"/>
          <w:szCs w:val="28"/>
        </w:rPr>
      </w:pPr>
    </w:p>
    <w:p w:rsidR="0002395D" w:rsidRPr="004E3469" w:rsidRDefault="0002395D" w:rsidP="0002395D">
      <w:pPr>
        <w:widowControl w:val="0"/>
        <w:jc w:val="center"/>
        <w:rPr>
          <w:rFonts w:asciiTheme="minorHAnsi" w:hAnsiTheme="minorHAnsi" w:cstheme="minorHAnsi"/>
          <w:iCs/>
          <w:sz w:val="28"/>
          <w:szCs w:val="28"/>
        </w:rPr>
      </w:pPr>
      <w:r w:rsidRPr="004E3469">
        <w:rPr>
          <w:rFonts w:asciiTheme="minorHAnsi" w:hAnsiTheme="minorHAnsi" w:cstheme="minorHAnsi"/>
          <w:sz w:val="28"/>
          <w:szCs w:val="28"/>
        </w:rPr>
        <w:t xml:space="preserve">MAGISTRADO PONENTE:    </w:t>
      </w:r>
      <w:r w:rsidRPr="004E3469">
        <w:rPr>
          <w:rFonts w:asciiTheme="minorHAnsi" w:hAnsiTheme="minorHAnsi" w:cstheme="minorHAnsi"/>
          <w:iCs/>
          <w:sz w:val="28"/>
          <w:szCs w:val="28"/>
        </w:rPr>
        <w:t>MOISÉS RODRIGO MAZABEL PINZÓN</w:t>
      </w:r>
    </w:p>
    <w:p w:rsidR="0002395D" w:rsidRPr="004E3469" w:rsidRDefault="0002395D" w:rsidP="0002395D">
      <w:pPr>
        <w:widowControl w:val="0"/>
        <w:ind w:left="851" w:firstLine="709"/>
        <w:rPr>
          <w:rFonts w:asciiTheme="minorHAnsi" w:hAnsiTheme="minorHAnsi" w:cstheme="minorHAnsi"/>
          <w:iCs/>
          <w:sz w:val="28"/>
          <w:szCs w:val="28"/>
        </w:rPr>
      </w:pPr>
    </w:p>
    <w:p w:rsidR="0002395D" w:rsidRPr="004E3469" w:rsidRDefault="0002395D" w:rsidP="0002395D">
      <w:pPr>
        <w:jc w:val="both"/>
        <w:rPr>
          <w:rFonts w:asciiTheme="minorHAnsi" w:hAnsiTheme="minorHAnsi" w:cstheme="minorHAnsi"/>
          <w:b/>
          <w:sz w:val="28"/>
          <w:szCs w:val="28"/>
        </w:rPr>
      </w:pPr>
    </w:p>
    <w:p w:rsidR="0002395D" w:rsidRPr="004E3469" w:rsidRDefault="0002395D" w:rsidP="0002395D">
      <w:pPr>
        <w:ind w:firstLine="1134"/>
        <w:jc w:val="both"/>
        <w:rPr>
          <w:rFonts w:asciiTheme="minorHAnsi" w:hAnsiTheme="minorHAnsi" w:cstheme="minorHAnsi"/>
          <w:iCs/>
          <w:sz w:val="28"/>
          <w:szCs w:val="28"/>
        </w:rPr>
      </w:pPr>
      <w:r w:rsidRPr="004E3469">
        <w:rPr>
          <w:rFonts w:asciiTheme="minorHAnsi" w:hAnsiTheme="minorHAnsi" w:cstheme="minorHAnsi"/>
          <w:iCs/>
          <w:sz w:val="28"/>
          <w:szCs w:val="28"/>
        </w:rPr>
        <w:t xml:space="preserve">Procede la Sala a resolver el recurso de Apelación presentado por la parte demandante, contra el auto del 31 de julio del 2013, proferido por el Juzgado Tercero Administrativo de Villavicencio, por medio del cual se rechazó la demanda por haber operado el fenómeno de la caducidad. </w:t>
      </w:r>
    </w:p>
    <w:p w:rsidR="0002395D" w:rsidRPr="004E3469" w:rsidRDefault="0002395D" w:rsidP="0002395D">
      <w:pPr>
        <w:ind w:firstLine="1134"/>
        <w:jc w:val="both"/>
        <w:rPr>
          <w:rFonts w:asciiTheme="minorHAnsi" w:hAnsiTheme="minorHAnsi" w:cstheme="minorHAnsi"/>
          <w:sz w:val="28"/>
          <w:szCs w:val="28"/>
        </w:rPr>
      </w:pPr>
    </w:p>
    <w:p w:rsidR="0002395D" w:rsidRPr="004E3469" w:rsidRDefault="0002395D" w:rsidP="0002395D">
      <w:pPr>
        <w:pStyle w:val="Prrafodelista"/>
        <w:numPr>
          <w:ilvl w:val="0"/>
          <w:numId w:val="1"/>
        </w:numPr>
        <w:jc w:val="center"/>
        <w:rPr>
          <w:rFonts w:asciiTheme="minorHAnsi" w:hAnsiTheme="minorHAnsi" w:cstheme="minorHAnsi"/>
          <w:sz w:val="28"/>
          <w:szCs w:val="28"/>
        </w:rPr>
      </w:pPr>
      <w:r w:rsidRPr="004E3469">
        <w:rPr>
          <w:rFonts w:asciiTheme="minorHAnsi" w:hAnsiTheme="minorHAnsi" w:cstheme="minorHAnsi"/>
          <w:sz w:val="28"/>
          <w:szCs w:val="28"/>
        </w:rPr>
        <w:t>ANTECEDENTES</w:t>
      </w:r>
    </w:p>
    <w:p w:rsidR="0002395D" w:rsidRPr="004E3469" w:rsidRDefault="0002395D" w:rsidP="0002395D">
      <w:pPr>
        <w:jc w:val="both"/>
        <w:rPr>
          <w:rFonts w:asciiTheme="minorHAnsi" w:hAnsiTheme="minorHAnsi" w:cstheme="minorHAnsi"/>
          <w:sz w:val="28"/>
          <w:szCs w:val="28"/>
        </w:rPr>
      </w:pPr>
    </w:p>
    <w:p w:rsidR="0002395D" w:rsidRPr="004E3469" w:rsidRDefault="0002395D" w:rsidP="0002395D">
      <w:pPr>
        <w:tabs>
          <w:tab w:val="left" w:pos="7371"/>
        </w:tabs>
        <w:ind w:firstLine="1134"/>
        <w:jc w:val="both"/>
        <w:rPr>
          <w:rFonts w:asciiTheme="minorHAnsi" w:hAnsiTheme="minorHAnsi" w:cstheme="minorHAnsi"/>
          <w:sz w:val="28"/>
          <w:szCs w:val="28"/>
        </w:rPr>
      </w:pPr>
      <w:r w:rsidRPr="004E3469">
        <w:rPr>
          <w:rFonts w:asciiTheme="minorHAnsi" w:hAnsiTheme="minorHAnsi" w:cstheme="minorHAnsi"/>
          <w:sz w:val="28"/>
          <w:szCs w:val="28"/>
        </w:rPr>
        <w:t>El 10 de julio de 2013</w:t>
      </w:r>
      <w:r w:rsidRPr="004E3469">
        <w:rPr>
          <w:rStyle w:val="Refdenotaalpie"/>
          <w:rFonts w:asciiTheme="minorHAnsi" w:eastAsia="Calibri" w:hAnsiTheme="minorHAnsi" w:cstheme="minorHAnsi"/>
          <w:sz w:val="28"/>
          <w:szCs w:val="28"/>
        </w:rPr>
        <w:footnoteReference w:id="1"/>
      </w:r>
      <w:r w:rsidRPr="004E3469">
        <w:rPr>
          <w:rFonts w:asciiTheme="minorHAnsi" w:hAnsiTheme="minorHAnsi" w:cstheme="minorHAnsi"/>
          <w:sz w:val="28"/>
          <w:szCs w:val="28"/>
        </w:rPr>
        <w:t xml:space="preserve"> la parte actora, en ejercicio del medio de control de nulidad y restablecimiento del derecho, presentó demanda contra el Departamento del Guaviare – Secretaría de Salud, solicitando </w:t>
      </w:r>
      <w:r w:rsidRPr="004E3469">
        <w:rPr>
          <w:rFonts w:asciiTheme="minorHAnsi" w:eastAsiaTheme="minorHAnsi" w:hAnsiTheme="minorHAnsi" w:cstheme="minorHAnsi"/>
          <w:sz w:val="28"/>
          <w:szCs w:val="28"/>
          <w:lang w:val="es-CO" w:eastAsia="en-US"/>
        </w:rPr>
        <w:t xml:space="preserve">se declare la nulidad del Decreto No. 001 del 3 de enero de 2003, por medio del cual la Junta Directiva de la E.S.E. Hospital San José del Guaviare, adoptó la modificación a la planta de personal; y de la Resolución </w:t>
      </w:r>
      <w:r w:rsidR="00567D88" w:rsidRPr="004E3469">
        <w:rPr>
          <w:rFonts w:asciiTheme="minorHAnsi" w:eastAsiaTheme="minorHAnsi" w:hAnsiTheme="minorHAnsi" w:cstheme="minorHAnsi"/>
          <w:sz w:val="28"/>
          <w:szCs w:val="28"/>
          <w:lang w:val="es-CO" w:eastAsia="en-US"/>
        </w:rPr>
        <w:t>No. 0248 del 11 de febrero de 2003</w:t>
      </w:r>
      <w:r w:rsidRPr="004E3469">
        <w:rPr>
          <w:rFonts w:asciiTheme="minorHAnsi" w:eastAsiaTheme="minorHAnsi" w:hAnsiTheme="minorHAnsi" w:cstheme="minorHAnsi"/>
          <w:sz w:val="28"/>
          <w:szCs w:val="28"/>
          <w:lang w:val="es-CO" w:eastAsia="en-US"/>
        </w:rPr>
        <w:t xml:space="preserve">, que suprimió el cargo que desempeñaba  </w:t>
      </w:r>
      <w:r w:rsidR="00050814" w:rsidRPr="004E3469">
        <w:rPr>
          <w:rFonts w:asciiTheme="minorHAnsi" w:eastAsiaTheme="minorHAnsi" w:hAnsiTheme="minorHAnsi" w:cstheme="minorHAnsi"/>
          <w:sz w:val="28"/>
          <w:szCs w:val="28"/>
          <w:lang w:val="es-CO" w:eastAsia="en-US"/>
        </w:rPr>
        <w:t>Desiderio Lozano Campos</w:t>
      </w:r>
      <w:r w:rsidRPr="004E3469">
        <w:rPr>
          <w:rFonts w:asciiTheme="minorHAnsi" w:hAnsiTheme="minorHAnsi" w:cstheme="minorHAnsi"/>
          <w:bCs/>
          <w:sz w:val="28"/>
          <w:szCs w:val="28"/>
        </w:rPr>
        <w:t>.</w:t>
      </w:r>
    </w:p>
    <w:p w:rsidR="0002395D" w:rsidRPr="004E3469" w:rsidRDefault="0002395D" w:rsidP="0002395D">
      <w:pPr>
        <w:ind w:firstLine="1134"/>
        <w:jc w:val="both"/>
        <w:rPr>
          <w:rFonts w:asciiTheme="minorHAnsi" w:hAnsiTheme="minorHAnsi" w:cstheme="minorHAnsi"/>
          <w:sz w:val="28"/>
          <w:szCs w:val="28"/>
        </w:rPr>
      </w:pPr>
    </w:p>
    <w:p w:rsidR="00050814" w:rsidRPr="004E3469" w:rsidRDefault="00050814" w:rsidP="0002395D">
      <w:pPr>
        <w:ind w:firstLine="1134"/>
        <w:jc w:val="both"/>
        <w:rPr>
          <w:rFonts w:asciiTheme="minorHAnsi" w:hAnsiTheme="minorHAnsi" w:cstheme="minorHAnsi"/>
          <w:sz w:val="28"/>
          <w:szCs w:val="28"/>
        </w:rPr>
      </w:pPr>
    </w:p>
    <w:p w:rsidR="00050814" w:rsidRPr="004E3469" w:rsidRDefault="00050814" w:rsidP="0002395D">
      <w:pPr>
        <w:ind w:firstLine="1134"/>
        <w:jc w:val="both"/>
        <w:rPr>
          <w:rFonts w:asciiTheme="minorHAnsi" w:hAnsiTheme="minorHAnsi" w:cstheme="minorHAnsi"/>
          <w:sz w:val="28"/>
          <w:szCs w:val="28"/>
        </w:rPr>
      </w:pPr>
    </w:p>
    <w:p w:rsidR="00050814" w:rsidRPr="004E3469" w:rsidRDefault="00050814" w:rsidP="0002395D">
      <w:pPr>
        <w:ind w:firstLine="1134"/>
        <w:jc w:val="both"/>
        <w:rPr>
          <w:rFonts w:asciiTheme="minorHAnsi" w:hAnsiTheme="minorHAnsi" w:cstheme="minorHAnsi"/>
          <w:sz w:val="28"/>
          <w:szCs w:val="28"/>
        </w:rPr>
      </w:pPr>
    </w:p>
    <w:p w:rsidR="00050814" w:rsidRDefault="00050814" w:rsidP="0002395D">
      <w:pPr>
        <w:ind w:firstLine="1134"/>
        <w:jc w:val="both"/>
        <w:rPr>
          <w:rFonts w:asciiTheme="minorHAnsi" w:hAnsiTheme="minorHAnsi" w:cstheme="minorHAnsi"/>
          <w:sz w:val="28"/>
          <w:szCs w:val="28"/>
        </w:rPr>
      </w:pPr>
    </w:p>
    <w:p w:rsidR="004E3469" w:rsidRPr="004E3469" w:rsidRDefault="004E3469" w:rsidP="0002395D">
      <w:pPr>
        <w:ind w:firstLine="1134"/>
        <w:jc w:val="both"/>
        <w:rPr>
          <w:rFonts w:asciiTheme="minorHAnsi" w:hAnsiTheme="minorHAnsi" w:cstheme="minorHAnsi"/>
          <w:sz w:val="28"/>
          <w:szCs w:val="28"/>
        </w:rPr>
      </w:pPr>
    </w:p>
    <w:p w:rsidR="0002395D" w:rsidRPr="004E3469" w:rsidRDefault="0002395D" w:rsidP="0002395D">
      <w:pPr>
        <w:pStyle w:val="Prrafodelista"/>
        <w:numPr>
          <w:ilvl w:val="0"/>
          <w:numId w:val="1"/>
        </w:numPr>
        <w:jc w:val="center"/>
        <w:rPr>
          <w:rFonts w:asciiTheme="minorHAnsi" w:hAnsiTheme="minorHAnsi" w:cstheme="minorHAnsi"/>
          <w:sz w:val="28"/>
          <w:szCs w:val="28"/>
        </w:rPr>
      </w:pPr>
      <w:r w:rsidRPr="004E3469">
        <w:rPr>
          <w:rFonts w:asciiTheme="minorHAnsi" w:hAnsiTheme="minorHAnsi" w:cstheme="minorHAnsi"/>
          <w:sz w:val="28"/>
          <w:szCs w:val="28"/>
        </w:rPr>
        <w:t>EL AUTO APELADO</w:t>
      </w:r>
    </w:p>
    <w:p w:rsidR="0002395D" w:rsidRPr="004E3469" w:rsidRDefault="0002395D" w:rsidP="0002395D">
      <w:pPr>
        <w:ind w:firstLine="1134"/>
        <w:jc w:val="center"/>
        <w:rPr>
          <w:rFonts w:asciiTheme="minorHAnsi" w:hAnsiTheme="minorHAnsi" w:cstheme="minorHAnsi"/>
          <w:sz w:val="28"/>
          <w:szCs w:val="28"/>
        </w:rPr>
      </w:pPr>
    </w:p>
    <w:p w:rsidR="0002395D" w:rsidRPr="004E3469" w:rsidRDefault="0002395D" w:rsidP="0002395D">
      <w:pPr>
        <w:ind w:firstLine="1134"/>
        <w:jc w:val="both"/>
        <w:rPr>
          <w:rFonts w:asciiTheme="minorHAnsi" w:hAnsiTheme="minorHAnsi" w:cstheme="minorHAnsi"/>
          <w:sz w:val="28"/>
          <w:szCs w:val="28"/>
        </w:rPr>
      </w:pPr>
      <w:r w:rsidRPr="004E3469">
        <w:rPr>
          <w:rFonts w:asciiTheme="minorHAnsi" w:hAnsiTheme="minorHAnsi" w:cstheme="minorHAnsi"/>
          <w:sz w:val="28"/>
          <w:szCs w:val="28"/>
        </w:rPr>
        <w:t>El Juzgado Tercero Administrativo de Villavicencio, mediante providencia del 31 de julio de 2013</w:t>
      </w:r>
      <w:r w:rsidRPr="004E3469">
        <w:rPr>
          <w:rStyle w:val="Refdenotaalpie"/>
          <w:rFonts w:asciiTheme="minorHAnsi" w:hAnsiTheme="minorHAnsi" w:cstheme="minorHAnsi"/>
          <w:sz w:val="28"/>
          <w:szCs w:val="28"/>
        </w:rPr>
        <w:footnoteReference w:id="2"/>
      </w:r>
      <w:r w:rsidRPr="004E3469">
        <w:rPr>
          <w:rFonts w:asciiTheme="minorHAnsi" w:hAnsiTheme="minorHAnsi" w:cstheme="minorHAnsi"/>
          <w:sz w:val="28"/>
          <w:szCs w:val="28"/>
        </w:rPr>
        <w:t>, rechazó de plano la demanda de la referencia, por considerar que en el sub judice operó el fenómeno de la caducidad, tanto respecto del acto general, como del particular cuyas nulidades se reclaman.</w:t>
      </w:r>
    </w:p>
    <w:p w:rsidR="0002395D" w:rsidRPr="004E3469" w:rsidRDefault="0002395D" w:rsidP="0002395D">
      <w:pPr>
        <w:ind w:firstLine="1134"/>
        <w:jc w:val="both"/>
        <w:rPr>
          <w:rFonts w:asciiTheme="minorHAnsi" w:hAnsiTheme="minorHAnsi" w:cstheme="minorHAnsi"/>
          <w:sz w:val="28"/>
          <w:szCs w:val="28"/>
        </w:rPr>
      </w:pPr>
    </w:p>
    <w:p w:rsidR="0002395D" w:rsidRPr="004E3469" w:rsidRDefault="0002395D" w:rsidP="0002395D">
      <w:pPr>
        <w:ind w:firstLine="1134"/>
        <w:jc w:val="both"/>
        <w:rPr>
          <w:rFonts w:asciiTheme="minorHAnsi" w:hAnsiTheme="minorHAnsi" w:cstheme="minorHAnsi"/>
          <w:sz w:val="28"/>
          <w:szCs w:val="28"/>
        </w:rPr>
      </w:pPr>
      <w:r w:rsidRPr="004E3469">
        <w:rPr>
          <w:rFonts w:asciiTheme="minorHAnsi" w:hAnsiTheme="minorHAnsi" w:cstheme="minorHAnsi"/>
          <w:sz w:val="28"/>
          <w:szCs w:val="28"/>
        </w:rPr>
        <w:t>Argumenta la providencia que el término de cuatro (4) meses con el que contaba el interesado  para presentar oportunamente el medio de control, empezó a computarse a partir del 1</w:t>
      </w:r>
      <w:r w:rsidR="00050814" w:rsidRPr="004E3469">
        <w:rPr>
          <w:rFonts w:asciiTheme="minorHAnsi" w:hAnsiTheme="minorHAnsi" w:cstheme="minorHAnsi"/>
          <w:sz w:val="28"/>
          <w:szCs w:val="28"/>
        </w:rPr>
        <w:t>8</w:t>
      </w:r>
      <w:r w:rsidRPr="004E3469">
        <w:rPr>
          <w:rFonts w:asciiTheme="minorHAnsi" w:hAnsiTheme="minorHAnsi" w:cstheme="minorHAnsi"/>
          <w:sz w:val="28"/>
          <w:szCs w:val="28"/>
        </w:rPr>
        <w:t xml:space="preserve"> de febrero de 2003, día siguiente a la fecha de la notificación de la Resolución </w:t>
      </w:r>
      <w:r w:rsidR="00567D88" w:rsidRPr="004E3469">
        <w:rPr>
          <w:rFonts w:asciiTheme="minorHAnsi" w:eastAsiaTheme="minorHAnsi" w:hAnsiTheme="minorHAnsi" w:cstheme="minorHAnsi"/>
          <w:sz w:val="28"/>
          <w:szCs w:val="28"/>
          <w:lang w:val="es-CO" w:eastAsia="en-US"/>
        </w:rPr>
        <w:t>No. 0248 del 11 de febrero de 2003</w:t>
      </w:r>
      <w:r w:rsidRPr="004E3469">
        <w:rPr>
          <w:rStyle w:val="Refdenotaalpie"/>
          <w:rFonts w:asciiTheme="minorHAnsi" w:hAnsiTheme="minorHAnsi" w:cstheme="minorHAnsi"/>
          <w:sz w:val="28"/>
          <w:szCs w:val="28"/>
        </w:rPr>
        <w:footnoteReference w:id="3"/>
      </w:r>
      <w:r w:rsidRPr="004E3469">
        <w:rPr>
          <w:rFonts w:asciiTheme="minorHAnsi" w:hAnsiTheme="minorHAnsi" w:cstheme="minorHAnsi"/>
          <w:sz w:val="28"/>
          <w:szCs w:val="28"/>
        </w:rPr>
        <w:t>, acto de carácter particular cuya nulidad se reclama y venció el 1</w:t>
      </w:r>
      <w:r w:rsidR="00050814" w:rsidRPr="004E3469">
        <w:rPr>
          <w:rFonts w:asciiTheme="minorHAnsi" w:hAnsiTheme="minorHAnsi" w:cstheme="minorHAnsi"/>
          <w:sz w:val="28"/>
          <w:szCs w:val="28"/>
        </w:rPr>
        <w:t>8</w:t>
      </w:r>
      <w:r w:rsidRPr="004E3469">
        <w:rPr>
          <w:rFonts w:asciiTheme="minorHAnsi" w:hAnsiTheme="minorHAnsi" w:cstheme="minorHAnsi"/>
          <w:sz w:val="28"/>
          <w:szCs w:val="28"/>
        </w:rPr>
        <w:t xml:space="preserve"> de junio de esa misma anualidad; de manera que para el día 10 de julio de 2013, fecha en que se  instauró la demanda, había operado el fenómeno de la caducidad. </w:t>
      </w:r>
    </w:p>
    <w:p w:rsidR="0002395D" w:rsidRPr="004E3469" w:rsidRDefault="0002395D" w:rsidP="0002395D">
      <w:pPr>
        <w:ind w:firstLine="1134"/>
        <w:jc w:val="both"/>
        <w:rPr>
          <w:rFonts w:asciiTheme="minorHAnsi" w:hAnsiTheme="minorHAnsi" w:cstheme="minorHAnsi"/>
          <w:sz w:val="28"/>
          <w:szCs w:val="28"/>
        </w:rPr>
      </w:pPr>
    </w:p>
    <w:p w:rsidR="0002395D" w:rsidRPr="004E3469" w:rsidRDefault="0002395D" w:rsidP="0002395D">
      <w:pPr>
        <w:ind w:firstLine="1134"/>
        <w:jc w:val="center"/>
        <w:rPr>
          <w:rFonts w:asciiTheme="minorHAnsi" w:hAnsiTheme="minorHAnsi" w:cstheme="minorHAnsi"/>
          <w:sz w:val="28"/>
          <w:szCs w:val="28"/>
        </w:rPr>
      </w:pPr>
    </w:p>
    <w:p w:rsidR="0002395D" w:rsidRPr="004E3469" w:rsidRDefault="0002395D" w:rsidP="0002395D">
      <w:pPr>
        <w:pStyle w:val="Prrafodelista"/>
        <w:numPr>
          <w:ilvl w:val="0"/>
          <w:numId w:val="1"/>
        </w:numPr>
        <w:jc w:val="center"/>
        <w:rPr>
          <w:rFonts w:asciiTheme="minorHAnsi" w:hAnsiTheme="minorHAnsi" w:cstheme="minorHAnsi"/>
          <w:sz w:val="28"/>
          <w:szCs w:val="28"/>
        </w:rPr>
      </w:pPr>
      <w:r w:rsidRPr="004E3469">
        <w:rPr>
          <w:rFonts w:asciiTheme="minorHAnsi" w:hAnsiTheme="minorHAnsi" w:cstheme="minorHAnsi"/>
          <w:sz w:val="28"/>
          <w:szCs w:val="28"/>
        </w:rPr>
        <w:t>EL RECURSO DE APELACIÓN</w:t>
      </w:r>
    </w:p>
    <w:p w:rsidR="0002395D" w:rsidRPr="004E3469" w:rsidRDefault="0002395D" w:rsidP="0002395D">
      <w:pPr>
        <w:ind w:firstLine="1134"/>
        <w:jc w:val="center"/>
        <w:rPr>
          <w:rFonts w:asciiTheme="minorHAnsi" w:hAnsiTheme="minorHAnsi" w:cstheme="minorHAnsi"/>
          <w:sz w:val="28"/>
          <w:szCs w:val="28"/>
        </w:rPr>
      </w:pPr>
    </w:p>
    <w:p w:rsidR="0002395D" w:rsidRPr="004E3469" w:rsidRDefault="0002395D" w:rsidP="0002395D">
      <w:pPr>
        <w:ind w:firstLine="1134"/>
        <w:jc w:val="both"/>
        <w:rPr>
          <w:rFonts w:asciiTheme="minorHAnsi" w:hAnsiTheme="minorHAnsi" w:cstheme="minorHAnsi"/>
          <w:sz w:val="28"/>
          <w:szCs w:val="28"/>
        </w:rPr>
      </w:pPr>
    </w:p>
    <w:p w:rsidR="0002395D" w:rsidRPr="004E3469" w:rsidRDefault="0002395D" w:rsidP="0002395D">
      <w:pPr>
        <w:ind w:firstLine="1134"/>
        <w:jc w:val="both"/>
        <w:rPr>
          <w:rFonts w:asciiTheme="minorHAnsi" w:hAnsiTheme="minorHAnsi" w:cstheme="minorHAnsi"/>
          <w:bCs/>
          <w:sz w:val="28"/>
          <w:szCs w:val="28"/>
        </w:rPr>
      </w:pPr>
      <w:r w:rsidRPr="004E3469">
        <w:rPr>
          <w:rFonts w:asciiTheme="minorHAnsi" w:hAnsiTheme="minorHAnsi" w:cstheme="minorHAnsi"/>
          <w:sz w:val="28"/>
          <w:szCs w:val="28"/>
        </w:rPr>
        <w:t xml:space="preserve">La parte demandante solicitó se revocara la decisión del a-quo, arguyendo que el Consejo de Estado profirió sentencia en la que dejó sin efectos las ordenanzas    No. 023 del 31 de julio de 2001 y 015 del 21 de noviembre de 2002, expedidas por la Asamblea Departamental del Guaviare por medio de las cuales se concedieron facultades pro tempore al Gobernador de ese Departamento para reorganizar y/o reestructurar la Administración en todos sus niveles, que fueron las que originaron el acto administrativo particular que se demanda, por medio del cual se </w:t>
      </w:r>
      <w:r w:rsidRPr="004E3469">
        <w:rPr>
          <w:rFonts w:asciiTheme="minorHAnsi" w:eastAsiaTheme="minorHAnsi" w:hAnsiTheme="minorHAnsi" w:cstheme="minorHAnsi"/>
          <w:sz w:val="28"/>
          <w:szCs w:val="28"/>
          <w:lang w:val="es-CO" w:eastAsia="en-US"/>
        </w:rPr>
        <w:t xml:space="preserve">suprimió el cargo que desempeñaba </w:t>
      </w:r>
      <w:r w:rsidR="00050814" w:rsidRPr="004E3469">
        <w:rPr>
          <w:rFonts w:asciiTheme="minorHAnsi" w:hAnsiTheme="minorHAnsi" w:cstheme="minorHAnsi"/>
          <w:bCs/>
          <w:sz w:val="28"/>
          <w:szCs w:val="28"/>
        </w:rPr>
        <w:t>Desiderio Lozano Campos</w:t>
      </w:r>
      <w:r w:rsidRPr="004E3469">
        <w:rPr>
          <w:rFonts w:asciiTheme="minorHAnsi" w:hAnsiTheme="minorHAnsi" w:cstheme="minorHAnsi"/>
          <w:bCs/>
          <w:sz w:val="28"/>
          <w:szCs w:val="28"/>
        </w:rPr>
        <w:t>.</w:t>
      </w:r>
    </w:p>
    <w:p w:rsidR="0002395D" w:rsidRPr="004E3469" w:rsidRDefault="0002395D" w:rsidP="0002395D">
      <w:pPr>
        <w:ind w:firstLine="1134"/>
        <w:jc w:val="both"/>
        <w:rPr>
          <w:rFonts w:asciiTheme="minorHAnsi" w:hAnsiTheme="minorHAnsi" w:cstheme="minorHAnsi"/>
          <w:sz w:val="28"/>
          <w:szCs w:val="28"/>
        </w:rPr>
      </w:pPr>
      <w:r w:rsidRPr="004E3469">
        <w:rPr>
          <w:rFonts w:asciiTheme="minorHAnsi" w:hAnsiTheme="minorHAnsi" w:cstheme="minorHAnsi"/>
          <w:sz w:val="28"/>
          <w:szCs w:val="28"/>
        </w:rPr>
        <w:t xml:space="preserve"> </w:t>
      </w:r>
    </w:p>
    <w:p w:rsidR="0002395D" w:rsidRPr="004E3469" w:rsidRDefault="0002395D" w:rsidP="0002395D">
      <w:pPr>
        <w:ind w:firstLine="1134"/>
        <w:jc w:val="both"/>
        <w:rPr>
          <w:rFonts w:asciiTheme="minorHAnsi" w:hAnsiTheme="minorHAnsi" w:cstheme="minorHAnsi"/>
          <w:sz w:val="28"/>
          <w:szCs w:val="28"/>
        </w:rPr>
      </w:pPr>
      <w:r w:rsidRPr="004E3469">
        <w:rPr>
          <w:rFonts w:asciiTheme="minorHAnsi" w:eastAsiaTheme="minorHAnsi" w:hAnsiTheme="minorHAnsi" w:cstheme="minorHAnsi"/>
          <w:sz w:val="28"/>
          <w:szCs w:val="28"/>
          <w:lang w:val="es-CO" w:eastAsia="en-US"/>
        </w:rPr>
        <w:t xml:space="preserve">Así mismo, explicó que el Tribunal Administrativo del Meta, mediante auto del 4 de octubre de 2012, notificó el fallo de la Sección Primera de la Sala de lo Contencioso Administrativo del Consejo de Estado que declaró la nulidad de las Ordenanzas No. 023 del 31 de julio de 2001 y No. 015 del 21 de noviembre de 2002, expedidas por la Asamblea Departamental del Guaviare, y que es a partir  de esa data que debe empezar a contabilizarse el término de caducidad, porque solo hasta entonces pudo reclamarse que las cosas se retrotrajeran al estado en que se encontraban antes de la expedición de esos actos, resaltando que la jurisprudencia enseña que la sentencia de nulidad que recaiga sobre un acto de </w:t>
      </w:r>
      <w:r w:rsidRPr="004E3469">
        <w:rPr>
          <w:rFonts w:asciiTheme="minorHAnsi" w:eastAsiaTheme="minorHAnsi" w:hAnsiTheme="minorHAnsi" w:cstheme="minorHAnsi"/>
          <w:sz w:val="28"/>
          <w:szCs w:val="28"/>
          <w:lang w:val="es-CO" w:eastAsia="en-US"/>
        </w:rPr>
        <w:lastRenderedPageBreak/>
        <w:t xml:space="preserve">carácter general, afecta las situaciones particulares que dependan de él y no se encuentren consolidadas. </w:t>
      </w:r>
    </w:p>
    <w:p w:rsidR="0002395D" w:rsidRPr="004E3469" w:rsidRDefault="0002395D" w:rsidP="0002395D">
      <w:pPr>
        <w:pStyle w:val="Prrafodelista"/>
        <w:numPr>
          <w:ilvl w:val="0"/>
          <w:numId w:val="1"/>
        </w:numPr>
        <w:jc w:val="center"/>
        <w:rPr>
          <w:rFonts w:asciiTheme="minorHAnsi" w:hAnsiTheme="minorHAnsi" w:cstheme="minorHAnsi"/>
          <w:sz w:val="28"/>
          <w:szCs w:val="28"/>
        </w:rPr>
      </w:pPr>
      <w:r w:rsidRPr="004E3469">
        <w:rPr>
          <w:rFonts w:asciiTheme="minorHAnsi" w:hAnsiTheme="minorHAnsi" w:cstheme="minorHAnsi"/>
          <w:sz w:val="28"/>
          <w:szCs w:val="28"/>
        </w:rPr>
        <w:t>CONSIDERACIONES</w:t>
      </w:r>
    </w:p>
    <w:p w:rsidR="0002395D" w:rsidRPr="004E3469" w:rsidRDefault="0002395D" w:rsidP="0002395D">
      <w:pPr>
        <w:pStyle w:val="Prrafodelista"/>
        <w:ind w:left="1854"/>
        <w:rPr>
          <w:rFonts w:asciiTheme="minorHAnsi" w:hAnsiTheme="minorHAnsi" w:cstheme="minorHAnsi"/>
          <w:sz w:val="28"/>
          <w:szCs w:val="28"/>
        </w:rPr>
      </w:pPr>
    </w:p>
    <w:p w:rsidR="0002395D" w:rsidRPr="004E3469" w:rsidRDefault="0002395D" w:rsidP="0002395D">
      <w:pPr>
        <w:pStyle w:val="Prrafodelista"/>
        <w:ind w:left="1854"/>
        <w:rPr>
          <w:rFonts w:asciiTheme="minorHAnsi" w:hAnsiTheme="minorHAnsi" w:cstheme="minorHAnsi"/>
          <w:sz w:val="28"/>
          <w:szCs w:val="28"/>
        </w:rPr>
      </w:pPr>
    </w:p>
    <w:p w:rsidR="0002395D" w:rsidRPr="004E3469" w:rsidRDefault="0002395D" w:rsidP="0002395D">
      <w:pPr>
        <w:ind w:firstLine="1134"/>
        <w:jc w:val="both"/>
        <w:rPr>
          <w:rFonts w:asciiTheme="minorHAnsi" w:hAnsiTheme="minorHAnsi" w:cstheme="minorHAnsi"/>
          <w:sz w:val="28"/>
          <w:szCs w:val="28"/>
        </w:rPr>
      </w:pPr>
      <w:r w:rsidRPr="004E3469">
        <w:rPr>
          <w:rFonts w:asciiTheme="minorHAnsi" w:hAnsiTheme="minorHAnsi" w:cstheme="minorHAnsi"/>
          <w:sz w:val="28"/>
          <w:szCs w:val="28"/>
        </w:rPr>
        <w:t xml:space="preserve">El Tribunal es competente para conocer de la impugnación contra el auto que resolvió rechazar la demanda en primera instancia, proferido por el Juzgado Tercero Administrativo de Villavicencio, de acuerdo con lo previsto en los artículos 153 y 243-1 del CPACA. </w:t>
      </w:r>
    </w:p>
    <w:p w:rsidR="0002395D" w:rsidRPr="004E3469" w:rsidRDefault="0002395D" w:rsidP="0002395D">
      <w:pPr>
        <w:pStyle w:val="NormalWeb"/>
        <w:shd w:val="clear" w:color="auto" w:fill="FFFFFF"/>
        <w:ind w:firstLine="1134"/>
        <w:jc w:val="both"/>
        <w:rPr>
          <w:rFonts w:asciiTheme="minorHAnsi" w:hAnsiTheme="minorHAnsi" w:cstheme="minorHAnsi"/>
          <w:color w:val="000000"/>
          <w:sz w:val="28"/>
          <w:szCs w:val="28"/>
        </w:rPr>
      </w:pPr>
      <w:r w:rsidRPr="004E3469">
        <w:rPr>
          <w:rFonts w:asciiTheme="minorHAnsi" w:hAnsiTheme="minorHAnsi" w:cstheme="minorHAnsi"/>
          <w:sz w:val="28"/>
          <w:szCs w:val="28"/>
        </w:rPr>
        <w:t xml:space="preserve">El inciso 2 del artículo 138 de la Ley 1437 de 2011, indica que existe un límite en el tiempo para </w:t>
      </w:r>
      <w:r w:rsidRPr="004E3469">
        <w:rPr>
          <w:rFonts w:asciiTheme="minorHAnsi" w:hAnsiTheme="minorHAnsi" w:cstheme="minorHAnsi"/>
          <w:color w:val="000000"/>
          <w:sz w:val="28"/>
          <w:szCs w:val="28"/>
        </w:rPr>
        <w:t>pretender la nulidad de un acto administrativo general y pedir el restablecimiento del derecho que el demandante considere que le está siendo vulnerado directamente éste o la reparación del daño causado y éste es el de los cuatro (4) meses siguientes a su publicación. Al respecto la norma indica:</w:t>
      </w:r>
    </w:p>
    <w:p w:rsidR="0002395D" w:rsidRPr="004E3469" w:rsidRDefault="0002395D" w:rsidP="0002395D">
      <w:pPr>
        <w:pStyle w:val="NormalWeb"/>
        <w:shd w:val="clear" w:color="auto" w:fill="FFFFFF"/>
        <w:spacing w:beforeAutospacing="0" w:afterAutospacing="0"/>
        <w:ind w:left="1134" w:right="1128"/>
        <w:jc w:val="both"/>
        <w:rPr>
          <w:rFonts w:asciiTheme="minorHAnsi" w:hAnsiTheme="minorHAnsi" w:cstheme="minorHAnsi"/>
          <w:i/>
          <w:color w:val="000000"/>
        </w:rPr>
      </w:pPr>
      <w:r w:rsidRPr="004E3469">
        <w:rPr>
          <w:rFonts w:asciiTheme="minorHAnsi" w:hAnsiTheme="minorHAnsi" w:cstheme="minorHAnsi"/>
          <w:b/>
          <w:bCs/>
          <w:i/>
          <w:color w:val="000000"/>
        </w:rPr>
        <w:t>“Artículo 138.</w:t>
      </w:r>
      <w:r w:rsidRPr="004E3469">
        <w:rPr>
          <w:rStyle w:val="apple-converted-space"/>
          <w:rFonts w:asciiTheme="minorHAnsi" w:hAnsiTheme="minorHAnsi" w:cstheme="minorHAnsi"/>
          <w:b/>
          <w:bCs/>
          <w:i/>
          <w:color w:val="000000"/>
        </w:rPr>
        <w:t> </w:t>
      </w:r>
      <w:r w:rsidRPr="004E3469">
        <w:rPr>
          <w:rFonts w:asciiTheme="minorHAnsi" w:hAnsiTheme="minorHAnsi" w:cstheme="minorHAnsi"/>
          <w:b/>
          <w:bCs/>
          <w:i/>
          <w:iCs/>
          <w:color w:val="000000"/>
        </w:rPr>
        <w:t>Nulidad y restablecimiento del derecho.</w:t>
      </w:r>
      <w:r w:rsidRPr="004E3469">
        <w:rPr>
          <w:rStyle w:val="apple-converted-space"/>
          <w:rFonts w:asciiTheme="minorHAnsi" w:hAnsiTheme="minorHAnsi" w:cstheme="minorHAnsi"/>
          <w:i/>
          <w:iCs/>
          <w:color w:val="000000"/>
        </w:rPr>
        <w:t> </w:t>
      </w:r>
      <w:r w:rsidRPr="004E3469">
        <w:rPr>
          <w:rFonts w:asciiTheme="minorHAnsi" w:hAnsiTheme="minorHAnsi" w:cstheme="minorHAnsi"/>
          <w:i/>
          <w:color w:val="000000"/>
        </w:rPr>
        <w:t>Toda persona que se crea lesionada en un derecho subjetivo…</w:t>
      </w:r>
    </w:p>
    <w:p w:rsidR="0002395D" w:rsidRPr="004E3469" w:rsidRDefault="0002395D" w:rsidP="0002395D">
      <w:pPr>
        <w:pStyle w:val="NormalWeb"/>
        <w:shd w:val="clear" w:color="auto" w:fill="FFFFFF"/>
        <w:spacing w:beforeAutospacing="0" w:afterAutospacing="0"/>
        <w:ind w:left="1134" w:right="1128"/>
        <w:jc w:val="both"/>
        <w:rPr>
          <w:rFonts w:asciiTheme="minorHAnsi" w:hAnsiTheme="minorHAnsi" w:cstheme="minorHAnsi"/>
          <w:i/>
          <w:color w:val="000000"/>
        </w:rPr>
      </w:pPr>
      <w:r w:rsidRPr="004E3469">
        <w:rPr>
          <w:rFonts w:asciiTheme="minorHAnsi" w:hAnsiTheme="minorHAnsi" w:cstheme="minorHAnsi"/>
          <w:i/>
          <w:color w:val="000000"/>
        </w:rPr>
        <w:t>Igualmente podrá pretenderse la nulidad del acto administrativo general y pedirse el restablecimiento del derecho directamente violado por este al particular demandante o la reparación del daño causado a dicho particular por el mismo, siempre y cuando la demanda se presente en tiempo, esto es, dentro de los cuatro (4) meses siguientes a su publicación. Si existe un acto intermedio, de ejecución o cumplimiento del acto general, el término anterior se contará a partir de la notificación de aquel.”</w:t>
      </w:r>
    </w:p>
    <w:p w:rsidR="0002395D" w:rsidRPr="004E3469" w:rsidRDefault="0002395D" w:rsidP="0002395D">
      <w:pPr>
        <w:widowControl w:val="0"/>
        <w:ind w:firstLine="1134"/>
        <w:jc w:val="both"/>
        <w:rPr>
          <w:rFonts w:asciiTheme="minorHAnsi" w:hAnsiTheme="minorHAnsi" w:cstheme="minorHAnsi"/>
          <w:sz w:val="24"/>
          <w:szCs w:val="24"/>
        </w:rPr>
      </w:pPr>
    </w:p>
    <w:p w:rsidR="0002395D" w:rsidRPr="004E3469" w:rsidRDefault="0002395D" w:rsidP="0002395D">
      <w:pPr>
        <w:widowControl w:val="0"/>
        <w:ind w:firstLine="1134"/>
        <w:jc w:val="both"/>
        <w:rPr>
          <w:rFonts w:asciiTheme="minorHAnsi" w:hAnsiTheme="minorHAnsi" w:cstheme="minorHAnsi"/>
          <w:sz w:val="28"/>
          <w:szCs w:val="28"/>
        </w:rPr>
      </w:pPr>
    </w:p>
    <w:p w:rsidR="0002395D" w:rsidRPr="004E3469" w:rsidRDefault="0002395D" w:rsidP="0002395D">
      <w:pPr>
        <w:widowControl w:val="0"/>
        <w:ind w:firstLine="1134"/>
        <w:jc w:val="both"/>
        <w:rPr>
          <w:rFonts w:asciiTheme="minorHAnsi" w:hAnsiTheme="minorHAnsi" w:cstheme="minorHAnsi"/>
          <w:sz w:val="28"/>
          <w:szCs w:val="28"/>
        </w:rPr>
      </w:pPr>
      <w:r w:rsidRPr="004E3469">
        <w:rPr>
          <w:rFonts w:asciiTheme="minorHAnsi" w:hAnsiTheme="minorHAnsi" w:cstheme="minorHAnsi"/>
          <w:sz w:val="28"/>
          <w:szCs w:val="28"/>
        </w:rPr>
        <w:t>Y el artículo 164 del mismo ordenamiento, refiere:</w:t>
      </w:r>
    </w:p>
    <w:p w:rsidR="0002395D" w:rsidRPr="004E3469" w:rsidRDefault="0002395D" w:rsidP="0002395D">
      <w:pPr>
        <w:pStyle w:val="NormalWeb"/>
        <w:ind w:left="1134" w:right="1015"/>
        <w:jc w:val="both"/>
        <w:rPr>
          <w:rFonts w:asciiTheme="minorHAnsi" w:hAnsiTheme="minorHAnsi" w:cstheme="minorHAnsi"/>
          <w:i/>
        </w:rPr>
      </w:pPr>
      <w:r w:rsidRPr="004E3469">
        <w:rPr>
          <w:rFonts w:asciiTheme="minorHAnsi" w:hAnsiTheme="minorHAnsi" w:cstheme="minorHAnsi"/>
          <w:b/>
          <w:bCs/>
          <w:i/>
        </w:rPr>
        <w:t xml:space="preserve">“Artículo 164. </w:t>
      </w:r>
      <w:r w:rsidRPr="004E3469">
        <w:rPr>
          <w:rFonts w:asciiTheme="minorHAnsi" w:hAnsiTheme="minorHAnsi" w:cstheme="minorHAnsi"/>
          <w:b/>
          <w:bCs/>
          <w:i/>
          <w:iCs/>
        </w:rPr>
        <w:t>Oportunidad para presentar la demanda.</w:t>
      </w:r>
      <w:r w:rsidRPr="004E3469">
        <w:rPr>
          <w:rFonts w:asciiTheme="minorHAnsi" w:hAnsiTheme="minorHAnsi" w:cstheme="minorHAnsi"/>
          <w:i/>
          <w:iCs/>
        </w:rPr>
        <w:t xml:space="preserve"> </w:t>
      </w:r>
      <w:r w:rsidRPr="004E3469">
        <w:rPr>
          <w:rFonts w:asciiTheme="minorHAnsi" w:hAnsiTheme="minorHAnsi" w:cstheme="minorHAnsi"/>
          <w:i/>
        </w:rPr>
        <w:t xml:space="preserve">La demanda deberá ser presentada: (…) </w:t>
      </w:r>
    </w:p>
    <w:p w:rsidR="0002395D" w:rsidRPr="004E3469" w:rsidRDefault="0002395D" w:rsidP="0002395D">
      <w:pPr>
        <w:pStyle w:val="NormalWeb"/>
        <w:ind w:left="1134" w:right="1015"/>
        <w:jc w:val="both"/>
        <w:rPr>
          <w:rFonts w:asciiTheme="minorHAnsi" w:hAnsiTheme="minorHAnsi" w:cstheme="minorHAnsi"/>
          <w:i/>
        </w:rPr>
      </w:pPr>
      <w:r w:rsidRPr="004E3469">
        <w:rPr>
          <w:rFonts w:asciiTheme="minorHAnsi" w:hAnsiTheme="minorHAnsi" w:cstheme="minorHAnsi"/>
          <w:i/>
        </w:rPr>
        <w:t>2. En los siguientes términos, so pena de que opere la caducidad: (…)</w:t>
      </w:r>
    </w:p>
    <w:p w:rsidR="0002395D" w:rsidRPr="004E3469" w:rsidRDefault="0002395D" w:rsidP="0002395D">
      <w:pPr>
        <w:pStyle w:val="NormalWeb"/>
        <w:ind w:left="1134" w:right="1015"/>
        <w:jc w:val="both"/>
        <w:rPr>
          <w:rFonts w:asciiTheme="minorHAnsi" w:hAnsiTheme="minorHAnsi" w:cstheme="minorHAnsi"/>
          <w:i/>
        </w:rPr>
      </w:pPr>
      <w:r w:rsidRPr="004E3469">
        <w:rPr>
          <w:rFonts w:asciiTheme="minorHAnsi" w:hAnsiTheme="minorHAnsi" w:cstheme="minorHAnsi"/>
          <w:i/>
        </w:rPr>
        <w:t>d) Cuando se pretenda la nulidad y restablecimiento del derecho, la demanda deberá presentarse dentro del término de cuatro (4) meses contados a partir del día siguiente al de la comunicación, notificación, ejecución o publicación del acto administrativo, según el caso, salvo las excepciones establecidas en otras disposiciones legales;”</w:t>
      </w:r>
    </w:p>
    <w:p w:rsidR="0002395D" w:rsidRPr="004E3469" w:rsidRDefault="0002395D" w:rsidP="0002395D">
      <w:pPr>
        <w:ind w:firstLine="1134"/>
        <w:jc w:val="both"/>
        <w:rPr>
          <w:rFonts w:asciiTheme="minorHAnsi" w:eastAsiaTheme="minorHAnsi" w:hAnsiTheme="minorHAnsi" w:cstheme="minorHAnsi"/>
          <w:sz w:val="28"/>
          <w:szCs w:val="28"/>
          <w:lang w:val="es-CO" w:eastAsia="en-US"/>
        </w:rPr>
      </w:pPr>
      <w:r w:rsidRPr="004E3469">
        <w:rPr>
          <w:rFonts w:asciiTheme="minorHAnsi" w:eastAsiaTheme="minorHAnsi" w:hAnsiTheme="minorHAnsi" w:cstheme="minorHAnsi"/>
          <w:sz w:val="28"/>
          <w:szCs w:val="28"/>
          <w:lang w:val="es-CO" w:eastAsia="en-US"/>
        </w:rPr>
        <w:t>Dice el demandante</w:t>
      </w:r>
      <w:r w:rsidRPr="004E3469">
        <w:rPr>
          <w:rStyle w:val="Refdenotaalpie"/>
          <w:rFonts w:asciiTheme="minorHAnsi" w:eastAsiaTheme="minorHAnsi" w:hAnsiTheme="minorHAnsi" w:cstheme="minorHAnsi"/>
          <w:sz w:val="28"/>
          <w:szCs w:val="28"/>
          <w:lang w:val="es-CO" w:eastAsia="en-US"/>
        </w:rPr>
        <w:footnoteReference w:id="4"/>
      </w:r>
      <w:r w:rsidRPr="004E3469">
        <w:rPr>
          <w:rFonts w:asciiTheme="minorHAnsi" w:eastAsiaTheme="minorHAnsi" w:hAnsiTheme="minorHAnsi" w:cstheme="minorHAnsi"/>
          <w:sz w:val="28"/>
          <w:szCs w:val="28"/>
          <w:lang w:val="es-CO" w:eastAsia="en-US"/>
        </w:rPr>
        <w:t xml:space="preserve">, sin aportar prueba que respalde su aseveración, que el Tribunal Administrativo del Meta, mediante auto del </w:t>
      </w:r>
      <w:r w:rsidRPr="004E3469">
        <w:rPr>
          <w:rFonts w:asciiTheme="minorHAnsi" w:eastAsiaTheme="minorHAnsi" w:hAnsiTheme="minorHAnsi" w:cstheme="minorHAnsi"/>
          <w:b/>
          <w:sz w:val="28"/>
          <w:szCs w:val="28"/>
          <w:lang w:val="es-CO" w:eastAsia="en-US"/>
        </w:rPr>
        <w:t>4 de octubre de 2012</w:t>
      </w:r>
      <w:r w:rsidRPr="004E3469">
        <w:rPr>
          <w:rFonts w:asciiTheme="minorHAnsi" w:eastAsiaTheme="minorHAnsi" w:hAnsiTheme="minorHAnsi" w:cstheme="minorHAnsi"/>
          <w:sz w:val="28"/>
          <w:szCs w:val="28"/>
          <w:lang w:val="es-CO" w:eastAsia="en-US"/>
        </w:rPr>
        <w:t xml:space="preserve">, notificó el fallo en el que el Consejo de Estado  declaró nulas las Ordenanzas No. 023 del 31 de julio de 2001 y No. 015 del 21 de noviembre de 2002, expedidas por la Asamblea Departamental del Guaviare, presunto sustento jurídico del Acuerdo </w:t>
      </w:r>
      <w:r w:rsidRPr="004E3469">
        <w:rPr>
          <w:rFonts w:asciiTheme="minorHAnsi" w:eastAsiaTheme="minorHAnsi" w:hAnsiTheme="minorHAnsi" w:cstheme="minorHAnsi"/>
          <w:sz w:val="28"/>
          <w:szCs w:val="28"/>
          <w:lang w:val="es-CO" w:eastAsia="en-US"/>
        </w:rPr>
        <w:lastRenderedPageBreak/>
        <w:t xml:space="preserve">No. 001 del 3 de enero de 2003, por medio del cual la Junta Directiva de la E.S.E. Hospital San José del Guaviare y de la Resolución </w:t>
      </w:r>
      <w:r w:rsidR="00567D88" w:rsidRPr="004E3469">
        <w:rPr>
          <w:rFonts w:asciiTheme="minorHAnsi" w:eastAsiaTheme="minorHAnsi" w:hAnsiTheme="minorHAnsi" w:cstheme="minorHAnsi"/>
          <w:sz w:val="28"/>
          <w:szCs w:val="28"/>
          <w:lang w:val="es-CO" w:eastAsia="en-US"/>
        </w:rPr>
        <w:t>No. 0248 del 11 de febrero de 2003</w:t>
      </w:r>
      <w:r w:rsidRPr="004E3469">
        <w:rPr>
          <w:rFonts w:asciiTheme="minorHAnsi" w:eastAsiaTheme="minorHAnsi" w:hAnsiTheme="minorHAnsi" w:cstheme="minorHAnsi"/>
          <w:sz w:val="28"/>
          <w:szCs w:val="28"/>
          <w:lang w:val="es-CO" w:eastAsia="en-US"/>
        </w:rPr>
        <w:t xml:space="preserve">, cuyas nulidades se demanda y que por lo tanto es a partir  de esa data que debe empezar a contabilizarse el término de caducidad. </w:t>
      </w:r>
    </w:p>
    <w:p w:rsidR="0002395D" w:rsidRPr="004E3469" w:rsidRDefault="0002395D" w:rsidP="0002395D">
      <w:pPr>
        <w:ind w:firstLine="1134"/>
        <w:jc w:val="both"/>
        <w:rPr>
          <w:rFonts w:asciiTheme="minorHAnsi" w:eastAsiaTheme="minorHAnsi" w:hAnsiTheme="minorHAnsi" w:cstheme="minorHAnsi"/>
          <w:sz w:val="28"/>
          <w:szCs w:val="28"/>
          <w:lang w:val="es-CO" w:eastAsia="en-US"/>
        </w:rPr>
      </w:pPr>
    </w:p>
    <w:p w:rsidR="0002395D" w:rsidRPr="004E3469" w:rsidRDefault="0002395D" w:rsidP="0002395D">
      <w:pPr>
        <w:ind w:firstLine="1134"/>
        <w:jc w:val="both"/>
        <w:rPr>
          <w:rFonts w:asciiTheme="minorHAnsi" w:hAnsiTheme="minorHAnsi" w:cstheme="minorHAnsi"/>
          <w:bCs/>
          <w:sz w:val="28"/>
          <w:szCs w:val="28"/>
        </w:rPr>
      </w:pPr>
      <w:r w:rsidRPr="004E3469">
        <w:rPr>
          <w:rFonts w:asciiTheme="minorHAnsi" w:hAnsiTheme="minorHAnsi" w:cstheme="minorHAnsi"/>
          <w:sz w:val="28"/>
          <w:szCs w:val="28"/>
        </w:rPr>
        <w:t xml:space="preserve">Si en gracia de discusión  se admitiera que la nulidad decretada por el Consejo de Estado podría llegar a tener efectos retroactivos sobre el caso particular de  </w:t>
      </w:r>
      <w:r w:rsidR="00050814" w:rsidRPr="004E3469">
        <w:rPr>
          <w:rFonts w:asciiTheme="minorHAnsi" w:hAnsiTheme="minorHAnsi" w:cstheme="minorHAnsi"/>
          <w:bCs/>
          <w:sz w:val="28"/>
          <w:szCs w:val="28"/>
        </w:rPr>
        <w:t>Desiderio Lozano Campos</w:t>
      </w:r>
      <w:r w:rsidRPr="004E3469">
        <w:rPr>
          <w:rFonts w:asciiTheme="minorHAnsi" w:hAnsiTheme="minorHAnsi" w:cstheme="minorHAnsi"/>
          <w:sz w:val="28"/>
          <w:szCs w:val="28"/>
        </w:rPr>
        <w:t>, en el evento que su situación no estuviera consolidada aunque, según lo expresado por la demandante, respecto de la decisión del Departamento del Guaviare, consistente en la supresión del cargo que desempeñaba, se surtió el recurso de Reposición “quedando ejecutoriada la decisión del retiro del cargo”</w:t>
      </w:r>
      <w:r w:rsidRPr="004E3469">
        <w:rPr>
          <w:rStyle w:val="Refdenotaalpie"/>
          <w:rFonts w:asciiTheme="minorHAnsi" w:hAnsiTheme="minorHAnsi" w:cstheme="minorHAnsi"/>
          <w:sz w:val="28"/>
          <w:szCs w:val="28"/>
        </w:rPr>
        <w:footnoteReference w:id="5"/>
      </w:r>
      <w:r w:rsidRPr="004E3469">
        <w:rPr>
          <w:rFonts w:asciiTheme="minorHAnsi" w:hAnsiTheme="minorHAnsi" w:cstheme="minorHAnsi"/>
          <w:sz w:val="28"/>
          <w:szCs w:val="28"/>
        </w:rPr>
        <w:t>,  lo cierto es que la presentación de la demanda se produjo de todas formas de manera extemporánea, por las razones que pasa a anotarse:</w:t>
      </w:r>
    </w:p>
    <w:p w:rsidR="0002395D" w:rsidRPr="004E3469" w:rsidRDefault="0002395D" w:rsidP="0002395D">
      <w:pPr>
        <w:ind w:firstLine="1134"/>
        <w:jc w:val="both"/>
        <w:rPr>
          <w:rFonts w:asciiTheme="minorHAnsi" w:hAnsiTheme="minorHAnsi" w:cstheme="minorHAnsi"/>
          <w:sz w:val="28"/>
          <w:szCs w:val="28"/>
        </w:rPr>
      </w:pPr>
    </w:p>
    <w:p w:rsidR="0002395D" w:rsidRPr="004E3469" w:rsidRDefault="0002395D" w:rsidP="0002395D">
      <w:pPr>
        <w:pStyle w:val="Default"/>
        <w:ind w:firstLine="1134"/>
        <w:jc w:val="both"/>
        <w:rPr>
          <w:rFonts w:asciiTheme="minorHAnsi" w:hAnsiTheme="minorHAnsi" w:cstheme="minorHAnsi"/>
          <w:color w:val="auto"/>
          <w:sz w:val="28"/>
          <w:szCs w:val="28"/>
        </w:rPr>
      </w:pPr>
      <w:r w:rsidRPr="004E3469">
        <w:rPr>
          <w:rFonts w:asciiTheme="minorHAnsi" w:hAnsiTheme="minorHAnsi" w:cstheme="minorHAnsi"/>
          <w:color w:val="auto"/>
          <w:sz w:val="28"/>
          <w:szCs w:val="28"/>
        </w:rPr>
        <w:t xml:space="preserve">Conforme a la norma en cita, que indica que cuando se pretenda la nulidad y restablecimiento del derecho, la demanda deberá presentarse dentro del término de cuatro (4) meses contados </w:t>
      </w:r>
      <w:r w:rsidRPr="004E3469">
        <w:rPr>
          <w:rFonts w:asciiTheme="minorHAnsi" w:hAnsiTheme="minorHAnsi" w:cstheme="minorHAnsi"/>
          <w:b/>
          <w:color w:val="auto"/>
          <w:sz w:val="28"/>
          <w:szCs w:val="28"/>
        </w:rPr>
        <w:t xml:space="preserve">a partir del día siguiente </w:t>
      </w:r>
      <w:r w:rsidRPr="004E3469">
        <w:rPr>
          <w:rFonts w:asciiTheme="minorHAnsi" w:hAnsiTheme="minorHAnsi" w:cstheme="minorHAnsi"/>
          <w:color w:val="auto"/>
          <w:sz w:val="28"/>
          <w:szCs w:val="28"/>
        </w:rPr>
        <w:t xml:space="preserve">al de la comunicación, notificación, ejecución o publicación y en el entendido que el </w:t>
      </w:r>
      <w:r w:rsidRPr="004E3469">
        <w:rPr>
          <w:rFonts w:asciiTheme="minorHAnsi" w:hAnsiTheme="minorHAnsi" w:cstheme="minorHAnsi"/>
          <w:b/>
          <w:color w:val="auto"/>
          <w:sz w:val="28"/>
          <w:szCs w:val="28"/>
        </w:rPr>
        <w:t>4 de octubre de 2012</w:t>
      </w:r>
      <w:r w:rsidRPr="004E3469">
        <w:rPr>
          <w:rFonts w:asciiTheme="minorHAnsi" w:hAnsiTheme="minorHAnsi" w:cstheme="minorHAnsi"/>
          <w:color w:val="auto"/>
          <w:sz w:val="28"/>
          <w:szCs w:val="28"/>
        </w:rPr>
        <w:t xml:space="preserve">, cobró ejecutoria el pronunciamiento del Consejo de Estado y, como lo reclama la demandante, a partir de entonces debe contabilizarse el término de caducidad, se tiene que la fecha límite para impetrar el medio de control, se extendía hasta el </w:t>
      </w:r>
      <w:r w:rsidRPr="004E3469">
        <w:rPr>
          <w:rFonts w:asciiTheme="minorHAnsi" w:hAnsiTheme="minorHAnsi" w:cstheme="minorHAnsi"/>
          <w:b/>
          <w:color w:val="auto"/>
          <w:sz w:val="28"/>
          <w:szCs w:val="28"/>
        </w:rPr>
        <w:t>5 de febrero de 2013.</w:t>
      </w:r>
      <w:r w:rsidRPr="004E3469">
        <w:rPr>
          <w:rFonts w:asciiTheme="minorHAnsi" w:hAnsiTheme="minorHAnsi" w:cstheme="minorHAnsi"/>
          <w:color w:val="auto"/>
          <w:sz w:val="28"/>
          <w:szCs w:val="28"/>
        </w:rPr>
        <w:t xml:space="preserve"> </w:t>
      </w:r>
    </w:p>
    <w:p w:rsidR="0002395D" w:rsidRPr="004E3469" w:rsidRDefault="0002395D" w:rsidP="0002395D">
      <w:pPr>
        <w:pStyle w:val="Default"/>
        <w:ind w:firstLine="1134"/>
        <w:jc w:val="both"/>
        <w:rPr>
          <w:rFonts w:asciiTheme="minorHAnsi" w:hAnsiTheme="minorHAnsi" w:cstheme="minorHAnsi"/>
          <w:color w:val="auto"/>
          <w:sz w:val="28"/>
          <w:szCs w:val="28"/>
        </w:rPr>
      </w:pPr>
    </w:p>
    <w:p w:rsidR="0002395D" w:rsidRPr="004E3469" w:rsidRDefault="0002395D" w:rsidP="0002395D">
      <w:pPr>
        <w:ind w:firstLine="1134"/>
        <w:jc w:val="both"/>
        <w:rPr>
          <w:rFonts w:asciiTheme="minorHAnsi" w:hAnsiTheme="minorHAnsi" w:cstheme="minorHAnsi"/>
          <w:sz w:val="28"/>
          <w:szCs w:val="28"/>
        </w:rPr>
      </w:pPr>
      <w:r w:rsidRPr="004E3469">
        <w:rPr>
          <w:rFonts w:asciiTheme="minorHAnsi" w:hAnsiTheme="minorHAnsi" w:cstheme="minorHAnsi"/>
          <w:sz w:val="28"/>
          <w:szCs w:val="28"/>
          <w:lang w:val="es-CO"/>
        </w:rPr>
        <w:t xml:space="preserve">Como en la demanda se formulan pretensiones relativas a nulidad con restablecimiento del derecho,  debió agotarse el requisito de </w:t>
      </w:r>
      <w:proofErr w:type="spellStart"/>
      <w:r w:rsidRPr="004E3469">
        <w:rPr>
          <w:rFonts w:asciiTheme="minorHAnsi" w:hAnsiTheme="minorHAnsi" w:cstheme="minorHAnsi"/>
          <w:sz w:val="28"/>
          <w:szCs w:val="28"/>
          <w:lang w:val="es-CO"/>
        </w:rPr>
        <w:t>procedibilidad</w:t>
      </w:r>
      <w:proofErr w:type="spellEnd"/>
      <w:r w:rsidRPr="004E3469">
        <w:rPr>
          <w:rFonts w:asciiTheme="minorHAnsi" w:hAnsiTheme="minorHAnsi" w:cstheme="minorHAnsi"/>
          <w:sz w:val="28"/>
          <w:szCs w:val="28"/>
          <w:lang w:val="es-CO"/>
        </w:rPr>
        <w:t xml:space="preserve"> de la </w:t>
      </w:r>
      <w:r w:rsidRPr="004E3469">
        <w:rPr>
          <w:rFonts w:asciiTheme="minorHAnsi" w:hAnsiTheme="minorHAnsi" w:cstheme="minorHAnsi"/>
          <w:sz w:val="28"/>
          <w:szCs w:val="28"/>
        </w:rPr>
        <w:t>conciliación prejudicial, conforme al numeral 1º del artículo 161 del CPACA.</w:t>
      </w:r>
    </w:p>
    <w:p w:rsidR="0002395D" w:rsidRPr="004E3469" w:rsidRDefault="0002395D" w:rsidP="0002395D">
      <w:pPr>
        <w:ind w:firstLine="1134"/>
        <w:jc w:val="both"/>
        <w:rPr>
          <w:rFonts w:asciiTheme="minorHAnsi" w:hAnsiTheme="minorHAnsi" w:cstheme="minorHAnsi"/>
          <w:sz w:val="28"/>
          <w:szCs w:val="28"/>
        </w:rPr>
      </w:pPr>
    </w:p>
    <w:p w:rsidR="0002395D" w:rsidRPr="004E3469" w:rsidRDefault="0002395D" w:rsidP="0002395D">
      <w:pPr>
        <w:pStyle w:val="Sangra2detindependiente"/>
        <w:spacing w:line="240" w:lineRule="auto"/>
        <w:ind w:left="708" w:firstLine="426"/>
        <w:rPr>
          <w:rFonts w:asciiTheme="minorHAnsi" w:hAnsiTheme="minorHAnsi" w:cstheme="minorHAnsi"/>
          <w:sz w:val="28"/>
          <w:szCs w:val="28"/>
        </w:rPr>
      </w:pPr>
      <w:r w:rsidRPr="004E3469">
        <w:rPr>
          <w:rFonts w:asciiTheme="minorHAnsi" w:hAnsiTheme="minorHAnsi" w:cstheme="minorHAnsi"/>
          <w:sz w:val="28"/>
          <w:szCs w:val="28"/>
        </w:rPr>
        <w:t>La Corte Constitucional ha expresado sobre la caducidad:</w:t>
      </w:r>
    </w:p>
    <w:p w:rsidR="0002395D" w:rsidRPr="004E3469" w:rsidRDefault="0002395D" w:rsidP="0002395D">
      <w:pPr>
        <w:pStyle w:val="Sangra2detindependiente"/>
        <w:spacing w:line="240" w:lineRule="auto"/>
        <w:ind w:left="708" w:firstLine="426"/>
        <w:rPr>
          <w:rFonts w:asciiTheme="minorHAnsi" w:hAnsiTheme="minorHAnsi" w:cstheme="minorHAnsi"/>
          <w:sz w:val="24"/>
          <w:szCs w:val="24"/>
        </w:rPr>
      </w:pPr>
      <w:r w:rsidRPr="004E3469">
        <w:rPr>
          <w:rFonts w:asciiTheme="minorHAnsi" w:hAnsiTheme="minorHAnsi" w:cstheme="minorHAnsi"/>
          <w:sz w:val="28"/>
          <w:szCs w:val="28"/>
        </w:rPr>
        <w:t xml:space="preserve"> </w:t>
      </w:r>
    </w:p>
    <w:p w:rsidR="0002395D" w:rsidRPr="004E3469" w:rsidRDefault="0002395D" w:rsidP="0002395D">
      <w:pPr>
        <w:pStyle w:val="Textodebloque"/>
        <w:ind w:left="1428"/>
        <w:rPr>
          <w:rFonts w:asciiTheme="minorHAnsi" w:hAnsiTheme="minorHAnsi" w:cstheme="minorHAnsi"/>
        </w:rPr>
      </w:pPr>
      <w:r w:rsidRPr="004E3469">
        <w:rPr>
          <w:rFonts w:asciiTheme="minorHAnsi" w:hAnsiTheme="minorHAnsi" w:cstheme="minorHAnsi"/>
        </w:rPr>
        <w:t xml:space="preserve">“Siempre se ha expresado que la caducidad es la extinción del derecho a la acción por cualquier causa, como el transcurso del tiempo, de manera que si el actor deja transcurrir los plazos fijados por la ley en forma objetiva, sin presentar la demanda, el mencionado derecho fenece </w:t>
      </w:r>
      <w:r w:rsidRPr="004E3469">
        <w:rPr>
          <w:rFonts w:asciiTheme="minorHAnsi" w:hAnsiTheme="minorHAnsi" w:cstheme="minorHAnsi"/>
          <w:b/>
        </w:rPr>
        <w:t>inexorablemente</w:t>
      </w:r>
      <w:r w:rsidRPr="004E3469">
        <w:rPr>
          <w:rFonts w:asciiTheme="minorHAnsi" w:hAnsiTheme="minorHAnsi" w:cstheme="minorHAnsi"/>
        </w:rPr>
        <w:t>, sin que pueda alegarse excusa alguna para revivirlos”</w:t>
      </w:r>
      <w:r w:rsidRPr="004E3469">
        <w:rPr>
          <w:rStyle w:val="Refdenotaalpie"/>
          <w:rFonts w:asciiTheme="minorHAnsi" w:hAnsiTheme="minorHAnsi" w:cstheme="minorHAnsi"/>
        </w:rPr>
        <w:t xml:space="preserve"> </w:t>
      </w:r>
      <w:r w:rsidRPr="004E3469">
        <w:rPr>
          <w:rStyle w:val="Refdenotaalpie"/>
          <w:rFonts w:asciiTheme="minorHAnsi" w:hAnsiTheme="minorHAnsi" w:cstheme="minorHAnsi"/>
        </w:rPr>
        <w:footnoteReference w:id="6"/>
      </w:r>
      <w:r w:rsidRPr="004E3469">
        <w:rPr>
          <w:rFonts w:asciiTheme="minorHAnsi" w:hAnsiTheme="minorHAnsi" w:cstheme="minorHAnsi"/>
        </w:rPr>
        <w:t>.</w:t>
      </w:r>
    </w:p>
    <w:p w:rsidR="0002395D" w:rsidRPr="004E3469" w:rsidRDefault="0002395D" w:rsidP="0002395D">
      <w:pPr>
        <w:ind w:firstLine="1134"/>
        <w:jc w:val="both"/>
        <w:rPr>
          <w:rFonts w:asciiTheme="minorHAnsi" w:hAnsiTheme="minorHAnsi" w:cstheme="minorHAnsi"/>
          <w:sz w:val="24"/>
          <w:szCs w:val="24"/>
          <w:lang w:val="es-CO"/>
        </w:rPr>
      </w:pPr>
    </w:p>
    <w:p w:rsidR="0002395D" w:rsidRPr="004E3469" w:rsidRDefault="0002395D" w:rsidP="0002395D">
      <w:pPr>
        <w:ind w:firstLine="1134"/>
        <w:jc w:val="both"/>
        <w:rPr>
          <w:rFonts w:asciiTheme="minorHAnsi" w:hAnsiTheme="minorHAnsi" w:cstheme="minorHAnsi"/>
          <w:sz w:val="28"/>
          <w:szCs w:val="28"/>
        </w:rPr>
      </w:pPr>
      <w:r w:rsidRPr="004E3469">
        <w:rPr>
          <w:rFonts w:asciiTheme="minorHAnsi" w:hAnsiTheme="minorHAnsi" w:cstheme="minorHAnsi"/>
          <w:sz w:val="28"/>
          <w:szCs w:val="28"/>
          <w:lang w:val="es-CO"/>
        </w:rPr>
        <w:t>E</w:t>
      </w:r>
      <w:r w:rsidRPr="004E3469">
        <w:rPr>
          <w:rFonts w:asciiTheme="minorHAnsi" w:hAnsiTheme="minorHAnsi" w:cstheme="minorHAnsi"/>
          <w:sz w:val="28"/>
          <w:szCs w:val="28"/>
        </w:rPr>
        <w:t xml:space="preserve">l artículo 21 de la Ley 640 de 2001 y el artículo 3° del Decreto 1716 de 2009 prevén que </w:t>
      </w:r>
      <w:r w:rsidRPr="004E3469">
        <w:rPr>
          <w:rFonts w:asciiTheme="minorHAnsi" w:hAnsiTheme="minorHAnsi" w:cstheme="minorHAnsi"/>
          <w:b/>
          <w:sz w:val="28"/>
          <w:szCs w:val="28"/>
        </w:rPr>
        <w:t>el término de caducidad se suspende con la presentación de solicitud de conciliación extrajudicial ante el Ministerio Público</w:t>
      </w:r>
      <w:r w:rsidRPr="004E3469">
        <w:rPr>
          <w:rFonts w:asciiTheme="minorHAnsi" w:hAnsiTheme="minorHAnsi" w:cstheme="minorHAnsi"/>
          <w:sz w:val="28"/>
          <w:szCs w:val="28"/>
        </w:rPr>
        <w:t xml:space="preserve"> y se reanudará ante la ocurrencia de alguno de los siguientes tres eventos: </w:t>
      </w:r>
    </w:p>
    <w:p w:rsidR="0002395D" w:rsidRPr="004E3469" w:rsidRDefault="0002395D" w:rsidP="0002395D">
      <w:pPr>
        <w:ind w:firstLine="1134"/>
        <w:jc w:val="both"/>
        <w:rPr>
          <w:rFonts w:asciiTheme="minorHAnsi" w:hAnsiTheme="minorHAnsi" w:cstheme="minorHAnsi"/>
          <w:sz w:val="28"/>
          <w:szCs w:val="28"/>
        </w:rPr>
      </w:pPr>
    </w:p>
    <w:p w:rsidR="0002395D" w:rsidRPr="004E3469" w:rsidRDefault="0002395D" w:rsidP="0002395D">
      <w:pPr>
        <w:ind w:left="1134" w:right="1270"/>
        <w:jc w:val="both"/>
        <w:rPr>
          <w:rFonts w:asciiTheme="minorHAnsi" w:hAnsiTheme="minorHAnsi" w:cstheme="minorHAnsi"/>
          <w:i/>
          <w:sz w:val="24"/>
          <w:szCs w:val="24"/>
        </w:rPr>
      </w:pPr>
      <w:r w:rsidRPr="004E3469">
        <w:rPr>
          <w:rFonts w:asciiTheme="minorHAnsi" w:hAnsiTheme="minorHAnsi" w:cstheme="minorHAnsi"/>
          <w:i/>
          <w:sz w:val="24"/>
          <w:szCs w:val="24"/>
        </w:rPr>
        <w:lastRenderedPageBreak/>
        <w:t xml:space="preserve">“a) Que se logre el acuerdo conciliatorio, b) Se expidan las constancias a que se refiere el artículo 2 de la Ley 640 de 2001, c) Se venza el término de tres (3) meses contados a partir de la presentación de la solicitud, lo que ocurra primero”. </w:t>
      </w:r>
    </w:p>
    <w:p w:rsidR="0002395D" w:rsidRPr="004E3469" w:rsidRDefault="0002395D" w:rsidP="0002395D">
      <w:pPr>
        <w:ind w:left="1134" w:right="1270"/>
        <w:jc w:val="both"/>
        <w:rPr>
          <w:rFonts w:asciiTheme="minorHAnsi" w:hAnsiTheme="minorHAnsi" w:cstheme="minorHAnsi"/>
          <w:sz w:val="24"/>
          <w:szCs w:val="24"/>
        </w:rPr>
      </w:pPr>
    </w:p>
    <w:p w:rsidR="0002395D" w:rsidRPr="004E3469" w:rsidRDefault="0002395D" w:rsidP="0002395D">
      <w:pPr>
        <w:ind w:firstLine="1134"/>
        <w:jc w:val="both"/>
        <w:rPr>
          <w:rFonts w:asciiTheme="minorHAnsi" w:hAnsiTheme="minorHAnsi" w:cstheme="minorHAnsi"/>
          <w:sz w:val="28"/>
          <w:szCs w:val="28"/>
        </w:rPr>
      </w:pPr>
      <w:r w:rsidRPr="004E3469">
        <w:rPr>
          <w:rFonts w:asciiTheme="minorHAnsi" w:hAnsiTheme="minorHAnsi" w:cstheme="minorHAnsi"/>
          <w:sz w:val="28"/>
          <w:szCs w:val="28"/>
        </w:rPr>
        <w:t>La Sala observa en la Constancia expedida por el Ministerio Público</w:t>
      </w:r>
      <w:r w:rsidRPr="004E3469">
        <w:rPr>
          <w:rStyle w:val="Refdenotaalpie"/>
          <w:rFonts w:asciiTheme="minorHAnsi" w:hAnsiTheme="minorHAnsi" w:cstheme="minorHAnsi"/>
          <w:sz w:val="28"/>
          <w:szCs w:val="28"/>
        </w:rPr>
        <w:footnoteReference w:id="7"/>
      </w:r>
      <w:r w:rsidRPr="004E3469">
        <w:rPr>
          <w:rFonts w:asciiTheme="minorHAnsi" w:hAnsiTheme="minorHAnsi" w:cstheme="minorHAnsi"/>
          <w:sz w:val="28"/>
          <w:szCs w:val="28"/>
        </w:rPr>
        <w:t xml:space="preserve"> que la solicitud de Conciliación Prejudicial en el caso que se examina fue presentada ante su Agente el </w:t>
      </w:r>
      <w:r w:rsidRPr="004E3469">
        <w:rPr>
          <w:rFonts w:asciiTheme="minorHAnsi" w:hAnsiTheme="minorHAnsi" w:cstheme="minorHAnsi"/>
          <w:b/>
          <w:sz w:val="28"/>
          <w:szCs w:val="28"/>
        </w:rPr>
        <w:t>8 de febrero de 2013</w:t>
      </w:r>
      <w:r w:rsidRPr="004E3469">
        <w:rPr>
          <w:rFonts w:asciiTheme="minorHAnsi" w:hAnsiTheme="minorHAnsi" w:cstheme="minorHAnsi"/>
          <w:sz w:val="28"/>
          <w:szCs w:val="28"/>
        </w:rPr>
        <w:t xml:space="preserve">, cuando </w:t>
      </w:r>
      <w:r w:rsidRPr="004E3469">
        <w:rPr>
          <w:rFonts w:asciiTheme="minorHAnsi" w:hAnsiTheme="minorHAnsi" w:cstheme="minorHAnsi"/>
          <w:b/>
          <w:sz w:val="28"/>
          <w:szCs w:val="28"/>
        </w:rPr>
        <w:t>ya había expirado el término</w:t>
      </w:r>
      <w:r w:rsidRPr="004E3469">
        <w:rPr>
          <w:rFonts w:asciiTheme="minorHAnsi" w:hAnsiTheme="minorHAnsi" w:cstheme="minorHAnsi"/>
          <w:sz w:val="28"/>
          <w:szCs w:val="28"/>
        </w:rPr>
        <w:t xml:space="preserve"> con el que se contaba para la presentación oportuna de la demanda, situación que advirtió la Delegada, y así lo hizo constar, indicando: “…mediante auto dictado en la fecha, se declara no susceptible de conciliación el asunto a que se refiere la presente conciliación, por inferir que ha obrado el fenómeno de la caducidad de la acción de Nulidad y Restablecimiento del Derecho, conforme al Parágrafo 2º del artículo 81 de la Ley 446 de 1998, el parágrafo 1º del artículo 2º del Decreto 1716 de 2009 en armonía con el artículo 136 , 2 del C.C.A. aplicable a la época del acto cuya nulidad se pretenderá.”. </w:t>
      </w:r>
    </w:p>
    <w:p w:rsidR="0002395D" w:rsidRPr="004E3469" w:rsidRDefault="0002395D" w:rsidP="0002395D">
      <w:pPr>
        <w:ind w:firstLine="1134"/>
        <w:jc w:val="both"/>
        <w:rPr>
          <w:rFonts w:asciiTheme="minorHAnsi" w:hAnsiTheme="minorHAnsi" w:cstheme="minorHAnsi"/>
          <w:sz w:val="28"/>
          <w:szCs w:val="28"/>
        </w:rPr>
      </w:pPr>
    </w:p>
    <w:p w:rsidR="0002395D" w:rsidRPr="004E3469" w:rsidRDefault="0002395D" w:rsidP="0002395D">
      <w:pPr>
        <w:pStyle w:val="Textonotapie"/>
        <w:spacing w:line="240" w:lineRule="auto"/>
        <w:ind w:firstLine="1134"/>
        <w:jc w:val="both"/>
        <w:rPr>
          <w:rFonts w:asciiTheme="minorHAnsi" w:hAnsiTheme="minorHAnsi" w:cstheme="minorHAnsi"/>
          <w:sz w:val="28"/>
          <w:szCs w:val="28"/>
        </w:rPr>
      </w:pPr>
      <w:r w:rsidRPr="004E3469">
        <w:rPr>
          <w:rFonts w:asciiTheme="minorHAnsi" w:hAnsiTheme="minorHAnsi" w:cstheme="minorHAnsi"/>
          <w:sz w:val="28"/>
          <w:szCs w:val="28"/>
        </w:rPr>
        <w:t xml:space="preserve">No obstante, habiendo culminado el trámite de la Conciliación ante la Procuraduría General de la Nación con la expedición de la Constancia antes aludida, que data del 13 de marzo de 2013,  la parte actora se tomó aún más tiempo y presentó la demanda ante la Administración Judicial  el </w:t>
      </w:r>
      <w:r w:rsidRPr="004E3469">
        <w:rPr>
          <w:rFonts w:asciiTheme="minorHAnsi" w:hAnsiTheme="minorHAnsi" w:cstheme="minorHAnsi"/>
          <w:b/>
          <w:sz w:val="28"/>
          <w:szCs w:val="28"/>
        </w:rPr>
        <w:t>10 de julio de 2013</w:t>
      </w:r>
      <w:r w:rsidRPr="004E3469">
        <w:rPr>
          <w:rStyle w:val="Refdenotaalpie"/>
          <w:rFonts w:asciiTheme="minorHAnsi" w:hAnsiTheme="minorHAnsi" w:cstheme="minorHAnsi"/>
          <w:sz w:val="28"/>
          <w:szCs w:val="28"/>
        </w:rPr>
        <w:footnoteReference w:id="8"/>
      </w:r>
      <w:r w:rsidRPr="004E3469">
        <w:rPr>
          <w:rFonts w:asciiTheme="minorHAnsi" w:hAnsiTheme="minorHAnsi" w:cstheme="minorHAnsi"/>
          <w:sz w:val="28"/>
          <w:szCs w:val="28"/>
        </w:rPr>
        <w:t>, cuando ha debido interponerse a más tardar en la fecha indicada 5 de febrero de esa misma anualidad.</w:t>
      </w:r>
    </w:p>
    <w:p w:rsidR="0002395D" w:rsidRPr="004E3469" w:rsidRDefault="0002395D" w:rsidP="0002395D">
      <w:pPr>
        <w:ind w:firstLine="1134"/>
        <w:jc w:val="both"/>
        <w:rPr>
          <w:rFonts w:asciiTheme="minorHAnsi" w:hAnsiTheme="minorHAnsi" w:cstheme="minorHAnsi"/>
          <w:bCs/>
          <w:sz w:val="28"/>
          <w:szCs w:val="28"/>
        </w:rPr>
      </w:pPr>
      <w:r w:rsidRPr="004E3469">
        <w:rPr>
          <w:rFonts w:asciiTheme="minorHAnsi" w:hAnsiTheme="minorHAnsi" w:cstheme="minorHAnsi"/>
          <w:sz w:val="28"/>
          <w:szCs w:val="28"/>
        </w:rPr>
        <w:t>Así las cosas, al margen de la discusión acerca de si la declaratoria de nulidad decretada por el Consejo de Estado respecto de las Ordenanzas</w:t>
      </w:r>
      <w:r w:rsidRPr="004E3469">
        <w:rPr>
          <w:rFonts w:asciiTheme="minorHAnsi" w:eastAsiaTheme="minorHAnsi" w:hAnsiTheme="minorHAnsi" w:cstheme="minorHAnsi"/>
          <w:sz w:val="28"/>
          <w:szCs w:val="28"/>
          <w:lang w:val="es-CO"/>
        </w:rPr>
        <w:t xml:space="preserve"> No. 023 del 31 de julio de 2001 y No. 015 del 21 de noviembre de 2002, expedidas por la Asamblea Departamental del Guaviare, </w:t>
      </w:r>
      <w:r w:rsidRPr="004E3469">
        <w:rPr>
          <w:rFonts w:asciiTheme="minorHAnsi" w:hAnsiTheme="minorHAnsi" w:cstheme="minorHAnsi"/>
          <w:sz w:val="28"/>
          <w:szCs w:val="28"/>
          <w:lang w:val="es-MX"/>
        </w:rPr>
        <w:t xml:space="preserve">determinaba la legalidad del </w:t>
      </w:r>
      <w:r w:rsidRPr="004E3469">
        <w:rPr>
          <w:rFonts w:asciiTheme="minorHAnsi" w:eastAsiaTheme="minorHAnsi" w:hAnsiTheme="minorHAnsi" w:cstheme="minorHAnsi"/>
          <w:sz w:val="28"/>
          <w:szCs w:val="28"/>
          <w:lang w:val="es-CO" w:eastAsia="en-US"/>
        </w:rPr>
        <w:t>Acuerdo No. 001 del 3 de enero de 2003 y de la Resolución</w:t>
      </w:r>
      <w:r w:rsidR="004E73F0" w:rsidRPr="004E3469">
        <w:rPr>
          <w:rFonts w:asciiTheme="minorHAnsi" w:eastAsiaTheme="minorHAnsi" w:hAnsiTheme="minorHAnsi" w:cstheme="minorHAnsi"/>
          <w:sz w:val="28"/>
          <w:szCs w:val="28"/>
          <w:lang w:val="es-CO" w:eastAsia="en-US"/>
        </w:rPr>
        <w:t xml:space="preserve"> No. 0248 del 11 de febrero </w:t>
      </w:r>
      <w:r w:rsidRPr="004E3469">
        <w:rPr>
          <w:rFonts w:asciiTheme="minorHAnsi" w:eastAsiaTheme="minorHAnsi" w:hAnsiTheme="minorHAnsi" w:cstheme="minorHAnsi"/>
          <w:sz w:val="28"/>
          <w:szCs w:val="28"/>
          <w:lang w:val="es-CO" w:eastAsia="en-US"/>
        </w:rPr>
        <w:t xml:space="preserve">de esa misma anualidad, que suprimió el cargo que desempeñaba </w:t>
      </w:r>
      <w:r w:rsidR="00050814" w:rsidRPr="004E3469">
        <w:rPr>
          <w:rFonts w:asciiTheme="minorHAnsi" w:hAnsiTheme="minorHAnsi" w:cstheme="minorHAnsi"/>
          <w:bCs/>
          <w:sz w:val="28"/>
          <w:szCs w:val="28"/>
        </w:rPr>
        <w:t>Desiderio Lozano Campos</w:t>
      </w:r>
      <w:r w:rsidRPr="004E3469">
        <w:rPr>
          <w:rFonts w:asciiTheme="minorHAnsi" w:eastAsiaTheme="minorHAnsi" w:hAnsiTheme="minorHAnsi" w:cstheme="minorHAnsi"/>
          <w:sz w:val="28"/>
          <w:szCs w:val="28"/>
          <w:lang w:val="es-CO" w:eastAsia="en-US"/>
        </w:rPr>
        <w:t xml:space="preserve">, </w:t>
      </w:r>
      <w:r w:rsidRPr="004E3469">
        <w:rPr>
          <w:rFonts w:asciiTheme="minorHAnsi" w:hAnsiTheme="minorHAnsi" w:cstheme="minorHAnsi"/>
          <w:sz w:val="28"/>
          <w:szCs w:val="28"/>
          <w:lang w:val="es-MX"/>
        </w:rPr>
        <w:t xml:space="preserve">cuya anulación se demanda en el sub judice, encuentra la Sala que el </w:t>
      </w:r>
      <w:r w:rsidRPr="004E3469">
        <w:rPr>
          <w:rFonts w:asciiTheme="minorHAnsi" w:hAnsiTheme="minorHAnsi" w:cstheme="minorHAnsi"/>
          <w:sz w:val="28"/>
          <w:szCs w:val="28"/>
        </w:rPr>
        <w:t>medio de control de nulidad y restablecimiento del derecho pretendido, se encuentra caducado.</w:t>
      </w:r>
    </w:p>
    <w:p w:rsidR="0002395D" w:rsidRPr="004E3469" w:rsidRDefault="0002395D" w:rsidP="0002395D">
      <w:pPr>
        <w:ind w:left="142" w:firstLine="1134"/>
        <w:jc w:val="both"/>
        <w:rPr>
          <w:rFonts w:asciiTheme="minorHAnsi" w:hAnsiTheme="minorHAnsi" w:cstheme="minorHAnsi"/>
          <w:sz w:val="28"/>
          <w:szCs w:val="28"/>
        </w:rPr>
      </w:pPr>
    </w:p>
    <w:p w:rsidR="0002395D" w:rsidRPr="004E3469" w:rsidRDefault="0002395D" w:rsidP="0002395D">
      <w:pPr>
        <w:ind w:left="142" w:firstLine="1134"/>
        <w:jc w:val="both"/>
        <w:rPr>
          <w:rFonts w:asciiTheme="minorHAnsi" w:hAnsiTheme="minorHAnsi" w:cstheme="minorHAnsi"/>
          <w:sz w:val="28"/>
          <w:szCs w:val="28"/>
        </w:rPr>
      </w:pPr>
      <w:r w:rsidRPr="004E3469">
        <w:rPr>
          <w:rFonts w:asciiTheme="minorHAnsi" w:hAnsiTheme="minorHAnsi" w:cstheme="minorHAnsi"/>
          <w:sz w:val="28"/>
          <w:szCs w:val="28"/>
        </w:rPr>
        <w:t>Por las razones expuestas procederá este Tribunal a confirmar la decisión objeto de censura.</w:t>
      </w:r>
    </w:p>
    <w:p w:rsidR="0002395D" w:rsidRPr="004E3469" w:rsidRDefault="0002395D" w:rsidP="0002395D">
      <w:pPr>
        <w:ind w:left="142" w:firstLine="1134"/>
        <w:jc w:val="both"/>
        <w:rPr>
          <w:rFonts w:asciiTheme="minorHAnsi" w:hAnsiTheme="minorHAnsi" w:cstheme="minorHAnsi"/>
          <w:sz w:val="28"/>
          <w:szCs w:val="28"/>
        </w:rPr>
      </w:pPr>
    </w:p>
    <w:p w:rsidR="0002395D" w:rsidRPr="004E3469" w:rsidRDefault="0002395D" w:rsidP="0002395D">
      <w:pPr>
        <w:widowControl w:val="0"/>
        <w:ind w:firstLine="1134"/>
        <w:jc w:val="both"/>
        <w:rPr>
          <w:rFonts w:asciiTheme="minorHAnsi" w:hAnsiTheme="minorHAnsi" w:cstheme="minorHAnsi"/>
          <w:iCs/>
          <w:sz w:val="28"/>
          <w:szCs w:val="28"/>
        </w:rPr>
      </w:pPr>
      <w:r w:rsidRPr="004E3469">
        <w:rPr>
          <w:rFonts w:asciiTheme="minorHAnsi" w:hAnsiTheme="minorHAnsi" w:cstheme="minorHAnsi"/>
          <w:iCs/>
          <w:sz w:val="28"/>
          <w:szCs w:val="28"/>
        </w:rPr>
        <w:t>En mérito de lo expuesto, el Tribunal Administrativo del Meta,</w:t>
      </w:r>
    </w:p>
    <w:p w:rsidR="0002395D" w:rsidRPr="004E3469" w:rsidRDefault="0002395D" w:rsidP="0002395D">
      <w:pPr>
        <w:widowControl w:val="0"/>
        <w:ind w:firstLine="1134"/>
        <w:jc w:val="both"/>
        <w:rPr>
          <w:rFonts w:asciiTheme="minorHAnsi" w:hAnsiTheme="minorHAnsi" w:cstheme="minorHAnsi"/>
          <w:iCs/>
          <w:sz w:val="28"/>
          <w:szCs w:val="28"/>
          <w:lang w:val="es-CO"/>
        </w:rPr>
      </w:pPr>
    </w:p>
    <w:p w:rsidR="0002395D" w:rsidRPr="004E3469" w:rsidRDefault="0002395D" w:rsidP="0002395D">
      <w:pPr>
        <w:widowControl w:val="0"/>
        <w:jc w:val="both"/>
        <w:rPr>
          <w:rFonts w:asciiTheme="minorHAnsi" w:hAnsiTheme="minorHAnsi" w:cstheme="minorHAnsi"/>
          <w:iCs/>
          <w:sz w:val="28"/>
          <w:szCs w:val="28"/>
          <w:lang w:val="es-CO"/>
        </w:rPr>
      </w:pPr>
    </w:p>
    <w:p w:rsidR="0002395D" w:rsidRPr="004E3469" w:rsidRDefault="0002395D" w:rsidP="0002395D">
      <w:pPr>
        <w:widowControl w:val="0"/>
        <w:jc w:val="center"/>
        <w:rPr>
          <w:rFonts w:asciiTheme="minorHAnsi" w:hAnsiTheme="minorHAnsi" w:cstheme="minorHAnsi"/>
          <w:iCs/>
          <w:sz w:val="28"/>
          <w:szCs w:val="28"/>
          <w:lang w:val="es-CO"/>
        </w:rPr>
      </w:pPr>
      <w:r w:rsidRPr="004E3469">
        <w:rPr>
          <w:rFonts w:asciiTheme="minorHAnsi" w:hAnsiTheme="minorHAnsi" w:cstheme="minorHAnsi"/>
          <w:iCs/>
          <w:sz w:val="28"/>
          <w:szCs w:val="28"/>
          <w:lang w:val="es-CO"/>
        </w:rPr>
        <w:t>R E S U E L V E:</w:t>
      </w:r>
    </w:p>
    <w:p w:rsidR="0002395D" w:rsidRPr="004E3469" w:rsidRDefault="0002395D" w:rsidP="0002395D">
      <w:pPr>
        <w:widowControl w:val="0"/>
        <w:ind w:firstLine="1134"/>
        <w:jc w:val="both"/>
        <w:rPr>
          <w:rFonts w:asciiTheme="minorHAnsi" w:hAnsiTheme="minorHAnsi" w:cstheme="minorHAnsi"/>
          <w:iCs/>
          <w:sz w:val="28"/>
          <w:szCs w:val="28"/>
          <w:lang w:val="es-CO"/>
        </w:rPr>
      </w:pPr>
    </w:p>
    <w:p w:rsidR="0002395D" w:rsidRPr="004E3469" w:rsidRDefault="0002395D" w:rsidP="0002395D">
      <w:pPr>
        <w:widowControl w:val="0"/>
        <w:ind w:firstLine="1134"/>
        <w:jc w:val="both"/>
        <w:rPr>
          <w:rFonts w:asciiTheme="minorHAnsi" w:hAnsiTheme="minorHAnsi" w:cstheme="minorHAnsi"/>
          <w:iCs/>
          <w:sz w:val="28"/>
          <w:szCs w:val="28"/>
          <w:lang w:val="es-CO"/>
        </w:rPr>
      </w:pPr>
    </w:p>
    <w:p w:rsidR="0002395D" w:rsidRPr="004E3469" w:rsidRDefault="0002395D" w:rsidP="0002395D">
      <w:pPr>
        <w:widowControl w:val="0"/>
        <w:ind w:firstLine="1134"/>
        <w:jc w:val="both"/>
        <w:rPr>
          <w:rFonts w:asciiTheme="minorHAnsi" w:hAnsiTheme="minorHAnsi" w:cstheme="minorHAnsi"/>
          <w:iCs/>
          <w:sz w:val="28"/>
          <w:szCs w:val="28"/>
          <w:lang w:val="es-CO"/>
        </w:rPr>
      </w:pPr>
      <w:r w:rsidRPr="004E3469">
        <w:rPr>
          <w:rFonts w:asciiTheme="minorHAnsi" w:hAnsiTheme="minorHAnsi" w:cstheme="minorHAnsi"/>
          <w:iCs/>
          <w:sz w:val="28"/>
          <w:szCs w:val="28"/>
          <w:lang w:val="es-CO"/>
        </w:rPr>
        <w:t xml:space="preserve">PRIMERO: CONFIRMAR el auto proferido </w:t>
      </w:r>
      <w:r w:rsidRPr="004E3469">
        <w:rPr>
          <w:rFonts w:asciiTheme="minorHAnsi" w:hAnsiTheme="minorHAnsi" w:cstheme="minorHAnsi"/>
          <w:sz w:val="28"/>
          <w:szCs w:val="28"/>
        </w:rPr>
        <w:t xml:space="preserve">el 31 de julio de 2013 por el Juzgado Tercero Administrativo de Villavicencio,  </w:t>
      </w:r>
      <w:r w:rsidRPr="004E3469">
        <w:rPr>
          <w:rFonts w:asciiTheme="minorHAnsi" w:hAnsiTheme="minorHAnsi" w:cstheme="minorHAnsi"/>
          <w:iCs/>
          <w:sz w:val="28"/>
          <w:szCs w:val="28"/>
          <w:lang w:val="es-CO"/>
        </w:rPr>
        <w:t>que rechazó la demanda por caducidad, conforme a lo expuesto en la parte motiva de ésta providencia.</w:t>
      </w:r>
    </w:p>
    <w:p w:rsidR="0002395D" w:rsidRPr="004E3469" w:rsidRDefault="0002395D" w:rsidP="0002395D">
      <w:pPr>
        <w:widowControl w:val="0"/>
        <w:ind w:firstLine="1134"/>
        <w:jc w:val="both"/>
        <w:rPr>
          <w:rFonts w:asciiTheme="minorHAnsi" w:hAnsiTheme="minorHAnsi" w:cstheme="minorHAnsi"/>
          <w:iCs/>
          <w:sz w:val="28"/>
          <w:szCs w:val="28"/>
          <w:lang w:val="es-CO"/>
        </w:rPr>
      </w:pPr>
    </w:p>
    <w:p w:rsidR="0002395D" w:rsidRPr="004E3469" w:rsidRDefault="0002395D" w:rsidP="0002395D">
      <w:pPr>
        <w:widowControl w:val="0"/>
        <w:ind w:firstLine="1134"/>
        <w:jc w:val="both"/>
        <w:rPr>
          <w:rFonts w:asciiTheme="minorHAnsi" w:hAnsiTheme="minorHAnsi" w:cstheme="minorHAnsi"/>
          <w:iCs/>
          <w:sz w:val="28"/>
          <w:szCs w:val="28"/>
          <w:lang w:val="es-CO"/>
        </w:rPr>
      </w:pPr>
      <w:r w:rsidRPr="004E3469">
        <w:rPr>
          <w:rFonts w:asciiTheme="minorHAnsi" w:hAnsiTheme="minorHAnsi" w:cstheme="minorHAnsi"/>
          <w:iCs/>
          <w:sz w:val="28"/>
          <w:szCs w:val="28"/>
          <w:lang w:val="es-CO"/>
        </w:rPr>
        <w:t>SEGUNDO: En firme la ésta</w:t>
      </w:r>
      <w:r w:rsidR="000E5207" w:rsidRPr="004E3469">
        <w:rPr>
          <w:rFonts w:asciiTheme="minorHAnsi" w:hAnsiTheme="minorHAnsi" w:cstheme="minorHAnsi"/>
          <w:iCs/>
          <w:sz w:val="28"/>
          <w:szCs w:val="28"/>
          <w:lang w:val="es-CO"/>
        </w:rPr>
        <w:t xml:space="preserve"> decisión</w:t>
      </w:r>
      <w:r w:rsidRPr="004E3469">
        <w:rPr>
          <w:rFonts w:asciiTheme="minorHAnsi" w:hAnsiTheme="minorHAnsi" w:cstheme="minorHAnsi"/>
          <w:iCs/>
          <w:sz w:val="28"/>
          <w:szCs w:val="28"/>
          <w:lang w:val="es-CO"/>
        </w:rPr>
        <w:t>, por Secretaría remítase el expediente al Juzgado de origen.</w:t>
      </w:r>
    </w:p>
    <w:p w:rsidR="0002395D" w:rsidRPr="004E3469" w:rsidRDefault="0002395D" w:rsidP="0002395D">
      <w:pPr>
        <w:ind w:firstLine="1134"/>
        <w:rPr>
          <w:rFonts w:asciiTheme="minorHAnsi" w:hAnsiTheme="minorHAnsi" w:cstheme="minorHAnsi"/>
          <w:sz w:val="28"/>
          <w:szCs w:val="28"/>
        </w:rPr>
      </w:pPr>
    </w:p>
    <w:p w:rsidR="0002395D" w:rsidRPr="004E3469" w:rsidRDefault="0002395D" w:rsidP="0002395D">
      <w:pPr>
        <w:ind w:firstLine="1134"/>
        <w:rPr>
          <w:rFonts w:asciiTheme="minorHAnsi" w:hAnsiTheme="minorHAnsi" w:cstheme="minorHAnsi"/>
          <w:sz w:val="28"/>
          <w:szCs w:val="28"/>
        </w:rPr>
      </w:pPr>
      <w:r w:rsidRPr="004E3469">
        <w:rPr>
          <w:rFonts w:asciiTheme="minorHAnsi" w:hAnsiTheme="minorHAnsi" w:cstheme="minorHAnsi"/>
          <w:sz w:val="28"/>
          <w:szCs w:val="28"/>
        </w:rPr>
        <w:t>Notifíquese  y  Cúmplase,</w:t>
      </w:r>
    </w:p>
    <w:p w:rsidR="0002395D" w:rsidRPr="004E3469" w:rsidRDefault="0002395D" w:rsidP="0002395D">
      <w:pPr>
        <w:ind w:firstLine="1134"/>
        <w:jc w:val="both"/>
        <w:rPr>
          <w:rFonts w:asciiTheme="minorHAnsi" w:hAnsiTheme="minorHAnsi" w:cstheme="minorHAnsi"/>
          <w:sz w:val="28"/>
          <w:szCs w:val="28"/>
        </w:rPr>
      </w:pPr>
    </w:p>
    <w:p w:rsidR="0002395D" w:rsidRPr="004E3469" w:rsidRDefault="0002395D" w:rsidP="0002395D">
      <w:pPr>
        <w:ind w:firstLine="1134"/>
        <w:jc w:val="both"/>
        <w:rPr>
          <w:rFonts w:asciiTheme="minorHAnsi" w:hAnsiTheme="minorHAnsi" w:cstheme="minorHAnsi"/>
          <w:sz w:val="28"/>
          <w:szCs w:val="28"/>
        </w:rPr>
      </w:pPr>
      <w:r w:rsidRPr="004E3469">
        <w:rPr>
          <w:rFonts w:asciiTheme="minorHAnsi" w:hAnsiTheme="minorHAnsi" w:cstheme="minorHAnsi"/>
          <w:sz w:val="28"/>
          <w:szCs w:val="28"/>
        </w:rPr>
        <w:t xml:space="preserve">Estudiado y aprobado en Sala de Decisión No. 2 de la fecha, según Acta No.  </w:t>
      </w:r>
    </w:p>
    <w:p w:rsidR="0002395D" w:rsidRPr="004E3469" w:rsidRDefault="0002395D" w:rsidP="0002395D">
      <w:pPr>
        <w:ind w:left="1416" w:firstLine="1134"/>
        <w:jc w:val="both"/>
        <w:rPr>
          <w:rFonts w:asciiTheme="minorHAnsi" w:hAnsiTheme="minorHAnsi" w:cstheme="minorHAnsi"/>
          <w:sz w:val="28"/>
          <w:szCs w:val="28"/>
        </w:rPr>
      </w:pPr>
    </w:p>
    <w:p w:rsidR="0002395D" w:rsidRPr="004E3469" w:rsidRDefault="0002395D" w:rsidP="0002395D">
      <w:pPr>
        <w:ind w:left="1416" w:firstLine="1134"/>
        <w:jc w:val="both"/>
        <w:rPr>
          <w:rFonts w:asciiTheme="minorHAnsi" w:hAnsiTheme="minorHAnsi" w:cstheme="minorHAnsi"/>
          <w:sz w:val="28"/>
          <w:szCs w:val="28"/>
        </w:rPr>
      </w:pPr>
    </w:p>
    <w:p w:rsidR="0002395D" w:rsidRPr="004E3469" w:rsidRDefault="0002395D" w:rsidP="0002395D">
      <w:pPr>
        <w:ind w:left="1416" w:firstLine="1134"/>
        <w:jc w:val="both"/>
        <w:rPr>
          <w:rFonts w:asciiTheme="minorHAnsi" w:hAnsiTheme="minorHAnsi" w:cstheme="minorHAnsi"/>
          <w:sz w:val="28"/>
          <w:szCs w:val="28"/>
        </w:rPr>
      </w:pPr>
    </w:p>
    <w:p w:rsidR="0002395D" w:rsidRPr="004E3469" w:rsidRDefault="0002395D" w:rsidP="0002395D">
      <w:pPr>
        <w:ind w:left="1416" w:firstLine="1134"/>
        <w:jc w:val="both"/>
        <w:rPr>
          <w:rFonts w:asciiTheme="minorHAnsi" w:hAnsiTheme="minorHAnsi" w:cstheme="minorHAnsi"/>
          <w:sz w:val="28"/>
          <w:szCs w:val="28"/>
        </w:rPr>
      </w:pPr>
    </w:p>
    <w:p w:rsidR="0002395D" w:rsidRPr="004E3469" w:rsidRDefault="0002395D" w:rsidP="0002395D">
      <w:pPr>
        <w:ind w:left="1416" w:firstLine="1134"/>
        <w:jc w:val="both"/>
        <w:rPr>
          <w:rFonts w:asciiTheme="minorHAnsi" w:hAnsiTheme="minorHAnsi" w:cstheme="minorHAnsi"/>
          <w:sz w:val="28"/>
          <w:szCs w:val="28"/>
        </w:rPr>
      </w:pPr>
    </w:p>
    <w:p w:rsidR="0002395D" w:rsidRPr="004E3469" w:rsidRDefault="0002395D" w:rsidP="0002395D">
      <w:pPr>
        <w:ind w:left="1416" w:firstLine="1134"/>
        <w:jc w:val="both"/>
        <w:rPr>
          <w:rFonts w:asciiTheme="minorHAnsi" w:hAnsiTheme="minorHAnsi" w:cstheme="minorHAnsi"/>
          <w:sz w:val="28"/>
          <w:szCs w:val="28"/>
        </w:rPr>
      </w:pPr>
    </w:p>
    <w:p w:rsidR="0002395D" w:rsidRPr="004E3469" w:rsidRDefault="0002395D" w:rsidP="0002395D">
      <w:pPr>
        <w:ind w:firstLine="1134"/>
        <w:jc w:val="center"/>
        <w:rPr>
          <w:rFonts w:asciiTheme="minorHAnsi" w:hAnsiTheme="minorHAnsi" w:cstheme="minorHAnsi"/>
          <w:sz w:val="28"/>
          <w:szCs w:val="28"/>
        </w:rPr>
      </w:pPr>
    </w:p>
    <w:p w:rsidR="0002395D" w:rsidRPr="004E3469" w:rsidRDefault="0002395D" w:rsidP="0002395D">
      <w:pPr>
        <w:ind w:left="1416" w:firstLine="1134"/>
        <w:jc w:val="both"/>
        <w:rPr>
          <w:rFonts w:asciiTheme="minorHAnsi" w:hAnsiTheme="minorHAnsi" w:cstheme="minorHAnsi"/>
          <w:sz w:val="28"/>
          <w:szCs w:val="28"/>
        </w:rPr>
      </w:pPr>
    </w:p>
    <w:p w:rsidR="00066519" w:rsidRDefault="00066519" w:rsidP="00066519">
      <w:pPr>
        <w:ind w:firstLine="1134"/>
        <w:jc w:val="center"/>
        <w:rPr>
          <w:rFonts w:asciiTheme="minorHAnsi" w:hAnsiTheme="minorHAnsi" w:cstheme="minorHAnsi"/>
          <w:sz w:val="28"/>
          <w:szCs w:val="28"/>
        </w:rPr>
      </w:pPr>
    </w:p>
    <w:p w:rsidR="00066519" w:rsidRDefault="00066519" w:rsidP="00066519">
      <w:pPr>
        <w:ind w:firstLine="1134"/>
        <w:jc w:val="center"/>
        <w:rPr>
          <w:rFonts w:asciiTheme="minorHAnsi" w:hAnsiTheme="minorHAnsi" w:cstheme="minorHAnsi"/>
          <w:sz w:val="28"/>
          <w:szCs w:val="28"/>
        </w:rPr>
      </w:pPr>
    </w:p>
    <w:p w:rsidR="00066519" w:rsidRDefault="00066519" w:rsidP="00066519">
      <w:pPr>
        <w:widowControl w:val="0"/>
        <w:jc w:val="center"/>
        <w:rPr>
          <w:rFonts w:asciiTheme="minorHAnsi" w:hAnsiTheme="minorHAnsi" w:cstheme="minorHAnsi"/>
          <w:iCs/>
          <w:sz w:val="28"/>
          <w:szCs w:val="28"/>
        </w:rPr>
      </w:pPr>
      <w:r>
        <w:rPr>
          <w:rFonts w:asciiTheme="minorHAnsi" w:hAnsiTheme="minorHAnsi" w:cstheme="minorHAnsi"/>
          <w:iCs/>
          <w:sz w:val="28"/>
          <w:szCs w:val="28"/>
        </w:rPr>
        <w:t>MOISÉS RODRIGO MAZABEL PINZÓN</w:t>
      </w:r>
    </w:p>
    <w:p w:rsidR="00066519" w:rsidRDefault="00066519" w:rsidP="00066519">
      <w:pPr>
        <w:widowControl w:val="0"/>
        <w:ind w:left="2406" w:firstLine="1134"/>
        <w:rPr>
          <w:rFonts w:asciiTheme="minorHAnsi" w:hAnsiTheme="minorHAnsi" w:cstheme="minorHAnsi"/>
          <w:iCs/>
          <w:sz w:val="28"/>
          <w:szCs w:val="28"/>
        </w:rPr>
      </w:pPr>
      <w:r>
        <w:rPr>
          <w:rFonts w:asciiTheme="minorHAnsi" w:hAnsiTheme="minorHAnsi" w:cstheme="minorHAnsi"/>
          <w:iCs/>
          <w:sz w:val="28"/>
          <w:szCs w:val="28"/>
        </w:rPr>
        <w:t>(Original Firmado)</w:t>
      </w:r>
    </w:p>
    <w:p w:rsidR="00066519" w:rsidRDefault="00066519" w:rsidP="00066519">
      <w:pPr>
        <w:widowControl w:val="0"/>
        <w:ind w:firstLine="1134"/>
        <w:jc w:val="center"/>
        <w:rPr>
          <w:rFonts w:asciiTheme="minorHAnsi" w:hAnsiTheme="minorHAnsi" w:cstheme="minorHAnsi"/>
          <w:iCs/>
          <w:sz w:val="28"/>
          <w:szCs w:val="28"/>
        </w:rPr>
      </w:pPr>
    </w:p>
    <w:p w:rsidR="00066519" w:rsidRDefault="00066519" w:rsidP="00066519">
      <w:pPr>
        <w:widowControl w:val="0"/>
        <w:ind w:firstLine="1134"/>
        <w:jc w:val="center"/>
        <w:rPr>
          <w:rFonts w:asciiTheme="minorHAnsi" w:hAnsiTheme="minorHAnsi" w:cstheme="minorHAnsi"/>
          <w:iCs/>
          <w:sz w:val="28"/>
          <w:szCs w:val="28"/>
        </w:rPr>
      </w:pPr>
    </w:p>
    <w:p w:rsidR="00066519" w:rsidRDefault="00066519" w:rsidP="00066519">
      <w:pPr>
        <w:widowControl w:val="0"/>
        <w:ind w:firstLine="1134"/>
        <w:jc w:val="center"/>
        <w:rPr>
          <w:rFonts w:asciiTheme="minorHAnsi" w:hAnsiTheme="minorHAnsi" w:cstheme="minorHAnsi"/>
          <w:iCs/>
          <w:sz w:val="28"/>
          <w:szCs w:val="28"/>
        </w:rPr>
      </w:pPr>
    </w:p>
    <w:p w:rsidR="00066519" w:rsidRDefault="00066519" w:rsidP="00066519">
      <w:pPr>
        <w:widowControl w:val="0"/>
        <w:ind w:firstLine="1134"/>
        <w:jc w:val="center"/>
        <w:rPr>
          <w:rFonts w:asciiTheme="minorHAnsi" w:hAnsiTheme="minorHAnsi" w:cstheme="minorHAnsi"/>
          <w:iCs/>
          <w:sz w:val="28"/>
          <w:szCs w:val="28"/>
        </w:rPr>
      </w:pPr>
    </w:p>
    <w:p w:rsidR="00066519" w:rsidRDefault="00066519" w:rsidP="00066519">
      <w:pPr>
        <w:widowControl w:val="0"/>
        <w:ind w:firstLine="1134"/>
        <w:jc w:val="center"/>
        <w:rPr>
          <w:rFonts w:asciiTheme="minorHAnsi" w:hAnsiTheme="minorHAnsi" w:cstheme="minorHAnsi"/>
          <w:iCs/>
          <w:sz w:val="28"/>
          <w:szCs w:val="28"/>
        </w:rPr>
      </w:pPr>
    </w:p>
    <w:p w:rsidR="00066519" w:rsidRDefault="00066519" w:rsidP="00066519">
      <w:pPr>
        <w:widowControl w:val="0"/>
        <w:ind w:firstLine="1134"/>
        <w:jc w:val="center"/>
        <w:rPr>
          <w:rFonts w:asciiTheme="minorHAnsi" w:hAnsiTheme="minorHAnsi" w:cstheme="minorHAnsi"/>
          <w:iCs/>
          <w:sz w:val="28"/>
          <w:szCs w:val="28"/>
        </w:rPr>
      </w:pPr>
    </w:p>
    <w:p w:rsidR="00066519" w:rsidRDefault="00066519" w:rsidP="00066519">
      <w:pPr>
        <w:widowControl w:val="0"/>
        <w:jc w:val="center"/>
        <w:rPr>
          <w:rFonts w:asciiTheme="minorHAnsi" w:hAnsiTheme="minorHAnsi" w:cstheme="minorHAnsi"/>
          <w:iCs/>
          <w:sz w:val="28"/>
          <w:szCs w:val="28"/>
        </w:rPr>
      </w:pPr>
      <w:r>
        <w:rPr>
          <w:rFonts w:asciiTheme="minorHAnsi" w:hAnsiTheme="minorHAnsi" w:cstheme="minorHAnsi"/>
          <w:sz w:val="28"/>
          <w:szCs w:val="28"/>
        </w:rPr>
        <w:t xml:space="preserve">HÉCTOR ENRIQUE REY MORENO                         </w:t>
      </w:r>
      <w:r>
        <w:rPr>
          <w:rFonts w:asciiTheme="minorHAnsi" w:hAnsiTheme="minorHAnsi" w:cstheme="minorHAnsi"/>
          <w:iCs/>
          <w:sz w:val="28"/>
          <w:szCs w:val="28"/>
        </w:rPr>
        <w:t>TERESA HERRERA ANDRADE</w:t>
      </w:r>
    </w:p>
    <w:p w:rsidR="00066519" w:rsidRDefault="00066519" w:rsidP="00066519">
      <w:pPr>
        <w:widowControl w:val="0"/>
        <w:ind w:left="708" w:firstLine="708"/>
      </w:pPr>
      <w:r>
        <w:rPr>
          <w:rFonts w:asciiTheme="minorHAnsi" w:hAnsiTheme="minorHAnsi" w:cstheme="minorHAnsi"/>
          <w:iCs/>
          <w:sz w:val="28"/>
          <w:szCs w:val="28"/>
        </w:rPr>
        <w:t>(Original Firmado)</w:t>
      </w:r>
      <w:r>
        <w:rPr>
          <w:rFonts w:asciiTheme="minorHAnsi" w:hAnsiTheme="minorHAnsi" w:cstheme="minorHAnsi"/>
          <w:iCs/>
          <w:sz w:val="28"/>
          <w:szCs w:val="28"/>
        </w:rPr>
        <w:tab/>
      </w:r>
      <w:r>
        <w:rPr>
          <w:rFonts w:asciiTheme="minorHAnsi" w:hAnsiTheme="minorHAnsi" w:cstheme="minorHAnsi"/>
          <w:iCs/>
          <w:sz w:val="28"/>
          <w:szCs w:val="28"/>
        </w:rPr>
        <w:tab/>
      </w:r>
      <w:r>
        <w:rPr>
          <w:rFonts w:asciiTheme="minorHAnsi" w:hAnsiTheme="minorHAnsi" w:cstheme="minorHAnsi"/>
          <w:iCs/>
          <w:sz w:val="28"/>
          <w:szCs w:val="28"/>
        </w:rPr>
        <w:tab/>
      </w:r>
      <w:r>
        <w:rPr>
          <w:rFonts w:asciiTheme="minorHAnsi" w:hAnsiTheme="minorHAnsi" w:cstheme="minorHAnsi"/>
          <w:iCs/>
          <w:sz w:val="28"/>
          <w:szCs w:val="28"/>
        </w:rPr>
        <w:tab/>
      </w:r>
      <w:r>
        <w:rPr>
          <w:rFonts w:asciiTheme="minorHAnsi" w:hAnsiTheme="minorHAnsi" w:cstheme="minorHAnsi"/>
          <w:sz w:val="28"/>
          <w:szCs w:val="28"/>
        </w:rPr>
        <w:t xml:space="preserve">       (Ausente con Permiso)    </w:t>
      </w:r>
    </w:p>
    <w:sectPr w:rsidR="00066519" w:rsidSect="004878BB">
      <w:headerReference w:type="default" r:id="rId8"/>
      <w:pgSz w:w="12242" w:h="18722" w:code="120"/>
      <w:pgMar w:top="1418" w:right="1191" w:bottom="1247"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6E9" w:rsidRDefault="003546E9" w:rsidP="0002395D">
      <w:r>
        <w:separator/>
      </w:r>
    </w:p>
  </w:endnote>
  <w:endnote w:type="continuationSeparator" w:id="0">
    <w:p w:rsidR="003546E9" w:rsidRDefault="003546E9" w:rsidP="000239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6E9" w:rsidRDefault="003546E9" w:rsidP="0002395D">
      <w:r>
        <w:separator/>
      </w:r>
    </w:p>
  </w:footnote>
  <w:footnote w:type="continuationSeparator" w:id="0">
    <w:p w:rsidR="003546E9" w:rsidRDefault="003546E9" w:rsidP="0002395D">
      <w:r>
        <w:continuationSeparator/>
      </w:r>
    </w:p>
  </w:footnote>
  <w:footnote w:id="1">
    <w:p w:rsidR="0002395D" w:rsidRPr="00631619" w:rsidRDefault="0002395D" w:rsidP="0002395D">
      <w:pPr>
        <w:pStyle w:val="Textonotapie"/>
        <w:rPr>
          <w:rFonts w:ascii="Bookman Old Style" w:hAnsi="Bookman Old Style" w:cs="Arial"/>
          <w:i/>
          <w:sz w:val="16"/>
          <w:szCs w:val="16"/>
        </w:rPr>
      </w:pPr>
      <w:r w:rsidRPr="001F15A6">
        <w:rPr>
          <w:rStyle w:val="Refdenotaalpie"/>
          <w:rFonts w:ascii="Arial" w:hAnsi="Arial" w:cs="Arial"/>
        </w:rPr>
        <w:footnoteRef/>
      </w:r>
      <w:r w:rsidRPr="001F15A6">
        <w:rPr>
          <w:rFonts w:ascii="Arial" w:hAnsi="Arial" w:cs="Arial"/>
        </w:rPr>
        <w:t xml:space="preserve"> </w:t>
      </w:r>
      <w:r>
        <w:rPr>
          <w:rFonts w:ascii="Arial" w:hAnsi="Arial" w:cs="Arial"/>
        </w:rPr>
        <w:t xml:space="preserve"> </w:t>
      </w:r>
      <w:r>
        <w:rPr>
          <w:rFonts w:ascii="Bookman Old Style" w:hAnsi="Bookman Old Style" w:cs="Arial"/>
          <w:i/>
          <w:sz w:val="16"/>
          <w:szCs w:val="16"/>
        </w:rPr>
        <w:t>Fol. 42</w:t>
      </w:r>
    </w:p>
  </w:footnote>
  <w:footnote w:id="2">
    <w:p w:rsidR="0002395D" w:rsidRPr="004878BB" w:rsidRDefault="0002395D" w:rsidP="0002395D">
      <w:pPr>
        <w:pStyle w:val="Textonotapie"/>
        <w:rPr>
          <w:rFonts w:ascii="Bookman Old Style" w:hAnsi="Bookman Old Style"/>
          <w:i/>
          <w:sz w:val="16"/>
          <w:szCs w:val="16"/>
        </w:rPr>
      </w:pPr>
      <w:r w:rsidRPr="004878BB">
        <w:rPr>
          <w:rStyle w:val="Refdenotaalpie"/>
          <w:rFonts w:ascii="Bookman Old Style" w:hAnsi="Bookman Old Style"/>
          <w:i/>
          <w:sz w:val="16"/>
          <w:szCs w:val="16"/>
        </w:rPr>
        <w:footnoteRef/>
      </w:r>
      <w:r>
        <w:rPr>
          <w:rFonts w:ascii="Bookman Old Style" w:hAnsi="Bookman Old Style"/>
          <w:i/>
          <w:sz w:val="16"/>
          <w:szCs w:val="16"/>
        </w:rPr>
        <w:t xml:space="preserve"> Fol. 44-45</w:t>
      </w:r>
    </w:p>
  </w:footnote>
  <w:footnote w:id="3">
    <w:p w:rsidR="0002395D" w:rsidRPr="00DE153E" w:rsidRDefault="0002395D" w:rsidP="0002395D">
      <w:pPr>
        <w:pStyle w:val="Textonotapie"/>
        <w:rPr>
          <w:rFonts w:ascii="Bookman Old Style" w:hAnsi="Bookman Old Style"/>
          <w:i/>
          <w:sz w:val="16"/>
          <w:szCs w:val="16"/>
        </w:rPr>
      </w:pPr>
      <w:r w:rsidRPr="00DE153E">
        <w:rPr>
          <w:rStyle w:val="Refdenotaalpie"/>
          <w:rFonts w:ascii="Bookman Old Style" w:hAnsi="Bookman Old Style"/>
          <w:i/>
          <w:sz w:val="16"/>
          <w:szCs w:val="16"/>
        </w:rPr>
        <w:footnoteRef/>
      </w:r>
      <w:r w:rsidRPr="00DE153E">
        <w:rPr>
          <w:rFonts w:ascii="Bookman Old Style" w:hAnsi="Bookman Old Style"/>
          <w:i/>
          <w:sz w:val="16"/>
          <w:szCs w:val="16"/>
        </w:rPr>
        <w:t xml:space="preserve"> Fol. </w:t>
      </w:r>
      <w:r>
        <w:rPr>
          <w:rFonts w:ascii="Bookman Old Style" w:hAnsi="Bookman Old Style"/>
          <w:i/>
          <w:sz w:val="16"/>
          <w:szCs w:val="16"/>
        </w:rPr>
        <w:t>11</w:t>
      </w:r>
    </w:p>
  </w:footnote>
  <w:footnote w:id="4">
    <w:p w:rsidR="0002395D" w:rsidRPr="0068373C" w:rsidRDefault="0002395D" w:rsidP="0002395D">
      <w:pPr>
        <w:pStyle w:val="Textonotapie"/>
        <w:rPr>
          <w:rFonts w:ascii="Bookman Old Style" w:hAnsi="Bookman Old Style"/>
          <w:i/>
          <w:sz w:val="16"/>
          <w:szCs w:val="16"/>
          <w:lang w:val="es-CO"/>
        </w:rPr>
      </w:pPr>
      <w:r w:rsidRPr="0068373C">
        <w:rPr>
          <w:rStyle w:val="Refdenotaalpie"/>
          <w:rFonts w:ascii="Bookman Old Style" w:hAnsi="Bookman Old Style"/>
          <w:i/>
          <w:sz w:val="16"/>
          <w:szCs w:val="16"/>
        </w:rPr>
        <w:footnoteRef/>
      </w:r>
      <w:r w:rsidRPr="0068373C">
        <w:rPr>
          <w:rFonts w:ascii="Bookman Old Style" w:hAnsi="Bookman Old Style"/>
          <w:i/>
          <w:sz w:val="16"/>
          <w:szCs w:val="16"/>
        </w:rPr>
        <w:t xml:space="preserve"> </w:t>
      </w:r>
      <w:r w:rsidRPr="0068373C">
        <w:rPr>
          <w:rFonts w:ascii="Bookman Old Style" w:hAnsi="Bookman Old Style"/>
          <w:i/>
          <w:sz w:val="16"/>
          <w:szCs w:val="16"/>
          <w:lang w:val="es-CO"/>
        </w:rPr>
        <w:t>Hecho s</w:t>
      </w:r>
      <w:r>
        <w:rPr>
          <w:rFonts w:ascii="Bookman Old Style" w:hAnsi="Bookman Old Style"/>
          <w:i/>
          <w:sz w:val="16"/>
          <w:szCs w:val="16"/>
          <w:lang w:val="es-CO"/>
        </w:rPr>
        <w:t>exto de la demanda</w:t>
      </w:r>
    </w:p>
  </w:footnote>
  <w:footnote w:id="5">
    <w:p w:rsidR="0002395D" w:rsidRPr="00AB30A7" w:rsidRDefault="0002395D" w:rsidP="0002395D">
      <w:pPr>
        <w:pStyle w:val="Textonotapie"/>
        <w:rPr>
          <w:rFonts w:ascii="Bookman Old Style" w:hAnsi="Bookman Old Style"/>
          <w:i/>
          <w:sz w:val="16"/>
          <w:szCs w:val="16"/>
        </w:rPr>
      </w:pPr>
      <w:r w:rsidRPr="00AB30A7">
        <w:rPr>
          <w:rStyle w:val="Refdenotaalpie"/>
          <w:rFonts w:ascii="Bookman Old Style" w:hAnsi="Bookman Old Style"/>
          <w:i/>
          <w:sz w:val="16"/>
          <w:szCs w:val="16"/>
        </w:rPr>
        <w:footnoteRef/>
      </w:r>
      <w:r w:rsidRPr="00AB30A7">
        <w:rPr>
          <w:rFonts w:ascii="Bookman Old Style" w:hAnsi="Bookman Old Style"/>
          <w:i/>
          <w:sz w:val="16"/>
          <w:szCs w:val="16"/>
        </w:rPr>
        <w:t xml:space="preserve"> Hecho </w:t>
      </w:r>
      <w:r>
        <w:rPr>
          <w:rFonts w:ascii="Bookman Old Style" w:hAnsi="Bookman Old Style"/>
          <w:i/>
          <w:sz w:val="16"/>
          <w:szCs w:val="16"/>
        </w:rPr>
        <w:t>quinto de la demanda</w:t>
      </w:r>
    </w:p>
  </w:footnote>
  <w:footnote w:id="6">
    <w:p w:rsidR="0002395D" w:rsidRPr="00435674" w:rsidRDefault="0002395D" w:rsidP="0002395D">
      <w:pPr>
        <w:pStyle w:val="Textonotapie"/>
        <w:jc w:val="both"/>
        <w:rPr>
          <w:rFonts w:ascii="Bookman Old Style" w:hAnsi="Bookman Old Style"/>
          <w:i/>
          <w:sz w:val="16"/>
          <w:szCs w:val="16"/>
        </w:rPr>
      </w:pPr>
      <w:r>
        <w:rPr>
          <w:rStyle w:val="Refdenotaalpie"/>
          <w:rFonts w:ascii="Century Gothic" w:hAnsi="Century Gothic" w:cs="Arial"/>
        </w:rPr>
        <w:footnoteRef/>
      </w:r>
      <w:r>
        <w:rPr>
          <w:rFonts w:ascii="Century Gothic" w:hAnsi="Century Gothic"/>
        </w:rPr>
        <w:t xml:space="preserve"> </w:t>
      </w:r>
      <w:r w:rsidRPr="002D50D3">
        <w:rPr>
          <w:rFonts w:ascii="Bookman Old Style" w:hAnsi="Bookman Old Style"/>
          <w:i/>
          <w:sz w:val="16"/>
          <w:szCs w:val="16"/>
        </w:rPr>
        <w:t>Corte Constituci</w:t>
      </w:r>
      <w:r>
        <w:rPr>
          <w:rFonts w:ascii="Bookman Old Style" w:hAnsi="Bookman Old Style"/>
          <w:i/>
          <w:sz w:val="16"/>
          <w:szCs w:val="16"/>
        </w:rPr>
        <w:t xml:space="preserve">onal, Sentencia C – 115 de 1998 M.P </w:t>
      </w:r>
      <w:r w:rsidRPr="00435674">
        <w:rPr>
          <w:rFonts w:ascii="Bookman Old Style" w:hAnsi="Bookman Old Style" w:cs="Arial"/>
          <w:i/>
          <w:sz w:val="16"/>
          <w:szCs w:val="16"/>
        </w:rPr>
        <w:t>Hernando Herrera Vergara</w:t>
      </w:r>
    </w:p>
  </w:footnote>
  <w:footnote w:id="7">
    <w:p w:rsidR="0002395D" w:rsidRPr="00FA0789" w:rsidRDefault="0002395D" w:rsidP="0002395D">
      <w:pPr>
        <w:pStyle w:val="Textonotapie"/>
        <w:rPr>
          <w:rFonts w:ascii="Bookman Old Style" w:hAnsi="Bookman Old Style"/>
          <w:i/>
          <w:sz w:val="16"/>
          <w:szCs w:val="16"/>
          <w:lang w:val="es-CO"/>
        </w:rPr>
      </w:pPr>
      <w:r w:rsidRPr="00FA0789">
        <w:rPr>
          <w:rStyle w:val="Refdenotaalpie"/>
          <w:rFonts w:ascii="Bookman Old Style" w:hAnsi="Bookman Old Style"/>
          <w:i/>
          <w:sz w:val="16"/>
          <w:szCs w:val="16"/>
        </w:rPr>
        <w:footnoteRef/>
      </w:r>
      <w:r w:rsidRPr="00FA0789">
        <w:rPr>
          <w:rFonts w:ascii="Bookman Old Style" w:hAnsi="Bookman Old Style"/>
          <w:i/>
          <w:sz w:val="16"/>
          <w:szCs w:val="16"/>
        </w:rPr>
        <w:t xml:space="preserve"> </w:t>
      </w:r>
      <w:r>
        <w:rPr>
          <w:rFonts w:ascii="Bookman Old Style" w:hAnsi="Bookman Old Style"/>
          <w:i/>
          <w:sz w:val="16"/>
          <w:szCs w:val="16"/>
          <w:lang w:val="es-CO"/>
        </w:rPr>
        <w:t>Fol. 41</w:t>
      </w:r>
    </w:p>
  </w:footnote>
  <w:footnote w:id="8">
    <w:p w:rsidR="0002395D" w:rsidRPr="0068373C" w:rsidRDefault="0002395D" w:rsidP="0002395D">
      <w:pPr>
        <w:pStyle w:val="Textonotapie"/>
        <w:rPr>
          <w:rFonts w:ascii="Bookman Old Style" w:hAnsi="Bookman Old Style"/>
          <w:i/>
          <w:sz w:val="16"/>
          <w:szCs w:val="16"/>
          <w:lang w:val="es-CO"/>
        </w:rPr>
      </w:pPr>
      <w:r>
        <w:rPr>
          <w:rStyle w:val="Refdenotaalpie"/>
        </w:rPr>
        <w:footnoteRef/>
      </w:r>
      <w:r w:rsidRPr="0068373C">
        <w:rPr>
          <w:lang w:val="es-CO"/>
        </w:rPr>
        <w:t xml:space="preserve"> </w:t>
      </w:r>
      <w:r>
        <w:rPr>
          <w:rFonts w:ascii="Bookman Old Style" w:hAnsi="Bookman Old Style" w:cs="Arial"/>
          <w:i/>
          <w:sz w:val="16"/>
          <w:szCs w:val="16"/>
          <w:lang w:val="es-CO"/>
        </w:rPr>
        <w:t>fol. 42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rPr>
      <w:id w:val="26135004"/>
      <w:docPartObj>
        <w:docPartGallery w:val="Page Numbers (Top of Page)"/>
        <w:docPartUnique/>
      </w:docPartObj>
    </w:sdtPr>
    <w:sdtEndPr>
      <w:rPr>
        <w:rFonts w:ascii="Times New Roman" w:hAnsi="Times New Roman" w:cs="Times New Roman"/>
      </w:rPr>
    </w:sdtEndPr>
    <w:sdtContent>
      <w:p w:rsidR="004878BB" w:rsidRPr="00BF69BE" w:rsidRDefault="00006B50" w:rsidP="004878BB">
        <w:pPr>
          <w:ind w:left="851" w:firstLine="709"/>
          <w:jc w:val="right"/>
          <w:rPr>
            <w:rFonts w:asciiTheme="minorHAnsi" w:hAnsiTheme="minorHAnsi" w:cstheme="minorHAnsi"/>
            <w:sz w:val="16"/>
            <w:szCs w:val="16"/>
          </w:rPr>
        </w:pPr>
        <w:r w:rsidRPr="00BF69BE">
          <w:rPr>
            <w:rFonts w:asciiTheme="minorHAnsi" w:hAnsiTheme="minorHAnsi" w:cstheme="minorHAnsi"/>
            <w:sz w:val="16"/>
            <w:szCs w:val="16"/>
          </w:rPr>
          <w:t>Nulidad y Restablecimiento del Derecho</w:t>
        </w:r>
      </w:p>
      <w:p w:rsidR="004878BB" w:rsidRPr="00BF69BE" w:rsidRDefault="00567D88" w:rsidP="00D1359C">
        <w:pPr>
          <w:ind w:left="143" w:firstLine="708"/>
          <w:jc w:val="right"/>
          <w:rPr>
            <w:rFonts w:asciiTheme="minorHAnsi" w:hAnsiTheme="minorHAnsi" w:cstheme="minorHAnsi"/>
            <w:sz w:val="16"/>
            <w:szCs w:val="16"/>
          </w:rPr>
        </w:pPr>
        <w:r w:rsidRPr="00567D88">
          <w:rPr>
            <w:rFonts w:asciiTheme="minorHAnsi" w:hAnsiTheme="minorHAnsi" w:cs="Comic Sans MS"/>
            <w:bCs/>
            <w:sz w:val="16"/>
            <w:szCs w:val="16"/>
          </w:rPr>
          <w:t>Desiderio Lozano Campos</w:t>
        </w:r>
        <w:r w:rsidR="00006B50" w:rsidRPr="00200BA3">
          <w:rPr>
            <w:rFonts w:asciiTheme="minorHAnsi" w:hAnsiTheme="minorHAnsi" w:cstheme="minorHAnsi"/>
            <w:bCs/>
            <w:sz w:val="16"/>
            <w:szCs w:val="16"/>
          </w:rPr>
          <w:t xml:space="preserve"> </w:t>
        </w:r>
        <w:r w:rsidR="00006B50" w:rsidRPr="00BF69BE">
          <w:rPr>
            <w:rFonts w:asciiTheme="minorHAnsi" w:hAnsiTheme="minorHAnsi" w:cstheme="minorHAnsi"/>
            <w:bCs/>
            <w:sz w:val="16"/>
            <w:szCs w:val="16"/>
          </w:rPr>
          <w:t xml:space="preserve">Vs. </w:t>
        </w:r>
        <w:r w:rsidR="00006B50" w:rsidRPr="00BF69BE">
          <w:rPr>
            <w:rFonts w:asciiTheme="minorHAnsi" w:hAnsiTheme="minorHAnsi" w:cstheme="minorHAnsi"/>
            <w:sz w:val="16"/>
            <w:szCs w:val="16"/>
          </w:rPr>
          <w:t xml:space="preserve">Departamento del Guaviare – Secretaría de Salud </w:t>
        </w:r>
      </w:p>
      <w:p w:rsidR="004878BB" w:rsidRPr="00BF69BE" w:rsidRDefault="00006B50" w:rsidP="004878BB">
        <w:pPr>
          <w:widowControl w:val="0"/>
          <w:ind w:left="851" w:firstLine="709"/>
          <w:jc w:val="right"/>
          <w:rPr>
            <w:rFonts w:asciiTheme="minorHAnsi" w:hAnsiTheme="minorHAnsi" w:cstheme="minorHAnsi"/>
            <w:sz w:val="16"/>
            <w:szCs w:val="16"/>
          </w:rPr>
        </w:pPr>
        <w:r w:rsidRPr="00BF69BE">
          <w:rPr>
            <w:rFonts w:asciiTheme="minorHAnsi" w:hAnsiTheme="minorHAnsi" w:cstheme="minorHAnsi"/>
            <w:sz w:val="16"/>
            <w:szCs w:val="16"/>
          </w:rPr>
          <w:t>Expediente: 50001-33-33-003-2013-000</w:t>
        </w:r>
        <w:r w:rsidR="00567D88">
          <w:rPr>
            <w:rFonts w:asciiTheme="minorHAnsi" w:hAnsiTheme="minorHAnsi" w:cstheme="minorHAnsi"/>
            <w:sz w:val="16"/>
            <w:szCs w:val="16"/>
          </w:rPr>
          <w:t>68</w:t>
        </w:r>
        <w:r w:rsidRPr="00BF69BE">
          <w:rPr>
            <w:rFonts w:asciiTheme="minorHAnsi" w:hAnsiTheme="minorHAnsi" w:cstheme="minorHAnsi"/>
            <w:sz w:val="16"/>
            <w:szCs w:val="16"/>
          </w:rPr>
          <w:t xml:space="preserve">-01 </w:t>
        </w:r>
      </w:p>
      <w:p w:rsidR="004878BB" w:rsidRPr="00BF69BE" w:rsidRDefault="00006B50" w:rsidP="004878BB">
        <w:pPr>
          <w:widowControl w:val="0"/>
          <w:ind w:left="851" w:firstLine="709"/>
          <w:jc w:val="right"/>
          <w:rPr>
            <w:rFonts w:asciiTheme="minorHAnsi" w:hAnsiTheme="minorHAnsi" w:cstheme="minorHAnsi"/>
            <w:iCs/>
            <w:sz w:val="16"/>
            <w:szCs w:val="16"/>
          </w:rPr>
        </w:pPr>
        <w:r w:rsidRPr="00BF69BE">
          <w:rPr>
            <w:rFonts w:asciiTheme="minorHAnsi" w:hAnsiTheme="minorHAnsi" w:cstheme="minorHAnsi"/>
            <w:sz w:val="16"/>
            <w:szCs w:val="16"/>
          </w:rPr>
          <w:t>M.G.V</w:t>
        </w:r>
      </w:p>
      <w:p w:rsidR="004878BB" w:rsidRPr="00BF69BE" w:rsidRDefault="003546E9" w:rsidP="004878BB">
        <w:pPr>
          <w:spacing w:line="360" w:lineRule="auto"/>
          <w:jc w:val="right"/>
          <w:rPr>
            <w:rFonts w:asciiTheme="minorHAnsi" w:hAnsiTheme="minorHAnsi" w:cstheme="minorHAnsi"/>
            <w:i/>
            <w:sz w:val="16"/>
            <w:szCs w:val="16"/>
          </w:rPr>
        </w:pPr>
      </w:p>
      <w:p w:rsidR="004878BB" w:rsidRDefault="005E0499">
        <w:pPr>
          <w:pStyle w:val="Encabezado"/>
          <w:jc w:val="right"/>
        </w:pPr>
        <w:r>
          <w:fldChar w:fldCharType="begin"/>
        </w:r>
        <w:r w:rsidR="00006B50">
          <w:instrText xml:space="preserve"> PAGE   \* MERGEFORMAT </w:instrText>
        </w:r>
        <w:r>
          <w:fldChar w:fldCharType="separate"/>
        </w:r>
        <w:r w:rsidR="00066519">
          <w:rPr>
            <w:noProof/>
          </w:rPr>
          <w:t>6</w:t>
        </w:r>
        <w:r>
          <w:fldChar w:fldCharType="end"/>
        </w:r>
      </w:p>
    </w:sdtContent>
  </w:sdt>
  <w:p w:rsidR="004878BB" w:rsidRDefault="003546E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B31A5"/>
    <w:multiLevelType w:val="hybridMultilevel"/>
    <w:tmpl w:val="AB72E986"/>
    <w:lvl w:ilvl="0" w:tplc="D52800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footnotePr>
    <w:footnote w:id="-1"/>
    <w:footnote w:id="0"/>
  </w:footnotePr>
  <w:endnotePr>
    <w:endnote w:id="-1"/>
    <w:endnote w:id="0"/>
  </w:endnotePr>
  <w:compat/>
  <w:rsids>
    <w:rsidRoot w:val="0002395D"/>
    <w:rsid w:val="00006B50"/>
    <w:rsid w:val="0002395D"/>
    <w:rsid w:val="00050814"/>
    <w:rsid w:val="00066519"/>
    <w:rsid w:val="000827E4"/>
    <w:rsid w:val="000E5207"/>
    <w:rsid w:val="00136249"/>
    <w:rsid w:val="00180D71"/>
    <w:rsid w:val="002613AE"/>
    <w:rsid w:val="003546E9"/>
    <w:rsid w:val="004E3469"/>
    <w:rsid w:val="004E73F0"/>
    <w:rsid w:val="00567D88"/>
    <w:rsid w:val="005E0499"/>
    <w:rsid w:val="00696E0B"/>
    <w:rsid w:val="006D08BC"/>
    <w:rsid w:val="00853E01"/>
    <w:rsid w:val="0088751B"/>
    <w:rsid w:val="00920243"/>
    <w:rsid w:val="00AF42D1"/>
    <w:rsid w:val="00BD0C6C"/>
    <w:rsid w:val="00C955A9"/>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9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02395D"/>
    <w:pPr>
      <w:keepNext/>
      <w:overflowPunct/>
      <w:autoSpaceDE/>
      <w:autoSpaceDN/>
      <w:adjustRightInd/>
      <w:jc w:val="center"/>
      <w:textAlignment w:val="auto"/>
      <w:outlineLvl w:val="0"/>
    </w:pPr>
    <w:rPr>
      <w:rFonts w:ascii="Comic Sans MS" w:hAnsi="Comic Sans MS"/>
      <w:sz w:val="26"/>
    </w:rPr>
  </w:style>
  <w:style w:type="paragraph" w:styleId="Ttulo4">
    <w:name w:val="heading 4"/>
    <w:basedOn w:val="Normal"/>
    <w:next w:val="Normal"/>
    <w:link w:val="Ttulo4Car"/>
    <w:qFormat/>
    <w:rsid w:val="0002395D"/>
    <w:pPr>
      <w:keepNext/>
      <w:overflowPunct/>
      <w:autoSpaceDE/>
      <w:autoSpaceDN/>
      <w:adjustRightInd/>
      <w:spacing w:before="240" w:after="60"/>
      <w:textAlignment w:val="auto"/>
      <w:outlineLvl w:val="3"/>
    </w:pPr>
    <w:rPr>
      <w:b/>
      <w:bCs/>
      <w: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2395D"/>
    <w:rPr>
      <w:rFonts w:ascii="Comic Sans MS" w:eastAsia="Times New Roman" w:hAnsi="Comic Sans MS" w:cs="Times New Roman"/>
      <w:sz w:val="26"/>
      <w:szCs w:val="20"/>
      <w:lang w:val="es-ES_tradnl" w:eastAsia="es-ES"/>
    </w:rPr>
  </w:style>
  <w:style w:type="character" w:customStyle="1" w:styleId="Ttulo4Car">
    <w:name w:val="Título 4 Car"/>
    <w:basedOn w:val="Fuentedeprrafopredeter"/>
    <w:link w:val="Ttulo4"/>
    <w:rsid w:val="0002395D"/>
    <w:rPr>
      <w:rFonts w:ascii="Times New Roman" w:eastAsia="Times New Roman" w:hAnsi="Times New Roman" w:cs="Times New Roman"/>
      <w:b/>
      <w:bCs/>
      <w:i/>
      <w:sz w:val="28"/>
      <w:szCs w:val="28"/>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Ref. de nota al p"/>
    <w:basedOn w:val="Normal"/>
    <w:link w:val="TextonotapieCar"/>
    <w:unhideWhenUsed/>
    <w:rsid w:val="0002395D"/>
    <w:pPr>
      <w:overflowPunct/>
      <w:autoSpaceDE/>
      <w:autoSpaceDN/>
      <w:adjustRightInd/>
      <w:spacing w:after="200" w:line="276" w:lineRule="auto"/>
      <w:textAlignment w:val="auto"/>
    </w:pPr>
    <w:rPr>
      <w:rFonts w:ascii="Calibri" w:eastAsia="Calibri" w:hAnsi="Calibri"/>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Ref. de nota al p Car"/>
    <w:basedOn w:val="Fuentedeprrafopredeter"/>
    <w:link w:val="Textonotapie"/>
    <w:rsid w:val="0002395D"/>
    <w:rPr>
      <w:rFonts w:ascii="Calibri" w:eastAsia="Calibri" w:hAnsi="Calibri" w:cs="Times New Roman"/>
      <w:sz w:val="20"/>
      <w:szCs w:val="20"/>
      <w:lang w:val="es-ES"/>
    </w:rPr>
  </w:style>
  <w:style w:type="character" w:styleId="Refdenotaalpie">
    <w:name w:val="footnote reference"/>
    <w:aliases w:val="Ref. de nota al pie 2,Texto de nota al pie,referencia nota al pie,Nota de pie,Texto nota al pie,Appel note de bas de page,Pie de Página,FC"/>
    <w:semiHidden/>
    <w:unhideWhenUsed/>
    <w:rsid w:val="0002395D"/>
    <w:rPr>
      <w:vertAlign w:val="superscript"/>
    </w:rPr>
  </w:style>
  <w:style w:type="paragraph" w:styleId="NormalWeb">
    <w:name w:val="Normal (Web)"/>
    <w:basedOn w:val="Normal"/>
    <w:uiPriority w:val="99"/>
    <w:unhideWhenUsed/>
    <w:rsid w:val="0002395D"/>
    <w:pPr>
      <w:overflowPunct/>
      <w:autoSpaceDE/>
      <w:autoSpaceDN/>
      <w:adjustRightInd/>
      <w:spacing w:before="100" w:beforeAutospacing="1" w:after="100" w:afterAutospacing="1"/>
      <w:textAlignment w:val="auto"/>
    </w:pPr>
    <w:rPr>
      <w:sz w:val="24"/>
      <w:szCs w:val="24"/>
      <w:lang w:val="es-CO" w:eastAsia="es-CO"/>
    </w:rPr>
  </w:style>
  <w:style w:type="paragraph" w:styleId="Ttulo">
    <w:name w:val="Title"/>
    <w:basedOn w:val="Normal"/>
    <w:link w:val="TtuloCar"/>
    <w:qFormat/>
    <w:rsid w:val="0002395D"/>
    <w:pPr>
      <w:jc w:val="center"/>
    </w:pPr>
    <w:rPr>
      <w:rFonts w:ascii="Arial" w:hAnsi="Arial"/>
      <w:b/>
      <w:bCs/>
      <w:i/>
      <w:sz w:val="24"/>
    </w:rPr>
  </w:style>
  <w:style w:type="character" w:customStyle="1" w:styleId="TtuloCar">
    <w:name w:val="Título Car"/>
    <w:basedOn w:val="Fuentedeprrafopredeter"/>
    <w:link w:val="Ttulo"/>
    <w:rsid w:val="0002395D"/>
    <w:rPr>
      <w:rFonts w:ascii="Arial" w:eastAsia="Times New Roman" w:hAnsi="Arial" w:cs="Times New Roman"/>
      <w:b/>
      <w:bCs/>
      <w:i/>
      <w:sz w:val="24"/>
      <w:szCs w:val="20"/>
      <w:lang w:val="es-ES_tradnl" w:eastAsia="es-ES"/>
    </w:rPr>
  </w:style>
  <w:style w:type="paragraph" w:styleId="Encabezado">
    <w:name w:val="header"/>
    <w:basedOn w:val="Normal"/>
    <w:link w:val="EncabezadoCar"/>
    <w:unhideWhenUsed/>
    <w:rsid w:val="0002395D"/>
    <w:pPr>
      <w:tabs>
        <w:tab w:val="center" w:pos="4419"/>
        <w:tab w:val="right" w:pos="8838"/>
      </w:tabs>
    </w:pPr>
  </w:style>
  <w:style w:type="character" w:customStyle="1" w:styleId="EncabezadoCar">
    <w:name w:val="Encabezado Car"/>
    <w:basedOn w:val="Fuentedeprrafopredeter"/>
    <w:link w:val="Encabezado"/>
    <w:rsid w:val="0002395D"/>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02395D"/>
    <w:pPr>
      <w:ind w:left="720"/>
      <w:contextualSpacing/>
    </w:pPr>
  </w:style>
  <w:style w:type="paragraph" w:styleId="Sangra2detindependiente">
    <w:name w:val="Body Text Indent 2"/>
    <w:basedOn w:val="Normal"/>
    <w:link w:val="Sangra2detindependienteCar"/>
    <w:uiPriority w:val="99"/>
    <w:semiHidden/>
    <w:unhideWhenUsed/>
    <w:rsid w:val="0002395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2395D"/>
    <w:rPr>
      <w:rFonts w:ascii="Times New Roman" w:eastAsia="Times New Roman" w:hAnsi="Times New Roman" w:cs="Times New Roman"/>
      <w:sz w:val="20"/>
      <w:szCs w:val="20"/>
      <w:lang w:val="es-ES_tradnl" w:eastAsia="es-ES"/>
    </w:rPr>
  </w:style>
  <w:style w:type="paragraph" w:customStyle="1" w:styleId="Default">
    <w:name w:val="Default"/>
    <w:rsid w:val="0002395D"/>
    <w:pPr>
      <w:autoSpaceDE w:val="0"/>
      <w:autoSpaceDN w:val="0"/>
      <w:adjustRightInd w:val="0"/>
      <w:spacing w:after="0" w:line="240" w:lineRule="auto"/>
    </w:pPr>
    <w:rPr>
      <w:rFonts w:ascii="Arial" w:hAnsi="Arial" w:cs="Arial"/>
      <w:color w:val="000000"/>
      <w:sz w:val="24"/>
      <w:szCs w:val="24"/>
    </w:rPr>
  </w:style>
  <w:style w:type="paragraph" w:styleId="Textodebloque">
    <w:name w:val="Block Text"/>
    <w:basedOn w:val="Normal"/>
    <w:semiHidden/>
    <w:rsid w:val="0002395D"/>
    <w:pPr>
      <w:overflowPunct/>
      <w:autoSpaceDE/>
      <w:autoSpaceDN/>
      <w:adjustRightInd/>
      <w:ind w:left="540" w:right="567"/>
      <w:jc w:val="both"/>
      <w:textAlignment w:val="auto"/>
    </w:pPr>
    <w:rPr>
      <w:rFonts w:ascii="Arial" w:hAnsi="Arial" w:cs="Arial"/>
      <w:i/>
      <w:iCs/>
      <w:sz w:val="24"/>
      <w:szCs w:val="24"/>
      <w:lang w:val="es-CO"/>
    </w:rPr>
  </w:style>
  <w:style w:type="character" w:customStyle="1" w:styleId="apple-converted-space">
    <w:name w:val="apple-converted-space"/>
    <w:basedOn w:val="Fuentedeprrafopredeter"/>
    <w:rsid w:val="0002395D"/>
  </w:style>
  <w:style w:type="paragraph" w:styleId="Piedepgina">
    <w:name w:val="footer"/>
    <w:basedOn w:val="Normal"/>
    <w:link w:val="PiedepginaCar"/>
    <w:uiPriority w:val="99"/>
    <w:semiHidden/>
    <w:unhideWhenUsed/>
    <w:rsid w:val="00567D88"/>
    <w:pPr>
      <w:tabs>
        <w:tab w:val="center" w:pos="4419"/>
        <w:tab w:val="right" w:pos="8838"/>
      </w:tabs>
    </w:pPr>
  </w:style>
  <w:style w:type="character" w:customStyle="1" w:styleId="PiedepginaCar">
    <w:name w:val="Pie de página Car"/>
    <w:basedOn w:val="Fuentedeprrafopredeter"/>
    <w:link w:val="Piedepgina"/>
    <w:uiPriority w:val="99"/>
    <w:semiHidden/>
    <w:rsid w:val="00567D88"/>
    <w:rPr>
      <w:rFonts w:ascii="Times New Roman" w:eastAsia="Times New Roman" w:hAnsi="Times New Roman" w:cs="Times New Roman"/>
      <w:sz w:val="20"/>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187164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6</Pages>
  <Words>1721</Words>
  <Characters>9470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lricaurm</cp:lastModifiedBy>
  <cp:revision>12</cp:revision>
  <cp:lastPrinted>2014-09-16T16:05:00Z</cp:lastPrinted>
  <dcterms:created xsi:type="dcterms:W3CDTF">2014-09-09T17:00:00Z</dcterms:created>
  <dcterms:modified xsi:type="dcterms:W3CDTF">2014-09-16T18:41:00Z</dcterms:modified>
</cp:coreProperties>
</file>