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93" w:rsidRPr="00D46003" w:rsidRDefault="00F65193" w:rsidP="00F65193">
      <w:pPr>
        <w:pStyle w:val="Ttulo"/>
        <w:rPr>
          <w:rFonts w:asciiTheme="minorHAnsi" w:hAnsiTheme="minorHAnsi" w:cstheme="minorHAnsi"/>
          <w:i w:val="0"/>
          <w:sz w:val="28"/>
          <w:szCs w:val="28"/>
        </w:rPr>
      </w:pPr>
      <w:r w:rsidRPr="00D46003">
        <w:rPr>
          <w:rFonts w:asciiTheme="minorHAnsi" w:hAnsiTheme="minorHAnsi" w:cstheme="minorHAnsi"/>
          <w:i w:val="0"/>
          <w:sz w:val="28"/>
          <w:szCs w:val="28"/>
        </w:rPr>
        <w:t>REPÚBLICA DE COLOMBIA</w:t>
      </w:r>
    </w:p>
    <w:p w:rsidR="00F65193" w:rsidRPr="00D46003" w:rsidRDefault="00F65193" w:rsidP="00F65193">
      <w:pPr>
        <w:tabs>
          <w:tab w:val="left" w:pos="2410"/>
        </w:tabs>
        <w:jc w:val="center"/>
        <w:rPr>
          <w:rFonts w:asciiTheme="minorHAnsi" w:hAnsiTheme="minorHAnsi" w:cstheme="minorHAnsi"/>
          <w:b/>
          <w:sz w:val="28"/>
          <w:szCs w:val="28"/>
        </w:rPr>
      </w:pPr>
      <w:r w:rsidRPr="00D46003">
        <w:rPr>
          <w:rFonts w:asciiTheme="minorHAnsi" w:hAnsiTheme="minorHAnsi" w:cstheme="minorHAnsi"/>
          <w:b/>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F65193" w:rsidRPr="00D46003" w:rsidRDefault="00F65193" w:rsidP="00F65193">
      <w:pPr>
        <w:tabs>
          <w:tab w:val="left" w:pos="2410"/>
        </w:tabs>
        <w:jc w:val="center"/>
        <w:rPr>
          <w:rFonts w:asciiTheme="minorHAnsi" w:hAnsiTheme="minorHAnsi" w:cstheme="minorHAnsi"/>
          <w:b/>
          <w:sz w:val="28"/>
          <w:szCs w:val="28"/>
        </w:rPr>
      </w:pPr>
    </w:p>
    <w:p w:rsidR="00F65193" w:rsidRPr="00D46003" w:rsidRDefault="00F65193" w:rsidP="00F65193">
      <w:pPr>
        <w:tabs>
          <w:tab w:val="left" w:pos="2410"/>
        </w:tabs>
        <w:jc w:val="center"/>
        <w:rPr>
          <w:rFonts w:asciiTheme="minorHAnsi" w:hAnsiTheme="minorHAnsi" w:cstheme="minorHAnsi"/>
          <w:b/>
          <w:sz w:val="28"/>
          <w:szCs w:val="28"/>
        </w:rPr>
      </w:pPr>
    </w:p>
    <w:p w:rsidR="00F65193" w:rsidRPr="00D46003" w:rsidRDefault="00F65193" w:rsidP="00F65193">
      <w:pPr>
        <w:tabs>
          <w:tab w:val="left" w:pos="2410"/>
        </w:tabs>
        <w:jc w:val="center"/>
        <w:rPr>
          <w:rFonts w:asciiTheme="minorHAnsi" w:hAnsiTheme="minorHAnsi" w:cstheme="minorHAnsi"/>
          <w:b/>
          <w:sz w:val="28"/>
          <w:szCs w:val="28"/>
        </w:rPr>
      </w:pPr>
    </w:p>
    <w:p w:rsidR="00F65193" w:rsidRPr="00D46003" w:rsidRDefault="00F65193" w:rsidP="00F65193">
      <w:pPr>
        <w:tabs>
          <w:tab w:val="left" w:pos="2410"/>
        </w:tabs>
        <w:jc w:val="center"/>
        <w:rPr>
          <w:rFonts w:asciiTheme="minorHAnsi" w:hAnsiTheme="minorHAnsi" w:cstheme="minorHAnsi"/>
          <w:b/>
          <w:sz w:val="28"/>
          <w:szCs w:val="28"/>
        </w:rPr>
      </w:pPr>
    </w:p>
    <w:p w:rsidR="00F65193" w:rsidRPr="00D46003" w:rsidRDefault="00F65193" w:rsidP="00F65193">
      <w:pPr>
        <w:pStyle w:val="Ttulo4"/>
        <w:jc w:val="center"/>
        <w:rPr>
          <w:rFonts w:asciiTheme="minorHAnsi" w:hAnsiTheme="minorHAnsi" w:cstheme="minorHAnsi"/>
          <w:i w:val="0"/>
        </w:rPr>
      </w:pPr>
      <w:r w:rsidRPr="00D46003">
        <w:rPr>
          <w:rFonts w:asciiTheme="minorHAnsi" w:hAnsiTheme="minorHAnsi" w:cstheme="minorHAnsi"/>
          <w:i w:val="0"/>
        </w:rPr>
        <w:t>TRIBUNAL  ADMINISTRATIVO DEL META</w:t>
      </w:r>
    </w:p>
    <w:p w:rsidR="00F65193" w:rsidRPr="00D46003" w:rsidRDefault="00F65193" w:rsidP="00F65193">
      <w:pPr>
        <w:pStyle w:val="Ttulo1"/>
        <w:rPr>
          <w:rFonts w:asciiTheme="minorHAnsi" w:hAnsiTheme="minorHAnsi" w:cstheme="minorHAnsi"/>
          <w:sz w:val="28"/>
          <w:szCs w:val="28"/>
        </w:rPr>
      </w:pPr>
    </w:p>
    <w:p w:rsidR="00F65193" w:rsidRPr="00D46003" w:rsidRDefault="00F65193" w:rsidP="00F65193">
      <w:pPr>
        <w:rPr>
          <w:rFonts w:asciiTheme="minorHAnsi" w:hAnsiTheme="minorHAnsi" w:cstheme="minorHAnsi"/>
          <w:sz w:val="28"/>
          <w:szCs w:val="28"/>
        </w:rPr>
      </w:pPr>
    </w:p>
    <w:p w:rsidR="00F65193" w:rsidRPr="00D46003" w:rsidRDefault="00F65193" w:rsidP="00F65193">
      <w:pPr>
        <w:jc w:val="center"/>
        <w:rPr>
          <w:rFonts w:asciiTheme="minorHAnsi" w:hAnsiTheme="minorHAnsi" w:cstheme="minorHAnsi"/>
          <w:sz w:val="28"/>
          <w:szCs w:val="28"/>
        </w:rPr>
      </w:pPr>
      <w:r w:rsidRPr="00D46003">
        <w:rPr>
          <w:rFonts w:asciiTheme="minorHAnsi" w:hAnsiTheme="minorHAnsi" w:cstheme="minorHAnsi"/>
          <w:sz w:val="28"/>
          <w:szCs w:val="28"/>
        </w:rPr>
        <w:t>Auto de Interlocutorio No. 017</w:t>
      </w:r>
      <w:r w:rsidR="00200BA3" w:rsidRPr="00D46003">
        <w:rPr>
          <w:rFonts w:asciiTheme="minorHAnsi" w:hAnsiTheme="minorHAnsi" w:cstheme="minorHAnsi"/>
          <w:sz w:val="28"/>
          <w:szCs w:val="28"/>
        </w:rPr>
        <w:t>3</w:t>
      </w:r>
    </w:p>
    <w:p w:rsidR="00F65193" w:rsidRPr="00D46003" w:rsidRDefault="00F65193" w:rsidP="00F65193">
      <w:pPr>
        <w:jc w:val="center"/>
        <w:rPr>
          <w:rFonts w:asciiTheme="minorHAnsi" w:hAnsiTheme="minorHAnsi" w:cstheme="minorHAnsi"/>
          <w:sz w:val="28"/>
          <w:szCs w:val="28"/>
        </w:rPr>
      </w:pPr>
    </w:p>
    <w:p w:rsidR="00F65193" w:rsidRPr="00D46003" w:rsidRDefault="00F65193" w:rsidP="00F65193">
      <w:pPr>
        <w:rPr>
          <w:rFonts w:asciiTheme="minorHAnsi" w:hAnsiTheme="minorHAnsi" w:cstheme="minorHAnsi"/>
          <w:sz w:val="28"/>
          <w:szCs w:val="28"/>
        </w:rPr>
      </w:pPr>
      <w:r w:rsidRPr="00D46003">
        <w:rPr>
          <w:rFonts w:asciiTheme="minorHAnsi" w:hAnsiTheme="minorHAnsi" w:cstheme="minorHAnsi"/>
          <w:sz w:val="28"/>
          <w:szCs w:val="28"/>
        </w:rPr>
        <w:t xml:space="preserve">         Villavicencio, </w:t>
      </w:r>
    </w:p>
    <w:p w:rsidR="00F65193" w:rsidRPr="00D46003" w:rsidRDefault="00F65193" w:rsidP="00F65193">
      <w:pPr>
        <w:rPr>
          <w:rFonts w:asciiTheme="minorHAnsi" w:hAnsiTheme="minorHAnsi" w:cstheme="minorHAnsi"/>
          <w:sz w:val="28"/>
          <w:szCs w:val="28"/>
        </w:rPr>
      </w:pPr>
    </w:p>
    <w:p w:rsidR="00F65193" w:rsidRPr="00D46003" w:rsidRDefault="00F65193" w:rsidP="00F65193">
      <w:pPr>
        <w:ind w:left="143" w:firstLine="708"/>
        <w:jc w:val="both"/>
        <w:rPr>
          <w:rFonts w:asciiTheme="minorHAnsi" w:hAnsiTheme="minorHAnsi" w:cstheme="minorHAnsi"/>
          <w:sz w:val="28"/>
          <w:szCs w:val="28"/>
        </w:rPr>
      </w:pPr>
      <w:r w:rsidRPr="00D46003">
        <w:rPr>
          <w:rFonts w:asciiTheme="minorHAnsi" w:hAnsiTheme="minorHAnsi" w:cstheme="minorHAnsi"/>
          <w:sz w:val="28"/>
          <w:szCs w:val="28"/>
        </w:rPr>
        <w:t>MEDIO DE CONTROL:</w:t>
      </w:r>
      <w:r w:rsidRPr="00D46003">
        <w:rPr>
          <w:rFonts w:asciiTheme="minorHAnsi" w:hAnsiTheme="minorHAnsi" w:cstheme="minorHAnsi"/>
          <w:sz w:val="28"/>
          <w:szCs w:val="28"/>
        </w:rPr>
        <w:tab/>
        <w:t>NULIDAD Y RESTABLECIMIENTO  DEL DERECHO</w:t>
      </w:r>
    </w:p>
    <w:p w:rsidR="00F65193" w:rsidRPr="00D46003" w:rsidRDefault="00F65193" w:rsidP="00F65193">
      <w:pPr>
        <w:ind w:left="143" w:firstLine="708"/>
        <w:jc w:val="both"/>
        <w:rPr>
          <w:rFonts w:asciiTheme="minorHAnsi" w:hAnsiTheme="minorHAnsi" w:cstheme="minorHAnsi"/>
          <w:bCs/>
          <w:sz w:val="28"/>
          <w:szCs w:val="28"/>
        </w:rPr>
      </w:pPr>
      <w:r w:rsidRPr="00D46003">
        <w:rPr>
          <w:rFonts w:asciiTheme="minorHAnsi" w:hAnsiTheme="minorHAnsi" w:cstheme="minorHAnsi"/>
          <w:bCs/>
          <w:sz w:val="28"/>
          <w:szCs w:val="28"/>
        </w:rPr>
        <w:t>DEMANDANTE:</w:t>
      </w:r>
      <w:r w:rsidRPr="00D46003">
        <w:rPr>
          <w:rFonts w:asciiTheme="minorHAnsi" w:hAnsiTheme="minorHAnsi" w:cstheme="minorHAnsi"/>
          <w:bCs/>
          <w:sz w:val="28"/>
          <w:szCs w:val="28"/>
        </w:rPr>
        <w:tab/>
      </w:r>
      <w:r w:rsidRPr="00D46003">
        <w:rPr>
          <w:rFonts w:asciiTheme="minorHAnsi" w:hAnsiTheme="minorHAnsi" w:cstheme="minorHAnsi"/>
          <w:bCs/>
          <w:sz w:val="28"/>
          <w:szCs w:val="28"/>
        </w:rPr>
        <w:tab/>
      </w:r>
      <w:r w:rsidR="00200BA3" w:rsidRPr="00D46003">
        <w:rPr>
          <w:rFonts w:asciiTheme="minorHAnsi" w:hAnsiTheme="minorHAnsi" w:cstheme="minorHAnsi"/>
          <w:bCs/>
          <w:sz w:val="28"/>
          <w:szCs w:val="28"/>
        </w:rPr>
        <w:t>MARÍA YOLANDA PÉREZ VILLAMIL</w:t>
      </w:r>
      <w:r w:rsidRPr="00D46003">
        <w:rPr>
          <w:rFonts w:asciiTheme="minorHAnsi" w:hAnsiTheme="minorHAnsi" w:cstheme="minorHAnsi"/>
          <w:bCs/>
          <w:sz w:val="28"/>
          <w:szCs w:val="28"/>
        </w:rPr>
        <w:t xml:space="preserve"> </w:t>
      </w:r>
    </w:p>
    <w:p w:rsidR="00F65193" w:rsidRPr="00D46003" w:rsidRDefault="00F65193" w:rsidP="00F65193">
      <w:pPr>
        <w:ind w:left="3536" w:right="-487" w:hanging="2685"/>
        <w:rPr>
          <w:rFonts w:asciiTheme="minorHAnsi" w:hAnsiTheme="minorHAnsi" w:cstheme="minorHAnsi"/>
          <w:sz w:val="28"/>
          <w:szCs w:val="28"/>
        </w:rPr>
      </w:pPr>
      <w:r w:rsidRPr="00D46003">
        <w:rPr>
          <w:rFonts w:asciiTheme="minorHAnsi" w:hAnsiTheme="minorHAnsi" w:cstheme="minorHAnsi"/>
          <w:sz w:val="28"/>
          <w:szCs w:val="28"/>
        </w:rPr>
        <w:t xml:space="preserve">DEMANDADO:   </w:t>
      </w:r>
      <w:r w:rsidRPr="00D46003">
        <w:rPr>
          <w:rFonts w:asciiTheme="minorHAnsi" w:hAnsiTheme="minorHAnsi" w:cstheme="minorHAnsi"/>
          <w:sz w:val="28"/>
          <w:szCs w:val="28"/>
        </w:rPr>
        <w:tab/>
      </w:r>
      <w:r w:rsidRPr="00D46003">
        <w:rPr>
          <w:rFonts w:asciiTheme="minorHAnsi" w:hAnsiTheme="minorHAnsi" w:cstheme="minorHAnsi"/>
          <w:sz w:val="28"/>
          <w:szCs w:val="28"/>
        </w:rPr>
        <w:tab/>
        <w:t xml:space="preserve">DEPARTAMENTO DEL GUAVIARE – SECRETARÍA DE SALUD </w:t>
      </w:r>
    </w:p>
    <w:p w:rsidR="00F65193" w:rsidRPr="00D46003" w:rsidRDefault="00F65193" w:rsidP="00F65193">
      <w:pPr>
        <w:widowControl w:val="0"/>
        <w:ind w:left="143" w:firstLine="708"/>
        <w:rPr>
          <w:rFonts w:asciiTheme="minorHAnsi" w:hAnsiTheme="minorHAnsi" w:cstheme="minorHAnsi"/>
          <w:sz w:val="28"/>
          <w:szCs w:val="28"/>
        </w:rPr>
      </w:pPr>
      <w:r w:rsidRPr="00D46003">
        <w:rPr>
          <w:rFonts w:asciiTheme="minorHAnsi" w:hAnsiTheme="minorHAnsi" w:cstheme="minorHAnsi"/>
          <w:sz w:val="28"/>
          <w:szCs w:val="28"/>
        </w:rPr>
        <w:t xml:space="preserve">EXPEDIENTE:   </w:t>
      </w:r>
      <w:r w:rsidRPr="00D46003">
        <w:rPr>
          <w:rFonts w:asciiTheme="minorHAnsi" w:hAnsiTheme="minorHAnsi" w:cstheme="minorHAnsi"/>
          <w:sz w:val="28"/>
          <w:szCs w:val="28"/>
        </w:rPr>
        <w:tab/>
      </w:r>
      <w:r w:rsidRPr="00D46003">
        <w:rPr>
          <w:rFonts w:asciiTheme="minorHAnsi" w:hAnsiTheme="minorHAnsi" w:cstheme="minorHAnsi"/>
          <w:sz w:val="28"/>
          <w:szCs w:val="28"/>
        </w:rPr>
        <w:tab/>
        <w:t>50001-33-33-003</w:t>
      </w:r>
      <w:r w:rsidR="00200BA3" w:rsidRPr="00D46003">
        <w:rPr>
          <w:rFonts w:asciiTheme="minorHAnsi" w:hAnsiTheme="minorHAnsi" w:cstheme="minorHAnsi"/>
          <w:sz w:val="28"/>
          <w:szCs w:val="28"/>
        </w:rPr>
        <w:t>-2013-00070</w:t>
      </w:r>
      <w:r w:rsidRPr="00D46003">
        <w:rPr>
          <w:rFonts w:asciiTheme="minorHAnsi" w:hAnsiTheme="minorHAnsi" w:cstheme="minorHAnsi"/>
          <w:sz w:val="28"/>
          <w:szCs w:val="28"/>
        </w:rPr>
        <w:t>-01</w:t>
      </w:r>
    </w:p>
    <w:p w:rsidR="00F65193" w:rsidRPr="00D46003" w:rsidRDefault="00F65193" w:rsidP="00F65193">
      <w:pPr>
        <w:widowControl w:val="0"/>
        <w:ind w:left="143" w:firstLine="708"/>
        <w:jc w:val="both"/>
        <w:rPr>
          <w:rFonts w:asciiTheme="minorHAnsi" w:hAnsiTheme="minorHAnsi" w:cstheme="minorHAnsi"/>
          <w:sz w:val="28"/>
          <w:szCs w:val="28"/>
        </w:rPr>
      </w:pPr>
      <w:r w:rsidRPr="00D46003">
        <w:rPr>
          <w:rFonts w:asciiTheme="minorHAnsi" w:hAnsiTheme="minorHAnsi" w:cstheme="minorHAnsi"/>
          <w:sz w:val="28"/>
          <w:szCs w:val="28"/>
        </w:rPr>
        <w:t>TEMA:</w:t>
      </w:r>
      <w:r w:rsidRPr="00D46003">
        <w:rPr>
          <w:rFonts w:asciiTheme="minorHAnsi" w:hAnsiTheme="minorHAnsi" w:cstheme="minorHAnsi"/>
          <w:sz w:val="28"/>
          <w:szCs w:val="28"/>
        </w:rPr>
        <w:tab/>
      </w:r>
      <w:r w:rsidRPr="00D46003">
        <w:rPr>
          <w:rFonts w:asciiTheme="minorHAnsi" w:hAnsiTheme="minorHAnsi" w:cstheme="minorHAnsi"/>
          <w:sz w:val="28"/>
          <w:szCs w:val="28"/>
        </w:rPr>
        <w:tab/>
      </w:r>
      <w:r w:rsidRPr="00D46003">
        <w:rPr>
          <w:rFonts w:asciiTheme="minorHAnsi" w:hAnsiTheme="minorHAnsi" w:cstheme="minorHAnsi"/>
          <w:sz w:val="28"/>
          <w:szCs w:val="28"/>
        </w:rPr>
        <w:tab/>
        <w:t>CADUCIDAD</w:t>
      </w:r>
    </w:p>
    <w:p w:rsidR="00F65193" w:rsidRPr="00D46003" w:rsidRDefault="00F65193" w:rsidP="00F65193">
      <w:pPr>
        <w:widowControl w:val="0"/>
        <w:ind w:left="851" w:firstLine="1134"/>
        <w:jc w:val="both"/>
        <w:rPr>
          <w:rFonts w:asciiTheme="minorHAnsi" w:hAnsiTheme="minorHAnsi" w:cstheme="minorHAnsi"/>
          <w:sz w:val="28"/>
          <w:szCs w:val="28"/>
        </w:rPr>
      </w:pPr>
    </w:p>
    <w:p w:rsidR="00F65193" w:rsidRPr="00D46003" w:rsidRDefault="00F65193" w:rsidP="00F65193">
      <w:pPr>
        <w:widowControl w:val="0"/>
        <w:ind w:left="851" w:firstLine="709"/>
        <w:jc w:val="center"/>
        <w:rPr>
          <w:rFonts w:asciiTheme="minorHAnsi" w:hAnsiTheme="minorHAnsi" w:cstheme="minorHAnsi"/>
          <w:sz w:val="28"/>
          <w:szCs w:val="28"/>
        </w:rPr>
      </w:pPr>
    </w:p>
    <w:p w:rsidR="00F65193" w:rsidRPr="00D46003" w:rsidRDefault="00F65193" w:rsidP="00F65193">
      <w:pPr>
        <w:widowControl w:val="0"/>
        <w:jc w:val="center"/>
        <w:rPr>
          <w:rFonts w:asciiTheme="minorHAnsi" w:hAnsiTheme="minorHAnsi" w:cstheme="minorHAnsi"/>
          <w:iCs/>
          <w:sz w:val="28"/>
          <w:szCs w:val="28"/>
        </w:rPr>
      </w:pPr>
      <w:r w:rsidRPr="00D46003">
        <w:rPr>
          <w:rFonts w:asciiTheme="minorHAnsi" w:hAnsiTheme="minorHAnsi" w:cstheme="minorHAnsi"/>
          <w:sz w:val="28"/>
          <w:szCs w:val="28"/>
        </w:rPr>
        <w:t xml:space="preserve">MAGISTRADO PONENTE:    </w:t>
      </w:r>
      <w:r w:rsidRPr="00D46003">
        <w:rPr>
          <w:rFonts w:asciiTheme="minorHAnsi" w:hAnsiTheme="minorHAnsi" w:cstheme="minorHAnsi"/>
          <w:iCs/>
          <w:sz w:val="28"/>
          <w:szCs w:val="28"/>
        </w:rPr>
        <w:t>MOISÉS RODRIGO MAZABEL PINZÓN</w:t>
      </w:r>
    </w:p>
    <w:p w:rsidR="00F65193" w:rsidRPr="00D46003" w:rsidRDefault="00F65193" w:rsidP="00F65193">
      <w:pPr>
        <w:widowControl w:val="0"/>
        <w:ind w:left="851" w:firstLine="709"/>
        <w:rPr>
          <w:rFonts w:asciiTheme="minorHAnsi" w:hAnsiTheme="minorHAnsi" w:cstheme="minorHAnsi"/>
          <w:iCs/>
          <w:sz w:val="28"/>
          <w:szCs w:val="28"/>
        </w:rPr>
      </w:pPr>
    </w:p>
    <w:p w:rsidR="00F65193" w:rsidRPr="00D46003" w:rsidRDefault="00F65193" w:rsidP="00F65193">
      <w:pPr>
        <w:jc w:val="both"/>
        <w:rPr>
          <w:rFonts w:asciiTheme="minorHAnsi" w:hAnsiTheme="minorHAnsi" w:cstheme="minorHAnsi"/>
          <w:b/>
          <w:sz w:val="28"/>
          <w:szCs w:val="28"/>
        </w:rPr>
      </w:pPr>
    </w:p>
    <w:p w:rsidR="00F65193" w:rsidRPr="00D46003" w:rsidRDefault="00F65193" w:rsidP="00F65193">
      <w:pPr>
        <w:ind w:firstLine="1134"/>
        <w:jc w:val="both"/>
        <w:rPr>
          <w:rFonts w:asciiTheme="minorHAnsi" w:hAnsiTheme="minorHAnsi" w:cstheme="minorHAnsi"/>
          <w:iCs/>
          <w:sz w:val="28"/>
          <w:szCs w:val="28"/>
        </w:rPr>
      </w:pPr>
      <w:r w:rsidRPr="00D46003">
        <w:rPr>
          <w:rFonts w:asciiTheme="minorHAnsi" w:hAnsiTheme="minorHAnsi" w:cstheme="minorHAnsi"/>
          <w:iCs/>
          <w:sz w:val="28"/>
          <w:szCs w:val="28"/>
        </w:rPr>
        <w:t xml:space="preserve">Procede la Sala a resolver el recurso de Apelación presentado por la parte demandante, contra el auto del 31 de julio del 2013, proferido por el Juzgado Tercero Administrativo de Villavicencio, por medio del cual se rechazó la demanda por haber operado el fenómeno de la caducidad. </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AC7B0C">
      <w:pPr>
        <w:pStyle w:val="Prrafodelista"/>
        <w:numPr>
          <w:ilvl w:val="0"/>
          <w:numId w:val="2"/>
        </w:numPr>
        <w:jc w:val="center"/>
        <w:rPr>
          <w:rFonts w:asciiTheme="minorHAnsi" w:hAnsiTheme="minorHAnsi" w:cstheme="minorHAnsi"/>
          <w:sz w:val="28"/>
          <w:szCs w:val="28"/>
        </w:rPr>
      </w:pPr>
      <w:r w:rsidRPr="00D46003">
        <w:rPr>
          <w:rFonts w:asciiTheme="minorHAnsi" w:hAnsiTheme="minorHAnsi" w:cstheme="minorHAnsi"/>
          <w:sz w:val="28"/>
          <w:szCs w:val="28"/>
        </w:rPr>
        <w:t>ANTECEDENTES</w:t>
      </w:r>
    </w:p>
    <w:p w:rsidR="00F65193" w:rsidRPr="00D46003" w:rsidRDefault="00F65193" w:rsidP="00F65193">
      <w:pPr>
        <w:jc w:val="both"/>
        <w:rPr>
          <w:rFonts w:asciiTheme="minorHAnsi" w:hAnsiTheme="minorHAnsi" w:cstheme="minorHAnsi"/>
          <w:sz w:val="28"/>
          <w:szCs w:val="28"/>
        </w:rPr>
      </w:pPr>
    </w:p>
    <w:p w:rsidR="00F65193" w:rsidRPr="00D46003" w:rsidRDefault="00F65193" w:rsidP="00F65193">
      <w:pPr>
        <w:tabs>
          <w:tab w:val="left" w:pos="7371"/>
        </w:tabs>
        <w:ind w:firstLine="1134"/>
        <w:jc w:val="both"/>
        <w:rPr>
          <w:rFonts w:asciiTheme="minorHAnsi" w:hAnsiTheme="minorHAnsi" w:cstheme="minorHAnsi"/>
          <w:sz w:val="28"/>
          <w:szCs w:val="28"/>
        </w:rPr>
      </w:pPr>
      <w:r w:rsidRPr="00D46003">
        <w:rPr>
          <w:rFonts w:asciiTheme="minorHAnsi" w:hAnsiTheme="minorHAnsi" w:cstheme="minorHAnsi"/>
          <w:sz w:val="28"/>
          <w:szCs w:val="28"/>
        </w:rPr>
        <w:t>El 10 de julio de 2013</w:t>
      </w:r>
      <w:r w:rsidRPr="00D46003">
        <w:rPr>
          <w:rStyle w:val="Refdenotaalpie"/>
          <w:rFonts w:asciiTheme="minorHAnsi" w:eastAsia="Calibri" w:hAnsiTheme="minorHAnsi" w:cstheme="minorHAnsi"/>
          <w:sz w:val="28"/>
          <w:szCs w:val="28"/>
        </w:rPr>
        <w:footnoteReference w:id="1"/>
      </w:r>
      <w:r w:rsidRPr="00D46003">
        <w:rPr>
          <w:rFonts w:asciiTheme="minorHAnsi" w:hAnsiTheme="minorHAnsi" w:cstheme="minorHAnsi"/>
          <w:sz w:val="28"/>
          <w:szCs w:val="28"/>
        </w:rPr>
        <w:t xml:space="preserve"> la parte actora, en ejercicio del medio de control de nulidad y restablecimiento del derecho, presentó demanda contra el Departamento del Guaviare – Secretaría de Salud, solicitando </w:t>
      </w:r>
      <w:r w:rsidRPr="00D46003">
        <w:rPr>
          <w:rFonts w:asciiTheme="minorHAnsi" w:eastAsiaTheme="minorHAnsi" w:hAnsiTheme="minorHAnsi" w:cstheme="minorHAnsi"/>
          <w:sz w:val="28"/>
          <w:szCs w:val="28"/>
          <w:lang w:val="es-CO" w:eastAsia="en-US"/>
        </w:rPr>
        <w:t xml:space="preserve">se declare la nulidad del Decreto No. 001 del 3 de enero de 2003, por medio del cual la Junta Directiva de la E.S.E. Hospital San José del Guaviare, adoptó la modificación a la planta de personal; y de la Resolución sin número </w:t>
      </w:r>
      <w:r w:rsidR="00EC7B53" w:rsidRPr="00D46003">
        <w:rPr>
          <w:rFonts w:asciiTheme="minorHAnsi" w:eastAsiaTheme="minorHAnsi" w:hAnsiTheme="minorHAnsi" w:cstheme="minorHAnsi"/>
          <w:sz w:val="28"/>
          <w:szCs w:val="28"/>
          <w:lang w:val="es-CO" w:eastAsia="en-US"/>
        </w:rPr>
        <w:t xml:space="preserve">notificada </w:t>
      </w:r>
      <w:r w:rsidRPr="00D46003">
        <w:rPr>
          <w:rFonts w:asciiTheme="minorHAnsi" w:eastAsiaTheme="minorHAnsi" w:hAnsiTheme="minorHAnsi" w:cstheme="minorHAnsi"/>
          <w:sz w:val="28"/>
          <w:szCs w:val="28"/>
          <w:lang w:val="es-CO" w:eastAsia="en-US"/>
        </w:rPr>
        <w:t xml:space="preserve">el </w:t>
      </w:r>
      <w:r w:rsidR="00200BA3" w:rsidRPr="00D46003">
        <w:rPr>
          <w:rFonts w:asciiTheme="minorHAnsi" w:eastAsiaTheme="minorHAnsi" w:hAnsiTheme="minorHAnsi" w:cstheme="minorHAnsi"/>
          <w:sz w:val="28"/>
          <w:szCs w:val="28"/>
          <w:lang w:val="es-CO" w:eastAsia="en-US"/>
        </w:rPr>
        <w:t>12</w:t>
      </w:r>
      <w:r w:rsidRPr="00D46003">
        <w:rPr>
          <w:rFonts w:asciiTheme="minorHAnsi" w:eastAsiaTheme="minorHAnsi" w:hAnsiTheme="minorHAnsi" w:cstheme="minorHAnsi"/>
          <w:sz w:val="28"/>
          <w:szCs w:val="28"/>
          <w:lang w:val="es-CO" w:eastAsia="en-US"/>
        </w:rPr>
        <w:t xml:space="preserve"> de febrero de 2003, que suprimió el cargo que desempeñaba  </w:t>
      </w:r>
      <w:r w:rsidR="00200BA3" w:rsidRPr="00D46003">
        <w:rPr>
          <w:rFonts w:asciiTheme="minorHAnsi" w:hAnsiTheme="minorHAnsi" w:cstheme="minorHAnsi"/>
          <w:bCs/>
          <w:sz w:val="28"/>
          <w:szCs w:val="28"/>
        </w:rPr>
        <w:t xml:space="preserve">María Yolanda Pérez </w:t>
      </w:r>
      <w:proofErr w:type="spellStart"/>
      <w:r w:rsidR="00200BA3" w:rsidRPr="00D46003">
        <w:rPr>
          <w:rFonts w:asciiTheme="minorHAnsi" w:hAnsiTheme="minorHAnsi" w:cstheme="minorHAnsi"/>
          <w:bCs/>
          <w:sz w:val="28"/>
          <w:szCs w:val="28"/>
        </w:rPr>
        <w:t>Villamil</w:t>
      </w:r>
      <w:proofErr w:type="spellEnd"/>
      <w:r w:rsidR="00EC7B53" w:rsidRPr="00D46003">
        <w:rPr>
          <w:rFonts w:asciiTheme="minorHAnsi" w:hAnsiTheme="minorHAnsi" w:cstheme="minorHAnsi"/>
          <w:bCs/>
          <w:sz w:val="28"/>
          <w:szCs w:val="28"/>
        </w:rPr>
        <w:t>.</w:t>
      </w:r>
    </w:p>
    <w:p w:rsidR="00F65193" w:rsidRPr="00D46003" w:rsidRDefault="00F65193" w:rsidP="00F65193">
      <w:pPr>
        <w:ind w:firstLine="1134"/>
        <w:jc w:val="both"/>
        <w:rPr>
          <w:rFonts w:asciiTheme="minorHAnsi" w:hAnsiTheme="minorHAnsi" w:cstheme="minorHAnsi"/>
          <w:sz w:val="28"/>
          <w:szCs w:val="28"/>
        </w:rPr>
      </w:pPr>
    </w:p>
    <w:p w:rsidR="007E3AE5" w:rsidRPr="00D46003" w:rsidRDefault="007E3AE5" w:rsidP="00F65193">
      <w:pPr>
        <w:ind w:firstLine="1134"/>
        <w:jc w:val="both"/>
        <w:rPr>
          <w:rFonts w:asciiTheme="minorHAnsi" w:hAnsiTheme="minorHAnsi" w:cstheme="minorHAnsi"/>
          <w:sz w:val="28"/>
          <w:szCs w:val="28"/>
        </w:rPr>
      </w:pPr>
    </w:p>
    <w:p w:rsidR="007E3AE5" w:rsidRPr="00D46003" w:rsidRDefault="007E3AE5" w:rsidP="00F65193">
      <w:pPr>
        <w:ind w:firstLine="1134"/>
        <w:jc w:val="both"/>
        <w:rPr>
          <w:rFonts w:asciiTheme="minorHAnsi" w:hAnsiTheme="minorHAnsi" w:cstheme="minorHAnsi"/>
          <w:sz w:val="28"/>
          <w:szCs w:val="28"/>
        </w:rPr>
      </w:pPr>
    </w:p>
    <w:p w:rsidR="007E3AE5" w:rsidRDefault="007E3AE5" w:rsidP="00F65193">
      <w:pPr>
        <w:ind w:firstLine="1134"/>
        <w:jc w:val="both"/>
        <w:rPr>
          <w:rFonts w:asciiTheme="minorHAnsi" w:hAnsiTheme="minorHAnsi" w:cstheme="minorHAnsi"/>
          <w:sz w:val="28"/>
          <w:szCs w:val="28"/>
        </w:rPr>
      </w:pPr>
    </w:p>
    <w:p w:rsidR="00D46003" w:rsidRDefault="00D46003" w:rsidP="00F65193">
      <w:pPr>
        <w:ind w:firstLine="1134"/>
        <w:jc w:val="both"/>
        <w:rPr>
          <w:rFonts w:asciiTheme="minorHAnsi" w:hAnsiTheme="minorHAnsi" w:cstheme="minorHAnsi"/>
          <w:sz w:val="28"/>
          <w:szCs w:val="28"/>
        </w:rPr>
      </w:pPr>
    </w:p>
    <w:p w:rsidR="007E3AE5" w:rsidRPr="00D46003" w:rsidRDefault="007E3AE5" w:rsidP="00F65193">
      <w:pPr>
        <w:ind w:firstLine="1134"/>
        <w:jc w:val="both"/>
        <w:rPr>
          <w:rFonts w:asciiTheme="minorHAnsi" w:hAnsiTheme="minorHAnsi" w:cstheme="minorHAnsi"/>
          <w:sz w:val="28"/>
          <w:szCs w:val="28"/>
        </w:rPr>
      </w:pPr>
    </w:p>
    <w:p w:rsidR="00F65193" w:rsidRPr="00D46003" w:rsidRDefault="00F65193" w:rsidP="00AC7B0C">
      <w:pPr>
        <w:pStyle w:val="Prrafodelista"/>
        <w:numPr>
          <w:ilvl w:val="0"/>
          <w:numId w:val="2"/>
        </w:numPr>
        <w:jc w:val="center"/>
        <w:rPr>
          <w:rFonts w:asciiTheme="minorHAnsi" w:hAnsiTheme="minorHAnsi" w:cstheme="minorHAnsi"/>
          <w:sz w:val="28"/>
          <w:szCs w:val="28"/>
        </w:rPr>
      </w:pPr>
      <w:r w:rsidRPr="00D46003">
        <w:rPr>
          <w:rFonts w:asciiTheme="minorHAnsi" w:hAnsiTheme="minorHAnsi" w:cstheme="minorHAnsi"/>
          <w:sz w:val="28"/>
          <w:szCs w:val="28"/>
        </w:rPr>
        <w:lastRenderedPageBreak/>
        <w:t>EL AUTO APELADO</w:t>
      </w:r>
    </w:p>
    <w:p w:rsidR="00F65193" w:rsidRPr="00D46003" w:rsidRDefault="00F65193" w:rsidP="00F65193">
      <w:pPr>
        <w:ind w:firstLine="1134"/>
        <w:jc w:val="center"/>
        <w:rPr>
          <w:rFonts w:asciiTheme="minorHAnsi" w:hAnsiTheme="minorHAnsi" w:cstheme="minorHAnsi"/>
          <w:sz w:val="28"/>
          <w:szCs w:val="28"/>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El Juzgado Tercero Administrativo de Villavicencio, mediante providencia del 31 de julio de 2013</w:t>
      </w:r>
      <w:r w:rsidRPr="00D46003">
        <w:rPr>
          <w:rStyle w:val="Refdenotaalpie"/>
          <w:rFonts w:asciiTheme="minorHAnsi" w:hAnsiTheme="minorHAnsi" w:cstheme="minorHAnsi"/>
          <w:sz w:val="28"/>
          <w:szCs w:val="28"/>
        </w:rPr>
        <w:footnoteReference w:id="2"/>
      </w:r>
      <w:r w:rsidRPr="00D46003">
        <w:rPr>
          <w:rFonts w:asciiTheme="minorHAnsi" w:hAnsiTheme="minorHAnsi" w:cstheme="minorHAnsi"/>
          <w:sz w:val="28"/>
          <w:szCs w:val="28"/>
        </w:rPr>
        <w:t>, rechazó de plano la demanda de la referencia, por considerar que en el sub judice operó el fenómeno de la caducidad, tanto respecto del acto general, como del particular cuyas nulidades se reclaman.</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 xml:space="preserve">Argumenta la providencia que el término de cuatro (4) meses con el que contaba el interesado  para presentar oportunamente el medio de control, empezó a computarse a partir del 13 de febrero de 2003, día siguiente a la fecha de la notificación de la Resolución sin número </w:t>
      </w:r>
      <w:r w:rsidRPr="00D46003">
        <w:rPr>
          <w:rFonts w:asciiTheme="minorHAnsi" w:eastAsiaTheme="minorHAnsi" w:hAnsiTheme="minorHAnsi" w:cstheme="minorHAnsi"/>
          <w:sz w:val="28"/>
          <w:szCs w:val="28"/>
          <w:lang w:val="es-CO" w:eastAsia="en-US"/>
        </w:rPr>
        <w:t>de 2003</w:t>
      </w:r>
      <w:r w:rsidRPr="00D46003">
        <w:rPr>
          <w:rStyle w:val="Refdenotaalpie"/>
          <w:rFonts w:asciiTheme="minorHAnsi" w:hAnsiTheme="minorHAnsi" w:cstheme="minorHAnsi"/>
          <w:sz w:val="28"/>
          <w:szCs w:val="28"/>
        </w:rPr>
        <w:footnoteReference w:id="3"/>
      </w:r>
      <w:r w:rsidRPr="00D46003">
        <w:rPr>
          <w:rFonts w:asciiTheme="minorHAnsi" w:hAnsiTheme="minorHAnsi" w:cstheme="minorHAnsi"/>
          <w:sz w:val="28"/>
          <w:szCs w:val="28"/>
        </w:rPr>
        <w:t xml:space="preserve">, acto de carácter particular cuya nulidad se reclama y venció el 13 de junio de esa misma anualidad; de manera que para el día 10 de julio de 2013, fecha en que se  instauró la demanda, había operado el fenómeno de la caducidad. </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ind w:firstLine="1134"/>
        <w:jc w:val="center"/>
        <w:rPr>
          <w:rFonts w:asciiTheme="minorHAnsi" w:hAnsiTheme="minorHAnsi" w:cstheme="minorHAnsi"/>
          <w:sz w:val="28"/>
          <w:szCs w:val="28"/>
        </w:rPr>
      </w:pPr>
    </w:p>
    <w:p w:rsidR="00F65193" w:rsidRPr="00D46003" w:rsidRDefault="00F65193" w:rsidP="00AC7B0C">
      <w:pPr>
        <w:pStyle w:val="Prrafodelista"/>
        <w:numPr>
          <w:ilvl w:val="0"/>
          <w:numId w:val="2"/>
        </w:numPr>
        <w:jc w:val="center"/>
        <w:rPr>
          <w:rFonts w:asciiTheme="minorHAnsi" w:hAnsiTheme="minorHAnsi" w:cstheme="minorHAnsi"/>
          <w:sz w:val="28"/>
          <w:szCs w:val="28"/>
        </w:rPr>
      </w:pPr>
      <w:r w:rsidRPr="00D46003">
        <w:rPr>
          <w:rFonts w:asciiTheme="minorHAnsi" w:hAnsiTheme="minorHAnsi" w:cstheme="minorHAnsi"/>
          <w:sz w:val="28"/>
          <w:szCs w:val="28"/>
        </w:rPr>
        <w:t>EL RECURSO DE APELACIÓN</w:t>
      </w:r>
    </w:p>
    <w:p w:rsidR="00F65193" w:rsidRPr="00D46003" w:rsidRDefault="00F65193" w:rsidP="00F65193">
      <w:pPr>
        <w:ind w:firstLine="1134"/>
        <w:jc w:val="center"/>
        <w:rPr>
          <w:rFonts w:asciiTheme="minorHAnsi" w:hAnsiTheme="minorHAnsi" w:cstheme="minorHAnsi"/>
          <w:sz w:val="28"/>
          <w:szCs w:val="28"/>
        </w:rPr>
      </w:pPr>
    </w:p>
    <w:p w:rsidR="00F65193" w:rsidRPr="00D46003" w:rsidRDefault="00F65193" w:rsidP="00F65193">
      <w:pPr>
        <w:ind w:firstLine="1134"/>
        <w:jc w:val="both"/>
        <w:rPr>
          <w:rFonts w:asciiTheme="minorHAnsi" w:hAnsiTheme="minorHAnsi" w:cstheme="minorHAnsi"/>
          <w:sz w:val="28"/>
          <w:szCs w:val="28"/>
        </w:rPr>
      </w:pPr>
    </w:p>
    <w:p w:rsidR="00EC7B53" w:rsidRPr="00D46003" w:rsidRDefault="00F65193" w:rsidP="00F65193">
      <w:pPr>
        <w:ind w:firstLine="1134"/>
        <w:jc w:val="both"/>
        <w:rPr>
          <w:rFonts w:asciiTheme="minorHAnsi" w:hAnsiTheme="minorHAnsi" w:cstheme="minorHAnsi"/>
          <w:bCs/>
          <w:sz w:val="28"/>
          <w:szCs w:val="28"/>
        </w:rPr>
      </w:pPr>
      <w:r w:rsidRPr="00D46003">
        <w:rPr>
          <w:rFonts w:asciiTheme="minorHAnsi" w:hAnsiTheme="minorHAnsi" w:cstheme="minorHAnsi"/>
          <w:sz w:val="28"/>
          <w:szCs w:val="28"/>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D46003">
        <w:rPr>
          <w:rFonts w:asciiTheme="minorHAnsi" w:eastAsiaTheme="minorHAnsi" w:hAnsiTheme="minorHAnsi" w:cstheme="minorHAnsi"/>
          <w:sz w:val="28"/>
          <w:szCs w:val="28"/>
          <w:lang w:val="es-CO" w:eastAsia="en-US"/>
        </w:rPr>
        <w:t xml:space="preserve">suprimió el cargo que desempeñaba </w:t>
      </w:r>
      <w:r w:rsidR="00EC7B53" w:rsidRPr="00D46003">
        <w:rPr>
          <w:rFonts w:asciiTheme="minorHAnsi" w:hAnsiTheme="minorHAnsi" w:cstheme="minorHAnsi"/>
          <w:bCs/>
          <w:sz w:val="28"/>
          <w:szCs w:val="28"/>
        </w:rPr>
        <w:t xml:space="preserve">María Yolanda Pérez </w:t>
      </w:r>
      <w:proofErr w:type="spellStart"/>
      <w:r w:rsidR="00EC7B53" w:rsidRPr="00D46003">
        <w:rPr>
          <w:rFonts w:asciiTheme="minorHAnsi" w:hAnsiTheme="minorHAnsi" w:cstheme="minorHAnsi"/>
          <w:bCs/>
          <w:sz w:val="28"/>
          <w:szCs w:val="28"/>
        </w:rPr>
        <w:t>Villamil</w:t>
      </w:r>
      <w:proofErr w:type="spellEnd"/>
      <w:r w:rsidR="00EC7B53" w:rsidRPr="00D46003">
        <w:rPr>
          <w:rFonts w:asciiTheme="minorHAnsi" w:hAnsiTheme="minorHAnsi" w:cstheme="minorHAnsi"/>
          <w:bCs/>
          <w:sz w:val="28"/>
          <w:szCs w:val="28"/>
        </w:rPr>
        <w:t>.</w:t>
      </w:r>
    </w:p>
    <w:p w:rsidR="00F65193" w:rsidRPr="00D46003" w:rsidRDefault="00EC7B5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 xml:space="preserve"> </w:t>
      </w: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eastAsiaTheme="minorHAnsi" w:hAnsiTheme="minorHAnsi" w:cstheme="minorHAnsi"/>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F65193" w:rsidRPr="00D46003" w:rsidRDefault="00F65193" w:rsidP="00AC7B0C">
      <w:pPr>
        <w:pStyle w:val="Prrafodelista"/>
        <w:numPr>
          <w:ilvl w:val="0"/>
          <w:numId w:val="2"/>
        </w:numPr>
        <w:jc w:val="center"/>
        <w:rPr>
          <w:rFonts w:asciiTheme="minorHAnsi" w:hAnsiTheme="minorHAnsi" w:cstheme="minorHAnsi"/>
          <w:sz w:val="28"/>
          <w:szCs w:val="28"/>
        </w:rPr>
      </w:pPr>
      <w:r w:rsidRPr="00D46003">
        <w:rPr>
          <w:rFonts w:asciiTheme="minorHAnsi" w:hAnsiTheme="minorHAnsi" w:cstheme="minorHAnsi"/>
          <w:sz w:val="28"/>
          <w:szCs w:val="28"/>
        </w:rPr>
        <w:lastRenderedPageBreak/>
        <w:t>CONSIDERACIONES</w:t>
      </w:r>
    </w:p>
    <w:p w:rsidR="00F65193" w:rsidRPr="00D46003" w:rsidRDefault="00F65193" w:rsidP="00F65193">
      <w:pPr>
        <w:pStyle w:val="Prrafodelista"/>
        <w:ind w:left="1854"/>
        <w:rPr>
          <w:rFonts w:asciiTheme="minorHAnsi" w:hAnsiTheme="minorHAnsi" w:cstheme="minorHAnsi"/>
          <w:sz w:val="28"/>
          <w:szCs w:val="28"/>
        </w:rPr>
      </w:pPr>
    </w:p>
    <w:p w:rsidR="00F65193" w:rsidRPr="00D46003" w:rsidRDefault="00F65193" w:rsidP="00F65193">
      <w:pPr>
        <w:pStyle w:val="Prrafodelista"/>
        <w:ind w:left="1854"/>
        <w:rPr>
          <w:rFonts w:asciiTheme="minorHAnsi" w:hAnsiTheme="minorHAnsi" w:cstheme="minorHAnsi"/>
          <w:sz w:val="28"/>
          <w:szCs w:val="28"/>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 xml:space="preserve">El Tribunal es competente para conocer de la impugnación contra el auto que resolvió rechazar la demanda en primera instancia, proferido por el Juzgado Tercero Administrativo de Villavicencio, de acuerdo con lo previsto en los artículos 153 y 243-1 del CPACA. </w:t>
      </w:r>
    </w:p>
    <w:p w:rsidR="00F65193" w:rsidRPr="00D46003" w:rsidRDefault="00F65193" w:rsidP="00F65193">
      <w:pPr>
        <w:pStyle w:val="NormalWeb"/>
        <w:shd w:val="clear" w:color="auto" w:fill="FFFFFF"/>
        <w:ind w:firstLine="1134"/>
        <w:jc w:val="both"/>
        <w:rPr>
          <w:rFonts w:asciiTheme="minorHAnsi" w:hAnsiTheme="minorHAnsi" w:cstheme="minorHAnsi"/>
          <w:color w:val="000000"/>
          <w:sz w:val="28"/>
          <w:szCs w:val="28"/>
        </w:rPr>
      </w:pPr>
      <w:r w:rsidRPr="00D46003">
        <w:rPr>
          <w:rFonts w:asciiTheme="minorHAnsi" w:hAnsiTheme="minorHAnsi" w:cstheme="minorHAnsi"/>
          <w:sz w:val="28"/>
          <w:szCs w:val="28"/>
        </w:rPr>
        <w:t xml:space="preserve">El inciso 2 del artículo 138 de la Ley 1437 de 2011, indica que existe un límite en el tiempo para </w:t>
      </w:r>
      <w:r w:rsidRPr="00D46003">
        <w:rPr>
          <w:rFonts w:asciiTheme="minorHAnsi" w:hAnsiTheme="minorHAnsi" w:cstheme="minorHAnsi"/>
          <w:color w:val="000000"/>
          <w:sz w:val="28"/>
          <w:szCs w:val="28"/>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F65193" w:rsidRPr="00D46003" w:rsidRDefault="00F65193" w:rsidP="00F65193">
      <w:pPr>
        <w:pStyle w:val="NormalWeb"/>
        <w:shd w:val="clear" w:color="auto" w:fill="FFFFFF"/>
        <w:spacing w:beforeAutospacing="0" w:afterAutospacing="0"/>
        <w:ind w:left="1134" w:right="1128"/>
        <w:jc w:val="both"/>
        <w:rPr>
          <w:rFonts w:asciiTheme="minorHAnsi" w:hAnsiTheme="minorHAnsi" w:cstheme="minorHAnsi"/>
          <w:i/>
          <w:color w:val="000000"/>
        </w:rPr>
      </w:pPr>
      <w:r w:rsidRPr="00D46003">
        <w:rPr>
          <w:rFonts w:asciiTheme="minorHAnsi" w:hAnsiTheme="minorHAnsi" w:cstheme="minorHAnsi"/>
          <w:b/>
          <w:bCs/>
          <w:i/>
          <w:color w:val="000000"/>
        </w:rPr>
        <w:t>“Artículo 138.</w:t>
      </w:r>
      <w:r w:rsidRPr="00D46003">
        <w:rPr>
          <w:rStyle w:val="apple-converted-space"/>
          <w:rFonts w:asciiTheme="minorHAnsi" w:hAnsiTheme="minorHAnsi" w:cstheme="minorHAnsi"/>
          <w:b/>
          <w:bCs/>
          <w:i/>
          <w:color w:val="000000"/>
        </w:rPr>
        <w:t> </w:t>
      </w:r>
      <w:r w:rsidRPr="00D46003">
        <w:rPr>
          <w:rFonts w:asciiTheme="minorHAnsi" w:hAnsiTheme="minorHAnsi" w:cstheme="minorHAnsi"/>
          <w:b/>
          <w:bCs/>
          <w:i/>
          <w:iCs/>
          <w:color w:val="000000"/>
        </w:rPr>
        <w:t>Nulidad y restablecimiento del derecho.</w:t>
      </w:r>
      <w:r w:rsidRPr="00D46003">
        <w:rPr>
          <w:rStyle w:val="apple-converted-space"/>
          <w:rFonts w:asciiTheme="minorHAnsi" w:hAnsiTheme="minorHAnsi" w:cstheme="minorHAnsi"/>
          <w:i/>
          <w:iCs/>
          <w:color w:val="000000"/>
        </w:rPr>
        <w:t> </w:t>
      </w:r>
      <w:r w:rsidRPr="00D46003">
        <w:rPr>
          <w:rFonts w:asciiTheme="minorHAnsi" w:hAnsiTheme="minorHAnsi" w:cstheme="minorHAnsi"/>
          <w:i/>
          <w:color w:val="000000"/>
        </w:rPr>
        <w:t>Toda persona que se crea lesionada en un derecho subjetivo…</w:t>
      </w:r>
    </w:p>
    <w:p w:rsidR="00F65193" w:rsidRPr="00D46003" w:rsidRDefault="00F65193" w:rsidP="00F65193">
      <w:pPr>
        <w:pStyle w:val="NormalWeb"/>
        <w:shd w:val="clear" w:color="auto" w:fill="FFFFFF"/>
        <w:spacing w:beforeAutospacing="0" w:afterAutospacing="0"/>
        <w:ind w:left="1134" w:right="1128"/>
        <w:jc w:val="both"/>
        <w:rPr>
          <w:rFonts w:asciiTheme="minorHAnsi" w:hAnsiTheme="minorHAnsi" w:cstheme="minorHAnsi"/>
          <w:i/>
          <w:color w:val="000000"/>
        </w:rPr>
      </w:pPr>
      <w:r w:rsidRPr="00D46003">
        <w:rPr>
          <w:rFonts w:asciiTheme="minorHAnsi" w:hAnsiTheme="minorHAnsi" w:cstheme="minorHAnsi"/>
          <w:i/>
          <w:color w:val="000000"/>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F65193" w:rsidRPr="00D46003" w:rsidRDefault="00F65193" w:rsidP="00F65193">
      <w:pPr>
        <w:widowControl w:val="0"/>
        <w:ind w:firstLine="1134"/>
        <w:jc w:val="both"/>
        <w:rPr>
          <w:rFonts w:asciiTheme="minorHAnsi" w:hAnsiTheme="minorHAnsi" w:cstheme="minorHAnsi"/>
          <w:sz w:val="24"/>
          <w:szCs w:val="24"/>
        </w:rPr>
      </w:pPr>
    </w:p>
    <w:p w:rsidR="00F65193" w:rsidRPr="00D46003" w:rsidRDefault="00F65193" w:rsidP="00F65193">
      <w:pPr>
        <w:widowControl w:val="0"/>
        <w:ind w:firstLine="1134"/>
        <w:jc w:val="both"/>
        <w:rPr>
          <w:rFonts w:asciiTheme="minorHAnsi" w:hAnsiTheme="minorHAnsi" w:cstheme="minorHAnsi"/>
          <w:sz w:val="28"/>
          <w:szCs w:val="28"/>
        </w:rPr>
      </w:pPr>
    </w:p>
    <w:p w:rsidR="00F65193" w:rsidRPr="00D46003" w:rsidRDefault="00F65193" w:rsidP="00F65193">
      <w:pPr>
        <w:widowControl w:val="0"/>
        <w:ind w:firstLine="1134"/>
        <w:jc w:val="both"/>
        <w:rPr>
          <w:rFonts w:asciiTheme="minorHAnsi" w:hAnsiTheme="minorHAnsi" w:cstheme="minorHAnsi"/>
          <w:sz w:val="28"/>
          <w:szCs w:val="28"/>
        </w:rPr>
      </w:pPr>
      <w:r w:rsidRPr="00D46003">
        <w:rPr>
          <w:rFonts w:asciiTheme="minorHAnsi" w:hAnsiTheme="minorHAnsi" w:cstheme="minorHAnsi"/>
          <w:sz w:val="28"/>
          <w:szCs w:val="28"/>
        </w:rPr>
        <w:t>Y el artículo 164 del mismo ordenamiento, refiere:</w:t>
      </w:r>
    </w:p>
    <w:p w:rsidR="00F65193" w:rsidRPr="00D46003" w:rsidRDefault="00F65193" w:rsidP="00F65193">
      <w:pPr>
        <w:pStyle w:val="NormalWeb"/>
        <w:ind w:left="1134" w:right="1015"/>
        <w:jc w:val="both"/>
        <w:rPr>
          <w:rFonts w:asciiTheme="minorHAnsi" w:hAnsiTheme="minorHAnsi" w:cstheme="minorHAnsi"/>
          <w:i/>
        </w:rPr>
      </w:pPr>
      <w:r w:rsidRPr="00D46003">
        <w:rPr>
          <w:rFonts w:asciiTheme="minorHAnsi" w:hAnsiTheme="minorHAnsi" w:cstheme="minorHAnsi"/>
          <w:b/>
          <w:bCs/>
          <w:i/>
        </w:rPr>
        <w:t xml:space="preserve">“Artículo 164. </w:t>
      </w:r>
      <w:r w:rsidRPr="00D46003">
        <w:rPr>
          <w:rFonts w:asciiTheme="minorHAnsi" w:hAnsiTheme="minorHAnsi" w:cstheme="minorHAnsi"/>
          <w:b/>
          <w:bCs/>
          <w:i/>
          <w:iCs/>
        </w:rPr>
        <w:t>Oportunidad para presentar la demanda.</w:t>
      </w:r>
      <w:r w:rsidRPr="00D46003">
        <w:rPr>
          <w:rFonts w:asciiTheme="minorHAnsi" w:hAnsiTheme="minorHAnsi" w:cstheme="minorHAnsi"/>
          <w:i/>
          <w:iCs/>
        </w:rPr>
        <w:t xml:space="preserve"> </w:t>
      </w:r>
      <w:r w:rsidRPr="00D46003">
        <w:rPr>
          <w:rFonts w:asciiTheme="minorHAnsi" w:hAnsiTheme="minorHAnsi" w:cstheme="minorHAnsi"/>
          <w:i/>
        </w:rPr>
        <w:t xml:space="preserve">La demanda deberá ser presentada: (…) </w:t>
      </w:r>
    </w:p>
    <w:p w:rsidR="00F65193" w:rsidRPr="00D46003" w:rsidRDefault="00F65193" w:rsidP="00F65193">
      <w:pPr>
        <w:pStyle w:val="NormalWeb"/>
        <w:ind w:left="1134" w:right="1015"/>
        <w:jc w:val="both"/>
        <w:rPr>
          <w:rFonts w:asciiTheme="minorHAnsi" w:hAnsiTheme="minorHAnsi" w:cstheme="minorHAnsi"/>
          <w:i/>
        </w:rPr>
      </w:pPr>
      <w:r w:rsidRPr="00D46003">
        <w:rPr>
          <w:rFonts w:asciiTheme="minorHAnsi" w:hAnsiTheme="minorHAnsi" w:cstheme="minorHAnsi"/>
          <w:i/>
        </w:rPr>
        <w:t>2. En los siguientes términos, so pena de que opere la caducidad: (…)</w:t>
      </w:r>
    </w:p>
    <w:p w:rsidR="00F65193" w:rsidRPr="00D46003" w:rsidRDefault="00F65193" w:rsidP="00F65193">
      <w:pPr>
        <w:pStyle w:val="NormalWeb"/>
        <w:ind w:left="1134" w:right="1015"/>
        <w:jc w:val="both"/>
        <w:rPr>
          <w:rFonts w:asciiTheme="minorHAnsi" w:hAnsiTheme="minorHAnsi" w:cstheme="minorHAnsi"/>
          <w:i/>
        </w:rPr>
      </w:pPr>
      <w:r w:rsidRPr="00D46003">
        <w:rPr>
          <w:rFonts w:asciiTheme="minorHAnsi" w:hAnsiTheme="minorHAnsi" w:cstheme="minorHAnsi"/>
          <w:i/>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F65193" w:rsidRPr="00D46003" w:rsidRDefault="00F65193" w:rsidP="00F65193">
      <w:pPr>
        <w:ind w:firstLine="1134"/>
        <w:jc w:val="both"/>
        <w:rPr>
          <w:rFonts w:asciiTheme="minorHAnsi" w:eastAsiaTheme="minorHAnsi" w:hAnsiTheme="minorHAnsi" w:cstheme="minorHAnsi"/>
          <w:sz w:val="28"/>
          <w:szCs w:val="28"/>
          <w:lang w:val="es-CO" w:eastAsia="en-US"/>
        </w:rPr>
      </w:pPr>
      <w:r w:rsidRPr="00D46003">
        <w:rPr>
          <w:rFonts w:asciiTheme="minorHAnsi" w:eastAsiaTheme="minorHAnsi" w:hAnsiTheme="minorHAnsi" w:cstheme="minorHAnsi"/>
          <w:sz w:val="28"/>
          <w:szCs w:val="28"/>
          <w:lang w:val="es-CO" w:eastAsia="en-US"/>
        </w:rPr>
        <w:t>Dice el demandante</w:t>
      </w:r>
      <w:r w:rsidRPr="00D46003">
        <w:rPr>
          <w:rStyle w:val="Refdenotaalpie"/>
          <w:rFonts w:asciiTheme="minorHAnsi" w:eastAsiaTheme="minorHAnsi" w:hAnsiTheme="minorHAnsi" w:cstheme="minorHAnsi"/>
          <w:sz w:val="28"/>
          <w:szCs w:val="28"/>
          <w:lang w:val="es-CO" w:eastAsia="en-US"/>
        </w:rPr>
        <w:footnoteReference w:id="4"/>
      </w:r>
      <w:r w:rsidRPr="00D46003">
        <w:rPr>
          <w:rFonts w:asciiTheme="minorHAnsi" w:eastAsiaTheme="minorHAnsi" w:hAnsiTheme="minorHAnsi" w:cstheme="minorHAnsi"/>
          <w:sz w:val="28"/>
          <w:szCs w:val="28"/>
          <w:lang w:val="es-CO" w:eastAsia="en-US"/>
        </w:rPr>
        <w:t xml:space="preserve">, sin aportar prueba que respalde su aseveración, que el Tribunal Administrativo del Meta, mediante auto del </w:t>
      </w:r>
      <w:r w:rsidRPr="00D46003">
        <w:rPr>
          <w:rFonts w:asciiTheme="minorHAnsi" w:eastAsiaTheme="minorHAnsi" w:hAnsiTheme="minorHAnsi" w:cstheme="minorHAnsi"/>
          <w:b/>
          <w:sz w:val="28"/>
          <w:szCs w:val="28"/>
          <w:lang w:val="es-CO" w:eastAsia="en-US"/>
        </w:rPr>
        <w:t>4 de octubre de 2012</w:t>
      </w:r>
      <w:r w:rsidRPr="00D46003">
        <w:rPr>
          <w:rFonts w:asciiTheme="minorHAnsi" w:eastAsiaTheme="minorHAnsi" w:hAnsiTheme="minorHAnsi" w:cstheme="minorHAnsi"/>
          <w:sz w:val="28"/>
          <w:szCs w:val="28"/>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Acuerdo No. 001 del 3 de enero de 2003, por medio del cual la Junta Directiva de la E.S.E. Hospital San José del Guaviare y de la Resolución sin número de 2003, cuyas </w:t>
      </w:r>
      <w:r w:rsidRPr="00D46003">
        <w:rPr>
          <w:rFonts w:asciiTheme="minorHAnsi" w:eastAsiaTheme="minorHAnsi" w:hAnsiTheme="minorHAnsi" w:cstheme="minorHAnsi"/>
          <w:sz w:val="28"/>
          <w:szCs w:val="28"/>
          <w:lang w:val="es-CO" w:eastAsia="en-US"/>
        </w:rPr>
        <w:lastRenderedPageBreak/>
        <w:t xml:space="preserve">nulidades se demanda y que por lo tanto es a partir  de esa data que debe empezar a contabilizarse el término de caducidad. </w:t>
      </w:r>
    </w:p>
    <w:p w:rsidR="00F65193" w:rsidRPr="00D46003" w:rsidRDefault="00F65193" w:rsidP="00F65193">
      <w:pPr>
        <w:ind w:firstLine="1134"/>
        <w:jc w:val="both"/>
        <w:rPr>
          <w:rFonts w:asciiTheme="minorHAnsi" w:eastAsiaTheme="minorHAnsi" w:hAnsiTheme="minorHAnsi" w:cstheme="minorHAnsi"/>
          <w:sz w:val="28"/>
          <w:szCs w:val="28"/>
          <w:lang w:val="es-CO" w:eastAsia="en-US"/>
        </w:rPr>
      </w:pPr>
    </w:p>
    <w:p w:rsidR="00F65193" w:rsidRPr="00D46003" w:rsidRDefault="00F65193" w:rsidP="00AC7B0C">
      <w:pPr>
        <w:ind w:firstLine="1134"/>
        <w:jc w:val="both"/>
        <w:rPr>
          <w:rFonts w:asciiTheme="minorHAnsi" w:hAnsiTheme="minorHAnsi" w:cstheme="minorHAnsi"/>
          <w:bCs/>
          <w:sz w:val="28"/>
          <w:szCs w:val="28"/>
        </w:rPr>
      </w:pPr>
      <w:r w:rsidRPr="00D46003">
        <w:rPr>
          <w:rFonts w:asciiTheme="minorHAnsi" w:hAnsiTheme="minorHAnsi" w:cstheme="minorHAnsi"/>
          <w:sz w:val="28"/>
          <w:szCs w:val="28"/>
        </w:rPr>
        <w:t xml:space="preserve">Si en gracia de discusión  se admitiera que la nulidad decretada por el Consejo de Estado podría llegar a tener efectos retroactivos sobre el caso particular de  </w:t>
      </w:r>
      <w:r w:rsidR="00AC7B0C" w:rsidRPr="00D46003">
        <w:rPr>
          <w:rFonts w:asciiTheme="minorHAnsi" w:hAnsiTheme="minorHAnsi" w:cstheme="minorHAnsi"/>
          <w:bCs/>
          <w:sz w:val="28"/>
          <w:szCs w:val="28"/>
        </w:rPr>
        <w:t xml:space="preserve">María Yolanda Pérez </w:t>
      </w:r>
      <w:proofErr w:type="spellStart"/>
      <w:r w:rsidR="00AC7B0C" w:rsidRPr="00D46003">
        <w:rPr>
          <w:rFonts w:asciiTheme="minorHAnsi" w:hAnsiTheme="minorHAnsi" w:cstheme="minorHAnsi"/>
          <w:bCs/>
          <w:sz w:val="28"/>
          <w:szCs w:val="28"/>
        </w:rPr>
        <w:t>Villamil</w:t>
      </w:r>
      <w:proofErr w:type="spellEnd"/>
      <w:r w:rsidRPr="00D46003">
        <w:rPr>
          <w:rFonts w:asciiTheme="minorHAnsi" w:hAnsiTheme="minorHAnsi" w:cstheme="minorHAnsi"/>
          <w:sz w:val="28"/>
          <w:szCs w:val="28"/>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D46003">
        <w:rPr>
          <w:rStyle w:val="Refdenotaalpie"/>
          <w:rFonts w:asciiTheme="minorHAnsi" w:hAnsiTheme="minorHAnsi" w:cstheme="minorHAnsi"/>
          <w:sz w:val="28"/>
          <w:szCs w:val="28"/>
        </w:rPr>
        <w:footnoteReference w:id="5"/>
      </w:r>
      <w:r w:rsidRPr="00D46003">
        <w:rPr>
          <w:rFonts w:asciiTheme="minorHAnsi" w:hAnsiTheme="minorHAnsi" w:cstheme="minorHAnsi"/>
          <w:sz w:val="28"/>
          <w:szCs w:val="28"/>
        </w:rPr>
        <w:t>,  lo cierto es que la presentación de la demanda se produjo de todas formas de manera extemporánea, por las razones que pasa a anotarse:</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pStyle w:val="Default"/>
        <w:ind w:firstLine="1134"/>
        <w:jc w:val="both"/>
        <w:rPr>
          <w:rFonts w:asciiTheme="minorHAnsi" w:hAnsiTheme="minorHAnsi" w:cstheme="minorHAnsi"/>
          <w:color w:val="auto"/>
          <w:sz w:val="28"/>
          <w:szCs w:val="28"/>
        </w:rPr>
      </w:pPr>
      <w:r w:rsidRPr="00D46003">
        <w:rPr>
          <w:rFonts w:asciiTheme="minorHAnsi" w:hAnsiTheme="minorHAnsi" w:cstheme="minorHAnsi"/>
          <w:color w:val="auto"/>
          <w:sz w:val="28"/>
          <w:szCs w:val="28"/>
        </w:rPr>
        <w:t xml:space="preserve">Conforme a la norma en cita, que indica que cuando se pretenda la nulidad y restablecimiento del derecho, la demanda deberá presentarse dentro del término de cuatro (4) meses contados </w:t>
      </w:r>
      <w:r w:rsidRPr="00D46003">
        <w:rPr>
          <w:rFonts w:asciiTheme="minorHAnsi" w:hAnsiTheme="minorHAnsi" w:cstheme="minorHAnsi"/>
          <w:b/>
          <w:color w:val="auto"/>
          <w:sz w:val="28"/>
          <w:szCs w:val="28"/>
        </w:rPr>
        <w:t xml:space="preserve">a partir del día siguiente </w:t>
      </w:r>
      <w:r w:rsidRPr="00D46003">
        <w:rPr>
          <w:rFonts w:asciiTheme="minorHAnsi" w:hAnsiTheme="minorHAnsi" w:cstheme="minorHAnsi"/>
          <w:color w:val="auto"/>
          <w:sz w:val="28"/>
          <w:szCs w:val="28"/>
        </w:rPr>
        <w:t xml:space="preserve">al de la comunicación, notificación, ejecución o publicación y en el entendido que el </w:t>
      </w:r>
      <w:r w:rsidRPr="00D46003">
        <w:rPr>
          <w:rFonts w:asciiTheme="minorHAnsi" w:hAnsiTheme="minorHAnsi" w:cstheme="minorHAnsi"/>
          <w:b/>
          <w:color w:val="auto"/>
          <w:sz w:val="28"/>
          <w:szCs w:val="28"/>
        </w:rPr>
        <w:t>4 de octubre de 2012</w:t>
      </w:r>
      <w:r w:rsidRPr="00D46003">
        <w:rPr>
          <w:rFonts w:asciiTheme="minorHAnsi" w:hAnsiTheme="minorHAnsi" w:cstheme="minorHAnsi"/>
          <w:color w:val="auto"/>
          <w:sz w:val="28"/>
          <w:szCs w:val="28"/>
        </w:rPr>
        <w:t xml:space="preserve">, cobró ejecutoria el pronunciamiento del Consejo de Estado y, como lo reclama la demandante, a partir de entonces debe contabilizarse el término de caducidad, se tiene que la fecha límite para impetrar el medio de control, se extendía hasta el </w:t>
      </w:r>
      <w:r w:rsidRPr="00D46003">
        <w:rPr>
          <w:rFonts w:asciiTheme="minorHAnsi" w:hAnsiTheme="minorHAnsi" w:cstheme="minorHAnsi"/>
          <w:b/>
          <w:color w:val="auto"/>
          <w:sz w:val="28"/>
          <w:szCs w:val="28"/>
        </w:rPr>
        <w:t>5 de febrero de 2013.</w:t>
      </w:r>
      <w:r w:rsidRPr="00D46003">
        <w:rPr>
          <w:rFonts w:asciiTheme="minorHAnsi" w:hAnsiTheme="minorHAnsi" w:cstheme="minorHAnsi"/>
          <w:color w:val="auto"/>
          <w:sz w:val="28"/>
          <w:szCs w:val="28"/>
        </w:rPr>
        <w:t xml:space="preserve"> </w:t>
      </w:r>
    </w:p>
    <w:p w:rsidR="00F65193" w:rsidRPr="00D46003" w:rsidRDefault="00F65193" w:rsidP="00F65193">
      <w:pPr>
        <w:pStyle w:val="Default"/>
        <w:ind w:firstLine="1134"/>
        <w:jc w:val="both"/>
        <w:rPr>
          <w:rFonts w:asciiTheme="minorHAnsi" w:hAnsiTheme="minorHAnsi" w:cstheme="minorHAnsi"/>
          <w:color w:val="auto"/>
          <w:sz w:val="28"/>
          <w:szCs w:val="28"/>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lang w:val="es-CO"/>
        </w:rPr>
        <w:t xml:space="preserve">Como en la demanda se formulan pretensiones relativas a nulidad con restablecimiento del derecho,  debió agotarse el requisito de </w:t>
      </w:r>
      <w:proofErr w:type="spellStart"/>
      <w:r w:rsidRPr="00D46003">
        <w:rPr>
          <w:rFonts w:asciiTheme="minorHAnsi" w:hAnsiTheme="minorHAnsi" w:cstheme="minorHAnsi"/>
          <w:sz w:val="28"/>
          <w:szCs w:val="28"/>
          <w:lang w:val="es-CO"/>
        </w:rPr>
        <w:t>procedibilidad</w:t>
      </w:r>
      <w:proofErr w:type="spellEnd"/>
      <w:r w:rsidRPr="00D46003">
        <w:rPr>
          <w:rFonts w:asciiTheme="minorHAnsi" w:hAnsiTheme="minorHAnsi" w:cstheme="minorHAnsi"/>
          <w:sz w:val="28"/>
          <w:szCs w:val="28"/>
          <w:lang w:val="es-CO"/>
        </w:rPr>
        <w:t xml:space="preserve"> de la </w:t>
      </w:r>
      <w:r w:rsidRPr="00D46003">
        <w:rPr>
          <w:rFonts w:asciiTheme="minorHAnsi" w:hAnsiTheme="minorHAnsi" w:cstheme="minorHAnsi"/>
          <w:sz w:val="28"/>
          <w:szCs w:val="28"/>
        </w:rPr>
        <w:t>conciliación prejudicial, conforme al numeral 1º del artículo 161 del CPACA.</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pStyle w:val="Sangra2detindependiente"/>
        <w:spacing w:line="240" w:lineRule="auto"/>
        <w:ind w:left="708" w:firstLine="426"/>
        <w:rPr>
          <w:rFonts w:asciiTheme="minorHAnsi" w:hAnsiTheme="minorHAnsi" w:cstheme="minorHAnsi"/>
          <w:sz w:val="28"/>
          <w:szCs w:val="28"/>
        </w:rPr>
      </w:pPr>
      <w:r w:rsidRPr="00D46003">
        <w:rPr>
          <w:rFonts w:asciiTheme="minorHAnsi" w:hAnsiTheme="minorHAnsi" w:cstheme="minorHAnsi"/>
          <w:sz w:val="28"/>
          <w:szCs w:val="28"/>
        </w:rPr>
        <w:t>La Corte Constitucional ha expresado sobre la caducidad:</w:t>
      </w:r>
    </w:p>
    <w:p w:rsidR="00F65193" w:rsidRPr="00D46003" w:rsidRDefault="00F65193" w:rsidP="00F65193">
      <w:pPr>
        <w:pStyle w:val="Sangra2detindependiente"/>
        <w:spacing w:line="240" w:lineRule="auto"/>
        <w:ind w:left="708" w:firstLine="426"/>
        <w:rPr>
          <w:rFonts w:asciiTheme="minorHAnsi" w:hAnsiTheme="minorHAnsi" w:cstheme="minorHAnsi"/>
          <w:sz w:val="28"/>
          <w:szCs w:val="28"/>
        </w:rPr>
      </w:pPr>
      <w:r w:rsidRPr="00D46003">
        <w:rPr>
          <w:rFonts w:asciiTheme="minorHAnsi" w:hAnsiTheme="minorHAnsi" w:cstheme="minorHAnsi"/>
          <w:sz w:val="28"/>
          <w:szCs w:val="28"/>
        </w:rPr>
        <w:t xml:space="preserve"> </w:t>
      </w:r>
    </w:p>
    <w:p w:rsidR="00F65193" w:rsidRPr="00D46003" w:rsidRDefault="00F65193" w:rsidP="00F65193">
      <w:pPr>
        <w:pStyle w:val="Textodebloque"/>
        <w:ind w:left="1428"/>
        <w:rPr>
          <w:rFonts w:asciiTheme="minorHAnsi" w:hAnsiTheme="minorHAnsi" w:cstheme="minorHAnsi"/>
        </w:rPr>
      </w:pPr>
      <w:r w:rsidRPr="00D46003">
        <w:rPr>
          <w:rFonts w:asciiTheme="minorHAnsi" w:hAnsiTheme="minorHAnsi" w:cstheme="minorHAnsi"/>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D46003">
        <w:rPr>
          <w:rFonts w:asciiTheme="minorHAnsi" w:hAnsiTheme="minorHAnsi" w:cstheme="minorHAnsi"/>
          <w:b/>
        </w:rPr>
        <w:t>inexorablemente</w:t>
      </w:r>
      <w:r w:rsidRPr="00D46003">
        <w:rPr>
          <w:rFonts w:asciiTheme="minorHAnsi" w:hAnsiTheme="minorHAnsi" w:cstheme="minorHAnsi"/>
        </w:rPr>
        <w:t>, sin que pueda alegarse excusa alguna para revivirlos”</w:t>
      </w:r>
      <w:r w:rsidRPr="00D46003">
        <w:rPr>
          <w:rStyle w:val="Refdenotaalpie"/>
          <w:rFonts w:asciiTheme="minorHAnsi" w:hAnsiTheme="minorHAnsi" w:cstheme="minorHAnsi"/>
        </w:rPr>
        <w:t xml:space="preserve"> </w:t>
      </w:r>
      <w:r w:rsidRPr="00D46003">
        <w:rPr>
          <w:rStyle w:val="Refdenotaalpie"/>
          <w:rFonts w:asciiTheme="minorHAnsi" w:hAnsiTheme="minorHAnsi" w:cstheme="minorHAnsi"/>
        </w:rPr>
        <w:footnoteReference w:id="6"/>
      </w:r>
      <w:r w:rsidRPr="00D46003">
        <w:rPr>
          <w:rFonts w:asciiTheme="minorHAnsi" w:hAnsiTheme="minorHAnsi" w:cstheme="minorHAnsi"/>
        </w:rPr>
        <w:t>.</w:t>
      </w:r>
    </w:p>
    <w:p w:rsidR="00F65193" w:rsidRPr="00D46003" w:rsidRDefault="00F65193" w:rsidP="00F65193">
      <w:pPr>
        <w:ind w:firstLine="1134"/>
        <w:jc w:val="both"/>
        <w:rPr>
          <w:rFonts w:asciiTheme="minorHAnsi" w:hAnsiTheme="minorHAnsi" w:cstheme="minorHAnsi"/>
          <w:sz w:val="24"/>
          <w:szCs w:val="24"/>
          <w:lang w:val="es-CO"/>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lang w:val="es-CO"/>
        </w:rPr>
        <w:t>E</w:t>
      </w:r>
      <w:r w:rsidRPr="00D46003">
        <w:rPr>
          <w:rFonts w:asciiTheme="minorHAnsi" w:hAnsiTheme="minorHAnsi" w:cstheme="minorHAnsi"/>
          <w:sz w:val="28"/>
          <w:szCs w:val="28"/>
        </w:rPr>
        <w:t xml:space="preserve">l artículo 21 de la Ley 640 de 2001 y el artículo 3° del Decreto 1716 de 2009 prevén que </w:t>
      </w:r>
      <w:r w:rsidRPr="00D46003">
        <w:rPr>
          <w:rFonts w:asciiTheme="minorHAnsi" w:hAnsiTheme="minorHAnsi" w:cstheme="minorHAnsi"/>
          <w:b/>
          <w:sz w:val="28"/>
          <w:szCs w:val="28"/>
        </w:rPr>
        <w:t>el término de caducidad se suspende con la presentación de solicitud de conciliación extrajudicial ante el Ministerio Público</w:t>
      </w:r>
      <w:r w:rsidRPr="00D46003">
        <w:rPr>
          <w:rFonts w:asciiTheme="minorHAnsi" w:hAnsiTheme="minorHAnsi" w:cstheme="minorHAnsi"/>
          <w:sz w:val="28"/>
          <w:szCs w:val="28"/>
        </w:rPr>
        <w:t xml:space="preserve"> y se reanudará ante la ocurrencia de alguno de los siguientes tres eventos: </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ind w:left="1134" w:right="1270"/>
        <w:jc w:val="both"/>
        <w:rPr>
          <w:rFonts w:asciiTheme="minorHAnsi" w:hAnsiTheme="minorHAnsi" w:cstheme="minorHAnsi"/>
          <w:i/>
          <w:sz w:val="24"/>
          <w:szCs w:val="24"/>
        </w:rPr>
      </w:pPr>
      <w:r w:rsidRPr="00D46003">
        <w:rPr>
          <w:rFonts w:asciiTheme="minorHAnsi" w:hAnsiTheme="minorHAnsi" w:cstheme="minorHAnsi"/>
          <w:i/>
          <w:sz w:val="24"/>
          <w:szCs w:val="24"/>
        </w:rPr>
        <w:t xml:space="preserve">“a) Que se logre el acuerdo conciliatorio, b) Se expidan las constancias a que se refiere el artículo 2 de la Ley 640 de 2001, c) Se venza el </w:t>
      </w:r>
      <w:r w:rsidRPr="00D46003">
        <w:rPr>
          <w:rFonts w:asciiTheme="minorHAnsi" w:hAnsiTheme="minorHAnsi" w:cstheme="minorHAnsi"/>
          <w:i/>
          <w:sz w:val="24"/>
          <w:szCs w:val="24"/>
        </w:rPr>
        <w:lastRenderedPageBreak/>
        <w:t xml:space="preserve">término de tres (3) meses contados a partir de la presentación de la solicitud, lo que ocurra primero”. </w:t>
      </w:r>
    </w:p>
    <w:p w:rsidR="00F65193" w:rsidRPr="00D46003" w:rsidRDefault="00F65193" w:rsidP="00F65193">
      <w:pPr>
        <w:ind w:left="1134" w:right="1270"/>
        <w:jc w:val="both"/>
        <w:rPr>
          <w:rFonts w:asciiTheme="minorHAnsi" w:hAnsiTheme="minorHAnsi" w:cstheme="minorHAnsi"/>
          <w:sz w:val="24"/>
          <w:szCs w:val="24"/>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La Sala observa en la Constancia expedida por el Ministerio Público</w:t>
      </w:r>
      <w:r w:rsidRPr="00D46003">
        <w:rPr>
          <w:rStyle w:val="Refdenotaalpie"/>
          <w:rFonts w:asciiTheme="minorHAnsi" w:hAnsiTheme="minorHAnsi" w:cstheme="minorHAnsi"/>
          <w:sz w:val="28"/>
          <w:szCs w:val="28"/>
        </w:rPr>
        <w:footnoteReference w:id="7"/>
      </w:r>
      <w:r w:rsidRPr="00D46003">
        <w:rPr>
          <w:rFonts w:asciiTheme="minorHAnsi" w:hAnsiTheme="minorHAnsi" w:cstheme="minorHAnsi"/>
          <w:sz w:val="28"/>
          <w:szCs w:val="28"/>
        </w:rPr>
        <w:t xml:space="preserve"> que la solicitud de Conciliación Prejudicial en el caso que se examina fue presentada ante su Agente el </w:t>
      </w:r>
      <w:r w:rsidRPr="00D46003">
        <w:rPr>
          <w:rFonts w:asciiTheme="minorHAnsi" w:hAnsiTheme="minorHAnsi" w:cstheme="minorHAnsi"/>
          <w:b/>
          <w:sz w:val="28"/>
          <w:szCs w:val="28"/>
        </w:rPr>
        <w:t>8 de febrero de 2013</w:t>
      </w:r>
      <w:r w:rsidRPr="00D46003">
        <w:rPr>
          <w:rFonts w:asciiTheme="minorHAnsi" w:hAnsiTheme="minorHAnsi" w:cstheme="minorHAnsi"/>
          <w:sz w:val="28"/>
          <w:szCs w:val="28"/>
        </w:rPr>
        <w:t xml:space="preserve">, cuando </w:t>
      </w:r>
      <w:r w:rsidRPr="00D46003">
        <w:rPr>
          <w:rFonts w:asciiTheme="minorHAnsi" w:hAnsiTheme="minorHAnsi" w:cstheme="minorHAnsi"/>
          <w:b/>
          <w:sz w:val="28"/>
          <w:szCs w:val="28"/>
        </w:rPr>
        <w:t>ya había expirado el término</w:t>
      </w:r>
      <w:r w:rsidRPr="00D46003">
        <w:rPr>
          <w:rFonts w:asciiTheme="minorHAnsi" w:hAnsiTheme="minorHAnsi" w:cstheme="minorHAnsi"/>
          <w:sz w:val="28"/>
          <w:szCs w:val="28"/>
        </w:rPr>
        <w:t xml:space="preserve"> con el que se contaba para la presentación oportuna de la demanda, situación que advirtió la Delegada, y así lo hizo constar, indicando: “…mediante auto dictado en la fecha, se declara no susceptible de conciliación el asunto a que se refiere la presente conciliación, por inferir que ha obrado el fenómeno de la caducidad de la acción de Nulidad y Restablecimiento del Derecho, conforme al Parágrafo 2º del artículo 81 de la Ley 446 de 1998, el parágrafo 1º del artículo 2º del Decreto 1716 de 2009 en armonía con el artículo 136 , 2 del C.C.A. aplicable a la época del acto cuya nulidad se pretenderá.”. </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pStyle w:val="Textonotapie"/>
        <w:spacing w:line="240" w:lineRule="auto"/>
        <w:ind w:firstLine="1134"/>
        <w:jc w:val="both"/>
        <w:rPr>
          <w:rFonts w:asciiTheme="minorHAnsi" w:hAnsiTheme="minorHAnsi" w:cstheme="minorHAnsi"/>
          <w:sz w:val="28"/>
          <w:szCs w:val="28"/>
        </w:rPr>
      </w:pPr>
      <w:r w:rsidRPr="00D46003">
        <w:rPr>
          <w:rFonts w:asciiTheme="minorHAnsi" w:hAnsiTheme="minorHAnsi" w:cstheme="minorHAnsi"/>
          <w:sz w:val="28"/>
          <w:szCs w:val="28"/>
        </w:rPr>
        <w:t xml:space="preserve">No obstante, habiendo culminado el trámite de la Conciliación ante la Procuraduría General de la Nación con la expedición de la Constancia antes aludida, que data del </w:t>
      </w:r>
      <w:r w:rsidR="00AC7B0C" w:rsidRPr="00D46003">
        <w:rPr>
          <w:rFonts w:asciiTheme="minorHAnsi" w:hAnsiTheme="minorHAnsi" w:cstheme="minorHAnsi"/>
          <w:sz w:val="28"/>
          <w:szCs w:val="28"/>
        </w:rPr>
        <w:t>13</w:t>
      </w:r>
      <w:r w:rsidRPr="00D46003">
        <w:rPr>
          <w:rFonts w:asciiTheme="minorHAnsi" w:hAnsiTheme="minorHAnsi" w:cstheme="minorHAnsi"/>
          <w:sz w:val="28"/>
          <w:szCs w:val="28"/>
        </w:rPr>
        <w:t xml:space="preserve"> de </w:t>
      </w:r>
      <w:r w:rsidR="00AC7B0C" w:rsidRPr="00D46003">
        <w:rPr>
          <w:rFonts w:asciiTheme="minorHAnsi" w:hAnsiTheme="minorHAnsi" w:cstheme="minorHAnsi"/>
          <w:sz w:val="28"/>
          <w:szCs w:val="28"/>
        </w:rPr>
        <w:t>marzo</w:t>
      </w:r>
      <w:r w:rsidRPr="00D46003">
        <w:rPr>
          <w:rFonts w:asciiTheme="minorHAnsi" w:hAnsiTheme="minorHAnsi" w:cstheme="minorHAnsi"/>
          <w:sz w:val="28"/>
          <w:szCs w:val="28"/>
        </w:rPr>
        <w:t xml:space="preserve"> de 2013,  la parte actora se tomó aún más tiempo y presentó la demanda ante la Administración Judicial  el </w:t>
      </w:r>
      <w:r w:rsidRPr="00D46003">
        <w:rPr>
          <w:rFonts w:asciiTheme="minorHAnsi" w:hAnsiTheme="minorHAnsi" w:cstheme="minorHAnsi"/>
          <w:b/>
          <w:sz w:val="28"/>
          <w:szCs w:val="28"/>
        </w:rPr>
        <w:t>10 de julio de 2013</w:t>
      </w:r>
      <w:r w:rsidRPr="00D46003">
        <w:rPr>
          <w:rStyle w:val="Refdenotaalpie"/>
          <w:rFonts w:asciiTheme="minorHAnsi" w:hAnsiTheme="minorHAnsi" w:cstheme="minorHAnsi"/>
          <w:sz w:val="28"/>
          <w:szCs w:val="28"/>
        </w:rPr>
        <w:footnoteReference w:id="8"/>
      </w:r>
      <w:r w:rsidRPr="00D46003">
        <w:rPr>
          <w:rFonts w:asciiTheme="minorHAnsi" w:hAnsiTheme="minorHAnsi" w:cstheme="minorHAnsi"/>
          <w:sz w:val="28"/>
          <w:szCs w:val="28"/>
        </w:rPr>
        <w:t>, cuando ha debido interponerse a más tardar en la fecha indicada 5 de febrero de esa misma anualidad.</w:t>
      </w:r>
    </w:p>
    <w:p w:rsidR="00F65193" w:rsidRPr="00D46003" w:rsidRDefault="00F65193" w:rsidP="00AC7B0C">
      <w:pPr>
        <w:ind w:firstLine="1134"/>
        <w:jc w:val="both"/>
        <w:rPr>
          <w:rFonts w:asciiTheme="minorHAnsi" w:hAnsiTheme="minorHAnsi" w:cstheme="minorHAnsi"/>
          <w:bCs/>
          <w:sz w:val="28"/>
          <w:szCs w:val="28"/>
        </w:rPr>
      </w:pPr>
      <w:r w:rsidRPr="00D46003">
        <w:rPr>
          <w:rFonts w:asciiTheme="minorHAnsi" w:hAnsiTheme="minorHAnsi" w:cstheme="minorHAnsi"/>
          <w:sz w:val="28"/>
          <w:szCs w:val="28"/>
        </w:rPr>
        <w:t>Así las cosas, al margen de la discusión acerca de si la declaratoria de nulidad decretada por el Consejo de Estado respecto de las Ordenanzas</w:t>
      </w:r>
      <w:r w:rsidRPr="00D46003">
        <w:rPr>
          <w:rFonts w:asciiTheme="minorHAnsi" w:eastAsiaTheme="minorHAnsi" w:hAnsiTheme="minorHAnsi" w:cstheme="minorHAnsi"/>
          <w:sz w:val="28"/>
          <w:szCs w:val="28"/>
          <w:lang w:val="es-CO"/>
        </w:rPr>
        <w:t xml:space="preserve"> No. 023 del 31 de julio de 2001 y No. 015 del 21 de noviembre de 2002, expedidas por la Asamblea Departamental del Guaviare, </w:t>
      </w:r>
      <w:r w:rsidRPr="00D46003">
        <w:rPr>
          <w:rFonts w:asciiTheme="minorHAnsi" w:hAnsiTheme="minorHAnsi" w:cstheme="minorHAnsi"/>
          <w:sz w:val="28"/>
          <w:szCs w:val="28"/>
          <w:lang w:val="es-MX"/>
        </w:rPr>
        <w:t xml:space="preserve">determinaba la legalidad del </w:t>
      </w:r>
      <w:r w:rsidRPr="00D46003">
        <w:rPr>
          <w:rFonts w:asciiTheme="minorHAnsi" w:eastAsiaTheme="minorHAnsi" w:hAnsiTheme="minorHAnsi" w:cstheme="minorHAnsi"/>
          <w:sz w:val="28"/>
          <w:szCs w:val="28"/>
          <w:lang w:val="es-CO" w:eastAsia="en-US"/>
        </w:rPr>
        <w:t>Acuerdo No. 001 del 3 de enero de 2003 y de la Resolución sin número de</w:t>
      </w:r>
      <w:r w:rsidR="00AC7B0C" w:rsidRPr="00D46003">
        <w:rPr>
          <w:rFonts w:asciiTheme="minorHAnsi" w:eastAsiaTheme="minorHAnsi" w:hAnsiTheme="minorHAnsi" w:cstheme="minorHAnsi"/>
          <w:sz w:val="28"/>
          <w:szCs w:val="28"/>
          <w:lang w:val="es-CO" w:eastAsia="en-US"/>
        </w:rPr>
        <w:t xml:space="preserve"> esa misma anualidad, </w:t>
      </w:r>
      <w:r w:rsidRPr="00D46003">
        <w:rPr>
          <w:rFonts w:asciiTheme="minorHAnsi" w:eastAsiaTheme="minorHAnsi" w:hAnsiTheme="minorHAnsi" w:cstheme="minorHAnsi"/>
          <w:sz w:val="28"/>
          <w:szCs w:val="28"/>
          <w:lang w:val="es-CO" w:eastAsia="en-US"/>
        </w:rPr>
        <w:t xml:space="preserve">que suprimió el cargo que desempeñaba </w:t>
      </w:r>
      <w:r w:rsidR="00AC7B0C" w:rsidRPr="00D46003">
        <w:rPr>
          <w:rFonts w:asciiTheme="minorHAnsi" w:hAnsiTheme="minorHAnsi" w:cstheme="minorHAnsi"/>
          <w:bCs/>
          <w:sz w:val="28"/>
          <w:szCs w:val="28"/>
        </w:rPr>
        <w:t xml:space="preserve">María Yolanda Pérez </w:t>
      </w:r>
      <w:proofErr w:type="spellStart"/>
      <w:r w:rsidR="00AC7B0C" w:rsidRPr="00D46003">
        <w:rPr>
          <w:rFonts w:asciiTheme="minorHAnsi" w:hAnsiTheme="minorHAnsi" w:cstheme="minorHAnsi"/>
          <w:bCs/>
          <w:sz w:val="28"/>
          <w:szCs w:val="28"/>
        </w:rPr>
        <w:t>Villamil</w:t>
      </w:r>
      <w:proofErr w:type="spellEnd"/>
      <w:r w:rsidRPr="00D46003">
        <w:rPr>
          <w:rFonts w:asciiTheme="minorHAnsi" w:eastAsiaTheme="minorHAnsi" w:hAnsiTheme="minorHAnsi" w:cstheme="minorHAnsi"/>
          <w:sz w:val="28"/>
          <w:szCs w:val="28"/>
          <w:lang w:val="es-CO" w:eastAsia="en-US"/>
        </w:rPr>
        <w:t xml:space="preserve">, </w:t>
      </w:r>
      <w:r w:rsidRPr="00D46003">
        <w:rPr>
          <w:rFonts w:asciiTheme="minorHAnsi" w:hAnsiTheme="minorHAnsi" w:cstheme="minorHAnsi"/>
          <w:sz w:val="28"/>
          <w:szCs w:val="28"/>
          <w:lang w:val="es-MX"/>
        </w:rPr>
        <w:t xml:space="preserve">cuya anulación se demanda en el sub judice, encuentra la Sala que el </w:t>
      </w:r>
      <w:r w:rsidRPr="00D46003">
        <w:rPr>
          <w:rFonts w:asciiTheme="minorHAnsi" w:hAnsiTheme="minorHAnsi" w:cstheme="minorHAnsi"/>
          <w:sz w:val="28"/>
          <w:szCs w:val="28"/>
        </w:rPr>
        <w:t>medio de control de nulidad y restablecimiento del derecho pretendido, se encuentra caducado.</w:t>
      </w:r>
    </w:p>
    <w:p w:rsidR="00F65193" w:rsidRPr="00D46003" w:rsidRDefault="00F65193" w:rsidP="00F65193">
      <w:pPr>
        <w:ind w:left="142" w:firstLine="1134"/>
        <w:jc w:val="both"/>
        <w:rPr>
          <w:rFonts w:asciiTheme="minorHAnsi" w:hAnsiTheme="minorHAnsi" w:cstheme="minorHAnsi"/>
          <w:sz w:val="28"/>
          <w:szCs w:val="28"/>
        </w:rPr>
      </w:pPr>
    </w:p>
    <w:p w:rsidR="00F65193" w:rsidRPr="00D46003" w:rsidRDefault="00F65193" w:rsidP="00F65193">
      <w:pPr>
        <w:ind w:left="142" w:firstLine="1134"/>
        <w:jc w:val="both"/>
        <w:rPr>
          <w:rFonts w:asciiTheme="minorHAnsi" w:hAnsiTheme="minorHAnsi" w:cstheme="minorHAnsi"/>
          <w:sz w:val="28"/>
          <w:szCs w:val="28"/>
        </w:rPr>
      </w:pPr>
      <w:r w:rsidRPr="00D46003">
        <w:rPr>
          <w:rFonts w:asciiTheme="minorHAnsi" w:hAnsiTheme="minorHAnsi" w:cstheme="minorHAnsi"/>
          <w:sz w:val="28"/>
          <w:szCs w:val="28"/>
        </w:rPr>
        <w:t>Por las razones expuestas procederá este Tribunal a confirmar la decisión objeto de censura.</w:t>
      </w:r>
    </w:p>
    <w:p w:rsidR="00F65193" w:rsidRPr="00D46003" w:rsidRDefault="00F65193" w:rsidP="00F65193">
      <w:pPr>
        <w:ind w:left="142" w:firstLine="1134"/>
        <w:jc w:val="both"/>
        <w:rPr>
          <w:rFonts w:asciiTheme="minorHAnsi" w:hAnsiTheme="minorHAnsi" w:cstheme="minorHAnsi"/>
          <w:sz w:val="28"/>
          <w:szCs w:val="28"/>
        </w:rPr>
      </w:pPr>
    </w:p>
    <w:p w:rsidR="00F65193" w:rsidRPr="00D46003" w:rsidRDefault="00F65193" w:rsidP="00F65193">
      <w:pPr>
        <w:widowControl w:val="0"/>
        <w:ind w:firstLine="1134"/>
        <w:jc w:val="both"/>
        <w:rPr>
          <w:rFonts w:asciiTheme="minorHAnsi" w:hAnsiTheme="minorHAnsi" w:cstheme="minorHAnsi"/>
          <w:iCs/>
          <w:sz w:val="28"/>
          <w:szCs w:val="28"/>
        </w:rPr>
      </w:pPr>
      <w:r w:rsidRPr="00D46003">
        <w:rPr>
          <w:rFonts w:asciiTheme="minorHAnsi" w:hAnsiTheme="minorHAnsi" w:cstheme="minorHAnsi"/>
          <w:iCs/>
          <w:sz w:val="28"/>
          <w:szCs w:val="28"/>
        </w:rPr>
        <w:t>En mérito de lo expuesto, el Tribunal Administrativo del Meta,</w:t>
      </w:r>
    </w:p>
    <w:p w:rsidR="00F65193" w:rsidRPr="00D46003" w:rsidRDefault="00F65193" w:rsidP="00F65193">
      <w:pPr>
        <w:widowControl w:val="0"/>
        <w:ind w:firstLine="1134"/>
        <w:jc w:val="both"/>
        <w:rPr>
          <w:rFonts w:asciiTheme="minorHAnsi" w:hAnsiTheme="minorHAnsi" w:cstheme="minorHAnsi"/>
          <w:iCs/>
          <w:sz w:val="28"/>
          <w:szCs w:val="28"/>
          <w:lang w:val="es-CO"/>
        </w:rPr>
      </w:pPr>
    </w:p>
    <w:p w:rsidR="00AC7B0C" w:rsidRPr="00D46003" w:rsidRDefault="00AC7B0C" w:rsidP="00AC7B0C">
      <w:pPr>
        <w:widowControl w:val="0"/>
        <w:jc w:val="both"/>
        <w:rPr>
          <w:rFonts w:asciiTheme="minorHAnsi" w:hAnsiTheme="minorHAnsi" w:cstheme="minorHAnsi"/>
          <w:iCs/>
          <w:sz w:val="28"/>
          <w:szCs w:val="28"/>
          <w:lang w:val="es-CO"/>
        </w:rPr>
      </w:pPr>
    </w:p>
    <w:p w:rsidR="00F65193" w:rsidRPr="00D46003" w:rsidRDefault="00F65193" w:rsidP="00AC7B0C">
      <w:pPr>
        <w:widowControl w:val="0"/>
        <w:jc w:val="center"/>
        <w:rPr>
          <w:rFonts w:asciiTheme="minorHAnsi" w:hAnsiTheme="minorHAnsi" w:cstheme="minorHAnsi"/>
          <w:iCs/>
          <w:sz w:val="28"/>
          <w:szCs w:val="28"/>
          <w:lang w:val="es-CO"/>
        </w:rPr>
      </w:pPr>
      <w:r w:rsidRPr="00D46003">
        <w:rPr>
          <w:rFonts w:asciiTheme="minorHAnsi" w:hAnsiTheme="minorHAnsi" w:cstheme="minorHAnsi"/>
          <w:iCs/>
          <w:sz w:val="28"/>
          <w:szCs w:val="28"/>
          <w:lang w:val="es-CO"/>
        </w:rPr>
        <w:t>R E S U E L V E:</w:t>
      </w:r>
    </w:p>
    <w:p w:rsidR="00F65193" w:rsidRPr="00D46003" w:rsidRDefault="00F65193" w:rsidP="00F65193">
      <w:pPr>
        <w:widowControl w:val="0"/>
        <w:ind w:firstLine="1134"/>
        <w:jc w:val="both"/>
        <w:rPr>
          <w:rFonts w:asciiTheme="minorHAnsi" w:hAnsiTheme="minorHAnsi" w:cstheme="minorHAnsi"/>
          <w:iCs/>
          <w:sz w:val="28"/>
          <w:szCs w:val="28"/>
          <w:lang w:val="es-CO"/>
        </w:rPr>
      </w:pPr>
    </w:p>
    <w:p w:rsidR="00F65193" w:rsidRPr="00D46003" w:rsidRDefault="00F65193" w:rsidP="00F65193">
      <w:pPr>
        <w:widowControl w:val="0"/>
        <w:ind w:firstLine="1134"/>
        <w:jc w:val="both"/>
        <w:rPr>
          <w:rFonts w:asciiTheme="minorHAnsi" w:hAnsiTheme="minorHAnsi" w:cstheme="minorHAnsi"/>
          <w:iCs/>
          <w:sz w:val="28"/>
          <w:szCs w:val="28"/>
          <w:lang w:val="es-CO"/>
        </w:rPr>
      </w:pPr>
    </w:p>
    <w:p w:rsidR="00F65193" w:rsidRPr="00D46003" w:rsidRDefault="00F65193" w:rsidP="00F65193">
      <w:pPr>
        <w:widowControl w:val="0"/>
        <w:ind w:firstLine="1134"/>
        <w:jc w:val="both"/>
        <w:rPr>
          <w:rFonts w:asciiTheme="minorHAnsi" w:hAnsiTheme="minorHAnsi" w:cstheme="minorHAnsi"/>
          <w:iCs/>
          <w:sz w:val="28"/>
          <w:szCs w:val="28"/>
          <w:lang w:val="es-CO"/>
        </w:rPr>
      </w:pPr>
      <w:r w:rsidRPr="00D46003">
        <w:rPr>
          <w:rFonts w:asciiTheme="minorHAnsi" w:hAnsiTheme="minorHAnsi" w:cstheme="minorHAnsi"/>
          <w:iCs/>
          <w:sz w:val="28"/>
          <w:szCs w:val="28"/>
          <w:lang w:val="es-CO"/>
        </w:rPr>
        <w:t xml:space="preserve">PRIMERO: CONFIRMAR el auto proferido </w:t>
      </w:r>
      <w:r w:rsidRPr="00D46003">
        <w:rPr>
          <w:rFonts w:asciiTheme="minorHAnsi" w:hAnsiTheme="minorHAnsi" w:cstheme="minorHAnsi"/>
          <w:sz w:val="28"/>
          <w:szCs w:val="28"/>
        </w:rPr>
        <w:t xml:space="preserve">el 31 de julio de 2013 por el </w:t>
      </w:r>
      <w:r w:rsidRPr="00D46003">
        <w:rPr>
          <w:rFonts w:asciiTheme="minorHAnsi" w:hAnsiTheme="minorHAnsi" w:cstheme="minorHAnsi"/>
          <w:sz w:val="28"/>
          <w:szCs w:val="28"/>
        </w:rPr>
        <w:lastRenderedPageBreak/>
        <w:t xml:space="preserve">Juzgado Tercero Administrativo de Villavicencio,  </w:t>
      </w:r>
      <w:r w:rsidRPr="00D46003">
        <w:rPr>
          <w:rFonts w:asciiTheme="minorHAnsi" w:hAnsiTheme="minorHAnsi" w:cstheme="minorHAnsi"/>
          <w:iCs/>
          <w:sz w:val="28"/>
          <w:szCs w:val="28"/>
          <w:lang w:val="es-CO"/>
        </w:rPr>
        <w:t>que rechazó la demanda por caducidad, conforme a lo expuesto en la parte motiva de ésta providencia.</w:t>
      </w:r>
    </w:p>
    <w:p w:rsidR="00F65193" w:rsidRPr="00D46003" w:rsidRDefault="00F65193" w:rsidP="00F65193">
      <w:pPr>
        <w:widowControl w:val="0"/>
        <w:ind w:firstLine="1134"/>
        <w:jc w:val="both"/>
        <w:rPr>
          <w:rFonts w:asciiTheme="minorHAnsi" w:hAnsiTheme="minorHAnsi" w:cstheme="minorHAnsi"/>
          <w:iCs/>
          <w:sz w:val="28"/>
          <w:szCs w:val="28"/>
          <w:lang w:val="es-CO"/>
        </w:rPr>
      </w:pPr>
    </w:p>
    <w:p w:rsidR="00F65193" w:rsidRPr="00D46003" w:rsidRDefault="00F65193" w:rsidP="00F65193">
      <w:pPr>
        <w:widowControl w:val="0"/>
        <w:ind w:firstLine="1134"/>
        <w:jc w:val="both"/>
        <w:rPr>
          <w:rFonts w:asciiTheme="minorHAnsi" w:hAnsiTheme="minorHAnsi" w:cstheme="minorHAnsi"/>
          <w:iCs/>
          <w:sz w:val="28"/>
          <w:szCs w:val="28"/>
          <w:lang w:val="es-CO"/>
        </w:rPr>
      </w:pPr>
      <w:r w:rsidRPr="00D46003">
        <w:rPr>
          <w:rFonts w:asciiTheme="minorHAnsi" w:hAnsiTheme="minorHAnsi" w:cstheme="minorHAnsi"/>
          <w:iCs/>
          <w:sz w:val="28"/>
          <w:szCs w:val="28"/>
          <w:lang w:val="es-CO"/>
        </w:rPr>
        <w:t>SEGUNDO: En firme la ésta</w:t>
      </w:r>
      <w:r w:rsidR="00E158A6" w:rsidRPr="00D46003">
        <w:rPr>
          <w:rFonts w:asciiTheme="minorHAnsi" w:hAnsiTheme="minorHAnsi" w:cstheme="minorHAnsi"/>
          <w:iCs/>
          <w:sz w:val="28"/>
          <w:szCs w:val="28"/>
          <w:lang w:val="es-CO"/>
        </w:rPr>
        <w:t xml:space="preserve"> decisión</w:t>
      </w:r>
      <w:r w:rsidRPr="00D46003">
        <w:rPr>
          <w:rFonts w:asciiTheme="minorHAnsi" w:hAnsiTheme="minorHAnsi" w:cstheme="minorHAnsi"/>
          <w:iCs/>
          <w:sz w:val="28"/>
          <w:szCs w:val="28"/>
          <w:lang w:val="es-CO"/>
        </w:rPr>
        <w:t>, por Secretaría remítase el expediente al Juzgado de origen.</w:t>
      </w:r>
    </w:p>
    <w:p w:rsidR="00F65193" w:rsidRPr="00D46003" w:rsidRDefault="00F65193" w:rsidP="00F65193">
      <w:pPr>
        <w:ind w:firstLine="1134"/>
        <w:rPr>
          <w:rFonts w:asciiTheme="minorHAnsi" w:hAnsiTheme="minorHAnsi" w:cstheme="minorHAnsi"/>
          <w:sz w:val="28"/>
          <w:szCs w:val="28"/>
        </w:rPr>
      </w:pPr>
    </w:p>
    <w:p w:rsidR="00F65193" w:rsidRPr="00D46003" w:rsidRDefault="00F65193" w:rsidP="00F65193">
      <w:pPr>
        <w:ind w:firstLine="1134"/>
        <w:rPr>
          <w:rFonts w:asciiTheme="minorHAnsi" w:hAnsiTheme="minorHAnsi" w:cstheme="minorHAnsi"/>
          <w:sz w:val="28"/>
          <w:szCs w:val="28"/>
        </w:rPr>
      </w:pPr>
      <w:r w:rsidRPr="00D46003">
        <w:rPr>
          <w:rFonts w:asciiTheme="minorHAnsi" w:hAnsiTheme="minorHAnsi" w:cstheme="minorHAnsi"/>
          <w:sz w:val="28"/>
          <w:szCs w:val="28"/>
        </w:rPr>
        <w:t>Notifíquese  y  Cúmplase,</w:t>
      </w:r>
    </w:p>
    <w:p w:rsidR="00F65193" w:rsidRPr="00D46003" w:rsidRDefault="00F65193" w:rsidP="00F65193">
      <w:pPr>
        <w:ind w:firstLine="1134"/>
        <w:jc w:val="both"/>
        <w:rPr>
          <w:rFonts w:asciiTheme="minorHAnsi" w:hAnsiTheme="minorHAnsi" w:cstheme="minorHAnsi"/>
          <w:sz w:val="28"/>
          <w:szCs w:val="28"/>
        </w:rPr>
      </w:pPr>
    </w:p>
    <w:p w:rsidR="00F65193" w:rsidRPr="00D46003" w:rsidRDefault="00F65193" w:rsidP="00F65193">
      <w:pPr>
        <w:ind w:firstLine="1134"/>
        <w:jc w:val="both"/>
        <w:rPr>
          <w:rFonts w:asciiTheme="minorHAnsi" w:hAnsiTheme="minorHAnsi" w:cstheme="minorHAnsi"/>
          <w:sz w:val="28"/>
          <w:szCs w:val="28"/>
        </w:rPr>
      </w:pPr>
      <w:r w:rsidRPr="00D46003">
        <w:rPr>
          <w:rFonts w:asciiTheme="minorHAnsi" w:hAnsiTheme="minorHAnsi" w:cstheme="minorHAnsi"/>
          <w:sz w:val="28"/>
          <w:szCs w:val="28"/>
        </w:rPr>
        <w:t xml:space="preserve">Estudiado y aprobado en Sala de Decisión No. 2 de la fecha, según Acta No.  </w:t>
      </w: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left="1416" w:firstLine="1134"/>
        <w:jc w:val="both"/>
        <w:rPr>
          <w:rFonts w:asciiTheme="minorHAnsi" w:hAnsiTheme="minorHAnsi" w:cstheme="minorHAnsi"/>
          <w:sz w:val="28"/>
          <w:szCs w:val="28"/>
        </w:rPr>
      </w:pPr>
    </w:p>
    <w:p w:rsidR="00F65193" w:rsidRPr="00D46003" w:rsidRDefault="00F65193" w:rsidP="00F65193">
      <w:pPr>
        <w:ind w:firstLine="1134"/>
        <w:jc w:val="center"/>
        <w:rPr>
          <w:rFonts w:asciiTheme="minorHAnsi" w:hAnsiTheme="minorHAnsi" w:cstheme="minorHAnsi"/>
          <w:sz w:val="28"/>
          <w:szCs w:val="28"/>
        </w:rPr>
      </w:pPr>
    </w:p>
    <w:p w:rsidR="00972DDA" w:rsidRDefault="00972DDA" w:rsidP="00972DDA">
      <w:pPr>
        <w:ind w:firstLine="1134"/>
        <w:jc w:val="center"/>
        <w:rPr>
          <w:rFonts w:asciiTheme="minorHAnsi" w:hAnsiTheme="minorHAnsi" w:cstheme="minorHAnsi"/>
          <w:sz w:val="28"/>
          <w:szCs w:val="28"/>
        </w:rPr>
      </w:pPr>
    </w:p>
    <w:p w:rsidR="00972DDA" w:rsidRDefault="00972DDA" w:rsidP="00972DDA">
      <w:pPr>
        <w:ind w:firstLine="1134"/>
        <w:jc w:val="center"/>
        <w:rPr>
          <w:rFonts w:asciiTheme="minorHAnsi" w:hAnsiTheme="minorHAnsi" w:cstheme="minorHAnsi"/>
          <w:sz w:val="28"/>
          <w:szCs w:val="28"/>
        </w:rPr>
      </w:pPr>
    </w:p>
    <w:p w:rsidR="00972DDA" w:rsidRDefault="00972DDA" w:rsidP="00972DDA">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972DDA" w:rsidRDefault="00972DDA" w:rsidP="00972DDA">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ind w:firstLine="1134"/>
        <w:jc w:val="center"/>
        <w:rPr>
          <w:rFonts w:asciiTheme="minorHAnsi" w:hAnsiTheme="minorHAnsi" w:cstheme="minorHAnsi"/>
          <w:iCs/>
          <w:sz w:val="28"/>
          <w:szCs w:val="28"/>
        </w:rPr>
      </w:pPr>
    </w:p>
    <w:p w:rsidR="00972DDA" w:rsidRDefault="00972DDA" w:rsidP="00972DDA">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972DDA" w:rsidRDefault="00972DDA" w:rsidP="00972DDA">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972DDA"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814" w:rsidRDefault="00BD3814" w:rsidP="00F65193">
      <w:r>
        <w:separator/>
      </w:r>
    </w:p>
  </w:endnote>
  <w:endnote w:type="continuationSeparator" w:id="0">
    <w:p w:rsidR="00BD3814" w:rsidRDefault="00BD3814" w:rsidP="00F65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814" w:rsidRDefault="00BD3814" w:rsidP="00F65193">
      <w:r>
        <w:separator/>
      </w:r>
    </w:p>
  </w:footnote>
  <w:footnote w:type="continuationSeparator" w:id="0">
    <w:p w:rsidR="00BD3814" w:rsidRDefault="00BD3814" w:rsidP="00F65193">
      <w:r>
        <w:continuationSeparator/>
      </w:r>
    </w:p>
  </w:footnote>
  <w:footnote w:id="1">
    <w:p w:rsidR="00F65193" w:rsidRPr="00631619" w:rsidRDefault="00F65193" w:rsidP="00F65193">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Pr>
          <w:rFonts w:ascii="Bookman Old Style" w:hAnsi="Bookman Old Style" w:cs="Arial"/>
          <w:i/>
          <w:sz w:val="16"/>
          <w:szCs w:val="16"/>
        </w:rPr>
        <w:t>Fol. 42</w:t>
      </w:r>
    </w:p>
  </w:footnote>
  <w:footnote w:id="2">
    <w:p w:rsidR="00F65193" w:rsidRPr="004878BB" w:rsidRDefault="00F65193" w:rsidP="00F65193">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44-45</w:t>
      </w:r>
    </w:p>
  </w:footnote>
  <w:footnote w:id="3">
    <w:p w:rsidR="00F65193" w:rsidRPr="00DE153E" w:rsidRDefault="00F65193" w:rsidP="00F65193">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F65193" w:rsidRPr="0068373C" w:rsidRDefault="00F65193" w:rsidP="00F65193">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F65193" w:rsidRPr="00AB30A7" w:rsidRDefault="00F65193" w:rsidP="00F65193">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F65193" w:rsidRPr="00435674" w:rsidRDefault="00F65193" w:rsidP="00F65193">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F65193" w:rsidRPr="00FA0789" w:rsidRDefault="00F65193" w:rsidP="00F65193">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41</w:t>
      </w:r>
    </w:p>
  </w:footnote>
  <w:footnote w:id="8">
    <w:p w:rsidR="00F65193" w:rsidRPr="0068373C" w:rsidRDefault="00F65193" w:rsidP="00F65193">
      <w:pPr>
        <w:pStyle w:val="Textonotapie"/>
        <w:rPr>
          <w:rFonts w:ascii="Bookman Old Style" w:hAnsi="Bookman Old Style"/>
          <w:i/>
          <w:sz w:val="16"/>
          <w:szCs w:val="16"/>
          <w:lang w:val="es-CO"/>
        </w:rPr>
      </w:pPr>
      <w:r>
        <w:rPr>
          <w:rStyle w:val="Refdenotaalpie"/>
        </w:rPr>
        <w:footnoteRef/>
      </w:r>
      <w:r w:rsidRPr="0068373C">
        <w:rPr>
          <w:lang w:val="es-CO"/>
        </w:rPr>
        <w:t xml:space="preserve"> </w:t>
      </w:r>
      <w:r>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26135004"/>
      <w:docPartObj>
        <w:docPartGallery w:val="Page Numbers (Top of Page)"/>
        <w:docPartUnique/>
      </w:docPartObj>
    </w:sdtPr>
    <w:sdtEndPr>
      <w:rPr>
        <w:rFonts w:ascii="Times New Roman" w:hAnsi="Times New Roman" w:cs="Times New Roman"/>
      </w:rPr>
    </w:sdtEndPr>
    <w:sdtContent>
      <w:p w:rsidR="004878BB" w:rsidRPr="00BF69BE" w:rsidRDefault="009653D8" w:rsidP="004878BB">
        <w:pPr>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Nulidad y Restablecimiento del Derecho</w:t>
        </w:r>
      </w:p>
      <w:p w:rsidR="004878BB" w:rsidRPr="00BF69BE" w:rsidRDefault="00200BA3" w:rsidP="00D1359C">
        <w:pPr>
          <w:ind w:left="143" w:firstLine="708"/>
          <w:jc w:val="right"/>
          <w:rPr>
            <w:rFonts w:asciiTheme="minorHAnsi" w:hAnsiTheme="minorHAnsi" w:cstheme="minorHAnsi"/>
            <w:sz w:val="16"/>
            <w:szCs w:val="16"/>
          </w:rPr>
        </w:pPr>
        <w:r w:rsidRPr="00200BA3">
          <w:rPr>
            <w:rFonts w:asciiTheme="minorHAnsi" w:hAnsiTheme="minorHAnsi" w:cs="Comic Sans MS"/>
            <w:bCs/>
            <w:sz w:val="16"/>
            <w:szCs w:val="16"/>
          </w:rPr>
          <w:t xml:space="preserve">María Yolanda Pérez </w:t>
        </w:r>
        <w:proofErr w:type="spellStart"/>
        <w:r w:rsidRPr="00200BA3">
          <w:rPr>
            <w:rFonts w:asciiTheme="minorHAnsi" w:hAnsiTheme="minorHAnsi" w:cs="Comic Sans MS"/>
            <w:bCs/>
            <w:sz w:val="16"/>
            <w:szCs w:val="16"/>
          </w:rPr>
          <w:t>Villamil</w:t>
        </w:r>
        <w:proofErr w:type="spellEnd"/>
        <w:r w:rsidRPr="00200BA3">
          <w:rPr>
            <w:rFonts w:asciiTheme="minorHAnsi" w:hAnsiTheme="minorHAnsi" w:cstheme="minorHAnsi"/>
            <w:bCs/>
            <w:sz w:val="16"/>
            <w:szCs w:val="16"/>
          </w:rPr>
          <w:t xml:space="preserve"> </w:t>
        </w:r>
        <w:r w:rsidR="009653D8" w:rsidRPr="00BF69BE">
          <w:rPr>
            <w:rFonts w:asciiTheme="minorHAnsi" w:hAnsiTheme="minorHAnsi" w:cstheme="minorHAnsi"/>
            <w:bCs/>
            <w:sz w:val="16"/>
            <w:szCs w:val="16"/>
          </w:rPr>
          <w:t xml:space="preserve">Vs. </w:t>
        </w:r>
        <w:r w:rsidR="009653D8" w:rsidRPr="00BF69BE">
          <w:rPr>
            <w:rFonts w:asciiTheme="minorHAnsi" w:hAnsiTheme="minorHAnsi" w:cstheme="minorHAnsi"/>
            <w:sz w:val="16"/>
            <w:szCs w:val="16"/>
          </w:rPr>
          <w:t xml:space="preserve">Departamento del Guaviare – Secretaría de Salud </w:t>
        </w:r>
      </w:p>
      <w:p w:rsidR="004878BB" w:rsidRPr="00BF69BE" w:rsidRDefault="009653D8" w:rsidP="004878BB">
        <w:pPr>
          <w:widowControl w:val="0"/>
          <w:ind w:left="851" w:firstLine="709"/>
          <w:jc w:val="right"/>
          <w:rPr>
            <w:rFonts w:asciiTheme="minorHAnsi" w:hAnsiTheme="minorHAnsi" w:cstheme="minorHAnsi"/>
            <w:sz w:val="16"/>
            <w:szCs w:val="16"/>
          </w:rPr>
        </w:pPr>
        <w:r w:rsidRPr="00BF69BE">
          <w:rPr>
            <w:rFonts w:asciiTheme="minorHAnsi" w:hAnsiTheme="minorHAnsi" w:cstheme="minorHAnsi"/>
            <w:sz w:val="16"/>
            <w:szCs w:val="16"/>
          </w:rPr>
          <w:t>Expediente: 50001-33-33-003-2013-000</w:t>
        </w:r>
        <w:r w:rsidR="00200BA3">
          <w:rPr>
            <w:rFonts w:asciiTheme="minorHAnsi" w:hAnsiTheme="minorHAnsi" w:cstheme="minorHAnsi"/>
            <w:sz w:val="16"/>
            <w:szCs w:val="16"/>
          </w:rPr>
          <w:t>70</w:t>
        </w:r>
        <w:r w:rsidRPr="00BF69BE">
          <w:rPr>
            <w:rFonts w:asciiTheme="minorHAnsi" w:hAnsiTheme="minorHAnsi" w:cstheme="minorHAnsi"/>
            <w:sz w:val="16"/>
            <w:szCs w:val="16"/>
          </w:rPr>
          <w:t xml:space="preserve">-01 </w:t>
        </w:r>
      </w:p>
      <w:p w:rsidR="004878BB" w:rsidRPr="00BF69BE" w:rsidRDefault="009653D8" w:rsidP="004878BB">
        <w:pPr>
          <w:widowControl w:val="0"/>
          <w:ind w:left="851" w:firstLine="709"/>
          <w:jc w:val="right"/>
          <w:rPr>
            <w:rFonts w:asciiTheme="minorHAnsi" w:hAnsiTheme="minorHAnsi" w:cstheme="minorHAnsi"/>
            <w:iCs/>
            <w:sz w:val="16"/>
            <w:szCs w:val="16"/>
          </w:rPr>
        </w:pPr>
        <w:r w:rsidRPr="00BF69BE">
          <w:rPr>
            <w:rFonts w:asciiTheme="minorHAnsi" w:hAnsiTheme="minorHAnsi" w:cstheme="minorHAnsi"/>
            <w:sz w:val="16"/>
            <w:szCs w:val="16"/>
          </w:rPr>
          <w:t>M.G.V</w:t>
        </w:r>
      </w:p>
      <w:p w:rsidR="004878BB" w:rsidRPr="00BF69BE" w:rsidRDefault="00BD3814" w:rsidP="004878BB">
        <w:pPr>
          <w:spacing w:line="360" w:lineRule="auto"/>
          <w:jc w:val="right"/>
          <w:rPr>
            <w:rFonts w:asciiTheme="minorHAnsi" w:hAnsiTheme="minorHAnsi" w:cstheme="minorHAnsi"/>
            <w:i/>
            <w:sz w:val="16"/>
            <w:szCs w:val="16"/>
          </w:rPr>
        </w:pPr>
      </w:p>
      <w:p w:rsidR="004878BB" w:rsidRDefault="002E6D5C">
        <w:pPr>
          <w:pStyle w:val="Encabezado"/>
          <w:jc w:val="right"/>
        </w:pPr>
        <w:r>
          <w:fldChar w:fldCharType="begin"/>
        </w:r>
        <w:r w:rsidR="009653D8">
          <w:instrText xml:space="preserve"> PAGE   \* MERGEFORMAT </w:instrText>
        </w:r>
        <w:r>
          <w:fldChar w:fldCharType="separate"/>
        </w:r>
        <w:r w:rsidR="00972DDA">
          <w:rPr>
            <w:noProof/>
          </w:rPr>
          <w:t>6</w:t>
        </w:r>
        <w:r>
          <w:fldChar w:fldCharType="end"/>
        </w:r>
      </w:p>
    </w:sdtContent>
  </w:sdt>
  <w:p w:rsidR="004878BB" w:rsidRDefault="00BD381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5D0B31A5"/>
    <w:multiLevelType w:val="hybridMultilevel"/>
    <w:tmpl w:val="AB72E986"/>
    <w:lvl w:ilvl="0" w:tplc="D52800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F65193"/>
    <w:rsid w:val="00166734"/>
    <w:rsid w:val="00200BA3"/>
    <w:rsid w:val="002A21FC"/>
    <w:rsid w:val="002E6D5C"/>
    <w:rsid w:val="002F461C"/>
    <w:rsid w:val="003F7878"/>
    <w:rsid w:val="00501B30"/>
    <w:rsid w:val="00652060"/>
    <w:rsid w:val="007E3AE5"/>
    <w:rsid w:val="008034ED"/>
    <w:rsid w:val="00853E01"/>
    <w:rsid w:val="009653D8"/>
    <w:rsid w:val="00972DDA"/>
    <w:rsid w:val="00AB3C0A"/>
    <w:rsid w:val="00AC7B0C"/>
    <w:rsid w:val="00BD3814"/>
    <w:rsid w:val="00C51012"/>
    <w:rsid w:val="00D46003"/>
    <w:rsid w:val="00D54F95"/>
    <w:rsid w:val="00E158A6"/>
    <w:rsid w:val="00EC7B53"/>
    <w:rsid w:val="00F07258"/>
    <w:rsid w:val="00F651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F65193"/>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F65193"/>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5193"/>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F65193"/>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F65193"/>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F65193"/>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F65193"/>
    <w:rPr>
      <w:vertAlign w:val="superscript"/>
    </w:rPr>
  </w:style>
  <w:style w:type="paragraph" w:styleId="NormalWeb">
    <w:name w:val="Normal (Web)"/>
    <w:basedOn w:val="Normal"/>
    <w:uiPriority w:val="99"/>
    <w:unhideWhenUsed/>
    <w:rsid w:val="00F65193"/>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F65193"/>
    <w:pPr>
      <w:jc w:val="center"/>
    </w:pPr>
    <w:rPr>
      <w:rFonts w:ascii="Arial" w:hAnsi="Arial"/>
      <w:b/>
      <w:bCs/>
      <w:i/>
      <w:sz w:val="24"/>
    </w:rPr>
  </w:style>
  <w:style w:type="character" w:customStyle="1" w:styleId="TtuloCar">
    <w:name w:val="Título Car"/>
    <w:basedOn w:val="Fuentedeprrafopredeter"/>
    <w:link w:val="Ttulo"/>
    <w:rsid w:val="00F65193"/>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F65193"/>
    <w:pPr>
      <w:tabs>
        <w:tab w:val="center" w:pos="4419"/>
        <w:tab w:val="right" w:pos="8838"/>
      </w:tabs>
    </w:pPr>
  </w:style>
  <w:style w:type="character" w:customStyle="1" w:styleId="EncabezadoCar">
    <w:name w:val="Encabezado Car"/>
    <w:basedOn w:val="Fuentedeprrafopredeter"/>
    <w:link w:val="Encabezado"/>
    <w:rsid w:val="00F65193"/>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65193"/>
    <w:pPr>
      <w:ind w:left="720"/>
      <w:contextualSpacing/>
    </w:pPr>
  </w:style>
  <w:style w:type="paragraph" w:styleId="Sangra2detindependiente">
    <w:name w:val="Body Text Indent 2"/>
    <w:basedOn w:val="Normal"/>
    <w:link w:val="Sangra2detindependienteCar"/>
    <w:uiPriority w:val="99"/>
    <w:semiHidden/>
    <w:unhideWhenUsed/>
    <w:rsid w:val="00F651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65193"/>
    <w:rPr>
      <w:rFonts w:ascii="Times New Roman" w:eastAsia="Times New Roman" w:hAnsi="Times New Roman" w:cs="Times New Roman"/>
      <w:sz w:val="20"/>
      <w:szCs w:val="20"/>
      <w:lang w:val="es-ES_tradnl" w:eastAsia="es-ES"/>
    </w:rPr>
  </w:style>
  <w:style w:type="paragraph" w:customStyle="1" w:styleId="Default">
    <w:name w:val="Default"/>
    <w:rsid w:val="00F65193"/>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F65193"/>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F65193"/>
  </w:style>
  <w:style w:type="paragraph" w:styleId="Piedepgina">
    <w:name w:val="footer"/>
    <w:basedOn w:val="Normal"/>
    <w:link w:val="PiedepginaCar"/>
    <w:uiPriority w:val="99"/>
    <w:semiHidden/>
    <w:unhideWhenUsed/>
    <w:rsid w:val="00F65193"/>
    <w:pPr>
      <w:tabs>
        <w:tab w:val="center" w:pos="4419"/>
        <w:tab w:val="right" w:pos="8838"/>
      </w:tabs>
    </w:pPr>
  </w:style>
  <w:style w:type="character" w:customStyle="1" w:styleId="PiedepginaCar">
    <w:name w:val="Pie de página Car"/>
    <w:basedOn w:val="Fuentedeprrafopredeter"/>
    <w:link w:val="Piedepgina"/>
    <w:uiPriority w:val="99"/>
    <w:semiHidden/>
    <w:rsid w:val="00F65193"/>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2030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5ABBA-45B5-40C2-9FE2-C487ACFE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1712</Words>
  <Characters>9418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10</cp:revision>
  <cp:lastPrinted>2014-09-16T17:05:00Z</cp:lastPrinted>
  <dcterms:created xsi:type="dcterms:W3CDTF">2014-09-09T16:21:00Z</dcterms:created>
  <dcterms:modified xsi:type="dcterms:W3CDTF">2014-09-16T18:41:00Z</dcterms:modified>
</cp:coreProperties>
</file>