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0E" w:rsidRPr="00961AFD" w:rsidRDefault="00475D0E" w:rsidP="00475D0E">
      <w:pPr>
        <w:pStyle w:val="Ttulo"/>
        <w:spacing w:line="360" w:lineRule="auto"/>
        <w:rPr>
          <w:rFonts w:ascii="Bookman Old Style" w:hAnsi="Bookman Old Style"/>
          <w:b w:val="0"/>
          <w:szCs w:val="24"/>
        </w:rPr>
      </w:pPr>
      <w:r w:rsidRPr="00961AFD">
        <w:rPr>
          <w:rFonts w:ascii="Bookman Old Style" w:hAnsi="Bookman Old Style"/>
          <w:b w:val="0"/>
          <w:szCs w:val="24"/>
        </w:rPr>
        <w:t>REPÚBLICA DE COLOMBIA</w:t>
      </w:r>
    </w:p>
    <w:p w:rsidR="00475D0E" w:rsidRPr="00961AFD" w:rsidRDefault="00475D0E" w:rsidP="00475D0E">
      <w:pPr>
        <w:tabs>
          <w:tab w:val="left" w:pos="2410"/>
        </w:tabs>
        <w:spacing w:line="360" w:lineRule="auto"/>
        <w:ind w:firstLine="1134"/>
        <w:jc w:val="both"/>
        <w:rPr>
          <w:rFonts w:ascii="Bookman Old Style" w:hAnsi="Bookman Old Style"/>
          <w:i/>
          <w:sz w:val="24"/>
          <w:szCs w:val="24"/>
        </w:rPr>
      </w:pPr>
      <w:r w:rsidRPr="00961AFD">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475D0E" w:rsidRPr="00961AFD" w:rsidRDefault="00475D0E" w:rsidP="00E0133C">
      <w:pPr>
        <w:tabs>
          <w:tab w:val="left" w:pos="2410"/>
        </w:tabs>
        <w:spacing w:line="360" w:lineRule="auto"/>
        <w:ind w:firstLine="1134"/>
        <w:jc w:val="right"/>
        <w:rPr>
          <w:rFonts w:ascii="Bookman Old Style" w:hAnsi="Bookman Old Style"/>
          <w:i/>
          <w:sz w:val="24"/>
          <w:szCs w:val="24"/>
        </w:rPr>
      </w:pPr>
    </w:p>
    <w:p w:rsidR="00475D0E" w:rsidRPr="00961AFD" w:rsidRDefault="00475D0E" w:rsidP="00475D0E">
      <w:pPr>
        <w:tabs>
          <w:tab w:val="left" w:pos="2410"/>
        </w:tabs>
        <w:spacing w:line="360" w:lineRule="auto"/>
        <w:ind w:firstLine="1134"/>
        <w:jc w:val="both"/>
        <w:rPr>
          <w:rFonts w:ascii="Bookman Old Style" w:hAnsi="Bookman Old Style"/>
          <w:i/>
          <w:sz w:val="24"/>
          <w:szCs w:val="24"/>
        </w:rPr>
      </w:pPr>
    </w:p>
    <w:p w:rsidR="00475D0E" w:rsidRPr="00961AFD" w:rsidRDefault="00475D0E" w:rsidP="00475D0E">
      <w:pPr>
        <w:tabs>
          <w:tab w:val="left" w:pos="2410"/>
        </w:tabs>
        <w:spacing w:line="360" w:lineRule="auto"/>
        <w:ind w:firstLine="1134"/>
        <w:jc w:val="both"/>
        <w:rPr>
          <w:rFonts w:ascii="Bookman Old Style" w:hAnsi="Bookman Old Style"/>
          <w:i/>
          <w:sz w:val="24"/>
          <w:szCs w:val="24"/>
        </w:rPr>
      </w:pPr>
    </w:p>
    <w:p w:rsidR="00475D0E" w:rsidRPr="00961AFD" w:rsidRDefault="00475D0E" w:rsidP="00475D0E">
      <w:pPr>
        <w:pStyle w:val="Ttulo4"/>
        <w:spacing w:line="360" w:lineRule="auto"/>
        <w:jc w:val="center"/>
        <w:rPr>
          <w:rFonts w:ascii="Bookman Old Style" w:hAnsi="Bookman Old Style"/>
          <w:b w:val="0"/>
          <w:sz w:val="24"/>
          <w:szCs w:val="24"/>
        </w:rPr>
      </w:pPr>
      <w:r w:rsidRPr="00961AFD">
        <w:rPr>
          <w:rFonts w:ascii="Bookman Old Style" w:hAnsi="Bookman Old Style"/>
          <w:b w:val="0"/>
          <w:sz w:val="24"/>
          <w:szCs w:val="24"/>
        </w:rPr>
        <w:t>TRIBUNAL  ADMINISTRATIVO DEL META</w:t>
      </w:r>
    </w:p>
    <w:p w:rsidR="00475D0E" w:rsidRPr="00961AFD" w:rsidRDefault="00475D0E" w:rsidP="00475D0E">
      <w:pPr>
        <w:pStyle w:val="Ttulo1"/>
        <w:spacing w:line="360" w:lineRule="auto"/>
        <w:ind w:firstLine="1134"/>
        <w:jc w:val="both"/>
        <w:rPr>
          <w:rFonts w:ascii="Bookman Old Style" w:hAnsi="Bookman Old Style"/>
          <w:i/>
          <w:sz w:val="24"/>
          <w:szCs w:val="24"/>
        </w:rPr>
      </w:pPr>
    </w:p>
    <w:p w:rsidR="00475D0E" w:rsidRPr="00961AFD" w:rsidRDefault="00475D0E" w:rsidP="00475D0E">
      <w:pPr>
        <w:spacing w:line="360" w:lineRule="auto"/>
        <w:jc w:val="center"/>
        <w:rPr>
          <w:rFonts w:ascii="Bookman Old Style" w:hAnsi="Bookman Old Style"/>
          <w:i/>
          <w:sz w:val="24"/>
          <w:szCs w:val="24"/>
        </w:rPr>
      </w:pPr>
      <w:r w:rsidRPr="00961AFD">
        <w:rPr>
          <w:rFonts w:ascii="Bookman Old Style" w:hAnsi="Bookman Old Style"/>
          <w:i/>
          <w:sz w:val="24"/>
          <w:szCs w:val="24"/>
        </w:rPr>
        <w:t xml:space="preserve">Auto de Interlocutorio No. </w:t>
      </w:r>
      <w:r>
        <w:rPr>
          <w:rFonts w:ascii="Bookman Old Style" w:hAnsi="Bookman Old Style"/>
          <w:i/>
          <w:sz w:val="24"/>
          <w:szCs w:val="24"/>
        </w:rPr>
        <w:t>00</w:t>
      </w:r>
      <w:r w:rsidR="00142CC2">
        <w:rPr>
          <w:rFonts w:ascii="Bookman Old Style" w:hAnsi="Bookman Old Style"/>
          <w:i/>
          <w:sz w:val="24"/>
          <w:szCs w:val="24"/>
        </w:rPr>
        <w:t>22</w:t>
      </w:r>
    </w:p>
    <w:p w:rsidR="00475D0E" w:rsidRPr="00961AFD" w:rsidRDefault="00475D0E" w:rsidP="00475D0E">
      <w:pPr>
        <w:spacing w:line="360" w:lineRule="auto"/>
        <w:ind w:firstLine="1134"/>
        <w:rPr>
          <w:rFonts w:ascii="Bookman Old Style" w:hAnsi="Bookman Old Style"/>
          <w:i/>
          <w:sz w:val="24"/>
          <w:szCs w:val="24"/>
        </w:rPr>
      </w:pPr>
    </w:p>
    <w:p w:rsidR="001C4602" w:rsidRDefault="00475D0E" w:rsidP="00475D0E">
      <w:pPr>
        <w:spacing w:line="360" w:lineRule="auto"/>
        <w:ind w:firstLine="1134"/>
        <w:jc w:val="both"/>
        <w:rPr>
          <w:rFonts w:ascii="Bookman Old Style" w:hAnsi="Bookman Old Style"/>
          <w:i/>
          <w:sz w:val="24"/>
          <w:szCs w:val="24"/>
        </w:rPr>
      </w:pPr>
      <w:r>
        <w:rPr>
          <w:rFonts w:ascii="Bookman Old Style" w:hAnsi="Bookman Old Style"/>
          <w:i/>
          <w:sz w:val="24"/>
          <w:szCs w:val="24"/>
        </w:rPr>
        <w:t xml:space="preserve">Villavicencio,   </w:t>
      </w:r>
      <w:r w:rsidR="001C4602">
        <w:rPr>
          <w:rFonts w:ascii="Bookman Old Style" w:hAnsi="Bookman Old Style"/>
          <w:i/>
          <w:sz w:val="24"/>
          <w:szCs w:val="24"/>
        </w:rPr>
        <w:t>treinta y uno (31) de julio de dos mil catorce (2014)</w:t>
      </w:r>
    </w:p>
    <w:p w:rsidR="00475D0E" w:rsidRPr="00961AFD" w:rsidRDefault="001C4602" w:rsidP="00475D0E">
      <w:pPr>
        <w:spacing w:line="360" w:lineRule="auto"/>
        <w:ind w:firstLine="1134"/>
        <w:jc w:val="both"/>
        <w:rPr>
          <w:rFonts w:ascii="Bookman Old Style" w:hAnsi="Bookman Old Style"/>
          <w:i/>
          <w:sz w:val="24"/>
          <w:szCs w:val="24"/>
        </w:rPr>
      </w:pPr>
      <w:r w:rsidRPr="00961AFD">
        <w:rPr>
          <w:rFonts w:ascii="Bookman Old Style" w:hAnsi="Bookman Old Style"/>
          <w:i/>
          <w:sz w:val="24"/>
          <w:szCs w:val="24"/>
        </w:rPr>
        <w:t xml:space="preserve"> </w:t>
      </w:r>
    </w:p>
    <w:p w:rsidR="00475D0E" w:rsidRPr="00185AAB" w:rsidRDefault="00475D0E" w:rsidP="00142CC2">
      <w:pPr>
        <w:ind w:left="1416"/>
        <w:jc w:val="both"/>
        <w:rPr>
          <w:rFonts w:ascii="Bookman Old Style" w:hAnsi="Bookman Old Style" w:cs="Comic Sans MS"/>
          <w:i/>
          <w:sz w:val="22"/>
          <w:szCs w:val="22"/>
        </w:rPr>
      </w:pPr>
      <w:r w:rsidRPr="00185AAB">
        <w:rPr>
          <w:rFonts w:ascii="Bookman Old Style" w:hAnsi="Bookman Old Style" w:cs="Comic Sans MS"/>
          <w:i/>
          <w:sz w:val="22"/>
          <w:szCs w:val="22"/>
        </w:rPr>
        <w:t xml:space="preserve">MEDIO DE CONTROL: </w:t>
      </w:r>
      <w:r w:rsidRPr="00185AAB">
        <w:rPr>
          <w:rFonts w:ascii="Bookman Old Style" w:hAnsi="Bookman Old Style" w:cs="Comic Sans MS"/>
          <w:i/>
          <w:sz w:val="22"/>
          <w:szCs w:val="22"/>
        </w:rPr>
        <w:tab/>
      </w:r>
      <w:r w:rsidR="00142CC2">
        <w:rPr>
          <w:rFonts w:ascii="Bookman Old Style" w:hAnsi="Bookman Old Style" w:cs="Comic Sans MS"/>
          <w:i/>
          <w:sz w:val="22"/>
          <w:szCs w:val="22"/>
        </w:rPr>
        <w:t xml:space="preserve">REPARACIÓN DIRECTA </w:t>
      </w:r>
    </w:p>
    <w:p w:rsidR="00475D0E" w:rsidRPr="00185AAB" w:rsidRDefault="00475D0E" w:rsidP="00475D0E">
      <w:pPr>
        <w:ind w:left="708" w:firstLine="708"/>
        <w:jc w:val="both"/>
        <w:rPr>
          <w:rFonts w:ascii="Bookman Old Style" w:hAnsi="Bookman Old Style" w:cs="Comic Sans MS"/>
          <w:bCs/>
          <w:i/>
          <w:sz w:val="22"/>
          <w:szCs w:val="22"/>
        </w:rPr>
      </w:pPr>
      <w:r w:rsidRPr="00185AAB">
        <w:rPr>
          <w:rFonts w:ascii="Bookman Old Style" w:hAnsi="Bookman Old Style" w:cs="Comic Sans MS"/>
          <w:bCs/>
          <w:i/>
          <w:sz w:val="22"/>
          <w:szCs w:val="22"/>
        </w:rPr>
        <w:t>DEMANDANTE:</w:t>
      </w:r>
      <w:r w:rsidRPr="00185AAB">
        <w:rPr>
          <w:rFonts w:ascii="Bookman Old Style" w:hAnsi="Bookman Old Style" w:cs="Comic Sans MS"/>
          <w:bCs/>
          <w:i/>
          <w:sz w:val="22"/>
          <w:szCs w:val="22"/>
        </w:rPr>
        <w:tab/>
      </w:r>
      <w:r w:rsidR="00142CC2">
        <w:rPr>
          <w:rFonts w:ascii="Bookman Old Style" w:hAnsi="Bookman Old Style" w:cs="Comic Sans MS"/>
          <w:bCs/>
          <w:i/>
          <w:sz w:val="22"/>
          <w:szCs w:val="22"/>
        </w:rPr>
        <w:tab/>
        <w:t xml:space="preserve">PROMOTORA DEL LLANO S.A. </w:t>
      </w:r>
    </w:p>
    <w:p w:rsidR="00475D0E" w:rsidRPr="00185AAB" w:rsidRDefault="00475D0E" w:rsidP="00475D0E">
      <w:pPr>
        <w:ind w:left="708" w:right="-487" w:firstLine="708"/>
        <w:jc w:val="both"/>
        <w:rPr>
          <w:rFonts w:ascii="Bookman Old Style" w:hAnsi="Bookman Old Style"/>
          <w:i/>
          <w:sz w:val="22"/>
          <w:szCs w:val="22"/>
        </w:rPr>
      </w:pPr>
      <w:r w:rsidRPr="00185AAB">
        <w:rPr>
          <w:rFonts w:ascii="Bookman Old Style" w:hAnsi="Bookman Old Style"/>
          <w:i/>
          <w:sz w:val="22"/>
          <w:szCs w:val="22"/>
        </w:rPr>
        <w:t xml:space="preserve">DEMANDADO:   </w:t>
      </w:r>
      <w:r w:rsidRPr="00185AAB">
        <w:rPr>
          <w:rFonts w:ascii="Bookman Old Style" w:hAnsi="Bookman Old Style"/>
          <w:i/>
          <w:sz w:val="22"/>
          <w:szCs w:val="22"/>
        </w:rPr>
        <w:tab/>
      </w:r>
      <w:r w:rsidR="00142CC2">
        <w:rPr>
          <w:rFonts w:ascii="Bookman Old Style" w:hAnsi="Bookman Old Style"/>
          <w:i/>
          <w:sz w:val="22"/>
          <w:szCs w:val="22"/>
        </w:rPr>
        <w:tab/>
        <w:t xml:space="preserve">MUNICIPIO DE VILLAVICENCIO </w:t>
      </w:r>
    </w:p>
    <w:p w:rsidR="00475D0E" w:rsidRDefault="00475D0E" w:rsidP="00475D0E">
      <w:pPr>
        <w:widowControl w:val="0"/>
        <w:ind w:left="708" w:firstLine="708"/>
        <w:jc w:val="both"/>
        <w:rPr>
          <w:rFonts w:ascii="Bookman Old Style" w:hAnsi="Bookman Old Style" w:cs="Comic Sans MS"/>
          <w:i/>
          <w:sz w:val="22"/>
          <w:szCs w:val="22"/>
        </w:rPr>
      </w:pPr>
      <w:r w:rsidRPr="00185AAB">
        <w:rPr>
          <w:rFonts w:ascii="Bookman Old Style" w:hAnsi="Bookman Old Style" w:cs="Comic Sans MS"/>
          <w:i/>
          <w:sz w:val="22"/>
          <w:szCs w:val="22"/>
        </w:rPr>
        <w:t xml:space="preserve">EXPEDIENTE:   </w:t>
      </w:r>
      <w:r w:rsidRPr="00185AAB">
        <w:rPr>
          <w:rFonts w:ascii="Bookman Old Style" w:hAnsi="Bookman Old Style" w:cs="Comic Sans MS"/>
          <w:i/>
          <w:sz w:val="22"/>
          <w:szCs w:val="22"/>
        </w:rPr>
        <w:tab/>
      </w:r>
      <w:r w:rsidRPr="00185AAB">
        <w:rPr>
          <w:rFonts w:ascii="Bookman Old Style" w:hAnsi="Bookman Old Style" w:cs="Comic Sans MS"/>
          <w:i/>
          <w:sz w:val="22"/>
          <w:szCs w:val="22"/>
        </w:rPr>
        <w:tab/>
        <w:t>50001-33-33-00</w:t>
      </w:r>
      <w:r w:rsidR="00142CC2">
        <w:rPr>
          <w:rFonts w:ascii="Bookman Old Style" w:hAnsi="Bookman Old Style" w:cs="Comic Sans MS"/>
          <w:i/>
          <w:sz w:val="22"/>
          <w:szCs w:val="22"/>
        </w:rPr>
        <w:t>6</w:t>
      </w:r>
      <w:r w:rsidRPr="00185AAB">
        <w:rPr>
          <w:rFonts w:ascii="Bookman Old Style" w:hAnsi="Bookman Old Style" w:cs="Comic Sans MS"/>
          <w:i/>
          <w:sz w:val="22"/>
          <w:szCs w:val="22"/>
        </w:rPr>
        <w:t>-201</w:t>
      </w:r>
      <w:r w:rsidR="00142CC2">
        <w:rPr>
          <w:rFonts w:ascii="Bookman Old Style" w:hAnsi="Bookman Old Style" w:cs="Comic Sans MS"/>
          <w:i/>
          <w:sz w:val="22"/>
          <w:szCs w:val="22"/>
        </w:rPr>
        <w:t>2</w:t>
      </w:r>
      <w:r w:rsidRPr="00185AAB">
        <w:rPr>
          <w:rFonts w:ascii="Bookman Old Style" w:hAnsi="Bookman Old Style" w:cs="Comic Sans MS"/>
          <w:i/>
          <w:sz w:val="22"/>
          <w:szCs w:val="22"/>
        </w:rPr>
        <w:t>-00</w:t>
      </w:r>
      <w:r w:rsidR="00142CC2">
        <w:rPr>
          <w:rFonts w:ascii="Bookman Old Style" w:hAnsi="Bookman Old Style" w:cs="Comic Sans MS"/>
          <w:i/>
          <w:sz w:val="22"/>
          <w:szCs w:val="22"/>
        </w:rPr>
        <w:t>218-</w:t>
      </w:r>
      <w:r w:rsidRPr="00185AAB">
        <w:rPr>
          <w:rFonts w:ascii="Bookman Old Style" w:hAnsi="Bookman Old Style" w:cs="Comic Sans MS"/>
          <w:i/>
          <w:sz w:val="22"/>
          <w:szCs w:val="22"/>
        </w:rPr>
        <w:t>01</w:t>
      </w:r>
    </w:p>
    <w:p w:rsidR="00142CC2" w:rsidRPr="00185AAB" w:rsidRDefault="00142CC2" w:rsidP="00475D0E">
      <w:pPr>
        <w:widowControl w:val="0"/>
        <w:ind w:left="708" w:firstLine="708"/>
        <w:jc w:val="both"/>
        <w:rPr>
          <w:rFonts w:ascii="Bookman Old Style" w:hAnsi="Bookman Old Style" w:cs="Comic Sans MS"/>
          <w:i/>
          <w:sz w:val="22"/>
          <w:szCs w:val="22"/>
        </w:rPr>
      </w:pPr>
      <w:r>
        <w:rPr>
          <w:rFonts w:ascii="Bookman Old Style" w:hAnsi="Bookman Old Style" w:cs="Comic Sans MS"/>
          <w:i/>
          <w:sz w:val="22"/>
          <w:szCs w:val="22"/>
        </w:rPr>
        <w:t>TEMA:</w:t>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 xml:space="preserve">CADUCIDAD </w:t>
      </w:r>
    </w:p>
    <w:p w:rsidR="00475D0E" w:rsidRPr="00185AAB" w:rsidRDefault="00475D0E" w:rsidP="00475D0E">
      <w:pPr>
        <w:widowControl w:val="0"/>
        <w:ind w:left="851" w:firstLine="1134"/>
        <w:jc w:val="both"/>
        <w:rPr>
          <w:rFonts w:ascii="Bookman Old Style" w:hAnsi="Bookman Old Style" w:cs="Comic Sans MS"/>
          <w:i/>
          <w:sz w:val="22"/>
          <w:szCs w:val="22"/>
        </w:rPr>
      </w:pPr>
    </w:p>
    <w:p w:rsidR="00475D0E" w:rsidRPr="00185AAB" w:rsidRDefault="00475D0E" w:rsidP="00475D0E">
      <w:pPr>
        <w:widowControl w:val="0"/>
        <w:ind w:left="851" w:firstLine="1134"/>
        <w:jc w:val="both"/>
        <w:rPr>
          <w:rFonts w:ascii="Bookman Old Style" w:hAnsi="Bookman Old Style" w:cs="Comic Sans MS"/>
          <w:i/>
          <w:sz w:val="22"/>
          <w:szCs w:val="22"/>
        </w:rPr>
      </w:pPr>
    </w:p>
    <w:p w:rsidR="00475D0E" w:rsidRPr="00185AAB" w:rsidRDefault="00475D0E" w:rsidP="00475D0E">
      <w:pPr>
        <w:widowControl w:val="0"/>
        <w:ind w:firstLine="1134"/>
        <w:jc w:val="both"/>
        <w:rPr>
          <w:rFonts w:ascii="Bookman Old Style" w:hAnsi="Bookman Old Style" w:cs="Comic Sans MS"/>
          <w:i/>
          <w:iCs/>
          <w:sz w:val="22"/>
          <w:szCs w:val="22"/>
        </w:rPr>
      </w:pPr>
      <w:r w:rsidRPr="00185AAB">
        <w:rPr>
          <w:rFonts w:ascii="Bookman Old Style" w:hAnsi="Bookman Old Style"/>
          <w:i/>
          <w:sz w:val="22"/>
          <w:szCs w:val="22"/>
        </w:rPr>
        <w:t xml:space="preserve">MAGISTRADO PONENTE:    </w:t>
      </w:r>
      <w:r w:rsidRPr="00185AAB">
        <w:rPr>
          <w:rFonts w:ascii="Bookman Old Style" w:hAnsi="Bookman Old Style" w:cs="Comic Sans MS"/>
          <w:i/>
          <w:iCs/>
          <w:sz w:val="22"/>
          <w:szCs w:val="22"/>
        </w:rPr>
        <w:t>MOISÉS RODRIGO MAZABEL PINZÓN</w:t>
      </w:r>
    </w:p>
    <w:p w:rsidR="00475D0E" w:rsidRPr="00185AAB" w:rsidRDefault="00475D0E" w:rsidP="00475D0E">
      <w:pPr>
        <w:widowControl w:val="0"/>
        <w:spacing w:line="360" w:lineRule="auto"/>
        <w:ind w:left="851" w:firstLine="1134"/>
        <w:jc w:val="both"/>
        <w:rPr>
          <w:rFonts w:ascii="Bookman Old Style" w:hAnsi="Bookman Old Style" w:cs="Comic Sans MS"/>
          <w:i/>
          <w:iCs/>
          <w:sz w:val="22"/>
          <w:szCs w:val="22"/>
        </w:rPr>
      </w:pPr>
    </w:p>
    <w:p w:rsidR="00F52EFF" w:rsidRPr="004F2CEE" w:rsidRDefault="00F52EFF" w:rsidP="00F52EFF">
      <w:pPr>
        <w:jc w:val="both"/>
        <w:rPr>
          <w:rFonts w:ascii="Bookman Old Style" w:hAnsi="Bookman Old Style" w:cs="Arial"/>
          <w:b/>
          <w:i/>
          <w:sz w:val="24"/>
          <w:szCs w:val="24"/>
        </w:rPr>
      </w:pPr>
    </w:p>
    <w:p w:rsidR="00F52EFF" w:rsidRPr="004F2CEE" w:rsidRDefault="00F52EFF" w:rsidP="00F52EFF">
      <w:pPr>
        <w:spacing w:line="360" w:lineRule="auto"/>
        <w:ind w:firstLine="1134"/>
        <w:jc w:val="both"/>
        <w:rPr>
          <w:rFonts w:ascii="Bookman Old Style" w:hAnsi="Bookman Old Style" w:cs="Comic Sans MS"/>
          <w:i/>
          <w:iCs/>
          <w:sz w:val="24"/>
          <w:szCs w:val="24"/>
        </w:rPr>
      </w:pPr>
      <w:r w:rsidRPr="004F2CEE">
        <w:rPr>
          <w:rFonts w:ascii="Bookman Old Style" w:hAnsi="Bookman Old Style" w:cs="Comic Sans MS"/>
          <w:i/>
          <w:iCs/>
          <w:sz w:val="24"/>
          <w:szCs w:val="24"/>
        </w:rPr>
        <w:t xml:space="preserve">Procede la Sala a resolver el recurso de Apelación presentado por la parte demandante, contra el auto del </w:t>
      </w:r>
      <w:r>
        <w:rPr>
          <w:rFonts w:ascii="Bookman Old Style" w:hAnsi="Bookman Old Style" w:cs="Comic Sans MS"/>
          <w:i/>
          <w:iCs/>
          <w:sz w:val="24"/>
          <w:szCs w:val="24"/>
        </w:rPr>
        <w:t>22</w:t>
      </w:r>
      <w:r w:rsidRPr="004F2CEE">
        <w:rPr>
          <w:rFonts w:ascii="Bookman Old Style" w:hAnsi="Bookman Old Style" w:cs="Comic Sans MS"/>
          <w:i/>
          <w:iCs/>
          <w:sz w:val="24"/>
          <w:szCs w:val="24"/>
        </w:rPr>
        <w:t xml:space="preserve"> de </w:t>
      </w:r>
      <w:r>
        <w:rPr>
          <w:rFonts w:ascii="Bookman Old Style" w:hAnsi="Bookman Old Style" w:cs="Comic Sans MS"/>
          <w:i/>
          <w:iCs/>
          <w:sz w:val="24"/>
          <w:szCs w:val="24"/>
        </w:rPr>
        <w:t xml:space="preserve">febrero </w:t>
      </w:r>
      <w:r w:rsidRPr="004F2CEE">
        <w:rPr>
          <w:rFonts w:ascii="Bookman Old Style" w:hAnsi="Bookman Old Style" w:cs="Comic Sans MS"/>
          <w:i/>
          <w:iCs/>
          <w:sz w:val="24"/>
          <w:szCs w:val="24"/>
        </w:rPr>
        <w:t xml:space="preserve">del 2013 proferido por el Juzgado </w:t>
      </w:r>
      <w:r>
        <w:rPr>
          <w:rFonts w:ascii="Bookman Old Style" w:hAnsi="Bookman Old Style" w:cs="Comic Sans MS"/>
          <w:i/>
          <w:iCs/>
          <w:sz w:val="24"/>
          <w:szCs w:val="24"/>
        </w:rPr>
        <w:t xml:space="preserve">Sexto </w:t>
      </w:r>
      <w:r w:rsidRPr="004F2CEE">
        <w:rPr>
          <w:rFonts w:ascii="Bookman Old Style" w:hAnsi="Bookman Old Style" w:cs="Comic Sans MS"/>
          <w:i/>
          <w:iCs/>
          <w:sz w:val="24"/>
          <w:szCs w:val="24"/>
        </w:rPr>
        <w:t xml:space="preserve">Administrativo de Villavicencio, por medio del cual se rechazó la demanda por haber operado el fenómeno de la caducidad. </w:t>
      </w:r>
    </w:p>
    <w:p w:rsidR="00F52EFF" w:rsidRPr="004F2CEE" w:rsidRDefault="00F52EFF" w:rsidP="00F52EFF">
      <w:pPr>
        <w:spacing w:line="360" w:lineRule="auto"/>
        <w:ind w:firstLine="1134"/>
        <w:jc w:val="both"/>
        <w:rPr>
          <w:rFonts w:ascii="Bookman Old Style" w:hAnsi="Bookman Old Style"/>
          <w:i/>
          <w:sz w:val="24"/>
          <w:szCs w:val="24"/>
        </w:rPr>
      </w:pPr>
    </w:p>
    <w:p w:rsidR="00F52EFF" w:rsidRPr="004F2CEE" w:rsidRDefault="00F52EFF" w:rsidP="00F52EFF">
      <w:pPr>
        <w:pStyle w:val="Prrafodelista"/>
        <w:numPr>
          <w:ilvl w:val="0"/>
          <w:numId w:val="3"/>
        </w:numPr>
        <w:spacing w:line="360" w:lineRule="auto"/>
        <w:rPr>
          <w:rFonts w:ascii="Bookman Old Style" w:hAnsi="Bookman Old Style" w:cs="Arial"/>
          <w:i/>
          <w:sz w:val="24"/>
          <w:szCs w:val="24"/>
        </w:rPr>
      </w:pPr>
      <w:r w:rsidRPr="004F2CEE">
        <w:rPr>
          <w:rFonts w:ascii="Bookman Old Style" w:hAnsi="Bookman Old Style" w:cs="Arial"/>
          <w:i/>
          <w:sz w:val="24"/>
          <w:szCs w:val="24"/>
        </w:rPr>
        <w:t>ANTECEDENTES</w:t>
      </w:r>
    </w:p>
    <w:p w:rsidR="00F52EFF" w:rsidRPr="004F2CEE" w:rsidRDefault="00F52EFF" w:rsidP="00F52EFF">
      <w:pPr>
        <w:jc w:val="both"/>
        <w:rPr>
          <w:rFonts w:ascii="Bookman Old Style" w:hAnsi="Bookman Old Style" w:cs="Arial"/>
          <w:i/>
          <w:sz w:val="24"/>
          <w:szCs w:val="24"/>
        </w:rPr>
      </w:pPr>
    </w:p>
    <w:p w:rsidR="004552B5" w:rsidRDefault="00F52EFF" w:rsidP="00F52EFF">
      <w:pPr>
        <w:spacing w:line="360" w:lineRule="auto"/>
        <w:ind w:firstLine="1134"/>
        <w:jc w:val="both"/>
        <w:rPr>
          <w:rFonts w:ascii="Bookman Old Style" w:eastAsiaTheme="minorHAnsi" w:hAnsi="Bookman Old Style" w:cs="Arial"/>
          <w:bCs/>
          <w:i/>
          <w:color w:val="000000"/>
          <w:sz w:val="23"/>
          <w:szCs w:val="23"/>
          <w:lang w:val="es-CO" w:eastAsia="en-US"/>
        </w:rPr>
      </w:pPr>
      <w:r>
        <w:rPr>
          <w:rFonts w:ascii="Bookman Old Style" w:hAnsi="Bookman Old Style" w:cs="Arial"/>
          <w:i/>
          <w:sz w:val="24"/>
          <w:szCs w:val="24"/>
        </w:rPr>
        <w:t>El 1</w:t>
      </w:r>
      <w:r w:rsidRPr="00540384">
        <w:rPr>
          <w:rFonts w:ascii="Bookman Old Style" w:hAnsi="Bookman Old Style" w:cs="Arial"/>
          <w:i/>
          <w:sz w:val="24"/>
          <w:szCs w:val="24"/>
        </w:rPr>
        <w:t xml:space="preserve">9 de </w:t>
      </w:r>
      <w:r>
        <w:rPr>
          <w:rFonts w:ascii="Bookman Old Style" w:hAnsi="Bookman Old Style" w:cs="Arial"/>
          <w:i/>
          <w:sz w:val="24"/>
          <w:szCs w:val="24"/>
        </w:rPr>
        <w:t xml:space="preserve">diciembre de </w:t>
      </w:r>
      <w:r w:rsidRPr="00540384">
        <w:rPr>
          <w:rFonts w:ascii="Bookman Old Style" w:hAnsi="Bookman Old Style" w:cs="Arial"/>
          <w:i/>
          <w:sz w:val="24"/>
          <w:szCs w:val="24"/>
        </w:rPr>
        <w:t>201</w:t>
      </w:r>
      <w:r>
        <w:rPr>
          <w:rFonts w:ascii="Bookman Old Style" w:hAnsi="Bookman Old Style" w:cs="Arial"/>
          <w:i/>
          <w:sz w:val="24"/>
          <w:szCs w:val="24"/>
        </w:rPr>
        <w:t>2</w:t>
      </w:r>
      <w:r w:rsidRPr="00540384">
        <w:rPr>
          <w:rStyle w:val="Refdenotaalpie"/>
          <w:rFonts w:ascii="Bookman Old Style" w:eastAsia="Calibri" w:hAnsi="Bookman Old Style" w:cs="Arial"/>
          <w:sz w:val="24"/>
          <w:szCs w:val="24"/>
        </w:rPr>
        <w:footnoteReference w:id="1"/>
      </w:r>
      <w:r w:rsidRPr="00540384">
        <w:rPr>
          <w:rFonts w:ascii="Bookman Old Style" w:hAnsi="Bookman Old Style" w:cs="Arial"/>
          <w:i/>
          <w:sz w:val="24"/>
          <w:szCs w:val="24"/>
        </w:rPr>
        <w:t xml:space="preserve"> la parte actora, en ejercicio del medio de control de reparación directa, presentó demanda contra </w:t>
      </w:r>
      <w:r>
        <w:rPr>
          <w:rFonts w:ascii="Bookman Old Style" w:hAnsi="Bookman Old Style" w:cs="Arial"/>
          <w:i/>
          <w:sz w:val="24"/>
          <w:szCs w:val="24"/>
        </w:rPr>
        <w:t xml:space="preserve">el </w:t>
      </w:r>
      <w:r>
        <w:rPr>
          <w:rFonts w:ascii="Bookman Old Style" w:hAnsi="Bookman Old Style"/>
          <w:i/>
          <w:sz w:val="22"/>
          <w:szCs w:val="22"/>
        </w:rPr>
        <w:t>MUNICIPIO DE VILLAVICENCIO</w:t>
      </w:r>
      <w:r w:rsidRPr="00540384">
        <w:rPr>
          <w:rFonts w:ascii="Bookman Old Style" w:hAnsi="Bookman Old Style" w:cs="Arial"/>
          <w:i/>
          <w:sz w:val="24"/>
          <w:szCs w:val="24"/>
        </w:rPr>
        <w:t xml:space="preserve">, solicitando </w:t>
      </w:r>
      <w:r w:rsidRPr="00540384">
        <w:rPr>
          <w:rFonts w:ascii="Bookman Old Style" w:eastAsiaTheme="minorHAnsi" w:hAnsi="Bookman Old Style" w:cs="Trebuchet MS"/>
          <w:i/>
          <w:color w:val="000000"/>
          <w:sz w:val="23"/>
          <w:szCs w:val="23"/>
          <w:lang w:val="es-CO" w:eastAsia="en-US"/>
        </w:rPr>
        <w:t xml:space="preserve">se declare administrativamente responsable a esa entidad por los daños </w:t>
      </w:r>
      <w:r w:rsidR="004552B5">
        <w:rPr>
          <w:rFonts w:ascii="Bookman Old Style" w:eastAsiaTheme="minorHAnsi" w:hAnsi="Bookman Old Style" w:cs="Trebuchet MS"/>
          <w:i/>
          <w:color w:val="000000"/>
          <w:sz w:val="23"/>
          <w:szCs w:val="23"/>
          <w:lang w:val="es-CO" w:eastAsia="en-US"/>
        </w:rPr>
        <w:t xml:space="preserve">antijurídicos </w:t>
      </w:r>
      <w:r w:rsidRPr="00540384">
        <w:rPr>
          <w:rFonts w:ascii="Bookman Old Style" w:eastAsiaTheme="minorHAnsi" w:hAnsi="Bookman Old Style" w:cs="Arial"/>
          <w:bCs/>
          <w:i/>
          <w:color w:val="000000"/>
          <w:sz w:val="23"/>
          <w:szCs w:val="23"/>
          <w:lang w:val="es-CO" w:eastAsia="en-US"/>
        </w:rPr>
        <w:t xml:space="preserve">materiales </w:t>
      </w:r>
      <w:r w:rsidR="004552B5">
        <w:rPr>
          <w:rFonts w:ascii="Bookman Old Style" w:eastAsiaTheme="minorHAnsi" w:hAnsi="Bookman Old Style" w:cs="Arial"/>
          <w:bCs/>
          <w:i/>
          <w:color w:val="000000"/>
          <w:sz w:val="23"/>
          <w:szCs w:val="23"/>
          <w:lang w:val="es-CO" w:eastAsia="en-US"/>
        </w:rPr>
        <w:t>ocasionados a la PROMOTORA DEL LLANO S.A. con motivo en la falla en el servicio que se presenta al no pagar 15 servicios de honras fúnebres prestados a personas de escasos recursos del Municipio por solicitud del ente municipal a través de la Oficina Asesora de Participación Ciudadana, en tanto se suscribía una adición al contrato No. 661 de 2010; en consecuencia se le condene a pagar nueve millones trescientos mil pesos ($9.300.000), suma a la que estima asciende e</w:t>
      </w:r>
      <w:r w:rsidR="00EC35A6">
        <w:rPr>
          <w:rFonts w:ascii="Bookman Old Style" w:eastAsiaTheme="minorHAnsi" w:hAnsi="Bookman Old Style" w:cs="Arial"/>
          <w:bCs/>
          <w:i/>
          <w:color w:val="000000"/>
          <w:sz w:val="23"/>
          <w:szCs w:val="23"/>
          <w:lang w:val="es-CO" w:eastAsia="en-US"/>
        </w:rPr>
        <w:t>l daño, junto con sus intereses</w:t>
      </w:r>
      <w:r w:rsidR="004552B5">
        <w:rPr>
          <w:rFonts w:ascii="Bookman Old Style" w:eastAsiaTheme="minorHAnsi" w:hAnsi="Bookman Old Style" w:cs="Arial"/>
          <w:bCs/>
          <w:i/>
          <w:color w:val="000000"/>
          <w:sz w:val="23"/>
          <w:szCs w:val="23"/>
          <w:lang w:val="es-CO" w:eastAsia="en-US"/>
        </w:rPr>
        <w:t>.</w:t>
      </w:r>
    </w:p>
    <w:p w:rsidR="004552B5" w:rsidRDefault="004552B5" w:rsidP="00F52EFF">
      <w:pPr>
        <w:spacing w:line="360" w:lineRule="auto"/>
        <w:ind w:firstLine="1134"/>
        <w:jc w:val="both"/>
        <w:rPr>
          <w:rFonts w:ascii="Bookman Old Style" w:eastAsiaTheme="minorHAnsi" w:hAnsi="Bookman Old Style" w:cs="Arial"/>
          <w:bCs/>
          <w:i/>
          <w:color w:val="000000"/>
          <w:sz w:val="23"/>
          <w:szCs w:val="23"/>
          <w:lang w:val="es-CO" w:eastAsia="en-US"/>
        </w:rPr>
      </w:pPr>
    </w:p>
    <w:p w:rsidR="00F52EFF" w:rsidRPr="00540384" w:rsidRDefault="004552B5" w:rsidP="00F52EFF">
      <w:pPr>
        <w:spacing w:line="360" w:lineRule="auto"/>
        <w:ind w:firstLine="1134"/>
        <w:jc w:val="both"/>
        <w:rPr>
          <w:rFonts w:ascii="Bookman Old Style" w:hAnsi="Bookman Old Style" w:cs="Arial"/>
          <w:i/>
          <w:sz w:val="24"/>
          <w:szCs w:val="24"/>
        </w:rPr>
      </w:pPr>
      <w:r>
        <w:rPr>
          <w:rFonts w:ascii="Bookman Old Style" w:eastAsiaTheme="minorHAnsi" w:hAnsi="Bookman Old Style" w:cs="Arial"/>
          <w:bCs/>
          <w:i/>
          <w:color w:val="000000"/>
          <w:sz w:val="23"/>
          <w:szCs w:val="23"/>
          <w:lang w:val="es-CO" w:eastAsia="en-US"/>
        </w:rPr>
        <w:t xml:space="preserve"> </w:t>
      </w:r>
    </w:p>
    <w:p w:rsidR="00F52EFF" w:rsidRDefault="00F52EFF" w:rsidP="00F52EFF">
      <w:pPr>
        <w:pStyle w:val="Prrafodelista"/>
        <w:numPr>
          <w:ilvl w:val="0"/>
          <w:numId w:val="3"/>
        </w:numPr>
        <w:spacing w:line="360" w:lineRule="auto"/>
        <w:rPr>
          <w:rFonts w:ascii="Bookman Old Style" w:hAnsi="Bookman Old Style" w:cs="Arial"/>
          <w:i/>
          <w:sz w:val="24"/>
          <w:szCs w:val="24"/>
        </w:rPr>
      </w:pPr>
      <w:r w:rsidRPr="004F2CEE">
        <w:rPr>
          <w:rFonts w:ascii="Bookman Old Style" w:hAnsi="Bookman Old Style" w:cs="Arial"/>
          <w:i/>
          <w:sz w:val="24"/>
          <w:szCs w:val="24"/>
        </w:rPr>
        <w:lastRenderedPageBreak/>
        <w:t>EL AUTO APELADO</w:t>
      </w:r>
    </w:p>
    <w:p w:rsidR="003A2B2C" w:rsidRDefault="003A2B2C" w:rsidP="003A2B2C">
      <w:pPr>
        <w:spacing w:line="360" w:lineRule="auto"/>
        <w:rPr>
          <w:rFonts w:ascii="Bookman Old Style" w:hAnsi="Bookman Old Style" w:cs="Arial"/>
          <w:i/>
          <w:sz w:val="24"/>
          <w:szCs w:val="24"/>
        </w:rPr>
      </w:pPr>
    </w:p>
    <w:p w:rsidR="00F52EFF" w:rsidRPr="004F2CEE" w:rsidRDefault="00F52EFF" w:rsidP="00F52EFF">
      <w:pPr>
        <w:ind w:firstLine="1134"/>
        <w:jc w:val="both"/>
        <w:rPr>
          <w:rFonts w:ascii="Bookman Old Style" w:hAnsi="Bookman Old Style" w:cs="Arial"/>
          <w:i/>
          <w:sz w:val="24"/>
          <w:szCs w:val="24"/>
        </w:rPr>
      </w:pPr>
    </w:p>
    <w:p w:rsidR="003C2B7C" w:rsidRDefault="00F52EFF" w:rsidP="00F52EFF">
      <w:pPr>
        <w:spacing w:line="360" w:lineRule="auto"/>
        <w:ind w:firstLine="1134"/>
        <w:jc w:val="both"/>
        <w:rPr>
          <w:rFonts w:ascii="Bookman Old Style" w:hAnsi="Bookman Old Style" w:cs="Arial"/>
          <w:i/>
          <w:sz w:val="24"/>
          <w:szCs w:val="24"/>
        </w:rPr>
      </w:pPr>
      <w:r w:rsidRPr="004F2CEE">
        <w:rPr>
          <w:rFonts w:ascii="Bookman Old Style" w:hAnsi="Bookman Old Style" w:cs="Arial"/>
          <w:i/>
          <w:sz w:val="24"/>
          <w:szCs w:val="24"/>
        </w:rPr>
        <w:t xml:space="preserve">El Juzgado </w:t>
      </w:r>
      <w:r w:rsidR="00E0133C">
        <w:rPr>
          <w:rFonts w:ascii="Bookman Old Style" w:hAnsi="Bookman Old Style" w:cs="Arial"/>
          <w:i/>
          <w:sz w:val="24"/>
          <w:szCs w:val="24"/>
        </w:rPr>
        <w:t xml:space="preserve">Sexto </w:t>
      </w:r>
      <w:r w:rsidRPr="004F2CEE">
        <w:rPr>
          <w:rFonts w:ascii="Bookman Old Style" w:hAnsi="Bookman Old Style" w:cs="Arial"/>
          <w:i/>
          <w:sz w:val="24"/>
          <w:szCs w:val="24"/>
        </w:rPr>
        <w:t>Administrativo de Villavice</w:t>
      </w:r>
      <w:r w:rsidR="00E0133C">
        <w:rPr>
          <w:rFonts w:ascii="Bookman Old Style" w:hAnsi="Bookman Old Style" w:cs="Arial"/>
          <w:i/>
          <w:sz w:val="24"/>
          <w:szCs w:val="24"/>
        </w:rPr>
        <w:t>ncio, mediante providencia del 22</w:t>
      </w:r>
      <w:r w:rsidRPr="004F2CEE">
        <w:rPr>
          <w:rFonts w:ascii="Bookman Old Style" w:hAnsi="Bookman Old Style" w:cs="Arial"/>
          <w:i/>
          <w:sz w:val="24"/>
          <w:szCs w:val="24"/>
        </w:rPr>
        <w:t xml:space="preserve"> de </w:t>
      </w:r>
      <w:r>
        <w:rPr>
          <w:rFonts w:ascii="Bookman Old Style" w:hAnsi="Bookman Old Style" w:cs="Arial"/>
          <w:i/>
          <w:sz w:val="24"/>
          <w:szCs w:val="24"/>
        </w:rPr>
        <w:t xml:space="preserve">febrero </w:t>
      </w:r>
      <w:r w:rsidRPr="004F2CEE">
        <w:rPr>
          <w:rFonts w:ascii="Bookman Old Style" w:hAnsi="Bookman Old Style" w:cs="Arial"/>
          <w:i/>
          <w:sz w:val="24"/>
          <w:szCs w:val="24"/>
        </w:rPr>
        <w:t xml:space="preserve">de 2013, rechazó de plano la demanda de la referencia, por considerar que </w:t>
      </w:r>
      <w:r>
        <w:rPr>
          <w:rFonts w:ascii="Bookman Old Style" w:hAnsi="Bookman Old Style" w:cs="Arial"/>
          <w:i/>
          <w:sz w:val="24"/>
          <w:szCs w:val="24"/>
        </w:rPr>
        <w:t xml:space="preserve">en el </w:t>
      </w:r>
      <w:proofErr w:type="spellStart"/>
      <w:r>
        <w:rPr>
          <w:rFonts w:ascii="Bookman Old Style" w:hAnsi="Bookman Old Style" w:cs="Arial"/>
          <w:i/>
          <w:sz w:val="24"/>
          <w:szCs w:val="24"/>
        </w:rPr>
        <w:t>subjudice</w:t>
      </w:r>
      <w:proofErr w:type="spellEnd"/>
      <w:r>
        <w:rPr>
          <w:rFonts w:ascii="Bookman Old Style" w:hAnsi="Bookman Old Style" w:cs="Arial"/>
          <w:i/>
          <w:sz w:val="24"/>
          <w:szCs w:val="24"/>
        </w:rPr>
        <w:t xml:space="preserve"> operó el fenómeno de la caducidad, explicando que</w:t>
      </w:r>
      <w:r w:rsidR="00E0133C">
        <w:rPr>
          <w:rFonts w:ascii="Bookman Old Style" w:hAnsi="Bookman Old Style" w:cs="Arial"/>
          <w:i/>
          <w:sz w:val="24"/>
          <w:szCs w:val="24"/>
        </w:rPr>
        <w:t xml:space="preserve"> los hechos que presuntamente ocasionan el daño antijurídico por el que la parte demandante pretende indemniza</w:t>
      </w:r>
      <w:r w:rsidR="000076BC">
        <w:rPr>
          <w:rFonts w:ascii="Bookman Old Style" w:hAnsi="Bookman Old Style" w:cs="Arial"/>
          <w:i/>
          <w:sz w:val="24"/>
          <w:szCs w:val="24"/>
        </w:rPr>
        <w:t>ción,</w:t>
      </w:r>
      <w:r w:rsidR="00E0133C">
        <w:rPr>
          <w:rFonts w:ascii="Bookman Old Style" w:hAnsi="Bookman Old Style" w:cs="Arial"/>
          <w:i/>
          <w:sz w:val="24"/>
          <w:szCs w:val="24"/>
        </w:rPr>
        <w:t xml:space="preserve"> relacionados con la prestación de honras fúnebres al Municipio de Villavicencio</w:t>
      </w:r>
      <w:r w:rsidR="00F35172">
        <w:rPr>
          <w:rFonts w:ascii="Bookman Old Style" w:hAnsi="Bookman Old Style" w:cs="Arial"/>
          <w:i/>
          <w:sz w:val="24"/>
          <w:szCs w:val="24"/>
        </w:rPr>
        <w:t xml:space="preserve"> ocurrieron entre el 1º de julio y el 23 de agosto de 2010</w:t>
      </w:r>
      <w:r w:rsidR="000076BC">
        <w:rPr>
          <w:rFonts w:ascii="Bookman Old Style" w:hAnsi="Bookman Old Style" w:cs="Arial"/>
          <w:i/>
          <w:sz w:val="24"/>
          <w:szCs w:val="24"/>
        </w:rPr>
        <w:t>, por lo que para efectos de determinar la caducidad del medio de control</w:t>
      </w:r>
      <w:r w:rsidR="003C2B7C">
        <w:rPr>
          <w:rFonts w:ascii="Bookman Old Style" w:hAnsi="Bookman Old Style" w:cs="Arial"/>
          <w:i/>
          <w:sz w:val="24"/>
          <w:szCs w:val="24"/>
        </w:rPr>
        <w:t xml:space="preserve">, el término de dos años para la presentación oportuna de la demanda </w:t>
      </w:r>
      <w:r w:rsidR="000076BC">
        <w:rPr>
          <w:rFonts w:ascii="Bookman Old Style" w:hAnsi="Bookman Old Style" w:cs="Arial"/>
          <w:i/>
          <w:sz w:val="24"/>
          <w:szCs w:val="24"/>
        </w:rPr>
        <w:t>debe empezar a contabilizarse desde el 24 de agosto de 2010, por ser ese el día siguiente a la fecha de la prestación del último servicio por parte de la Promotora del Llano S.A. al Municipio de Villavicencio</w:t>
      </w:r>
      <w:r w:rsidR="003C2B7C">
        <w:rPr>
          <w:rFonts w:ascii="Bookman Old Style" w:hAnsi="Bookman Old Style" w:cs="Arial"/>
          <w:i/>
          <w:sz w:val="24"/>
          <w:szCs w:val="24"/>
        </w:rPr>
        <w:t>.</w:t>
      </w:r>
    </w:p>
    <w:p w:rsidR="003C2B7C" w:rsidRDefault="003C2B7C" w:rsidP="00F52EFF">
      <w:pPr>
        <w:spacing w:line="360" w:lineRule="auto"/>
        <w:ind w:firstLine="1134"/>
        <w:jc w:val="both"/>
        <w:rPr>
          <w:rFonts w:ascii="Bookman Old Style" w:hAnsi="Bookman Old Style" w:cs="Arial"/>
          <w:i/>
          <w:sz w:val="24"/>
          <w:szCs w:val="24"/>
        </w:rPr>
      </w:pPr>
    </w:p>
    <w:p w:rsidR="00002B94" w:rsidRDefault="00F52EFF" w:rsidP="00E6557C">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Igualmente, que la parte interesada presentó solicitud de conciliación prejudicial el 1</w:t>
      </w:r>
      <w:r w:rsidR="00002B94">
        <w:rPr>
          <w:rFonts w:ascii="Bookman Old Style" w:hAnsi="Bookman Old Style" w:cs="Arial"/>
          <w:i/>
          <w:sz w:val="24"/>
          <w:szCs w:val="24"/>
        </w:rPr>
        <w:t>4</w:t>
      </w:r>
      <w:r>
        <w:rPr>
          <w:rFonts w:ascii="Bookman Old Style" w:hAnsi="Bookman Old Style" w:cs="Arial"/>
          <w:i/>
          <w:sz w:val="24"/>
          <w:szCs w:val="24"/>
        </w:rPr>
        <w:t xml:space="preserve"> de </w:t>
      </w:r>
      <w:r w:rsidR="00002B94">
        <w:rPr>
          <w:rFonts w:ascii="Bookman Old Style" w:hAnsi="Bookman Old Style" w:cs="Arial"/>
          <w:i/>
          <w:sz w:val="24"/>
          <w:szCs w:val="24"/>
        </w:rPr>
        <w:t xml:space="preserve">agosto </w:t>
      </w:r>
      <w:r>
        <w:rPr>
          <w:rFonts w:ascii="Bookman Old Style" w:hAnsi="Bookman Old Style" w:cs="Arial"/>
          <w:i/>
          <w:sz w:val="24"/>
          <w:szCs w:val="24"/>
        </w:rPr>
        <w:t>de 2012, y la</w:t>
      </w:r>
      <w:r w:rsidR="00002B94">
        <w:rPr>
          <w:rFonts w:ascii="Bookman Old Style" w:hAnsi="Bookman Old Style" w:cs="Arial"/>
          <w:i/>
          <w:sz w:val="24"/>
          <w:szCs w:val="24"/>
        </w:rPr>
        <w:t xml:space="preserve"> constancia expedida por la</w:t>
      </w:r>
      <w:r>
        <w:rPr>
          <w:rFonts w:ascii="Bookman Old Style" w:hAnsi="Bookman Old Style" w:cs="Arial"/>
          <w:i/>
          <w:sz w:val="24"/>
          <w:szCs w:val="24"/>
        </w:rPr>
        <w:t xml:space="preserve"> Procuraduría </w:t>
      </w:r>
      <w:r w:rsidR="00002B94">
        <w:rPr>
          <w:rFonts w:ascii="Bookman Old Style" w:hAnsi="Bookman Old Style" w:cs="Arial"/>
          <w:i/>
          <w:sz w:val="24"/>
          <w:szCs w:val="24"/>
        </w:rPr>
        <w:t>que declaró fallida la audiencia de conciliación, data del 13 de noviembre de 2012 y que si bien es cierto</w:t>
      </w:r>
      <w:r w:rsidR="004F6D40">
        <w:rPr>
          <w:rFonts w:ascii="Bookman Old Style" w:hAnsi="Bookman Old Style" w:cs="Arial"/>
          <w:i/>
          <w:sz w:val="24"/>
          <w:szCs w:val="24"/>
        </w:rPr>
        <w:t>,</w:t>
      </w:r>
      <w:r w:rsidR="00002B94">
        <w:rPr>
          <w:rFonts w:ascii="Bookman Old Style" w:hAnsi="Bookman Old Style" w:cs="Arial"/>
          <w:i/>
          <w:sz w:val="24"/>
          <w:szCs w:val="24"/>
        </w:rPr>
        <w:t xml:space="preserve"> se presentó cese de actividades en la Rama Judicial entre el 18 de octubre y el 23 de noviembre de 2012, el primer día de atención al público después de ello fue el 26 de noviembre de esa misma anualidad, pero la parte actora presentó la demanda el 19 de diciembre, cuando ya había operado el fenómeno de la caducidad, desde el 4 de diciembre anterior. </w:t>
      </w:r>
    </w:p>
    <w:p w:rsidR="00F52EFF" w:rsidRDefault="00F52EFF" w:rsidP="00F52EFF">
      <w:pPr>
        <w:ind w:firstLine="1134"/>
        <w:jc w:val="center"/>
        <w:rPr>
          <w:rFonts w:ascii="Bookman Old Style" w:hAnsi="Bookman Old Style" w:cs="Arial"/>
          <w:i/>
          <w:sz w:val="24"/>
          <w:szCs w:val="24"/>
        </w:rPr>
      </w:pPr>
    </w:p>
    <w:p w:rsidR="00CD203D" w:rsidRDefault="00CD203D" w:rsidP="00F52EFF">
      <w:pPr>
        <w:ind w:firstLine="1134"/>
        <w:jc w:val="center"/>
        <w:rPr>
          <w:rFonts w:ascii="Bookman Old Style" w:hAnsi="Bookman Old Style" w:cs="Arial"/>
          <w:i/>
          <w:sz w:val="24"/>
          <w:szCs w:val="24"/>
        </w:rPr>
      </w:pPr>
    </w:p>
    <w:p w:rsidR="00CD203D" w:rsidRPr="004F2CEE" w:rsidRDefault="00CD203D" w:rsidP="00F52EFF">
      <w:pPr>
        <w:ind w:firstLine="1134"/>
        <w:jc w:val="center"/>
        <w:rPr>
          <w:rFonts w:ascii="Bookman Old Style" w:hAnsi="Bookman Old Style" w:cs="Arial"/>
          <w:i/>
          <w:sz w:val="24"/>
          <w:szCs w:val="24"/>
        </w:rPr>
      </w:pPr>
    </w:p>
    <w:p w:rsidR="00F52EFF" w:rsidRPr="004F2CEE" w:rsidRDefault="00F52EFF" w:rsidP="00F52EFF">
      <w:pPr>
        <w:pStyle w:val="Prrafodelista"/>
        <w:numPr>
          <w:ilvl w:val="0"/>
          <w:numId w:val="3"/>
        </w:numPr>
        <w:rPr>
          <w:rFonts w:ascii="Bookman Old Style" w:hAnsi="Bookman Old Style" w:cs="Arial"/>
          <w:i/>
          <w:sz w:val="24"/>
          <w:szCs w:val="24"/>
        </w:rPr>
      </w:pPr>
      <w:r w:rsidRPr="004F2CEE">
        <w:rPr>
          <w:rFonts w:ascii="Bookman Old Style" w:hAnsi="Bookman Old Style" w:cs="Arial"/>
          <w:i/>
          <w:sz w:val="24"/>
          <w:szCs w:val="24"/>
        </w:rPr>
        <w:t xml:space="preserve">EL RECURSO DE APELACIÓN </w:t>
      </w:r>
    </w:p>
    <w:p w:rsidR="00F52EFF" w:rsidRPr="004F2CEE" w:rsidRDefault="00F52EFF" w:rsidP="00F52EFF">
      <w:pPr>
        <w:ind w:firstLine="1134"/>
        <w:jc w:val="center"/>
        <w:rPr>
          <w:rFonts w:ascii="Bookman Old Style" w:hAnsi="Bookman Old Style" w:cs="Arial"/>
          <w:i/>
          <w:sz w:val="24"/>
          <w:szCs w:val="24"/>
        </w:rPr>
      </w:pPr>
    </w:p>
    <w:p w:rsidR="00F52EFF" w:rsidRPr="004F2CEE" w:rsidRDefault="00F52EFF" w:rsidP="00F52EFF">
      <w:pPr>
        <w:spacing w:line="360" w:lineRule="auto"/>
        <w:ind w:firstLine="1134"/>
        <w:jc w:val="both"/>
        <w:rPr>
          <w:rFonts w:ascii="Bookman Old Style" w:hAnsi="Bookman Old Style" w:cs="Arial"/>
          <w:i/>
          <w:sz w:val="24"/>
          <w:szCs w:val="24"/>
        </w:rPr>
      </w:pPr>
    </w:p>
    <w:p w:rsidR="004D1844" w:rsidRDefault="00F52EFF" w:rsidP="00F52EFF">
      <w:pPr>
        <w:spacing w:line="360" w:lineRule="auto"/>
        <w:ind w:firstLine="1134"/>
        <w:jc w:val="both"/>
        <w:rPr>
          <w:rFonts w:ascii="Bookman Old Style" w:hAnsi="Bookman Old Style" w:cs="Arial"/>
          <w:i/>
          <w:sz w:val="24"/>
          <w:szCs w:val="24"/>
        </w:rPr>
      </w:pPr>
      <w:r w:rsidRPr="004F2CEE">
        <w:rPr>
          <w:rFonts w:ascii="Bookman Old Style" w:hAnsi="Bookman Old Style" w:cs="Arial"/>
          <w:i/>
          <w:sz w:val="24"/>
          <w:szCs w:val="24"/>
        </w:rPr>
        <w:t>La parte demandante</w:t>
      </w:r>
      <w:r w:rsidR="00081A36">
        <w:rPr>
          <w:rFonts w:ascii="Bookman Old Style" w:hAnsi="Bookman Old Style" w:cs="Arial"/>
          <w:i/>
          <w:sz w:val="24"/>
          <w:szCs w:val="24"/>
        </w:rPr>
        <w:t xml:space="preserve"> solicitó la revocatoria del auto que rechazó la demanda,</w:t>
      </w:r>
      <w:r w:rsidRPr="004F2CEE">
        <w:rPr>
          <w:rFonts w:ascii="Bookman Old Style" w:hAnsi="Bookman Old Style" w:cs="Arial"/>
          <w:i/>
          <w:sz w:val="24"/>
          <w:szCs w:val="24"/>
        </w:rPr>
        <w:t xml:space="preserve"> </w:t>
      </w:r>
      <w:r>
        <w:rPr>
          <w:rFonts w:ascii="Bookman Old Style" w:hAnsi="Bookman Old Style" w:cs="Arial"/>
          <w:i/>
          <w:sz w:val="24"/>
          <w:szCs w:val="24"/>
        </w:rPr>
        <w:t>mencionando jurisprudencia del Consejo de Estado</w:t>
      </w:r>
      <w:r w:rsidR="00081A36">
        <w:rPr>
          <w:rFonts w:ascii="Bookman Old Style" w:hAnsi="Bookman Old Style" w:cs="Arial"/>
          <w:i/>
          <w:sz w:val="24"/>
          <w:szCs w:val="24"/>
        </w:rPr>
        <w:t xml:space="preserve"> y </w:t>
      </w:r>
      <w:r w:rsidRPr="004F2CEE">
        <w:rPr>
          <w:rFonts w:ascii="Bookman Old Style" w:hAnsi="Bookman Old Style" w:cs="Arial"/>
          <w:i/>
          <w:sz w:val="24"/>
          <w:szCs w:val="24"/>
        </w:rPr>
        <w:t>aleg</w:t>
      </w:r>
      <w:r>
        <w:rPr>
          <w:rFonts w:ascii="Bookman Old Style" w:hAnsi="Bookman Old Style" w:cs="Arial"/>
          <w:i/>
          <w:sz w:val="24"/>
          <w:szCs w:val="24"/>
        </w:rPr>
        <w:t>ando</w:t>
      </w:r>
      <w:r w:rsidRPr="004F2CEE">
        <w:rPr>
          <w:rFonts w:ascii="Bookman Old Style" w:hAnsi="Bookman Old Style" w:cs="Arial"/>
          <w:i/>
          <w:sz w:val="24"/>
          <w:szCs w:val="24"/>
        </w:rPr>
        <w:t xml:space="preserve"> que </w:t>
      </w:r>
      <w:r w:rsidR="00E6557C">
        <w:rPr>
          <w:rFonts w:ascii="Bookman Old Style" w:hAnsi="Bookman Old Style" w:cs="Arial"/>
          <w:i/>
          <w:sz w:val="24"/>
          <w:szCs w:val="24"/>
        </w:rPr>
        <w:t xml:space="preserve">el término de caducidad </w:t>
      </w:r>
      <w:r w:rsidR="004D1844">
        <w:rPr>
          <w:rFonts w:ascii="Bookman Old Style" w:hAnsi="Bookman Old Style" w:cs="Arial"/>
          <w:i/>
          <w:sz w:val="24"/>
          <w:szCs w:val="24"/>
        </w:rPr>
        <w:t>se entiende adicionado por el de duración de la etapa conciliatoria.</w:t>
      </w:r>
    </w:p>
    <w:p w:rsidR="004D1844" w:rsidRDefault="004D1844" w:rsidP="00F52EFF">
      <w:pPr>
        <w:spacing w:line="360" w:lineRule="auto"/>
        <w:ind w:firstLine="1134"/>
        <w:jc w:val="both"/>
        <w:rPr>
          <w:rFonts w:ascii="Bookman Old Style" w:hAnsi="Bookman Old Style" w:cs="Arial"/>
          <w:i/>
          <w:sz w:val="24"/>
          <w:szCs w:val="24"/>
        </w:rPr>
      </w:pPr>
    </w:p>
    <w:p w:rsidR="00081A36" w:rsidRDefault="004D1844" w:rsidP="00F52EFF">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 xml:space="preserve">Que la solicitud de conciliación </w:t>
      </w:r>
      <w:r w:rsidR="00081A36">
        <w:rPr>
          <w:rFonts w:ascii="Bookman Old Style" w:hAnsi="Bookman Old Style" w:cs="Arial"/>
          <w:i/>
          <w:sz w:val="24"/>
          <w:szCs w:val="24"/>
        </w:rPr>
        <w:t xml:space="preserve">ante el Ministerio Público </w:t>
      </w:r>
      <w:r>
        <w:rPr>
          <w:rFonts w:ascii="Bookman Old Style" w:hAnsi="Bookman Old Style" w:cs="Arial"/>
          <w:i/>
          <w:sz w:val="24"/>
          <w:szCs w:val="24"/>
        </w:rPr>
        <w:t xml:space="preserve">se presentó el 14 de agosto de 2012 y el trámite finiquitó el 13 de noviembre de 2012, </w:t>
      </w:r>
      <w:r w:rsidR="00081A36">
        <w:rPr>
          <w:rFonts w:ascii="Bookman Old Style" w:hAnsi="Bookman Old Style" w:cs="Arial"/>
          <w:i/>
          <w:sz w:val="24"/>
          <w:szCs w:val="24"/>
        </w:rPr>
        <w:t xml:space="preserve">razón </w:t>
      </w:r>
      <w:r>
        <w:rPr>
          <w:rFonts w:ascii="Bookman Old Style" w:hAnsi="Bookman Old Style" w:cs="Arial"/>
          <w:i/>
          <w:sz w:val="24"/>
          <w:szCs w:val="24"/>
        </w:rPr>
        <w:t>por l</w:t>
      </w:r>
      <w:r w:rsidR="00081A36">
        <w:rPr>
          <w:rFonts w:ascii="Bookman Old Style" w:hAnsi="Bookman Old Style" w:cs="Arial"/>
          <w:i/>
          <w:sz w:val="24"/>
          <w:szCs w:val="24"/>
        </w:rPr>
        <w:t>a</w:t>
      </w:r>
      <w:r>
        <w:rPr>
          <w:rFonts w:ascii="Bookman Old Style" w:hAnsi="Bookman Old Style" w:cs="Arial"/>
          <w:i/>
          <w:sz w:val="24"/>
          <w:szCs w:val="24"/>
        </w:rPr>
        <w:t xml:space="preserve"> que los términos se ampliaron 62 días, que deben empezar a contabilizarse desde el 26 de noviembre de 2012, dado que los juzgados permanecieron cerrados </w:t>
      </w:r>
      <w:r w:rsidR="004248F1">
        <w:rPr>
          <w:rFonts w:ascii="Bookman Old Style" w:hAnsi="Bookman Old Style" w:cs="Arial"/>
          <w:i/>
          <w:sz w:val="24"/>
          <w:szCs w:val="24"/>
        </w:rPr>
        <w:t>con ocasión de</w:t>
      </w:r>
      <w:r>
        <w:rPr>
          <w:rFonts w:ascii="Bookman Old Style" w:hAnsi="Bookman Old Style" w:cs="Arial"/>
          <w:i/>
          <w:sz w:val="24"/>
          <w:szCs w:val="24"/>
        </w:rPr>
        <w:t>l paro judicial</w:t>
      </w:r>
      <w:r w:rsidR="004F6D40">
        <w:rPr>
          <w:rFonts w:ascii="Bookman Old Style" w:hAnsi="Bookman Old Style" w:cs="Arial"/>
          <w:i/>
          <w:sz w:val="24"/>
          <w:szCs w:val="24"/>
        </w:rPr>
        <w:t xml:space="preserve"> y só</w:t>
      </w:r>
      <w:r w:rsidR="00081A36">
        <w:rPr>
          <w:rFonts w:ascii="Bookman Old Style" w:hAnsi="Bookman Old Style" w:cs="Arial"/>
          <w:i/>
          <w:sz w:val="24"/>
          <w:szCs w:val="24"/>
        </w:rPr>
        <w:t xml:space="preserve">lo hasta esa fecha volvió a prestarse el </w:t>
      </w:r>
      <w:r w:rsidR="00081A36">
        <w:rPr>
          <w:rFonts w:ascii="Bookman Old Style" w:hAnsi="Bookman Old Style" w:cs="Arial"/>
          <w:i/>
          <w:sz w:val="24"/>
          <w:szCs w:val="24"/>
        </w:rPr>
        <w:lastRenderedPageBreak/>
        <w:t xml:space="preserve">servicio, por ello </w:t>
      </w:r>
      <w:r>
        <w:rPr>
          <w:rFonts w:ascii="Bookman Old Style" w:hAnsi="Bookman Old Style" w:cs="Arial"/>
          <w:i/>
          <w:sz w:val="24"/>
          <w:szCs w:val="24"/>
        </w:rPr>
        <w:t>la demanda presentada el 19 de diciembre de esa misma anualidad,</w:t>
      </w:r>
      <w:r w:rsidR="00081A36">
        <w:rPr>
          <w:rFonts w:ascii="Bookman Old Style" w:hAnsi="Bookman Old Style" w:cs="Arial"/>
          <w:i/>
          <w:sz w:val="24"/>
          <w:szCs w:val="24"/>
        </w:rPr>
        <w:t xml:space="preserve"> resulta oportuna. </w:t>
      </w:r>
    </w:p>
    <w:p w:rsidR="00F52EFF" w:rsidRPr="004F2CEE" w:rsidRDefault="00F52EFF" w:rsidP="00F52EFF">
      <w:pPr>
        <w:spacing w:line="360" w:lineRule="auto"/>
        <w:ind w:firstLine="1134"/>
        <w:jc w:val="both"/>
        <w:rPr>
          <w:rFonts w:ascii="Bookman Old Style" w:hAnsi="Bookman Old Style" w:cs="Arial"/>
          <w:i/>
          <w:sz w:val="24"/>
          <w:szCs w:val="24"/>
        </w:rPr>
      </w:pPr>
    </w:p>
    <w:p w:rsidR="00F52EFF" w:rsidRPr="004F2CEE" w:rsidRDefault="00F52EFF" w:rsidP="00F52EFF">
      <w:pPr>
        <w:pStyle w:val="Prrafodelista"/>
        <w:numPr>
          <w:ilvl w:val="0"/>
          <w:numId w:val="3"/>
        </w:numPr>
        <w:spacing w:line="360" w:lineRule="auto"/>
        <w:rPr>
          <w:rFonts w:ascii="Bookman Old Style" w:hAnsi="Bookman Old Style" w:cs="Arial"/>
          <w:i/>
          <w:sz w:val="24"/>
          <w:szCs w:val="24"/>
        </w:rPr>
      </w:pPr>
      <w:r w:rsidRPr="004F2CEE">
        <w:rPr>
          <w:rFonts w:ascii="Bookman Old Style" w:hAnsi="Bookman Old Style" w:cs="Arial"/>
          <w:i/>
          <w:sz w:val="24"/>
          <w:szCs w:val="24"/>
        </w:rPr>
        <w:t>CONSIDERACIONES</w:t>
      </w:r>
    </w:p>
    <w:p w:rsidR="00F52EFF" w:rsidRDefault="00F52EFF" w:rsidP="00F52EFF">
      <w:pPr>
        <w:widowControl w:val="0"/>
        <w:spacing w:line="360" w:lineRule="auto"/>
        <w:ind w:firstLine="1134"/>
        <w:jc w:val="both"/>
        <w:rPr>
          <w:rFonts w:ascii="Bookman Old Style" w:hAnsi="Bookman Old Style" w:cs="Arial"/>
          <w:i/>
          <w:sz w:val="24"/>
          <w:szCs w:val="24"/>
        </w:rPr>
      </w:pPr>
    </w:p>
    <w:p w:rsidR="00F52EFF" w:rsidRDefault="00F52EFF" w:rsidP="00F52EFF">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Tribunal es competente para conocer de la impugnación contra el auto que resolvió rechazar la demanda en </w:t>
      </w:r>
      <w:r>
        <w:rPr>
          <w:rFonts w:ascii="Bookman Old Style" w:hAnsi="Bookman Old Style" w:cs="Arial"/>
          <w:i/>
          <w:sz w:val="24"/>
          <w:szCs w:val="24"/>
        </w:rPr>
        <w:t>primera instancia, proferido por</w:t>
      </w:r>
      <w:r w:rsidRPr="00E01A73">
        <w:rPr>
          <w:rFonts w:ascii="Bookman Old Style" w:hAnsi="Bookman Old Style" w:cs="Arial"/>
          <w:i/>
          <w:sz w:val="24"/>
          <w:szCs w:val="24"/>
        </w:rPr>
        <w:t xml:space="preserve"> el Juzgado </w:t>
      </w:r>
      <w:r w:rsidR="004248F1">
        <w:rPr>
          <w:rFonts w:ascii="Bookman Old Style" w:hAnsi="Bookman Old Style" w:cs="Arial"/>
          <w:i/>
          <w:sz w:val="24"/>
          <w:szCs w:val="24"/>
        </w:rPr>
        <w:t>Sexto A</w:t>
      </w:r>
      <w:r w:rsidRPr="00E01A73">
        <w:rPr>
          <w:rFonts w:ascii="Bookman Old Style" w:hAnsi="Bookman Old Style" w:cs="Arial"/>
          <w:i/>
          <w:sz w:val="24"/>
          <w:szCs w:val="24"/>
        </w:rPr>
        <w:t xml:space="preserve">dministrativo de Villavicencio, de acuerdo con lo previsto en el artículo 153 del CPACA. </w:t>
      </w:r>
    </w:p>
    <w:p w:rsidR="00F52EFF" w:rsidRDefault="00F52EFF" w:rsidP="00F52EFF">
      <w:pPr>
        <w:spacing w:line="360" w:lineRule="auto"/>
        <w:ind w:firstLine="1134"/>
        <w:jc w:val="both"/>
        <w:rPr>
          <w:rFonts w:ascii="Bookman Old Style" w:hAnsi="Bookman Old Style" w:cs="Arial"/>
          <w:i/>
          <w:sz w:val="24"/>
          <w:szCs w:val="24"/>
        </w:rPr>
      </w:pPr>
    </w:p>
    <w:p w:rsidR="001B08FD" w:rsidRPr="00B70BBE" w:rsidRDefault="001B08FD" w:rsidP="001B08FD">
      <w:pPr>
        <w:pStyle w:val="BodyText21"/>
        <w:spacing w:line="360" w:lineRule="auto"/>
        <w:rPr>
          <w:color w:val="1F497D" w:themeColor="text2"/>
          <w:sz w:val="26"/>
          <w:szCs w:val="26"/>
        </w:rPr>
      </w:pPr>
    </w:p>
    <w:p w:rsidR="00F52EFF" w:rsidRPr="004F2CEE" w:rsidRDefault="00F52EFF" w:rsidP="00085131">
      <w:pPr>
        <w:spacing w:line="360" w:lineRule="auto"/>
        <w:ind w:firstLine="1134"/>
        <w:jc w:val="both"/>
        <w:rPr>
          <w:rFonts w:ascii="Bookman Old Style" w:hAnsi="Bookman Old Style" w:cs="Arial"/>
          <w:i/>
          <w:sz w:val="24"/>
          <w:szCs w:val="24"/>
        </w:rPr>
      </w:pPr>
      <w:r w:rsidRPr="00E6180E">
        <w:rPr>
          <w:rFonts w:ascii="Bookman Old Style" w:hAnsi="Bookman Old Style"/>
          <w:i/>
          <w:sz w:val="24"/>
          <w:szCs w:val="24"/>
        </w:rPr>
        <w:t xml:space="preserve">A través del medio de control de reparación directa </w:t>
      </w:r>
      <w:r w:rsidR="004248F1">
        <w:rPr>
          <w:rFonts w:ascii="Bookman Old Style" w:hAnsi="Bookman Old Style"/>
          <w:i/>
          <w:sz w:val="24"/>
          <w:szCs w:val="24"/>
        </w:rPr>
        <w:t xml:space="preserve">la Promotora del Llano S.A </w:t>
      </w:r>
      <w:r w:rsidRPr="00E6180E">
        <w:rPr>
          <w:rFonts w:ascii="Bookman Old Style" w:hAnsi="Bookman Old Style"/>
          <w:i/>
          <w:sz w:val="24"/>
          <w:szCs w:val="24"/>
        </w:rPr>
        <w:t>pretende obtener la indemni</w:t>
      </w:r>
      <w:r w:rsidR="004248F1">
        <w:rPr>
          <w:rFonts w:ascii="Bookman Old Style" w:hAnsi="Bookman Old Style"/>
          <w:i/>
          <w:sz w:val="24"/>
          <w:szCs w:val="24"/>
        </w:rPr>
        <w:t>zación de perjuicios a cargo de</w:t>
      </w:r>
      <w:r w:rsidRPr="00E6180E">
        <w:rPr>
          <w:rFonts w:ascii="Bookman Old Style" w:hAnsi="Bookman Old Style"/>
          <w:i/>
          <w:sz w:val="24"/>
          <w:szCs w:val="24"/>
        </w:rPr>
        <w:t>l</w:t>
      </w:r>
      <w:r w:rsidR="004248F1">
        <w:rPr>
          <w:rFonts w:ascii="Bookman Old Style" w:hAnsi="Bookman Old Style"/>
          <w:i/>
          <w:sz w:val="24"/>
          <w:szCs w:val="24"/>
        </w:rPr>
        <w:t xml:space="preserve"> Municipio de Villavicencio</w:t>
      </w:r>
      <w:r w:rsidRPr="00E6180E">
        <w:rPr>
          <w:rFonts w:ascii="Bookman Old Style" w:hAnsi="Bookman Old Style"/>
          <w:i/>
          <w:sz w:val="24"/>
          <w:szCs w:val="24"/>
        </w:rPr>
        <w:t>, po</w:t>
      </w:r>
      <w:r>
        <w:rPr>
          <w:rFonts w:ascii="Bookman Old Style" w:hAnsi="Bookman Old Style"/>
          <w:i/>
          <w:sz w:val="24"/>
          <w:szCs w:val="24"/>
        </w:rPr>
        <w:t xml:space="preserve">r </w:t>
      </w:r>
      <w:r w:rsidR="004248F1">
        <w:rPr>
          <w:rFonts w:ascii="Bookman Old Style" w:hAnsi="Bookman Old Style"/>
          <w:i/>
          <w:sz w:val="24"/>
          <w:szCs w:val="24"/>
        </w:rPr>
        <w:t xml:space="preserve">la falta de pago de </w:t>
      </w:r>
      <w:r w:rsidR="004248F1">
        <w:rPr>
          <w:rFonts w:ascii="Bookman Old Style" w:eastAsiaTheme="minorHAnsi" w:hAnsi="Bookman Old Style" w:cs="Arial"/>
          <w:bCs/>
          <w:i/>
          <w:color w:val="000000"/>
          <w:sz w:val="23"/>
          <w:szCs w:val="23"/>
          <w:lang w:val="es-CO" w:eastAsia="en-US"/>
        </w:rPr>
        <w:t xml:space="preserve">15 servicios </w:t>
      </w:r>
      <w:proofErr w:type="spellStart"/>
      <w:r w:rsidR="004248F1">
        <w:rPr>
          <w:rFonts w:ascii="Bookman Old Style" w:eastAsiaTheme="minorHAnsi" w:hAnsi="Bookman Old Style" w:cs="Arial"/>
          <w:bCs/>
          <w:i/>
          <w:color w:val="000000"/>
          <w:sz w:val="23"/>
          <w:szCs w:val="23"/>
          <w:lang w:val="es-CO" w:eastAsia="en-US"/>
        </w:rPr>
        <w:t>exequiales</w:t>
      </w:r>
      <w:proofErr w:type="spellEnd"/>
      <w:r w:rsidR="004248F1">
        <w:rPr>
          <w:rFonts w:ascii="Bookman Old Style" w:eastAsiaTheme="minorHAnsi" w:hAnsi="Bookman Old Style" w:cs="Arial"/>
          <w:bCs/>
          <w:i/>
          <w:color w:val="000000"/>
          <w:sz w:val="23"/>
          <w:szCs w:val="23"/>
          <w:lang w:val="es-CO" w:eastAsia="en-US"/>
        </w:rPr>
        <w:t xml:space="preserve"> prestados a personas de escasos recursos de acuerdo a su instrucción</w:t>
      </w:r>
      <w:r w:rsidR="00315DC9">
        <w:rPr>
          <w:rFonts w:ascii="Bookman Old Style" w:eastAsiaTheme="minorHAnsi" w:hAnsi="Bookman Old Style" w:cs="Arial"/>
          <w:bCs/>
          <w:i/>
          <w:color w:val="000000"/>
          <w:sz w:val="23"/>
          <w:szCs w:val="23"/>
          <w:lang w:val="es-CO" w:eastAsia="en-US"/>
        </w:rPr>
        <w:t xml:space="preserve"> entre el 1º de julio y el 23 de agosto de 2010, </w:t>
      </w:r>
      <w:r w:rsidR="00085131">
        <w:rPr>
          <w:rFonts w:ascii="Bookman Old Style" w:eastAsiaTheme="minorHAnsi" w:hAnsi="Bookman Old Style" w:cs="Arial"/>
          <w:bCs/>
          <w:i/>
          <w:color w:val="000000"/>
          <w:sz w:val="23"/>
          <w:szCs w:val="23"/>
          <w:lang w:val="es-CO" w:eastAsia="en-US"/>
        </w:rPr>
        <w:t xml:space="preserve">por lo que la data a partir de la cual se contabilizará la caducidad, será el 24 de agosto de 2010, en acatamiento de lo previsto en el </w:t>
      </w:r>
      <w:r w:rsidRPr="004F2CEE">
        <w:rPr>
          <w:rFonts w:ascii="Bookman Old Style" w:hAnsi="Bookman Old Style" w:cs="Arial"/>
          <w:i/>
          <w:sz w:val="24"/>
          <w:szCs w:val="24"/>
        </w:rPr>
        <w:t xml:space="preserve">artículo 164 del </w:t>
      </w:r>
      <w:r w:rsidRPr="004F2CEE">
        <w:rPr>
          <w:rFonts w:ascii="Bookman Old Style" w:hAnsi="Bookman Old Style" w:cs="Arial"/>
          <w:i/>
          <w:sz w:val="24"/>
          <w:szCs w:val="24"/>
          <w:lang w:val="es-CO"/>
        </w:rPr>
        <w:t>C</w:t>
      </w:r>
      <w:r w:rsidR="00085131">
        <w:rPr>
          <w:rFonts w:ascii="Bookman Old Style" w:hAnsi="Bookman Old Style" w:cs="Arial"/>
          <w:i/>
          <w:sz w:val="24"/>
          <w:szCs w:val="24"/>
          <w:lang w:val="es-CO"/>
        </w:rPr>
        <w:t>PACA</w:t>
      </w:r>
      <w:r>
        <w:rPr>
          <w:rFonts w:ascii="Bookman Old Style" w:hAnsi="Bookman Old Style" w:cs="Arial"/>
          <w:i/>
          <w:sz w:val="24"/>
          <w:szCs w:val="24"/>
          <w:lang w:val="es-CO"/>
        </w:rPr>
        <w:t>,</w:t>
      </w:r>
      <w:r w:rsidR="00085131">
        <w:rPr>
          <w:rFonts w:ascii="Bookman Old Style" w:hAnsi="Bookman Old Style" w:cs="Arial"/>
          <w:i/>
          <w:sz w:val="24"/>
          <w:szCs w:val="24"/>
          <w:lang w:val="es-CO"/>
        </w:rPr>
        <w:t xml:space="preserve"> que</w:t>
      </w:r>
      <w:r>
        <w:rPr>
          <w:rFonts w:ascii="Bookman Old Style" w:hAnsi="Bookman Old Style" w:cs="Arial"/>
          <w:i/>
          <w:sz w:val="24"/>
          <w:szCs w:val="24"/>
          <w:lang w:val="es-CO"/>
        </w:rPr>
        <w:t xml:space="preserve"> refiriéndose a la oportunidad para presentar la demanda, </w:t>
      </w:r>
      <w:r w:rsidRPr="004F2CEE">
        <w:rPr>
          <w:rFonts w:ascii="Bookman Old Style" w:hAnsi="Bookman Old Style" w:cs="Arial"/>
          <w:i/>
          <w:sz w:val="24"/>
          <w:szCs w:val="24"/>
        </w:rPr>
        <w:t>indica:</w:t>
      </w:r>
    </w:p>
    <w:p w:rsidR="00F52EFF" w:rsidRPr="004F2CEE" w:rsidRDefault="00F52EFF" w:rsidP="00F52EFF">
      <w:pPr>
        <w:widowControl w:val="0"/>
        <w:spacing w:line="360" w:lineRule="auto"/>
        <w:ind w:left="1134" w:firstLine="1134"/>
        <w:jc w:val="both"/>
        <w:rPr>
          <w:rFonts w:ascii="Bookman Old Style" w:hAnsi="Bookman Old Style" w:cs="Arial"/>
          <w:i/>
          <w:sz w:val="24"/>
          <w:szCs w:val="24"/>
        </w:rPr>
      </w:pPr>
    </w:p>
    <w:p w:rsidR="00F52EFF" w:rsidRDefault="00F52EFF" w:rsidP="00D626B0">
      <w:pPr>
        <w:pStyle w:val="NormalWeb"/>
        <w:ind w:left="426" w:right="1015" w:firstLine="708"/>
        <w:jc w:val="both"/>
        <w:rPr>
          <w:rFonts w:ascii="Bookman Old Style" w:hAnsi="Bookman Old Style" w:cs="Arial"/>
          <w:i/>
        </w:rPr>
      </w:pPr>
      <w:r w:rsidRPr="00C11EE1">
        <w:rPr>
          <w:rFonts w:ascii="Bookman Old Style" w:hAnsi="Bookman Old Style" w:cs="Arial"/>
          <w:bCs/>
          <w:i/>
        </w:rPr>
        <w:t>“</w:t>
      </w:r>
      <w:r>
        <w:rPr>
          <w:rFonts w:ascii="Bookman Old Style" w:hAnsi="Bookman Old Style" w:cs="Arial"/>
          <w:bCs/>
          <w:i/>
        </w:rPr>
        <w:t>…</w:t>
      </w:r>
      <w:r w:rsidRPr="004F2CEE">
        <w:rPr>
          <w:rFonts w:ascii="Bookman Old Style" w:hAnsi="Bookman Old Style" w:cs="Arial"/>
          <w:i/>
          <w:iCs/>
        </w:rPr>
        <w:t xml:space="preserve"> </w:t>
      </w:r>
      <w:r w:rsidRPr="004F2CEE">
        <w:rPr>
          <w:rFonts w:ascii="Bookman Old Style" w:hAnsi="Bookman Old Style" w:cs="Arial"/>
          <w:i/>
        </w:rPr>
        <w:t xml:space="preserve">La demanda deberá ser presentada: </w:t>
      </w:r>
    </w:p>
    <w:p w:rsidR="00F52EFF" w:rsidRPr="004F2CEE" w:rsidRDefault="00F52EFF" w:rsidP="00F52EFF">
      <w:pPr>
        <w:pStyle w:val="NormalWeb"/>
        <w:ind w:left="1134" w:right="1015" w:firstLine="141"/>
        <w:jc w:val="both"/>
        <w:rPr>
          <w:rFonts w:ascii="Bookman Old Style" w:hAnsi="Bookman Old Style" w:cs="Arial"/>
          <w:i/>
        </w:rPr>
      </w:pPr>
      <w:r w:rsidRPr="004F2CEE">
        <w:rPr>
          <w:rFonts w:ascii="Bookman Old Style" w:hAnsi="Bookman Old Style" w:cs="Arial"/>
          <w:i/>
        </w:rPr>
        <w:t xml:space="preserve">(…) </w:t>
      </w:r>
    </w:p>
    <w:p w:rsidR="00F52EFF" w:rsidRDefault="00F52EFF" w:rsidP="00D626B0">
      <w:pPr>
        <w:pStyle w:val="NormalWeb"/>
        <w:ind w:left="1134" w:right="1015"/>
        <w:jc w:val="both"/>
        <w:rPr>
          <w:rFonts w:ascii="Bookman Old Style" w:hAnsi="Bookman Old Style" w:cs="Arial"/>
          <w:i/>
        </w:rPr>
      </w:pPr>
      <w:r w:rsidRPr="004F2CEE">
        <w:rPr>
          <w:rFonts w:ascii="Bookman Old Style" w:hAnsi="Bookman Old Style" w:cs="Arial"/>
          <w:i/>
        </w:rPr>
        <w:t xml:space="preserve">2. En los siguientes términos, so pena de que opere la caducidad: </w:t>
      </w:r>
    </w:p>
    <w:p w:rsidR="00D626B0" w:rsidRDefault="00F52EFF" w:rsidP="00D626B0">
      <w:pPr>
        <w:pStyle w:val="NormalWeb"/>
        <w:ind w:left="426" w:right="1015" w:firstLine="708"/>
        <w:jc w:val="both"/>
        <w:rPr>
          <w:rFonts w:ascii="Bookman Old Style" w:hAnsi="Bookman Old Style" w:cs="Arial"/>
          <w:i/>
        </w:rPr>
      </w:pPr>
      <w:r w:rsidRPr="004F2CEE">
        <w:rPr>
          <w:rFonts w:ascii="Bookman Old Style" w:hAnsi="Bookman Old Style" w:cs="Arial"/>
          <w:i/>
        </w:rPr>
        <w:t>(…)</w:t>
      </w:r>
    </w:p>
    <w:p w:rsidR="00F52EFF" w:rsidRDefault="00D626B0" w:rsidP="00D626B0">
      <w:pPr>
        <w:pStyle w:val="NormalWeb"/>
        <w:ind w:left="1134" w:right="1015"/>
        <w:jc w:val="both"/>
        <w:rPr>
          <w:rFonts w:ascii="Bookman Old Style" w:hAnsi="Bookman Old Style" w:cs="Arial"/>
          <w:i/>
        </w:rPr>
      </w:pPr>
      <w:r>
        <w:rPr>
          <w:rFonts w:ascii="Bookman Old Style" w:hAnsi="Bookman Old Style" w:cs="Arial"/>
          <w:i/>
        </w:rPr>
        <w:t xml:space="preserve">i) </w:t>
      </w:r>
      <w:r w:rsidR="00F52EFF" w:rsidRPr="004F2CEE">
        <w:rPr>
          <w:rFonts w:ascii="Bookman Old Style" w:hAnsi="Bookman Old Style" w:cs="Arial"/>
          <w:i/>
        </w:rPr>
        <w:t xml:space="preserve">Cuando se pretenda la </w:t>
      </w:r>
      <w:r w:rsidR="00F52EFF">
        <w:rPr>
          <w:rFonts w:ascii="Bookman Old Style" w:hAnsi="Bookman Old Style" w:cs="Arial"/>
          <w:i/>
        </w:rPr>
        <w:t xml:space="preserve">reparación directa, </w:t>
      </w:r>
      <w:r w:rsidR="00F52EFF" w:rsidRPr="00085131">
        <w:rPr>
          <w:rFonts w:ascii="Bookman Old Style" w:hAnsi="Bookman Old Style" w:cs="Arial"/>
          <w:b/>
          <w:i/>
        </w:rPr>
        <w:t>la demanda deberá presentarse dentro del término de dos (2) años, contados a partir del día siguiente al de la ocurrencia de la acción u omisión causante del daño</w:t>
      </w:r>
      <w:r w:rsidR="00F52EFF">
        <w:rPr>
          <w:rFonts w:ascii="Bookman Old Style" w:hAnsi="Bookman Old Style" w:cs="Arial"/>
          <w:i/>
        </w:rPr>
        <w:t>, o de cuando el demandante tuvo o debió tener conocimiento del mismo si fue en fecha posterior y siempre que pruebe la imposibilidad de haberlo conocido en la fecha de su ocurrencia.</w:t>
      </w:r>
      <w:r w:rsidR="00F52EFF" w:rsidRPr="004F2CEE">
        <w:rPr>
          <w:rFonts w:ascii="Bookman Old Style" w:hAnsi="Bookman Old Style" w:cs="Arial"/>
          <w:i/>
        </w:rPr>
        <w:t>”</w:t>
      </w:r>
      <w:r w:rsidR="004F6D40">
        <w:rPr>
          <w:rFonts w:ascii="Bookman Old Style" w:hAnsi="Bookman Old Style" w:cs="Arial"/>
          <w:i/>
        </w:rPr>
        <w:t xml:space="preserve"> (Negrilla fuera de texto)</w:t>
      </w:r>
    </w:p>
    <w:p w:rsidR="004F6D40" w:rsidRDefault="004F6D40" w:rsidP="004F6D40">
      <w:pPr>
        <w:pStyle w:val="NormalWeb"/>
        <w:shd w:val="clear" w:color="auto" w:fill="FFFFFF"/>
        <w:ind w:firstLine="1134"/>
        <w:jc w:val="both"/>
        <w:rPr>
          <w:rFonts w:ascii="Bookman Old Style" w:hAnsi="Bookman Old Style" w:cs="Arial"/>
          <w:i/>
        </w:rPr>
      </w:pPr>
    </w:p>
    <w:p w:rsidR="005C33FE" w:rsidRPr="00134E3B" w:rsidRDefault="005C33FE" w:rsidP="005C33FE">
      <w:pPr>
        <w:pStyle w:val="NormalWeb"/>
        <w:shd w:val="clear" w:color="auto" w:fill="FFFFFF"/>
        <w:spacing w:line="360" w:lineRule="auto"/>
        <w:ind w:firstLine="1134"/>
        <w:jc w:val="both"/>
        <w:rPr>
          <w:rFonts w:ascii="Bookman Old Style" w:hAnsi="Bookman Old Style" w:cs="Arial"/>
          <w:i/>
          <w:color w:val="000000"/>
        </w:rPr>
      </w:pPr>
      <w:r w:rsidRPr="00134E3B">
        <w:rPr>
          <w:rFonts w:ascii="Bookman Old Style" w:hAnsi="Bookman Old Style" w:cs="Arial"/>
          <w:i/>
        </w:rPr>
        <w:t xml:space="preserve">El artículo 13 de la Ley 1285 de 22 de enero de 2009, </w:t>
      </w:r>
      <w:r w:rsidRPr="00CD203D">
        <w:rPr>
          <w:rStyle w:val="Textoennegrita"/>
          <w:rFonts w:ascii="Bookman Old Style" w:hAnsi="Bookman Old Style" w:cs="Arial"/>
          <w:b w:val="0"/>
          <w:i/>
          <w:color w:val="000000"/>
          <w:shd w:val="clear" w:color="auto" w:fill="FFFFFF"/>
        </w:rPr>
        <w:t xml:space="preserve">por medio de la cual se reforma la Ley 270 de 1996 Estatutaria de la Administración de Justicia, </w:t>
      </w:r>
      <w:r w:rsidRPr="00CD203D">
        <w:rPr>
          <w:rFonts w:ascii="Bookman Old Style" w:hAnsi="Bookman Old Style" w:cs="Arial"/>
          <w:bCs/>
          <w:i/>
          <w:color w:val="000000"/>
        </w:rPr>
        <w:t xml:space="preserve">aprobó la introducción del artículo 42 A, referente a la </w:t>
      </w:r>
      <w:r w:rsidRPr="00CD203D">
        <w:rPr>
          <w:rStyle w:val="apple-converted-space"/>
          <w:rFonts w:ascii="Bookman Old Style" w:hAnsi="Bookman Old Style" w:cs="Arial"/>
          <w:i/>
          <w:color w:val="000000"/>
        </w:rPr>
        <w:t> </w:t>
      </w:r>
      <w:r w:rsidRPr="00CD203D">
        <w:rPr>
          <w:rFonts w:ascii="Bookman Old Style" w:hAnsi="Bookman Old Style" w:cs="Arial"/>
          <w:i/>
          <w:iCs/>
          <w:color w:val="000000"/>
        </w:rPr>
        <w:t xml:space="preserve">Conciliación </w:t>
      </w:r>
      <w:r w:rsidRPr="00134E3B">
        <w:rPr>
          <w:rFonts w:ascii="Bookman Old Style" w:hAnsi="Bookman Old Style" w:cs="Arial"/>
          <w:i/>
          <w:iCs/>
          <w:color w:val="000000"/>
        </w:rPr>
        <w:t xml:space="preserve">judicial y </w:t>
      </w:r>
      <w:r w:rsidRPr="00134E3B">
        <w:rPr>
          <w:rFonts w:ascii="Bookman Old Style" w:hAnsi="Bookman Old Style" w:cs="Arial"/>
          <w:i/>
          <w:iCs/>
          <w:color w:val="000000"/>
        </w:rPr>
        <w:lastRenderedPageBreak/>
        <w:t>extrajudicial en materia contencioso-administrativa</w:t>
      </w:r>
      <w:r w:rsidRPr="00134E3B">
        <w:rPr>
          <w:rFonts w:ascii="Bookman Old Style" w:hAnsi="Bookman Old Style" w:cs="Arial"/>
          <w:i/>
          <w:color w:val="000000"/>
        </w:rPr>
        <w:t xml:space="preserve">, a partir de su vigencia es </w:t>
      </w:r>
      <w:r w:rsidRPr="00134E3B">
        <w:rPr>
          <w:rFonts w:ascii="Bookman Old Style" w:hAnsi="Bookman Old Style" w:cs="Arial"/>
          <w:i/>
        </w:rPr>
        <w:t xml:space="preserve">requisito de </w:t>
      </w:r>
      <w:proofErr w:type="spellStart"/>
      <w:r w:rsidRPr="00134E3B">
        <w:rPr>
          <w:rFonts w:ascii="Bookman Old Style" w:hAnsi="Bookman Old Style" w:cs="Arial"/>
          <w:i/>
        </w:rPr>
        <w:t>procedibilidad</w:t>
      </w:r>
      <w:proofErr w:type="spellEnd"/>
      <w:r w:rsidRPr="00134E3B">
        <w:rPr>
          <w:rFonts w:ascii="Bookman Old Style" w:hAnsi="Bookman Old Style" w:cs="Arial"/>
          <w:i/>
        </w:rPr>
        <w:t xml:space="preserve">, para el ejercicio de las acciones de nulidad y restablecimiento del derecho, de reparación directa y  controversias contractuales, </w:t>
      </w:r>
      <w:r w:rsidRPr="00134E3B">
        <w:rPr>
          <w:rFonts w:ascii="Bookman Old Style" w:hAnsi="Bookman Old Style" w:cs="Arial"/>
          <w:i/>
          <w:color w:val="211D1E"/>
        </w:rPr>
        <w:t>el adelantamiento del trámite de la conciliación extrajudicial, “</w:t>
      </w:r>
      <w:r w:rsidRPr="00134E3B">
        <w:rPr>
          <w:rFonts w:ascii="Bookman Old Style" w:hAnsi="Bookman Old Style" w:cs="Arial"/>
          <w:i/>
          <w:color w:val="000000"/>
        </w:rPr>
        <w:t>cuando los asuntos sean conciliables”, pues dice:</w:t>
      </w:r>
    </w:p>
    <w:p w:rsidR="005C33FE" w:rsidRPr="00CD203D" w:rsidRDefault="005C33FE" w:rsidP="00EC7274">
      <w:pPr>
        <w:ind w:left="1134" w:right="959"/>
        <w:jc w:val="both"/>
        <w:rPr>
          <w:rFonts w:ascii="Bookman Old Style" w:hAnsi="Bookman Old Style" w:cs="Arial"/>
          <w:i/>
          <w:color w:val="211D1E"/>
        </w:rPr>
      </w:pPr>
      <w:r w:rsidRPr="00134E3B">
        <w:rPr>
          <w:rFonts w:ascii="Bookman Old Style" w:hAnsi="Bookman Old Style" w:cs="Arial"/>
          <w:i/>
        </w:rPr>
        <w:t>“ARTÍCULO 13.</w:t>
      </w:r>
      <w:r w:rsidRPr="00134E3B">
        <w:rPr>
          <w:rFonts w:ascii="Bookman Old Style" w:hAnsi="Bookman Old Style" w:cs="Arial"/>
          <w:b/>
          <w:bCs/>
          <w:i/>
          <w:color w:val="211D1E"/>
        </w:rPr>
        <w:t xml:space="preserve"> </w:t>
      </w:r>
      <w:proofErr w:type="spellStart"/>
      <w:r w:rsidRPr="00CD203D">
        <w:rPr>
          <w:rFonts w:ascii="Bookman Old Style" w:hAnsi="Bookman Old Style" w:cs="Arial"/>
          <w:bCs/>
          <w:i/>
          <w:color w:val="211D1E"/>
        </w:rPr>
        <w:t>Apruébase</w:t>
      </w:r>
      <w:proofErr w:type="spellEnd"/>
      <w:r w:rsidRPr="00CD203D">
        <w:rPr>
          <w:rFonts w:ascii="Bookman Old Style" w:hAnsi="Bookman Old Style" w:cs="Arial"/>
          <w:bCs/>
          <w:i/>
          <w:color w:val="211D1E"/>
        </w:rPr>
        <w:t xml:space="preserve"> como artículo nuevo de la Ley 270 de 1996 el siguiente</w:t>
      </w:r>
      <w:r w:rsidRPr="00CD203D">
        <w:rPr>
          <w:rFonts w:ascii="Bookman Old Style" w:hAnsi="Bookman Old Style" w:cs="Arial"/>
          <w:i/>
          <w:color w:val="211D1E"/>
        </w:rPr>
        <w:t>:</w:t>
      </w:r>
    </w:p>
    <w:p w:rsidR="005C33FE" w:rsidRPr="00CD203D" w:rsidRDefault="005C33FE" w:rsidP="00EC7274">
      <w:pPr>
        <w:ind w:left="1134" w:right="959"/>
        <w:jc w:val="both"/>
        <w:rPr>
          <w:rFonts w:ascii="Bookman Old Style" w:hAnsi="Bookman Old Style" w:cs="Arial"/>
          <w:i/>
        </w:rPr>
      </w:pPr>
    </w:p>
    <w:p w:rsidR="005C33FE" w:rsidRDefault="005C33FE" w:rsidP="00EC7274">
      <w:pPr>
        <w:ind w:left="1134" w:right="959"/>
        <w:jc w:val="both"/>
        <w:rPr>
          <w:rFonts w:ascii="Bookman Old Style" w:hAnsi="Bookman Old Style" w:cs="Arial"/>
          <w:i/>
          <w:sz w:val="24"/>
          <w:szCs w:val="24"/>
        </w:rPr>
      </w:pPr>
      <w:r w:rsidRPr="00134E3B">
        <w:rPr>
          <w:rFonts w:ascii="Bookman Old Style" w:hAnsi="Bookman Old Style" w:cs="Arial"/>
          <w:i/>
          <w:color w:val="211D1E"/>
        </w:rPr>
        <w:t xml:space="preserve">“Artículo </w:t>
      </w:r>
      <w:hyperlink r:id="rId9" w:anchor="42A" w:tgtFrame="_blank" w:history="1">
        <w:r w:rsidRPr="00134E3B">
          <w:rPr>
            <w:rFonts w:ascii="Bookman Old Style" w:hAnsi="Bookman Old Style" w:cs="Arial"/>
            <w:i/>
            <w:color w:val="000000"/>
          </w:rPr>
          <w:t>42A</w:t>
        </w:r>
      </w:hyperlink>
      <w:r w:rsidRPr="00134E3B">
        <w:rPr>
          <w:rFonts w:ascii="Bookman Old Style" w:hAnsi="Bookman Old Style" w:cs="Arial"/>
          <w:i/>
          <w:color w:val="211D1E"/>
        </w:rPr>
        <w:t xml:space="preserve">. </w:t>
      </w:r>
      <w:r w:rsidRPr="00134E3B">
        <w:rPr>
          <w:rFonts w:ascii="Bookman Old Style" w:hAnsi="Bookman Old Style" w:cs="Arial"/>
          <w:i/>
          <w:iCs/>
          <w:color w:val="211D1E"/>
        </w:rPr>
        <w:t>Conciliación judicial y extrajudicial en materia contencioso-administrativa</w:t>
      </w:r>
      <w:r w:rsidRPr="00134E3B">
        <w:rPr>
          <w:rFonts w:ascii="Bookman Old Style" w:hAnsi="Bookman Old Style" w:cs="Arial"/>
          <w:i/>
          <w:color w:val="211D1E"/>
        </w:rPr>
        <w:t xml:space="preserve">. A partir de la vigencia de esta ley, </w:t>
      </w:r>
      <w:r w:rsidRPr="00CD203D">
        <w:rPr>
          <w:rFonts w:ascii="Bookman Old Style" w:hAnsi="Bookman Old Style" w:cs="Arial"/>
          <w:i/>
          <w:color w:val="211D1E"/>
        </w:rPr>
        <w:t>cuando los asuntos sean conciliables, siempre constituirá requisito de</w:t>
      </w:r>
      <w:r w:rsidRPr="00134E3B">
        <w:rPr>
          <w:rFonts w:ascii="Bookman Old Style" w:hAnsi="Bookman Old Style" w:cs="Arial"/>
          <w:i/>
          <w:color w:val="211D1E"/>
        </w:rPr>
        <w:t xml:space="preserve"> </w:t>
      </w:r>
      <w:proofErr w:type="spellStart"/>
      <w:r w:rsidRPr="00134E3B">
        <w:rPr>
          <w:rFonts w:ascii="Bookman Old Style" w:hAnsi="Bookman Old Style" w:cs="Arial"/>
          <w:i/>
          <w:color w:val="211D1E"/>
        </w:rPr>
        <w:t>procedibilidad</w:t>
      </w:r>
      <w:proofErr w:type="spellEnd"/>
      <w:r w:rsidRPr="00134E3B">
        <w:rPr>
          <w:rFonts w:ascii="Bookman Old Style" w:hAnsi="Bookman Old Style" w:cs="Arial"/>
          <w:i/>
          <w:color w:val="211D1E"/>
        </w:rPr>
        <w:t xml:space="preserve"> de las acciones previstas en los artículos </w:t>
      </w:r>
      <w:hyperlink r:id="rId10" w:anchor="85" w:tgtFrame="_blank" w:history="1">
        <w:r w:rsidRPr="00134E3B">
          <w:rPr>
            <w:rFonts w:ascii="Bookman Old Style" w:hAnsi="Bookman Old Style" w:cs="Arial"/>
            <w:i/>
            <w:color w:val="000000"/>
          </w:rPr>
          <w:t>85</w:t>
        </w:r>
      </w:hyperlink>
      <w:r w:rsidRPr="00134E3B">
        <w:rPr>
          <w:rFonts w:ascii="Bookman Old Style" w:hAnsi="Bookman Old Style" w:cs="Arial"/>
          <w:i/>
          <w:color w:val="211D1E"/>
        </w:rPr>
        <w:t xml:space="preserve">, </w:t>
      </w:r>
      <w:hyperlink r:id="rId11" w:anchor="86" w:tgtFrame="_blank" w:history="1">
        <w:r w:rsidRPr="00134E3B">
          <w:rPr>
            <w:rFonts w:ascii="Bookman Old Style" w:hAnsi="Bookman Old Style" w:cs="Arial"/>
            <w:i/>
            <w:color w:val="000000"/>
          </w:rPr>
          <w:t>86</w:t>
        </w:r>
      </w:hyperlink>
      <w:r w:rsidRPr="00134E3B">
        <w:rPr>
          <w:rFonts w:ascii="Bookman Old Style" w:hAnsi="Bookman Old Style" w:cs="Arial"/>
          <w:i/>
          <w:color w:val="211D1E"/>
        </w:rPr>
        <w:t xml:space="preserve"> y </w:t>
      </w:r>
      <w:hyperlink r:id="rId12" w:anchor="87" w:tgtFrame="_blank" w:history="1">
        <w:r w:rsidRPr="00134E3B">
          <w:rPr>
            <w:rFonts w:ascii="Bookman Old Style" w:hAnsi="Bookman Old Style" w:cs="Arial"/>
            <w:i/>
            <w:color w:val="000000"/>
          </w:rPr>
          <w:t>87</w:t>
        </w:r>
      </w:hyperlink>
      <w:r w:rsidRPr="00134E3B">
        <w:rPr>
          <w:rFonts w:ascii="Bookman Old Style" w:hAnsi="Bookman Old Style" w:cs="Arial"/>
          <w:i/>
          <w:color w:val="211D1E"/>
        </w:rPr>
        <w:t xml:space="preserve"> del Código Contencioso Administrativo o en las normas que lo sustituyan, el adelantamiento del trámite de la conciliación extrajudicial.”.</w:t>
      </w:r>
    </w:p>
    <w:p w:rsidR="005C33FE" w:rsidRPr="005C33FE" w:rsidRDefault="005C33FE" w:rsidP="00FF6E17">
      <w:pPr>
        <w:spacing w:line="360" w:lineRule="auto"/>
        <w:ind w:firstLine="1134"/>
        <w:jc w:val="both"/>
        <w:rPr>
          <w:rFonts w:ascii="Bookman Old Style" w:hAnsi="Bookman Old Style" w:cs="Arial"/>
          <w:i/>
          <w:sz w:val="24"/>
          <w:szCs w:val="24"/>
        </w:rPr>
      </w:pPr>
    </w:p>
    <w:p w:rsidR="003608E5" w:rsidRDefault="005C33FE" w:rsidP="00CD203D">
      <w:pPr>
        <w:spacing w:line="360" w:lineRule="auto"/>
        <w:ind w:firstLine="1134"/>
        <w:jc w:val="both"/>
        <w:rPr>
          <w:rFonts w:ascii="Bookman Old Style" w:hAnsi="Bookman Old Style" w:cs="Arial"/>
          <w:i/>
          <w:sz w:val="24"/>
          <w:szCs w:val="24"/>
          <w:lang w:val="es-CO"/>
        </w:rPr>
      </w:pPr>
      <w:r>
        <w:rPr>
          <w:rFonts w:ascii="Bookman Old Style" w:hAnsi="Bookman Old Style" w:cs="Arial"/>
          <w:i/>
          <w:sz w:val="24"/>
          <w:szCs w:val="24"/>
          <w:lang w:val="es-CO"/>
        </w:rPr>
        <w:t>La Ley 640 de 2001 prevé la suspensión de la prescripción o de la caducidad en su artículo 21, en el que establece</w:t>
      </w:r>
      <w:r w:rsidR="003608E5">
        <w:rPr>
          <w:rFonts w:ascii="Bookman Old Style" w:hAnsi="Bookman Old Style" w:cs="Arial"/>
          <w:i/>
          <w:sz w:val="24"/>
          <w:szCs w:val="24"/>
          <w:lang w:val="es-CO"/>
        </w:rPr>
        <w:t>:</w:t>
      </w:r>
    </w:p>
    <w:p w:rsidR="003608E5" w:rsidRPr="003608E5" w:rsidRDefault="003608E5" w:rsidP="003608E5">
      <w:pPr>
        <w:ind w:left="1134" w:right="958"/>
        <w:jc w:val="both"/>
        <w:rPr>
          <w:rFonts w:ascii="Bookman Old Style" w:hAnsi="Bookman Old Style" w:cs="Arial"/>
          <w:i/>
          <w:color w:val="000000"/>
          <w:sz w:val="24"/>
          <w:szCs w:val="24"/>
          <w:shd w:val="clear" w:color="auto" w:fill="FFFFFF"/>
        </w:rPr>
      </w:pPr>
    </w:p>
    <w:p w:rsidR="004F6D40" w:rsidRPr="004F6D40" w:rsidRDefault="003608E5" w:rsidP="004F6D40">
      <w:pPr>
        <w:ind w:left="1134" w:right="958"/>
        <w:jc w:val="both"/>
        <w:rPr>
          <w:rFonts w:ascii="Bookman Old Style" w:hAnsi="Bookman Old Style" w:cs="Arial"/>
          <w:i/>
        </w:rPr>
      </w:pPr>
      <w:r w:rsidRPr="00EC7274">
        <w:rPr>
          <w:rFonts w:ascii="Bookman Old Style" w:hAnsi="Bookman Old Style" w:cs="Arial"/>
          <w:i/>
          <w:color w:val="000000"/>
          <w:shd w:val="clear" w:color="auto" w:fill="FFFFFF"/>
        </w:rPr>
        <w:t>“</w:t>
      </w:r>
      <w:r w:rsidR="005C33FE" w:rsidRPr="00EC7274">
        <w:rPr>
          <w:rFonts w:ascii="Bookman Old Style" w:hAnsi="Bookman Old Style" w:cs="Arial"/>
          <w:b/>
          <w:i/>
          <w:color w:val="000000"/>
          <w:shd w:val="clear" w:color="auto" w:fill="FFFFFF"/>
        </w:rPr>
        <w:t>La presentación de la solicitud de conciliación extrajudicial</w:t>
      </w:r>
      <w:r w:rsidR="005C33FE" w:rsidRPr="00EC7274">
        <w:rPr>
          <w:rFonts w:ascii="Bookman Old Style" w:hAnsi="Bookman Old Style" w:cs="Arial"/>
          <w:i/>
          <w:color w:val="000000"/>
          <w:shd w:val="clear" w:color="auto" w:fill="FFFFFF"/>
        </w:rPr>
        <w:t xml:space="preserve"> en derecho ante el conciliador </w:t>
      </w:r>
      <w:r w:rsidR="005C33FE" w:rsidRPr="00EC7274">
        <w:rPr>
          <w:rFonts w:ascii="Bookman Old Style" w:hAnsi="Bookman Old Style" w:cs="Arial"/>
          <w:b/>
          <w:i/>
          <w:color w:val="000000"/>
          <w:shd w:val="clear" w:color="auto" w:fill="FFFFFF"/>
        </w:rPr>
        <w:t>suspende el término de prescripción o de caducidad</w:t>
      </w:r>
      <w:r w:rsidR="005C33FE" w:rsidRPr="00EC7274">
        <w:rPr>
          <w:rFonts w:ascii="Bookman Old Style" w:hAnsi="Bookman Old Style" w:cs="Arial"/>
          <w:i/>
          <w:color w:val="000000"/>
          <w:shd w:val="clear" w:color="auto" w:fill="FFFFFF"/>
        </w:rPr>
        <w:t xml:space="preserve">, según el caso, hasta que se logre el acuerdo conciliatorio </w:t>
      </w:r>
      <w:r w:rsidR="005C33FE" w:rsidRPr="00EC7274">
        <w:rPr>
          <w:rFonts w:ascii="Bookman Old Style" w:hAnsi="Bookman Old Style" w:cs="Arial"/>
          <w:b/>
          <w:i/>
          <w:color w:val="000000"/>
          <w:shd w:val="clear" w:color="auto" w:fill="FFFFFF"/>
        </w:rPr>
        <w:t xml:space="preserve">o </w:t>
      </w:r>
      <w:r w:rsidR="005C33FE" w:rsidRPr="00EC7274">
        <w:rPr>
          <w:rFonts w:ascii="Bookman Old Style" w:hAnsi="Bookman Old Style" w:cs="Arial"/>
          <w:i/>
          <w:color w:val="000000"/>
          <w:shd w:val="clear" w:color="auto" w:fill="FFFFFF"/>
        </w:rPr>
        <w:t xml:space="preserve">hasta que el acta de conciliación se haya registrado en los casos en que este trámite sea exigido por la ley </w:t>
      </w:r>
      <w:r w:rsidR="005C33FE" w:rsidRPr="00EC7274">
        <w:rPr>
          <w:rFonts w:ascii="Bookman Old Style" w:hAnsi="Bookman Old Style" w:cs="Arial"/>
          <w:b/>
          <w:i/>
          <w:color w:val="000000"/>
          <w:shd w:val="clear" w:color="auto" w:fill="FFFFFF"/>
        </w:rPr>
        <w:t xml:space="preserve">o </w:t>
      </w:r>
      <w:r w:rsidR="005C33FE" w:rsidRPr="00EC7274">
        <w:rPr>
          <w:rFonts w:ascii="Bookman Old Style" w:hAnsi="Bookman Old Style" w:cs="Arial"/>
          <w:i/>
          <w:color w:val="000000"/>
          <w:shd w:val="clear" w:color="auto" w:fill="FFFFFF"/>
        </w:rPr>
        <w:t xml:space="preserve">hasta que se expidan las constancias a que se refiere el artículo 2º de la presente ley o hasta que se venza el término de tres (3) meses a que se refiere el artículo anterior, </w:t>
      </w:r>
      <w:r w:rsidR="005C33FE" w:rsidRPr="00EC7274">
        <w:rPr>
          <w:rFonts w:ascii="Bookman Old Style" w:hAnsi="Bookman Old Style" w:cs="Arial"/>
          <w:b/>
          <w:i/>
          <w:color w:val="000000"/>
          <w:shd w:val="clear" w:color="auto" w:fill="FFFFFF"/>
        </w:rPr>
        <w:t>lo que ocurra primero</w:t>
      </w:r>
      <w:r w:rsidR="005C33FE" w:rsidRPr="00EC7274">
        <w:rPr>
          <w:rFonts w:ascii="Bookman Old Style" w:hAnsi="Bookman Old Style" w:cs="Arial"/>
          <w:i/>
          <w:color w:val="000000"/>
          <w:shd w:val="clear" w:color="auto" w:fill="FFFFFF"/>
        </w:rPr>
        <w:t>. Esta suspensión operará por una sola vez y será improrrogable.</w:t>
      </w:r>
      <w:r w:rsidRPr="00EC7274">
        <w:rPr>
          <w:rFonts w:ascii="Bookman Old Style" w:hAnsi="Bookman Old Style" w:cs="Arial"/>
          <w:i/>
          <w:color w:val="000000"/>
          <w:shd w:val="clear" w:color="auto" w:fill="FFFFFF"/>
        </w:rPr>
        <w:t>”</w:t>
      </w:r>
      <w:r w:rsidR="004F6D40">
        <w:rPr>
          <w:rFonts w:ascii="Bookman Old Style" w:hAnsi="Bookman Old Style" w:cs="Arial"/>
          <w:i/>
          <w:color w:val="000000"/>
          <w:shd w:val="clear" w:color="auto" w:fill="FFFFFF"/>
        </w:rPr>
        <w:t xml:space="preserve"> </w:t>
      </w:r>
      <w:r w:rsidR="004F6D40" w:rsidRPr="004F6D40">
        <w:rPr>
          <w:rFonts w:ascii="Bookman Old Style" w:hAnsi="Bookman Old Style" w:cs="Arial"/>
          <w:i/>
        </w:rPr>
        <w:t>(Negrilla fuera de texto)</w:t>
      </w:r>
    </w:p>
    <w:p w:rsidR="004F6D40" w:rsidRPr="00EC7274" w:rsidRDefault="004F6D40" w:rsidP="003608E5">
      <w:pPr>
        <w:ind w:left="1134" w:right="958"/>
        <w:jc w:val="both"/>
        <w:rPr>
          <w:rFonts w:ascii="Bookman Old Style" w:hAnsi="Bookman Old Style" w:cs="Arial"/>
          <w:i/>
          <w:color w:val="000000"/>
          <w:shd w:val="clear" w:color="auto" w:fill="FFFFFF"/>
        </w:rPr>
      </w:pPr>
    </w:p>
    <w:p w:rsidR="003608E5" w:rsidRDefault="003608E5" w:rsidP="003608E5">
      <w:pPr>
        <w:ind w:left="1134" w:right="958"/>
        <w:jc w:val="both"/>
        <w:rPr>
          <w:rFonts w:ascii="Bookman Old Style" w:hAnsi="Bookman Old Style" w:cs="Arial"/>
          <w:i/>
          <w:color w:val="000000"/>
          <w:sz w:val="24"/>
          <w:szCs w:val="24"/>
          <w:shd w:val="clear" w:color="auto" w:fill="FFFFFF"/>
        </w:rPr>
      </w:pPr>
    </w:p>
    <w:p w:rsidR="00CD203D" w:rsidRDefault="00CD203D" w:rsidP="003A544C">
      <w:pPr>
        <w:tabs>
          <w:tab w:val="left" w:pos="9464"/>
        </w:tabs>
        <w:spacing w:line="360" w:lineRule="auto"/>
        <w:ind w:right="-34" w:firstLine="1134"/>
        <w:jc w:val="both"/>
        <w:rPr>
          <w:rFonts w:ascii="Bookman Old Style" w:hAnsi="Bookman Old Style" w:cs="Arial"/>
          <w:i/>
          <w:color w:val="000000"/>
          <w:sz w:val="24"/>
          <w:szCs w:val="24"/>
          <w:shd w:val="clear" w:color="auto" w:fill="FFFFFF"/>
        </w:rPr>
      </w:pPr>
    </w:p>
    <w:p w:rsidR="00FC02C6" w:rsidRPr="003A544C" w:rsidRDefault="003608E5" w:rsidP="003A544C">
      <w:pPr>
        <w:tabs>
          <w:tab w:val="left" w:pos="9464"/>
        </w:tabs>
        <w:spacing w:line="360" w:lineRule="auto"/>
        <w:ind w:right="-34" w:firstLine="1134"/>
        <w:jc w:val="both"/>
        <w:rPr>
          <w:rFonts w:ascii="Bookman Old Style" w:hAnsi="Bookman Old Style" w:cs="Arial"/>
          <w:i/>
          <w:sz w:val="24"/>
          <w:szCs w:val="24"/>
          <w:lang w:val="es-CO"/>
        </w:rPr>
      </w:pPr>
      <w:r w:rsidRPr="003A544C">
        <w:rPr>
          <w:rFonts w:ascii="Bookman Old Style" w:hAnsi="Bookman Old Style" w:cs="Arial"/>
          <w:i/>
          <w:color w:val="000000"/>
          <w:sz w:val="24"/>
          <w:szCs w:val="24"/>
          <w:shd w:val="clear" w:color="auto" w:fill="FFFFFF"/>
        </w:rPr>
        <w:t>El Decreto 1716 de 2009, p</w:t>
      </w:r>
      <w:r w:rsidRPr="003A544C">
        <w:rPr>
          <w:rStyle w:val="Textoennegrita"/>
          <w:rFonts w:ascii="Bookman Old Style" w:hAnsi="Bookman Old Style" w:cs="Arial"/>
          <w:b w:val="0"/>
          <w:i/>
          <w:color w:val="000000"/>
          <w:sz w:val="24"/>
          <w:szCs w:val="24"/>
          <w:shd w:val="clear" w:color="auto" w:fill="FFFFFF"/>
        </w:rPr>
        <w:t>or el cual se reglamenta el artículo</w:t>
      </w:r>
      <w:r w:rsidR="00086021" w:rsidRPr="003A544C">
        <w:rPr>
          <w:rStyle w:val="Textoennegrita"/>
          <w:rFonts w:ascii="Bookman Old Style" w:hAnsi="Bookman Old Style" w:cs="Arial"/>
          <w:b w:val="0"/>
          <w:i/>
          <w:color w:val="000000"/>
          <w:sz w:val="24"/>
          <w:szCs w:val="24"/>
          <w:shd w:val="clear" w:color="auto" w:fill="FFFFFF"/>
        </w:rPr>
        <w:t xml:space="preserve"> 13</w:t>
      </w:r>
      <w:r w:rsidRPr="003A544C">
        <w:rPr>
          <w:rStyle w:val="apple-converted-space"/>
          <w:rFonts w:ascii="Bookman Old Style" w:hAnsi="Bookman Old Style" w:cs="Arial"/>
          <w:b/>
          <w:bCs/>
          <w:i/>
          <w:color w:val="000000"/>
          <w:sz w:val="24"/>
          <w:szCs w:val="24"/>
          <w:shd w:val="clear" w:color="auto" w:fill="FFFFFF"/>
        </w:rPr>
        <w:t> </w:t>
      </w:r>
      <w:r w:rsidRPr="003A544C">
        <w:rPr>
          <w:rStyle w:val="Textoennegrita"/>
          <w:rFonts w:ascii="Bookman Old Style" w:hAnsi="Bookman Old Style" w:cs="Arial"/>
          <w:b w:val="0"/>
          <w:i/>
          <w:color w:val="000000"/>
          <w:sz w:val="24"/>
          <w:szCs w:val="24"/>
          <w:shd w:val="clear" w:color="auto" w:fill="FFFFFF"/>
        </w:rPr>
        <w:t>de la Ley 1285 de 2009, el artículo</w:t>
      </w:r>
      <w:r w:rsidRPr="003A544C">
        <w:rPr>
          <w:rStyle w:val="apple-converted-space"/>
          <w:rFonts w:ascii="Bookman Old Style" w:hAnsi="Bookman Old Style" w:cs="Arial"/>
          <w:b/>
          <w:i/>
          <w:color w:val="000000"/>
          <w:sz w:val="24"/>
          <w:szCs w:val="24"/>
          <w:shd w:val="clear" w:color="auto" w:fill="FFFFFF"/>
        </w:rPr>
        <w:t> </w:t>
      </w:r>
      <w:r w:rsidR="00086021" w:rsidRPr="003A544C">
        <w:rPr>
          <w:rStyle w:val="apple-converted-space"/>
          <w:rFonts w:ascii="Bookman Old Style" w:hAnsi="Bookman Old Style" w:cs="Arial"/>
          <w:i/>
          <w:color w:val="000000"/>
          <w:sz w:val="24"/>
          <w:szCs w:val="24"/>
          <w:shd w:val="clear" w:color="auto" w:fill="FFFFFF"/>
        </w:rPr>
        <w:t xml:space="preserve"> 75</w:t>
      </w:r>
      <w:r w:rsidR="00086021" w:rsidRPr="003A544C">
        <w:rPr>
          <w:rStyle w:val="apple-converted-space"/>
          <w:rFonts w:ascii="Bookman Old Style" w:hAnsi="Bookman Old Style" w:cs="Arial"/>
          <w:b/>
          <w:i/>
          <w:color w:val="000000"/>
          <w:sz w:val="24"/>
          <w:szCs w:val="24"/>
          <w:shd w:val="clear" w:color="auto" w:fill="FFFFFF"/>
        </w:rPr>
        <w:t xml:space="preserve"> </w:t>
      </w:r>
      <w:r w:rsidRPr="003A544C">
        <w:rPr>
          <w:rStyle w:val="Textoennegrita"/>
          <w:rFonts w:ascii="Bookman Old Style" w:hAnsi="Bookman Old Style" w:cs="Arial"/>
          <w:b w:val="0"/>
          <w:i/>
          <w:color w:val="000000"/>
          <w:sz w:val="24"/>
          <w:szCs w:val="24"/>
          <w:shd w:val="clear" w:color="auto" w:fill="FFFFFF"/>
        </w:rPr>
        <w:t>de la Ley 446 de 1998 y del Capítulo</w:t>
      </w:r>
      <w:r w:rsidRPr="003A544C">
        <w:rPr>
          <w:rStyle w:val="apple-converted-space"/>
          <w:rFonts w:ascii="Bookman Old Style" w:hAnsi="Bookman Old Style" w:cs="Arial"/>
          <w:b/>
          <w:i/>
          <w:color w:val="000000"/>
          <w:sz w:val="24"/>
          <w:szCs w:val="24"/>
          <w:shd w:val="clear" w:color="auto" w:fill="FFFFFF"/>
        </w:rPr>
        <w:t> </w:t>
      </w:r>
      <w:r w:rsidR="00086021" w:rsidRPr="003A544C">
        <w:rPr>
          <w:rStyle w:val="apple-converted-space"/>
          <w:rFonts w:ascii="Bookman Old Style" w:hAnsi="Bookman Old Style" w:cs="Arial"/>
          <w:i/>
          <w:color w:val="000000"/>
          <w:sz w:val="24"/>
          <w:szCs w:val="24"/>
          <w:shd w:val="clear" w:color="auto" w:fill="FFFFFF"/>
        </w:rPr>
        <w:t>V</w:t>
      </w:r>
      <w:r w:rsidRPr="003A544C">
        <w:rPr>
          <w:rStyle w:val="apple-converted-space"/>
          <w:rFonts w:ascii="Bookman Old Style" w:hAnsi="Bookman Old Style" w:cs="Arial"/>
          <w:bCs/>
          <w:i/>
          <w:color w:val="000000"/>
          <w:sz w:val="24"/>
          <w:szCs w:val="24"/>
          <w:shd w:val="clear" w:color="auto" w:fill="FFFFFF"/>
        </w:rPr>
        <w:t> </w:t>
      </w:r>
      <w:r w:rsidRPr="003A544C">
        <w:rPr>
          <w:rStyle w:val="Textoennegrita"/>
          <w:rFonts w:ascii="Bookman Old Style" w:hAnsi="Bookman Old Style" w:cs="Arial"/>
          <w:b w:val="0"/>
          <w:i/>
          <w:color w:val="000000"/>
          <w:sz w:val="24"/>
          <w:szCs w:val="24"/>
          <w:shd w:val="clear" w:color="auto" w:fill="FFFFFF"/>
        </w:rPr>
        <w:t>de la Ley 640 de 2001</w:t>
      </w:r>
      <w:r w:rsidR="00086021" w:rsidRPr="003A544C">
        <w:rPr>
          <w:rStyle w:val="Textoennegrita"/>
          <w:rFonts w:ascii="Bookman Old Style" w:hAnsi="Bookman Old Style" w:cs="Arial"/>
          <w:b w:val="0"/>
          <w:i/>
          <w:color w:val="000000"/>
          <w:sz w:val="24"/>
          <w:szCs w:val="24"/>
          <w:shd w:val="clear" w:color="auto" w:fill="FFFFFF"/>
        </w:rPr>
        <w:t xml:space="preserve">, </w:t>
      </w:r>
      <w:r w:rsidR="003516AC" w:rsidRPr="003A544C">
        <w:rPr>
          <w:rStyle w:val="Textoennegrita"/>
          <w:rFonts w:ascii="Bookman Old Style" w:hAnsi="Bookman Old Style" w:cs="Arial"/>
          <w:b w:val="0"/>
          <w:i/>
          <w:color w:val="000000"/>
          <w:sz w:val="24"/>
          <w:szCs w:val="24"/>
          <w:shd w:val="clear" w:color="auto" w:fill="FFFFFF"/>
        </w:rPr>
        <w:t>ratificó los términos de la suspensión con ocasión de la presentación de la solicitud de conciliación  extrajudicial, señalando</w:t>
      </w:r>
      <w:r w:rsidR="00FC02C6" w:rsidRPr="003A544C">
        <w:rPr>
          <w:rStyle w:val="Textoennegrita"/>
          <w:rFonts w:ascii="Bookman Old Style" w:hAnsi="Bookman Old Style" w:cs="Arial"/>
          <w:b w:val="0"/>
          <w:i/>
          <w:color w:val="000000"/>
          <w:sz w:val="24"/>
          <w:szCs w:val="24"/>
          <w:shd w:val="clear" w:color="auto" w:fill="FFFFFF"/>
        </w:rPr>
        <w:t>:</w:t>
      </w:r>
    </w:p>
    <w:p w:rsidR="003516AC" w:rsidRPr="00EC7274" w:rsidRDefault="00FC02C6" w:rsidP="003516AC">
      <w:pPr>
        <w:pStyle w:val="NormalWeb"/>
        <w:shd w:val="clear" w:color="auto" w:fill="FFFFFF"/>
        <w:ind w:left="1134" w:right="1100"/>
        <w:jc w:val="both"/>
        <w:rPr>
          <w:rFonts w:ascii="Bookman Old Style" w:hAnsi="Bookman Old Style" w:cs="Arial"/>
          <w:i/>
          <w:color w:val="000000"/>
          <w:sz w:val="20"/>
          <w:szCs w:val="20"/>
        </w:rPr>
      </w:pPr>
      <w:r w:rsidRPr="00EC7274">
        <w:rPr>
          <w:rFonts w:ascii="Bookman Old Style" w:hAnsi="Bookman Old Style" w:cs="Arial"/>
          <w:b/>
          <w:bCs/>
          <w:i/>
          <w:color w:val="000000"/>
          <w:sz w:val="20"/>
          <w:szCs w:val="20"/>
        </w:rPr>
        <w:t>“</w:t>
      </w:r>
      <w:r w:rsidR="003516AC" w:rsidRPr="00EC7274">
        <w:rPr>
          <w:rFonts w:ascii="Bookman Old Style" w:hAnsi="Bookman Old Style" w:cs="Arial"/>
          <w:b/>
          <w:bCs/>
          <w:i/>
          <w:color w:val="000000"/>
          <w:sz w:val="20"/>
          <w:szCs w:val="20"/>
        </w:rPr>
        <w:t>Artículo 3°.</w:t>
      </w:r>
      <w:r w:rsidR="003516AC" w:rsidRPr="00EC7274">
        <w:rPr>
          <w:rStyle w:val="apple-converted-space"/>
          <w:rFonts w:ascii="Bookman Old Style" w:hAnsi="Bookman Old Style" w:cs="Arial"/>
          <w:b/>
          <w:bCs/>
          <w:i/>
          <w:color w:val="000000"/>
          <w:sz w:val="20"/>
          <w:szCs w:val="20"/>
        </w:rPr>
        <w:t> </w:t>
      </w:r>
      <w:r w:rsidR="003516AC" w:rsidRPr="00EC7274">
        <w:rPr>
          <w:rFonts w:ascii="Bookman Old Style" w:hAnsi="Bookman Old Style" w:cs="Arial"/>
          <w:i/>
          <w:iCs/>
          <w:color w:val="000000"/>
          <w:sz w:val="20"/>
          <w:szCs w:val="20"/>
        </w:rPr>
        <w:t>Suspensión del término de caducidad de la acción</w:t>
      </w:r>
      <w:r w:rsidR="003516AC" w:rsidRPr="00EC7274">
        <w:rPr>
          <w:rFonts w:ascii="Bookman Old Style" w:hAnsi="Bookman Old Style" w:cs="Arial"/>
          <w:i/>
          <w:color w:val="000000"/>
          <w:sz w:val="20"/>
          <w:szCs w:val="20"/>
        </w:rPr>
        <w:t>. La presentación de la solicitud de conciliación extrajudicial ante los agentes del Ministerio Público suspende el término de prescripción o de caducidad, según el caso, hasta:</w:t>
      </w:r>
    </w:p>
    <w:p w:rsidR="003516AC" w:rsidRPr="00EC7274" w:rsidRDefault="003516AC" w:rsidP="003516AC">
      <w:pPr>
        <w:pStyle w:val="NormalWeb"/>
        <w:shd w:val="clear" w:color="auto" w:fill="FFFFFF"/>
        <w:ind w:left="1134" w:right="1100"/>
        <w:jc w:val="both"/>
        <w:rPr>
          <w:rFonts w:ascii="Bookman Old Style" w:hAnsi="Bookman Old Style" w:cs="Arial"/>
          <w:i/>
          <w:color w:val="000000"/>
          <w:sz w:val="20"/>
          <w:szCs w:val="20"/>
        </w:rPr>
      </w:pPr>
      <w:r w:rsidRPr="00EC7274">
        <w:rPr>
          <w:rFonts w:ascii="Bookman Old Style" w:hAnsi="Bookman Old Style" w:cs="Arial"/>
          <w:i/>
          <w:color w:val="000000"/>
          <w:sz w:val="20"/>
          <w:szCs w:val="20"/>
        </w:rPr>
        <w:t xml:space="preserve">a) Que se logre el acuerdo conciliatorio, </w:t>
      </w:r>
      <w:r w:rsidRPr="00EC7274">
        <w:rPr>
          <w:rFonts w:ascii="Bookman Old Style" w:hAnsi="Bookman Old Style" w:cs="Arial"/>
          <w:b/>
          <w:i/>
          <w:color w:val="000000"/>
          <w:sz w:val="20"/>
          <w:szCs w:val="20"/>
        </w:rPr>
        <w:t>o</w:t>
      </w:r>
    </w:p>
    <w:p w:rsidR="003516AC" w:rsidRPr="00EC7274" w:rsidRDefault="003516AC" w:rsidP="003516AC">
      <w:pPr>
        <w:pStyle w:val="NormalWeb"/>
        <w:shd w:val="clear" w:color="auto" w:fill="FFFFFF"/>
        <w:ind w:left="1134" w:right="1100"/>
        <w:jc w:val="both"/>
        <w:rPr>
          <w:rFonts w:ascii="Bookman Old Style" w:hAnsi="Bookman Old Style" w:cs="Arial"/>
          <w:i/>
          <w:color w:val="000000"/>
          <w:sz w:val="20"/>
          <w:szCs w:val="20"/>
        </w:rPr>
      </w:pPr>
      <w:r w:rsidRPr="00EC7274">
        <w:rPr>
          <w:rFonts w:ascii="Bookman Old Style" w:hAnsi="Bookman Old Style" w:cs="Arial"/>
          <w:i/>
          <w:color w:val="000000"/>
          <w:sz w:val="20"/>
          <w:szCs w:val="20"/>
        </w:rPr>
        <w:t xml:space="preserve">b) Se expidan las constancias a que se refiere el artículo 2° de la Ley 640 de 2001, </w:t>
      </w:r>
      <w:r w:rsidRPr="00EC7274">
        <w:rPr>
          <w:rFonts w:ascii="Bookman Old Style" w:hAnsi="Bookman Old Style" w:cs="Arial"/>
          <w:b/>
          <w:i/>
          <w:color w:val="000000"/>
          <w:sz w:val="20"/>
          <w:szCs w:val="20"/>
        </w:rPr>
        <w:t>o</w:t>
      </w:r>
    </w:p>
    <w:p w:rsidR="003516AC" w:rsidRPr="00EC7274" w:rsidRDefault="003516AC" w:rsidP="003516AC">
      <w:pPr>
        <w:pStyle w:val="NormalWeb"/>
        <w:shd w:val="clear" w:color="auto" w:fill="FFFFFF"/>
        <w:ind w:left="1134" w:right="1100"/>
        <w:jc w:val="both"/>
        <w:rPr>
          <w:rFonts w:ascii="Bookman Old Style" w:hAnsi="Bookman Old Style" w:cs="Arial"/>
          <w:i/>
          <w:color w:val="000000"/>
          <w:sz w:val="20"/>
          <w:szCs w:val="20"/>
        </w:rPr>
      </w:pPr>
      <w:r w:rsidRPr="00EC7274">
        <w:rPr>
          <w:rFonts w:ascii="Bookman Old Style" w:hAnsi="Bookman Old Style" w:cs="Arial"/>
          <w:i/>
          <w:color w:val="000000"/>
          <w:sz w:val="20"/>
          <w:szCs w:val="20"/>
        </w:rPr>
        <w:t>c) Se venza el término de tres (3) meses contados a partir de la presentación de la solicitud; lo que ocurra primero.</w:t>
      </w:r>
    </w:p>
    <w:p w:rsidR="003516AC" w:rsidRPr="00EC7274" w:rsidRDefault="003516AC" w:rsidP="003516AC">
      <w:pPr>
        <w:pStyle w:val="NormalWeb"/>
        <w:shd w:val="clear" w:color="auto" w:fill="FFFFFF"/>
        <w:ind w:left="1134" w:right="1100"/>
        <w:jc w:val="both"/>
        <w:rPr>
          <w:rFonts w:ascii="Bookman Old Style" w:hAnsi="Bookman Old Style" w:cs="Arial"/>
          <w:i/>
          <w:color w:val="000000"/>
          <w:sz w:val="20"/>
          <w:szCs w:val="20"/>
        </w:rPr>
      </w:pPr>
      <w:r w:rsidRPr="00EC7274">
        <w:rPr>
          <w:rFonts w:ascii="Bookman Old Style" w:hAnsi="Bookman Old Style" w:cs="Arial"/>
          <w:i/>
          <w:color w:val="000000"/>
          <w:sz w:val="20"/>
          <w:szCs w:val="20"/>
        </w:rPr>
        <w:t>En caso de que el acuerdo conciliatorio sea improbado por el juez o magistrado, el término de caducidad suspendido con la presentación de la solicitud de conciliación se reanudará a partir del día hábil siguiente al de la ejecutoria de la providencia correspondiente.</w:t>
      </w:r>
    </w:p>
    <w:p w:rsidR="004F6D40" w:rsidRPr="004F6D40" w:rsidRDefault="003516AC" w:rsidP="004F6D40">
      <w:pPr>
        <w:ind w:left="1134" w:right="958"/>
        <w:jc w:val="both"/>
        <w:rPr>
          <w:rFonts w:ascii="Bookman Old Style" w:hAnsi="Bookman Old Style" w:cs="Arial"/>
          <w:i/>
        </w:rPr>
      </w:pPr>
      <w:r w:rsidRPr="00EC7274">
        <w:rPr>
          <w:rFonts w:ascii="Bookman Old Style" w:hAnsi="Bookman Old Style" w:cs="Arial"/>
          <w:i/>
          <w:color w:val="000000"/>
        </w:rPr>
        <w:lastRenderedPageBreak/>
        <w:t xml:space="preserve">La </w:t>
      </w:r>
      <w:proofErr w:type="spellStart"/>
      <w:r w:rsidRPr="00EC7274">
        <w:rPr>
          <w:rFonts w:ascii="Bookman Old Style" w:hAnsi="Bookman Old Style" w:cs="Arial"/>
          <w:i/>
          <w:color w:val="000000"/>
        </w:rPr>
        <w:t>improbación</w:t>
      </w:r>
      <w:proofErr w:type="spellEnd"/>
      <w:r w:rsidRPr="00EC7274">
        <w:rPr>
          <w:rFonts w:ascii="Bookman Old Style" w:hAnsi="Bookman Old Style" w:cs="Arial"/>
          <w:i/>
          <w:color w:val="000000"/>
        </w:rPr>
        <w:t xml:space="preserve"> del acuerdo conciliatorio no hace tránsito a cosa juzgada.</w:t>
      </w:r>
      <w:r w:rsidR="00FC02C6" w:rsidRPr="00EC7274">
        <w:rPr>
          <w:rFonts w:ascii="Bookman Old Style" w:hAnsi="Bookman Old Style" w:cs="Arial"/>
          <w:i/>
          <w:color w:val="000000"/>
        </w:rPr>
        <w:t>”</w:t>
      </w:r>
      <w:r w:rsidR="004F6D40">
        <w:rPr>
          <w:rFonts w:ascii="Bookman Old Style" w:hAnsi="Bookman Old Style" w:cs="Arial"/>
          <w:i/>
          <w:color w:val="000000"/>
        </w:rPr>
        <w:t xml:space="preserve"> </w:t>
      </w:r>
      <w:r w:rsidR="004F6D40" w:rsidRPr="004F6D40">
        <w:rPr>
          <w:rFonts w:ascii="Bookman Old Style" w:hAnsi="Bookman Old Style" w:cs="Arial"/>
          <w:i/>
        </w:rPr>
        <w:t>(Negrilla fuera de texto)</w:t>
      </w:r>
    </w:p>
    <w:p w:rsidR="00025197" w:rsidRDefault="00025197" w:rsidP="00025197">
      <w:pPr>
        <w:pStyle w:val="BodyText21"/>
        <w:spacing w:line="360" w:lineRule="auto"/>
        <w:rPr>
          <w:rFonts w:cs="Arial"/>
          <w:szCs w:val="24"/>
        </w:rPr>
      </w:pPr>
    </w:p>
    <w:p w:rsidR="00025197" w:rsidRPr="00F5305A" w:rsidRDefault="00025197" w:rsidP="00F5305A">
      <w:pPr>
        <w:spacing w:line="360" w:lineRule="auto"/>
        <w:ind w:firstLine="1134"/>
        <w:jc w:val="both"/>
        <w:rPr>
          <w:rFonts w:ascii="Bookman Old Style" w:hAnsi="Bookman Old Style" w:cs="Arial"/>
          <w:i/>
          <w:sz w:val="24"/>
          <w:szCs w:val="24"/>
        </w:rPr>
      </w:pPr>
      <w:r w:rsidRPr="00F5305A">
        <w:rPr>
          <w:rFonts w:ascii="Bookman Old Style" w:hAnsi="Bookman Old Style" w:cs="Arial"/>
          <w:i/>
          <w:sz w:val="24"/>
          <w:szCs w:val="24"/>
        </w:rPr>
        <w:t xml:space="preserve">El </w:t>
      </w:r>
      <w:r w:rsidR="00F5305A" w:rsidRPr="00F5305A">
        <w:rPr>
          <w:rFonts w:ascii="Bookman Old Style" w:hAnsi="Bookman Old Style" w:cs="Arial"/>
          <w:i/>
          <w:sz w:val="24"/>
          <w:szCs w:val="24"/>
        </w:rPr>
        <w:t xml:space="preserve">Consejo de Estado - Sala de lo Contencioso Administrativo. Consejero Ponente: Jaime Orlando </w:t>
      </w:r>
      <w:proofErr w:type="spellStart"/>
      <w:r w:rsidR="00F5305A" w:rsidRPr="00F5305A">
        <w:rPr>
          <w:rFonts w:ascii="Bookman Old Style" w:hAnsi="Bookman Old Style" w:cs="Arial"/>
          <w:i/>
          <w:sz w:val="24"/>
          <w:szCs w:val="24"/>
        </w:rPr>
        <w:t>Santofimio</w:t>
      </w:r>
      <w:proofErr w:type="spellEnd"/>
      <w:r w:rsidR="00F5305A" w:rsidRPr="00F5305A">
        <w:rPr>
          <w:rFonts w:ascii="Bookman Old Style" w:hAnsi="Bookman Old Style" w:cs="Arial"/>
          <w:i/>
          <w:sz w:val="24"/>
          <w:szCs w:val="24"/>
        </w:rPr>
        <w:t xml:space="preserve"> Gamboa el </w:t>
      </w:r>
      <w:r w:rsidRPr="00F5305A">
        <w:rPr>
          <w:rFonts w:ascii="Bookman Old Style" w:hAnsi="Bookman Old Style" w:cs="Arial"/>
          <w:i/>
          <w:sz w:val="24"/>
          <w:szCs w:val="24"/>
        </w:rPr>
        <w:t>07 de febrero de 2011 dentro del radicado 68001-23-31-000-2009-00399-01(38588)</w:t>
      </w:r>
      <w:r w:rsidR="00F5305A" w:rsidRPr="00F5305A">
        <w:rPr>
          <w:rFonts w:ascii="Bookman Old Style" w:hAnsi="Bookman Old Style" w:cs="Arial"/>
          <w:i/>
          <w:sz w:val="24"/>
          <w:szCs w:val="24"/>
        </w:rPr>
        <w:t>,  al pronunciarse sobre un caso similar,  expresó</w:t>
      </w:r>
      <w:r w:rsidR="004E3EBC">
        <w:rPr>
          <w:rFonts w:ascii="Bookman Old Style" w:hAnsi="Bookman Old Style" w:cs="Arial"/>
          <w:i/>
          <w:sz w:val="24"/>
          <w:szCs w:val="24"/>
        </w:rPr>
        <w:t>:</w:t>
      </w:r>
    </w:p>
    <w:p w:rsidR="00025197" w:rsidRPr="00F5305A" w:rsidRDefault="00025197" w:rsidP="00025197">
      <w:pPr>
        <w:rPr>
          <w:rFonts w:ascii="Arial" w:hAnsi="Arial" w:cs="Arial"/>
          <w:sz w:val="24"/>
          <w:szCs w:val="24"/>
        </w:rPr>
      </w:pPr>
    </w:p>
    <w:p w:rsidR="00025197" w:rsidRDefault="00025197" w:rsidP="00025197">
      <w:pPr>
        <w:pStyle w:val="BodyText21"/>
        <w:overflowPunct/>
        <w:autoSpaceDE/>
        <w:autoSpaceDN/>
        <w:adjustRightInd/>
        <w:spacing w:line="240" w:lineRule="auto"/>
        <w:textAlignment w:val="auto"/>
        <w:rPr>
          <w:rFonts w:cs="Arial"/>
          <w:b/>
          <w:szCs w:val="24"/>
        </w:rPr>
      </w:pPr>
    </w:p>
    <w:p w:rsidR="00025197" w:rsidRPr="00EC7274" w:rsidRDefault="00EC7274" w:rsidP="00F5305A">
      <w:pPr>
        <w:pStyle w:val="BodyText21"/>
        <w:spacing w:line="240" w:lineRule="auto"/>
        <w:ind w:left="1134" w:right="1100"/>
        <w:rPr>
          <w:rFonts w:ascii="Bookman Old Style" w:hAnsi="Bookman Old Style" w:cs="Arial"/>
          <w:i/>
          <w:sz w:val="20"/>
        </w:rPr>
      </w:pPr>
      <w:r w:rsidRPr="00EC7274">
        <w:rPr>
          <w:rFonts w:ascii="Bookman Old Style" w:hAnsi="Bookman Old Style" w:cs="Arial"/>
          <w:i/>
          <w:sz w:val="20"/>
        </w:rPr>
        <w:t>“</w:t>
      </w:r>
      <w:r w:rsidR="00025197" w:rsidRPr="00EC7274">
        <w:rPr>
          <w:rFonts w:ascii="Bookman Old Style" w:hAnsi="Bookman Old Style" w:cs="Arial"/>
          <w:i/>
          <w:sz w:val="20"/>
        </w:rPr>
        <w:t xml:space="preserve">Conforme a dichas disposiciones, la presentación de la solicitud de conciliación extrajudicial en derecho ante el conciliador </w:t>
      </w:r>
      <w:r w:rsidR="00025197" w:rsidRPr="001B08FD">
        <w:rPr>
          <w:rFonts w:ascii="Bookman Old Style" w:hAnsi="Bookman Old Style" w:cs="Arial"/>
          <w:b/>
          <w:i/>
          <w:sz w:val="20"/>
        </w:rPr>
        <w:t>suspende</w:t>
      </w:r>
      <w:r w:rsidR="00025197" w:rsidRPr="00EC7274">
        <w:rPr>
          <w:rFonts w:ascii="Bookman Old Style" w:hAnsi="Bookman Old Style" w:cs="Arial"/>
          <w:i/>
          <w:sz w:val="20"/>
        </w:rPr>
        <w:t xml:space="preserve"> el término de caducidad de la acción, hasta que se logre el acuerdo conciliatorio “o” hasta que el acta de conciliación se haya registrado en los casos en que este trámite sea exigido por la ley “o” hasta que se expidan las constancias a que se refiere el artículo </w:t>
      </w:r>
      <w:hyperlink r:id="rId13" w:anchor="2" w:tgtFrame="_blank" w:history="1">
        <w:r w:rsidR="00025197" w:rsidRPr="00EC7274">
          <w:rPr>
            <w:rFonts w:ascii="Bookman Old Style" w:hAnsi="Bookman Old Style" w:cs="Arial"/>
            <w:i/>
            <w:sz w:val="20"/>
          </w:rPr>
          <w:t>2</w:t>
        </w:r>
      </w:hyperlink>
      <w:r w:rsidR="00025197" w:rsidRPr="00EC7274">
        <w:rPr>
          <w:rFonts w:ascii="Bookman Old Style" w:hAnsi="Bookman Old Style" w:cs="Arial"/>
          <w:i/>
          <w:sz w:val="20"/>
        </w:rPr>
        <w:t xml:space="preserve"> de la misma ley “o” hasta que se venza el término de tres (3) meses a que se refiere el artículo anterior, “lo que ocurra primero”. </w:t>
      </w:r>
    </w:p>
    <w:p w:rsidR="00025197" w:rsidRPr="00EC7274" w:rsidRDefault="00025197" w:rsidP="00F5305A">
      <w:pPr>
        <w:pStyle w:val="BodyText21"/>
        <w:spacing w:line="240" w:lineRule="auto"/>
        <w:ind w:left="1134" w:right="1100"/>
        <w:rPr>
          <w:rFonts w:ascii="Bookman Old Style" w:hAnsi="Bookman Old Style" w:cs="Arial"/>
          <w:i/>
          <w:sz w:val="20"/>
        </w:rPr>
      </w:pPr>
    </w:p>
    <w:p w:rsidR="00025197" w:rsidRPr="00EC7274" w:rsidRDefault="00025197" w:rsidP="00F5305A">
      <w:pPr>
        <w:pStyle w:val="BodyText21"/>
        <w:spacing w:line="240" w:lineRule="auto"/>
        <w:ind w:left="1134" w:right="1100"/>
        <w:rPr>
          <w:rFonts w:ascii="Bookman Old Style" w:hAnsi="Bookman Old Style" w:cs="Arial"/>
          <w:i/>
          <w:sz w:val="20"/>
        </w:rPr>
      </w:pPr>
      <w:r w:rsidRPr="00EC7274">
        <w:rPr>
          <w:rFonts w:ascii="Bookman Old Style" w:hAnsi="Bookman Old Style" w:cs="Arial"/>
          <w:i/>
          <w:sz w:val="20"/>
        </w:rPr>
        <w:t xml:space="preserve">La redacción de dicha disposición no deja duda alguna respecto de la forma en que opera la suspensión del término de caducidad de la acción, como consecuencia de la presentación de la solicitud de conciliación extrajudicial ante el agente del ministerio público, pues la utilización de la conjunción disyuntiva “o” entre los diversos eventos que le ponen fin a la misma implica que el acaecimiento de cualquiera de ellos </w:t>
      </w:r>
      <w:r w:rsidRPr="005748BF">
        <w:rPr>
          <w:rFonts w:ascii="Bookman Old Style" w:hAnsi="Bookman Old Style" w:cs="Arial"/>
          <w:b/>
          <w:i/>
          <w:sz w:val="20"/>
        </w:rPr>
        <w:t>reanuda</w:t>
      </w:r>
      <w:r w:rsidRPr="00EC7274">
        <w:rPr>
          <w:rFonts w:ascii="Bookman Old Style" w:hAnsi="Bookman Old Style" w:cs="Arial"/>
          <w:i/>
          <w:sz w:val="20"/>
        </w:rPr>
        <w:t xml:space="preserve"> la contabilización del término respectivo.</w:t>
      </w:r>
    </w:p>
    <w:p w:rsidR="00025197" w:rsidRPr="00EC7274" w:rsidRDefault="00025197" w:rsidP="00F5305A">
      <w:pPr>
        <w:pStyle w:val="BodyText21"/>
        <w:spacing w:line="240" w:lineRule="auto"/>
        <w:ind w:left="1134" w:right="1100"/>
        <w:rPr>
          <w:rFonts w:ascii="Bookman Old Style" w:hAnsi="Bookman Old Style" w:cs="Arial"/>
          <w:i/>
          <w:sz w:val="20"/>
        </w:rPr>
      </w:pPr>
    </w:p>
    <w:p w:rsidR="00025197" w:rsidRPr="00EC7274" w:rsidRDefault="00025197" w:rsidP="00F5305A">
      <w:pPr>
        <w:pStyle w:val="BodyText21"/>
        <w:spacing w:line="240" w:lineRule="auto"/>
        <w:ind w:left="1134" w:right="1100"/>
        <w:rPr>
          <w:rFonts w:ascii="Bookman Old Style" w:hAnsi="Bookman Old Style" w:cs="Arial"/>
          <w:i/>
          <w:sz w:val="20"/>
        </w:rPr>
      </w:pPr>
      <w:r w:rsidRPr="00EC7274">
        <w:rPr>
          <w:rFonts w:ascii="Bookman Old Style" w:hAnsi="Bookman Old Style" w:cs="Arial"/>
          <w:i/>
          <w:sz w:val="20"/>
        </w:rPr>
        <w:t xml:space="preserve">Además, el uso de la expresión “lo que ocurra primero” impide que se invoque arbitraria y convenientemente alguno de los eventos que dan lugar a la reanudación de la contabilización del término de caducidad, cuando hubieren ocurrido varios de ellos, como quiera que se incluye un elemento temporal que lo determina, esto es, el primero en el tiempo es el que genera el efecto procesal en referencia. </w:t>
      </w:r>
    </w:p>
    <w:p w:rsidR="00025197" w:rsidRPr="00EC7274" w:rsidRDefault="00025197" w:rsidP="00F5305A">
      <w:pPr>
        <w:pStyle w:val="BodyText21"/>
        <w:spacing w:line="240" w:lineRule="auto"/>
        <w:ind w:left="1134" w:right="1100"/>
        <w:rPr>
          <w:rFonts w:ascii="Bookman Old Style" w:hAnsi="Bookman Old Style" w:cs="Arial"/>
          <w:i/>
          <w:sz w:val="20"/>
        </w:rPr>
      </w:pPr>
    </w:p>
    <w:p w:rsidR="00025197" w:rsidRPr="00EC7274" w:rsidRDefault="00025197" w:rsidP="00F5305A">
      <w:pPr>
        <w:pStyle w:val="BodyText21"/>
        <w:spacing w:line="240" w:lineRule="auto"/>
        <w:ind w:left="1134" w:right="1100"/>
        <w:rPr>
          <w:rFonts w:ascii="Bookman Old Style" w:hAnsi="Bookman Old Style" w:cs="Arial"/>
          <w:i/>
          <w:sz w:val="20"/>
        </w:rPr>
      </w:pPr>
      <w:r w:rsidRPr="00EC7274">
        <w:rPr>
          <w:rFonts w:ascii="Bookman Old Style" w:hAnsi="Bookman Old Style" w:cs="Arial"/>
          <w:i/>
          <w:sz w:val="20"/>
        </w:rPr>
        <w:t>Así las cosas, no es posible afirmar que el término de caducidad de la acción “debe entenderse adicionado en tres (3) meses continuos, al verse fracasada la etapa conciliatoria”, como sostiene el recurrente.</w:t>
      </w:r>
      <w:r w:rsidR="00BB57F4" w:rsidRPr="00EC7274">
        <w:rPr>
          <w:rFonts w:ascii="Bookman Old Style" w:hAnsi="Bookman Old Style" w:cs="Arial"/>
          <w:i/>
          <w:sz w:val="20"/>
        </w:rPr>
        <w:t>”</w:t>
      </w:r>
      <w:r w:rsidRPr="00EC7274">
        <w:rPr>
          <w:rFonts w:ascii="Bookman Old Style" w:hAnsi="Bookman Old Style" w:cs="Arial"/>
          <w:i/>
          <w:sz w:val="20"/>
        </w:rPr>
        <w:t xml:space="preserve"> </w:t>
      </w:r>
      <w:r w:rsidR="00761DE8">
        <w:rPr>
          <w:rFonts w:ascii="Bookman Old Style" w:hAnsi="Bookman Old Style" w:cs="Arial"/>
          <w:i/>
          <w:sz w:val="20"/>
        </w:rPr>
        <w:t>(</w:t>
      </w:r>
      <w:proofErr w:type="gramStart"/>
      <w:r w:rsidR="00761DE8">
        <w:rPr>
          <w:rFonts w:ascii="Bookman Old Style" w:hAnsi="Bookman Old Style" w:cs="Arial"/>
          <w:i/>
          <w:sz w:val="20"/>
        </w:rPr>
        <w:t>negrilla</w:t>
      </w:r>
      <w:proofErr w:type="gramEnd"/>
      <w:r w:rsidR="00761DE8">
        <w:rPr>
          <w:rFonts w:ascii="Bookman Old Style" w:hAnsi="Bookman Old Style" w:cs="Arial"/>
          <w:i/>
          <w:sz w:val="20"/>
        </w:rPr>
        <w:t xml:space="preserve"> fuera de texto).</w:t>
      </w:r>
    </w:p>
    <w:p w:rsidR="005C33FE" w:rsidRPr="00F5305A" w:rsidRDefault="005C33FE" w:rsidP="00F5305A">
      <w:pPr>
        <w:ind w:left="1134" w:right="1100"/>
        <w:jc w:val="both"/>
        <w:rPr>
          <w:rFonts w:ascii="Bookman Old Style" w:hAnsi="Bookman Old Style" w:cs="Arial"/>
          <w:i/>
          <w:sz w:val="24"/>
          <w:szCs w:val="24"/>
        </w:rPr>
      </w:pPr>
    </w:p>
    <w:p w:rsidR="005C33FE" w:rsidRDefault="005C33FE" w:rsidP="00FF6E17">
      <w:pPr>
        <w:spacing w:line="360" w:lineRule="auto"/>
        <w:ind w:firstLine="1134"/>
        <w:jc w:val="both"/>
        <w:rPr>
          <w:rFonts w:ascii="Bookman Old Style" w:hAnsi="Bookman Old Style" w:cs="Arial"/>
          <w:i/>
          <w:sz w:val="24"/>
          <w:szCs w:val="24"/>
          <w:lang w:val="es-CO"/>
        </w:rPr>
      </w:pPr>
    </w:p>
    <w:p w:rsidR="00A434C4" w:rsidRDefault="00CD203D" w:rsidP="00BB57F4">
      <w:pPr>
        <w:spacing w:line="360" w:lineRule="auto"/>
        <w:ind w:firstLine="1134"/>
        <w:jc w:val="both"/>
        <w:rPr>
          <w:rFonts w:ascii="Bookman Old Style" w:hAnsi="Bookman Old Style" w:cs="Arial"/>
          <w:i/>
          <w:sz w:val="24"/>
          <w:szCs w:val="24"/>
        </w:rPr>
      </w:pPr>
      <w:r w:rsidRPr="00CD203D">
        <w:rPr>
          <w:rFonts w:ascii="Bookman Old Style" w:hAnsi="Bookman Old Style" w:cs="Arial"/>
          <w:i/>
          <w:sz w:val="24"/>
          <w:szCs w:val="24"/>
        </w:rPr>
        <w:t>Teniendo en cuenta la normatividad y jurisprudencia en cita, la Sala concluye que l</w:t>
      </w:r>
      <w:r w:rsidR="00A21089" w:rsidRPr="00CD203D">
        <w:rPr>
          <w:rFonts w:ascii="Bookman Old Style" w:hAnsi="Bookman Old Style" w:cs="Arial"/>
          <w:i/>
          <w:sz w:val="24"/>
          <w:szCs w:val="24"/>
          <w:lang w:val="es-CO"/>
        </w:rPr>
        <w:t xml:space="preserve">a recurrente incurre en un error al interpretar las disposiciones que </w:t>
      </w:r>
      <w:r w:rsidR="00A21089" w:rsidRPr="00CD203D">
        <w:rPr>
          <w:rFonts w:ascii="Bookman Old Style" w:hAnsi="Bookman Old Style"/>
          <w:i/>
          <w:sz w:val="24"/>
          <w:szCs w:val="24"/>
        </w:rPr>
        <w:t>prevén que el término de caducidad se suspende con la presentación de solicitud de conciliación extrajudicial ante el Ministerio Público, al considerar que el t</w:t>
      </w:r>
      <w:r w:rsidR="00AC343B" w:rsidRPr="00CD203D">
        <w:rPr>
          <w:rFonts w:ascii="Bookman Old Style" w:hAnsi="Bookman Old Style"/>
          <w:i/>
          <w:sz w:val="24"/>
          <w:szCs w:val="24"/>
        </w:rPr>
        <w:t xml:space="preserve">iempo </w:t>
      </w:r>
      <w:r w:rsidR="00A21089" w:rsidRPr="00CD203D">
        <w:rPr>
          <w:rFonts w:ascii="Bookman Old Style" w:hAnsi="Bookman Old Style"/>
          <w:i/>
          <w:sz w:val="24"/>
          <w:szCs w:val="24"/>
        </w:rPr>
        <w:t xml:space="preserve">con el que contaba para la presentación de la demanda se amplió en </w:t>
      </w:r>
      <w:r w:rsidR="00BB57F4" w:rsidRPr="00CD203D">
        <w:rPr>
          <w:rFonts w:ascii="Bookman Old Style" w:hAnsi="Bookman Old Style" w:cs="Arial"/>
          <w:i/>
          <w:sz w:val="24"/>
          <w:szCs w:val="24"/>
        </w:rPr>
        <w:t>62 días,</w:t>
      </w:r>
      <w:r w:rsidR="00A21089" w:rsidRPr="00CD203D">
        <w:rPr>
          <w:rFonts w:ascii="Bookman Old Style" w:hAnsi="Bookman Old Style" w:cs="Arial"/>
          <w:i/>
          <w:sz w:val="24"/>
          <w:szCs w:val="24"/>
        </w:rPr>
        <w:t xml:space="preserve"> dado que l</w:t>
      </w:r>
      <w:r w:rsidR="00A21089" w:rsidRPr="00CD203D">
        <w:rPr>
          <w:rFonts w:ascii="Bookman Old Style" w:hAnsi="Bookman Old Style"/>
          <w:i/>
          <w:sz w:val="24"/>
          <w:szCs w:val="24"/>
        </w:rPr>
        <w:t xml:space="preserve">a radicación de la solicitud se realizó el </w:t>
      </w:r>
      <w:r w:rsidR="00A21089" w:rsidRPr="00CD203D">
        <w:rPr>
          <w:rFonts w:ascii="Bookman Old Style" w:hAnsi="Bookman Old Style" w:cs="Arial"/>
          <w:i/>
          <w:sz w:val="24"/>
          <w:szCs w:val="24"/>
        </w:rPr>
        <w:t xml:space="preserve">14 de agosto de 2012 y la diligencia </w:t>
      </w:r>
      <w:r w:rsidR="00A434C4" w:rsidRPr="00CD203D">
        <w:rPr>
          <w:rFonts w:ascii="Bookman Old Style" w:hAnsi="Bookman Old Style" w:cs="Arial"/>
          <w:i/>
          <w:sz w:val="24"/>
          <w:szCs w:val="24"/>
        </w:rPr>
        <w:t xml:space="preserve">en la Procuraduría </w:t>
      </w:r>
      <w:r w:rsidR="004F6D40">
        <w:rPr>
          <w:rFonts w:ascii="Bookman Old Style" w:hAnsi="Bookman Old Style" w:cs="Arial"/>
          <w:i/>
          <w:sz w:val="24"/>
          <w:szCs w:val="24"/>
        </w:rPr>
        <w:t>tuvo lugar só</w:t>
      </w:r>
      <w:r w:rsidR="00A21089" w:rsidRPr="00CD203D">
        <w:rPr>
          <w:rFonts w:ascii="Bookman Old Style" w:hAnsi="Bookman Old Style" w:cs="Arial"/>
          <w:i/>
          <w:sz w:val="24"/>
          <w:szCs w:val="24"/>
        </w:rPr>
        <w:t xml:space="preserve">lo hasta el 13 de noviembre de esa misma anualidad, </w:t>
      </w:r>
      <w:r w:rsidR="00A434C4" w:rsidRPr="00CD203D">
        <w:rPr>
          <w:rFonts w:ascii="Bookman Old Style" w:hAnsi="Bookman Old Style" w:cs="Arial"/>
          <w:i/>
          <w:sz w:val="24"/>
          <w:szCs w:val="24"/>
        </w:rPr>
        <w:t xml:space="preserve">cuando conforme a esas mismas normas, el raciocinio correcto es el siguiente: </w:t>
      </w:r>
    </w:p>
    <w:p w:rsidR="001B08FD" w:rsidRDefault="001B08FD" w:rsidP="00BB57F4">
      <w:pPr>
        <w:spacing w:line="360" w:lineRule="auto"/>
        <w:ind w:firstLine="1134"/>
        <w:jc w:val="both"/>
        <w:rPr>
          <w:rFonts w:ascii="Bookman Old Style" w:hAnsi="Bookman Old Style" w:cs="Arial"/>
          <w:i/>
          <w:sz w:val="24"/>
          <w:szCs w:val="24"/>
        </w:rPr>
      </w:pPr>
    </w:p>
    <w:p w:rsidR="00A434C4" w:rsidRPr="00CD203D" w:rsidRDefault="00A434C4" w:rsidP="00AC343B">
      <w:pPr>
        <w:spacing w:line="360" w:lineRule="auto"/>
        <w:ind w:firstLine="1134"/>
        <w:jc w:val="both"/>
        <w:rPr>
          <w:rFonts w:ascii="Bookman Old Style" w:hAnsi="Bookman Old Style"/>
          <w:i/>
          <w:sz w:val="24"/>
          <w:szCs w:val="24"/>
        </w:rPr>
      </w:pPr>
      <w:r w:rsidRPr="00CD203D">
        <w:rPr>
          <w:rFonts w:ascii="Bookman Old Style" w:hAnsi="Bookman Old Style" w:cs="Arial"/>
          <w:i/>
          <w:sz w:val="24"/>
          <w:szCs w:val="24"/>
        </w:rPr>
        <w:t xml:space="preserve">Los hechos que fundamentan la solicitud de indemnización, relativos a la prestación de servicios </w:t>
      </w:r>
      <w:proofErr w:type="spellStart"/>
      <w:r w:rsidRPr="00CD203D">
        <w:rPr>
          <w:rFonts w:ascii="Bookman Old Style" w:hAnsi="Bookman Old Style" w:cs="Arial"/>
          <w:i/>
          <w:sz w:val="24"/>
          <w:szCs w:val="24"/>
        </w:rPr>
        <w:t>exequiales</w:t>
      </w:r>
      <w:proofErr w:type="spellEnd"/>
      <w:r w:rsidRPr="00CD203D">
        <w:rPr>
          <w:rFonts w:ascii="Bookman Old Style" w:hAnsi="Bookman Old Style" w:cs="Arial"/>
          <w:i/>
          <w:sz w:val="24"/>
          <w:szCs w:val="24"/>
        </w:rPr>
        <w:t xml:space="preserve"> por parte de la sociedad demandante al </w:t>
      </w:r>
      <w:r w:rsidRPr="00CD203D">
        <w:rPr>
          <w:rFonts w:ascii="Bookman Old Style" w:hAnsi="Bookman Old Style" w:cs="Arial"/>
          <w:i/>
          <w:sz w:val="24"/>
          <w:szCs w:val="24"/>
        </w:rPr>
        <w:lastRenderedPageBreak/>
        <w:t xml:space="preserve">Municipio de Villavicencio </w:t>
      </w:r>
      <w:r w:rsidR="004E3EBC" w:rsidRPr="00CD203D">
        <w:rPr>
          <w:rFonts w:ascii="Bookman Old Style" w:hAnsi="Bookman Old Style" w:cs="Arial"/>
          <w:i/>
          <w:sz w:val="24"/>
          <w:szCs w:val="24"/>
        </w:rPr>
        <w:t>ocurrieron e</w:t>
      </w:r>
      <w:r w:rsidRPr="00CD203D">
        <w:rPr>
          <w:rFonts w:ascii="Bookman Old Style" w:hAnsi="Bookman Old Style" w:cs="Arial"/>
          <w:i/>
          <w:sz w:val="24"/>
          <w:szCs w:val="24"/>
        </w:rPr>
        <w:t xml:space="preserve">ntre </w:t>
      </w:r>
      <w:r w:rsidR="007432C5">
        <w:rPr>
          <w:rFonts w:ascii="Bookman Old Style" w:hAnsi="Bookman Old Style" w:cs="Arial"/>
          <w:i/>
          <w:sz w:val="24"/>
          <w:szCs w:val="24"/>
        </w:rPr>
        <w:t>el</w:t>
      </w:r>
      <w:r w:rsidR="004E3EBC" w:rsidRPr="00CD203D">
        <w:rPr>
          <w:rFonts w:ascii="Bookman Old Style" w:hAnsi="Bookman Old Style" w:cs="Arial"/>
          <w:i/>
          <w:sz w:val="24"/>
          <w:szCs w:val="24"/>
        </w:rPr>
        <w:t xml:space="preserve"> </w:t>
      </w:r>
      <w:r w:rsidRPr="00CD203D">
        <w:rPr>
          <w:rFonts w:ascii="Bookman Old Style" w:hAnsi="Bookman Old Style" w:cs="Arial"/>
          <w:i/>
          <w:sz w:val="24"/>
          <w:szCs w:val="24"/>
        </w:rPr>
        <w:t>1º de julio y 23 de agosto de 2010</w:t>
      </w:r>
      <w:r w:rsidR="004E3EBC" w:rsidRPr="00CD203D">
        <w:rPr>
          <w:rStyle w:val="Refdenotaalpie"/>
          <w:rFonts w:ascii="Bookman Old Style" w:hAnsi="Bookman Old Style" w:cs="Arial"/>
          <w:i/>
          <w:sz w:val="24"/>
          <w:szCs w:val="24"/>
        </w:rPr>
        <w:footnoteReference w:id="2"/>
      </w:r>
      <w:r w:rsidRPr="00CD203D">
        <w:rPr>
          <w:rFonts w:ascii="Bookman Old Style" w:hAnsi="Bookman Old Style" w:cs="Arial"/>
          <w:i/>
          <w:sz w:val="24"/>
          <w:szCs w:val="24"/>
        </w:rPr>
        <w:t xml:space="preserve">, por lo que para efectos de determinar la caducidad del medio de control, el término de dos años para la presentación oportuna de la demanda </w:t>
      </w:r>
      <w:r w:rsidR="004E3EBC" w:rsidRPr="00CD203D">
        <w:rPr>
          <w:rFonts w:ascii="Bookman Old Style" w:hAnsi="Bookman Old Style" w:cs="Arial"/>
          <w:i/>
          <w:sz w:val="24"/>
          <w:szCs w:val="24"/>
        </w:rPr>
        <w:t xml:space="preserve">se </w:t>
      </w:r>
      <w:r w:rsidRPr="00CD203D">
        <w:rPr>
          <w:rFonts w:ascii="Bookman Old Style" w:hAnsi="Bookman Old Style" w:cs="Arial"/>
          <w:i/>
          <w:sz w:val="24"/>
          <w:szCs w:val="24"/>
        </w:rPr>
        <w:t xml:space="preserve">contabiliza desde el </w:t>
      </w:r>
      <w:r w:rsidR="00AC343B" w:rsidRPr="00CD203D">
        <w:rPr>
          <w:rFonts w:ascii="Bookman Old Style" w:hAnsi="Bookman Old Style" w:cs="Arial"/>
          <w:i/>
          <w:sz w:val="24"/>
          <w:szCs w:val="24"/>
        </w:rPr>
        <w:t xml:space="preserve">martes </w:t>
      </w:r>
      <w:r w:rsidRPr="00CD203D">
        <w:rPr>
          <w:rFonts w:ascii="Bookman Old Style" w:hAnsi="Bookman Old Style" w:cs="Arial"/>
          <w:b/>
          <w:i/>
          <w:sz w:val="24"/>
          <w:szCs w:val="24"/>
        </w:rPr>
        <w:t>24 de agosto de 2010</w:t>
      </w:r>
      <w:r w:rsidRPr="00CD203D">
        <w:rPr>
          <w:rFonts w:ascii="Bookman Old Style" w:hAnsi="Bookman Old Style" w:cs="Arial"/>
          <w:i/>
          <w:sz w:val="24"/>
          <w:szCs w:val="24"/>
        </w:rPr>
        <w:t>, por ser ese el día siguiente a</w:t>
      </w:r>
      <w:r w:rsidR="004E3EBC" w:rsidRPr="00CD203D">
        <w:rPr>
          <w:rFonts w:ascii="Bookman Old Style" w:hAnsi="Bookman Old Style" w:cs="Arial"/>
          <w:i/>
          <w:sz w:val="24"/>
          <w:szCs w:val="24"/>
        </w:rPr>
        <w:t xml:space="preserve">l de </w:t>
      </w:r>
      <w:r w:rsidRPr="00CD203D">
        <w:rPr>
          <w:rFonts w:ascii="Bookman Old Style" w:hAnsi="Bookman Old Style" w:cs="Arial"/>
          <w:i/>
          <w:sz w:val="24"/>
          <w:szCs w:val="24"/>
        </w:rPr>
        <w:t>la prestación del último serv</w:t>
      </w:r>
      <w:r w:rsidR="004E3EBC" w:rsidRPr="00CD203D">
        <w:rPr>
          <w:rFonts w:ascii="Bookman Old Style" w:hAnsi="Bookman Old Style" w:cs="Arial"/>
          <w:i/>
          <w:sz w:val="24"/>
          <w:szCs w:val="24"/>
        </w:rPr>
        <w:t>icio</w:t>
      </w:r>
      <w:r w:rsidR="00AC343B" w:rsidRPr="00CD203D">
        <w:rPr>
          <w:rFonts w:ascii="Bookman Old Style" w:hAnsi="Bookman Old Style" w:cs="Arial"/>
          <w:i/>
          <w:sz w:val="24"/>
          <w:szCs w:val="24"/>
        </w:rPr>
        <w:t xml:space="preserve">, </w:t>
      </w:r>
      <w:r w:rsidRPr="00CD203D">
        <w:rPr>
          <w:rFonts w:ascii="Bookman Old Style" w:hAnsi="Bookman Old Style"/>
          <w:i/>
          <w:sz w:val="24"/>
          <w:szCs w:val="24"/>
        </w:rPr>
        <w:t xml:space="preserve">es decir que el término con el que la parte interesada contaba para impetrar el medio de control, se extendía hasta el </w:t>
      </w:r>
      <w:r w:rsidR="00AC343B" w:rsidRPr="00CD203D">
        <w:rPr>
          <w:rFonts w:ascii="Bookman Old Style" w:hAnsi="Bookman Old Style"/>
          <w:b/>
          <w:i/>
          <w:sz w:val="24"/>
          <w:szCs w:val="24"/>
        </w:rPr>
        <w:t>24 de agosto</w:t>
      </w:r>
      <w:r w:rsidRPr="00CD203D">
        <w:rPr>
          <w:rFonts w:ascii="Bookman Old Style" w:hAnsi="Bookman Old Style"/>
          <w:b/>
          <w:i/>
          <w:sz w:val="24"/>
          <w:szCs w:val="24"/>
        </w:rPr>
        <w:t xml:space="preserve"> de 2012.</w:t>
      </w:r>
      <w:r w:rsidRPr="00CD203D">
        <w:rPr>
          <w:rFonts w:ascii="Bookman Old Style" w:hAnsi="Bookman Old Style"/>
          <w:i/>
          <w:sz w:val="24"/>
          <w:szCs w:val="24"/>
        </w:rPr>
        <w:t xml:space="preserve"> </w:t>
      </w:r>
    </w:p>
    <w:p w:rsidR="00A434C4" w:rsidRPr="00CD203D" w:rsidRDefault="00A434C4" w:rsidP="00A434C4">
      <w:pPr>
        <w:pStyle w:val="Default"/>
        <w:spacing w:line="360" w:lineRule="auto"/>
        <w:ind w:firstLine="1134"/>
        <w:jc w:val="both"/>
        <w:rPr>
          <w:rFonts w:ascii="Bookman Old Style" w:hAnsi="Bookman Old Style"/>
          <w:i/>
        </w:rPr>
      </w:pPr>
    </w:p>
    <w:p w:rsidR="00A434C4" w:rsidRPr="00CD203D" w:rsidRDefault="00A434C4" w:rsidP="00A434C4">
      <w:pPr>
        <w:spacing w:line="360" w:lineRule="auto"/>
        <w:ind w:firstLine="1134"/>
        <w:jc w:val="both"/>
        <w:rPr>
          <w:rFonts w:ascii="Bookman Old Style" w:hAnsi="Bookman Old Style" w:cs="Arial"/>
          <w:i/>
          <w:sz w:val="24"/>
          <w:szCs w:val="24"/>
        </w:rPr>
      </w:pPr>
      <w:r w:rsidRPr="00CD203D">
        <w:rPr>
          <w:rFonts w:ascii="Bookman Old Style" w:hAnsi="Bookman Old Style" w:cs="Arial"/>
          <w:i/>
          <w:sz w:val="24"/>
          <w:szCs w:val="24"/>
          <w:lang w:val="es-CO"/>
        </w:rPr>
        <w:t xml:space="preserve">Como en la demanda se formulan pretensiones relativas a </w:t>
      </w:r>
      <w:r w:rsidR="00AC343B" w:rsidRPr="00CD203D">
        <w:rPr>
          <w:rFonts w:ascii="Bookman Old Style" w:hAnsi="Bookman Old Style" w:cs="Arial"/>
          <w:i/>
          <w:sz w:val="24"/>
          <w:szCs w:val="24"/>
          <w:lang w:val="es-CO"/>
        </w:rPr>
        <w:t xml:space="preserve">una reparación directa, </w:t>
      </w:r>
      <w:r w:rsidRPr="00CD203D">
        <w:rPr>
          <w:rFonts w:ascii="Bookman Old Style" w:hAnsi="Bookman Old Style" w:cs="Arial"/>
          <w:i/>
          <w:sz w:val="24"/>
          <w:szCs w:val="24"/>
          <w:lang w:val="es-CO"/>
        </w:rPr>
        <w:t xml:space="preserve">debió agotarse el requisito de </w:t>
      </w:r>
      <w:proofErr w:type="spellStart"/>
      <w:r w:rsidRPr="00CD203D">
        <w:rPr>
          <w:rFonts w:ascii="Bookman Old Style" w:hAnsi="Bookman Old Style" w:cs="Arial"/>
          <w:i/>
          <w:sz w:val="24"/>
          <w:szCs w:val="24"/>
          <w:lang w:val="es-CO"/>
        </w:rPr>
        <w:t>procedibilidad</w:t>
      </w:r>
      <w:proofErr w:type="spellEnd"/>
      <w:r w:rsidRPr="00CD203D">
        <w:rPr>
          <w:rFonts w:ascii="Bookman Old Style" w:hAnsi="Bookman Old Style" w:cs="Arial"/>
          <w:i/>
          <w:sz w:val="24"/>
          <w:szCs w:val="24"/>
          <w:lang w:val="es-CO"/>
        </w:rPr>
        <w:t xml:space="preserve"> de la </w:t>
      </w:r>
      <w:r w:rsidRPr="00CD203D">
        <w:rPr>
          <w:rFonts w:ascii="Bookman Old Style" w:hAnsi="Bookman Old Style" w:cs="Arial"/>
          <w:i/>
          <w:sz w:val="24"/>
          <w:szCs w:val="24"/>
        </w:rPr>
        <w:t>conciliación prejudicial, conforme al numeral 1º del artículo 161 del CPACA.</w:t>
      </w:r>
    </w:p>
    <w:p w:rsidR="00A434C4" w:rsidRPr="00CD203D" w:rsidRDefault="00A434C4" w:rsidP="00A434C4">
      <w:pPr>
        <w:spacing w:line="360" w:lineRule="auto"/>
        <w:ind w:firstLine="1134"/>
        <w:jc w:val="both"/>
        <w:rPr>
          <w:rFonts w:ascii="Bookman Old Style" w:hAnsi="Bookman Old Style" w:cs="Arial"/>
          <w:i/>
          <w:sz w:val="24"/>
          <w:szCs w:val="24"/>
        </w:rPr>
      </w:pPr>
    </w:p>
    <w:p w:rsidR="009124C1" w:rsidRPr="00CD203D" w:rsidRDefault="00A434C4" w:rsidP="00A434C4">
      <w:pPr>
        <w:spacing w:line="360" w:lineRule="auto"/>
        <w:ind w:firstLine="1134"/>
        <w:jc w:val="both"/>
        <w:rPr>
          <w:rFonts w:ascii="Bookman Old Style" w:hAnsi="Bookman Old Style" w:cs="Arial"/>
          <w:i/>
          <w:sz w:val="24"/>
          <w:szCs w:val="24"/>
        </w:rPr>
      </w:pPr>
      <w:r w:rsidRPr="00CD203D">
        <w:rPr>
          <w:rFonts w:ascii="Bookman Old Style" w:hAnsi="Bookman Old Style" w:cs="Arial"/>
          <w:i/>
          <w:sz w:val="24"/>
          <w:szCs w:val="24"/>
        </w:rPr>
        <w:t xml:space="preserve">La solicitud de Conciliación Prejudicial en el caso que se examina fue presentada ante el Agente del Ministerio Público el </w:t>
      </w:r>
      <w:r w:rsidR="009124C1" w:rsidRPr="00CD203D">
        <w:rPr>
          <w:rFonts w:ascii="Bookman Old Style" w:hAnsi="Bookman Old Style" w:cs="Arial"/>
          <w:i/>
          <w:sz w:val="24"/>
          <w:szCs w:val="24"/>
        </w:rPr>
        <w:t xml:space="preserve">14 de agosto de 2012, </w:t>
      </w:r>
      <w:r w:rsidRPr="00CD203D">
        <w:rPr>
          <w:rFonts w:ascii="Bookman Old Style" w:hAnsi="Bookman Old Style" w:cs="Arial"/>
          <w:i/>
          <w:sz w:val="24"/>
          <w:szCs w:val="24"/>
        </w:rPr>
        <w:t xml:space="preserve"> cuando restaban d</w:t>
      </w:r>
      <w:r w:rsidR="009124C1" w:rsidRPr="00CD203D">
        <w:rPr>
          <w:rFonts w:ascii="Bookman Old Style" w:hAnsi="Bookman Old Style" w:cs="Arial"/>
          <w:i/>
          <w:sz w:val="24"/>
          <w:szCs w:val="24"/>
        </w:rPr>
        <w:t xml:space="preserve">iez </w:t>
      </w:r>
      <w:r w:rsidRPr="00CD203D">
        <w:rPr>
          <w:rFonts w:ascii="Bookman Old Style" w:hAnsi="Bookman Old Style" w:cs="Arial"/>
          <w:i/>
          <w:sz w:val="24"/>
          <w:szCs w:val="24"/>
        </w:rPr>
        <w:t>(</w:t>
      </w:r>
      <w:r w:rsidR="009124C1" w:rsidRPr="00CD203D">
        <w:rPr>
          <w:rFonts w:ascii="Bookman Old Style" w:hAnsi="Bookman Old Style" w:cs="Arial"/>
          <w:i/>
          <w:sz w:val="24"/>
          <w:szCs w:val="24"/>
        </w:rPr>
        <w:t>10</w:t>
      </w:r>
      <w:r w:rsidRPr="00CD203D">
        <w:rPr>
          <w:rFonts w:ascii="Bookman Old Style" w:hAnsi="Bookman Old Style" w:cs="Arial"/>
          <w:i/>
          <w:sz w:val="24"/>
          <w:szCs w:val="24"/>
        </w:rPr>
        <w:t xml:space="preserve">) </w:t>
      </w:r>
      <w:r w:rsidR="009124C1" w:rsidRPr="00CD203D">
        <w:rPr>
          <w:rFonts w:ascii="Bookman Old Style" w:hAnsi="Bookman Old Style" w:cs="Arial"/>
          <w:i/>
          <w:sz w:val="24"/>
          <w:szCs w:val="24"/>
        </w:rPr>
        <w:t xml:space="preserve">días </w:t>
      </w:r>
      <w:r w:rsidRPr="00CD203D">
        <w:rPr>
          <w:rFonts w:ascii="Bookman Old Style" w:hAnsi="Bookman Old Style" w:cs="Arial"/>
          <w:i/>
          <w:sz w:val="24"/>
          <w:szCs w:val="24"/>
        </w:rPr>
        <w:t xml:space="preserve">para la presentación oportuna de la demanda, la diligencia de Conciliación entre las partes se realizó el </w:t>
      </w:r>
      <w:r w:rsidR="009124C1" w:rsidRPr="00CD203D">
        <w:rPr>
          <w:rFonts w:ascii="Bookman Old Style" w:hAnsi="Bookman Old Style" w:cs="Arial"/>
          <w:i/>
          <w:sz w:val="24"/>
          <w:szCs w:val="24"/>
        </w:rPr>
        <w:t xml:space="preserve">13 de noviembre </w:t>
      </w:r>
      <w:r w:rsidRPr="00CD203D">
        <w:rPr>
          <w:rFonts w:ascii="Bookman Old Style" w:hAnsi="Bookman Old Style" w:cs="Arial"/>
          <w:i/>
          <w:sz w:val="24"/>
          <w:szCs w:val="24"/>
        </w:rPr>
        <w:t>del mismo año</w:t>
      </w:r>
      <w:r w:rsidRPr="00CD203D">
        <w:rPr>
          <w:rStyle w:val="Refdenotaalpie"/>
          <w:rFonts w:ascii="Bookman Old Style" w:eastAsia="Calibri" w:hAnsi="Bookman Old Style" w:cs="Arial"/>
          <w:sz w:val="24"/>
          <w:szCs w:val="24"/>
        </w:rPr>
        <w:footnoteReference w:id="3"/>
      </w:r>
      <w:r w:rsidR="009124C1" w:rsidRPr="00CD203D">
        <w:rPr>
          <w:rFonts w:ascii="Bookman Old Style" w:hAnsi="Bookman Old Style" w:cs="Arial"/>
          <w:i/>
          <w:sz w:val="24"/>
          <w:szCs w:val="24"/>
        </w:rPr>
        <w:t xml:space="preserve">.  </w:t>
      </w:r>
    </w:p>
    <w:p w:rsidR="009124C1" w:rsidRPr="00CD203D" w:rsidRDefault="009124C1" w:rsidP="00A434C4">
      <w:pPr>
        <w:spacing w:line="360" w:lineRule="auto"/>
        <w:ind w:firstLine="1134"/>
        <w:jc w:val="both"/>
        <w:rPr>
          <w:rFonts w:ascii="Bookman Old Style" w:hAnsi="Bookman Old Style" w:cs="Arial"/>
          <w:i/>
          <w:sz w:val="24"/>
          <w:szCs w:val="24"/>
        </w:rPr>
      </w:pPr>
    </w:p>
    <w:p w:rsidR="001B08FD" w:rsidRPr="00761DE8" w:rsidRDefault="009124C1" w:rsidP="00761DE8">
      <w:pPr>
        <w:spacing w:line="360" w:lineRule="auto"/>
        <w:ind w:firstLine="1134"/>
        <w:jc w:val="both"/>
        <w:rPr>
          <w:rFonts w:ascii="Bookman Old Style" w:hAnsi="Bookman Old Style" w:cs="Arial"/>
          <w:i/>
          <w:sz w:val="24"/>
          <w:szCs w:val="24"/>
        </w:rPr>
      </w:pPr>
      <w:r w:rsidRPr="00761DE8">
        <w:rPr>
          <w:rFonts w:ascii="Bookman Old Style" w:hAnsi="Bookman Old Style" w:cs="Arial"/>
          <w:i/>
          <w:sz w:val="24"/>
          <w:szCs w:val="24"/>
        </w:rPr>
        <w:t>Como es de público conocimiento</w:t>
      </w:r>
      <w:r w:rsidR="007432C5" w:rsidRPr="00761DE8">
        <w:rPr>
          <w:rFonts w:ascii="Bookman Old Style" w:hAnsi="Bookman Old Style" w:cs="Arial"/>
          <w:i/>
          <w:sz w:val="24"/>
          <w:szCs w:val="24"/>
        </w:rPr>
        <w:t>,</w:t>
      </w:r>
      <w:r w:rsidRPr="00761DE8">
        <w:rPr>
          <w:rFonts w:ascii="Bookman Old Style" w:hAnsi="Bookman Old Style" w:cs="Arial"/>
          <w:i/>
          <w:sz w:val="24"/>
          <w:szCs w:val="24"/>
        </w:rPr>
        <w:t xml:space="preserve"> la Rama Judicial ces</w:t>
      </w:r>
      <w:r w:rsidR="007432C5" w:rsidRPr="00761DE8">
        <w:rPr>
          <w:rFonts w:ascii="Bookman Old Style" w:hAnsi="Bookman Old Style" w:cs="Arial"/>
          <w:i/>
          <w:sz w:val="24"/>
          <w:szCs w:val="24"/>
        </w:rPr>
        <w:t>ó</w:t>
      </w:r>
      <w:r w:rsidRPr="00761DE8">
        <w:rPr>
          <w:rFonts w:ascii="Bookman Old Style" w:hAnsi="Bookman Old Style" w:cs="Arial"/>
          <w:i/>
          <w:sz w:val="24"/>
          <w:szCs w:val="24"/>
        </w:rPr>
        <w:t xml:space="preserve"> sus actividades entre los días 18 de octubre y 23 de noviembre de 2012 y </w:t>
      </w:r>
      <w:r w:rsidR="007432C5" w:rsidRPr="00761DE8">
        <w:rPr>
          <w:rFonts w:ascii="Bookman Old Style" w:hAnsi="Bookman Old Style" w:cs="Arial"/>
          <w:i/>
          <w:sz w:val="24"/>
          <w:szCs w:val="24"/>
        </w:rPr>
        <w:t xml:space="preserve">solo hasta </w:t>
      </w:r>
      <w:r w:rsidRPr="00761DE8">
        <w:rPr>
          <w:rFonts w:ascii="Bookman Old Style" w:hAnsi="Bookman Old Style" w:cs="Arial"/>
          <w:i/>
          <w:sz w:val="24"/>
          <w:szCs w:val="24"/>
        </w:rPr>
        <w:t xml:space="preserve">el lunes 26 de noviembre de esa misma anualidad </w:t>
      </w:r>
      <w:r w:rsidR="001B08FD" w:rsidRPr="00761DE8">
        <w:rPr>
          <w:rFonts w:ascii="Bookman Old Style" w:hAnsi="Bookman Old Style" w:cs="Arial"/>
          <w:i/>
          <w:sz w:val="24"/>
          <w:szCs w:val="24"/>
        </w:rPr>
        <w:t>restableció</w:t>
      </w:r>
      <w:r w:rsidRPr="00761DE8">
        <w:rPr>
          <w:rFonts w:ascii="Bookman Old Style" w:hAnsi="Bookman Old Style" w:cs="Arial"/>
          <w:i/>
          <w:sz w:val="24"/>
          <w:szCs w:val="24"/>
        </w:rPr>
        <w:t xml:space="preserve"> la atención al público, </w:t>
      </w:r>
      <w:r w:rsidR="007432C5" w:rsidRPr="00761DE8">
        <w:rPr>
          <w:rFonts w:ascii="Bookman Old Style" w:hAnsi="Bookman Old Style" w:cs="Arial"/>
          <w:i/>
          <w:sz w:val="24"/>
          <w:szCs w:val="24"/>
        </w:rPr>
        <w:t xml:space="preserve">por esa razón </w:t>
      </w:r>
      <w:r w:rsidR="00A434C4" w:rsidRPr="00761DE8">
        <w:rPr>
          <w:rFonts w:ascii="Bookman Old Style" w:hAnsi="Bookman Old Style" w:cs="Arial"/>
          <w:i/>
          <w:sz w:val="24"/>
          <w:szCs w:val="24"/>
        </w:rPr>
        <w:t xml:space="preserve">el término de </w:t>
      </w:r>
      <w:r w:rsidRPr="00761DE8">
        <w:rPr>
          <w:rFonts w:ascii="Bookman Old Style" w:hAnsi="Bookman Old Style" w:cs="Arial"/>
          <w:i/>
          <w:sz w:val="24"/>
          <w:szCs w:val="24"/>
        </w:rPr>
        <w:t xml:space="preserve">diez </w:t>
      </w:r>
      <w:r w:rsidR="00A434C4" w:rsidRPr="00761DE8">
        <w:rPr>
          <w:rFonts w:ascii="Bookman Old Style" w:hAnsi="Bookman Old Style" w:cs="Arial"/>
          <w:i/>
          <w:sz w:val="24"/>
          <w:szCs w:val="24"/>
        </w:rPr>
        <w:t>(</w:t>
      </w:r>
      <w:r w:rsidRPr="00761DE8">
        <w:rPr>
          <w:rFonts w:ascii="Bookman Old Style" w:hAnsi="Bookman Old Style" w:cs="Arial"/>
          <w:i/>
          <w:sz w:val="24"/>
          <w:szCs w:val="24"/>
        </w:rPr>
        <w:t>10</w:t>
      </w:r>
      <w:r w:rsidR="00A434C4" w:rsidRPr="00761DE8">
        <w:rPr>
          <w:rFonts w:ascii="Bookman Old Style" w:hAnsi="Bookman Old Style" w:cs="Arial"/>
          <w:i/>
          <w:sz w:val="24"/>
          <w:szCs w:val="24"/>
        </w:rPr>
        <w:t xml:space="preserve">) días </w:t>
      </w:r>
      <w:r w:rsidR="007432C5" w:rsidRPr="00761DE8">
        <w:rPr>
          <w:rFonts w:ascii="Bookman Old Style" w:hAnsi="Bookman Old Style" w:cs="Arial"/>
          <w:i/>
          <w:sz w:val="24"/>
          <w:szCs w:val="24"/>
        </w:rPr>
        <w:t xml:space="preserve">restantes para la culminación del término de presentación oportuna de la demanda </w:t>
      </w:r>
      <w:r w:rsidR="007432C5" w:rsidRPr="00761DE8">
        <w:rPr>
          <w:rFonts w:ascii="Bookman Old Style" w:hAnsi="Bookman Old Style" w:cs="Arial"/>
          <w:b/>
          <w:i/>
          <w:sz w:val="24"/>
          <w:szCs w:val="24"/>
        </w:rPr>
        <w:t xml:space="preserve">se </w:t>
      </w:r>
      <w:r w:rsidR="00A434C4" w:rsidRPr="00761DE8">
        <w:rPr>
          <w:rFonts w:ascii="Bookman Old Style" w:hAnsi="Bookman Old Style" w:cs="Arial"/>
          <w:b/>
          <w:i/>
          <w:sz w:val="24"/>
          <w:szCs w:val="24"/>
        </w:rPr>
        <w:t>reanudó</w:t>
      </w:r>
      <w:r w:rsidR="00A434C4" w:rsidRPr="00761DE8">
        <w:rPr>
          <w:rFonts w:ascii="Bookman Old Style" w:hAnsi="Bookman Old Style" w:cs="Arial"/>
          <w:i/>
          <w:sz w:val="24"/>
          <w:szCs w:val="24"/>
        </w:rPr>
        <w:t xml:space="preserve"> a partir de</w:t>
      </w:r>
      <w:r w:rsidRPr="00761DE8">
        <w:rPr>
          <w:rFonts w:ascii="Bookman Old Style" w:hAnsi="Bookman Old Style" w:cs="Arial"/>
          <w:i/>
          <w:sz w:val="24"/>
          <w:szCs w:val="24"/>
        </w:rPr>
        <w:t xml:space="preserve"> esa data </w:t>
      </w:r>
      <w:r w:rsidR="00A434C4" w:rsidRPr="00761DE8">
        <w:rPr>
          <w:rFonts w:ascii="Bookman Old Style" w:hAnsi="Bookman Old Style" w:cs="Arial"/>
          <w:i/>
          <w:sz w:val="24"/>
          <w:szCs w:val="24"/>
        </w:rPr>
        <w:t xml:space="preserve">y </w:t>
      </w:r>
      <w:r w:rsidR="00A434C4" w:rsidRPr="00761DE8">
        <w:rPr>
          <w:rFonts w:ascii="Bookman Old Style" w:hAnsi="Bookman Old Style" w:cs="Arial"/>
          <w:b/>
          <w:i/>
          <w:sz w:val="24"/>
          <w:szCs w:val="24"/>
        </w:rPr>
        <w:t xml:space="preserve">expiró el </w:t>
      </w:r>
      <w:r w:rsidR="000209DD" w:rsidRPr="00761DE8">
        <w:rPr>
          <w:rFonts w:ascii="Bookman Old Style" w:hAnsi="Bookman Old Style" w:cs="Arial"/>
          <w:b/>
          <w:i/>
          <w:sz w:val="24"/>
          <w:szCs w:val="24"/>
        </w:rPr>
        <w:t>5</w:t>
      </w:r>
      <w:r w:rsidR="00A434C4" w:rsidRPr="00761DE8">
        <w:rPr>
          <w:rFonts w:ascii="Bookman Old Style" w:hAnsi="Bookman Old Style" w:cs="Arial"/>
          <w:b/>
          <w:i/>
          <w:sz w:val="24"/>
          <w:szCs w:val="24"/>
        </w:rPr>
        <w:t xml:space="preserve"> de </w:t>
      </w:r>
      <w:r w:rsidR="000209DD" w:rsidRPr="00761DE8">
        <w:rPr>
          <w:rFonts w:ascii="Bookman Old Style" w:hAnsi="Bookman Old Style" w:cs="Arial"/>
          <w:b/>
          <w:i/>
          <w:sz w:val="24"/>
          <w:szCs w:val="24"/>
        </w:rPr>
        <w:t xml:space="preserve">diciembre de </w:t>
      </w:r>
      <w:r w:rsidR="00A434C4" w:rsidRPr="00761DE8">
        <w:rPr>
          <w:rFonts w:ascii="Bookman Old Style" w:hAnsi="Bookman Old Style" w:cs="Arial"/>
          <w:b/>
          <w:i/>
          <w:sz w:val="24"/>
          <w:szCs w:val="24"/>
        </w:rPr>
        <w:t>201</w:t>
      </w:r>
      <w:r w:rsidR="000209DD" w:rsidRPr="00761DE8">
        <w:rPr>
          <w:rFonts w:ascii="Bookman Old Style" w:hAnsi="Bookman Old Style" w:cs="Arial"/>
          <w:b/>
          <w:i/>
          <w:sz w:val="24"/>
          <w:szCs w:val="24"/>
        </w:rPr>
        <w:t>2</w:t>
      </w:r>
      <w:r w:rsidR="001B08FD" w:rsidRPr="00761DE8">
        <w:rPr>
          <w:rFonts w:ascii="Bookman Old Style" w:hAnsi="Bookman Old Style" w:cs="Arial"/>
          <w:b/>
          <w:i/>
          <w:sz w:val="24"/>
          <w:szCs w:val="24"/>
        </w:rPr>
        <w:t xml:space="preserve">, </w:t>
      </w:r>
      <w:r w:rsidR="001B08FD" w:rsidRPr="00761DE8">
        <w:rPr>
          <w:rFonts w:ascii="Bookman Old Style" w:hAnsi="Bookman Old Style" w:cs="Arial"/>
          <w:i/>
          <w:sz w:val="24"/>
          <w:szCs w:val="24"/>
        </w:rPr>
        <w:t xml:space="preserve">por lo que resulta inadmisible conjeturar que el término de caducidad de la acción, que se había </w:t>
      </w:r>
      <w:r w:rsidR="001B08FD" w:rsidRPr="00761DE8">
        <w:rPr>
          <w:rFonts w:ascii="Bookman Old Style" w:hAnsi="Bookman Old Style" w:cs="Arial"/>
          <w:b/>
          <w:i/>
          <w:sz w:val="24"/>
          <w:szCs w:val="24"/>
        </w:rPr>
        <w:t>suspendido</w:t>
      </w:r>
      <w:r w:rsidR="001B08FD" w:rsidRPr="00761DE8">
        <w:rPr>
          <w:rFonts w:ascii="Bookman Old Style" w:hAnsi="Bookman Old Style" w:cs="Arial"/>
          <w:i/>
          <w:sz w:val="24"/>
          <w:szCs w:val="24"/>
        </w:rPr>
        <w:t xml:space="preserve"> con la presentación de la solicitud de conciliación ante el Ministerio Público, renazca adicionado por el número de días que se tardó la Procuraduría en realizar la diligencia y certificar </w:t>
      </w:r>
      <w:r w:rsidR="00367044" w:rsidRPr="00761DE8">
        <w:rPr>
          <w:rFonts w:ascii="Bookman Old Style" w:hAnsi="Bookman Old Style" w:cs="Arial"/>
          <w:i/>
          <w:sz w:val="24"/>
          <w:szCs w:val="24"/>
        </w:rPr>
        <w:t>e</w:t>
      </w:r>
      <w:r w:rsidR="001B08FD" w:rsidRPr="00761DE8">
        <w:rPr>
          <w:rFonts w:ascii="Bookman Old Style" w:hAnsi="Bookman Old Style" w:cs="Arial"/>
          <w:i/>
          <w:sz w:val="24"/>
          <w:szCs w:val="24"/>
        </w:rPr>
        <w:t>l</w:t>
      </w:r>
      <w:r w:rsidR="00367044" w:rsidRPr="00761DE8">
        <w:rPr>
          <w:rFonts w:ascii="Bookman Old Style" w:hAnsi="Bookman Old Style" w:cs="Arial"/>
          <w:i/>
          <w:sz w:val="24"/>
          <w:szCs w:val="24"/>
        </w:rPr>
        <w:t xml:space="preserve"> fracaso del intento de arreglo extrajudicial</w:t>
      </w:r>
      <w:r w:rsidR="00761DE8" w:rsidRPr="00761DE8">
        <w:rPr>
          <w:rFonts w:ascii="Bookman Old Style" w:hAnsi="Bookman Old Style" w:cs="Arial"/>
          <w:i/>
          <w:sz w:val="24"/>
          <w:szCs w:val="24"/>
        </w:rPr>
        <w:t>, como lo plantea la</w:t>
      </w:r>
      <w:r w:rsidR="001B08FD" w:rsidRPr="00761DE8">
        <w:rPr>
          <w:rFonts w:ascii="Bookman Old Style" w:hAnsi="Bookman Old Style" w:cs="Arial"/>
          <w:i/>
          <w:sz w:val="24"/>
          <w:szCs w:val="24"/>
        </w:rPr>
        <w:t xml:space="preserve"> recurrente. </w:t>
      </w:r>
    </w:p>
    <w:p w:rsidR="001B08FD" w:rsidRPr="00761DE8" w:rsidRDefault="001B08FD" w:rsidP="001B08FD">
      <w:pPr>
        <w:ind w:left="1134" w:right="1100"/>
        <w:jc w:val="both"/>
        <w:rPr>
          <w:rFonts w:ascii="Bookman Old Style" w:hAnsi="Bookman Old Style" w:cs="Arial"/>
          <w:i/>
          <w:sz w:val="24"/>
          <w:szCs w:val="24"/>
        </w:rPr>
      </w:pPr>
    </w:p>
    <w:p w:rsidR="007432C5" w:rsidRDefault="00A434C4" w:rsidP="007432C5">
      <w:pPr>
        <w:spacing w:line="360" w:lineRule="auto"/>
        <w:ind w:firstLine="1134"/>
        <w:jc w:val="both"/>
        <w:rPr>
          <w:rFonts w:ascii="Bookman Old Style" w:hAnsi="Bookman Old Style" w:cs="Arial"/>
          <w:i/>
          <w:sz w:val="24"/>
          <w:szCs w:val="24"/>
        </w:rPr>
      </w:pPr>
      <w:r w:rsidRPr="00CD203D">
        <w:rPr>
          <w:rFonts w:ascii="Bookman Old Style" w:hAnsi="Bookman Old Style" w:cs="Arial"/>
          <w:i/>
          <w:sz w:val="24"/>
          <w:szCs w:val="24"/>
        </w:rPr>
        <w:t xml:space="preserve">La parte actora presentó la demanda ante la Administración Judicial  el </w:t>
      </w:r>
      <w:r w:rsidR="000209DD" w:rsidRPr="00CD203D">
        <w:rPr>
          <w:rFonts w:ascii="Bookman Old Style" w:hAnsi="Bookman Old Style" w:cs="Arial"/>
          <w:b/>
          <w:i/>
          <w:sz w:val="24"/>
          <w:szCs w:val="24"/>
        </w:rPr>
        <w:t>19</w:t>
      </w:r>
      <w:r w:rsidRPr="00CD203D">
        <w:rPr>
          <w:rFonts w:ascii="Bookman Old Style" w:hAnsi="Bookman Old Style" w:cs="Arial"/>
          <w:b/>
          <w:i/>
          <w:sz w:val="24"/>
          <w:szCs w:val="24"/>
        </w:rPr>
        <w:t xml:space="preserve"> de </w:t>
      </w:r>
      <w:r w:rsidR="000209DD" w:rsidRPr="00CD203D">
        <w:rPr>
          <w:rFonts w:ascii="Bookman Old Style" w:hAnsi="Bookman Old Style" w:cs="Arial"/>
          <w:b/>
          <w:i/>
          <w:sz w:val="24"/>
          <w:szCs w:val="24"/>
        </w:rPr>
        <w:t xml:space="preserve">diciembre </w:t>
      </w:r>
      <w:r w:rsidRPr="00CD203D">
        <w:rPr>
          <w:rFonts w:ascii="Bookman Old Style" w:hAnsi="Bookman Old Style" w:cs="Arial"/>
          <w:b/>
          <w:i/>
          <w:sz w:val="24"/>
          <w:szCs w:val="24"/>
        </w:rPr>
        <w:t>de 201</w:t>
      </w:r>
      <w:r w:rsidR="000209DD" w:rsidRPr="00CD203D">
        <w:rPr>
          <w:rFonts w:ascii="Bookman Old Style" w:hAnsi="Bookman Old Style" w:cs="Arial"/>
          <w:b/>
          <w:i/>
          <w:sz w:val="24"/>
          <w:szCs w:val="24"/>
        </w:rPr>
        <w:t>2</w:t>
      </w:r>
      <w:r w:rsidRPr="00CD203D">
        <w:rPr>
          <w:rStyle w:val="Refdenotaalpie"/>
          <w:rFonts w:ascii="Bookman Old Style" w:eastAsia="Calibri" w:hAnsi="Bookman Old Style" w:cs="Arial"/>
          <w:sz w:val="24"/>
          <w:szCs w:val="24"/>
        </w:rPr>
        <w:footnoteReference w:id="4"/>
      </w:r>
      <w:r w:rsidRPr="00CD203D">
        <w:rPr>
          <w:rFonts w:ascii="Bookman Old Style" w:hAnsi="Bookman Old Style" w:cs="Arial"/>
          <w:i/>
          <w:sz w:val="24"/>
          <w:szCs w:val="24"/>
        </w:rPr>
        <w:t xml:space="preserve">, cuando ha debido interponerse a más tardar en la </w:t>
      </w:r>
      <w:r w:rsidR="00536E2E" w:rsidRPr="00CD203D">
        <w:rPr>
          <w:rFonts w:ascii="Bookman Old Style" w:hAnsi="Bookman Old Style" w:cs="Arial"/>
          <w:i/>
          <w:sz w:val="24"/>
          <w:szCs w:val="24"/>
        </w:rPr>
        <w:t xml:space="preserve">fecha indicada </w:t>
      </w:r>
      <w:r w:rsidR="00536E2E" w:rsidRPr="001B08FD">
        <w:rPr>
          <w:rFonts w:ascii="Bookman Old Style" w:hAnsi="Bookman Old Style" w:cs="Arial"/>
          <w:b/>
          <w:i/>
          <w:sz w:val="24"/>
          <w:szCs w:val="24"/>
        </w:rPr>
        <w:t>5 de diciembre de 2012</w:t>
      </w:r>
      <w:r w:rsidRPr="00CD203D">
        <w:rPr>
          <w:rFonts w:ascii="Bookman Old Style" w:hAnsi="Bookman Old Style" w:cs="Arial"/>
          <w:i/>
          <w:sz w:val="24"/>
          <w:szCs w:val="24"/>
        </w:rPr>
        <w:t>, por lo que el medio de control de nulidad y restablecimiento del derecho pretendido se encuentra caducado.</w:t>
      </w:r>
    </w:p>
    <w:p w:rsidR="00A434C4" w:rsidRPr="007432C5" w:rsidRDefault="00A434C4" w:rsidP="007432C5">
      <w:pPr>
        <w:spacing w:line="360" w:lineRule="auto"/>
        <w:ind w:firstLine="1134"/>
        <w:jc w:val="both"/>
        <w:rPr>
          <w:rFonts w:ascii="Bookman Old Style" w:hAnsi="Bookman Old Style" w:cs="Arial"/>
          <w:i/>
          <w:sz w:val="24"/>
          <w:szCs w:val="24"/>
        </w:rPr>
      </w:pPr>
      <w:r w:rsidRPr="00CD203D">
        <w:rPr>
          <w:rFonts w:ascii="Bookman Old Style" w:hAnsi="Bookman Old Style" w:cs="Comic Sans MS"/>
          <w:i/>
          <w:sz w:val="24"/>
          <w:szCs w:val="24"/>
        </w:rPr>
        <w:lastRenderedPageBreak/>
        <w:t>Por las razones expuestas este Tribunal confirmar</w:t>
      </w:r>
      <w:r w:rsidR="007432C5">
        <w:rPr>
          <w:rFonts w:ascii="Bookman Old Style" w:hAnsi="Bookman Old Style" w:cs="Comic Sans MS"/>
          <w:i/>
          <w:sz w:val="24"/>
          <w:szCs w:val="24"/>
        </w:rPr>
        <w:t>á</w:t>
      </w:r>
      <w:r w:rsidRPr="00CD203D">
        <w:rPr>
          <w:rFonts w:ascii="Bookman Old Style" w:hAnsi="Bookman Old Style" w:cs="Comic Sans MS"/>
          <w:i/>
          <w:sz w:val="24"/>
          <w:szCs w:val="24"/>
        </w:rPr>
        <w:t xml:space="preserve"> la decisión objeto de censura.</w:t>
      </w:r>
    </w:p>
    <w:p w:rsidR="00A434C4" w:rsidRPr="00CD203D" w:rsidRDefault="00A434C4" w:rsidP="00A434C4">
      <w:pPr>
        <w:spacing w:line="360" w:lineRule="auto"/>
        <w:ind w:left="142" w:firstLine="1134"/>
        <w:jc w:val="both"/>
        <w:rPr>
          <w:rFonts w:ascii="Bookman Old Style" w:hAnsi="Bookman Old Style" w:cs="Comic Sans MS"/>
          <w:i/>
          <w:sz w:val="24"/>
          <w:szCs w:val="24"/>
        </w:rPr>
      </w:pPr>
    </w:p>
    <w:p w:rsidR="00A434C4" w:rsidRPr="00134E11" w:rsidRDefault="00A434C4" w:rsidP="00A434C4">
      <w:pPr>
        <w:widowControl w:val="0"/>
        <w:spacing w:line="360" w:lineRule="auto"/>
        <w:ind w:firstLine="1134"/>
        <w:jc w:val="both"/>
        <w:rPr>
          <w:rFonts w:ascii="Bookman Old Style" w:hAnsi="Bookman Old Style" w:cs="Comic Sans MS"/>
          <w:i/>
          <w:iCs/>
          <w:sz w:val="24"/>
          <w:szCs w:val="24"/>
        </w:rPr>
      </w:pPr>
      <w:r w:rsidRPr="00134E11">
        <w:rPr>
          <w:rFonts w:ascii="Bookman Old Style" w:hAnsi="Bookman Old Style" w:cs="Comic Sans MS"/>
          <w:i/>
          <w:iCs/>
          <w:sz w:val="24"/>
          <w:szCs w:val="24"/>
        </w:rPr>
        <w:t>En mérito de lo expuesto, el Tribunal Administrativo del Meta,</w:t>
      </w:r>
    </w:p>
    <w:p w:rsidR="00A434C4" w:rsidRPr="00134E11" w:rsidRDefault="00A434C4" w:rsidP="00A434C4">
      <w:pPr>
        <w:widowControl w:val="0"/>
        <w:spacing w:line="276" w:lineRule="auto"/>
        <w:ind w:firstLine="1134"/>
        <w:jc w:val="both"/>
        <w:rPr>
          <w:rFonts w:ascii="Bookman Old Style" w:hAnsi="Bookman Old Style" w:cs="Comic Sans MS"/>
          <w:i/>
          <w:iCs/>
          <w:color w:val="000000"/>
          <w:sz w:val="24"/>
          <w:szCs w:val="24"/>
          <w:lang w:val="es-CO"/>
        </w:rPr>
      </w:pPr>
    </w:p>
    <w:p w:rsidR="00A434C4" w:rsidRPr="00134E11" w:rsidRDefault="00A434C4" w:rsidP="00A434C4">
      <w:pPr>
        <w:widowControl w:val="0"/>
        <w:spacing w:line="360" w:lineRule="auto"/>
        <w:ind w:firstLine="1134"/>
        <w:jc w:val="both"/>
        <w:rPr>
          <w:rFonts w:ascii="Bookman Old Style" w:hAnsi="Bookman Old Style" w:cs="Comic Sans MS"/>
          <w:i/>
          <w:iCs/>
          <w:color w:val="000000"/>
          <w:sz w:val="24"/>
          <w:szCs w:val="24"/>
          <w:lang w:val="es-CO"/>
        </w:rPr>
      </w:pPr>
      <w:r>
        <w:rPr>
          <w:rFonts w:ascii="Bookman Old Style" w:hAnsi="Bookman Old Style" w:cs="Comic Sans MS"/>
          <w:i/>
          <w:iCs/>
          <w:color w:val="000000"/>
          <w:sz w:val="24"/>
          <w:szCs w:val="24"/>
          <w:lang w:val="es-CO"/>
        </w:rPr>
        <w:t xml:space="preserve"> </w:t>
      </w:r>
      <w:r w:rsidRPr="00134E11">
        <w:rPr>
          <w:rFonts w:ascii="Bookman Old Style" w:hAnsi="Bookman Old Style" w:cs="Comic Sans MS"/>
          <w:i/>
          <w:iCs/>
          <w:color w:val="000000"/>
          <w:sz w:val="24"/>
          <w:szCs w:val="24"/>
          <w:lang w:val="es-CO"/>
        </w:rPr>
        <w:t>R E S U E L V E:</w:t>
      </w:r>
    </w:p>
    <w:p w:rsidR="00A434C4" w:rsidRPr="00134E11" w:rsidRDefault="00A434C4" w:rsidP="00A434C4">
      <w:pPr>
        <w:widowControl w:val="0"/>
        <w:spacing w:line="276" w:lineRule="auto"/>
        <w:ind w:firstLine="1134"/>
        <w:jc w:val="both"/>
        <w:rPr>
          <w:rFonts w:ascii="Bookman Old Style" w:hAnsi="Bookman Old Style" w:cs="Comic Sans MS"/>
          <w:i/>
          <w:iCs/>
          <w:color w:val="000000"/>
          <w:sz w:val="24"/>
          <w:szCs w:val="24"/>
          <w:lang w:val="es-CO"/>
        </w:rPr>
      </w:pPr>
    </w:p>
    <w:p w:rsidR="00110365" w:rsidRPr="00216936" w:rsidRDefault="00110365" w:rsidP="00110365">
      <w:pPr>
        <w:widowControl w:val="0"/>
        <w:spacing w:line="276" w:lineRule="auto"/>
        <w:ind w:firstLine="1134"/>
        <w:jc w:val="both"/>
        <w:rPr>
          <w:rFonts w:ascii="Bookman Old Style" w:hAnsi="Bookman Old Style" w:cs="Comic Sans MS"/>
          <w:i/>
          <w:iCs/>
          <w:sz w:val="24"/>
          <w:szCs w:val="24"/>
          <w:lang w:val="es-CO"/>
        </w:rPr>
      </w:pPr>
    </w:p>
    <w:p w:rsidR="00110365" w:rsidRPr="00216936" w:rsidRDefault="00110365" w:rsidP="00110365">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 xml:space="preserve">PRIMERO: CONFIRMAR el auto proferido </w:t>
      </w:r>
      <w:r w:rsidRPr="00216936">
        <w:rPr>
          <w:rFonts w:ascii="Bookman Old Style" w:hAnsi="Bookman Old Style" w:cs="Comic Sans MS"/>
          <w:i/>
          <w:sz w:val="24"/>
          <w:szCs w:val="24"/>
        </w:rPr>
        <w:t xml:space="preserve">el </w:t>
      </w:r>
      <w:r w:rsidR="00EC7274">
        <w:rPr>
          <w:rFonts w:ascii="Bookman Old Style" w:hAnsi="Bookman Old Style" w:cs="Comic Sans MS"/>
          <w:i/>
          <w:sz w:val="24"/>
          <w:szCs w:val="24"/>
        </w:rPr>
        <w:t>22</w:t>
      </w:r>
      <w:r w:rsidRPr="00216936">
        <w:rPr>
          <w:rFonts w:ascii="Bookman Old Style" w:hAnsi="Bookman Old Style" w:cs="Comic Sans MS"/>
          <w:i/>
          <w:sz w:val="24"/>
          <w:szCs w:val="24"/>
        </w:rPr>
        <w:t xml:space="preserve"> de </w:t>
      </w:r>
      <w:r w:rsidR="00EC7274">
        <w:rPr>
          <w:rFonts w:ascii="Bookman Old Style" w:hAnsi="Bookman Old Style" w:cs="Comic Sans MS"/>
          <w:i/>
          <w:sz w:val="24"/>
          <w:szCs w:val="24"/>
        </w:rPr>
        <w:t xml:space="preserve">febrero </w:t>
      </w:r>
      <w:r w:rsidRPr="00216936">
        <w:rPr>
          <w:rFonts w:ascii="Bookman Old Style" w:hAnsi="Bookman Old Style" w:cs="Comic Sans MS"/>
          <w:i/>
          <w:sz w:val="24"/>
          <w:szCs w:val="24"/>
        </w:rPr>
        <w:t xml:space="preserve">de 2013 por el Juzgado </w:t>
      </w:r>
      <w:r w:rsidR="004F6D40">
        <w:rPr>
          <w:rFonts w:ascii="Bookman Old Style" w:hAnsi="Bookman Old Style" w:cs="Comic Sans MS"/>
          <w:i/>
          <w:sz w:val="24"/>
          <w:szCs w:val="24"/>
        </w:rPr>
        <w:t>Sexto</w:t>
      </w:r>
      <w:r w:rsidRPr="00216936">
        <w:rPr>
          <w:rFonts w:ascii="Bookman Old Style" w:hAnsi="Bookman Old Style" w:cs="Comic Sans MS"/>
          <w:i/>
          <w:sz w:val="24"/>
          <w:szCs w:val="24"/>
        </w:rPr>
        <w:t xml:space="preserve"> Administrativo Oral de Villavicencio,  </w:t>
      </w:r>
      <w:r w:rsidRPr="00216936">
        <w:rPr>
          <w:rFonts w:ascii="Bookman Old Style" w:hAnsi="Bookman Old Style" w:cs="Comic Sans MS"/>
          <w:i/>
          <w:iCs/>
          <w:sz w:val="24"/>
          <w:szCs w:val="24"/>
          <w:lang w:val="es-CO"/>
        </w:rPr>
        <w:t>que rechazó la demanda por caducidad, conforme lo expuesto en la parte motiva de la presente providencia.</w:t>
      </w:r>
    </w:p>
    <w:p w:rsidR="00110365" w:rsidRPr="00216936" w:rsidRDefault="00110365" w:rsidP="00110365">
      <w:pPr>
        <w:widowControl w:val="0"/>
        <w:spacing w:line="276" w:lineRule="auto"/>
        <w:ind w:firstLine="1134"/>
        <w:jc w:val="both"/>
        <w:rPr>
          <w:rFonts w:ascii="Bookman Old Style" w:hAnsi="Bookman Old Style" w:cs="Comic Sans MS"/>
          <w:i/>
          <w:iCs/>
          <w:sz w:val="24"/>
          <w:szCs w:val="24"/>
          <w:lang w:val="es-CO"/>
        </w:rPr>
      </w:pPr>
    </w:p>
    <w:p w:rsidR="00110365" w:rsidRPr="00216936" w:rsidRDefault="00110365" w:rsidP="00110365">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SEGUNDO: En firme la presente providencia, por Secretaría remítase el expediente al Juzgado de origen.</w:t>
      </w:r>
    </w:p>
    <w:p w:rsidR="00110365" w:rsidRPr="00216936" w:rsidRDefault="00110365" w:rsidP="00110365">
      <w:pPr>
        <w:widowControl w:val="0"/>
        <w:spacing w:line="276" w:lineRule="auto"/>
        <w:ind w:firstLine="1134"/>
        <w:jc w:val="both"/>
        <w:rPr>
          <w:rFonts w:ascii="Bookman Old Style" w:hAnsi="Bookman Old Style" w:cs="Comic Sans MS"/>
          <w:i/>
          <w:sz w:val="24"/>
          <w:szCs w:val="24"/>
          <w:lang w:val="es-CO"/>
        </w:rPr>
      </w:pPr>
    </w:p>
    <w:p w:rsidR="00110365" w:rsidRPr="00216936" w:rsidRDefault="00110365" w:rsidP="00110365">
      <w:pPr>
        <w:spacing w:line="360" w:lineRule="auto"/>
        <w:ind w:firstLine="1134"/>
        <w:rPr>
          <w:rFonts w:ascii="Bookman Old Style" w:hAnsi="Bookman Old Style" w:cs="Comic Sans MS"/>
          <w:i/>
          <w:sz w:val="24"/>
          <w:szCs w:val="24"/>
        </w:rPr>
      </w:pPr>
      <w:r w:rsidRPr="00216936">
        <w:rPr>
          <w:rFonts w:ascii="Bookman Old Style" w:hAnsi="Bookman Old Style" w:cs="Comic Sans MS"/>
          <w:i/>
          <w:sz w:val="24"/>
          <w:szCs w:val="24"/>
        </w:rPr>
        <w:t>Notifíquese  y  Cúmplase,</w:t>
      </w:r>
    </w:p>
    <w:p w:rsidR="00110365" w:rsidRPr="00216936" w:rsidRDefault="00110365" w:rsidP="00110365">
      <w:pPr>
        <w:spacing w:line="276" w:lineRule="auto"/>
        <w:ind w:firstLine="1134"/>
        <w:jc w:val="both"/>
        <w:rPr>
          <w:rFonts w:ascii="Bookman Old Style" w:hAnsi="Bookman Old Style" w:cs="Comic Sans MS"/>
          <w:i/>
          <w:sz w:val="24"/>
          <w:szCs w:val="24"/>
        </w:rPr>
      </w:pPr>
    </w:p>
    <w:p w:rsidR="00110365" w:rsidRPr="00216936" w:rsidRDefault="00110365" w:rsidP="00110365">
      <w:pPr>
        <w:spacing w:line="360" w:lineRule="auto"/>
        <w:ind w:firstLine="1134"/>
        <w:jc w:val="both"/>
        <w:rPr>
          <w:rFonts w:ascii="Bookman Old Style" w:hAnsi="Bookman Old Style" w:cs="Comic Sans MS"/>
          <w:i/>
          <w:sz w:val="24"/>
          <w:szCs w:val="24"/>
        </w:rPr>
      </w:pPr>
      <w:r w:rsidRPr="00216936">
        <w:rPr>
          <w:rFonts w:ascii="Bookman Old Style" w:hAnsi="Bookman Old Style" w:cs="Comic Sans MS"/>
          <w:i/>
          <w:sz w:val="24"/>
          <w:szCs w:val="24"/>
        </w:rPr>
        <w:t xml:space="preserve">Estudiado y aprobado en Sala de Decisión No. </w:t>
      </w:r>
      <w:r w:rsidR="004F6D40">
        <w:rPr>
          <w:rFonts w:ascii="Bookman Old Style" w:hAnsi="Bookman Old Style" w:cs="Comic Sans MS"/>
          <w:i/>
          <w:sz w:val="24"/>
          <w:szCs w:val="24"/>
        </w:rPr>
        <w:t>2</w:t>
      </w:r>
      <w:r w:rsidRPr="00216936">
        <w:rPr>
          <w:rFonts w:ascii="Bookman Old Style" w:hAnsi="Bookman Old Style" w:cs="Comic Sans MS"/>
          <w:i/>
          <w:sz w:val="24"/>
          <w:szCs w:val="24"/>
        </w:rPr>
        <w:t xml:space="preserve"> de la fecha, según Acta No.  </w:t>
      </w:r>
    </w:p>
    <w:p w:rsidR="00110365" w:rsidRPr="00216936" w:rsidRDefault="00110365" w:rsidP="00110365">
      <w:pPr>
        <w:spacing w:line="360" w:lineRule="auto"/>
        <w:ind w:left="1416" w:firstLine="1134"/>
        <w:jc w:val="both"/>
        <w:rPr>
          <w:rFonts w:ascii="Bookman Old Style" w:hAnsi="Bookman Old Style" w:cs="Comic Sans MS"/>
          <w:i/>
          <w:sz w:val="24"/>
          <w:szCs w:val="24"/>
        </w:rPr>
      </w:pPr>
    </w:p>
    <w:p w:rsidR="00110365" w:rsidRPr="00216936" w:rsidRDefault="00110365" w:rsidP="00110365">
      <w:pPr>
        <w:spacing w:line="360" w:lineRule="auto"/>
        <w:ind w:left="1416" w:firstLine="1134"/>
        <w:jc w:val="both"/>
        <w:rPr>
          <w:rFonts w:ascii="Bookman Old Style" w:hAnsi="Bookman Old Style" w:cs="Comic Sans MS"/>
          <w:i/>
          <w:sz w:val="24"/>
          <w:szCs w:val="24"/>
        </w:rPr>
      </w:pPr>
    </w:p>
    <w:p w:rsidR="00110365" w:rsidRPr="00216936" w:rsidRDefault="00110365" w:rsidP="00110365">
      <w:pPr>
        <w:spacing w:line="360" w:lineRule="auto"/>
        <w:ind w:left="1416" w:firstLine="1134"/>
        <w:jc w:val="both"/>
        <w:rPr>
          <w:rFonts w:ascii="Bookman Old Style" w:hAnsi="Bookman Old Style" w:cs="Comic Sans MS"/>
          <w:i/>
          <w:sz w:val="24"/>
          <w:szCs w:val="24"/>
        </w:rPr>
      </w:pPr>
    </w:p>
    <w:p w:rsidR="00110365" w:rsidRPr="00216936" w:rsidRDefault="00110365" w:rsidP="001C4602">
      <w:pPr>
        <w:ind w:firstLine="1134"/>
        <w:jc w:val="both"/>
        <w:rPr>
          <w:rFonts w:ascii="Bookman Old Style" w:hAnsi="Bookman Old Style" w:cs="Comic Sans MS"/>
          <w:i/>
          <w:sz w:val="24"/>
          <w:szCs w:val="24"/>
        </w:rPr>
      </w:pPr>
    </w:p>
    <w:p w:rsidR="00110365" w:rsidRPr="00216936" w:rsidRDefault="00110365" w:rsidP="001C4602">
      <w:pPr>
        <w:widowControl w:val="0"/>
        <w:ind w:firstLine="1134"/>
        <w:jc w:val="center"/>
        <w:rPr>
          <w:rFonts w:ascii="Bookman Old Style" w:hAnsi="Bookman Old Style" w:cs="Comic Sans MS"/>
          <w:i/>
          <w:iCs/>
          <w:sz w:val="24"/>
          <w:szCs w:val="24"/>
        </w:rPr>
      </w:pPr>
      <w:r w:rsidRPr="00216936">
        <w:rPr>
          <w:rFonts w:ascii="Bookman Old Style" w:hAnsi="Bookman Old Style" w:cs="Comic Sans MS"/>
          <w:i/>
          <w:iCs/>
          <w:sz w:val="24"/>
          <w:szCs w:val="24"/>
        </w:rPr>
        <w:t xml:space="preserve">MOISÉS RODRIGO MAZABEL PINZÓN </w:t>
      </w:r>
    </w:p>
    <w:p w:rsidR="00110365" w:rsidRPr="00216936" w:rsidRDefault="001C4602" w:rsidP="001C4602">
      <w:pPr>
        <w:widowControl w:val="0"/>
        <w:ind w:firstLine="1134"/>
        <w:rPr>
          <w:rFonts w:ascii="Bookman Old Style" w:hAnsi="Bookman Old Style" w:cs="Comic Sans MS"/>
          <w:i/>
          <w:iCs/>
          <w:sz w:val="24"/>
          <w:szCs w:val="24"/>
        </w:rPr>
      </w:pP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(Original Firmado)</w:t>
      </w:r>
    </w:p>
    <w:p w:rsidR="00110365" w:rsidRPr="00216936" w:rsidRDefault="00110365" w:rsidP="001C4602">
      <w:pPr>
        <w:widowControl w:val="0"/>
        <w:ind w:firstLine="1134"/>
        <w:rPr>
          <w:rFonts w:ascii="Bookman Old Style" w:hAnsi="Bookman Old Style" w:cs="Comic Sans MS"/>
          <w:i/>
          <w:iCs/>
          <w:sz w:val="24"/>
          <w:szCs w:val="24"/>
        </w:rPr>
      </w:pPr>
    </w:p>
    <w:p w:rsidR="00110365" w:rsidRDefault="00110365" w:rsidP="001C4602">
      <w:pPr>
        <w:widowControl w:val="0"/>
        <w:ind w:firstLine="1134"/>
        <w:rPr>
          <w:rFonts w:ascii="Bookman Old Style" w:hAnsi="Bookman Old Style" w:cs="Comic Sans MS"/>
          <w:i/>
          <w:iCs/>
          <w:sz w:val="24"/>
          <w:szCs w:val="24"/>
        </w:rPr>
      </w:pPr>
    </w:p>
    <w:p w:rsidR="007432C5" w:rsidRDefault="007432C5" w:rsidP="001C4602">
      <w:pPr>
        <w:widowControl w:val="0"/>
        <w:ind w:firstLine="1134"/>
        <w:rPr>
          <w:rFonts w:ascii="Bookman Old Style" w:hAnsi="Bookman Old Style" w:cs="Comic Sans MS"/>
          <w:i/>
          <w:iCs/>
          <w:sz w:val="24"/>
          <w:szCs w:val="24"/>
        </w:rPr>
      </w:pPr>
    </w:p>
    <w:p w:rsidR="007432C5" w:rsidRPr="00216936" w:rsidRDefault="007432C5" w:rsidP="001C4602">
      <w:pPr>
        <w:widowControl w:val="0"/>
        <w:ind w:firstLine="1134"/>
        <w:rPr>
          <w:rFonts w:ascii="Bookman Old Style" w:hAnsi="Bookman Old Style" w:cs="Comic Sans MS"/>
          <w:i/>
          <w:iCs/>
          <w:sz w:val="24"/>
          <w:szCs w:val="24"/>
        </w:rPr>
      </w:pPr>
    </w:p>
    <w:p w:rsidR="00110365" w:rsidRPr="00216936" w:rsidRDefault="00110365" w:rsidP="001C4602">
      <w:pPr>
        <w:widowControl w:val="0"/>
        <w:ind w:firstLine="1134"/>
        <w:rPr>
          <w:rFonts w:ascii="Bookman Old Style" w:hAnsi="Bookman Old Style" w:cs="Comic Sans MS"/>
          <w:i/>
          <w:iCs/>
          <w:sz w:val="24"/>
          <w:szCs w:val="24"/>
        </w:rPr>
      </w:pPr>
    </w:p>
    <w:p w:rsidR="00110365" w:rsidRPr="00216936" w:rsidRDefault="00110365" w:rsidP="001C4602">
      <w:pPr>
        <w:widowControl w:val="0"/>
        <w:rPr>
          <w:rFonts w:ascii="Bookman Old Style" w:hAnsi="Bookman Old Style" w:cs="Comic Sans MS"/>
          <w:i/>
          <w:sz w:val="24"/>
          <w:szCs w:val="24"/>
        </w:rPr>
      </w:pPr>
      <w:r w:rsidRPr="00216936">
        <w:rPr>
          <w:rFonts w:ascii="Bookman Old Style" w:hAnsi="Bookman Old Style" w:cs="Comic Sans MS"/>
          <w:i/>
          <w:sz w:val="24"/>
          <w:szCs w:val="24"/>
        </w:rPr>
        <w:t xml:space="preserve">HÉCTOR ENRIQUE REY MORENO     </w:t>
      </w:r>
      <w:r w:rsidRPr="00216936">
        <w:rPr>
          <w:rFonts w:ascii="Bookman Old Style" w:hAnsi="Bookman Old Style" w:cs="Comic Sans MS"/>
          <w:i/>
          <w:sz w:val="24"/>
          <w:szCs w:val="24"/>
        </w:rPr>
        <w:tab/>
        <w:t xml:space="preserve">       </w:t>
      </w:r>
      <w:r w:rsidRPr="00216936">
        <w:rPr>
          <w:rFonts w:ascii="Bookman Old Style" w:hAnsi="Bookman Old Style" w:cs="Comic Sans MS"/>
          <w:i/>
          <w:iCs/>
          <w:sz w:val="24"/>
          <w:szCs w:val="24"/>
        </w:rPr>
        <w:t>TERESA HERRERA ANDRADE</w:t>
      </w:r>
      <w:r w:rsidRPr="00216936">
        <w:rPr>
          <w:rFonts w:ascii="Bookman Old Style" w:hAnsi="Bookman Old Style" w:cs="Comic Sans MS"/>
          <w:i/>
          <w:sz w:val="24"/>
          <w:szCs w:val="24"/>
        </w:rPr>
        <w:t xml:space="preserve">  </w:t>
      </w:r>
    </w:p>
    <w:p w:rsidR="00110365" w:rsidRPr="00216936" w:rsidRDefault="001C4602" w:rsidP="001C4602">
      <w:r>
        <w:rPr>
          <w:rFonts w:ascii="Bookman Old Style" w:hAnsi="Bookman Old Style" w:cs="Comic Sans MS"/>
          <w:i/>
          <w:iCs/>
          <w:sz w:val="24"/>
          <w:szCs w:val="24"/>
        </w:rPr>
        <w:t xml:space="preserve">       (Original Firmado)</w:t>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 xml:space="preserve">     (Original Firmado)</w:t>
      </w:r>
    </w:p>
    <w:sectPr w:rsidR="00110365" w:rsidRPr="00216936" w:rsidSect="00E6557C">
      <w:headerReference w:type="default" r:id="rId14"/>
      <w:pgSz w:w="12242" w:h="18722" w:code="120"/>
      <w:pgMar w:top="1304" w:right="1134" w:bottom="1134" w:left="164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B8" w:rsidRDefault="00553EB8" w:rsidP="00475D0E">
      <w:r>
        <w:separator/>
      </w:r>
    </w:p>
  </w:endnote>
  <w:endnote w:type="continuationSeparator" w:id="0">
    <w:p w:rsidR="00553EB8" w:rsidRDefault="00553EB8" w:rsidP="00475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B8" w:rsidRDefault="00553EB8" w:rsidP="00475D0E">
      <w:r>
        <w:separator/>
      </w:r>
    </w:p>
  </w:footnote>
  <w:footnote w:type="continuationSeparator" w:id="0">
    <w:p w:rsidR="00553EB8" w:rsidRDefault="00553EB8" w:rsidP="00475D0E">
      <w:r>
        <w:continuationSeparator/>
      </w:r>
    </w:p>
  </w:footnote>
  <w:footnote w:id="1">
    <w:p w:rsidR="00A434C4" w:rsidRPr="00631619" w:rsidRDefault="00A434C4" w:rsidP="00F52EFF">
      <w:pPr>
        <w:pStyle w:val="Textonotapie"/>
        <w:rPr>
          <w:rFonts w:ascii="Bookman Old Style" w:hAnsi="Bookman Old Style" w:cs="Arial"/>
          <w:i/>
          <w:sz w:val="16"/>
          <w:szCs w:val="16"/>
        </w:rPr>
      </w:pPr>
      <w:r w:rsidRPr="001F15A6">
        <w:rPr>
          <w:rStyle w:val="Refdenotaalpie"/>
          <w:rFonts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1</w:t>
      </w:r>
    </w:p>
  </w:footnote>
  <w:footnote w:id="2">
    <w:p w:rsidR="004E3EBC" w:rsidRPr="004E3EBC" w:rsidRDefault="004E3EBC">
      <w:pPr>
        <w:pStyle w:val="Textonotapie"/>
        <w:rPr>
          <w:rStyle w:val="Refdenotaalpie"/>
          <w:sz w:val="16"/>
          <w:szCs w:val="16"/>
        </w:rPr>
      </w:pPr>
      <w:r w:rsidRPr="004E3EBC">
        <w:rPr>
          <w:rStyle w:val="Refdenotaalpie"/>
          <w:rFonts w:ascii="Bookman Old Style" w:hAnsi="Bookman Old Style"/>
          <w:i/>
        </w:rPr>
        <w:footnoteRef/>
      </w:r>
      <w:r w:rsidRPr="004E3EBC">
        <w:rPr>
          <w:rFonts w:ascii="Bookman Old Style" w:hAnsi="Bookman Old Style"/>
          <w:i/>
        </w:rPr>
        <w:t xml:space="preserve"> </w:t>
      </w:r>
      <w:r w:rsidRPr="004E3EBC">
        <w:rPr>
          <w:rFonts w:ascii="Bookman Old Style" w:hAnsi="Bookman Old Style"/>
          <w:i/>
          <w:lang w:val="es-CO"/>
        </w:rPr>
        <w:t>Hecho 4º fol. 5-8 de la demanda</w:t>
      </w:r>
      <w:r w:rsidRPr="004E3EBC">
        <w:rPr>
          <w:rStyle w:val="Refdenotaalpie"/>
          <w:sz w:val="16"/>
          <w:szCs w:val="16"/>
        </w:rPr>
        <w:t xml:space="preserve"> </w:t>
      </w:r>
    </w:p>
  </w:footnote>
  <w:footnote w:id="3">
    <w:p w:rsidR="00A434C4" w:rsidRPr="00FE645E" w:rsidRDefault="00A434C4" w:rsidP="00A434C4">
      <w:pPr>
        <w:pStyle w:val="Textonotapie"/>
        <w:rPr>
          <w:lang w:val="en-US"/>
        </w:rPr>
      </w:pPr>
      <w:r w:rsidRPr="00134E11">
        <w:rPr>
          <w:rStyle w:val="Refdenotaalpie"/>
          <w:rFonts w:ascii="Bookman Old Style" w:hAnsi="Bookman Old Style"/>
          <w:sz w:val="16"/>
          <w:szCs w:val="16"/>
        </w:rPr>
        <w:footnoteRef/>
      </w:r>
      <w:r w:rsidRPr="00134E11">
        <w:rPr>
          <w:rFonts w:ascii="Bookman Old Style" w:hAnsi="Bookman Old Style"/>
          <w:i/>
          <w:sz w:val="16"/>
          <w:szCs w:val="16"/>
          <w:lang w:val="en-US"/>
        </w:rPr>
        <w:t xml:space="preserve"> Fol. </w:t>
      </w:r>
      <w:r w:rsidR="009124C1">
        <w:rPr>
          <w:rFonts w:ascii="Bookman Old Style" w:hAnsi="Bookman Old Style"/>
          <w:i/>
          <w:sz w:val="16"/>
          <w:szCs w:val="16"/>
          <w:lang w:val="en-US"/>
        </w:rPr>
        <w:t>111</w:t>
      </w:r>
    </w:p>
  </w:footnote>
  <w:footnote w:id="4">
    <w:p w:rsidR="00A434C4" w:rsidRPr="00134E11" w:rsidRDefault="00A434C4" w:rsidP="00A434C4">
      <w:pPr>
        <w:pStyle w:val="Textonotapie"/>
        <w:rPr>
          <w:rFonts w:ascii="Bookman Old Style" w:hAnsi="Bookman Old Style"/>
          <w:i/>
          <w:sz w:val="16"/>
          <w:szCs w:val="16"/>
          <w:lang w:val="en-US"/>
        </w:rPr>
      </w:pPr>
      <w:r>
        <w:rPr>
          <w:rStyle w:val="Refdenotaalpie"/>
        </w:rPr>
        <w:footnoteRef/>
      </w:r>
      <w:r w:rsidRPr="00E94EC2">
        <w:rPr>
          <w:lang w:val="en-US"/>
        </w:rPr>
        <w:t xml:space="preserve"> </w:t>
      </w:r>
      <w:r w:rsidR="000209DD">
        <w:rPr>
          <w:rFonts w:ascii="Bookman Old Style" w:hAnsi="Bookman Old Style" w:cs="Arial"/>
          <w:i/>
          <w:sz w:val="16"/>
          <w:szCs w:val="16"/>
          <w:lang w:val="en-US"/>
        </w:rPr>
        <w:t xml:space="preserve">fol. </w:t>
      </w:r>
      <w:r>
        <w:rPr>
          <w:rFonts w:ascii="Bookman Old Style" w:hAnsi="Bookman Old Style" w:cs="Arial"/>
          <w:i/>
          <w:sz w:val="16"/>
          <w:szCs w:val="16"/>
          <w:lang w:val="en-US"/>
        </w:rPr>
        <w:t>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A434C4" w:rsidRPr="00631619" w:rsidRDefault="00A434C4" w:rsidP="00E6557C">
        <w:pPr>
          <w:ind w:left="851" w:firstLine="709"/>
          <w:jc w:val="right"/>
          <w:rPr>
            <w:rFonts w:ascii="Bookman Old Style" w:hAnsi="Bookman Old Style" w:cs="Comic Sans MS"/>
            <w:i/>
            <w:sz w:val="16"/>
            <w:szCs w:val="16"/>
          </w:rPr>
        </w:pPr>
        <w:r w:rsidRPr="00F754E9">
          <w:rPr>
            <w:rFonts w:ascii="Bookman Old Style" w:hAnsi="Bookman Old Style"/>
            <w:i/>
            <w:sz w:val="16"/>
            <w:szCs w:val="16"/>
          </w:rPr>
          <w:t xml:space="preserve">Reparación Directa </w:t>
        </w:r>
      </w:p>
      <w:p w:rsidR="00A434C4" w:rsidRPr="00F754E9" w:rsidRDefault="00A434C4" w:rsidP="00F754E9">
        <w:pPr>
          <w:ind w:left="708" w:firstLine="708"/>
          <w:jc w:val="right"/>
          <w:rPr>
            <w:rFonts w:ascii="Bookman Old Style" w:hAnsi="Bookman Old Style"/>
            <w:i/>
            <w:sz w:val="16"/>
            <w:szCs w:val="16"/>
          </w:rPr>
        </w:pPr>
        <w:r w:rsidRPr="00F754E9">
          <w:rPr>
            <w:rFonts w:ascii="Bookman Old Style" w:hAnsi="Bookman Old Style" w:cs="Comic Sans MS"/>
            <w:bCs/>
            <w:i/>
            <w:sz w:val="16"/>
            <w:szCs w:val="16"/>
          </w:rPr>
          <w:t>Promotora del Llano S.A. Vs. M</w:t>
        </w:r>
        <w:r w:rsidRPr="00F754E9">
          <w:rPr>
            <w:rFonts w:ascii="Bookman Old Style" w:hAnsi="Bookman Old Style"/>
            <w:i/>
            <w:sz w:val="16"/>
            <w:szCs w:val="16"/>
          </w:rPr>
          <w:t xml:space="preserve">unicipio de Villavicencio </w:t>
        </w:r>
      </w:p>
      <w:p w:rsidR="00A434C4" w:rsidRDefault="00A434C4" w:rsidP="00F754E9">
        <w:pPr>
          <w:ind w:left="708" w:firstLine="708"/>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6</w:t>
        </w:r>
        <w:r w:rsidRPr="00631619">
          <w:rPr>
            <w:rFonts w:ascii="Bookman Old Style" w:hAnsi="Bookman Old Style" w:cs="Comic Sans MS"/>
            <w:i/>
            <w:sz w:val="16"/>
            <w:szCs w:val="16"/>
          </w:rPr>
          <w:t>-201</w:t>
        </w:r>
        <w:r>
          <w:rPr>
            <w:rFonts w:ascii="Bookman Old Style" w:hAnsi="Bookman Old Style" w:cs="Comic Sans MS"/>
            <w:i/>
            <w:sz w:val="16"/>
            <w:szCs w:val="16"/>
          </w:rPr>
          <w:t>2</w:t>
        </w:r>
        <w:r w:rsidRPr="00631619">
          <w:rPr>
            <w:rFonts w:ascii="Bookman Old Style" w:hAnsi="Bookman Old Style" w:cs="Comic Sans MS"/>
            <w:i/>
            <w:sz w:val="16"/>
            <w:szCs w:val="16"/>
          </w:rPr>
          <w:t>-00</w:t>
        </w:r>
        <w:r>
          <w:rPr>
            <w:rFonts w:ascii="Bookman Old Style" w:hAnsi="Bookman Old Style" w:cs="Comic Sans MS"/>
            <w:i/>
            <w:sz w:val="16"/>
            <w:szCs w:val="16"/>
          </w:rPr>
          <w:t>218</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A434C4" w:rsidRPr="00631619" w:rsidRDefault="00A434C4" w:rsidP="00F754E9">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A434C4" w:rsidRPr="00631619" w:rsidRDefault="00A434C4" w:rsidP="00E6557C">
        <w:pPr>
          <w:jc w:val="right"/>
          <w:rPr>
            <w:rFonts w:ascii="Bookman Old Style" w:hAnsi="Bookman Old Style" w:cs="Comic Sans MS"/>
            <w:i/>
            <w:sz w:val="16"/>
            <w:szCs w:val="16"/>
          </w:rPr>
        </w:pPr>
      </w:p>
      <w:p w:rsidR="00A434C4" w:rsidRDefault="004301F0">
        <w:pPr>
          <w:pStyle w:val="Encabezado"/>
          <w:jc w:val="right"/>
        </w:pPr>
        <w:fldSimple w:instr=" PAGE   \* MERGEFORMAT ">
          <w:r w:rsidR="001C4602">
            <w:rPr>
              <w:noProof/>
            </w:rPr>
            <w:t>7</w:t>
          </w:r>
        </w:fldSimple>
      </w:p>
    </w:sdtContent>
  </w:sdt>
  <w:p w:rsidR="00A434C4" w:rsidRDefault="00A434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4666"/>
    <w:multiLevelType w:val="hybridMultilevel"/>
    <w:tmpl w:val="2E281532"/>
    <w:lvl w:ilvl="0" w:tplc="72FEFB9C">
      <w:start w:val="1"/>
      <w:numFmt w:val="lowerRoman"/>
      <w:lvlText w:val="%1)"/>
      <w:lvlJc w:val="left"/>
      <w:pPr>
        <w:ind w:left="1995" w:hanging="720"/>
      </w:pPr>
      <w:rPr>
        <w:rFonts w:hint="default"/>
      </w:rPr>
    </w:lvl>
    <w:lvl w:ilvl="1" w:tplc="240A0019" w:tentative="1">
      <w:start w:val="1"/>
      <w:numFmt w:val="lowerLetter"/>
      <w:lvlText w:val="%2."/>
      <w:lvlJc w:val="left"/>
      <w:pPr>
        <w:ind w:left="2355" w:hanging="360"/>
      </w:pPr>
    </w:lvl>
    <w:lvl w:ilvl="2" w:tplc="240A001B" w:tentative="1">
      <w:start w:val="1"/>
      <w:numFmt w:val="lowerRoman"/>
      <w:lvlText w:val="%3."/>
      <w:lvlJc w:val="right"/>
      <w:pPr>
        <w:ind w:left="3075" w:hanging="180"/>
      </w:pPr>
    </w:lvl>
    <w:lvl w:ilvl="3" w:tplc="240A000F" w:tentative="1">
      <w:start w:val="1"/>
      <w:numFmt w:val="decimal"/>
      <w:lvlText w:val="%4."/>
      <w:lvlJc w:val="left"/>
      <w:pPr>
        <w:ind w:left="3795" w:hanging="360"/>
      </w:pPr>
    </w:lvl>
    <w:lvl w:ilvl="4" w:tplc="240A0019" w:tentative="1">
      <w:start w:val="1"/>
      <w:numFmt w:val="lowerLetter"/>
      <w:lvlText w:val="%5."/>
      <w:lvlJc w:val="left"/>
      <w:pPr>
        <w:ind w:left="4515" w:hanging="360"/>
      </w:pPr>
    </w:lvl>
    <w:lvl w:ilvl="5" w:tplc="240A001B" w:tentative="1">
      <w:start w:val="1"/>
      <w:numFmt w:val="lowerRoman"/>
      <w:lvlText w:val="%6."/>
      <w:lvlJc w:val="right"/>
      <w:pPr>
        <w:ind w:left="5235" w:hanging="180"/>
      </w:pPr>
    </w:lvl>
    <w:lvl w:ilvl="6" w:tplc="240A000F" w:tentative="1">
      <w:start w:val="1"/>
      <w:numFmt w:val="decimal"/>
      <w:lvlText w:val="%7."/>
      <w:lvlJc w:val="left"/>
      <w:pPr>
        <w:ind w:left="5955" w:hanging="360"/>
      </w:pPr>
    </w:lvl>
    <w:lvl w:ilvl="7" w:tplc="240A0019" w:tentative="1">
      <w:start w:val="1"/>
      <w:numFmt w:val="lowerLetter"/>
      <w:lvlText w:val="%8."/>
      <w:lvlJc w:val="left"/>
      <w:pPr>
        <w:ind w:left="6675" w:hanging="360"/>
      </w:pPr>
    </w:lvl>
    <w:lvl w:ilvl="8" w:tplc="240A001B" w:tentative="1">
      <w:start w:val="1"/>
      <w:numFmt w:val="lowerRoman"/>
      <w:lvlText w:val="%9."/>
      <w:lvlJc w:val="right"/>
      <w:pPr>
        <w:ind w:left="7395" w:hanging="180"/>
      </w:pPr>
    </w:lvl>
  </w:abstractNum>
  <w:abstractNum w:abstractNumId="1">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nsid w:val="3ADC58AD"/>
    <w:multiLevelType w:val="hybridMultilevel"/>
    <w:tmpl w:val="4E50B51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75D0E"/>
    <w:rsid w:val="00002B94"/>
    <w:rsid w:val="000076BC"/>
    <w:rsid w:val="000209DD"/>
    <w:rsid w:val="00025197"/>
    <w:rsid w:val="00080BEC"/>
    <w:rsid w:val="00081A36"/>
    <w:rsid w:val="00085131"/>
    <w:rsid w:val="00086021"/>
    <w:rsid w:val="000F520D"/>
    <w:rsid w:val="00110365"/>
    <w:rsid w:val="00142CC2"/>
    <w:rsid w:val="001603F1"/>
    <w:rsid w:val="001B08FD"/>
    <w:rsid w:val="001C4602"/>
    <w:rsid w:val="00315DC9"/>
    <w:rsid w:val="003516AC"/>
    <w:rsid w:val="003608E5"/>
    <w:rsid w:val="00367044"/>
    <w:rsid w:val="003A2B2C"/>
    <w:rsid w:val="003A544C"/>
    <w:rsid w:val="003C2B7C"/>
    <w:rsid w:val="004248F1"/>
    <w:rsid w:val="00424AD5"/>
    <w:rsid w:val="004301F0"/>
    <w:rsid w:val="004552B5"/>
    <w:rsid w:val="00475D0E"/>
    <w:rsid w:val="004D1844"/>
    <w:rsid w:val="004E3EBC"/>
    <w:rsid w:val="004F6D40"/>
    <w:rsid w:val="00536E2E"/>
    <w:rsid w:val="00553EB8"/>
    <w:rsid w:val="005675FA"/>
    <w:rsid w:val="005748BF"/>
    <w:rsid w:val="005C33FE"/>
    <w:rsid w:val="0064032B"/>
    <w:rsid w:val="007432C5"/>
    <w:rsid w:val="00761DE8"/>
    <w:rsid w:val="009124C1"/>
    <w:rsid w:val="009B6899"/>
    <w:rsid w:val="00A21089"/>
    <w:rsid w:val="00A434C4"/>
    <w:rsid w:val="00AC343B"/>
    <w:rsid w:val="00B65162"/>
    <w:rsid w:val="00BB57F4"/>
    <w:rsid w:val="00C27824"/>
    <w:rsid w:val="00C60827"/>
    <w:rsid w:val="00CA0E1D"/>
    <w:rsid w:val="00CD203D"/>
    <w:rsid w:val="00CE6F05"/>
    <w:rsid w:val="00D4200C"/>
    <w:rsid w:val="00D626B0"/>
    <w:rsid w:val="00D87A84"/>
    <w:rsid w:val="00E0133C"/>
    <w:rsid w:val="00E114BB"/>
    <w:rsid w:val="00E6557C"/>
    <w:rsid w:val="00EC35A6"/>
    <w:rsid w:val="00EC7274"/>
    <w:rsid w:val="00EE5528"/>
    <w:rsid w:val="00F2385C"/>
    <w:rsid w:val="00F35172"/>
    <w:rsid w:val="00F444B0"/>
    <w:rsid w:val="00F510BE"/>
    <w:rsid w:val="00F52EFF"/>
    <w:rsid w:val="00F5305A"/>
    <w:rsid w:val="00F754E9"/>
    <w:rsid w:val="00FC02C6"/>
    <w:rsid w:val="00FF6E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0E"/>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475D0E"/>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475D0E"/>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5D0E"/>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475D0E"/>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475D0E"/>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475D0E"/>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475D0E"/>
    <w:rPr>
      <w:vertAlign w:val="superscript"/>
    </w:rPr>
  </w:style>
  <w:style w:type="paragraph" w:styleId="Ttulo">
    <w:name w:val="Title"/>
    <w:basedOn w:val="Normal"/>
    <w:link w:val="TtuloCar"/>
    <w:qFormat/>
    <w:rsid w:val="00475D0E"/>
    <w:pPr>
      <w:jc w:val="center"/>
    </w:pPr>
    <w:rPr>
      <w:rFonts w:ascii="Arial" w:hAnsi="Arial"/>
      <w:b/>
      <w:bCs/>
      <w:i/>
      <w:sz w:val="24"/>
    </w:rPr>
  </w:style>
  <w:style w:type="character" w:customStyle="1" w:styleId="TtuloCar">
    <w:name w:val="Título Car"/>
    <w:basedOn w:val="Fuentedeprrafopredeter"/>
    <w:link w:val="Ttulo"/>
    <w:rsid w:val="00475D0E"/>
    <w:rPr>
      <w:rFonts w:ascii="Arial" w:eastAsia="Times New Roman" w:hAnsi="Arial"/>
      <w:b/>
      <w:bCs/>
      <w:i/>
      <w:lang w:val="es-ES_tradnl" w:eastAsia="es-ES"/>
    </w:rPr>
  </w:style>
  <w:style w:type="paragraph" w:styleId="Encabezado">
    <w:name w:val="header"/>
    <w:basedOn w:val="Normal"/>
    <w:link w:val="EncabezadoCar"/>
    <w:unhideWhenUsed/>
    <w:rsid w:val="00475D0E"/>
    <w:pPr>
      <w:tabs>
        <w:tab w:val="center" w:pos="4419"/>
        <w:tab w:val="right" w:pos="8838"/>
      </w:tabs>
    </w:pPr>
  </w:style>
  <w:style w:type="character" w:customStyle="1" w:styleId="EncabezadoCar">
    <w:name w:val="Encabezado Car"/>
    <w:basedOn w:val="Fuentedeprrafopredeter"/>
    <w:link w:val="Encabezado"/>
    <w:rsid w:val="00475D0E"/>
    <w:rPr>
      <w:rFonts w:ascii="Times New Roman" w:eastAsia="Times New Roman" w:hAnsi="Times New Roman"/>
      <w:sz w:val="20"/>
      <w:lang w:val="es-ES_tradnl" w:eastAsia="es-ES"/>
    </w:rPr>
  </w:style>
  <w:style w:type="paragraph" w:styleId="Prrafodelista">
    <w:name w:val="List Paragraph"/>
    <w:basedOn w:val="Normal"/>
    <w:uiPriority w:val="34"/>
    <w:qFormat/>
    <w:rsid w:val="00475D0E"/>
    <w:pPr>
      <w:ind w:left="720"/>
      <w:contextualSpacing/>
    </w:pPr>
  </w:style>
  <w:style w:type="paragraph" w:customStyle="1" w:styleId="Default">
    <w:name w:val="Default"/>
    <w:rsid w:val="00475D0E"/>
    <w:pPr>
      <w:autoSpaceDE w:val="0"/>
      <w:autoSpaceDN w:val="0"/>
      <w:adjustRightInd w:val="0"/>
      <w:spacing w:after="0" w:line="240" w:lineRule="auto"/>
    </w:pPr>
    <w:rPr>
      <w:rFonts w:ascii="Arial" w:hAnsi="Arial" w:cs="Arial"/>
      <w:color w:val="000000"/>
      <w:szCs w:val="24"/>
    </w:rPr>
  </w:style>
  <w:style w:type="paragraph" w:styleId="Textoindependiente3">
    <w:name w:val="Body Text 3"/>
    <w:basedOn w:val="Normal"/>
    <w:link w:val="Textoindependiente3Car"/>
    <w:uiPriority w:val="99"/>
    <w:unhideWhenUsed/>
    <w:rsid w:val="00475D0E"/>
    <w:pPr>
      <w:spacing w:after="120"/>
    </w:pPr>
    <w:rPr>
      <w:sz w:val="16"/>
      <w:szCs w:val="16"/>
    </w:rPr>
  </w:style>
  <w:style w:type="character" w:customStyle="1" w:styleId="Textoindependiente3Car">
    <w:name w:val="Texto independiente 3 Car"/>
    <w:basedOn w:val="Fuentedeprrafopredeter"/>
    <w:link w:val="Textoindependiente3"/>
    <w:uiPriority w:val="99"/>
    <w:rsid w:val="00475D0E"/>
    <w:rPr>
      <w:rFonts w:ascii="Times New Roman" w:eastAsia="Times New Roman" w:hAnsi="Times New Roman"/>
      <w:sz w:val="16"/>
      <w:szCs w:val="16"/>
      <w:lang w:val="es-ES_tradnl" w:eastAsia="es-ES"/>
    </w:rPr>
  </w:style>
  <w:style w:type="paragraph" w:styleId="NormalWeb">
    <w:name w:val="Normal (Web)"/>
    <w:basedOn w:val="Normal"/>
    <w:uiPriority w:val="99"/>
    <w:unhideWhenUsed/>
    <w:rsid w:val="00F52EFF"/>
    <w:pPr>
      <w:overflowPunct/>
      <w:autoSpaceDE/>
      <w:autoSpaceDN/>
      <w:adjustRightInd/>
      <w:spacing w:before="100" w:beforeAutospacing="1" w:after="100" w:afterAutospacing="1"/>
      <w:textAlignment w:val="auto"/>
    </w:pPr>
    <w:rPr>
      <w:sz w:val="24"/>
      <w:szCs w:val="24"/>
      <w:lang w:val="es-CO" w:eastAsia="es-CO"/>
    </w:rPr>
  </w:style>
  <w:style w:type="paragraph" w:styleId="Sangradetextonormal">
    <w:name w:val="Body Text Indent"/>
    <w:basedOn w:val="Normal"/>
    <w:link w:val="SangradetextonormalCar"/>
    <w:uiPriority w:val="99"/>
    <w:semiHidden/>
    <w:unhideWhenUsed/>
    <w:rsid w:val="00F52EFF"/>
    <w:pPr>
      <w:spacing w:after="120"/>
      <w:ind w:left="283"/>
    </w:pPr>
  </w:style>
  <w:style w:type="character" w:customStyle="1" w:styleId="SangradetextonormalCar">
    <w:name w:val="Sangría de texto normal Car"/>
    <w:basedOn w:val="Fuentedeprrafopredeter"/>
    <w:link w:val="Sangradetextonormal"/>
    <w:uiPriority w:val="99"/>
    <w:semiHidden/>
    <w:rsid w:val="00F52EFF"/>
    <w:rPr>
      <w:rFonts w:ascii="Times New Roman" w:eastAsia="Times New Roman" w:hAnsi="Times New Roman"/>
      <w:sz w:val="20"/>
      <w:lang w:val="es-ES_tradnl" w:eastAsia="es-ES"/>
    </w:rPr>
  </w:style>
  <w:style w:type="paragraph" w:styleId="Piedepgina">
    <w:name w:val="footer"/>
    <w:basedOn w:val="Normal"/>
    <w:link w:val="PiedepginaCar"/>
    <w:uiPriority w:val="99"/>
    <w:semiHidden/>
    <w:unhideWhenUsed/>
    <w:rsid w:val="00F754E9"/>
    <w:pPr>
      <w:tabs>
        <w:tab w:val="center" w:pos="4419"/>
        <w:tab w:val="right" w:pos="8838"/>
      </w:tabs>
    </w:pPr>
  </w:style>
  <w:style w:type="character" w:customStyle="1" w:styleId="PiedepginaCar">
    <w:name w:val="Pie de página Car"/>
    <w:basedOn w:val="Fuentedeprrafopredeter"/>
    <w:link w:val="Piedepgina"/>
    <w:uiPriority w:val="99"/>
    <w:semiHidden/>
    <w:rsid w:val="00F754E9"/>
    <w:rPr>
      <w:rFonts w:ascii="Times New Roman" w:eastAsia="Times New Roman" w:hAnsi="Times New Roman"/>
      <w:sz w:val="20"/>
      <w:lang w:val="es-ES_tradnl" w:eastAsia="es-ES"/>
    </w:rPr>
  </w:style>
  <w:style w:type="character" w:styleId="Textoennegrita">
    <w:name w:val="Strong"/>
    <w:basedOn w:val="Fuentedeprrafopredeter"/>
    <w:uiPriority w:val="22"/>
    <w:qFormat/>
    <w:rsid w:val="005C33FE"/>
    <w:rPr>
      <w:b/>
      <w:bCs/>
    </w:rPr>
  </w:style>
  <w:style w:type="character" w:customStyle="1" w:styleId="apple-converted-space">
    <w:name w:val="apple-converted-space"/>
    <w:basedOn w:val="Fuentedeprrafopredeter"/>
    <w:rsid w:val="005C33FE"/>
  </w:style>
  <w:style w:type="character" w:styleId="Hipervnculo">
    <w:name w:val="Hyperlink"/>
    <w:basedOn w:val="Fuentedeprrafopredeter"/>
    <w:uiPriority w:val="99"/>
    <w:semiHidden/>
    <w:unhideWhenUsed/>
    <w:rsid w:val="003608E5"/>
    <w:rPr>
      <w:color w:val="0000FF"/>
      <w:u w:val="single"/>
    </w:rPr>
  </w:style>
  <w:style w:type="paragraph" w:customStyle="1" w:styleId="BodyText21">
    <w:name w:val="Body Text 21"/>
    <w:basedOn w:val="Normal"/>
    <w:rsid w:val="00025197"/>
    <w:pPr>
      <w:spacing w:line="480" w:lineRule="auto"/>
      <w:jc w:val="both"/>
    </w:pPr>
    <w:rPr>
      <w:rFonts w:ascii="Arial" w:hAnsi="Arial"/>
      <w:sz w:val="24"/>
    </w:rPr>
  </w:style>
  <w:style w:type="paragraph" w:customStyle="1" w:styleId="Textoindependiente21">
    <w:name w:val="Texto independiente 21"/>
    <w:basedOn w:val="Normal"/>
    <w:rsid w:val="00025197"/>
    <w:pPr>
      <w:spacing w:after="120"/>
      <w:ind w:left="283"/>
    </w:pPr>
    <w:rPr>
      <w:rFonts w:ascii="Arial" w:hAnsi="Arial"/>
      <w:sz w:val="24"/>
    </w:rPr>
  </w:style>
  <w:style w:type="paragraph" w:styleId="Sangra2detindependiente">
    <w:name w:val="Body Text Indent 2"/>
    <w:basedOn w:val="Normal"/>
    <w:link w:val="Sangra2detindependienteCar"/>
    <w:uiPriority w:val="99"/>
    <w:semiHidden/>
    <w:unhideWhenUsed/>
    <w:rsid w:val="00A434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434C4"/>
    <w:rPr>
      <w:rFonts w:ascii="Times New Roman" w:eastAsia="Times New Roman" w:hAnsi="Times New Roman"/>
      <w:sz w:val="20"/>
      <w:lang w:val="es-ES_tradnl" w:eastAsia="es-ES"/>
    </w:rPr>
  </w:style>
  <w:style w:type="paragraph" w:styleId="Textodebloque">
    <w:name w:val="Block Text"/>
    <w:basedOn w:val="Normal"/>
    <w:semiHidden/>
    <w:rsid w:val="00A434C4"/>
    <w:pPr>
      <w:overflowPunct/>
      <w:autoSpaceDE/>
      <w:autoSpaceDN/>
      <w:adjustRightInd/>
      <w:ind w:left="540" w:right="567"/>
      <w:jc w:val="both"/>
      <w:textAlignment w:val="auto"/>
    </w:pPr>
    <w:rPr>
      <w:rFonts w:ascii="Arial" w:hAnsi="Arial" w:cs="Arial"/>
      <w:i/>
      <w:iCs/>
      <w:sz w:val="24"/>
      <w:szCs w:val="24"/>
      <w:lang w:val="es-CO"/>
    </w:rPr>
  </w:style>
</w:styles>
</file>

<file path=word/webSettings.xml><?xml version="1.0" encoding="utf-8"?>
<w:webSettings xmlns:r="http://schemas.openxmlformats.org/officeDocument/2006/relationships" xmlns:w="http://schemas.openxmlformats.org/wordprocessingml/2006/main">
  <w:divs>
    <w:div w:id="4184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2001/ley_0640_2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digo/codigo_contencioso_administrativo_pr0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codigo_contencioso_administrativo_pr0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digo/codigo_contencioso_administrativo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1996/ley_0270_1996_pr001.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F0478-65DA-4987-A1FE-253C266D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2192</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2014-07-21T21:23:00Z</cp:lastPrinted>
  <dcterms:created xsi:type="dcterms:W3CDTF">2014-07-21T21:34:00Z</dcterms:created>
  <dcterms:modified xsi:type="dcterms:W3CDTF">2014-07-31T19:37:00Z</dcterms:modified>
</cp:coreProperties>
</file>