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75C37">
        <w:rPr>
          <w:rFonts w:asciiTheme="minorHAnsi" w:hAnsiTheme="minorHAnsi"/>
          <w:color w:val="000000"/>
          <w:szCs w:val="28"/>
          <w:lang w:val="es-ES" w:eastAsia="es-ES"/>
        </w:rPr>
        <w:t>3</w:t>
      </w:r>
      <w:r w:rsidR="00843AD5">
        <w:rPr>
          <w:rFonts w:asciiTheme="minorHAnsi" w:hAnsiTheme="minorHAnsi"/>
          <w:color w:val="000000"/>
          <w:szCs w:val="28"/>
          <w:lang w:val="es-ES" w:eastAsia="es-ES"/>
        </w:rPr>
        <w:t>1</w:t>
      </w:r>
      <w:r w:rsidR="00BB466F">
        <w:rPr>
          <w:rFonts w:asciiTheme="minorHAnsi" w:hAnsiTheme="minorHAnsi"/>
          <w:color w:val="000000"/>
          <w:szCs w:val="28"/>
          <w:lang w:val="es-ES" w:eastAsia="es-ES"/>
        </w:rPr>
        <w:t>6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840D0">
        <w:rPr>
          <w:rFonts w:asciiTheme="minorHAnsi" w:hAnsiTheme="minorHAnsi"/>
          <w:spacing w:val="-2"/>
          <w:sz w:val="28"/>
          <w:szCs w:val="28"/>
        </w:rPr>
        <w:t>12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BB466F">
        <w:rPr>
          <w:rFonts w:asciiTheme="minorHAnsi" w:hAnsiTheme="minorHAnsi"/>
          <w:szCs w:val="28"/>
          <w:lang w:val="es-ES" w:eastAsia="es-ES"/>
        </w:rPr>
        <w:t>ROBERTO CORTES LENIS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179E7">
        <w:rPr>
          <w:rFonts w:asciiTheme="minorHAnsi" w:hAnsiTheme="minorHAnsi"/>
          <w:szCs w:val="28"/>
          <w:lang w:val="es-ES" w:eastAsia="es-ES"/>
        </w:rPr>
        <w:t>NACIÓN – MINISTERIO DE EDUCACIÓN- FOMAG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843AD5">
        <w:rPr>
          <w:rFonts w:asciiTheme="minorHAnsi" w:hAnsiTheme="minorHAnsi"/>
          <w:szCs w:val="28"/>
          <w:lang w:val="es-ES" w:eastAsia="es-ES"/>
        </w:rPr>
        <w:t>7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D179E7">
        <w:rPr>
          <w:rFonts w:asciiTheme="minorHAnsi" w:hAnsiTheme="minorHAnsi"/>
          <w:szCs w:val="28"/>
          <w:lang w:val="es-ES" w:eastAsia="es-ES"/>
        </w:rPr>
        <w:t>3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5A28C8">
        <w:rPr>
          <w:rFonts w:asciiTheme="minorHAnsi" w:hAnsiTheme="minorHAnsi"/>
          <w:szCs w:val="28"/>
          <w:lang w:val="es-ES" w:eastAsia="es-ES"/>
        </w:rPr>
        <w:t>223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BB466F">
        <w:rPr>
          <w:rFonts w:asciiTheme="minorHAnsi" w:hAnsiTheme="minorHAnsi"/>
          <w:spacing w:val="-2"/>
          <w:sz w:val="28"/>
          <w:szCs w:val="28"/>
        </w:rPr>
        <w:t>01</w:t>
      </w:r>
      <w:r w:rsidR="00A75C37">
        <w:rPr>
          <w:rFonts w:asciiTheme="minorHAnsi" w:hAnsiTheme="minorHAnsi"/>
          <w:spacing w:val="-2"/>
          <w:sz w:val="28"/>
          <w:szCs w:val="28"/>
        </w:rPr>
        <w:t>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B466F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6840D0" w:rsidRDefault="006840D0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6840D0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0B" w:rsidRDefault="0005490B">
      <w:r>
        <w:separator/>
      </w:r>
    </w:p>
  </w:endnote>
  <w:endnote w:type="continuationSeparator" w:id="0">
    <w:p w:rsidR="0005490B" w:rsidRDefault="000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5490B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05490B" w:rsidP="00EB2704">
    <w:pPr>
      <w:pStyle w:val="Piedepgina"/>
    </w:pPr>
  </w:p>
  <w:p w:rsidR="003C264A" w:rsidRPr="00360AD8" w:rsidRDefault="0005490B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0B" w:rsidRDefault="0005490B">
      <w:r>
        <w:separator/>
      </w:r>
    </w:p>
  </w:footnote>
  <w:footnote w:type="continuationSeparator" w:id="0">
    <w:p w:rsidR="0005490B" w:rsidRDefault="0005490B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549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05490B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5490B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A28C8"/>
    <w:rsid w:val="005B26D8"/>
    <w:rsid w:val="005F49C3"/>
    <w:rsid w:val="006028DD"/>
    <w:rsid w:val="006361DC"/>
    <w:rsid w:val="006514CE"/>
    <w:rsid w:val="006840D0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843AD5"/>
    <w:rsid w:val="0084705D"/>
    <w:rsid w:val="0085667F"/>
    <w:rsid w:val="008623DC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75C37"/>
    <w:rsid w:val="00A84405"/>
    <w:rsid w:val="00A850D7"/>
    <w:rsid w:val="00A96537"/>
    <w:rsid w:val="00A97845"/>
    <w:rsid w:val="00AB1E65"/>
    <w:rsid w:val="00AB50E5"/>
    <w:rsid w:val="00AC6172"/>
    <w:rsid w:val="00B34B07"/>
    <w:rsid w:val="00B405DF"/>
    <w:rsid w:val="00B478AB"/>
    <w:rsid w:val="00B52411"/>
    <w:rsid w:val="00B54EC4"/>
    <w:rsid w:val="00BB3A1E"/>
    <w:rsid w:val="00BB466F"/>
    <w:rsid w:val="00BB7DB2"/>
    <w:rsid w:val="00BE638C"/>
    <w:rsid w:val="00BF75FD"/>
    <w:rsid w:val="00C76A89"/>
    <w:rsid w:val="00C947C5"/>
    <w:rsid w:val="00CC47E8"/>
    <w:rsid w:val="00D179E7"/>
    <w:rsid w:val="00D73B76"/>
    <w:rsid w:val="00DA2877"/>
    <w:rsid w:val="00DD458A"/>
    <w:rsid w:val="00DD4DF9"/>
    <w:rsid w:val="00E02C71"/>
    <w:rsid w:val="00E146FB"/>
    <w:rsid w:val="00E245FB"/>
    <w:rsid w:val="00E3080C"/>
    <w:rsid w:val="00E9697B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6202-FC7A-49B0-BFB7-2194FA6C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26</cp:revision>
  <cp:lastPrinted>2014-10-31T19:47:00Z</cp:lastPrinted>
  <dcterms:created xsi:type="dcterms:W3CDTF">2014-10-28T19:57:00Z</dcterms:created>
  <dcterms:modified xsi:type="dcterms:W3CDTF">2014-11-12T16:40:00Z</dcterms:modified>
</cp:coreProperties>
</file>