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6A5" w:rsidRPr="003F3543" w:rsidRDefault="001756A5" w:rsidP="001756A5">
      <w:pPr>
        <w:tabs>
          <w:tab w:val="left" w:pos="851"/>
        </w:tabs>
        <w:spacing w:line="360" w:lineRule="auto"/>
        <w:jc w:val="center"/>
        <w:rPr>
          <w:rFonts w:ascii="Verdana" w:hAnsi="Verdana" w:cs="Verdana"/>
          <w:b/>
          <w:bCs/>
          <w:noProof/>
          <w:spacing w:val="20"/>
          <w:lang w:eastAsia="en-US"/>
        </w:rPr>
      </w:pPr>
      <w:bookmarkStart w:id="0" w:name="_GoBack"/>
      <w:bookmarkEnd w:id="0"/>
      <w:r w:rsidRPr="003F3543">
        <w:rPr>
          <w:rFonts w:ascii="Verdana" w:hAnsi="Verdana" w:cs="Verdana"/>
          <w:b/>
          <w:bCs/>
          <w:noProof/>
          <w:spacing w:val="20"/>
          <w:lang w:eastAsia="en-US"/>
        </w:rPr>
        <w:t xml:space="preserve">REPÚBLICA DE COLOMBIA </w:t>
      </w:r>
    </w:p>
    <w:p w:rsidR="001756A5" w:rsidRPr="003F3543" w:rsidRDefault="001756A5" w:rsidP="001756A5">
      <w:pPr>
        <w:tabs>
          <w:tab w:val="left" w:pos="851"/>
        </w:tabs>
        <w:spacing w:line="360" w:lineRule="auto"/>
        <w:jc w:val="center"/>
        <w:rPr>
          <w:rFonts w:ascii="Verdana" w:hAnsi="Verdana" w:cs="Verdana"/>
          <w:b/>
          <w:bCs/>
          <w:noProof/>
          <w:spacing w:val="20"/>
          <w:lang w:val="en-US" w:eastAsia="en-US"/>
        </w:rPr>
      </w:pPr>
      <w:r>
        <w:rPr>
          <w:rFonts w:ascii="Verdana" w:hAnsi="Verdana" w:cs="Verdana"/>
          <w:b/>
          <w:bCs/>
          <w:noProof/>
          <w:spacing w:val="20"/>
          <w:lang w:val="es-CO" w:eastAsia="es-CO"/>
        </w:rPr>
        <w:drawing>
          <wp:inline distT="0" distB="0" distL="0" distR="0" wp14:anchorId="46828A6C" wp14:editId="1905236F">
            <wp:extent cx="771525" cy="771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1756A5" w:rsidRPr="003F3543" w:rsidRDefault="001756A5" w:rsidP="001756A5">
      <w:pPr>
        <w:tabs>
          <w:tab w:val="left" w:pos="851"/>
        </w:tabs>
        <w:spacing w:line="360" w:lineRule="auto"/>
        <w:jc w:val="center"/>
        <w:rPr>
          <w:rFonts w:ascii="Verdana" w:hAnsi="Verdana" w:cs="Verdana"/>
          <w:b/>
          <w:bCs/>
          <w:spacing w:val="20"/>
          <w:lang w:val="es-MX"/>
        </w:rPr>
      </w:pPr>
      <w:r w:rsidRPr="003F3543">
        <w:rPr>
          <w:rFonts w:ascii="Verdana" w:hAnsi="Verdana" w:cs="Verdana"/>
          <w:b/>
          <w:bCs/>
          <w:spacing w:val="20"/>
          <w:lang w:val="es-MX"/>
        </w:rPr>
        <w:t xml:space="preserve">JUZGADO DOCE ADMINISTRATIVO ORAL DE MEDELLÍN </w:t>
      </w:r>
    </w:p>
    <w:p w:rsidR="001756A5" w:rsidRPr="003F3543" w:rsidRDefault="001756A5" w:rsidP="001756A5">
      <w:pPr>
        <w:tabs>
          <w:tab w:val="left" w:pos="851"/>
        </w:tabs>
        <w:spacing w:line="360" w:lineRule="auto"/>
        <w:jc w:val="center"/>
        <w:rPr>
          <w:rFonts w:ascii="Verdana" w:hAnsi="Verdana" w:cs="Verdana"/>
          <w:b/>
          <w:bCs/>
          <w:lang w:val="es-MX"/>
        </w:rPr>
      </w:pPr>
    </w:p>
    <w:p w:rsidR="001756A5" w:rsidRDefault="001756A5" w:rsidP="001756A5">
      <w:pPr>
        <w:tabs>
          <w:tab w:val="left" w:pos="851"/>
        </w:tabs>
        <w:spacing w:line="360" w:lineRule="auto"/>
        <w:jc w:val="center"/>
        <w:rPr>
          <w:rFonts w:ascii="Verdana" w:hAnsi="Verdana" w:cs="Verdana"/>
          <w:sz w:val="22"/>
          <w:szCs w:val="22"/>
          <w:lang w:val="es-MX"/>
        </w:rPr>
      </w:pPr>
      <w:r w:rsidRPr="003F3543">
        <w:rPr>
          <w:rFonts w:ascii="Verdana" w:hAnsi="Verdana" w:cs="Verdana"/>
          <w:sz w:val="22"/>
          <w:szCs w:val="22"/>
          <w:lang w:val="es-MX"/>
        </w:rPr>
        <w:t xml:space="preserve">Medellín, </w:t>
      </w:r>
      <w:r>
        <w:rPr>
          <w:rFonts w:ascii="Verdana" w:hAnsi="Verdana" w:cs="Verdana"/>
          <w:sz w:val="22"/>
          <w:szCs w:val="22"/>
          <w:lang w:val="es-MX"/>
        </w:rPr>
        <w:t xml:space="preserve">diez </w:t>
      </w:r>
      <w:r w:rsidRPr="003F3543">
        <w:rPr>
          <w:rFonts w:ascii="Verdana" w:hAnsi="Verdana" w:cs="Verdana"/>
          <w:sz w:val="22"/>
          <w:szCs w:val="22"/>
          <w:lang w:val="es-MX"/>
        </w:rPr>
        <w:t>(</w:t>
      </w:r>
      <w:r>
        <w:rPr>
          <w:rFonts w:ascii="Verdana" w:hAnsi="Verdana" w:cs="Verdana"/>
          <w:sz w:val="22"/>
          <w:szCs w:val="22"/>
          <w:lang w:val="es-MX"/>
        </w:rPr>
        <w:t>10</w:t>
      </w:r>
      <w:r w:rsidRPr="003F3543">
        <w:rPr>
          <w:rFonts w:ascii="Verdana" w:hAnsi="Verdana" w:cs="Verdana"/>
          <w:sz w:val="22"/>
          <w:szCs w:val="22"/>
          <w:lang w:val="es-MX"/>
        </w:rPr>
        <w:t xml:space="preserve">) </w:t>
      </w:r>
      <w:r>
        <w:rPr>
          <w:rFonts w:ascii="Verdana" w:hAnsi="Verdana" w:cs="Verdana"/>
          <w:sz w:val="22"/>
          <w:szCs w:val="22"/>
          <w:lang w:val="es-MX"/>
        </w:rPr>
        <w:t xml:space="preserve">de </w:t>
      </w:r>
      <w:r>
        <w:rPr>
          <w:rFonts w:ascii="Verdana" w:hAnsi="Verdana" w:cs="Verdana"/>
          <w:sz w:val="22"/>
          <w:szCs w:val="22"/>
          <w:lang w:val="es-MX"/>
        </w:rPr>
        <w:t xml:space="preserve">noviembre </w:t>
      </w:r>
      <w:r>
        <w:rPr>
          <w:rFonts w:ascii="Verdana" w:hAnsi="Verdana" w:cs="Verdana"/>
          <w:sz w:val="22"/>
          <w:szCs w:val="22"/>
          <w:lang w:val="es-MX"/>
        </w:rPr>
        <w:t xml:space="preserve">de </w:t>
      </w:r>
      <w:r w:rsidRPr="003F3543">
        <w:rPr>
          <w:rFonts w:ascii="Verdana" w:hAnsi="Verdana" w:cs="Verdana"/>
          <w:sz w:val="22"/>
          <w:szCs w:val="22"/>
          <w:lang w:val="es-MX"/>
        </w:rPr>
        <w:t xml:space="preserve">dos mil </w:t>
      </w:r>
      <w:r>
        <w:rPr>
          <w:rFonts w:ascii="Verdana" w:hAnsi="Verdana" w:cs="Verdana"/>
          <w:sz w:val="22"/>
          <w:szCs w:val="22"/>
          <w:lang w:val="es-MX"/>
        </w:rPr>
        <w:t xml:space="preserve">catorce </w:t>
      </w:r>
      <w:r w:rsidRPr="003F3543">
        <w:rPr>
          <w:rFonts w:ascii="Verdana" w:hAnsi="Verdana" w:cs="Verdana"/>
          <w:sz w:val="22"/>
          <w:szCs w:val="22"/>
          <w:lang w:val="es-MX"/>
        </w:rPr>
        <w:t>(</w:t>
      </w:r>
      <w:r>
        <w:rPr>
          <w:rFonts w:ascii="Verdana" w:hAnsi="Verdana" w:cs="Verdana"/>
          <w:sz w:val="22"/>
          <w:szCs w:val="22"/>
          <w:lang w:val="es-MX"/>
        </w:rPr>
        <w:t>2014</w:t>
      </w:r>
      <w:r w:rsidRPr="003F3543">
        <w:rPr>
          <w:rFonts w:ascii="Verdana" w:hAnsi="Verdana" w:cs="Verdana"/>
          <w:sz w:val="22"/>
          <w:szCs w:val="22"/>
          <w:lang w:val="es-MX"/>
        </w:rPr>
        <w:t>).-</w:t>
      </w:r>
    </w:p>
    <w:p w:rsidR="001756A5" w:rsidRDefault="001756A5" w:rsidP="001756A5">
      <w:pPr>
        <w:spacing w:line="360" w:lineRule="auto"/>
        <w:rPr>
          <w:rFonts w:ascii="Verdana" w:hAnsi="Verdana" w:cs="Verdana"/>
          <w:b/>
          <w:bCs/>
          <w:sz w:val="22"/>
          <w:szCs w:val="22"/>
        </w:rPr>
      </w:pPr>
    </w:p>
    <w:p w:rsidR="001756A5" w:rsidRPr="009B7F2A" w:rsidRDefault="001756A5" w:rsidP="001756A5">
      <w:pPr>
        <w:spacing w:line="360" w:lineRule="auto"/>
        <w:jc w:val="both"/>
        <w:rPr>
          <w:rFonts w:ascii="Verdana" w:hAnsi="Verdana" w:cs="Verdana"/>
          <w:sz w:val="22"/>
          <w:szCs w:val="22"/>
        </w:rPr>
      </w:pPr>
      <w:r>
        <w:rPr>
          <w:noProof/>
          <w:lang w:val="es-CO" w:eastAsia="es-CO"/>
        </w:rPr>
        <mc:AlternateContent>
          <mc:Choice Requires="wps">
            <w:drawing>
              <wp:anchor distT="0" distB="0" distL="114300" distR="114300" simplePos="0" relativeHeight="251659264" behindDoc="0" locked="0" layoutInCell="1" allowOverlap="1" wp14:anchorId="752D16C3" wp14:editId="5DCF34F1">
                <wp:simplePos x="0" y="0"/>
                <wp:positionH relativeFrom="column">
                  <wp:posOffset>682625</wp:posOffset>
                </wp:positionH>
                <wp:positionV relativeFrom="paragraph">
                  <wp:posOffset>10160</wp:posOffset>
                </wp:positionV>
                <wp:extent cx="4019550" cy="1085850"/>
                <wp:effectExtent l="9525" t="9525" r="9525" b="952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1085850"/>
                        </a:xfrm>
                        <a:prstGeom prst="rect">
                          <a:avLst/>
                        </a:prstGeom>
                        <a:solidFill>
                          <a:srgbClr val="CCFFFF"/>
                        </a:solidFill>
                        <a:ln w="9525">
                          <a:solidFill>
                            <a:srgbClr val="000000"/>
                          </a:solidFill>
                          <a:miter lim="800000"/>
                          <a:headEnd/>
                          <a:tailEnd/>
                        </a:ln>
                      </wps:spPr>
                      <wps:txbx>
                        <w:txbxContent>
                          <w:p w:rsidR="001756A5" w:rsidRPr="00E9709B" w:rsidRDefault="001756A5" w:rsidP="001756A5">
                            <w:pPr>
                              <w:pBdr>
                                <w:top w:val="single" w:sz="24" w:space="1" w:color="auto"/>
                                <w:left w:val="single" w:sz="24" w:space="0" w:color="auto"/>
                                <w:bottom w:val="single" w:sz="24" w:space="1" w:color="auto"/>
                                <w:right w:val="single" w:sz="24" w:space="4" w:color="auto"/>
                              </w:pBdr>
                              <w:tabs>
                                <w:tab w:val="left" w:pos="1620"/>
                              </w:tabs>
                              <w:ind w:left="2124" w:hanging="2124"/>
                              <w:rPr>
                                <w:rFonts w:ascii="Verdana" w:hAnsi="Verdana" w:cs="Verdana"/>
                                <w:b/>
                                <w:bCs/>
                                <w:sz w:val="18"/>
                                <w:szCs w:val="18"/>
                              </w:rPr>
                            </w:pPr>
                            <w:r>
                              <w:rPr>
                                <w:rFonts w:ascii="Verdana" w:hAnsi="Verdana" w:cs="Verdana"/>
                                <w:b/>
                                <w:bCs/>
                                <w:sz w:val="18"/>
                                <w:szCs w:val="18"/>
                              </w:rPr>
                              <w:t>Medio de Control:</w:t>
                            </w:r>
                            <w:r>
                              <w:rPr>
                                <w:rFonts w:ascii="Verdana" w:hAnsi="Verdana" w:cs="Verdana"/>
                                <w:b/>
                                <w:bCs/>
                                <w:sz w:val="18"/>
                                <w:szCs w:val="18"/>
                              </w:rPr>
                              <w:tab/>
                              <w:t xml:space="preserve">NULIDAD Y RESTABLECIMIENTO DEL DERECHO </w:t>
                            </w:r>
                          </w:p>
                          <w:p w:rsidR="001756A5" w:rsidRPr="00E9709B" w:rsidRDefault="001756A5" w:rsidP="001756A5">
                            <w:pPr>
                              <w:pStyle w:val="Ttulo1"/>
                              <w:pBdr>
                                <w:top w:val="single" w:sz="24" w:space="1" w:color="auto"/>
                                <w:left w:val="single" w:sz="24" w:space="0" w:color="auto"/>
                                <w:bottom w:val="single" w:sz="24" w:space="1" w:color="auto"/>
                                <w:right w:val="single" w:sz="24" w:space="4" w:color="auto"/>
                              </w:pBdr>
                              <w:tabs>
                                <w:tab w:val="left" w:pos="1620"/>
                              </w:tabs>
                              <w:ind w:left="2124" w:hanging="2124"/>
                              <w:rPr>
                                <w:rFonts w:ascii="Verdana" w:hAnsi="Verdana" w:cs="Verdana"/>
                              </w:rPr>
                            </w:pPr>
                            <w:r w:rsidRPr="00E9709B">
                              <w:rPr>
                                <w:rFonts w:ascii="Verdana" w:hAnsi="Verdana" w:cs="Verdana"/>
                              </w:rPr>
                              <w:t>Demandante:</w:t>
                            </w:r>
                            <w:r w:rsidRPr="00E9709B">
                              <w:rPr>
                                <w:rFonts w:ascii="Verdana" w:hAnsi="Verdana" w:cs="Verdana"/>
                              </w:rPr>
                              <w:tab/>
                            </w:r>
                            <w:r>
                              <w:rPr>
                                <w:rFonts w:ascii="Verdana" w:hAnsi="Verdana" w:cs="Verdana"/>
                              </w:rPr>
                              <w:tab/>
                            </w:r>
                            <w:r>
                              <w:rPr>
                                <w:rFonts w:ascii="Verdana" w:hAnsi="Verdana" w:cs="Verdana"/>
                              </w:rPr>
                              <w:t xml:space="preserve">OSWALDO DE JESÚS PINO USMA </w:t>
                            </w:r>
                          </w:p>
                          <w:p w:rsidR="001756A5" w:rsidRPr="00E9709B" w:rsidRDefault="001756A5" w:rsidP="001756A5">
                            <w:pPr>
                              <w:pBdr>
                                <w:top w:val="single" w:sz="24" w:space="1" w:color="auto"/>
                                <w:left w:val="single" w:sz="24" w:space="0" w:color="auto"/>
                                <w:bottom w:val="single" w:sz="24" w:space="1" w:color="auto"/>
                                <w:right w:val="single" w:sz="24" w:space="4" w:color="auto"/>
                              </w:pBdr>
                              <w:tabs>
                                <w:tab w:val="left" w:pos="1620"/>
                              </w:tabs>
                              <w:ind w:left="2124" w:hanging="2124"/>
                              <w:rPr>
                                <w:rFonts w:ascii="Verdana" w:hAnsi="Verdana" w:cs="Verdana"/>
                                <w:b/>
                                <w:bCs/>
                                <w:sz w:val="18"/>
                                <w:szCs w:val="18"/>
                              </w:rPr>
                            </w:pPr>
                            <w:r w:rsidRPr="00E9709B">
                              <w:rPr>
                                <w:rFonts w:ascii="Verdana" w:hAnsi="Verdana" w:cs="Verdana"/>
                                <w:b/>
                                <w:bCs/>
                                <w:sz w:val="18"/>
                                <w:szCs w:val="18"/>
                              </w:rPr>
                              <w:t>Demandado:</w:t>
                            </w:r>
                            <w:r w:rsidRPr="00E9709B">
                              <w:rPr>
                                <w:rFonts w:ascii="Verdana" w:hAnsi="Verdana" w:cs="Verdana"/>
                                <w:b/>
                                <w:bCs/>
                                <w:sz w:val="18"/>
                                <w:szCs w:val="18"/>
                              </w:rPr>
                              <w:tab/>
                            </w:r>
                            <w:r>
                              <w:rPr>
                                <w:rFonts w:ascii="Verdana" w:hAnsi="Verdana" w:cs="Verdana"/>
                                <w:b/>
                                <w:bCs/>
                                <w:sz w:val="18"/>
                                <w:szCs w:val="18"/>
                              </w:rPr>
                              <w:tab/>
                              <w:t>MUNICIPIO DE MEDELLIN</w:t>
                            </w:r>
                          </w:p>
                          <w:p w:rsidR="001756A5" w:rsidRPr="00E9709B" w:rsidRDefault="001756A5" w:rsidP="001756A5">
                            <w:pPr>
                              <w:pBdr>
                                <w:top w:val="single" w:sz="24" w:space="1" w:color="auto"/>
                                <w:left w:val="single" w:sz="24" w:space="0" w:color="auto"/>
                                <w:bottom w:val="single" w:sz="24" w:space="1" w:color="auto"/>
                                <w:right w:val="single" w:sz="24" w:space="4" w:color="auto"/>
                              </w:pBdr>
                              <w:tabs>
                                <w:tab w:val="left" w:pos="1620"/>
                              </w:tabs>
                              <w:rPr>
                                <w:rFonts w:ascii="Verdana" w:hAnsi="Verdana" w:cs="Verdana"/>
                                <w:b/>
                                <w:bCs/>
                                <w:sz w:val="18"/>
                                <w:szCs w:val="18"/>
                              </w:rPr>
                            </w:pPr>
                            <w:r w:rsidRPr="00E9709B">
                              <w:rPr>
                                <w:rFonts w:ascii="Verdana" w:hAnsi="Verdana" w:cs="Verdana"/>
                                <w:b/>
                                <w:bCs/>
                                <w:sz w:val="18"/>
                                <w:szCs w:val="18"/>
                              </w:rPr>
                              <w:t>Radicado:</w:t>
                            </w:r>
                            <w:r w:rsidRPr="00E9709B">
                              <w:rPr>
                                <w:rFonts w:ascii="Verdana" w:hAnsi="Verdana" w:cs="Verdana"/>
                                <w:b/>
                                <w:bCs/>
                                <w:sz w:val="18"/>
                                <w:szCs w:val="18"/>
                              </w:rPr>
                              <w:tab/>
                            </w:r>
                            <w:r>
                              <w:rPr>
                                <w:rFonts w:ascii="Verdana" w:hAnsi="Verdana" w:cs="Verdana"/>
                                <w:b/>
                                <w:bCs/>
                                <w:sz w:val="18"/>
                                <w:szCs w:val="18"/>
                              </w:rPr>
                              <w:tab/>
                            </w:r>
                            <w:r w:rsidRPr="00E9709B">
                              <w:rPr>
                                <w:rFonts w:ascii="Verdana" w:hAnsi="Verdana" w:cs="Verdana"/>
                                <w:b/>
                                <w:bCs/>
                                <w:sz w:val="18"/>
                                <w:szCs w:val="18"/>
                              </w:rPr>
                              <w:t xml:space="preserve">05 001 33 33 012 2014 </w:t>
                            </w:r>
                            <w:r>
                              <w:rPr>
                                <w:rFonts w:ascii="Verdana" w:hAnsi="Verdana" w:cs="Verdana"/>
                                <w:b/>
                                <w:bCs/>
                                <w:sz w:val="18"/>
                                <w:szCs w:val="18"/>
                              </w:rPr>
                              <w:t xml:space="preserve">01176 </w:t>
                            </w:r>
                            <w:r w:rsidRPr="00E9709B">
                              <w:rPr>
                                <w:rFonts w:ascii="Verdana" w:hAnsi="Verdana" w:cs="Verdana"/>
                                <w:b/>
                                <w:bCs/>
                                <w:sz w:val="18"/>
                                <w:szCs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D16C3" id="Rectángulo 3" o:spid="_x0000_s1026" style="position:absolute;left:0;text-align:left;margin-left:53.75pt;margin-top:.8pt;width:316.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" fillcolor="#cff">
                <v:textbox>
                  <w:txbxContent>
                    <w:p w:rsidR="001756A5" w:rsidRPr="00E9709B" w:rsidRDefault="001756A5" w:rsidP="001756A5">
                      <w:pPr>
                        <w:pBdr>
                          <w:top w:val="single" w:sz="24" w:space="1" w:color="auto"/>
                          <w:left w:val="single" w:sz="24" w:space="0" w:color="auto"/>
                          <w:bottom w:val="single" w:sz="24" w:space="1" w:color="auto"/>
                          <w:right w:val="single" w:sz="24" w:space="4" w:color="auto"/>
                        </w:pBdr>
                        <w:tabs>
                          <w:tab w:val="left" w:pos="1620"/>
                        </w:tabs>
                        <w:ind w:left="2124" w:hanging="2124"/>
                        <w:rPr>
                          <w:rFonts w:ascii="Verdana" w:hAnsi="Verdana" w:cs="Verdana"/>
                          <w:b/>
                          <w:bCs/>
                          <w:sz w:val="18"/>
                          <w:szCs w:val="18"/>
                        </w:rPr>
                      </w:pPr>
                      <w:r>
                        <w:rPr>
                          <w:rFonts w:ascii="Verdana" w:hAnsi="Verdana" w:cs="Verdana"/>
                          <w:b/>
                          <w:bCs/>
                          <w:sz w:val="18"/>
                          <w:szCs w:val="18"/>
                        </w:rPr>
                        <w:t>Medio de Control:</w:t>
                      </w:r>
                      <w:r>
                        <w:rPr>
                          <w:rFonts w:ascii="Verdana" w:hAnsi="Verdana" w:cs="Verdana"/>
                          <w:b/>
                          <w:bCs/>
                          <w:sz w:val="18"/>
                          <w:szCs w:val="18"/>
                        </w:rPr>
                        <w:tab/>
                        <w:t xml:space="preserve">NULIDAD Y RESTABLECIMIENTO DEL DERECHO </w:t>
                      </w:r>
                    </w:p>
                    <w:p w:rsidR="001756A5" w:rsidRPr="00E9709B" w:rsidRDefault="001756A5" w:rsidP="001756A5">
                      <w:pPr>
                        <w:pStyle w:val="Ttulo1"/>
                        <w:pBdr>
                          <w:top w:val="single" w:sz="24" w:space="1" w:color="auto"/>
                          <w:left w:val="single" w:sz="24" w:space="0" w:color="auto"/>
                          <w:bottom w:val="single" w:sz="24" w:space="1" w:color="auto"/>
                          <w:right w:val="single" w:sz="24" w:space="4" w:color="auto"/>
                        </w:pBdr>
                        <w:tabs>
                          <w:tab w:val="left" w:pos="1620"/>
                        </w:tabs>
                        <w:ind w:left="2124" w:hanging="2124"/>
                        <w:rPr>
                          <w:rFonts w:ascii="Verdana" w:hAnsi="Verdana" w:cs="Verdana"/>
                        </w:rPr>
                      </w:pPr>
                      <w:r w:rsidRPr="00E9709B">
                        <w:rPr>
                          <w:rFonts w:ascii="Verdana" w:hAnsi="Verdana" w:cs="Verdana"/>
                        </w:rPr>
                        <w:t>Demandante:</w:t>
                      </w:r>
                      <w:r w:rsidRPr="00E9709B">
                        <w:rPr>
                          <w:rFonts w:ascii="Verdana" w:hAnsi="Verdana" w:cs="Verdana"/>
                        </w:rPr>
                        <w:tab/>
                      </w:r>
                      <w:r>
                        <w:rPr>
                          <w:rFonts w:ascii="Verdana" w:hAnsi="Verdana" w:cs="Verdana"/>
                        </w:rPr>
                        <w:tab/>
                      </w:r>
                      <w:r>
                        <w:rPr>
                          <w:rFonts w:ascii="Verdana" w:hAnsi="Verdana" w:cs="Verdana"/>
                        </w:rPr>
                        <w:t xml:space="preserve">OSWALDO DE JESÚS PINO USMA </w:t>
                      </w:r>
                    </w:p>
                    <w:p w:rsidR="001756A5" w:rsidRPr="00E9709B" w:rsidRDefault="001756A5" w:rsidP="001756A5">
                      <w:pPr>
                        <w:pBdr>
                          <w:top w:val="single" w:sz="24" w:space="1" w:color="auto"/>
                          <w:left w:val="single" w:sz="24" w:space="0" w:color="auto"/>
                          <w:bottom w:val="single" w:sz="24" w:space="1" w:color="auto"/>
                          <w:right w:val="single" w:sz="24" w:space="4" w:color="auto"/>
                        </w:pBdr>
                        <w:tabs>
                          <w:tab w:val="left" w:pos="1620"/>
                        </w:tabs>
                        <w:ind w:left="2124" w:hanging="2124"/>
                        <w:rPr>
                          <w:rFonts w:ascii="Verdana" w:hAnsi="Verdana" w:cs="Verdana"/>
                          <w:b/>
                          <w:bCs/>
                          <w:sz w:val="18"/>
                          <w:szCs w:val="18"/>
                        </w:rPr>
                      </w:pPr>
                      <w:r w:rsidRPr="00E9709B">
                        <w:rPr>
                          <w:rFonts w:ascii="Verdana" w:hAnsi="Verdana" w:cs="Verdana"/>
                          <w:b/>
                          <w:bCs/>
                          <w:sz w:val="18"/>
                          <w:szCs w:val="18"/>
                        </w:rPr>
                        <w:t>Demandado:</w:t>
                      </w:r>
                      <w:r w:rsidRPr="00E9709B">
                        <w:rPr>
                          <w:rFonts w:ascii="Verdana" w:hAnsi="Verdana" w:cs="Verdana"/>
                          <w:b/>
                          <w:bCs/>
                          <w:sz w:val="18"/>
                          <w:szCs w:val="18"/>
                        </w:rPr>
                        <w:tab/>
                      </w:r>
                      <w:r>
                        <w:rPr>
                          <w:rFonts w:ascii="Verdana" w:hAnsi="Verdana" w:cs="Verdana"/>
                          <w:b/>
                          <w:bCs/>
                          <w:sz w:val="18"/>
                          <w:szCs w:val="18"/>
                        </w:rPr>
                        <w:tab/>
                        <w:t>MUNICIPIO DE MEDELLIN</w:t>
                      </w:r>
                    </w:p>
                    <w:p w:rsidR="001756A5" w:rsidRPr="00E9709B" w:rsidRDefault="001756A5" w:rsidP="001756A5">
                      <w:pPr>
                        <w:pBdr>
                          <w:top w:val="single" w:sz="24" w:space="1" w:color="auto"/>
                          <w:left w:val="single" w:sz="24" w:space="0" w:color="auto"/>
                          <w:bottom w:val="single" w:sz="24" w:space="1" w:color="auto"/>
                          <w:right w:val="single" w:sz="24" w:space="4" w:color="auto"/>
                        </w:pBdr>
                        <w:tabs>
                          <w:tab w:val="left" w:pos="1620"/>
                        </w:tabs>
                        <w:rPr>
                          <w:rFonts w:ascii="Verdana" w:hAnsi="Verdana" w:cs="Verdana"/>
                          <w:b/>
                          <w:bCs/>
                          <w:sz w:val="18"/>
                          <w:szCs w:val="18"/>
                        </w:rPr>
                      </w:pPr>
                      <w:r w:rsidRPr="00E9709B">
                        <w:rPr>
                          <w:rFonts w:ascii="Verdana" w:hAnsi="Verdana" w:cs="Verdana"/>
                          <w:b/>
                          <w:bCs/>
                          <w:sz w:val="18"/>
                          <w:szCs w:val="18"/>
                        </w:rPr>
                        <w:t>Radicado:</w:t>
                      </w:r>
                      <w:r w:rsidRPr="00E9709B">
                        <w:rPr>
                          <w:rFonts w:ascii="Verdana" w:hAnsi="Verdana" w:cs="Verdana"/>
                          <w:b/>
                          <w:bCs/>
                          <w:sz w:val="18"/>
                          <w:szCs w:val="18"/>
                        </w:rPr>
                        <w:tab/>
                      </w:r>
                      <w:r>
                        <w:rPr>
                          <w:rFonts w:ascii="Verdana" w:hAnsi="Verdana" w:cs="Verdana"/>
                          <w:b/>
                          <w:bCs/>
                          <w:sz w:val="18"/>
                          <w:szCs w:val="18"/>
                        </w:rPr>
                        <w:tab/>
                      </w:r>
                      <w:r w:rsidRPr="00E9709B">
                        <w:rPr>
                          <w:rFonts w:ascii="Verdana" w:hAnsi="Verdana" w:cs="Verdana"/>
                          <w:b/>
                          <w:bCs/>
                          <w:sz w:val="18"/>
                          <w:szCs w:val="18"/>
                        </w:rPr>
                        <w:t xml:space="preserve">05 001 33 33 012 2014 </w:t>
                      </w:r>
                      <w:r>
                        <w:rPr>
                          <w:rFonts w:ascii="Verdana" w:hAnsi="Verdana" w:cs="Verdana"/>
                          <w:b/>
                          <w:bCs/>
                          <w:sz w:val="18"/>
                          <w:szCs w:val="18"/>
                        </w:rPr>
                        <w:t xml:space="preserve">01176 </w:t>
                      </w:r>
                      <w:r w:rsidRPr="00E9709B">
                        <w:rPr>
                          <w:rFonts w:ascii="Verdana" w:hAnsi="Verdana" w:cs="Verdana"/>
                          <w:b/>
                          <w:bCs/>
                          <w:sz w:val="18"/>
                          <w:szCs w:val="18"/>
                        </w:rPr>
                        <w:t>00</w:t>
                      </w:r>
                    </w:p>
                  </w:txbxContent>
                </v:textbox>
              </v:rect>
            </w:pict>
          </mc:Fallback>
        </mc:AlternateContent>
      </w:r>
    </w:p>
    <w:p w:rsidR="001756A5" w:rsidRPr="009B7F2A" w:rsidRDefault="001756A5" w:rsidP="001756A5">
      <w:pPr>
        <w:spacing w:line="360" w:lineRule="auto"/>
        <w:jc w:val="both"/>
        <w:rPr>
          <w:rFonts w:ascii="Verdana" w:hAnsi="Verdana" w:cs="Verdana"/>
          <w:sz w:val="22"/>
          <w:szCs w:val="22"/>
        </w:rPr>
      </w:pPr>
      <w:r w:rsidRPr="009B7F2A">
        <w:rPr>
          <w:rFonts w:ascii="Verdana" w:hAnsi="Verdana" w:cs="Verdana"/>
          <w:sz w:val="22"/>
          <w:szCs w:val="22"/>
        </w:rPr>
        <w:tab/>
      </w:r>
    </w:p>
    <w:p w:rsidR="001756A5" w:rsidRPr="009B7F2A" w:rsidRDefault="001756A5" w:rsidP="001756A5">
      <w:pPr>
        <w:spacing w:line="360" w:lineRule="auto"/>
        <w:jc w:val="both"/>
        <w:rPr>
          <w:rFonts w:ascii="Verdana" w:hAnsi="Verdana" w:cs="Verdana"/>
          <w:sz w:val="22"/>
          <w:szCs w:val="22"/>
        </w:rPr>
      </w:pPr>
      <w:r w:rsidRPr="009B7F2A">
        <w:rPr>
          <w:rFonts w:ascii="Verdana" w:hAnsi="Verdana" w:cs="Verdana"/>
          <w:sz w:val="22"/>
          <w:szCs w:val="22"/>
        </w:rPr>
        <w:tab/>
      </w:r>
    </w:p>
    <w:p w:rsidR="001756A5" w:rsidRPr="009B7F2A" w:rsidRDefault="001756A5" w:rsidP="001756A5">
      <w:pPr>
        <w:spacing w:line="360" w:lineRule="auto"/>
        <w:jc w:val="both"/>
        <w:rPr>
          <w:rFonts w:ascii="Verdana" w:hAnsi="Verdana" w:cs="Verdana"/>
          <w:sz w:val="22"/>
          <w:szCs w:val="22"/>
        </w:rPr>
      </w:pPr>
    </w:p>
    <w:p w:rsidR="001756A5" w:rsidRDefault="001756A5" w:rsidP="001756A5">
      <w:pPr>
        <w:suppressAutoHyphens/>
        <w:spacing w:line="360" w:lineRule="auto"/>
        <w:jc w:val="both"/>
        <w:rPr>
          <w:rFonts w:ascii="Verdana" w:hAnsi="Verdana" w:cs="Verdana"/>
          <w:sz w:val="22"/>
          <w:szCs w:val="22"/>
        </w:rPr>
      </w:pPr>
    </w:p>
    <w:p w:rsidR="001756A5" w:rsidRDefault="001756A5" w:rsidP="001756A5">
      <w:pPr>
        <w:suppressAutoHyphens/>
        <w:spacing w:line="360" w:lineRule="auto"/>
        <w:jc w:val="both"/>
        <w:rPr>
          <w:rFonts w:ascii="Verdana" w:hAnsi="Verdana" w:cs="Verdana"/>
          <w:b/>
          <w:bCs/>
          <w:spacing w:val="-3"/>
          <w:sz w:val="22"/>
          <w:szCs w:val="22"/>
        </w:rPr>
      </w:pPr>
    </w:p>
    <w:p w:rsidR="001756A5" w:rsidRPr="000561C0" w:rsidRDefault="001756A5" w:rsidP="001756A5">
      <w:pPr>
        <w:spacing w:line="360" w:lineRule="auto"/>
        <w:jc w:val="both"/>
        <w:rPr>
          <w:rFonts w:ascii="Verdana" w:hAnsi="Verdana" w:cs="Verdana"/>
          <w:b/>
          <w:bCs/>
          <w:sz w:val="22"/>
          <w:szCs w:val="22"/>
        </w:rPr>
      </w:pPr>
      <w:r>
        <w:rPr>
          <w:rFonts w:ascii="Verdana" w:hAnsi="Verdana" w:cs="Verdana"/>
          <w:b/>
          <w:bCs/>
          <w:sz w:val="22"/>
          <w:szCs w:val="22"/>
        </w:rPr>
        <w:t xml:space="preserve">Interlocutorio No. </w:t>
      </w:r>
    </w:p>
    <w:p w:rsidR="001756A5" w:rsidRPr="000006DE" w:rsidRDefault="001756A5" w:rsidP="001756A5">
      <w:pPr>
        <w:spacing w:line="360" w:lineRule="auto"/>
        <w:jc w:val="both"/>
        <w:rPr>
          <w:rFonts w:ascii="Verdana" w:hAnsi="Verdana" w:cs="Verdana"/>
          <w:b/>
          <w:bCs/>
          <w:sz w:val="22"/>
          <w:szCs w:val="22"/>
        </w:rPr>
      </w:pPr>
    </w:p>
    <w:p w:rsidR="001756A5" w:rsidRPr="000006DE" w:rsidRDefault="001756A5" w:rsidP="001756A5">
      <w:pPr>
        <w:spacing w:line="360" w:lineRule="auto"/>
        <w:jc w:val="both"/>
        <w:rPr>
          <w:rFonts w:ascii="Verdana" w:hAnsi="Verdana" w:cs="Verdana"/>
          <w:b/>
          <w:bCs/>
          <w:sz w:val="22"/>
          <w:szCs w:val="22"/>
        </w:rPr>
      </w:pPr>
      <w:r w:rsidRPr="000006DE">
        <w:rPr>
          <w:rFonts w:ascii="Verdana" w:hAnsi="Verdana" w:cs="Verdana"/>
          <w:b/>
          <w:bCs/>
          <w:sz w:val="22"/>
          <w:szCs w:val="22"/>
        </w:rPr>
        <w:t>ASUNTO: RECHAZA DEMANDA POR CADUCIDAD.</w:t>
      </w:r>
    </w:p>
    <w:p w:rsidR="001756A5" w:rsidRDefault="001756A5" w:rsidP="001756A5">
      <w:pPr>
        <w:spacing w:line="360" w:lineRule="auto"/>
        <w:jc w:val="both"/>
        <w:rPr>
          <w:rFonts w:ascii="Verdana" w:hAnsi="Verdana" w:cs="Verdana"/>
          <w:sz w:val="22"/>
          <w:szCs w:val="22"/>
        </w:rPr>
      </w:pPr>
    </w:p>
    <w:p w:rsidR="001756A5" w:rsidRPr="00415515" w:rsidRDefault="001756A5" w:rsidP="001756A5">
      <w:pPr>
        <w:spacing w:line="360" w:lineRule="auto"/>
        <w:jc w:val="both"/>
        <w:rPr>
          <w:rFonts w:ascii="Verdana" w:hAnsi="Verdana" w:cs="Verdana"/>
          <w:sz w:val="22"/>
          <w:szCs w:val="22"/>
        </w:rPr>
      </w:pPr>
      <w:r>
        <w:rPr>
          <w:rFonts w:ascii="Verdana" w:hAnsi="Verdana" w:cs="Verdana"/>
          <w:sz w:val="22"/>
          <w:szCs w:val="22"/>
        </w:rPr>
        <w:t xml:space="preserve">El señor </w:t>
      </w:r>
      <w:r>
        <w:rPr>
          <w:rFonts w:ascii="Verdana" w:hAnsi="Verdana" w:cs="Verdana"/>
          <w:b/>
          <w:bCs/>
        </w:rPr>
        <w:t>OSWALDO DE JESÚS PINO USMA</w:t>
      </w:r>
      <w:r w:rsidRPr="00415515">
        <w:rPr>
          <w:rFonts w:ascii="Verdana" w:hAnsi="Verdana" w:cs="Verdana"/>
          <w:sz w:val="22"/>
          <w:szCs w:val="22"/>
        </w:rPr>
        <w:t>,</w:t>
      </w:r>
      <w:r>
        <w:rPr>
          <w:rFonts w:ascii="Verdana" w:hAnsi="Verdana" w:cs="Verdana"/>
          <w:sz w:val="22"/>
          <w:szCs w:val="22"/>
        </w:rPr>
        <w:t xml:space="preserve"> </w:t>
      </w:r>
      <w:r w:rsidRPr="00415515">
        <w:rPr>
          <w:rFonts w:ascii="Verdana" w:hAnsi="Verdana" w:cs="Verdana"/>
          <w:sz w:val="22"/>
          <w:szCs w:val="22"/>
        </w:rPr>
        <w:t xml:space="preserve">a través de apoderada judicial, presentó demanda en ejercicio del medio de control de nulidad y restablecimiento del derecho, contra el </w:t>
      </w:r>
      <w:r>
        <w:rPr>
          <w:rFonts w:ascii="Verdana" w:hAnsi="Verdana" w:cs="Verdana"/>
          <w:b/>
          <w:bCs/>
          <w:color w:val="000000"/>
          <w:sz w:val="22"/>
          <w:szCs w:val="22"/>
          <w:lang w:val="es-CO"/>
        </w:rPr>
        <w:t>MUNICIPIO DE MEDELLIN</w:t>
      </w:r>
      <w:r w:rsidRPr="00415515">
        <w:rPr>
          <w:rFonts w:ascii="Verdana" w:hAnsi="Verdana" w:cs="Verdana"/>
          <w:b/>
          <w:bCs/>
          <w:sz w:val="22"/>
          <w:szCs w:val="22"/>
        </w:rPr>
        <w:t xml:space="preserve">, </w:t>
      </w:r>
      <w:r w:rsidRPr="00415515">
        <w:rPr>
          <w:rFonts w:ascii="Verdana" w:hAnsi="Verdana" w:cs="Verdana"/>
          <w:sz w:val="22"/>
          <w:szCs w:val="22"/>
        </w:rPr>
        <w:t>con el fin de que se hagan las siguientes declaraciones:</w:t>
      </w:r>
    </w:p>
    <w:p w:rsidR="001756A5" w:rsidRPr="005D4B38" w:rsidRDefault="001756A5" w:rsidP="001756A5">
      <w:pPr>
        <w:jc w:val="both"/>
        <w:rPr>
          <w:rFonts w:ascii="Verdana" w:hAnsi="Verdana" w:cs="Verdana"/>
          <w:i/>
          <w:iCs/>
          <w:sz w:val="20"/>
          <w:szCs w:val="20"/>
        </w:rPr>
      </w:pPr>
    </w:p>
    <w:p w:rsidR="001756A5" w:rsidRPr="005D4B38" w:rsidRDefault="001756A5" w:rsidP="001756A5">
      <w:pPr>
        <w:pStyle w:val="Ttulo1"/>
        <w:rPr>
          <w:rFonts w:ascii="Verdana" w:hAnsi="Verdana" w:cs="Verdana"/>
          <w:b w:val="0"/>
          <w:bCs w:val="0"/>
          <w:i/>
          <w:iCs/>
          <w:sz w:val="20"/>
          <w:szCs w:val="20"/>
        </w:rPr>
      </w:pPr>
      <w:r>
        <w:rPr>
          <w:rFonts w:ascii="Verdana" w:hAnsi="Verdana" w:cs="Verdana"/>
          <w:b w:val="0"/>
          <w:bCs w:val="0"/>
          <w:i/>
          <w:iCs/>
          <w:sz w:val="20"/>
          <w:szCs w:val="20"/>
        </w:rPr>
        <w:t>“</w:t>
      </w:r>
      <w:r w:rsidRPr="005D4B38">
        <w:rPr>
          <w:rFonts w:ascii="Verdana" w:hAnsi="Verdana" w:cs="Verdana"/>
          <w:b w:val="0"/>
          <w:bCs w:val="0"/>
          <w:i/>
          <w:iCs/>
          <w:sz w:val="20"/>
          <w:szCs w:val="20"/>
        </w:rPr>
        <w:t>DECLARACIONES</w:t>
      </w:r>
    </w:p>
    <w:p w:rsidR="001756A5" w:rsidRPr="005D4B38" w:rsidRDefault="001756A5" w:rsidP="001756A5">
      <w:pPr>
        <w:jc w:val="both"/>
        <w:rPr>
          <w:rFonts w:ascii="Verdana" w:hAnsi="Verdana" w:cs="Verdana"/>
          <w:i/>
          <w:iCs/>
          <w:sz w:val="20"/>
          <w:szCs w:val="20"/>
        </w:rPr>
      </w:pPr>
    </w:p>
    <w:p w:rsidR="001756A5" w:rsidRPr="005D4B38" w:rsidRDefault="001756A5" w:rsidP="001756A5">
      <w:pPr>
        <w:numPr>
          <w:ilvl w:val="0"/>
          <w:numId w:val="1"/>
        </w:numPr>
        <w:ind w:left="720"/>
        <w:jc w:val="both"/>
        <w:rPr>
          <w:rFonts w:ascii="Verdana" w:hAnsi="Verdana" w:cs="Verdana"/>
          <w:i/>
          <w:iCs/>
          <w:sz w:val="20"/>
          <w:szCs w:val="20"/>
        </w:rPr>
      </w:pPr>
      <w:r w:rsidRPr="005D4B38">
        <w:rPr>
          <w:rFonts w:ascii="Verdana" w:hAnsi="Verdana" w:cs="Verdana"/>
          <w:i/>
          <w:iCs/>
          <w:sz w:val="20"/>
          <w:szCs w:val="20"/>
        </w:rPr>
        <w:t>Que se declare la nulidad del oficio No.</w:t>
      </w:r>
      <w:r>
        <w:rPr>
          <w:rFonts w:ascii="Verdana" w:hAnsi="Verdana" w:cs="Verdana"/>
          <w:i/>
          <w:iCs/>
          <w:sz w:val="20"/>
          <w:szCs w:val="20"/>
        </w:rPr>
        <w:t xml:space="preserve"> </w:t>
      </w:r>
      <w:r>
        <w:rPr>
          <w:rFonts w:ascii="Verdana" w:hAnsi="Verdana" w:cs="Verdana"/>
          <w:i/>
          <w:iCs/>
          <w:noProof/>
          <w:sz w:val="20"/>
          <w:szCs w:val="20"/>
        </w:rPr>
        <w:t>R20130022</w:t>
      </w:r>
      <w:r>
        <w:rPr>
          <w:rFonts w:ascii="Verdana" w:hAnsi="Verdana" w:cs="Verdana"/>
          <w:i/>
          <w:iCs/>
          <w:noProof/>
          <w:sz w:val="20"/>
          <w:szCs w:val="20"/>
        </w:rPr>
        <w:t xml:space="preserve">5995 </w:t>
      </w:r>
      <w:r>
        <w:rPr>
          <w:rFonts w:ascii="Verdana" w:hAnsi="Verdana" w:cs="Verdana"/>
          <w:i/>
          <w:iCs/>
          <w:noProof/>
          <w:sz w:val="20"/>
          <w:szCs w:val="20"/>
        </w:rPr>
        <w:t>DEL 18 DE SEPTIEMBRE DE 2013</w:t>
      </w:r>
      <w:r w:rsidRPr="005D4B38">
        <w:rPr>
          <w:rFonts w:ascii="Verdana" w:hAnsi="Verdana" w:cs="Verdana"/>
          <w:b/>
          <w:bCs/>
          <w:i/>
          <w:iCs/>
          <w:sz w:val="20"/>
          <w:szCs w:val="20"/>
        </w:rPr>
        <w:t xml:space="preserve">, </w:t>
      </w:r>
      <w:r w:rsidRPr="005D4B38">
        <w:rPr>
          <w:rFonts w:ascii="Verdana" w:hAnsi="Verdana" w:cs="Verdana"/>
          <w:i/>
          <w:iCs/>
          <w:sz w:val="20"/>
          <w:szCs w:val="20"/>
        </w:rPr>
        <w:t xml:space="preserve">proferido por </w:t>
      </w:r>
      <w:r>
        <w:rPr>
          <w:rFonts w:ascii="Verdana" w:hAnsi="Verdana" w:cs="Verdana"/>
          <w:i/>
          <w:iCs/>
          <w:sz w:val="20"/>
          <w:szCs w:val="20"/>
        </w:rPr>
        <w:t xml:space="preserve">el </w:t>
      </w:r>
      <w:r w:rsidRPr="005D4B38">
        <w:rPr>
          <w:rFonts w:ascii="Verdana" w:hAnsi="Verdana" w:cs="Verdana"/>
          <w:b/>
          <w:bCs/>
          <w:i/>
          <w:iCs/>
          <w:color w:val="000000"/>
          <w:sz w:val="20"/>
          <w:szCs w:val="20"/>
        </w:rPr>
        <w:t xml:space="preserve">Doctora </w:t>
      </w:r>
      <w:r>
        <w:rPr>
          <w:rFonts w:ascii="Verdana" w:hAnsi="Verdana" w:cs="Verdana"/>
          <w:b/>
          <w:bCs/>
          <w:i/>
          <w:iCs/>
          <w:noProof/>
          <w:color w:val="000000"/>
          <w:sz w:val="20"/>
          <w:szCs w:val="20"/>
        </w:rPr>
        <w:t>ISABEL ANGARITA NIETO</w:t>
      </w:r>
      <w:r w:rsidRPr="005D4B38">
        <w:rPr>
          <w:rFonts w:ascii="Verdana" w:hAnsi="Verdana" w:cs="Verdana"/>
          <w:b/>
          <w:bCs/>
          <w:i/>
          <w:iCs/>
          <w:sz w:val="20"/>
          <w:szCs w:val="20"/>
        </w:rPr>
        <w:t xml:space="preserve">, </w:t>
      </w:r>
      <w:r w:rsidRPr="001756A5">
        <w:rPr>
          <w:rFonts w:ascii="Verdana" w:hAnsi="Verdana" w:cs="Verdana"/>
          <w:bCs/>
          <w:i/>
          <w:iCs/>
          <w:sz w:val="20"/>
          <w:szCs w:val="20"/>
        </w:rPr>
        <w:t>L</w:t>
      </w:r>
      <w:r>
        <w:rPr>
          <w:rFonts w:ascii="Verdana" w:hAnsi="Verdana" w:cs="Verdana"/>
          <w:bCs/>
          <w:i/>
          <w:iCs/>
          <w:sz w:val="20"/>
          <w:szCs w:val="20"/>
        </w:rPr>
        <w:t xml:space="preserve">íder Programa Jurídico Secretaría de Educación de Medellín, </w:t>
      </w:r>
      <w:r w:rsidRPr="005D4B38">
        <w:rPr>
          <w:rFonts w:ascii="Verdana" w:hAnsi="Verdana" w:cs="Verdana"/>
          <w:i/>
          <w:iCs/>
          <w:sz w:val="20"/>
          <w:szCs w:val="20"/>
        </w:rPr>
        <w:t>mediante el cual se le niega el reconocimiento y pago de la PRIMA DE SERVICIOS, establecida en la ley.</w:t>
      </w:r>
    </w:p>
    <w:p w:rsidR="001756A5" w:rsidRPr="005D4B38" w:rsidRDefault="001756A5" w:rsidP="001756A5">
      <w:pPr>
        <w:jc w:val="both"/>
        <w:rPr>
          <w:rFonts w:ascii="Verdana" w:hAnsi="Verdana" w:cs="Verdana"/>
          <w:i/>
          <w:iCs/>
          <w:sz w:val="20"/>
          <w:szCs w:val="20"/>
        </w:rPr>
      </w:pPr>
    </w:p>
    <w:p w:rsidR="001756A5" w:rsidRPr="005D4B38" w:rsidRDefault="001756A5" w:rsidP="001756A5">
      <w:pPr>
        <w:numPr>
          <w:ilvl w:val="0"/>
          <w:numId w:val="1"/>
        </w:numPr>
        <w:ind w:left="720"/>
        <w:jc w:val="both"/>
        <w:rPr>
          <w:rFonts w:ascii="Verdana" w:hAnsi="Verdana" w:cs="Verdana"/>
          <w:b/>
          <w:bCs/>
          <w:i/>
          <w:iCs/>
          <w:sz w:val="20"/>
          <w:szCs w:val="20"/>
        </w:rPr>
      </w:pPr>
      <w:r w:rsidRPr="005D4B38">
        <w:rPr>
          <w:rFonts w:ascii="Verdana" w:hAnsi="Verdana" w:cs="Verdana"/>
          <w:i/>
          <w:iCs/>
          <w:sz w:val="20"/>
          <w:szCs w:val="20"/>
        </w:rPr>
        <w:t xml:space="preserve">Que se declare que por ser docente que labora al servicio de establecimiento educativo ubicado en el </w:t>
      </w:r>
      <w:r>
        <w:rPr>
          <w:rFonts w:ascii="Verdana" w:hAnsi="Verdana" w:cs="Verdana"/>
          <w:i/>
          <w:iCs/>
          <w:sz w:val="20"/>
          <w:szCs w:val="20"/>
        </w:rPr>
        <w:t>MUNICIPIO DE MEDELLIN</w:t>
      </w:r>
      <w:r w:rsidRPr="005D4B38">
        <w:rPr>
          <w:rFonts w:ascii="Verdana" w:hAnsi="Verdana" w:cs="Verdana"/>
          <w:i/>
          <w:iCs/>
          <w:sz w:val="20"/>
          <w:szCs w:val="20"/>
        </w:rPr>
        <w:t xml:space="preserve">, debe ordenarse el reconocimiento y pago de la PRIMA DE SERVICIOS, de conformidad con lo ordenado en el parágrafo 2 del artículo 15 de la ley 91 de 1989. </w:t>
      </w:r>
    </w:p>
    <w:p w:rsidR="001756A5" w:rsidRPr="005D4B38" w:rsidRDefault="001756A5" w:rsidP="001756A5">
      <w:pPr>
        <w:ind w:left="720"/>
        <w:jc w:val="both"/>
        <w:rPr>
          <w:rFonts w:ascii="Verdana" w:hAnsi="Verdana" w:cs="Verdana"/>
          <w:b/>
          <w:bCs/>
          <w:i/>
          <w:iCs/>
          <w:sz w:val="20"/>
          <w:szCs w:val="20"/>
        </w:rPr>
      </w:pPr>
    </w:p>
    <w:p w:rsidR="001756A5" w:rsidRPr="005D4B38" w:rsidRDefault="001756A5" w:rsidP="001756A5">
      <w:pPr>
        <w:jc w:val="both"/>
        <w:rPr>
          <w:rFonts w:ascii="Verdana" w:hAnsi="Verdana" w:cs="Verdana"/>
          <w:b/>
          <w:bCs/>
          <w:i/>
          <w:iCs/>
          <w:sz w:val="20"/>
          <w:szCs w:val="20"/>
        </w:rPr>
      </w:pPr>
      <w:r w:rsidRPr="005D4B38">
        <w:rPr>
          <w:rFonts w:ascii="Verdana" w:hAnsi="Verdana" w:cs="Verdana"/>
          <w:b/>
          <w:bCs/>
          <w:i/>
          <w:iCs/>
          <w:sz w:val="20"/>
          <w:szCs w:val="20"/>
        </w:rPr>
        <w:t>CONDENAS:</w:t>
      </w:r>
    </w:p>
    <w:p w:rsidR="001756A5" w:rsidRPr="005D4B38" w:rsidRDefault="001756A5" w:rsidP="001756A5">
      <w:pPr>
        <w:jc w:val="both"/>
        <w:rPr>
          <w:rFonts w:ascii="Verdana" w:hAnsi="Verdana" w:cs="Verdana"/>
          <w:b/>
          <w:bCs/>
          <w:i/>
          <w:iCs/>
          <w:sz w:val="20"/>
          <w:szCs w:val="20"/>
        </w:rPr>
      </w:pPr>
    </w:p>
    <w:p w:rsidR="001756A5" w:rsidRPr="005D4B38" w:rsidRDefault="001756A5" w:rsidP="001756A5">
      <w:pPr>
        <w:jc w:val="both"/>
        <w:rPr>
          <w:rFonts w:ascii="Verdana" w:hAnsi="Verdana" w:cs="Verdana"/>
          <w:i/>
          <w:iCs/>
          <w:sz w:val="20"/>
          <w:szCs w:val="20"/>
        </w:rPr>
      </w:pPr>
      <w:r w:rsidRPr="005D4B38">
        <w:rPr>
          <w:rFonts w:ascii="Verdana" w:hAnsi="Verdana" w:cs="Verdana"/>
          <w:i/>
          <w:iCs/>
          <w:sz w:val="20"/>
          <w:szCs w:val="20"/>
        </w:rPr>
        <w:t>A título de restablecimiento del derecho se ordene:</w:t>
      </w:r>
    </w:p>
    <w:p w:rsidR="001756A5" w:rsidRPr="005D4B38" w:rsidRDefault="001756A5" w:rsidP="001756A5">
      <w:pPr>
        <w:jc w:val="both"/>
        <w:rPr>
          <w:rFonts w:ascii="Verdana" w:hAnsi="Verdana" w:cs="Verdana"/>
          <w:i/>
          <w:iCs/>
          <w:sz w:val="20"/>
          <w:szCs w:val="20"/>
        </w:rPr>
      </w:pPr>
    </w:p>
    <w:p w:rsidR="001756A5" w:rsidRPr="005D4B38" w:rsidRDefault="001756A5" w:rsidP="001756A5">
      <w:pPr>
        <w:pStyle w:val="Prrafodelista"/>
        <w:numPr>
          <w:ilvl w:val="0"/>
          <w:numId w:val="2"/>
        </w:numPr>
        <w:jc w:val="both"/>
        <w:rPr>
          <w:rFonts w:ascii="Verdana" w:hAnsi="Verdana" w:cs="Verdana"/>
          <w:b/>
          <w:bCs/>
          <w:i/>
          <w:iCs/>
          <w:sz w:val="20"/>
          <w:szCs w:val="20"/>
        </w:rPr>
      </w:pPr>
      <w:r w:rsidRPr="005D4B38">
        <w:rPr>
          <w:rFonts w:ascii="Verdana" w:hAnsi="Verdana" w:cs="Verdana"/>
          <w:i/>
          <w:iCs/>
          <w:sz w:val="20"/>
          <w:szCs w:val="20"/>
        </w:rPr>
        <w:t xml:space="preserve">El reconocimiento y pago de la </w:t>
      </w:r>
      <w:r w:rsidRPr="005D4B38">
        <w:rPr>
          <w:rFonts w:ascii="Verdana" w:hAnsi="Verdana" w:cs="Verdana"/>
          <w:b/>
          <w:bCs/>
          <w:i/>
          <w:iCs/>
          <w:sz w:val="20"/>
          <w:szCs w:val="20"/>
        </w:rPr>
        <w:t>PRIMA DE SERVICIOS,</w:t>
      </w:r>
      <w:r w:rsidRPr="005D4B38">
        <w:rPr>
          <w:rFonts w:ascii="Verdana" w:hAnsi="Verdana" w:cs="Verdana"/>
          <w:i/>
          <w:iCs/>
          <w:sz w:val="20"/>
          <w:szCs w:val="20"/>
        </w:rPr>
        <w:t xml:space="preserve"> establecida en los artículos 58 y siguientes del Decreto Nacional 1042 de 1978, de conformidad con el contenido del artículo 15 de la ley 91 de 1989, ley 60 de 1993, ley 115 de 1994, a mi representado (a)</w:t>
      </w:r>
      <w:r>
        <w:rPr>
          <w:rFonts w:ascii="Verdana" w:hAnsi="Verdana" w:cs="Verdana"/>
          <w:i/>
          <w:iCs/>
          <w:sz w:val="20"/>
          <w:szCs w:val="20"/>
        </w:rPr>
        <w:t xml:space="preserve"> </w:t>
      </w:r>
      <w:r>
        <w:rPr>
          <w:rFonts w:ascii="Verdana" w:hAnsi="Verdana" w:cs="Verdana"/>
          <w:b/>
          <w:bCs/>
          <w:i/>
          <w:iCs/>
          <w:noProof/>
          <w:sz w:val="20"/>
          <w:szCs w:val="20"/>
        </w:rPr>
        <w:t>OSWALDO DE JESÚS PINO USMA</w:t>
      </w:r>
      <w:r w:rsidRPr="005D4B38">
        <w:rPr>
          <w:rFonts w:ascii="Verdana" w:hAnsi="Verdana" w:cs="Verdana"/>
          <w:b/>
          <w:bCs/>
          <w:i/>
          <w:iCs/>
          <w:sz w:val="20"/>
          <w:szCs w:val="20"/>
        </w:rPr>
        <w:t xml:space="preserve">, con </w:t>
      </w:r>
      <w:r w:rsidRPr="005D4B38">
        <w:rPr>
          <w:rFonts w:ascii="Verdana" w:hAnsi="Verdana" w:cs="Verdana"/>
          <w:b/>
          <w:bCs/>
          <w:i/>
          <w:iCs/>
          <w:sz w:val="20"/>
          <w:szCs w:val="20"/>
        </w:rPr>
        <w:lastRenderedPageBreak/>
        <w:t xml:space="preserve">efectos fiscales </w:t>
      </w:r>
      <w:r w:rsidRPr="005D4B38">
        <w:rPr>
          <w:rFonts w:ascii="Verdana" w:hAnsi="Verdana" w:cs="Verdana"/>
          <w:i/>
          <w:iCs/>
          <w:sz w:val="20"/>
          <w:szCs w:val="20"/>
        </w:rPr>
        <w:t xml:space="preserve">a partir del </w:t>
      </w:r>
      <w:r>
        <w:rPr>
          <w:rFonts w:ascii="Verdana" w:hAnsi="Verdana" w:cs="Verdana"/>
          <w:i/>
          <w:iCs/>
          <w:noProof/>
          <w:sz w:val="20"/>
          <w:szCs w:val="20"/>
        </w:rPr>
        <w:t>28 de agosto</w:t>
      </w:r>
      <w:r>
        <w:rPr>
          <w:rFonts w:ascii="Verdana" w:hAnsi="Verdana" w:cs="Verdana"/>
          <w:i/>
          <w:iCs/>
          <w:noProof/>
          <w:sz w:val="20"/>
          <w:szCs w:val="20"/>
        </w:rPr>
        <w:t xml:space="preserve"> de 2009</w:t>
      </w:r>
      <w:r w:rsidRPr="005D4B38">
        <w:rPr>
          <w:rFonts w:ascii="Verdana" w:hAnsi="Verdana" w:cs="Verdana"/>
          <w:i/>
          <w:iCs/>
          <w:sz w:val="20"/>
          <w:szCs w:val="20"/>
        </w:rPr>
        <w:t>, teniendo en cuenta el fenómeno jurídico de la prescripción.</w:t>
      </w:r>
    </w:p>
    <w:p w:rsidR="001756A5" w:rsidRPr="005D4B38" w:rsidRDefault="001756A5" w:rsidP="001756A5">
      <w:pPr>
        <w:numPr>
          <w:ilvl w:val="0"/>
          <w:numId w:val="2"/>
        </w:numPr>
        <w:jc w:val="both"/>
        <w:rPr>
          <w:rFonts w:ascii="Verdana" w:hAnsi="Verdana" w:cs="Verdana"/>
          <w:i/>
          <w:iCs/>
          <w:sz w:val="20"/>
          <w:szCs w:val="20"/>
        </w:rPr>
      </w:pPr>
      <w:r w:rsidRPr="005D4B38">
        <w:rPr>
          <w:rFonts w:ascii="Verdana" w:hAnsi="Verdana" w:cs="Verdana"/>
          <w:i/>
          <w:iCs/>
          <w:color w:val="000000"/>
          <w:sz w:val="20"/>
          <w:szCs w:val="20"/>
        </w:rPr>
        <w:t xml:space="preserve">Que los valores resultantes de las condenas impuestas, se </w:t>
      </w:r>
      <w:r w:rsidRPr="005D4B38">
        <w:rPr>
          <w:rFonts w:ascii="Verdana" w:hAnsi="Verdana" w:cs="Verdana"/>
          <w:i/>
          <w:iCs/>
          <w:sz w:val="20"/>
          <w:szCs w:val="20"/>
        </w:rPr>
        <w:t>determinen en sumas líquidas de moneda legal colombiana, y que se ajusten dichas sumas tomando como base el índice de precios al consumidor, hasta la fecha de ejecutoria del fallo condenatorio; dando, igualmente, aplicación a la fórmula jurisprudencialmente establecida para ello por el Consejo de Estado, por cada una de las sumas individualmente consideradas por tratarse de sumas periódicas, de tracto sucesivo.</w:t>
      </w:r>
    </w:p>
    <w:p w:rsidR="001756A5" w:rsidRPr="005D4B38" w:rsidRDefault="001756A5" w:rsidP="001756A5">
      <w:pPr>
        <w:pStyle w:val="Prrafodelista"/>
        <w:rPr>
          <w:rFonts w:ascii="Verdana" w:hAnsi="Verdana" w:cs="Verdana"/>
          <w:i/>
          <w:iCs/>
          <w:sz w:val="20"/>
          <w:szCs w:val="20"/>
        </w:rPr>
      </w:pPr>
    </w:p>
    <w:p w:rsidR="001756A5" w:rsidRPr="005D4B38" w:rsidRDefault="001756A5" w:rsidP="001756A5">
      <w:pPr>
        <w:numPr>
          <w:ilvl w:val="0"/>
          <w:numId w:val="2"/>
        </w:numPr>
        <w:jc w:val="both"/>
        <w:rPr>
          <w:rFonts w:ascii="Verdana" w:hAnsi="Verdana" w:cs="Verdana"/>
          <w:i/>
          <w:iCs/>
          <w:sz w:val="20"/>
          <w:szCs w:val="20"/>
        </w:rPr>
      </w:pPr>
      <w:r w:rsidRPr="005D4B38">
        <w:rPr>
          <w:rFonts w:ascii="Verdana" w:hAnsi="Verdana" w:cs="Verdana"/>
          <w:i/>
          <w:iCs/>
          <w:color w:val="000000"/>
          <w:sz w:val="20"/>
          <w:szCs w:val="20"/>
        </w:rPr>
        <w:t>Las partes demandadas, darán cumplimiento a la sentencia, en los términos del artículo 192 y siguientes del Código de Procedimiento Administrativo y de lo Contencioso Administrativo (C.P.A.C.A).</w:t>
      </w:r>
    </w:p>
    <w:p w:rsidR="001756A5" w:rsidRPr="005D4B38" w:rsidRDefault="001756A5" w:rsidP="001756A5">
      <w:pPr>
        <w:pStyle w:val="Prrafodelista"/>
        <w:rPr>
          <w:rFonts w:ascii="Verdana" w:hAnsi="Verdana" w:cs="Verdana"/>
          <w:i/>
          <w:iCs/>
          <w:sz w:val="20"/>
          <w:szCs w:val="20"/>
        </w:rPr>
      </w:pPr>
    </w:p>
    <w:p w:rsidR="001756A5" w:rsidRPr="005D4B38" w:rsidRDefault="001756A5" w:rsidP="001756A5">
      <w:pPr>
        <w:numPr>
          <w:ilvl w:val="0"/>
          <w:numId w:val="2"/>
        </w:numPr>
        <w:jc w:val="both"/>
        <w:rPr>
          <w:rFonts w:ascii="Verdana" w:hAnsi="Verdana" w:cs="Verdana"/>
          <w:i/>
          <w:iCs/>
          <w:sz w:val="20"/>
          <w:szCs w:val="20"/>
        </w:rPr>
      </w:pPr>
      <w:r w:rsidRPr="005D4B38">
        <w:rPr>
          <w:rFonts w:ascii="Verdana" w:hAnsi="Verdana" w:cs="Verdana"/>
          <w:i/>
          <w:iCs/>
          <w:sz w:val="20"/>
          <w:szCs w:val="20"/>
        </w:rPr>
        <w:t xml:space="preserve">condenar en costas al </w:t>
      </w:r>
      <w:r>
        <w:rPr>
          <w:rFonts w:ascii="Verdana" w:hAnsi="Verdana" w:cs="Verdana"/>
          <w:b/>
          <w:bCs/>
          <w:i/>
          <w:iCs/>
          <w:color w:val="000000"/>
          <w:sz w:val="20"/>
          <w:szCs w:val="20"/>
        </w:rPr>
        <w:t>MUNICIPIO DE MEDELLIN</w:t>
      </w:r>
      <w:r w:rsidRPr="005D4B38">
        <w:rPr>
          <w:rFonts w:ascii="Verdana" w:hAnsi="Verdana" w:cs="Verdana"/>
          <w:i/>
          <w:iCs/>
          <w:sz w:val="20"/>
          <w:szCs w:val="20"/>
        </w:rPr>
        <w:t xml:space="preserve"> de conformidad con lo</w:t>
      </w:r>
      <w:r>
        <w:rPr>
          <w:rFonts w:ascii="Verdana" w:hAnsi="Verdana" w:cs="Verdana"/>
          <w:i/>
          <w:iCs/>
          <w:sz w:val="20"/>
          <w:szCs w:val="20"/>
        </w:rPr>
        <w:t xml:space="preserve"> </w:t>
      </w:r>
      <w:r w:rsidRPr="005D4B38">
        <w:rPr>
          <w:rFonts w:ascii="Verdana" w:hAnsi="Verdana" w:cs="Verdana"/>
          <w:i/>
          <w:iCs/>
          <w:sz w:val="20"/>
          <w:szCs w:val="20"/>
        </w:rPr>
        <w:t>estipulado en el Artículo 188 del Código de Procedimiento Administrativo y de lo Contencioso Administrativo, el cual se rige por lo dispuesto en el Artículo 392 del Código de Procedimiento Civil</w:t>
      </w:r>
      <w:r>
        <w:rPr>
          <w:rFonts w:ascii="Verdana" w:hAnsi="Verdana" w:cs="Verdana"/>
          <w:i/>
          <w:iCs/>
          <w:sz w:val="20"/>
          <w:szCs w:val="20"/>
        </w:rPr>
        <w:t xml:space="preserve"> </w:t>
      </w:r>
      <w:r w:rsidRPr="005D4B38">
        <w:rPr>
          <w:rFonts w:ascii="Verdana" w:hAnsi="Verdana" w:cs="Verdana"/>
          <w:i/>
          <w:iCs/>
          <w:sz w:val="20"/>
          <w:szCs w:val="20"/>
        </w:rPr>
        <w:t>modificado por el artículo 19 de la Ley 1395 de 2010.”</w:t>
      </w:r>
    </w:p>
    <w:p w:rsidR="001756A5" w:rsidRDefault="001756A5" w:rsidP="001756A5">
      <w:pPr>
        <w:pStyle w:val="Textoindependiente"/>
        <w:rPr>
          <w:rFonts w:ascii="Verdana" w:hAnsi="Verdana" w:cs="Verdana"/>
          <w:sz w:val="22"/>
          <w:szCs w:val="22"/>
          <w:lang w:val="es-CO"/>
        </w:rPr>
      </w:pPr>
    </w:p>
    <w:p w:rsidR="001756A5" w:rsidRPr="000006DE" w:rsidRDefault="001756A5" w:rsidP="001756A5">
      <w:pPr>
        <w:pStyle w:val="Textoindependiente"/>
        <w:rPr>
          <w:rFonts w:ascii="Verdana" w:hAnsi="Verdana" w:cs="Verdana"/>
          <w:sz w:val="22"/>
          <w:szCs w:val="22"/>
          <w:lang w:val="es-CO"/>
        </w:rPr>
      </w:pPr>
      <w:r w:rsidRPr="000006DE">
        <w:rPr>
          <w:rFonts w:ascii="Verdana" w:hAnsi="Verdana" w:cs="Verdana"/>
          <w:sz w:val="22"/>
          <w:szCs w:val="22"/>
          <w:lang w:val="es-CO"/>
        </w:rPr>
        <w:t xml:space="preserve">Procede el Despacho a resolver sobre la procedencia de la admisión o rechazo del medio de control de la referencia, de conformidad con lo consagrado en </w:t>
      </w:r>
      <w:r>
        <w:rPr>
          <w:rFonts w:ascii="Verdana" w:hAnsi="Verdana" w:cs="Verdana"/>
          <w:sz w:val="22"/>
          <w:szCs w:val="22"/>
          <w:lang w:val="es-CO"/>
        </w:rPr>
        <w:t xml:space="preserve">los </w:t>
      </w:r>
      <w:r w:rsidRPr="000006DE">
        <w:rPr>
          <w:rFonts w:ascii="Verdana" w:hAnsi="Verdana" w:cs="Verdana"/>
          <w:sz w:val="22"/>
          <w:szCs w:val="22"/>
          <w:lang w:val="es-CO"/>
        </w:rPr>
        <w:t>artículo</w:t>
      </w:r>
      <w:r>
        <w:rPr>
          <w:rFonts w:ascii="Verdana" w:hAnsi="Verdana" w:cs="Verdana"/>
          <w:sz w:val="22"/>
          <w:szCs w:val="22"/>
          <w:lang w:val="es-CO"/>
        </w:rPr>
        <w:t>s</w:t>
      </w:r>
      <w:r w:rsidRPr="000006DE">
        <w:rPr>
          <w:rFonts w:ascii="Verdana" w:hAnsi="Verdana" w:cs="Verdana"/>
          <w:sz w:val="22"/>
          <w:szCs w:val="22"/>
          <w:lang w:val="es-CO"/>
        </w:rPr>
        <w:t xml:space="preserve"> 162 y siguientes del Código de Procedimiento Administrativo y de lo Contencioso Administrativo.</w:t>
      </w:r>
    </w:p>
    <w:p w:rsidR="001756A5" w:rsidRPr="00090CC8" w:rsidRDefault="001756A5" w:rsidP="001756A5">
      <w:pPr>
        <w:pStyle w:val="Textoindependiente"/>
        <w:rPr>
          <w:rFonts w:ascii="Verdana" w:hAnsi="Verdana" w:cs="Verdana"/>
          <w:sz w:val="22"/>
          <w:szCs w:val="22"/>
          <w:lang w:val="es-CO"/>
        </w:rPr>
      </w:pPr>
    </w:p>
    <w:p w:rsidR="001756A5" w:rsidRPr="00090CC8" w:rsidRDefault="001756A5" w:rsidP="001756A5">
      <w:pPr>
        <w:pStyle w:val="Textoindependiente"/>
        <w:jc w:val="center"/>
        <w:rPr>
          <w:rFonts w:ascii="Verdana" w:hAnsi="Verdana" w:cs="Verdana"/>
          <w:b/>
          <w:bCs/>
          <w:i/>
          <w:iCs/>
          <w:sz w:val="22"/>
          <w:szCs w:val="22"/>
          <w:lang w:val="es-CO"/>
        </w:rPr>
      </w:pPr>
      <w:r w:rsidRPr="00090CC8">
        <w:rPr>
          <w:rFonts w:ascii="Verdana" w:hAnsi="Verdana" w:cs="Verdana"/>
          <w:b/>
          <w:bCs/>
          <w:i/>
          <w:iCs/>
          <w:sz w:val="22"/>
          <w:szCs w:val="22"/>
          <w:lang w:val="es-CO"/>
        </w:rPr>
        <w:t>C O N S I D E R A C I O N E S:</w:t>
      </w:r>
    </w:p>
    <w:p w:rsidR="001756A5" w:rsidRPr="00BB0C0F" w:rsidRDefault="001756A5" w:rsidP="001756A5">
      <w:pPr>
        <w:spacing w:line="360" w:lineRule="auto"/>
        <w:jc w:val="both"/>
        <w:rPr>
          <w:rFonts w:ascii="Verdana" w:hAnsi="Verdana" w:cs="Verdana"/>
          <w:b/>
          <w:bCs/>
          <w:sz w:val="22"/>
          <w:szCs w:val="22"/>
        </w:rPr>
      </w:pPr>
    </w:p>
    <w:p w:rsidR="001756A5" w:rsidRPr="00BB0C0F" w:rsidRDefault="001756A5" w:rsidP="001756A5">
      <w:pPr>
        <w:spacing w:line="360" w:lineRule="auto"/>
        <w:jc w:val="both"/>
        <w:rPr>
          <w:rFonts w:ascii="Verdana" w:hAnsi="Verdana" w:cs="Verdana"/>
          <w:b/>
          <w:bCs/>
          <w:sz w:val="22"/>
          <w:szCs w:val="22"/>
        </w:rPr>
      </w:pPr>
      <w:r>
        <w:rPr>
          <w:rFonts w:ascii="Verdana" w:hAnsi="Verdana" w:cs="Verdana"/>
          <w:b/>
          <w:bCs/>
          <w:sz w:val="22"/>
          <w:szCs w:val="22"/>
        </w:rPr>
        <w:t>1.</w:t>
      </w:r>
      <w:r w:rsidRPr="00BB0C0F">
        <w:rPr>
          <w:rFonts w:ascii="Verdana" w:hAnsi="Verdana" w:cs="Verdana"/>
          <w:b/>
          <w:bCs/>
          <w:sz w:val="22"/>
          <w:szCs w:val="22"/>
        </w:rPr>
        <w:tab/>
        <w:t>Del presupuesto de la no caducidad del medio de control.</w:t>
      </w:r>
    </w:p>
    <w:p w:rsidR="001756A5" w:rsidRPr="00BB0C0F" w:rsidRDefault="001756A5" w:rsidP="001756A5">
      <w:pPr>
        <w:tabs>
          <w:tab w:val="num" w:pos="720"/>
        </w:tabs>
        <w:spacing w:line="360" w:lineRule="auto"/>
        <w:jc w:val="both"/>
        <w:rPr>
          <w:rFonts w:ascii="Verdana" w:hAnsi="Verdana" w:cs="Verdana"/>
          <w:sz w:val="22"/>
          <w:szCs w:val="22"/>
        </w:rPr>
      </w:pPr>
    </w:p>
    <w:p w:rsidR="001756A5" w:rsidRPr="00BB0C0F" w:rsidRDefault="001756A5" w:rsidP="001756A5">
      <w:pPr>
        <w:spacing w:line="360" w:lineRule="auto"/>
        <w:jc w:val="both"/>
        <w:rPr>
          <w:rFonts w:ascii="Verdana" w:hAnsi="Verdana" w:cs="Verdana"/>
          <w:sz w:val="22"/>
          <w:szCs w:val="22"/>
        </w:rPr>
      </w:pPr>
      <w:r w:rsidRPr="00BB0C0F">
        <w:rPr>
          <w:rFonts w:ascii="Verdana" w:hAnsi="Verdana" w:cs="Verdana"/>
          <w:sz w:val="22"/>
          <w:szCs w:val="22"/>
        </w:rPr>
        <w:t>Doctrinariamente se ha considerado respecto del fenómeno jurídico de la caducidad, que obedece a la necesidad del Estado de imprimirle estabilidad a las situaciones jurídicas, acabando con la duda de que sus actos puedan llegar a ser anulados en cualquier tiempo, una vez expedidos. También se ha sostenido que el fin de la caducidad es el de preestablecer el tiempo en el cual el derecho debe ser ejercido.</w:t>
      </w:r>
    </w:p>
    <w:p w:rsidR="001756A5" w:rsidRPr="00BB0C0F" w:rsidRDefault="001756A5" w:rsidP="001756A5">
      <w:pPr>
        <w:spacing w:line="360" w:lineRule="auto"/>
        <w:jc w:val="both"/>
        <w:rPr>
          <w:rFonts w:ascii="Lucida Sans" w:hAnsi="Lucida Sans" w:cs="Lucida Sans"/>
          <w:sz w:val="22"/>
          <w:szCs w:val="22"/>
        </w:rPr>
      </w:pPr>
    </w:p>
    <w:p w:rsidR="001756A5" w:rsidRDefault="001756A5" w:rsidP="001756A5">
      <w:pPr>
        <w:suppressAutoHyphens/>
        <w:spacing w:line="360" w:lineRule="auto"/>
        <w:jc w:val="both"/>
        <w:rPr>
          <w:rFonts w:ascii="Verdana" w:hAnsi="Verdana" w:cs="Verdana"/>
          <w:sz w:val="22"/>
          <w:szCs w:val="22"/>
        </w:rPr>
      </w:pPr>
      <w:r w:rsidRPr="00BB0C0F">
        <w:rPr>
          <w:rFonts w:ascii="Verdana" w:hAnsi="Verdana" w:cs="Verdana"/>
          <w:sz w:val="22"/>
          <w:szCs w:val="22"/>
        </w:rPr>
        <w:t xml:space="preserve">La Sala Plena del Consejo de Estado, sobre el tema de la caducidad para el ejercicio de las acciones contencioso administrativas, ha sostenido que </w:t>
      </w:r>
      <w:r w:rsidRPr="00BB0C0F">
        <w:rPr>
          <w:rFonts w:ascii="Verdana" w:hAnsi="Verdana" w:cs="Verdana"/>
          <w:i/>
          <w:iCs/>
          <w:sz w:val="22"/>
          <w:szCs w:val="22"/>
        </w:rPr>
        <w:t>“...Para que se dé el fenómeno jurídico de la caducidad, sólo bastan dos supuestos:   el transcurso del tiempo y el no ejercicio de la acción.  Iniciado el término con la publicación, notificación o comunicación.  Lo que ocurra de ahí en adelante no tiene virtualidad alguna para modificar el plazo perentorio y de orden público señalado por la ley. El término se cumple inexorablemente...”</w:t>
      </w:r>
      <w:r w:rsidRPr="00BB0C0F">
        <w:rPr>
          <w:rStyle w:val="Refdenotaalpie"/>
          <w:rFonts w:ascii="Verdana" w:hAnsi="Verdana" w:cs="Verdana"/>
          <w:sz w:val="22"/>
          <w:szCs w:val="22"/>
        </w:rPr>
        <w:footnoteReference w:id="1"/>
      </w:r>
      <w:r w:rsidRPr="00BB0C0F">
        <w:rPr>
          <w:rFonts w:ascii="Verdana" w:hAnsi="Verdana" w:cs="Verdana"/>
          <w:sz w:val="22"/>
          <w:szCs w:val="22"/>
        </w:rPr>
        <w:t>.</w:t>
      </w:r>
    </w:p>
    <w:p w:rsidR="001756A5" w:rsidRPr="00BB0C0F" w:rsidRDefault="001756A5" w:rsidP="001756A5">
      <w:pPr>
        <w:suppressAutoHyphens/>
        <w:spacing w:line="360" w:lineRule="auto"/>
        <w:jc w:val="both"/>
        <w:rPr>
          <w:rFonts w:ascii="Verdana" w:hAnsi="Verdana" w:cs="Verdana"/>
          <w:sz w:val="22"/>
          <w:szCs w:val="22"/>
        </w:rPr>
      </w:pPr>
    </w:p>
    <w:p w:rsidR="001756A5" w:rsidRPr="00BB0C0F" w:rsidRDefault="001756A5" w:rsidP="001756A5">
      <w:pPr>
        <w:pStyle w:val="NormalWeb"/>
        <w:tabs>
          <w:tab w:val="left" w:pos="4140"/>
        </w:tabs>
        <w:spacing w:before="0" w:beforeAutospacing="0" w:after="0" w:afterAutospacing="0" w:line="360" w:lineRule="auto"/>
        <w:jc w:val="both"/>
        <w:rPr>
          <w:rFonts w:ascii="Verdana" w:hAnsi="Verdana" w:cs="Verdana"/>
          <w:sz w:val="22"/>
          <w:szCs w:val="22"/>
        </w:rPr>
      </w:pPr>
      <w:r w:rsidRPr="00BB0C0F">
        <w:rPr>
          <w:rFonts w:ascii="Verdana" w:hAnsi="Verdana" w:cs="Verdana"/>
          <w:sz w:val="22"/>
          <w:szCs w:val="22"/>
        </w:rPr>
        <w:t>Posición que ha sido asumida por la Corte Constitucional, quien frente al fenómeno jurídico de la Caducidad ha expresado lo siguiente:</w:t>
      </w:r>
    </w:p>
    <w:p w:rsidR="001756A5" w:rsidRPr="00262030" w:rsidRDefault="001756A5" w:rsidP="001756A5">
      <w:pPr>
        <w:pStyle w:val="NormalWeb"/>
        <w:tabs>
          <w:tab w:val="left" w:pos="4140"/>
        </w:tabs>
        <w:spacing w:before="0" w:beforeAutospacing="0" w:after="0" w:afterAutospacing="0" w:line="360" w:lineRule="auto"/>
        <w:jc w:val="both"/>
        <w:rPr>
          <w:rFonts w:ascii="Verdana" w:hAnsi="Verdana" w:cs="Verdana"/>
          <w:sz w:val="20"/>
          <w:szCs w:val="20"/>
        </w:rPr>
      </w:pPr>
    </w:p>
    <w:p w:rsidR="001756A5" w:rsidRPr="00262030" w:rsidRDefault="001756A5" w:rsidP="001756A5">
      <w:pPr>
        <w:pStyle w:val="NormalWeb"/>
        <w:tabs>
          <w:tab w:val="left" w:pos="4140"/>
        </w:tabs>
        <w:spacing w:before="0" w:beforeAutospacing="0" w:after="0" w:afterAutospacing="0"/>
        <w:ind w:left="360" w:right="173"/>
        <w:jc w:val="both"/>
        <w:rPr>
          <w:rFonts w:ascii="Verdana" w:hAnsi="Verdana" w:cs="Verdana"/>
          <w:i/>
          <w:iCs/>
          <w:sz w:val="20"/>
          <w:szCs w:val="20"/>
          <w:lang w:val="es-MX"/>
        </w:rPr>
      </w:pPr>
      <w:r w:rsidRPr="00262030">
        <w:rPr>
          <w:rFonts w:ascii="Verdana" w:hAnsi="Verdana" w:cs="Verdana"/>
          <w:i/>
          <w:iCs/>
          <w:sz w:val="20"/>
          <w:szCs w:val="20"/>
          <w:lang w:val="es-MX"/>
        </w:rPr>
        <w:t>“</w:t>
      </w:r>
      <w:r w:rsidRPr="00262030">
        <w:rPr>
          <w:rFonts w:ascii="Verdana" w:hAnsi="Verdana" w:cs="Verdana"/>
          <w:b/>
          <w:bCs/>
          <w:i/>
          <w:iCs/>
          <w:sz w:val="20"/>
          <w:szCs w:val="20"/>
          <w:lang w:val="es-MX"/>
        </w:rPr>
        <w:t>La ley establece un término para el ejercicio de las acciones contencioso Administrativas</w:t>
      </w:r>
      <w:r w:rsidRPr="00262030">
        <w:rPr>
          <w:rFonts w:ascii="Verdana" w:hAnsi="Verdana" w:cs="Verdana"/>
          <w:i/>
          <w:iCs/>
          <w:sz w:val="20"/>
          <w:szCs w:val="20"/>
          <w:lang w:val="es-MX"/>
        </w:rPr>
        <w:t xml:space="preserve"> (artículo 136 del Código Contencioso Administrativo), </w:t>
      </w:r>
      <w:r w:rsidRPr="00262030">
        <w:rPr>
          <w:rFonts w:ascii="Verdana" w:hAnsi="Verdana" w:cs="Verdana"/>
          <w:b/>
          <w:bCs/>
          <w:i/>
          <w:iCs/>
          <w:sz w:val="20"/>
          <w:szCs w:val="20"/>
          <w:lang w:val="es-MX"/>
        </w:rPr>
        <w:t>de manera que al no promoverse la acción dentro del mismo, se produce la caducidad.</w:t>
      </w:r>
      <w:r w:rsidRPr="00262030">
        <w:rPr>
          <w:rFonts w:ascii="Verdana" w:hAnsi="Verdana" w:cs="Verdana"/>
          <w:i/>
          <w:iCs/>
          <w:sz w:val="20"/>
          <w:szCs w:val="20"/>
          <w:lang w:val="es-MX"/>
        </w:rPr>
        <w:t xml:space="preserve"> Ello surge a causa de la inactividad de los interesados para obtener por los medios judiciales requeridos la defensa y el reconocimiento de los daños antijurídicos imputables al Estado. </w:t>
      </w:r>
      <w:r w:rsidRPr="00262030">
        <w:rPr>
          <w:rFonts w:ascii="Verdana" w:hAnsi="Verdana" w:cs="Verdana"/>
          <w:b/>
          <w:bCs/>
          <w:i/>
          <w:iCs/>
          <w:sz w:val="20"/>
          <w:szCs w:val="20"/>
          <w:lang w:val="es-MX"/>
        </w:rPr>
        <w:t>Dichos plazos constituyen entonces, una garantía para la seguridad jurídica y el interés general. Y es que la caducidad representa el límite dentro del cual el ciudadano debe reclamar del Estado determinado derecho; por ende, la actitud negligente de quien estuvo legitimado en la causa no puede ser objeto de protección</w:t>
      </w:r>
      <w:r w:rsidRPr="00262030">
        <w:rPr>
          <w:rFonts w:ascii="Verdana" w:hAnsi="Verdana" w:cs="Verdana"/>
          <w:i/>
          <w:iCs/>
          <w:sz w:val="20"/>
          <w:szCs w:val="20"/>
          <w:lang w:val="es-MX"/>
        </w:rPr>
        <w:t>, pues es un hecho cierto que quien, dentro de las oportunidades procesales fijadas por la ley ejerce sus derechos, no se verá expuesto a perderlos por la ocurrencia del fenómeno indicado”.</w:t>
      </w:r>
      <w:r w:rsidRPr="00262030">
        <w:rPr>
          <w:rStyle w:val="Refdenotaalpie"/>
          <w:rFonts w:ascii="Verdana" w:hAnsi="Verdana" w:cs="Verdana"/>
          <w:i/>
          <w:iCs/>
          <w:sz w:val="20"/>
          <w:szCs w:val="20"/>
          <w:lang w:val="es-MX"/>
        </w:rPr>
        <w:footnoteReference w:id="2"/>
      </w:r>
      <w:r w:rsidRPr="00262030">
        <w:rPr>
          <w:rFonts w:ascii="Verdana" w:hAnsi="Verdana" w:cs="Verdana"/>
          <w:i/>
          <w:iCs/>
          <w:sz w:val="20"/>
          <w:szCs w:val="20"/>
          <w:lang w:val="es-MX"/>
        </w:rPr>
        <w:t xml:space="preserve"> (Negrillas del Despacho)</w:t>
      </w:r>
    </w:p>
    <w:p w:rsidR="001756A5" w:rsidRPr="00262030" w:rsidRDefault="001756A5" w:rsidP="001756A5">
      <w:pPr>
        <w:pStyle w:val="NormalWeb"/>
        <w:tabs>
          <w:tab w:val="left" w:pos="4140"/>
        </w:tabs>
        <w:spacing w:before="0" w:beforeAutospacing="0" w:after="0" w:afterAutospacing="0" w:line="360" w:lineRule="auto"/>
        <w:jc w:val="both"/>
        <w:rPr>
          <w:rFonts w:ascii="Verdana" w:hAnsi="Verdana" w:cs="Verdana"/>
          <w:sz w:val="20"/>
          <w:szCs w:val="20"/>
        </w:rPr>
      </w:pPr>
    </w:p>
    <w:p w:rsidR="001756A5" w:rsidRPr="000006DE" w:rsidRDefault="001756A5" w:rsidP="001756A5">
      <w:pPr>
        <w:spacing w:line="360" w:lineRule="auto"/>
        <w:jc w:val="both"/>
        <w:rPr>
          <w:rFonts w:ascii="Verdana" w:hAnsi="Verdana" w:cs="Verdana"/>
          <w:sz w:val="22"/>
          <w:szCs w:val="22"/>
          <w:lang w:val="es-MX"/>
        </w:rPr>
      </w:pPr>
      <w:r w:rsidRPr="000006DE">
        <w:rPr>
          <w:rFonts w:ascii="Verdana" w:hAnsi="Verdana" w:cs="Verdana"/>
          <w:sz w:val="22"/>
          <w:szCs w:val="22"/>
          <w:lang w:val="es-MX"/>
        </w:rPr>
        <w:t xml:space="preserve">En conclusión, la caducidad consiste entonces en la extinción del derecho a la acción, por vencimiento del término concedido para ello. </w:t>
      </w:r>
    </w:p>
    <w:p w:rsidR="001756A5" w:rsidRDefault="001756A5" w:rsidP="001756A5">
      <w:pPr>
        <w:tabs>
          <w:tab w:val="num" w:pos="720"/>
        </w:tabs>
        <w:spacing w:line="360" w:lineRule="auto"/>
        <w:jc w:val="both"/>
        <w:rPr>
          <w:rFonts w:ascii="Verdana" w:hAnsi="Verdana" w:cs="Verdana"/>
          <w:lang w:val="es-MX"/>
        </w:rPr>
      </w:pPr>
    </w:p>
    <w:p w:rsidR="001756A5" w:rsidRPr="000006DE" w:rsidRDefault="001756A5" w:rsidP="001756A5">
      <w:pPr>
        <w:spacing w:line="360" w:lineRule="auto"/>
        <w:jc w:val="both"/>
        <w:rPr>
          <w:rFonts w:ascii="Verdana" w:hAnsi="Verdana" w:cs="Verdana"/>
          <w:color w:val="663300"/>
          <w:sz w:val="22"/>
          <w:szCs w:val="22"/>
        </w:rPr>
      </w:pPr>
      <w:r>
        <w:rPr>
          <w:rFonts w:ascii="Verdana" w:hAnsi="Verdana" w:cs="Verdana"/>
          <w:sz w:val="22"/>
          <w:szCs w:val="22"/>
        </w:rPr>
        <w:t xml:space="preserve">Sobre la oportunidad para </w:t>
      </w:r>
      <w:r w:rsidRPr="00CE358A">
        <w:rPr>
          <w:rFonts w:ascii="Verdana" w:hAnsi="Verdana" w:cs="Verdana"/>
          <w:sz w:val="22"/>
          <w:szCs w:val="22"/>
        </w:rPr>
        <w:t>presentar la demanda indica</w:t>
      </w:r>
      <w:r>
        <w:rPr>
          <w:rFonts w:ascii="Verdana" w:hAnsi="Verdana" w:cs="Verdana"/>
          <w:sz w:val="22"/>
          <w:szCs w:val="22"/>
        </w:rPr>
        <w:t xml:space="preserve"> </w:t>
      </w:r>
      <w:r w:rsidRPr="000006DE">
        <w:rPr>
          <w:rFonts w:ascii="Verdana" w:hAnsi="Verdana" w:cs="Verdana"/>
          <w:sz w:val="22"/>
          <w:szCs w:val="22"/>
        </w:rPr>
        <w:t>el artículo 164 de la Ley 1437 de 2011 (Código de Procedimiento Administrativo y de lo Contencioso Administrativo), frente al medio de control de nulidad y restablecimiento de derecho</w:t>
      </w:r>
      <w:r>
        <w:rPr>
          <w:rFonts w:ascii="Verdana" w:hAnsi="Verdana" w:cs="Verdana"/>
          <w:sz w:val="22"/>
          <w:szCs w:val="22"/>
        </w:rPr>
        <w:t>,</w:t>
      </w:r>
      <w:r w:rsidRPr="000006DE">
        <w:rPr>
          <w:rFonts w:ascii="Verdana" w:hAnsi="Verdana" w:cs="Verdana"/>
          <w:sz w:val="22"/>
          <w:szCs w:val="22"/>
        </w:rPr>
        <w:t xml:space="preserve"> lo siguiente: </w:t>
      </w:r>
    </w:p>
    <w:p w:rsidR="001756A5" w:rsidRPr="000006DE" w:rsidRDefault="001756A5" w:rsidP="001756A5">
      <w:pPr>
        <w:pStyle w:val="CM33"/>
        <w:ind w:left="360" w:right="353"/>
        <w:jc w:val="both"/>
        <w:rPr>
          <w:rFonts w:ascii="Verdana" w:hAnsi="Verdana" w:cs="Verdana"/>
          <w:b/>
          <w:bCs/>
          <w:i/>
          <w:iCs/>
          <w:sz w:val="22"/>
          <w:szCs w:val="22"/>
        </w:rPr>
      </w:pPr>
    </w:p>
    <w:p w:rsidR="001756A5" w:rsidRPr="00262030" w:rsidRDefault="001756A5" w:rsidP="001756A5">
      <w:pPr>
        <w:ind w:left="360" w:right="173"/>
        <w:jc w:val="both"/>
        <w:rPr>
          <w:rFonts w:ascii="Verdana" w:hAnsi="Verdana" w:cs="Verdana"/>
          <w:i/>
          <w:iCs/>
          <w:color w:val="000000"/>
          <w:sz w:val="20"/>
          <w:szCs w:val="20"/>
        </w:rPr>
      </w:pPr>
      <w:r w:rsidRPr="000006DE">
        <w:rPr>
          <w:rFonts w:ascii="Verdana" w:hAnsi="Verdana" w:cs="Verdana"/>
          <w:b/>
          <w:bCs/>
          <w:i/>
          <w:iCs/>
          <w:sz w:val="21"/>
          <w:szCs w:val="21"/>
        </w:rPr>
        <w:t>“</w:t>
      </w:r>
      <w:r w:rsidRPr="00262030">
        <w:rPr>
          <w:rFonts w:ascii="Verdana" w:hAnsi="Verdana" w:cs="Verdana"/>
          <w:i/>
          <w:iCs/>
          <w:color w:val="000080"/>
          <w:sz w:val="20"/>
          <w:szCs w:val="20"/>
        </w:rPr>
        <w:t>ARTÍCULO 164. OPORTUNIDAD PARA PRESENTAR LA DEMANDA.</w:t>
      </w:r>
      <w:r w:rsidRPr="00262030">
        <w:rPr>
          <w:rFonts w:ascii="Verdana" w:hAnsi="Verdana" w:cs="Verdana"/>
          <w:i/>
          <w:iCs/>
          <w:color w:val="000000"/>
          <w:sz w:val="20"/>
          <w:szCs w:val="20"/>
        </w:rPr>
        <w:t> La demanda deberá ser presentada:</w:t>
      </w:r>
    </w:p>
    <w:p w:rsidR="001756A5" w:rsidRPr="00262030" w:rsidRDefault="001756A5" w:rsidP="001756A5">
      <w:pPr>
        <w:ind w:left="360" w:right="173"/>
        <w:jc w:val="both"/>
        <w:rPr>
          <w:rFonts w:ascii="Verdana" w:hAnsi="Verdana" w:cs="Verdana"/>
          <w:i/>
          <w:iCs/>
          <w:color w:val="000000"/>
          <w:sz w:val="20"/>
          <w:szCs w:val="20"/>
        </w:rPr>
      </w:pPr>
    </w:p>
    <w:p w:rsidR="001756A5" w:rsidRPr="00262030" w:rsidRDefault="001756A5" w:rsidP="001756A5">
      <w:pPr>
        <w:ind w:left="360" w:right="173"/>
        <w:jc w:val="both"/>
        <w:rPr>
          <w:rFonts w:ascii="Verdana" w:hAnsi="Verdana" w:cs="Verdana"/>
          <w:i/>
          <w:iCs/>
          <w:color w:val="000000"/>
          <w:sz w:val="20"/>
          <w:szCs w:val="20"/>
        </w:rPr>
      </w:pPr>
      <w:r w:rsidRPr="00262030">
        <w:rPr>
          <w:rFonts w:ascii="Verdana" w:hAnsi="Verdana" w:cs="Verdana"/>
          <w:i/>
          <w:iCs/>
          <w:color w:val="000000"/>
          <w:sz w:val="20"/>
          <w:szCs w:val="20"/>
        </w:rPr>
        <w:t>(…)</w:t>
      </w:r>
    </w:p>
    <w:p w:rsidR="001756A5" w:rsidRPr="00262030" w:rsidRDefault="001756A5" w:rsidP="001756A5">
      <w:pPr>
        <w:ind w:left="360" w:right="173"/>
        <w:jc w:val="both"/>
        <w:rPr>
          <w:rFonts w:ascii="Verdana" w:hAnsi="Verdana" w:cs="Verdana"/>
          <w:i/>
          <w:iCs/>
          <w:color w:val="000000"/>
          <w:sz w:val="20"/>
          <w:szCs w:val="20"/>
        </w:rPr>
      </w:pPr>
      <w:r w:rsidRPr="00262030">
        <w:rPr>
          <w:rFonts w:ascii="Verdana" w:hAnsi="Verdana" w:cs="Verdana"/>
          <w:i/>
          <w:iCs/>
          <w:color w:val="000000"/>
          <w:sz w:val="20"/>
          <w:szCs w:val="20"/>
        </w:rPr>
        <w:t>2. En los siguientes términos, so pena de que opere la caducidad:</w:t>
      </w:r>
    </w:p>
    <w:p w:rsidR="001756A5" w:rsidRPr="00262030" w:rsidRDefault="001756A5" w:rsidP="001756A5">
      <w:pPr>
        <w:ind w:left="360" w:right="173"/>
        <w:jc w:val="both"/>
        <w:rPr>
          <w:rFonts w:ascii="Verdana" w:hAnsi="Verdana" w:cs="Verdana"/>
          <w:i/>
          <w:iCs/>
          <w:color w:val="000000"/>
          <w:sz w:val="20"/>
          <w:szCs w:val="20"/>
          <w:shd w:val="clear" w:color="auto" w:fill="FFFFFF"/>
        </w:rPr>
      </w:pPr>
    </w:p>
    <w:p w:rsidR="001756A5" w:rsidRPr="00262030" w:rsidRDefault="001756A5" w:rsidP="001756A5">
      <w:pPr>
        <w:ind w:left="360" w:right="173"/>
        <w:jc w:val="both"/>
        <w:rPr>
          <w:rFonts w:ascii="Verdana" w:hAnsi="Verdana" w:cs="Verdana"/>
          <w:b/>
          <w:bCs/>
          <w:i/>
          <w:iCs/>
          <w:color w:val="000000"/>
          <w:sz w:val="20"/>
          <w:szCs w:val="20"/>
        </w:rPr>
      </w:pPr>
      <w:r w:rsidRPr="00262030">
        <w:rPr>
          <w:rFonts w:ascii="Verdana" w:hAnsi="Verdana" w:cs="Verdana"/>
          <w:b/>
          <w:bCs/>
          <w:i/>
          <w:iCs/>
          <w:color w:val="000000"/>
          <w:sz w:val="20"/>
          <w:szCs w:val="20"/>
          <w:shd w:val="clear" w:color="auto" w:fill="FFFFFF"/>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r w:rsidRPr="00262030">
        <w:rPr>
          <w:rFonts w:ascii="Verdana" w:hAnsi="Verdana" w:cs="Verdana"/>
          <w:b/>
          <w:bCs/>
          <w:i/>
          <w:iCs/>
          <w:color w:val="000000"/>
          <w:sz w:val="20"/>
          <w:szCs w:val="20"/>
        </w:rPr>
        <w:t xml:space="preserve"> (…)</w:t>
      </w:r>
      <w:r w:rsidRPr="00262030">
        <w:rPr>
          <w:rFonts w:ascii="Verdana" w:hAnsi="Verdana" w:cs="Verdana"/>
          <w:i/>
          <w:iCs/>
          <w:sz w:val="20"/>
          <w:szCs w:val="20"/>
        </w:rPr>
        <w:t>” (Negrilla del Despacho)</w:t>
      </w:r>
    </w:p>
    <w:p w:rsidR="001756A5" w:rsidRPr="00262030" w:rsidRDefault="001756A5" w:rsidP="001756A5">
      <w:pPr>
        <w:tabs>
          <w:tab w:val="num" w:pos="720"/>
        </w:tabs>
        <w:spacing w:line="360" w:lineRule="auto"/>
        <w:jc w:val="both"/>
        <w:rPr>
          <w:rFonts w:ascii="Verdana" w:hAnsi="Verdana" w:cs="Verdana"/>
          <w:sz w:val="20"/>
          <w:szCs w:val="20"/>
          <w:lang w:val="es-MX"/>
        </w:rPr>
      </w:pPr>
    </w:p>
    <w:p w:rsidR="001756A5" w:rsidRDefault="001756A5" w:rsidP="001756A5">
      <w:pPr>
        <w:tabs>
          <w:tab w:val="num" w:pos="720"/>
        </w:tabs>
        <w:spacing w:line="360" w:lineRule="auto"/>
        <w:jc w:val="both"/>
        <w:rPr>
          <w:rFonts w:ascii="Verdana" w:hAnsi="Verdana" w:cs="Verdana"/>
          <w:b/>
          <w:bCs/>
          <w:i/>
          <w:iCs/>
          <w:sz w:val="22"/>
          <w:szCs w:val="22"/>
        </w:rPr>
      </w:pPr>
      <w:r w:rsidRPr="000F628D">
        <w:rPr>
          <w:rFonts w:ascii="Verdana" w:hAnsi="Verdana" w:cs="Verdana"/>
          <w:sz w:val="22"/>
          <w:szCs w:val="22"/>
          <w:lang w:val="es-MX"/>
        </w:rPr>
        <w:t>A</w:t>
      </w:r>
      <w:r w:rsidRPr="000F628D">
        <w:rPr>
          <w:rFonts w:ascii="Verdana" w:hAnsi="Verdana" w:cs="Verdana"/>
          <w:sz w:val="22"/>
          <w:szCs w:val="22"/>
          <w:lang w:val="es-ES_tradnl"/>
        </w:rPr>
        <w:t xml:space="preserve">hora bien, señala el numeral 1 del citado artículo, que la demanda podrá ser presentada en </w:t>
      </w:r>
      <w:r w:rsidRPr="000F628D">
        <w:rPr>
          <w:rFonts w:ascii="Verdana" w:hAnsi="Verdana" w:cs="Verdana"/>
          <w:b/>
          <w:bCs/>
          <w:i/>
          <w:iCs/>
          <w:sz w:val="22"/>
          <w:szCs w:val="22"/>
          <w:lang w:val="es-ES_tradnl"/>
        </w:rPr>
        <w:t>cualquier tiempo</w:t>
      </w:r>
      <w:r w:rsidRPr="000F628D">
        <w:rPr>
          <w:rFonts w:ascii="Verdana" w:hAnsi="Verdana" w:cs="Verdana"/>
          <w:i/>
          <w:iCs/>
          <w:sz w:val="22"/>
          <w:szCs w:val="22"/>
          <w:lang w:val="es-ES_tradnl"/>
        </w:rPr>
        <w:t xml:space="preserve">, </w:t>
      </w:r>
      <w:r w:rsidRPr="000F628D">
        <w:rPr>
          <w:rFonts w:ascii="Verdana" w:hAnsi="Verdana" w:cs="Verdana"/>
          <w:sz w:val="22"/>
          <w:szCs w:val="22"/>
          <w:lang w:val="es-ES_tradnl"/>
        </w:rPr>
        <w:t>entre otros casos,</w:t>
      </w:r>
      <w:r>
        <w:rPr>
          <w:rFonts w:ascii="Verdana" w:hAnsi="Verdana" w:cs="Verdana"/>
          <w:sz w:val="22"/>
          <w:szCs w:val="22"/>
          <w:lang w:val="es-ES_tradnl"/>
        </w:rPr>
        <w:t xml:space="preserve"> </w:t>
      </w:r>
      <w:r w:rsidRPr="000F628D">
        <w:rPr>
          <w:rFonts w:ascii="Verdana" w:hAnsi="Verdana" w:cs="Verdana"/>
          <w:sz w:val="22"/>
          <w:szCs w:val="22"/>
          <w:lang w:val="es-ES_tradnl"/>
        </w:rPr>
        <w:t xml:space="preserve">cuando: </w:t>
      </w:r>
      <w:r w:rsidRPr="000F628D">
        <w:rPr>
          <w:rFonts w:ascii="Verdana" w:hAnsi="Verdana" w:cs="Verdana"/>
          <w:b/>
          <w:bCs/>
          <w:i/>
          <w:iCs/>
          <w:sz w:val="22"/>
          <w:szCs w:val="22"/>
          <w:lang w:val="es-ES_tradnl"/>
        </w:rPr>
        <w:t>“</w:t>
      </w:r>
      <w:r w:rsidRPr="000F628D">
        <w:rPr>
          <w:rFonts w:ascii="Verdana" w:hAnsi="Verdana" w:cs="Verdana"/>
          <w:b/>
          <w:bCs/>
          <w:i/>
          <w:iCs/>
          <w:sz w:val="22"/>
          <w:szCs w:val="22"/>
        </w:rPr>
        <w:t>c) Se dirija contra actos que reconozcan o nieguen total o parcialmente prestaciones periódicas.”.</w:t>
      </w:r>
    </w:p>
    <w:p w:rsidR="001756A5" w:rsidRDefault="001756A5" w:rsidP="001756A5">
      <w:pPr>
        <w:tabs>
          <w:tab w:val="num" w:pos="720"/>
        </w:tabs>
        <w:spacing w:line="360" w:lineRule="auto"/>
        <w:jc w:val="both"/>
        <w:rPr>
          <w:rFonts w:ascii="Verdana" w:hAnsi="Verdana" w:cs="Verdana"/>
          <w:lang w:val="es-ES_tradnl"/>
        </w:rPr>
      </w:pPr>
    </w:p>
    <w:p w:rsidR="001756A5" w:rsidRPr="000F628D" w:rsidRDefault="001756A5" w:rsidP="001756A5">
      <w:pPr>
        <w:tabs>
          <w:tab w:val="num" w:pos="720"/>
        </w:tabs>
        <w:spacing w:line="360" w:lineRule="auto"/>
        <w:jc w:val="both"/>
        <w:rPr>
          <w:rFonts w:ascii="Verdana" w:hAnsi="Verdana" w:cs="Verdana"/>
          <w:sz w:val="22"/>
          <w:szCs w:val="22"/>
          <w:lang w:val="es-ES_tradnl"/>
        </w:rPr>
      </w:pPr>
      <w:r w:rsidRPr="000F628D">
        <w:rPr>
          <w:rFonts w:ascii="Verdana" w:hAnsi="Verdana" w:cs="Verdana"/>
          <w:sz w:val="22"/>
          <w:szCs w:val="22"/>
          <w:lang w:val="es-ES_tradnl"/>
        </w:rPr>
        <w:t>De modo que, en tratándose de procesos de nulidad y restablecimiento del derecho, para determinar si la demanda puede presentarse en “</w:t>
      </w:r>
      <w:r w:rsidRPr="000F628D">
        <w:rPr>
          <w:rFonts w:ascii="Verdana" w:hAnsi="Verdana" w:cs="Verdana"/>
          <w:b/>
          <w:bCs/>
          <w:sz w:val="22"/>
          <w:szCs w:val="22"/>
          <w:lang w:val="es-ES_tradnl"/>
        </w:rPr>
        <w:t xml:space="preserve">cualquier tiempo”, </w:t>
      </w:r>
      <w:r w:rsidRPr="000F628D">
        <w:rPr>
          <w:rFonts w:ascii="Verdana" w:hAnsi="Verdana" w:cs="Verdana"/>
          <w:sz w:val="22"/>
          <w:szCs w:val="22"/>
          <w:lang w:val="es-ES_tradnl"/>
        </w:rPr>
        <w:t>o</w:t>
      </w:r>
      <w:r>
        <w:rPr>
          <w:rFonts w:ascii="Verdana" w:hAnsi="Verdana" w:cs="Verdana"/>
          <w:sz w:val="22"/>
          <w:szCs w:val="22"/>
          <w:lang w:val="es-ES_tradnl"/>
        </w:rPr>
        <w:t xml:space="preserve"> </w:t>
      </w:r>
      <w:r w:rsidRPr="000F628D">
        <w:rPr>
          <w:rFonts w:ascii="Verdana" w:hAnsi="Verdana" w:cs="Verdana"/>
          <w:sz w:val="22"/>
          <w:szCs w:val="22"/>
          <w:lang w:val="es-ES_tradnl"/>
        </w:rPr>
        <w:t xml:space="preserve">debe someterse a las reglas previstas de la caducidad, </w:t>
      </w:r>
      <w:r>
        <w:rPr>
          <w:rFonts w:ascii="Verdana" w:hAnsi="Verdana" w:cs="Verdana"/>
          <w:sz w:val="22"/>
          <w:szCs w:val="22"/>
          <w:lang w:val="es-ES_tradnl"/>
        </w:rPr>
        <w:t xml:space="preserve">es necesario </w:t>
      </w:r>
      <w:r w:rsidRPr="000F628D">
        <w:rPr>
          <w:rFonts w:ascii="Verdana" w:hAnsi="Verdana" w:cs="Verdana"/>
          <w:sz w:val="22"/>
          <w:szCs w:val="22"/>
          <w:lang w:val="es-ES_tradnl"/>
        </w:rPr>
        <w:t xml:space="preserve">verificar si lo pretendido se trata de una prestación periódica, o es de aquellas que no tienen dicha calidad. </w:t>
      </w:r>
    </w:p>
    <w:p w:rsidR="001756A5" w:rsidRPr="000F628D" w:rsidRDefault="001756A5" w:rsidP="001756A5">
      <w:pPr>
        <w:tabs>
          <w:tab w:val="num" w:pos="720"/>
        </w:tabs>
        <w:spacing w:line="360" w:lineRule="auto"/>
        <w:jc w:val="both"/>
        <w:rPr>
          <w:rFonts w:ascii="Verdana" w:hAnsi="Verdana" w:cs="Verdana"/>
          <w:sz w:val="22"/>
          <w:szCs w:val="22"/>
          <w:lang w:val="es-ES_tradnl"/>
        </w:rPr>
      </w:pPr>
    </w:p>
    <w:p w:rsidR="001756A5" w:rsidRPr="000F628D" w:rsidRDefault="001756A5" w:rsidP="001756A5">
      <w:pPr>
        <w:tabs>
          <w:tab w:val="left" w:pos="1426"/>
        </w:tabs>
        <w:overflowPunct w:val="0"/>
        <w:autoSpaceDE w:val="0"/>
        <w:autoSpaceDN w:val="0"/>
        <w:adjustRightInd w:val="0"/>
        <w:spacing w:line="360" w:lineRule="auto"/>
        <w:jc w:val="both"/>
        <w:textAlignment w:val="baseline"/>
        <w:rPr>
          <w:rFonts w:ascii="Verdana" w:hAnsi="Verdana" w:cs="Verdana"/>
          <w:sz w:val="22"/>
          <w:szCs w:val="22"/>
          <w:lang w:val="es-ES_tradnl"/>
        </w:rPr>
      </w:pPr>
      <w:r w:rsidRPr="000F628D">
        <w:rPr>
          <w:rFonts w:ascii="Verdana" w:hAnsi="Verdana" w:cs="Verdana"/>
          <w:sz w:val="22"/>
          <w:szCs w:val="22"/>
          <w:lang w:val="es-ES_tradnl"/>
        </w:rPr>
        <w:t>Sobre la posibilidad de demandar en cualquier tiempo los actos que nieguen o reconozcan total o parcialmente prestaciones periódicas, es necesario precisar que en un principio se estimaba que la excepción sólo hacía referencia a las prestaciones sociales; sin embargo, en el año 2004, la Corte Constitucional en sentencia C – 1049 del 26 de octubre de 2004,  estableció que la norma hacía referencia a todas las obligaciones que tienen un carácter periódico y que bien pueden ser prestaciones sociales como la pensión de jubilación, o no ser prestación social como el pago del salario o de una prima que tenga carácter salarial,  tesis que fue reiterada por el Consejo de Estado en años posteriores</w:t>
      </w:r>
      <w:r w:rsidRPr="000F628D">
        <w:rPr>
          <w:rFonts w:ascii="Verdana" w:hAnsi="Verdana" w:cs="Verdana"/>
          <w:sz w:val="22"/>
          <w:szCs w:val="22"/>
          <w:vertAlign w:val="superscript"/>
          <w:lang w:val="es-ES_tradnl"/>
        </w:rPr>
        <w:footnoteReference w:id="3"/>
      </w:r>
      <w:r w:rsidRPr="000F628D">
        <w:rPr>
          <w:rFonts w:ascii="Verdana" w:hAnsi="Verdana" w:cs="Verdana"/>
          <w:sz w:val="22"/>
          <w:szCs w:val="22"/>
          <w:lang w:val="es-ES_tradnl"/>
        </w:rPr>
        <w:t xml:space="preserve">, en los que se debió analizar cuándo una prestación tiene el carácter de periódico, concluyéndose que la posibilidad de ser demandada en cualquier tiempo depende de que la retribución se encuentre vigente. </w:t>
      </w:r>
    </w:p>
    <w:p w:rsidR="001756A5" w:rsidRPr="000F628D" w:rsidRDefault="001756A5" w:rsidP="001756A5">
      <w:pPr>
        <w:tabs>
          <w:tab w:val="left" w:pos="1426"/>
        </w:tabs>
        <w:overflowPunct w:val="0"/>
        <w:autoSpaceDE w:val="0"/>
        <w:autoSpaceDN w:val="0"/>
        <w:adjustRightInd w:val="0"/>
        <w:jc w:val="both"/>
        <w:textAlignment w:val="baseline"/>
        <w:rPr>
          <w:rFonts w:ascii="Verdana" w:hAnsi="Verdana" w:cs="Verdana"/>
          <w:sz w:val="22"/>
          <w:szCs w:val="22"/>
        </w:rPr>
      </w:pPr>
    </w:p>
    <w:p w:rsidR="001756A5" w:rsidRPr="000F628D" w:rsidRDefault="001756A5" w:rsidP="001756A5">
      <w:pPr>
        <w:tabs>
          <w:tab w:val="left" w:pos="1426"/>
        </w:tabs>
        <w:overflowPunct w:val="0"/>
        <w:autoSpaceDE w:val="0"/>
        <w:autoSpaceDN w:val="0"/>
        <w:adjustRightInd w:val="0"/>
        <w:spacing w:line="360" w:lineRule="auto"/>
        <w:jc w:val="both"/>
        <w:textAlignment w:val="baseline"/>
        <w:rPr>
          <w:rFonts w:ascii="Verdana" w:hAnsi="Verdana" w:cs="Verdana"/>
          <w:sz w:val="22"/>
          <w:szCs w:val="22"/>
          <w:lang w:val="es-ES_tradnl"/>
        </w:rPr>
      </w:pPr>
      <w:r w:rsidRPr="000F628D">
        <w:rPr>
          <w:rFonts w:ascii="Verdana" w:hAnsi="Verdana" w:cs="Verdana"/>
          <w:sz w:val="22"/>
          <w:szCs w:val="22"/>
          <w:lang w:val="es-ES_tradnl"/>
        </w:rPr>
        <w:t>Concretamente, en sentencia del 08 de mayo de 2008, del Consejero G</w:t>
      </w:r>
      <w:r>
        <w:rPr>
          <w:rFonts w:ascii="Verdana" w:hAnsi="Verdana" w:cs="Verdana"/>
          <w:sz w:val="22"/>
          <w:szCs w:val="22"/>
          <w:lang w:val="es-ES_tradnl"/>
        </w:rPr>
        <w:t xml:space="preserve">ustavo </w:t>
      </w:r>
      <w:r w:rsidRPr="000F628D">
        <w:rPr>
          <w:rFonts w:ascii="Verdana" w:hAnsi="Verdana" w:cs="Verdana"/>
          <w:sz w:val="22"/>
          <w:szCs w:val="22"/>
          <w:lang w:val="es-ES_tradnl"/>
        </w:rPr>
        <w:t>Gómez Aranguren, la máxima corporación de lo contencioso, indicó:</w:t>
      </w:r>
    </w:p>
    <w:p w:rsidR="001756A5" w:rsidRPr="000F628D" w:rsidRDefault="001756A5" w:rsidP="001756A5">
      <w:pPr>
        <w:suppressAutoHyphens/>
        <w:spacing w:line="360" w:lineRule="auto"/>
        <w:jc w:val="both"/>
        <w:rPr>
          <w:rFonts w:ascii="Verdana" w:hAnsi="Verdana" w:cs="Verdana"/>
          <w:spacing w:val="-20"/>
          <w:sz w:val="22"/>
          <w:szCs w:val="22"/>
          <w:lang w:val="es-ES_tradnl"/>
        </w:rPr>
      </w:pPr>
    </w:p>
    <w:p w:rsidR="001756A5" w:rsidRPr="00262030" w:rsidRDefault="001756A5" w:rsidP="001756A5">
      <w:pPr>
        <w:autoSpaceDE w:val="0"/>
        <w:autoSpaceDN w:val="0"/>
        <w:adjustRightInd w:val="0"/>
        <w:ind w:left="567" w:right="283"/>
        <w:jc w:val="both"/>
        <w:rPr>
          <w:rFonts w:ascii="Verdana" w:hAnsi="Verdana" w:cs="Verdana"/>
          <w:b/>
          <w:bCs/>
          <w:i/>
          <w:iCs/>
          <w:sz w:val="20"/>
          <w:szCs w:val="20"/>
        </w:rPr>
      </w:pPr>
      <w:r w:rsidRPr="00262030">
        <w:rPr>
          <w:rFonts w:ascii="Verdana" w:hAnsi="Verdana" w:cs="Verdana"/>
          <w:b/>
          <w:bCs/>
          <w:i/>
          <w:iCs/>
          <w:sz w:val="20"/>
          <w:szCs w:val="20"/>
        </w:rPr>
        <w:t xml:space="preserve">“…la posibilidad de demandar en cualquier tiempo, apunta a los actos que tienen el carácter de “prestación periódica”, es decir, aquellos actos que reconocen emolumentos que habitualmente percibe el beneficiario. </w:t>
      </w:r>
    </w:p>
    <w:p w:rsidR="001756A5" w:rsidRPr="00262030" w:rsidRDefault="001756A5" w:rsidP="001756A5">
      <w:pPr>
        <w:autoSpaceDE w:val="0"/>
        <w:autoSpaceDN w:val="0"/>
        <w:adjustRightInd w:val="0"/>
        <w:ind w:left="567" w:right="283"/>
        <w:jc w:val="both"/>
        <w:rPr>
          <w:rFonts w:ascii="Verdana" w:hAnsi="Verdana" w:cs="Verdana"/>
          <w:i/>
          <w:iCs/>
          <w:sz w:val="20"/>
          <w:szCs w:val="20"/>
        </w:rPr>
      </w:pPr>
    </w:p>
    <w:p w:rsidR="001756A5" w:rsidRPr="00262030" w:rsidRDefault="001756A5" w:rsidP="001756A5">
      <w:pPr>
        <w:autoSpaceDE w:val="0"/>
        <w:autoSpaceDN w:val="0"/>
        <w:adjustRightInd w:val="0"/>
        <w:ind w:left="567" w:right="283"/>
        <w:jc w:val="both"/>
        <w:rPr>
          <w:rFonts w:ascii="Verdana" w:hAnsi="Verdana" w:cs="Verdana"/>
          <w:sz w:val="20"/>
          <w:szCs w:val="20"/>
        </w:rPr>
      </w:pPr>
      <w:r w:rsidRPr="00262030">
        <w:rPr>
          <w:rFonts w:ascii="Verdana" w:hAnsi="Verdana" w:cs="Verdana"/>
          <w:i/>
          <w:iCs/>
          <w:sz w:val="20"/>
          <w:szCs w:val="20"/>
        </w:rPr>
        <w:t xml:space="preserve">En ese sentido, dentro de los actos que reconocen prestaciones periódicas, están comprendidos no sólo las decisiones que reconocen prestaciones sociales, sino también aquellos que reconocen prestaciones salariales que </w:t>
      </w:r>
      <w:r w:rsidRPr="00262030">
        <w:rPr>
          <w:rFonts w:ascii="Verdana" w:hAnsi="Verdana" w:cs="Verdana"/>
          <w:b/>
          <w:bCs/>
          <w:i/>
          <w:iCs/>
          <w:sz w:val="20"/>
          <w:szCs w:val="20"/>
        </w:rPr>
        <w:t>periódicamente sufragan al beneficiario, siempre y cuando la periodicidad en la retribución se encuentre vigente.”</w:t>
      </w:r>
      <w:r w:rsidRPr="00262030">
        <w:rPr>
          <w:rFonts w:ascii="Verdana" w:hAnsi="Verdana" w:cs="Verdana"/>
          <w:i/>
          <w:iCs/>
          <w:sz w:val="20"/>
          <w:szCs w:val="20"/>
          <w:vertAlign w:val="superscript"/>
        </w:rPr>
        <w:footnoteReference w:id="4"/>
      </w:r>
      <w:r w:rsidRPr="00262030">
        <w:rPr>
          <w:rFonts w:ascii="Verdana" w:hAnsi="Verdana" w:cs="Verdana"/>
          <w:sz w:val="20"/>
          <w:szCs w:val="20"/>
        </w:rPr>
        <w:t>.</w:t>
      </w:r>
    </w:p>
    <w:p w:rsidR="001756A5" w:rsidRDefault="001756A5" w:rsidP="001756A5">
      <w:pPr>
        <w:autoSpaceDE w:val="0"/>
        <w:autoSpaceDN w:val="0"/>
        <w:adjustRightInd w:val="0"/>
        <w:spacing w:line="360" w:lineRule="auto"/>
        <w:jc w:val="both"/>
        <w:rPr>
          <w:rFonts w:ascii="Verdana" w:hAnsi="Verdana" w:cs="Verdana"/>
          <w:sz w:val="22"/>
          <w:szCs w:val="22"/>
        </w:rPr>
      </w:pPr>
    </w:p>
    <w:p w:rsidR="001756A5" w:rsidRPr="000F628D" w:rsidRDefault="001756A5" w:rsidP="001756A5">
      <w:pPr>
        <w:autoSpaceDE w:val="0"/>
        <w:autoSpaceDN w:val="0"/>
        <w:adjustRightInd w:val="0"/>
        <w:spacing w:line="360" w:lineRule="auto"/>
        <w:jc w:val="both"/>
        <w:rPr>
          <w:rFonts w:ascii="Verdana" w:hAnsi="Verdana" w:cs="Verdana"/>
          <w:sz w:val="22"/>
          <w:szCs w:val="22"/>
          <w:lang w:val="es-ES_tradnl"/>
        </w:rPr>
      </w:pPr>
      <w:r w:rsidRPr="000F628D">
        <w:rPr>
          <w:rFonts w:ascii="Verdana" w:hAnsi="Verdana" w:cs="Verdana"/>
          <w:sz w:val="22"/>
          <w:szCs w:val="22"/>
        </w:rPr>
        <w:t xml:space="preserve">De lo anterior concluye el Despacho, que trátese de una pretensión de reconocimiento o negación de una </w:t>
      </w:r>
      <w:r w:rsidRPr="000F628D">
        <w:rPr>
          <w:rFonts w:ascii="Verdana" w:hAnsi="Verdana" w:cs="Verdana"/>
          <w:sz w:val="22"/>
          <w:szCs w:val="22"/>
          <w:lang w:val="es-ES_tradnl"/>
        </w:rPr>
        <w:t xml:space="preserve">prestación social, como la pensión de jubilación;  a una que no tenga tal calidad, como el pago del salario o que se trate de una prestación de carácter salarial, como las primas,  para que la prestación tenga el carácter de </w:t>
      </w:r>
      <w:r w:rsidRPr="000F628D">
        <w:rPr>
          <w:rFonts w:ascii="Verdana" w:hAnsi="Verdana" w:cs="Verdana"/>
          <w:b/>
          <w:bCs/>
          <w:i/>
          <w:iCs/>
          <w:sz w:val="22"/>
          <w:szCs w:val="22"/>
        </w:rPr>
        <w:t xml:space="preserve">“periódica”, </w:t>
      </w:r>
      <w:r w:rsidRPr="000F628D">
        <w:rPr>
          <w:rFonts w:ascii="Verdana" w:hAnsi="Verdana" w:cs="Verdana"/>
          <w:sz w:val="22"/>
          <w:szCs w:val="22"/>
        </w:rPr>
        <w:t xml:space="preserve">y en consecuencia </w:t>
      </w:r>
      <w:r w:rsidRPr="000F628D">
        <w:rPr>
          <w:rFonts w:ascii="Verdana" w:hAnsi="Verdana" w:cs="Verdana"/>
          <w:sz w:val="22"/>
          <w:szCs w:val="22"/>
          <w:lang w:val="es-ES_tradnl"/>
        </w:rPr>
        <w:t xml:space="preserve">surja la posibilidad de que el acto administrativo pueda ser demandado en cualquier tiempo es </w:t>
      </w:r>
      <w:r w:rsidRPr="000F628D">
        <w:rPr>
          <w:rFonts w:ascii="Verdana" w:hAnsi="Verdana" w:cs="Verdana"/>
          <w:b/>
          <w:bCs/>
          <w:sz w:val="22"/>
          <w:szCs w:val="22"/>
          <w:u w:val="single"/>
          <w:lang w:val="es-ES_tradnl"/>
        </w:rPr>
        <w:t>necesario que la periodicidad en la retribución se encuentre vigente</w:t>
      </w:r>
      <w:r w:rsidRPr="000F628D">
        <w:rPr>
          <w:rFonts w:ascii="Verdana" w:hAnsi="Verdana" w:cs="Verdana"/>
          <w:sz w:val="22"/>
          <w:szCs w:val="22"/>
          <w:u w:val="single"/>
          <w:lang w:val="es-ES_tradnl"/>
        </w:rPr>
        <w:t xml:space="preserve">. </w:t>
      </w:r>
    </w:p>
    <w:p w:rsidR="001756A5" w:rsidRPr="000F628D" w:rsidRDefault="001756A5" w:rsidP="001756A5">
      <w:pPr>
        <w:autoSpaceDE w:val="0"/>
        <w:autoSpaceDN w:val="0"/>
        <w:adjustRightInd w:val="0"/>
        <w:spacing w:line="360" w:lineRule="auto"/>
        <w:jc w:val="both"/>
        <w:rPr>
          <w:rFonts w:ascii="Verdana" w:hAnsi="Verdana" w:cs="Verdana"/>
          <w:sz w:val="22"/>
          <w:szCs w:val="22"/>
          <w:lang w:val="es-ES_tradnl"/>
        </w:rPr>
      </w:pPr>
    </w:p>
    <w:p w:rsidR="001756A5" w:rsidRPr="000F628D" w:rsidRDefault="001756A5" w:rsidP="001756A5">
      <w:pPr>
        <w:autoSpaceDE w:val="0"/>
        <w:autoSpaceDN w:val="0"/>
        <w:adjustRightInd w:val="0"/>
        <w:spacing w:line="360" w:lineRule="auto"/>
        <w:jc w:val="both"/>
        <w:rPr>
          <w:rFonts w:ascii="Verdana" w:hAnsi="Verdana" w:cs="Verdana"/>
          <w:sz w:val="22"/>
          <w:szCs w:val="22"/>
          <w:lang w:val="es-ES_tradnl"/>
        </w:rPr>
      </w:pPr>
      <w:r w:rsidRPr="000F628D">
        <w:rPr>
          <w:rFonts w:ascii="Verdana" w:hAnsi="Verdana" w:cs="Verdana"/>
          <w:sz w:val="22"/>
          <w:szCs w:val="22"/>
          <w:lang w:val="es-ES_tradnl"/>
        </w:rPr>
        <w:t>Y es precisamente dicha tesis la que ha sostenido la Corte Constitucional y ha recogido el Consejo de Estado, al advertir:</w:t>
      </w:r>
    </w:p>
    <w:p w:rsidR="001756A5" w:rsidRPr="00275C6F" w:rsidRDefault="001756A5" w:rsidP="001756A5">
      <w:pPr>
        <w:autoSpaceDE w:val="0"/>
        <w:autoSpaceDN w:val="0"/>
        <w:adjustRightInd w:val="0"/>
        <w:spacing w:line="360" w:lineRule="auto"/>
        <w:jc w:val="both"/>
        <w:rPr>
          <w:rFonts w:ascii="Verdana" w:hAnsi="Verdana" w:cs="Verdana"/>
          <w:sz w:val="20"/>
          <w:szCs w:val="20"/>
        </w:rPr>
      </w:pPr>
    </w:p>
    <w:p w:rsidR="001756A5" w:rsidRPr="00262030" w:rsidRDefault="001756A5" w:rsidP="001756A5">
      <w:pPr>
        <w:spacing w:after="120"/>
        <w:ind w:left="567" w:right="283"/>
        <w:jc w:val="both"/>
        <w:rPr>
          <w:rFonts w:ascii="Verdana" w:hAnsi="Verdana" w:cs="Verdana"/>
          <w:i/>
          <w:iCs/>
          <w:sz w:val="20"/>
          <w:szCs w:val="20"/>
          <w:u w:val="single"/>
        </w:rPr>
      </w:pPr>
      <w:r w:rsidRPr="00275C6F">
        <w:rPr>
          <w:rFonts w:ascii="Verdana" w:hAnsi="Verdana" w:cs="Verdana"/>
          <w:b/>
          <w:bCs/>
          <w:i/>
          <w:iCs/>
          <w:sz w:val="20"/>
          <w:szCs w:val="20"/>
        </w:rPr>
        <w:t xml:space="preserve">“Aunado a lo anterior, resulta preciso advertir que los actos que tienen el carácter de “prestación periódica”, son aquellos actos que reconocen emolumentos que habitualmente percibe el beneficiario. En ese sentido los actos que reconocen prestaciones periódicas, comprenden no sólo decisiones que conceden prestaciones sociales, </w:t>
      </w:r>
      <w:r w:rsidRPr="00275C6F">
        <w:rPr>
          <w:rFonts w:ascii="Verdana" w:hAnsi="Verdana" w:cs="Verdana"/>
          <w:b/>
          <w:bCs/>
          <w:i/>
          <w:iCs/>
          <w:sz w:val="20"/>
          <w:szCs w:val="20"/>
          <w:u w:val="single"/>
        </w:rPr>
        <w:t>sino que también envuelve aquellas prestaciones salariales que periódicamente se sufragan</w:t>
      </w:r>
      <w:r w:rsidRPr="00262030">
        <w:rPr>
          <w:rFonts w:ascii="Verdana" w:hAnsi="Verdana" w:cs="Verdana"/>
          <w:b/>
          <w:bCs/>
          <w:i/>
          <w:iCs/>
          <w:sz w:val="20"/>
          <w:szCs w:val="20"/>
          <w:u w:val="single"/>
        </w:rPr>
        <w:t xml:space="preserve"> al beneficiario.</w:t>
      </w:r>
    </w:p>
    <w:p w:rsidR="001756A5" w:rsidRPr="00262030" w:rsidRDefault="001756A5" w:rsidP="001756A5">
      <w:pPr>
        <w:overflowPunct w:val="0"/>
        <w:autoSpaceDE w:val="0"/>
        <w:autoSpaceDN w:val="0"/>
        <w:adjustRightInd w:val="0"/>
        <w:ind w:left="567" w:right="283"/>
        <w:jc w:val="both"/>
        <w:textAlignment w:val="baseline"/>
        <w:rPr>
          <w:rFonts w:ascii="Verdana" w:hAnsi="Verdana" w:cs="Verdana"/>
          <w:b/>
          <w:bCs/>
          <w:i/>
          <w:iCs/>
          <w:sz w:val="20"/>
          <w:szCs w:val="20"/>
        </w:rPr>
      </w:pPr>
    </w:p>
    <w:p w:rsidR="001756A5" w:rsidRPr="00262030" w:rsidRDefault="001756A5" w:rsidP="001756A5">
      <w:pPr>
        <w:overflowPunct w:val="0"/>
        <w:autoSpaceDE w:val="0"/>
        <w:autoSpaceDN w:val="0"/>
        <w:adjustRightInd w:val="0"/>
        <w:ind w:left="567" w:right="283"/>
        <w:jc w:val="both"/>
        <w:textAlignment w:val="baseline"/>
        <w:rPr>
          <w:rFonts w:ascii="Verdana" w:hAnsi="Verdana" w:cs="Verdana"/>
          <w:sz w:val="20"/>
          <w:szCs w:val="20"/>
        </w:rPr>
      </w:pPr>
      <w:r w:rsidRPr="00262030">
        <w:rPr>
          <w:rFonts w:ascii="Verdana" w:hAnsi="Verdana" w:cs="Verdana"/>
          <w:i/>
          <w:iCs/>
          <w:sz w:val="20"/>
          <w:szCs w:val="20"/>
        </w:rPr>
        <w:t xml:space="preserve">Así las cosas, </w:t>
      </w:r>
      <w:r w:rsidRPr="00262030">
        <w:rPr>
          <w:rFonts w:ascii="Verdana" w:hAnsi="Verdana" w:cs="Verdana"/>
          <w:b/>
          <w:bCs/>
          <w:i/>
          <w:iCs/>
          <w:sz w:val="20"/>
          <w:szCs w:val="20"/>
        </w:rPr>
        <w:t>comoquiera que la prima de servicios pretendida por la accionante no constituye una prestación que pudiese haberse percibido de forma habitual,</w:t>
      </w:r>
      <w:r w:rsidRPr="00262030">
        <w:rPr>
          <w:rFonts w:ascii="Verdana" w:hAnsi="Verdana" w:cs="Verdana"/>
          <w:i/>
          <w:iCs/>
          <w:sz w:val="20"/>
          <w:szCs w:val="20"/>
        </w:rPr>
        <w:t xml:space="preserve"> no puede determinarse su valor desde que se causó y hasta la presentación de la demanda, sin pasar de tres (3) años, como lo contempla la norma cuando se refiere a las prestaciones que tienen la connotación de periódicas”</w:t>
      </w:r>
      <w:r w:rsidRPr="00262030">
        <w:rPr>
          <w:rFonts w:ascii="Verdana" w:hAnsi="Verdana" w:cs="Verdana"/>
          <w:i/>
          <w:iCs/>
          <w:sz w:val="20"/>
          <w:szCs w:val="20"/>
          <w:vertAlign w:val="superscript"/>
        </w:rPr>
        <w:footnoteReference w:id="5"/>
      </w:r>
      <w:r w:rsidRPr="00262030">
        <w:rPr>
          <w:rFonts w:ascii="Verdana" w:hAnsi="Verdana" w:cs="Verdana"/>
          <w:sz w:val="20"/>
          <w:szCs w:val="20"/>
        </w:rPr>
        <w:t>. Resalto del Juzgado.</w:t>
      </w:r>
    </w:p>
    <w:p w:rsidR="001756A5" w:rsidRPr="0066603C" w:rsidRDefault="001756A5" w:rsidP="001756A5">
      <w:pPr>
        <w:tabs>
          <w:tab w:val="left" w:pos="1426"/>
        </w:tabs>
        <w:overflowPunct w:val="0"/>
        <w:autoSpaceDE w:val="0"/>
        <w:autoSpaceDN w:val="0"/>
        <w:adjustRightInd w:val="0"/>
        <w:spacing w:line="360" w:lineRule="auto"/>
        <w:jc w:val="both"/>
        <w:textAlignment w:val="baseline"/>
        <w:rPr>
          <w:rFonts w:ascii="Verdana" w:hAnsi="Verdana" w:cs="Verdana"/>
          <w:sz w:val="22"/>
          <w:szCs w:val="22"/>
        </w:rPr>
      </w:pPr>
    </w:p>
    <w:p w:rsidR="001756A5" w:rsidRPr="0066603C" w:rsidRDefault="001756A5" w:rsidP="001756A5">
      <w:pPr>
        <w:tabs>
          <w:tab w:val="left" w:pos="1426"/>
        </w:tabs>
        <w:overflowPunct w:val="0"/>
        <w:autoSpaceDE w:val="0"/>
        <w:autoSpaceDN w:val="0"/>
        <w:adjustRightInd w:val="0"/>
        <w:spacing w:line="360" w:lineRule="auto"/>
        <w:jc w:val="both"/>
        <w:textAlignment w:val="baseline"/>
        <w:rPr>
          <w:rFonts w:ascii="Verdana" w:hAnsi="Verdana" w:cs="Verdana"/>
          <w:i/>
          <w:iCs/>
          <w:sz w:val="22"/>
          <w:szCs w:val="22"/>
        </w:rPr>
      </w:pPr>
      <w:r w:rsidRPr="0066603C">
        <w:rPr>
          <w:rFonts w:ascii="Verdana" w:hAnsi="Verdana" w:cs="Verdana"/>
          <w:sz w:val="22"/>
          <w:szCs w:val="22"/>
        </w:rPr>
        <w:t xml:space="preserve">De otro lado, al hablarse de prestación periódica no basta que la retribución que percibe el trabajador se encuentre vigente, también se ha entendido que la misma debe ser una prestación de término, y ello se desprende del contenido del artículo 157 del Código de procedimiento Administrativo y de lo Contencioso Administrativo, al decir: </w:t>
      </w:r>
      <w:r w:rsidRPr="0066603C">
        <w:rPr>
          <w:rFonts w:ascii="Verdana" w:hAnsi="Verdana" w:cs="Verdana"/>
          <w:i/>
          <w:iCs/>
          <w:sz w:val="22"/>
          <w:szCs w:val="22"/>
        </w:rPr>
        <w:t xml:space="preserve">“Cuando se reclame el pago de prestaciones </w:t>
      </w:r>
      <w:r w:rsidRPr="0066603C">
        <w:rPr>
          <w:rFonts w:ascii="Verdana" w:hAnsi="Verdana" w:cs="Verdana"/>
          <w:b/>
          <w:bCs/>
          <w:i/>
          <w:iCs/>
          <w:sz w:val="22"/>
          <w:szCs w:val="22"/>
        </w:rPr>
        <w:t>periódicas de término indefinido</w:t>
      </w:r>
      <w:r w:rsidRPr="0066603C">
        <w:rPr>
          <w:rFonts w:ascii="Verdana" w:hAnsi="Verdana" w:cs="Verdana"/>
          <w:i/>
          <w:iCs/>
          <w:sz w:val="22"/>
          <w:szCs w:val="22"/>
        </w:rPr>
        <w:t xml:space="preserve">, como pensiones la cuantía se determinara por el valor de lo que se pretenda por tal concepto desde cuando se causaron y hasta la presentación de la demanda, sin pasar de tres (3) años.” </w:t>
      </w:r>
    </w:p>
    <w:p w:rsidR="001756A5" w:rsidRPr="0066603C" w:rsidRDefault="001756A5" w:rsidP="001756A5">
      <w:pPr>
        <w:tabs>
          <w:tab w:val="left" w:pos="1426"/>
        </w:tabs>
        <w:overflowPunct w:val="0"/>
        <w:autoSpaceDE w:val="0"/>
        <w:autoSpaceDN w:val="0"/>
        <w:adjustRightInd w:val="0"/>
        <w:spacing w:line="360" w:lineRule="auto"/>
        <w:jc w:val="both"/>
        <w:textAlignment w:val="baseline"/>
        <w:rPr>
          <w:rFonts w:ascii="Verdana" w:hAnsi="Verdana" w:cs="Verdana"/>
          <w:sz w:val="22"/>
          <w:szCs w:val="22"/>
          <w:lang w:val="es-ES_tradnl"/>
        </w:rPr>
      </w:pPr>
    </w:p>
    <w:p w:rsidR="001756A5" w:rsidRPr="0066603C" w:rsidRDefault="001756A5" w:rsidP="001756A5">
      <w:pPr>
        <w:tabs>
          <w:tab w:val="left" w:pos="1426"/>
        </w:tabs>
        <w:overflowPunct w:val="0"/>
        <w:autoSpaceDE w:val="0"/>
        <w:autoSpaceDN w:val="0"/>
        <w:adjustRightInd w:val="0"/>
        <w:spacing w:line="360" w:lineRule="auto"/>
        <w:jc w:val="both"/>
        <w:textAlignment w:val="baseline"/>
        <w:rPr>
          <w:rFonts w:ascii="Verdana" w:hAnsi="Verdana" w:cs="Verdana"/>
          <w:i/>
          <w:iCs/>
          <w:sz w:val="22"/>
          <w:szCs w:val="22"/>
        </w:rPr>
      </w:pPr>
      <w:r w:rsidRPr="0066603C">
        <w:rPr>
          <w:rFonts w:ascii="Verdana" w:hAnsi="Verdana" w:cs="Verdana"/>
          <w:sz w:val="22"/>
          <w:szCs w:val="22"/>
          <w:lang w:val="es-ES_tradnl"/>
        </w:rPr>
        <w:t>Al respecto el Consejo de Estado, en pronunciamiento del 15 de septiembre de 2011, precisó el concepto de prestación periódica, y cuando los actos pueden demandarse en cualquier tiempo, indicando que lo que da a entender las normas que consagran dichas prerrogativas “</w:t>
      </w:r>
      <w:r w:rsidRPr="0066603C">
        <w:rPr>
          <w:rFonts w:ascii="Verdana" w:hAnsi="Verdana" w:cs="Verdana"/>
          <w:i/>
          <w:iCs/>
          <w:sz w:val="22"/>
          <w:szCs w:val="22"/>
          <w:u w:val="single"/>
        </w:rPr>
        <w:t xml:space="preserve">es que tratándose de derechos que existen durante la vida del titular y después respecto de los beneficiarios llamados a sustituirse también en forma vitalicia (cónyuge, compañera o hijo inválidos), es lógico, justificable y razonable que </w:t>
      </w:r>
      <w:r w:rsidRPr="0066603C">
        <w:rPr>
          <w:rFonts w:ascii="Verdana" w:hAnsi="Verdana" w:cs="Verdana"/>
          <w:b/>
          <w:bCs/>
          <w:i/>
          <w:iCs/>
          <w:sz w:val="22"/>
          <w:szCs w:val="22"/>
          <w:u w:val="single"/>
        </w:rPr>
        <w:t>en cualquier tiempo</w:t>
      </w:r>
      <w:r w:rsidRPr="0066603C">
        <w:rPr>
          <w:rFonts w:ascii="Verdana" w:hAnsi="Verdana" w:cs="Verdana"/>
          <w:i/>
          <w:iCs/>
          <w:sz w:val="22"/>
          <w:szCs w:val="22"/>
          <w:u w:val="single"/>
        </w:rPr>
        <w:t xml:space="preserve"> puedan discutirse tales prestaciones, para diferenciarlas de los demás derechos laborales que no son vitalicios y por consiguiente  la definición de las controversias sobre los mismos, debe hacerse en los términos de la caducidad establecida para ellos, vale decir, a meses.”</w:t>
      </w:r>
    </w:p>
    <w:p w:rsidR="001756A5" w:rsidRPr="0066603C" w:rsidRDefault="001756A5" w:rsidP="001756A5">
      <w:pPr>
        <w:tabs>
          <w:tab w:val="num" w:pos="720"/>
        </w:tabs>
        <w:spacing w:line="360" w:lineRule="auto"/>
        <w:jc w:val="both"/>
        <w:rPr>
          <w:rFonts w:ascii="Verdana" w:hAnsi="Verdana" w:cs="Verdana"/>
          <w:b/>
          <w:bCs/>
          <w:i/>
          <w:iCs/>
          <w:sz w:val="22"/>
          <w:szCs w:val="22"/>
        </w:rPr>
      </w:pPr>
    </w:p>
    <w:p w:rsidR="001756A5" w:rsidRPr="0066603C" w:rsidRDefault="001756A5" w:rsidP="001756A5">
      <w:pPr>
        <w:overflowPunct w:val="0"/>
        <w:autoSpaceDE w:val="0"/>
        <w:autoSpaceDN w:val="0"/>
        <w:adjustRightInd w:val="0"/>
        <w:spacing w:line="360" w:lineRule="auto"/>
        <w:jc w:val="both"/>
        <w:textAlignment w:val="baseline"/>
        <w:rPr>
          <w:rFonts w:ascii="Verdana" w:hAnsi="Verdana" w:cs="Verdana"/>
          <w:sz w:val="22"/>
          <w:szCs w:val="22"/>
          <w:lang w:val="es-ES_tradnl"/>
        </w:rPr>
      </w:pPr>
      <w:r w:rsidRPr="0066603C">
        <w:rPr>
          <w:rFonts w:ascii="Verdana" w:hAnsi="Verdana" w:cs="Verdana"/>
          <w:sz w:val="22"/>
          <w:szCs w:val="22"/>
          <w:lang w:val="es-ES_tradnl"/>
        </w:rPr>
        <w:t>Descendiendo al caso concreto, advierte el Juzgado que la parte actora pretende, p</w:t>
      </w:r>
      <w:r>
        <w:rPr>
          <w:rFonts w:ascii="Verdana" w:hAnsi="Verdana" w:cs="Verdana"/>
          <w:sz w:val="22"/>
          <w:szCs w:val="22"/>
          <w:lang w:val="es-ES_tradnl"/>
        </w:rPr>
        <w:t xml:space="preserve">revia declaración de nulidad del oficio No. </w:t>
      </w:r>
      <w:r>
        <w:rPr>
          <w:rFonts w:ascii="Verdana" w:hAnsi="Verdana" w:cs="Verdana"/>
          <w:iCs/>
          <w:noProof/>
          <w:sz w:val="22"/>
          <w:szCs w:val="22"/>
        </w:rPr>
        <w:t>R</w:t>
      </w:r>
      <w:r w:rsidRPr="001756A5">
        <w:rPr>
          <w:rFonts w:ascii="Verdana" w:hAnsi="Verdana" w:cs="Verdana"/>
          <w:iCs/>
          <w:noProof/>
          <w:sz w:val="22"/>
          <w:szCs w:val="22"/>
        </w:rPr>
        <w:t>201300225995 del 18 de septiembre de 2013</w:t>
      </w:r>
      <w:r w:rsidRPr="00E82954">
        <w:rPr>
          <w:rFonts w:ascii="Verdana" w:hAnsi="Verdana" w:cs="Verdana"/>
          <w:sz w:val="22"/>
          <w:szCs w:val="22"/>
          <w:lang w:val="es-ES_tradnl"/>
        </w:rPr>
        <w:t>, se reconozca y pague una prima de Servicios</w:t>
      </w:r>
      <w:r w:rsidRPr="0066603C">
        <w:rPr>
          <w:rFonts w:ascii="Verdana" w:hAnsi="Verdana" w:cs="Verdana"/>
          <w:sz w:val="22"/>
          <w:szCs w:val="22"/>
          <w:lang w:val="es-ES_tradnl"/>
        </w:rPr>
        <w:t xml:space="preserve">, establecida en el artículo 58 y siguientes del Decreto 1042 de 1978, artículo 15 de la ley 91 de 1989, Ley 60 de 1993 y Ley 115 de 1994. </w:t>
      </w:r>
    </w:p>
    <w:p w:rsidR="001756A5" w:rsidRDefault="001756A5" w:rsidP="001756A5">
      <w:pPr>
        <w:overflowPunct w:val="0"/>
        <w:autoSpaceDE w:val="0"/>
        <w:autoSpaceDN w:val="0"/>
        <w:adjustRightInd w:val="0"/>
        <w:spacing w:line="360" w:lineRule="auto"/>
        <w:jc w:val="both"/>
        <w:textAlignment w:val="baseline"/>
        <w:rPr>
          <w:rFonts w:ascii="Verdana" w:hAnsi="Verdana" w:cs="Verdana"/>
          <w:lang w:val="es-ES_tradnl"/>
        </w:rPr>
      </w:pPr>
    </w:p>
    <w:p w:rsidR="001756A5" w:rsidRPr="0066603C" w:rsidRDefault="001756A5" w:rsidP="001756A5">
      <w:pPr>
        <w:autoSpaceDE w:val="0"/>
        <w:autoSpaceDN w:val="0"/>
        <w:adjustRightInd w:val="0"/>
        <w:spacing w:line="360" w:lineRule="auto"/>
        <w:jc w:val="both"/>
        <w:rPr>
          <w:rFonts w:ascii="Verdana" w:hAnsi="Verdana" w:cs="Verdana"/>
          <w:sz w:val="22"/>
          <w:szCs w:val="22"/>
          <w:lang w:val="es-ES_tradnl"/>
        </w:rPr>
      </w:pPr>
      <w:r>
        <w:rPr>
          <w:rFonts w:ascii="Verdana" w:hAnsi="Verdana" w:cs="Verdana"/>
          <w:sz w:val="22"/>
          <w:szCs w:val="22"/>
          <w:lang w:val="es-ES_tradnl"/>
        </w:rPr>
        <w:t>Ahora</w:t>
      </w:r>
      <w:r w:rsidRPr="0066603C">
        <w:rPr>
          <w:rFonts w:ascii="Verdana" w:hAnsi="Verdana" w:cs="Verdana"/>
          <w:sz w:val="22"/>
          <w:szCs w:val="22"/>
          <w:lang w:val="es-ES_tradnl"/>
        </w:rPr>
        <w:t>, de acuerdo con lo afirmado por la parte demandante en el escrito de demanda</w:t>
      </w:r>
      <w:r>
        <w:rPr>
          <w:rFonts w:ascii="Verdana" w:hAnsi="Verdana" w:cs="Verdana"/>
          <w:sz w:val="22"/>
          <w:szCs w:val="22"/>
          <w:lang w:val="es-ES_tradnl"/>
        </w:rPr>
        <w:t>,</w:t>
      </w:r>
      <w:r w:rsidRPr="0066603C">
        <w:rPr>
          <w:rFonts w:ascii="Verdana" w:hAnsi="Verdana" w:cs="Verdana"/>
          <w:sz w:val="22"/>
          <w:szCs w:val="22"/>
          <w:lang w:val="es-ES_tradnl"/>
        </w:rPr>
        <w:t xml:space="preserve"> dicha prima nunca ha sido percibida por </w:t>
      </w:r>
      <w:r>
        <w:rPr>
          <w:rFonts w:ascii="Verdana" w:hAnsi="Verdana" w:cs="Verdana"/>
          <w:sz w:val="22"/>
          <w:szCs w:val="22"/>
          <w:lang w:val="es-ES_tradnl"/>
        </w:rPr>
        <w:t xml:space="preserve">el </w:t>
      </w:r>
      <w:r>
        <w:rPr>
          <w:rFonts w:ascii="Verdana" w:hAnsi="Verdana" w:cs="Verdana"/>
          <w:sz w:val="22"/>
          <w:szCs w:val="22"/>
        </w:rPr>
        <w:t xml:space="preserve">señor </w:t>
      </w:r>
      <w:r>
        <w:rPr>
          <w:rFonts w:ascii="Verdana" w:hAnsi="Verdana" w:cs="Verdana"/>
          <w:b/>
          <w:bCs/>
        </w:rPr>
        <w:t>OSWALDO DE JESÚS PINO USMA</w:t>
      </w:r>
      <w:r>
        <w:rPr>
          <w:rFonts w:ascii="Verdana" w:hAnsi="Verdana" w:cs="Verdana"/>
          <w:sz w:val="22"/>
          <w:szCs w:val="22"/>
          <w:lang w:val="es-ES_tradnl"/>
        </w:rPr>
        <w:t>; por tanto, atendiendo a la jurisprudencia citada</w:t>
      </w:r>
      <w:r w:rsidRPr="0066603C">
        <w:rPr>
          <w:rFonts w:ascii="Verdana" w:hAnsi="Verdana" w:cs="Verdana"/>
          <w:sz w:val="22"/>
          <w:szCs w:val="22"/>
          <w:lang w:val="es-ES_tradnl"/>
        </w:rPr>
        <w:t>, es dable concluir que la retribución que se solicita en ningún momento estuvo vigente y en consecuencia no puede hablarse de una prestación periódica en el sentido amplio, y menos una de carácter indefinido.</w:t>
      </w:r>
    </w:p>
    <w:p w:rsidR="001756A5" w:rsidRPr="0066603C" w:rsidRDefault="001756A5" w:rsidP="001756A5">
      <w:pPr>
        <w:tabs>
          <w:tab w:val="left" w:pos="1426"/>
        </w:tabs>
        <w:overflowPunct w:val="0"/>
        <w:autoSpaceDE w:val="0"/>
        <w:autoSpaceDN w:val="0"/>
        <w:adjustRightInd w:val="0"/>
        <w:spacing w:line="360" w:lineRule="auto"/>
        <w:jc w:val="both"/>
        <w:textAlignment w:val="baseline"/>
        <w:rPr>
          <w:rFonts w:ascii="Verdana" w:hAnsi="Verdana" w:cs="Verdana"/>
          <w:sz w:val="22"/>
          <w:szCs w:val="22"/>
        </w:rPr>
      </w:pPr>
    </w:p>
    <w:p w:rsidR="001756A5" w:rsidRPr="0066603C" w:rsidRDefault="001756A5" w:rsidP="001756A5">
      <w:pPr>
        <w:tabs>
          <w:tab w:val="left" w:pos="1426"/>
        </w:tabs>
        <w:overflowPunct w:val="0"/>
        <w:autoSpaceDE w:val="0"/>
        <w:autoSpaceDN w:val="0"/>
        <w:adjustRightInd w:val="0"/>
        <w:spacing w:line="360" w:lineRule="auto"/>
        <w:jc w:val="both"/>
        <w:textAlignment w:val="baseline"/>
        <w:rPr>
          <w:rFonts w:ascii="Verdana" w:hAnsi="Verdana" w:cs="Verdana"/>
          <w:sz w:val="22"/>
          <w:szCs w:val="22"/>
          <w:lang w:val="es-ES_tradnl"/>
        </w:rPr>
      </w:pPr>
      <w:r w:rsidRPr="0066603C">
        <w:rPr>
          <w:rFonts w:ascii="Verdana" w:hAnsi="Verdana" w:cs="Verdana"/>
          <w:sz w:val="22"/>
          <w:szCs w:val="22"/>
          <w:lang w:val="es-ES_tradnl"/>
        </w:rPr>
        <w:t>Lo dicho conduce a concluir que la</w:t>
      </w:r>
      <w:r>
        <w:rPr>
          <w:rFonts w:ascii="Verdana" w:hAnsi="Verdana" w:cs="Verdana"/>
          <w:sz w:val="22"/>
          <w:szCs w:val="22"/>
          <w:lang w:val="es-ES_tradnl"/>
        </w:rPr>
        <w:t xml:space="preserve"> prima de servicios solicitada </w:t>
      </w:r>
      <w:r w:rsidRPr="0066603C">
        <w:rPr>
          <w:rFonts w:ascii="Verdana" w:hAnsi="Verdana" w:cs="Verdana"/>
          <w:sz w:val="22"/>
          <w:szCs w:val="22"/>
          <w:lang w:val="es-ES_tradnl"/>
        </w:rPr>
        <w:t xml:space="preserve">por la parte actora no ostenta la naturaleza de ser una prestación periódica y por tanto el acto administrativo que la reconozca o niegue total o parcialmente no encuadra dentro de la hipótesis planteada en el literal C) numeral 1 del artículo 164 de la Ley 1437 de 2011. Ello significa que no está exceptuada de la caducidad. </w:t>
      </w:r>
    </w:p>
    <w:p w:rsidR="001756A5" w:rsidRPr="0066603C" w:rsidRDefault="001756A5" w:rsidP="001756A5">
      <w:pPr>
        <w:tabs>
          <w:tab w:val="left" w:pos="1426"/>
        </w:tabs>
        <w:overflowPunct w:val="0"/>
        <w:autoSpaceDE w:val="0"/>
        <w:autoSpaceDN w:val="0"/>
        <w:adjustRightInd w:val="0"/>
        <w:spacing w:line="360" w:lineRule="auto"/>
        <w:jc w:val="both"/>
        <w:textAlignment w:val="baseline"/>
        <w:rPr>
          <w:rFonts w:ascii="Verdana" w:hAnsi="Verdana" w:cs="Verdana"/>
          <w:sz w:val="22"/>
          <w:szCs w:val="22"/>
          <w:lang w:val="es-ES_tradnl"/>
        </w:rPr>
      </w:pPr>
    </w:p>
    <w:p w:rsidR="001756A5" w:rsidRDefault="001756A5" w:rsidP="001756A5">
      <w:pPr>
        <w:tabs>
          <w:tab w:val="left" w:pos="1426"/>
        </w:tabs>
        <w:overflowPunct w:val="0"/>
        <w:autoSpaceDE w:val="0"/>
        <w:autoSpaceDN w:val="0"/>
        <w:adjustRightInd w:val="0"/>
        <w:spacing w:line="360" w:lineRule="auto"/>
        <w:jc w:val="both"/>
        <w:textAlignment w:val="baseline"/>
        <w:rPr>
          <w:rFonts w:ascii="Verdana" w:hAnsi="Verdana" w:cs="Verdana"/>
          <w:sz w:val="22"/>
          <w:szCs w:val="22"/>
          <w:lang w:val="es-ES_tradnl"/>
        </w:rPr>
      </w:pPr>
      <w:r w:rsidRPr="0066603C">
        <w:rPr>
          <w:rFonts w:ascii="Verdana" w:hAnsi="Verdana" w:cs="Verdana"/>
          <w:sz w:val="22"/>
          <w:szCs w:val="22"/>
          <w:lang w:val="es-ES_tradnl"/>
        </w:rPr>
        <w:t xml:space="preserve">En ese orden de ideas deberá analizarse la caducidad a partir de lo prescrito en el literal d) del numeral 2 del artículo 164 de la Ley 1437 de 2011, norma que prevé que la demanda se deberá presentar dentro del término de </w:t>
      </w:r>
      <w:r w:rsidRPr="0066603C">
        <w:rPr>
          <w:rFonts w:ascii="Verdana" w:hAnsi="Verdana" w:cs="Verdana"/>
          <w:b/>
          <w:bCs/>
          <w:sz w:val="22"/>
          <w:szCs w:val="22"/>
          <w:lang w:val="es-ES_tradnl"/>
        </w:rPr>
        <w:t>cuatro (4) meses</w:t>
      </w:r>
      <w:r w:rsidRPr="0066603C">
        <w:rPr>
          <w:rFonts w:ascii="Verdana" w:hAnsi="Verdana" w:cs="Verdana"/>
          <w:sz w:val="22"/>
          <w:szCs w:val="22"/>
          <w:lang w:val="es-ES_tradnl"/>
        </w:rPr>
        <w:t xml:space="preserve"> contados a partir del día siguiente a la comunicación, notificación, ejecución o publicación del acto administrativo. </w:t>
      </w:r>
    </w:p>
    <w:p w:rsidR="001756A5" w:rsidRPr="0066603C" w:rsidRDefault="001756A5" w:rsidP="001756A5">
      <w:pPr>
        <w:tabs>
          <w:tab w:val="left" w:pos="1426"/>
        </w:tabs>
        <w:overflowPunct w:val="0"/>
        <w:autoSpaceDE w:val="0"/>
        <w:autoSpaceDN w:val="0"/>
        <w:adjustRightInd w:val="0"/>
        <w:spacing w:line="360" w:lineRule="auto"/>
        <w:jc w:val="both"/>
        <w:textAlignment w:val="baseline"/>
        <w:rPr>
          <w:rFonts w:ascii="Verdana" w:hAnsi="Verdana" w:cs="Verdana"/>
          <w:sz w:val="22"/>
          <w:szCs w:val="22"/>
          <w:lang w:val="es-ES_tradnl"/>
        </w:rPr>
      </w:pPr>
    </w:p>
    <w:p w:rsidR="001756A5" w:rsidRDefault="001756A5" w:rsidP="001756A5">
      <w:pPr>
        <w:tabs>
          <w:tab w:val="left" w:pos="1426"/>
        </w:tabs>
        <w:overflowPunct w:val="0"/>
        <w:autoSpaceDE w:val="0"/>
        <w:autoSpaceDN w:val="0"/>
        <w:adjustRightInd w:val="0"/>
        <w:spacing w:line="360" w:lineRule="auto"/>
        <w:jc w:val="both"/>
        <w:textAlignment w:val="baseline"/>
        <w:rPr>
          <w:rFonts w:ascii="Verdana" w:hAnsi="Verdana" w:cs="Verdana"/>
          <w:sz w:val="22"/>
          <w:szCs w:val="22"/>
        </w:rPr>
      </w:pPr>
      <w:r w:rsidRPr="0066603C">
        <w:rPr>
          <w:rFonts w:ascii="Verdana" w:hAnsi="Verdana" w:cs="Verdana"/>
          <w:sz w:val="22"/>
          <w:szCs w:val="22"/>
          <w:lang w:val="es-ES_tradnl"/>
        </w:rPr>
        <w:t>Pues bien,</w:t>
      </w:r>
      <w:r w:rsidRPr="0066603C">
        <w:rPr>
          <w:rFonts w:ascii="Verdana" w:hAnsi="Verdana" w:cs="Verdana"/>
          <w:sz w:val="22"/>
          <w:szCs w:val="22"/>
        </w:rPr>
        <w:t xml:space="preserve"> observa el Despacho que el acto administrativo demandado fue proferido por la entidad el </w:t>
      </w:r>
      <w:r>
        <w:rPr>
          <w:rFonts w:ascii="Verdana" w:hAnsi="Verdana" w:cs="Verdana"/>
          <w:sz w:val="22"/>
          <w:szCs w:val="22"/>
        </w:rPr>
        <w:t xml:space="preserve">día </w:t>
      </w:r>
      <w:r>
        <w:rPr>
          <w:rFonts w:ascii="Verdana" w:hAnsi="Verdana" w:cs="Verdana"/>
          <w:color w:val="0000FF"/>
          <w:sz w:val="22"/>
          <w:szCs w:val="22"/>
        </w:rPr>
        <w:t>18 de septiembre de 2013</w:t>
      </w:r>
      <w:r w:rsidRPr="0066603C">
        <w:rPr>
          <w:rFonts w:ascii="Verdana" w:hAnsi="Verdana" w:cs="Verdana"/>
          <w:sz w:val="22"/>
          <w:szCs w:val="22"/>
        </w:rPr>
        <w:t xml:space="preserve">, de acuerdo con los folios </w:t>
      </w:r>
      <w:r>
        <w:rPr>
          <w:rFonts w:ascii="Verdana" w:hAnsi="Verdana" w:cs="Verdana"/>
          <w:sz w:val="22"/>
          <w:szCs w:val="22"/>
        </w:rPr>
        <w:t>26 y 27</w:t>
      </w:r>
      <w:r w:rsidRPr="0066603C">
        <w:rPr>
          <w:rFonts w:ascii="Verdana" w:hAnsi="Verdana" w:cs="Verdana"/>
          <w:sz w:val="22"/>
          <w:szCs w:val="22"/>
        </w:rPr>
        <w:t xml:space="preserve">; sin embargo, de acuerdo con lo manifestado por la parte actora, el mismo no fue notificado personalmente </w:t>
      </w:r>
      <w:r>
        <w:rPr>
          <w:rFonts w:ascii="Verdana" w:hAnsi="Verdana" w:cs="Verdana"/>
          <w:sz w:val="22"/>
          <w:szCs w:val="22"/>
        </w:rPr>
        <w:t xml:space="preserve">a la parte </w:t>
      </w:r>
      <w:r w:rsidRPr="0066603C">
        <w:rPr>
          <w:rFonts w:ascii="Verdana" w:hAnsi="Verdana" w:cs="Verdana"/>
          <w:sz w:val="22"/>
          <w:szCs w:val="22"/>
        </w:rPr>
        <w:t xml:space="preserve">demandante, de allí que no cuente con la constancia de su notificación. </w:t>
      </w:r>
    </w:p>
    <w:p w:rsidR="001756A5" w:rsidRPr="0066603C" w:rsidRDefault="001756A5" w:rsidP="001756A5">
      <w:pPr>
        <w:tabs>
          <w:tab w:val="left" w:pos="1426"/>
        </w:tabs>
        <w:overflowPunct w:val="0"/>
        <w:autoSpaceDE w:val="0"/>
        <w:autoSpaceDN w:val="0"/>
        <w:adjustRightInd w:val="0"/>
        <w:spacing w:line="360" w:lineRule="auto"/>
        <w:jc w:val="both"/>
        <w:textAlignment w:val="baseline"/>
        <w:rPr>
          <w:rFonts w:ascii="Verdana" w:hAnsi="Verdana" w:cs="Verdana"/>
          <w:sz w:val="22"/>
          <w:szCs w:val="22"/>
        </w:rPr>
      </w:pPr>
    </w:p>
    <w:p w:rsidR="001756A5" w:rsidRPr="0066603C" w:rsidRDefault="001756A5" w:rsidP="001756A5">
      <w:pPr>
        <w:spacing w:line="360" w:lineRule="auto"/>
        <w:jc w:val="both"/>
        <w:rPr>
          <w:rFonts w:ascii="Verdana" w:hAnsi="Verdana" w:cs="Verdana"/>
          <w:sz w:val="22"/>
          <w:szCs w:val="22"/>
        </w:rPr>
      </w:pPr>
      <w:r w:rsidRPr="0066603C">
        <w:rPr>
          <w:rFonts w:ascii="Verdana" w:hAnsi="Verdana" w:cs="Verdana"/>
          <w:sz w:val="22"/>
          <w:szCs w:val="22"/>
          <w:lang w:val="es-MX"/>
        </w:rPr>
        <w:t xml:space="preserve">Bajo estas condiciones, y teniendo en cuenta que el </w:t>
      </w:r>
      <w:r w:rsidRPr="0066603C">
        <w:rPr>
          <w:rFonts w:ascii="Verdana" w:hAnsi="Verdana" w:cs="Verdana"/>
          <w:sz w:val="22"/>
          <w:szCs w:val="22"/>
        </w:rPr>
        <w:t>acto administrativo de carácter subjetivo no fue notificado conforme el artículo 67 de la Ley 1437 de 2011</w:t>
      </w:r>
      <w:r>
        <w:rPr>
          <w:rStyle w:val="Refdenotaalpie"/>
          <w:rFonts w:ascii="Verdana" w:hAnsi="Verdana" w:cs="Verdana"/>
          <w:sz w:val="22"/>
          <w:szCs w:val="22"/>
        </w:rPr>
        <w:footnoteReference w:id="6"/>
      </w:r>
      <w:r w:rsidRPr="0066603C">
        <w:rPr>
          <w:rFonts w:ascii="Verdana" w:hAnsi="Verdana" w:cs="Verdana"/>
          <w:sz w:val="22"/>
          <w:szCs w:val="22"/>
        </w:rPr>
        <w:t>, pues no obra en el expediente constancia que acredite dicha notificación, deberá verificar el Despacho la fecha a partir de la cual deberá computarse el término de caducidad.</w:t>
      </w:r>
    </w:p>
    <w:p w:rsidR="001756A5" w:rsidRPr="0066603C" w:rsidRDefault="001756A5" w:rsidP="001756A5">
      <w:pPr>
        <w:spacing w:line="360" w:lineRule="auto"/>
        <w:jc w:val="both"/>
        <w:rPr>
          <w:rFonts w:ascii="Verdana" w:hAnsi="Verdana" w:cs="Verdana"/>
          <w:sz w:val="22"/>
          <w:szCs w:val="22"/>
        </w:rPr>
      </w:pPr>
    </w:p>
    <w:p w:rsidR="001756A5" w:rsidRPr="0066603C" w:rsidRDefault="001756A5" w:rsidP="001756A5">
      <w:pPr>
        <w:spacing w:line="360" w:lineRule="auto"/>
        <w:jc w:val="both"/>
        <w:rPr>
          <w:rFonts w:ascii="Verdana" w:hAnsi="Verdana" w:cs="Verdana"/>
          <w:sz w:val="22"/>
          <w:szCs w:val="22"/>
        </w:rPr>
      </w:pPr>
      <w:r w:rsidRPr="0066603C">
        <w:rPr>
          <w:rFonts w:ascii="Verdana" w:hAnsi="Verdana" w:cs="Verdana"/>
          <w:sz w:val="22"/>
          <w:szCs w:val="22"/>
        </w:rPr>
        <w:t xml:space="preserve">Ahora, revisadas las pruebas allegadas al plenario encuentra el Despacho que la parte demandante elevó solicitud de conciliación prejudicial ante la </w:t>
      </w:r>
      <w:r>
        <w:rPr>
          <w:rFonts w:ascii="Verdana" w:hAnsi="Verdana" w:cs="Verdana"/>
          <w:color w:val="0000FF"/>
          <w:sz w:val="22"/>
          <w:szCs w:val="22"/>
        </w:rPr>
        <w:t>Procuraduría 169</w:t>
      </w:r>
      <w:r>
        <w:rPr>
          <w:rFonts w:ascii="Verdana" w:hAnsi="Verdana" w:cs="Verdana"/>
          <w:color w:val="0000FF"/>
          <w:sz w:val="22"/>
          <w:szCs w:val="22"/>
        </w:rPr>
        <w:t xml:space="preserve"> Judicial I para Asuntos Administrativos </w:t>
      </w:r>
      <w:r w:rsidRPr="0066603C">
        <w:rPr>
          <w:rFonts w:ascii="Verdana" w:hAnsi="Verdana" w:cs="Verdana"/>
          <w:sz w:val="22"/>
          <w:szCs w:val="22"/>
        </w:rPr>
        <w:t xml:space="preserve">el día </w:t>
      </w:r>
      <w:r>
        <w:rPr>
          <w:rFonts w:ascii="Verdana" w:hAnsi="Verdana" w:cs="Verdana"/>
          <w:color w:val="0000FF"/>
          <w:sz w:val="22"/>
          <w:szCs w:val="22"/>
        </w:rPr>
        <w:t xml:space="preserve">29 </w:t>
      </w:r>
      <w:r>
        <w:rPr>
          <w:rFonts w:ascii="Verdana" w:hAnsi="Verdana" w:cs="Verdana"/>
          <w:color w:val="0000FF"/>
          <w:sz w:val="22"/>
          <w:szCs w:val="22"/>
        </w:rPr>
        <w:t xml:space="preserve">de </w:t>
      </w:r>
      <w:r>
        <w:rPr>
          <w:rFonts w:ascii="Verdana" w:hAnsi="Verdana" w:cs="Verdana"/>
          <w:color w:val="0000FF"/>
          <w:sz w:val="22"/>
          <w:szCs w:val="22"/>
        </w:rPr>
        <w:t xml:space="preserve">noviembre </w:t>
      </w:r>
      <w:r>
        <w:rPr>
          <w:rFonts w:ascii="Verdana" w:hAnsi="Verdana" w:cs="Verdana"/>
          <w:color w:val="0000FF"/>
          <w:sz w:val="22"/>
          <w:szCs w:val="22"/>
        </w:rPr>
        <w:t>de 2013</w:t>
      </w:r>
      <w:r w:rsidRPr="0066603C">
        <w:rPr>
          <w:rFonts w:ascii="Verdana" w:hAnsi="Verdana" w:cs="Verdana"/>
          <w:sz w:val="22"/>
          <w:szCs w:val="22"/>
        </w:rPr>
        <w:t xml:space="preserve">, pretendiendo el pago de la prima de servicio a la que nos contrae la presente demanda. </w:t>
      </w:r>
    </w:p>
    <w:p w:rsidR="001756A5" w:rsidRPr="0066603C" w:rsidRDefault="001756A5" w:rsidP="001756A5">
      <w:pPr>
        <w:spacing w:line="360" w:lineRule="auto"/>
        <w:jc w:val="both"/>
        <w:rPr>
          <w:rFonts w:ascii="Verdana" w:hAnsi="Verdana" w:cs="Verdana"/>
          <w:sz w:val="22"/>
          <w:szCs w:val="22"/>
        </w:rPr>
      </w:pPr>
    </w:p>
    <w:p w:rsidR="001756A5" w:rsidRPr="0066603C" w:rsidRDefault="001756A5" w:rsidP="001756A5">
      <w:pPr>
        <w:spacing w:line="360" w:lineRule="auto"/>
        <w:jc w:val="both"/>
        <w:rPr>
          <w:rFonts w:ascii="Verdana" w:hAnsi="Verdana" w:cs="Verdana"/>
          <w:sz w:val="22"/>
          <w:szCs w:val="22"/>
        </w:rPr>
      </w:pPr>
      <w:r w:rsidRPr="0066603C">
        <w:rPr>
          <w:rFonts w:ascii="Verdana" w:hAnsi="Verdana" w:cs="Verdana"/>
          <w:sz w:val="22"/>
          <w:szCs w:val="22"/>
        </w:rPr>
        <w:t xml:space="preserve">Por tanto entonces, atendiendo al contenido del artículo 72 de la Ley 1437 de 2011, que regula la notificación por conducta concluyente de los actos administrativos, es claro que para ese </w:t>
      </w:r>
      <w:r>
        <w:rPr>
          <w:rFonts w:ascii="Verdana" w:hAnsi="Verdana" w:cs="Verdana"/>
          <w:color w:val="0000FF"/>
          <w:sz w:val="22"/>
          <w:szCs w:val="22"/>
        </w:rPr>
        <w:t xml:space="preserve">29 </w:t>
      </w:r>
      <w:r>
        <w:rPr>
          <w:rFonts w:ascii="Verdana" w:hAnsi="Verdana" w:cs="Verdana"/>
          <w:color w:val="0000FF"/>
          <w:sz w:val="22"/>
          <w:szCs w:val="22"/>
        </w:rPr>
        <w:t xml:space="preserve">de </w:t>
      </w:r>
      <w:r>
        <w:rPr>
          <w:rFonts w:ascii="Verdana" w:hAnsi="Verdana" w:cs="Verdana"/>
          <w:color w:val="0000FF"/>
          <w:sz w:val="22"/>
          <w:szCs w:val="22"/>
        </w:rPr>
        <w:t xml:space="preserve">noviembre </w:t>
      </w:r>
      <w:r>
        <w:rPr>
          <w:rFonts w:ascii="Verdana" w:hAnsi="Verdana" w:cs="Verdana"/>
          <w:color w:val="0000FF"/>
          <w:sz w:val="22"/>
          <w:szCs w:val="22"/>
        </w:rPr>
        <w:t>de 2013</w:t>
      </w:r>
      <w:r w:rsidRPr="0066603C">
        <w:rPr>
          <w:rFonts w:ascii="Verdana" w:hAnsi="Verdana" w:cs="Verdana"/>
          <w:sz w:val="22"/>
          <w:szCs w:val="22"/>
        </w:rPr>
        <w:t xml:space="preserve">, que la parte actora radicó la solicitud de conciliación prejudicial ante la </w:t>
      </w:r>
      <w:r>
        <w:rPr>
          <w:rFonts w:ascii="Verdana" w:hAnsi="Verdana" w:cs="Verdana"/>
          <w:color w:val="0000FF"/>
          <w:sz w:val="22"/>
          <w:szCs w:val="22"/>
        </w:rPr>
        <w:t xml:space="preserve">Procuraduría </w:t>
      </w:r>
      <w:r>
        <w:rPr>
          <w:rFonts w:ascii="Verdana" w:hAnsi="Verdana" w:cs="Verdana"/>
          <w:color w:val="0000FF"/>
          <w:sz w:val="22"/>
          <w:szCs w:val="22"/>
        </w:rPr>
        <w:t>169</w:t>
      </w:r>
      <w:r>
        <w:rPr>
          <w:rFonts w:ascii="Verdana" w:hAnsi="Verdana" w:cs="Verdana"/>
          <w:color w:val="0000FF"/>
          <w:sz w:val="22"/>
          <w:szCs w:val="22"/>
        </w:rPr>
        <w:t xml:space="preserve"> Judicial I para Asuntos Administrativos</w:t>
      </w:r>
      <w:r>
        <w:rPr>
          <w:rFonts w:ascii="Verdana" w:hAnsi="Verdana" w:cs="Verdana"/>
          <w:sz w:val="22"/>
          <w:szCs w:val="22"/>
        </w:rPr>
        <w:t>,</w:t>
      </w:r>
      <w:r w:rsidRPr="0066603C">
        <w:rPr>
          <w:rFonts w:ascii="Verdana" w:hAnsi="Verdana" w:cs="Verdana"/>
          <w:sz w:val="22"/>
          <w:szCs w:val="22"/>
        </w:rPr>
        <w:t xml:space="preserve"> conocía de la existencia del acto administrativo proferido por el </w:t>
      </w:r>
      <w:r>
        <w:rPr>
          <w:rFonts w:ascii="Verdana" w:hAnsi="Verdana" w:cs="Verdana"/>
          <w:color w:val="0000FF"/>
          <w:sz w:val="22"/>
          <w:szCs w:val="22"/>
        </w:rPr>
        <w:t xml:space="preserve">MUNICIPIO DE MEDELLIN </w:t>
      </w:r>
      <w:r w:rsidRPr="0066603C">
        <w:rPr>
          <w:rFonts w:ascii="Verdana" w:hAnsi="Verdana" w:cs="Verdana"/>
          <w:sz w:val="22"/>
          <w:szCs w:val="22"/>
        </w:rPr>
        <w:t>que le negó el reconocimiento y pago de dicha prima.</w:t>
      </w:r>
    </w:p>
    <w:p w:rsidR="001756A5" w:rsidRPr="0066603C" w:rsidRDefault="001756A5" w:rsidP="001756A5">
      <w:pPr>
        <w:widowControl w:val="0"/>
        <w:adjustRightInd w:val="0"/>
        <w:spacing w:line="360" w:lineRule="auto"/>
        <w:jc w:val="both"/>
        <w:rPr>
          <w:rFonts w:ascii="Verdana" w:hAnsi="Verdana" w:cs="Verdana"/>
          <w:sz w:val="22"/>
          <w:szCs w:val="22"/>
        </w:rPr>
      </w:pPr>
    </w:p>
    <w:p w:rsidR="001756A5" w:rsidRPr="0066603C" w:rsidRDefault="001756A5" w:rsidP="001756A5">
      <w:pPr>
        <w:widowControl w:val="0"/>
        <w:adjustRightInd w:val="0"/>
        <w:spacing w:line="360" w:lineRule="auto"/>
        <w:jc w:val="both"/>
        <w:rPr>
          <w:rFonts w:ascii="Verdana" w:hAnsi="Verdana" w:cs="Verdana"/>
          <w:sz w:val="22"/>
          <w:szCs w:val="22"/>
        </w:rPr>
      </w:pPr>
      <w:r w:rsidRPr="0066603C">
        <w:rPr>
          <w:rFonts w:ascii="Verdana" w:hAnsi="Verdana" w:cs="Verdana"/>
          <w:sz w:val="22"/>
          <w:szCs w:val="22"/>
        </w:rPr>
        <w:t xml:space="preserve">De modo que, será a partir del </w:t>
      </w:r>
      <w:r>
        <w:rPr>
          <w:rFonts w:ascii="Verdana" w:hAnsi="Verdana" w:cs="Verdana"/>
          <w:color w:val="0000FF"/>
          <w:sz w:val="22"/>
          <w:szCs w:val="22"/>
        </w:rPr>
        <w:t>29 de noviembre</w:t>
      </w:r>
      <w:r>
        <w:rPr>
          <w:rFonts w:ascii="Verdana" w:hAnsi="Verdana" w:cs="Verdana"/>
          <w:color w:val="0000FF"/>
          <w:sz w:val="22"/>
          <w:szCs w:val="22"/>
        </w:rPr>
        <w:t xml:space="preserve"> de 2013</w:t>
      </w:r>
      <w:r w:rsidRPr="0066603C">
        <w:rPr>
          <w:rFonts w:ascii="Verdana" w:hAnsi="Verdana" w:cs="Verdana"/>
          <w:sz w:val="22"/>
          <w:szCs w:val="22"/>
        </w:rPr>
        <w:t xml:space="preserve">, que se efectuará el cómputo del término de caducidad, en los términos del artículo 164 de la Ley 1437 de 2011. </w:t>
      </w:r>
    </w:p>
    <w:p w:rsidR="001756A5" w:rsidRPr="0066603C" w:rsidRDefault="001756A5" w:rsidP="001756A5">
      <w:pPr>
        <w:tabs>
          <w:tab w:val="num" w:pos="720"/>
        </w:tabs>
        <w:spacing w:line="360" w:lineRule="auto"/>
        <w:jc w:val="both"/>
        <w:rPr>
          <w:rFonts w:ascii="Verdana" w:hAnsi="Verdana" w:cs="Verdana"/>
          <w:sz w:val="22"/>
          <w:szCs w:val="22"/>
          <w:lang w:val="es-ES_tradnl"/>
        </w:rPr>
      </w:pPr>
    </w:p>
    <w:p w:rsidR="001756A5" w:rsidRPr="0066603C" w:rsidRDefault="001756A5" w:rsidP="001756A5">
      <w:pPr>
        <w:tabs>
          <w:tab w:val="num" w:pos="720"/>
        </w:tabs>
        <w:spacing w:line="360" w:lineRule="auto"/>
        <w:jc w:val="both"/>
        <w:rPr>
          <w:rFonts w:ascii="Verdana" w:hAnsi="Verdana" w:cs="Verdana"/>
          <w:sz w:val="22"/>
          <w:szCs w:val="22"/>
          <w:lang w:val="es-ES_tradnl"/>
        </w:rPr>
      </w:pPr>
      <w:r w:rsidRPr="0066603C">
        <w:rPr>
          <w:rFonts w:ascii="Verdana" w:hAnsi="Verdana" w:cs="Verdana"/>
          <w:sz w:val="22"/>
          <w:szCs w:val="22"/>
          <w:lang w:val="es-ES_tradnl"/>
        </w:rPr>
        <w:t xml:space="preserve">Los cuatro (4) meses para presentar la demanda de conformidad con el artículo precitado comienzan a correr a partir del día siguiente de la notificación, en este caso por conducta concluyente del acto administrativo, es decir a partir del día </w:t>
      </w:r>
      <w:r>
        <w:rPr>
          <w:rFonts w:ascii="Verdana" w:hAnsi="Verdana" w:cs="Verdana"/>
          <w:color w:val="0000FF"/>
          <w:sz w:val="22"/>
          <w:szCs w:val="22"/>
          <w:lang w:val="es-ES_tradnl"/>
        </w:rPr>
        <w:t xml:space="preserve">29 </w:t>
      </w:r>
      <w:r>
        <w:rPr>
          <w:rFonts w:ascii="Verdana" w:hAnsi="Verdana" w:cs="Verdana"/>
          <w:color w:val="0000FF"/>
          <w:sz w:val="22"/>
          <w:szCs w:val="22"/>
          <w:lang w:val="es-ES_tradnl"/>
        </w:rPr>
        <w:t xml:space="preserve">de </w:t>
      </w:r>
      <w:r>
        <w:rPr>
          <w:rFonts w:ascii="Verdana" w:hAnsi="Verdana" w:cs="Verdana"/>
          <w:color w:val="0000FF"/>
          <w:sz w:val="22"/>
          <w:szCs w:val="22"/>
          <w:lang w:val="es-ES_tradnl"/>
        </w:rPr>
        <w:t xml:space="preserve">noviembre </w:t>
      </w:r>
      <w:r>
        <w:rPr>
          <w:rFonts w:ascii="Verdana" w:hAnsi="Verdana" w:cs="Verdana"/>
          <w:color w:val="0000FF"/>
          <w:sz w:val="22"/>
          <w:szCs w:val="22"/>
          <w:lang w:val="es-ES_tradnl"/>
        </w:rPr>
        <w:t>de</w:t>
      </w:r>
      <w:r w:rsidRPr="000820E9">
        <w:rPr>
          <w:rFonts w:ascii="Verdana" w:hAnsi="Verdana" w:cs="Verdana"/>
          <w:color w:val="0000FF"/>
          <w:sz w:val="22"/>
          <w:szCs w:val="22"/>
          <w:lang w:val="es-ES_tradnl"/>
        </w:rPr>
        <w:t xml:space="preserve"> 2013 </w:t>
      </w:r>
      <w:r w:rsidRPr="0066603C">
        <w:rPr>
          <w:rFonts w:ascii="Verdana" w:hAnsi="Verdana" w:cs="Verdana"/>
          <w:sz w:val="22"/>
          <w:szCs w:val="22"/>
          <w:lang w:val="es-ES_tradnl"/>
        </w:rPr>
        <w:t xml:space="preserve">y hasta el día </w:t>
      </w:r>
      <w:r>
        <w:rPr>
          <w:rFonts w:ascii="Verdana" w:hAnsi="Verdana" w:cs="Verdana"/>
          <w:color w:val="0000FF"/>
          <w:sz w:val="22"/>
          <w:szCs w:val="22"/>
          <w:lang w:val="es-ES_tradnl"/>
        </w:rPr>
        <w:t xml:space="preserve">29 </w:t>
      </w:r>
      <w:r>
        <w:rPr>
          <w:rFonts w:ascii="Verdana" w:hAnsi="Verdana" w:cs="Verdana"/>
          <w:color w:val="0000FF"/>
          <w:sz w:val="22"/>
          <w:szCs w:val="22"/>
          <w:lang w:val="es-ES_tradnl"/>
        </w:rPr>
        <w:t xml:space="preserve">de </w:t>
      </w:r>
      <w:r>
        <w:rPr>
          <w:rFonts w:ascii="Verdana" w:hAnsi="Verdana" w:cs="Verdana"/>
          <w:color w:val="0000FF"/>
          <w:sz w:val="22"/>
          <w:szCs w:val="22"/>
          <w:lang w:val="es-ES_tradnl"/>
        </w:rPr>
        <w:t xml:space="preserve">marzo </w:t>
      </w:r>
      <w:r w:rsidRPr="000820E9">
        <w:rPr>
          <w:rFonts w:ascii="Verdana" w:hAnsi="Verdana" w:cs="Verdana"/>
          <w:color w:val="0000FF"/>
          <w:sz w:val="22"/>
          <w:szCs w:val="22"/>
          <w:lang w:val="es-ES_tradnl"/>
        </w:rPr>
        <w:t>de 201</w:t>
      </w:r>
      <w:r>
        <w:rPr>
          <w:rFonts w:ascii="Verdana" w:hAnsi="Verdana" w:cs="Verdana"/>
          <w:color w:val="0000FF"/>
          <w:sz w:val="22"/>
          <w:szCs w:val="22"/>
          <w:lang w:val="es-ES_tradnl"/>
        </w:rPr>
        <w:t>4</w:t>
      </w:r>
      <w:r w:rsidRPr="0066603C">
        <w:rPr>
          <w:rFonts w:ascii="Verdana" w:hAnsi="Verdana" w:cs="Verdana"/>
          <w:sz w:val="22"/>
          <w:szCs w:val="22"/>
          <w:lang w:val="es-ES_tradnl"/>
        </w:rPr>
        <w:t xml:space="preserve">. </w:t>
      </w:r>
    </w:p>
    <w:p w:rsidR="001756A5" w:rsidRPr="0066603C" w:rsidRDefault="001756A5" w:rsidP="001756A5">
      <w:pPr>
        <w:tabs>
          <w:tab w:val="num" w:pos="720"/>
        </w:tabs>
        <w:jc w:val="both"/>
        <w:rPr>
          <w:rFonts w:ascii="Verdana" w:hAnsi="Verdana" w:cs="Verdana"/>
          <w:sz w:val="22"/>
          <w:szCs w:val="22"/>
          <w:lang w:val="es-ES_tradnl"/>
        </w:rPr>
      </w:pPr>
    </w:p>
    <w:p w:rsidR="001756A5" w:rsidRPr="005D4B38" w:rsidRDefault="001756A5" w:rsidP="001756A5">
      <w:pPr>
        <w:tabs>
          <w:tab w:val="num" w:pos="720"/>
        </w:tabs>
        <w:spacing w:line="360" w:lineRule="auto"/>
        <w:jc w:val="both"/>
        <w:rPr>
          <w:rFonts w:ascii="Verdana" w:hAnsi="Verdana" w:cs="Verdana"/>
          <w:b/>
          <w:bCs/>
          <w:color w:val="0000FF"/>
          <w:sz w:val="22"/>
          <w:szCs w:val="22"/>
          <w:lang w:val="es-ES_tradnl"/>
        </w:rPr>
      </w:pPr>
      <w:r w:rsidRPr="0066603C">
        <w:rPr>
          <w:rFonts w:ascii="Verdana" w:hAnsi="Verdana" w:cs="Verdana"/>
          <w:sz w:val="22"/>
          <w:szCs w:val="22"/>
          <w:lang w:val="es-ES_tradnl"/>
        </w:rPr>
        <w:t xml:space="preserve">La presentación de la solicitud de conciliación, de conformidad con lo señalado en el artículo 3 del Decreto 1716 de 2009, suspende el término de caducidad de la acción hasta que se expidan las constancias a que se refiere el artículo 2° de la Ley 640 de 2011 Literal b.  En el presente caso la constancia de la Procuraduría fue expedida el día </w:t>
      </w:r>
      <w:r w:rsidR="00594C6C">
        <w:rPr>
          <w:rFonts w:ascii="Verdana" w:hAnsi="Verdana" w:cs="Verdana"/>
          <w:b/>
          <w:bCs/>
          <w:color w:val="0000FF"/>
          <w:sz w:val="22"/>
          <w:szCs w:val="22"/>
          <w:lang w:val="es-ES_tradnl"/>
        </w:rPr>
        <w:t xml:space="preserve">21 </w:t>
      </w:r>
      <w:r>
        <w:rPr>
          <w:rFonts w:ascii="Verdana" w:hAnsi="Verdana" w:cs="Verdana"/>
          <w:b/>
          <w:bCs/>
          <w:color w:val="0000FF"/>
          <w:sz w:val="22"/>
          <w:szCs w:val="22"/>
          <w:lang w:val="es-ES_tradnl"/>
        </w:rPr>
        <w:t xml:space="preserve">de </w:t>
      </w:r>
      <w:r w:rsidR="00594C6C">
        <w:rPr>
          <w:rFonts w:ascii="Verdana" w:hAnsi="Verdana" w:cs="Verdana"/>
          <w:b/>
          <w:bCs/>
          <w:color w:val="0000FF"/>
          <w:sz w:val="22"/>
          <w:szCs w:val="22"/>
          <w:lang w:val="es-ES_tradnl"/>
        </w:rPr>
        <w:t xml:space="preserve">enero </w:t>
      </w:r>
      <w:r>
        <w:rPr>
          <w:rFonts w:ascii="Verdana" w:hAnsi="Verdana" w:cs="Verdana"/>
          <w:b/>
          <w:bCs/>
          <w:color w:val="0000FF"/>
          <w:sz w:val="22"/>
          <w:szCs w:val="22"/>
          <w:lang w:val="es-ES_tradnl"/>
        </w:rPr>
        <w:t>de 2014</w:t>
      </w:r>
      <w:r w:rsidRPr="0066603C">
        <w:rPr>
          <w:rFonts w:ascii="Verdana" w:hAnsi="Verdana" w:cs="Verdana"/>
          <w:sz w:val="22"/>
          <w:szCs w:val="22"/>
          <w:lang w:val="es-ES_tradnl"/>
        </w:rPr>
        <w:t>, es decir que</w:t>
      </w:r>
      <w:r>
        <w:rPr>
          <w:rFonts w:ascii="Verdana" w:hAnsi="Verdana" w:cs="Verdana"/>
          <w:sz w:val="22"/>
          <w:szCs w:val="22"/>
          <w:lang w:val="es-ES_tradnl"/>
        </w:rPr>
        <w:t>,</w:t>
      </w:r>
      <w:r w:rsidRPr="0066603C">
        <w:rPr>
          <w:rFonts w:ascii="Verdana" w:hAnsi="Verdana" w:cs="Verdana"/>
          <w:sz w:val="22"/>
          <w:szCs w:val="22"/>
          <w:lang w:val="es-ES_tradnl"/>
        </w:rPr>
        <w:t xml:space="preserve"> a partir del día siguiente</w:t>
      </w:r>
      <w:r>
        <w:rPr>
          <w:rFonts w:ascii="Verdana" w:hAnsi="Verdana" w:cs="Verdana"/>
          <w:sz w:val="22"/>
          <w:szCs w:val="22"/>
          <w:lang w:val="es-ES_tradnl"/>
        </w:rPr>
        <w:t xml:space="preserve">, </w:t>
      </w:r>
      <w:r w:rsidR="00594C6C">
        <w:rPr>
          <w:rFonts w:ascii="Verdana" w:hAnsi="Verdana" w:cs="Verdana"/>
          <w:sz w:val="22"/>
          <w:szCs w:val="22"/>
          <w:lang w:val="es-ES_tradnl"/>
        </w:rPr>
        <w:t>el</w:t>
      </w:r>
      <w:r>
        <w:rPr>
          <w:rFonts w:ascii="Verdana" w:hAnsi="Verdana" w:cs="Verdana"/>
          <w:sz w:val="22"/>
          <w:szCs w:val="22"/>
          <w:lang w:val="es-ES_tradnl"/>
        </w:rPr>
        <w:t xml:space="preserve"> </w:t>
      </w:r>
      <w:r w:rsidRPr="0066603C">
        <w:rPr>
          <w:rFonts w:ascii="Verdana" w:hAnsi="Verdana" w:cs="Verdana"/>
          <w:sz w:val="22"/>
          <w:szCs w:val="22"/>
          <w:lang w:val="es-ES_tradnl"/>
        </w:rPr>
        <w:t>demandante contaba con los cuatro meses para presentar la demanda, so pena de operar el fenómeno de la caducidad</w:t>
      </w:r>
      <w:r>
        <w:rPr>
          <w:rFonts w:ascii="Verdana" w:hAnsi="Verdana" w:cs="Verdana"/>
          <w:sz w:val="22"/>
          <w:szCs w:val="22"/>
          <w:lang w:val="es-ES_tradnl"/>
        </w:rPr>
        <w:t>,</w:t>
      </w:r>
      <w:r w:rsidRPr="0066603C">
        <w:rPr>
          <w:rFonts w:ascii="Verdana" w:hAnsi="Verdana" w:cs="Verdana"/>
          <w:sz w:val="22"/>
          <w:szCs w:val="22"/>
          <w:lang w:val="es-ES_tradnl"/>
        </w:rPr>
        <w:t xml:space="preserve"> que para el efecto vencían el día </w:t>
      </w:r>
      <w:r w:rsidR="00594C6C">
        <w:rPr>
          <w:rFonts w:ascii="Verdana" w:hAnsi="Verdana" w:cs="Verdana"/>
          <w:b/>
          <w:bCs/>
          <w:color w:val="0000FF"/>
          <w:sz w:val="22"/>
          <w:szCs w:val="22"/>
          <w:lang w:val="es-ES_tradnl"/>
        </w:rPr>
        <w:t xml:space="preserve">22 </w:t>
      </w:r>
      <w:r>
        <w:rPr>
          <w:rFonts w:ascii="Verdana" w:hAnsi="Verdana" w:cs="Verdana"/>
          <w:b/>
          <w:bCs/>
          <w:color w:val="0000FF"/>
          <w:sz w:val="22"/>
          <w:szCs w:val="22"/>
          <w:lang w:val="es-ES_tradnl"/>
        </w:rPr>
        <w:t xml:space="preserve">de </w:t>
      </w:r>
      <w:r w:rsidR="00594C6C">
        <w:rPr>
          <w:rFonts w:ascii="Verdana" w:hAnsi="Verdana" w:cs="Verdana"/>
          <w:b/>
          <w:bCs/>
          <w:color w:val="0000FF"/>
          <w:sz w:val="22"/>
          <w:szCs w:val="22"/>
          <w:lang w:val="es-ES_tradnl"/>
        </w:rPr>
        <w:t xml:space="preserve">mayo </w:t>
      </w:r>
      <w:r>
        <w:rPr>
          <w:rFonts w:ascii="Verdana" w:hAnsi="Verdana" w:cs="Verdana"/>
          <w:b/>
          <w:bCs/>
          <w:color w:val="0000FF"/>
          <w:sz w:val="22"/>
          <w:szCs w:val="22"/>
          <w:lang w:val="es-ES_tradnl"/>
        </w:rPr>
        <w:t>de 2014</w:t>
      </w:r>
      <w:r>
        <w:rPr>
          <w:rFonts w:ascii="Verdana" w:hAnsi="Verdana" w:cs="Verdana"/>
          <w:b/>
          <w:bCs/>
          <w:sz w:val="22"/>
          <w:szCs w:val="22"/>
          <w:lang w:val="es-ES_tradnl"/>
        </w:rPr>
        <w:t>, día hábil.</w:t>
      </w:r>
    </w:p>
    <w:p w:rsidR="001756A5" w:rsidRPr="0066603C" w:rsidRDefault="001756A5" w:rsidP="001756A5">
      <w:pPr>
        <w:tabs>
          <w:tab w:val="num" w:pos="720"/>
        </w:tabs>
        <w:spacing w:line="360" w:lineRule="auto"/>
        <w:jc w:val="both"/>
        <w:rPr>
          <w:rFonts w:ascii="Verdana" w:hAnsi="Verdana" w:cs="Verdana"/>
          <w:sz w:val="22"/>
          <w:szCs w:val="22"/>
          <w:lang w:val="es-ES_tradnl"/>
        </w:rPr>
      </w:pPr>
    </w:p>
    <w:p w:rsidR="001756A5" w:rsidRPr="0066603C" w:rsidRDefault="001756A5" w:rsidP="001756A5">
      <w:pPr>
        <w:widowControl w:val="0"/>
        <w:adjustRightInd w:val="0"/>
        <w:spacing w:line="360" w:lineRule="auto"/>
        <w:jc w:val="both"/>
        <w:rPr>
          <w:rFonts w:ascii="Verdana" w:hAnsi="Verdana" w:cs="Verdana"/>
          <w:sz w:val="22"/>
          <w:szCs w:val="22"/>
          <w:lang w:val="es-MX"/>
        </w:rPr>
      </w:pPr>
      <w:r w:rsidRPr="0066603C">
        <w:rPr>
          <w:rFonts w:ascii="Verdana" w:hAnsi="Verdana" w:cs="Verdana"/>
          <w:sz w:val="22"/>
          <w:szCs w:val="22"/>
          <w:lang w:val="es-ES_tradnl"/>
        </w:rPr>
        <w:t xml:space="preserve">Toda vez que la demanda fue presentada en la oficina de apoyo judicial de los Juzgados Administrativos el día </w:t>
      </w:r>
      <w:r w:rsidR="00594C6C">
        <w:rPr>
          <w:rFonts w:ascii="Verdana" w:hAnsi="Verdana" w:cs="Verdana"/>
          <w:b/>
          <w:bCs/>
          <w:sz w:val="22"/>
          <w:szCs w:val="22"/>
          <w:lang w:val="es-ES_tradnl"/>
        </w:rPr>
        <w:t xml:space="preserve">30 </w:t>
      </w:r>
      <w:r w:rsidRPr="00BB0C0F">
        <w:rPr>
          <w:rFonts w:ascii="Verdana" w:hAnsi="Verdana" w:cs="Verdana"/>
          <w:b/>
          <w:bCs/>
          <w:sz w:val="22"/>
          <w:szCs w:val="22"/>
          <w:lang w:val="es-ES_tradnl"/>
        </w:rPr>
        <w:t xml:space="preserve">de </w:t>
      </w:r>
      <w:r>
        <w:rPr>
          <w:rFonts w:ascii="Verdana" w:hAnsi="Verdana" w:cs="Verdana"/>
          <w:b/>
          <w:bCs/>
          <w:sz w:val="22"/>
          <w:szCs w:val="22"/>
          <w:lang w:val="es-ES_tradnl"/>
        </w:rPr>
        <w:t xml:space="preserve">julio </w:t>
      </w:r>
      <w:r w:rsidRPr="00BB0C0F">
        <w:rPr>
          <w:rFonts w:ascii="Verdana" w:hAnsi="Verdana" w:cs="Verdana"/>
          <w:b/>
          <w:bCs/>
          <w:sz w:val="22"/>
          <w:szCs w:val="22"/>
          <w:lang w:val="es-ES_tradnl"/>
        </w:rPr>
        <w:t>de 2014</w:t>
      </w:r>
      <w:r w:rsidRPr="0066603C">
        <w:rPr>
          <w:rFonts w:ascii="Verdana" w:hAnsi="Verdana" w:cs="Verdana"/>
          <w:sz w:val="22"/>
          <w:szCs w:val="22"/>
          <w:lang w:val="es-ES_tradnl"/>
        </w:rPr>
        <w:t xml:space="preserve">, como se observa a folio </w:t>
      </w:r>
      <w:r w:rsidR="00594C6C">
        <w:rPr>
          <w:rFonts w:ascii="Verdana" w:hAnsi="Verdana" w:cs="Verdana"/>
          <w:sz w:val="22"/>
          <w:szCs w:val="22"/>
          <w:lang w:val="es-ES_tradnl"/>
        </w:rPr>
        <w:t xml:space="preserve">19 </w:t>
      </w:r>
      <w:r w:rsidRPr="0066603C">
        <w:rPr>
          <w:rFonts w:ascii="Verdana" w:hAnsi="Verdana" w:cs="Verdana"/>
          <w:sz w:val="22"/>
          <w:szCs w:val="22"/>
          <w:lang w:val="es-ES_tradnl"/>
        </w:rPr>
        <w:t xml:space="preserve">del expediente, es decir, </w:t>
      </w:r>
      <w:r w:rsidRPr="0066603C">
        <w:rPr>
          <w:rFonts w:ascii="Verdana" w:hAnsi="Verdana" w:cs="Verdana"/>
          <w:sz w:val="22"/>
          <w:szCs w:val="22"/>
        </w:rPr>
        <w:t xml:space="preserve">superado el término de </w:t>
      </w:r>
      <w:r>
        <w:rPr>
          <w:rFonts w:ascii="Verdana" w:hAnsi="Verdana" w:cs="Verdana"/>
          <w:sz w:val="22"/>
          <w:szCs w:val="22"/>
        </w:rPr>
        <w:t>cuatro (</w:t>
      </w:r>
      <w:r w:rsidRPr="0066603C">
        <w:rPr>
          <w:rFonts w:ascii="Verdana" w:hAnsi="Verdana" w:cs="Verdana"/>
          <w:sz w:val="22"/>
          <w:szCs w:val="22"/>
        </w:rPr>
        <w:t>4</w:t>
      </w:r>
      <w:r>
        <w:rPr>
          <w:rFonts w:ascii="Verdana" w:hAnsi="Verdana" w:cs="Verdana"/>
          <w:sz w:val="22"/>
          <w:szCs w:val="22"/>
        </w:rPr>
        <w:t>)</w:t>
      </w:r>
      <w:r w:rsidRPr="0066603C">
        <w:rPr>
          <w:rFonts w:ascii="Verdana" w:hAnsi="Verdana" w:cs="Verdana"/>
          <w:sz w:val="22"/>
          <w:szCs w:val="22"/>
        </w:rPr>
        <w:t xml:space="preserve"> meses que prescribe el literal d) numeral 2 del artículo 164 de la Ley 1437 de 2011 para el control judicial del acto administrativo objeto de la presente demanda, se entiende que la misma se encuentra caducada. </w:t>
      </w:r>
    </w:p>
    <w:p w:rsidR="001756A5" w:rsidRPr="0066603C" w:rsidRDefault="001756A5" w:rsidP="001756A5">
      <w:pPr>
        <w:tabs>
          <w:tab w:val="num" w:pos="720"/>
        </w:tabs>
        <w:spacing w:line="360" w:lineRule="auto"/>
        <w:jc w:val="both"/>
        <w:rPr>
          <w:rFonts w:ascii="Verdana" w:hAnsi="Verdana" w:cs="Verdana"/>
          <w:sz w:val="22"/>
          <w:szCs w:val="22"/>
        </w:rPr>
      </w:pPr>
    </w:p>
    <w:p w:rsidR="001756A5" w:rsidRPr="000006DE" w:rsidRDefault="001756A5" w:rsidP="001756A5">
      <w:pPr>
        <w:pStyle w:val="Style36"/>
        <w:widowControl/>
        <w:spacing w:line="360" w:lineRule="auto"/>
        <w:ind w:firstLine="0"/>
        <w:rPr>
          <w:rFonts w:ascii="Verdana" w:hAnsi="Verdana" w:cs="Verdana"/>
          <w:sz w:val="22"/>
          <w:szCs w:val="22"/>
        </w:rPr>
      </w:pPr>
      <w:r w:rsidRPr="000006DE">
        <w:rPr>
          <w:rFonts w:ascii="Verdana" w:hAnsi="Verdana" w:cs="Verdana"/>
          <w:sz w:val="22"/>
          <w:szCs w:val="22"/>
        </w:rPr>
        <w:t xml:space="preserve">Como quedo dicho, </w:t>
      </w:r>
      <w:r>
        <w:rPr>
          <w:rFonts w:ascii="Verdana" w:hAnsi="Verdana" w:cs="Verdana"/>
          <w:sz w:val="22"/>
          <w:szCs w:val="22"/>
        </w:rPr>
        <w:t xml:space="preserve">la </w:t>
      </w:r>
      <w:r w:rsidRPr="000006DE">
        <w:rPr>
          <w:rFonts w:ascii="Verdana" w:hAnsi="Verdana" w:cs="Verdana"/>
          <w:sz w:val="22"/>
          <w:szCs w:val="22"/>
        </w:rPr>
        <w:t xml:space="preserve">demandante podía presentar la demanda hasta el día </w:t>
      </w:r>
      <w:r w:rsidR="00594C6C">
        <w:rPr>
          <w:rFonts w:ascii="Verdana" w:hAnsi="Verdana" w:cs="Verdana"/>
          <w:b/>
          <w:bCs/>
          <w:sz w:val="22"/>
          <w:szCs w:val="22"/>
        </w:rPr>
        <w:t xml:space="preserve">22 </w:t>
      </w:r>
      <w:r>
        <w:rPr>
          <w:rFonts w:ascii="Verdana" w:hAnsi="Verdana" w:cs="Verdana"/>
          <w:b/>
          <w:bCs/>
          <w:sz w:val="22"/>
          <w:szCs w:val="22"/>
        </w:rPr>
        <w:t xml:space="preserve">de </w:t>
      </w:r>
      <w:r w:rsidR="00594C6C">
        <w:rPr>
          <w:rFonts w:ascii="Verdana" w:hAnsi="Verdana" w:cs="Verdana"/>
          <w:b/>
          <w:bCs/>
          <w:sz w:val="22"/>
          <w:szCs w:val="22"/>
        </w:rPr>
        <w:t xml:space="preserve">mayo </w:t>
      </w:r>
      <w:r>
        <w:rPr>
          <w:rFonts w:ascii="Verdana" w:hAnsi="Verdana" w:cs="Verdana"/>
          <w:b/>
          <w:bCs/>
          <w:sz w:val="22"/>
          <w:szCs w:val="22"/>
        </w:rPr>
        <w:t>de 2014</w:t>
      </w:r>
      <w:r w:rsidRPr="000006DE">
        <w:rPr>
          <w:rFonts w:ascii="Verdana" w:hAnsi="Verdana" w:cs="Verdana"/>
          <w:b/>
          <w:bCs/>
          <w:sz w:val="22"/>
          <w:szCs w:val="22"/>
        </w:rPr>
        <w:t>,</w:t>
      </w:r>
      <w:r w:rsidRPr="000006DE">
        <w:rPr>
          <w:rFonts w:ascii="Verdana" w:hAnsi="Verdana" w:cs="Verdana"/>
          <w:sz w:val="22"/>
          <w:szCs w:val="22"/>
        </w:rPr>
        <w:t xml:space="preserve"> pero tan sólo vino a presentar la misma el día </w:t>
      </w:r>
      <w:r w:rsidR="00594C6C">
        <w:rPr>
          <w:rFonts w:ascii="Verdana" w:hAnsi="Verdana" w:cs="Verdana"/>
          <w:b/>
          <w:bCs/>
          <w:sz w:val="22"/>
          <w:szCs w:val="22"/>
        </w:rPr>
        <w:t xml:space="preserve">30 </w:t>
      </w:r>
      <w:r w:rsidRPr="000006DE">
        <w:rPr>
          <w:rFonts w:ascii="Verdana" w:hAnsi="Verdana" w:cs="Verdana"/>
          <w:b/>
          <w:bCs/>
          <w:sz w:val="22"/>
          <w:szCs w:val="22"/>
        </w:rPr>
        <w:t xml:space="preserve">de </w:t>
      </w:r>
      <w:r>
        <w:rPr>
          <w:rFonts w:ascii="Verdana" w:hAnsi="Verdana" w:cs="Verdana"/>
          <w:b/>
          <w:bCs/>
          <w:sz w:val="22"/>
          <w:szCs w:val="22"/>
        </w:rPr>
        <w:t xml:space="preserve">julio </w:t>
      </w:r>
      <w:r w:rsidRPr="000006DE">
        <w:rPr>
          <w:rFonts w:ascii="Verdana" w:hAnsi="Verdana" w:cs="Verdana"/>
          <w:b/>
          <w:bCs/>
          <w:sz w:val="22"/>
          <w:szCs w:val="22"/>
        </w:rPr>
        <w:t xml:space="preserve">de </w:t>
      </w:r>
      <w:r>
        <w:rPr>
          <w:rFonts w:ascii="Verdana" w:hAnsi="Verdana" w:cs="Verdana"/>
          <w:b/>
          <w:bCs/>
          <w:sz w:val="22"/>
          <w:szCs w:val="22"/>
        </w:rPr>
        <w:t>2014</w:t>
      </w:r>
      <w:r w:rsidRPr="000006DE">
        <w:rPr>
          <w:rFonts w:ascii="Verdana" w:hAnsi="Verdana" w:cs="Verdana"/>
          <w:b/>
          <w:bCs/>
          <w:sz w:val="22"/>
          <w:szCs w:val="22"/>
        </w:rPr>
        <w:t>,</w:t>
      </w:r>
      <w:r w:rsidRPr="000006DE">
        <w:rPr>
          <w:rStyle w:val="Refdenotaalpie"/>
          <w:rFonts w:ascii="Verdana" w:hAnsi="Verdana" w:cs="Verdana"/>
          <w:sz w:val="22"/>
          <w:szCs w:val="22"/>
        </w:rPr>
        <w:footnoteReference w:id="7"/>
      </w:r>
      <w:r w:rsidRPr="000006DE">
        <w:rPr>
          <w:rFonts w:ascii="Verdana" w:hAnsi="Verdana" w:cs="Verdana"/>
          <w:sz w:val="22"/>
          <w:szCs w:val="22"/>
        </w:rPr>
        <w:t xml:space="preserve"> de lo que se desprende que la demanda fue presen</w:t>
      </w:r>
      <w:r>
        <w:rPr>
          <w:rFonts w:ascii="Verdana" w:hAnsi="Verdana" w:cs="Verdana"/>
          <w:sz w:val="22"/>
          <w:szCs w:val="22"/>
        </w:rPr>
        <w:t>tada, cuando ya se había supera</w:t>
      </w:r>
      <w:r w:rsidRPr="000006DE">
        <w:rPr>
          <w:rFonts w:ascii="Verdana" w:hAnsi="Verdana" w:cs="Verdana"/>
          <w:sz w:val="22"/>
          <w:szCs w:val="22"/>
        </w:rPr>
        <w:t xml:space="preserve">do el término de caducidad establecido por ley y la jurisprudencia para este tipo de </w:t>
      </w:r>
      <w:r>
        <w:rPr>
          <w:rFonts w:ascii="Verdana" w:hAnsi="Verdana" w:cs="Verdana"/>
          <w:sz w:val="22"/>
          <w:szCs w:val="22"/>
        </w:rPr>
        <w:t>medio de control</w:t>
      </w:r>
      <w:r w:rsidRPr="000006DE">
        <w:rPr>
          <w:rFonts w:ascii="Verdana" w:hAnsi="Verdana" w:cs="Verdana"/>
          <w:sz w:val="22"/>
          <w:szCs w:val="22"/>
        </w:rPr>
        <w:t>.</w:t>
      </w:r>
    </w:p>
    <w:p w:rsidR="001756A5" w:rsidRPr="000006DE" w:rsidRDefault="001756A5" w:rsidP="001756A5">
      <w:pPr>
        <w:spacing w:line="480" w:lineRule="auto"/>
        <w:jc w:val="both"/>
        <w:rPr>
          <w:rFonts w:ascii="Verdana" w:hAnsi="Verdana" w:cs="Verdana"/>
          <w:color w:val="000080"/>
          <w:sz w:val="22"/>
          <w:szCs w:val="22"/>
        </w:rPr>
      </w:pPr>
    </w:p>
    <w:p w:rsidR="001756A5" w:rsidRDefault="001756A5" w:rsidP="001756A5">
      <w:pPr>
        <w:spacing w:line="360" w:lineRule="auto"/>
        <w:jc w:val="both"/>
        <w:rPr>
          <w:rFonts w:ascii="Verdana" w:hAnsi="Verdana" w:cs="Verdana"/>
          <w:sz w:val="22"/>
          <w:szCs w:val="22"/>
          <w:lang w:val="es-MX"/>
        </w:rPr>
      </w:pPr>
      <w:r w:rsidRPr="000006DE">
        <w:rPr>
          <w:rFonts w:ascii="Verdana" w:hAnsi="Verdana" w:cs="Verdana"/>
          <w:sz w:val="22"/>
          <w:szCs w:val="22"/>
        </w:rPr>
        <w:t xml:space="preserve">Así las cosas, se concluye que en el presente caso, operó el fenómeno jurídico de la caducidad para el ejercicio del medio de control de nulidad y restablecimiento de derecho; en consecuencia se impone el rechazo de la demanda, de conformidad con lo dispuesto en el </w:t>
      </w:r>
      <w:r w:rsidRPr="000006DE">
        <w:rPr>
          <w:rFonts w:ascii="Verdana" w:hAnsi="Verdana" w:cs="Verdana"/>
          <w:b/>
          <w:bCs/>
          <w:sz w:val="22"/>
          <w:szCs w:val="22"/>
          <w:lang w:val="es-MX"/>
        </w:rPr>
        <w:t>artículo 169 numeral 1 del Código de Procedimiento Administrativo y de lo Contencioso Administrativo</w:t>
      </w:r>
      <w:r w:rsidRPr="000006DE">
        <w:rPr>
          <w:rFonts w:ascii="Verdana" w:hAnsi="Verdana" w:cs="Verdana"/>
          <w:i/>
          <w:iCs/>
          <w:sz w:val="22"/>
          <w:szCs w:val="22"/>
          <w:lang w:val="es-MX"/>
        </w:rPr>
        <w:t>.</w:t>
      </w:r>
    </w:p>
    <w:p w:rsidR="001756A5" w:rsidRDefault="001756A5" w:rsidP="001756A5">
      <w:pPr>
        <w:spacing w:line="360" w:lineRule="auto"/>
        <w:jc w:val="both"/>
        <w:rPr>
          <w:rFonts w:ascii="Verdana" w:hAnsi="Verdana" w:cs="Verdana"/>
          <w:sz w:val="22"/>
          <w:szCs w:val="22"/>
          <w:lang w:val="es-MX"/>
        </w:rPr>
      </w:pPr>
    </w:p>
    <w:p w:rsidR="001756A5" w:rsidRDefault="001756A5" w:rsidP="001756A5">
      <w:pPr>
        <w:pStyle w:val="Textoindependiente3"/>
        <w:suppressAutoHyphens/>
        <w:spacing w:after="0" w:line="360" w:lineRule="auto"/>
        <w:jc w:val="both"/>
        <w:rPr>
          <w:rFonts w:ascii="Verdana" w:hAnsi="Verdana" w:cs="Verdana"/>
          <w:b/>
          <w:bCs/>
          <w:sz w:val="22"/>
          <w:szCs w:val="22"/>
        </w:rPr>
      </w:pPr>
      <w:r w:rsidRPr="000006DE">
        <w:rPr>
          <w:rFonts w:ascii="Verdana" w:hAnsi="Verdana" w:cs="Verdana"/>
          <w:sz w:val="22"/>
          <w:szCs w:val="22"/>
        </w:rPr>
        <w:t xml:space="preserve">En mérito de lo expuesto, el </w:t>
      </w:r>
      <w:r w:rsidRPr="000006DE">
        <w:rPr>
          <w:rFonts w:ascii="Verdana" w:hAnsi="Verdana" w:cs="Verdana"/>
          <w:b/>
          <w:bCs/>
          <w:sz w:val="22"/>
          <w:szCs w:val="22"/>
        </w:rPr>
        <w:t xml:space="preserve">JUZGADO DOCE ADMINISTRATIVO ORAL DE MEDELLIN,  </w:t>
      </w:r>
    </w:p>
    <w:p w:rsidR="001756A5" w:rsidRDefault="001756A5" w:rsidP="001756A5">
      <w:pPr>
        <w:pStyle w:val="Textoindependiente3"/>
        <w:suppressAutoHyphens/>
        <w:spacing w:after="0" w:line="360" w:lineRule="auto"/>
        <w:jc w:val="center"/>
        <w:rPr>
          <w:rFonts w:ascii="Verdana" w:hAnsi="Verdana" w:cs="Verdana"/>
          <w:b/>
          <w:bCs/>
          <w:i/>
          <w:iCs/>
          <w:sz w:val="24"/>
          <w:szCs w:val="24"/>
        </w:rPr>
      </w:pPr>
      <w:r w:rsidRPr="000006DE">
        <w:rPr>
          <w:rFonts w:ascii="Verdana" w:hAnsi="Verdana" w:cs="Verdana"/>
          <w:b/>
          <w:bCs/>
          <w:i/>
          <w:iCs/>
          <w:sz w:val="24"/>
          <w:szCs w:val="24"/>
        </w:rPr>
        <w:t>R E S U E L V E:</w:t>
      </w:r>
    </w:p>
    <w:p w:rsidR="001756A5" w:rsidRPr="00BB0C0F" w:rsidRDefault="001756A5" w:rsidP="001756A5">
      <w:pPr>
        <w:pStyle w:val="Textoindependiente3"/>
        <w:suppressAutoHyphens/>
        <w:spacing w:after="0" w:line="360" w:lineRule="auto"/>
        <w:jc w:val="center"/>
        <w:rPr>
          <w:rFonts w:ascii="Verdana" w:hAnsi="Verdana" w:cs="Verdana"/>
          <w:b/>
          <w:bCs/>
          <w:sz w:val="24"/>
          <w:szCs w:val="24"/>
        </w:rPr>
      </w:pPr>
    </w:p>
    <w:p w:rsidR="001756A5" w:rsidRPr="000006DE" w:rsidRDefault="001756A5" w:rsidP="001756A5">
      <w:pPr>
        <w:spacing w:line="360" w:lineRule="auto"/>
        <w:jc w:val="both"/>
        <w:rPr>
          <w:rFonts w:ascii="Verdana" w:hAnsi="Verdana" w:cs="Verdana"/>
          <w:sz w:val="22"/>
          <w:szCs w:val="22"/>
        </w:rPr>
      </w:pPr>
      <w:r w:rsidRPr="000006DE">
        <w:rPr>
          <w:rFonts w:ascii="Verdana" w:hAnsi="Verdana" w:cs="Verdana"/>
          <w:sz w:val="22"/>
          <w:szCs w:val="22"/>
        </w:rPr>
        <w:t xml:space="preserve">I.- </w:t>
      </w:r>
      <w:r>
        <w:rPr>
          <w:rFonts w:ascii="Verdana" w:hAnsi="Verdana" w:cs="Verdana"/>
          <w:sz w:val="22"/>
          <w:szCs w:val="22"/>
        </w:rPr>
        <w:tab/>
      </w:r>
      <w:r w:rsidRPr="000006DE">
        <w:rPr>
          <w:rFonts w:ascii="Verdana" w:hAnsi="Verdana" w:cs="Verdana"/>
          <w:b/>
          <w:bCs/>
          <w:sz w:val="22"/>
          <w:szCs w:val="22"/>
        </w:rPr>
        <w:t>RECHAZAR DE PLANO</w:t>
      </w:r>
      <w:r w:rsidRPr="000006DE">
        <w:rPr>
          <w:rFonts w:ascii="Verdana" w:hAnsi="Verdana" w:cs="Verdana"/>
          <w:sz w:val="22"/>
          <w:szCs w:val="22"/>
        </w:rPr>
        <w:t xml:space="preserve"> la demanda </w:t>
      </w:r>
      <w:r>
        <w:rPr>
          <w:rFonts w:ascii="Verdana" w:hAnsi="Verdana" w:cs="Verdana"/>
          <w:sz w:val="22"/>
          <w:szCs w:val="22"/>
        </w:rPr>
        <w:t xml:space="preserve">instaurada </w:t>
      </w:r>
      <w:r w:rsidRPr="000006DE">
        <w:rPr>
          <w:rFonts w:ascii="Verdana" w:hAnsi="Verdana" w:cs="Verdana"/>
          <w:sz w:val="22"/>
          <w:szCs w:val="22"/>
        </w:rPr>
        <w:t xml:space="preserve">en ejercicio del medio de control de Nulidad y Restablecimiento de Derecho por </w:t>
      </w:r>
      <w:r w:rsidR="00594C6C">
        <w:rPr>
          <w:rFonts w:ascii="Verdana" w:hAnsi="Verdana" w:cs="Verdana"/>
          <w:sz w:val="22"/>
          <w:szCs w:val="22"/>
        </w:rPr>
        <w:t xml:space="preserve">el </w:t>
      </w:r>
      <w:r w:rsidR="00594C6C">
        <w:rPr>
          <w:rFonts w:ascii="Verdana" w:hAnsi="Verdana" w:cs="Verdana"/>
          <w:sz w:val="22"/>
          <w:szCs w:val="22"/>
        </w:rPr>
        <w:t xml:space="preserve">señor </w:t>
      </w:r>
      <w:r w:rsidR="00594C6C">
        <w:rPr>
          <w:rFonts w:ascii="Verdana" w:hAnsi="Verdana" w:cs="Verdana"/>
          <w:b/>
          <w:bCs/>
        </w:rPr>
        <w:t>OSWALDO DE JESÚS PINO USMA</w:t>
      </w:r>
      <w:r w:rsidRPr="000006DE">
        <w:rPr>
          <w:rFonts w:ascii="Verdana" w:hAnsi="Verdana" w:cs="Verdana"/>
          <w:b/>
          <w:bCs/>
          <w:spacing w:val="10"/>
          <w:sz w:val="22"/>
          <w:szCs w:val="22"/>
        </w:rPr>
        <w:t>,</w:t>
      </w:r>
      <w:r w:rsidRPr="000006DE">
        <w:rPr>
          <w:rFonts w:ascii="Verdana" w:hAnsi="Verdana" w:cs="Verdana"/>
          <w:spacing w:val="10"/>
          <w:sz w:val="22"/>
          <w:szCs w:val="22"/>
        </w:rPr>
        <w:t xml:space="preserve"> contra </w:t>
      </w:r>
      <w:r>
        <w:rPr>
          <w:rFonts w:ascii="Verdana" w:hAnsi="Verdana" w:cs="Verdana"/>
          <w:spacing w:val="10"/>
          <w:sz w:val="22"/>
          <w:szCs w:val="22"/>
        </w:rPr>
        <w:t xml:space="preserve">el </w:t>
      </w:r>
      <w:r>
        <w:rPr>
          <w:rFonts w:ascii="Verdana" w:hAnsi="Verdana" w:cs="Verdana"/>
          <w:b/>
          <w:bCs/>
          <w:color w:val="0000FF"/>
          <w:spacing w:val="10"/>
          <w:sz w:val="22"/>
          <w:szCs w:val="22"/>
        </w:rPr>
        <w:t xml:space="preserve">MUNICIPIO DE MEDELLIN </w:t>
      </w:r>
      <w:r w:rsidRPr="000006DE">
        <w:rPr>
          <w:rFonts w:ascii="Verdana" w:hAnsi="Verdana" w:cs="Verdana"/>
          <w:sz w:val="22"/>
          <w:szCs w:val="22"/>
        </w:rPr>
        <w:t xml:space="preserve">por </w:t>
      </w:r>
      <w:r>
        <w:rPr>
          <w:rFonts w:ascii="Verdana" w:hAnsi="Verdana" w:cs="Verdana"/>
          <w:sz w:val="22"/>
          <w:szCs w:val="22"/>
        </w:rPr>
        <w:t xml:space="preserve">caducidad de la acción, </w:t>
      </w:r>
      <w:r w:rsidRPr="000006DE">
        <w:rPr>
          <w:rFonts w:ascii="Verdana" w:hAnsi="Verdana" w:cs="Verdana"/>
          <w:sz w:val="22"/>
          <w:szCs w:val="22"/>
        </w:rPr>
        <w:t>de acuerdo con lo expuest</w:t>
      </w:r>
      <w:r>
        <w:rPr>
          <w:rFonts w:ascii="Verdana" w:hAnsi="Verdana" w:cs="Verdana"/>
          <w:sz w:val="22"/>
          <w:szCs w:val="22"/>
        </w:rPr>
        <w:t>o en la parte considerativa de e</w:t>
      </w:r>
      <w:r w:rsidRPr="000006DE">
        <w:rPr>
          <w:rFonts w:ascii="Verdana" w:hAnsi="Verdana" w:cs="Verdana"/>
          <w:sz w:val="22"/>
          <w:szCs w:val="22"/>
        </w:rPr>
        <w:t xml:space="preserve">sta providencia.   </w:t>
      </w:r>
    </w:p>
    <w:p w:rsidR="001756A5" w:rsidRPr="000006DE" w:rsidRDefault="001756A5" w:rsidP="001756A5">
      <w:pPr>
        <w:spacing w:line="480" w:lineRule="auto"/>
        <w:jc w:val="both"/>
        <w:rPr>
          <w:rFonts w:ascii="Verdana" w:hAnsi="Verdana" w:cs="Verdana"/>
          <w:sz w:val="22"/>
          <w:szCs w:val="22"/>
        </w:rPr>
      </w:pPr>
    </w:p>
    <w:p w:rsidR="001756A5" w:rsidRPr="000006DE" w:rsidRDefault="001756A5" w:rsidP="001756A5">
      <w:pPr>
        <w:spacing w:line="360" w:lineRule="auto"/>
        <w:jc w:val="both"/>
        <w:rPr>
          <w:rFonts w:ascii="Verdana" w:hAnsi="Verdana" w:cs="Verdana"/>
          <w:spacing w:val="10"/>
          <w:sz w:val="22"/>
          <w:szCs w:val="22"/>
        </w:rPr>
      </w:pPr>
      <w:r w:rsidRPr="000006DE">
        <w:rPr>
          <w:rFonts w:ascii="Verdana" w:hAnsi="Verdana" w:cs="Verdana"/>
          <w:sz w:val="22"/>
          <w:szCs w:val="22"/>
        </w:rPr>
        <w:t xml:space="preserve">II.-    </w:t>
      </w:r>
      <w:r w:rsidRPr="000006DE">
        <w:rPr>
          <w:rFonts w:ascii="Verdana" w:hAnsi="Verdana" w:cs="Verdana"/>
          <w:b/>
          <w:bCs/>
          <w:sz w:val="22"/>
          <w:szCs w:val="22"/>
        </w:rPr>
        <w:t>DEVOLVER</w:t>
      </w:r>
      <w:r w:rsidRPr="000006DE">
        <w:rPr>
          <w:rFonts w:ascii="Verdana" w:hAnsi="Verdana" w:cs="Verdana"/>
          <w:sz w:val="22"/>
          <w:szCs w:val="22"/>
        </w:rPr>
        <w:t xml:space="preserve"> los anexos, sin necesidad de desglose.</w:t>
      </w:r>
    </w:p>
    <w:p w:rsidR="001756A5" w:rsidRPr="000006DE" w:rsidRDefault="001756A5" w:rsidP="001756A5">
      <w:pPr>
        <w:spacing w:line="480" w:lineRule="auto"/>
        <w:jc w:val="both"/>
        <w:rPr>
          <w:rFonts w:ascii="Verdana" w:hAnsi="Verdana" w:cs="Verdana"/>
          <w:spacing w:val="10"/>
          <w:sz w:val="22"/>
          <w:szCs w:val="22"/>
        </w:rPr>
      </w:pPr>
    </w:p>
    <w:p w:rsidR="001756A5" w:rsidRPr="000006DE" w:rsidRDefault="001756A5" w:rsidP="001756A5">
      <w:pPr>
        <w:spacing w:line="360" w:lineRule="auto"/>
        <w:jc w:val="both"/>
        <w:rPr>
          <w:rFonts w:ascii="Verdana" w:hAnsi="Verdana" w:cs="Verdana"/>
          <w:sz w:val="22"/>
          <w:szCs w:val="22"/>
        </w:rPr>
      </w:pPr>
      <w:r w:rsidRPr="000006DE">
        <w:rPr>
          <w:rFonts w:ascii="Verdana" w:hAnsi="Verdana" w:cs="Verdana"/>
          <w:spacing w:val="10"/>
          <w:sz w:val="22"/>
          <w:szCs w:val="22"/>
        </w:rPr>
        <w:t>III. En firme esta providencia procédase al archivo del expediente.</w:t>
      </w:r>
    </w:p>
    <w:p w:rsidR="001756A5" w:rsidRPr="000006DE" w:rsidRDefault="001756A5" w:rsidP="001756A5">
      <w:pPr>
        <w:spacing w:line="480" w:lineRule="auto"/>
        <w:jc w:val="both"/>
        <w:rPr>
          <w:rFonts w:ascii="Verdana" w:hAnsi="Verdana" w:cs="Verdana"/>
          <w:sz w:val="22"/>
          <w:szCs w:val="22"/>
        </w:rPr>
      </w:pPr>
    </w:p>
    <w:p w:rsidR="001756A5" w:rsidRPr="000006DE" w:rsidRDefault="001756A5" w:rsidP="001756A5">
      <w:pPr>
        <w:spacing w:line="360" w:lineRule="auto"/>
        <w:jc w:val="both"/>
        <w:rPr>
          <w:rFonts w:ascii="Verdana" w:hAnsi="Verdana" w:cs="Verdana"/>
          <w:sz w:val="22"/>
          <w:szCs w:val="22"/>
        </w:rPr>
      </w:pPr>
      <w:r w:rsidRPr="000006DE">
        <w:rPr>
          <w:rFonts w:ascii="Verdana" w:hAnsi="Verdana" w:cs="Verdana"/>
          <w:sz w:val="22"/>
          <w:szCs w:val="22"/>
        </w:rPr>
        <w:t>IV.-</w:t>
      </w:r>
      <w:r w:rsidRPr="000006DE">
        <w:rPr>
          <w:rFonts w:ascii="Verdana" w:hAnsi="Verdana" w:cs="Verdana"/>
          <w:sz w:val="22"/>
          <w:szCs w:val="22"/>
        </w:rPr>
        <w:tab/>
        <w:t xml:space="preserve">Se </w:t>
      </w:r>
      <w:r w:rsidRPr="000006DE">
        <w:rPr>
          <w:rFonts w:ascii="Verdana" w:hAnsi="Verdana" w:cs="Verdana"/>
          <w:b/>
          <w:bCs/>
          <w:sz w:val="22"/>
          <w:szCs w:val="22"/>
        </w:rPr>
        <w:t>RECONOCE</w:t>
      </w:r>
      <w:r w:rsidRPr="000006DE">
        <w:rPr>
          <w:rFonts w:ascii="Verdana" w:hAnsi="Verdana" w:cs="Verdana"/>
          <w:sz w:val="22"/>
          <w:szCs w:val="22"/>
        </w:rPr>
        <w:t xml:space="preserve"> personería a la abogada </w:t>
      </w:r>
      <w:r>
        <w:rPr>
          <w:rFonts w:ascii="Verdana" w:hAnsi="Verdana" w:cs="Verdana"/>
          <w:b/>
          <w:bCs/>
          <w:sz w:val="22"/>
          <w:szCs w:val="22"/>
        </w:rPr>
        <w:t>DIANA CAROLINA ALZATE QUINTERO</w:t>
      </w:r>
      <w:r w:rsidRPr="000006DE">
        <w:rPr>
          <w:rFonts w:ascii="Verdana" w:hAnsi="Verdana" w:cs="Verdana"/>
          <w:b/>
          <w:bCs/>
          <w:sz w:val="22"/>
          <w:szCs w:val="22"/>
        </w:rPr>
        <w:t xml:space="preserve">, </w:t>
      </w:r>
      <w:r w:rsidRPr="000006DE">
        <w:rPr>
          <w:rFonts w:ascii="Verdana" w:hAnsi="Verdana" w:cs="Verdana"/>
          <w:sz w:val="22"/>
          <w:szCs w:val="22"/>
        </w:rPr>
        <w:t xml:space="preserve">con tarjeta profesional número </w:t>
      </w:r>
      <w:r>
        <w:rPr>
          <w:rFonts w:ascii="Verdana" w:hAnsi="Verdana" w:cs="Verdana"/>
          <w:sz w:val="22"/>
          <w:szCs w:val="22"/>
        </w:rPr>
        <w:t>165</w:t>
      </w:r>
      <w:r w:rsidRPr="000006DE">
        <w:rPr>
          <w:rFonts w:ascii="Verdana" w:hAnsi="Verdana" w:cs="Verdana"/>
          <w:sz w:val="22"/>
          <w:szCs w:val="22"/>
        </w:rPr>
        <w:t>.</w:t>
      </w:r>
      <w:r>
        <w:rPr>
          <w:rFonts w:ascii="Verdana" w:hAnsi="Verdana" w:cs="Verdana"/>
          <w:sz w:val="22"/>
          <w:szCs w:val="22"/>
        </w:rPr>
        <w:t xml:space="preserve">819 </w:t>
      </w:r>
      <w:r w:rsidRPr="000006DE">
        <w:rPr>
          <w:rFonts w:ascii="Verdana" w:hAnsi="Verdana" w:cs="Verdana"/>
          <w:sz w:val="22"/>
          <w:szCs w:val="22"/>
        </w:rPr>
        <w:t xml:space="preserve">expedida por el Consejo Superior de la Judicatura, para representar a la </w:t>
      </w:r>
      <w:r>
        <w:rPr>
          <w:rFonts w:ascii="Verdana" w:hAnsi="Verdana" w:cs="Verdana"/>
          <w:sz w:val="22"/>
          <w:szCs w:val="22"/>
        </w:rPr>
        <w:t>parte demandante</w:t>
      </w:r>
      <w:r w:rsidRPr="000006DE">
        <w:rPr>
          <w:rFonts w:ascii="Verdana" w:hAnsi="Verdana" w:cs="Verdana"/>
          <w:sz w:val="22"/>
          <w:szCs w:val="22"/>
        </w:rPr>
        <w:t xml:space="preserve">.  </w:t>
      </w:r>
    </w:p>
    <w:p w:rsidR="001756A5" w:rsidRPr="000006DE" w:rsidRDefault="001756A5" w:rsidP="001756A5">
      <w:pPr>
        <w:spacing w:line="480" w:lineRule="auto"/>
        <w:jc w:val="both"/>
        <w:rPr>
          <w:rFonts w:ascii="Verdana" w:hAnsi="Verdana" w:cs="Verdana"/>
          <w:sz w:val="22"/>
          <w:szCs w:val="22"/>
        </w:rPr>
      </w:pPr>
    </w:p>
    <w:p w:rsidR="001756A5" w:rsidRPr="000006DE" w:rsidRDefault="001756A5" w:rsidP="001756A5">
      <w:pPr>
        <w:spacing w:line="360" w:lineRule="auto"/>
        <w:jc w:val="both"/>
        <w:rPr>
          <w:rFonts w:ascii="Verdana" w:hAnsi="Verdana" w:cs="Verdana"/>
          <w:sz w:val="22"/>
          <w:szCs w:val="22"/>
        </w:rPr>
      </w:pPr>
    </w:p>
    <w:p w:rsidR="001756A5" w:rsidRPr="000006DE" w:rsidRDefault="001756A5" w:rsidP="001756A5">
      <w:pPr>
        <w:spacing w:line="360" w:lineRule="auto"/>
        <w:jc w:val="center"/>
        <w:outlineLvl w:val="0"/>
        <w:rPr>
          <w:rFonts w:ascii="Verdana" w:hAnsi="Verdana" w:cs="Verdana"/>
          <w:b/>
          <w:bCs/>
          <w:sz w:val="22"/>
          <w:szCs w:val="22"/>
        </w:rPr>
      </w:pPr>
      <w:r w:rsidRPr="000006DE">
        <w:rPr>
          <w:rFonts w:ascii="Verdana" w:hAnsi="Verdana" w:cs="Verdana"/>
          <w:b/>
          <w:bCs/>
          <w:sz w:val="22"/>
          <w:szCs w:val="22"/>
        </w:rPr>
        <w:t>N O T I F Í Q U E S E.-</w:t>
      </w:r>
    </w:p>
    <w:p w:rsidR="001756A5" w:rsidRPr="000006DE" w:rsidRDefault="001756A5" w:rsidP="001756A5">
      <w:pPr>
        <w:spacing w:line="480" w:lineRule="auto"/>
        <w:jc w:val="both"/>
        <w:outlineLvl w:val="0"/>
        <w:rPr>
          <w:rFonts w:ascii="Verdana" w:hAnsi="Verdana" w:cs="Verdana"/>
          <w:sz w:val="22"/>
          <w:szCs w:val="22"/>
        </w:rPr>
      </w:pPr>
    </w:p>
    <w:p w:rsidR="001756A5" w:rsidRPr="00E74959" w:rsidRDefault="001756A5" w:rsidP="001756A5">
      <w:pPr>
        <w:spacing w:line="360" w:lineRule="auto"/>
        <w:jc w:val="both"/>
        <w:outlineLvl w:val="0"/>
        <w:rPr>
          <w:rFonts w:ascii="Verdana" w:hAnsi="Verdana" w:cs="Verdana"/>
          <w:sz w:val="22"/>
          <w:szCs w:val="22"/>
        </w:rPr>
      </w:pPr>
      <w:r w:rsidRPr="000006DE">
        <w:rPr>
          <w:rFonts w:ascii="Verdana" w:hAnsi="Verdana" w:cs="Verdana"/>
          <w:sz w:val="22"/>
          <w:szCs w:val="22"/>
        </w:rPr>
        <w:t>La Juez,</w:t>
      </w:r>
    </w:p>
    <w:p w:rsidR="001756A5" w:rsidRPr="00E74959" w:rsidRDefault="001756A5" w:rsidP="001756A5">
      <w:pPr>
        <w:spacing w:line="480" w:lineRule="auto"/>
        <w:jc w:val="both"/>
        <w:outlineLvl w:val="0"/>
        <w:rPr>
          <w:rFonts w:ascii="Verdana" w:hAnsi="Verdana" w:cs="Verdana"/>
          <w:sz w:val="22"/>
          <w:szCs w:val="22"/>
        </w:rPr>
      </w:pPr>
    </w:p>
    <w:p w:rsidR="001756A5" w:rsidRDefault="001756A5" w:rsidP="001756A5">
      <w:pPr>
        <w:spacing w:line="360" w:lineRule="auto"/>
        <w:jc w:val="center"/>
        <w:outlineLvl w:val="0"/>
        <w:rPr>
          <w:rFonts w:ascii="Verdana" w:hAnsi="Verdana" w:cs="Verdana"/>
          <w:b/>
          <w:bCs/>
          <w:sz w:val="22"/>
          <w:szCs w:val="22"/>
        </w:rPr>
      </w:pPr>
      <w:r w:rsidRPr="00E74959">
        <w:rPr>
          <w:rFonts w:ascii="Verdana" w:hAnsi="Verdana" w:cs="Verdana"/>
          <w:b/>
          <w:bCs/>
          <w:sz w:val="22"/>
          <w:szCs w:val="22"/>
        </w:rPr>
        <w:t xml:space="preserve">LEIDY JOHANA ARANGO BOLÍVAR </w:t>
      </w:r>
    </w:p>
    <w:p w:rsidR="001756A5" w:rsidRDefault="001756A5" w:rsidP="00594C6C">
      <w:pPr>
        <w:spacing w:line="360" w:lineRule="auto"/>
        <w:jc w:val="center"/>
        <w:outlineLvl w:val="0"/>
      </w:pPr>
      <w:r>
        <w:rPr>
          <w:noProof/>
          <w:lang w:val="es-CO" w:eastAsia="es-CO"/>
        </w:rPr>
        <mc:AlternateContent>
          <mc:Choice Requires="wps">
            <w:drawing>
              <wp:anchor distT="0" distB="0" distL="114300" distR="114300" simplePos="0" relativeHeight="251660288" behindDoc="1" locked="0" layoutInCell="1" allowOverlap="1" wp14:anchorId="712EF65C" wp14:editId="31AE2E72">
                <wp:simplePos x="0" y="0"/>
                <wp:positionH relativeFrom="margin">
                  <wp:align>center</wp:align>
                </wp:positionH>
                <wp:positionV relativeFrom="paragraph">
                  <wp:posOffset>181913</wp:posOffset>
                </wp:positionV>
                <wp:extent cx="4528820" cy="2016125"/>
                <wp:effectExtent l="0" t="0" r="24130" b="22225"/>
                <wp:wrapSquare wrapText="bothSides"/>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2016125"/>
                        </a:xfrm>
                        <a:prstGeom prst="rect">
                          <a:avLst/>
                        </a:prstGeom>
                        <a:solidFill>
                          <a:srgbClr val="FFFFFF"/>
                        </a:solidFill>
                        <a:ln w="9525">
                          <a:solidFill>
                            <a:srgbClr val="000000"/>
                          </a:solidFill>
                          <a:miter lim="800000"/>
                          <a:headEnd/>
                          <a:tailEnd/>
                        </a:ln>
                      </wps:spPr>
                      <wps:txbx>
                        <w:txbxContent>
                          <w:p w:rsidR="001756A5" w:rsidRPr="00760A9B" w:rsidRDefault="001756A5" w:rsidP="001756A5">
                            <w:pPr>
                              <w:jc w:val="center"/>
                              <w:rPr>
                                <w:rFonts w:ascii="Verdana" w:hAnsi="Verdana" w:cs="Verdana"/>
                                <w:b/>
                                <w:bCs/>
                                <w:sz w:val="16"/>
                                <w:szCs w:val="16"/>
                              </w:rPr>
                            </w:pPr>
                            <w:r w:rsidRPr="00760A9B">
                              <w:rPr>
                                <w:rFonts w:ascii="Verdana" w:hAnsi="Verdana" w:cs="Verdana"/>
                                <w:b/>
                                <w:bCs/>
                                <w:sz w:val="16"/>
                                <w:szCs w:val="16"/>
                              </w:rPr>
                              <w:t>NOTIFICACIÓN POR ESTADOS ELECTRÓNICOS</w:t>
                            </w:r>
                          </w:p>
                          <w:p w:rsidR="001756A5" w:rsidRPr="00760A9B" w:rsidRDefault="001756A5" w:rsidP="001756A5">
                            <w:pPr>
                              <w:jc w:val="center"/>
                              <w:rPr>
                                <w:rFonts w:ascii="Verdana" w:hAnsi="Verdana" w:cs="Verdana"/>
                                <w:sz w:val="16"/>
                                <w:szCs w:val="16"/>
                              </w:rPr>
                            </w:pPr>
                          </w:p>
                          <w:p w:rsidR="001756A5" w:rsidRPr="00760A9B" w:rsidRDefault="001756A5" w:rsidP="001756A5">
                            <w:pPr>
                              <w:jc w:val="center"/>
                              <w:rPr>
                                <w:rFonts w:ascii="Verdana" w:hAnsi="Verdana" w:cs="Verdana"/>
                                <w:b/>
                                <w:bCs/>
                                <w:sz w:val="16"/>
                                <w:szCs w:val="16"/>
                              </w:rPr>
                            </w:pPr>
                            <w:r w:rsidRPr="00760A9B">
                              <w:rPr>
                                <w:rFonts w:ascii="Verdana" w:hAnsi="Verdana" w:cs="Verdana"/>
                                <w:b/>
                                <w:bCs/>
                                <w:sz w:val="16"/>
                                <w:szCs w:val="16"/>
                              </w:rPr>
                              <w:t>JUZGADO DOCE ADMINISTRATIVO ORAL DE MEDELLIN</w:t>
                            </w:r>
                          </w:p>
                          <w:p w:rsidR="001756A5" w:rsidRPr="00760A9B" w:rsidRDefault="001756A5" w:rsidP="001756A5">
                            <w:pPr>
                              <w:ind w:left="131"/>
                              <w:jc w:val="center"/>
                              <w:rPr>
                                <w:rFonts w:ascii="Verdana" w:hAnsi="Verdana" w:cs="Verdana"/>
                                <w:sz w:val="16"/>
                                <w:szCs w:val="16"/>
                              </w:rPr>
                            </w:pPr>
                          </w:p>
                          <w:p w:rsidR="001756A5" w:rsidRDefault="001756A5" w:rsidP="001756A5">
                            <w:pPr>
                              <w:jc w:val="center"/>
                              <w:rPr>
                                <w:rFonts w:ascii="Verdana" w:hAnsi="Verdana" w:cs="Verdana"/>
                                <w:sz w:val="16"/>
                                <w:szCs w:val="16"/>
                              </w:rPr>
                            </w:pPr>
                            <w:r w:rsidRPr="00760A9B">
                              <w:rPr>
                                <w:rFonts w:ascii="Verdana" w:hAnsi="Verdana" w:cs="Verdana"/>
                                <w:b/>
                                <w:bCs/>
                                <w:sz w:val="16"/>
                                <w:szCs w:val="16"/>
                              </w:rPr>
                              <w:t>CERTIFICO:</w:t>
                            </w:r>
                            <w:r w:rsidRPr="00760A9B">
                              <w:rPr>
                                <w:rFonts w:ascii="Verdana" w:hAnsi="Verdana" w:cs="Verdana"/>
                                <w:sz w:val="16"/>
                                <w:szCs w:val="16"/>
                              </w:rPr>
                              <w:t xml:space="preserve"> En la fecha se notificó por ESTADOS ELECTRÓNICOS el auto anterior en la siguiente dirección electrónica:</w:t>
                            </w:r>
                          </w:p>
                          <w:p w:rsidR="001756A5" w:rsidRDefault="001756A5" w:rsidP="001756A5">
                            <w:pPr>
                              <w:jc w:val="center"/>
                              <w:rPr>
                                <w:rFonts w:ascii="Verdana" w:hAnsi="Verdana" w:cs="Verdana"/>
                                <w:sz w:val="16"/>
                                <w:szCs w:val="16"/>
                              </w:rPr>
                            </w:pPr>
                          </w:p>
                          <w:p w:rsidR="001756A5" w:rsidRPr="00760A9B" w:rsidRDefault="001756A5" w:rsidP="001756A5">
                            <w:pPr>
                              <w:jc w:val="center"/>
                              <w:rPr>
                                <w:rFonts w:ascii="Verdana" w:hAnsi="Verdana" w:cs="Verdana"/>
                                <w:sz w:val="16"/>
                                <w:szCs w:val="16"/>
                              </w:rPr>
                            </w:pPr>
                            <w:hyperlink r:id="rId8" w:history="1">
                              <w:r w:rsidRPr="00BE2C60">
                                <w:rPr>
                                  <w:rStyle w:val="Hipervnculo"/>
                                  <w:rFonts w:ascii="Verdana" w:hAnsi="Verdana" w:cs="Verdana"/>
                                  <w:sz w:val="16"/>
                                  <w:szCs w:val="16"/>
                                </w:rPr>
                                <w:t>http://www.ramajudicial.gov.co/web/juzgado-12-administrativo-de-medellin/estados-electronicos/2014</w:t>
                              </w:r>
                            </w:hyperlink>
                            <w:r w:rsidRPr="00760A9B">
                              <w:rPr>
                                <w:rFonts w:ascii="Verdana" w:hAnsi="Verdana" w:cs="Verdana"/>
                                <w:sz w:val="16"/>
                                <w:szCs w:val="16"/>
                              </w:rPr>
                              <w:t>.</w:t>
                            </w:r>
                          </w:p>
                          <w:p w:rsidR="001756A5" w:rsidRPr="00760A9B" w:rsidRDefault="001756A5" w:rsidP="001756A5">
                            <w:pPr>
                              <w:jc w:val="center"/>
                              <w:rPr>
                                <w:rFonts w:ascii="Verdana" w:hAnsi="Verdana" w:cs="Verdana"/>
                                <w:sz w:val="16"/>
                                <w:szCs w:val="16"/>
                              </w:rPr>
                            </w:pPr>
                          </w:p>
                          <w:p w:rsidR="001756A5" w:rsidRPr="00760A9B" w:rsidRDefault="001756A5" w:rsidP="001756A5">
                            <w:pPr>
                              <w:jc w:val="center"/>
                              <w:rPr>
                                <w:rFonts w:ascii="Verdana" w:hAnsi="Verdana" w:cs="Verdana"/>
                                <w:sz w:val="16"/>
                                <w:szCs w:val="16"/>
                              </w:rPr>
                            </w:pPr>
                            <w:r w:rsidRPr="00760A9B">
                              <w:rPr>
                                <w:rFonts w:ascii="Verdana" w:hAnsi="Verdana" w:cs="Verdana"/>
                                <w:sz w:val="16"/>
                                <w:szCs w:val="16"/>
                              </w:rPr>
                              <w:t xml:space="preserve">Medellín, </w:t>
                            </w:r>
                            <w:r w:rsidR="00594C6C">
                              <w:rPr>
                                <w:rFonts w:ascii="Verdana" w:hAnsi="Verdana" w:cs="Verdana"/>
                                <w:b/>
                                <w:bCs/>
                                <w:sz w:val="16"/>
                                <w:szCs w:val="16"/>
                                <w:u w:val="single"/>
                                <w:lang w:val="es-CO"/>
                              </w:rPr>
                              <w:t xml:space="preserve">11 </w:t>
                            </w:r>
                            <w:r>
                              <w:rPr>
                                <w:rFonts w:ascii="Verdana" w:hAnsi="Verdana" w:cs="Verdana"/>
                                <w:b/>
                                <w:bCs/>
                                <w:sz w:val="16"/>
                                <w:szCs w:val="16"/>
                                <w:u w:val="single"/>
                                <w:lang w:val="es-CO"/>
                              </w:rPr>
                              <w:t xml:space="preserve">DE NOVIEMBRE </w:t>
                            </w:r>
                            <w:r w:rsidRPr="00760A9B">
                              <w:rPr>
                                <w:rFonts w:ascii="Verdana" w:hAnsi="Verdana" w:cs="Verdana"/>
                                <w:b/>
                                <w:bCs/>
                                <w:sz w:val="16"/>
                                <w:szCs w:val="16"/>
                                <w:u w:val="single"/>
                              </w:rPr>
                              <w:t>DE 2014</w:t>
                            </w:r>
                            <w:r w:rsidRPr="00760A9B">
                              <w:rPr>
                                <w:rFonts w:ascii="Verdana" w:hAnsi="Verdana" w:cs="Verdana"/>
                                <w:sz w:val="16"/>
                                <w:szCs w:val="16"/>
                              </w:rPr>
                              <w:t>. Fijado a las 8.00 a.m.</w:t>
                            </w:r>
                          </w:p>
                          <w:p w:rsidR="001756A5" w:rsidRPr="00760A9B" w:rsidRDefault="001756A5" w:rsidP="001756A5">
                            <w:pPr>
                              <w:jc w:val="center"/>
                              <w:rPr>
                                <w:rFonts w:ascii="Verdana" w:hAnsi="Verdana" w:cs="Verdana"/>
                                <w:sz w:val="16"/>
                                <w:szCs w:val="16"/>
                              </w:rPr>
                            </w:pPr>
                          </w:p>
                          <w:p w:rsidR="001756A5" w:rsidRPr="00760A9B" w:rsidRDefault="001756A5" w:rsidP="001756A5">
                            <w:pPr>
                              <w:jc w:val="center"/>
                              <w:rPr>
                                <w:rFonts w:ascii="Verdana" w:hAnsi="Verdana" w:cs="Verdana"/>
                                <w:sz w:val="16"/>
                                <w:szCs w:val="16"/>
                              </w:rPr>
                            </w:pPr>
                            <w:r w:rsidRPr="00760A9B">
                              <w:rPr>
                                <w:rFonts w:ascii="Verdana" w:hAnsi="Verdana" w:cs="Verdana"/>
                                <w:sz w:val="16"/>
                                <w:szCs w:val="16"/>
                              </w:rPr>
                              <w:t>_______________________________</w:t>
                            </w:r>
                          </w:p>
                          <w:p w:rsidR="001756A5" w:rsidRPr="00760A9B" w:rsidRDefault="001756A5" w:rsidP="001756A5">
                            <w:pPr>
                              <w:jc w:val="center"/>
                              <w:rPr>
                                <w:rFonts w:ascii="Verdana" w:hAnsi="Verdana" w:cs="Verdana"/>
                                <w:b/>
                                <w:bCs/>
                                <w:sz w:val="16"/>
                                <w:szCs w:val="16"/>
                              </w:rPr>
                            </w:pPr>
                            <w:r w:rsidRPr="00760A9B">
                              <w:rPr>
                                <w:rFonts w:ascii="Verdana" w:hAnsi="Verdana" w:cs="Verdana"/>
                                <w:b/>
                                <w:bCs/>
                                <w:sz w:val="16"/>
                                <w:szCs w:val="16"/>
                              </w:rPr>
                              <w:t>KENNY DÍAZ MONTOYA</w:t>
                            </w:r>
                          </w:p>
                          <w:p w:rsidR="001756A5" w:rsidRPr="00760A9B" w:rsidRDefault="001756A5" w:rsidP="001756A5">
                            <w:pPr>
                              <w:jc w:val="center"/>
                              <w:rPr>
                                <w:rFonts w:ascii="Verdana" w:hAnsi="Verdana" w:cs="Verdana"/>
                                <w:sz w:val="16"/>
                                <w:szCs w:val="16"/>
                              </w:rPr>
                            </w:pPr>
                            <w:r w:rsidRPr="00760A9B">
                              <w:rPr>
                                <w:rFonts w:ascii="Verdana" w:hAnsi="Verdana" w:cs="Verdana"/>
                                <w:sz w:val="16"/>
                                <w:szCs w:val="16"/>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EF65C" id="_x0000_t202" coordsize="21600,21600" o:spt="202" path="m,l,21600r21600,l21600,xe">
                <v:stroke joinstyle="miter"/>
                <v:path gradientshapeok="t" o:connecttype="rect"/>
              </v:shapetype>
              <v:shape id="Cuadro de texto 1" o:spid="_x0000_s1027" type="#_x0000_t202" style="position:absolute;left:0;text-align:left;margin-left:0;margin-top:14.3pt;width:356.6pt;height:158.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">
                <v:textbox>
                  <w:txbxContent>
                    <w:p w:rsidR="001756A5" w:rsidRPr="00760A9B" w:rsidRDefault="001756A5" w:rsidP="001756A5">
                      <w:pPr>
                        <w:jc w:val="center"/>
                        <w:rPr>
                          <w:rFonts w:ascii="Verdana" w:hAnsi="Verdana" w:cs="Verdana"/>
                          <w:b/>
                          <w:bCs/>
                          <w:sz w:val="16"/>
                          <w:szCs w:val="16"/>
                        </w:rPr>
                      </w:pPr>
                      <w:r w:rsidRPr="00760A9B">
                        <w:rPr>
                          <w:rFonts w:ascii="Verdana" w:hAnsi="Verdana" w:cs="Verdana"/>
                          <w:b/>
                          <w:bCs/>
                          <w:sz w:val="16"/>
                          <w:szCs w:val="16"/>
                        </w:rPr>
                        <w:t>NOTIFICACIÓN POR ESTADOS ELECTRÓNICOS</w:t>
                      </w:r>
                    </w:p>
                    <w:p w:rsidR="001756A5" w:rsidRPr="00760A9B" w:rsidRDefault="001756A5" w:rsidP="001756A5">
                      <w:pPr>
                        <w:jc w:val="center"/>
                        <w:rPr>
                          <w:rFonts w:ascii="Verdana" w:hAnsi="Verdana" w:cs="Verdana"/>
                          <w:sz w:val="16"/>
                          <w:szCs w:val="16"/>
                        </w:rPr>
                      </w:pPr>
                    </w:p>
                    <w:p w:rsidR="001756A5" w:rsidRPr="00760A9B" w:rsidRDefault="001756A5" w:rsidP="001756A5">
                      <w:pPr>
                        <w:jc w:val="center"/>
                        <w:rPr>
                          <w:rFonts w:ascii="Verdana" w:hAnsi="Verdana" w:cs="Verdana"/>
                          <w:b/>
                          <w:bCs/>
                          <w:sz w:val="16"/>
                          <w:szCs w:val="16"/>
                        </w:rPr>
                      </w:pPr>
                      <w:r w:rsidRPr="00760A9B">
                        <w:rPr>
                          <w:rFonts w:ascii="Verdana" w:hAnsi="Verdana" w:cs="Verdana"/>
                          <w:b/>
                          <w:bCs/>
                          <w:sz w:val="16"/>
                          <w:szCs w:val="16"/>
                        </w:rPr>
                        <w:t>JUZGADO DOCE ADMINISTRATIVO ORAL DE MEDELLIN</w:t>
                      </w:r>
                    </w:p>
                    <w:p w:rsidR="001756A5" w:rsidRPr="00760A9B" w:rsidRDefault="001756A5" w:rsidP="001756A5">
                      <w:pPr>
                        <w:ind w:left="131"/>
                        <w:jc w:val="center"/>
                        <w:rPr>
                          <w:rFonts w:ascii="Verdana" w:hAnsi="Verdana" w:cs="Verdana"/>
                          <w:sz w:val="16"/>
                          <w:szCs w:val="16"/>
                        </w:rPr>
                      </w:pPr>
                    </w:p>
                    <w:p w:rsidR="001756A5" w:rsidRDefault="001756A5" w:rsidP="001756A5">
                      <w:pPr>
                        <w:jc w:val="center"/>
                        <w:rPr>
                          <w:rFonts w:ascii="Verdana" w:hAnsi="Verdana" w:cs="Verdana"/>
                          <w:sz w:val="16"/>
                          <w:szCs w:val="16"/>
                        </w:rPr>
                      </w:pPr>
                      <w:r w:rsidRPr="00760A9B">
                        <w:rPr>
                          <w:rFonts w:ascii="Verdana" w:hAnsi="Verdana" w:cs="Verdana"/>
                          <w:b/>
                          <w:bCs/>
                          <w:sz w:val="16"/>
                          <w:szCs w:val="16"/>
                        </w:rPr>
                        <w:t>CERTIFICO:</w:t>
                      </w:r>
                      <w:r w:rsidRPr="00760A9B">
                        <w:rPr>
                          <w:rFonts w:ascii="Verdana" w:hAnsi="Verdana" w:cs="Verdana"/>
                          <w:sz w:val="16"/>
                          <w:szCs w:val="16"/>
                        </w:rPr>
                        <w:t xml:space="preserve"> En la fecha se notificó por ESTADOS ELECTRÓNICOS el auto anterior en la siguiente dirección electrónica:</w:t>
                      </w:r>
                    </w:p>
                    <w:p w:rsidR="001756A5" w:rsidRDefault="001756A5" w:rsidP="001756A5">
                      <w:pPr>
                        <w:jc w:val="center"/>
                        <w:rPr>
                          <w:rFonts w:ascii="Verdana" w:hAnsi="Verdana" w:cs="Verdana"/>
                          <w:sz w:val="16"/>
                          <w:szCs w:val="16"/>
                        </w:rPr>
                      </w:pPr>
                    </w:p>
                    <w:p w:rsidR="001756A5" w:rsidRPr="00760A9B" w:rsidRDefault="001756A5" w:rsidP="001756A5">
                      <w:pPr>
                        <w:jc w:val="center"/>
                        <w:rPr>
                          <w:rFonts w:ascii="Verdana" w:hAnsi="Verdana" w:cs="Verdana"/>
                          <w:sz w:val="16"/>
                          <w:szCs w:val="16"/>
                        </w:rPr>
                      </w:pPr>
                      <w:hyperlink r:id="rId9" w:history="1">
                        <w:r w:rsidRPr="00BE2C60">
                          <w:rPr>
                            <w:rStyle w:val="Hipervnculo"/>
                            <w:rFonts w:ascii="Verdana" w:hAnsi="Verdana" w:cs="Verdana"/>
                            <w:sz w:val="16"/>
                            <w:szCs w:val="16"/>
                          </w:rPr>
                          <w:t>http://www.ramajudicial.gov.co/web/juzgado-12-administrativo-de-medellin/estados-electronicos/2014</w:t>
                        </w:r>
                      </w:hyperlink>
                      <w:r w:rsidRPr="00760A9B">
                        <w:rPr>
                          <w:rFonts w:ascii="Verdana" w:hAnsi="Verdana" w:cs="Verdana"/>
                          <w:sz w:val="16"/>
                          <w:szCs w:val="16"/>
                        </w:rPr>
                        <w:t>.</w:t>
                      </w:r>
                    </w:p>
                    <w:p w:rsidR="001756A5" w:rsidRPr="00760A9B" w:rsidRDefault="001756A5" w:rsidP="001756A5">
                      <w:pPr>
                        <w:jc w:val="center"/>
                        <w:rPr>
                          <w:rFonts w:ascii="Verdana" w:hAnsi="Verdana" w:cs="Verdana"/>
                          <w:sz w:val="16"/>
                          <w:szCs w:val="16"/>
                        </w:rPr>
                      </w:pPr>
                    </w:p>
                    <w:p w:rsidR="001756A5" w:rsidRPr="00760A9B" w:rsidRDefault="001756A5" w:rsidP="001756A5">
                      <w:pPr>
                        <w:jc w:val="center"/>
                        <w:rPr>
                          <w:rFonts w:ascii="Verdana" w:hAnsi="Verdana" w:cs="Verdana"/>
                          <w:sz w:val="16"/>
                          <w:szCs w:val="16"/>
                        </w:rPr>
                      </w:pPr>
                      <w:r w:rsidRPr="00760A9B">
                        <w:rPr>
                          <w:rFonts w:ascii="Verdana" w:hAnsi="Verdana" w:cs="Verdana"/>
                          <w:sz w:val="16"/>
                          <w:szCs w:val="16"/>
                        </w:rPr>
                        <w:t xml:space="preserve">Medellín, </w:t>
                      </w:r>
                      <w:r w:rsidR="00594C6C">
                        <w:rPr>
                          <w:rFonts w:ascii="Verdana" w:hAnsi="Verdana" w:cs="Verdana"/>
                          <w:b/>
                          <w:bCs/>
                          <w:sz w:val="16"/>
                          <w:szCs w:val="16"/>
                          <w:u w:val="single"/>
                          <w:lang w:val="es-CO"/>
                        </w:rPr>
                        <w:t xml:space="preserve">11 </w:t>
                      </w:r>
                      <w:r>
                        <w:rPr>
                          <w:rFonts w:ascii="Verdana" w:hAnsi="Verdana" w:cs="Verdana"/>
                          <w:b/>
                          <w:bCs/>
                          <w:sz w:val="16"/>
                          <w:szCs w:val="16"/>
                          <w:u w:val="single"/>
                          <w:lang w:val="es-CO"/>
                        </w:rPr>
                        <w:t xml:space="preserve">DE NOVIEMBRE </w:t>
                      </w:r>
                      <w:r w:rsidRPr="00760A9B">
                        <w:rPr>
                          <w:rFonts w:ascii="Verdana" w:hAnsi="Verdana" w:cs="Verdana"/>
                          <w:b/>
                          <w:bCs/>
                          <w:sz w:val="16"/>
                          <w:szCs w:val="16"/>
                          <w:u w:val="single"/>
                        </w:rPr>
                        <w:t>DE 2014</w:t>
                      </w:r>
                      <w:r w:rsidRPr="00760A9B">
                        <w:rPr>
                          <w:rFonts w:ascii="Verdana" w:hAnsi="Verdana" w:cs="Verdana"/>
                          <w:sz w:val="16"/>
                          <w:szCs w:val="16"/>
                        </w:rPr>
                        <w:t>. Fijado a las 8.00 a.m.</w:t>
                      </w:r>
                    </w:p>
                    <w:p w:rsidR="001756A5" w:rsidRPr="00760A9B" w:rsidRDefault="001756A5" w:rsidP="001756A5">
                      <w:pPr>
                        <w:jc w:val="center"/>
                        <w:rPr>
                          <w:rFonts w:ascii="Verdana" w:hAnsi="Verdana" w:cs="Verdana"/>
                          <w:sz w:val="16"/>
                          <w:szCs w:val="16"/>
                        </w:rPr>
                      </w:pPr>
                    </w:p>
                    <w:p w:rsidR="001756A5" w:rsidRPr="00760A9B" w:rsidRDefault="001756A5" w:rsidP="001756A5">
                      <w:pPr>
                        <w:jc w:val="center"/>
                        <w:rPr>
                          <w:rFonts w:ascii="Verdana" w:hAnsi="Verdana" w:cs="Verdana"/>
                          <w:sz w:val="16"/>
                          <w:szCs w:val="16"/>
                        </w:rPr>
                      </w:pPr>
                      <w:r w:rsidRPr="00760A9B">
                        <w:rPr>
                          <w:rFonts w:ascii="Verdana" w:hAnsi="Verdana" w:cs="Verdana"/>
                          <w:sz w:val="16"/>
                          <w:szCs w:val="16"/>
                        </w:rPr>
                        <w:t>_______________________________</w:t>
                      </w:r>
                    </w:p>
                    <w:p w:rsidR="001756A5" w:rsidRPr="00760A9B" w:rsidRDefault="001756A5" w:rsidP="001756A5">
                      <w:pPr>
                        <w:jc w:val="center"/>
                        <w:rPr>
                          <w:rFonts w:ascii="Verdana" w:hAnsi="Verdana" w:cs="Verdana"/>
                          <w:b/>
                          <w:bCs/>
                          <w:sz w:val="16"/>
                          <w:szCs w:val="16"/>
                        </w:rPr>
                      </w:pPr>
                      <w:r w:rsidRPr="00760A9B">
                        <w:rPr>
                          <w:rFonts w:ascii="Verdana" w:hAnsi="Verdana" w:cs="Verdana"/>
                          <w:b/>
                          <w:bCs/>
                          <w:sz w:val="16"/>
                          <w:szCs w:val="16"/>
                        </w:rPr>
                        <w:t>KENNY DÍAZ MONTOYA</w:t>
                      </w:r>
                    </w:p>
                    <w:p w:rsidR="001756A5" w:rsidRPr="00760A9B" w:rsidRDefault="001756A5" w:rsidP="001756A5">
                      <w:pPr>
                        <w:jc w:val="center"/>
                        <w:rPr>
                          <w:rFonts w:ascii="Verdana" w:hAnsi="Verdana" w:cs="Verdana"/>
                          <w:sz w:val="16"/>
                          <w:szCs w:val="16"/>
                        </w:rPr>
                      </w:pPr>
                      <w:r w:rsidRPr="00760A9B">
                        <w:rPr>
                          <w:rFonts w:ascii="Verdana" w:hAnsi="Verdana" w:cs="Verdana"/>
                          <w:sz w:val="16"/>
                          <w:szCs w:val="16"/>
                        </w:rPr>
                        <w:t>Secretario</w:t>
                      </w:r>
                    </w:p>
                  </w:txbxContent>
                </v:textbox>
                <w10:wrap type="square" anchorx="margin"/>
              </v:shape>
            </w:pict>
          </mc:Fallback>
        </mc:AlternateContent>
      </w:r>
    </w:p>
    <w:p w:rsidR="001756A5" w:rsidRDefault="001756A5" w:rsidP="001756A5"/>
    <w:p w:rsidR="001756A5" w:rsidRDefault="001756A5" w:rsidP="001756A5"/>
    <w:p w:rsidR="001756A5" w:rsidRDefault="001756A5" w:rsidP="001756A5"/>
    <w:p w:rsidR="001756A5" w:rsidRDefault="001756A5" w:rsidP="001756A5">
      <w:pPr>
        <w:spacing w:line="360" w:lineRule="auto"/>
        <w:jc w:val="both"/>
      </w:pPr>
    </w:p>
    <w:p w:rsidR="001756A5" w:rsidRDefault="001756A5" w:rsidP="001756A5"/>
    <w:p w:rsidR="001756A5" w:rsidRDefault="001756A5" w:rsidP="001756A5"/>
    <w:p w:rsidR="001756A5" w:rsidRDefault="001756A5" w:rsidP="001756A5"/>
    <w:p w:rsidR="001756A5" w:rsidRDefault="001756A5" w:rsidP="001756A5">
      <w:pPr>
        <w:spacing w:line="360" w:lineRule="auto"/>
        <w:jc w:val="both"/>
      </w:pPr>
    </w:p>
    <w:p w:rsidR="001756A5" w:rsidRDefault="001756A5" w:rsidP="001756A5">
      <w:pPr>
        <w:spacing w:line="360" w:lineRule="auto"/>
        <w:jc w:val="both"/>
      </w:pPr>
    </w:p>
    <w:p w:rsidR="001B00F6" w:rsidRDefault="006B187A"/>
    <w:sectPr w:rsidR="001B00F6" w:rsidSect="002309B8">
      <w:footerReference w:type="default" r:id="rId10"/>
      <w:pgSz w:w="12242" w:h="18722" w:code="171"/>
      <w:pgMar w:top="2268" w:right="1701" w:bottom="1701" w:left="1985" w:header="567" w:footer="567"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6A5" w:rsidRDefault="001756A5" w:rsidP="001756A5">
      <w:r>
        <w:separator/>
      </w:r>
    </w:p>
  </w:endnote>
  <w:endnote w:type="continuationSeparator" w:id="0">
    <w:p w:rsidR="001756A5" w:rsidRDefault="001756A5" w:rsidP="0017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152" w:rsidRDefault="006B187A">
    <w:pPr>
      <w:pStyle w:val="Piedepgina"/>
      <w:jc w:val="right"/>
    </w:pPr>
    <w:r>
      <w:fldChar w:fldCharType="begin"/>
    </w:r>
    <w:r>
      <w:instrText>PAGE   \* MERGEFORMAT</w:instrText>
    </w:r>
    <w:r>
      <w:fldChar w:fldCharType="separate"/>
    </w:r>
    <w:r>
      <w:rPr>
        <w:noProof/>
      </w:rPr>
      <w:t>1</w:t>
    </w:r>
    <w:r>
      <w:rPr>
        <w:noProof/>
      </w:rPr>
      <w:fldChar w:fldCharType="end"/>
    </w:r>
  </w:p>
  <w:p w:rsidR="00951152" w:rsidRDefault="006B18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6A5" w:rsidRDefault="001756A5" w:rsidP="001756A5">
      <w:r>
        <w:separator/>
      </w:r>
    </w:p>
  </w:footnote>
  <w:footnote w:type="continuationSeparator" w:id="0">
    <w:p w:rsidR="001756A5" w:rsidRDefault="001756A5" w:rsidP="001756A5">
      <w:r>
        <w:continuationSeparator/>
      </w:r>
    </w:p>
  </w:footnote>
  <w:footnote w:id="1">
    <w:p w:rsidR="001756A5" w:rsidRDefault="001756A5" w:rsidP="001756A5">
      <w:pPr>
        <w:pStyle w:val="Textonotapie"/>
      </w:pPr>
      <w:r w:rsidRPr="005D4B38">
        <w:rPr>
          <w:rStyle w:val="Refdenotaalpie"/>
          <w:sz w:val="16"/>
          <w:szCs w:val="16"/>
          <w:vertAlign w:val="baseline"/>
        </w:rPr>
        <w:footnoteRef/>
      </w:r>
      <w:r w:rsidRPr="005D4B38">
        <w:rPr>
          <w:sz w:val="16"/>
          <w:szCs w:val="16"/>
        </w:rPr>
        <w:t xml:space="preserve"> Sentencia del 21 de noviembre de 1991.  Consejera Ponente Dra. Dolly Pedraza de Arenas.</w:t>
      </w:r>
    </w:p>
  </w:footnote>
  <w:footnote w:id="2">
    <w:p w:rsidR="001756A5" w:rsidRDefault="001756A5" w:rsidP="001756A5">
      <w:pPr>
        <w:jc w:val="both"/>
      </w:pPr>
      <w:r w:rsidRPr="005D4B38">
        <w:rPr>
          <w:rStyle w:val="Refdenotaalpie"/>
          <w:spacing w:val="-3"/>
          <w:sz w:val="16"/>
          <w:szCs w:val="16"/>
          <w:vertAlign w:val="baseline"/>
        </w:rPr>
        <w:footnoteRef/>
      </w:r>
      <w:r w:rsidRPr="005D4B38">
        <w:rPr>
          <w:rStyle w:val="Refdenotaalpie"/>
          <w:spacing w:val="-3"/>
          <w:sz w:val="16"/>
          <w:szCs w:val="16"/>
          <w:vertAlign w:val="baseline"/>
        </w:rPr>
        <w:t>Corte Constitucional Sentencia C-565 de Mayo 17 de 2000 M.P. Vladimiro Naranjo Mesa.</w:t>
      </w:r>
    </w:p>
  </w:footnote>
  <w:footnote w:id="3">
    <w:p w:rsidR="001756A5" w:rsidRDefault="001756A5" w:rsidP="001756A5">
      <w:pPr>
        <w:autoSpaceDE w:val="0"/>
        <w:autoSpaceDN w:val="0"/>
        <w:adjustRightInd w:val="0"/>
        <w:jc w:val="both"/>
      </w:pPr>
      <w:r w:rsidRPr="005D4B38">
        <w:rPr>
          <w:rStyle w:val="Refdenotaalpie"/>
          <w:sz w:val="16"/>
          <w:szCs w:val="16"/>
          <w:vertAlign w:val="baseline"/>
        </w:rPr>
        <w:footnoteRef/>
      </w:r>
      <w:r w:rsidRPr="005D4B38">
        <w:rPr>
          <w:sz w:val="16"/>
          <w:szCs w:val="16"/>
          <w:lang w:val="es-ES_tradnl"/>
        </w:rPr>
        <w:t xml:space="preserve">C.E 2A, 08 mayo 2008, e08001 23 31 000 2005 02003 01 (0932-07) G Gómez Aranguren; </w:t>
      </w:r>
      <w:r w:rsidRPr="005D4B38">
        <w:rPr>
          <w:sz w:val="16"/>
          <w:szCs w:val="16"/>
        </w:rPr>
        <w:t>C.E 2A, 12 oct 2006, e73001- 23-315- 000- 2001- 02277-01 (4145-05 P3). J Moreno García.</w:t>
      </w:r>
    </w:p>
  </w:footnote>
  <w:footnote w:id="4">
    <w:p w:rsidR="001756A5" w:rsidRDefault="001756A5" w:rsidP="001756A5">
      <w:pPr>
        <w:tabs>
          <w:tab w:val="left" w:pos="1426"/>
        </w:tabs>
        <w:overflowPunct w:val="0"/>
        <w:autoSpaceDE w:val="0"/>
        <w:autoSpaceDN w:val="0"/>
        <w:adjustRightInd w:val="0"/>
        <w:jc w:val="both"/>
        <w:textAlignment w:val="baseline"/>
      </w:pPr>
      <w:r w:rsidRPr="005D4B38">
        <w:rPr>
          <w:rStyle w:val="Refdenotaalpie"/>
          <w:sz w:val="16"/>
          <w:szCs w:val="16"/>
          <w:vertAlign w:val="baseline"/>
        </w:rPr>
        <w:footnoteRef/>
      </w:r>
      <w:r w:rsidRPr="005D4B38">
        <w:rPr>
          <w:sz w:val="16"/>
          <w:szCs w:val="16"/>
          <w:lang w:val="es-ES_tradnl"/>
        </w:rPr>
        <w:t>C.E 2A, 08 mayo 2008, e08001 23 31 000 2005 02003 01 (0932-07) G Gómez Aranguren</w:t>
      </w:r>
      <w:r w:rsidRPr="005D4B38">
        <w:rPr>
          <w:sz w:val="16"/>
          <w:szCs w:val="16"/>
        </w:rPr>
        <w:t>.</w:t>
      </w:r>
    </w:p>
  </w:footnote>
  <w:footnote w:id="5">
    <w:p w:rsidR="001756A5" w:rsidRDefault="001756A5" w:rsidP="001756A5">
      <w:pPr>
        <w:jc w:val="both"/>
      </w:pPr>
      <w:r w:rsidRPr="005D4B38">
        <w:rPr>
          <w:rStyle w:val="Refdenotaalpie"/>
          <w:sz w:val="16"/>
          <w:szCs w:val="16"/>
          <w:vertAlign w:val="baseline"/>
        </w:rPr>
        <w:footnoteRef/>
      </w:r>
      <w:r w:rsidRPr="005D4B38">
        <w:rPr>
          <w:sz w:val="16"/>
          <w:szCs w:val="16"/>
        </w:rPr>
        <w:t xml:space="preserve"> C.E 2B, 10 dic 2012, e</w:t>
      </w:r>
      <w:r w:rsidRPr="005D4B38">
        <w:rPr>
          <w:sz w:val="16"/>
          <w:szCs w:val="16"/>
          <w:lang w:val="es-ES_tradnl"/>
        </w:rPr>
        <w:t xml:space="preserve">13001-23-31-000-2007-00499-01 (0896-2011). </w:t>
      </w:r>
      <w:r w:rsidRPr="005D4B38">
        <w:rPr>
          <w:sz w:val="16"/>
          <w:szCs w:val="16"/>
        </w:rPr>
        <w:t>G Arenas Monsalve.</w:t>
      </w:r>
    </w:p>
  </w:footnote>
  <w:footnote w:id="6">
    <w:p w:rsidR="001756A5" w:rsidRPr="005D4B38" w:rsidRDefault="001756A5" w:rsidP="001756A5">
      <w:pPr>
        <w:pStyle w:val="NormalWeb"/>
        <w:shd w:val="clear" w:color="auto" w:fill="FFFFFF"/>
        <w:spacing w:before="0" w:beforeAutospacing="0" w:after="0" w:afterAutospacing="0"/>
        <w:jc w:val="both"/>
        <w:rPr>
          <w:color w:val="000000"/>
          <w:sz w:val="16"/>
          <w:szCs w:val="16"/>
        </w:rPr>
      </w:pPr>
      <w:r w:rsidRPr="005D4B38">
        <w:rPr>
          <w:rStyle w:val="Refdenotaalpie"/>
          <w:sz w:val="16"/>
          <w:szCs w:val="16"/>
          <w:vertAlign w:val="baseline"/>
        </w:rPr>
        <w:footnoteRef/>
      </w:r>
      <w:r w:rsidRPr="005D4B38">
        <w:rPr>
          <w:sz w:val="16"/>
          <w:szCs w:val="16"/>
        </w:rPr>
        <w:t xml:space="preserve"> “</w:t>
      </w:r>
      <w:r w:rsidRPr="005D4B38">
        <w:rPr>
          <w:b/>
          <w:bCs/>
          <w:color w:val="000000"/>
          <w:sz w:val="16"/>
          <w:szCs w:val="16"/>
        </w:rPr>
        <w:t>Artículo </w:t>
      </w:r>
      <w:bookmarkStart w:id="1" w:name="BM67"/>
      <w:r w:rsidRPr="005D4B38">
        <w:rPr>
          <w:b/>
          <w:bCs/>
          <w:color w:val="000000"/>
          <w:sz w:val="16"/>
          <w:szCs w:val="16"/>
        </w:rPr>
        <w:t> </w:t>
      </w:r>
      <w:bookmarkEnd w:id="1"/>
      <w:r w:rsidRPr="005D4B38">
        <w:rPr>
          <w:b/>
          <w:bCs/>
          <w:color w:val="000000"/>
          <w:sz w:val="16"/>
          <w:szCs w:val="16"/>
        </w:rPr>
        <w:t>67.</w:t>
      </w:r>
      <w:r w:rsidRPr="005D4B38">
        <w:rPr>
          <w:rStyle w:val="apple-converted-space"/>
          <w:b/>
          <w:bCs/>
          <w:color w:val="000000"/>
          <w:sz w:val="16"/>
          <w:szCs w:val="16"/>
        </w:rPr>
        <w:t> </w:t>
      </w:r>
      <w:r w:rsidRPr="005D4B38">
        <w:rPr>
          <w:b/>
          <w:bCs/>
          <w:i/>
          <w:iCs/>
          <w:color w:val="000000"/>
          <w:sz w:val="16"/>
          <w:szCs w:val="16"/>
        </w:rPr>
        <w:t>Notificación personal.</w:t>
      </w:r>
      <w:r w:rsidRPr="005D4B38">
        <w:rPr>
          <w:rStyle w:val="apple-converted-space"/>
          <w:i/>
          <w:iCs/>
          <w:color w:val="000000"/>
          <w:sz w:val="16"/>
          <w:szCs w:val="16"/>
        </w:rPr>
        <w:t> </w:t>
      </w:r>
      <w:r w:rsidRPr="005D4B38">
        <w:rPr>
          <w:color w:val="000000"/>
          <w:sz w:val="16"/>
          <w:szCs w:val="16"/>
        </w:rPr>
        <w:t>Las decisiones que pongan término a una actuación administrativa se notificarán personalmente al interesado, a su representante o apoderado, o a la persona debidamente autorizada por el interesado para notificarse.</w:t>
      </w:r>
    </w:p>
    <w:p w:rsidR="001756A5" w:rsidRPr="005D4B38" w:rsidRDefault="001756A5" w:rsidP="001756A5">
      <w:pPr>
        <w:pStyle w:val="NormalWeb"/>
        <w:shd w:val="clear" w:color="auto" w:fill="FFFFFF"/>
        <w:spacing w:before="0" w:beforeAutospacing="0" w:after="0" w:afterAutospacing="0"/>
        <w:jc w:val="both"/>
        <w:rPr>
          <w:color w:val="000000"/>
          <w:sz w:val="16"/>
          <w:szCs w:val="16"/>
        </w:rPr>
      </w:pPr>
      <w:r w:rsidRPr="005D4B38">
        <w:rPr>
          <w:color w:val="000000"/>
          <w:sz w:val="16"/>
          <w:szCs w:val="16"/>
        </w:rPr>
        <w:t>En la diligencia de notificación se entregará al interesado copia íntegra, auténtica y gratuita del acto administrativo, con anotación de la fecha y la hora, los recursos que legalmente proceden, las autoridades ante quienes deben interponerse y los plazos para hacerlo.</w:t>
      </w:r>
    </w:p>
    <w:p w:rsidR="001756A5" w:rsidRPr="005D4B38" w:rsidRDefault="001756A5" w:rsidP="001756A5">
      <w:pPr>
        <w:pStyle w:val="NormalWeb"/>
        <w:shd w:val="clear" w:color="auto" w:fill="FFFFFF"/>
        <w:spacing w:before="0" w:beforeAutospacing="0" w:after="0" w:afterAutospacing="0"/>
        <w:jc w:val="both"/>
        <w:rPr>
          <w:color w:val="000000"/>
          <w:sz w:val="16"/>
          <w:szCs w:val="16"/>
        </w:rPr>
      </w:pPr>
      <w:r w:rsidRPr="005D4B38">
        <w:rPr>
          <w:color w:val="000000"/>
          <w:sz w:val="16"/>
          <w:szCs w:val="16"/>
        </w:rPr>
        <w:t>El incumplimiento de cualquiera de estos requisitos invalidará la notificación.</w:t>
      </w:r>
    </w:p>
    <w:p w:rsidR="001756A5" w:rsidRPr="005D4B38" w:rsidRDefault="001756A5" w:rsidP="001756A5">
      <w:pPr>
        <w:pStyle w:val="NormalWeb"/>
        <w:shd w:val="clear" w:color="auto" w:fill="FFFFFF"/>
        <w:spacing w:before="0" w:beforeAutospacing="0" w:after="0" w:afterAutospacing="0"/>
        <w:jc w:val="both"/>
        <w:rPr>
          <w:color w:val="000000"/>
          <w:sz w:val="16"/>
          <w:szCs w:val="16"/>
        </w:rPr>
      </w:pPr>
      <w:r w:rsidRPr="005D4B38">
        <w:rPr>
          <w:color w:val="000000"/>
          <w:sz w:val="16"/>
          <w:szCs w:val="16"/>
        </w:rPr>
        <w:t>La notificación personal para dar cumplimiento a todas las diligencias previstas en el inciso anterior también podrá efectuarse mediante una cualquiera de las siguientes modalidades:</w:t>
      </w:r>
    </w:p>
    <w:p w:rsidR="001756A5" w:rsidRPr="005D4B38" w:rsidRDefault="001756A5" w:rsidP="001756A5">
      <w:pPr>
        <w:pStyle w:val="NormalWeb"/>
        <w:shd w:val="clear" w:color="auto" w:fill="FFFFFF"/>
        <w:spacing w:before="0" w:beforeAutospacing="0" w:after="0" w:afterAutospacing="0"/>
        <w:jc w:val="both"/>
        <w:rPr>
          <w:color w:val="000000"/>
          <w:sz w:val="16"/>
          <w:szCs w:val="16"/>
        </w:rPr>
      </w:pPr>
      <w:r w:rsidRPr="005D4B38">
        <w:rPr>
          <w:color w:val="000000"/>
          <w:sz w:val="16"/>
          <w:szCs w:val="16"/>
        </w:rPr>
        <w:t>1. Por medio electrónico. Procederá siempre y cuando el interesado acepte ser notificado de esta manera.</w:t>
      </w:r>
    </w:p>
    <w:p w:rsidR="001756A5" w:rsidRPr="005D4B38" w:rsidRDefault="001756A5" w:rsidP="001756A5">
      <w:pPr>
        <w:pStyle w:val="NormalWeb"/>
        <w:shd w:val="clear" w:color="auto" w:fill="FFFFFF"/>
        <w:spacing w:before="0" w:beforeAutospacing="0" w:after="0" w:afterAutospacing="0"/>
        <w:jc w:val="both"/>
        <w:rPr>
          <w:color w:val="000000"/>
          <w:sz w:val="16"/>
          <w:szCs w:val="16"/>
        </w:rPr>
      </w:pPr>
      <w:r w:rsidRPr="005D4B38">
        <w:rPr>
          <w:color w:val="000000"/>
          <w:sz w:val="16"/>
          <w:szCs w:val="16"/>
        </w:rPr>
        <w:t>La administración podrá establecer este tipo de notificación para determinados actos administrativos de carácter masivo que tengan origen en convocatorias públicas. En la reglamentación de la convocatoria impartirá a los interesados las instrucciones pertinentes, y establecerá modalidades alternativas de notificación personal para quienes no cuenten con acceso al medio electrónico.</w:t>
      </w:r>
    </w:p>
    <w:p w:rsidR="001756A5" w:rsidRDefault="001756A5" w:rsidP="001756A5">
      <w:pPr>
        <w:pStyle w:val="NormalWeb"/>
        <w:shd w:val="clear" w:color="auto" w:fill="FFFFFF"/>
        <w:spacing w:before="0" w:beforeAutospacing="0" w:after="0" w:afterAutospacing="0"/>
        <w:jc w:val="both"/>
      </w:pPr>
      <w:r w:rsidRPr="005D4B38">
        <w:rPr>
          <w:color w:val="000000"/>
          <w:sz w:val="16"/>
          <w:szCs w:val="16"/>
        </w:rPr>
        <w:t>2. En estrados. Toda decisión que se adopte en audiencia pública será notificada verbalmente en estrados, debiéndose dejar precisa constancia de las decisiones adoptadas y de la circunstancia de que dichas decisiones quedaron notificadas. A partir del día siguiente a la notificación se contarán los términos para la interposición de recursos.”</w:t>
      </w:r>
    </w:p>
  </w:footnote>
  <w:footnote w:id="7">
    <w:p w:rsidR="001756A5" w:rsidRDefault="001756A5" w:rsidP="001756A5">
      <w:pPr>
        <w:pStyle w:val="Textonotapie"/>
      </w:pPr>
      <w:r w:rsidRPr="005D4B38">
        <w:rPr>
          <w:rStyle w:val="Refdenotaalpie"/>
          <w:sz w:val="16"/>
          <w:szCs w:val="16"/>
          <w:vertAlign w:val="baseline"/>
        </w:rPr>
        <w:footnoteRef/>
      </w:r>
      <w:r w:rsidRPr="005D4B38">
        <w:rPr>
          <w:sz w:val="16"/>
          <w:szCs w:val="16"/>
          <w:lang w:val="es-CO"/>
        </w:rPr>
        <w:t xml:space="preserve"> Folio </w:t>
      </w:r>
      <w:r w:rsidR="00594C6C">
        <w:rPr>
          <w:sz w:val="16"/>
          <w:szCs w:val="16"/>
          <w:lang w:val="es-CO"/>
        </w:rPr>
        <w:t>19</w:t>
      </w:r>
      <w:r w:rsidRPr="005D4B38">
        <w:rPr>
          <w:sz w:val="16"/>
          <w:szCs w:val="16"/>
          <w:lang w:val="es-C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93E10"/>
    <w:multiLevelType w:val="hybridMultilevel"/>
    <w:tmpl w:val="2C643C20"/>
    <w:lvl w:ilvl="0" w:tplc="235CC164">
      <w:start w:val="1"/>
      <w:numFmt w:val="decimal"/>
      <w:lvlText w:val="%1."/>
      <w:lvlJc w:val="left"/>
      <w:pPr>
        <w:tabs>
          <w:tab w:val="num" w:pos="1080"/>
        </w:tabs>
        <w:ind w:left="1080" w:hanging="360"/>
      </w:pPr>
      <w:rPr>
        <w:b/>
        <w:bCs/>
      </w:rPr>
    </w:lvl>
    <w:lvl w:ilvl="1" w:tplc="914EC306">
      <w:numFmt w:val="none"/>
      <w:lvlText w:val=""/>
      <w:lvlJc w:val="left"/>
      <w:pPr>
        <w:tabs>
          <w:tab w:val="num" w:pos="360"/>
        </w:tabs>
      </w:pPr>
    </w:lvl>
    <w:lvl w:ilvl="2" w:tplc="3DC4ED74">
      <w:numFmt w:val="none"/>
      <w:lvlText w:val=""/>
      <w:lvlJc w:val="left"/>
      <w:pPr>
        <w:tabs>
          <w:tab w:val="num" w:pos="360"/>
        </w:tabs>
      </w:pPr>
    </w:lvl>
    <w:lvl w:ilvl="3" w:tplc="140A20C0">
      <w:numFmt w:val="none"/>
      <w:lvlText w:val=""/>
      <w:lvlJc w:val="left"/>
      <w:pPr>
        <w:tabs>
          <w:tab w:val="num" w:pos="360"/>
        </w:tabs>
      </w:pPr>
    </w:lvl>
    <w:lvl w:ilvl="4" w:tplc="E2BA9AE6">
      <w:numFmt w:val="none"/>
      <w:lvlText w:val=""/>
      <w:lvlJc w:val="left"/>
      <w:pPr>
        <w:tabs>
          <w:tab w:val="num" w:pos="360"/>
        </w:tabs>
      </w:pPr>
    </w:lvl>
    <w:lvl w:ilvl="5" w:tplc="1A1CF308">
      <w:numFmt w:val="none"/>
      <w:lvlText w:val=""/>
      <w:lvlJc w:val="left"/>
      <w:pPr>
        <w:tabs>
          <w:tab w:val="num" w:pos="360"/>
        </w:tabs>
      </w:pPr>
    </w:lvl>
    <w:lvl w:ilvl="6" w:tplc="00F65F3A">
      <w:numFmt w:val="none"/>
      <w:lvlText w:val=""/>
      <w:lvlJc w:val="left"/>
      <w:pPr>
        <w:tabs>
          <w:tab w:val="num" w:pos="360"/>
        </w:tabs>
      </w:pPr>
    </w:lvl>
    <w:lvl w:ilvl="7" w:tplc="C20A88B0">
      <w:numFmt w:val="none"/>
      <w:lvlText w:val=""/>
      <w:lvlJc w:val="left"/>
      <w:pPr>
        <w:tabs>
          <w:tab w:val="num" w:pos="360"/>
        </w:tabs>
      </w:pPr>
    </w:lvl>
    <w:lvl w:ilvl="8" w:tplc="720E2348">
      <w:numFmt w:val="none"/>
      <w:lvlText w:val=""/>
      <w:lvlJc w:val="left"/>
      <w:pPr>
        <w:tabs>
          <w:tab w:val="num" w:pos="360"/>
        </w:tabs>
      </w:pPr>
    </w:lvl>
  </w:abstractNum>
  <w:abstractNum w:abstractNumId="1">
    <w:nsid w:val="229D0FC3"/>
    <w:multiLevelType w:val="hybridMultilevel"/>
    <w:tmpl w:val="057CE9B6"/>
    <w:lvl w:ilvl="0" w:tplc="8F08CC16">
      <w:start w:val="1"/>
      <w:numFmt w:val="decimal"/>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A5"/>
    <w:rsid w:val="00062948"/>
    <w:rsid w:val="0006785C"/>
    <w:rsid w:val="001756A5"/>
    <w:rsid w:val="00594C6C"/>
    <w:rsid w:val="006B187A"/>
    <w:rsid w:val="007B4E5D"/>
    <w:rsid w:val="0081760D"/>
    <w:rsid w:val="008B4AEC"/>
    <w:rsid w:val="00A5583F"/>
    <w:rsid w:val="00AB7B82"/>
    <w:rsid w:val="00AF41D0"/>
    <w:rsid w:val="00B2762B"/>
    <w:rsid w:val="00CC49FD"/>
    <w:rsid w:val="00F104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7AEC5-2297-4889-B8B1-53DDEAF1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6A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1756A5"/>
    <w:pPr>
      <w:keepNext/>
      <w:outlineLvl w:val="0"/>
    </w:pPr>
    <w:rPr>
      <w:b/>
      <w:bCs/>
      <w:sz w:val="18"/>
      <w:szCs w:val="1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1756A5"/>
    <w:rPr>
      <w:rFonts w:ascii="Times New Roman" w:eastAsia="Times New Roman" w:hAnsi="Times New Roman" w:cs="Times New Roman"/>
      <w:b/>
      <w:bCs/>
      <w:sz w:val="18"/>
      <w:szCs w:val="18"/>
      <w:lang w:eastAsia="es-ES"/>
    </w:rPr>
  </w:style>
  <w:style w:type="paragraph" w:styleId="Textoindependiente">
    <w:name w:val="Body Text"/>
    <w:basedOn w:val="Normal"/>
    <w:link w:val="TextoindependienteCar"/>
    <w:uiPriority w:val="99"/>
    <w:rsid w:val="001756A5"/>
    <w:pPr>
      <w:autoSpaceDE w:val="0"/>
      <w:autoSpaceDN w:val="0"/>
      <w:spacing w:line="360" w:lineRule="auto"/>
      <w:jc w:val="both"/>
    </w:pPr>
    <w:rPr>
      <w:sz w:val="28"/>
      <w:szCs w:val="28"/>
      <w:lang w:val="es-ES_tradnl"/>
    </w:rPr>
  </w:style>
  <w:style w:type="character" w:customStyle="1" w:styleId="TextoindependienteCar">
    <w:name w:val="Texto independiente Car"/>
    <w:basedOn w:val="Fuentedeprrafopredeter"/>
    <w:link w:val="Textoindependiente"/>
    <w:uiPriority w:val="99"/>
    <w:rsid w:val="001756A5"/>
    <w:rPr>
      <w:rFonts w:ascii="Times New Roman" w:eastAsia="Times New Roman" w:hAnsi="Times New Roman" w:cs="Times New Roman"/>
      <w:sz w:val="28"/>
      <w:szCs w:val="28"/>
      <w:lang w:val="es-ES_tradnl" w:eastAsia="es-ES"/>
    </w:rPr>
  </w:style>
  <w:style w:type="character" w:styleId="Refdenotaalpie">
    <w:name w:val="footnote reference"/>
    <w:aliases w:val="FC,Ref. de nota al pie 2,Ref,de nota al pie,Appel note de bas de p,Pie de Página,Appel note de bas de page,Footnotes refss,Footnote number,referencia nota al pie,BVI fnr,f,4_G,16 Point,Superscript 6 Point,Texto nota al pie,F"/>
    <w:basedOn w:val="Fuentedeprrafopredeter"/>
    <w:uiPriority w:val="99"/>
    <w:semiHidden/>
    <w:rsid w:val="001756A5"/>
    <w:rPr>
      <w:vertAlign w:val="superscript"/>
    </w:rPr>
  </w:style>
  <w:style w:type="character" w:styleId="Hipervnculo">
    <w:name w:val="Hyperlink"/>
    <w:basedOn w:val="Fuentedeprrafopredeter"/>
    <w:uiPriority w:val="99"/>
    <w:rsid w:val="001756A5"/>
    <w:rPr>
      <w:color w:val="0000FF"/>
      <w:u w:val="single"/>
    </w:rPr>
  </w:style>
  <w:style w:type="paragraph" w:styleId="Prrafodelista">
    <w:name w:val="List Paragraph"/>
    <w:basedOn w:val="Normal"/>
    <w:uiPriority w:val="99"/>
    <w:qFormat/>
    <w:rsid w:val="001756A5"/>
    <w:pPr>
      <w:ind w:left="708"/>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FA Fu Car C"/>
    <w:basedOn w:val="Normal"/>
    <w:link w:val="TextonotapieCar1"/>
    <w:uiPriority w:val="99"/>
    <w:semiHidden/>
    <w:rsid w:val="001756A5"/>
    <w:pPr>
      <w:overflowPunct w:val="0"/>
      <w:autoSpaceDE w:val="0"/>
      <w:autoSpaceDN w:val="0"/>
      <w:adjustRightInd w:val="0"/>
    </w:pPr>
    <w:rPr>
      <w:sz w:val="20"/>
      <w:szCs w:val="20"/>
    </w:rPr>
  </w:style>
  <w:style w:type="character" w:customStyle="1" w:styleId="TextonotapieCar">
    <w:name w:val="Texto nota pie Car"/>
    <w:basedOn w:val="Fuentedeprrafopredeter"/>
    <w:uiPriority w:val="99"/>
    <w:semiHidden/>
    <w:rsid w:val="001756A5"/>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ootnote Text Char Car"/>
    <w:basedOn w:val="Fuentedeprrafopredeter"/>
    <w:link w:val="Textonotapie"/>
    <w:uiPriority w:val="99"/>
    <w:semiHidden/>
    <w:locked/>
    <w:rsid w:val="001756A5"/>
    <w:rPr>
      <w:rFonts w:ascii="Times New Roman" w:eastAsia="Times New Roman" w:hAnsi="Times New Roman" w:cs="Times New Roman"/>
      <w:sz w:val="20"/>
      <w:szCs w:val="20"/>
      <w:lang w:val="es-ES" w:eastAsia="es-ES"/>
    </w:rPr>
  </w:style>
  <w:style w:type="paragraph" w:customStyle="1" w:styleId="CM33">
    <w:name w:val="CM33"/>
    <w:basedOn w:val="Normal"/>
    <w:next w:val="Normal"/>
    <w:uiPriority w:val="99"/>
    <w:rsid w:val="001756A5"/>
    <w:pPr>
      <w:autoSpaceDE w:val="0"/>
      <w:autoSpaceDN w:val="0"/>
      <w:adjustRightInd w:val="0"/>
    </w:pPr>
    <w:rPr>
      <w:rFonts w:ascii="Arial" w:eastAsia="Calibri" w:hAnsi="Arial" w:cs="Arial"/>
      <w:lang w:val="es-CO" w:eastAsia="es-CO"/>
    </w:rPr>
  </w:style>
  <w:style w:type="paragraph" w:styleId="NormalWeb">
    <w:name w:val="Normal (Web)"/>
    <w:basedOn w:val="Normal"/>
    <w:link w:val="NormalWebCar"/>
    <w:uiPriority w:val="99"/>
    <w:rsid w:val="001756A5"/>
    <w:pPr>
      <w:spacing w:before="100" w:beforeAutospacing="1" w:after="100" w:afterAutospacing="1"/>
    </w:pPr>
    <w:rPr>
      <w:rFonts w:eastAsia="Calibri"/>
      <w:lang w:eastAsia="es-CO"/>
    </w:rPr>
  </w:style>
  <w:style w:type="character" w:customStyle="1" w:styleId="NormalWebCar">
    <w:name w:val="Normal (Web) Car"/>
    <w:link w:val="NormalWeb"/>
    <w:uiPriority w:val="99"/>
    <w:locked/>
    <w:rsid w:val="001756A5"/>
    <w:rPr>
      <w:rFonts w:ascii="Times New Roman" w:eastAsia="Calibri" w:hAnsi="Times New Roman" w:cs="Times New Roman"/>
      <w:sz w:val="24"/>
      <w:szCs w:val="24"/>
      <w:lang w:val="es-ES" w:eastAsia="es-CO"/>
    </w:rPr>
  </w:style>
  <w:style w:type="character" w:customStyle="1" w:styleId="apple-converted-space">
    <w:name w:val="apple-converted-space"/>
    <w:basedOn w:val="Fuentedeprrafopredeter"/>
    <w:uiPriority w:val="99"/>
    <w:rsid w:val="001756A5"/>
  </w:style>
  <w:style w:type="paragraph" w:styleId="Textoindependiente3">
    <w:name w:val="Body Text 3"/>
    <w:basedOn w:val="Normal"/>
    <w:link w:val="Textoindependiente3Car"/>
    <w:uiPriority w:val="99"/>
    <w:rsid w:val="001756A5"/>
    <w:pPr>
      <w:spacing w:after="120"/>
    </w:pPr>
    <w:rPr>
      <w:sz w:val="16"/>
      <w:szCs w:val="16"/>
      <w:lang w:val="es-CO"/>
    </w:rPr>
  </w:style>
  <w:style w:type="character" w:customStyle="1" w:styleId="Textoindependiente3Car">
    <w:name w:val="Texto independiente 3 Car"/>
    <w:basedOn w:val="Fuentedeprrafopredeter"/>
    <w:link w:val="Textoindependiente3"/>
    <w:uiPriority w:val="99"/>
    <w:rsid w:val="001756A5"/>
    <w:rPr>
      <w:rFonts w:ascii="Times New Roman" w:eastAsia="Times New Roman" w:hAnsi="Times New Roman" w:cs="Times New Roman"/>
      <w:sz w:val="16"/>
      <w:szCs w:val="16"/>
      <w:lang w:eastAsia="es-ES"/>
    </w:rPr>
  </w:style>
  <w:style w:type="paragraph" w:customStyle="1" w:styleId="Style36">
    <w:name w:val="Style36"/>
    <w:basedOn w:val="Normal"/>
    <w:uiPriority w:val="99"/>
    <w:rsid w:val="001756A5"/>
    <w:pPr>
      <w:widowControl w:val="0"/>
      <w:autoSpaceDE w:val="0"/>
      <w:autoSpaceDN w:val="0"/>
      <w:adjustRightInd w:val="0"/>
      <w:spacing w:line="247" w:lineRule="exact"/>
      <w:ind w:firstLine="461"/>
      <w:jc w:val="both"/>
    </w:pPr>
  </w:style>
  <w:style w:type="paragraph" w:styleId="Piedepgina">
    <w:name w:val="footer"/>
    <w:basedOn w:val="Normal"/>
    <w:link w:val="PiedepginaCar"/>
    <w:uiPriority w:val="99"/>
    <w:rsid w:val="001756A5"/>
    <w:pPr>
      <w:tabs>
        <w:tab w:val="center" w:pos="4419"/>
        <w:tab w:val="right" w:pos="8838"/>
      </w:tabs>
    </w:pPr>
  </w:style>
  <w:style w:type="character" w:customStyle="1" w:styleId="PiedepginaCar">
    <w:name w:val="Pie de página Car"/>
    <w:basedOn w:val="Fuentedeprrafopredeter"/>
    <w:link w:val="Piedepgina"/>
    <w:uiPriority w:val="99"/>
    <w:rsid w:val="001756A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94C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C6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web/juzgado-12-administrativo-de-medellin/estados-electronicos/2014"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amajudicial.gov.co/web/juzgado-12-administrativo-de-medellin/estados-electronicos/20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2606</Words>
  <Characters>14333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2</cp:revision>
  <cp:lastPrinted>2014-11-10T17:45:00Z</cp:lastPrinted>
  <dcterms:created xsi:type="dcterms:W3CDTF">2014-11-10T17:57:00Z</dcterms:created>
  <dcterms:modified xsi:type="dcterms:W3CDTF">2014-11-10T17:57:00Z</dcterms:modified>
</cp:coreProperties>
</file>