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53C4">
      <w:pPr>
        <w:pStyle w:val="Acuerdo"/>
        <w:rPr>
          <w:lang w:val="es-CO"/>
        </w:rPr>
      </w:pPr>
      <w:r>
        <w:rPr>
          <w:lang w:val="es-CO"/>
        </w:rPr>
        <w:t>ACUERDO No. PSAA08-5433 DE 2008</w:t>
      </w:r>
    </w:p>
    <w:p w:rsidR="00000000" w:rsidRDefault="006E53C4">
      <w:pPr>
        <w:pStyle w:val="Sala"/>
        <w:rPr>
          <w:szCs w:val="24"/>
        </w:rPr>
      </w:pPr>
      <w:r>
        <w:rPr>
          <w:szCs w:val="24"/>
        </w:rPr>
        <w:t>(Diciembre 19)</w:t>
      </w:r>
    </w:p>
    <w:p w:rsidR="00000000" w:rsidRDefault="006E53C4">
      <w:pPr>
        <w:pStyle w:val="Centro"/>
      </w:pPr>
      <w:r>
        <w:t> </w:t>
      </w:r>
    </w:p>
    <w:p w:rsidR="00000000" w:rsidRDefault="006E53C4">
      <w:pPr>
        <w:pStyle w:val="Centro"/>
      </w:pPr>
      <w:r>
        <w:t>“Por el cual se definen los criterios generales para la programación de turnos de los servidores judiciales que atienden la Función de Control de Garantías en el Sistema Penal Acusatorio y el Sistema de Resp</w:t>
      </w:r>
      <w:r>
        <w:t>onsabilidad Penal para Adolescentes”</w:t>
      </w:r>
    </w:p>
    <w:p w:rsidR="00000000" w:rsidRDefault="006E53C4">
      <w:pPr>
        <w:rPr>
          <w:rFonts w:cs="Arial"/>
        </w:rPr>
      </w:pPr>
      <w:r>
        <w:rPr>
          <w:rFonts w:cs="Arial"/>
        </w:rPr>
        <w:t> </w:t>
      </w:r>
    </w:p>
    <w:p w:rsidR="00000000" w:rsidRDefault="006E53C4">
      <w:pPr>
        <w:jc w:val="center"/>
        <w:rPr>
          <w:rFonts w:eastAsia="MS Mincho" w:cs="Arial"/>
          <w:b/>
        </w:rPr>
      </w:pPr>
      <w:r>
        <w:rPr>
          <w:rFonts w:eastAsia="MS Mincho" w:cs="Arial"/>
          <w:b/>
        </w:rPr>
        <w:t>LA SALA ADMINISTRATIVA DEL</w:t>
      </w:r>
    </w:p>
    <w:p w:rsidR="00000000" w:rsidRDefault="006E53C4">
      <w:pPr>
        <w:jc w:val="center"/>
        <w:rPr>
          <w:rFonts w:eastAsia="MS Mincho" w:cs="Arial"/>
          <w:b/>
        </w:rPr>
      </w:pPr>
      <w:r>
        <w:rPr>
          <w:rFonts w:eastAsia="MS Mincho" w:cs="Arial"/>
          <w:b/>
        </w:rPr>
        <w:t>CONSEJO SUPERIOR DE LA JUDICATURA</w:t>
      </w:r>
    </w:p>
    <w:p w:rsidR="00000000" w:rsidRDefault="006E53C4">
      <w:pPr>
        <w:jc w:val="center"/>
        <w:rPr>
          <w:rFonts w:eastAsia="MS Mincho" w:cs="Arial"/>
          <w:b/>
        </w:rPr>
      </w:pPr>
      <w:r>
        <w:rPr>
          <w:rFonts w:eastAsia="MS Mincho" w:cs="Arial"/>
          <w:b/>
        </w:rPr>
        <w:t> </w:t>
      </w:r>
    </w:p>
    <w:p w:rsidR="00000000" w:rsidRDefault="006E53C4">
      <w:pPr>
        <w:rPr>
          <w:rFonts w:cs="Arial"/>
        </w:rPr>
      </w:pPr>
      <w:r>
        <w:rPr>
          <w:rFonts w:cs="Arial"/>
        </w:rPr>
        <w:t>En ejercicio de sus facultades constitucionales y legales, en especial las señaladas en los artículos 85 numeral 13 de la Ley 270 de 1996, 157 de la Ley 9</w:t>
      </w:r>
      <w:r>
        <w:rPr>
          <w:rFonts w:cs="Arial"/>
        </w:rPr>
        <w:t xml:space="preserve">06 de 2004 y 191 de la Ley 1098 de 2006, y de conformidad con lo aprobado en la sesión de Sala Administrativa del 12 de noviembre de 2008, </w:t>
      </w:r>
    </w:p>
    <w:p w:rsidR="00000000" w:rsidRDefault="006E53C4">
      <w:pPr>
        <w:rPr>
          <w:rFonts w:cs="Arial"/>
        </w:rPr>
      </w:pPr>
      <w:r>
        <w:rPr>
          <w:rFonts w:cs="Arial"/>
        </w:rPr>
        <w:t> </w:t>
      </w:r>
    </w:p>
    <w:p w:rsidR="00000000" w:rsidRDefault="006E53C4">
      <w:pPr>
        <w:jc w:val="center"/>
        <w:rPr>
          <w:rFonts w:cs="Arial"/>
          <w:b/>
        </w:rPr>
      </w:pPr>
      <w:r>
        <w:rPr>
          <w:rFonts w:cs="Arial"/>
          <w:b/>
        </w:rPr>
        <w:t>ACUERDA</w:t>
      </w:r>
    </w:p>
    <w:p w:rsidR="00000000" w:rsidRDefault="006E53C4">
      <w:pPr>
        <w:rPr>
          <w:rFonts w:cs="Arial"/>
        </w:rPr>
      </w:pPr>
      <w:r>
        <w:rPr>
          <w:rFonts w:cs="Arial"/>
          <w:b/>
        </w:rPr>
        <w:t> </w:t>
      </w:r>
    </w:p>
    <w:p w:rsidR="00000000" w:rsidRDefault="006E53C4">
      <w:pPr>
        <w:rPr>
          <w:rFonts w:cs="Arial"/>
        </w:rPr>
      </w:pPr>
      <w:r>
        <w:rPr>
          <w:rFonts w:cs="Arial"/>
          <w:b/>
        </w:rPr>
        <w:t xml:space="preserve">ARTÍCULO PRIMERO.-  PERIODICIDAD. </w:t>
      </w:r>
      <w:r>
        <w:rPr>
          <w:rFonts w:cs="Arial"/>
        </w:rPr>
        <w:t>Las Salas Administrativas de los Consejos Seccionales de la Judicatura</w:t>
      </w:r>
      <w:r>
        <w:rPr>
          <w:rFonts w:cs="Arial"/>
        </w:rPr>
        <w:t>, a partir del mes de enero de 2009, programarán semestralmente los turnos que deben cumplir los funcionarios respectivos, para la atención de la Función de Control de Garantías que preveén las Leyes 906 de 2004 y 1098 de 2006.</w:t>
      </w:r>
    </w:p>
    <w:p w:rsidR="00000000" w:rsidRDefault="006E53C4">
      <w:pPr>
        <w:rPr>
          <w:rFonts w:cs="Arial"/>
        </w:rPr>
      </w:pPr>
      <w:r>
        <w:rPr>
          <w:rFonts w:cs="Arial"/>
        </w:rPr>
        <w:t> </w:t>
      </w:r>
    </w:p>
    <w:p w:rsidR="00000000" w:rsidRDefault="006E53C4">
      <w:pPr>
        <w:rPr>
          <w:rFonts w:cs="Arial"/>
        </w:rPr>
      </w:pPr>
      <w:r>
        <w:rPr>
          <w:rFonts w:cs="Arial"/>
          <w:b/>
        </w:rPr>
        <w:t>ARTICULO SEGUNDO. CRITERIO</w:t>
      </w:r>
      <w:r>
        <w:rPr>
          <w:rFonts w:cs="Arial"/>
          <w:b/>
        </w:rPr>
        <w:t>S DE PROGRAMACIÓN</w:t>
      </w:r>
      <w:r>
        <w:rPr>
          <w:rFonts w:cs="Arial"/>
        </w:rPr>
        <w:t>. Las Salas Administrativas de los Consejos Seccionales de la Judicatura programarán los turnos de que trata el artículo anterior, con base en los siguientes criterios:</w:t>
      </w:r>
    </w:p>
    <w:p w:rsidR="00000000" w:rsidRDefault="006E53C4">
      <w:pPr>
        <w:rPr>
          <w:rFonts w:cs="Arial"/>
        </w:rPr>
      </w:pPr>
      <w:r>
        <w:rPr>
          <w:rFonts w:cs="Arial"/>
        </w:rPr>
        <w:t> </w:t>
      </w:r>
    </w:p>
    <w:p w:rsidR="00000000" w:rsidRDefault="006E53C4">
      <w:pPr>
        <w:numPr>
          <w:ilvl w:val="0"/>
          <w:numId w:val="10"/>
        </w:numPr>
        <w:tabs>
          <w:tab w:val="clear" w:pos="720"/>
          <w:tab w:val="num" w:pos="540"/>
        </w:tabs>
        <w:ind w:left="540" w:hanging="540"/>
        <w:rPr>
          <w:rFonts w:cs="Arial"/>
        </w:rPr>
      </w:pPr>
      <w:r>
        <w:rPr>
          <w:rFonts w:cs="Arial"/>
        </w:rPr>
        <w:t xml:space="preserve"> Los servidores judiciales deberán laborar un número igual de días, </w:t>
      </w:r>
      <w:r>
        <w:rPr>
          <w:rFonts w:cs="Arial"/>
        </w:rPr>
        <w:t xml:space="preserve">a los que correspondan a los hábiles del calendario, en el respectivo semestre. </w:t>
      </w:r>
    </w:p>
    <w:p w:rsidR="00000000" w:rsidRDefault="006E53C4">
      <w:pPr>
        <w:numPr>
          <w:ilvl w:val="0"/>
          <w:numId w:val="10"/>
        </w:numPr>
        <w:tabs>
          <w:tab w:val="clear" w:pos="720"/>
          <w:tab w:val="num" w:pos="540"/>
        </w:tabs>
        <w:ind w:left="540" w:hanging="540"/>
        <w:rPr>
          <w:rFonts w:cs="Arial"/>
        </w:rPr>
      </w:pPr>
      <w:r>
        <w:rPr>
          <w:rFonts w:cs="Arial"/>
        </w:rPr>
        <w:t>En los municipios en donde los despachos judiciales tengan definido un horario de atención al público en dos jornadas diarias, la Sala Administrativa garantizará que quien pre</w:t>
      </w:r>
      <w:r>
        <w:rPr>
          <w:rFonts w:cs="Arial"/>
        </w:rPr>
        <w:t>sta el turno en la última jornada del día, no deba también prestarlo en la primera jornada del día siguiente.</w:t>
      </w:r>
      <w:r>
        <w:t xml:space="preserve"> </w:t>
      </w:r>
    </w:p>
    <w:p w:rsidR="00000000" w:rsidRDefault="006E53C4">
      <w:pPr>
        <w:numPr>
          <w:ilvl w:val="0"/>
          <w:numId w:val="10"/>
        </w:numPr>
        <w:tabs>
          <w:tab w:val="clear" w:pos="720"/>
          <w:tab w:val="num" w:pos="540"/>
        </w:tabs>
        <w:ind w:left="540" w:hanging="540"/>
        <w:rPr>
          <w:rFonts w:cs="Arial"/>
        </w:rPr>
      </w:pPr>
      <w:r>
        <w:rPr>
          <w:rFonts w:cs="Arial"/>
        </w:rPr>
        <w:t>El número de días que deban trabajar y que correspondan a festivos, fines de semana o vacancia judicial, debe ser equitativo para todos los funci</w:t>
      </w:r>
      <w:r>
        <w:rPr>
          <w:rFonts w:cs="Arial"/>
        </w:rPr>
        <w:t>onarios del respectivo Distrito o Circuito Judicial.</w:t>
      </w:r>
      <w:r>
        <w:t xml:space="preserve"> </w:t>
      </w:r>
    </w:p>
    <w:p w:rsidR="00000000" w:rsidRDefault="006E53C4">
      <w:pPr>
        <w:numPr>
          <w:ilvl w:val="0"/>
          <w:numId w:val="10"/>
        </w:numPr>
        <w:tabs>
          <w:tab w:val="clear" w:pos="720"/>
          <w:tab w:val="num" w:pos="540"/>
        </w:tabs>
        <w:ind w:left="540" w:hanging="540"/>
        <w:rPr>
          <w:rFonts w:cs="Arial"/>
        </w:rPr>
      </w:pPr>
      <w:r>
        <w:rPr>
          <w:rFonts w:cs="Arial"/>
        </w:rPr>
        <w:t>Por cada seis días de prestación de servicio, el servidor judicial gozará de un día de descanso, sin que se entienda que es adicional al legal.</w:t>
      </w:r>
      <w:r>
        <w:t xml:space="preserve"> </w:t>
      </w:r>
    </w:p>
    <w:p w:rsidR="00000000" w:rsidRDefault="006E53C4">
      <w:pPr>
        <w:rPr>
          <w:rFonts w:cs="Arial"/>
        </w:rPr>
      </w:pPr>
      <w:r>
        <w:rPr>
          <w:rFonts w:cs="Arial"/>
        </w:rPr>
        <w:t> </w:t>
      </w:r>
    </w:p>
    <w:p w:rsidR="00000000" w:rsidRDefault="006E53C4">
      <w:pPr>
        <w:rPr>
          <w:rFonts w:cs="Arial"/>
        </w:rPr>
      </w:pPr>
      <w:r>
        <w:rPr>
          <w:rFonts w:cs="Arial"/>
          <w:b/>
        </w:rPr>
        <w:t>ARTICULO TERCERO. DISPONIBILIDAD</w:t>
      </w:r>
      <w:r>
        <w:rPr>
          <w:rFonts w:cs="Arial"/>
        </w:rPr>
        <w:t>. Con el propósito de g</w:t>
      </w:r>
      <w:r>
        <w:rPr>
          <w:rFonts w:cs="Arial"/>
        </w:rPr>
        <w:t>arantizar la prestación del servicio de justicia en los horarios adicionales a las jornadas de atención al público previamente definidas, las Salas Administrativas programarán turnos de disponibilidad de manera equitativa entre los servidores del respectiv</w:t>
      </w:r>
      <w:r>
        <w:rPr>
          <w:rFonts w:cs="Arial"/>
        </w:rPr>
        <w:t>o Distrito o Circuito Judicial, que no podrán coincidir con el día de descanso  determinado en favor de éstos.</w:t>
      </w:r>
    </w:p>
    <w:p w:rsidR="00000000" w:rsidRDefault="006E53C4">
      <w:pPr>
        <w:rPr>
          <w:rFonts w:cs="Arial"/>
        </w:rPr>
      </w:pPr>
      <w:r>
        <w:rPr>
          <w:rFonts w:cs="Arial"/>
        </w:rPr>
        <w:t> </w:t>
      </w:r>
    </w:p>
    <w:p w:rsidR="00000000" w:rsidRDefault="006E53C4">
      <w:pPr>
        <w:rPr>
          <w:rFonts w:cs="Arial"/>
        </w:rPr>
      </w:pPr>
      <w:r>
        <w:rPr>
          <w:rFonts w:cs="Arial"/>
          <w:b/>
        </w:rPr>
        <w:t>PARAGRAFO 1</w:t>
      </w:r>
      <w:r>
        <w:rPr>
          <w:rFonts w:cs="Arial"/>
        </w:rPr>
        <w:t xml:space="preserve">. En caso de hacerse efectiva la disponibilidad, los servidores judiciales gozarán de un descanso adicional al previsto legalmente, </w:t>
      </w:r>
      <w:r>
        <w:rPr>
          <w:rFonts w:cs="Arial"/>
        </w:rPr>
        <w:t>al día siguiente de la prestación del servicio o a más tardar dentro del mes siguiente.</w:t>
      </w:r>
    </w:p>
    <w:p w:rsidR="00000000" w:rsidRDefault="006E53C4">
      <w:pPr>
        <w:rPr>
          <w:rFonts w:cs="Arial"/>
        </w:rPr>
      </w:pPr>
      <w:r>
        <w:rPr>
          <w:rFonts w:cs="Arial"/>
        </w:rPr>
        <w:lastRenderedPageBreak/>
        <w:t> </w:t>
      </w:r>
    </w:p>
    <w:p w:rsidR="00000000" w:rsidRDefault="006E53C4">
      <w:pPr>
        <w:rPr>
          <w:rFonts w:cs="Arial"/>
        </w:rPr>
      </w:pPr>
      <w:r>
        <w:rPr>
          <w:rFonts w:cs="Arial"/>
          <w:b/>
        </w:rPr>
        <w:t>PARAGRAFO 2</w:t>
      </w:r>
      <w:r>
        <w:rPr>
          <w:rFonts w:cs="Arial"/>
        </w:rPr>
        <w:t>. El juez en disponibilidad, en caso de ser necesario podrá prestar el servicio con el apoyo de uno (1) de sus empleados de su despacho.</w:t>
      </w:r>
    </w:p>
    <w:p w:rsidR="00000000" w:rsidRDefault="006E53C4">
      <w:pPr>
        <w:rPr>
          <w:rFonts w:cs="Arial"/>
        </w:rPr>
      </w:pPr>
      <w:r>
        <w:rPr>
          <w:rFonts w:cs="Arial"/>
        </w:rPr>
        <w:t> </w:t>
      </w:r>
    </w:p>
    <w:p w:rsidR="00000000" w:rsidRDefault="006E53C4">
      <w:pPr>
        <w:rPr>
          <w:rFonts w:cs="Arial"/>
        </w:rPr>
      </w:pPr>
      <w:r>
        <w:rPr>
          <w:rFonts w:cs="Arial"/>
          <w:b/>
        </w:rPr>
        <w:t>PARAGRAFO 3</w:t>
      </w:r>
      <w:r>
        <w:rPr>
          <w:rFonts w:cs="Arial"/>
        </w:rPr>
        <w:t>. Los</w:t>
      </w:r>
      <w:r>
        <w:rPr>
          <w:rFonts w:cs="Arial"/>
        </w:rPr>
        <w:t xml:space="preserve"> días de descanso no se acumularán con vacaciones individuales ni con vacancia judicial.</w:t>
      </w:r>
    </w:p>
    <w:p w:rsidR="00000000" w:rsidRDefault="006E53C4">
      <w:pPr>
        <w:rPr>
          <w:rFonts w:cs="Arial"/>
        </w:rPr>
      </w:pPr>
      <w:r>
        <w:rPr>
          <w:rFonts w:cs="Arial"/>
        </w:rPr>
        <w:t> </w:t>
      </w:r>
    </w:p>
    <w:p w:rsidR="00000000" w:rsidRDefault="006E53C4">
      <w:pPr>
        <w:rPr>
          <w:rFonts w:cs="Arial"/>
        </w:rPr>
      </w:pPr>
      <w:r>
        <w:rPr>
          <w:rFonts w:cs="Arial"/>
          <w:b/>
        </w:rPr>
        <w:t>PARAGRAFO 4</w:t>
      </w:r>
      <w:r>
        <w:rPr>
          <w:rFonts w:cs="Arial"/>
        </w:rPr>
        <w:t>. La programación de los turnos debe tener en cuenta la organización de las Unidades Judiciales Municipales para fines de semana, festivos y épocas de vac</w:t>
      </w:r>
      <w:r>
        <w:rPr>
          <w:rFonts w:cs="Arial"/>
        </w:rPr>
        <w:t>ancia judicial, con el fin de hacer equitativa la participación de todos los servidores judiciales del respectivo Distrito o Circuito Judicial.</w:t>
      </w:r>
    </w:p>
    <w:p w:rsidR="00000000" w:rsidRDefault="006E53C4">
      <w:pPr>
        <w:rPr>
          <w:rFonts w:cs="Arial"/>
        </w:rPr>
      </w:pPr>
      <w:r>
        <w:rPr>
          <w:rFonts w:cs="Arial"/>
        </w:rPr>
        <w:t> </w:t>
      </w:r>
    </w:p>
    <w:p w:rsidR="00000000" w:rsidRDefault="006E53C4">
      <w:pPr>
        <w:rPr>
          <w:rFonts w:cs="Arial"/>
        </w:rPr>
      </w:pPr>
      <w:r>
        <w:rPr>
          <w:rFonts w:cs="Arial"/>
          <w:b/>
        </w:rPr>
        <w:t>ARTICULO CUARTO. PUBLICACIONES Y COMUNICACIÓN</w:t>
      </w:r>
      <w:r>
        <w:rPr>
          <w:rFonts w:cs="Arial"/>
        </w:rPr>
        <w:t>. La programación de turnos deberá ser comunicada y publicada con</w:t>
      </w:r>
      <w:r>
        <w:rPr>
          <w:rFonts w:cs="Arial"/>
        </w:rPr>
        <w:t xml:space="preserve"> un mes de antelación a la iniciación del período correspondiente.</w:t>
      </w:r>
    </w:p>
    <w:p w:rsidR="00000000" w:rsidRDefault="006E53C4">
      <w:pPr>
        <w:rPr>
          <w:rFonts w:cs="Arial"/>
        </w:rPr>
      </w:pPr>
      <w:r>
        <w:rPr>
          <w:rFonts w:cs="Arial"/>
        </w:rPr>
        <w:t> </w:t>
      </w:r>
    </w:p>
    <w:p w:rsidR="00000000" w:rsidRDefault="006E53C4">
      <w:pPr>
        <w:rPr>
          <w:rFonts w:cs="Arial"/>
        </w:rPr>
      </w:pPr>
      <w:r>
        <w:rPr>
          <w:rFonts w:cs="Arial"/>
        </w:rPr>
        <w:t>De la prestación de los turnos de disponibilidad se dejará constancia escrita en los centros de servicio o en la oficina que haga sus veces, la cual deberá ser remitida por el despacho ju</w:t>
      </w:r>
      <w:r>
        <w:rPr>
          <w:rFonts w:cs="Arial"/>
        </w:rPr>
        <w:t>dicial a la Sala Administrativa del Consejo Seccional de la Judicatura correspondiente.</w:t>
      </w:r>
    </w:p>
    <w:p w:rsidR="00000000" w:rsidRDefault="006E53C4">
      <w:pPr>
        <w:rPr>
          <w:rFonts w:cs="Arial"/>
        </w:rPr>
      </w:pPr>
      <w:r>
        <w:rPr>
          <w:rFonts w:cs="Arial"/>
        </w:rPr>
        <w:t> </w:t>
      </w:r>
    </w:p>
    <w:p w:rsidR="00000000" w:rsidRDefault="006E53C4">
      <w:pPr>
        <w:rPr>
          <w:rFonts w:cs="Arial"/>
        </w:rPr>
      </w:pPr>
      <w:r>
        <w:rPr>
          <w:rFonts w:cs="Arial"/>
          <w:b/>
        </w:rPr>
        <w:t>ARTICULO QUINTO. VIGENCIA</w:t>
      </w:r>
      <w:r>
        <w:rPr>
          <w:rFonts w:cs="Arial"/>
        </w:rPr>
        <w:t>. El presente Acuerdo rige a partir de la publicación en la Gaceta de la Judicatura.</w:t>
      </w:r>
    </w:p>
    <w:p w:rsidR="00000000" w:rsidRDefault="006E53C4">
      <w:pPr>
        <w:rPr>
          <w:rFonts w:cs="Arial"/>
        </w:rPr>
      </w:pPr>
    </w:p>
    <w:p w:rsidR="00000000" w:rsidRDefault="006E53C4">
      <w:pPr>
        <w:ind w:left="360"/>
        <w:jc w:val="center"/>
        <w:rPr>
          <w:rFonts w:cs="Arial"/>
        </w:rPr>
      </w:pPr>
      <w:r>
        <w:rPr>
          <w:rFonts w:cs="Arial"/>
        </w:rPr>
        <w:t> </w:t>
      </w:r>
    </w:p>
    <w:p w:rsidR="00000000" w:rsidRDefault="006E53C4">
      <w:pPr>
        <w:ind w:left="360"/>
        <w:jc w:val="center"/>
        <w:rPr>
          <w:rFonts w:eastAsia="MS Mincho" w:cs="Arial"/>
          <w:b/>
        </w:rPr>
      </w:pPr>
      <w:r>
        <w:rPr>
          <w:rFonts w:eastAsia="MS Mincho" w:cs="Arial"/>
          <w:b/>
        </w:rPr>
        <w:t>PUBLÍQUESE, COMUNÍQUESE Y CÚMPLASE</w:t>
      </w:r>
    </w:p>
    <w:p w:rsidR="00000000" w:rsidRDefault="006E53C4">
      <w:pPr>
        <w:rPr>
          <w:rFonts w:cs="Arial"/>
        </w:rPr>
      </w:pPr>
      <w:r>
        <w:rPr>
          <w:rFonts w:cs="Arial"/>
        </w:rPr>
        <w:t>  </w:t>
      </w:r>
    </w:p>
    <w:p w:rsidR="00000000" w:rsidRDefault="006E53C4">
      <w:pPr>
        <w:rPr>
          <w:rFonts w:cs="Arial"/>
        </w:rPr>
      </w:pPr>
      <w:r>
        <w:rPr>
          <w:rFonts w:cs="Arial"/>
        </w:rPr>
        <w:t xml:space="preserve">Dado en Bogotá </w:t>
      </w:r>
      <w:r>
        <w:rPr>
          <w:rFonts w:cs="Arial"/>
        </w:rPr>
        <w:t>D. C., a los diecinueve (19) días del mes de diciembre del año dos mil ocho (2008).</w:t>
      </w:r>
    </w:p>
    <w:p w:rsidR="00000000" w:rsidRDefault="006E53C4">
      <w:pPr>
        <w:rPr>
          <w:rFonts w:cs="Arial"/>
        </w:rPr>
      </w:pPr>
      <w:r>
        <w:rPr>
          <w:rFonts w:cs="Arial"/>
        </w:rPr>
        <w:t> </w:t>
      </w:r>
    </w:p>
    <w:p w:rsidR="00000000" w:rsidRDefault="006E53C4">
      <w:pPr>
        <w:rPr>
          <w:rFonts w:cs="Arial"/>
        </w:rPr>
      </w:pPr>
      <w:r>
        <w:rPr>
          <w:rFonts w:cs="Arial"/>
        </w:rPr>
        <w:t> </w:t>
      </w:r>
    </w:p>
    <w:p w:rsidR="00000000" w:rsidRDefault="006E53C4">
      <w:pPr>
        <w:jc w:val="center"/>
        <w:rPr>
          <w:rFonts w:cs="Arial"/>
          <w:b/>
          <w:bCs/>
          <w:caps/>
        </w:rPr>
      </w:pPr>
      <w:r>
        <w:rPr>
          <w:rFonts w:cs="Arial"/>
          <w:b/>
          <w:bCs/>
          <w:caps/>
        </w:rPr>
        <w:t>jEsAel Antonio giraldo castaño</w:t>
      </w:r>
    </w:p>
    <w:p w:rsidR="00000000" w:rsidRDefault="006E53C4">
      <w:pPr>
        <w:jc w:val="center"/>
        <w:rPr>
          <w:rFonts w:cs="Arial"/>
          <w:b/>
        </w:rPr>
      </w:pPr>
      <w:r>
        <w:rPr>
          <w:rFonts w:cs="Arial"/>
          <w:b/>
        </w:rPr>
        <w:t>Presidente</w:t>
      </w:r>
    </w:p>
    <w:p w:rsidR="00000000" w:rsidRDefault="006E53C4">
      <w:r>
        <w:t> </w:t>
      </w:r>
    </w:p>
    <w:p w:rsidR="00000000" w:rsidRDefault="006E53C4">
      <w:r>
        <w:t> </w:t>
      </w:r>
    </w:p>
    <w:p w:rsidR="006E53C4" w:rsidRDefault="006E53C4">
      <w:pPr>
        <w:jc w:val="center"/>
      </w:pPr>
      <w:r>
        <w:rPr>
          <w:lang w:val="es-CO"/>
        </w:rPr>
        <w:t> </w:t>
      </w:r>
    </w:p>
    <w:sectPr w:rsidR="006E53C4">
      <w:footerReference w:type="even" r:id="rId7"/>
      <w:footerReference w:type="default" r:id="rId8"/>
      <w:headerReference w:type="first" r:id="rId9"/>
      <w:pgSz w:w="12240" w:h="15840"/>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3C4" w:rsidRDefault="006E53C4">
      <w:r>
        <w:separator/>
      </w:r>
    </w:p>
  </w:endnote>
  <w:endnote w:type="continuationSeparator" w:id="1">
    <w:p w:rsidR="006E53C4" w:rsidRDefault="006E5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53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0000" w:rsidRDefault="006E53C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53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568B">
      <w:rPr>
        <w:rStyle w:val="Nmerodepgina"/>
        <w:noProof/>
      </w:rPr>
      <w:t>2</w:t>
    </w:r>
    <w:r>
      <w:rPr>
        <w:rStyle w:val="Nmerodepgina"/>
      </w:rPr>
      <w:fldChar w:fldCharType="end"/>
    </w:r>
  </w:p>
  <w:p w:rsidR="00000000" w:rsidRDefault="006E53C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3C4" w:rsidRDefault="006E53C4">
      <w:r>
        <w:separator/>
      </w:r>
    </w:p>
  </w:footnote>
  <w:footnote w:type="continuationSeparator" w:id="1">
    <w:p w:rsidR="006E53C4" w:rsidRDefault="006E5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568B">
    <w:pPr>
      <w:pStyle w:val="Encabezado"/>
    </w:pPr>
    <w:r>
      <w:rPr>
        <w:noProof/>
        <w:sz w:val="20"/>
        <w:lang w:val="es-CO" w:eastAsia="es-CO"/>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-121285</wp:posOffset>
          </wp:positionV>
          <wp:extent cx="528955" cy="687705"/>
          <wp:effectExtent l="19050" t="0" r="4445" b="0"/>
          <wp:wrapNone/>
          <wp:docPr id="11" name="Imagen 11" descr="C:\Documents and Settings\Administrator\My Documents\My Pictures\Logo_CSJ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My Documents\My Pictures\Logo_CSJ_color.jpg"/>
                  <pic:cNvPicPr>
                    <a:picLocks noChangeAspect="1" noChangeArrowheads="1"/>
                  </pic:cNvPicPr>
                </pic:nvPicPr>
                <pic:blipFill>
                  <a:blip r:embed="rId1"/>
                  <a:srcRect/>
                  <a:stretch>
                    <a:fillRect/>
                  </a:stretch>
                </pic:blipFill>
                <pic:spPr bwMode="auto">
                  <a:xfrm>
                    <a:off x="0" y="0"/>
                    <a:ext cx="528955" cy="687705"/>
                  </a:xfrm>
                  <a:prstGeom prst="rect">
                    <a:avLst/>
                  </a:prstGeom>
                  <a:noFill/>
                  <a:ln w="9525">
                    <a:noFill/>
                    <a:miter lim="800000"/>
                    <a:headEnd/>
                    <a:tailEnd/>
                  </a:ln>
                </pic:spPr>
              </pic:pic>
            </a:graphicData>
          </a:graphic>
        </wp:anchor>
      </w:drawing>
    </w:r>
  </w:p>
  <w:p w:rsidR="00000000" w:rsidRDefault="006E53C4">
    <w:pPr>
      <w:pStyle w:val="Encabezado"/>
    </w:pPr>
  </w:p>
  <w:p w:rsidR="00000000" w:rsidRDefault="006E53C4">
    <w:pPr>
      <w:pStyle w:val="Encabezado"/>
    </w:pPr>
  </w:p>
  <w:p w:rsidR="00000000" w:rsidRDefault="006E53C4">
    <w:pPr>
      <w:pStyle w:val="Encabezado"/>
    </w:pPr>
  </w:p>
  <w:p w:rsidR="00000000" w:rsidRDefault="006E53C4">
    <w:pPr>
      <w:pStyle w:val="Encabezado"/>
    </w:pPr>
    <w:r>
      <w:t>Rama Judicial del Poder Público</w:t>
    </w:r>
  </w:p>
  <w:p w:rsidR="00000000" w:rsidRDefault="006E53C4">
    <w:pPr>
      <w:pStyle w:val="Encabezado"/>
      <w:rPr>
        <w:rFonts w:eastAsia="Arial Unicode MS"/>
      </w:rPr>
    </w:pPr>
    <w:r>
      <w:t>Consejo Superior de la Judicatura</w:t>
    </w:r>
  </w:p>
  <w:p w:rsidR="00000000" w:rsidRDefault="006E53C4">
    <w:pPr>
      <w:pStyle w:val="Encabezado"/>
      <w:rPr>
        <w:rFonts w:eastAsia="Arial Unicode MS"/>
      </w:rPr>
    </w:pPr>
    <w:r>
      <w:t>Sala Administrativa</w:t>
    </w:r>
  </w:p>
  <w:p w:rsidR="00000000" w:rsidRDefault="006E53C4">
    <w:pPr>
      <w:pStyle w:val="Encabezado"/>
      <w:rPr>
        <w:sz w:val="8"/>
      </w:rPr>
    </w:pPr>
  </w:p>
  <w:p w:rsidR="00000000" w:rsidRDefault="006E53C4">
    <w:pPr>
      <w:pStyle w:val="Encabezado"/>
      <w:ind w:hanging="284"/>
    </w:pPr>
    <w:r>
      <w:object w:dxaOrig="65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5pt" o:ole="">
          <v:imagedata r:id="rId2" o:title=""/>
        </v:shape>
        <o:OLEObject Type="Embed" ProgID="PBrush" ShapeID="_x0000_i1025" DrawAspect="Content" ObjectID="_1522595846" r:id="rId3"/>
      </w:object>
    </w:r>
  </w:p>
  <w:p w:rsidR="00000000" w:rsidRDefault="006E53C4">
    <w:pPr>
      <w:pStyle w:val="Encabezado"/>
      <w:ind w:left="-360"/>
    </w:pPr>
    <w:r>
      <w:t xml:space="preserve">  </w:t>
    </w:r>
  </w:p>
  <w:p w:rsidR="00000000" w:rsidRDefault="006E53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5CF"/>
    <w:multiLevelType w:val="hybridMultilevel"/>
    <w:tmpl w:val="351A9F6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27424E22"/>
    <w:multiLevelType w:val="hybridMultilevel"/>
    <w:tmpl w:val="897A78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9377050"/>
    <w:multiLevelType w:val="hybridMultilevel"/>
    <w:tmpl w:val="67D26F58"/>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AFC4A29"/>
    <w:multiLevelType w:val="hybridMultilevel"/>
    <w:tmpl w:val="491E5D60"/>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4785632"/>
    <w:multiLevelType w:val="hybridMultilevel"/>
    <w:tmpl w:val="6E74B9B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636D06EB"/>
    <w:multiLevelType w:val="hybridMultilevel"/>
    <w:tmpl w:val="6AB636D4"/>
    <w:lvl w:ilvl="0" w:tplc="FFFFFFFF">
      <w:start w:val="1"/>
      <w:numFmt w:val="bullet"/>
      <w:lvlText w:val=""/>
      <w:lvlJc w:val="left"/>
      <w:pPr>
        <w:tabs>
          <w:tab w:val="num" w:pos="420"/>
        </w:tabs>
        <w:ind w:left="420" w:hanging="360"/>
      </w:pPr>
      <w:rPr>
        <w:rFonts w:ascii="Symbol" w:eastAsia="Times New Roman" w:hAnsi="Symbol"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6">
    <w:nsid w:val="6602259F"/>
    <w:multiLevelType w:val="hybridMultilevel"/>
    <w:tmpl w:val="1D9EC0A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76E0497E"/>
    <w:multiLevelType w:val="hybridMultilevel"/>
    <w:tmpl w:val="7BC484E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EE568B"/>
    <w:rsid w:val="006E53C4"/>
    <w:rsid w:val="00EE568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Cs w:val="24"/>
      <w:lang w:val="es-ES" w:eastAsia="es-ES"/>
    </w:rPr>
  </w:style>
  <w:style w:type="paragraph" w:styleId="Ttulo1">
    <w:name w:val="heading 1"/>
    <w:basedOn w:val="Normal"/>
    <w:next w:val="Normal"/>
    <w:qFormat/>
    <w:pPr>
      <w:keepNext/>
      <w:jc w:val="center"/>
      <w:outlineLvl w:val="0"/>
    </w:pPr>
    <w:rPr>
      <w:b/>
      <w:i/>
      <w:sz w:val="24"/>
      <w:szCs w:val="20"/>
      <w:lang w:val="es-ES_tradnl"/>
    </w:rPr>
  </w:style>
  <w:style w:type="paragraph" w:styleId="Ttulo2">
    <w:name w:val="heading 2"/>
    <w:basedOn w:val="Normal"/>
    <w:next w:val="Normal"/>
    <w:qFormat/>
    <w:pPr>
      <w:keepNext/>
      <w:spacing w:line="240" w:lineRule="exact"/>
      <w:jc w:val="center"/>
      <w:outlineLvl w:val="1"/>
    </w:pPr>
    <w:rPr>
      <w:b/>
      <w:szCs w:val="20"/>
      <w:lang w:val="es-ES_tradnl"/>
    </w:rPr>
  </w:style>
  <w:style w:type="paragraph" w:styleId="Ttulo3">
    <w:name w:val="heading 3"/>
    <w:basedOn w:val="Normal"/>
    <w:next w:val="Normal"/>
    <w:qFormat/>
    <w:pPr>
      <w:keepNext/>
      <w:spacing w:line="240" w:lineRule="exact"/>
      <w:jc w:val="center"/>
      <w:outlineLvl w:val="2"/>
    </w:pPr>
    <w:rPr>
      <w:b/>
      <w:i/>
      <w:sz w:val="24"/>
      <w:szCs w:val="20"/>
      <w:lang w:val="es-ES_tradnl"/>
    </w:rPr>
  </w:style>
  <w:style w:type="paragraph" w:styleId="Ttulo4">
    <w:name w:val="heading 4"/>
    <w:basedOn w:val="Normal"/>
    <w:next w:val="Normal"/>
    <w:qFormat/>
    <w:pPr>
      <w:keepNext/>
      <w:jc w:val="left"/>
      <w:outlineLvl w:val="3"/>
    </w:pPr>
    <w:rPr>
      <w:rFonts w:ascii="Verdana" w:hAnsi="Verdana"/>
      <w:sz w:val="24"/>
      <w:szCs w:val="20"/>
      <w:lang w:val="es-ES_tradnl"/>
    </w:rPr>
  </w:style>
  <w:style w:type="paragraph" w:styleId="Ttulo5">
    <w:name w:val="heading 5"/>
    <w:basedOn w:val="Normal"/>
    <w:next w:val="Normal"/>
    <w:qFormat/>
    <w:pPr>
      <w:keepNext/>
      <w:tabs>
        <w:tab w:val="center" w:pos="4680"/>
      </w:tabs>
      <w:suppressAutoHyphens/>
      <w:jc w:val="center"/>
      <w:outlineLvl w:val="4"/>
    </w:pPr>
    <w:rPr>
      <w:b/>
      <w:spacing w:val="-3"/>
      <w:sz w:val="22"/>
      <w:szCs w:val="20"/>
      <w:lang w:val="es-ES_tradnl"/>
    </w:rPr>
  </w:style>
  <w:style w:type="paragraph" w:styleId="Ttulo6">
    <w:name w:val="heading 6"/>
    <w:basedOn w:val="Normal"/>
    <w:next w:val="Normal"/>
    <w:qFormat/>
    <w:pPr>
      <w:keepNext/>
      <w:overflowPunct w:val="0"/>
      <w:autoSpaceDE w:val="0"/>
      <w:autoSpaceDN w:val="0"/>
      <w:adjustRightInd w:val="0"/>
      <w:jc w:val="center"/>
      <w:textAlignment w:val="baseline"/>
      <w:outlineLvl w:val="5"/>
    </w:pPr>
    <w:rPr>
      <w:rFonts w:cs="Arial"/>
      <w:b/>
      <w:szCs w:val="20"/>
      <w:lang w:val="es-ES_tradnl"/>
    </w:rPr>
  </w:style>
  <w:style w:type="paragraph" w:styleId="Ttulo7">
    <w:name w:val="heading 7"/>
    <w:basedOn w:val="Normal"/>
    <w:next w:val="Normal"/>
    <w:qFormat/>
    <w:pPr>
      <w:keepNext/>
      <w:spacing w:line="240" w:lineRule="exact"/>
      <w:jc w:val="center"/>
      <w:outlineLvl w:val="6"/>
    </w:pPr>
    <w:rPr>
      <w:rFonts w:ascii="Courier New" w:hAnsi="Courier New" w:cs="Courier New"/>
      <w:i/>
      <w:iCs/>
      <w:sz w:val="24"/>
      <w:lang w:val="es-ES_tradnl"/>
    </w:rPr>
  </w:style>
  <w:style w:type="paragraph" w:styleId="Ttulo8">
    <w:name w:val="heading 8"/>
    <w:basedOn w:val="Normal"/>
    <w:next w:val="Normal"/>
    <w:qFormat/>
    <w:pPr>
      <w:keepNext/>
      <w:spacing w:line="240" w:lineRule="exact"/>
      <w:ind w:left="2268" w:hanging="2268"/>
      <w:jc w:val="center"/>
      <w:outlineLvl w:val="7"/>
    </w:pPr>
    <w:rPr>
      <w:bCs/>
      <w:i/>
      <w:sz w:val="24"/>
      <w:szCs w:val="20"/>
    </w:rPr>
  </w:style>
  <w:style w:type="paragraph" w:styleId="Ttulo9">
    <w:name w:val="heading 9"/>
    <w:basedOn w:val="Normal"/>
    <w:next w:val="Normal"/>
    <w:qFormat/>
    <w:pPr>
      <w:keepNext/>
      <w:jc w:val="left"/>
      <w:outlineLvl w:val="8"/>
    </w:pPr>
    <w:rPr>
      <w:b/>
      <w:i/>
      <w:snapToGrid w:val="0"/>
      <w:color w:val="000000"/>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jc w:val="center"/>
    </w:pPr>
    <w:rPr>
      <w:rFonts w:ascii="Papyrus" w:hAnsi="Papyrus"/>
      <w:b/>
      <w:sz w:val="16"/>
    </w:rPr>
  </w:style>
  <w:style w:type="paragraph" w:styleId="Piedepgina">
    <w:name w:val="footer"/>
    <w:basedOn w:val="Normal"/>
    <w:semiHidden/>
    <w:pPr>
      <w:tabs>
        <w:tab w:val="center" w:pos="4419"/>
        <w:tab w:val="right" w:pos="8838"/>
      </w:tabs>
    </w:pPr>
  </w:style>
  <w:style w:type="paragraph" w:customStyle="1" w:styleId="Acuerdo">
    <w:name w:val="Acuerdo"/>
    <w:pPr>
      <w:jc w:val="center"/>
    </w:pPr>
    <w:rPr>
      <w:rFonts w:ascii="Arial" w:hAnsi="Arial"/>
      <w:b/>
      <w:color w:val="333399"/>
      <w:sz w:val="28"/>
      <w:lang w:val="es-ES" w:eastAsia="es-ES"/>
    </w:rPr>
  </w:style>
  <w:style w:type="paragraph" w:customStyle="1" w:styleId="Centro">
    <w:name w:val="Centro"/>
    <w:pPr>
      <w:jc w:val="center"/>
    </w:pPr>
    <w:rPr>
      <w:rFonts w:ascii="Arial" w:hAnsi="Arial"/>
      <w:lang w:val="es-ES" w:eastAsia="es-ES"/>
    </w:rPr>
  </w:style>
  <w:style w:type="character" w:styleId="Nmerodepgina">
    <w:name w:val="page number"/>
    <w:basedOn w:val="Fuentedeprrafopredeter"/>
    <w:semiHidden/>
    <w:rPr>
      <w:rFonts w:ascii="Arial" w:hAnsi="Arial"/>
      <w:b/>
      <w:sz w:val="16"/>
    </w:rPr>
  </w:style>
  <w:style w:type="paragraph" w:customStyle="1" w:styleId="Firmas">
    <w:name w:val="Firmas"/>
    <w:pPr>
      <w:jc w:val="center"/>
    </w:pPr>
    <w:rPr>
      <w:rFonts w:ascii="Arial" w:hAnsi="Arial"/>
      <w:b/>
      <w:lang w:val="es-ES" w:eastAsia="es-ES"/>
    </w:rPr>
  </w:style>
  <w:style w:type="paragraph" w:customStyle="1" w:styleId="Comuniquese">
    <w:name w:val="Comuniquese"/>
    <w:pPr>
      <w:jc w:val="center"/>
    </w:pPr>
    <w:rPr>
      <w:rFonts w:ascii="Arial" w:eastAsia="MS Mincho" w:hAnsi="Arial"/>
      <w:b/>
      <w:lang w:val="es-ES" w:eastAsia="es-ES"/>
    </w:rPr>
  </w:style>
  <w:style w:type="paragraph" w:customStyle="1" w:styleId="Sala">
    <w:name w:val="Sala"/>
    <w:pPr>
      <w:jc w:val="center"/>
    </w:pPr>
    <w:rPr>
      <w:rFonts w:ascii="Arial" w:eastAsia="MS Mincho" w:hAnsi="Arial"/>
      <w:b/>
      <w:lang w:val="es-ES" w:eastAsia="es-ES"/>
    </w:rPr>
  </w:style>
  <w:style w:type="paragraph" w:customStyle="1" w:styleId="Acuerda-Considerando">
    <w:name w:val="Acuerda-Considerando"/>
    <w:pPr>
      <w:jc w:val="center"/>
    </w:pPr>
    <w:rPr>
      <w:rFonts w:ascii="Arial" w:eastAsia="MS Mincho" w:hAnsi="Arial"/>
      <w:b/>
      <w:lang w:val="es-ES" w:eastAsia="es-ES"/>
    </w:rPr>
  </w:style>
  <w:style w:type="paragraph" w:customStyle="1" w:styleId="Cua-Centro">
    <w:name w:val="Cua-Centro"/>
    <w:pPr>
      <w:jc w:val="center"/>
    </w:pPr>
    <w:rPr>
      <w:rFonts w:ascii="Arial" w:eastAsia="MS Mincho" w:hAnsi="Arial"/>
      <w:b/>
      <w:sz w:val="16"/>
      <w:lang w:val="es-ES" w:eastAsia="es-ES"/>
    </w:rPr>
  </w:style>
  <w:style w:type="paragraph" w:customStyle="1" w:styleId="Cua-Tabulador01">
    <w:name w:val="Cua-Tabulador01"/>
    <w:pPr>
      <w:tabs>
        <w:tab w:val="left" w:pos="567"/>
        <w:tab w:val="left" w:pos="1134"/>
        <w:tab w:val="left" w:pos="1701"/>
        <w:tab w:val="left" w:pos="2268"/>
        <w:tab w:val="left" w:pos="2835"/>
        <w:tab w:val="left" w:pos="3402"/>
        <w:tab w:val="left" w:pos="3969"/>
        <w:tab w:val="left" w:pos="4536"/>
        <w:tab w:val="left" w:pos="5103"/>
        <w:tab w:val="right" w:pos="7371"/>
      </w:tabs>
      <w:spacing w:before="60" w:after="60"/>
    </w:pPr>
    <w:rPr>
      <w:rFonts w:ascii="Arial" w:eastAsia="MS Mincho" w:hAnsi="Arial"/>
      <w:sz w:val="16"/>
      <w:lang w:val="es-ES" w:eastAsia="es-ES"/>
    </w:rPr>
  </w:style>
  <w:style w:type="paragraph" w:customStyle="1" w:styleId="Cua-Texto">
    <w:name w:val="Cua-Texto"/>
    <w:rPr>
      <w:rFonts w:ascii="Arial" w:eastAsia="MS Mincho" w:hAnsi="Arial"/>
      <w:b/>
      <w:sz w:val="16"/>
      <w:lang w:val="es-ES" w:eastAsia="es-ES"/>
    </w:rPr>
  </w:style>
  <w:style w:type="paragraph" w:customStyle="1" w:styleId="Cua-Tabulador02">
    <w:name w:val="Cua-Tabulador02"/>
    <w:pPr>
      <w:tabs>
        <w:tab w:val="left" w:pos="567"/>
        <w:tab w:val="right" w:pos="4536"/>
        <w:tab w:val="right" w:pos="6237"/>
        <w:tab w:val="right" w:pos="7938"/>
      </w:tabs>
    </w:pPr>
    <w:rPr>
      <w:rFonts w:ascii="Arial" w:hAnsi="Arial"/>
      <w:sz w:val="14"/>
      <w:lang w:val="es-ES" w:eastAsia="es-ES"/>
    </w:rPr>
  </w:style>
  <w:style w:type="paragraph" w:styleId="Textoindependiente2">
    <w:name w:val="Body Text 2"/>
    <w:basedOn w:val="Normal"/>
    <w:semiHidden/>
    <w:pPr>
      <w:overflowPunct w:val="0"/>
      <w:autoSpaceDE w:val="0"/>
      <w:autoSpaceDN w:val="0"/>
      <w:adjustRightInd w:val="0"/>
      <w:textAlignment w:val="baseline"/>
    </w:pPr>
    <w:rPr>
      <w:rFonts w:ascii="Verdana" w:hAnsi="Verdana"/>
      <w:szCs w:val="20"/>
      <w:lang w:val="es-ES_tradnl"/>
    </w:rPr>
  </w:style>
  <w:style w:type="paragraph" w:styleId="Textoindependiente3">
    <w:name w:val="Body Text 3"/>
    <w:basedOn w:val="Normal"/>
    <w:semiHidden/>
    <w:pPr>
      <w:jc w:val="center"/>
    </w:pPr>
    <w:rPr>
      <w:rFonts w:cs="Arial"/>
      <w:b/>
      <w:i/>
      <w:sz w:val="24"/>
      <w:szCs w:val="20"/>
    </w:rPr>
  </w:style>
  <w:style w:type="paragraph" w:styleId="Ttulo">
    <w:name w:val="Title"/>
    <w:basedOn w:val="Normal"/>
    <w:qFormat/>
    <w:pPr>
      <w:jc w:val="center"/>
    </w:pPr>
    <w:rPr>
      <w:rFonts w:ascii="Times New Roman" w:hAnsi="Times New Roman"/>
      <w:b/>
      <w:bCs/>
      <w:sz w:val="28"/>
    </w:rPr>
  </w:style>
  <w:style w:type="paragraph" w:styleId="Textoindependiente">
    <w:name w:val="Body Text"/>
    <w:basedOn w:val="Normal"/>
    <w:semiHidden/>
    <w:rPr>
      <w:rFonts w:ascii="Century Gothic" w:hAnsi="Century Gothic"/>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ACUERDO</vt:lpstr>
    </vt:vector>
  </TitlesOfParts>
  <Company>CONSEJO SUPERIOR JUDICATURA</Company>
  <LinksUpToDate>false</LinksUpToDate>
  <CharactersWithSpaces>3969</CharactersWithSpaces>
  <SharedDoc>false</SharedDoc>
  <HLinks>
    <vt:vector size="6" baseType="variant">
      <vt:variant>
        <vt:i4>2490385</vt:i4>
      </vt:variant>
      <vt:variant>
        <vt:i4>-1</vt:i4>
      </vt:variant>
      <vt:variant>
        <vt:i4>2059</vt:i4>
      </vt:variant>
      <vt:variant>
        <vt:i4>1</vt:i4>
      </vt:variant>
      <vt:variant>
        <vt:lpwstr>C:\Documents and Settings\Administrator\My Documents\My Pictures\Logo_CSJ_color.jpg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dc:title>
  <dc:creator>DEAJ</dc:creator>
  <cp:lastModifiedBy>Carolina Andrea Tabares Rivera</cp:lastModifiedBy>
  <cp:revision>2</cp:revision>
  <cp:lastPrinted>2001-06-13T16:49:00Z</cp:lastPrinted>
  <dcterms:created xsi:type="dcterms:W3CDTF">2016-04-19T23:31:00Z</dcterms:created>
  <dcterms:modified xsi:type="dcterms:W3CDTF">2016-04-19T23:31:00Z</dcterms:modified>
</cp:coreProperties>
</file>