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BA" w:rsidRPr="00EC3981" w:rsidRDefault="008775BA" w:rsidP="008C7554">
      <w:pPr>
        <w:jc w:val="center"/>
        <w:rPr>
          <w:rFonts w:cs="Arial"/>
          <w:b/>
          <w:sz w:val="26"/>
          <w:szCs w:val="26"/>
        </w:rPr>
      </w:pPr>
      <w:bookmarkStart w:id="0" w:name="_GoBack"/>
      <w:bookmarkEnd w:id="0"/>
      <w:r>
        <w:rPr>
          <w:rFonts w:cs="Arial"/>
          <w:b/>
          <w:sz w:val="26"/>
          <w:szCs w:val="26"/>
        </w:rPr>
        <w:t>Consejero Ponente</w:t>
      </w:r>
      <w:r w:rsidRPr="00EC3981">
        <w:rPr>
          <w:rFonts w:cs="Arial"/>
          <w:b/>
          <w:sz w:val="26"/>
          <w:szCs w:val="26"/>
        </w:rPr>
        <w:t xml:space="preserve">: </w:t>
      </w:r>
      <w:r>
        <w:rPr>
          <w:rFonts w:cs="Arial"/>
          <w:b/>
          <w:sz w:val="26"/>
          <w:szCs w:val="26"/>
        </w:rPr>
        <w:t>Ramiro Pazos Guerrero</w:t>
      </w:r>
    </w:p>
    <w:p w:rsidR="008775BA" w:rsidRPr="00EC3981" w:rsidRDefault="008775BA" w:rsidP="008C7554">
      <w:pPr>
        <w:rPr>
          <w:rFonts w:cs="Arial"/>
          <w:sz w:val="26"/>
          <w:szCs w:val="26"/>
        </w:rPr>
      </w:pPr>
    </w:p>
    <w:p w:rsidR="008775BA" w:rsidRPr="00EC3981" w:rsidRDefault="008775BA" w:rsidP="008C7554">
      <w:pPr>
        <w:tabs>
          <w:tab w:val="left" w:pos="3081"/>
        </w:tabs>
        <w:spacing w:line="240" w:lineRule="auto"/>
        <w:rPr>
          <w:rFonts w:cs="Arial"/>
          <w:sz w:val="26"/>
          <w:szCs w:val="26"/>
          <w:lang w:val="es-ES"/>
        </w:rPr>
      </w:pPr>
      <w:r w:rsidRPr="00EC3981">
        <w:rPr>
          <w:rFonts w:cs="Arial"/>
          <w:sz w:val="26"/>
          <w:szCs w:val="26"/>
          <w:lang w:val="es-ES"/>
        </w:rPr>
        <w:t>Bogotá,</w:t>
      </w:r>
      <w:r>
        <w:rPr>
          <w:rFonts w:cs="Arial"/>
          <w:sz w:val="26"/>
          <w:szCs w:val="26"/>
          <w:lang w:val="es-ES"/>
        </w:rPr>
        <w:t xml:space="preserve"> </w:t>
      </w:r>
      <w:r w:rsidR="00120A7A">
        <w:rPr>
          <w:rFonts w:cs="Arial"/>
          <w:sz w:val="26"/>
          <w:szCs w:val="26"/>
          <w:lang w:val="es-ES"/>
        </w:rPr>
        <w:t>nueve (9) de octubre</w:t>
      </w:r>
      <w:r>
        <w:rPr>
          <w:rFonts w:cs="Arial"/>
          <w:sz w:val="26"/>
          <w:szCs w:val="26"/>
          <w:lang w:val="es-ES"/>
        </w:rPr>
        <w:t xml:space="preserve"> de dos mil catorce (2014)</w:t>
      </w:r>
      <w:r w:rsidRPr="00EC3981">
        <w:rPr>
          <w:rFonts w:cs="Arial"/>
          <w:sz w:val="26"/>
          <w:szCs w:val="26"/>
          <w:lang w:val="es-ES"/>
        </w:rPr>
        <w:tab/>
      </w:r>
    </w:p>
    <w:p w:rsidR="008775BA" w:rsidRPr="00080E0A" w:rsidRDefault="008775BA" w:rsidP="008C7554">
      <w:pPr>
        <w:spacing w:line="240" w:lineRule="auto"/>
        <w:rPr>
          <w:rFonts w:cs="Arial"/>
          <w:sz w:val="26"/>
          <w:szCs w:val="26"/>
          <w:lang w:val="es-ES"/>
        </w:rPr>
      </w:pPr>
    </w:p>
    <w:p w:rsidR="008775BA" w:rsidRPr="008C7554" w:rsidRDefault="008775BA" w:rsidP="008C7554">
      <w:pPr>
        <w:spacing w:line="240" w:lineRule="auto"/>
        <w:rPr>
          <w:rFonts w:cs="Arial"/>
          <w:sz w:val="26"/>
          <w:szCs w:val="26"/>
          <w:lang w:val="es-ES"/>
        </w:rPr>
      </w:pPr>
    </w:p>
    <w:p w:rsidR="008775BA" w:rsidRPr="008C7554" w:rsidRDefault="008775BA" w:rsidP="008C7554">
      <w:pPr>
        <w:spacing w:line="240" w:lineRule="auto"/>
        <w:rPr>
          <w:rFonts w:cs="Arial"/>
          <w:sz w:val="26"/>
          <w:szCs w:val="26"/>
        </w:rPr>
      </w:pPr>
      <w:r w:rsidRPr="008C7554">
        <w:rPr>
          <w:rFonts w:cs="Arial"/>
          <w:sz w:val="26"/>
          <w:szCs w:val="26"/>
        </w:rPr>
        <w:t>Expediente:</w:t>
      </w:r>
      <w:r w:rsidRPr="008C7554">
        <w:rPr>
          <w:rFonts w:cs="Arial"/>
          <w:sz w:val="26"/>
          <w:szCs w:val="26"/>
        </w:rPr>
        <w:tab/>
      </w:r>
      <w:r w:rsidRPr="008C7554">
        <w:rPr>
          <w:rFonts w:cs="Arial"/>
          <w:sz w:val="26"/>
          <w:szCs w:val="26"/>
        </w:rPr>
        <w:tab/>
      </w:r>
      <w:r w:rsidRPr="008C7554">
        <w:rPr>
          <w:rFonts w:cs="Arial"/>
          <w:sz w:val="26"/>
          <w:szCs w:val="26"/>
        </w:rPr>
        <w:tab/>
      </w:r>
      <w:r>
        <w:rPr>
          <w:rFonts w:cs="Arial"/>
          <w:sz w:val="26"/>
          <w:szCs w:val="26"/>
        </w:rPr>
        <w:t>29033</w:t>
      </w:r>
    </w:p>
    <w:p w:rsidR="008775BA" w:rsidRPr="008C7554" w:rsidRDefault="008775BA" w:rsidP="008C7554">
      <w:pPr>
        <w:spacing w:line="240" w:lineRule="auto"/>
        <w:rPr>
          <w:rFonts w:cs="Arial"/>
          <w:sz w:val="26"/>
          <w:szCs w:val="26"/>
        </w:rPr>
      </w:pPr>
      <w:r w:rsidRPr="008C7554">
        <w:rPr>
          <w:rFonts w:cs="Arial"/>
          <w:sz w:val="26"/>
          <w:szCs w:val="26"/>
        </w:rPr>
        <w:t>Radicación:</w:t>
      </w:r>
      <w:r w:rsidRPr="008C7554">
        <w:rPr>
          <w:rFonts w:cs="Arial"/>
          <w:sz w:val="26"/>
          <w:szCs w:val="26"/>
        </w:rPr>
        <w:tab/>
      </w:r>
      <w:r w:rsidRPr="008C7554">
        <w:rPr>
          <w:rFonts w:cs="Arial"/>
          <w:sz w:val="26"/>
          <w:szCs w:val="26"/>
        </w:rPr>
        <w:tab/>
      </w:r>
      <w:r w:rsidRPr="008C7554">
        <w:rPr>
          <w:rFonts w:cs="Arial"/>
          <w:sz w:val="26"/>
          <w:szCs w:val="26"/>
        </w:rPr>
        <w:tab/>
        <w:t>070012331000200200228 01</w:t>
      </w:r>
    </w:p>
    <w:p w:rsidR="008775BA" w:rsidRPr="00EC3981" w:rsidRDefault="008775BA" w:rsidP="008C7554">
      <w:pPr>
        <w:spacing w:line="240" w:lineRule="auto"/>
        <w:rPr>
          <w:rFonts w:cs="Arial"/>
          <w:sz w:val="26"/>
          <w:szCs w:val="26"/>
        </w:rPr>
      </w:pPr>
      <w:r w:rsidRPr="00EC3981">
        <w:rPr>
          <w:rFonts w:cs="Arial"/>
          <w:sz w:val="26"/>
          <w:szCs w:val="26"/>
        </w:rPr>
        <w:t>Actor:</w:t>
      </w:r>
      <w:r w:rsidRPr="00EC3981">
        <w:rPr>
          <w:rFonts w:cs="Arial"/>
          <w:sz w:val="26"/>
          <w:szCs w:val="26"/>
        </w:rPr>
        <w:tab/>
      </w:r>
      <w:r w:rsidRPr="00EC3981">
        <w:rPr>
          <w:rFonts w:cs="Arial"/>
          <w:sz w:val="26"/>
          <w:szCs w:val="26"/>
        </w:rPr>
        <w:tab/>
      </w:r>
      <w:r w:rsidRPr="00EC3981">
        <w:rPr>
          <w:rFonts w:cs="Arial"/>
          <w:sz w:val="26"/>
          <w:szCs w:val="26"/>
        </w:rPr>
        <w:tab/>
      </w:r>
      <w:r w:rsidRPr="00EC3981">
        <w:rPr>
          <w:rFonts w:cs="Arial"/>
          <w:sz w:val="26"/>
          <w:szCs w:val="26"/>
        </w:rPr>
        <w:tab/>
      </w:r>
      <w:r>
        <w:rPr>
          <w:rFonts w:cs="Arial"/>
          <w:sz w:val="26"/>
          <w:szCs w:val="26"/>
        </w:rPr>
        <w:t>Mónica Marisol Rodríguez Bustamante y otros</w:t>
      </w:r>
    </w:p>
    <w:p w:rsidR="008775BA" w:rsidRPr="00EC3981" w:rsidRDefault="008775BA" w:rsidP="008C7554">
      <w:pPr>
        <w:spacing w:line="240" w:lineRule="auto"/>
        <w:ind w:left="2832" w:hanging="2832"/>
        <w:jc w:val="left"/>
        <w:rPr>
          <w:rFonts w:cs="Arial"/>
          <w:sz w:val="26"/>
          <w:szCs w:val="26"/>
        </w:rPr>
      </w:pPr>
      <w:r w:rsidRPr="00EC3981">
        <w:rPr>
          <w:rFonts w:cs="Arial"/>
          <w:sz w:val="26"/>
          <w:szCs w:val="26"/>
        </w:rPr>
        <w:t>Demandados:</w:t>
      </w:r>
      <w:r w:rsidRPr="00EC3981">
        <w:rPr>
          <w:rFonts w:cs="Arial"/>
          <w:sz w:val="26"/>
          <w:szCs w:val="26"/>
        </w:rPr>
        <w:tab/>
        <w:t>Nación-Ministerio de Defensa Nacional-Ejército Nacional</w:t>
      </w:r>
    </w:p>
    <w:p w:rsidR="008775BA" w:rsidRPr="00EC3981" w:rsidRDefault="008775BA" w:rsidP="008C7554">
      <w:pPr>
        <w:spacing w:line="240" w:lineRule="auto"/>
        <w:rPr>
          <w:rFonts w:cs="Arial"/>
          <w:sz w:val="26"/>
          <w:szCs w:val="26"/>
        </w:rPr>
      </w:pPr>
      <w:r w:rsidRPr="00EC3981">
        <w:rPr>
          <w:rFonts w:cs="Arial"/>
          <w:sz w:val="26"/>
          <w:szCs w:val="26"/>
        </w:rPr>
        <w:t>Naturaleza:</w:t>
      </w:r>
      <w:r w:rsidRPr="00EC3981">
        <w:rPr>
          <w:rFonts w:cs="Arial"/>
          <w:sz w:val="26"/>
          <w:szCs w:val="26"/>
        </w:rPr>
        <w:tab/>
      </w:r>
      <w:r w:rsidRPr="00EC3981">
        <w:rPr>
          <w:rFonts w:cs="Arial"/>
          <w:sz w:val="26"/>
          <w:szCs w:val="26"/>
        </w:rPr>
        <w:tab/>
      </w:r>
      <w:r w:rsidRPr="00EC3981">
        <w:rPr>
          <w:rFonts w:cs="Arial"/>
          <w:sz w:val="26"/>
          <w:szCs w:val="26"/>
        </w:rPr>
        <w:tab/>
        <w:t>Reparación directa</w:t>
      </w:r>
    </w:p>
    <w:p w:rsidR="008775BA" w:rsidRPr="00EC3981" w:rsidRDefault="008775BA" w:rsidP="008C7554">
      <w:pPr>
        <w:rPr>
          <w:rFonts w:cs="Arial"/>
          <w:sz w:val="26"/>
          <w:szCs w:val="26"/>
        </w:rPr>
      </w:pPr>
    </w:p>
    <w:p w:rsidR="008775BA" w:rsidRPr="00EC3981" w:rsidRDefault="008775BA" w:rsidP="008C7554">
      <w:pPr>
        <w:rPr>
          <w:rFonts w:cs="Arial"/>
          <w:sz w:val="26"/>
          <w:szCs w:val="26"/>
        </w:rPr>
      </w:pPr>
    </w:p>
    <w:p w:rsidR="008775BA" w:rsidRPr="00EC3981" w:rsidRDefault="008775BA" w:rsidP="008C7554">
      <w:pPr>
        <w:pStyle w:val="Textoindependiente"/>
        <w:rPr>
          <w:sz w:val="26"/>
          <w:szCs w:val="26"/>
          <w:lang w:val="es-ES"/>
        </w:rPr>
      </w:pPr>
      <w:r>
        <w:rPr>
          <w:sz w:val="26"/>
          <w:szCs w:val="26"/>
          <w:lang w:val="es-ES"/>
        </w:rPr>
        <w:t>La Sala</w:t>
      </w:r>
      <w:r w:rsidRPr="00EC3981">
        <w:rPr>
          <w:sz w:val="26"/>
          <w:szCs w:val="26"/>
          <w:lang w:val="es-ES"/>
        </w:rPr>
        <w:t xml:space="preserve"> </w:t>
      </w:r>
      <w:r>
        <w:rPr>
          <w:sz w:val="26"/>
          <w:szCs w:val="26"/>
          <w:lang w:val="es-ES"/>
        </w:rPr>
        <w:t xml:space="preserve">procede a </w:t>
      </w:r>
      <w:r w:rsidRPr="00EC3981">
        <w:rPr>
          <w:sz w:val="26"/>
          <w:szCs w:val="26"/>
          <w:lang w:val="es-ES"/>
        </w:rPr>
        <w:t>res</w:t>
      </w:r>
      <w:r>
        <w:rPr>
          <w:sz w:val="26"/>
          <w:szCs w:val="26"/>
          <w:lang w:val="es-ES"/>
        </w:rPr>
        <w:t>olver</w:t>
      </w:r>
      <w:r w:rsidRPr="00EC3981">
        <w:rPr>
          <w:sz w:val="26"/>
          <w:szCs w:val="26"/>
          <w:lang w:val="es-ES"/>
        </w:rPr>
        <w:t xml:space="preserve"> el recurso de apelación presentado por la </w:t>
      </w:r>
      <w:r>
        <w:rPr>
          <w:sz w:val="26"/>
          <w:szCs w:val="26"/>
          <w:lang w:val="es-ES"/>
        </w:rPr>
        <w:t>parte actora</w:t>
      </w:r>
      <w:r w:rsidRPr="00EC3981">
        <w:rPr>
          <w:sz w:val="26"/>
          <w:szCs w:val="26"/>
          <w:lang w:val="es-ES"/>
        </w:rPr>
        <w:t xml:space="preserve"> contra la sentencia del 2</w:t>
      </w:r>
      <w:r>
        <w:rPr>
          <w:sz w:val="26"/>
          <w:szCs w:val="26"/>
          <w:lang w:val="es-ES"/>
        </w:rPr>
        <w:t>0</w:t>
      </w:r>
      <w:r w:rsidRPr="00EC3981">
        <w:rPr>
          <w:sz w:val="26"/>
          <w:szCs w:val="26"/>
          <w:lang w:val="es-ES"/>
        </w:rPr>
        <w:t xml:space="preserve"> de </w:t>
      </w:r>
      <w:r>
        <w:rPr>
          <w:sz w:val="26"/>
          <w:szCs w:val="26"/>
          <w:lang w:val="es-ES"/>
        </w:rPr>
        <w:t>agosto de 2004,</w:t>
      </w:r>
      <w:r w:rsidRPr="00EC3981">
        <w:rPr>
          <w:sz w:val="26"/>
          <w:szCs w:val="26"/>
          <w:lang w:val="es-ES"/>
        </w:rPr>
        <w:t xml:space="preserve"> </w:t>
      </w:r>
      <w:r>
        <w:rPr>
          <w:sz w:val="26"/>
          <w:szCs w:val="26"/>
          <w:lang w:val="es-ES"/>
        </w:rPr>
        <w:t>mediante la cual</w:t>
      </w:r>
      <w:r w:rsidRPr="00EC3981">
        <w:rPr>
          <w:sz w:val="26"/>
          <w:szCs w:val="26"/>
          <w:lang w:val="es-ES"/>
        </w:rPr>
        <w:t xml:space="preserve"> el Tr</w:t>
      </w:r>
      <w:r>
        <w:rPr>
          <w:sz w:val="26"/>
          <w:szCs w:val="26"/>
          <w:lang w:val="es-ES"/>
        </w:rPr>
        <w:t>ibunal Administrativo de Arauca</w:t>
      </w:r>
      <w:r w:rsidRPr="00EC3981">
        <w:rPr>
          <w:sz w:val="26"/>
          <w:szCs w:val="26"/>
          <w:lang w:val="es-ES"/>
        </w:rPr>
        <w:t xml:space="preserve"> </w:t>
      </w:r>
      <w:r>
        <w:rPr>
          <w:sz w:val="26"/>
          <w:szCs w:val="26"/>
          <w:lang w:val="es-ES"/>
        </w:rPr>
        <w:t>denegó</w:t>
      </w:r>
      <w:r w:rsidR="00202B18">
        <w:rPr>
          <w:sz w:val="26"/>
          <w:szCs w:val="26"/>
          <w:lang w:val="es-ES"/>
        </w:rPr>
        <w:t xml:space="preserve"> las pretensiones de la </w:t>
      </w:r>
      <w:r w:rsidRPr="00EC3981">
        <w:rPr>
          <w:sz w:val="26"/>
          <w:szCs w:val="26"/>
          <w:lang w:val="es-ES"/>
        </w:rPr>
        <w:t>demanda</w:t>
      </w:r>
      <w:r>
        <w:rPr>
          <w:rFonts w:cs="Arial"/>
          <w:sz w:val="26"/>
          <w:szCs w:val="26"/>
          <w:lang w:val="es-ES"/>
        </w:rPr>
        <w:t>.</w:t>
      </w:r>
      <w:r w:rsidRPr="00EC3981">
        <w:rPr>
          <w:rFonts w:cs="Arial"/>
          <w:sz w:val="26"/>
          <w:szCs w:val="26"/>
          <w:lang w:val="es-ES"/>
        </w:rPr>
        <w:t xml:space="preserve"> </w:t>
      </w:r>
      <w:r>
        <w:rPr>
          <w:rFonts w:cs="Arial"/>
          <w:sz w:val="26"/>
          <w:szCs w:val="26"/>
          <w:lang w:val="es-ES"/>
        </w:rPr>
        <w:t>La sentencia</w:t>
      </w:r>
      <w:r w:rsidRPr="00EC3981">
        <w:rPr>
          <w:rFonts w:cs="Arial"/>
          <w:sz w:val="26"/>
          <w:szCs w:val="26"/>
          <w:lang w:val="es-ES"/>
        </w:rPr>
        <w:t xml:space="preserve"> será </w:t>
      </w:r>
      <w:r>
        <w:rPr>
          <w:rFonts w:cs="Arial"/>
          <w:sz w:val="26"/>
          <w:szCs w:val="26"/>
          <w:lang w:val="es-ES"/>
        </w:rPr>
        <w:t>revoca</w:t>
      </w:r>
      <w:r w:rsidRPr="00EC3981">
        <w:rPr>
          <w:rFonts w:cs="Arial"/>
          <w:sz w:val="26"/>
          <w:szCs w:val="26"/>
          <w:lang w:val="es-ES"/>
        </w:rPr>
        <w:t>d</w:t>
      </w:r>
      <w:r>
        <w:rPr>
          <w:rFonts w:cs="Arial"/>
          <w:sz w:val="26"/>
          <w:szCs w:val="26"/>
          <w:lang w:val="es-ES"/>
        </w:rPr>
        <w:t>a</w:t>
      </w:r>
      <w:r w:rsidRPr="00EC3981">
        <w:rPr>
          <w:rFonts w:cs="Arial"/>
          <w:sz w:val="26"/>
          <w:szCs w:val="26"/>
          <w:lang w:val="es-ES"/>
        </w:rPr>
        <w:t>.</w:t>
      </w:r>
    </w:p>
    <w:p w:rsidR="008775BA" w:rsidRPr="00EC3981" w:rsidRDefault="008775BA" w:rsidP="008C7554">
      <w:pPr>
        <w:pStyle w:val="Textoindependiente"/>
        <w:rPr>
          <w:sz w:val="26"/>
          <w:szCs w:val="26"/>
          <w:lang w:val="es-ES"/>
        </w:rPr>
      </w:pPr>
    </w:p>
    <w:p w:rsidR="008775BA" w:rsidRPr="00EC3981" w:rsidRDefault="008775BA" w:rsidP="008C7554">
      <w:pPr>
        <w:pStyle w:val="Textoindependiente"/>
        <w:rPr>
          <w:sz w:val="26"/>
          <w:szCs w:val="26"/>
          <w:lang w:val="es-ES"/>
        </w:rPr>
      </w:pPr>
    </w:p>
    <w:p w:rsidR="008775BA" w:rsidRPr="00EC3981" w:rsidRDefault="008775BA" w:rsidP="008C7554">
      <w:pPr>
        <w:jc w:val="center"/>
        <w:rPr>
          <w:rFonts w:cs="Arial"/>
          <w:b/>
          <w:sz w:val="28"/>
          <w:szCs w:val="28"/>
        </w:rPr>
      </w:pPr>
      <w:r w:rsidRPr="00EC3981">
        <w:rPr>
          <w:rFonts w:cs="Arial"/>
          <w:b/>
          <w:sz w:val="28"/>
          <w:szCs w:val="28"/>
        </w:rPr>
        <w:t>SÍNTESIS DEL CASO</w:t>
      </w:r>
    </w:p>
    <w:p w:rsidR="008775BA" w:rsidRPr="00EC3981" w:rsidRDefault="008775BA" w:rsidP="008C7554">
      <w:pPr>
        <w:tabs>
          <w:tab w:val="left" w:pos="5760"/>
        </w:tabs>
        <w:rPr>
          <w:rFonts w:cs="Arial"/>
          <w:sz w:val="26"/>
          <w:szCs w:val="26"/>
        </w:rPr>
      </w:pPr>
    </w:p>
    <w:p w:rsidR="008775BA" w:rsidRDefault="008775BA" w:rsidP="008C7554">
      <w:pPr>
        <w:tabs>
          <w:tab w:val="left" w:pos="5760"/>
        </w:tabs>
        <w:rPr>
          <w:rFonts w:cs="Arial"/>
          <w:sz w:val="26"/>
          <w:szCs w:val="26"/>
        </w:rPr>
      </w:pPr>
      <w:r>
        <w:rPr>
          <w:rFonts w:cs="Arial"/>
          <w:sz w:val="26"/>
          <w:szCs w:val="26"/>
        </w:rPr>
        <w:t>El día 4 de septiembre de 1999, a las 9:00 p.m., aproximadamente, la joven Mónica Marisol Rodríguez Bustamante se encontraba con sus compa</w:t>
      </w:r>
      <w:r w:rsidR="008D361C">
        <w:rPr>
          <w:rFonts w:cs="Arial"/>
          <w:sz w:val="26"/>
          <w:szCs w:val="26"/>
        </w:rPr>
        <w:t>ñeros Emerson Rodríguez y Eduard</w:t>
      </w:r>
      <w:r>
        <w:rPr>
          <w:rFonts w:cs="Arial"/>
          <w:sz w:val="26"/>
          <w:szCs w:val="26"/>
        </w:rPr>
        <w:t xml:space="preserve"> Martínez en la plazoleta “Lanceros” del municipio de Tame, Arauca, cuando fue abordada por dos personas que se movilizaban en una motocicleta y que, luego de amenazar a los jóvenes con un arma de fuego, obligaron a Mónica Marisol Rodríguez a subir al vehículo, en el cual partieron con rumbo desconocido. Al llegar al sitio conocido como “Villa Olímpica”, luego de sufrir un accidente en el vehículo, los captores arrastraron a la joven a un lado de la vía, la despojaron de sus ropas y la viol</w:t>
      </w:r>
      <w:r w:rsidR="00554A5D">
        <w:rPr>
          <w:rFonts w:cs="Arial"/>
          <w:sz w:val="26"/>
          <w:szCs w:val="26"/>
        </w:rPr>
        <w:t>ent</w:t>
      </w:r>
      <w:r>
        <w:rPr>
          <w:rFonts w:cs="Arial"/>
          <w:sz w:val="26"/>
          <w:szCs w:val="26"/>
        </w:rPr>
        <w:t xml:space="preserve">aron sexualmente. La Policía Nacional logró determinar que los agresores eran militares en servicio activo, asignados al </w:t>
      </w:r>
      <w:r w:rsidR="00FB05AA">
        <w:rPr>
          <w:sz w:val="26"/>
          <w:szCs w:val="26"/>
        </w:rPr>
        <w:t>Batallón de I</w:t>
      </w:r>
      <w:r>
        <w:rPr>
          <w:sz w:val="26"/>
          <w:szCs w:val="26"/>
        </w:rPr>
        <w:t xml:space="preserve">ngenieros </w:t>
      </w:r>
      <w:r w:rsidRPr="00B9625B">
        <w:rPr>
          <w:sz w:val="26"/>
          <w:szCs w:val="26"/>
        </w:rPr>
        <w:lastRenderedPageBreak/>
        <w:t>n.°</w:t>
      </w:r>
      <w:r>
        <w:rPr>
          <w:sz w:val="26"/>
          <w:szCs w:val="26"/>
        </w:rPr>
        <w:t xml:space="preserve"> 18 “General Rafael Navas Pardo”</w:t>
      </w:r>
      <w:r>
        <w:rPr>
          <w:rFonts w:cs="Arial"/>
          <w:sz w:val="26"/>
          <w:szCs w:val="26"/>
        </w:rPr>
        <w:t xml:space="preserve"> del Ejército Nacional. Al cabo del proceso penal adelantado contra los suboficiales, las autoridades lograron establecer que, en la noche de los hechos, estos habían desoído las órdenes de sus superiores de recoger unos víveres para el personal militar y, en cambio, habían ingerido licor con miembros de la policía y conducían un vehículo destinado a la estación de policía municipal. Finalmente, el Juzgado Único Promiscuo del Circuito de Saravena condenó a Manuel de Jesús Carvajal Mendieta y a Ever Augusto Méndez Velosa a 15 y 12 años de prisión, respectivamente, al hallarlos responsables penalmente por los delitos de secuestro agravado y acceso carnal violento.</w:t>
      </w:r>
    </w:p>
    <w:p w:rsidR="008775BA" w:rsidRDefault="008775BA" w:rsidP="008C7554">
      <w:pPr>
        <w:tabs>
          <w:tab w:val="left" w:pos="5760"/>
        </w:tabs>
        <w:rPr>
          <w:rFonts w:cs="Arial"/>
          <w:sz w:val="26"/>
          <w:szCs w:val="26"/>
        </w:rPr>
      </w:pPr>
    </w:p>
    <w:p w:rsidR="008775BA" w:rsidRPr="00EC3981" w:rsidRDefault="008775BA" w:rsidP="00CE5E13">
      <w:pPr>
        <w:rPr>
          <w:rFonts w:cs="Arial"/>
          <w:b/>
          <w:sz w:val="28"/>
          <w:szCs w:val="28"/>
        </w:rPr>
      </w:pPr>
    </w:p>
    <w:p w:rsidR="008775BA" w:rsidRPr="00EC3981" w:rsidRDefault="008775BA" w:rsidP="008C7554">
      <w:pPr>
        <w:jc w:val="center"/>
        <w:rPr>
          <w:rFonts w:cs="Arial"/>
          <w:b/>
          <w:sz w:val="28"/>
          <w:szCs w:val="28"/>
        </w:rPr>
      </w:pPr>
      <w:r w:rsidRPr="00EC3981">
        <w:rPr>
          <w:rFonts w:cs="Arial"/>
          <w:b/>
          <w:sz w:val="28"/>
          <w:szCs w:val="28"/>
        </w:rPr>
        <w:t>ANTECEDENTES</w:t>
      </w:r>
    </w:p>
    <w:p w:rsidR="008775BA" w:rsidRPr="00EC3981" w:rsidRDefault="008775BA" w:rsidP="008C7554">
      <w:pPr>
        <w:tabs>
          <w:tab w:val="left" w:pos="5760"/>
        </w:tabs>
        <w:rPr>
          <w:rFonts w:cs="Arial"/>
          <w:sz w:val="26"/>
          <w:szCs w:val="26"/>
        </w:rPr>
      </w:pPr>
    </w:p>
    <w:p w:rsidR="008775BA" w:rsidRPr="00EC3981" w:rsidRDefault="008775BA" w:rsidP="008C7554">
      <w:pPr>
        <w:rPr>
          <w:rFonts w:cs="Arial"/>
          <w:b/>
          <w:bCs/>
          <w:sz w:val="26"/>
          <w:szCs w:val="26"/>
        </w:rPr>
      </w:pPr>
      <w:r w:rsidRPr="00EC3981">
        <w:rPr>
          <w:rFonts w:cs="Arial"/>
          <w:b/>
          <w:bCs/>
          <w:sz w:val="26"/>
          <w:szCs w:val="26"/>
        </w:rPr>
        <w:t>I. Lo que se pretende</w:t>
      </w:r>
    </w:p>
    <w:p w:rsidR="008775BA" w:rsidRPr="00EC3981" w:rsidRDefault="008775BA" w:rsidP="008C7554">
      <w:pPr>
        <w:rPr>
          <w:rFonts w:cs="Arial"/>
          <w:b/>
          <w:bCs/>
          <w:sz w:val="26"/>
          <w:szCs w:val="26"/>
        </w:rPr>
      </w:pPr>
    </w:p>
    <w:p w:rsidR="008775BA" w:rsidRPr="00EC3981" w:rsidRDefault="008775BA" w:rsidP="00B712A9">
      <w:pPr>
        <w:numPr>
          <w:ilvl w:val="0"/>
          <w:numId w:val="28"/>
        </w:numPr>
        <w:ind w:left="0" w:firstLine="0"/>
        <w:rPr>
          <w:sz w:val="26"/>
          <w:szCs w:val="26"/>
        </w:rPr>
      </w:pPr>
      <w:r>
        <w:rPr>
          <w:sz w:val="26"/>
          <w:szCs w:val="26"/>
        </w:rPr>
        <w:t>E</w:t>
      </w:r>
      <w:r w:rsidRPr="00EC3981">
        <w:rPr>
          <w:sz w:val="26"/>
          <w:szCs w:val="26"/>
        </w:rPr>
        <w:t xml:space="preserve">l </w:t>
      </w:r>
      <w:r>
        <w:rPr>
          <w:sz w:val="26"/>
          <w:szCs w:val="26"/>
        </w:rPr>
        <w:t>17</w:t>
      </w:r>
      <w:r w:rsidRPr="00EC3981">
        <w:rPr>
          <w:sz w:val="26"/>
          <w:szCs w:val="26"/>
        </w:rPr>
        <w:t xml:space="preserve"> de </w:t>
      </w:r>
      <w:r>
        <w:rPr>
          <w:sz w:val="26"/>
          <w:szCs w:val="26"/>
        </w:rPr>
        <w:t>agosto</w:t>
      </w:r>
      <w:r w:rsidRPr="00EC3981">
        <w:rPr>
          <w:sz w:val="26"/>
          <w:szCs w:val="26"/>
        </w:rPr>
        <w:t xml:space="preserve"> de 200</w:t>
      </w:r>
      <w:r>
        <w:rPr>
          <w:sz w:val="26"/>
          <w:szCs w:val="26"/>
        </w:rPr>
        <w:t>1,</w:t>
      </w:r>
      <w:r w:rsidRPr="00EC3981">
        <w:rPr>
          <w:sz w:val="26"/>
          <w:szCs w:val="26"/>
        </w:rPr>
        <w:t xml:space="preserve"> </w:t>
      </w:r>
      <w:r>
        <w:rPr>
          <w:sz w:val="26"/>
          <w:szCs w:val="26"/>
        </w:rPr>
        <w:t>Móni</w:t>
      </w:r>
      <w:r w:rsidR="00B75B4A">
        <w:rPr>
          <w:sz w:val="26"/>
          <w:szCs w:val="26"/>
        </w:rPr>
        <w:t>ca Marisol Rodríguez Bustamante, su madre Virginia Bustamante Sánchez</w:t>
      </w:r>
      <w:r>
        <w:rPr>
          <w:sz w:val="26"/>
          <w:szCs w:val="26"/>
        </w:rPr>
        <w:t xml:space="preserve"> y sus hermanos Kendy Yecid, Claudia Rosio y Carmen Lorena</w:t>
      </w:r>
      <w:r w:rsidRPr="00B712A9">
        <w:rPr>
          <w:sz w:val="26"/>
          <w:szCs w:val="26"/>
        </w:rPr>
        <w:t xml:space="preserve"> </w:t>
      </w:r>
      <w:r>
        <w:rPr>
          <w:sz w:val="26"/>
          <w:szCs w:val="26"/>
        </w:rPr>
        <w:t>Rodrí</w:t>
      </w:r>
      <w:r w:rsidR="00790744">
        <w:rPr>
          <w:sz w:val="26"/>
          <w:szCs w:val="26"/>
        </w:rPr>
        <w:t>guez Bustamante, por medio de un</w:t>
      </w:r>
      <w:r>
        <w:rPr>
          <w:sz w:val="26"/>
          <w:szCs w:val="26"/>
        </w:rPr>
        <w:t xml:space="preserve"> escrito dirigido al </w:t>
      </w:r>
      <w:r w:rsidRPr="00EC3981">
        <w:rPr>
          <w:sz w:val="26"/>
          <w:szCs w:val="26"/>
        </w:rPr>
        <w:t>Tri</w:t>
      </w:r>
      <w:r>
        <w:rPr>
          <w:sz w:val="26"/>
          <w:szCs w:val="26"/>
        </w:rPr>
        <w:t xml:space="preserve">bunal Administrativo de Arauca y en ejercicio de la acción de reparación directa establecida en el artículo 86 del Código Contencioso Administrativo, presentaron la </w:t>
      </w:r>
      <w:r w:rsidRPr="00B712A9">
        <w:rPr>
          <w:b/>
          <w:sz w:val="26"/>
          <w:szCs w:val="26"/>
        </w:rPr>
        <w:t>demanda</w:t>
      </w:r>
      <w:r>
        <w:rPr>
          <w:sz w:val="26"/>
          <w:szCs w:val="26"/>
        </w:rPr>
        <w:t xml:space="preserve"> </w:t>
      </w:r>
      <w:r w:rsidRPr="00EC3981">
        <w:rPr>
          <w:sz w:val="26"/>
          <w:szCs w:val="26"/>
        </w:rPr>
        <w:t>contra la Nación-Ministerio de D</w:t>
      </w:r>
      <w:r>
        <w:rPr>
          <w:sz w:val="26"/>
          <w:szCs w:val="26"/>
        </w:rPr>
        <w:t>efensa-Ejército Nacional, con el fin</w:t>
      </w:r>
      <w:r w:rsidRPr="00EC3981">
        <w:rPr>
          <w:sz w:val="26"/>
          <w:szCs w:val="26"/>
        </w:rPr>
        <w:t xml:space="preserve"> de que se </w:t>
      </w:r>
      <w:r>
        <w:rPr>
          <w:sz w:val="26"/>
          <w:szCs w:val="26"/>
        </w:rPr>
        <w:t xml:space="preserve">hicieran las siguientes declaraciones y condenas </w:t>
      </w:r>
      <w:r w:rsidRPr="00EC3981">
        <w:rPr>
          <w:sz w:val="22"/>
          <w:szCs w:val="22"/>
        </w:rPr>
        <w:t xml:space="preserve">(f. </w:t>
      </w:r>
      <w:r>
        <w:rPr>
          <w:sz w:val="22"/>
          <w:szCs w:val="22"/>
        </w:rPr>
        <w:t>5</w:t>
      </w:r>
      <w:r w:rsidRPr="00EC3981">
        <w:rPr>
          <w:sz w:val="22"/>
          <w:szCs w:val="22"/>
        </w:rPr>
        <w:t>-</w:t>
      </w:r>
      <w:r>
        <w:rPr>
          <w:sz w:val="22"/>
          <w:szCs w:val="22"/>
        </w:rPr>
        <w:t>10</w:t>
      </w:r>
      <w:r w:rsidRPr="00EC3981">
        <w:rPr>
          <w:sz w:val="22"/>
          <w:szCs w:val="22"/>
        </w:rPr>
        <w:t>, c. 1)</w:t>
      </w:r>
      <w:r>
        <w:rPr>
          <w:sz w:val="26"/>
          <w:szCs w:val="26"/>
        </w:rPr>
        <w:t>:</w:t>
      </w:r>
    </w:p>
    <w:p w:rsidR="008775BA" w:rsidRPr="00EC3981" w:rsidRDefault="008775BA" w:rsidP="008C7554">
      <w:pPr>
        <w:rPr>
          <w:sz w:val="26"/>
          <w:szCs w:val="26"/>
        </w:rPr>
      </w:pPr>
    </w:p>
    <w:p w:rsidR="008775BA" w:rsidRDefault="008775BA" w:rsidP="00504972">
      <w:pPr>
        <w:spacing w:line="240" w:lineRule="auto"/>
        <w:ind w:left="720" w:right="618"/>
        <w:rPr>
          <w:i/>
          <w:szCs w:val="24"/>
        </w:rPr>
      </w:pPr>
      <w:r>
        <w:rPr>
          <w:i/>
          <w:szCs w:val="24"/>
        </w:rPr>
        <w:t xml:space="preserve">Primera. Declarar administrativa y extracontractualmente responsable a la Nación-Ministerio de Defensa-Ejército Nacional, de la totalidad de los daños y perjuicios morales, fisiológicos y materiales, ocasionados a los demandantes con motivo de la agresión sexual violenta de que fuera objeto la señorita Mónica Marisol Rodríguez Bustamante, por parte de miembros del Ejército Nacional, pertenecientes al Batallón de Ingenieros Rafael Navas Pardo, del Municipio de Tame (Arauca), la noche del 4 de septiembre de 1999 cerca de la Villa Olímpica sobre la </w:t>
      </w:r>
      <w:r>
        <w:rPr>
          <w:i/>
          <w:szCs w:val="24"/>
        </w:rPr>
        <w:lastRenderedPageBreak/>
        <w:t>carretera que del Municipio de Tame conduce a la ciudad de Bogotá.</w:t>
      </w:r>
    </w:p>
    <w:p w:rsidR="008775BA" w:rsidRDefault="008775BA" w:rsidP="00504972">
      <w:pPr>
        <w:spacing w:line="240" w:lineRule="auto"/>
        <w:ind w:left="720" w:right="618"/>
        <w:rPr>
          <w:i/>
          <w:szCs w:val="24"/>
        </w:rPr>
      </w:pPr>
    </w:p>
    <w:p w:rsidR="008775BA" w:rsidRDefault="008775BA" w:rsidP="00504972">
      <w:pPr>
        <w:spacing w:line="240" w:lineRule="auto"/>
        <w:ind w:left="720" w:right="618"/>
        <w:rPr>
          <w:i/>
          <w:szCs w:val="24"/>
        </w:rPr>
      </w:pPr>
      <w:r>
        <w:rPr>
          <w:i/>
          <w:szCs w:val="24"/>
        </w:rPr>
        <w:t>Segunda. Declarar administrativa y extracontractualmente responsable a la Nación-Ministerio de Defensa-Ejército Nacional para el reconocimiento y pago a cada uno de los demandantes, a título de perjuicios morales, en el equivalente en pesos a las siguientes cantidades de oro fino, según su precio de venta certificado por el Banco de la República a la fecha de ejecutoria de la sentencia:</w:t>
      </w:r>
    </w:p>
    <w:p w:rsidR="008775BA" w:rsidRDefault="008775BA" w:rsidP="00504972">
      <w:pPr>
        <w:spacing w:line="240" w:lineRule="auto"/>
        <w:ind w:left="720" w:right="618"/>
        <w:rPr>
          <w:i/>
          <w:szCs w:val="24"/>
        </w:rPr>
      </w:pPr>
    </w:p>
    <w:p w:rsidR="008775BA" w:rsidRDefault="008775BA" w:rsidP="00504972">
      <w:pPr>
        <w:spacing w:line="240" w:lineRule="auto"/>
        <w:ind w:left="720" w:right="618"/>
        <w:rPr>
          <w:i/>
          <w:szCs w:val="24"/>
        </w:rPr>
      </w:pPr>
      <w:r>
        <w:rPr>
          <w:i/>
          <w:szCs w:val="24"/>
        </w:rPr>
        <w:t>a) Para Mónica Marisol Rodríguez Bustamante, dos mil gramos oro en su condición de víctima del execrable crimen cometido por miembros del Ejército Nacional.</w:t>
      </w:r>
    </w:p>
    <w:p w:rsidR="008775BA" w:rsidRDefault="008775BA" w:rsidP="00504972">
      <w:pPr>
        <w:spacing w:line="240" w:lineRule="auto"/>
        <w:ind w:left="720" w:right="618"/>
        <w:rPr>
          <w:i/>
          <w:szCs w:val="24"/>
        </w:rPr>
      </w:pPr>
    </w:p>
    <w:p w:rsidR="008775BA" w:rsidRDefault="008775BA" w:rsidP="00504972">
      <w:pPr>
        <w:spacing w:line="240" w:lineRule="auto"/>
        <w:ind w:left="720" w:right="618"/>
        <w:rPr>
          <w:i/>
          <w:szCs w:val="24"/>
        </w:rPr>
      </w:pPr>
      <w:r>
        <w:rPr>
          <w:i/>
          <w:szCs w:val="24"/>
        </w:rPr>
        <w:t>b) Para Virginia Bustamante Sánchez, el equivalente a un mil quinientos gramos oro en su condición de madre de la víctima del reato.</w:t>
      </w:r>
    </w:p>
    <w:p w:rsidR="008775BA" w:rsidRDefault="008775BA" w:rsidP="00504972">
      <w:pPr>
        <w:spacing w:line="240" w:lineRule="auto"/>
        <w:ind w:left="720" w:right="618"/>
        <w:rPr>
          <w:i/>
          <w:szCs w:val="24"/>
        </w:rPr>
      </w:pPr>
    </w:p>
    <w:p w:rsidR="008775BA" w:rsidRDefault="008775BA" w:rsidP="00504972">
      <w:pPr>
        <w:spacing w:line="240" w:lineRule="auto"/>
        <w:ind w:left="720" w:right="618"/>
        <w:rPr>
          <w:i/>
          <w:szCs w:val="24"/>
        </w:rPr>
      </w:pPr>
      <w:r>
        <w:rPr>
          <w:i/>
          <w:szCs w:val="24"/>
        </w:rPr>
        <w:t>c) Para Kendy Yecid, Claudia Ro</w:t>
      </w:r>
      <w:r w:rsidR="00396F42">
        <w:rPr>
          <w:i/>
          <w:szCs w:val="24"/>
        </w:rPr>
        <w:t>si</w:t>
      </w:r>
      <w:r>
        <w:rPr>
          <w:i/>
          <w:szCs w:val="24"/>
        </w:rPr>
        <w:t>o y Carmen Lorena Rodríguez Bustamante, el equivalente a mil gramos oro, para cada uno, en su condición de hermanos de la víctima.</w:t>
      </w:r>
    </w:p>
    <w:p w:rsidR="008775BA" w:rsidRDefault="008775BA" w:rsidP="00504972">
      <w:pPr>
        <w:spacing w:line="240" w:lineRule="auto"/>
        <w:ind w:left="720" w:right="618"/>
        <w:rPr>
          <w:i/>
          <w:szCs w:val="24"/>
        </w:rPr>
      </w:pPr>
    </w:p>
    <w:p w:rsidR="008775BA" w:rsidRDefault="008775BA" w:rsidP="00504972">
      <w:pPr>
        <w:spacing w:line="240" w:lineRule="auto"/>
        <w:ind w:left="720" w:right="618"/>
        <w:rPr>
          <w:i/>
          <w:szCs w:val="24"/>
        </w:rPr>
      </w:pPr>
      <w:r>
        <w:rPr>
          <w:i/>
          <w:szCs w:val="24"/>
        </w:rPr>
        <w:t>Tercera: Declarar administrativa y extracontractualmente responsable a la Nación-Ministerio de Defensa-Ejército Nacional a reconocer y pagar a cada uno de los demandantes, a título de perjuicio por el daño a la vida de relación (también llamado fisiológico), el equivalente en pesos a las siguientes cantidades de oro fino, según el precio de venta certificado por el Banco de la República a la fecha de ejecutoria de la sentencia:</w:t>
      </w:r>
    </w:p>
    <w:p w:rsidR="008775BA" w:rsidRDefault="008775BA" w:rsidP="00504972">
      <w:pPr>
        <w:spacing w:line="240" w:lineRule="auto"/>
        <w:ind w:left="720" w:right="618"/>
        <w:rPr>
          <w:i/>
          <w:szCs w:val="24"/>
        </w:rPr>
      </w:pPr>
    </w:p>
    <w:p w:rsidR="008775BA" w:rsidRDefault="008775BA" w:rsidP="00504972">
      <w:pPr>
        <w:spacing w:line="240" w:lineRule="auto"/>
        <w:ind w:left="720" w:right="618"/>
        <w:rPr>
          <w:i/>
          <w:szCs w:val="24"/>
        </w:rPr>
      </w:pPr>
      <w:r>
        <w:rPr>
          <w:i/>
          <w:szCs w:val="24"/>
        </w:rPr>
        <w:t>a) Para Mónica Marisol Rodríguez Bustamante, el equivalente a cinco mil (5.000) gramos de oro fino, en su condición de víctima de los execrables hechos que narraremos en la presente demanda.</w:t>
      </w:r>
    </w:p>
    <w:p w:rsidR="008775BA" w:rsidRDefault="008775BA" w:rsidP="00504972">
      <w:pPr>
        <w:spacing w:line="240" w:lineRule="auto"/>
        <w:ind w:left="720" w:right="618"/>
        <w:rPr>
          <w:i/>
          <w:szCs w:val="24"/>
        </w:rPr>
      </w:pPr>
    </w:p>
    <w:p w:rsidR="008775BA" w:rsidRDefault="008775BA" w:rsidP="00504972">
      <w:pPr>
        <w:spacing w:line="240" w:lineRule="auto"/>
        <w:ind w:left="720" w:right="618"/>
        <w:rPr>
          <w:i/>
          <w:szCs w:val="24"/>
        </w:rPr>
      </w:pPr>
      <w:r>
        <w:rPr>
          <w:i/>
          <w:szCs w:val="24"/>
        </w:rPr>
        <w:t>b) Para Virginia Bustamante Sánchez, el equivalente a dos mil (2.000) gramos de oro fino, en su condición de madre de la víctima.</w:t>
      </w:r>
    </w:p>
    <w:p w:rsidR="008775BA" w:rsidRDefault="008775BA" w:rsidP="00504972">
      <w:pPr>
        <w:spacing w:line="240" w:lineRule="auto"/>
        <w:ind w:left="720" w:right="618"/>
        <w:rPr>
          <w:i/>
          <w:szCs w:val="24"/>
        </w:rPr>
      </w:pPr>
    </w:p>
    <w:p w:rsidR="008775BA" w:rsidRDefault="008775BA" w:rsidP="00504972">
      <w:pPr>
        <w:spacing w:line="240" w:lineRule="auto"/>
        <w:ind w:left="720" w:right="618"/>
        <w:rPr>
          <w:i/>
          <w:szCs w:val="24"/>
        </w:rPr>
      </w:pPr>
      <w:r>
        <w:rPr>
          <w:i/>
          <w:szCs w:val="24"/>
        </w:rPr>
        <w:t>c) Para Kendy Yecid, Claudia Ro</w:t>
      </w:r>
      <w:r w:rsidR="00396F42">
        <w:rPr>
          <w:i/>
          <w:szCs w:val="24"/>
        </w:rPr>
        <w:t>si</w:t>
      </w:r>
      <w:r>
        <w:rPr>
          <w:i/>
          <w:szCs w:val="24"/>
        </w:rPr>
        <w:t>o y Carmen Lorena Rodríguez Bustamante, el equivalente a mil quinientos (1.500) gramos de oro fino, para cada uno, en su condición de hermanos de la víctima y quienes también por la gravedad y la forma en que ocurrieron los hechos resultaron gravemente afectados.</w:t>
      </w:r>
    </w:p>
    <w:p w:rsidR="008775BA" w:rsidRDefault="008775BA" w:rsidP="00504972">
      <w:pPr>
        <w:spacing w:line="240" w:lineRule="auto"/>
        <w:ind w:left="720" w:right="618"/>
        <w:rPr>
          <w:i/>
          <w:szCs w:val="24"/>
        </w:rPr>
      </w:pPr>
    </w:p>
    <w:p w:rsidR="008775BA" w:rsidRDefault="008775BA" w:rsidP="00504972">
      <w:pPr>
        <w:spacing w:line="240" w:lineRule="auto"/>
        <w:ind w:left="720" w:right="618"/>
        <w:rPr>
          <w:i/>
          <w:szCs w:val="24"/>
        </w:rPr>
      </w:pPr>
      <w:r>
        <w:rPr>
          <w:i/>
          <w:szCs w:val="24"/>
        </w:rPr>
        <w:t>El daño a la vida de relación se concreta en la pérdida o mengua de la posibilidad de realizar actividades de vital importancia que la víctima bien podría haber realizado o llegar a realizar, las cuales no necesariamente llevan implícito un enfoque patrimonial o pecuniario, sino que contribuyen a hacer más grata su existencia, sin el señalamiento o prejuzgamiento social.</w:t>
      </w:r>
    </w:p>
    <w:p w:rsidR="008775BA" w:rsidRDefault="008775BA" w:rsidP="00504972">
      <w:pPr>
        <w:spacing w:line="240" w:lineRule="auto"/>
        <w:ind w:left="720" w:right="618"/>
        <w:rPr>
          <w:i/>
          <w:szCs w:val="24"/>
        </w:rPr>
      </w:pPr>
    </w:p>
    <w:p w:rsidR="008775BA" w:rsidRDefault="008775BA" w:rsidP="00504972">
      <w:pPr>
        <w:spacing w:line="240" w:lineRule="auto"/>
        <w:ind w:left="720" w:right="618"/>
        <w:rPr>
          <w:i/>
          <w:szCs w:val="24"/>
        </w:rPr>
      </w:pPr>
      <w:r>
        <w:rPr>
          <w:i/>
          <w:szCs w:val="24"/>
        </w:rPr>
        <w:t>Con este lo que se busca es el logro de una indemnización integral para la víctima, originada en la lesión corporal de que fue objeto –acceso carnal violento– por parte de miembros del Ejército Nacional, que perturba su vida de relación, lo que conlleva a que Mónica Marisol no pueda disfrutar, entre otras cosas, de la felicidad que lleva implícita una relación de pareja armoniosa por haber perdido la virginidad en circunstancias que fueran de público conocimiento y así formalizar en condiciones normales su hogar, que es lo que toda mujer añora en su realización como persona, mujer y madre y para lo cual juega un papel determinante la virginidad al momento del matrimonio o la unión de pareja, ya que en el caso que nos ocupa la violación fue del dominio público de la sociedad tameña. Además, nótese que con ocasión de esta agresión la hoy demandante se encuentra sometida al prejuicio o rechazo social, moral, familiar, sentimental y en general a todas las consecuencias que implica una violación, dada la concepción machista, formalista y convencionalista de nuestra sociedad.</w:t>
      </w:r>
    </w:p>
    <w:p w:rsidR="008775BA" w:rsidRDefault="008775BA" w:rsidP="00504972">
      <w:pPr>
        <w:spacing w:line="240" w:lineRule="auto"/>
        <w:ind w:left="720" w:right="618"/>
        <w:rPr>
          <w:i/>
          <w:szCs w:val="24"/>
        </w:rPr>
      </w:pPr>
    </w:p>
    <w:p w:rsidR="008775BA" w:rsidRDefault="008775BA" w:rsidP="00504972">
      <w:pPr>
        <w:spacing w:line="240" w:lineRule="auto"/>
        <w:ind w:left="720" w:right="618"/>
        <w:rPr>
          <w:i/>
          <w:szCs w:val="24"/>
        </w:rPr>
      </w:pPr>
      <w:r>
        <w:rPr>
          <w:i/>
          <w:szCs w:val="24"/>
        </w:rPr>
        <w:t>Cuarta. Condenar a la Nación-Ministerio de Defensa-Ejército Nacional a pagar a favor de Mónica Marisol Rodríguez Bustamante Sánchez, los perjuicios materiales sufridos con ocasión de la acción ilegal del Ejército, teniendo en cuenta las siguientes bases de liquidación:</w:t>
      </w:r>
    </w:p>
    <w:p w:rsidR="008775BA" w:rsidRDefault="008775BA" w:rsidP="00504972">
      <w:pPr>
        <w:spacing w:line="240" w:lineRule="auto"/>
        <w:ind w:left="720" w:right="618"/>
        <w:rPr>
          <w:i/>
          <w:szCs w:val="24"/>
        </w:rPr>
      </w:pPr>
    </w:p>
    <w:p w:rsidR="008775BA" w:rsidRDefault="008775BA" w:rsidP="00504972">
      <w:pPr>
        <w:spacing w:line="240" w:lineRule="auto"/>
        <w:ind w:left="720" w:right="618"/>
        <w:rPr>
          <w:i/>
          <w:szCs w:val="24"/>
        </w:rPr>
      </w:pPr>
      <w:r>
        <w:rPr>
          <w:i/>
          <w:szCs w:val="24"/>
        </w:rPr>
        <w:t>a) Tratamiento psicoterapéutico, durante dos años, con frecuencia mínima de dos terapias mensuales, es decir, 48 sesiones especializadas para la víctima, señorita Mónica Marisol Rodríguez Bustamante. A fin de tratar de superar el grave trauma síquico que sufrió como consecuencia de la violación carnal de que fuera víctima por parte de dos miembros activos vinculados al Ejército Nacional.</w:t>
      </w:r>
    </w:p>
    <w:p w:rsidR="008775BA" w:rsidRDefault="008775BA" w:rsidP="00504972">
      <w:pPr>
        <w:spacing w:line="240" w:lineRule="auto"/>
        <w:ind w:left="720" w:right="618"/>
        <w:rPr>
          <w:i/>
          <w:szCs w:val="24"/>
        </w:rPr>
      </w:pPr>
    </w:p>
    <w:p w:rsidR="008775BA" w:rsidRDefault="008775BA" w:rsidP="00504972">
      <w:pPr>
        <w:spacing w:line="240" w:lineRule="auto"/>
        <w:ind w:left="720" w:right="618"/>
        <w:rPr>
          <w:i/>
          <w:szCs w:val="24"/>
        </w:rPr>
      </w:pPr>
      <w:r>
        <w:rPr>
          <w:i/>
          <w:szCs w:val="24"/>
        </w:rPr>
        <w:t>b) El centro de especialización psicoterapéutico que funcione en las ciudades de Bogotá y Bucaramanga a donde queda relativamente fácil el traslado de la víctima, habida consideración de no contar en nuestro departamento con este tipo de tratamiento, cubriendo los gastos que demanden los desplazamientos de pasajes aéreos y terrestre, hospedaje y alimentación establecidos en promedio para la fecha en que la sentencia quede ejecutoriada.</w:t>
      </w:r>
    </w:p>
    <w:p w:rsidR="008775BA" w:rsidRDefault="008775BA" w:rsidP="00504972">
      <w:pPr>
        <w:spacing w:line="240" w:lineRule="auto"/>
        <w:ind w:left="720" w:right="618"/>
        <w:rPr>
          <w:i/>
          <w:szCs w:val="24"/>
        </w:rPr>
      </w:pPr>
    </w:p>
    <w:p w:rsidR="008775BA" w:rsidRDefault="008775BA" w:rsidP="00504972">
      <w:pPr>
        <w:spacing w:line="240" w:lineRule="auto"/>
        <w:ind w:left="720" w:right="618"/>
        <w:rPr>
          <w:i/>
          <w:szCs w:val="24"/>
        </w:rPr>
      </w:pPr>
      <w:r>
        <w:rPr>
          <w:i/>
          <w:szCs w:val="24"/>
        </w:rPr>
        <w:t>c) Por el valor de las costas del proceso, incluyendo los que se deban cancelar por la prestación de los servicios profesionales para hacer valer sus derechos, fijando su monto siguiendo las pautas jurisprudenciales establecidas al efecto para esta clase de acciones judiciales pactadas a cuota litis.</w:t>
      </w:r>
    </w:p>
    <w:p w:rsidR="008775BA" w:rsidRDefault="008775BA" w:rsidP="00504972">
      <w:pPr>
        <w:spacing w:line="240" w:lineRule="auto"/>
        <w:ind w:left="720" w:right="618"/>
        <w:rPr>
          <w:i/>
          <w:szCs w:val="24"/>
        </w:rPr>
      </w:pPr>
    </w:p>
    <w:p w:rsidR="008775BA" w:rsidRDefault="008775BA" w:rsidP="00504972">
      <w:pPr>
        <w:spacing w:line="240" w:lineRule="auto"/>
        <w:ind w:left="720" w:right="618"/>
        <w:rPr>
          <w:i/>
          <w:szCs w:val="24"/>
        </w:rPr>
      </w:pPr>
      <w:r>
        <w:rPr>
          <w:i/>
          <w:szCs w:val="24"/>
        </w:rPr>
        <w:t>El pago de los servicios profesionales de abogado se hará con aplicación del art. 8 de la Ley 153 del año de 1887 y demás normas concordantes del C.P.C. a los demandantes Mónica Marisol Rodríguez Bustamante, Virginia Bustamante Sánchez, Kendy Yecid, Claudia Ro</w:t>
      </w:r>
      <w:r w:rsidR="00396F42">
        <w:rPr>
          <w:i/>
          <w:szCs w:val="24"/>
        </w:rPr>
        <w:t>si</w:t>
      </w:r>
      <w:r>
        <w:rPr>
          <w:i/>
          <w:szCs w:val="24"/>
        </w:rPr>
        <w:t>o y Carmen Lorena Rodríguez Bustamante.</w:t>
      </w:r>
    </w:p>
    <w:p w:rsidR="008775BA" w:rsidRDefault="008775BA" w:rsidP="00504972">
      <w:pPr>
        <w:spacing w:line="240" w:lineRule="auto"/>
        <w:ind w:left="720" w:right="618"/>
        <w:rPr>
          <w:i/>
          <w:szCs w:val="24"/>
        </w:rPr>
      </w:pPr>
    </w:p>
    <w:p w:rsidR="008775BA" w:rsidRDefault="008775BA" w:rsidP="00504972">
      <w:pPr>
        <w:spacing w:line="240" w:lineRule="auto"/>
        <w:ind w:left="720" w:right="618"/>
        <w:rPr>
          <w:i/>
          <w:szCs w:val="24"/>
        </w:rPr>
      </w:pPr>
      <w:r>
        <w:rPr>
          <w:i/>
          <w:szCs w:val="24"/>
        </w:rPr>
        <w:t>d) Los daños resultantes de la pérdida de la ayuda económica que venía recibiendo de su madre y hermanos en la cuantía que resulte de las bases que se demuestren en el curso del proceso, debidamente reajustado su valor desde el día en que ocurrieron los hechos, 4 de septiembre de 1999, en que fuera abusada sexualmente la señorita Mónica Marisol Rodríguez Bustamante y la fecha de ejecutoria de la sentencia, más los costos del tratamiento psicológico y los perjuicios que sufrieron los demandantes de orden psicológico, indemnización que se dividirá en debida forma o consolidada, futura y capitalizada, según las tablas de la matemática financiera, intereses, agencias y costas y que, entre otros, se concreta en la falta de apoyo económico y moral para que continuara con sus estudios superiores a fin de profesionalizarse en el área de la psicología, que era y es su vocación, en razón a lo que lo pretendido por su familia fue el tratar de buscar su equilibrio emocional y no aumentarlo con los evidentes rechazos de sus compañeros y de la sociedad en general, es decir, lo que se buscó fue tratar de aislarla de toda serie de comentarios y situaciones inadecuadas, por demás bochornosas, que en un momento dado agravaran el estado anímico de Mónica Marisol.</w:t>
      </w:r>
    </w:p>
    <w:p w:rsidR="008775BA" w:rsidRDefault="008775BA" w:rsidP="00504972">
      <w:pPr>
        <w:spacing w:line="240" w:lineRule="auto"/>
        <w:ind w:left="720" w:right="618"/>
        <w:rPr>
          <w:i/>
          <w:szCs w:val="24"/>
        </w:rPr>
      </w:pPr>
    </w:p>
    <w:p w:rsidR="008775BA" w:rsidRDefault="008775BA" w:rsidP="00504972">
      <w:pPr>
        <w:spacing w:line="240" w:lineRule="auto"/>
        <w:ind w:left="720" w:right="618"/>
        <w:rPr>
          <w:i/>
          <w:szCs w:val="24"/>
        </w:rPr>
      </w:pPr>
      <w:r>
        <w:rPr>
          <w:i/>
          <w:szCs w:val="24"/>
        </w:rPr>
        <w:t>En el lucro cesante se incluirá los intereses de capital representativo que según el art. 1615 del C.C., en concordancia con los arts. 177 y 178 del C.C.A., se está debiendo a los demandantes desde el 4 de septiembre de 1999 y se pagarán, lo mismo que el capital, en pesos de valor constante. Así pues que en este título de perjuicios materiales se tendrá en cuenta tanto el daño emergente como el lucro cesante conforme a lo que resulte probado.</w:t>
      </w:r>
    </w:p>
    <w:p w:rsidR="008775BA" w:rsidRDefault="008775BA" w:rsidP="00504972">
      <w:pPr>
        <w:spacing w:line="240" w:lineRule="auto"/>
        <w:ind w:left="720" w:right="618"/>
        <w:rPr>
          <w:i/>
          <w:szCs w:val="24"/>
        </w:rPr>
      </w:pPr>
    </w:p>
    <w:p w:rsidR="008775BA" w:rsidRDefault="008775BA" w:rsidP="00504972">
      <w:pPr>
        <w:spacing w:line="240" w:lineRule="auto"/>
        <w:ind w:left="720" w:right="618"/>
        <w:rPr>
          <w:i/>
          <w:szCs w:val="24"/>
        </w:rPr>
      </w:pPr>
      <w:r>
        <w:rPr>
          <w:i/>
          <w:szCs w:val="24"/>
        </w:rPr>
        <w:t>O en subsidio:</w:t>
      </w:r>
    </w:p>
    <w:p w:rsidR="008775BA" w:rsidRDefault="008775BA" w:rsidP="00504972">
      <w:pPr>
        <w:spacing w:line="240" w:lineRule="auto"/>
        <w:ind w:left="720" w:right="618"/>
        <w:rPr>
          <w:i/>
          <w:szCs w:val="24"/>
        </w:rPr>
      </w:pPr>
    </w:p>
    <w:p w:rsidR="008775BA" w:rsidRDefault="008775BA" w:rsidP="00504972">
      <w:pPr>
        <w:spacing w:line="240" w:lineRule="auto"/>
        <w:ind w:left="720" w:right="618"/>
        <w:rPr>
          <w:i/>
          <w:szCs w:val="24"/>
        </w:rPr>
      </w:pPr>
      <w:r>
        <w:rPr>
          <w:i/>
          <w:szCs w:val="24"/>
        </w:rPr>
        <w:t>Si no hubiere en autos base suficiente para la operación matemática de lo que vale la frustración de la ayuda económica que la víctima venía recibiendo tanto de su madre como de sus hermanos, el Tribunal, por razones de equidad, se servirá fijarlo en el equivalente en pesos, a la fecha de ejecutoria de la sentencia, de cinco mil gramos de oro fino, dándole aplicación al art. 8 de la Ley 153 de 1887, en concordancia con lo establecido en el Código Penal, que deberá asignarse a la accionante Mónica Marisol Rodríguez Bustamante, en su condición de víctima, teniendo en cuenta las razones atrás esgrimidas.</w:t>
      </w:r>
    </w:p>
    <w:p w:rsidR="008775BA" w:rsidRDefault="008775BA" w:rsidP="00504972">
      <w:pPr>
        <w:spacing w:line="240" w:lineRule="auto"/>
        <w:ind w:left="720" w:right="618"/>
        <w:rPr>
          <w:i/>
          <w:szCs w:val="24"/>
        </w:rPr>
      </w:pPr>
    </w:p>
    <w:p w:rsidR="008775BA" w:rsidRDefault="008775BA" w:rsidP="00504972">
      <w:pPr>
        <w:spacing w:line="240" w:lineRule="auto"/>
        <w:ind w:left="720" w:right="618"/>
        <w:rPr>
          <w:i/>
          <w:szCs w:val="24"/>
        </w:rPr>
      </w:pPr>
      <w:r>
        <w:rPr>
          <w:i/>
          <w:szCs w:val="24"/>
        </w:rPr>
        <w:t>En consecuencia, la Nación-Ministerio de Defensa-Ejército Nacional deberá pagar a los demandantes la suma de ciento cincuenta millones de pesos y cuanto más se probare, a título de indemnización de perjuicios y daños materiales –lucro cesante, daño emergente–, actualizando dicha suma conforme quedó atrás solicitado.</w:t>
      </w:r>
    </w:p>
    <w:p w:rsidR="008775BA" w:rsidRDefault="008775BA" w:rsidP="00504972">
      <w:pPr>
        <w:spacing w:line="240" w:lineRule="auto"/>
        <w:ind w:left="720" w:right="618"/>
        <w:rPr>
          <w:i/>
          <w:szCs w:val="24"/>
        </w:rPr>
      </w:pPr>
    </w:p>
    <w:p w:rsidR="008775BA" w:rsidRPr="00EC3981" w:rsidRDefault="008775BA" w:rsidP="00504972">
      <w:pPr>
        <w:spacing w:line="240" w:lineRule="auto"/>
        <w:ind w:left="720" w:right="618"/>
        <w:rPr>
          <w:i/>
          <w:szCs w:val="24"/>
        </w:rPr>
      </w:pPr>
      <w:r>
        <w:rPr>
          <w:i/>
          <w:szCs w:val="24"/>
        </w:rPr>
        <w:t>Quinta. La Nación-Ministerio de Defensa-Ejército Nacional, por medio de los funcionarios a quien corresponda la ejecución de la sentencia, dictará dentro de los 30 días siguientes a la comunicación de la misma, la resolución correspondiente en la cual se adoptarán las medidas necesarias para su cumplimiento y pagará intereses moratorios e indexados a partir de la ejecutoria de la sentencia de conformidad con los arts. 176, 177 y 178 del C.C.A.</w:t>
      </w:r>
    </w:p>
    <w:p w:rsidR="008775BA" w:rsidRPr="00EC3981" w:rsidRDefault="008775BA" w:rsidP="008C7554">
      <w:pPr>
        <w:rPr>
          <w:sz w:val="26"/>
          <w:szCs w:val="26"/>
        </w:rPr>
      </w:pPr>
    </w:p>
    <w:p w:rsidR="008775BA" w:rsidRPr="00EC3981" w:rsidRDefault="008775BA" w:rsidP="00060CEB">
      <w:pPr>
        <w:numPr>
          <w:ilvl w:val="0"/>
          <w:numId w:val="28"/>
        </w:numPr>
        <w:ind w:left="0" w:firstLine="0"/>
        <w:rPr>
          <w:sz w:val="26"/>
          <w:szCs w:val="26"/>
        </w:rPr>
      </w:pPr>
      <w:r w:rsidRPr="00EC3981">
        <w:rPr>
          <w:sz w:val="26"/>
          <w:szCs w:val="26"/>
        </w:rPr>
        <w:t>Como fundamento de la demanda, l</w:t>
      </w:r>
      <w:r>
        <w:rPr>
          <w:sz w:val="26"/>
          <w:szCs w:val="26"/>
        </w:rPr>
        <w:t>a</w:t>
      </w:r>
      <w:r w:rsidRPr="00EC3981">
        <w:rPr>
          <w:sz w:val="26"/>
          <w:szCs w:val="26"/>
        </w:rPr>
        <w:t xml:space="preserve"> </w:t>
      </w:r>
      <w:r>
        <w:rPr>
          <w:sz w:val="26"/>
          <w:szCs w:val="26"/>
        </w:rPr>
        <w:t>parte actora hizo un relato detallado de las circunstancias que dieron lugar a la agresión sexual de que fue víctima la joven Móni</w:t>
      </w:r>
      <w:r w:rsidR="00692BB8">
        <w:rPr>
          <w:sz w:val="26"/>
          <w:szCs w:val="26"/>
        </w:rPr>
        <w:t>ca Marisol Rodríguez Bustamante. En concreto,</w:t>
      </w:r>
      <w:r>
        <w:rPr>
          <w:sz w:val="26"/>
          <w:szCs w:val="26"/>
        </w:rPr>
        <w:t xml:space="preserve"> </w:t>
      </w:r>
      <w:r w:rsidR="00692BB8">
        <w:rPr>
          <w:sz w:val="26"/>
          <w:szCs w:val="26"/>
        </w:rPr>
        <w:t>indic</w:t>
      </w:r>
      <w:r>
        <w:rPr>
          <w:sz w:val="26"/>
          <w:szCs w:val="26"/>
        </w:rPr>
        <w:t>ó que los agresores eran suboficiales a</w:t>
      </w:r>
      <w:r w:rsidR="00692BB8">
        <w:rPr>
          <w:sz w:val="26"/>
          <w:szCs w:val="26"/>
        </w:rPr>
        <w:t>ctivos del Ejército Nacional, quienes</w:t>
      </w:r>
      <w:r>
        <w:rPr>
          <w:sz w:val="26"/>
          <w:szCs w:val="26"/>
        </w:rPr>
        <w:t xml:space="preserve"> se movilizaban en un vehículo oficial, y precisó que la justicia penal había condenado a estos militares al encontrarlos responsables de los delitos de secuestro agravado y acceso carnal violento. Afirmó que la entidad incurrió en “</w:t>
      </w:r>
      <w:r w:rsidRPr="00B42E89">
        <w:rPr>
          <w:i/>
          <w:sz w:val="26"/>
          <w:szCs w:val="26"/>
        </w:rPr>
        <w:t>graves fallas del servicio</w:t>
      </w:r>
      <w:r>
        <w:rPr>
          <w:sz w:val="26"/>
          <w:szCs w:val="26"/>
        </w:rPr>
        <w:t>”, dado que</w:t>
      </w:r>
      <w:r w:rsidRPr="00B42E89">
        <w:rPr>
          <w:sz w:val="26"/>
          <w:szCs w:val="26"/>
        </w:rPr>
        <w:t xml:space="preserve"> </w:t>
      </w:r>
      <w:r>
        <w:rPr>
          <w:sz w:val="26"/>
          <w:szCs w:val="26"/>
        </w:rPr>
        <w:t>incumplió su misión constitucional de proteger la vida, honra y bienes de todos los residentes en Colombia. Finalmente, alegó que esta agresión produjo daños morales, materiales y psicológicos, además de una afectación a los proyectos de vida de la víctima y sus familiares más cercanos, por lo que es necesaria una reparación integral de los mismos</w:t>
      </w:r>
      <w:r w:rsidRPr="00EC3981">
        <w:rPr>
          <w:sz w:val="26"/>
          <w:szCs w:val="26"/>
        </w:rPr>
        <w:t xml:space="preserve"> </w:t>
      </w:r>
      <w:r w:rsidRPr="00EC3981">
        <w:rPr>
          <w:sz w:val="22"/>
          <w:szCs w:val="22"/>
        </w:rPr>
        <w:t>(f. 4-</w:t>
      </w:r>
      <w:r>
        <w:rPr>
          <w:sz w:val="22"/>
          <w:szCs w:val="22"/>
        </w:rPr>
        <w:t>2</w:t>
      </w:r>
      <w:r w:rsidRPr="00EC3981">
        <w:rPr>
          <w:sz w:val="22"/>
          <w:szCs w:val="22"/>
        </w:rPr>
        <w:t>4, c. 1)</w:t>
      </w:r>
      <w:r w:rsidRPr="00EC3981">
        <w:rPr>
          <w:sz w:val="26"/>
          <w:szCs w:val="26"/>
        </w:rPr>
        <w:t>.</w:t>
      </w:r>
    </w:p>
    <w:p w:rsidR="008775BA" w:rsidRPr="00EC3981" w:rsidRDefault="008775BA" w:rsidP="008C7554">
      <w:pPr>
        <w:rPr>
          <w:sz w:val="26"/>
          <w:szCs w:val="26"/>
        </w:rPr>
      </w:pPr>
    </w:p>
    <w:p w:rsidR="008775BA" w:rsidRPr="00EC3981" w:rsidRDefault="008775BA" w:rsidP="008C7554">
      <w:pPr>
        <w:rPr>
          <w:rFonts w:cs="Arial"/>
          <w:b/>
          <w:sz w:val="26"/>
          <w:szCs w:val="26"/>
        </w:rPr>
      </w:pPr>
      <w:r w:rsidRPr="00EC3981">
        <w:rPr>
          <w:rFonts w:cs="Arial"/>
          <w:b/>
          <w:sz w:val="26"/>
          <w:szCs w:val="26"/>
        </w:rPr>
        <w:t>II. Trámite procesal</w:t>
      </w:r>
    </w:p>
    <w:p w:rsidR="008775BA" w:rsidRPr="00EC3981" w:rsidRDefault="008775BA" w:rsidP="008C7554">
      <w:pPr>
        <w:rPr>
          <w:rFonts w:cs="Arial"/>
          <w:sz w:val="26"/>
          <w:szCs w:val="26"/>
        </w:rPr>
      </w:pPr>
    </w:p>
    <w:p w:rsidR="008775BA" w:rsidRPr="00EC3981" w:rsidRDefault="008775BA" w:rsidP="00DD6CCD">
      <w:pPr>
        <w:numPr>
          <w:ilvl w:val="0"/>
          <w:numId w:val="2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sz w:val="26"/>
          <w:szCs w:val="26"/>
        </w:rPr>
      </w:pPr>
      <w:r>
        <w:rPr>
          <w:rFonts w:cs="Arial"/>
          <w:sz w:val="26"/>
          <w:szCs w:val="26"/>
        </w:rPr>
        <w:t xml:space="preserve">Una vez admitida la demanda </w:t>
      </w:r>
      <w:r w:rsidRPr="00EC3981">
        <w:rPr>
          <w:rFonts w:cs="Arial"/>
          <w:sz w:val="22"/>
          <w:szCs w:val="22"/>
        </w:rPr>
        <w:t xml:space="preserve">(f. </w:t>
      </w:r>
      <w:r>
        <w:rPr>
          <w:rFonts w:cs="Arial"/>
          <w:sz w:val="22"/>
          <w:szCs w:val="22"/>
        </w:rPr>
        <w:t>638-639</w:t>
      </w:r>
      <w:r w:rsidRPr="00EC3981">
        <w:rPr>
          <w:rFonts w:cs="Arial"/>
          <w:sz w:val="22"/>
          <w:szCs w:val="22"/>
        </w:rPr>
        <w:t>, c. 1)</w:t>
      </w:r>
      <w:r w:rsidRPr="00EC3981">
        <w:rPr>
          <w:rFonts w:cs="Arial"/>
          <w:sz w:val="26"/>
          <w:szCs w:val="26"/>
        </w:rPr>
        <w:t xml:space="preserve"> y </w:t>
      </w:r>
      <w:r>
        <w:rPr>
          <w:rFonts w:cs="Arial"/>
          <w:sz w:val="26"/>
          <w:szCs w:val="26"/>
        </w:rPr>
        <w:t>notificado</w:t>
      </w:r>
      <w:r w:rsidRPr="00EC3981">
        <w:rPr>
          <w:rFonts w:cs="Arial"/>
          <w:sz w:val="26"/>
          <w:szCs w:val="26"/>
        </w:rPr>
        <w:t xml:space="preserve"> el auto admisorio </w:t>
      </w:r>
      <w:r>
        <w:rPr>
          <w:rFonts w:cs="Arial"/>
          <w:sz w:val="26"/>
          <w:szCs w:val="26"/>
        </w:rPr>
        <w:t>a</w:t>
      </w:r>
      <w:r w:rsidR="00692BB8">
        <w:rPr>
          <w:rFonts w:cs="Arial"/>
          <w:sz w:val="26"/>
          <w:szCs w:val="26"/>
        </w:rPr>
        <w:t xml:space="preserve"> </w:t>
      </w:r>
      <w:r>
        <w:rPr>
          <w:rFonts w:cs="Arial"/>
          <w:sz w:val="26"/>
          <w:szCs w:val="26"/>
        </w:rPr>
        <w:t>l</w:t>
      </w:r>
      <w:r w:rsidR="00692BB8">
        <w:rPr>
          <w:rFonts w:cs="Arial"/>
          <w:sz w:val="26"/>
          <w:szCs w:val="26"/>
        </w:rPr>
        <w:t>a</w:t>
      </w:r>
      <w:r>
        <w:rPr>
          <w:rFonts w:cs="Arial"/>
          <w:sz w:val="26"/>
          <w:szCs w:val="26"/>
        </w:rPr>
        <w:t xml:space="preserve"> </w:t>
      </w:r>
      <w:r w:rsidR="00692BB8">
        <w:rPr>
          <w:rFonts w:cs="Arial"/>
          <w:sz w:val="26"/>
          <w:szCs w:val="26"/>
        </w:rPr>
        <w:t>Nación-</w:t>
      </w:r>
      <w:r>
        <w:rPr>
          <w:rFonts w:cs="Arial"/>
          <w:sz w:val="26"/>
          <w:szCs w:val="26"/>
        </w:rPr>
        <w:t>Ministerio de Defensa Nacional</w:t>
      </w:r>
      <w:r w:rsidRPr="00EC3981">
        <w:rPr>
          <w:rFonts w:cs="Arial"/>
          <w:sz w:val="26"/>
          <w:szCs w:val="26"/>
        </w:rPr>
        <w:t xml:space="preserve"> </w:t>
      </w:r>
      <w:r w:rsidRPr="00EC3981">
        <w:rPr>
          <w:rFonts w:cs="Arial"/>
          <w:sz w:val="22"/>
          <w:szCs w:val="22"/>
        </w:rPr>
        <w:t xml:space="preserve">(f. </w:t>
      </w:r>
      <w:r>
        <w:rPr>
          <w:rFonts w:cs="Arial"/>
          <w:sz w:val="22"/>
          <w:szCs w:val="22"/>
        </w:rPr>
        <w:t>644</w:t>
      </w:r>
      <w:r w:rsidRPr="00EC3981">
        <w:rPr>
          <w:rFonts w:cs="Arial"/>
          <w:sz w:val="22"/>
          <w:szCs w:val="22"/>
        </w:rPr>
        <w:t>, c. 1)</w:t>
      </w:r>
      <w:r>
        <w:rPr>
          <w:rFonts w:cs="Arial"/>
          <w:szCs w:val="24"/>
        </w:rPr>
        <w:t xml:space="preserve">, </w:t>
      </w:r>
      <w:r w:rsidR="00692BB8">
        <w:rPr>
          <w:rFonts w:cs="Arial"/>
          <w:sz w:val="26"/>
          <w:szCs w:val="26"/>
        </w:rPr>
        <w:t>esta</w:t>
      </w:r>
      <w:r>
        <w:rPr>
          <w:rFonts w:cs="Arial"/>
          <w:sz w:val="26"/>
          <w:szCs w:val="26"/>
        </w:rPr>
        <w:t xml:space="preserve"> presentó escrito de</w:t>
      </w:r>
      <w:r w:rsidRPr="00EC3981">
        <w:rPr>
          <w:rFonts w:cs="Arial"/>
          <w:sz w:val="26"/>
          <w:szCs w:val="26"/>
        </w:rPr>
        <w:t xml:space="preserve"> </w:t>
      </w:r>
      <w:r w:rsidRPr="00EC3981">
        <w:rPr>
          <w:rFonts w:cs="Arial"/>
          <w:b/>
          <w:sz w:val="26"/>
          <w:szCs w:val="26"/>
        </w:rPr>
        <w:t>contestación</w:t>
      </w:r>
      <w:r w:rsidRPr="00EC3981">
        <w:rPr>
          <w:rFonts w:cs="Arial"/>
          <w:sz w:val="26"/>
          <w:szCs w:val="26"/>
        </w:rPr>
        <w:t xml:space="preserve"> en </w:t>
      </w:r>
      <w:r>
        <w:rPr>
          <w:rFonts w:cs="Arial"/>
          <w:sz w:val="26"/>
          <w:szCs w:val="26"/>
        </w:rPr>
        <w:t xml:space="preserve">el que manifestó, en primer lugar, que en la demanda no se especifica el régimen de responsabilidad aplicable al caso. En segundo lugar, alegó que la actuación de los militares Manuel Carvajal Mendieta y Ever Augusto Méndez no tuvo relación alguna con el servicio, condición que exige la jurisprudencia para declarar la responsabilidad del Estado por la acción u omisión de sus agentes. Al respecto, precisó que el arma con que se intimidó a la víctima y la motocicleta en que fue raptada no eran elementos de uso oficial. </w:t>
      </w:r>
      <w:r w:rsidR="00692BB8">
        <w:rPr>
          <w:rFonts w:cs="Arial"/>
          <w:sz w:val="26"/>
          <w:szCs w:val="26"/>
        </w:rPr>
        <w:t>C</w:t>
      </w:r>
      <w:r>
        <w:rPr>
          <w:rFonts w:cs="Arial"/>
          <w:sz w:val="26"/>
          <w:szCs w:val="26"/>
        </w:rPr>
        <w:t>oncluyó que se presenta un “</w:t>
      </w:r>
      <w:r w:rsidRPr="00DD6CCD">
        <w:rPr>
          <w:rFonts w:cs="Arial"/>
          <w:i/>
          <w:sz w:val="26"/>
          <w:szCs w:val="26"/>
        </w:rPr>
        <w:t>hecho personal del agente</w:t>
      </w:r>
      <w:r>
        <w:rPr>
          <w:rFonts w:cs="Arial"/>
          <w:sz w:val="26"/>
          <w:szCs w:val="26"/>
        </w:rPr>
        <w:t xml:space="preserve">” que exime de responsabilidad a la institución castrense </w:t>
      </w:r>
      <w:r w:rsidRPr="00EC3981">
        <w:rPr>
          <w:rFonts w:cs="Arial"/>
          <w:sz w:val="22"/>
          <w:szCs w:val="22"/>
        </w:rPr>
        <w:t xml:space="preserve">(f. </w:t>
      </w:r>
      <w:r>
        <w:rPr>
          <w:rFonts w:cs="Arial"/>
          <w:sz w:val="22"/>
          <w:szCs w:val="22"/>
        </w:rPr>
        <w:t>645-651</w:t>
      </w:r>
      <w:r w:rsidRPr="00EC3981">
        <w:rPr>
          <w:rFonts w:cs="Arial"/>
          <w:sz w:val="22"/>
          <w:szCs w:val="22"/>
        </w:rPr>
        <w:t>, c. 1)</w:t>
      </w:r>
      <w:r w:rsidRPr="00EC3981">
        <w:rPr>
          <w:rFonts w:cs="Arial"/>
          <w:sz w:val="26"/>
          <w:szCs w:val="26"/>
        </w:rPr>
        <w:t>.</w:t>
      </w:r>
    </w:p>
    <w:p w:rsidR="008775BA" w:rsidRPr="00EC3981" w:rsidRDefault="008775BA" w:rsidP="00AF072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sz w:val="26"/>
          <w:szCs w:val="26"/>
        </w:rPr>
      </w:pPr>
    </w:p>
    <w:p w:rsidR="008775BA" w:rsidRPr="00B46CC8" w:rsidRDefault="008775BA" w:rsidP="009A36FE">
      <w:pPr>
        <w:numPr>
          <w:ilvl w:val="0"/>
          <w:numId w:val="2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0"/>
        <w:rPr>
          <w:rFonts w:cs="Arial"/>
          <w:sz w:val="26"/>
          <w:szCs w:val="26"/>
        </w:rPr>
      </w:pPr>
      <w:r w:rsidRPr="00EC3981">
        <w:rPr>
          <w:rFonts w:cs="Arial"/>
          <w:sz w:val="26"/>
          <w:szCs w:val="26"/>
        </w:rPr>
        <w:t>El 2</w:t>
      </w:r>
      <w:r>
        <w:rPr>
          <w:rFonts w:cs="Arial"/>
          <w:sz w:val="26"/>
          <w:szCs w:val="26"/>
        </w:rPr>
        <w:t>0</w:t>
      </w:r>
      <w:r w:rsidRPr="00EC3981">
        <w:rPr>
          <w:rFonts w:cs="Arial"/>
          <w:sz w:val="26"/>
          <w:szCs w:val="26"/>
        </w:rPr>
        <w:t xml:space="preserve"> de </w:t>
      </w:r>
      <w:r>
        <w:rPr>
          <w:rFonts w:cs="Arial"/>
          <w:sz w:val="26"/>
          <w:szCs w:val="26"/>
        </w:rPr>
        <w:t>agosto de 2004</w:t>
      </w:r>
      <w:r w:rsidRPr="00EC3981">
        <w:rPr>
          <w:rFonts w:cs="Arial"/>
          <w:sz w:val="26"/>
          <w:szCs w:val="26"/>
        </w:rPr>
        <w:t xml:space="preserve">, el Tribunal Administrativo de Arauca </w:t>
      </w:r>
      <w:r>
        <w:rPr>
          <w:rFonts w:cs="Arial"/>
          <w:sz w:val="26"/>
          <w:szCs w:val="26"/>
        </w:rPr>
        <w:t>dict</w:t>
      </w:r>
      <w:r w:rsidRPr="00EC3981">
        <w:rPr>
          <w:rFonts w:cs="Arial"/>
          <w:sz w:val="26"/>
          <w:szCs w:val="26"/>
        </w:rPr>
        <w:t xml:space="preserve">ó </w:t>
      </w:r>
      <w:r>
        <w:rPr>
          <w:rFonts w:cs="Arial"/>
          <w:b/>
          <w:sz w:val="26"/>
          <w:szCs w:val="26"/>
        </w:rPr>
        <w:t>sentencia</w:t>
      </w:r>
      <w:r w:rsidRPr="00EC3981">
        <w:rPr>
          <w:rFonts w:cs="Arial"/>
          <w:b/>
          <w:sz w:val="26"/>
          <w:szCs w:val="26"/>
        </w:rPr>
        <w:t xml:space="preserve"> de primera instancia</w:t>
      </w:r>
      <w:r w:rsidRPr="00EC3981">
        <w:rPr>
          <w:rFonts w:cs="Arial"/>
          <w:sz w:val="26"/>
          <w:szCs w:val="26"/>
        </w:rPr>
        <w:t xml:space="preserve"> en </w:t>
      </w:r>
      <w:r>
        <w:rPr>
          <w:rFonts w:cs="Arial"/>
          <w:sz w:val="26"/>
          <w:szCs w:val="26"/>
        </w:rPr>
        <w:t xml:space="preserve">la que denegó las súplicas de la demanda. </w:t>
      </w:r>
      <w:r w:rsidRPr="00EC3981">
        <w:rPr>
          <w:sz w:val="26"/>
          <w:szCs w:val="26"/>
          <w:lang w:val="es-ES"/>
        </w:rPr>
        <w:t>Como fundamento de la decisión, el Tribunal consideró que</w:t>
      </w:r>
      <w:r>
        <w:rPr>
          <w:sz w:val="26"/>
          <w:szCs w:val="26"/>
          <w:lang w:val="es-ES"/>
        </w:rPr>
        <w:t xml:space="preserve"> si bien está demostrado el daño, dado que la joven Mónica Marisol Rodríguez sufrió una agresión sexual que dejó secuelas psicológic</w:t>
      </w:r>
      <w:r w:rsidR="00166E6D">
        <w:rPr>
          <w:sz w:val="26"/>
          <w:szCs w:val="26"/>
          <w:lang w:val="es-ES"/>
        </w:rPr>
        <w:t>as</w:t>
      </w:r>
      <w:r>
        <w:rPr>
          <w:sz w:val="26"/>
          <w:szCs w:val="26"/>
          <w:lang w:val="es-ES"/>
        </w:rPr>
        <w:t xml:space="preserve"> y está acreditado que sus agresores fueron agentes del Estado, esto es, dos suboficiales del Ejército Nacional, no se evidencia que la conducta de los agentes tenga relación alguna por el servicio público. Indicó que el día de los hechos los militares en cuestión estaban “</w:t>
      </w:r>
      <w:r w:rsidRPr="009A36FE">
        <w:rPr>
          <w:i/>
          <w:sz w:val="26"/>
          <w:szCs w:val="26"/>
          <w:lang w:val="es-ES"/>
        </w:rPr>
        <w:t>de permiso</w:t>
      </w:r>
      <w:r>
        <w:rPr>
          <w:sz w:val="26"/>
          <w:szCs w:val="26"/>
          <w:lang w:val="es-ES"/>
        </w:rPr>
        <w:t xml:space="preserve">” por una cita odontológica y que, al mismo tiempo, habían recibido la orden de recoger unos víveres para la tropa, instrucción que desatendieron para quedarse ingiriendo licor y evitar el regreso al batallón. Manifestó, además, que no es posible predicar una falla en el servicio atribuible a sus superiores al no controlar la salida de los uniformados, pues estos no tenían antecedentes penales, sanciones disciplinarias ni llamados de atención que permitieran prever alguna conducta irregular. En ese sentido, concluyó que es imposible demandar de la administración una vigilancia permanente e irrestricta sobre sus agentes </w:t>
      </w:r>
      <w:r w:rsidRPr="00EC3981">
        <w:rPr>
          <w:rFonts w:cs="Arial"/>
          <w:sz w:val="22"/>
          <w:szCs w:val="26"/>
        </w:rPr>
        <w:t xml:space="preserve">(f. </w:t>
      </w:r>
      <w:r>
        <w:rPr>
          <w:rFonts w:cs="Arial"/>
          <w:sz w:val="22"/>
          <w:szCs w:val="26"/>
        </w:rPr>
        <w:t>696</w:t>
      </w:r>
      <w:r w:rsidRPr="00EC3981">
        <w:rPr>
          <w:rFonts w:cs="Arial"/>
          <w:sz w:val="22"/>
          <w:szCs w:val="26"/>
        </w:rPr>
        <w:t>-</w:t>
      </w:r>
      <w:r>
        <w:rPr>
          <w:rFonts w:cs="Arial"/>
          <w:sz w:val="22"/>
          <w:szCs w:val="26"/>
        </w:rPr>
        <w:t>715</w:t>
      </w:r>
      <w:r w:rsidRPr="00EC3981">
        <w:rPr>
          <w:rFonts w:cs="Arial"/>
          <w:sz w:val="22"/>
          <w:szCs w:val="26"/>
        </w:rPr>
        <w:t xml:space="preserve">, c. </w:t>
      </w:r>
      <w:r>
        <w:rPr>
          <w:rFonts w:cs="Arial"/>
          <w:sz w:val="22"/>
          <w:szCs w:val="26"/>
        </w:rPr>
        <w:t>8</w:t>
      </w:r>
      <w:r w:rsidRPr="00EC3981">
        <w:rPr>
          <w:rFonts w:cs="Arial"/>
          <w:sz w:val="22"/>
          <w:szCs w:val="26"/>
        </w:rPr>
        <w:t>)</w:t>
      </w:r>
      <w:r w:rsidRPr="00EC3981">
        <w:rPr>
          <w:sz w:val="26"/>
          <w:szCs w:val="26"/>
          <w:lang w:val="es-ES"/>
        </w:rPr>
        <w:t>.</w:t>
      </w:r>
    </w:p>
    <w:p w:rsidR="008775BA" w:rsidRPr="00EC3981" w:rsidRDefault="008775BA" w:rsidP="008C7554">
      <w:pPr>
        <w:rPr>
          <w:rFonts w:cs="Arial"/>
          <w:sz w:val="26"/>
          <w:szCs w:val="26"/>
        </w:rPr>
      </w:pPr>
    </w:p>
    <w:p w:rsidR="008775BA" w:rsidRPr="00EC3981" w:rsidRDefault="008775BA" w:rsidP="00820071">
      <w:pPr>
        <w:numPr>
          <w:ilvl w:val="0"/>
          <w:numId w:val="28"/>
        </w:numPr>
        <w:ind w:left="0" w:firstLine="0"/>
        <w:rPr>
          <w:rFonts w:cs="Arial"/>
          <w:sz w:val="26"/>
          <w:szCs w:val="26"/>
        </w:rPr>
      </w:pPr>
      <w:r w:rsidRPr="00EC3981">
        <w:rPr>
          <w:sz w:val="26"/>
          <w:szCs w:val="26"/>
          <w:lang w:val="es-ES"/>
        </w:rPr>
        <w:t xml:space="preserve">Contra la anterior decisión, la parte </w:t>
      </w:r>
      <w:r>
        <w:rPr>
          <w:sz w:val="26"/>
          <w:szCs w:val="26"/>
          <w:lang w:val="es-ES"/>
        </w:rPr>
        <w:t>actora</w:t>
      </w:r>
      <w:r w:rsidRPr="00EC3981">
        <w:rPr>
          <w:sz w:val="26"/>
          <w:szCs w:val="26"/>
          <w:lang w:val="es-ES"/>
        </w:rPr>
        <w:t xml:space="preserve"> interpuso </w:t>
      </w:r>
      <w:r w:rsidRPr="00EC3981">
        <w:rPr>
          <w:rFonts w:cs="Arial"/>
          <w:b/>
          <w:sz w:val="26"/>
          <w:szCs w:val="26"/>
          <w:lang w:val="es-ES"/>
        </w:rPr>
        <w:t xml:space="preserve">recurso de apelación </w:t>
      </w:r>
      <w:r w:rsidRPr="00EC3981">
        <w:rPr>
          <w:rFonts w:cs="Arial"/>
          <w:sz w:val="26"/>
          <w:szCs w:val="26"/>
          <w:lang w:val="es-ES"/>
        </w:rPr>
        <w:t>en el que aleg</w:t>
      </w:r>
      <w:r w:rsidR="00166E6D">
        <w:rPr>
          <w:rFonts w:cs="Arial"/>
          <w:sz w:val="26"/>
          <w:szCs w:val="26"/>
          <w:lang w:val="es-ES"/>
        </w:rPr>
        <w:t>ó</w:t>
      </w:r>
      <w:r>
        <w:rPr>
          <w:rFonts w:cs="Arial"/>
          <w:sz w:val="26"/>
          <w:szCs w:val="26"/>
          <w:lang w:val="es-ES"/>
        </w:rPr>
        <w:t>, en primer lugar, que la agresión perpetrada por los suboficiales del Ejército fue cometida durante la prestación del servicio, pues los militares habían recibido la orden de aprovisionarse de víveres para el abastecimiento del personal, y uno de ellos había recibido, para el cumplimiento de la misión, un arma de dotación oficial, instrumento que después utilizaron los uniformados para amenazar a la víctima y consumar el repudiable hecho.</w:t>
      </w:r>
      <w:r>
        <w:rPr>
          <w:rFonts w:cs="Arial"/>
          <w:sz w:val="26"/>
          <w:szCs w:val="26"/>
        </w:rPr>
        <w:t xml:space="preserve"> </w:t>
      </w:r>
      <w:r w:rsidR="00166E6D">
        <w:rPr>
          <w:rFonts w:cs="Arial"/>
          <w:sz w:val="26"/>
          <w:szCs w:val="26"/>
          <w:lang w:val="es-ES"/>
        </w:rPr>
        <w:t>Agregó</w:t>
      </w:r>
      <w:r>
        <w:rPr>
          <w:rFonts w:cs="Arial"/>
          <w:sz w:val="26"/>
          <w:szCs w:val="26"/>
          <w:lang w:val="es-ES"/>
        </w:rPr>
        <w:t xml:space="preserve"> que esta instrucción, impartida por el subteniente Fabián Borja, fue irregular dado que no se co</w:t>
      </w:r>
      <w:r w:rsidR="00166E6D">
        <w:rPr>
          <w:rFonts w:cs="Arial"/>
          <w:sz w:val="26"/>
          <w:szCs w:val="26"/>
          <w:lang w:val="es-ES"/>
        </w:rPr>
        <w:t>nsultó con el comandante de la B</w:t>
      </w:r>
      <w:r>
        <w:rPr>
          <w:rFonts w:cs="Arial"/>
          <w:sz w:val="26"/>
          <w:szCs w:val="26"/>
          <w:lang w:val="es-ES"/>
        </w:rPr>
        <w:t xml:space="preserve">rigada XVIII, como era el conducto </w:t>
      </w:r>
      <w:r w:rsidR="00166E6D">
        <w:rPr>
          <w:rFonts w:cs="Arial"/>
          <w:sz w:val="26"/>
          <w:szCs w:val="26"/>
          <w:lang w:val="es-ES"/>
        </w:rPr>
        <w:t>regular. Señaló</w:t>
      </w:r>
      <w:r>
        <w:rPr>
          <w:rFonts w:cs="Arial"/>
          <w:sz w:val="26"/>
          <w:szCs w:val="26"/>
          <w:lang w:val="es-ES"/>
        </w:rPr>
        <w:t xml:space="preserve"> que luego de advertir que los funcionarios se habían evadido del servicio, los superiores no hicieron esfuerzo alguno para asegurar su regreso al batallón. De</w:t>
      </w:r>
      <w:r w:rsidR="00166E6D">
        <w:rPr>
          <w:rFonts w:cs="Arial"/>
          <w:sz w:val="26"/>
          <w:szCs w:val="26"/>
          <w:lang w:val="es-ES"/>
        </w:rPr>
        <w:t>stacó</w:t>
      </w:r>
      <w:r>
        <w:rPr>
          <w:rFonts w:cs="Arial"/>
          <w:sz w:val="26"/>
          <w:szCs w:val="26"/>
          <w:lang w:val="es-ES"/>
        </w:rPr>
        <w:t xml:space="preserve"> que los suboficiales se movilizaban en una motocicleta al servicio de la Policía Nacional, sin que esta institución ejerciera un control adec</w:t>
      </w:r>
      <w:r w:rsidR="00166E6D">
        <w:rPr>
          <w:rFonts w:cs="Arial"/>
          <w:sz w:val="26"/>
          <w:szCs w:val="26"/>
          <w:lang w:val="es-ES"/>
        </w:rPr>
        <w:t xml:space="preserve">uado sobre el vehículo, y </w:t>
      </w:r>
      <w:r>
        <w:rPr>
          <w:rFonts w:cs="Arial"/>
          <w:sz w:val="26"/>
          <w:szCs w:val="26"/>
          <w:lang w:val="es-ES"/>
        </w:rPr>
        <w:t xml:space="preserve">que la institución castrense debió comunicarse con la estación de policía para evitar la salida de los militares. Por otra parte, </w:t>
      </w:r>
      <w:r w:rsidR="00166E6D">
        <w:rPr>
          <w:rFonts w:cs="Arial"/>
          <w:sz w:val="26"/>
          <w:szCs w:val="26"/>
          <w:lang w:val="es-ES"/>
        </w:rPr>
        <w:t>sostuvo</w:t>
      </w:r>
      <w:r>
        <w:rPr>
          <w:rFonts w:cs="Arial"/>
          <w:sz w:val="26"/>
          <w:szCs w:val="26"/>
          <w:lang w:val="es-ES"/>
        </w:rPr>
        <w:t xml:space="preserve"> que las condiciones de encierro y de férrea disciplina impuestas a los militares en un contexto tan complejo como el de Tame, Arauca, hacían previsible la comisión de hechos ilícitos, por lo que el deber de control y vigilancia era aún más </w:t>
      </w:r>
      <w:r w:rsidR="00166E6D">
        <w:rPr>
          <w:rFonts w:cs="Arial"/>
          <w:sz w:val="26"/>
          <w:szCs w:val="26"/>
          <w:lang w:val="es-ES"/>
        </w:rPr>
        <w:t>exigente. En síntesis, consideró</w:t>
      </w:r>
      <w:r>
        <w:rPr>
          <w:rFonts w:cs="Arial"/>
          <w:sz w:val="26"/>
          <w:szCs w:val="26"/>
          <w:lang w:val="es-ES"/>
        </w:rPr>
        <w:t xml:space="preserve"> que el daño, al ser causado por agentes del Estado, durante la prestación del servicio y con instrumentos oficiales, es imputable a la entidad </w:t>
      </w:r>
      <w:r w:rsidRPr="00EC3981">
        <w:rPr>
          <w:rFonts w:cs="Arial"/>
          <w:sz w:val="22"/>
          <w:szCs w:val="22"/>
        </w:rPr>
        <w:t xml:space="preserve">(f. </w:t>
      </w:r>
      <w:r>
        <w:rPr>
          <w:rFonts w:cs="Arial"/>
          <w:sz w:val="22"/>
          <w:szCs w:val="22"/>
        </w:rPr>
        <w:t>72</w:t>
      </w:r>
      <w:r w:rsidRPr="00EC3981">
        <w:rPr>
          <w:rFonts w:cs="Arial"/>
          <w:sz w:val="22"/>
          <w:szCs w:val="22"/>
        </w:rPr>
        <w:t>7-</w:t>
      </w:r>
      <w:r>
        <w:rPr>
          <w:rFonts w:cs="Arial"/>
          <w:sz w:val="22"/>
          <w:szCs w:val="22"/>
        </w:rPr>
        <w:t>739</w:t>
      </w:r>
      <w:r w:rsidRPr="00EC3981">
        <w:rPr>
          <w:rFonts w:cs="Arial"/>
          <w:sz w:val="22"/>
          <w:szCs w:val="22"/>
        </w:rPr>
        <w:t xml:space="preserve">, c. </w:t>
      </w:r>
      <w:r>
        <w:rPr>
          <w:rFonts w:cs="Arial"/>
          <w:sz w:val="22"/>
          <w:szCs w:val="22"/>
        </w:rPr>
        <w:t>8</w:t>
      </w:r>
      <w:r w:rsidRPr="00EC3981">
        <w:rPr>
          <w:rFonts w:cs="Arial"/>
          <w:sz w:val="22"/>
          <w:szCs w:val="22"/>
        </w:rPr>
        <w:t>)</w:t>
      </w:r>
      <w:r w:rsidRPr="00EC3981">
        <w:rPr>
          <w:sz w:val="26"/>
          <w:szCs w:val="26"/>
          <w:lang w:val="es-ES"/>
        </w:rPr>
        <w:t>.</w:t>
      </w:r>
    </w:p>
    <w:p w:rsidR="008775BA" w:rsidRPr="00EC3981" w:rsidRDefault="008775BA" w:rsidP="008C7554">
      <w:pPr>
        <w:rPr>
          <w:rFonts w:cs="Arial"/>
          <w:sz w:val="26"/>
          <w:szCs w:val="26"/>
        </w:rPr>
      </w:pPr>
    </w:p>
    <w:p w:rsidR="008775BA" w:rsidRPr="00EC3981" w:rsidRDefault="008775BA" w:rsidP="000F746A">
      <w:pPr>
        <w:numPr>
          <w:ilvl w:val="0"/>
          <w:numId w:val="28"/>
        </w:numPr>
        <w:ind w:left="0" w:firstLine="0"/>
        <w:rPr>
          <w:rFonts w:cs="Arial"/>
          <w:sz w:val="26"/>
          <w:szCs w:val="26"/>
        </w:rPr>
      </w:pPr>
      <w:r>
        <w:rPr>
          <w:sz w:val="26"/>
          <w:szCs w:val="26"/>
          <w:lang w:val="es-ES"/>
        </w:rPr>
        <w:t>Durante el término legal para</w:t>
      </w:r>
      <w:r>
        <w:rPr>
          <w:rFonts w:cs="Arial"/>
          <w:b/>
          <w:sz w:val="26"/>
          <w:szCs w:val="26"/>
          <w:lang w:val="es-ES"/>
        </w:rPr>
        <w:t xml:space="preserve"> alegar</w:t>
      </w:r>
      <w:r w:rsidRPr="00EC3981">
        <w:rPr>
          <w:rFonts w:cs="Arial"/>
          <w:b/>
          <w:sz w:val="26"/>
          <w:szCs w:val="26"/>
          <w:lang w:val="es-ES"/>
        </w:rPr>
        <w:t xml:space="preserve"> de conclusión </w:t>
      </w:r>
      <w:r w:rsidRPr="00CB434F">
        <w:rPr>
          <w:rFonts w:cs="Arial"/>
          <w:sz w:val="26"/>
          <w:szCs w:val="26"/>
          <w:lang w:val="es-ES"/>
        </w:rPr>
        <w:t>en segunda instancia</w:t>
      </w:r>
      <w:r w:rsidRPr="00EC3981">
        <w:rPr>
          <w:rFonts w:cs="Arial"/>
          <w:sz w:val="26"/>
          <w:szCs w:val="26"/>
          <w:lang w:val="es-ES"/>
        </w:rPr>
        <w:t xml:space="preserve">, </w:t>
      </w:r>
      <w:r>
        <w:rPr>
          <w:rFonts w:cs="Arial"/>
          <w:sz w:val="26"/>
          <w:szCs w:val="26"/>
          <w:lang w:val="es-ES"/>
        </w:rPr>
        <w:t xml:space="preserve">la parte </w:t>
      </w:r>
      <w:r w:rsidR="004862C2">
        <w:rPr>
          <w:rFonts w:cs="Arial"/>
          <w:sz w:val="26"/>
          <w:szCs w:val="26"/>
          <w:lang w:val="es-ES"/>
        </w:rPr>
        <w:t>demandante</w:t>
      </w:r>
      <w:r>
        <w:rPr>
          <w:rFonts w:cs="Arial"/>
          <w:sz w:val="26"/>
          <w:szCs w:val="26"/>
          <w:lang w:val="es-ES"/>
        </w:rPr>
        <w:t xml:space="preserve"> </w:t>
      </w:r>
      <w:r w:rsidR="004862C2">
        <w:rPr>
          <w:rFonts w:cs="Arial"/>
          <w:sz w:val="26"/>
          <w:szCs w:val="26"/>
          <w:lang w:val="es-ES"/>
        </w:rPr>
        <w:t>reiteró</w:t>
      </w:r>
      <w:r>
        <w:rPr>
          <w:rFonts w:cs="Arial"/>
          <w:sz w:val="26"/>
          <w:szCs w:val="26"/>
          <w:lang w:val="es-ES"/>
        </w:rPr>
        <w:t xml:space="preserve"> los argumentos planteados en el recurso de alzada</w:t>
      </w:r>
      <w:r>
        <w:rPr>
          <w:rFonts w:cs="Arial"/>
          <w:sz w:val="26"/>
          <w:szCs w:val="26"/>
        </w:rPr>
        <w:t xml:space="preserve"> </w:t>
      </w:r>
      <w:r w:rsidRPr="00EC3981">
        <w:rPr>
          <w:rFonts w:cs="Arial"/>
          <w:sz w:val="22"/>
          <w:szCs w:val="22"/>
        </w:rPr>
        <w:t xml:space="preserve">(f. </w:t>
      </w:r>
      <w:r>
        <w:rPr>
          <w:rFonts w:cs="Arial"/>
          <w:sz w:val="22"/>
          <w:szCs w:val="22"/>
        </w:rPr>
        <w:t>745</w:t>
      </w:r>
      <w:r w:rsidRPr="00EC3981">
        <w:rPr>
          <w:rFonts w:cs="Arial"/>
          <w:sz w:val="22"/>
          <w:szCs w:val="22"/>
        </w:rPr>
        <w:t>-</w:t>
      </w:r>
      <w:r>
        <w:rPr>
          <w:rFonts w:cs="Arial"/>
          <w:sz w:val="22"/>
          <w:szCs w:val="22"/>
        </w:rPr>
        <w:t>751</w:t>
      </w:r>
      <w:r w:rsidRPr="00EC3981">
        <w:rPr>
          <w:rFonts w:cs="Arial"/>
          <w:sz w:val="22"/>
          <w:szCs w:val="22"/>
        </w:rPr>
        <w:t xml:space="preserve">, c. </w:t>
      </w:r>
      <w:r>
        <w:rPr>
          <w:rFonts w:cs="Arial"/>
          <w:sz w:val="22"/>
          <w:szCs w:val="22"/>
        </w:rPr>
        <w:t>8</w:t>
      </w:r>
      <w:r w:rsidRPr="00EC3981">
        <w:rPr>
          <w:rFonts w:cs="Arial"/>
          <w:sz w:val="22"/>
          <w:szCs w:val="22"/>
        </w:rPr>
        <w:t>)</w:t>
      </w:r>
      <w:r w:rsidRPr="00EC3981">
        <w:rPr>
          <w:rFonts w:cs="Arial"/>
          <w:sz w:val="26"/>
          <w:szCs w:val="26"/>
        </w:rPr>
        <w:t>.</w:t>
      </w:r>
      <w:r>
        <w:rPr>
          <w:rFonts w:cs="Arial"/>
          <w:sz w:val="26"/>
          <w:szCs w:val="26"/>
        </w:rPr>
        <w:t xml:space="preserve"> Por su parte, la entidad demandada </w:t>
      </w:r>
      <w:r w:rsidR="004862C2">
        <w:rPr>
          <w:rFonts w:cs="Arial"/>
          <w:sz w:val="26"/>
          <w:szCs w:val="26"/>
        </w:rPr>
        <w:t>insistió en</w:t>
      </w:r>
      <w:r>
        <w:rPr>
          <w:rFonts w:cs="Arial"/>
          <w:sz w:val="26"/>
          <w:szCs w:val="26"/>
        </w:rPr>
        <w:t xml:space="preserve"> que la conducta de los agentes no tuvo relación alguna con el servicio, que la </w:t>
      </w:r>
      <w:r w:rsidR="004862C2">
        <w:rPr>
          <w:rFonts w:cs="Arial"/>
          <w:sz w:val="26"/>
          <w:szCs w:val="26"/>
        </w:rPr>
        <w:t>repar</w:t>
      </w:r>
      <w:r>
        <w:rPr>
          <w:rFonts w:cs="Arial"/>
          <w:sz w:val="26"/>
          <w:szCs w:val="26"/>
        </w:rPr>
        <w:t>ación por este hecho dañino se debe reclamar como parte civil en el proceso penal, y que se está ante una “</w:t>
      </w:r>
      <w:r w:rsidRPr="00DC367C">
        <w:rPr>
          <w:rFonts w:cs="Arial"/>
          <w:i/>
          <w:sz w:val="26"/>
          <w:szCs w:val="26"/>
        </w:rPr>
        <w:t>culpa personal del agente</w:t>
      </w:r>
      <w:r>
        <w:rPr>
          <w:rFonts w:cs="Arial"/>
          <w:sz w:val="26"/>
          <w:szCs w:val="26"/>
        </w:rPr>
        <w:t>” que exime de responsabilidad al Es</w:t>
      </w:r>
      <w:r w:rsidR="004862C2">
        <w:rPr>
          <w:rFonts w:cs="Arial"/>
          <w:sz w:val="26"/>
          <w:szCs w:val="26"/>
        </w:rPr>
        <w:t>tado. En esos términos, solicitó</w:t>
      </w:r>
      <w:r>
        <w:rPr>
          <w:rFonts w:cs="Arial"/>
          <w:sz w:val="26"/>
          <w:szCs w:val="26"/>
        </w:rPr>
        <w:t xml:space="preserve"> la confirmación del fallo impugnado </w:t>
      </w:r>
      <w:r w:rsidRPr="00EC3981">
        <w:rPr>
          <w:rFonts w:cs="Arial"/>
          <w:sz w:val="22"/>
          <w:szCs w:val="22"/>
        </w:rPr>
        <w:t xml:space="preserve">(f. </w:t>
      </w:r>
      <w:r>
        <w:rPr>
          <w:rFonts w:cs="Arial"/>
          <w:sz w:val="22"/>
          <w:szCs w:val="22"/>
        </w:rPr>
        <w:t>752</w:t>
      </w:r>
      <w:r w:rsidRPr="00EC3981">
        <w:rPr>
          <w:rFonts w:cs="Arial"/>
          <w:sz w:val="22"/>
          <w:szCs w:val="22"/>
        </w:rPr>
        <w:t>-</w:t>
      </w:r>
      <w:r>
        <w:rPr>
          <w:rFonts w:cs="Arial"/>
          <w:sz w:val="22"/>
          <w:szCs w:val="22"/>
        </w:rPr>
        <w:t>756</w:t>
      </w:r>
      <w:r w:rsidRPr="00EC3981">
        <w:rPr>
          <w:rFonts w:cs="Arial"/>
          <w:sz w:val="22"/>
          <w:szCs w:val="22"/>
        </w:rPr>
        <w:t xml:space="preserve">, c. </w:t>
      </w:r>
      <w:r>
        <w:rPr>
          <w:rFonts w:cs="Arial"/>
          <w:sz w:val="22"/>
          <w:szCs w:val="22"/>
        </w:rPr>
        <w:t>8</w:t>
      </w:r>
      <w:r w:rsidRPr="00EC3981">
        <w:rPr>
          <w:rFonts w:cs="Arial"/>
          <w:sz w:val="22"/>
          <w:szCs w:val="22"/>
        </w:rPr>
        <w:t>)</w:t>
      </w:r>
      <w:r w:rsidRPr="00EC3981">
        <w:rPr>
          <w:rFonts w:cs="Arial"/>
          <w:sz w:val="26"/>
          <w:szCs w:val="26"/>
        </w:rPr>
        <w:t>.</w:t>
      </w:r>
    </w:p>
    <w:p w:rsidR="008775BA" w:rsidRPr="00EC3981" w:rsidRDefault="008775BA" w:rsidP="008C7554">
      <w:pPr>
        <w:rPr>
          <w:rFonts w:cs="Arial"/>
          <w:sz w:val="26"/>
          <w:szCs w:val="26"/>
        </w:rPr>
      </w:pPr>
    </w:p>
    <w:p w:rsidR="008775BA" w:rsidRPr="00EC3981" w:rsidRDefault="008775BA" w:rsidP="008C7554">
      <w:pPr>
        <w:rPr>
          <w:rFonts w:cs="Arial"/>
          <w:sz w:val="26"/>
          <w:szCs w:val="26"/>
        </w:rPr>
      </w:pPr>
    </w:p>
    <w:p w:rsidR="008775BA" w:rsidRPr="00EC3981" w:rsidRDefault="008775BA" w:rsidP="008C7554">
      <w:pPr>
        <w:jc w:val="center"/>
        <w:rPr>
          <w:rFonts w:cs="Arial"/>
          <w:b/>
          <w:sz w:val="28"/>
          <w:szCs w:val="28"/>
        </w:rPr>
      </w:pPr>
      <w:r w:rsidRPr="00EC3981">
        <w:rPr>
          <w:rFonts w:cs="Arial"/>
          <w:b/>
          <w:sz w:val="28"/>
          <w:szCs w:val="28"/>
        </w:rPr>
        <w:t>CONSIDERACIONES</w:t>
      </w:r>
    </w:p>
    <w:p w:rsidR="008775BA" w:rsidRDefault="008775BA" w:rsidP="008C7554">
      <w:pPr>
        <w:rPr>
          <w:rFonts w:cs="Arial"/>
          <w:sz w:val="26"/>
          <w:szCs w:val="26"/>
        </w:rPr>
      </w:pPr>
    </w:p>
    <w:p w:rsidR="008775BA" w:rsidRPr="00263282" w:rsidRDefault="008775BA" w:rsidP="008C7554">
      <w:pPr>
        <w:numPr>
          <w:ilvl w:val="0"/>
          <w:numId w:val="28"/>
        </w:numPr>
        <w:tabs>
          <w:tab w:val="left" w:pos="0"/>
        </w:tabs>
        <w:suppressAutoHyphens w:val="0"/>
        <w:overflowPunct/>
        <w:autoSpaceDE/>
        <w:ind w:left="0" w:firstLine="0"/>
        <w:textAlignment w:val="auto"/>
        <w:rPr>
          <w:rFonts w:cs="Arial"/>
          <w:bCs/>
          <w:sz w:val="26"/>
          <w:szCs w:val="26"/>
          <w:lang w:val="es-ES"/>
        </w:rPr>
      </w:pPr>
      <w:r w:rsidRPr="00263282">
        <w:rPr>
          <w:rFonts w:cs="Arial"/>
          <w:bCs/>
          <w:sz w:val="26"/>
          <w:szCs w:val="26"/>
          <w:lang w:val="es-ES"/>
        </w:rPr>
        <w:t xml:space="preserve">Por ser la demandada una entidad estatal, el presente asunto es de conocimiento de esta </w:t>
      </w:r>
      <w:r w:rsidRPr="00263282">
        <w:rPr>
          <w:rFonts w:cs="Arial"/>
          <w:b/>
          <w:bCs/>
          <w:sz w:val="26"/>
          <w:szCs w:val="26"/>
          <w:lang w:val="es-ES"/>
        </w:rPr>
        <w:t>jurisdicción</w:t>
      </w:r>
      <w:r w:rsidRPr="00263282">
        <w:rPr>
          <w:rFonts w:cs="Arial"/>
          <w:bCs/>
          <w:sz w:val="26"/>
          <w:szCs w:val="26"/>
          <w:lang w:val="es-ES"/>
        </w:rPr>
        <w:t>, de acuerdo con el artículo 82 del Código Contencioso Administrativo.</w:t>
      </w:r>
    </w:p>
    <w:p w:rsidR="008775BA" w:rsidRPr="00263282" w:rsidRDefault="008775BA" w:rsidP="008C7554">
      <w:pPr>
        <w:tabs>
          <w:tab w:val="left" w:pos="720"/>
        </w:tabs>
        <w:rPr>
          <w:rFonts w:cs="Arial"/>
          <w:bCs/>
          <w:sz w:val="26"/>
          <w:szCs w:val="26"/>
          <w:lang w:val="es-ES"/>
        </w:rPr>
      </w:pPr>
    </w:p>
    <w:p w:rsidR="008775BA" w:rsidRPr="00263282" w:rsidRDefault="008775BA" w:rsidP="008C7554">
      <w:pPr>
        <w:numPr>
          <w:ilvl w:val="0"/>
          <w:numId w:val="28"/>
        </w:numPr>
        <w:tabs>
          <w:tab w:val="num" w:pos="0"/>
          <w:tab w:val="left" w:pos="720"/>
        </w:tabs>
        <w:suppressAutoHyphens w:val="0"/>
        <w:overflowPunct/>
        <w:autoSpaceDE/>
        <w:ind w:left="0" w:firstLine="0"/>
        <w:textAlignment w:val="auto"/>
        <w:rPr>
          <w:rFonts w:cs="Arial"/>
          <w:bCs/>
          <w:sz w:val="26"/>
          <w:szCs w:val="26"/>
          <w:lang w:val="es-ES"/>
        </w:rPr>
      </w:pPr>
      <w:r w:rsidRPr="00263282">
        <w:rPr>
          <w:rFonts w:cs="Arial"/>
          <w:bCs/>
          <w:sz w:val="26"/>
          <w:szCs w:val="26"/>
          <w:lang w:val="es-ES"/>
        </w:rPr>
        <w:t xml:space="preserve">La Corporación tiene </w:t>
      </w:r>
      <w:r w:rsidRPr="00263282">
        <w:rPr>
          <w:rFonts w:cs="Arial"/>
          <w:b/>
          <w:bCs/>
          <w:sz w:val="26"/>
          <w:szCs w:val="26"/>
          <w:lang w:val="es-ES"/>
        </w:rPr>
        <w:t>competencia</w:t>
      </w:r>
      <w:r w:rsidRPr="00263282">
        <w:rPr>
          <w:rFonts w:cs="Arial"/>
          <w:bCs/>
          <w:sz w:val="26"/>
          <w:szCs w:val="26"/>
          <w:lang w:val="es-ES"/>
        </w:rPr>
        <w:t xml:space="preserve"> para conocer del asunto en razón del recurso de apelación </w:t>
      </w:r>
      <w:r>
        <w:rPr>
          <w:rFonts w:cs="Arial"/>
          <w:bCs/>
          <w:sz w:val="26"/>
          <w:szCs w:val="26"/>
          <w:lang w:val="es-ES"/>
        </w:rPr>
        <w:t>presentado</w:t>
      </w:r>
      <w:r w:rsidRPr="00263282">
        <w:rPr>
          <w:rFonts w:cs="Arial"/>
          <w:bCs/>
          <w:sz w:val="26"/>
          <w:szCs w:val="26"/>
          <w:lang w:val="es-ES"/>
        </w:rPr>
        <w:t xml:space="preserve"> por la parte</w:t>
      </w:r>
      <w:r>
        <w:rPr>
          <w:rFonts w:cs="Arial"/>
          <w:bCs/>
          <w:sz w:val="26"/>
          <w:szCs w:val="26"/>
          <w:lang w:val="es-ES"/>
        </w:rPr>
        <w:t xml:space="preserve"> actora</w:t>
      </w:r>
      <w:r w:rsidRPr="00263282">
        <w:rPr>
          <w:rFonts w:cs="Arial"/>
          <w:bCs/>
          <w:sz w:val="26"/>
          <w:szCs w:val="26"/>
          <w:lang w:val="es-ES"/>
        </w:rPr>
        <w:t xml:space="preserve">, en un proceso con vocación de segunda instancia </w:t>
      </w:r>
      <w:r>
        <w:rPr>
          <w:rFonts w:cs="Arial"/>
          <w:bCs/>
          <w:sz w:val="26"/>
          <w:szCs w:val="26"/>
          <w:lang w:val="es-ES"/>
        </w:rPr>
        <w:t xml:space="preserve">según </w:t>
      </w:r>
      <w:r w:rsidRPr="00263282">
        <w:rPr>
          <w:rFonts w:cs="Arial"/>
          <w:bCs/>
          <w:sz w:val="26"/>
          <w:szCs w:val="26"/>
          <w:lang w:val="es-ES"/>
        </w:rPr>
        <w:t xml:space="preserve">el Decreto 597 de 1988, dado que la cuantía de la demanda, </w:t>
      </w:r>
      <w:r>
        <w:rPr>
          <w:rFonts w:cs="Arial"/>
          <w:bCs/>
          <w:sz w:val="26"/>
          <w:szCs w:val="26"/>
          <w:lang w:val="es-ES"/>
        </w:rPr>
        <w:t>establecida</w:t>
      </w:r>
      <w:r w:rsidRPr="00263282">
        <w:rPr>
          <w:rFonts w:cs="Arial"/>
          <w:bCs/>
          <w:sz w:val="26"/>
          <w:szCs w:val="26"/>
          <w:lang w:val="es-ES"/>
        </w:rPr>
        <w:t xml:space="preserve"> por el valor d</w:t>
      </w:r>
      <w:r>
        <w:rPr>
          <w:rFonts w:cs="Arial"/>
          <w:bCs/>
          <w:sz w:val="26"/>
          <w:szCs w:val="26"/>
          <w:lang w:val="es-ES"/>
        </w:rPr>
        <w:t>e la mayor de las pretensiones</w:t>
      </w:r>
      <w:r w:rsidRPr="00263282">
        <w:rPr>
          <w:rFonts w:cs="Arial"/>
          <w:bCs/>
          <w:sz w:val="26"/>
          <w:szCs w:val="26"/>
          <w:lang w:val="es-ES"/>
        </w:rPr>
        <w:t>, supera la exigida por la norma</w:t>
      </w:r>
      <w:r w:rsidRPr="00EC3981">
        <w:rPr>
          <w:bCs/>
          <w:sz w:val="26"/>
          <w:szCs w:val="26"/>
          <w:vertAlign w:val="superscript"/>
          <w:lang w:val="es-ES"/>
        </w:rPr>
        <w:footnoteReference w:id="1"/>
      </w:r>
      <w:r w:rsidRPr="00263282">
        <w:rPr>
          <w:rFonts w:cs="Arial"/>
          <w:bCs/>
          <w:sz w:val="26"/>
          <w:szCs w:val="26"/>
          <w:lang w:val="es-ES"/>
        </w:rPr>
        <w:t>.</w:t>
      </w:r>
    </w:p>
    <w:p w:rsidR="008775BA" w:rsidRPr="00263282" w:rsidRDefault="008775BA" w:rsidP="008C7554">
      <w:pPr>
        <w:tabs>
          <w:tab w:val="left" w:pos="720"/>
        </w:tabs>
        <w:rPr>
          <w:rFonts w:cs="Arial"/>
          <w:bCs/>
          <w:sz w:val="26"/>
          <w:szCs w:val="26"/>
          <w:lang w:val="es-ES"/>
        </w:rPr>
      </w:pPr>
    </w:p>
    <w:p w:rsidR="008775BA" w:rsidRPr="00263282" w:rsidRDefault="008775BA" w:rsidP="008C7554">
      <w:pPr>
        <w:numPr>
          <w:ilvl w:val="0"/>
          <w:numId w:val="28"/>
        </w:numPr>
        <w:tabs>
          <w:tab w:val="num" w:pos="0"/>
          <w:tab w:val="left" w:pos="720"/>
        </w:tabs>
        <w:suppressAutoHyphens w:val="0"/>
        <w:overflowPunct/>
        <w:autoSpaceDE/>
        <w:ind w:left="0" w:firstLine="0"/>
        <w:textAlignment w:val="auto"/>
        <w:rPr>
          <w:rFonts w:cs="Arial"/>
          <w:bCs/>
          <w:sz w:val="26"/>
          <w:szCs w:val="26"/>
          <w:lang w:val="es-ES"/>
        </w:rPr>
      </w:pPr>
      <w:r w:rsidRPr="00263282">
        <w:rPr>
          <w:rFonts w:cs="Arial"/>
          <w:bCs/>
          <w:sz w:val="26"/>
          <w:szCs w:val="26"/>
          <w:lang w:val="es-ES"/>
        </w:rPr>
        <w:t xml:space="preserve">La acción de reparación directa establecida en el artículo 86 del Código </w:t>
      </w:r>
      <w:r>
        <w:rPr>
          <w:rFonts w:cs="Arial"/>
          <w:bCs/>
          <w:sz w:val="26"/>
          <w:szCs w:val="26"/>
          <w:lang w:val="es-ES"/>
        </w:rPr>
        <w:t>Contencioso Administrativo es</w:t>
      </w:r>
      <w:r w:rsidRPr="00263282">
        <w:rPr>
          <w:rFonts w:cs="Arial"/>
          <w:bCs/>
          <w:sz w:val="26"/>
          <w:szCs w:val="26"/>
          <w:lang w:val="es-ES"/>
        </w:rPr>
        <w:t xml:space="preserve"> </w:t>
      </w:r>
      <w:r w:rsidRPr="00263282">
        <w:rPr>
          <w:rFonts w:cs="Arial"/>
          <w:b/>
          <w:bCs/>
          <w:sz w:val="26"/>
          <w:szCs w:val="26"/>
          <w:lang w:val="es-ES"/>
        </w:rPr>
        <w:t>procedente</w:t>
      </w:r>
      <w:r w:rsidRPr="00263282">
        <w:rPr>
          <w:rFonts w:cs="Arial"/>
          <w:bCs/>
          <w:sz w:val="26"/>
          <w:szCs w:val="26"/>
          <w:lang w:val="es-ES"/>
        </w:rPr>
        <w:t xml:space="preserve"> en este caso, </w:t>
      </w:r>
      <w:r>
        <w:rPr>
          <w:rFonts w:cs="Arial"/>
          <w:bCs/>
          <w:sz w:val="26"/>
          <w:szCs w:val="26"/>
          <w:lang w:val="es-ES"/>
        </w:rPr>
        <w:t>pues</w:t>
      </w:r>
      <w:r w:rsidRPr="00263282">
        <w:rPr>
          <w:rFonts w:cs="Arial"/>
          <w:bCs/>
          <w:sz w:val="26"/>
          <w:szCs w:val="26"/>
          <w:lang w:val="es-ES"/>
        </w:rPr>
        <w:t xml:space="preserve"> las </w:t>
      </w:r>
      <w:r>
        <w:rPr>
          <w:rFonts w:cs="Arial"/>
          <w:bCs/>
          <w:sz w:val="26"/>
          <w:szCs w:val="26"/>
          <w:lang w:val="es-ES"/>
        </w:rPr>
        <w:t>pretensiones</w:t>
      </w:r>
      <w:r w:rsidRPr="00263282">
        <w:rPr>
          <w:rFonts w:cs="Arial"/>
          <w:bCs/>
          <w:sz w:val="26"/>
          <w:szCs w:val="26"/>
          <w:lang w:val="es-ES"/>
        </w:rPr>
        <w:t xml:space="preserve"> de la demanda van encaminadas a la declaratoria de responsabilidad </w:t>
      </w:r>
      <w:r>
        <w:rPr>
          <w:rFonts w:cs="Arial"/>
          <w:bCs/>
          <w:sz w:val="26"/>
          <w:szCs w:val="26"/>
          <w:lang w:val="es-ES"/>
        </w:rPr>
        <w:t xml:space="preserve">de la Nación-Ministerio de Defensa-Ejército Nacional </w:t>
      </w:r>
      <w:r w:rsidRPr="00263282">
        <w:rPr>
          <w:rFonts w:cs="Arial"/>
          <w:bCs/>
          <w:sz w:val="26"/>
          <w:szCs w:val="26"/>
          <w:lang w:val="es-ES"/>
        </w:rPr>
        <w:t xml:space="preserve">por </w:t>
      </w:r>
      <w:r>
        <w:rPr>
          <w:rFonts w:cs="Arial"/>
          <w:bCs/>
          <w:sz w:val="26"/>
          <w:szCs w:val="26"/>
          <w:lang w:val="es-ES"/>
        </w:rPr>
        <w:t>acciones y omisiones de sus agentes que</w:t>
      </w:r>
      <w:r w:rsidRPr="00263282">
        <w:rPr>
          <w:rFonts w:cs="Arial"/>
          <w:bCs/>
          <w:sz w:val="26"/>
          <w:szCs w:val="26"/>
          <w:lang w:val="es-ES"/>
        </w:rPr>
        <w:t xml:space="preserve">, según la parte actora, </w:t>
      </w:r>
      <w:r>
        <w:rPr>
          <w:rFonts w:cs="Arial"/>
          <w:bCs/>
          <w:sz w:val="26"/>
          <w:szCs w:val="26"/>
          <w:lang w:val="es-ES"/>
        </w:rPr>
        <w:t>determinaron el daño causado a la joven Mónica Marisol Rodríguez.</w:t>
      </w:r>
    </w:p>
    <w:p w:rsidR="008775BA" w:rsidRPr="00263282" w:rsidRDefault="008775BA" w:rsidP="008C7554">
      <w:pPr>
        <w:tabs>
          <w:tab w:val="left" w:pos="720"/>
        </w:tabs>
        <w:rPr>
          <w:rFonts w:cs="Arial"/>
          <w:bCs/>
          <w:sz w:val="26"/>
          <w:szCs w:val="26"/>
          <w:lang w:val="es-ES"/>
        </w:rPr>
      </w:pPr>
    </w:p>
    <w:p w:rsidR="008775BA" w:rsidRDefault="008775BA" w:rsidP="008C7554">
      <w:pPr>
        <w:numPr>
          <w:ilvl w:val="0"/>
          <w:numId w:val="28"/>
        </w:numPr>
        <w:tabs>
          <w:tab w:val="num" w:pos="0"/>
          <w:tab w:val="left" w:pos="720"/>
        </w:tabs>
        <w:suppressAutoHyphens w:val="0"/>
        <w:overflowPunct/>
        <w:autoSpaceDE/>
        <w:ind w:left="0" w:firstLine="0"/>
        <w:textAlignment w:val="auto"/>
        <w:rPr>
          <w:rFonts w:cs="Arial"/>
          <w:bCs/>
          <w:sz w:val="26"/>
          <w:szCs w:val="26"/>
          <w:lang w:val="es-ES"/>
        </w:rPr>
      </w:pPr>
      <w:r w:rsidRPr="00263282">
        <w:rPr>
          <w:rFonts w:cs="Arial"/>
          <w:bCs/>
          <w:sz w:val="26"/>
          <w:szCs w:val="26"/>
          <w:lang w:val="es-ES"/>
        </w:rPr>
        <w:t xml:space="preserve">Interesa recordar que, de acuerdo con el </w:t>
      </w:r>
      <w:r w:rsidRPr="00263282">
        <w:rPr>
          <w:rFonts w:cs="Arial"/>
          <w:bCs/>
          <w:sz w:val="26"/>
          <w:szCs w:val="26"/>
        </w:rPr>
        <w:t>artículo 357 del Código de Procedimiento Civil,</w:t>
      </w:r>
      <w:r w:rsidRPr="00263282">
        <w:rPr>
          <w:rFonts w:cs="Arial"/>
          <w:bCs/>
          <w:sz w:val="26"/>
          <w:szCs w:val="26"/>
          <w:lang w:val="es-ES"/>
        </w:rPr>
        <w:t xml:space="preserve"> la Sala debe limitarse a analizar los aspectos de la sentencia de primera instancia que el impugnante cuestiona en el recurso de apelación</w:t>
      </w:r>
      <w:r w:rsidRPr="00263282">
        <w:rPr>
          <w:rFonts w:cs="Arial"/>
          <w:bCs/>
          <w:sz w:val="26"/>
          <w:szCs w:val="26"/>
          <w:vertAlign w:val="superscript"/>
          <w:lang w:val="es-ES"/>
        </w:rPr>
        <w:footnoteReference w:id="2"/>
      </w:r>
      <w:r w:rsidRPr="00263282">
        <w:rPr>
          <w:rFonts w:cs="Arial"/>
          <w:bCs/>
          <w:sz w:val="26"/>
          <w:szCs w:val="26"/>
          <w:lang w:val="es-ES"/>
        </w:rPr>
        <w:t xml:space="preserve"> o aquellos que son “</w:t>
      </w:r>
      <w:r w:rsidRPr="00263282">
        <w:rPr>
          <w:rFonts w:cs="Arial"/>
          <w:bCs/>
          <w:i/>
          <w:sz w:val="26"/>
          <w:szCs w:val="26"/>
          <w:lang w:val="es-ES"/>
        </w:rPr>
        <w:t>consecuenciales, accesorios o derivados del aspecto de la sentencia que fue recurrido</w:t>
      </w:r>
      <w:r w:rsidRPr="00263282">
        <w:rPr>
          <w:rFonts w:cs="Arial"/>
          <w:bCs/>
          <w:sz w:val="26"/>
          <w:szCs w:val="26"/>
          <w:lang w:val="es-ES"/>
        </w:rPr>
        <w:t>”</w:t>
      </w:r>
      <w:r w:rsidRPr="00263282">
        <w:rPr>
          <w:rFonts w:cs="Arial"/>
          <w:bCs/>
          <w:sz w:val="26"/>
          <w:szCs w:val="26"/>
          <w:vertAlign w:val="superscript"/>
          <w:lang w:val="es-ES"/>
        </w:rPr>
        <w:footnoteReference w:id="3"/>
      </w:r>
      <w:r w:rsidRPr="00263282">
        <w:rPr>
          <w:rFonts w:cs="Arial"/>
          <w:bCs/>
          <w:sz w:val="26"/>
          <w:szCs w:val="26"/>
          <w:lang w:val="es-ES"/>
        </w:rPr>
        <w:t xml:space="preserve">. Sobre este punto, la Corporación ha </w:t>
      </w:r>
      <w:r>
        <w:rPr>
          <w:rFonts w:cs="Arial"/>
          <w:bCs/>
          <w:sz w:val="26"/>
          <w:szCs w:val="26"/>
          <w:lang w:val="es-ES"/>
        </w:rPr>
        <w:t>considerado</w:t>
      </w:r>
      <w:r w:rsidRPr="00263282">
        <w:rPr>
          <w:rFonts w:cs="Arial"/>
          <w:bCs/>
          <w:sz w:val="26"/>
          <w:szCs w:val="26"/>
          <w:lang w:val="es-ES"/>
        </w:rPr>
        <w:t xml:space="preserve"> que el juez de segundo grado no puede determinar libremente lo desfavorable al recurrente ni enmendar la providencia en la parte que no fue objeto del recurso</w:t>
      </w:r>
      <w:r w:rsidRPr="00263282">
        <w:rPr>
          <w:rFonts w:cs="Arial"/>
          <w:bCs/>
          <w:sz w:val="26"/>
          <w:szCs w:val="26"/>
          <w:vertAlign w:val="superscript"/>
          <w:lang w:val="es-ES"/>
        </w:rPr>
        <w:footnoteReference w:id="4"/>
      </w:r>
      <w:r w:rsidRPr="00263282">
        <w:rPr>
          <w:rFonts w:cs="Arial"/>
          <w:bCs/>
          <w:sz w:val="26"/>
          <w:szCs w:val="26"/>
          <w:lang w:val="es-ES"/>
        </w:rPr>
        <w:t>.</w:t>
      </w:r>
    </w:p>
    <w:p w:rsidR="008775BA" w:rsidRDefault="008775BA" w:rsidP="008C7554">
      <w:pPr>
        <w:tabs>
          <w:tab w:val="left" w:pos="720"/>
        </w:tabs>
        <w:suppressAutoHyphens w:val="0"/>
        <w:overflowPunct/>
        <w:autoSpaceDE/>
        <w:textAlignment w:val="auto"/>
        <w:rPr>
          <w:rFonts w:cs="Arial"/>
          <w:bCs/>
          <w:sz w:val="26"/>
          <w:szCs w:val="26"/>
          <w:lang w:val="es-ES"/>
        </w:rPr>
      </w:pPr>
    </w:p>
    <w:p w:rsidR="008775BA" w:rsidRDefault="008775BA" w:rsidP="0066390D">
      <w:pPr>
        <w:numPr>
          <w:ilvl w:val="0"/>
          <w:numId w:val="28"/>
        </w:numPr>
        <w:tabs>
          <w:tab w:val="num" w:pos="0"/>
          <w:tab w:val="left" w:pos="720"/>
        </w:tabs>
        <w:suppressAutoHyphens w:val="0"/>
        <w:overflowPunct/>
        <w:autoSpaceDE/>
        <w:ind w:left="0" w:firstLine="0"/>
        <w:textAlignment w:val="auto"/>
        <w:rPr>
          <w:rFonts w:cs="Arial"/>
          <w:bCs/>
          <w:sz w:val="26"/>
          <w:szCs w:val="26"/>
          <w:lang w:val="es-ES"/>
        </w:rPr>
      </w:pPr>
      <w:r w:rsidRPr="00263282">
        <w:rPr>
          <w:rFonts w:cs="Arial"/>
          <w:bCs/>
          <w:sz w:val="26"/>
          <w:szCs w:val="26"/>
          <w:lang w:val="es-ES"/>
        </w:rPr>
        <w:t xml:space="preserve">En cuanto a la </w:t>
      </w:r>
      <w:r w:rsidRPr="00263282">
        <w:rPr>
          <w:rFonts w:cs="Arial"/>
          <w:b/>
          <w:bCs/>
          <w:sz w:val="26"/>
          <w:szCs w:val="26"/>
          <w:lang w:val="es-ES"/>
        </w:rPr>
        <w:t>legitimación en la causa</w:t>
      </w:r>
      <w:r>
        <w:rPr>
          <w:rFonts w:cs="Arial"/>
          <w:b/>
          <w:bCs/>
          <w:sz w:val="26"/>
          <w:szCs w:val="26"/>
          <w:lang w:val="es-ES"/>
        </w:rPr>
        <w:t xml:space="preserve"> </w:t>
      </w:r>
      <w:r w:rsidRPr="00397DC5">
        <w:rPr>
          <w:rFonts w:cs="Arial"/>
          <w:bCs/>
          <w:sz w:val="26"/>
          <w:szCs w:val="26"/>
          <w:lang w:val="es-ES"/>
        </w:rPr>
        <w:t>por activa</w:t>
      </w:r>
      <w:r w:rsidRPr="00263282">
        <w:rPr>
          <w:rFonts w:cs="Arial"/>
          <w:bCs/>
          <w:sz w:val="26"/>
          <w:szCs w:val="26"/>
          <w:lang w:val="es-ES"/>
        </w:rPr>
        <w:t xml:space="preserve">, </w:t>
      </w:r>
      <w:r>
        <w:rPr>
          <w:rFonts w:cs="Arial"/>
          <w:bCs/>
          <w:sz w:val="26"/>
          <w:szCs w:val="26"/>
          <w:lang w:val="es-ES"/>
        </w:rPr>
        <w:t xml:space="preserve">se probó que Mónica Marisol Rodríguez es la persona afectada directamente por los hechos que se relatan en la demanda, y se acreditaron sus lazos de parentesco con los demás </w:t>
      </w:r>
      <w:r w:rsidRPr="00263282">
        <w:rPr>
          <w:rFonts w:cs="Arial"/>
          <w:bCs/>
          <w:sz w:val="26"/>
          <w:szCs w:val="26"/>
          <w:lang w:val="es-ES"/>
        </w:rPr>
        <w:t xml:space="preserve">demandantes en </w:t>
      </w:r>
      <w:r>
        <w:rPr>
          <w:rFonts w:cs="Arial"/>
          <w:bCs/>
          <w:sz w:val="26"/>
          <w:szCs w:val="26"/>
          <w:lang w:val="es-ES"/>
        </w:rPr>
        <w:t>el presente</w:t>
      </w:r>
      <w:r w:rsidRPr="00263282">
        <w:rPr>
          <w:rFonts w:cs="Arial"/>
          <w:bCs/>
          <w:sz w:val="26"/>
          <w:szCs w:val="26"/>
          <w:lang w:val="es-ES"/>
        </w:rPr>
        <w:t xml:space="preserve"> caso</w:t>
      </w:r>
      <w:r w:rsidRPr="00263282">
        <w:rPr>
          <w:rFonts w:cs="Arial"/>
          <w:bCs/>
          <w:sz w:val="26"/>
          <w:szCs w:val="26"/>
          <w:vertAlign w:val="superscript"/>
          <w:lang w:val="es-ES"/>
        </w:rPr>
        <w:footnoteReference w:id="5"/>
      </w:r>
      <w:r>
        <w:rPr>
          <w:rFonts w:cs="Arial"/>
          <w:bCs/>
          <w:sz w:val="26"/>
          <w:szCs w:val="26"/>
          <w:lang w:val="es-ES"/>
        </w:rPr>
        <w:t xml:space="preserve">. </w:t>
      </w:r>
    </w:p>
    <w:p w:rsidR="008775BA" w:rsidRDefault="008775BA" w:rsidP="0066390D">
      <w:pPr>
        <w:tabs>
          <w:tab w:val="left" w:pos="720"/>
        </w:tabs>
        <w:suppressAutoHyphens w:val="0"/>
        <w:overflowPunct/>
        <w:autoSpaceDE/>
        <w:textAlignment w:val="auto"/>
        <w:rPr>
          <w:rFonts w:cs="Arial"/>
          <w:sz w:val="26"/>
          <w:szCs w:val="26"/>
        </w:rPr>
      </w:pPr>
    </w:p>
    <w:p w:rsidR="008775BA" w:rsidRPr="00263282" w:rsidRDefault="008775BA" w:rsidP="008C7554">
      <w:pPr>
        <w:numPr>
          <w:ilvl w:val="0"/>
          <w:numId w:val="28"/>
        </w:numPr>
        <w:tabs>
          <w:tab w:val="num" w:pos="0"/>
          <w:tab w:val="left" w:pos="720"/>
        </w:tabs>
        <w:suppressAutoHyphens w:val="0"/>
        <w:overflowPunct/>
        <w:autoSpaceDE/>
        <w:ind w:left="0" w:firstLine="0"/>
        <w:textAlignment w:val="auto"/>
        <w:rPr>
          <w:rFonts w:cs="Arial"/>
          <w:bCs/>
          <w:sz w:val="26"/>
          <w:szCs w:val="26"/>
          <w:lang w:val="es-ES"/>
        </w:rPr>
      </w:pPr>
      <w:r w:rsidRPr="00263282">
        <w:rPr>
          <w:rFonts w:cs="Arial"/>
          <w:sz w:val="26"/>
          <w:szCs w:val="26"/>
        </w:rPr>
        <w:t xml:space="preserve">Sobre la legitimación en la causa por pasiva, se </w:t>
      </w:r>
      <w:r>
        <w:rPr>
          <w:rFonts w:cs="Arial"/>
          <w:sz w:val="26"/>
          <w:szCs w:val="26"/>
        </w:rPr>
        <w:t>comprueba</w:t>
      </w:r>
      <w:r w:rsidRPr="00263282">
        <w:rPr>
          <w:rFonts w:cs="Arial"/>
          <w:sz w:val="26"/>
          <w:szCs w:val="26"/>
        </w:rPr>
        <w:t xml:space="preserve"> que el daño invoca</w:t>
      </w:r>
      <w:r>
        <w:rPr>
          <w:rFonts w:cs="Arial"/>
          <w:sz w:val="26"/>
          <w:szCs w:val="26"/>
        </w:rPr>
        <w:t>do</w:t>
      </w:r>
      <w:r w:rsidRPr="00263282">
        <w:rPr>
          <w:rFonts w:cs="Arial"/>
          <w:sz w:val="26"/>
          <w:szCs w:val="26"/>
        </w:rPr>
        <w:t xml:space="preserve"> en la demanda proviene de </w:t>
      </w:r>
      <w:r>
        <w:rPr>
          <w:rFonts w:cs="Arial"/>
          <w:sz w:val="26"/>
          <w:szCs w:val="26"/>
        </w:rPr>
        <w:t>actuaciones del Ejército Nacional</w:t>
      </w:r>
      <w:r w:rsidR="00E50B0D">
        <w:rPr>
          <w:rFonts w:cs="Arial"/>
          <w:sz w:val="26"/>
          <w:szCs w:val="26"/>
        </w:rPr>
        <w:t xml:space="preserve"> (Ministerio de Defensa)</w:t>
      </w:r>
      <w:r w:rsidRPr="00263282">
        <w:rPr>
          <w:rFonts w:cs="Arial"/>
          <w:bCs/>
          <w:sz w:val="26"/>
          <w:szCs w:val="26"/>
        </w:rPr>
        <w:t xml:space="preserve">, de </w:t>
      </w:r>
      <w:r w:rsidR="00E50B0D">
        <w:rPr>
          <w:rFonts w:cs="Arial"/>
          <w:bCs/>
          <w:sz w:val="26"/>
          <w:szCs w:val="26"/>
        </w:rPr>
        <w:t>modo</w:t>
      </w:r>
      <w:r w:rsidRPr="00263282">
        <w:rPr>
          <w:rFonts w:cs="Arial"/>
          <w:bCs/>
          <w:sz w:val="26"/>
          <w:szCs w:val="26"/>
        </w:rPr>
        <w:t xml:space="preserve"> que la Nación, representada por tal entidad</w:t>
      </w:r>
      <w:r w:rsidR="00E50B0D">
        <w:rPr>
          <w:rFonts w:cs="Arial"/>
          <w:bCs/>
          <w:sz w:val="26"/>
          <w:szCs w:val="26"/>
        </w:rPr>
        <w:t>, se tiene legitimada como</w:t>
      </w:r>
      <w:r w:rsidRPr="00263282">
        <w:rPr>
          <w:rFonts w:cs="Arial"/>
          <w:bCs/>
          <w:sz w:val="26"/>
          <w:szCs w:val="26"/>
        </w:rPr>
        <w:t xml:space="preserve"> demandada en este asunto.</w:t>
      </w:r>
    </w:p>
    <w:p w:rsidR="008775BA" w:rsidRPr="00263282" w:rsidRDefault="008775BA" w:rsidP="008C7554">
      <w:pPr>
        <w:tabs>
          <w:tab w:val="left" w:pos="720"/>
        </w:tabs>
        <w:rPr>
          <w:rFonts w:cs="Arial"/>
          <w:bCs/>
          <w:sz w:val="26"/>
          <w:szCs w:val="26"/>
          <w:lang w:val="es-ES"/>
        </w:rPr>
      </w:pPr>
    </w:p>
    <w:p w:rsidR="008775BA" w:rsidRPr="00E93F92" w:rsidRDefault="008775BA" w:rsidP="008C7554">
      <w:pPr>
        <w:numPr>
          <w:ilvl w:val="0"/>
          <w:numId w:val="28"/>
        </w:numPr>
        <w:tabs>
          <w:tab w:val="left" w:pos="720"/>
        </w:tabs>
        <w:suppressAutoHyphens w:val="0"/>
        <w:overflowPunct/>
        <w:autoSpaceDE/>
        <w:ind w:left="0" w:firstLine="0"/>
        <w:textAlignment w:val="auto"/>
        <w:rPr>
          <w:rFonts w:cs="Arial"/>
          <w:sz w:val="26"/>
          <w:szCs w:val="26"/>
        </w:rPr>
      </w:pPr>
      <w:r w:rsidRPr="00263282">
        <w:rPr>
          <w:rFonts w:cs="Arial"/>
          <w:bCs/>
          <w:sz w:val="26"/>
          <w:szCs w:val="26"/>
          <w:lang w:val="es-ES"/>
        </w:rPr>
        <w:t xml:space="preserve">Finalmente, en lo atinente a la </w:t>
      </w:r>
      <w:r w:rsidRPr="00263282">
        <w:rPr>
          <w:rFonts w:cs="Arial"/>
          <w:b/>
          <w:bCs/>
          <w:sz w:val="26"/>
          <w:szCs w:val="26"/>
          <w:lang w:val="es-ES"/>
        </w:rPr>
        <w:t>caducidad</w:t>
      </w:r>
      <w:r w:rsidRPr="00263282">
        <w:rPr>
          <w:rFonts w:cs="Arial"/>
          <w:bCs/>
          <w:sz w:val="26"/>
          <w:szCs w:val="26"/>
          <w:lang w:val="es-ES"/>
        </w:rPr>
        <w:t xml:space="preserve"> de la acción, la Sala </w:t>
      </w:r>
      <w:r>
        <w:rPr>
          <w:rFonts w:cs="Arial"/>
          <w:bCs/>
          <w:sz w:val="26"/>
          <w:szCs w:val="26"/>
          <w:lang w:val="es-ES"/>
        </w:rPr>
        <w:t>constata</w:t>
      </w:r>
      <w:r w:rsidRPr="00263282">
        <w:rPr>
          <w:rFonts w:cs="Arial"/>
          <w:bCs/>
          <w:sz w:val="26"/>
          <w:szCs w:val="26"/>
          <w:lang w:val="es-ES"/>
        </w:rPr>
        <w:t xml:space="preserve"> que en </w:t>
      </w:r>
      <w:r>
        <w:rPr>
          <w:rFonts w:cs="Arial"/>
          <w:bCs/>
          <w:sz w:val="26"/>
          <w:szCs w:val="26"/>
          <w:lang w:val="es-ES"/>
        </w:rPr>
        <w:t>este</w:t>
      </w:r>
      <w:r w:rsidRPr="00263282">
        <w:rPr>
          <w:rFonts w:cs="Arial"/>
          <w:bCs/>
          <w:sz w:val="26"/>
          <w:szCs w:val="26"/>
          <w:lang w:val="es-ES"/>
        </w:rPr>
        <w:t xml:space="preserve"> caso no opera tal fenómeno, dado que </w:t>
      </w:r>
      <w:r>
        <w:rPr>
          <w:rFonts w:cs="Arial"/>
          <w:bCs/>
          <w:sz w:val="26"/>
          <w:szCs w:val="26"/>
          <w:lang w:val="es-ES"/>
        </w:rPr>
        <w:t>el hecho dañino –la violación sexual de Mónica Marisol Rodríguez–</w:t>
      </w:r>
      <w:r>
        <w:rPr>
          <w:rFonts w:cs="Arial"/>
          <w:sz w:val="26"/>
          <w:szCs w:val="26"/>
        </w:rPr>
        <w:t xml:space="preserve"> </w:t>
      </w:r>
      <w:r>
        <w:rPr>
          <w:rFonts w:cs="Arial"/>
          <w:bCs/>
          <w:sz w:val="26"/>
          <w:szCs w:val="26"/>
          <w:lang w:val="es-ES"/>
        </w:rPr>
        <w:t>tuvo lugar el</w:t>
      </w:r>
      <w:r w:rsidRPr="00263282">
        <w:rPr>
          <w:rFonts w:cs="Arial"/>
          <w:bCs/>
          <w:sz w:val="26"/>
          <w:szCs w:val="26"/>
          <w:lang w:val="es-ES"/>
        </w:rPr>
        <w:t xml:space="preserve"> </w:t>
      </w:r>
      <w:r w:rsidRPr="00CD27A9">
        <w:rPr>
          <w:rFonts w:cs="Arial"/>
          <w:sz w:val="26"/>
          <w:szCs w:val="26"/>
        </w:rPr>
        <w:t>4 de septiembre de 1999</w:t>
      </w:r>
      <w:r w:rsidRPr="00263282">
        <w:rPr>
          <w:rFonts w:cs="Arial"/>
          <w:bCs/>
          <w:sz w:val="26"/>
          <w:szCs w:val="26"/>
          <w:lang w:val="es-ES"/>
        </w:rPr>
        <w:t xml:space="preserve"> y la demanda se interpuso el </w:t>
      </w:r>
      <w:r w:rsidRPr="00CD27A9">
        <w:rPr>
          <w:rFonts w:cs="Arial"/>
          <w:sz w:val="26"/>
          <w:szCs w:val="26"/>
        </w:rPr>
        <w:t>17 de agosto de 2001</w:t>
      </w:r>
      <w:r w:rsidRPr="00263282">
        <w:rPr>
          <w:rFonts w:cs="Arial"/>
          <w:sz w:val="26"/>
          <w:szCs w:val="26"/>
        </w:rPr>
        <w:t xml:space="preserve">, </w:t>
      </w:r>
      <w:r>
        <w:rPr>
          <w:rFonts w:cs="Arial"/>
          <w:sz w:val="26"/>
          <w:szCs w:val="26"/>
        </w:rPr>
        <w:t>es decir</w:t>
      </w:r>
      <w:r w:rsidRPr="00263282">
        <w:rPr>
          <w:rFonts w:cs="Arial"/>
          <w:sz w:val="26"/>
          <w:szCs w:val="26"/>
        </w:rPr>
        <w:t xml:space="preserve">, </w:t>
      </w:r>
      <w:r w:rsidRPr="00263282">
        <w:rPr>
          <w:rFonts w:cs="Arial"/>
          <w:bCs/>
          <w:sz w:val="26"/>
          <w:szCs w:val="26"/>
          <w:lang w:val="es-ES"/>
        </w:rPr>
        <w:t xml:space="preserve">dentro del término legal de dos años que establece </w:t>
      </w:r>
      <w:r>
        <w:rPr>
          <w:rFonts w:cs="Arial"/>
          <w:bCs/>
          <w:sz w:val="26"/>
          <w:szCs w:val="26"/>
          <w:lang w:val="es-ES"/>
        </w:rPr>
        <w:t xml:space="preserve">para tal efecto </w:t>
      </w:r>
      <w:r w:rsidRPr="00263282">
        <w:rPr>
          <w:rFonts w:cs="Arial"/>
          <w:bCs/>
          <w:sz w:val="26"/>
          <w:szCs w:val="26"/>
          <w:lang w:val="es-ES"/>
        </w:rPr>
        <w:t>el artículo 136 del Código Contencioso Administrativo.</w:t>
      </w:r>
    </w:p>
    <w:p w:rsidR="008775BA" w:rsidRPr="00EC3981" w:rsidRDefault="008775BA" w:rsidP="008C7554">
      <w:pPr>
        <w:rPr>
          <w:rFonts w:cs="Arial"/>
          <w:sz w:val="26"/>
          <w:szCs w:val="26"/>
        </w:rPr>
      </w:pPr>
    </w:p>
    <w:p w:rsidR="008775BA" w:rsidRDefault="008775BA" w:rsidP="008C7554">
      <w:pPr>
        <w:rPr>
          <w:b/>
          <w:bCs/>
          <w:sz w:val="26"/>
          <w:szCs w:val="26"/>
        </w:rPr>
      </w:pPr>
      <w:r w:rsidRPr="00EC3981">
        <w:rPr>
          <w:b/>
          <w:bCs/>
          <w:sz w:val="26"/>
          <w:szCs w:val="26"/>
        </w:rPr>
        <w:t xml:space="preserve">II. </w:t>
      </w:r>
      <w:r>
        <w:rPr>
          <w:b/>
          <w:bCs/>
          <w:sz w:val="26"/>
          <w:szCs w:val="26"/>
        </w:rPr>
        <w:t>Problema jurídico</w:t>
      </w:r>
    </w:p>
    <w:p w:rsidR="008775BA" w:rsidRPr="007C5824" w:rsidRDefault="008775BA" w:rsidP="008C7554">
      <w:pPr>
        <w:rPr>
          <w:bCs/>
          <w:sz w:val="26"/>
          <w:szCs w:val="26"/>
        </w:rPr>
      </w:pPr>
    </w:p>
    <w:p w:rsidR="008775BA" w:rsidRDefault="008775BA" w:rsidP="00012C5F">
      <w:pPr>
        <w:numPr>
          <w:ilvl w:val="0"/>
          <w:numId w:val="28"/>
        </w:numPr>
        <w:ind w:left="0" w:firstLine="0"/>
        <w:rPr>
          <w:rFonts w:cs="Arial"/>
          <w:bCs/>
          <w:color w:val="000000"/>
          <w:sz w:val="26"/>
          <w:szCs w:val="26"/>
        </w:rPr>
      </w:pPr>
      <w:r w:rsidRPr="00EC3981">
        <w:rPr>
          <w:rFonts w:cs="Arial"/>
          <w:sz w:val="26"/>
          <w:szCs w:val="26"/>
        </w:rPr>
        <w:t>La Sala</w:t>
      </w:r>
      <w:r>
        <w:rPr>
          <w:rFonts w:cs="Arial"/>
          <w:sz w:val="26"/>
          <w:szCs w:val="26"/>
        </w:rPr>
        <w:t xml:space="preserve"> debe</w:t>
      </w:r>
      <w:r w:rsidRPr="00EC3981">
        <w:rPr>
          <w:rFonts w:cs="Arial"/>
          <w:sz w:val="26"/>
          <w:szCs w:val="26"/>
        </w:rPr>
        <w:t xml:space="preserve"> determinar si la </w:t>
      </w:r>
      <w:r>
        <w:rPr>
          <w:rFonts w:cs="Arial"/>
          <w:sz w:val="26"/>
          <w:szCs w:val="26"/>
        </w:rPr>
        <w:t>agresión sexual de que fue víctima Mónica Marisol Rodríguez Bustamante</w:t>
      </w:r>
      <w:r>
        <w:rPr>
          <w:rFonts w:cs="Arial"/>
          <w:bCs/>
          <w:color w:val="000000"/>
          <w:sz w:val="26"/>
          <w:szCs w:val="26"/>
        </w:rPr>
        <w:t xml:space="preserve"> el </w:t>
      </w:r>
      <w:r>
        <w:rPr>
          <w:rFonts w:cs="Arial"/>
          <w:sz w:val="26"/>
          <w:szCs w:val="26"/>
        </w:rPr>
        <w:t>4 de septiembre de 1999 en el municipio de Tame, Arauca, perpetrada por suboficiales del Ejército Nacional,</w:t>
      </w:r>
      <w:r>
        <w:rPr>
          <w:rFonts w:cs="Arial"/>
          <w:bCs/>
          <w:color w:val="000000"/>
          <w:sz w:val="26"/>
          <w:szCs w:val="26"/>
        </w:rPr>
        <w:t xml:space="preserve"> </w:t>
      </w:r>
      <w:r>
        <w:rPr>
          <w:rFonts w:cs="Arial"/>
          <w:sz w:val="26"/>
          <w:szCs w:val="26"/>
        </w:rPr>
        <w:t>es</w:t>
      </w:r>
      <w:r w:rsidR="00123C23">
        <w:rPr>
          <w:rFonts w:cs="Arial"/>
          <w:sz w:val="26"/>
          <w:szCs w:val="26"/>
        </w:rPr>
        <w:t xml:space="preserve"> imputable jurídica</w:t>
      </w:r>
      <w:r w:rsidRPr="00EC3981">
        <w:rPr>
          <w:rFonts w:cs="Arial"/>
          <w:sz w:val="26"/>
          <w:szCs w:val="26"/>
        </w:rPr>
        <w:t>mente a la</w:t>
      </w:r>
      <w:r>
        <w:rPr>
          <w:rFonts w:cs="Arial"/>
          <w:sz w:val="26"/>
          <w:szCs w:val="26"/>
        </w:rPr>
        <w:t xml:space="preserve"> entidad demandada</w:t>
      </w:r>
      <w:r w:rsidRPr="00EC3981">
        <w:rPr>
          <w:rFonts w:cs="Arial"/>
          <w:sz w:val="26"/>
          <w:szCs w:val="26"/>
        </w:rPr>
        <w:t>, o si</w:t>
      </w:r>
      <w:r>
        <w:rPr>
          <w:rFonts w:cs="Arial"/>
          <w:sz w:val="26"/>
          <w:szCs w:val="26"/>
        </w:rPr>
        <w:t xml:space="preserve">, como lo alega esta última, debe </w:t>
      </w:r>
      <w:r w:rsidRPr="00EC3981">
        <w:rPr>
          <w:rFonts w:cs="Arial"/>
          <w:sz w:val="26"/>
          <w:szCs w:val="26"/>
        </w:rPr>
        <w:t xml:space="preserve">exonerársele de responsabilidad por la concurrencia del hecho </w:t>
      </w:r>
      <w:r>
        <w:rPr>
          <w:rFonts w:cs="Arial"/>
          <w:sz w:val="26"/>
          <w:szCs w:val="26"/>
        </w:rPr>
        <w:t>personal de los agentes.</w:t>
      </w:r>
      <w:r w:rsidR="00F271BD">
        <w:rPr>
          <w:rFonts w:cs="Arial"/>
          <w:sz w:val="26"/>
          <w:szCs w:val="26"/>
        </w:rPr>
        <w:t xml:space="preserve"> De constatarse la responsabilidad de la entidad, se hará a la respectiva liquidación de los perjuicios a indemnizar a favor de los demandantes.</w:t>
      </w:r>
    </w:p>
    <w:p w:rsidR="008775BA" w:rsidRPr="007C5824" w:rsidRDefault="008775BA" w:rsidP="008C7554">
      <w:pPr>
        <w:rPr>
          <w:bCs/>
          <w:sz w:val="26"/>
          <w:szCs w:val="26"/>
        </w:rPr>
      </w:pPr>
    </w:p>
    <w:p w:rsidR="008775BA" w:rsidRPr="00EC3981" w:rsidRDefault="008775BA" w:rsidP="008C7554">
      <w:pPr>
        <w:rPr>
          <w:b/>
          <w:bCs/>
          <w:sz w:val="26"/>
          <w:szCs w:val="26"/>
        </w:rPr>
      </w:pPr>
      <w:r>
        <w:rPr>
          <w:b/>
          <w:bCs/>
          <w:sz w:val="26"/>
          <w:szCs w:val="26"/>
        </w:rPr>
        <w:t xml:space="preserve">III. </w:t>
      </w:r>
      <w:r w:rsidRPr="00EC3981">
        <w:rPr>
          <w:b/>
          <w:bCs/>
          <w:sz w:val="26"/>
          <w:szCs w:val="26"/>
        </w:rPr>
        <w:t>Validez de los medios de prueba</w:t>
      </w:r>
    </w:p>
    <w:p w:rsidR="008775BA" w:rsidRPr="00EC3981" w:rsidRDefault="008775BA" w:rsidP="008C7554">
      <w:pPr>
        <w:rPr>
          <w:bCs/>
          <w:sz w:val="26"/>
          <w:szCs w:val="26"/>
          <w:lang w:val="es-ES"/>
        </w:rPr>
      </w:pPr>
    </w:p>
    <w:p w:rsidR="008775BA" w:rsidRDefault="008775BA" w:rsidP="008C7554">
      <w:pPr>
        <w:numPr>
          <w:ilvl w:val="0"/>
          <w:numId w:val="28"/>
        </w:numPr>
        <w:suppressAutoHyphens w:val="0"/>
        <w:overflowPunct/>
        <w:autoSpaceDE/>
        <w:ind w:left="0" w:firstLine="0"/>
        <w:textAlignment w:val="auto"/>
        <w:rPr>
          <w:rFonts w:cs="Arial"/>
          <w:bCs/>
          <w:sz w:val="26"/>
          <w:szCs w:val="26"/>
          <w:lang w:val="es-ES"/>
        </w:rPr>
      </w:pPr>
      <w:r>
        <w:rPr>
          <w:rFonts w:cs="Arial"/>
          <w:bCs/>
          <w:sz w:val="26"/>
          <w:szCs w:val="26"/>
          <w:lang w:val="es-ES"/>
        </w:rPr>
        <w:t>De acuerdo con</w:t>
      </w:r>
      <w:r w:rsidRPr="00ED2293">
        <w:rPr>
          <w:rFonts w:cs="Arial"/>
          <w:bCs/>
          <w:sz w:val="26"/>
          <w:szCs w:val="26"/>
          <w:lang w:val="es-ES"/>
        </w:rPr>
        <w:t xml:space="preserve"> el artículo 185 del Código de Procedimiento Civil, aplicable al procedimiento administrativo en virtud de lo dispuesto en el artículo 267 del Código Contencioso Administrativo, las pruebas practicadas válidamente en un proceso judicial podrán trasladarse a otro en copia auténtica y serán apreciables sin </w:t>
      </w:r>
      <w:r>
        <w:rPr>
          <w:rFonts w:cs="Arial"/>
          <w:bCs/>
          <w:sz w:val="26"/>
          <w:szCs w:val="26"/>
          <w:lang w:val="es-ES"/>
        </w:rPr>
        <w:t>mayores</w:t>
      </w:r>
      <w:r w:rsidRPr="00ED2293">
        <w:rPr>
          <w:rFonts w:cs="Arial"/>
          <w:bCs/>
          <w:sz w:val="26"/>
          <w:szCs w:val="26"/>
          <w:lang w:val="es-ES"/>
        </w:rPr>
        <w:t xml:space="preserve"> formalidades, </w:t>
      </w:r>
      <w:r w:rsidRPr="00227DF3">
        <w:rPr>
          <w:rFonts w:cs="Arial"/>
          <w:bCs/>
          <w:sz w:val="26"/>
          <w:szCs w:val="26"/>
          <w:lang w:val="es-ES"/>
        </w:rPr>
        <w:t>“</w:t>
      </w:r>
      <w:r w:rsidRPr="00ED2293">
        <w:rPr>
          <w:rFonts w:cs="Arial"/>
          <w:bCs/>
          <w:i/>
          <w:sz w:val="26"/>
          <w:szCs w:val="26"/>
          <w:lang w:val="es-ES"/>
        </w:rPr>
        <w:t>siempre que en el proceso primitivo se hubieran practicado a petición de la parte contra quien se aduce o con audiencia de ella</w:t>
      </w:r>
      <w:r w:rsidRPr="00227DF3">
        <w:rPr>
          <w:rFonts w:cs="Arial"/>
          <w:bCs/>
          <w:sz w:val="26"/>
          <w:szCs w:val="26"/>
          <w:lang w:val="es-ES"/>
        </w:rPr>
        <w:t>”</w:t>
      </w:r>
      <w:r w:rsidRPr="00ED2293">
        <w:rPr>
          <w:rFonts w:cs="Arial"/>
          <w:bCs/>
          <w:sz w:val="26"/>
          <w:szCs w:val="26"/>
          <w:lang w:val="es-ES"/>
        </w:rPr>
        <w:t>.</w:t>
      </w:r>
    </w:p>
    <w:p w:rsidR="008775BA" w:rsidRDefault="008775BA" w:rsidP="00A26F82">
      <w:pPr>
        <w:suppressAutoHyphens w:val="0"/>
        <w:overflowPunct/>
        <w:autoSpaceDE/>
        <w:textAlignment w:val="auto"/>
        <w:rPr>
          <w:rFonts w:cs="Arial"/>
          <w:bCs/>
          <w:sz w:val="26"/>
          <w:szCs w:val="26"/>
          <w:lang w:val="es-ES"/>
        </w:rPr>
      </w:pPr>
    </w:p>
    <w:p w:rsidR="008775BA" w:rsidRPr="00A26F82" w:rsidRDefault="008775BA" w:rsidP="00A26F82">
      <w:pPr>
        <w:numPr>
          <w:ilvl w:val="0"/>
          <w:numId w:val="28"/>
        </w:numPr>
        <w:suppressAutoHyphens w:val="0"/>
        <w:overflowPunct/>
        <w:autoSpaceDE/>
        <w:ind w:left="0" w:firstLine="0"/>
        <w:textAlignment w:val="auto"/>
        <w:rPr>
          <w:rFonts w:cs="Arial"/>
          <w:bCs/>
          <w:sz w:val="26"/>
          <w:szCs w:val="26"/>
          <w:lang w:val="es-ES"/>
        </w:rPr>
      </w:pPr>
      <w:r w:rsidRPr="00EC3981">
        <w:rPr>
          <w:bCs/>
          <w:sz w:val="26"/>
          <w:szCs w:val="26"/>
          <w:lang w:val="es-ES"/>
        </w:rPr>
        <w:t xml:space="preserve">En </w:t>
      </w:r>
      <w:r>
        <w:rPr>
          <w:bCs/>
          <w:sz w:val="26"/>
          <w:szCs w:val="26"/>
          <w:lang w:val="es-ES"/>
        </w:rPr>
        <w:t>el presente</w:t>
      </w:r>
      <w:r w:rsidRPr="00EC3981">
        <w:rPr>
          <w:bCs/>
          <w:sz w:val="26"/>
          <w:szCs w:val="26"/>
          <w:lang w:val="es-ES"/>
        </w:rPr>
        <w:t xml:space="preserve"> </w:t>
      </w:r>
      <w:r>
        <w:rPr>
          <w:bCs/>
          <w:sz w:val="26"/>
          <w:szCs w:val="26"/>
          <w:lang w:val="es-ES"/>
        </w:rPr>
        <w:t>caso</w:t>
      </w:r>
      <w:r w:rsidRPr="00EC3981">
        <w:rPr>
          <w:bCs/>
          <w:sz w:val="26"/>
          <w:szCs w:val="26"/>
          <w:lang w:val="es-ES"/>
        </w:rPr>
        <w:t xml:space="preserve">, </w:t>
      </w:r>
      <w:r>
        <w:rPr>
          <w:bCs/>
          <w:sz w:val="26"/>
          <w:szCs w:val="26"/>
          <w:lang w:val="es-ES"/>
        </w:rPr>
        <w:t>las pruebas recogidas</w:t>
      </w:r>
      <w:r w:rsidRPr="00EC3981">
        <w:rPr>
          <w:bCs/>
          <w:sz w:val="26"/>
          <w:szCs w:val="26"/>
          <w:lang w:val="es-ES"/>
        </w:rPr>
        <w:t xml:space="preserve"> por </w:t>
      </w:r>
      <w:r>
        <w:rPr>
          <w:bCs/>
          <w:sz w:val="26"/>
          <w:szCs w:val="26"/>
          <w:lang w:val="es-ES"/>
        </w:rPr>
        <w:t xml:space="preserve">la Fiscalía Única Seccional de Tame, Arauca, </w:t>
      </w:r>
      <w:r>
        <w:rPr>
          <w:rFonts w:cs="Arial"/>
          <w:sz w:val="26"/>
          <w:szCs w:val="26"/>
        </w:rPr>
        <w:t>el Juzgado Único Promiscuo del Circuito de Saravena y la Oficina de In</w:t>
      </w:r>
      <w:r w:rsidR="006B7C26">
        <w:rPr>
          <w:rFonts w:cs="Arial"/>
          <w:sz w:val="26"/>
          <w:szCs w:val="26"/>
        </w:rPr>
        <w:t>strucción del Ejército Nacional</w:t>
      </w:r>
      <w:r>
        <w:rPr>
          <w:rFonts w:cs="Arial"/>
          <w:sz w:val="26"/>
          <w:szCs w:val="26"/>
        </w:rPr>
        <w:t xml:space="preserve"> </w:t>
      </w:r>
      <w:r w:rsidRPr="00EC3981">
        <w:rPr>
          <w:bCs/>
          <w:sz w:val="26"/>
          <w:szCs w:val="26"/>
          <w:lang w:val="es-ES"/>
        </w:rPr>
        <w:t xml:space="preserve">serán valoradas </w:t>
      </w:r>
      <w:r>
        <w:rPr>
          <w:bCs/>
          <w:sz w:val="26"/>
          <w:szCs w:val="26"/>
          <w:lang w:val="es-ES"/>
        </w:rPr>
        <w:t>por varias razones:</w:t>
      </w:r>
      <w:r w:rsidRPr="00EC3981">
        <w:rPr>
          <w:bCs/>
          <w:sz w:val="26"/>
          <w:szCs w:val="26"/>
          <w:lang w:val="es-ES"/>
        </w:rPr>
        <w:t xml:space="preserve"> </w:t>
      </w:r>
      <w:r>
        <w:rPr>
          <w:bCs/>
          <w:sz w:val="26"/>
          <w:szCs w:val="26"/>
          <w:lang w:val="es-ES"/>
        </w:rPr>
        <w:t>fueron</w:t>
      </w:r>
      <w:r w:rsidRPr="00EC3981">
        <w:rPr>
          <w:bCs/>
          <w:sz w:val="26"/>
          <w:szCs w:val="26"/>
          <w:lang w:val="es-ES"/>
        </w:rPr>
        <w:t xml:space="preserve"> remitidas en copia auténtica</w:t>
      </w:r>
      <w:r>
        <w:rPr>
          <w:rStyle w:val="Refdenotaalpie"/>
          <w:bCs/>
          <w:sz w:val="26"/>
          <w:szCs w:val="26"/>
          <w:lang w:val="es-ES"/>
        </w:rPr>
        <w:footnoteReference w:id="6"/>
      </w:r>
      <w:r w:rsidRPr="00EC3981">
        <w:rPr>
          <w:bCs/>
          <w:sz w:val="26"/>
          <w:szCs w:val="26"/>
          <w:lang w:val="es-ES"/>
        </w:rPr>
        <w:t xml:space="preserve"> por </w:t>
      </w:r>
      <w:r>
        <w:rPr>
          <w:bCs/>
          <w:sz w:val="26"/>
          <w:szCs w:val="26"/>
          <w:lang w:val="es-ES"/>
        </w:rPr>
        <w:t xml:space="preserve">las autoridades requeridas; </w:t>
      </w:r>
      <w:r w:rsidRPr="00ED2293">
        <w:rPr>
          <w:rFonts w:cs="Arial"/>
          <w:bCs/>
          <w:sz w:val="26"/>
          <w:szCs w:val="26"/>
          <w:lang w:val="es-ES"/>
        </w:rPr>
        <w:t xml:space="preserve">estuvieron a </w:t>
      </w:r>
      <w:r>
        <w:rPr>
          <w:rFonts w:cs="Arial"/>
          <w:bCs/>
          <w:sz w:val="26"/>
          <w:szCs w:val="26"/>
          <w:lang w:val="es-ES"/>
        </w:rPr>
        <w:t xml:space="preserve">plena </w:t>
      </w:r>
      <w:r w:rsidRPr="00ED2293">
        <w:rPr>
          <w:rFonts w:cs="Arial"/>
          <w:bCs/>
          <w:sz w:val="26"/>
          <w:szCs w:val="26"/>
          <w:lang w:val="es-ES"/>
        </w:rPr>
        <w:t xml:space="preserve">disposición de la parte demandada, </w:t>
      </w:r>
      <w:r>
        <w:rPr>
          <w:rFonts w:cs="Arial"/>
          <w:bCs/>
          <w:sz w:val="26"/>
          <w:szCs w:val="26"/>
          <w:lang w:val="es-ES"/>
        </w:rPr>
        <w:t xml:space="preserve">por lo </w:t>
      </w:r>
      <w:r w:rsidRPr="00ED2293">
        <w:rPr>
          <w:rFonts w:cs="Arial"/>
          <w:bCs/>
          <w:sz w:val="26"/>
          <w:szCs w:val="26"/>
          <w:lang w:val="es-ES"/>
        </w:rPr>
        <w:t xml:space="preserve">que tuvo la oportunidad </w:t>
      </w:r>
      <w:r>
        <w:rPr>
          <w:rFonts w:cs="Arial"/>
          <w:bCs/>
          <w:sz w:val="26"/>
          <w:szCs w:val="26"/>
          <w:lang w:val="es-ES"/>
        </w:rPr>
        <w:t xml:space="preserve">procesal </w:t>
      </w:r>
      <w:r w:rsidRPr="00ED2293">
        <w:rPr>
          <w:rFonts w:cs="Arial"/>
          <w:bCs/>
          <w:sz w:val="26"/>
          <w:szCs w:val="26"/>
          <w:lang w:val="es-ES"/>
        </w:rPr>
        <w:t>de conocerlas y</w:t>
      </w:r>
      <w:r w:rsidR="006B7C26">
        <w:rPr>
          <w:rFonts w:cs="Arial"/>
          <w:bCs/>
          <w:sz w:val="26"/>
          <w:szCs w:val="26"/>
          <w:lang w:val="es-ES"/>
        </w:rPr>
        <w:t xml:space="preserve"> de controvertirlas</w:t>
      </w:r>
      <w:r>
        <w:rPr>
          <w:rFonts w:cs="Arial"/>
          <w:bCs/>
          <w:sz w:val="26"/>
          <w:szCs w:val="26"/>
          <w:lang w:val="es-ES"/>
        </w:rPr>
        <w:t xml:space="preserve"> y</w:t>
      </w:r>
      <w:r w:rsidR="006B7C26">
        <w:rPr>
          <w:rFonts w:cs="Arial"/>
          <w:bCs/>
          <w:sz w:val="26"/>
          <w:szCs w:val="26"/>
          <w:lang w:val="es-ES"/>
        </w:rPr>
        <w:t>,</w:t>
      </w:r>
      <w:r>
        <w:rPr>
          <w:rFonts w:cs="Arial"/>
          <w:bCs/>
          <w:sz w:val="26"/>
          <w:szCs w:val="26"/>
          <w:lang w:val="es-ES"/>
        </w:rPr>
        <w:t xml:space="preserve"> finalmente, el Ejército Nacional, al igual que la Fiscalía General de la Nación y la Rama Judicial, integran</w:t>
      </w:r>
      <w:r w:rsidRPr="00B37CCE">
        <w:rPr>
          <w:rFonts w:cs="Arial"/>
          <w:bCs/>
          <w:sz w:val="26"/>
          <w:szCs w:val="26"/>
          <w:lang w:val="es-ES"/>
        </w:rPr>
        <w:t xml:space="preserve"> la persona jurídica de la Nación</w:t>
      </w:r>
      <w:r>
        <w:rPr>
          <w:rFonts w:cs="Arial"/>
          <w:bCs/>
          <w:sz w:val="26"/>
          <w:szCs w:val="26"/>
          <w:lang w:val="es-ES"/>
        </w:rPr>
        <w:t xml:space="preserve">, de modo que no puede alegar el desconocimiento de tales pruebas, pues </w:t>
      </w:r>
      <w:r w:rsidRPr="00B37CCE">
        <w:rPr>
          <w:rFonts w:cs="Arial"/>
          <w:bCs/>
          <w:sz w:val="26"/>
          <w:szCs w:val="26"/>
          <w:lang w:val="es-ES"/>
        </w:rPr>
        <w:t>fueron practicadas a petición y con intervención de la misma parte –Nación– contra quien se aducen ahora</w:t>
      </w:r>
      <w:r>
        <w:rPr>
          <w:rStyle w:val="Refdenotaalpie"/>
          <w:bCs/>
          <w:szCs w:val="26"/>
          <w:lang w:val="es-ES"/>
        </w:rPr>
        <w:footnoteReference w:id="7"/>
      </w:r>
      <w:r>
        <w:rPr>
          <w:rFonts w:cs="Arial"/>
          <w:bCs/>
          <w:sz w:val="26"/>
          <w:szCs w:val="26"/>
          <w:lang w:val="es-ES"/>
        </w:rPr>
        <w:t>.</w:t>
      </w:r>
    </w:p>
    <w:p w:rsidR="008775BA" w:rsidRPr="00EC3981" w:rsidRDefault="008775BA" w:rsidP="008C7554">
      <w:pPr>
        <w:rPr>
          <w:bCs/>
          <w:sz w:val="26"/>
          <w:szCs w:val="26"/>
          <w:lang w:val="es-ES"/>
        </w:rPr>
      </w:pPr>
    </w:p>
    <w:p w:rsidR="008775BA" w:rsidRPr="00A26F82" w:rsidRDefault="008775BA" w:rsidP="00A26F82">
      <w:pPr>
        <w:numPr>
          <w:ilvl w:val="0"/>
          <w:numId w:val="28"/>
        </w:numPr>
        <w:ind w:left="0" w:firstLine="0"/>
        <w:rPr>
          <w:bCs/>
          <w:sz w:val="26"/>
          <w:szCs w:val="26"/>
          <w:lang w:val="es-ES"/>
        </w:rPr>
      </w:pPr>
      <w:r>
        <w:rPr>
          <w:rFonts w:cs="Arial"/>
          <w:bCs/>
          <w:sz w:val="26"/>
          <w:szCs w:val="26"/>
          <w:lang w:val="es-ES"/>
        </w:rPr>
        <w:t>Las declaraciones rendidas bajo la gravedad del juramento por la joven Mónica Marisol Rodríguez Bustamante</w:t>
      </w:r>
      <w:r w:rsidRPr="006340AA">
        <w:rPr>
          <w:rFonts w:cs="Arial"/>
          <w:bCs/>
          <w:sz w:val="26"/>
          <w:szCs w:val="26"/>
          <w:lang w:val="es-ES"/>
        </w:rPr>
        <w:t xml:space="preserve"> </w:t>
      </w:r>
      <w:r>
        <w:rPr>
          <w:rFonts w:cs="Arial"/>
          <w:bCs/>
          <w:sz w:val="22"/>
          <w:szCs w:val="22"/>
          <w:lang w:val="es-ES"/>
        </w:rPr>
        <w:t>(f. 45-47</w:t>
      </w:r>
      <w:r w:rsidRPr="006340AA">
        <w:rPr>
          <w:rFonts w:cs="Arial"/>
          <w:bCs/>
          <w:sz w:val="22"/>
          <w:szCs w:val="22"/>
          <w:lang w:val="es-ES"/>
        </w:rPr>
        <w:t xml:space="preserve">, </w:t>
      </w:r>
      <w:r>
        <w:rPr>
          <w:rFonts w:cs="Arial"/>
          <w:bCs/>
          <w:sz w:val="22"/>
          <w:szCs w:val="22"/>
          <w:lang w:val="es-ES"/>
        </w:rPr>
        <w:t xml:space="preserve">80-82, 166-167, </w:t>
      </w:r>
      <w:r w:rsidRPr="006340AA">
        <w:rPr>
          <w:rFonts w:cs="Arial"/>
          <w:bCs/>
          <w:sz w:val="22"/>
          <w:szCs w:val="22"/>
          <w:lang w:val="es-ES"/>
        </w:rPr>
        <w:t xml:space="preserve">c. </w:t>
      </w:r>
      <w:r>
        <w:rPr>
          <w:rFonts w:cs="Arial"/>
          <w:bCs/>
          <w:sz w:val="22"/>
          <w:szCs w:val="22"/>
          <w:lang w:val="es-ES"/>
        </w:rPr>
        <w:t>1</w:t>
      </w:r>
      <w:r w:rsidRPr="006340AA">
        <w:rPr>
          <w:rFonts w:cs="Arial"/>
          <w:bCs/>
          <w:sz w:val="22"/>
          <w:szCs w:val="22"/>
          <w:lang w:val="es-ES"/>
        </w:rPr>
        <w:t>)</w:t>
      </w:r>
      <w:r>
        <w:rPr>
          <w:rFonts w:cs="Arial"/>
          <w:bCs/>
          <w:sz w:val="26"/>
          <w:szCs w:val="26"/>
          <w:lang w:val="es-ES"/>
        </w:rPr>
        <w:t xml:space="preserve"> y su madre Virginia Bustamante Sánchez </w:t>
      </w:r>
      <w:r w:rsidRPr="00206522">
        <w:rPr>
          <w:rFonts w:cs="Arial"/>
          <w:bCs/>
          <w:sz w:val="22"/>
          <w:szCs w:val="22"/>
          <w:lang w:val="es-ES"/>
        </w:rPr>
        <w:t xml:space="preserve">(f. </w:t>
      </w:r>
      <w:r>
        <w:rPr>
          <w:rFonts w:cs="Arial"/>
          <w:bCs/>
          <w:sz w:val="22"/>
          <w:szCs w:val="22"/>
          <w:lang w:val="es-ES"/>
        </w:rPr>
        <w:t xml:space="preserve">35-36, </w:t>
      </w:r>
      <w:r w:rsidRPr="00206522">
        <w:rPr>
          <w:rFonts w:cs="Arial"/>
          <w:bCs/>
          <w:sz w:val="22"/>
          <w:szCs w:val="22"/>
          <w:lang w:val="es-ES"/>
        </w:rPr>
        <w:t xml:space="preserve">68-70, </w:t>
      </w:r>
      <w:r>
        <w:rPr>
          <w:rFonts w:cs="Arial"/>
          <w:bCs/>
          <w:sz w:val="22"/>
          <w:szCs w:val="22"/>
          <w:lang w:val="es-ES"/>
        </w:rPr>
        <w:t xml:space="preserve">134-136, </w:t>
      </w:r>
      <w:r w:rsidRPr="00206522">
        <w:rPr>
          <w:rFonts w:cs="Arial"/>
          <w:bCs/>
          <w:sz w:val="22"/>
          <w:szCs w:val="22"/>
          <w:lang w:val="es-ES"/>
        </w:rPr>
        <w:t>c. 1)</w:t>
      </w:r>
      <w:r>
        <w:rPr>
          <w:rFonts w:cs="Arial"/>
          <w:bCs/>
          <w:sz w:val="26"/>
          <w:szCs w:val="26"/>
          <w:lang w:val="es-ES"/>
        </w:rPr>
        <w:t xml:space="preserve"> </w:t>
      </w:r>
      <w:r w:rsidR="006B7C26">
        <w:rPr>
          <w:rFonts w:cs="Arial"/>
          <w:bCs/>
          <w:sz w:val="26"/>
          <w:szCs w:val="26"/>
          <w:lang w:val="es-ES"/>
        </w:rPr>
        <w:t xml:space="preserve">ante la Fiscalía Única Seccional de Tame </w:t>
      </w:r>
      <w:r w:rsidRPr="006340AA">
        <w:rPr>
          <w:rFonts w:cs="Arial"/>
          <w:bCs/>
          <w:sz w:val="26"/>
          <w:szCs w:val="26"/>
          <w:lang w:val="es-ES"/>
        </w:rPr>
        <w:t>no será</w:t>
      </w:r>
      <w:r>
        <w:rPr>
          <w:rFonts w:cs="Arial"/>
          <w:bCs/>
          <w:sz w:val="26"/>
          <w:szCs w:val="26"/>
          <w:lang w:val="es-ES"/>
        </w:rPr>
        <w:t>n</w:t>
      </w:r>
      <w:r w:rsidRPr="006340AA">
        <w:rPr>
          <w:rFonts w:cs="Arial"/>
          <w:bCs/>
          <w:sz w:val="26"/>
          <w:szCs w:val="26"/>
          <w:lang w:val="es-ES"/>
        </w:rPr>
        <w:t xml:space="preserve"> desestimad</w:t>
      </w:r>
      <w:r>
        <w:rPr>
          <w:rFonts w:cs="Arial"/>
          <w:bCs/>
          <w:sz w:val="26"/>
          <w:szCs w:val="26"/>
          <w:lang w:val="es-ES"/>
        </w:rPr>
        <w:t>as</w:t>
      </w:r>
      <w:r w:rsidRPr="006340AA">
        <w:rPr>
          <w:rFonts w:cs="Arial"/>
          <w:bCs/>
          <w:sz w:val="26"/>
          <w:szCs w:val="26"/>
          <w:lang w:val="es-ES"/>
        </w:rPr>
        <w:t xml:space="preserve"> </w:t>
      </w:r>
      <w:r>
        <w:rPr>
          <w:rFonts w:cs="Arial"/>
          <w:bCs/>
          <w:sz w:val="26"/>
          <w:szCs w:val="26"/>
          <w:lang w:val="es-ES"/>
        </w:rPr>
        <w:t>a pesar de</w:t>
      </w:r>
      <w:r w:rsidRPr="006340AA">
        <w:rPr>
          <w:rFonts w:cs="Arial"/>
          <w:bCs/>
          <w:sz w:val="26"/>
          <w:szCs w:val="26"/>
          <w:lang w:val="es-ES"/>
        </w:rPr>
        <w:t xml:space="preserve"> que </w:t>
      </w:r>
      <w:r>
        <w:rPr>
          <w:rFonts w:cs="Arial"/>
          <w:bCs/>
          <w:sz w:val="26"/>
          <w:szCs w:val="26"/>
          <w:lang w:val="es-ES"/>
        </w:rPr>
        <w:t xml:space="preserve">provienen de quienes figuran como demandantes en este asunto. La Sala advierte que tales declaraciones fueron rendidas entre septiembre y noviembre de 1999, es decir, antes de la presentación de la demanda de reparación directa que activó esta controversia, que data del </w:t>
      </w:r>
      <w:r>
        <w:rPr>
          <w:sz w:val="26"/>
          <w:szCs w:val="26"/>
        </w:rPr>
        <w:t>17</w:t>
      </w:r>
      <w:r w:rsidRPr="00EC3981">
        <w:rPr>
          <w:sz w:val="26"/>
          <w:szCs w:val="26"/>
        </w:rPr>
        <w:t xml:space="preserve"> de </w:t>
      </w:r>
      <w:r>
        <w:rPr>
          <w:sz w:val="26"/>
          <w:szCs w:val="26"/>
        </w:rPr>
        <w:t>agosto</w:t>
      </w:r>
      <w:r w:rsidRPr="00EC3981">
        <w:rPr>
          <w:sz w:val="26"/>
          <w:szCs w:val="26"/>
        </w:rPr>
        <w:t xml:space="preserve"> de 200</w:t>
      </w:r>
      <w:r>
        <w:rPr>
          <w:sz w:val="26"/>
          <w:szCs w:val="26"/>
        </w:rPr>
        <w:t>1</w:t>
      </w:r>
      <w:r>
        <w:rPr>
          <w:rFonts w:cs="Arial"/>
          <w:bCs/>
          <w:sz w:val="26"/>
          <w:szCs w:val="26"/>
        </w:rPr>
        <w:t xml:space="preserve">. Además, no es dado concluir que las afirmaciones allí vertidas se hubieren hecho con el fin de preconstituir una prueba o </w:t>
      </w:r>
      <w:r w:rsidR="006B7C26">
        <w:rPr>
          <w:rFonts w:cs="Arial"/>
          <w:bCs/>
          <w:sz w:val="26"/>
          <w:szCs w:val="26"/>
        </w:rPr>
        <w:t xml:space="preserve">de </w:t>
      </w:r>
      <w:r>
        <w:rPr>
          <w:rFonts w:cs="Arial"/>
          <w:bCs/>
          <w:sz w:val="26"/>
          <w:szCs w:val="26"/>
        </w:rPr>
        <w:t xml:space="preserve">influir sobre el resultado de este proceso. </w:t>
      </w:r>
      <w:r w:rsidR="006B7C26">
        <w:rPr>
          <w:rFonts w:cs="Arial"/>
          <w:bCs/>
          <w:sz w:val="26"/>
          <w:szCs w:val="26"/>
          <w:lang w:val="es-ES"/>
        </w:rPr>
        <w:t>D</w:t>
      </w:r>
      <w:r>
        <w:rPr>
          <w:rFonts w:cs="Arial"/>
          <w:bCs/>
          <w:sz w:val="26"/>
          <w:szCs w:val="26"/>
          <w:lang w:val="es-ES"/>
        </w:rPr>
        <w:t>ebe</w:t>
      </w:r>
      <w:r w:rsidRPr="006340AA">
        <w:rPr>
          <w:rFonts w:cs="Arial"/>
          <w:bCs/>
          <w:sz w:val="26"/>
          <w:szCs w:val="26"/>
          <w:lang w:val="es-ES"/>
        </w:rPr>
        <w:t xml:space="preserve"> recordar</w:t>
      </w:r>
      <w:r>
        <w:rPr>
          <w:rFonts w:cs="Arial"/>
          <w:bCs/>
          <w:sz w:val="26"/>
          <w:szCs w:val="26"/>
          <w:lang w:val="es-ES"/>
        </w:rPr>
        <w:t>se</w:t>
      </w:r>
      <w:r w:rsidRPr="006340AA">
        <w:rPr>
          <w:rFonts w:cs="Arial"/>
          <w:bCs/>
          <w:sz w:val="26"/>
          <w:szCs w:val="26"/>
          <w:lang w:val="es-ES"/>
        </w:rPr>
        <w:t xml:space="preserve"> que </w:t>
      </w:r>
      <w:r>
        <w:rPr>
          <w:rFonts w:cs="Arial"/>
          <w:bCs/>
          <w:sz w:val="26"/>
          <w:szCs w:val="26"/>
          <w:lang w:val="es-ES"/>
        </w:rPr>
        <w:t xml:space="preserve">en </w:t>
      </w:r>
      <w:r w:rsidRPr="006340AA">
        <w:rPr>
          <w:rFonts w:cs="Arial"/>
          <w:bCs/>
          <w:sz w:val="26"/>
          <w:szCs w:val="26"/>
          <w:lang w:val="es-ES"/>
        </w:rPr>
        <w:t xml:space="preserve">el sistema </w:t>
      </w:r>
      <w:r>
        <w:rPr>
          <w:rFonts w:cs="Arial"/>
          <w:bCs/>
          <w:sz w:val="26"/>
          <w:szCs w:val="26"/>
          <w:lang w:val="es-ES"/>
        </w:rPr>
        <w:t>probatorio establecido</w:t>
      </w:r>
      <w:r w:rsidRPr="006340AA">
        <w:rPr>
          <w:rFonts w:cs="Arial"/>
          <w:bCs/>
          <w:sz w:val="26"/>
          <w:szCs w:val="26"/>
          <w:lang w:val="es-ES"/>
        </w:rPr>
        <w:t xml:space="preserve"> en el Código de Procedimiento Civil no </w:t>
      </w:r>
      <w:r>
        <w:rPr>
          <w:rFonts w:cs="Arial"/>
          <w:bCs/>
          <w:sz w:val="26"/>
          <w:szCs w:val="26"/>
          <w:lang w:val="es-ES"/>
        </w:rPr>
        <w:t>se prevé la descalificación legal de</w:t>
      </w:r>
      <w:r w:rsidR="006B7C26">
        <w:rPr>
          <w:rFonts w:cs="Arial"/>
          <w:bCs/>
          <w:sz w:val="26"/>
          <w:szCs w:val="26"/>
          <w:lang w:val="es-ES"/>
        </w:rPr>
        <w:t xml:space="preserve"> </w:t>
      </w:r>
      <w:r>
        <w:rPr>
          <w:rFonts w:cs="Arial"/>
          <w:bCs/>
          <w:sz w:val="26"/>
          <w:szCs w:val="26"/>
          <w:lang w:val="es-ES"/>
        </w:rPr>
        <w:t>l</w:t>
      </w:r>
      <w:r w:rsidR="006B7C26">
        <w:rPr>
          <w:rFonts w:cs="Arial"/>
          <w:bCs/>
          <w:sz w:val="26"/>
          <w:szCs w:val="26"/>
          <w:lang w:val="es-ES"/>
        </w:rPr>
        <w:t>a</w:t>
      </w:r>
      <w:r w:rsidRPr="006340AA">
        <w:rPr>
          <w:rFonts w:cs="Arial"/>
          <w:bCs/>
          <w:sz w:val="26"/>
          <w:szCs w:val="26"/>
          <w:lang w:val="es-ES"/>
        </w:rPr>
        <w:t xml:space="preserve"> </w:t>
      </w:r>
      <w:r w:rsidR="006B7C26">
        <w:rPr>
          <w:rFonts w:cs="Arial"/>
          <w:bCs/>
          <w:sz w:val="26"/>
          <w:szCs w:val="26"/>
          <w:lang w:val="es-ES"/>
        </w:rPr>
        <w:t>persona</w:t>
      </w:r>
      <w:r w:rsidRPr="006340AA">
        <w:rPr>
          <w:rFonts w:cs="Arial"/>
          <w:bCs/>
          <w:sz w:val="26"/>
          <w:szCs w:val="26"/>
          <w:lang w:val="es-ES"/>
        </w:rPr>
        <w:t xml:space="preserve"> </w:t>
      </w:r>
      <w:r>
        <w:rPr>
          <w:rFonts w:cs="Arial"/>
          <w:bCs/>
          <w:sz w:val="26"/>
          <w:szCs w:val="26"/>
          <w:lang w:val="es-ES"/>
        </w:rPr>
        <w:t>cuya declaración pueda ser objeto de sospecha,</w:t>
      </w:r>
      <w:r w:rsidRPr="006340AA">
        <w:rPr>
          <w:rFonts w:cs="Arial"/>
          <w:bCs/>
          <w:sz w:val="26"/>
          <w:szCs w:val="26"/>
          <w:lang w:val="es-ES"/>
        </w:rPr>
        <w:t xml:space="preserve"> ya que</w:t>
      </w:r>
      <w:r w:rsidR="006B7C26">
        <w:rPr>
          <w:rFonts w:cs="Arial"/>
          <w:bCs/>
          <w:sz w:val="26"/>
          <w:szCs w:val="26"/>
          <w:lang w:val="es-ES"/>
        </w:rPr>
        <w:t xml:space="preserve"> esto</w:t>
      </w:r>
      <w:r w:rsidRPr="006340AA">
        <w:rPr>
          <w:rFonts w:cs="Arial"/>
          <w:bCs/>
          <w:sz w:val="26"/>
          <w:szCs w:val="26"/>
          <w:lang w:val="es-ES"/>
        </w:rPr>
        <w:t xml:space="preserve"> sería incompatible con el principio de la sana crítica</w:t>
      </w:r>
      <w:r w:rsidRPr="006340AA">
        <w:rPr>
          <w:rFonts w:cs="Arial"/>
          <w:bCs/>
          <w:sz w:val="26"/>
          <w:szCs w:val="26"/>
          <w:vertAlign w:val="superscript"/>
          <w:lang w:val="es-ES"/>
        </w:rPr>
        <w:footnoteReference w:id="8"/>
      </w:r>
      <w:r w:rsidRPr="006340AA">
        <w:rPr>
          <w:rFonts w:cs="Arial"/>
          <w:bCs/>
          <w:sz w:val="26"/>
          <w:szCs w:val="26"/>
          <w:lang w:val="es-ES"/>
        </w:rPr>
        <w:t xml:space="preserve">. </w:t>
      </w:r>
      <w:r>
        <w:rPr>
          <w:rFonts w:cs="Arial"/>
          <w:bCs/>
          <w:sz w:val="26"/>
          <w:szCs w:val="26"/>
          <w:lang w:val="es-ES"/>
        </w:rPr>
        <w:t xml:space="preserve">Como lo ha hecho esta Sala en otras ocasiones, las declaraciones </w:t>
      </w:r>
      <w:r w:rsidRPr="006340AA">
        <w:rPr>
          <w:rFonts w:cs="Arial"/>
          <w:bCs/>
          <w:sz w:val="26"/>
          <w:szCs w:val="26"/>
          <w:lang w:val="es-ES"/>
        </w:rPr>
        <w:t xml:space="preserve">de </w:t>
      </w:r>
      <w:r>
        <w:rPr>
          <w:rFonts w:cs="Arial"/>
          <w:bCs/>
          <w:sz w:val="26"/>
          <w:szCs w:val="26"/>
          <w:lang w:val="es-ES"/>
        </w:rPr>
        <w:t>la directamente afectada y de su madre</w:t>
      </w:r>
      <w:r w:rsidR="006B7C26">
        <w:rPr>
          <w:rFonts w:cs="Arial"/>
          <w:bCs/>
          <w:sz w:val="26"/>
          <w:szCs w:val="26"/>
          <w:lang w:val="es-ES"/>
        </w:rPr>
        <w:t>, rendidas ante las autoridades penales,</w:t>
      </w:r>
      <w:r w:rsidRPr="006340AA">
        <w:rPr>
          <w:rFonts w:cs="Arial"/>
          <w:bCs/>
          <w:sz w:val="26"/>
          <w:szCs w:val="26"/>
          <w:lang w:val="es-ES"/>
        </w:rPr>
        <w:t xml:space="preserve"> serán valorad</w:t>
      </w:r>
      <w:r>
        <w:rPr>
          <w:rFonts w:cs="Arial"/>
          <w:bCs/>
          <w:sz w:val="26"/>
          <w:szCs w:val="26"/>
          <w:lang w:val="es-ES"/>
        </w:rPr>
        <w:t>a</w:t>
      </w:r>
      <w:r w:rsidRPr="006340AA">
        <w:rPr>
          <w:rFonts w:cs="Arial"/>
          <w:bCs/>
          <w:sz w:val="26"/>
          <w:szCs w:val="26"/>
          <w:lang w:val="es-ES"/>
        </w:rPr>
        <w:t>s y apreciad</w:t>
      </w:r>
      <w:r>
        <w:rPr>
          <w:rFonts w:cs="Arial"/>
          <w:bCs/>
          <w:sz w:val="26"/>
          <w:szCs w:val="26"/>
          <w:lang w:val="es-ES"/>
        </w:rPr>
        <w:t>a</w:t>
      </w:r>
      <w:r w:rsidRPr="006340AA">
        <w:rPr>
          <w:rFonts w:cs="Arial"/>
          <w:bCs/>
          <w:sz w:val="26"/>
          <w:szCs w:val="26"/>
          <w:lang w:val="es-ES"/>
        </w:rPr>
        <w:t>s</w:t>
      </w:r>
      <w:r>
        <w:rPr>
          <w:rFonts w:cs="Arial"/>
          <w:bCs/>
          <w:sz w:val="26"/>
          <w:szCs w:val="26"/>
          <w:lang w:val="es-ES"/>
        </w:rPr>
        <w:t xml:space="preserve">, </w:t>
      </w:r>
      <w:r w:rsidR="006B7C26">
        <w:rPr>
          <w:rFonts w:cs="Arial"/>
          <w:bCs/>
          <w:sz w:val="26"/>
          <w:szCs w:val="26"/>
          <w:lang w:val="es-ES"/>
        </w:rPr>
        <w:t>de forma estricta, en concordancia con</w:t>
      </w:r>
      <w:r w:rsidRPr="006340AA">
        <w:rPr>
          <w:rFonts w:cs="Arial"/>
          <w:bCs/>
          <w:sz w:val="26"/>
          <w:szCs w:val="26"/>
          <w:lang w:val="es-ES"/>
        </w:rPr>
        <w:t xml:space="preserve"> los demás </w:t>
      </w:r>
      <w:r>
        <w:rPr>
          <w:rFonts w:cs="Arial"/>
          <w:bCs/>
          <w:sz w:val="26"/>
          <w:szCs w:val="26"/>
          <w:lang w:val="es-ES"/>
        </w:rPr>
        <w:t>medios</w:t>
      </w:r>
      <w:r w:rsidRPr="006340AA">
        <w:rPr>
          <w:rFonts w:cs="Arial"/>
          <w:bCs/>
          <w:sz w:val="26"/>
          <w:szCs w:val="26"/>
          <w:lang w:val="es-ES"/>
        </w:rPr>
        <w:t xml:space="preserve"> de convicción aportados al proceso</w:t>
      </w:r>
      <w:r>
        <w:rPr>
          <w:rStyle w:val="Refdenotaalpie"/>
          <w:bCs/>
          <w:sz w:val="26"/>
          <w:szCs w:val="26"/>
          <w:lang w:val="es-ES"/>
        </w:rPr>
        <w:footnoteReference w:id="9"/>
      </w:r>
      <w:r w:rsidRPr="006340AA">
        <w:rPr>
          <w:rFonts w:cs="Arial"/>
          <w:bCs/>
          <w:sz w:val="26"/>
          <w:szCs w:val="26"/>
          <w:lang w:val="es-ES"/>
        </w:rPr>
        <w:t>.</w:t>
      </w:r>
    </w:p>
    <w:p w:rsidR="008775BA" w:rsidRDefault="008775BA" w:rsidP="00F72095">
      <w:pPr>
        <w:rPr>
          <w:bCs/>
          <w:sz w:val="26"/>
          <w:szCs w:val="26"/>
          <w:lang w:val="es-ES"/>
        </w:rPr>
      </w:pPr>
    </w:p>
    <w:p w:rsidR="008775BA" w:rsidRPr="00D300F8" w:rsidRDefault="008775BA" w:rsidP="00161E8E">
      <w:pPr>
        <w:numPr>
          <w:ilvl w:val="0"/>
          <w:numId w:val="28"/>
        </w:numPr>
        <w:ind w:left="0" w:firstLine="0"/>
        <w:rPr>
          <w:bCs/>
          <w:sz w:val="26"/>
          <w:szCs w:val="26"/>
          <w:lang w:val="es-ES"/>
        </w:rPr>
      </w:pPr>
      <w:r w:rsidRPr="00A02A81">
        <w:rPr>
          <w:bCs/>
          <w:sz w:val="26"/>
          <w:szCs w:val="26"/>
          <w:lang w:val="es-ES"/>
        </w:rPr>
        <w:t xml:space="preserve">Sobre las indagatorias y versiones libres de los suboficiales </w:t>
      </w:r>
      <w:r w:rsidRPr="00A02A81">
        <w:rPr>
          <w:rFonts w:cs="Arial"/>
          <w:sz w:val="26"/>
          <w:szCs w:val="26"/>
        </w:rPr>
        <w:t xml:space="preserve">Ever </w:t>
      </w:r>
      <w:r>
        <w:rPr>
          <w:rFonts w:cs="Arial"/>
          <w:sz w:val="26"/>
          <w:szCs w:val="26"/>
        </w:rPr>
        <w:t xml:space="preserve">Augusto Méndez Velosa </w:t>
      </w:r>
      <w:r>
        <w:rPr>
          <w:rFonts w:cs="Arial"/>
          <w:bCs/>
          <w:sz w:val="22"/>
          <w:szCs w:val="22"/>
          <w:lang w:val="es-ES"/>
        </w:rPr>
        <w:t>(f. 76-79</w:t>
      </w:r>
      <w:r w:rsidRPr="006340AA">
        <w:rPr>
          <w:rFonts w:cs="Arial"/>
          <w:bCs/>
          <w:sz w:val="22"/>
          <w:szCs w:val="22"/>
          <w:lang w:val="es-ES"/>
        </w:rPr>
        <w:t xml:space="preserve">, </w:t>
      </w:r>
      <w:r>
        <w:rPr>
          <w:rFonts w:cs="Arial"/>
          <w:bCs/>
          <w:sz w:val="22"/>
          <w:szCs w:val="22"/>
          <w:lang w:val="es-ES"/>
        </w:rPr>
        <w:t xml:space="preserve">98-100, 168-169, </w:t>
      </w:r>
      <w:r w:rsidRPr="006340AA">
        <w:rPr>
          <w:rFonts w:cs="Arial"/>
          <w:bCs/>
          <w:sz w:val="22"/>
          <w:szCs w:val="22"/>
          <w:lang w:val="es-ES"/>
        </w:rPr>
        <w:t xml:space="preserve">c. </w:t>
      </w:r>
      <w:r>
        <w:rPr>
          <w:rFonts w:cs="Arial"/>
          <w:bCs/>
          <w:sz w:val="22"/>
          <w:szCs w:val="22"/>
          <w:lang w:val="es-ES"/>
        </w:rPr>
        <w:t>1</w:t>
      </w:r>
      <w:r w:rsidRPr="006340AA">
        <w:rPr>
          <w:rFonts w:cs="Arial"/>
          <w:bCs/>
          <w:sz w:val="22"/>
          <w:szCs w:val="22"/>
          <w:lang w:val="es-ES"/>
        </w:rPr>
        <w:t>)</w:t>
      </w:r>
      <w:r>
        <w:rPr>
          <w:rFonts w:cs="Arial"/>
          <w:bCs/>
          <w:sz w:val="22"/>
          <w:szCs w:val="22"/>
          <w:lang w:val="es-ES"/>
        </w:rPr>
        <w:t xml:space="preserve"> </w:t>
      </w:r>
      <w:r>
        <w:rPr>
          <w:rFonts w:cs="Arial"/>
          <w:sz w:val="26"/>
          <w:szCs w:val="26"/>
        </w:rPr>
        <w:t xml:space="preserve">y Manuel de Jesús Carvajal Mendieta </w:t>
      </w:r>
      <w:r>
        <w:rPr>
          <w:rFonts w:cs="Arial"/>
          <w:bCs/>
          <w:sz w:val="22"/>
          <w:szCs w:val="22"/>
          <w:lang w:val="es-ES"/>
        </w:rPr>
        <w:t>(f. 71-75</w:t>
      </w:r>
      <w:r w:rsidRPr="006340AA">
        <w:rPr>
          <w:rFonts w:cs="Arial"/>
          <w:bCs/>
          <w:sz w:val="22"/>
          <w:szCs w:val="22"/>
          <w:lang w:val="es-ES"/>
        </w:rPr>
        <w:t xml:space="preserve">, </w:t>
      </w:r>
      <w:r>
        <w:rPr>
          <w:rFonts w:cs="Arial"/>
          <w:bCs/>
          <w:sz w:val="22"/>
          <w:szCs w:val="22"/>
          <w:lang w:val="es-ES"/>
        </w:rPr>
        <w:t xml:space="preserve">97, 170-171, </w:t>
      </w:r>
      <w:r w:rsidRPr="006340AA">
        <w:rPr>
          <w:rFonts w:cs="Arial"/>
          <w:bCs/>
          <w:sz w:val="22"/>
          <w:szCs w:val="22"/>
          <w:lang w:val="es-ES"/>
        </w:rPr>
        <w:t xml:space="preserve">c. </w:t>
      </w:r>
      <w:r>
        <w:rPr>
          <w:rFonts w:cs="Arial"/>
          <w:bCs/>
          <w:sz w:val="22"/>
          <w:szCs w:val="22"/>
          <w:lang w:val="es-ES"/>
        </w:rPr>
        <w:t>1</w:t>
      </w:r>
      <w:r w:rsidRPr="006340AA">
        <w:rPr>
          <w:rFonts w:cs="Arial"/>
          <w:bCs/>
          <w:sz w:val="22"/>
          <w:szCs w:val="22"/>
          <w:lang w:val="es-ES"/>
        </w:rPr>
        <w:t>)</w:t>
      </w:r>
      <w:r>
        <w:rPr>
          <w:rFonts w:cs="Arial"/>
          <w:sz w:val="26"/>
          <w:szCs w:val="26"/>
        </w:rPr>
        <w:t>,</w:t>
      </w:r>
      <w:r w:rsidRPr="00EC3981">
        <w:rPr>
          <w:bCs/>
          <w:sz w:val="26"/>
          <w:szCs w:val="26"/>
          <w:lang w:val="es-ES"/>
        </w:rPr>
        <w:t xml:space="preserve"> que obra</w:t>
      </w:r>
      <w:r>
        <w:rPr>
          <w:bCs/>
          <w:sz w:val="26"/>
          <w:szCs w:val="26"/>
          <w:lang w:val="es-ES"/>
        </w:rPr>
        <w:t>n</w:t>
      </w:r>
      <w:r w:rsidRPr="00EC3981">
        <w:rPr>
          <w:bCs/>
          <w:sz w:val="26"/>
          <w:szCs w:val="26"/>
          <w:lang w:val="es-ES"/>
        </w:rPr>
        <w:t xml:space="preserve"> en el proceso penal </w:t>
      </w:r>
      <w:r>
        <w:rPr>
          <w:bCs/>
          <w:sz w:val="26"/>
          <w:szCs w:val="26"/>
          <w:lang w:val="es-ES"/>
        </w:rPr>
        <w:t>adelantado</w:t>
      </w:r>
      <w:r w:rsidRPr="00EC3981">
        <w:rPr>
          <w:bCs/>
          <w:sz w:val="26"/>
          <w:szCs w:val="26"/>
          <w:lang w:val="es-ES"/>
        </w:rPr>
        <w:t xml:space="preserve"> en su contra, </w:t>
      </w:r>
      <w:r>
        <w:rPr>
          <w:bCs/>
          <w:sz w:val="26"/>
          <w:szCs w:val="26"/>
          <w:lang w:val="es-ES"/>
        </w:rPr>
        <w:t>se</w:t>
      </w:r>
      <w:r w:rsidRPr="00EC3981">
        <w:rPr>
          <w:bCs/>
          <w:sz w:val="26"/>
          <w:szCs w:val="26"/>
          <w:lang w:val="es-ES"/>
        </w:rPr>
        <w:t xml:space="preserve"> aclara que </w:t>
      </w:r>
      <w:r>
        <w:rPr>
          <w:bCs/>
          <w:sz w:val="26"/>
          <w:szCs w:val="26"/>
          <w:lang w:val="es-ES"/>
        </w:rPr>
        <w:t>no podrán ser valoradas, en vista de que la indagatoria es un medio de defensa del procesado</w:t>
      </w:r>
      <w:r w:rsidR="00CC5AFC">
        <w:rPr>
          <w:bCs/>
          <w:sz w:val="26"/>
          <w:szCs w:val="26"/>
          <w:lang w:val="es-ES"/>
        </w:rPr>
        <w:t xml:space="preserve"> y la veracidad de su contenido se encuentra, en general,</w:t>
      </w:r>
      <w:r>
        <w:rPr>
          <w:bCs/>
          <w:sz w:val="26"/>
          <w:szCs w:val="26"/>
          <w:lang w:val="es-ES"/>
        </w:rPr>
        <w:t xml:space="preserve"> influida por</w:t>
      </w:r>
      <w:r w:rsidR="00CC5AFC">
        <w:rPr>
          <w:bCs/>
          <w:sz w:val="26"/>
          <w:szCs w:val="26"/>
          <w:lang w:val="es-ES"/>
        </w:rPr>
        <w:t xml:space="preserve"> la necesidad de la exculpación</w:t>
      </w:r>
      <w:r w:rsidRPr="00D300F8">
        <w:rPr>
          <w:bCs/>
          <w:sz w:val="26"/>
          <w:szCs w:val="26"/>
          <w:lang w:val="es-ES"/>
        </w:rPr>
        <w:t xml:space="preserve">. </w:t>
      </w:r>
      <w:r w:rsidR="00CC5AFC">
        <w:rPr>
          <w:bCs/>
          <w:sz w:val="26"/>
          <w:szCs w:val="26"/>
          <w:lang w:val="es-ES"/>
        </w:rPr>
        <w:t>Adicionalmente</w:t>
      </w:r>
      <w:r w:rsidRPr="00D300F8">
        <w:rPr>
          <w:bCs/>
          <w:sz w:val="26"/>
          <w:szCs w:val="26"/>
          <w:lang w:val="es-ES"/>
        </w:rPr>
        <w:t xml:space="preserve">, </w:t>
      </w:r>
      <w:r>
        <w:rPr>
          <w:bCs/>
          <w:sz w:val="26"/>
          <w:szCs w:val="26"/>
          <w:lang w:val="es-ES"/>
        </w:rPr>
        <w:t xml:space="preserve">la indagatoria </w:t>
      </w:r>
      <w:r w:rsidRPr="00D300F8">
        <w:rPr>
          <w:bCs/>
          <w:sz w:val="26"/>
          <w:szCs w:val="26"/>
          <w:lang w:val="es-ES"/>
        </w:rPr>
        <w:t>carece de la</w:t>
      </w:r>
      <w:r w:rsidR="005566B5">
        <w:rPr>
          <w:bCs/>
          <w:sz w:val="26"/>
          <w:szCs w:val="26"/>
          <w:lang w:val="es-ES"/>
        </w:rPr>
        <w:t>s</w:t>
      </w:r>
      <w:r w:rsidRPr="00D300F8">
        <w:rPr>
          <w:bCs/>
          <w:sz w:val="26"/>
          <w:szCs w:val="26"/>
          <w:lang w:val="es-ES"/>
        </w:rPr>
        <w:t xml:space="preserve"> </w:t>
      </w:r>
      <w:r w:rsidR="005566B5">
        <w:rPr>
          <w:bCs/>
          <w:sz w:val="26"/>
          <w:szCs w:val="26"/>
          <w:lang w:val="es-ES"/>
        </w:rPr>
        <w:t xml:space="preserve">exigencias </w:t>
      </w:r>
      <w:r>
        <w:rPr>
          <w:bCs/>
          <w:sz w:val="26"/>
          <w:szCs w:val="26"/>
          <w:lang w:val="es-ES"/>
        </w:rPr>
        <w:t>propia</w:t>
      </w:r>
      <w:r w:rsidR="005566B5">
        <w:rPr>
          <w:bCs/>
          <w:sz w:val="26"/>
          <w:szCs w:val="26"/>
          <w:lang w:val="es-ES"/>
        </w:rPr>
        <w:t>s</w:t>
      </w:r>
      <w:r>
        <w:rPr>
          <w:bCs/>
          <w:sz w:val="26"/>
          <w:szCs w:val="26"/>
          <w:lang w:val="es-ES"/>
        </w:rPr>
        <w:t xml:space="preserve"> de</w:t>
      </w:r>
      <w:r w:rsidRPr="00D300F8">
        <w:rPr>
          <w:bCs/>
          <w:sz w:val="26"/>
          <w:szCs w:val="26"/>
          <w:lang w:val="es-ES"/>
        </w:rPr>
        <w:t xml:space="preserve"> la prác</w:t>
      </w:r>
      <w:r>
        <w:rPr>
          <w:bCs/>
          <w:sz w:val="26"/>
          <w:szCs w:val="26"/>
          <w:lang w:val="es-ES"/>
        </w:rPr>
        <w:t>tica de testimonios, a saber, la</w:t>
      </w:r>
      <w:r w:rsidRPr="00D300F8">
        <w:rPr>
          <w:bCs/>
          <w:sz w:val="26"/>
          <w:szCs w:val="26"/>
          <w:lang w:val="es-ES"/>
        </w:rPr>
        <w:t xml:space="preserve"> </w:t>
      </w:r>
      <w:r>
        <w:rPr>
          <w:bCs/>
          <w:sz w:val="26"/>
          <w:szCs w:val="26"/>
          <w:lang w:val="es-ES"/>
        </w:rPr>
        <w:t>de rendirse</w:t>
      </w:r>
      <w:r w:rsidRPr="00D300F8">
        <w:rPr>
          <w:bCs/>
          <w:sz w:val="26"/>
          <w:szCs w:val="26"/>
          <w:lang w:val="es-ES"/>
        </w:rPr>
        <w:t xml:space="preserve"> bajo la gravedad del juramento</w:t>
      </w:r>
      <w:r>
        <w:rPr>
          <w:bCs/>
          <w:sz w:val="26"/>
          <w:szCs w:val="26"/>
          <w:lang w:val="es-ES"/>
        </w:rPr>
        <w:t>.</w:t>
      </w:r>
    </w:p>
    <w:p w:rsidR="008775BA" w:rsidRPr="00EC3981" w:rsidRDefault="008775BA" w:rsidP="008C7554">
      <w:pPr>
        <w:rPr>
          <w:bCs/>
          <w:sz w:val="26"/>
          <w:szCs w:val="26"/>
        </w:rPr>
      </w:pPr>
    </w:p>
    <w:p w:rsidR="008775BA" w:rsidRPr="00EC3981" w:rsidRDefault="008775BA" w:rsidP="008C7554">
      <w:pPr>
        <w:rPr>
          <w:b/>
          <w:bCs/>
          <w:sz w:val="26"/>
          <w:szCs w:val="26"/>
        </w:rPr>
      </w:pPr>
      <w:r>
        <w:rPr>
          <w:b/>
          <w:bCs/>
          <w:sz w:val="26"/>
          <w:szCs w:val="26"/>
        </w:rPr>
        <w:t>IV</w:t>
      </w:r>
      <w:r w:rsidRPr="00EC3981">
        <w:rPr>
          <w:b/>
          <w:bCs/>
          <w:sz w:val="26"/>
          <w:szCs w:val="26"/>
        </w:rPr>
        <w:t>. Hechos probados</w:t>
      </w:r>
    </w:p>
    <w:p w:rsidR="008775BA" w:rsidRPr="00EC3981" w:rsidRDefault="008775BA" w:rsidP="008C7554">
      <w:pPr>
        <w:rPr>
          <w:bCs/>
          <w:sz w:val="26"/>
          <w:szCs w:val="26"/>
        </w:rPr>
      </w:pPr>
    </w:p>
    <w:p w:rsidR="008775BA" w:rsidRPr="00EC3981" w:rsidRDefault="008775BA" w:rsidP="008C7554">
      <w:pPr>
        <w:numPr>
          <w:ilvl w:val="0"/>
          <w:numId w:val="28"/>
        </w:numPr>
        <w:ind w:left="0" w:firstLine="0"/>
        <w:rPr>
          <w:bCs/>
          <w:sz w:val="26"/>
          <w:szCs w:val="26"/>
          <w:lang w:val="es-ES"/>
        </w:rPr>
      </w:pPr>
      <w:r w:rsidRPr="00EC3981">
        <w:rPr>
          <w:rFonts w:cs="Arial"/>
          <w:sz w:val="26"/>
          <w:szCs w:val="26"/>
        </w:rPr>
        <w:t xml:space="preserve">De acuerdo con las pruebas incorporadas al expediente, están </w:t>
      </w:r>
      <w:r>
        <w:rPr>
          <w:rFonts w:cs="Arial"/>
          <w:sz w:val="26"/>
          <w:szCs w:val="26"/>
        </w:rPr>
        <w:t>acreditados</w:t>
      </w:r>
      <w:r w:rsidRPr="00EC3981">
        <w:rPr>
          <w:rFonts w:cs="Arial"/>
          <w:sz w:val="26"/>
          <w:szCs w:val="26"/>
        </w:rPr>
        <w:t xml:space="preserve"> en el proceso los siguientes hechos</w:t>
      </w:r>
      <w:r>
        <w:rPr>
          <w:rFonts w:cs="Arial"/>
          <w:sz w:val="26"/>
          <w:szCs w:val="26"/>
        </w:rPr>
        <w:t xml:space="preserve"> relevantes</w:t>
      </w:r>
      <w:r w:rsidRPr="00EC3981">
        <w:rPr>
          <w:rFonts w:cs="Arial"/>
          <w:sz w:val="26"/>
          <w:szCs w:val="26"/>
        </w:rPr>
        <w:t>:</w:t>
      </w:r>
    </w:p>
    <w:p w:rsidR="008775BA" w:rsidRPr="00EC3981" w:rsidRDefault="008775BA" w:rsidP="008C7554">
      <w:pPr>
        <w:rPr>
          <w:bCs/>
          <w:sz w:val="26"/>
          <w:szCs w:val="26"/>
          <w:lang w:val="es-ES"/>
        </w:rPr>
      </w:pPr>
    </w:p>
    <w:p w:rsidR="008775BA" w:rsidRPr="008169BB" w:rsidRDefault="008775BA" w:rsidP="008169BB">
      <w:pPr>
        <w:numPr>
          <w:ilvl w:val="1"/>
          <w:numId w:val="28"/>
        </w:numPr>
        <w:ind w:left="0" w:firstLine="0"/>
        <w:rPr>
          <w:sz w:val="26"/>
          <w:szCs w:val="26"/>
        </w:rPr>
      </w:pPr>
      <w:r>
        <w:rPr>
          <w:rFonts w:cs="Arial"/>
          <w:sz w:val="26"/>
          <w:szCs w:val="26"/>
        </w:rPr>
        <w:t xml:space="preserve">El 4 de septiembre de 1999, a las 9:00 p.m., aproximadamente, la joven Mónica Marisol Rodríguez Bustamante, en compañía de sus amigos </w:t>
      </w:r>
      <w:r w:rsidRPr="008169BB">
        <w:rPr>
          <w:rFonts w:cs="Arial"/>
          <w:sz w:val="26"/>
          <w:szCs w:val="26"/>
        </w:rPr>
        <w:t>Emer</w:t>
      </w:r>
      <w:r>
        <w:rPr>
          <w:rFonts w:cs="Arial"/>
          <w:sz w:val="26"/>
          <w:szCs w:val="26"/>
        </w:rPr>
        <w:t xml:space="preserve">son Rodríguez y Eduard Martínez, se dirigía a su casa luego de terminada una reunión organizada por la parroquia municipal de Tame, Arauca, cuando, a la altura de la plazoleta “Lanceros”, fueron abordados por dos personas que se </w:t>
      </w:r>
      <w:r w:rsidRPr="008169BB">
        <w:rPr>
          <w:rFonts w:cs="Arial"/>
          <w:sz w:val="26"/>
          <w:szCs w:val="26"/>
        </w:rPr>
        <w:t>movilizaban en una motocicleta y que, luego de amenazar a los jóvenes con un arma de fuego, obligaron a Marisol Rodríguez a subir al vehículo, en el cual partieron por la vía que conduce a Bogotá. Al llegar al sitio conocido como “Villa Olímpica”, el conductor perdió el control del vehículo y sus ocupantes cayeron al suelo. Acto seguido, los dos sujetos arrastraron a la joven a un lado de la carretera, la despojaron de sus ropas, la sometieron por la fuerza y la viol</w:t>
      </w:r>
      <w:r w:rsidR="005566B5">
        <w:rPr>
          <w:rFonts w:cs="Arial"/>
          <w:sz w:val="26"/>
          <w:szCs w:val="26"/>
        </w:rPr>
        <w:t>ent</w:t>
      </w:r>
      <w:r w:rsidRPr="008169BB">
        <w:rPr>
          <w:rFonts w:cs="Arial"/>
          <w:sz w:val="26"/>
          <w:szCs w:val="26"/>
        </w:rPr>
        <w:t>aron sexualmente. Al partir, le advirt</w:t>
      </w:r>
      <w:r w:rsidR="005566B5">
        <w:rPr>
          <w:rFonts w:cs="Arial"/>
          <w:sz w:val="26"/>
          <w:szCs w:val="26"/>
        </w:rPr>
        <w:t>ieron que la matarían a ella y</w:t>
      </w:r>
      <w:r w:rsidRPr="008169BB">
        <w:rPr>
          <w:rFonts w:cs="Arial"/>
          <w:sz w:val="26"/>
          <w:szCs w:val="26"/>
        </w:rPr>
        <w:t xml:space="preserve"> su familia si llegaba a revelar lo ocurrido. Pasados unos minutos, la víctima salió a la vía con rumbo a su casa y en el camino fue auxili</w:t>
      </w:r>
      <w:r>
        <w:rPr>
          <w:rFonts w:cs="Arial"/>
          <w:sz w:val="26"/>
          <w:szCs w:val="26"/>
        </w:rPr>
        <w:t>ada por el señor Jhon Freddy Lib</w:t>
      </w:r>
      <w:r w:rsidRPr="008169BB">
        <w:rPr>
          <w:rFonts w:cs="Arial"/>
          <w:sz w:val="26"/>
          <w:szCs w:val="26"/>
        </w:rPr>
        <w:t>erato, que pasaba por el lugar. El hermano de la víctima Kendy Yecid Rodríguez la encontró y se dirigió con ella a la estación de policía de la localidad para denunciar los hechos. En el camino, a la altura del establecimiento “La Mejor Esquina”, observaron a los agresores, qu</w:t>
      </w:r>
      <w:r w:rsidR="004E3284">
        <w:rPr>
          <w:rFonts w:cs="Arial"/>
          <w:sz w:val="26"/>
          <w:szCs w:val="26"/>
        </w:rPr>
        <w:t>i</w:t>
      </w:r>
      <w:r w:rsidRPr="008169BB">
        <w:rPr>
          <w:rFonts w:cs="Arial"/>
          <w:sz w:val="26"/>
          <w:szCs w:val="26"/>
        </w:rPr>
        <w:t>e</w:t>
      </w:r>
      <w:r w:rsidR="004E3284">
        <w:rPr>
          <w:rFonts w:cs="Arial"/>
          <w:sz w:val="26"/>
          <w:szCs w:val="26"/>
        </w:rPr>
        <w:t>nes</w:t>
      </w:r>
      <w:r w:rsidRPr="008169BB">
        <w:rPr>
          <w:rFonts w:cs="Arial"/>
          <w:sz w:val="26"/>
          <w:szCs w:val="26"/>
        </w:rPr>
        <w:t xml:space="preserve"> intentaron detenerlos, pero aquellos hicieron caso omiso y continuaron la marcha. Ya en la estación de policía, a la que también llegaron los </w:t>
      </w:r>
      <w:r w:rsidR="004E3284">
        <w:rPr>
          <w:rFonts w:cs="Arial"/>
          <w:sz w:val="26"/>
          <w:szCs w:val="26"/>
        </w:rPr>
        <w:t>atacantes</w:t>
      </w:r>
      <w:r w:rsidRPr="008169BB">
        <w:rPr>
          <w:rFonts w:cs="Arial"/>
          <w:sz w:val="26"/>
          <w:szCs w:val="26"/>
        </w:rPr>
        <w:t>, los funcionarios de turno s</w:t>
      </w:r>
      <w:r>
        <w:rPr>
          <w:rFonts w:cs="Arial"/>
          <w:sz w:val="26"/>
          <w:szCs w:val="26"/>
        </w:rPr>
        <w:t>e negaron a recibir la denuncia.</w:t>
      </w:r>
      <w:r w:rsidRPr="008169BB">
        <w:rPr>
          <w:rFonts w:cs="Arial"/>
          <w:sz w:val="26"/>
          <w:szCs w:val="26"/>
        </w:rPr>
        <w:t xml:space="preserve"> Al indagar por </w:t>
      </w:r>
      <w:r>
        <w:rPr>
          <w:rFonts w:cs="Arial"/>
          <w:sz w:val="26"/>
          <w:szCs w:val="26"/>
        </w:rPr>
        <w:t>las</w:t>
      </w:r>
      <w:r w:rsidRPr="008169BB">
        <w:rPr>
          <w:rFonts w:cs="Arial"/>
          <w:sz w:val="26"/>
          <w:szCs w:val="26"/>
        </w:rPr>
        <w:t xml:space="preserve"> identidades</w:t>
      </w:r>
      <w:r>
        <w:rPr>
          <w:rFonts w:cs="Arial"/>
          <w:sz w:val="26"/>
          <w:szCs w:val="26"/>
        </w:rPr>
        <w:t xml:space="preserve"> de los victimarios</w:t>
      </w:r>
      <w:r w:rsidRPr="008169BB">
        <w:rPr>
          <w:rFonts w:cs="Arial"/>
          <w:sz w:val="26"/>
          <w:szCs w:val="26"/>
        </w:rPr>
        <w:t xml:space="preserve">, la policía </w:t>
      </w:r>
      <w:r>
        <w:rPr>
          <w:rFonts w:cs="Arial"/>
          <w:sz w:val="26"/>
          <w:szCs w:val="26"/>
        </w:rPr>
        <w:t>encontr</w:t>
      </w:r>
      <w:r w:rsidRPr="008169BB">
        <w:rPr>
          <w:rFonts w:cs="Arial"/>
          <w:sz w:val="26"/>
          <w:szCs w:val="26"/>
        </w:rPr>
        <w:t>ó que se trataba de los suboficiales Ever Méndez Velosa y Man</w:t>
      </w:r>
      <w:r>
        <w:rPr>
          <w:rFonts w:cs="Arial"/>
          <w:sz w:val="26"/>
          <w:szCs w:val="26"/>
        </w:rPr>
        <w:t xml:space="preserve">uel Carvajal Mendieta </w:t>
      </w:r>
      <w:r w:rsidRPr="004B1FBA">
        <w:rPr>
          <w:rFonts w:cs="Arial"/>
          <w:sz w:val="22"/>
          <w:szCs w:val="22"/>
        </w:rPr>
        <w:t>(</w:t>
      </w:r>
      <w:r>
        <w:rPr>
          <w:rFonts w:cs="Arial"/>
          <w:sz w:val="22"/>
          <w:szCs w:val="22"/>
        </w:rPr>
        <w:t xml:space="preserve">informe </w:t>
      </w:r>
      <w:r w:rsidRPr="00383B30">
        <w:rPr>
          <w:rFonts w:cs="Arial"/>
          <w:sz w:val="22"/>
          <w:szCs w:val="22"/>
        </w:rPr>
        <w:t>n.°</w:t>
      </w:r>
      <w:r>
        <w:rPr>
          <w:rFonts w:cs="Arial"/>
          <w:sz w:val="22"/>
          <w:szCs w:val="22"/>
        </w:rPr>
        <w:t xml:space="preserve"> 494 del Departamento Administrativo de Seguridad –f. 240-241, c. 1–; </w:t>
      </w:r>
      <w:r w:rsidRPr="004B1FBA">
        <w:rPr>
          <w:rFonts w:cs="Arial"/>
          <w:sz w:val="22"/>
          <w:szCs w:val="22"/>
        </w:rPr>
        <w:t xml:space="preserve">declaraciones de </w:t>
      </w:r>
      <w:r w:rsidRPr="004B1FBA">
        <w:rPr>
          <w:rFonts w:cs="Arial"/>
          <w:sz w:val="22"/>
          <w:szCs w:val="22"/>
          <w:lang w:val="es-ES"/>
        </w:rPr>
        <w:t>Emerson Rodríguez –f. 48-49, c. 1–, Jhon Freddy Liberato –f. 51-52, c. 1– y José Saúl Ríos –f. 54-56, c. 1–)</w:t>
      </w:r>
      <w:r>
        <w:rPr>
          <w:rFonts w:cs="Arial"/>
          <w:sz w:val="26"/>
          <w:szCs w:val="26"/>
          <w:lang w:val="es-ES"/>
        </w:rPr>
        <w:t>.</w:t>
      </w:r>
    </w:p>
    <w:p w:rsidR="008775BA" w:rsidRPr="00EC3981" w:rsidRDefault="008775BA" w:rsidP="008C7554">
      <w:pPr>
        <w:rPr>
          <w:sz w:val="26"/>
          <w:szCs w:val="26"/>
        </w:rPr>
      </w:pPr>
    </w:p>
    <w:p w:rsidR="008775BA" w:rsidRDefault="008775BA" w:rsidP="008C7554">
      <w:pPr>
        <w:numPr>
          <w:ilvl w:val="1"/>
          <w:numId w:val="28"/>
        </w:numPr>
        <w:ind w:left="0" w:firstLine="0"/>
        <w:rPr>
          <w:sz w:val="26"/>
          <w:szCs w:val="26"/>
        </w:rPr>
      </w:pPr>
      <w:r>
        <w:rPr>
          <w:sz w:val="26"/>
          <w:szCs w:val="26"/>
        </w:rPr>
        <w:t>Para la época de los hechos, Ever Augusto Méndez Velosa y Manuel Carvajal Mendieta tenían el rango de cabos p</w:t>
      </w:r>
      <w:r w:rsidR="00FB05AA">
        <w:rPr>
          <w:sz w:val="26"/>
          <w:szCs w:val="26"/>
        </w:rPr>
        <w:t>rimeros y estaban asignados al Batallón de I</w:t>
      </w:r>
      <w:r>
        <w:rPr>
          <w:sz w:val="26"/>
          <w:szCs w:val="26"/>
        </w:rPr>
        <w:t xml:space="preserve">ngenieros “General Rafael Navas Pardo” del Ejército Nacional, en servicio activo </w:t>
      </w:r>
      <w:r w:rsidRPr="003A20D6">
        <w:rPr>
          <w:sz w:val="22"/>
          <w:szCs w:val="22"/>
        </w:rPr>
        <w:t>(hoja</w:t>
      </w:r>
      <w:r>
        <w:rPr>
          <w:sz w:val="22"/>
          <w:szCs w:val="22"/>
        </w:rPr>
        <w:t>s</w:t>
      </w:r>
      <w:r w:rsidRPr="003A20D6">
        <w:rPr>
          <w:sz w:val="22"/>
          <w:szCs w:val="22"/>
        </w:rPr>
        <w:t xml:space="preserve"> de datos personales </w:t>
      </w:r>
      <w:r>
        <w:rPr>
          <w:sz w:val="22"/>
          <w:szCs w:val="22"/>
        </w:rPr>
        <w:t xml:space="preserve">emitidas por el jefe de personal del Ejército Nacional </w:t>
      </w:r>
      <w:r w:rsidRPr="003A20D6">
        <w:rPr>
          <w:sz w:val="22"/>
          <w:szCs w:val="22"/>
        </w:rPr>
        <w:t xml:space="preserve">–f. </w:t>
      </w:r>
      <w:r>
        <w:rPr>
          <w:sz w:val="22"/>
          <w:szCs w:val="22"/>
        </w:rPr>
        <w:t>189-190</w:t>
      </w:r>
      <w:r w:rsidRPr="003A20D6">
        <w:rPr>
          <w:sz w:val="22"/>
          <w:szCs w:val="22"/>
        </w:rPr>
        <w:t>, c. 1–</w:t>
      </w:r>
      <w:r>
        <w:rPr>
          <w:sz w:val="22"/>
          <w:szCs w:val="22"/>
        </w:rPr>
        <w:t>; hojas de vida a</w:t>
      </w:r>
      <w:r w:rsidR="00FB05AA">
        <w:rPr>
          <w:sz w:val="22"/>
          <w:szCs w:val="22"/>
        </w:rPr>
        <w:t>portadas por el comandante del Batallón de I</w:t>
      </w:r>
      <w:r>
        <w:rPr>
          <w:sz w:val="22"/>
          <w:szCs w:val="22"/>
        </w:rPr>
        <w:t>ngenieros</w:t>
      </w:r>
      <w:r w:rsidRPr="00C33678">
        <w:rPr>
          <w:sz w:val="22"/>
          <w:szCs w:val="22"/>
        </w:rPr>
        <w:t xml:space="preserve"> </w:t>
      </w:r>
      <w:r w:rsidRPr="003A20D6">
        <w:rPr>
          <w:sz w:val="22"/>
          <w:szCs w:val="22"/>
        </w:rPr>
        <w:t xml:space="preserve">–f. </w:t>
      </w:r>
      <w:r>
        <w:rPr>
          <w:sz w:val="22"/>
          <w:szCs w:val="22"/>
        </w:rPr>
        <w:t>367-373</w:t>
      </w:r>
      <w:r w:rsidRPr="003A20D6">
        <w:rPr>
          <w:sz w:val="22"/>
          <w:szCs w:val="22"/>
        </w:rPr>
        <w:t>, c. 1–)</w:t>
      </w:r>
      <w:r>
        <w:rPr>
          <w:sz w:val="26"/>
          <w:szCs w:val="26"/>
        </w:rPr>
        <w:t>.</w:t>
      </w:r>
    </w:p>
    <w:p w:rsidR="008775BA" w:rsidRDefault="008775BA" w:rsidP="005F29FF">
      <w:pPr>
        <w:rPr>
          <w:sz w:val="26"/>
          <w:szCs w:val="26"/>
        </w:rPr>
      </w:pPr>
    </w:p>
    <w:p w:rsidR="008775BA" w:rsidRPr="00C75EE6" w:rsidRDefault="008775BA" w:rsidP="00FE3CE0">
      <w:pPr>
        <w:numPr>
          <w:ilvl w:val="1"/>
          <w:numId w:val="28"/>
        </w:numPr>
        <w:ind w:left="0" w:firstLine="0"/>
        <w:rPr>
          <w:sz w:val="26"/>
          <w:szCs w:val="26"/>
        </w:rPr>
      </w:pPr>
      <w:r>
        <w:rPr>
          <w:sz w:val="26"/>
          <w:szCs w:val="26"/>
        </w:rPr>
        <w:t xml:space="preserve">El día de los hechos, el cabo primero Manuel Carvajal Mendieta le había solicitado a su superior, el </w:t>
      </w:r>
      <w:r w:rsidRPr="00780650">
        <w:rPr>
          <w:sz w:val="26"/>
          <w:szCs w:val="26"/>
        </w:rPr>
        <w:t>subteniente Fabián Borja Pérez</w:t>
      </w:r>
      <w:r>
        <w:rPr>
          <w:sz w:val="26"/>
          <w:szCs w:val="26"/>
        </w:rPr>
        <w:t xml:space="preserve">, un permiso para acudir a una cita odontológica. Este autorizó el permiso y, al advertir que la contraguerrilla estaba corta de alimentos, le ordenó al suboficial que, en compañía del dragoneante </w:t>
      </w:r>
      <w:r w:rsidRPr="00F9302B">
        <w:rPr>
          <w:sz w:val="26"/>
          <w:szCs w:val="26"/>
        </w:rPr>
        <w:t xml:space="preserve">César Augusto Rodríguez y </w:t>
      </w:r>
      <w:r>
        <w:rPr>
          <w:sz w:val="26"/>
          <w:szCs w:val="26"/>
        </w:rPr>
        <w:t>d</w:t>
      </w:r>
      <w:r w:rsidRPr="00F9302B">
        <w:rPr>
          <w:sz w:val="26"/>
          <w:szCs w:val="26"/>
        </w:rPr>
        <w:t xml:space="preserve">el </w:t>
      </w:r>
      <w:r>
        <w:rPr>
          <w:sz w:val="26"/>
          <w:szCs w:val="26"/>
        </w:rPr>
        <w:t>soldado J</w:t>
      </w:r>
      <w:r w:rsidRPr="00F9302B">
        <w:rPr>
          <w:sz w:val="26"/>
          <w:szCs w:val="26"/>
        </w:rPr>
        <w:t>onat</w:t>
      </w:r>
      <w:r>
        <w:rPr>
          <w:sz w:val="26"/>
          <w:szCs w:val="26"/>
        </w:rPr>
        <w:t>h</w:t>
      </w:r>
      <w:r w:rsidRPr="00F9302B">
        <w:rPr>
          <w:sz w:val="26"/>
          <w:szCs w:val="26"/>
        </w:rPr>
        <w:t xml:space="preserve">an </w:t>
      </w:r>
      <w:r>
        <w:rPr>
          <w:sz w:val="26"/>
          <w:szCs w:val="26"/>
        </w:rPr>
        <w:t xml:space="preserve">Ortiz, recogieran el dinero previsto para ello, compraran los víveres frescos y regresaran de inmediato a la base. En vez de cumplir con la orden encomendada, Carvajal Mendieta, al igual que el cabo </w:t>
      </w:r>
      <w:r w:rsidRPr="008169BB">
        <w:rPr>
          <w:rFonts w:cs="Arial"/>
          <w:sz w:val="26"/>
          <w:szCs w:val="26"/>
        </w:rPr>
        <w:t>Ever Méndez Velosa</w:t>
      </w:r>
      <w:r>
        <w:rPr>
          <w:rFonts w:cs="Arial"/>
          <w:sz w:val="26"/>
          <w:szCs w:val="26"/>
        </w:rPr>
        <w:t xml:space="preserve"> y otros militares y agentes de policía, se quedaron en la estación de policía ingiriendo licor desde cerca del mediodía hasta las 7:00 p.m., aproximadamente, cuando se dirigieron a una taberna para seguir consumiendo </w:t>
      </w:r>
      <w:r w:rsidR="00FB05AA">
        <w:rPr>
          <w:rFonts w:cs="Arial"/>
          <w:sz w:val="26"/>
          <w:szCs w:val="26"/>
        </w:rPr>
        <w:t>licor</w:t>
      </w:r>
      <w:r>
        <w:rPr>
          <w:rFonts w:cs="Arial"/>
          <w:sz w:val="26"/>
          <w:szCs w:val="26"/>
        </w:rPr>
        <w:t>. A las 8:30 o 9:00 p.m.</w:t>
      </w:r>
      <w:r w:rsidR="00FB05AA">
        <w:rPr>
          <w:rFonts w:cs="Arial"/>
          <w:sz w:val="26"/>
          <w:szCs w:val="26"/>
        </w:rPr>
        <w:t xml:space="preserve"> del mismo día</w:t>
      </w:r>
      <w:r>
        <w:rPr>
          <w:rFonts w:cs="Arial"/>
          <w:sz w:val="26"/>
          <w:szCs w:val="26"/>
        </w:rPr>
        <w:t xml:space="preserve">, los cabos </w:t>
      </w:r>
      <w:r>
        <w:rPr>
          <w:sz w:val="26"/>
          <w:szCs w:val="26"/>
        </w:rPr>
        <w:t xml:space="preserve">Carvajal Mendieta y </w:t>
      </w:r>
      <w:r w:rsidRPr="008169BB">
        <w:rPr>
          <w:rFonts w:cs="Arial"/>
          <w:sz w:val="26"/>
          <w:szCs w:val="26"/>
        </w:rPr>
        <w:t>Méndez Velosa</w:t>
      </w:r>
      <w:r>
        <w:rPr>
          <w:rFonts w:cs="Arial"/>
          <w:sz w:val="26"/>
          <w:szCs w:val="26"/>
        </w:rPr>
        <w:t xml:space="preserve"> tomaron una motocicleta de la policía y salieron “</w:t>
      </w:r>
      <w:r w:rsidRPr="00C95B46">
        <w:rPr>
          <w:rFonts w:cs="Arial"/>
          <w:i/>
          <w:sz w:val="26"/>
          <w:szCs w:val="26"/>
        </w:rPr>
        <w:t>a dar una vuelta</w:t>
      </w:r>
      <w:r>
        <w:rPr>
          <w:rFonts w:cs="Arial"/>
          <w:sz w:val="26"/>
          <w:szCs w:val="26"/>
        </w:rPr>
        <w:t xml:space="preserve">”. Cerca de las 11:30 p.m., los suboficiales arribaron a la estación de policía en estado de embriaguez y con heridas en el cuerpo. </w:t>
      </w:r>
      <w:r>
        <w:rPr>
          <w:sz w:val="26"/>
          <w:szCs w:val="26"/>
        </w:rPr>
        <w:t xml:space="preserve">A las 7:00 a.m. del día siguiente, ambos militares se presentaron ante su superior con visibles lesiones </w:t>
      </w:r>
      <w:r w:rsidRPr="00697188">
        <w:rPr>
          <w:sz w:val="22"/>
          <w:szCs w:val="22"/>
        </w:rPr>
        <w:t>(</w:t>
      </w:r>
      <w:r>
        <w:rPr>
          <w:sz w:val="22"/>
          <w:szCs w:val="22"/>
        </w:rPr>
        <w:t>informe d</w:t>
      </w:r>
      <w:r w:rsidRPr="00C75EE6">
        <w:rPr>
          <w:sz w:val="22"/>
          <w:szCs w:val="22"/>
        </w:rPr>
        <w:t xml:space="preserve">el subteniente Fabián Borja </w:t>
      </w:r>
      <w:r w:rsidRPr="00697188">
        <w:rPr>
          <w:sz w:val="22"/>
          <w:szCs w:val="22"/>
        </w:rPr>
        <w:t xml:space="preserve">–f. </w:t>
      </w:r>
      <w:r w:rsidRPr="00C75EE6">
        <w:rPr>
          <w:sz w:val="22"/>
          <w:szCs w:val="22"/>
        </w:rPr>
        <w:t>158-160, c. 1</w:t>
      </w:r>
      <w:r w:rsidRPr="00697188">
        <w:rPr>
          <w:sz w:val="22"/>
          <w:szCs w:val="22"/>
        </w:rPr>
        <w:t>–</w:t>
      </w:r>
      <w:r>
        <w:rPr>
          <w:sz w:val="22"/>
          <w:szCs w:val="22"/>
        </w:rPr>
        <w:t>;</w:t>
      </w:r>
      <w:r w:rsidRPr="0065275D">
        <w:t xml:space="preserve"> </w:t>
      </w:r>
      <w:r>
        <w:rPr>
          <w:sz w:val="22"/>
          <w:szCs w:val="22"/>
        </w:rPr>
        <w:t>i</w:t>
      </w:r>
      <w:r w:rsidRPr="0065275D">
        <w:rPr>
          <w:sz w:val="22"/>
          <w:szCs w:val="22"/>
        </w:rPr>
        <w:t xml:space="preserve">nforme del cabo primero Manuel Carvajal </w:t>
      </w:r>
      <w:r w:rsidRPr="00697188">
        <w:rPr>
          <w:sz w:val="22"/>
          <w:szCs w:val="22"/>
        </w:rPr>
        <w:t>–</w:t>
      </w:r>
      <w:r w:rsidRPr="0065275D">
        <w:rPr>
          <w:sz w:val="22"/>
          <w:szCs w:val="22"/>
        </w:rPr>
        <w:t>f. 161, c. 1</w:t>
      </w:r>
      <w:r w:rsidRPr="00697188">
        <w:rPr>
          <w:sz w:val="22"/>
          <w:szCs w:val="22"/>
        </w:rPr>
        <w:t>–</w:t>
      </w:r>
      <w:r>
        <w:rPr>
          <w:sz w:val="22"/>
          <w:szCs w:val="22"/>
        </w:rPr>
        <w:t>; i</w:t>
      </w:r>
      <w:r w:rsidRPr="0065275D">
        <w:rPr>
          <w:sz w:val="22"/>
          <w:szCs w:val="22"/>
        </w:rPr>
        <w:t xml:space="preserve">nforme del cabo primero Ever Méndez </w:t>
      </w:r>
      <w:r w:rsidRPr="00697188">
        <w:rPr>
          <w:sz w:val="22"/>
          <w:szCs w:val="22"/>
        </w:rPr>
        <w:t>–</w:t>
      </w:r>
      <w:r w:rsidRPr="0065275D">
        <w:rPr>
          <w:sz w:val="22"/>
          <w:szCs w:val="22"/>
        </w:rPr>
        <w:t>f. 162, c. 1</w:t>
      </w:r>
      <w:r w:rsidRPr="00697188">
        <w:rPr>
          <w:sz w:val="22"/>
          <w:szCs w:val="22"/>
        </w:rPr>
        <w:t>–</w:t>
      </w:r>
      <w:r>
        <w:rPr>
          <w:sz w:val="22"/>
          <w:szCs w:val="22"/>
        </w:rPr>
        <w:t>; i</w:t>
      </w:r>
      <w:r w:rsidRPr="0065275D">
        <w:rPr>
          <w:sz w:val="22"/>
          <w:szCs w:val="22"/>
        </w:rPr>
        <w:t xml:space="preserve">nforme del teniente coronel Juan Pablo Rodríguez </w:t>
      </w:r>
      <w:r w:rsidRPr="00697188">
        <w:rPr>
          <w:sz w:val="22"/>
          <w:szCs w:val="22"/>
        </w:rPr>
        <w:t>–</w:t>
      </w:r>
      <w:r w:rsidRPr="0065275D">
        <w:rPr>
          <w:sz w:val="22"/>
          <w:szCs w:val="22"/>
        </w:rPr>
        <w:t>f. 1</w:t>
      </w:r>
      <w:r>
        <w:rPr>
          <w:sz w:val="22"/>
          <w:szCs w:val="22"/>
        </w:rPr>
        <w:t>95-196</w:t>
      </w:r>
      <w:r w:rsidRPr="0065275D">
        <w:rPr>
          <w:sz w:val="22"/>
          <w:szCs w:val="22"/>
        </w:rPr>
        <w:t xml:space="preserve"> c. 1</w:t>
      </w:r>
      <w:r w:rsidRPr="00697188">
        <w:rPr>
          <w:sz w:val="22"/>
          <w:szCs w:val="22"/>
        </w:rPr>
        <w:t>–</w:t>
      </w:r>
      <w:r>
        <w:rPr>
          <w:sz w:val="22"/>
          <w:szCs w:val="22"/>
        </w:rPr>
        <w:t>; d</w:t>
      </w:r>
      <w:r w:rsidRPr="00695367">
        <w:rPr>
          <w:sz w:val="22"/>
          <w:szCs w:val="22"/>
        </w:rPr>
        <w:t xml:space="preserve">eclaración del dragoneante César Augusto Rodríguez </w:t>
      </w:r>
      <w:r w:rsidRPr="00697188">
        <w:rPr>
          <w:sz w:val="22"/>
          <w:szCs w:val="22"/>
        </w:rPr>
        <w:t>–</w:t>
      </w:r>
      <w:r w:rsidRPr="00695367">
        <w:rPr>
          <w:sz w:val="22"/>
          <w:szCs w:val="22"/>
        </w:rPr>
        <w:t>f. 180-181, c. 1</w:t>
      </w:r>
      <w:r w:rsidRPr="00697188">
        <w:rPr>
          <w:sz w:val="22"/>
          <w:szCs w:val="22"/>
        </w:rPr>
        <w:t>–</w:t>
      </w:r>
      <w:r>
        <w:rPr>
          <w:sz w:val="22"/>
          <w:szCs w:val="22"/>
        </w:rPr>
        <w:t>; d</w:t>
      </w:r>
      <w:r w:rsidRPr="00695367">
        <w:rPr>
          <w:sz w:val="22"/>
          <w:szCs w:val="22"/>
        </w:rPr>
        <w:t xml:space="preserve">eclaración del soldado Jonathan Ortiz </w:t>
      </w:r>
      <w:r w:rsidRPr="00697188">
        <w:rPr>
          <w:sz w:val="22"/>
          <w:szCs w:val="22"/>
        </w:rPr>
        <w:t>–</w:t>
      </w:r>
      <w:r w:rsidRPr="00695367">
        <w:rPr>
          <w:sz w:val="22"/>
          <w:szCs w:val="22"/>
        </w:rPr>
        <w:t>f. 182-183, c. 1</w:t>
      </w:r>
      <w:r w:rsidRPr="00697188">
        <w:rPr>
          <w:sz w:val="22"/>
          <w:szCs w:val="22"/>
        </w:rPr>
        <w:t>–</w:t>
      </w:r>
      <w:r>
        <w:rPr>
          <w:sz w:val="22"/>
          <w:szCs w:val="22"/>
        </w:rPr>
        <w:t>;</w:t>
      </w:r>
      <w:r w:rsidRPr="005608FE">
        <w:t xml:space="preserve"> </w:t>
      </w:r>
      <w:r>
        <w:rPr>
          <w:sz w:val="22"/>
          <w:szCs w:val="22"/>
        </w:rPr>
        <w:t>d</w:t>
      </w:r>
      <w:r w:rsidRPr="005608FE">
        <w:rPr>
          <w:sz w:val="22"/>
          <w:szCs w:val="22"/>
        </w:rPr>
        <w:t xml:space="preserve">eclaración del teniente Julián Sierra </w:t>
      </w:r>
      <w:r w:rsidRPr="00697188">
        <w:rPr>
          <w:sz w:val="22"/>
          <w:szCs w:val="22"/>
        </w:rPr>
        <w:t>–</w:t>
      </w:r>
      <w:r w:rsidRPr="005608FE">
        <w:rPr>
          <w:sz w:val="22"/>
          <w:szCs w:val="22"/>
        </w:rPr>
        <w:t>f. 191, c. 1</w:t>
      </w:r>
      <w:r w:rsidRPr="00697188">
        <w:rPr>
          <w:sz w:val="22"/>
          <w:szCs w:val="22"/>
        </w:rPr>
        <w:t>–</w:t>
      </w:r>
      <w:r>
        <w:rPr>
          <w:sz w:val="22"/>
          <w:szCs w:val="22"/>
        </w:rPr>
        <w:t>; d</w:t>
      </w:r>
      <w:r w:rsidRPr="005608FE">
        <w:rPr>
          <w:sz w:val="22"/>
          <w:szCs w:val="22"/>
        </w:rPr>
        <w:t xml:space="preserve">eclaración del subteniente Fabián Borja </w:t>
      </w:r>
      <w:r w:rsidRPr="00697188">
        <w:rPr>
          <w:sz w:val="22"/>
          <w:szCs w:val="22"/>
        </w:rPr>
        <w:t>–</w:t>
      </w:r>
      <w:r w:rsidRPr="005608FE">
        <w:rPr>
          <w:sz w:val="22"/>
          <w:szCs w:val="22"/>
        </w:rPr>
        <w:t>f. 193-194, c. 1</w:t>
      </w:r>
      <w:r w:rsidRPr="00697188">
        <w:rPr>
          <w:sz w:val="22"/>
          <w:szCs w:val="22"/>
        </w:rPr>
        <w:t>–</w:t>
      </w:r>
      <w:r>
        <w:rPr>
          <w:sz w:val="22"/>
          <w:szCs w:val="22"/>
        </w:rPr>
        <w:t>)</w:t>
      </w:r>
      <w:r w:rsidRPr="005608FE">
        <w:rPr>
          <w:sz w:val="26"/>
          <w:szCs w:val="26"/>
        </w:rPr>
        <w:t>.</w:t>
      </w:r>
    </w:p>
    <w:p w:rsidR="008775BA" w:rsidRDefault="008775BA" w:rsidP="00B9625B">
      <w:pPr>
        <w:rPr>
          <w:sz w:val="26"/>
          <w:szCs w:val="26"/>
        </w:rPr>
      </w:pPr>
    </w:p>
    <w:p w:rsidR="008775BA" w:rsidRDefault="008775BA" w:rsidP="008C7554">
      <w:pPr>
        <w:numPr>
          <w:ilvl w:val="1"/>
          <w:numId w:val="28"/>
        </w:numPr>
        <w:ind w:left="0" w:firstLine="0"/>
        <w:rPr>
          <w:sz w:val="26"/>
          <w:szCs w:val="26"/>
        </w:rPr>
      </w:pPr>
      <w:r>
        <w:rPr>
          <w:sz w:val="26"/>
          <w:szCs w:val="26"/>
        </w:rPr>
        <w:t xml:space="preserve">El 5 de septiembre de 1999, Virginia Bustamante, madre de la víctima, interpuso una denuncia penal contra el personal del Ejército Nacional ubicado en el municipio de Tame </w:t>
      </w:r>
      <w:r w:rsidRPr="00697188">
        <w:rPr>
          <w:sz w:val="22"/>
          <w:szCs w:val="22"/>
        </w:rPr>
        <w:t>(denuncia penal –f. 35-36, c. 1–)</w:t>
      </w:r>
      <w:r>
        <w:rPr>
          <w:sz w:val="26"/>
          <w:szCs w:val="26"/>
        </w:rPr>
        <w:t>.</w:t>
      </w:r>
    </w:p>
    <w:p w:rsidR="008775BA" w:rsidRDefault="008775BA" w:rsidP="00B9625B">
      <w:pPr>
        <w:rPr>
          <w:sz w:val="26"/>
          <w:szCs w:val="26"/>
        </w:rPr>
      </w:pPr>
    </w:p>
    <w:p w:rsidR="008775BA" w:rsidRDefault="008775BA" w:rsidP="00E47476">
      <w:pPr>
        <w:numPr>
          <w:ilvl w:val="1"/>
          <w:numId w:val="28"/>
        </w:numPr>
        <w:ind w:left="0" w:firstLine="0"/>
        <w:rPr>
          <w:sz w:val="26"/>
          <w:szCs w:val="26"/>
        </w:rPr>
      </w:pPr>
      <w:r>
        <w:rPr>
          <w:sz w:val="26"/>
          <w:szCs w:val="26"/>
        </w:rPr>
        <w:t>El 6 de septiembre de 1999, el Ejército Nacional</w:t>
      </w:r>
      <w:r w:rsidR="00FB05AA">
        <w:rPr>
          <w:sz w:val="26"/>
          <w:szCs w:val="26"/>
        </w:rPr>
        <w:t>, por orden del comandante del Batallón de I</w:t>
      </w:r>
      <w:r>
        <w:rPr>
          <w:sz w:val="26"/>
          <w:szCs w:val="26"/>
        </w:rPr>
        <w:t xml:space="preserve">ngenieros </w:t>
      </w:r>
      <w:r w:rsidRPr="00B9625B">
        <w:rPr>
          <w:sz w:val="26"/>
          <w:szCs w:val="26"/>
        </w:rPr>
        <w:t>n.°</w:t>
      </w:r>
      <w:r>
        <w:rPr>
          <w:sz w:val="26"/>
          <w:szCs w:val="26"/>
        </w:rPr>
        <w:t xml:space="preserve"> 18 “General Rafael Navas Pardo” </w:t>
      </w:r>
      <w:r w:rsidRPr="00E47476">
        <w:rPr>
          <w:sz w:val="22"/>
          <w:szCs w:val="22"/>
        </w:rPr>
        <w:t>(f. 164, c. 1)</w:t>
      </w:r>
      <w:r>
        <w:rPr>
          <w:sz w:val="26"/>
          <w:szCs w:val="26"/>
        </w:rPr>
        <w:t xml:space="preserve">, ordenó la apertura de una investigación preliminar contra los militares </w:t>
      </w:r>
      <w:r w:rsidRPr="008169BB">
        <w:rPr>
          <w:rFonts w:cs="Arial"/>
          <w:sz w:val="26"/>
          <w:szCs w:val="26"/>
        </w:rPr>
        <w:t>Ever Méndez Velosa y Man</w:t>
      </w:r>
      <w:r>
        <w:rPr>
          <w:rFonts w:cs="Arial"/>
          <w:sz w:val="26"/>
          <w:szCs w:val="26"/>
        </w:rPr>
        <w:t xml:space="preserve">uel Carvajal Mendieta, con el fin de establecer su responsabilidad disciplinaria en los hechos antes mencionados </w:t>
      </w:r>
      <w:r w:rsidRPr="00E47476">
        <w:rPr>
          <w:rFonts w:cs="Arial"/>
          <w:sz w:val="22"/>
          <w:szCs w:val="22"/>
        </w:rPr>
        <w:t>(auto de apertura de la instrucción –f. 165, c. 1–)</w:t>
      </w:r>
      <w:r>
        <w:rPr>
          <w:rFonts w:cs="Arial"/>
          <w:sz w:val="26"/>
          <w:szCs w:val="26"/>
        </w:rPr>
        <w:t>.</w:t>
      </w:r>
    </w:p>
    <w:p w:rsidR="008775BA" w:rsidRDefault="008775BA" w:rsidP="00EA5C11">
      <w:pPr>
        <w:rPr>
          <w:sz w:val="26"/>
          <w:szCs w:val="26"/>
        </w:rPr>
      </w:pPr>
    </w:p>
    <w:p w:rsidR="008775BA" w:rsidRDefault="008775BA" w:rsidP="00515D74">
      <w:pPr>
        <w:numPr>
          <w:ilvl w:val="1"/>
          <w:numId w:val="28"/>
        </w:numPr>
        <w:ind w:left="0" w:firstLine="0"/>
        <w:rPr>
          <w:sz w:val="26"/>
          <w:szCs w:val="26"/>
        </w:rPr>
      </w:pPr>
      <w:r>
        <w:rPr>
          <w:sz w:val="26"/>
          <w:szCs w:val="26"/>
        </w:rPr>
        <w:t xml:space="preserve">El 13 de septiembre de 1999, el Fiscal Único Seccional de Tame avocó el conocimiento de la investigación por estos hechos, pese a que el Juez 120 de Instrucción Penal Militar reclamaba para sí la respectiva investigación y había recibido testimonios y practicado las indagatorias  </w:t>
      </w:r>
      <w:r w:rsidRPr="00515D74">
        <w:rPr>
          <w:sz w:val="22"/>
          <w:szCs w:val="22"/>
        </w:rPr>
        <w:t>(f. 65-90, c. 1)</w:t>
      </w:r>
      <w:r>
        <w:rPr>
          <w:sz w:val="26"/>
          <w:szCs w:val="26"/>
        </w:rPr>
        <w:t>. El Fiscal instructor basó su decisión en que la conducta de acceso carnal violento no se presentó con ocasión de la prestación del servicio castrense y, por lo tanto, no era competencia de la justicia penal militar</w:t>
      </w:r>
      <w:r>
        <w:rPr>
          <w:rStyle w:val="Refdenotaalpie"/>
          <w:sz w:val="26"/>
          <w:szCs w:val="26"/>
        </w:rPr>
        <w:footnoteReference w:id="10"/>
      </w:r>
      <w:r>
        <w:rPr>
          <w:sz w:val="26"/>
          <w:szCs w:val="26"/>
        </w:rPr>
        <w:t xml:space="preserve"> </w:t>
      </w:r>
      <w:r w:rsidRPr="00697188">
        <w:rPr>
          <w:sz w:val="22"/>
          <w:szCs w:val="22"/>
        </w:rPr>
        <w:t>(</w:t>
      </w:r>
      <w:r>
        <w:rPr>
          <w:sz w:val="22"/>
          <w:szCs w:val="22"/>
        </w:rPr>
        <w:t>auto que avoca conocimiento</w:t>
      </w:r>
      <w:r w:rsidRPr="00697188">
        <w:rPr>
          <w:sz w:val="22"/>
          <w:szCs w:val="22"/>
        </w:rPr>
        <w:t xml:space="preserve"> –f. </w:t>
      </w:r>
      <w:r>
        <w:rPr>
          <w:sz w:val="22"/>
          <w:szCs w:val="22"/>
        </w:rPr>
        <w:t>62</w:t>
      </w:r>
      <w:r w:rsidRPr="00697188">
        <w:rPr>
          <w:sz w:val="22"/>
          <w:szCs w:val="22"/>
        </w:rPr>
        <w:t>-</w:t>
      </w:r>
      <w:r>
        <w:rPr>
          <w:sz w:val="22"/>
          <w:szCs w:val="22"/>
        </w:rPr>
        <w:t>63</w:t>
      </w:r>
      <w:r w:rsidRPr="00697188">
        <w:rPr>
          <w:sz w:val="22"/>
          <w:szCs w:val="22"/>
        </w:rPr>
        <w:t>, c. 1–)</w:t>
      </w:r>
      <w:r>
        <w:rPr>
          <w:sz w:val="26"/>
          <w:szCs w:val="26"/>
        </w:rPr>
        <w:t>.</w:t>
      </w:r>
    </w:p>
    <w:p w:rsidR="008775BA" w:rsidRDefault="008775BA" w:rsidP="006D57EA">
      <w:pPr>
        <w:rPr>
          <w:sz w:val="26"/>
          <w:szCs w:val="26"/>
        </w:rPr>
      </w:pPr>
    </w:p>
    <w:p w:rsidR="008775BA" w:rsidRPr="00B33BA0" w:rsidRDefault="008775BA" w:rsidP="00515D74">
      <w:pPr>
        <w:numPr>
          <w:ilvl w:val="1"/>
          <w:numId w:val="28"/>
        </w:numPr>
        <w:ind w:left="0" w:firstLine="0"/>
        <w:rPr>
          <w:sz w:val="26"/>
          <w:szCs w:val="26"/>
        </w:rPr>
      </w:pPr>
      <w:r>
        <w:rPr>
          <w:sz w:val="26"/>
          <w:szCs w:val="26"/>
        </w:rPr>
        <w:t xml:space="preserve">El 18 de mayo de 2000, la Fiscalía Seccional Delegada ante el Juzgado Promiscuo del Circuito de Saravena, Arauca dictó medida de aseguramiento consistente en detención preventiva en contra de </w:t>
      </w:r>
      <w:r w:rsidRPr="008169BB">
        <w:rPr>
          <w:rFonts w:cs="Arial"/>
          <w:sz w:val="26"/>
          <w:szCs w:val="26"/>
        </w:rPr>
        <w:t>Ever Méndez Velosa y Man</w:t>
      </w:r>
      <w:r>
        <w:rPr>
          <w:rFonts w:cs="Arial"/>
          <w:sz w:val="26"/>
          <w:szCs w:val="26"/>
        </w:rPr>
        <w:t>uel Carvajal Mendieta como coautores del delito de acceso carnal violento agravado, en concurso homogén</w:t>
      </w:r>
      <w:r w:rsidR="00FB05AA">
        <w:rPr>
          <w:rFonts w:cs="Arial"/>
          <w:sz w:val="26"/>
          <w:szCs w:val="26"/>
        </w:rPr>
        <w:t>eo, y ordenó al comandante del B</w:t>
      </w:r>
      <w:r>
        <w:rPr>
          <w:rFonts w:cs="Arial"/>
          <w:sz w:val="26"/>
          <w:szCs w:val="26"/>
        </w:rPr>
        <w:t xml:space="preserve">atallón de Tame, Arauca la suspensión del cargo de los suboficiales </w:t>
      </w:r>
      <w:r w:rsidRPr="008B6C04">
        <w:rPr>
          <w:rFonts w:cs="Arial"/>
          <w:sz w:val="22"/>
          <w:szCs w:val="22"/>
        </w:rPr>
        <w:t xml:space="preserve">(auto que </w:t>
      </w:r>
      <w:r>
        <w:rPr>
          <w:rFonts w:cs="Arial"/>
          <w:sz w:val="22"/>
          <w:szCs w:val="22"/>
        </w:rPr>
        <w:t>resuelve la situación jurídica</w:t>
      </w:r>
      <w:r w:rsidRPr="008B6C04">
        <w:rPr>
          <w:rFonts w:cs="Arial"/>
          <w:sz w:val="22"/>
          <w:szCs w:val="22"/>
        </w:rPr>
        <w:t xml:space="preserve"> –f. 270-280, c. 1–)</w:t>
      </w:r>
      <w:r>
        <w:rPr>
          <w:rFonts w:cs="Arial"/>
          <w:sz w:val="26"/>
          <w:szCs w:val="26"/>
        </w:rPr>
        <w:t>.</w:t>
      </w:r>
    </w:p>
    <w:p w:rsidR="008775BA" w:rsidRDefault="008775BA" w:rsidP="00B33BA0">
      <w:pPr>
        <w:rPr>
          <w:sz w:val="26"/>
          <w:szCs w:val="26"/>
        </w:rPr>
      </w:pPr>
    </w:p>
    <w:p w:rsidR="008775BA" w:rsidRPr="009F06E4" w:rsidRDefault="008775BA" w:rsidP="00515D74">
      <w:pPr>
        <w:numPr>
          <w:ilvl w:val="1"/>
          <w:numId w:val="28"/>
        </w:numPr>
        <w:ind w:left="0" w:firstLine="0"/>
        <w:rPr>
          <w:sz w:val="26"/>
          <w:szCs w:val="26"/>
        </w:rPr>
      </w:pPr>
      <w:r>
        <w:rPr>
          <w:sz w:val="26"/>
          <w:szCs w:val="26"/>
        </w:rPr>
        <w:t xml:space="preserve">El 9 de octubre de 2000, la Fiscalía Seccional Delegada ante el Juzgado Promiscuo del Circuito de Saravena, Arauca calificó el mérito del sumario con resolución de acusación en contra de </w:t>
      </w:r>
      <w:r w:rsidRPr="008169BB">
        <w:rPr>
          <w:rFonts w:cs="Arial"/>
          <w:sz w:val="26"/>
          <w:szCs w:val="26"/>
        </w:rPr>
        <w:t>Ever Méndez Velosa y Man</w:t>
      </w:r>
      <w:r>
        <w:rPr>
          <w:rFonts w:cs="Arial"/>
          <w:sz w:val="26"/>
          <w:szCs w:val="26"/>
        </w:rPr>
        <w:t>uel Carvajal Mendieta</w:t>
      </w:r>
      <w:r w:rsidRPr="009F06E4">
        <w:rPr>
          <w:rFonts w:cs="Arial"/>
          <w:sz w:val="26"/>
          <w:szCs w:val="26"/>
        </w:rPr>
        <w:t xml:space="preserve"> </w:t>
      </w:r>
      <w:r>
        <w:rPr>
          <w:rFonts w:cs="Arial"/>
          <w:sz w:val="26"/>
          <w:szCs w:val="26"/>
        </w:rPr>
        <w:t xml:space="preserve">en calidad de coautores del delito de acceso carnal violento agravado, en concurso homogéneo, y negó la solicitud de libertad provisional </w:t>
      </w:r>
      <w:r w:rsidRPr="008B6C04">
        <w:rPr>
          <w:rFonts w:cs="Arial"/>
          <w:sz w:val="22"/>
          <w:szCs w:val="22"/>
        </w:rPr>
        <w:t>(</w:t>
      </w:r>
      <w:r>
        <w:rPr>
          <w:rFonts w:cs="Arial"/>
          <w:sz w:val="22"/>
          <w:szCs w:val="22"/>
        </w:rPr>
        <w:t>resolución de acusación</w:t>
      </w:r>
      <w:r w:rsidRPr="008B6C04">
        <w:rPr>
          <w:rFonts w:cs="Arial"/>
          <w:sz w:val="22"/>
          <w:szCs w:val="22"/>
        </w:rPr>
        <w:t xml:space="preserve"> –f. 270-280, c. 1–)</w:t>
      </w:r>
      <w:r>
        <w:rPr>
          <w:rFonts w:cs="Arial"/>
          <w:sz w:val="26"/>
          <w:szCs w:val="26"/>
        </w:rPr>
        <w:t xml:space="preserve">. Apelada esta decisión por el apoderado de los acusados </w:t>
      </w:r>
      <w:r>
        <w:rPr>
          <w:sz w:val="22"/>
          <w:szCs w:val="22"/>
        </w:rPr>
        <w:t>(f. 448-461, c. 1)</w:t>
      </w:r>
      <w:r w:rsidRPr="00A75E80">
        <w:rPr>
          <w:sz w:val="26"/>
          <w:szCs w:val="26"/>
        </w:rPr>
        <w:t xml:space="preserve">, </w:t>
      </w:r>
      <w:r>
        <w:rPr>
          <w:sz w:val="26"/>
          <w:szCs w:val="26"/>
        </w:rPr>
        <w:t xml:space="preserve">la Fiscalía Primera Delegada ante el Tribunal Superior de Cúcuta la confirmó en su integridad </w:t>
      </w:r>
      <w:r w:rsidRPr="008B6C04">
        <w:rPr>
          <w:rFonts w:cs="Arial"/>
          <w:sz w:val="22"/>
          <w:szCs w:val="22"/>
        </w:rPr>
        <w:t>(</w:t>
      </w:r>
      <w:r>
        <w:rPr>
          <w:rFonts w:cs="Arial"/>
          <w:sz w:val="22"/>
          <w:szCs w:val="22"/>
        </w:rPr>
        <w:t>decisión de la Fiscalía Delegada</w:t>
      </w:r>
      <w:r w:rsidRPr="008B6C04">
        <w:rPr>
          <w:rFonts w:cs="Arial"/>
          <w:sz w:val="22"/>
          <w:szCs w:val="22"/>
        </w:rPr>
        <w:t xml:space="preserve"> –f. </w:t>
      </w:r>
      <w:r>
        <w:rPr>
          <w:rFonts w:cs="Arial"/>
          <w:sz w:val="22"/>
          <w:szCs w:val="22"/>
        </w:rPr>
        <w:t>481</w:t>
      </w:r>
      <w:r w:rsidRPr="008B6C04">
        <w:rPr>
          <w:rFonts w:cs="Arial"/>
          <w:sz w:val="22"/>
          <w:szCs w:val="22"/>
        </w:rPr>
        <w:t>-</w:t>
      </w:r>
      <w:r>
        <w:rPr>
          <w:rFonts w:cs="Arial"/>
          <w:sz w:val="22"/>
          <w:szCs w:val="22"/>
        </w:rPr>
        <w:t>486</w:t>
      </w:r>
      <w:r w:rsidRPr="008B6C04">
        <w:rPr>
          <w:rFonts w:cs="Arial"/>
          <w:sz w:val="22"/>
          <w:szCs w:val="22"/>
        </w:rPr>
        <w:t>, c. 1–)</w:t>
      </w:r>
      <w:r>
        <w:rPr>
          <w:rFonts w:cs="Arial"/>
          <w:sz w:val="26"/>
          <w:szCs w:val="26"/>
        </w:rPr>
        <w:t>.</w:t>
      </w:r>
    </w:p>
    <w:p w:rsidR="008775BA" w:rsidRDefault="008775BA" w:rsidP="009F06E4">
      <w:pPr>
        <w:rPr>
          <w:sz w:val="26"/>
          <w:szCs w:val="26"/>
        </w:rPr>
      </w:pPr>
    </w:p>
    <w:p w:rsidR="008775BA" w:rsidRPr="00B27BAD" w:rsidRDefault="008775BA" w:rsidP="00B27BAD">
      <w:pPr>
        <w:numPr>
          <w:ilvl w:val="1"/>
          <w:numId w:val="28"/>
        </w:numPr>
        <w:ind w:left="0" w:firstLine="0"/>
        <w:rPr>
          <w:sz w:val="26"/>
          <w:szCs w:val="26"/>
        </w:rPr>
      </w:pPr>
      <w:r>
        <w:rPr>
          <w:sz w:val="26"/>
          <w:szCs w:val="26"/>
        </w:rPr>
        <w:t xml:space="preserve">El 1 de junio de 2001, el Juzgado Único Promiscuo del Circuito de Saravena dictó sentencia penal en contra de </w:t>
      </w:r>
      <w:r w:rsidRPr="008169BB">
        <w:rPr>
          <w:rFonts w:cs="Arial"/>
          <w:sz w:val="26"/>
          <w:szCs w:val="26"/>
        </w:rPr>
        <w:t>Ever Méndez Velosa y Man</w:t>
      </w:r>
      <w:r>
        <w:rPr>
          <w:rFonts w:cs="Arial"/>
          <w:sz w:val="26"/>
          <w:szCs w:val="26"/>
        </w:rPr>
        <w:t xml:space="preserve">uel Carvajal Mendieta al encontrarlos responsables de los delitos de acceso carnal violento agravado y secuestro simple agravado, los condenó a 12 y 15 años de prisión, respectivamente, les impuso una pena accesoria de interdicción de derechos y funciones públicas por un término de tres años contados a partir del momento en que recobren la libertad definitiva, y los condenó a pagar una reparación a la ofendida </w:t>
      </w:r>
      <w:r w:rsidRPr="008B6C04">
        <w:rPr>
          <w:rFonts w:cs="Arial"/>
          <w:sz w:val="22"/>
          <w:szCs w:val="22"/>
        </w:rPr>
        <w:t>(</w:t>
      </w:r>
      <w:r>
        <w:rPr>
          <w:rFonts w:cs="Arial"/>
          <w:sz w:val="22"/>
          <w:szCs w:val="22"/>
        </w:rPr>
        <w:t>sentencia de primera instancia</w:t>
      </w:r>
      <w:r w:rsidRPr="008B6C04">
        <w:rPr>
          <w:rFonts w:cs="Arial"/>
          <w:sz w:val="22"/>
          <w:szCs w:val="22"/>
        </w:rPr>
        <w:t xml:space="preserve"> –f. </w:t>
      </w:r>
      <w:r>
        <w:rPr>
          <w:rFonts w:cs="Arial"/>
          <w:sz w:val="22"/>
          <w:szCs w:val="22"/>
        </w:rPr>
        <w:t>606</w:t>
      </w:r>
      <w:r w:rsidRPr="008B6C04">
        <w:rPr>
          <w:rFonts w:cs="Arial"/>
          <w:sz w:val="22"/>
          <w:szCs w:val="22"/>
        </w:rPr>
        <w:t>-</w:t>
      </w:r>
      <w:r>
        <w:rPr>
          <w:rFonts w:cs="Arial"/>
          <w:sz w:val="22"/>
          <w:szCs w:val="22"/>
        </w:rPr>
        <w:t>630</w:t>
      </w:r>
      <w:r w:rsidRPr="008B6C04">
        <w:rPr>
          <w:rFonts w:cs="Arial"/>
          <w:sz w:val="22"/>
          <w:szCs w:val="22"/>
        </w:rPr>
        <w:t>, c. 1–)</w:t>
      </w:r>
      <w:r>
        <w:rPr>
          <w:rFonts w:cs="Arial"/>
          <w:sz w:val="26"/>
          <w:szCs w:val="26"/>
        </w:rPr>
        <w:t>.</w:t>
      </w:r>
    </w:p>
    <w:p w:rsidR="008775BA" w:rsidRDefault="008775BA" w:rsidP="00B27BAD">
      <w:pPr>
        <w:rPr>
          <w:sz w:val="26"/>
          <w:szCs w:val="26"/>
        </w:rPr>
      </w:pPr>
    </w:p>
    <w:p w:rsidR="008775BA" w:rsidRPr="009C290B" w:rsidRDefault="008775BA" w:rsidP="00B27BAD">
      <w:pPr>
        <w:numPr>
          <w:ilvl w:val="1"/>
          <w:numId w:val="28"/>
        </w:numPr>
        <w:tabs>
          <w:tab w:val="left" w:pos="900"/>
        </w:tabs>
        <w:ind w:left="0" w:firstLine="0"/>
        <w:rPr>
          <w:sz w:val="26"/>
          <w:szCs w:val="26"/>
        </w:rPr>
      </w:pPr>
      <w:r>
        <w:rPr>
          <w:sz w:val="26"/>
          <w:szCs w:val="26"/>
        </w:rPr>
        <w:t xml:space="preserve">La agresión sexual de que fue víctima la joven Mónica Marisol Rodríguez Bustamante le causó lesiones físicas y produjo un trastorno de estrés postraumático con síntomas depresivos severos </w:t>
      </w:r>
      <w:r w:rsidRPr="00CA3D1C">
        <w:rPr>
          <w:sz w:val="22"/>
          <w:szCs w:val="22"/>
        </w:rPr>
        <w:t>(</w:t>
      </w:r>
      <w:r>
        <w:rPr>
          <w:sz w:val="22"/>
          <w:szCs w:val="22"/>
        </w:rPr>
        <w:t xml:space="preserve">valoración </w:t>
      </w:r>
      <w:r w:rsidRPr="00CA3D1C">
        <w:rPr>
          <w:sz w:val="22"/>
          <w:szCs w:val="22"/>
        </w:rPr>
        <w:t xml:space="preserve">del Hospital San Antonio de Tame </w:t>
      </w:r>
      <w:r w:rsidRPr="008B6C04">
        <w:rPr>
          <w:rFonts w:cs="Arial"/>
          <w:sz w:val="22"/>
          <w:szCs w:val="22"/>
        </w:rPr>
        <w:t>–</w:t>
      </w:r>
      <w:r w:rsidRPr="00CA3D1C">
        <w:rPr>
          <w:sz w:val="22"/>
          <w:szCs w:val="22"/>
        </w:rPr>
        <w:t>f. 93-94, c. 1</w:t>
      </w:r>
      <w:r w:rsidRPr="008B6C04">
        <w:rPr>
          <w:rFonts w:cs="Arial"/>
          <w:sz w:val="22"/>
          <w:szCs w:val="22"/>
        </w:rPr>
        <w:t>–</w:t>
      </w:r>
      <w:r>
        <w:rPr>
          <w:rFonts w:cs="Arial"/>
          <w:sz w:val="22"/>
          <w:szCs w:val="22"/>
        </w:rPr>
        <w:t xml:space="preserve">; dictamen de psiquiatría forense del Instituto Nacional de Medicina Legal y Ciencias Forenses </w:t>
      </w:r>
      <w:r w:rsidRPr="008B6C04">
        <w:rPr>
          <w:rFonts w:cs="Arial"/>
          <w:sz w:val="22"/>
          <w:szCs w:val="22"/>
        </w:rPr>
        <w:t>–</w:t>
      </w:r>
      <w:r w:rsidRPr="00CA3D1C">
        <w:rPr>
          <w:sz w:val="22"/>
          <w:szCs w:val="22"/>
        </w:rPr>
        <w:t>f. 9</w:t>
      </w:r>
      <w:r>
        <w:rPr>
          <w:sz w:val="22"/>
          <w:szCs w:val="22"/>
        </w:rPr>
        <w:t>1</w:t>
      </w:r>
      <w:r w:rsidRPr="00CA3D1C">
        <w:rPr>
          <w:sz w:val="22"/>
          <w:szCs w:val="22"/>
        </w:rPr>
        <w:t xml:space="preserve">-94, c. </w:t>
      </w:r>
      <w:r>
        <w:rPr>
          <w:sz w:val="22"/>
          <w:szCs w:val="22"/>
        </w:rPr>
        <w:t>2</w:t>
      </w:r>
      <w:r w:rsidRPr="008B6C04">
        <w:rPr>
          <w:rFonts w:cs="Arial"/>
          <w:sz w:val="22"/>
          <w:szCs w:val="22"/>
        </w:rPr>
        <w:t>–</w:t>
      </w:r>
      <w:r w:rsidRPr="00CA3D1C">
        <w:rPr>
          <w:sz w:val="22"/>
          <w:szCs w:val="22"/>
        </w:rPr>
        <w:t>)</w:t>
      </w:r>
      <w:r>
        <w:rPr>
          <w:sz w:val="26"/>
          <w:szCs w:val="26"/>
        </w:rPr>
        <w:t>.</w:t>
      </w:r>
    </w:p>
    <w:p w:rsidR="008775BA" w:rsidRPr="00697188" w:rsidRDefault="008775BA" w:rsidP="008C7554">
      <w:pPr>
        <w:rPr>
          <w:bCs/>
          <w:sz w:val="26"/>
          <w:szCs w:val="26"/>
        </w:rPr>
      </w:pPr>
    </w:p>
    <w:p w:rsidR="008775BA" w:rsidRPr="00EC3981" w:rsidRDefault="008775BA" w:rsidP="008C7554">
      <w:pPr>
        <w:rPr>
          <w:b/>
          <w:bCs/>
          <w:sz w:val="26"/>
          <w:szCs w:val="26"/>
        </w:rPr>
      </w:pPr>
      <w:r w:rsidRPr="00EC3981">
        <w:rPr>
          <w:b/>
          <w:bCs/>
          <w:sz w:val="26"/>
          <w:szCs w:val="26"/>
        </w:rPr>
        <w:t>V. Análisis de la Sala</w:t>
      </w:r>
    </w:p>
    <w:p w:rsidR="008775BA" w:rsidRPr="006B0D8E" w:rsidRDefault="008775BA" w:rsidP="008C7554">
      <w:pPr>
        <w:rPr>
          <w:rFonts w:cs="Arial"/>
          <w:color w:val="000000"/>
          <w:sz w:val="26"/>
          <w:szCs w:val="26"/>
        </w:rPr>
      </w:pPr>
    </w:p>
    <w:p w:rsidR="008775BA" w:rsidRDefault="008775BA" w:rsidP="00BF35A5">
      <w:pPr>
        <w:numPr>
          <w:ilvl w:val="0"/>
          <w:numId w:val="28"/>
        </w:numPr>
        <w:ind w:left="0" w:firstLine="0"/>
        <w:rPr>
          <w:rFonts w:cs="Arial"/>
          <w:sz w:val="26"/>
          <w:szCs w:val="26"/>
        </w:rPr>
      </w:pPr>
      <w:r>
        <w:rPr>
          <w:rFonts w:cs="Arial"/>
          <w:sz w:val="26"/>
          <w:szCs w:val="26"/>
        </w:rPr>
        <w:t>Dado que la Sala enfrenta un caso de violencia y discriminación de género en el marco del conflicto armado interno, estima necesario hacer un análisis de contexto de las graves violaciones de los derechos humanos de la mujer en el desarrollo de la guerra y, en especial, de la incidencia de este panorama general sobre los deberes exigibles de las autoridades y la situación particular de las víctimas en el caso concreto.</w:t>
      </w:r>
    </w:p>
    <w:p w:rsidR="008775BA" w:rsidRDefault="008775BA" w:rsidP="00D82F60">
      <w:pPr>
        <w:rPr>
          <w:rFonts w:cs="Arial"/>
          <w:sz w:val="26"/>
          <w:szCs w:val="26"/>
        </w:rPr>
      </w:pPr>
    </w:p>
    <w:p w:rsidR="008775BA" w:rsidRDefault="008775BA" w:rsidP="007F43EC">
      <w:pPr>
        <w:numPr>
          <w:ilvl w:val="0"/>
          <w:numId w:val="28"/>
        </w:numPr>
        <w:ind w:left="0" w:firstLine="0"/>
        <w:rPr>
          <w:rFonts w:cs="Arial"/>
          <w:sz w:val="26"/>
          <w:szCs w:val="26"/>
        </w:rPr>
      </w:pPr>
      <w:r>
        <w:rPr>
          <w:rFonts w:cs="Arial"/>
          <w:sz w:val="26"/>
          <w:szCs w:val="26"/>
        </w:rPr>
        <w:t xml:space="preserve">La violencia y discriminación contra la mujer han sido constantes en todas las sociedades de cuño patriarcal. Aunque las civilizaciones antiguas, desde el Indostán hasta América, </w:t>
      </w:r>
      <w:r w:rsidR="00FB05AA">
        <w:rPr>
          <w:rFonts w:cs="Arial"/>
          <w:sz w:val="26"/>
          <w:szCs w:val="26"/>
        </w:rPr>
        <w:t>en general rendían</w:t>
      </w:r>
      <w:r>
        <w:rPr>
          <w:rFonts w:cs="Arial"/>
          <w:sz w:val="26"/>
          <w:szCs w:val="26"/>
        </w:rPr>
        <w:t xml:space="preserve"> culto a la naturaleza como la ca</w:t>
      </w:r>
      <w:r w:rsidR="00FB05AA">
        <w:rPr>
          <w:rFonts w:cs="Arial"/>
          <w:sz w:val="26"/>
          <w:szCs w:val="26"/>
        </w:rPr>
        <w:t>ra femenina de la divinidad y</w:t>
      </w:r>
      <w:r>
        <w:rPr>
          <w:rFonts w:cs="Arial"/>
          <w:sz w:val="26"/>
          <w:szCs w:val="26"/>
        </w:rPr>
        <w:t xml:space="preserve"> reguladora de los ciclos de aparición y desaparición de la vida, los mitos fundacionales de la civilización europea, con la instauración de una dualidad entre el hombre y la naturaleza (y la supremacía del primero) y la prevalencia de las virtudes de conquista, dominio y poder sobre las del cuidado, la empatía y la conservación, propiciaron la aparición de sociedades con una clara hegemonía de lo masculino sobre lo femenino</w:t>
      </w:r>
      <w:r>
        <w:rPr>
          <w:rStyle w:val="Refdenotaalpie"/>
          <w:sz w:val="26"/>
          <w:szCs w:val="26"/>
        </w:rPr>
        <w:footnoteReference w:id="11"/>
      </w:r>
      <w:r>
        <w:rPr>
          <w:rFonts w:cs="Arial"/>
          <w:sz w:val="26"/>
          <w:szCs w:val="26"/>
        </w:rPr>
        <w:t>.</w:t>
      </w:r>
    </w:p>
    <w:p w:rsidR="001C160F" w:rsidRDefault="001C160F" w:rsidP="001C160F">
      <w:pPr>
        <w:rPr>
          <w:rFonts w:cs="Arial"/>
          <w:sz w:val="26"/>
          <w:szCs w:val="26"/>
        </w:rPr>
      </w:pPr>
    </w:p>
    <w:p w:rsidR="008775BA" w:rsidRDefault="008775BA" w:rsidP="003C7CE0">
      <w:pPr>
        <w:numPr>
          <w:ilvl w:val="0"/>
          <w:numId w:val="28"/>
        </w:numPr>
        <w:ind w:left="0" w:firstLine="0"/>
        <w:rPr>
          <w:rFonts w:cs="Arial"/>
          <w:sz w:val="26"/>
          <w:szCs w:val="26"/>
        </w:rPr>
      </w:pPr>
      <w:r w:rsidRPr="003C7CE0">
        <w:rPr>
          <w:rFonts w:cs="Arial"/>
          <w:sz w:val="26"/>
          <w:szCs w:val="26"/>
        </w:rPr>
        <w:t>La forma primordial de expresar supremacía sobre la mujer es a través de la violencia</w:t>
      </w:r>
      <w:r w:rsidR="00421D80">
        <w:rPr>
          <w:rStyle w:val="Refdenotaalpie"/>
          <w:sz w:val="26"/>
          <w:szCs w:val="26"/>
        </w:rPr>
        <w:footnoteReference w:id="12"/>
      </w:r>
      <w:r w:rsidRPr="003C7CE0">
        <w:rPr>
          <w:rFonts w:cs="Arial"/>
          <w:sz w:val="26"/>
          <w:szCs w:val="26"/>
        </w:rPr>
        <w:t>. La violencia contra la mujer, según la le</w:t>
      </w:r>
      <w:r w:rsidR="00FB05AA">
        <w:rPr>
          <w:rFonts w:cs="Arial"/>
          <w:sz w:val="26"/>
          <w:szCs w:val="26"/>
        </w:rPr>
        <w:t>y</w:t>
      </w:r>
      <w:r w:rsidRPr="003C7CE0">
        <w:rPr>
          <w:rFonts w:cs="Arial"/>
          <w:sz w:val="26"/>
          <w:szCs w:val="26"/>
        </w:rPr>
        <w:t xml:space="preserve"> interna, comprende cualquier acción u omisión que le cause muerte, daño o sufrimiento físico, sexual, psicológico, económico o patrimonial por su condición de mujer, así como las amenazas de tales actos, la coacción o la privación arbitraria de la libertad, sea que se prese</w:t>
      </w:r>
      <w:r w:rsidR="00562C23">
        <w:rPr>
          <w:rFonts w:cs="Arial"/>
          <w:sz w:val="26"/>
          <w:szCs w:val="26"/>
        </w:rPr>
        <w:t>nte en el ámbito público o</w:t>
      </w:r>
      <w:r w:rsidRPr="003C7CE0">
        <w:rPr>
          <w:rFonts w:cs="Arial"/>
          <w:sz w:val="26"/>
          <w:szCs w:val="26"/>
        </w:rPr>
        <w:t xml:space="preserve"> </w:t>
      </w:r>
      <w:r w:rsidR="00562C23">
        <w:rPr>
          <w:rFonts w:cs="Arial"/>
          <w:sz w:val="26"/>
          <w:szCs w:val="26"/>
        </w:rPr>
        <w:t xml:space="preserve">el </w:t>
      </w:r>
      <w:r w:rsidRPr="003C7CE0">
        <w:rPr>
          <w:rFonts w:cs="Arial"/>
          <w:sz w:val="26"/>
          <w:szCs w:val="26"/>
        </w:rPr>
        <w:t>privado</w:t>
      </w:r>
      <w:r>
        <w:rPr>
          <w:rStyle w:val="Refdenotaalpie"/>
          <w:sz w:val="26"/>
          <w:szCs w:val="26"/>
        </w:rPr>
        <w:footnoteReference w:id="13"/>
      </w:r>
      <w:r w:rsidRPr="003C7CE0">
        <w:rPr>
          <w:rFonts w:cs="Arial"/>
          <w:sz w:val="26"/>
          <w:szCs w:val="26"/>
        </w:rPr>
        <w:t xml:space="preserve">. </w:t>
      </w:r>
      <w:r w:rsidR="00562C23">
        <w:rPr>
          <w:rFonts w:cs="Arial"/>
          <w:sz w:val="26"/>
          <w:szCs w:val="26"/>
        </w:rPr>
        <w:t>Igualmente</w:t>
      </w:r>
      <w:r w:rsidRPr="003C7CE0">
        <w:rPr>
          <w:rFonts w:cs="Arial"/>
          <w:sz w:val="26"/>
          <w:szCs w:val="26"/>
        </w:rPr>
        <w:t xml:space="preserve">, el sistema </w:t>
      </w:r>
      <w:r w:rsidR="00562C23">
        <w:rPr>
          <w:rFonts w:cs="Arial"/>
          <w:sz w:val="26"/>
          <w:szCs w:val="26"/>
        </w:rPr>
        <w:t xml:space="preserve">interamericano </w:t>
      </w:r>
      <w:r w:rsidRPr="003C7CE0">
        <w:rPr>
          <w:rFonts w:cs="Arial"/>
          <w:sz w:val="26"/>
          <w:szCs w:val="26"/>
        </w:rPr>
        <w:t xml:space="preserve">de derechos humanos ha </w:t>
      </w:r>
      <w:r w:rsidR="00562C23">
        <w:rPr>
          <w:rFonts w:cs="Arial"/>
          <w:sz w:val="26"/>
          <w:szCs w:val="26"/>
        </w:rPr>
        <w:t>dispuesto</w:t>
      </w:r>
      <w:r w:rsidRPr="003C7CE0">
        <w:rPr>
          <w:rFonts w:cs="Arial"/>
          <w:sz w:val="26"/>
          <w:szCs w:val="26"/>
        </w:rPr>
        <w:t xml:space="preserve"> que la violencia contra la mujer incluye la violencia física, sexual y psicológica; que puede tener lugar dentro de la unidad familiar, la comunidad o el lugar de trabajo; y que puede ser ejercida por cualquier persona, sea particular o funcionario</w:t>
      </w:r>
      <w:r>
        <w:rPr>
          <w:rStyle w:val="Refdenotaalpie"/>
          <w:sz w:val="26"/>
          <w:szCs w:val="26"/>
        </w:rPr>
        <w:footnoteReference w:id="14"/>
      </w:r>
      <w:r w:rsidRPr="003C7CE0">
        <w:rPr>
          <w:rFonts w:cs="Arial"/>
          <w:sz w:val="26"/>
          <w:szCs w:val="26"/>
        </w:rPr>
        <w:t>.</w:t>
      </w:r>
    </w:p>
    <w:p w:rsidR="003C7CE0" w:rsidRDefault="003C7CE0" w:rsidP="003C7CE0">
      <w:pPr>
        <w:pStyle w:val="Listavistosa-nfasis11"/>
        <w:rPr>
          <w:rFonts w:cs="Arial"/>
          <w:sz w:val="26"/>
          <w:szCs w:val="26"/>
        </w:rPr>
      </w:pPr>
    </w:p>
    <w:p w:rsidR="008775BA" w:rsidRDefault="008775BA" w:rsidP="003C7CE0">
      <w:pPr>
        <w:numPr>
          <w:ilvl w:val="0"/>
          <w:numId w:val="28"/>
        </w:numPr>
        <w:ind w:left="0" w:firstLine="0"/>
        <w:rPr>
          <w:rFonts w:cs="Arial"/>
          <w:sz w:val="26"/>
          <w:szCs w:val="26"/>
        </w:rPr>
      </w:pPr>
      <w:r w:rsidRPr="003C7CE0">
        <w:rPr>
          <w:rFonts w:cs="Arial"/>
          <w:sz w:val="26"/>
          <w:szCs w:val="26"/>
        </w:rPr>
        <w:t>La violencia contra la mujer no solo constituye una violación de los derechos humanos, sino que es “</w:t>
      </w:r>
      <w:r w:rsidRPr="003C7CE0">
        <w:rPr>
          <w:rFonts w:cs="Arial"/>
          <w:i/>
          <w:sz w:val="26"/>
          <w:szCs w:val="26"/>
        </w:rPr>
        <w:t>una ofensa a la dignidad humana y manifestación de las relaciones de poder históricamente desiguales entre mujeres y hombres</w:t>
      </w:r>
      <w:r w:rsidR="007B4BD5">
        <w:rPr>
          <w:rFonts w:cs="Arial"/>
          <w:sz w:val="26"/>
          <w:szCs w:val="26"/>
        </w:rPr>
        <w:t>”;</w:t>
      </w:r>
      <w:r w:rsidRPr="003C7CE0">
        <w:rPr>
          <w:rFonts w:cs="Arial"/>
          <w:sz w:val="26"/>
          <w:szCs w:val="26"/>
        </w:rPr>
        <w:t xml:space="preserve"> además</w:t>
      </w:r>
      <w:r w:rsidR="007B4BD5">
        <w:rPr>
          <w:rFonts w:cs="Arial"/>
          <w:sz w:val="26"/>
          <w:szCs w:val="26"/>
        </w:rPr>
        <w:t>,</w:t>
      </w:r>
      <w:r w:rsidRPr="003C7CE0">
        <w:rPr>
          <w:rFonts w:cs="Arial"/>
          <w:sz w:val="26"/>
          <w:szCs w:val="26"/>
        </w:rPr>
        <w:t xml:space="preserve"> “</w:t>
      </w:r>
      <w:r w:rsidRPr="003C7CE0">
        <w:rPr>
          <w:rFonts w:cs="Arial"/>
          <w:i/>
          <w:sz w:val="26"/>
          <w:szCs w:val="26"/>
        </w:rPr>
        <w:t>trasciende todos los sectores de la sociedad independientemente de su clase, raza o grupo étnico, nivel de ingresos, cultura, nivel educacional, edad o religión y afecta negativamente sus propias bases</w:t>
      </w:r>
      <w:r w:rsidRPr="003C7CE0">
        <w:rPr>
          <w:rFonts w:cs="Arial"/>
          <w:sz w:val="26"/>
          <w:szCs w:val="26"/>
        </w:rPr>
        <w:t>”</w:t>
      </w:r>
      <w:r>
        <w:rPr>
          <w:rStyle w:val="Refdenotaalpie"/>
          <w:sz w:val="26"/>
          <w:szCs w:val="26"/>
        </w:rPr>
        <w:footnoteReference w:id="15"/>
      </w:r>
      <w:r w:rsidRPr="003C7CE0">
        <w:rPr>
          <w:rFonts w:cs="Arial"/>
          <w:sz w:val="26"/>
          <w:szCs w:val="26"/>
        </w:rPr>
        <w:t>.</w:t>
      </w:r>
    </w:p>
    <w:p w:rsidR="003C7CE0" w:rsidRDefault="003C7CE0" w:rsidP="003C7CE0">
      <w:pPr>
        <w:pStyle w:val="Listavistosa-nfasis11"/>
        <w:rPr>
          <w:rFonts w:cs="Arial"/>
          <w:sz w:val="26"/>
          <w:szCs w:val="26"/>
        </w:rPr>
      </w:pPr>
    </w:p>
    <w:p w:rsidR="008775BA" w:rsidRDefault="008775BA" w:rsidP="003C7CE0">
      <w:pPr>
        <w:numPr>
          <w:ilvl w:val="0"/>
          <w:numId w:val="28"/>
        </w:numPr>
        <w:ind w:left="0" w:firstLine="0"/>
        <w:rPr>
          <w:rFonts w:cs="Arial"/>
          <w:sz w:val="26"/>
          <w:szCs w:val="26"/>
        </w:rPr>
      </w:pPr>
      <w:r w:rsidRPr="003C7CE0">
        <w:rPr>
          <w:rFonts w:cs="Arial"/>
          <w:sz w:val="26"/>
          <w:szCs w:val="26"/>
        </w:rPr>
        <w:t xml:space="preserve">La violencia sexual, una forma particularmente atroz de agraviar y menospreciar a la mujer, consiste en obligar a la persona a mantener contacto sexual, físico o verbal, o a participar en otras interacciones sexuales mediante el uso de la fuerza, </w:t>
      </w:r>
      <w:r w:rsidR="007B4BD5">
        <w:rPr>
          <w:rFonts w:cs="Arial"/>
          <w:sz w:val="26"/>
          <w:szCs w:val="26"/>
        </w:rPr>
        <w:t xml:space="preserve">la </w:t>
      </w:r>
      <w:r w:rsidRPr="003C7CE0">
        <w:rPr>
          <w:rFonts w:cs="Arial"/>
          <w:sz w:val="26"/>
          <w:szCs w:val="26"/>
        </w:rPr>
        <w:t xml:space="preserve">intimidación, </w:t>
      </w:r>
      <w:r w:rsidR="007B4BD5">
        <w:rPr>
          <w:rFonts w:cs="Arial"/>
          <w:sz w:val="26"/>
          <w:szCs w:val="26"/>
        </w:rPr>
        <w:t xml:space="preserve">la </w:t>
      </w:r>
      <w:r w:rsidRPr="003C7CE0">
        <w:rPr>
          <w:rFonts w:cs="Arial"/>
          <w:sz w:val="26"/>
          <w:szCs w:val="26"/>
        </w:rPr>
        <w:t>coerción,</w:t>
      </w:r>
      <w:r w:rsidR="007B4BD5">
        <w:rPr>
          <w:rFonts w:cs="Arial"/>
          <w:sz w:val="26"/>
          <w:szCs w:val="26"/>
        </w:rPr>
        <w:t xml:space="preserve"> el</w:t>
      </w:r>
      <w:r w:rsidRPr="003C7CE0">
        <w:rPr>
          <w:rFonts w:cs="Arial"/>
          <w:sz w:val="26"/>
          <w:szCs w:val="26"/>
        </w:rPr>
        <w:t xml:space="preserve"> chantaje, </w:t>
      </w:r>
      <w:r w:rsidR="007B4BD5">
        <w:rPr>
          <w:rFonts w:cs="Arial"/>
          <w:sz w:val="26"/>
          <w:szCs w:val="26"/>
        </w:rPr>
        <w:t xml:space="preserve">el </w:t>
      </w:r>
      <w:r w:rsidRPr="003C7CE0">
        <w:rPr>
          <w:rFonts w:cs="Arial"/>
          <w:sz w:val="26"/>
          <w:szCs w:val="26"/>
        </w:rPr>
        <w:t xml:space="preserve">soborno, </w:t>
      </w:r>
      <w:r w:rsidR="007B4BD5">
        <w:rPr>
          <w:rFonts w:cs="Arial"/>
          <w:sz w:val="26"/>
          <w:szCs w:val="26"/>
        </w:rPr>
        <w:t xml:space="preserve">la </w:t>
      </w:r>
      <w:r w:rsidRPr="003C7CE0">
        <w:rPr>
          <w:rFonts w:cs="Arial"/>
          <w:sz w:val="26"/>
          <w:szCs w:val="26"/>
        </w:rPr>
        <w:t xml:space="preserve">manipulación, </w:t>
      </w:r>
      <w:r w:rsidR="007B4BD5">
        <w:rPr>
          <w:rFonts w:cs="Arial"/>
          <w:sz w:val="26"/>
          <w:szCs w:val="26"/>
        </w:rPr>
        <w:t xml:space="preserve">la </w:t>
      </w:r>
      <w:r w:rsidRPr="003C7CE0">
        <w:rPr>
          <w:rFonts w:cs="Arial"/>
          <w:sz w:val="26"/>
          <w:szCs w:val="26"/>
        </w:rPr>
        <w:t>amenaza o cualquier</w:t>
      </w:r>
      <w:r w:rsidR="007B4BD5">
        <w:rPr>
          <w:rFonts w:cs="Arial"/>
          <w:sz w:val="26"/>
          <w:szCs w:val="26"/>
        </w:rPr>
        <w:t xml:space="preserve"> otro</w:t>
      </w:r>
      <w:r w:rsidRPr="003C7CE0">
        <w:rPr>
          <w:rFonts w:cs="Arial"/>
          <w:sz w:val="26"/>
          <w:szCs w:val="26"/>
        </w:rPr>
        <w:t xml:space="preserve"> mecanismo que anule o limite la voluntad personal</w:t>
      </w:r>
      <w:r>
        <w:rPr>
          <w:rStyle w:val="Refdenotaalpie"/>
          <w:sz w:val="26"/>
          <w:szCs w:val="26"/>
        </w:rPr>
        <w:footnoteReference w:id="16"/>
      </w:r>
      <w:r w:rsidRPr="003C7CE0">
        <w:rPr>
          <w:rFonts w:cs="Arial"/>
          <w:sz w:val="26"/>
          <w:szCs w:val="26"/>
        </w:rPr>
        <w:t>. Esta clase de violencia se configura con acciones de naturaleza sexual que se cometen contra una persona sin su consentimiento, que</w:t>
      </w:r>
      <w:r w:rsidR="007B4BD5">
        <w:rPr>
          <w:rFonts w:cs="Arial"/>
          <w:sz w:val="26"/>
          <w:szCs w:val="26"/>
        </w:rPr>
        <w:t>,</w:t>
      </w:r>
      <w:r w:rsidRPr="003C7CE0">
        <w:rPr>
          <w:rFonts w:cs="Arial"/>
          <w:sz w:val="26"/>
          <w:szCs w:val="26"/>
        </w:rPr>
        <w:t xml:space="preserve"> además de comprender la invasión física del cuerpo humano, pueden incluir actos </w:t>
      </w:r>
      <w:r w:rsidR="003C7CE0" w:rsidRPr="003C7CE0">
        <w:rPr>
          <w:rFonts w:cs="Arial"/>
          <w:sz w:val="26"/>
          <w:szCs w:val="26"/>
        </w:rPr>
        <w:t xml:space="preserve">que no involucren penetración </w:t>
      </w:r>
      <w:r w:rsidR="003936DB">
        <w:rPr>
          <w:rFonts w:cs="Arial"/>
          <w:sz w:val="26"/>
          <w:szCs w:val="26"/>
        </w:rPr>
        <w:t xml:space="preserve">sexual </w:t>
      </w:r>
      <w:r w:rsidR="003C7CE0" w:rsidRPr="003C7CE0">
        <w:rPr>
          <w:rFonts w:cs="Arial"/>
          <w:sz w:val="26"/>
          <w:szCs w:val="26"/>
        </w:rPr>
        <w:t xml:space="preserve">o </w:t>
      </w:r>
      <w:r w:rsidRPr="003C7CE0">
        <w:rPr>
          <w:rFonts w:cs="Arial"/>
          <w:sz w:val="26"/>
          <w:szCs w:val="26"/>
        </w:rPr>
        <w:t>incluso contacto físico alguno</w:t>
      </w:r>
      <w:r>
        <w:rPr>
          <w:rStyle w:val="Refdenotaalpie"/>
          <w:sz w:val="26"/>
          <w:szCs w:val="26"/>
        </w:rPr>
        <w:footnoteReference w:id="17"/>
      </w:r>
      <w:r w:rsidRPr="003C7CE0">
        <w:rPr>
          <w:rFonts w:cs="Arial"/>
          <w:sz w:val="26"/>
          <w:szCs w:val="26"/>
        </w:rPr>
        <w:t>.</w:t>
      </w:r>
    </w:p>
    <w:p w:rsidR="003C7CE0" w:rsidRPr="006D3BDC" w:rsidRDefault="003C7CE0" w:rsidP="006D3BDC">
      <w:pPr>
        <w:rPr>
          <w:rFonts w:cs="Arial"/>
          <w:sz w:val="26"/>
          <w:szCs w:val="26"/>
        </w:rPr>
      </w:pPr>
    </w:p>
    <w:p w:rsidR="008775BA" w:rsidRPr="00B55F2E" w:rsidRDefault="008775BA" w:rsidP="00B55F2E">
      <w:pPr>
        <w:numPr>
          <w:ilvl w:val="0"/>
          <w:numId w:val="28"/>
        </w:numPr>
        <w:ind w:left="0" w:firstLine="0"/>
        <w:rPr>
          <w:rFonts w:cs="Arial"/>
          <w:sz w:val="26"/>
          <w:szCs w:val="26"/>
        </w:rPr>
      </w:pPr>
      <w:r w:rsidRPr="003C7CE0">
        <w:rPr>
          <w:rFonts w:cs="Arial"/>
          <w:sz w:val="26"/>
          <w:szCs w:val="26"/>
        </w:rPr>
        <w:t xml:space="preserve">La </w:t>
      </w:r>
      <w:r w:rsidR="00C334C1" w:rsidRPr="003C7CE0">
        <w:rPr>
          <w:rFonts w:cs="Arial"/>
          <w:sz w:val="26"/>
          <w:szCs w:val="26"/>
        </w:rPr>
        <w:t>agresión</w:t>
      </w:r>
      <w:r w:rsidRPr="003C7CE0">
        <w:rPr>
          <w:rFonts w:cs="Arial"/>
          <w:sz w:val="26"/>
          <w:szCs w:val="26"/>
        </w:rPr>
        <w:t xml:space="preserve"> sexual es una práctica </w:t>
      </w:r>
      <w:r w:rsidR="00226E37">
        <w:rPr>
          <w:rFonts w:cs="Arial"/>
          <w:sz w:val="26"/>
          <w:szCs w:val="26"/>
        </w:rPr>
        <w:t>frecuente</w:t>
      </w:r>
      <w:r w:rsidRPr="003C7CE0">
        <w:rPr>
          <w:rFonts w:cs="Arial"/>
          <w:sz w:val="26"/>
          <w:szCs w:val="26"/>
        </w:rPr>
        <w:t xml:space="preserve"> en el desarrollo de los conflictos armados y es utilizada por las partes enfrentadas como una estrategia bélica para atemorizar a la población, para castigar a los presuntos o reales cola</w:t>
      </w:r>
      <w:r w:rsidR="007D6723">
        <w:rPr>
          <w:rFonts w:cs="Arial"/>
          <w:sz w:val="26"/>
          <w:szCs w:val="26"/>
        </w:rPr>
        <w:t xml:space="preserve">boradores del enemigo mediante </w:t>
      </w:r>
      <w:r w:rsidRPr="003C7CE0">
        <w:rPr>
          <w:rFonts w:cs="Arial"/>
          <w:sz w:val="26"/>
          <w:szCs w:val="26"/>
        </w:rPr>
        <w:t>el ejercicio de la violencia contra las mujeres de sus familias o comunidades, para obtener información a través del secuestro y somet</w:t>
      </w:r>
      <w:r w:rsidR="00B55F2E">
        <w:rPr>
          <w:rFonts w:cs="Arial"/>
          <w:sz w:val="26"/>
          <w:szCs w:val="26"/>
        </w:rPr>
        <w:t>imiento sexual de las víctimas</w:t>
      </w:r>
      <w:r w:rsidRPr="003C7CE0">
        <w:rPr>
          <w:rFonts w:cs="Arial"/>
          <w:sz w:val="26"/>
          <w:szCs w:val="26"/>
        </w:rPr>
        <w:t xml:space="preserve">, </w:t>
      </w:r>
      <w:r w:rsidR="00B55F2E">
        <w:rPr>
          <w:rFonts w:cs="Arial"/>
          <w:sz w:val="26"/>
          <w:szCs w:val="26"/>
        </w:rPr>
        <w:t xml:space="preserve">para promover el desplazamiento forzado de las víctimas y de sus familias con el </w:t>
      </w:r>
      <w:r w:rsidR="002E5CB8">
        <w:rPr>
          <w:rFonts w:cs="Arial"/>
          <w:sz w:val="26"/>
          <w:szCs w:val="26"/>
        </w:rPr>
        <w:t>objeto</w:t>
      </w:r>
      <w:r w:rsidR="00B55F2E">
        <w:rPr>
          <w:rFonts w:cs="Arial"/>
          <w:sz w:val="26"/>
          <w:szCs w:val="26"/>
        </w:rPr>
        <w:t xml:space="preserve"> de asegurar el control sobre territorios estratégicos para la economía ilegal y el tráfico de armas o de drogas, o, </w:t>
      </w:r>
      <w:r w:rsidRPr="00B55F2E">
        <w:rPr>
          <w:rFonts w:cs="Arial"/>
          <w:sz w:val="26"/>
          <w:szCs w:val="26"/>
        </w:rPr>
        <w:t>simplemente, para desplegar ferocidad y dominio.</w:t>
      </w:r>
    </w:p>
    <w:p w:rsidR="009A03C0" w:rsidRDefault="009A03C0" w:rsidP="009A03C0">
      <w:pPr>
        <w:rPr>
          <w:rFonts w:cs="Arial"/>
          <w:sz w:val="26"/>
          <w:szCs w:val="26"/>
        </w:rPr>
      </w:pPr>
    </w:p>
    <w:p w:rsidR="009A03C0" w:rsidRPr="002E5CB8" w:rsidRDefault="009A03C0" w:rsidP="002E5CB8">
      <w:pPr>
        <w:numPr>
          <w:ilvl w:val="0"/>
          <w:numId w:val="28"/>
        </w:numPr>
        <w:ind w:left="0" w:firstLine="0"/>
        <w:rPr>
          <w:rFonts w:cs="Arial"/>
          <w:sz w:val="26"/>
          <w:szCs w:val="26"/>
        </w:rPr>
      </w:pPr>
      <w:r w:rsidRPr="00C64FBD">
        <w:rPr>
          <w:rFonts w:cs="Arial"/>
          <w:sz w:val="26"/>
          <w:szCs w:val="26"/>
        </w:rPr>
        <w:t xml:space="preserve">La violencia sexual relacionada con los conflictos </w:t>
      </w:r>
      <w:r w:rsidR="003936DB">
        <w:rPr>
          <w:rFonts w:cs="Arial"/>
          <w:sz w:val="26"/>
          <w:szCs w:val="26"/>
        </w:rPr>
        <w:t xml:space="preserve">armados </w:t>
      </w:r>
      <w:r w:rsidRPr="00C64FBD">
        <w:rPr>
          <w:rFonts w:cs="Arial"/>
          <w:sz w:val="26"/>
          <w:szCs w:val="26"/>
        </w:rPr>
        <w:t xml:space="preserve">se refiere a </w:t>
      </w:r>
      <w:r w:rsidR="002E5CB8" w:rsidRPr="00C64FBD">
        <w:rPr>
          <w:rFonts w:cs="Arial"/>
          <w:sz w:val="26"/>
          <w:szCs w:val="26"/>
        </w:rPr>
        <w:t>actos</w:t>
      </w:r>
      <w:r w:rsidRPr="00C64FBD">
        <w:rPr>
          <w:rFonts w:cs="Arial"/>
          <w:sz w:val="26"/>
          <w:szCs w:val="26"/>
        </w:rPr>
        <w:t xml:space="preserve"> de </w:t>
      </w:r>
      <w:r w:rsidR="00C64FBD" w:rsidRPr="00C64FBD">
        <w:rPr>
          <w:rFonts w:cs="Arial"/>
          <w:sz w:val="26"/>
          <w:szCs w:val="26"/>
        </w:rPr>
        <w:t>agresión</w:t>
      </w:r>
      <w:r w:rsidRPr="00C64FBD">
        <w:rPr>
          <w:rFonts w:cs="Arial"/>
          <w:sz w:val="26"/>
          <w:szCs w:val="26"/>
        </w:rPr>
        <w:t xml:space="preserve"> sexual </w:t>
      </w:r>
      <w:r w:rsidR="002E5CB8" w:rsidRPr="00C64FBD">
        <w:rPr>
          <w:rFonts w:cs="Arial"/>
          <w:sz w:val="26"/>
          <w:szCs w:val="26"/>
        </w:rPr>
        <w:t>cometidos</w:t>
      </w:r>
      <w:r w:rsidRPr="00C64FBD">
        <w:rPr>
          <w:rFonts w:cs="Arial"/>
          <w:sz w:val="26"/>
          <w:szCs w:val="26"/>
        </w:rPr>
        <w:t xml:space="preserve"> contra las mujeres, los hombres o los </w:t>
      </w:r>
      <w:r w:rsidRPr="009A03C0">
        <w:rPr>
          <w:rFonts w:cs="Arial"/>
          <w:sz w:val="26"/>
          <w:szCs w:val="26"/>
        </w:rPr>
        <w:t>niños</w:t>
      </w:r>
      <w:r w:rsidR="00B55F2E" w:rsidRPr="00B55F2E">
        <w:t xml:space="preserve"> </w:t>
      </w:r>
      <w:r w:rsidR="002E5CB8">
        <w:rPr>
          <w:rFonts w:cs="Arial"/>
          <w:sz w:val="26"/>
          <w:szCs w:val="26"/>
        </w:rPr>
        <w:t>que</w:t>
      </w:r>
      <w:r w:rsidR="00B55F2E" w:rsidRPr="00B55F2E">
        <w:rPr>
          <w:rFonts w:cs="Arial"/>
          <w:sz w:val="26"/>
          <w:szCs w:val="26"/>
        </w:rPr>
        <w:t xml:space="preserve"> </w:t>
      </w:r>
      <w:r w:rsidR="00B55F2E" w:rsidRPr="002E5CB8">
        <w:rPr>
          <w:rFonts w:cs="Arial"/>
          <w:sz w:val="26"/>
          <w:szCs w:val="26"/>
        </w:rPr>
        <w:t xml:space="preserve">guardan una relación directa o indirecta con el conflicto o enfrentamiento político, es decir, una relación temporal, geográfica o causal. </w:t>
      </w:r>
      <w:r w:rsidR="002E5CB8">
        <w:rPr>
          <w:rFonts w:cs="Arial"/>
          <w:sz w:val="26"/>
          <w:szCs w:val="26"/>
        </w:rPr>
        <w:t>L</w:t>
      </w:r>
      <w:r w:rsidR="00B55F2E" w:rsidRPr="002E5CB8">
        <w:rPr>
          <w:rFonts w:cs="Arial"/>
          <w:sz w:val="26"/>
          <w:szCs w:val="26"/>
        </w:rPr>
        <w:t xml:space="preserve">a relación con el conflicto puede ser evidente teniendo en cuenta el perfil y las motivaciones del autor, el perfil de la víctima, el clima de impunidad o la situación de colapso en que se encuentre el Estado en cuestión, las dimensiones transfronterizas o el hecho de que violen lo dispuesto en un acuerdo de </w:t>
      </w:r>
      <w:r w:rsidR="003936DB">
        <w:rPr>
          <w:rFonts w:cs="Arial"/>
          <w:sz w:val="26"/>
          <w:szCs w:val="26"/>
        </w:rPr>
        <w:t>cese a</w:t>
      </w:r>
      <w:r w:rsidR="00B55F2E" w:rsidRPr="002E5CB8">
        <w:rPr>
          <w:rFonts w:cs="Arial"/>
          <w:sz w:val="26"/>
          <w:szCs w:val="26"/>
        </w:rPr>
        <w:t>l fuego</w:t>
      </w:r>
      <w:r w:rsidR="002E5CB8">
        <w:rPr>
          <w:rStyle w:val="Refdenotaalpie"/>
          <w:sz w:val="26"/>
          <w:szCs w:val="26"/>
        </w:rPr>
        <w:footnoteReference w:id="18"/>
      </w:r>
      <w:r w:rsidR="00B55F2E" w:rsidRPr="002E5CB8">
        <w:rPr>
          <w:rFonts w:cs="Arial"/>
          <w:sz w:val="26"/>
          <w:szCs w:val="26"/>
        </w:rPr>
        <w:t>.</w:t>
      </w:r>
    </w:p>
    <w:p w:rsidR="008775BA" w:rsidRDefault="008775BA" w:rsidP="004A6C1C">
      <w:pPr>
        <w:rPr>
          <w:rFonts w:cs="Arial"/>
          <w:sz w:val="26"/>
          <w:szCs w:val="26"/>
        </w:rPr>
      </w:pPr>
    </w:p>
    <w:p w:rsidR="008775BA" w:rsidRPr="003936DB" w:rsidRDefault="008775BA" w:rsidP="003936DB">
      <w:pPr>
        <w:numPr>
          <w:ilvl w:val="0"/>
          <w:numId w:val="28"/>
        </w:numPr>
        <w:ind w:left="0" w:firstLine="0"/>
        <w:rPr>
          <w:rFonts w:cs="Arial"/>
          <w:sz w:val="26"/>
          <w:szCs w:val="26"/>
        </w:rPr>
      </w:pPr>
      <w:r>
        <w:rPr>
          <w:rFonts w:cs="Arial"/>
          <w:sz w:val="26"/>
          <w:szCs w:val="26"/>
        </w:rPr>
        <w:t xml:space="preserve">El conflicto colombiano se inscribe en una dinámica en la que la conquista de la tierra y el sometimiento del </w:t>
      </w:r>
      <w:r w:rsidR="00214934">
        <w:rPr>
          <w:rFonts w:cs="Arial"/>
          <w:sz w:val="26"/>
          <w:szCs w:val="26"/>
        </w:rPr>
        <w:t>contrario</w:t>
      </w:r>
      <w:r>
        <w:rPr>
          <w:rFonts w:cs="Arial"/>
          <w:sz w:val="26"/>
          <w:szCs w:val="26"/>
        </w:rPr>
        <w:t xml:space="preserve"> prevalecen sobre el </w:t>
      </w:r>
      <w:r w:rsidRPr="002456D1">
        <w:rPr>
          <w:rFonts w:cs="Arial"/>
          <w:i/>
          <w:sz w:val="26"/>
          <w:szCs w:val="26"/>
        </w:rPr>
        <w:t>ethos</w:t>
      </w:r>
      <w:r>
        <w:rPr>
          <w:rFonts w:cs="Arial"/>
          <w:sz w:val="26"/>
          <w:szCs w:val="26"/>
        </w:rPr>
        <w:t xml:space="preserve"> de la conservación y el cuidado</w:t>
      </w:r>
      <w:r>
        <w:rPr>
          <w:rStyle w:val="Refdenotaalpie"/>
          <w:sz w:val="26"/>
          <w:szCs w:val="26"/>
        </w:rPr>
        <w:footnoteReference w:id="19"/>
      </w:r>
      <w:r>
        <w:rPr>
          <w:rFonts w:cs="Arial"/>
          <w:sz w:val="26"/>
          <w:szCs w:val="26"/>
        </w:rPr>
        <w:t xml:space="preserve">. </w:t>
      </w:r>
      <w:r w:rsidR="008914EA">
        <w:rPr>
          <w:rFonts w:cs="Arial"/>
          <w:sz w:val="26"/>
          <w:szCs w:val="26"/>
        </w:rPr>
        <w:t xml:space="preserve">Algunos de los factores que promueven la violencia contra la mujer son las </w:t>
      </w:r>
      <w:r w:rsidR="008914EA" w:rsidRPr="008914EA">
        <w:rPr>
          <w:rFonts w:cs="Arial"/>
          <w:sz w:val="26"/>
          <w:szCs w:val="26"/>
        </w:rPr>
        <w:t>representaciones de la masculinidad y la feminidad</w:t>
      </w:r>
      <w:r w:rsidR="003936DB">
        <w:rPr>
          <w:rFonts w:cs="Arial"/>
          <w:sz w:val="26"/>
          <w:szCs w:val="26"/>
        </w:rPr>
        <w:t>, reprochables y contrarias a la dignidad</w:t>
      </w:r>
      <w:r w:rsidR="003936DB" w:rsidRPr="003936DB">
        <w:rPr>
          <w:rFonts w:cs="Arial"/>
          <w:sz w:val="26"/>
          <w:szCs w:val="26"/>
        </w:rPr>
        <w:t xml:space="preserve">, </w:t>
      </w:r>
      <w:r w:rsidR="003936DB">
        <w:rPr>
          <w:rFonts w:cs="Arial"/>
          <w:sz w:val="26"/>
          <w:szCs w:val="26"/>
        </w:rPr>
        <w:t>que la</w:t>
      </w:r>
      <w:r w:rsidR="008914EA" w:rsidRPr="003936DB">
        <w:rPr>
          <w:rFonts w:cs="Arial"/>
          <w:sz w:val="26"/>
          <w:szCs w:val="26"/>
        </w:rPr>
        <w:t xml:space="preserve">s </w:t>
      </w:r>
      <w:r w:rsidR="003936DB">
        <w:rPr>
          <w:rFonts w:cs="Arial"/>
          <w:sz w:val="26"/>
          <w:szCs w:val="26"/>
        </w:rPr>
        <w:t>organizaciones</w:t>
      </w:r>
      <w:r w:rsidR="008914EA" w:rsidRPr="003936DB">
        <w:rPr>
          <w:rFonts w:cs="Arial"/>
          <w:sz w:val="26"/>
          <w:szCs w:val="26"/>
        </w:rPr>
        <w:t xml:space="preserve"> </w:t>
      </w:r>
      <w:r w:rsidR="003936DB">
        <w:rPr>
          <w:rFonts w:cs="Arial"/>
          <w:sz w:val="26"/>
          <w:szCs w:val="26"/>
        </w:rPr>
        <w:t>armada</w:t>
      </w:r>
      <w:r w:rsidR="008914EA" w:rsidRPr="003936DB">
        <w:rPr>
          <w:rFonts w:cs="Arial"/>
          <w:sz w:val="26"/>
          <w:szCs w:val="26"/>
        </w:rPr>
        <w:t xml:space="preserve">s inculcan en sus integrantes en los entrenamientos, las </w:t>
      </w:r>
      <w:r w:rsidR="003936DB">
        <w:rPr>
          <w:rFonts w:cs="Arial"/>
          <w:sz w:val="26"/>
          <w:szCs w:val="26"/>
        </w:rPr>
        <w:t>tácticas</w:t>
      </w:r>
      <w:r w:rsidR="008914EA" w:rsidRPr="003936DB">
        <w:rPr>
          <w:rFonts w:cs="Arial"/>
          <w:sz w:val="26"/>
          <w:szCs w:val="26"/>
        </w:rPr>
        <w:t xml:space="preserve"> que utilizan para derrotar a sus enemigos y establecer sus dominios, los repertorios y pautas de regulación social que aplican para mantener el control, el comportamiento de los </w:t>
      </w:r>
      <w:r w:rsidR="003936DB">
        <w:rPr>
          <w:rFonts w:cs="Arial"/>
          <w:sz w:val="26"/>
          <w:szCs w:val="26"/>
        </w:rPr>
        <w:t>combatientes</w:t>
      </w:r>
      <w:r w:rsidR="008914EA" w:rsidRPr="003936DB">
        <w:rPr>
          <w:rFonts w:cs="Arial"/>
          <w:sz w:val="26"/>
          <w:szCs w:val="26"/>
        </w:rPr>
        <w:t xml:space="preserve"> frente a las mujeres, entre otros</w:t>
      </w:r>
      <w:r w:rsidR="008914EA">
        <w:rPr>
          <w:rStyle w:val="Refdenotaalpie"/>
          <w:sz w:val="26"/>
          <w:szCs w:val="26"/>
        </w:rPr>
        <w:footnoteReference w:id="20"/>
      </w:r>
      <w:r w:rsidR="008914EA" w:rsidRPr="003936DB">
        <w:rPr>
          <w:rFonts w:cs="Arial"/>
          <w:sz w:val="26"/>
          <w:szCs w:val="26"/>
        </w:rPr>
        <w:t xml:space="preserve">. </w:t>
      </w:r>
      <w:r w:rsidRPr="003936DB">
        <w:rPr>
          <w:rFonts w:cs="Arial"/>
          <w:sz w:val="26"/>
          <w:szCs w:val="26"/>
        </w:rPr>
        <w:t>Si bien es cierto que l</w:t>
      </w:r>
      <w:r w:rsidR="008914EA" w:rsidRPr="003936DB">
        <w:rPr>
          <w:rFonts w:cs="Arial"/>
          <w:sz w:val="26"/>
          <w:szCs w:val="26"/>
        </w:rPr>
        <w:t>a población civil soporta, en</w:t>
      </w:r>
      <w:r w:rsidRPr="003936DB">
        <w:rPr>
          <w:rFonts w:cs="Arial"/>
          <w:sz w:val="26"/>
          <w:szCs w:val="26"/>
        </w:rPr>
        <w:t xml:space="preserve"> conjunto, las peores consecuencias del conflicto armado, </w:t>
      </w:r>
      <w:r w:rsidR="00A62400" w:rsidRPr="003936DB">
        <w:rPr>
          <w:rFonts w:cs="Arial"/>
          <w:sz w:val="26"/>
          <w:szCs w:val="26"/>
        </w:rPr>
        <w:t>las repercusiones</w:t>
      </w:r>
      <w:r w:rsidRPr="003936DB">
        <w:rPr>
          <w:rFonts w:cs="Arial"/>
          <w:sz w:val="26"/>
          <w:szCs w:val="26"/>
        </w:rPr>
        <w:t xml:space="preserve"> sobre hombres y mujeres son distintos porque estas, a diferencia de los hombres, sufren actos de violencia y discriminación por el </w:t>
      </w:r>
      <w:r w:rsidR="008914EA" w:rsidRPr="003936DB">
        <w:rPr>
          <w:rFonts w:cs="Arial"/>
          <w:sz w:val="26"/>
          <w:szCs w:val="26"/>
        </w:rPr>
        <w:t xml:space="preserve">solo </w:t>
      </w:r>
      <w:r w:rsidRPr="003936DB">
        <w:rPr>
          <w:rFonts w:cs="Arial"/>
          <w:sz w:val="26"/>
          <w:szCs w:val="26"/>
        </w:rPr>
        <w:t xml:space="preserve">hecho de </w:t>
      </w:r>
      <w:r w:rsidR="00460B72" w:rsidRPr="003936DB">
        <w:rPr>
          <w:rFonts w:cs="Arial"/>
          <w:sz w:val="26"/>
          <w:szCs w:val="26"/>
        </w:rPr>
        <w:t>ser mujeres</w:t>
      </w:r>
      <w:r>
        <w:rPr>
          <w:rStyle w:val="Refdenotaalpie"/>
          <w:sz w:val="26"/>
          <w:szCs w:val="26"/>
        </w:rPr>
        <w:footnoteReference w:id="21"/>
      </w:r>
      <w:r w:rsidRPr="003936DB">
        <w:rPr>
          <w:rFonts w:cs="Arial"/>
          <w:sz w:val="26"/>
          <w:szCs w:val="26"/>
        </w:rPr>
        <w:t xml:space="preserve">. </w:t>
      </w:r>
    </w:p>
    <w:p w:rsidR="008775BA" w:rsidRDefault="008775BA" w:rsidP="000638EB">
      <w:pPr>
        <w:rPr>
          <w:rFonts w:cs="Arial"/>
          <w:sz w:val="26"/>
          <w:szCs w:val="26"/>
        </w:rPr>
      </w:pPr>
    </w:p>
    <w:p w:rsidR="008775BA" w:rsidRDefault="00460B72" w:rsidP="000638EB">
      <w:pPr>
        <w:numPr>
          <w:ilvl w:val="1"/>
          <w:numId w:val="28"/>
        </w:numPr>
        <w:ind w:left="0" w:firstLine="0"/>
        <w:rPr>
          <w:rFonts w:cs="Arial"/>
          <w:sz w:val="26"/>
          <w:szCs w:val="26"/>
        </w:rPr>
      </w:pPr>
      <w:r>
        <w:rPr>
          <w:rFonts w:cs="Arial"/>
          <w:sz w:val="26"/>
          <w:szCs w:val="26"/>
        </w:rPr>
        <w:t>L</w:t>
      </w:r>
      <w:r w:rsidRPr="005A2F51">
        <w:rPr>
          <w:rFonts w:cs="Arial"/>
          <w:sz w:val="26"/>
          <w:szCs w:val="26"/>
        </w:rPr>
        <w:t>a Corte Constitucional</w:t>
      </w:r>
      <w:r>
        <w:rPr>
          <w:rFonts w:cs="Arial"/>
          <w:sz w:val="26"/>
          <w:szCs w:val="26"/>
        </w:rPr>
        <w:t>,</w:t>
      </w:r>
      <w:r w:rsidRPr="005A2F51">
        <w:rPr>
          <w:rFonts w:cs="Arial"/>
          <w:sz w:val="26"/>
          <w:szCs w:val="26"/>
        </w:rPr>
        <w:t xml:space="preserve"> </w:t>
      </w:r>
      <w:r w:rsidR="008775BA">
        <w:rPr>
          <w:rFonts w:cs="Arial"/>
          <w:sz w:val="26"/>
          <w:szCs w:val="26"/>
        </w:rPr>
        <w:t>en el Auto 092 de 2008</w:t>
      </w:r>
      <w:r w:rsidR="008775BA">
        <w:rPr>
          <w:rStyle w:val="Refdenotaalpie"/>
          <w:sz w:val="26"/>
          <w:szCs w:val="26"/>
        </w:rPr>
        <w:footnoteReference w:id="22"/>
      </w:r>
      <w:r w:rsidR="008775BA">
        <w:rPr>
          <w:rFonts w:cs="Arial"/>
          <w:sz w:val="26"/>
          <w:szCs w:val="26"/>
        </w:rPr>
        <w:t>, identificó diez</w:t>
      </w:r>
      <w:r w:rsidR="008775BA" w:rsidRPr="005A2F51">
        <w:rPr>
          <w:rFonts w:cs="Arial"/>
          <w:sz w:val="26"/>
          <w:szCs w:val="26"/>
        </w:rPr>
        <w:t xml:space="preserve"> </w:t>
      </w:r>
      <w:r w:rsidR="008775BA">
        <w:rPr>
          <w:rFonts w:cs="Arial"/>
          <w:sz w:val="26"/>
          <w:szCs w:val="26"/>
        </w:rPr>
        <w:t>“</w:t>
      </w:r>
      <w:r w:rsidR="008775BA" w:rsidRPr="005A2F51">
        <w:rPr>
          <w:rFonts w:cs="Arial"/>
          <w:i/>
          <w:sz w:val="26"/>
          <w:szCs w:val="26"/>
        </w:rPr>
        <w:t>riesgos de género</w:t>
      </w:r>
      <w:r>
        <w:rPr>
          <w:rFonts w:cs="Arial"/>
          <w:sz w:val="26"/>
          <w:szCs w:val="26"/>
        </w:rPr>
        <w:t>” o</w:t>
      </w:r>
      <w:r w:rsidR="008775BA" w:rsidRPr="005A2F51">
        <w:rPr>
          <w:rFonts w:cs="Arial"/>
          <w:sz w:val="26"/>
          <w:szCs w:val="26"/>
        </w:rPr>
        <w:t xml:space="preserve"> diez factores de vulnerabilidad específicos a los que están expuestas las mujeres por causa de su condición femenina en el marco </w:t>
      </w:r>
      <w:r>
        <w:rPr>
          <w:rFonts w:cs="Arial"/>
          <w:sz w:val="26"/>
          <w:szCs w:val="26"/>
        </w:rPr>
        <w:t>del conflicto armado</w:t>
      </w:r>
      <w:r w:rsidR="008775BA" w:rsidRPr="005A2F51">
        <w:rPr>
          <w:rFonts w:cs="Arial"/>
          <w:sz w:val="26"/>
          <w:szCs w:val="26"/>
        </w:rPr>
        <w:t xml:space="preserve"> intern</w:t>
      </w:r>
      <w:r>
        <w:rPr>
          <w:rFonts w:cs="Arial"/>
          <w:sz w:val="26"/>
          <w:szCs w:val="26"/>
        </w:rPr>
        <w:t>o</w:t>
      </w:r>
      <w:r w:rsidR="008775BA" w:rsidRPr="005A2F51">
        <w:rPr>
          <w:rFonts w:cs="Arial"/>
          <w:sz w:val="26"/>
          <w:szCs w:val="26"/>
        </w:rPr>
        <w:t>, que no son compartidos por los hombres, y que</w:t>
      </w:r>
      <w:r w:rsidR="008775BA">
        <w:rPr>
          <w:rFonts w:cs="Arial"/>
          <w:sz w:val="26"/>
          <w:szCs w:val="26"/>
        </w:rPr>
        <w:t>, según la Corte,</w:t>
      </w:r>
      <w:r w:rsidR="008775BA" w:rsidRPr="005A2F51">
        <w:rPr>
          <w:rFonts w:cs="Arial"/>
          <w:sz w:val="26"/>
          <w:szCs w:val="26"/>
        </w:rPr>
        <w:t xml:space="preserve"> explican en su conjunto el impacto desproporcionado del desplazamiento forzo</w:t>
      </w:r>
      <w:r w:rsidR="008775BA">
        <w:rPr>
          <w:rFonts w:cs="Arial"/>
          <w:sz w:val="26"/>
          <w:szCs w:val="26"/>
        </w:rPr>
        <w:t>so sobre las mujeres:</w:t>
      </w:r>
    </w:p>
    <w:p w:rsidR="008775BA" w:rsidRDefault="008775BA" w:rsidP="005A2F51">
      <w:pPr>
        <w:rPr>
          <w:rFonts w:cs="Arial"/>
          <w:sz w:val="26"/>
          <w:szCs w:val="26"/>
        </w:rPr>
      </w:pPr>
    </w:p>
    <w:p w:rsidR="008775BA" w:rsidRPr="005A2F51" w:rsidRDefault="008775BA" w:rsidP="00504972">
      <w:pPr>
        <w:spacing w:line="240" w:lineRule="auto"/>
        <w:ind w:left="720" w:right="618"/>
        <w:rPr>
          <w:rFonts w:cs="Arial"/>
          <w:i/>
          <w:szCs w:val="24"/>
        </w:rPr>
      </w:pPr>
      <w:r w:rsidRPr="005A2F51">
        <w:rPr>
          <w:rFonts w:cs="Arial"/>
          <w:i/>
          <w:szCs w:val="24"/>
        </w:rPr>
        <w:t xml:space="preserve">Estos riesgos son: (i) el riesgo de violencia sexual, explotación sexual o abuso sexual en el marco del conflicto armado; (ii) el riesgo de explotación o esclavización para ejercer labores domésticas y roles considerados femeninos en una sociedad con rasgos patriarcales, por parte de los actores armados ilegales; (iii) el riesgo de reclutamiento forzado de sus hijos e hijas por los actores armados al margen de la ley, o de otro tipo de amenazas contra ellos, que se hace más grave cuando la mujer es cabeza de familia; (iv) los riesgos derivados del contacto o de las relaciones familiares o personales </w:t>
      </w:r>
      <w:r>
        <w:rPr>
          <w:rFonts w:cs="Arial"/>
          <w:i/>
          <w:szCs w:val="24"/>
        </w:rPr>
        <w:t>–</w:t>
      </w:r>
      <w:r w:rsidRPr="005A2F51">
        <w:rPr>
          <w:rFonts w:cs="Arial"/>
          <w:i/>
          <w:szCs w:val="24"/>
        </w:rPr>
        <w:t>voluntarias, accidentales o presuntas</w:t>
      </w:r>
      <w:r>
        <w:rPr>
          <w:rFonts w:cs="Arial"/>
          <w:i/>
          <w:szCs w:val="24"/>
        </w:rPr>
        <w:t>–</w:t>
      </w:r>
      <w:r w:rsidRPr="005A2F51">
        <w:rPr>
          <w:rFonts w:cs="Arial"/>
          <w:i/>
          <w:szCs w:val="24"/>
        </w:rPr>
        <w:t xml:space="preserve"> con los integrantes de alguno de los grupos armados ilegales que operan en el país o con miembros de la Fuerza Pública, principalmente por señalamientos o retaliaciones efectuados </w:t>
      </w:r>
      <w:r w:rsidRPr="005A2F51">
        <w:rPr>
          <w:rFonts w:cs="Arial"/>
          <w:szCs w:val="24"/>
        </w:rPr>
        <w:t>a posteriori</w:t>
      </w:r>
      <w:r w:rsidRPr="005A2F51">
        <w:rPr>
          <w:rFonts w:cs="Arial"/>
          <w:i/>
          <w:szCs w:val="24"/>
        </w:rPr>
        <w:t xml:space="preserve"> por los bandos ilegales enemigos; (v) los riesgos derivados de su pertenencia a organizaciones sociales, comunitarias o políticas de mujeres, o de sus labores de liderazgo y promoción de los derechos humanos en zonas afectadas por el conflicto armado; (vi) el riesgo de persecución y asesinato por las estrategias de control coercitivo del comportamiento público y privado de las personas que implementan los grupos armados ilegales en extensas áreas del territorio nacional; (vii) el riesgo por el asesinato o desaparición de su proveedor económico o por la desintegración de sus grupos familiares y de sus redes de apoyo material y social; (viii) el riesgo de ser despojadas de sus tierras y su patrimonio con mayor facilidad por los actores armados ilegales dada su posición histórica ante la propiedad, especialmente las propiedades inmuebles rurales; (ix) los riesgos derivados de la condición de discriminación y vulnerabilidad acentuada de las mujeres indígenas y afrodescendientes; y (x) el riesgo por la pérdida o ausencia de su compañero o proveedor económico durante el proceso de desplazamiento</w:t>
      </w:r>
      <w:r w:rsidRPr="003B5D1B">
        <w:rPr>
          <w:rStyle w:val="Refdenotaalpie"/>
          <w:szCs w:val="24"/>
        </w:rPr>
        <w:footnoteReference w:id="23"/>
      </w:r>
      <w:r w:rsidRPr="005A2F51">
        <w:rPr>
          <w:rFonts w:cs="Arial"/>
          <w:i/>
          <w:szCs w:val="24"/>
        </w:rPr>
        <w:t>.</w:t>
      </w:r>
    </w:p>
    <w:p w:rsidR="008775BA" w:rsidRDefault="008775BA" w:rsidP="007D5152">
      <w:pPr>
        <w:rPr>
          <w:rFonts w:cs="Arial"/>
          <w:sz w:val="26"/>
          <w:szCs w:val="26"/>
        </w:rPr>
      </w:pPr>
    </w:p>
    <w:p w:rsidR="00583FC2" w:rsidRPr="00583FC2" w:rsidRDefault="00583FC2" w:rsidP="00583FC2">
      <w:pPr>
        <w:numPr>
          <w:ilvl w:val="0"/>
          <w:numId w:val="28"/>
        </w:numPr>
        <w:ind w:left="0" w:firstLine="0"/>
        <w:rPr>
          <w:rFonts w:cs="Arial"/>
          <w:sz w:val="26"/>
          <w:szCs w:val="26"/>
        </w:rPr>
      </w:pPr>
      <w:r>
        <w:rPr>
          <w:rFonts w:cs="Arial"/>
          <w:sz w:val="26"/>
          <w:szCs w:val="26"/>
        </w:rPr>
        <w:t xml:space="preserve">En Colombia, las mujeres han sido víctimas de múltiples, atroces y sistemáticos crímenes relacionados con el conflicto armado interno. Las estadísticas oficiales son alarmantes: de acuerdo con las cifras del Registro Único de la Unidad para la Atención y Reparación Integral a las Víctimas, entre 1985 y 2012, </w:t>
      </w:r>
      <w:r w:rsidRPr="00583FC2">
        <w:rPr>
          <w:rFonts w:cs="Arial"/>
          <w:sz w:val="26"/>
          <w:szCs w:val="26"/>
        </w:rPr>
        <w:t xml:space="preserve">2.420.887 mujeres </w:t>
      </w:r>
      <w:r>
        <w:rPr>
          <w:rFonts w:cs="Arial"/>
          <w:sz w:val="26"/>
          <w:szCs w:val="26"/>
        </w:rPr>
        <w:t>fueron</w:t>
      </w:r>
      <w:r w:rsidRPr="00583FC2">
        <w:rPr>
          <w:rFonts w:cs="Arial"/>
          <w:sz w:val="26"/>
          <w:szCs w:val="26"/>
        </w:rPr>
        <w:t xml:space="preserve"> víctimas de desplazamiento forzado, </w:t>
      </w:r>
      <w:r w:rsidR="00F8364E" w:rsidRPr="00583FC2">
        <w:rPr>
          <w:rFonts w:cs="Arial"/>
          <w:sz w:val="26"/>
          <w:szCs w:val="26"/>
        </w:rPr>
        <w:t xml:space="preserve">12.624 de homicidio, 2.601 de desaparición forzada, </w:t>
      </w:r>
      <w:r w:rsidRPr="00583FC2">
        <w:rPr>
          <w:rFonts w:cs="Arial"/>
          <w:sz w:val="26"/>
          <w:szCs w:val="26"/>
        </w:rPr>
        <w:t xml:space="preserve">1.431 de violencia sexual, </w:t>
      </w:r>
      <w:r w:rsidR="00F8364E">
        <w:rPr>
          <w:rFonts w:cs="Arial"/>
          <w:sz w:val="26"/>
          <w:szCs w:val="26"/>
        </w:rPr>
        <w:t>592 de minas antipersona</w:t>
      </w:r>
      <w:r w:rsidRPr="00583FC2">
        <w:rPr>
          <w:rFonts w:cs="Arial"/>
          <w:sz w:val="26"/>
          <w:szCs w:val="26"/>
        </w:rPr>
        <w:t>, 1.697 de reclutamiento ilícito y 5.873 de secuestro</w:t>
      </w:r>
      <w:r w:rsidR="00684DE2">
        <w:rPr>
          <w:rStyle w:val="Refdenotaalpie"/>
          <w:sz w:val="26"/>
          <w:szCs w:val="26"/>
        </w:rPr>
        <w:footnoteReference w:id="24"/>
      </w:r>
      <w:r>
        <w:rPr>
          <w:rFonts w:cs="Arial"/>
          <w:sz w:val="26"/>
          <w:szCs w:val="26"/>
        </w:rPr>
        <w:t>.</w:t>
      </w:r>
    </w:p>
    <w:p w:rsidR="00583FC2" w:rsidRDefault="00583FC2" w:rsidP="00583FC2">
      <w:pPr>
        <w:rPr>
          <w:rFonts w:cs="Arial"/>
          <w:sz w:val="26"/>
          <w:szCs w:val="26"/>
        </w:rPr>
      </w:pPr>
    </w:p>
    <w:p w:rsidR="008775BA" w:rsidRDefault="008775BA" w:rsidP="008E02B1">
      <w:pPr>
        <w:numPr>
          <w:ilvl w:val="0"/>
          <w:numId w:val="28"/>
        </w:numPr>
        <w:ind w:left="0" w:firstLine="0"/>
        <w:rPr>
          <w:rFonts w:cs="Arial"/>
          <w:sz w:val="26"/>
          <w:szCs w:val="26"/>
        </w:rPr>
      </w:pPr>
      <w:r>
        <w:rPr>
          <w:rFonts w:cs="Arial"/>
          <w:sz w:val="26"/>
          <w:szCs w:val="26"/>
        </w:rPr>
        <w:t xml:space="preserve">En cuanto a la violencia sexual, la Corte Constitucional, con base en información aportada por </w:t>
      </w:r>
      <w:r w:rsidRPr="008E02B1">
        <w:rPr>
          <w:rFonts w:cs="Arial"/>
          <w:sz w:val="26"/>
          <w:szCs w:val="26"/>
        </w:rPr>
        <w:t>entidades, organizaciones, funcionarios y particulares</w:t>
      </w:r>
      <w:r>
        <w:rPr>
          <w:rFonts w:cs="Arial"/>
          <w:sz w:val="26"/>
          <w:szCs w:val="26"/>
        </w:rPr>
        <w:t xml:space="preserve">, </w:t>
      </w:r>
      <w:r w:rsidR="00986EB0">
        <w:rPr>
          <w:rFonts w:cs="Arial"/>
          <w:sz w:val="26"/>
          <w:szCs w:val="26"/>
        </w:rPr>
        <w:t>present</w:t>
      </w:r>
      <w:r>
        <w:rPr>
          <w:rFonts w:cs="Arial"/>
          <w:sz w:val="26"/>
          <w:szCs w:val="26"/>
        </w:rPr>
        <w:t xml:space="preserve">ó </w:t>
      </w:r>
      <w:r w:rsidR="00986EB0">
        <w:rPr>
          <w:rFonts w:cs="Arial"/>
          <w:sz w:val="26"/>
          <w:szCs w:val="26"/>
        </w:rPr>
        <w:t>el</w:t>
      </w:r>
      <w:r>
        <w:rPr>
          <w:rFonts w:cs="Arial"/>
          <w:sz w:val="26"/>
          <w:szCs w:val="26"/>
        </w:rPr>
        <w:t xml:space="preserve"> amplio y crudo catálogo de crímenes sexuales </w:t>
      </w:r>
      <w:r w:rsidRPr="008E02B1">
        <w:rPr>
          <w:rFonts w:cs="Arial"/>
          <w:sz w:val="26"/>
          <w:szCs w:val="26"/>
        </w:rPr>
        <w:t>cometidos recientemente en</w:t>
      </w:r>
      <w:r>
        <w:rPr>
          <w:rFonts w:cs="Arial"/>
          <w:sz w:val="26"/>
          <w:szCs w:val="26"/>
        </w:rPr>
        <w:t xml:space="preserve"> el conflicto armado colombiano, que da cuenta del extremo de inhumanidad al que ha llegado la confrontación bélica en el país. Se reproduce </w:t>
      </w:r>
      <w:r w:rsidRPr="005E4C11">
        <w:rPr>
          <w:rFonts w:cs="Arial"/>
          <w:i/>
          <w:sz w:val="26"/>
          <w:szCs w:val="26"/>
        </w:rPr>
        <w:t>in extenso</w:t>
      </w:r>
      <w:r>
        <w:rPr>
          <w:rFonts w:cs="Arial"/>
          <w:sz w:val="26"/>
          <w:szCs w:val="26"/>
        </w:rPr>
        <w:t xml:space="preserve"> por su importancia:</w:t>
      </w:r>
    </w:p>
    <w:p w:rsidR="008775BA" w:rsidRDefault="008775BA" w:rsidP="003B5D1B">
      <w:pPr>
        <w:rPr>
          <w:rFonts w:cs="Arial"/>
          <w:sz w:val="26"/>
          <w:szCs w:val="26"/>
        </w:rPr>
      </w:pPr>
    </w:p>
    <w:p w:rsidR="008775BA" w:rsidRPr="00AD69A7" w:rsidRDefault="008775BA" w:rsidP="00504972">
      <w:pPr>
        <w:spacing w:line="240" w:lineRule="auto"/>
        <w:ind w:left="720" w:right="618"/>
        <w:rPr>
          <w:rFonts w:cs="Arial"/>
          <w:i/>
          <w:szCs w:val="24"/>
        </w:rPr>
      </w:pPr>
      <w:r w:rsidRPr="00AD69A7">
        <w:rPr>
          <w:rFonts w:cs="Arial"/>
          <w:i/>
          <w:szCs w:val="24"/>
        </w:rPr>
        <w:t xml:space="preserve">(a) Actos de violencia sexual perpetrados como parte integrante de operaciones violentas de mayor envergadura </w:t>
      </w:r>
      <w:r>
        <w:rPr>
          <w:rFonts w:cs="Arial"/>
          <w:i/>
          <w:szCs w:val="24"/>
        </w:rPr>
        <w:t>–</w:t>
      </w:r>
      <w:r w:rsidRPr="00AD69A7">
        <w:rPr>
          <w:rFonts w:cs="Arial"/>
          <w:i/>
          <w:szCs w:val="24"/>
        </w:rPr>
        <w:t>tales como masacres, tomas, pillajes y destrucciones de poblados</w:t>
      </w:r>
      <w:r>
        <w:rPr>
          <w:rFonts w:cs="Arial"/>
          <w:i/>
          <w:szCs w:val="24"/>
        </w:rPr>
        <w:t>–</w:t>
      </w:r>
      <w:r w:rsidRPr="00AD69A7">
        <w:rPr>
          <w:rFonts w:cs="Arial"/>
          <w:i/>
          <w:szCs w:val="24"/>
        </w:rPr>
        <w:t xml:space="preserve">, cometidos contra las mujeres, jóvenes, niñas y adultas de la localidad afectada, por parte de los integrantes de grupos armados al margen de la ley. Estos actos incluirían, de ser ciertos: violaciones y abusos sexuales individuales y colectivos, torturas sexuales, mutilaciones sexuales y posteriores homicidios de las víctimas, así como actos atroces de ferocidad y barbarie de contenido sexual, crímenes que quedan invisibilizados o sub-registrados en el contexto de la situación general de más amplio alcance, y que han afectado directamente a cientos de mujeres en todo el país. </w:t>
      </w:r>
      <w:r w:rsidR="00986EB0" w:rsidRPr="00986EB0">
        <w:rPr>
          <w:rFonts w:cs="Arial"/>
          <w:szCs w:val="24"/>
        </w:rPr>
        <w:t>(...)</w:t>
      </w:r>
    </w:p>
    <w:p w:rsidR="008775BA" w:rsidRPr="00AD69A7" w:rsidRDefault="008775BA" w:rsidP="00504972">
      <w:pPr>
        <w:spacing w:line="240" w:lineRule="auto"/>
        <w:ind w:left="720" w:right="618"/>
        <w:rPr>
          <w:rFonts w:cs="Arial"/>
          <w:i/>
          <w:szCs w:val="24"/>
        </w:rPr>
      </w:pPr>
      <w:r w:rsidRPr="00AD69A7">
        <w:rPr>
          <w:rFonts w:cs="Arial"/>
          <w:i/>
          <w:szCs w:val="24"/>
        </w:rPr>
        <w:t xml:space="preserve"> </w:t>
      </w:r>
    </w:p>
    <w:p w:rsidR="008775BA" w:rsidRPr="00AD69A7" w:rsidRDefault="008775BA" w:rsidP="00504972">
      <w:pPr>
        <w:spacing w:line="240" w:lineRule="auto"/>
        <w:ind w:left="720" w:right="618"/>
        <w:rPr>
          <w:rFonts w:cs="Arial"/>
          <w:i/>
          <w:szCs w:val="24"/>
        </w:rPr>
      </w:pPr>
      <w:r w:rsidRPr="00AD69A7">
        <w:rPr>
          <w:rFonts w:cs="Arial"/>
          <w:i/>
          <w:szCs w:val="24"/>
        </w:rPr>
        <w:t>(b) Actos deliberados de violencia sexual cometidos ya no en el marco de acciones violentas de mayor alcance, sino individualmente por los miembros de todos los grupos armados que toman y han tomado parte en el conflicto, que en sí mismos forman parte (i) de estrategias bélicas enfocadas en el amedrentamiento de la población, (ii) de retaliación contra los auxiliadores reales o presuntos del bando enemigo a través del ejercicio de la violencia contra las mujeres de sus familias o comunidades, (iii) de retaliación contra las mujeres acusadas de ser colaboradoras o informantes de alguno de los grupos armados enfrentados, (iv) de avance en el control territorial y de recursos, (v) de coacción para diversos propósitos en el marco de las estrategias de avance de los grupos armados, (vi) de obtención de información mediante el secuestro y sometimiento sexual de las víctimas, o</w:t>
      </w:r>
      <w:r>
        <w:rPr>
          <w:rFonts w:cs="Arial"/>
          <w:i/>
          <w:szCs w:val="24"/>
        </w:rPr>
        <w:t xml:space="preserve"> (vii) de simple ferocidad.</w:t>
      </w:r>
      <w:r w:rsidRPr="00AD69A7">
        <w:rPr>
          <w:rFonts w:cs="Arial"/>
          <w:i/>
          <w:szCs w:val="24"/>
        </w:rPr>
        <w:t xml:space="preserve"> Estos actos abarcan crímenes tales como la violación colectiva o individual –a menudo seguida del asesinato de la víctima</w:t>
      </w:r>
      <w:r>
        <w:rPr>
          <w:rFonts w:cs="Arial"/>
          <w:i/>
          <w:szCs w:val="24"/>
        </w:rPr>
        <w:t>–</w:t>
      </w:r>
      <w:r w:rsidRPr="00AD69A7">
        <w:rPr>
          <w:rFonts w:cs="Arial"/>
          <w:i/>
          <w:szCs w:val="24"/>
        </w:rPr>
        <w:t>, las torturas y mutilaciones sexuales, la prostitución forzada, la esclavización sexual, la desnudez pública forzada, la humillación sexual individual y colectiva, el sometimiento a violencia sexual como medio para obtener información, o la amenaza de violencia sexual, efectuados contra mujeres, jóvenes, niñas y adultas mayores, a menudo frente a sus familias o ante la totalidad de sus comunidades, así como su sometimiento a prácticas crueles, inhumanas y degradantes tales como bailes, desfiles, entretenimientos o acompañamientos forzados para complacer a los miembros de los grupos armados, y actos de sevicia cometidos públicamente contra sus cuerpos o cadáveres –tales como distintos desmembramientos o empalamientos, en varios casos de mujeres embarazadas y de mujeres vivas</w:t>
      </w:r>
      <w:r>
        <w:rPr>
          <w:rFonts w:cs="Arial"/>
          <w:i/>
          <w:szCs w:val="24"/>
        </w:rPr>
        <w:t>–</w:t>
      </w:r>
      <w:r w:rsidRPr="00AD69A7">
        <w:rPr>
          <w:rFonts w:cs="Arial"/>
          <w:i/>
          <w:szCs w:val="24"/>
        </w:rPr>
        <w:t xml:space="preserve">. </w:t>
      </w:r>
      <w:r w:rsidR="00986EB0" w:rsidRPr="00986EB0">
        <w:rPr>
          <w:rFonts w:cs="Arial"/>
          <w:szCs w:val="24"/>
        </w:rPr>
        <w:t>(...)</w:t>
      </w:r>
    </w:p>
    <w:p w:rsidR="008775BA" w:rsidRPr="00AD69A7" w:rsidRDefault="008775BA" w:rsidP="00504972">
      <w:pPr>
        <w:spacing w:line="240" w:lineRule="auto"/>
        <w:ind w:left="720" w:right="618"/>
        <w:rPr>
          <w:rFonts w:cs="Arial"/>
          <w:i/>
          <w:szCs w:val="24"/>
        </w:rPr>
      </w:pPr>
      <w:r w:rsidRPr="00AD69A7">
        <w:rPr>
          <w:rFonts w:cs="Arial"/>
          <w:i/>
          <w:szCs w:val="24"/>
        </w:rPr>
        <w:t xml:space="preserve"> </w:t>
      </w:r>
    </w:p>
    <w:p w:rsidR="008775BA" w:rsidRPr="00AD69A7" w:rsidRDefault="008775BA" w:rsidP="00504972">
      <w:pPr>
        <w:spacing w:line="240" w:lineRule="auto"/>
        <w:ind w:left="720" w:right="618"/>
        <w:rPr>
          <w:rFonts w:cs="Arial"/>
          <w:i/>
          <w:szCs w:val="24"/>
        </w:rPr>
      </w:pPr>
      <w:r w:rsidRPr="00AD69A7">
        <w:rPr>
          <w:rFonts w:cs="Arial"/>
          <w:i/>
          <w:szCs w:val="24"/>
        </w:rPr>
        <w:t>(c) La violencia sexual contra mujeres señaladas de tener relaciones familiares o afectivas (reales o presuntas) con un miembro o colaborador de alguno de los actores armados legales e ilegales, por parte de sus bandos enemigos, que incluye actos tales como violaciones individuales y colectivas, torturas y mutilaciones sexuales, en tanto forma de retaliación y de amedrentamiento de sus comunidades</w:t>
      </w:r>
      <w:r w:rsidR="00986EB0">
        <w:rPr>
          <w:rFonts w:cs="Arial"/>
          <w:i/>
          <w:szCs w:val="24"/>
        </w:rPr>
        <w:t>.</w:t>
      </w:r>
      <w:r w:rsidRPr="00AD69A7">
        <w:rPr>
          <w:rFonts w:cs="Arial"/>
          <w:i/>
          <w:szCs w:val="24"/>
        </w:rPr>
        <w:t xml:space="preserve"> </w:t>
      </w:r>
      <w:r w:rsidR="00986EB0" w:rsidRPr="00986EB0">
        <w:rPr>
          <w:rFonts w:cs="Arial"/>
          <w:szCs w:val="24"/>
        </w:rPr>
        <w:t>(...)</w:t>
      </w:r>
    </w:p>
    <w:p w:rsidR="008775BA" w:rsidRPr="00AD69A7" w:rsidRDefault="008775BA" w:rsidP="00504972">
      <w:pPr>
        <w:spacing w:line="240" w:lineRule="auto"/>
        <w:ind w:left="720" w:right="618"/>
        <w:rPr>
          <w:rFonts w:cs="Arial"/>
          <w:i/>
          <w:szCs w:val="24"/>
        </w:rPr>
      </w:pPr>
      <w:r w:rsidRPr="00AD69A7">
        <w:rPr>
          <w:rFonts w:cs="Arial"/>
          <w:i/>
          <w:szCs w:val="24"/>
        </w:rPr>
        <w:t xml:space="preserve"> </w:t>
      </w:r>
    </w:p>
    <w:p w:rsidR="008775BA" w:rsidRPr="00AD69A7" w:rsidRDefault="008775BA" w:rsidP="00504972">
      <w:pPr>
        <w:spacing w:line="240" w:lineRule="auto"/>
        <w:ind w:left="720" w:right="618"/>
        <w:rPr>
          <w:rFonts w:cs="Arial"/>
          <w:i/>
          <w:szCs w:val="24"/>
        </w:rPr>
      </w:pPr>
      <w:r w:rsidRPr="00AD69A7">
        <w:rPr>
          <w:rFonts w:cs="Arial"/>
          <w:i/>
          <w:szCs w:val="24"/>
        </w:rPr>
        <w:t>(d) La violencia sexual contra las mujeres, jóvenes y niñas que son reclutadas forzosamente por los grupos armados al margen de la ley, violencia sexual que incluye en forma reiterada y sistemática: (i) la violación, (ii) la planificación reproductiva forzada –a través de distintos medios, pero principalmente mediante la colocación de dispositivos intrauterinos y el uso de otros métodos anticonceptivos, en contra de su voluntad y sin información sobre las consecuencias de su implantación, en tanto “orden” de obligatorio cumplimiento</w:t>
      </w:r>
      <w:r>
        <w:rPr>
          <w:rFonts w:cs="Arial"/>
          <w:i/>
          <w:szCs w:val="24"/>
        </w:rPr>
        <w:t>–</w:t>
      </w:r>
      <w:r w:rsidRPr="00AD69A7">
        <w:rPr>
          <w:rFonts w:cs="Arial"/>
          <w:i/>
          <w:szCs w:val="24"/>
        </w:rPr>
        <w:t>, (iii) la esclavización y explotación sexuales, (iv) la prostitución forzada, (v) el abuso sexual, (vi) la esclavización sexual por parte de los jefes o comandantes, (vii) el embarazo forzado, (viii) el aborto forzado y (ix) el contagio de infecciones de transmisión sexual. Se ha reportado por numerosas entidades nacionales e internacionales, de manera consistente y reiterada, que los miembros tanto de las guerrillas –de las FARC y el ELN</w:t>
      </w:r>
      <w:r>
        <w:rPr>
          <w:rFonts w:cs="Arial"/>
          <w:i/>
          <w:szCs w:val="24"/>
        </w:rPr>
        <w:t>–</w:t>
      </w:r>
      <w:r w:rsidRPr="00AD69A7">
        <w:rPr>
          <w:rFonts w:cs="Arial"/>
          <w:i/>
          <w:szCs w:val="24"/>
        </w:rPr>
        <w:t xml:space="preserve"> como de los grupos paramilitares –desmovilizados y en proceso de reconfiguración– que operan a todo lo largo del territorio nacional llevan a cabo este tipo de actos en forma sistemática en el curso de sus actividades criminales.</w:t>
      </w:r>
    </w:p>
    <w:p w:rsidR="008775BA" w:rsidRPr="00AD69A7" w:rsidRDefault="008775BA" w:rsidP="00504972">
      <w:pPr>
        <w:spacing w:line="240" w:lineRule="auto"/>
        <w:ind w:left="720" w:right="618"/>
        <w:rPr>
          <w:rFonts w:cs="Arial"/>
          <w:i/>
          <w:szCs w:val="24"/>
        </w:rPr>
      </w:pPr>
      <w:r w:rsidRPr="00AD69A7">
        <w:rPr>
          <w:rFonts w:cs="Arial"/>
          <w:i/>
          <w:szCs w:val="24"/>
        </w:rPr>
        <w:t xml:space="preserve"> </w:t>
      </w:r>
    </w:p>
    <w:p w:rsidR="008775BA" w:rsidRPr="00AD69A7" w:rsidRDefault="008775BA" w:rsidP="00504972">
      <w:pPr>
        <w:spacing w:line="240" w:lineRule="auto"/>
        <w:ind w:left="720" w:right="618"/>
        <w:rPr>
          <w:rFonts w:cs="Arial"/>
          <w:i/>
          <w:szCs w:val="24"/>
        </w:rPr>
      </w:pPr>
      <w:r w:rsidRPr="00AD69A7">
        <w:rPr>
          <w:rFonts w:cs="Arial"/>
          <w:i/>
          <w:szCs w:val="24"/>
        </w:rPr>
        <w:t xml:space="preserve">(e) El sometimiento de las mujeres, jóvenes y niñas civiles a violaciones, abusos y acosos sexuales individuales o colectivos por parte de los miembros de los grupos armados que operan en su región con el propósito de obtener éstos su propio placer sexual, muchas veces mediante el secuestro y retención de las víctimas durante períodos prolongados de tiempo o mediante requisas abusivas efectuadas en los retenes de los grupos armados ilegales, así como actos de violencia sexual cometidos como retaliación contra las mujeres que se niegan a tener relaciones sexuales con los miembros de alguno de los actores armados o que se resisten a su violencia o explotación sexual espontánea. A la vez, la realización de actos de violencia, abuso y acoso sexual pone a las mujeres víctimas en situación de riesgo de ser objeto de represalias por miembros del bando armado enfrentado. </w:t>
      </w:r>
      <w:r w:rsidR="00986EB0" w:rsidRPr="00986EB0">
        <w:rPr>
          <w:rFonts w:cs="Arial"/>
          <w:szCs w:val="24"/>
        </w:rPr>
        <w:t>(...)</w:t>
      </w:r>
    </w:p>
    <w:p w:rsidR="008775BA" w:rsidRPr="00AD69A7" w:rsidRDefault="008775BA" w:rsidP="00504972">
      <w:pPr>
        <w:spacing w:line="240" w:lineRule="auto"/>
        <w:ind w:left="720" w:right="618"/>
        <w:rPr>
          <w:rFonts w:cs="Arial"/>
          <w:i/>
          <w:szCs w:val="24"/>
        </w:rPr>
      </w:pPr>
      <w:r w:rsidRPr="00AD69A7">
        <w:rPr>
          <w:rFonts w:cs="Arial"/>
          <w:i/>
          <w:szCs w:val="24"/>
        </w:rPr>
        <w:t xml:space="preserve"> </w:t>
      </w:r>
    </w:p>
    <w:p w:rsidR="008775BA" w:rsidRPr="00AD69A7" w:rsidRDefault="008775BA" w:rsidP="00504972">
      <w:pPr>
        <w:spacing w:line="240" w:lineRule="auto"/>
        <w:ind w:left="720" w:right="618"/>
        <w:rPr>
          <w:rFonts w:cs="Arial"/>
          <w:i/>
          <w:szCs w:val="24"/>
        </w:rPr>
      </w:pPr>
      <w:r w:rsidRPr="00AD69A7">
        <w:rPr>
          <w:rFonts w:cs="Arial"/>
          <w:i/>
          <w:szCs w:val="24"/>
        </w:rPr>
        <w:t>(f) Actos de violencia sexual, tortura, mutilaciones sexuales y desnudez pública forzosa o humillación sexual de las mujeres civiles que quebrantan con su comportamiento público o privado los códigos sociales de conducta impuestos de facto por los grupos armados al margen de la ley en amplias exte</w:t>
      </w:r>
      <w:r w:rsidR="00E33A42">
        <w:rPr>
          <w:rFonts w:cs="Arial"/>
          <w:i/>
          <w:szCs w:val="24"/>
        </w:rPr>
        <w:t>nsiones del territorio nacional.</w:t>
      </w:r>
    </w:p>
    <w:p w:rsidR="008775BA" w:rsidRPr="00AD69A7" w:rsidRDefault="008775BA" w:rsidP="00504972">
      <w:pPr>
        <w:spacing w:line="240" w:lineRule="auto"/>
        <w:ind w:left="720" w:right="618"/>
        <w:rPr>
          <w:rFonts w:cs="Arial"/>
          <w:i/>
          <w:szCs w:val="24"/>
        </w:rPr>
      </w:pPr>
      <w:r w:rsidRPr="00AD69A7">
        <w:rPr>
          <w:rFonts w:cs="Arial"/>
          <w:i/>
          <w:szCs w:val="24"/>
        </w:rPr>
        <w:t xml:space="preserve"> </w:t>
      </w:r>
    </w:p>
    <w:p w:rsidR="008775BA" w:rsidRPr="00AD69A7" w:rsidRDefault="008775BA" w:rsidP="00504972">
      <w:pPr>
        <w:spacing w:line="240" w:lineRule="auto"/>
        <w:ind w:left="720" w:right="618"/>
        <w:rPr>
          <w:rFonts w:cs="Arial"/>
          <w:i/>
          <w:szCs w:val="24"/>
        </w:rPr>
      </w:pPr>
      <w:r w:rsidRPr="00AD69A7">
        <w:rPr>
          <w:rFonts w:cs="Arial"/>
          <w:i/>
          <w:szCs w:val="24"/>
        </w:rPr>
        <w:t>(g) Actos de violencia sexual contra mujeres que forman parte de organizaciones sociales, comunitarias o políticas o que se desempeñan como líderes o promotoras de derechos humanos, o contra mujeres miembros de sus familias, en tanto forma de retaliación, represión y silenciamiento de sus actividades por parte de los actores armados</w:t>
      </w:r>
      <w:r w:rsidR="00E33A42">
        <w:rPr>
          <w:rFonts w:cs="Arial"/>
          <w:i/>
          <w:szCs w:val="24"/>
        </w:rPr>
        <w:t>.</w:t>
      </w:r>
      <w:r w:rsidRPr="00AD69A7">
        <w:rPr>
          <w:rFonts w:cs="Arial"/>
          <w:i/>
          <w:szCs w:val="24"/>
        </w:rPr>
        <w:t xml:space="preserve"> </w:t>
      </w:r>
      <w:r w:rsidR="00E33A42" w:rsidRPr="00E33A42">
        <w:rPr>
          <w:rFonts w:cs="Arial"/>
          <w:szCs w:val="24"/>
        </w:rPr>
        <w:t>(...)</w:t>
      </w:r>
    </w:p>
    <w:p w:rsidR="008775BA" w:rsidRPr="00AD69A7" w:rsidRDefault="008775BA" w:rsidP="00504972">
      <w:pPr>
        <w:spacing w:line="240" w:lineRule="auto"/>
        <w:ind w:left="720" w:right="618"/>
        <w:rPr>
          <w:rFonts w:cs="Arial"/>
          <w:i/>
          <w:szCs w:val="24"/>
        </w:rPr>
      </w:pPr>
      <w:r w:rsidRPr="00AD69A7">
        <w:rPr>
          <w:rFonts w:cs="Arial"/>
          <w:i/>
          <w:szCs w:val="24"/>
        </w:rPr>
        <w:t xml:space="preserve"> </w:t>
      </w:r>
    </w:p>
    <w:p w:rsidR="008775BA" w:rsidRPr="00AD69A7" w:rsidRDefault="008775BA" w:rsidP="00504972">
      <w:pPr>
        <w:spacing w:line="240" w:lineRule="auto"/>
        <w:ind w:left="720" w:right="618"/>
        <w:rPr>
          <w:rFonts w:cs="Arial"/>
          <w:i/>
          <w:szCs w:val="24"/>
        </w:rPr>
      </w:pPr>
      <w:r w:rsidRPr="00AD69A7">
        <w:rPr>
          <w:rFonts w:cs="Arial"/>
          <w:i/>
          <w:szCs w:val="24"/>
        </w:rPr>
        <w:t xml:space="preserve">(h) Casos de prostitución forzada y esclavización sexual de mujeres civiles, perpetrados por miembros de los grupos armados ilegales al margen de la ley, principalmente las Autodefensas Unidas de Colombia y las FARC. </w:t>
      </w:r>
      <w:r w:rsidR="00E33A42" w:rsidRPr="00E33A42">
        <w:rPr>
          <w:rFonts w:cs="Arial"/>
          <w:szCs w:val="24"/>
        </w:rPr>
        <w:t>(...)</w:t>
      </w:r>
    </w:p>
    <w:p w:rsidR="008775BA" w:rsidRPr="00AD69A7" w:rsidRDefault="008775BA" w:rsidP="00504972">
      <w:pPr>
        <w:spacing w:line="240" w:lineRule="auto"/>
        <w:ind w:left="720" w:right="618"/>
        <w:rPr>
          <w:rFonts w:cs="Arial"/>
          <w:i/>
          <w:szCs w:val="24"/>
        </w:rPr>
      </w:pPr>
      <w:r w:rsidRPr="00AD69A7">
        <w:rPr>
          <w:rFonts w:cs="Arial"/>
          <w:i/>
          <w:szCs w:val="24"/>
        </w:rPr>
        <w:t xml:space="preserve"> </w:t>
      </w:r>
    </w:p>
    <w:p w:rsidR="008775BA" w:rsidRPr="003B5D1B" w:rsidRDefault="008775BA" w:rsidP="00504972">
      <w:pPr>
        <w:spacing w:line="240" w:lineRule="auto"/>
        <w:ind w:left="720" w:right="618"/>
        <w:rPr>
          <w:rFonts w:cs="Arial"/>
          <w:i/>
          <w:szCs w:val="24"/>
        </w:rPr>
      </w:pPr>
      <w:r w:rsidRPr="00AD69A7">
        <w:rPr>
          <w:rFonts w:cs="Arial"/>
          <w:i/>
          <w:szCs w:val="24"/>
        </w:rPr>
        <w:t>(i) Amenazas de cometer los actos anteriormente enlistados, o atrocidades semejantes</w:t>
      </w:r>
      <w:r w:rsidRPr="003B5D1B">
        <w:rPr>
          <w:rStyle w:val="Refdenotaalpie"/>
          <w:szCs w:val="24"/>
        </w:rPr>
        <w:footnoteReference w:id="25"/>
      </w:r>
      <w:r w:rsidRPr="003B5D1B">
        <w:rPr>
          <w:rFonts w:cs="Arial"/>
          <w:i/>
          <w:szCs w:val="24"/>
        </w:rPr>
        <w:t>.</w:t>
      </w:r>
    </w:p>
    <w:p w:rsidR="008775BA" w:rsidRDefault="008775BA" w:rsidP="009E630D">
      <w:pPr>
        <w:rPr>
          <w:rFonts w:cs="Arial"/>
          <w:sz w:val="26"/>
          <w:szCs w:val="26"/>
        </w:rPr>
      </w:pPr>
    </w:p>
    <w:p w:rsidR="008B0AFD" w:rsidRPr="008B0AFD" w:rsidRDefault="00FC4E34" w:rsidP="008B0AFD">
      <w:pPr>
        <w:numPr>
          <w:ilvl w:val="0"/>
          <w:numId w:val="28"/>
        </w:numPr>
        <w:ind w:left="0" w:firstLine="0"/>
        <w:rPr>
          <w:rFonts w:cs="Arial"/>
          <w:sz w:val="26"/>
          <w:szCs w:val="26"/>
        </w:rPr>
      </w:pPr>
      <w:r>
        <w:rPr>
          <w:rFonts w:cs="Arial"/>
          <w:sz w:val="26"/>
          <w:szCs w:val="26"/>
        </w:rPr>
        <w:t xml:space="preserve">En </w:t>
      </w:r>
      <w:r w:rsidR="008B0AFD">
        <w:rPr>
          <w:rFonts w:cs="Arial"/>
          <w:sz w:val="26"/>
          <w:szCs w:val="26"/>
        </w:rPr>
        <w:t>el sistema regional</w:t>
      </w:r>
      <w:r w:rsidR="00F766DB">
        <w:rPr>
          <w:rFonts w:cs="Arial"/>
          <w:sz w:val="26"/>
          <w:szCs w:val="26"/>
        </w:rPr>
        <w:t>, la Comisión Interamericana de Derechos Humanos</w:t>
      </w:r>
      <w:r w:rsidR="008B0AFD">
        <w:rPr>
          <w:rFonts w:cs="Arial"/>
          <w:sz w:val="26"/>
          <w:szCs w:val="26"/>
        </w:rPr>
        <w:t xml:space="preserve"> ha destacado la</w:t>
      </w:r>
      <w:r w:rsidR="008B0AFD" w:rsidRPr="008B0AFD">
        <w:rPr>
          <w:rFonts w:cs="Arial"/>
          <w:sz w:val="26"/>
          <w:szCs w:val="26"/>
        </w:rPr>
        <w:t xml:space="preserve"> sistematicidad y dimensión del fenómeno de la violencia</w:t>
      </w:r>
      <w:r w:rsidR="00166186">
        <w:rPr>
          <w:rFonts w:cs="Arial"/>
          <w:sz w:val="26"/>
          <w:szCs w:val="26"/>
        </w:rPr>
        <w:t xml:space="preserve"> contra las mujeres en Colombia</w:t>
      </w:r>
      <w:r w:rsidR="008B0AFD" w:rsidRPr="008B0AFD">
        <w:rPr>
          <w:rFonts w:cs="Arial"/>
          <w:sz w:val="26"/>
          <w:szCs w:val="26"/>
        </w:rPr>
        <w:t xml:space="preserve"> y</w:t>
      </w:r>
      <w:r w:rsidR="00166186">
        <w:rPr>
          <w:rFonts w:cs="Arial"/>
          <w:sz w:val="26"/>
          <w:szCs w:val="26"/>
        </w:rPr>
        <w:t>,</w:t>
      </w:r>
      <w:r w:rsidR="008B0AFD" w:rsidRPr="008B0AFD">
        <w:rPr>
          <w:rFonts w:cs="Arial"/>
          <w:sz w:val="26"/>
          <w:szCs w:val="26"/>
        </w:rPr>
        <w:t xml:space="preserve"> en especial, la violencia sexual e</w:t>
      </w:r>
      <w:r w:rsidR="008B0AFD">
        <w:rPr>
          <w:rFonts w:cs="Arial"/>
          <w:sz w:val="26"/>
          <w:szCs w:val="26"/>
        </w:rPr>
        <w:t>n el marco del conflicto armado</w:t>
      </w:r>
      <w:r w:rsidR="008B0AFD">
        <w:rPr>
          <w:rStyle w:val="Refdenotaalpie"/>
          <w:sz w:val="26"/>
          <w:szCs w:val="26"/>
        </w:rPr>
        <w:footnoteReference w:id="26"/>
      </w:r>
      <w:r w:rsidR="008B0AFD">
        <w:rPr>
          <w:rFonts w:cs="Arial"/>
          <w:sz w:val="26"/>
          <w:szCs w:val="26"/>
        </w:rPr>
        <w:t xml:space="preserve">. En cuanto a las estadísticas, la Comisión, </w:t>
      </w:r>
      <w:r w:rsidR="008B0AFD" w:rsidRPr="008B0AFD">
        <w:rPr>
          <w:rFonts w:cs="Arial"/>
          <w:sz w:val="26"/>
          <w:szCs w:val="26"/>
        </w:rPr>
        <w:t>con base en información aportada por el Instituto Nacional de Med</w:t>
      </w:r>
      <w:r w:rsidR="00086007">
        <w:rPr>
          <w:rFonts w:cs="Arial"/>
          <w:sz w:val="26"/>
          <w:szCs w:val="26"/>
        </w:rPr>
        <w:t>icina Legal y Ciencias Forenses y otras entidades, reportó</w:t>
      </w:r>
      <w:r w:rsidR="008B0AFD" w:rsidRPr="008B0AFD">
        <w:rPr>
          <w:rFonts w:cs="Arial"/>
          <w:sz w:val="26"/>
          <w:szCs w:val="26"/>
        </w:rPr>
        <w:t>:</w:t>
      </w:r>
    </w:p>
    <w:p w:rsidR="00FC4E34" w:rsidRDefault="00FC4E34" w:rsidP="008B0AFD">
      <w:pPr>
        <w:rPr>
          <w:rFonts w:cs="Arial"/>
          <w:sz w:val="26"/>
          <w:szCs w:val="26"/>
        </w:rPr>
      </w:pPr>
    </w:p>
    <w:p w:rsidR="008B0AFD" w:rsidRPr="00086007" w:rsidRDefault="00086007" w:rsidP="00086007">
      <w:pPr>
        <w:spacing w:line="240" w:lineRule="auto"/>
        <w:ind w:left="709" w:right="618"/>
        <w:rPr>
          <w:rFonts w:cs="Arial"/>
          <w:i/>
          <w:szCs w:val="24"/>
        </w:rPr>
      </w:pPr>
      <w:r w:rsidRPr="00086007">
        <w:rPr>
          <w:rFonts w:cs="Arial"/>
          <w:i/>
          <w:szCs w:val="24"/>
        </w:rPr>
        <w:t>La violencia sexual es en la mayoría de los casos un delito impune en el país, existe un subregistro, pero pese al subregistro, las cifras de Medicina Legal señalan que la violencia sexual ha aumentado un 40% en los últimos ocho años, pasando de 14.239 casos en el 2003 a 20.142 en el 2011. Entre 2001 y 2009, el Instituto de Medicina Legal reportó que 94.565 mujeres en Colombia fueron víctimas de violencia sexual. A mayo de 2012, se registraron 393 casos de violencia sexual con ocasión del conflicto armado. De estos casos, sólo en el 3,5% existe sentencia: 11 terminaron con sentencia condenatoria y 3 con sentencia absolutoria. Sin embargo, de acuerdo con los datos arrojados por la primera Encuesta de Prevalencia sobre violencia sexual en el contexto del conflicto armado, la prevalencia de violencia sexual –para el período 2001-2009– con base en 407 municipios con presencia de Fuerza Pública, insurgencia, paramilitares u otros actores armados en Colombia se estimó en 17.58%, lo cual significa que durante estos nueve años al menos 489.687 mujeres fueron víctimas directas de violencia sexual. En promedio, 54.410 mujeres fueron víctimas directas anualmente, 149 diariamente y, 6 cada hora. Según lo reportado por la Mesa de seguimiento al Auto 092 de la Corte Constitucional, en lo que tiene que ver con el homicidio, de los 57.530 casos reportados por el Instituto Nacional de Medicina Legal y Ciencias Forenses entre 2008 y 2011, 4.817 (el 8,4% del total), fueron mujeres. En cuanto a las mujeres asesinadas por actores armados del conflicto, para el mismo período, el INML reportó 304 casos de mujeres cuyo presunto perpetrador fue alguno de ellos</w:t>
      </w:r>
      <w:r w:rsidRPr="00086007">
        <w:rPr>
          <w:rStyle w:val="Refdenotaalpie"/>
          <w:szCs w:val="24"/>
        </w:rPr>
        <w:footnoteReference w:id="27"/>
      </w:r>
      <w:r w:rsidRPr="00086007">
        <w:rPr>
          <w:rFonts w:cs="Arial"/>
          <w:i/>
          <w:szCs w:val="24"/>
        </w:rPr>
        <w:t>.</w:t>
      </w:r>
    </w:p>
    <w:p w:rsidR="00FC4E34" w:rsidRDefault="00FC4E34" w:rsidP="00FC4E34">
      <w:pPr>
        <w:rPr>
          <w:rFonts w:cs="Arial"/>
          <w:sz w:val="26"/>
          <w:szCs w:val="26"/>
        </w:rPr>
      </w:pPr>
    </w:p>
    <w:p w:rsidR="00E444DE" w:rsidRPr="00E444DE" w:rsidRDefault="007A1C94" w:rsidP="00E444DE">
      <w:pPr>
        <w:numPr>
          <w:ilvl w:val="0"/>
          <w:numId w:val="28"/>
        </w:numPr>
        <w:ind w:left="0" w:firstLine="0"/>
        <w:rPr>
          <w:rFonts w:cs="Arial"/>
          <w:sz w:val="26"/>
          <w:szCs w:val="26"/>
        </w:rPr>
      </w:pPr>
      <w:r>
        <w:rPr>
          <w:rFonts w:cs="Arial"/>
          <w:sz w:val="26"/>
          <w:szCs w:val="26"/>
        </w:rPr>
        <w:t>Este</w:t>
      </w:r>
      <w:r w:rsidR="009E630D">
        <w:rPr>
          <w:rFonts w:cs="Arial"/>
          <w:sz w:val="26"/>
          <w:szCs w:val="26"/>
        </w:rPr>
        <w:t xml:space="preserve"> </w:t>
      </w:r>
      <w:r w:rsidR="00166186">
        <w:rPr>
          <w:rFonts w:cs="Arial"/>
          <w:sz w:val="26"/>
          <w:szCs w:val="26"/>
        </w:rPr>
        <w:t xml:space="preserve">panorama </w:t>
      </w:r>
      <w:r w:rsidR="009E630D">
        <w:rPr>
          <w:rFonts w:cs="Arial"/>
          <w:sz w:val="26"/>
          <w:szCs w:val="26"/>
        </w:rPr>
        <w:t xml:space="preserve">desolador </w:t>
      </w:r>
      <w:r>
        <w:rPr>
          <w:rFonts w:cs="Arial"/>
          <w:sz w:val="26"/>
          <w:szCs w:val="26"/>
        </w:rPr>
        <w:t xml:space="preserve">de la violencia sexual en el conflicto armado en Colombia </w:t>
      </w:r>
      <w:r w:rsidR="009E630D">
        <w:rPr>
          <w:rFonts w:cs="Arial"/>
          <w:sz w:val="26"/>
          <w:szCs w:val="26"/>
        </w:rPr>
        <w:t>ha sido</w:t>
      </w:r>
      <w:r>
        <w:rPr>
          <w:rFonts w:cs="Arial"/>
          <w:sz w:val="26"/>
          <w:szCs w:val="26"/>
        </w:rPr>
        <w:t xml:space="preserve"> </w:t>
      </w:r>
      <w:r w:rsidR="00DF67BA">
        <w:rPr>
          <w:rFonts w:cs="Arial"/>
          <w:sz w:val="26"/>
          <w:szCs w:val="26"/>
        </w:rPr>
        <w:t>ampliamente</w:t>
      </w:r>
      <w:r>
        <w:rPr>
          <w:rFonts w:cs="Arial"/>
          <w:sz w:val="26"/>
          <w:szCs w:val="26"/>
        </w:rPr>
        <w:t xml:space="preserve"> </w:t>
      </w:r>
      <w:r w:rsidR="00DF67BA">
        <w:rPr>
          <w:rFonts w:cs="Arial"/>
          <w:sz w:val="26"/>
          <w:szCs w:val="26"/>
        </w:rPr>
        <w:t>documentado</w:t>
      </w:r>
      <w:r>
        <w:rPr>
          <w:rFonts w:cs="Arial"/>
          <w:sz w:val="26"/>
          <w:szCs w:val="26"/>
        </w:rPr>
        <w:t xml:space="preserve"> por </w:t>
      </w:r>
      <w:r w:rsidR="00DF67BA">
        <w:rPr>
          <w:rFonts w:cs="Arial"/>
          <w:sz w:val="26"/>
          <w:szCs w:val="26"/>
        </w:rPr>
        <w:t>distintas</w:t>
      </w:r>
      <w:r>
        <w:rPr>
          <w:rFonts w:cs="Arial"/>
          <w:sz w:val="26"/>
          <w:szCs w:val="26"/>
        </w:rPr>
        <w:t xml:space="preserve"> entidades</w:t>
      </w:r>
      <w:r w:rsidR="00CF1CDA">
        <w:rPr>
          <w:rFonts w:cs="Arial"/>
          <w:sz w:val="26"/>
          <w:szCs w:val="26"/>
        </w:rPr>
        <w:t>, públicas y privadas, en el ámbito nacional e internacional</w:t>
      </w:r>
      <w:r w:rsidR="00E03DFC" w:rsidRPr="00E03DFC">
        <w:rPr>
          <w:rStyle w:val="Refdenotaalpie"/>
          <w:sz w:val="26"/>
          <w:szCs w:val="26"/>
        </w:rPr>
        <w:footnoteReference w:id="28"/>
      </w:r>
      <w:r w:rsidR="00E444DE">
        <w:rPr>
          <w:rFonts w:cs="Arial"/>
          <w:sz w:val="26"/>
          <w:szCs w:val="26"/>
        </w:rPr>
        <w:t>.</w:t>
      </w:r>
    </w:p>
    <w:p w:rsidR="00DF67BA" w:rsidRDefault="00DF67BA" w:rsidP="00DF67BA">
      <w:pPr>
        <w:rPr>
          <w:rFonts w:cs="Arial"/>
          <w:sz w:val="26"/>
          <w:szCs w:val="26"/>
        </w:rPr>
      </w:pPr>
    </w:p>
    <w:p w:rsidR="00DF67BA" w:rsidRPr="00CF1CDA" w:rsidRDefault="00DF67BA" w:rsidP="00CF1CDA">
      <w:pPr>
        <w:numPr>
          <w:ilvl w:val="0"/>
          <w:numId w:val="28"/>
        </w:numPr>
        <w:ind w:left="0" w:firstLine="0"/>
        <w:rPr>
          <w:rFonts w:cs="Arial"/>
          <w:sz w:val="26"/>
          <w:szCs w:val="26"/>
        </w:rPr>
      </w:pPr>
      <w:r>
        <w:rPr>
          <w:rFonts w:cs="Arial"/>
          <w:sz w:val="26"/>
          <w:szCs w:val="26"/>
        </w:rPr>
        <w:t xml:space="preserve">Los responsables de estos actos de violencia sexual son, en su mayoría, los grupos paramilitares y en menor medida las guerrillas –las FARC y el ELN– y </w:t>
      </w:r>
      <w:r w:rsidR="00504972">
        <w:rPr>
          <w:rFonts w:cs="Arial"/>
          <w:sz w:val="26"/>
          <w:szCs w:val="26"/>
        </w:rPr>
        <w:t xml:space="preserve">algunos </w:t>
      </w:r>
      <w:r>
        <w:rPr>
          <w:rFonts w:cs="Arial"/>
          <w:sz w:val="26"/>
          <w:szCs w:val="26"/>
        </w:rPr>
        <w:t>miembros de la Fuerza Pública.</w:t>
      </w:r>
      <w:r w:rsidR="00504972">
        <w:rPr>
          <w:rFonts w:cs="Arial"/>
          <w:sz w:val="26"/>
          <w:szCs w:val="26"/>
        </w:rPr>
        <w:t xml:space="preserve"> Sobre la participación de estos últimos, la Corte Constitucional ha aclarado que se trata de agentes individualmente considerados, sin que haya lugar a extender un juicio de reproche sobre la institución militar </w:t>
      </w:r>
      <w:r w:rsidR="0041590F">
        <w:rPr>
          <w:rFonts w:cs="Arial"/>
          <w:sz w:val="26"/>
          <w:szCs w:val="26"/>
        </w:rPr>
        <w:t>en conjunto</w:t>
      </w:r>
      <w:r w:rsidR="00504972">
        <w:rPr>
          <w:rFonts w:cs="Arial"/>
          <w:sz w:val="26"/>
          <w:szCs w:val="26"/>
        </w:rPr>
        <w:t>:</w:t>
      </w:r>
    </w:p>
    <w:p w:rsidR="008775BA" w:rsidRDefault="008775BA" w:rsidP="007D5152">
      <w:pPr>
        <w:rPr>
          <w:rFonts w:cs="Arial"/>
          <w:sz w:val="26"/>
          <w:szCs w:val="26"/>
        </w:rPr>
      </w:pPr>
    </w:p>
    <w:p w:rsidR="009E630D" w:rsidRPr="00504972" w:rsidRDefault="00504972" w:rsidP="00504972">
      <w:pPr>
        <w:spacing w:line="240" w:lineRule="auto"/>
        <w:ind w:left="709" w:right="618"/>
        <w:rPr>
          <w:i/>
        </w:rPr>
      </w:pPr>
      <w:r>
        <w:rPr>
          <w:i/>
        </w:rPr>
        <w:t>T</w:t>
      </w:r>
      <w:r w:rsidRPr="00504972">
        <w:rPr>
          <w:i/>
        </w:rPr>
        <w:t>ambién subraya la Corte que el señalamiento en varios de estos relatos de la posible autoría individual de ciertos crímenes por agentes individuales de la Fuerza Pública, no equivale de ninguna manera a proferir un juicio de descalificación sobre esta institución ni sobre la inmensa mayoría de los miembros individuales que la conforman. Por el contrario, es precisamente en virtud del respeto que guarda la Corte hacia la dignidad institucional misma de la Fuerza Pública y hacia la integridad y valor de la gran mayoría de sus miembros individuales, que los posibles casos de comisión de delitos de esta gravedad por algunos de sus agentes aislados deben ser investigados por las autoridades competentes dentro de la jurisdicción penal ordinaria con la mayor severidad y diligencia posibles, para así preservar el honor de esta importante institución pública y realzar la legitimidad de sus actuaciones</w:t>
      </w:r>
      <w:r w:rsidR="00DD1E3C" w:rsidRPr="003B5D1B">
        <w:rPr>
          <w:rStyle w:val="Refdenotaalpie"/>
          <w:szCs w:val="24"/>
        </w:rPr>
        <w:footnoteReference w:id="29"/>
      </w:r>
      <w:r w:rsidRPr="00504972">
        <w:rPr>
          <w:i/>
        </w:rPr>
        <w:t>.</w:t>
      </w:r>
    </w:p>
    <w:p w:rsidR="0041590F" w:rsidRDefault="0041590F" w:rsidP="007D5152">
      <w:pPr>
        <w:rPr>
          <w:rFonts w:cs="Arial"/>
          <w:sz w:val="26"/>
          <w:szCs w:val="26"/>
        </w:rPr>
      </w:pPr>
    </w:p>
    <w:p w:rsidR="00167CDC" w:rsidRDefault="00167CDC" w:rsidP="00167CDC">
      <w:pPr>
        <w:numPr>
          <w:ilvl w:val="0"/>
          <w:numId w:val="28"/>
        </w:numPr>
        <w:ind w:left="0" w:firstLine="0"/>
        <w:rPr>
          <w:rFonts w:cs="Arial"/>
          <w:sz w:val="26"/>
          <w:szCs w:val="26"/>
        </w:rPr>
      </w:pPr>
      <w:r>
        <w:rPr>
          <w:rFonts w:cs="Arial"/>
          <w:sz w:val="26"/>
          <w:szCs w:val="26"/>
        </w:rPr>
        <w:t>En todo caso, l</w:t>
      </w:r>
      <w:r w:rsidR="00233348">
        <w:rPr>
          <w:rFonts w:cs="Arial"/>
          <w:sz w:val="26"/>
          <w:szCs w:val="26"/>
        </w:rPr>
        <w:t xml:space="preserve">a participación de las fuerzas </w:t>
      </w:r>
      <w:r w:rsidR="00BF205F">
        <w:rPr>
          <w:rFonts w:cs="Arial"/>
          <w:sz w:val="26"/>
          <w:szCs w:val="26"/>
        </w:rPr>
        <w:t>del Estado</w:t>
      </w:r>
      <w:r w:rsidR="00233348">
        <w:rPr>
          <w:rFonts w:cs="Arial"/>
          <w:sz w:val="26"/>
          <w:szCs w:val="26"/>
        </w:rPr>
        <w:t xml:space="preserve"> en actos de violencia </w:t>
      </w:r>
      <w:r w:rsidR="00EA5CFE">
        <w:rPr>
          <w:rFonts w:cs="Arial"/>
          <w:sz w:val="26"/>
          <w:szCs w:val="26"/>
        </w:rPr>
        <w:t xml:space="preserve">sexual es particularmente grave, </w:t>
      </w:r>
      <w:r>
        <w:rPr>
          <w:rFonts w:cs="Arial"/>
          <w:sz w:val="26"/>
          <w:szCs w:val="26"/>
        </w:rPr>
        <w:t>si se tiene en cuenta que</w:t>
      </w:r>
      <w:r w:rsidR="00EA5CFE">
        <w:rPr>
          <w:rFonts w:cs="Arial"/>
          <w:sz w:val="26"/>
          <w:szCs w:val="26"/>
        </w:rPr>
        <w:t xml:space="preserve"> estas tienen la función primordial de proteger a la poblaci</w:t>
      </w:r>
      <w:r>
        <w:rPr>
          <w:rFonts w:cs="Arial"/>
          <w:sz w:val="26"/>
          <w:szCs w:val="26"/>
        </w:rPr>
        <w:t>ón civil, no de atacarla</w:t>
      </w:r>
      <w:r w:rsidR="00EA5CFE">
        <w:rPr>
          <w:rFonts w:cs="Arial"/>
          <w:sz w:val="26"/>
          <w:szCs w:val="26"/>
        </w:rPr>
        <w:t>.</w:t>
      </w:r>
      <w:r>
        <w:rPr>
          <w:rFonts w:cs="Arial"/>
          <w:sz w:val="26"/>
          <w:szCs w:val="26"/>
        </w:rPr>
        <w:t xml:space="preserve"> Al respecto, el </w:t>
      </w:r>
      <w:r w:rsidRPr="00167CDC">
        <w:rPr>
          <w:rFonts w:cs="Arial"/>
          <w:sz w:val="26"/>
          <w:szCs w:val="26"/>
        </w:rPr>
        <w:t xml:space="preserve">Representante Especial del Secretario General </w:t>
      </w:r>
      <w:r>
        <w:rPr>
          <w:rFonts w:cs="Arial"/>
          <w:sz w:val="26"/>
          <w:szCs w:val="26"/>
        </w:rPr>
        <w:t xml:space="preserve">de la ONU </w:t>
      </w:r>
      <w:r w:rsidRPr="00167CDC">
        <w:rPr>
          <w:rFonts w:cs="Arial"/>
          <w:sz w:val="26"/>
          <w:szCs w:val="26"/>
        </w:rPr>
        <w:t>sobre Violencia Sexual en Conflictos</w:t>
      </w:r>
      <w:r>
        <w:rPr>
          <w:rFonts w:cs="Arial"/>
          <w:sz w:val="26"/>
          <w:szCs w:val="26"/>
        </w:rPr>
        <w:t xml:space="preserve"> ha señalado:</w:t>
      </w:r>
    </w:p>
    <w:p w:rsidR="00167CDC" w:rsidRDefault="00167CDC" w:rsidP="00167CDC">
      <w:pPr>
        <w:rPr>
          <w:rFonts w:cs="Arial"/>
          <w:sz w:val="26"/>
          <w:szCs w:val="26"/>
        </w:rPr>
      </w:pPr>
    </w:p>
    <w:p w:rsidR="00167CDC" w:rsidRPr="00167CDC" w:rsidRDefault="00167CDC" w:rsidP="00167CDC">
      <w:pPr>
        <w:spacing w:line="240" w:lineRule="auto"/>
        <w:ind w:left="709" w:right="618"/>
        <w:rPr>
          <w:rFonts w:cs="Arial"/>
          <w:i/>
          <w:szCs w:val="24"/>
        </w:rPr>
      </w:pPr>
      <w:r w:rsidRPr="00167CDC">
        <w:rPr>
          <w:rFonts w:cs="Arial"/>
          <w:i/>
          <w:szCs w:val="24"/>
        </w:rPr>
        <w:t>Las fuerzas de seguridad tienen el mandato de proteger a la población civil y no aprovecharse de ella. Los uniformes deberían simbolizar seguridad, disciplina y servicio público y no violaciones, saqueos y terror. El personal militar responde bien a la formación, las órdenes inequívocas, las medidas disciplinarias y el ejemplo dado por sus mandos. Todo ello debería servir para prevenir la violencia sexual y otras infracciones graves del derecho internacional humanitario y las normas internacionales de derechos humanos y disuadir de que se cometan. En particular, se debe exigir responsabilidad a los mandos con toda firmeza cuando los superiores no impidan o no castiguen las violaciones de sus subordinados</w:t>
      </w:r>
      <w:r w:rsidRPr="00167CDC">
        <w:rPr>
          <w:rStyle w:val="Refdenotaalpie"/>
          <w:szCs w:val="24"/>
        </w:rPr>
        <w:footnoteReference w:id="30"/>
      </w:r>
      <w:r w:rsidRPr="00167CDC">
        <w:rPr>
          <w:rFonts w:cs="Arial"/>
          <w:szCs w:val="24"/>
        </w:rPr>
        <w:t>.</w:t>
      </w:r>
    </w:p>
    <w:p w:rsidR="00167CDC" w:rsidRDefault="00167CDC" w:rsidP="00167CDC">
      <w:pPr>
        <w:rPr>
          <w:rFonts w:cs="Arial"/>
          <w:sz w:val="26"/>
          <w:szCs w:val="26"/>
        </w:rPr>
      </w:pPr>
    </w:p>
    <w:p w:rsidR="0041590F" w:rsidRDefault="00EA5CFE" w:rsidP="00EA5CFE">
      <w:pPr>
        <w:numPr>
          <w:ilvl w:val="0"/>
          <w:numId w:val="28"/>
        </w:numPr>
        <w:ind w:left="0" w:firstLine="0"/>
        <w:rPr>
          <w:rFonts w:cs="Arial"/>
          <w:sz w:val="26"/>
          <w:szCs w:val="26"/>
        </w:rPr>
      </w:pPr>
      <w:r>
        <w:rPr>
          <w:rFonts w:cs="Arial"/>
          <w:sz w:val="26"/>
          <w:szCs w:val="26"/>
        </w:rPr>
        <w:t>Además, cuando</w:t>
      </w:r>
      <w:r w:rsidRPr="00EA5CFE">
        <w:rPr>
          <w:rFonts w:cs="Arial"/>
          <w:sz w:val="26"/>
          <w:szCs w:val="26"/>
        </w:rPr>
        <w:t xml:space="preserve"> la violencia</w:t>
      </w:r>
      <w:r>
        <w:rPr>
          <w:rFonts w:cs="Arial"/>
          <w:sz w:val="26"/>
          <w:szCs w:val="26"/>
        </w:rPr>
        <w:t xml:space="preserve"> </w:t>
      </w:r>
      <w:r w:rsidRPr="00EA5CFE">
        <w:rPr>
          <w:rFonts w:cs="Arial"/>
          <w:sz w:val="26"/>
          <w:szCs w:val="26"/>
        </w:rPr>
        <w:t xml:space="preserve">sexual es ejercida por las </w:t>
      </w:r>
      <w:r>
        <w:rPr>
          <w:rFonts w:cs="Arial"/>
          <w:sz w:val="26"/>
          <w:szCs w:val="26"/>
        </w:rPr>
        <w:t>f</w:t>
      </w:r>
      <w:r w:rsidRPr="00EA5CFE">
        <w:rPr>
          <w:rFonts w:cs="Arial"/>
          <w:sz w:val="26"/>
          <w:szCs w:val="26"/>
        </w:rPr>
        <w:t xml:space="preserve">uerzas de </w:t>
      </w:r>
      <w:r>
        <w:rPr>
          <w:rFonts w:cs="Arial"/>
          <w:sz w:val="26"/>
          <w:szCs w:val="26"/>
        </w:rPr>
        <w:t>s</w:t>
      </w:r>
      <w:r w:rsidRPr="00EA5CFE">
        <w:rPr>
          <w:rFonts w:cs="Arial"/>
          <w:sz w:val="26"/>
          <w:szCs w:val="26"/>
        </w:rPr>
        <w:t xml:space="preserve">eguridad </w:t>
      </w:r>
      <w:r w:rsidR="0016529D">
        <w:rPr>
          <w:rFonts w:cs="Arial"/>
          <w:sz w:val="26"/>
          <w:szCs w:val="26"/>
        </w:rPr>
        <w:t xml:space="preserve">estatal </w:t>
      </w:r>
      <w:r w:rsidRPr="00EA5CFE">
        <w:rPr>
          <w:rFonts w:cs="Arial"/>
          <w:sz w:val="26"/>
          <w:szCs w:val="26"/>
        </w:rPr>
        <w:t xml:space="preserve">se deja a la población civil sin autoridad a la </w:t>
      </w:r>
      <w:r>
        <w:rPr>
          <w:rFonts w:cs="Arial"/>
          <w:sz w:val="26"/>
          <w:szCs w:val="26"/>
        </w:rPr>
        <w:t>cual</w:t>
      </w:r>
      <w:r w:rsidRPr="00EA5CFE">
        <w:rPr>
          <w:rFonts w:cs="Arial"/>
          <w:sz w:val="26"/>
          <w:szCs w:val="26"/>
        </w:rPr>
        <w:t xml:space="preserve"> dirigirse para obtener</w:t>
      </w:r>
      <w:r>
        <w:rPr>
          <w:rFonts w:cs="Arial"/>
          <w:sz w:val="26"/>
          <w:szCs w:val="26"/>
        </w:rPr>
        <w:t xml:space="preserve"> </w:t>
      </w:r>
      <w:r w:rsidR="0016529D">
        <w:rPr>
          <w:rFonts w:cs="Arial"/>
          <w:sz w:val="26"/>
          <w:szCs w:val="26"/>
        </w:rPr>
        <w:t>protección</w:t>
      </w:r>
      <w:r>
        <w:rPr>
          <w:rFonts w:cs="Arial"/>
          <w:sz w:val="26"/>
          <w:szCs w:val="26"/>
        </w:rPr>
        <w:t>,</w:t>
      </w:r>
      <w:r w:rsidRPr="00EA5CFE">
        <w:rPr>
          <w:rFonts w:cs="Arial"/>
          <w:sz w:val="26"/>
          <w:szCs w:val="26"/>
        </w:rPr>
        <w:t xml:space="preserve"> </w:t>
      </w:r>
      <w:r w:rsidR="0016529D">
        <w:rPr>
          <w:rFonts w:cs="Arial"/>
          <w:sz w:val="26"/>
          <w:szCs w:val="26"/>
        </w:rPr>
        <w:t>dado que</w:t>
      </w:r>
      <w:r w:rsidRPr="00EA5CFE">
        <w:rPr>
          <w:rFonts w:cs="Arial"/>
          <w:sz w:val="26"/>
          <w:szCs w:val="26"/>
        </w:rPr>
        <w:t xml:space="preserve"> los responsables de hacer cumplir </w:t>
      </w:r>
      <w:r>
        <w:rPr>
          <w:rFonts w:cs="Arial"/>
          <w:sz w:val="26"/>
          <w:szCs w:val="26"/>
        </w:rPr>
        <w:t>las leyes</w:t>
      </w:r>
      <w:r w:rsidRPr="00EA5CFE">
        <w:rPr>
          <w:rFonts w:cs="Arial"/>
          <w:sz w:val="26"/>
          <w:szCs w:val="26"/>
        </w:rPr>
        <w:t xml:space="preserve"> son las mismas</w:t>
      </w:r>
      <w:r>
        <w:rPr>
          <w:rFonts w:cs="Arial"/>
          <w:sz w:val="26"/>
          <w:szCs w:val="26"/>
        </w:rPr>
        <w:t xml:space="preserve"> </w:t>
      </w:r>
      <w:r w:rsidRPr="00EA5CFE">
        <w:rPr>
          <w:rFonts w:cs="Arial"/>
          <w:sz w:val="26"/>
          <w:szCs w:val="26"/>
        </w:rPr>
        <w:t xml:space="preserve">autoridades que están </w:t>
      </w:r>
      <w:r>
        <w:rPr>
          <w:rFonts w:cs="Arial"/>
          <w:sz w:val="26"/>
          <w:szCs w:val="26"/>
        </w:rPr>
        <w:t>vulnerando</w:t>
      </w:r>
      <w:r w:rsidRPr="00EA5CFE">
        <w:rPr>
          <w:rFonts w:cs="Arial"/>
          <w:sz w:val="26"/>
          <w:szCs w:val="26"/>
        </w:rPr>
        <w:t xml:space="preserve"> sus derechos.</w:t>
      </w:r>
    </w:p>
    <w:p w:rsidR="00400EB7" w:rsidRDefault="00400EB7" w:rsidP="00400EB7">
      <w:pPr>
        <w:rPr>
          <w:rFonts w:cs="Arial"/>
          <w:sz w:val="26"/>
          <w:szCs w:val="26"/>
        </w:rPr>
      </w:pPr>
    </w:p>
    <w:p w:rsidR="009D31A9" w:rsidRDefault="00400EB7" w:rsidP="009D31A9">
      <w:pPr>
        <w:numPr>
          <w:ilvl w:val="0"/>
          <w:numId w:val="28"/>
        </w:numPr>
        <w:ind w:left="0" w:firstLine="0"/>
        <w:rPr>
          <w:rFonts w:cs="Arial"/>
          <w:sz w:val="26"/>
          <w:szCs w:val="26"/>
        </w:rPr>
      </w:pPr>
      <w:r>
        <w:rPr>
          <w:rFonts w:cs="Arial"/>
          <w:sz w:val="26"/>
          <w:szCs w:val="26"/>
        </w:rPr>
        <w:t xml:space="preserve">Para la época de los hechos, en 1999, la violencia sexual en el conflicto armado era aún más invisible y sub registrada de lo que es en la actualidad. No obstante, </w:t>
      </w:r>
      <w:r w:rsidR="00B670EF">
        <w:rPr>
          <w:rFonts w:cs="Arial"/>
          <w:sz w:val="26"/>
          <w:szCs w:val="26"/>
        </w:rPr>
        <w:t xml:space="preserve">ya desde entonces </w:t>
      </w:r>
      <w:r w:rsidR="009D31A9">
        <w:rPr>
          <w:rFonts w:cs="Arial"/>
          <w:sz w:val="26"/>
          <w:szCs w:val="26"/>
        </w:rPr>
        <w:t xml:space="preserve">existían voces de alerta. Por ejemplo, </w:t>
      </w:r>
      <w:r w:rsidR="00E51643">
        <w:rPr>
          <w:rFonts w:cs="Arial"/>
          <w:sz w:val="26"/>
          <w:szCs w:val="26"/>
        </w:rPr>
        <w:t>la Comisión Interamericana, en el informe sobre Colombia de 1999 destacó la problemática en estos términos:</w:t>
      </w:r>
    </w:p>
    <w:p w:rsidR="009D31A9" w:rsidRDefault="009D31A9" w:rsidP="00E51643">
      <w:pPr>
        <w:pStyle w:val="Listavistosa-nfasis11"/>
        <w:ind w:left="0"/>
        <w:rPr>
          <w:rFonts w:cs="Arial"/>
          <w:sz w:val="26"/>
          <w:szCs w:val="26"/>
        </w:rPr>
      </w:pPr>
    </w:p>
    <w:p w:rsidR="00E51643" w:rsidRPr="00E51643" w:rsidRDefault="00E51643" w:rsidP="00E51643">
      <w:pPr>
        <w:pStyle w:val="Listavistosa-nfasis11"/>
        <w:spacing w:line="240" w:lineRule="auto"/>
        <w:ind w:left="709" w:right="618"/>
        <w:rPr>
          <w:rFonts w:cs="Arial"/>
          <w:i/>
          <w:szCs w:val="24"/>
        </w:rPr>
      </w:pPr>
      <w:r w:rsidRPr="00E51643">
        <w:rPr>
          <w:rFonts w:cs="Arial"/>
          <w:i/>
          <w:szCs w:val="24"/>
        </w:rPr>
        <w:t>La violencia sexual en Colombia también es motivo de especial inquietud para la CIDH. En 1995, el Instituto de Medicina Legal de Colombia realizó 11.970 dictámenes para la investigación de delitos sexuales a nivel nacional. El 88% del total de víctimas corresponde a mujeres, lo cual representa una tasa de 34 mujeres por 100.000 habitantes. Conforme a información recibida, se estima que anualmente ocurren unas 775 violaciones de adolescentes, y que la tasa de violación sexual para este grupo generacional es de 3,5 por cada mil mujeres; sin embargo, sólo un 17% de las víctimas denuncian tales hechos. Debe mencionarse además que el porcentaje estimado de agresiones sexuales cometidas por familiares en perjuicio de mujeres mayores de 20 años asciende al 47%</w:t>
      </w:r>
      <w:r w:rsidRPr="00E51643">
        <w:rPr>
          <w:rStyle w:val="Refdenotaalpie"/>
          <w:szCs w:val="24"/>
        </w:rPr>
        <w:footnoteReference w:id="31"/>
      </w:r>
      <w:r w:rsidRPr="00E51643">
        <w:rPr>
          <w:rFonts w:cs="Arial"/>
          <w:i/>
          <w:szCs w:val="24"/>
        </w:rPr>
        <w:t>.</w:t>
      </w:r>
    </w:p>
    <w:p w:rsidR="00E51643" w:rsidRDefault="00E51643" w:rsidP="00E51643">
      <w:pPr>
        <w:pStyle w:val="Listavistosa-nfasis11"/>
        <w:ind w:left="0"/>
        <w:rPr>
          <w:rFonts w:cs="Arial"/>
          <w:sz w:val="26"/>
          <w:szCs w:val="26"/>
        </w:rPr>
      </w:pPr>
    </w:p>
    <w:p w:rsidR="00B670EF" w:rsidRPr="009D31A9" w:rsidRDefault="00E51643" w:rsidP="009D31A9">
      <w:pPr>
        <w:numPr>
          <w:ilvl w:val="0"/>
          <w:numId w:val="28"/>
        </w:numPr>
        <w:ind w:left="0" w:firstLine="0"/>
        <w:rPr>
          <w:rFonts w:cs="Arial"/>
          <w:sz w:val="26"/>
          <w:szCs w:val="26"/>
        </w:rPr>
      </w:pPr>
      <w:r>
        <w:rPr>
          <w:rFonts w:cs="Arial"/>
          <w:sz w:val="26"/>
          <w:szCs w:val="26"/>
        </w:rPr>
        <w:t xml:space="preserve">Por su parte, </w:t>
      </w:r>
      <w:r w:rsidR="00B670EF" w:rsidRPr="009D31A9">
        <w:rPr>
          <w:rFonts w:cs="Arial"/>
          <w:sz w:val="26"/>
          <w:szCs w:val="26"/>
        </w:rPr>
        <w:t xml:space="preserve">el Instituto Nacional de Medicina Legal y Ciencias Forenses había </w:t>
      </w:r>
      <w:r>
        <w:rPr>
          <w:rFonts w:cs="Arial"/>
          <w:sz w:val="26"/>
          <w:szCs w:val="26"/>
        </w:rPr>
        <w:t xml:space="preserve">reportado </w:t>
      </w:r>
      <w:r w:rsidR="004C48AE">
        <w:rPr>
          <w:rFonts w:cs="Arial"/>
          <w:sz w:val="26"/>
          <w:szCs w:val="26"/>
        </w:rPr>
        <w:t>en ese año 12.485 reconocimientos médicos por delitos sexuales, con una tasa de 30 por cada 100.000 habitantes, y un aumento de 8% con relación al año anterior (11.425 casos). Cabe resaltar que en 1999 se registraron 21 casos de violencia sexual en el municipio de Arauca y 13 casos en la población de Saravena</w:t>
      </w:r>
      <w:r w:rsidR="009E5F5D">
        <w:rPr>
          <w:rStyle w:val="Refdenotaalpie"/>
          <w:sz w:val="26"/>
          <w:szCs w:val="26"/>
        </w:rPr>
        <w:footnoteReference w:id="32"/>
      </w:r>
      <w:r w:rsidR="004C48AE">
        <w:rPr>
          <w:rFonts w:cs="Arial"/>
          <w:sz w:val="26"/>
          <w:szCs w:val="26"/>
        </w:rPr>
        <w:t>.</w:t>
      </w:r>
    </w:p>
    <w:p w:rsidR="00B670EF" w:rsidRDefault="00B670EF" w:rsidP="009E5F5D">
      <w:pPr>
        <w:pStyle w:val="Listavistosa-nfasis11"/>
        <w:ind w:left="0"/>
        <w:rPr>
          <w:rFonts w:cs="Arial"/>
          <w:sz w:val="26"/>
          <w:szCs w:val="26"/>
        </w:rPr>
      </w:pPr>
    </w:p>
    <w:p w:rsidR="000D358F" w:rsidRDefault="00864B88" w:rsidP="00177022">
      <w:pPr>
        <w:numPr>
          <w:ilvl w:val="0"/>
          <w:numId w:val="28"/>
        </w:numPr>
        <w:ind w:left="0" w:firstLine="0"/>
        <w:rPr>
          <w:rFonts w:cs="Arial"/>
          <w:sz w:val="26"/>
          <w:szCs w:val="26"/>
        </w:rPr>
      </w:pPr>
      <w:r>
        <w:rPr>
          <w:rFonts w:cs="Arial"/>
          <w:sz w:val="26"/>
          <w:szCs w:val="26"/>
        </w:rPr>
        <w:t xml:space="preserve">Otros </w:t>
      </w:r>
      <w:r w:rsidR="00400EB7">
        <w:rPr>
          <w:rFonts w:cs="Arial"/>
          <w:sz w:val="26"/>
          <w:szCs w:val="26"/>
        </w:rPr>
        <w:t>estudios más recientes permiten advertir la m</w:t>
      </w:r>
      <w:r>
        <w:rPr>
          <w:rFonts w:cs="Arial"/>
          <w:sz w:val="26"/>
          <w:szCs w:val="26"/>
        </w:rPr>
        <w:t>agnitud de este</w:t>
      </w:r>
      <w:r w:rsidR="00400EB7">
        <w:rPr>
          <w:rFonts w:cs="Arial"/>
          <w:sz w:val="26"/>
          <w:szCs w:val="26"/>
        </w:rPr>
        <w:t xml:space="preserve"> fenómeno: de acuerdo con Medicina Legal, entre 2004 y 2008 se registraron, al menos</w:t>
      </w:r>
      <w:r w:rsidR="00400EB7">
        <w:rPr>
          <w:rStyle w:val="Refdenotaalpie"/>
          <w:sz w:val="26"/>
          <w:szCs w:val="26"/>
        </w:rPr>
        <w:footnoteReference w:id="33"/>
      </w:r>
      <w:r w:rsidR="00400EB7">
        <w:rPr>
          <w:rFonts w:cs="Arial"/>
          <w:sz w:val="26"/>
          <w:szCs w:val="26"/>
        </w:rPr>
        <w:t xml:space="preserve">, 534 casos de violencia sexual inscritos en la dinámica </w:t>
      </w:r>
      <w:r w:rsidR="0016529D">
        <w:rPr>
          <w:rFonts w:cs="Arial"/>
          <w:sz w:val="26"/>
          <w:szCs w:val="26"/>
        </w:rPr>
        <w:t>del conflicto armado</w:t>
      </w:r>
      <w:r w:rsidR="00400EB7">
        <w:rPr>
          <w:rFonts w:cs="Arial"/>
          <w:sz w:val="26"/>
          <w:szCs w:val="26"/>
        </w:rPr>
        <w:t xml:space="preserve">, de los cuales </w:t>
      </w:r>
      <w:r w:rsidR="0016529D">
        <w:rPr>
          <w:rFonts w:cs="Arial"/>
          <w:sz w:val="26"/>
          <w:szCs w:val="26"/>
        </w:rPr>
        <w:t xml:space="preserve">321 </w:t>
      </w:r>
      <w:r w:rsidR="00177022">
        <w:rPr>
          <w:rFonts w:cs="Arial"/>
          <w:sz w:val="26"/>
          <w:szCs w:val="26"/>
        </w:rPr>
        <w:t xml:space="preserve">responden a hechos relacionados con secuestro, 82 a violencia derivada del enfrentamiento armado, </w:t>
      </w:r>
      <w:r w:rsidR="006448EB" w:rsidRPr="00177022">
        <w:rPr>
          <w:rFonts w:cs="Arial"/>
          <w:sz w:val="26"/>
          <w:szCs w:val="26"/>
        </w:rPr>
        <w:t xml:space="preserve">65 </w:t>
      </w:r>
      <w:r w:rsidR="006448EB">
        <w:rPr>
          <w:rFonts w:cs="Arial"/>
          <w:sz w:val="26"/>
          <w:szCs w:val="26"/>
        </w:rPr>
        <w:t xml:space="preserve">responden </w:t>
      </w:r>
      <w:r w:rsidR="006448EB" w:rsidRPr="00177022">
        <w:rPr>
          <w:rFonts w:cs="Arial"/>
          <w:sz w:val="26"/>
          <w:szCs w:val="26"/>
        </w:rPr>
        <w:t xml:space="preserve">a la </w:t>
      </w:r>
      <w:r w:rsidR="006448EB">
        <w:rPr>
          <w:rFonts w:cs="Arial"/>
          <w:sz w:val="26"/>
          <w:szCs w:val="26"/>
        </w:rPr>
        <w:t>“</w:t>
      </w:r>
      <w:r w:rsidR="006448EB" w:rsidRPr="00177022">
        <w:rPr>
          <w:rFonts w:cs="Arial"/>
          <w:sz w:val="26"/>
          <w:szCs w:val="26"/>
        </w:rPr>
        <w:t>acci</w:t>
      </w:r>
      <w:r w:rsidR="006448EB">
        <w:rPr>
          <w:rFonts w:cs="Arial"/>
          <w:sz w:val="26"/>
          <w:szCs w:val="26"/>
        </w:rPr>
        <w:t xml:space="preserve">ón paramilitar”, </w:t>
      </w:r>
      <w:r w:rsidR="00400EB7" w:rsidRPr="00177022">
        <w:rPr>
          <w:rFonts w:cs="Arial"/>
          <w:sz w:val="26"/>
          <w:szCs w:val="26"/>
        </w:rPr>
        <w:t>33 a</w:t>
      </w:r>
      <w:r w:rsidR="00AB2053" w:rsidRPr="00177022">
        <w:rPr>
          <w:rFonts w:cs="Arial"/>
          <w:sz w:val="26"/>
          <w:szCs w:val="26"/>
        </w:rPr>
        <w:t xml:space="preserve"> la </w:t>
      </w:r>
      <w:r w:rsidR="00177022">
        <w:rPr>
          <w:rFonts w:cs="Arial"/>
          <w:sz w:val="26"/>
          <w:szCs w:val="26"/>
        </w:rPr>
        <w:t>“</w:t>
      </w:r>
      <w:r w:rsidR="00AB2053" w:rsidRPr="00177022">
        <w:rPr>
          <w:rFonts w:cs="Arial"/>
          <w:sz w:val="26"/>
          <w:szCs w:val="26"/>
        </w:rPr>
        <w:t>acción militar</w:t>
      </w:r>
      <w:r w:rsidR="00177022">
        <w:rPr>
          <w:rFonts w:cs="Arial"/>
          <w:sz w:val="26"/>
          <w:szCs w:val="26"/>
        </w:rPr>
        <w:t>”</w:t>
      </w:r>
      <w:r w:rsidR="006448EB">
        <w:rPr>
          <w:rFonts w:cs="Arial"/>
          <w:sz w:val="26"/>
          <w:szCs w:val="26"/>
        </w:rPr>
        <w:t xml:space="preserve"> y</w:t>
      </w:r>
      <w:r w:rsidR="00AB2053" w:rsidRPr="00177022">
        <w:rPr>
          <w:rFonts w:cs="Arial"/>
          <w:sz w:val="26"/>
          <w:szCs w:val="26"/>
        </w:rPr>
        <w:t xml:space="preserve"> el mismo número a la </w:t>
      </w:r>
      <w:r w:rsidR="00177022">
        <w:rPr>
          <w:rFonts w:cs="Arial"/>
          <w:sz w:val="26"/>
          <w:szCs w:val="26"/>
        </w:rPr>
        <w:t>“</w:t>
      </w:r>
      <w:r w:rsidR="00AB2053" w:rsidRPr="00177022">
        <w:rPr>
          <w:rFonts w:cs="Arial"/>
          <w:sz w:val="26"/>
          <w:szCs w:val="26"/>
        </w:rPr>
        <w:t>acción guerrillera</w:t>
      </w:r>
      <w:r w:rsidR="006448EB">
        <w:rPr>
          <w:rFonts w:cs="Arial"/>
          <w:sz w:val="26"/>
          <w:szCs w:val="26"/>
        </w:rPr>
        <w:t>”</w:t>
      </w:r>
      <w:r w:rsidR="003A5E6A">
        <w:rPr>
          <w:rStyle w:val="Refdenotaalpie"/>
          <w:sz w:val="26"/>
          <w:szCs w:val="26"/>
        </w:rPr>
        <w:footnoteReference w:id="34"/>
      </w:r>
      <w:r w:rsidR="000D358F">
        <w:rPr>
          <w:rFonts w:cs="Arial"/>
          <w:sz w:val="26"/>
          <w:szCs w:val="26"/>
        </w:rPr>
        <w:t>; en 2009</w:t>
      </w:r>
      <w:r w:rsidR="00D97EE8">
        <w:rPr>
          <w:rFonts w:cs="Arial"/>
          <w:sz w:val="26"/>
          <w:szCs w:val="26"/>
        </w:rPr>
        <w:t xml:space="preserve"> se identificaron 131 casos de violencia sexual relacionados con violencia sociopolítica, </w:t>
      </w:r>
      <w:r w:rsidR="000D358F">
        <w:rPr>
          <w:rFonts w:cs="Arial"/>
          <w:sz w:val="26"/>
          <w:szCs w:val="26"/>
        </w:rPr>
        <w:t>de los cuale</w:t>
      </w:r>
      <w:r w:rsidR="00D97EE8">
        <w:rPr>
          <w:rFonts w:cs="Arial"/>
          <w:sz w:val="26"/>
          <w:szCs w:val="26"/>
        </w:rPr>
        <w:t>s 4 corresponden a la acción militar directa</w:t>
      </w:r>
      <w:r w:rsidR="00D97EE8">
        <w:rPr>
          <w:rStyle w:val="Refdenotaalpie"/>
          <w:sz w:val="26"/>
          <w:szCs w:val="26"/>
        </w:rPr>
        <w:footnoteReference w:id="35"/>
      </w:r>
      <w:r w:rsidR="00D97EE8">
        <w:rPr>
          <w:rFonts w:cs="Arial"/>
          <w:sz w:val="26"/>
          <w:szCs w:val="26"/>
        </w:rPr>
        <w:t xml:space="preserve">; </w:t>
      </w:r>
      <w:r w:rsidR="004F5FD4">
        <w:rPr>
          <w:rFonts w:cs="Arial"/>
          <w:sz w:val="26"/>
          <w:szCs w:val="26"/>
        </w:rPr>
        <w:t xml:space="preserve">y en 2010 </w:t>
      </w:r>
      <w:r w:rsidR="000D358F">
        <w:rPr>
          <w:rFonts w:cs="Arial"/>
          <w:sz w:val="26"/>
          <w:szCs w:val="26"/>
        </w:rPr>
        <w:t>la participación de la Fuerza Pública en estos hechos aumentó: aunque en miles de casos el agresor es desconocido, de 72 casos de violencia sexual en los que el atacante fue identificado, 40 fueron atribuidos a las fuerzas armadas y de policía</w:t>
      </w:r>
      <w:r w:rsidR="00FA5760">
        <w:rPr>
          <w:rFonts w:cs="Arial"/>
          <w:sz w:val="26"/>
          <w:szCs w:val="26"/>
        </w:rPr>
        <w:t>, es decir, el 55,5%</w:t>
      </w:r>
      <w:r w:rsidR="00263FE0">
        <w:rPr>
          <w:rStyle w:val="Refdenotaalpie"/>
          <w:sz w:val="26"/>
          <w:szCs w:val="26"/>
        </w:rPr>
        <w:footnoteReference w:id="36"/>
      </w:r>
      <w:r w:rsidR="00FA5760">
        <w:rPr>
          <w:rFonts w:cs="Arial"/>
          <w:sz w:val="26"/>
          <w:szCs w:val="26"/>
        </w:rPr>
        <w:t>.</w:t>
      </w:r>
    </w:p>
    <w:p w:rsidR="00FA5760" w:rsidRDefault="00FA5760" w:rsidP="00FA5760">
      <w:pPr>
        <w:pStyle w:val="Listavistosa-nfasis11"/>
        <w:rPr>
          <w:rFonts w:cs="Arial"/>
          <w:sz w:val="26"/>
          <w:szCs w:val="26"/>
        </w:rPr>
      </w:pPr>
    </w:p>
    <w:p w:rsidR="00525F50" w:rsidRDefault="00525F50" w:rsidP="00525F50">
      <w:pPr>
        <w:numPr>
          <w:ilvl w:val="0"/>
          <w:numId w:val="28"/>
        </w:numPr>
        <w:ind w:left="0" w:firstLine="0"/>
        <w:rPr>
          <w:rFonts w:cs="Arial"/>
          <w:sz w:val="26"/>
          <w:szCs w:val="26"/>
        </w:rPr>
      </w:pPr>
      <w:r>
        <w:rPr>
          <w:rFonts w:cs="Arial"/>
          <w:sz w:val="26"/>
          <w:szCs w:val="26"/>
        </w:rPr>
        <w:t>El departamento de Arauca, una región particularmente afectada por el conflicto armado, presentó, entre 2004 y 2010, por lo menos 765 episodios de violencia sexual: 462 en Arauca, 151 en Saravena, 95 en Tame, 24 en Fortul, 24 en Arauquita y 9 en Cravo Norte</w:t>
      </w:r>
      <w:r>
        <w:rPr>
          <w:rStyle w:val="Refdenotaalpie"/>
          <w:sz w:val="26"/>
          <w:szCs w:val="26"/>
        </w:rPr>
        <w:footnoteReference w:id="37"/>
      </w:r>
      <w:r>
        <w:rPr>
          <w:rFonts w:cs="Arial"/>
          <w:sz w:val="26"/>
          <w:szCs w:val="26"/>
        </w:rPr>
        <w:t>.</w:t>
      </w:r>
      <w:r w:rsidR="00E43D02">
        <w:rPr>
          <w:rFonts w:cs="Arial"/>
          <w:sz w:val="26"/>
          <w:szCs w:val="26"/>
        </w:rPr>
        <w:t xml:space="preserve"> Al contrastar estas cifras con las registradas en 1999, cuando ocurrieron los hechos que originaron este proceso, se encuentra que la violencia sexual no solo no ha menguado sino que en algunas poblaciones ha aumentado.</w:t>
      </w:r>
    </w:p>
    <w:p w:rsidR="00040130" w:rsidRDefault="00040130" w:rsidP="00040130">
      <w:pPr>
        <w:pStyle w:val="Listavistosa-nfasis11"/>
        <w:rPr>
          <w:rFonts w:cs="Arial"/>
          <w:sz w:val="26"/>
          <w:szCs w:val="26"/>
        </w:rPr>
      </w:pPr>
    </w:p>
    <w:p w:rsidR="00040130" w:rsidRDefault="00E43D02" w:rsidP="00525F50">
      <w:pPr>
        <w:numPr>
          <w:ilvl w:val="0"/>
          <w:numId w:val="28"/>
        </w:numPr>
        <w:ind w:left="0" w:firstLine="0"/>
        <w:rPr>
          <w:rFonts w:cs="Arial"/>
          <w:sz w:val="26"/>
          <w:szCs w:val="26"/>
        </w:rPr>
      </w:pPr>
      <w:r>
        <w:rPr>
          <w:rFonts w:cs="Arial"/>
          <w:sz w:val="26"/>
          <w:szCs w:val="26"/>
        </w:rPr>
        <w:t>En este contexto de graves violaciones de los derechos de las mujeres por cuenta de la violencia sexual ejercida en su contra en el marco del conflicto armado interno, se inscribe el caso particular de la joven Mónica Marisol Rodr</w:t>
      </w:r>
      <w:r w:rsidR="003D7F9D">
        <w:rPr>
          <w:rFonts w:cs="Arial"/>
          <w:sz w:val="26"/>
          <w:szCs w:val="26"/>
        </w:rPr>
        <w:t>íguez Bustamante.</w:t>
      </w:r>
    </w:p>
    <w:p w:rsidR="004A0392" w:rsidRDefault="004A0392" w:rsidP="004A0392">
      <w:pPr>
        <w:pStyle w:val="Listavistosa-nfasis11"/>
        <w:rPr>
          <w:rFonts w:cs="Arial"/>
          <w:sz w:val="26"/>
          <w:szCs w:val="26"/>
        </w:rPr>
      </w:pPr>
    </w:p>
    <w:p w:rsidR="004A0392" w:rsidRDefault="003D7F9D" w:rsidP="00525F50">
      <w:pPr>
        <w:numPr>
          <w:ilvl w:val="0"/>
          <w:numId w:val="28"/>
        </w:numPr>
        <w:ind w:left="0" w:firstLine="0"/>
        <w:rPr>
          <w:rFonts w:cs="Arial"/>
          <w:sz w:val="26"/>
          <w:szCs w:val="26"/>
        </w:rPr>
      </w:pPr>
      <w:r>
        <w:rPr>
          <w:rFonts w:cs="Arial"/>
          <w:sz w:val="26"/>
          <w:szCs w:val="26"/>
        </w:rPr>
        <w:t xml:space="preserve">El </w:t>
      </w:r>
      <w:r w:rsidRPr="003D7F9D">
        <w:rPr>
          <w:rFonts w:cs="Arial"/>
          <w:b/>
          <w:sz w:val="26"/>
          <w:szCs w:val="26"/>
        </w:rPr>
        <w:t>daño</w:t>
      </w:r>
      <w:r>
        <w:rPr>
          <w:rFonts w:cs="Arial"/>
          <w:sz w:val="26"/>
          <w:szCs w:val="26"/>
        </w:rPr>
        <w:t xml:space="preserve"> que le fue inferido a la demandante está acreditado con las valoraciones médicas realizadas con posterioridad a los hechos.</w:t>
      </w:r>
    </w:p>
    <w:p w:rsidR="003D7F9D" w:rsidRDefault="003D7F9D" w:rsidP="003D7F9D">
      <w:pPr>
        <w:pStyle w:val="Listavistosa-nfasis11"/>
        <w:ind w:left="0"/>
        <w:rPr>
          <w:rFonts w:cs="Arial"/>
          <w:sz w:val="26"/>
          <w:szCs w:val="26"/>
        </w:rPr>
      </w:pPr>
    </w:p>
    <w:p w:rsidR="003D7F9D" w:rsidRPr="00F17C25" w:rsidRDefault="00F17C25" w:rsidP="00F17C25">
      <w:pPr>
        <w:pStyle w:val="Listavistosa-nfasis11"/>
        <w:numPr>
          <w:ilvl w:val="1"/>
          <w:numId w:val="28"/>
        </w:numPr>
        <w:ind w:left="0" w:firstLine="0"/>
        <w:rPr>
          <w:rFonts w:cs="Arial"/>
          <w:sz w:val="26"/>
          <w:szCs w:val="26"/>
        </w:rPr>
      </w:pPr>
      <w:r>
        <w:rPr>
          <w:rFonts w:cs="Arial"/>
          <w:sz w:val="26"/>
          <w:szCs w:val="26"/>
        </w:rPr>
        <w:t xml:space="preserve">El </w:t>
      </w:r>
      <w:r w:rsidRPr="00F17C25">
        <w:rPr>
          <w:rFonts w:cs="Arial"/>
          <w:sz w:val="26"/>
          <w:szCs w:val="26"/>
        </w:rPr>
        <w:t>Hospital San Antonio de Tame</w:t>
      </w:r>
      <w:r w:rsidR="005673AC">
        <w:rPr>
          <w:rFonts w:cs="Arial"/>
          <w:sz w:val="26"/>
          <w:szCs w:val="26"/>
        </w:rPr>
        <w:t xml:space="preserve">, en el examen físico </w:t>
      </w:r>
      <w:r w:rsidR="00342356">
        <w:rPr>
          <w:rFonts w:cs="Arial"/>
          <w:sz w:val="26"/>
          <w:szCs w:val="26"/>
        </w:rPr>
        <w:t>practic</w:t>
      </w:r>
      <w:r w:rsidR="005673AC">
        <w:rPr>
          <w:rFonts w:cs="Arial"/>
          <w:sz w:val="26"/>
          <w:szCs w:val="26"/>
        </w:rPr>
        <w:t xml:space="preserve">ado </w:t>
      </w:r>
      <w:r w:rsidR="00342356">
        <w:rPr>
          <w:rFonts w:cs="Arial"/>
          <w:sz w:val="26"/>
          <w:szCs w:val="26"/>
        </w:rPr>
        <w:t>a la menor Mónica Marisol Rodríguez</w:t>
      </w:r>
      <w:r w:rsidR="005673AC">
        <w:rPr>
          <w:rFonts w:cs="Arial"/>
          <w:sz w:val="26"/>
          <w:szCs w:val="26"/>
        </w:rPr>
        <w:t>,</w:t>
      </w:r>
      <w:r>
        <w:rPr>
          <w:rFonts w:cs="Arial"/>
          <w:sz w:val="26"/>
          <w:szCs w:val="26"/>
        </w:rPr>
        <w:t xml:space="preserve"> encontró</w:t>
      </w:r>
      <w:r w:rsidR="00342356">
        <w:rPr>
          <w:rFonts w:cs="Arial"/>
          <w:sz w:val="26"/>
          <w:szCs w:val="26"/>
        </w:rPr>
        <w:t xml:space="preserve"> las siguientes heridas </w:t>
      </w:r>
      <w:r>
        <w:rPr>
          <w:rFonts w:cs="Arial"/>
          <w:sz w:val="26"/>
          <w:szCs w:val="26"/>
        </w:rPr>
        <w:t xml:space="preserve">en el cuerpo de la paciente </w:t>
      </w:r>
      <w:r w:rsidRPr="00F17C25">
        <w:rPr>
          <w:rFonts w:cs="Arial"/>
          <w:sz w:val="22"/>
          <w:szCs w:val="22"/>
        </w:rPr>
        <w:t>(f. 93-94, c. 1)</w:t>
      </w:r>
      <w:r w:rsidRPr="00F17C25">
        <w:rPr>
          <w:rFonts w:cs="Arial"/>
          <w:sz w:val="26"/>
          <w:szCs w:val="26"/>
        </w:rPr>
        <w:t>:</w:t>
      </w:r>
    </w:p>
    <w:p w:rsidR="003D7F9D" w:rsidRDefault="003D7F9D" w:rsidP="003D7F9D">
      <w:pPr>
        <w:rPr>
          <w:rFonts w:cs="Arial"/>
          <w:sz w:val="26"/>
          <w:szCs w:val="26"/>
        </w:rPr>
      </w:pPr>
    </w:p>
    <w:p w:rsidR="00F17C25" w:rsidRPr="00F17C25" w:rsidRDefault="00F17C25" w:rsidP="00F17C25">
      <w:pPr>
        <w:spacing w:line="240" w:lineRule="auto"/>
        <w:ind w:left="709" w:right="618"/>
        <w:rPr>
          <w:rFonts w:cs="Arial"/>
          <w:i/>
          <w:szCs w:val="24"/>
        </w:rPr>
      </w:pPr>
      <w:r w:rsidRPr="00F17C25">
        <w:rPr>
          <w:rFonts w:cs="Arial"/>
          <w:i/>
          <w:szCs w:val="24"/>
        </w:rPr>
        <w:t>Examen físico</w:t>
      </w:r>
    </w:p>
    <w:p w:rsidR="00F17C25" w:rsidRPr="00F17C25" w:rsidRDefault="00F17C25" w:rsidP="00F17C25">
      <w:pPr>
        <w:spacing w:line="240" w:lineRule="auto"/>
        <w:ind w:left="709" w:right="618"/>
        <w:rPr>
          <w:rFonts w:cs="Arial"/>
          <w:i/>
          <w:szCs w:val="24"/>
        </w:rPr>
      </w:pPr>
    </w:p>
    <w:p w:rsidR="00F17C25" w:rsidRPr="00F17C25" w:rsidRDefault="00F17C25" w:rsidP="00F17C25">
      <w:pPr>
        <w:spacing w:line="240" w:lineRule="auto"/>
        <w:ind w:left="709" w:right="618"/>
        <w:rPr>
          <w:rFonts w:cs="Arial"/>
          <w:i/>
          <w:szCs w:val="24"/>
        </w:rPr>
      </w:pPr>
      <w:r w:rsidRPr="00F17C25">
        <w:rPr>
          <w:rFonts w:cs="Arial"/>
          <w:i/>
          <w:szCs w:val="24"/>
        </w:rPr>
        <w:t>Por su desarrollo pondoestatural, caracteres sexuales secundarios (vello púbico y axilar, desarrollo mamario), presenta una edad clínica de 18 años y refiere que hace más o menos dos horas abusaron de ella después de recogerla en la vía pública.</w:t>
      </w:r>
    </w:p>
    <w:p w:rsidR="00F17C25" w:rsidRPr="00F17C25" w:rsidRDefault="00F17C25" w:rsidP="00F17C25">
      <w:pPr>
        <w:spacing w:line="240" w:lineRule="auto"/>
        <w:ind w:left="709" w:right="618"/>
        <w:rPr>
          <w:rFonts w:cs="Arial"/>
          <w:i/>
          <w:szCs w:val="24"/>
        </w:rPr>
      </w:pPr>
    </w:p>
    <w:p w:rsidR="00F17C25" w:rsidRPr="00F17C25" w:rsidRDefault="00F17C25" w:rsidP="00F17C25">
      <w:pPr>
        <w:spacing w:line="240" w:lineRule="auto"/>
        <w:ind w:left="709" w:right="618"/>
        <w:rPr>
          <w:rFonts w:cs="Arial"/>
          <w:i/>
          <w:szCs w:val="24"/>
        </w:rPr>
      </w:pPr>
      <w:r w:rsidRPr="00F17C25">
        <w:rPr>
          <w:rFonts w:cs="Arial"/>
          <w:i/>
          <w:szCs w:val="24"/>
        </w:rPr>
        <w:t xml:space="preserve">Niega consumo de alguna sustancia psicoactiva, </w:t>
      </w:r>
    </w:p>
    <w:p w:rsidR="00F17C25" w:rsidRPr="00F17C25" w:rsidRDefault="00F17C25" w:rsidP="00F17C25">
      <w:pPr>
        <w:spacing w:line="240" w:lineRule="auto"/>
        <w:ind w:left="709" w:right="618"/>
        <w:rPr>
          <w:rFonts w:cs="Arial"/>
          <w:i/>
          <w:szCs w:val="24"/>
        </w:rPr>
      </w:pPr>
      <w:r w:rsidRPr="00F17C25">
        <w:rPr>
          <w:rFonts w:cs="Arial"/>
          <w:i/>
          <w:szCs w:val="24"/>
        </w:rPr>
        <w:t xml:space="preserve">Niega antecedentes de relaciones sexuales, ni embarazo. </w:t>
      </w:r>
      <w:r w:rsidRPr="00F17C25">
        <w:rPr>
          <w:rFonts w:cs="Arial"/>
          <w:szCs w:val="24"/>
        </w:rPr>
        <w:t>(...)</w:t>
      </w:r>
    </w:p>
    <w:p w:rsidR="00F17C25" w:rsidRPr="00F17C25" w:rsidRDefault="00F17C25" w:rsidP="00F17C25">
      <w:pPr>
        <w:spacing w:line="240" w:lineRule="auto"/>
        <w:ind w:left="709" w:right="618"/>
        <w:rPr>
          <w:rFonts w:cs="Arial"/>
          <w:i/>
          <w:szCs w:val="24"/>
        </w:rPr>
      </w:pPr>
    </w:p>
    <w:p w:rsidR="00F17C25" w:rsidRPr="00F17C25" w:rsidRDefault="00F17C25" w:rsidP="00F17C25">
      <w:pPr>
        <w:spacing w:line="240" w:lineRule="auto"/>
        <w:ind w:left="709" w:right="618"/>
        <w:rPr>
          <w:rFonts w:cs="Arial"/>
          <w:i/>
          <w:szCs w:val="24"/>
        </w:rPr>
      </w:pPr>
      <w:r w:rsidRPr="00F17C25">
        <w:rPr>
          <w:rFonts w:cs="Arial"/>
          <w:i/>
          <w:szCs w:val="24"/>
        </w:rPr>
        <w:t>Al examen físico: presenta en región frontal eritema lineal de más o menos 2 cm.</w:t>
      </w:r>
    </w:p>
    <w:p w:rsidR="00F17C25" w:rsidRPr="00F17C25" w:rsidRDefault="00F17C25" w:rsidP="00F17C25">
      <w:pPr>
        <w:spacing w:line="240" w:lineRule="auto"/>
        <w:ind w:left="709" w:right="618"/>
        <w:rPr>
          <w:rFonts w:cs="Arial"/>
          <w:i/>
          <w:szCs w:val="24"/>
        </w:rPr>
      </w:pPr>
    </w:p>
    <w:p w:rsidR="00F17C25" w:rsidRPr="00F17C25" w:rsidRDefault="00F17C25" w:rsidP="00F17C25">
      <w:pPr>
        <w:spacing w:line="240" w:lineRule="auto"/>
        <w:ind w:left="709" w:right="618"/>
        <w:rPr>
          <w:rFonts w:cs="Arial"/>
          <w:i/>
          <w:szCs w:val="24"/>
        </w:rPr>
      </w:pPr>
      <w:r w:rsidRPr="00F17C25">
        <w:rPr>
          <w:rFonts w:cs="Arial"/>
          <w:i/>
          <w:szCs w:val="24"/>
          <w:u w:val="single"/>
        </w:rPr>
        <w:t>Genitales externos femeninos con leve sangrado, labios mayores y menores con edema y eritema, himen festonado, dilatado con desgarro reciente de bordes eritematosos y equimóticos en el meridiano de las cinco, lo que indica desfloración reciente</w:t>
      </w:r>
      <w:r w:rsidRPr="00F17C25">
        <w:rPr>
          <w:rFonts w:cs="Arial"/>
          <w:i/>
          <w:szCs w:val="24"/>
        </w:rPr>
        <w:t>.</w:t>
      </w:r>
    </w:p>
    <w:p w:rsidR="00F17C25" w:rsidRPr="00F17C25" w:rsidRDefault="00F17C25" w:rsidP="00F17C25">
      <w:pPr>
        <w:spacing w:line="240" w:lineRule="auto"/>
        <w:ind w:left="709" w:right="618"/>
        <w:rPr>
          <w:rFonts w:cs="Arial"/>
          <w:i/>
          <w:szCs w:val="24"/>
        </w:rPr>
      </w:pPr>
    </w:p>
    <w:p w:rsidR="00F17C25" w:rsidRPr="00F17C25" w:rsidRDefault="00F17C25" w:rsidP="00F17C25">
      <w:pPr>
        <w:spacing w:line="240" w:lineRule="auto"/>
        <w:ind w:left="709" w:right="618"/>
        <w:rPr>
          <w:rFonts w:cs="Arial"/>
          <w:i/>
          <w:szCs w:val="24"/>
        </w:rPr>
      </w:pPr>
      <w:r w:rsidRPr="00F17C25">
        <w:rPr>
          <w:rFonts w:cs="Arial"/>
          <w:i/>
          <w:szCs w:val="24"/>
        </w:rPr>
        <w:t>Ano y región perianal de forma y tamaño normales, sin signos de lesión.</w:t>
      </w:r>
    </w:p>
    <w:p w:rsidR="00F17C25" w:rsidRPr="00F17C25" w:rsidRDefault="00F17C25" w:rsidP="00F17C25">
      <w:pPr>
        <w:spacing w:line="240" w:lineRule="auto"/>
        <w:ind w:left="709" w:right="618"/>
        <w:rPr>
          <w:rFonts w:cs="Arial"/>
          <w:i/>
          <w:szCs w:val="24"/>
        </w:rPr>
      </w:pPr>
    </w:p>
    <w:p w:rsidR="00F17C25" w:rsidRPr="00F17C25" w:rsidRDefault="00F17C25" w:rsidP="00F17C25">
      <w:pPr>
        <w:spacing w:line="240" w:lineRule="auto"/>
        <w:ind w:left="709" w:right="618"/>
        <w:rPr>
          <w:rFonts w:cs="Arial"/>
          <w:i/>
          <w:szCs w:val="24"/>
        </w:rPr>
      </w:pPr>
      <w:r w:rsidRPr="00F17C25">
        <w:rPr>
          <w:rFonts w:cs="Arial"/>
          <w:i/>
          <w:szCs w:val="24"/>
        </w:rPr>
        <w:t>Al momento del examen no se evidencian signos clínicos de embarazo, tampoco de contaminación venérea, pero debe volver a un nuevo examen en 20 días determinar a este respecto.</w:t>
      </w:r>
    </w:p>
    <w:p w:rsidR="00F17C25" w:rsidRPr="00F17C25" w:rsidRDefault="00F17C25" w:rsidP="00F17C25">
      <w:pPr>
        <w:spacing w:line="240" w:lineRule="auto"/>
        <w:ind w:left="709" w:right="618"/>
        <w:rPr>
          <w:rFonts w:cs="Arial"/>
          <w:i/>
          <w:szCs w:val="24"/>
        </w:rPr>
      </w:pPr>
    </w:p>
    <w:p w:rsidR="00F17C25" w:rsidRPr="00F17C25" w:rsidRDefault="00F17C25" w:rsidP="00F17C25">
      <w:pPr>
        <w:spacing w:line="240" w:lineRule="auto"/>
        <w:ind w:left="709" w:right="618"/>
        <w:rPr>
          <w:rFonts w:cs="Arial"/>
          <w:i/>
          <w:szCs w:val="24"/>
        </w:rPr>
      </w:pPr>
      <w:r w:rsidRPr="00F17C25">
        <w:rPr>
          <w:rFonts w:cs="Arial"/>
          <w:i/>
          <w:szCs w:val="24"/>
        </w:rPr>
        <w:t>Incapacidad médico legal definitiva: 5 días, sin secuelas médico-legales.</w:t>
      </w:r>
    </w:p>
    <w:p w:rsidR="00F17C25" w:rsidRPr="00F17C25" w:rsidRDefault="00F17C25" w:rsidP="00F17C25">
      <w:pPr>
        <w:spacing w:line="240" w:lineRule="auto"/>
        <w:ind w:left="709" w:right="618"/>
        <w:rPr>
          <w:rFonts w:cs="Arial"/>
          <w:i/>
          <w:szCs w:val="24"/>
        </w:rPr>
      </w:pPr>
    </w:p>
    <w:p w:rsidR="00525F50" w:rsidRPr="00F17C25" w:rsidRDefault="00F17C25" w:rsidP="00F17C25">
      <w:pPr>
        <w:spacing w:line="240" w:lineRule="auto"/>
        <w:ind w:left="709" w:right="618"/>
        <w:rPr>
          <w:rFonts w:cs="Arial"/>
          <w:szCs w:val="24"/>
        </w:rPr>
      </w:pPr>
      <w:r w:rsidRPr="00F17C25">
        <w:rPr>
          <w:rFonts w:cs="Arial"/>
          <w:i/>
          <w:szCs w:val="24"/>
        </w:rPr>
        <w:t>Para determinar sobre perturbación psíquica, si la hubiere, se debe solicitar posteriormente valoración por psiquiatría forense, previo envío de las diligencias sumariales.</w:t>
      </w:r>
      <w:r>
        <w:rPr>
          <w:rFonts w:cs="Arial"/>
          <w:i/>
          <w:szCs w:val="24"/>
        </w:rPr>
        <w:t xml:space="preserve"> </w:t>
      </w:r>
      <w:r>
        <w:rPr>
          <w:rFonts w:cs="Arial"/>
          <w:szCs w:val="24"/>
        </w:rPr>
        <w:t>Destaca la Sala.</w:t>
      </w:r>
    </w:p>
    <w:p w:rsidR="00F17C25" w:rsidRDefault="00F17C25" w:rsidP="00F17C25">
      <w:pPr>
        <w:rPr>
          <w:rFonts w:cs="Arial"/>
          <w:sz w:val="26"/>
          <w:szCs w:val="26"/>
        </w:rPr>
      </w:pPr>
    </w:p>
    <w:p w:rsidR="00F17C25" w:rsidRPr="00964B29" w:rsidRDefault="00F17C25" w:rsidP="00964B29">
      <w:pPr>
        <w:numPr>
          <w:ilvl w:val="1"/>
          <w:numId w:val="28"/>
        </w:numPr>
        <w:ind w:left="0" w:firstLine="0"/>
        <w:rPr>
          <w:rFonts w:cs="Arial"/>
          <w:sz w:val="26"/>
          <w:szCs w:val="26"/>
        </w:rPr>
      </w:pPr>
      <w:r>
        <w:rPr>
          <w:rFonts w:cs="Arial"/>
          <w:sz w:val="26"/>
          <w:szCs w:val="26"/>
        </w:rPr>
        <w:t xml:space="preserve">Por su parte, el </w:t>
      </w:r>
      <w:r w:rsidRPr="00F17C25">
        <w:rPr>
          <w:rFonts w:cs="Arial"/>
          <w:sz w:val="26"/>
          <w:szCs w:val="26"/>
        </w:rPr>
        <w:t>Instituto Nacional de Medicina Legal y Ciencias Forenses</w:t>
      </w:r>
      <w:r>
        <w:rPr>
          <w:rFonts w:cs="Arial"/>
          <w:sz w:val="26"/>
          <w:szCs w:val="26"/>
        </w:rPr>
        <w:t xml:space="preserve">, Regional Norte de Santander, </w:t>
      </w:r>
      <w:r w:rsidR="00964B29">
        <w:rPr>
          <w:rFonts w:cs="Arial"/>
          <w:sz w:val="26"/>
          <w:szCs w:val="26"/>
        </w:rPr>
        <w:t>en el examen de psiquiatría</w:t>
      </w:r>
      <w:r w:rsidR="005673AC">
        <w:rPr>
          <w:rFonts w:cs="Arial"/>
          <w:sz w:val="26"/>
          <w:szCs w:val="26"/>
        </w:rPr>
        <w:t xml:space="preserve"> de 15 de abril de 2003</w:t>
      </w:r>
      <w:r w:rsidR="00964B29">
        <w:rPr>
          <w:rFonts w:cs="Arial"/>
          <w:sz w:val="26"/>
          <w:szCs w:val="26"/>
        </w:rPr>
        <w:t xml:space="preserve">, </w:t>
      </w:r>
      <w:r w:rsidR="005673AC">
        <w:rPr>
          <w:rFonts w:cs="Arial"/>
          <w:sz w:val="26"/>
          <w:szCs w:val="26"/>
        </w:rPr>
        <w:t>registró</w:t>
      </w:r>
      <w:r w:rsidR="00964B29">
        <w:rPr>
          <w:rFonts w:cs="Arial"/>
          <w:sz w:val="26"/>
          <w:szCs w:val="26"/>
        </w:rPr>
        <w:t xml:space="preserve"> un “</w:t>
      </w:r>
      <w:r w:rsidR="00964B29" w:rsidRPr="00964B29">
        <w:rPr>
          <w:rFonts w:cs="Arial"/>
          <w:i/>
          <w:sz w:val="26"/>
          <w:szCs w:val="26"/>
        </w:rPr>
        <w:t>trastorno de estrés postraumático con síntomas depresivos</w:t>
      </w:r>
      <w:r w:rsidR="00964B29">
        <w:rPr>
          <w:rFonts w:cs="Arial"/>
          <w:i/>
          <w:sz w:val="26"/>
          <w:szCs w:val="26"/>
        </w:rPr>
        <w:t xml:space="preserve"> severos</w:t>
      </w:r>
      <w:r w:rsidR="00964B29">
        <w:rPr>
          <w:rFonts w:cs="Arial"/>
          <w:sz w:val="26"/>
          <w:szCs w:val="26"/>
        </w:rPr>
        <w:t xml:space="preserve">”, en estos términos </w:t>
      </w:r>
      <w:r w:rsidRPr="00964B29">
        <w:rPr>
          <w:rFonts w:cs="Arial"/>
          <w:sz w:val="22"/>
          <w:szCs w:val="22"/>
        </w:rPr>
        <w:t>(f. 91-94, c. 2)</w:t>
      </w:r>
      <w:r w:rsidRPr="00964B29">
        <w:rPr>
          <w:rFonts w:cs="Arial"/>
          <w:sz w:val="26"/>
          <w:szCs w:val="26"/>
        </w:rPr>
        <w:t>:</w:t>
      </w:r>
    </w:p>
    <w:p w:rsidR="00F17C25" w:rsidRPr="00F17C25" w:rsidRDefault="00F17C25" w:rsidP="00964B29">
      <w:pPr>
        <w:suppressAutoHyphens w:val="0"/>
        <w:overflowPunct/>
        <w:autoSpaceDE/>
        <w:jc w:val="left"/>
        <w:textAlignment w:val="auto"/>
        <w:rPr>
          <w:rFonts w:eastAsia="Times New Roman" w:cs="Arial"/>
          <w:sz w:val="26"/>
          <w:szCs w:val="26"/>
          <w:lang w:val="es-ES" w:eastAsia="es-ES"/>
        </w:rPr>
      </w:pPr>
    </w:p>
    <w:p w:rsidR="00F17C25" w:rsidRPr="00F17C25" w:rsidRDefault="00F17C25" w:rsidP="00964B29">
      <w:pPr>
        <w:suppressAutoHyphens w:val="0"/>
        <w:overflowPunct/>
        <w:autoSpaceDE/>
        <w:spacing w:line="240" w:lineRule="auto"/>
        <w:ind w:left="709" w:right="618"/>
        <w:textAlignment w:val="auto"/>
        <w:rPr>
          <w:rFonts w:eastAsia="Times New Roman" w:cs="Arial"/>
          <w:i/>
          <w:szCs w:val="26"/>
          <w:lang w:val="es-ES" w:eastAsia="es-ES"/>
        </w:rPr>
      </w:pPr>
      <w:r w:rsidRPr="00F17C25">
        <w:rPr>
          <w:rFonts w:eastAsia="Times New Roman" w:cs="Arial"/>
          <w:i/>
          <w:szCs w:val="26"/>
          <w:lang w:val="es-ES" w:eastAsia="es-ES"/>
        </w:rPr>
        <w:t>Practicado examen psiquiátrico forense a Mónica Marisol Rodríguez Bustamante dictaminamos:</w:t>
      </w:r>
    </w:p>
    <w:p w:rsidR="00F17C25" w:rsidRPr="00F17C25" w:rsidRDefault="00F17C25" w:rsidP="00964B29">
      <w:pPr>
        <w:suppressAutoHyphens w:val="0"/>
        <w:overflowPunct/>
        <w:autoSpaceDE/>
        <w:spacing w:line="240" w:lineRule="auto"/>
        <w:ind w:left="709" w:right="618"/>
        <w:textAlignment w:val="auto"/>
        <w:rPr>
          <w:rFonts w:eastAsia="Times New Roman" w:cs="Arial"/>
          <w:i/>
          <w:szCs w:val="26"/>
          <w:lang w:val="es-ES" w:eastAsia="es-ES"/>
        </w:rPr>
      </w:pPr>
    </w:p>
    <w:p w:rsidR="00F17C25" w:rsidRPr="00F17C25" w:rsidRDefault="00F17C25" w:rsidP="00964B29">
      <w:pPr>
        <w:suppressAutoHyphens w:val="0"/>
        <w:overflowPunct/>
        <w:autoSpaceDE/>
        <w:spacing w:line="240" w:lineRule="auto"/>
        <w:ind w:left="709" w:right="618"/>
        <w:textAlignment w:val="auto"/>
        <w:rPr>
          <w:rFonts w:eastAsia="Times New Roman" w:cs="Arial"/>
          <w:i/>
          <w:szCs w:val="26"/>
          <w:lang w:val="es-ES" w:eastAsia="es-ES"/>
        </w:rPr>
      </w:pPr>
      <w:r w:rsidRPr="00F17C25">
        <w:rPr>
          <w:rFonts w:eastAsia="Times New Roman" w:cs="Arial"/>
          <w:i/>
          <w:szCs w:val="26"/>
          <w:lang w:val="es-ES" w:eastAsia="es-ES"/>
        </w:rPr>
        <w:t>1. Al momento del examen no presenta signos ni síntomas de naturaleza psicótica que le impidan tener pleno conocimiento de sus actos y autodeterminarse según esa comprensión.</w:t>
      </w:r>
    </w:p>
    <w:p w:rsidR="00F17C25" w:rsidRPr="00F17C25" w:rsidRDefault="00F17C25" w:rsidP="00964B29">
      <w:pPr>
        <w:suppressAutoHyphens w:val="0"/>
        <w:overflowPunct/>
        <w:autoSpaceDE/>
        <w:spacing w:line="240" w:lineRule="auto"/>
        <w:ind w:left="709" w:right="618"/>
        <w:textAlignment w:val="auto"/>
        <w:rPr>
          <w:rFonts w:eastAsia="Times New Roman" w:cs="Arial"/>
          <w:i/>
          <w:szCs w:val="26"/>
          <w:lang w:val="es-ES" w:eastAsia="es-ES"/>
        </w:rPr>
      </w:pPr>
    </w:p>
    <w:p w:rsidR="00F17C25" w:rsidRPr="00F17C25" w:rsidRDefault="00F17C25" w:rsidP="00964B29">
      <w:pPr>
        <w:suppressAutoHyphens w:val="0"/>
        <w:overflowPunct/>
        <w:autoSpaceDE/>
        <w:spacing w:line="240" w:lineRule="auto"/>
        <w:ind w:left="709" w:right="618"/>
        <w:textAlignment w:val="auto"/>
        <w:rPr>
          <w:rFonts w:eastAsia="Times New Roman" w:cs="Arial"/>
          <w:i/>
          <w:szCs w:val="26"/>
          <w:lang w:val="es-ES" w:eastAsia="es-ES"/>
        </w:rPr>
      </w:pPr>
      <w:r w:rsidRPr="00F17C25">
        <w:rPr>
          <w:rFonts w:eastAsia="Times New Roman" w:cs="Arial"/>
          <w:i/>
          <w:szCs w:val="26"/>
          <w:lang w:val="es-ES" w:eastAsia="es-ES"/>
        </w:rPr>
        <w:t xml:space="preserve">2. </w:t>
      </w:r>
      <w:r w:rsidRPr="00F17C25">
        <w:rPr>
          <w:rFonts w:eastAsia="Times New Roman" w:cs="Arial"/>
          <w:i/>
          <w:szCs w:val="26"/>
          <w:u w:val="single"/>
          <w:lang w:val="es-ES" w:eastAsia="es-ES"/>
        </w:rPr>
        <w:t>Al momento de la evaluación encontramos un cuadro de trastorno de estrés postraumático secundario a evento traumático (violación), con síntomas depresivos severos</w:t>
      </w:r>
      <w:r w:rsidRPr="00F17C25">
        <w:rPr>
          <w:rFonts w:eastAsia="Times New Roman" w:cs="Arial"/>
          <w:i/>
          <w:szCs w:val="26"/>
          <w:lang w:val="es-ES" w:eastAsia="es-ES"/>
        </w:rPr>
        <w:t>.</w:t>
      </w:r>
    </w:p>
    <w:p w:rsidR="00F17C25" w:rsidRPr="00F17C25" w:rsidRDefault="00F17C25" w:rsidP="00964B29">
      <w:pPr>
        <w:suppressAutoHyphens w:val="0"/>
        <w:overflowPunct/>
        <w:autoSpaceDE/>
        <w:spacing w:line="240" w:lineRule="auto"/>
        <w:ind w:left="709" w:right="618"/>
        <w:textAlignment w:val="auto"/>
        <w:rPr>
          <w:rFonts w:eastAsia="Times New Roman" w:cs="Arial"/>
          <w:i/>
          <w:szCs w:val="26"/>
          <w:lang w:val="es-ES" w:eastAsia="es-ES"/>
        </w:rPr>
      </w:pPr>
    </w:p>
    <w:p w:rsidR="00F17C25" w:rsidRPr="00F17C25" w:rsidRDefault="00F17C25" w:rsidP="00013430">
      <w:pPr>
        <w:suppressAutoHyphens w:val="0"/>
        <w:overflowPunct/>
        <w:autoSpaceDE/>
        <w:spacing w:line="240" w:lineRule="auto"/>
        <w:ind w:left="709" w:right="618"/>
        <w:textAlignment w:val="auto"/>
        <w:rPr>
          <w:rFonts w:eastAsia="Times New Roman" w:cs="Arial"/>
          <w:i/>
          <w:szCs w:val="26"/>
          <w:lang w:val="es-ES" w:eastAsia="es-ES"/>
        </w:rPr>
      </w:pPr>
      <w:r w:rsidRPr="00F17C25">
        <w:rPr>
          <w:rFonts w:eastAsia="Times New Roman" w:cs="Arial"/>
          <w:i/>
          <w:szCs w:val="26"/>
          <w:lang w:val="es-ES" w:eastAsia="es-ES"/>
        </w:rPr>
        <w:t xml:space="preserve">3. Se recomienda tratamiento de apoyo psicológico con asesoría de un psiquiatra, debido a que muy probablemente se necesite tratamiento farmacológico a fin de ayudar a que la examinada recupere en parte, si no totalmente, su estado de ánimo y pueda reinsertarse a sus actividades personales y socio-familiares. </w:t>
      </w:r>
      <w:r w:rsidRPr="00F17C25">
        <w:rPr>
          <w:rFonts w:eastAsia="Times New Roman" w:cs="Arial"/>
          <w:szCs w:val="26"/>
          <w:lang w:val="es-ES" w:eastAsia="es-ES"/>
        </w:rPr>
        <w:t>(...)</w:t>
      </w:r>
    </w:p>
    <w:p w:rsidR="00F17C25" w:rsidRDefault="00F17C25" w:rsidP="00013430">
      <w:pPr>
        <w:rPr>
          <w:rFonts w:cs="Arial"/>
          <w:sz w:val="26"/>
          <w:szCs w:val="26"/>
        </w:rPr>
      </w:pPr>
    </w:p>
    <w:p w:rsidR="00C44770" w:rsidRDefault="00807E79" w:rsidP="00807E79">
      <w:pPr>
        <w:numPr>
          <w:ilvl w:val="1"/>
          <w:numId w:val="28"/>
        </w:numPr>
        <w:ind w:left="0" w:firstLine="0"/>
        <w:rPr>
          <w:rFonts w:cs="Arial"/>
          <w:sz w:val="26"/>
          <w:szCs w:val="26"/>
        </w:rPr>
      </w:pPr>
      <w:r>
        <w:rPr>
          <w:rFonts w:cs="Arial"/>
          <w:sz w:val="26"/>
          <w:szCs w:val="26"/>
        </w:rPr>
        <w:t xml:space="preserve">De acuerdo con lo anterior, el daño ocasionado a Mónica Marisol Rodríguez está representado en las lesiones físicas y las secuelas </w:t>
      </w:r>
      <w:r w:rsidR="008F78E0">
        <w:rPr>
          <w:rFonts w:cs="Arial"/>
          <w:sz w:val="26"/>
          <w:szCs w:val="26"/>
        </w:rPr>
        <w:t>de orden psicológico que le dejó</w:t>
      </w:r>
      <w:r>
        <w:rPr>
          <w:rFonts w:cs="Arial"/>
          <w:sz w:val="26"/>
          <w:szCs w:val="26"/>
        </w:rPr>
        <w:t xml:space="preserve"> la violación sexual de la que fue víctima.</w:t>
      </w:r>
    </w:p>
    <w:p w:rsidR="00807E79" w:rsidRDefault="00807E79" w:rsidP="00807E79">
      <w:pPr>
        <w:rPr>
          <w:rFonts w:cs="Arial"/>
          <w:sz w:val="26"/>
          <w:szCs w:val="26"/>
        </w:rPr>
      </w:pPr>
    </w:p>
    <w:p w:rsidR="00807E79" w:rsidRDefault="005673AC" w:rsidP="005673AC">
      <w:pPr>
        <w:numPr>
          <w:ilvl w:val="0"/>
          <w:numId w:val="28"/>
        </w:numPr>
        <w:ind w:left="0" w:firstLine="0"/>
        <w:rPr>
          <w:rFonts w:cs="Arial"/>
          <w:sz w:val="26"/>
          <w:szCs w:val="26"/>
        </w:rPr>
      </w:pPr>
      <w:r>
        <w:rPr>
          <w:rFonts w:cs="Arial"/>
          <w:sz w:val="26"/>
          <w:szCs w:val="26"/>
        </w:rPr>
        <w:t xml:space="preserve">Con el fin de </w:t>
      </w:r>
      <w:r w:rsidR="005D47A0">
        <w:rPr>
          <w:rFonts w:cs="Arial"/>
          <w:sz w:val="26"/>
          <w:szCs w:val="26"/>
        </w:rPr>
        <w:t>demostrar que</w:t>
      </w:r>
      <w:r>
        <w:rPr>
          <w:rFonts w:cs="Arial"/>
          <w:sz w:val="26"/>
          <w:szCs w:val="26"/>
        </w:rPr>
        <w:t xml:space="preserve"> este daño es imputable a la Nación-Ministerio de Defensa-Ejército Nacional, es necesario esclarecer las circunstancias de tiempo, modo y lugar en que ocurrieron los hechos, de acuerdo con los medios de prueba obrantes en el expediente.</w:t>
      </w:r>
    </w:p>
    <w:p w:rsidR="005D47A0" w:rsidRDefault="005D47A0" w:rsidP="005D47A0">
      <w:pPr>
        <w:rPr>
          <w:rFonts w:cs="Arial"/>
          <w:sz w:val="26"/>
          <w:szCs w:val="26"/>
        </w:rPr>
      </w:pPr>
    </w:p>
    <w:p w:rsidR="005D47A0" w:rsidRDefault="005D47A0" w:rsidP="005D47A0">
      <w:pPr>
        <w:numPr>
          <w:ilvl w:val="0"/>
          <w:numId w:val="28"/>
        </w:numPr>
        <w:ind w:left="0" w:firstLine="0"/>
        <w:rPr>
          <w:rFonts w:cs="Arial"/>
          <w:sz w:val="26"/>
          <w:szCs w:val="26"/>
        </w:rPr>
      </w:pPr>
      <w:r w:rsidRPr="005D47A0">
        <w:rPr>
          <w:rFonts w:cs="Arial"/>
          <w:sz w:val="26"/>
          <w:szCs w:val="26"/>
        </w:rPr>
        <w:t xml:space="preserve">En primer lugar, se refieren las declaraciones de la joven Mónica Marisol Rodríguez, de sus compañeros y familiares, </w:t>
      </w:r>
      <w:r w:rsidR="00637AD0">
        <w:rPr>
          <w:rFonts w:cs="Arial"/>
          <w:sz w:val="26"/>
          <w:szCs w:val="26"/>
        </w:rPr>
        <w:t xml:space="preserve">vertidas ante la Fiscalía Única Seccional de Tame, Arauca, </w:t>
      </w:r>
      <w:r w:rsidRPr="005D47A0">
        <w:rPr>
          <w:rFonts w:cs="Arial"/>
          <w:sz w:val="26"/>
          <w:szCs w:val="26"/>
        </w:rPr>
        <w:t>que dan cuenta del hecho violento del que fue víctima el 4 de septiembre de 1999</w:t>
      </w:r>
      <w:r w:rsidR="00637AD0">
        <w:rPr>
          <w:rStyle w:val="Refdenotaalpie"/>
          <w:sz w:val="26"/>
          <w:szCs w:val="26"/>
        </w:rPr>
        <w:footnoteReference w:id="38"/>
      </w:r>
      <w:r w:rsidRPr="005D47A0">
        <w:rPr>
          <w:rFonts w:cs="Arial"/>
          <w:sz w:val="26"/>
          <w:szCs w:val="26"/>
        </w:rPr>
        <w:t>.</w:t>
      </w:r>
    </w:p>
    <w:p w:rsidR="005D47A0" w:rsidRDefault="005D47A0" w:rsidP="005D47A0">
      <w:pPr>
        <w:pStyle w:val="Listavistosa-nfasis11"/>
        <w:rPr>
          <w:rFonts w:cs="Arial"/>
          <w:sz w:val="26"/>
          <w:szCs w:val="26"/>
        </w:rPr>
      </w:pPr>
    </w:p>
    <w:p w:rsidR="005D47A0" w:rsidRPr="005D47A0" w:rsidRDefault="005D47A0" w:rsidP="005D47A0">
      <w:pPr>
        <w:numPr>
          <w:ilvl w:val="1"/>
          <w:numId w:val="28"/>
        </w:numPr>
        <w:ind w:left="0" w:firstLine="0"/>
        <w:rPr>
          <w:rFonts w:cs="Arial"/>
          <w:sz w:val="26"/>
          <w:szCs w:val="26"/>
        </w:rPr>
      </w:pPr>
      <w:r>
        <w:rPr>
          <w:rFonts w:cs="Arial"/>
          <w:sz w:val="26"/>
          <w:szCs w:val="26"/>
        </w:rPr>
        <w:t xml:space="preserve">La </w:t>
      </w:r>
      <w:r w:rsidRPr="005D47A0">
        <w:rPr>
          <w:rFonts w:cs="Arial"/>
          <w:sz w:val="26"/>
          <w:szCs w:val="26"/>
        </w:rPr>
        <w:t>joven Mónica Marisol Rodríguez</w:t>
      </w:r>
      <w:r>
        <w:rPr>
          <w:rFonts w:cs="Arial"/>
          <w:sz w:val="26"/>
          <w:szCs w:val="26"/>
        </w:rPr>
        <w:t xml:space="preserve"> relató </w:t>
      </w:r>
      <w:r w:rsidRPr="005D47A0">
        <w:rPr>
          <w:sz w:val="22"/>
          <w:szCs w:val="22"/>
        </w:rPr>
        <w:t>(f. 45-46, c. 1)</w:t>
      </w:r>
      <w:r>
        <w:rPr>
          <w:rFonts w:cs="Arial"/>
          <w:sz w:val="26"/>
          <w:szCs w:val="26"/>
        </w:rPr>
        <w:t>:</w:t>
      </w:r>
    </w:p>
    <w:p w:rsidR="00C44770" w:rsidRDefault="00C44770" w:rsidP="00C44770">
      <w:pPr>
        <w:rPr>
          <w:rFonts w:cs="Arial"/>
          <w:sz w:val="26"/>
          <w:szCs w:val="26"/>
        </w:rPr>
      </w:pPr>
    </w:p>
    <w:p w:rsidR="005D47A0" w:rsidRPr="005D47A0" w:rsidRDefault="005D47A0" w:rsidP="005D47A0">
      <w:pPr>
        <w:spacing w:line="240" w:lineRule="auto"/>
        <w:ind w:left="709" w:right="618"/>
        <w:rPr>
          <w:bCs/>
          <w:i/>
          <w:szCs w:val="24"/>
        </w:rPr>
      </w:pPr>
      <w:r w:rsidRPr="005D47A0">
        <w:rPr>
          <w:bCs/>
          <w:i/>
          <w:szCs w:val="24"/>
        </w:rPr>
        <w:t>Yo salí de mi casa con permiso de mi mamá para venir al parque Los Lanceros, salí a las cinco de la tarde acompañada de una amiga llamada Omaira, no recuerdo su apellido, veníamos las dos solas hasta el parque, porque allí teníamos organizada una fogata por el grupo juvenil, y a las seis se realizó la fogata, y estando yo parada sobre el andén del parque Los Lanceros con Emerson Rodríguez y Eduard Martínez, se estacionó una moto frente a nosotros, iban en ella dos personas armadas, el parrillero se bajó y como ellos se orillaron a donde estábamos, al bajar este sujeto inmediatamente encañonó a Emerson y me jaló a mí del brazo y me obligó a subir a la moto encañonándome también, y cuando encañonaron a Emerson este se tiró al suelo y con relación a mi otro compañero no sé qué pasó con él, porque a mí me subieron a la moto y me llevaron hasta la Villa Olímpica, los tipos se bajaron con la moto hasta la entrada del portón que va a las canchas, y antes de entrar allá nos caímos todos tres de la moto y luego me jalaron y ellos llevaron la moto arrastrada hasta el pastal, luego de que llegamos allí me arrinconaron a un poste y me amenazaron varias veces colocándome el arma en la cabeza, yo traté de hablar con uno de ellos y el otro me jaló del cabello, y me dijo que me desnudara, y como no les hice caso me tiraron al suelo, esto lo hicieron ambas personas y allí me desnudaron, y abusaron de mí varias veces, después de eso se levantaron, me dejaron bocarriba y se fueron a prender la moto y al momento llegaron otra vez y me colocaron bocabajo y me dijeron que ellos sabían quién era yo, dónde vivía, que si hablaba o decía algo mi familia corría peligro junto conmigo, me dejaron ahí bocabajo y me decían que no fuera a hacer ningún movim</w:t>
      </w:r>
      <w:r w:rsidR="008F78E0">
        <w:rPr>
          <w:bCs/>
          <w:i/>
          <w:szCs w:val="24"/>
        </w:rPr>
        <w:t>iento y luego encendieron la mot</w:t>
      </w:r>
      <w:r w:rsidRPr="005D47A0">
        <w:rPr>
          <w:bCs/>
          <w:i/>
          <w:szCs w:val="24"/>
        </w:rPr>
        <w:t xml:space="preserve">o, se fueron, y luego yo me paré y me vestí y me fui por la carretera destapada, y al poquito rato iba pasando Jhon Fredy Liberato, quien iba a pie, y al ratico venía mi hermano en la moto, me recogió y me llevó directo a la Policía, pasando por La gran esquina, o sea una tienda, miramos a los dos tipos que me violaron, estaban parqueados frente a la tienda, estaban tratando de prender la moto, ellos nos hicieron el pare y nosotros seguimos de largo </w:t>
      </w:r>
      <w:r w:rsidRPr="005D47A0">
        <w:rPr>
          <w:bCs/>
          <w:szCs w:val="24"/>
        </w:rPr>
        <w:t>(...)</w:t>
      </w:r>
    </w:p>
    <w:p w:rsidR="005D47A0" w:rsidRPr="005D47A0" w:rsidRDefault="005D47A0" w:rsidP="005D47A0">
      <w:pPr>
        <w:spacing w:line="240" w:lineRule="auto"/>
        <w:ind w:left="709" w:right="618"/>
        <w:rPr>
          <w:bCs/>
          <w:i/>
          <w:szCs w:val="24"/>
        </w:rPr>
      </w:pPr>
    </w:p>
    <w:p w:rsidR="00C44770" w:rsidRPr="005D47A0" w:rsidRDefault="005D47A0" w:rsidP="005D47A0">
      <w:pPr>
        <w:spacing w:line="240" w:lineRule="auto"/>
        <w:ind w:left="709" w:right="618"/>
        <w:rPr>
          <w:rFonts w:cs="Arial"/>
          <w:i/>
          <w:sz w:val="26"/>
          <w:szCs w:val="26"/>
        </w:rPr>
      </w:pPr>
      <w:r w:rsidRPr="005D47A0">
        <w:rPr>
          <w:bCs/>
          <w:i/>
          <w:szCs w:val="24"/>
        </w:rPr>
        <w:t>Al llegar a la Policía al ratico llegaron ellos con las luces apagadas de la moto, nosotros nos entramos a la Policía asustados y no dimos la cara por miedo, yo me entré a una oficina a que me dieran una orden para examen médico y le dijimos en ese momento a la Policía que ellos eran los tipos que me habían violado, y como mi mamá estaba en el teléfono de la Policía, mi hermano, que se llama Henry Yecid Rodríguez, quien también estaba en la Policía, pasó al teléfono y le dijo a mi mamá que los violadores estaban ahí en la Policía, entonces no sé qué pasó y solamente la Policía lo que hizo fue tomarles los nombres a estas personas, y me dijeron a mí que no los podían detener porque eran militares, y no coloqué inmediatamente la denuncia en ese momento porque no me sentía en capacidad de hacerlo, al rato llegó mi mamá y me llevaron para el hospital.</w:t>
      </w:r>
    </w:p>
    <w:p w:rsidR="00C44770" w:rsidRDefault="00C44770" w:rsidP="00DA4842">
      <w:pPr>
        <w:rPr>
          <w:rFonts w:cs="Arial"/>
          <w:sz w:val="26"/>
          <w:szCs w:val="26"/>
        </w:rPr>
      </w:pPr>
    </w:p>
    <w:p w:rsidR="00DA4842" w:rsidRPr="00DA4842" w:rsidRDefault="005D47A0" w:rsidP="00DA4842">
      <w:pPr>
        <w:numPr>
          <w:ilvl w:val="1"/>
          <w:numId w:val="28"/>
        </w:numPr>
        <w:ind w:left="0" w:firstLine="0"/>
        <w:rPr>
          <w:rFonts w:cs="Arial"/>
          <w:sz w:val="26"/>
          <w:szCs w:val="26"/>
        </w:rPr>
      </w:pPr>
      <w:r>
        <w:rPr>
          <w:rFonts w:cs="Arial"/>
          <w:sz w:val="26"/>
          <w:szCs w:val="26"/>
        </w:rPr>
        <w:t xml:space="preserve">La señora Virginia Bustamante, madre de la afectada directa, dijo en la denuncia presentada el </w:t>
      </w:r>
      <w:r w:rsidR="00DA4842">
        <w:rPr>
          <w:rFonts w:cs="Arial"/>
          <w:sz w:val="26"/>
          <w:szCs w:val="26"/>
        </w:rPr>
        <w:t xml:space="preserve">5 de septiembre de 1999 </w:t>
      </w:r>
      <w:r w:rsidR="00DA4842" w:rsidRPr="00DA4842">
        <w:rPr>
          <w:bCs/>
          <w:sz w:val="22"/>
          <w:szCs w:val="22"/>
        </w:rPr>
        <w:t>(f. 35-36, c. 1)</w:t>
      </w:r>
      <w:r w:rsidR="00DA4842" w:rsidRPr="00DA4842">
        <w:rPr>
          <w:bCs/>
          <w:szCs w:val="24"/>
        </w:rPr>
        <w:t>:</w:t>
      </w:r>
    </w:p>
    <w:p w:rsidR="00DA4842" w:rsidRPr="005A444C" w:rsidRDefault="00DA4842" w:rsidP="00DA4842">
      <w:pPr>
        <w:spacing w:line="240" w:lineRule="auto"/>
        <w:ind w:right="533"/>
        <w:rPr>
          <w:bCs/>
          <w:sz w:val="26"/>
          <w:szCs w:val="26"/>
        </w:rPr>
      </w:pPr>
    </w:p>
    <w:p w:rsidR="00DA4842" w:rsidRPr="00DA4842" w:rsidRDefault="00DA4842" w:rsidP="00DA4842">
      <w:pPr>
        <w:spacing w:line="240" w:lineRule="auto"/>
        <w:ind w:left="709" w:right="618"/>
        <w:rPr>
          <w:rFonts w:cs="Arial"/>
          <w:i/>
          <w:sz w:val="26"/>
          <w:szCs w:val="26"/>
        </w:rPr>
      </w:pPr>
      <w:r w:rsidRPr="00DA4842">
        <w:rPr>
          <w:bCs/>
          <w:i/>
          <w:szCs w:val="24"/>
        </w:rPr>
        <w:t xml:space="preserve">La niña, o sea mi hija Mónica Marisol, se encontraba en una fogata juvenil organizada por la Parroquia de Tame, a cargo del reverendo Carlos, no le sé el apellido, eso fue a partir de las 6:00 p.m. del día de ayer sábado 4 de los cursantes y se terminó a las 9:30 de la noche del mismo día, y mi hija se dirigía para la casa con dos amigos de ella, cuando en ese entonces dos tipos armados la obligaron a subirse a la moto, amenazando a los amigos y a ella también, esto me lo dijo mi hija, y se la llevaron en dirección a la vía de Bogotá, donde cerca de la Villa Olímpica fue violada y maltratada por los dos individuos, le manosearon los senos y la humillaron de que no dijera nada porque si no la mataban, que se quedara callada, y la dejaron tirada donde fue el lugar de los hechos, y la niña la encontraron llorando y atacada y de ahí la recogió mi hijo, que había salido a buscarla, y la llevó a la policía y bajando con ella para la policía vieron los tipos que la violaron, y les pidieron que pararan y los siguieron en la moto hasta la policía, ahí los violadores se identificaron como suboficiales del Ejército que trabajan en el batallón de este lugar, de civil, en el B-2, y la hija mía los conoció cuando llegaron ahí a la policía, y ella dijo que habían sido ellos, y ahí no me recibieron la denuncia y por eso instauro la denuncia. Preguntada: Diga al despacho el sitio exacto en que fue abordada Mónica Marisol por los dos violadores y en qué vehículo se movilizaban. Contestó: Exactamente eso fue en el puente de la serviteca de “La Y”, vía a Bogotá, y los dos tipos se movilizaban en una motocicleta de característica grande </w:t>
      </w:r>
      <w:r w:rsidRPr="00DA4842">
        <w:rPr>
          <w:bCs/>
          <w:szCs w:val="24"/>
        </w:rPr>
        <w:t>(...)</w:t>
      </w:r>
      <w:r w:rsidRPr="00DA4842">
        <w:rPr>
          <w:bCs/>
          <w:i/>
          <w:szCs w:val="24"/>
        </w:rPr>
        <w:t xml:space="preserve"> No sé el nombre de los policías, pero sí sé que eran los que estaban en cuarto turno el día de anoche, 4 de los cursantes, y el nombre de los violadores no lo sé, pero los policías de turno sí los anotaron </w:t>
      </w:r>
      <w:r w:rsidRPr="00DA4842">
        <w:rPr>
          <w:bCs/>
          <w:szCs w:val="24"/>
        </w:rPr>
        <w:t>(...)</w:t>
      </w:r>
      <w:r w:rsidRPr="00DA4842">
        <w:rPr>
          <w:bCs/>
          <w:i/>
          <w:szCs w:val="24"/>
        </w:rPr>
        <w:t xml:space="preserve"> Los violadores estaban ebrios, olían a licor y no sé la clase de armas ya que yo no sé si eran revólver o pistolas y estaban vestidos de civil, pero el color de la ropa no lo sé.</w:t>
      </w:r>
    </w:p>
    <w:p w:rsidR="00DA4842" w:rsidRDefault="00DA4842" w:rsidP="00C44770">
      <w:pPr>
        <w:rPr>
          <w:rFonts w:cs="Arial"/>
          <w:sz w:val="26"/>
          <w:szCs w:val="26"/>
        </w:rPr>
      </w:pPr>
    </w:p>
    <w:p w:rsidR="006F3C3C" w:rsidRPr="006F3C3C" w:rsidRDefault="006F3C3C" w:rsidP="006F3C3C">
      <w:pPr>
        <w:numPr>
          <w:ilvl w:val="1"/>
          <w:numId w:val="28"/>
        </w:numPr>
        <w:ind w:left="0" w:firstLine="0"/>
        <w:rPr>
          <w:rFonts w:cs="Arial"/>
          <w:sz w:val="26"/>
          <w:szCs w:val="26"/>
        </w:rPr>
      </w:pPr>
      <w:r>
        <w:rPr>
          <w:rFonts w:cs="Arial"/>
          <w:sz w:val="26"/>
          <w:szCs w:val="26"/>
        </w:rPr>
        <w:t xml:space="preserve">El joven </w:t>
      </w:r>
      <w:r w:rsidRPr="006F3C3C">
        <w:rPr>
          <w:rFonts w:eastAsia="Times New Roman" w:cs="Arial"/>
          <w:szCs w:val="26"/>
          <w:lang w:val="es-ES" w:eastAsia="es-ES"/>
        </w:rPr>
        <w:t>Emerson Geovanny Rodríguez Suescún,</w:t>
      </w:r>
      <w:r>
        <w:rPr>
          <w:rFonts w:eastAsia="Times New Roman" w:cs="Arial"/>
          <w:szCs w:val="26"/>
          <w:lang w:val="es-ES" w:eastAsia="es-ES"/>
        </w:rPr>
        <w:t xml:space="preserve"> que se encontraba con la víctima cuando fue raptada por desconocidos, manifestó </w:t>
      </w:r>
      <w:r w:rsidRPr="006F3C3C">
        <w:rPr>
          <w:rFonts w:eastAsia="Times New Roman" w:cs="Arial"/>
          <w:sz w:val="22"/>
          <w:szCs w:val="22"/>
          <w:lang w:val="es-ES" w:eastAsia="es-ES"/>
        </w:rPr>
        <w:t>(f. 48-49, c. 1)</w:t>
      </w:r>
      <w:r>
        <w:rPr>
          <w:rFonts w:eastAsia="Times New Roman" w:cs="Arial"/>
          <w:szCs w:val="26"/>
          <w:lang w:val="es-ES" w:eastAsia="es-ES"/>
        </w:rPr>
        <w:t>:</w:t>
      </w:r>
    </w:p>
    <w:p w:rsidR="006F3C3C" w:rsidRPr="006F3C3C" w:rsidRDefault="006F3C3C" w:rsidP="006F3C3C">
      <w:pPr>
        <w:suppressAutoHyphens w:val="0"/>
        <w:overflowPunct/>
        <w:autoSpaceDE/>
        <w:jc w:val="left"/>
        <w:textAlignment w:val="auto"/>
        <w:rPr>
          <w:rFonts w:eastAsia="Times New Roman" w:cs="Arial"/>
          <w:szCs w:val="26"/>
          <w:lang w:val="es-ES" w:eastAsia="es-ES"/>
        </w:rPr>
      </w:pPr>
    </w:p>
    <w:p w:rsidR="00B17425" w:rsidRDefault="006F3C3C" w:rsidP="006F3C3C">
      <w:pPr>
        <w:suppressAutoHyphens w:val="0"/>
        <w:overflowPunct/>
        <w:autoSpaceDE/>
        <w:spacing w:line="240" w:lineRule="auto"/>
        <w:ind w:left="709" w:right="618"/>
        <w:textAlignment w:val="auto"/>
        <w:rPr>
          <w:rFonts w:eastAsia="Times New Roman" w:cs="Arial"/>
          <w:szCs w:val="26"/>
          <w:lang w:val="es-ES" w:eastAsia="es-ES"/>
        </w:rPr>
      </w:pPr>
      <w:r w:rsidRPr="006F3C3C">
        <w:rPr>
          <w:rFonts w:eastAsia="Times New Roman" w:cs="Arial"/>
          <w:i/>
          <w:szCs w:val="26"/>
          <w:lang w:val="es-ES" w:eastAsia="es-ES"/>
        </w:rPr>
        <w:t xml:space="preserve">Yo me encontraba con ella parado a la orilla del andén del parque, y en ese momento llegaron dos tipos en una moto grande 125, no sé su color, y se bajó uno de ellos y se sacó un arma de la pretina del pantalón y apuntando al suelo le dijo a Marisol, dirigiéndose a ella, súbase usted, y Marisol le dijo no, a mí por qué, y volvió este tipo y le dijo súbase y Marisol le dijo no, no señor, a mí por qué, y volvió y le repitió súbase, y en vista de eso a ella le tocó subirse a la moto y el tipo se montó detrás, y cuando se fue a montar yo le quedé viendo y él nos miró feo a mí y a Eduard Martínez, quien también se encontraba presente, y ahí procedió y nos apuntó y nosotros nos tiramos al suelo y yo esperé con Eduard un taxi para ir a avisarle al hermano de Mónica, y llegó el taxi y fuimos a la casa de ella y le avisamos al hermano y de ahí nos vinimos a la Policía con el hermano </w:t>
      </w:r>
      <w:r w:rsidR="00B17425">
        <w:rPr>
          <w:rFonts w:eastAsia="Times New Roman" w:cs="Arial"/>
          <w:szCs w:val="26"/>
          <w:lang w:val="es-ES" w:eastAsia="es-ES"/>
        </w:rPr>
        <w:t>(...)</w:t>
      </w:r>
    </w:p>
    <w:p w:rsidR="00B17425" w:rsidRDefault="00B17425" w:rsidP="006F3C3C">
      <w:pPr>
        <w:suppressAutoHyphens w:val="0"/>
        <w:overflowPunct/>
        <w:autoSpaceDE/>
        <w:spacing w:line="240" w:lineRule="auto"/>
        <w:ind w:left="709" w:right="618"/>
        <w:textAlignment w:val="auto"/>
        <w:rPr>
          <w:rFonts w:eastAsia="Times New Roman" w:cs="Arial"/>
          <w:szCs w:val="26"/>
          <w:lang w:val="es-ES" w:eastAsia="es-ES"/>
        </w:rPr>
      </w:pPr>
    </w:p>
    <w:p w:rsidR="006F3C3C" w:rsidRPr="006F3C3C" w:rsidRDefault="006F3C3C" w:rsidP="006F3C3C">
      <w:pPr>
        <w:suppressAutoHyphens w:val="0"/>
        <w:overflowPunct/>
        <w:autoSpaceDE/>
        <w:spacing w:line="240" w:lineRule="auto"/>
        <w:ind w:left="709" w:right="618"/>
        <w:textAlignment w:val="auto"/>
        <w:rPr>
          <w:rFonts w:eastAsia="Times New Roman" w:cs="Arial"/>
          <w:szCs w:val="26"/>
          <w:lang w:val="es-ES" w:eastAsia="es-ES"/>
        </w:rPr>
      </w:pPr>
      <w:r w:rsidRPr="006F3C3C">
        <w:rPr>
          <w:rFonts w:eastAsia="Times New Roman" w:cs="Arial"/>
          <w:i/>
          <w:szCs w:val="26"/>
          <w:lang w:val="es-ES" w:eastAsia="es-ES"/>
        </w:rPr>
        <w:t xml:space="preserve">Preguntado: Díganos cómo eran esos tipos. Contestó: El que se bajó era mono, rubio algo así, como el pelo pintado, alto, acuerpado, la cara como barrosa, mal encarado, y el otro era como medio morenito, no sé más, vestían de civil, bien vestidos. Preguntado: Díganos si les vio armas a estos tipos. Contestó: Sí, a uno solo, al que se bajó, y el arma era revólver y con este nos apuntó a nosotros. Preguntado: Díganos si </w:t>
      </w:r>
      <w:r w:rsidR="00D407A7">
        <w:rPr>
          <w:rFonts w:eastAsia="Times New Roman" w:cs="Arial"/>
          <w:i/>
          <w:szCs w:val="26"/>
          <w:lang w:val="es-ES" w:eastAsia="es-ES"/>
        </w:rPr>
        <w:t>observó</w:t>
      </w:r>
      <w:r w:rsidRPr="006F3C3C">
        <w:rPr>
          <w:rFonts w:eastAsia="Times New Roman" w:cs="Arial"/>
          <w:i/>
          <w:szCs w:val="26"/>
          <w:lang w:val="es-ES" w:eastAsia="es-ES"/>
        </w:rPr>
        <w:t xml:space="preserve"> si estos tipos apuntaron con el arma a Marisol cuando la obligaron a que se subiera a la moto. Contestó: No recuerdo. </w:t>
      </w:r>
      <w:r w:rsidR="00D407A7" w:rsidRPr="00D407A7">
        <w:rPr>
          <w:rFonts w:eastAsia="Times New Roman" w:cs="Arial"/>
          <w:szCs w:val="26"/>
          <w:lang w:val="es-ES" w:eastAsia="es-ES"/>
        </w:rPr>
        <w:t>(...)</w:t>
      </w:r>
    </w:p>
    <w:p w:rsidR="006F3C3C" w:rsidRPr="006F3C3C" w:rsidRDefault="006F3C3C" w:rsidP="00B17425">
      <w:pPr>
        <w:suppressAutoHyphens w:val="0"/>
        <w:overflowPunct/>
        <w:autoSpaceDE/>
        <w:spacing w:line="240" w:lineRule="auto"/>
        <w:ind w:right="618"/>
        <w:textAlignment w:val="auto"/>
        <w:rPr>
          <w:rFonts w:eastAsia="Times New Roman" w:cs="Arial"/>
          <w:i/>
          <w:szCs w:val="26"/>
          <w:lang w:val="es-ES" w:eastAsia="es-ES"/>
        </w:rPr>
      </w:pPr>
    </w:p>
    <w:p w:rsidR="00DA4842" w:rsidRDefault="006F3C3C" w:rsidP="006F3C3C">
      <w:pPr>
        <w:spacing w:line="240" w:lineRule="auto"/>
        <w:ind w:left="709" w:right="618"/>
        <w:rPr>
          <w:rFonts w:cs="Arial"/>
          <w:sz w:val="26"/>
          <w:szCs w:val="26"/>
        </w:rPr>
      </w:pPr>
      <w:r w:rsidRPr="006F3C3C">
        <w:rPr>
          <w:rFonts w:eastAsia="Times New Roman" w:cs="Arial"/>
          <w:i/>
          <w:szCs w:val="26"/>
          <w:lang w:val="es-ES" w:eastAsia="es-ES"/>
        </w:rPr>
        <w:t>Preguntado: Díganos si Marisol puso resistencia a no querer subirse a la moto. Contestó: Un poco en obligación, más que todo por las palabras y el arma que estos tipos portaban. Preguntado: Díganos si sabe qué le sucedió a Marisol cuando se la llevaron los tipos en la moto. Contestó: Como a las doce y media de la noche llegaron el hermano de ella y Liberato en la moto y me contaron que ella les había contado que estos tipos habían abusado de ella.</w:t>
      </w:r>
    </w:p>
    <w:p w:rsidR="00DA4842" w:rsidRDefault="00DA4842" w:rsidP="00C44770">
      <w:pPr>
        <w:rPr>
          <w:rFonts w:cs="Arial"/>
          <w:sz w:val="26"/>
          <w:szCs w:val="26"/>
        </w:rPr>
      </w:pPr>
    </w:p>
    <w:p w:rsidR="00DA4842" w:rsidRDefault="00B17425" w:rsidP="00B17425">
      <w:pPr>
        <w:numPr>
          <w:ilvl w:val="1"/>
          <w:numId w:val="28"/>
        </w:numPr>
        <w:ind w:left="0" w:firstLine="0"/>
        <w:rPr>
          <w:rFonts w:cs="Arial"/>
          <w:sz w:val="26"/>
          <w:szCs w:val="26"/>
        </w:rPr>
      </w:pPr>
      <w:r>
        <w:rPr>
          <w:rFonts w:cs="Arial"/>
          <w:sz w:val="26"/>
          <w:szCs w:val="26"/>
        </w:rPr>
        <w:t xml:space="preserve">El señor </w:t>
      </w:r>
      <w:r w:rsidRPr="00B17425">
        <w:rPr>
          <w:rFonts w:cs="Arial"/>
          <w:sz w:val="26"/>
          <w:szCs w:val="26"/>
        </w:rPr>
        <w:t xml:space="preserve">Jhon Freddy Liberato Pareja, quien </w:t>
      </w:r>
      <w:r>
        <w:rPr>
          <w:rFonts w:cs="Arial"/>
          <w:sz w:val="26"/>
          <w:szCs w:val="26"/>
        </w:rPr>
        <w:t>encontró</w:t>
      </w:r>
      <w:r w:rsidRPr="00B17425">
        <w:rPr>
          <w:rFonts w:cs="Arial"/>
          <w:sz w:val="26"/>
          <w:szCs w:val="26"/>
        </w:rPr>
        <w:t xml:space="preserve"> a la víctima</w:t>
      </w:r>
      <w:r>
        <w:rPr>
          <w:rFonts w:cs="Arial"/>
          <w:sz w:val="26"/>
          <w:szCs w:val="26"/>
        </w:rPr>
        <w:t xml:space="preserve"> en una carretera luego de ser agredida, afirmó</w:t>
      </w:r>
      <w:r w:rsidRPr="00B17425">
        <w:rPr>
          <w:rFonts w:cs="Arial"/>
          <w:sz w:val="26"/>
          <w:szCs w:val="26"/>
        </w:rPr>
        <w:t xml:space="preserve"> </w:t>
      </w:r>
      <w:r w:rsidRPr="00B17425">
        <w:rPr>
          <w:rFonts w:cs="Arial"/>
          <w:sz w:val="22"/>
          <w:szCs w:val="22"/>
        </w:rPr>
        <w:t>(f. 51-52, c. 1)</w:t>
      </w:r>
      <w:r w:rsidRPr="00B17425">
        <w:rPr>
          <w:rFonts w:cs="Arial"/>
          <w:sz w:val="26"/>
          <w:szCs w:val="26"/>
        </w:rPr>
        <w:t>:</w:t>
      </w:r>
    </w:p>
    <w:p w:rsidR="00DA4842" w:rsidRDefault="00DA4842" w:rsidP="00C44770">
      <w:pPr>
        <w:rPr>
          <w:rFonts w:cs="Arial"/>
          <w:sz w:val="26"/>
          <w:szCs w:val="26"/>
        </w:rPr>
      </w:pPr>
    </w:p>
    <w:p w:rsidR="00D407A7" w:rsidRPr="00D407A7" w:rsidRDefault="00D407A7" w:rsidP="00D407A7">
      <w:pPr>
        <w:suppressAutoHyphens w:val="0"/>
        <w:overflowPunct/>
        <w:autoSpaceDE/>
        <w:spacing w:line="240" w:lineRule="auto"/>
        <w:ind w:left="709" w:right="618"/>
        <w:textAlignment w:val="auto"/>
        <w:rPr>
          <w:rFonts w:eastAsia="Times New Roman" w:cs="Arial"/>
          <w:i/>
          <w:szCs w:val="26"/>
          <w:lang w:val="es-ES" w:eastAsia="es-ES"/>
        </w:rPr>
      </w:pPr>
      <w:r w:rsidRPr="00D407A7">
        <w:rPr>
          <w:rFonts w:eastAsia="Times New Roman" w:cs="Arial"/>
          <w:i/>
          <w:szCs w:val="26"/>
          <w:lang w:val="es-ES" w:eastAsia="es-ES"/>
        </w:rPr>
        <w:t xml:space="preserve">Me la encontré frente a las canchas de la Villa Olímpica, la vi que ella venía caminando por la parte de afuera, no venía por la carretera sino por la destapada, yo la vi y la llamé porque la vi que venía llorando, yo iba de aquí para allá, cuando la encontré, yo iba solo, y luego la llamé y ella se acercó a mí, y como yo ya sabía que a ella dos tipos armados se la habían llevado en una moto por los dos lados de la vía que va a Bogotá, entonces cuando ella llegó al lado mío le pregunté que qué le había pasado, que qué le habían hecho esos manes, y ella me respondió que esos tipos habían abusado de ella, entonces le pregunté qué hacía cuando la habían dejado ahí tirada y ella me dijo que hacía menos de cinco minutos los manes habían bajado, que habían cogido para el centro y cuando me estaba contando eso, el hermano de ella, que se llama Kendy, el cual la estaba buscando, nos trajo en la moto, y nos vinimos para la Policía </w:t>
      </w:r>
      <w:r w:rsidRPr="00D407A7">
        <w:rPr>
          <w:rFonts w:eastAsia="Times New Roman" w:cs="Arial"/>
          <w:szCs w:val="26"/>
          <w:lang w:val="es-ES" w:eastAsia="es-ES"/>
        </w:rPr>
        <w:t>(...)</w:t>
      </w:r>
      <w:r w:rsidRPr="00D407A7">
        <w:rPr>
          <w:rFonts w:eastAsia="Times New Roman" w:cs="Arial"/>
          <w:i/>
          <w:szCs w:val="26"/>
          <w:lang w:val="es-ES" w:eastAsia="es-ES"/>
        </w:rPr>
        <w:t xml:space="preserve"> Estaba atacada llorando, y el cabello y la ropa estaban llenos de cadillos y traía en la mano una licra amarilla y solamente me dijo que esos tipos la habían violado. </w:t>
      </w:r>
      <w:r w:rsidRPr="00D407A7">
        <w:rPr>
          <w:rFonts w:eastAsia="Times New Roman" w:cs="Arial"/>
          <w:szCs w:val="26"/>
          <w:lang w:val="es-ES" w:eastAsia="es-ES"/>
        </w:rPr>
        <w:t>(...)</w:t>
      </w:r>
    </w:p>
    <w:p w:rsidR="00D407A7" w:rsidRPr="00D407A7" w:rsidRDefault="00D407A7" w:rsidP="00D407A7">
      <w:pPr>
        <w:suppressAutoHyphens w:val="0"/>
        <w:overflowPunct/>
        <w:autoSpaceDE/>
        <w:spacing w:line="240" w:lineRule="auto"/>
        <w:ind w:left="709" w:right="618"/>
        <w:textAlignment w:val="auto"/>
        <w:rPr>
          <w:rFonts w:eastAsia="Times New Roman" w:cs="Arial"/>
          <w:i/>
          <w:szCs w:val="26"/>
          <w:lang w:val="es-ES" w:eastAsia="es-ES"/>
        </w:rPr>
      </w:pPr>
    </w:p>
    <w:p w:rsidR="00DA4842" w:rsidRPr="00D407A7" w:rsidRDefault="00D407A7" w:rsidP="00D407A7">
      <w:pPr>
        <w:spacing w:line="240" w:lineRule="auto"/>
        <w:ind w:left="709" w:right="618"/>
        <w:rPr>
          <w:rFonts w:cs="Arial"/>
          <w:i/>
          <w:sz w:val="26"/>
          <w:szCs w:val="26"/>
        </w:rPr>
      </w:pPr>
      <w:r w:rsidRPr="00D407A7">
        <w:rPr>
          <w:rFonts w:eastAsia="Times New Roman" w:cs="Arial"/>
          <w:i/>
          <w:szCs w:val="26"/>
          <w:lang w:val="es-ES" w:eastAsia="es-ES"/>
        </w:rPr>
        <w:t>Según lo que me contaron los que estaban con ella, que los tipos se habían acercado y que los habían enfocado con las luces de la moto y se bajó uno de ellos y que era mono o con el cabello como pintado y que les había dicho a los que estaban ahí con Mónica, usted súbase, pero que se había dirigido ordenándole a ella y que se subiera en medio de los dos y que ella al ver al man armado le tocó obedecer, y que a los otros dos muchachos les habían apuntado con el arma y que ellos al ver eso se tiraron al suelo.</w:t>
      </w:r>
    </w:p>
    <w:p w:rsidR="00DA4842" w:rsidRDefault="00DA4842" w:rsidP="00D407A7">
      <w:pPr>
        <w:rPr>
          <w:rFonts w:cs="Arial"/>
          <w:sz w:val="26"/>
          <w:szCs w:val="26"/>
        </w:rPr>
      </w:pPr>
    </w:p>
    <w:p w:rsidR="00D407A7" w:rsidRDefault="00C12361" w:rsidP="00C12361">
      <w:pPr>
        <w:numPr>
          <w:ilvl w:val="1"/>
          <w:numId w:val="28"/>
        </w:numPr>
        <w:ind w:left="0" w:firstLine="0"/>
        <w:rPr>
          <w:rFonts w:cs="Arial"/>
          <w:sz w:val="26"/>
          <w:szCs w:val="26"/>
        </w:rPr>
      </w:pPr>
      <w:r>
        <w:rPr>
          <w:rFonts w:cs="Arial"/>
          <w:sz w:val="26"/>
          <w:szCs w:val="26"/>
        </w:rPr>
        <w:t>Por su parte, Kendy Yecid Rodríguez, hermano de la víctima, se pronunció sobre los hechos en estos términos</w:t>
      </w:r>
      <w:r w:rsidR="0040090D">
        <w:rPr>
          <w:rFonts w:cs="Arial"/>
          <w:sz w:val="26"/>
          <w:szCs w:val="26"/>
        </w:rPr>
        <w:t xml:space="preserve"> </w:t>
      </w:r>
      <w:r w:rsidR="0040090D" w:rsidRPr="0040090D">
        <w:rPr>
          <w:sz w:val="22"/>
          <w:szCs w:val="22"/>
        </w:rPr>
        <w:t>(f. 174-175, c. 1)</w:t>
      </w:r>
      <w:r>
        <w:rPr>
          <w:rFonts w:cs="Arial"/>
          <w:sz w:val="26"/>
          <w:szCs w:val="26"/>
        </w:rPr>
        <w:t xml:space="preserve">: </w:t>
      </w:r>
    </w:p>
    <w:p w:rsidR="00D407A7" w:rsidRDefault="00D407A7" w:rsidP="00D407A7">
      <w:pPr>
        <w:rPr>
          <w:rFonts w:cs="Arial"/>
          <w:sz w:val="26"/>
          <w:szCs w:val="26"/>
        </w:rPr>
      </w:pPr>
    </w:p>
    <w:p w:rsidR="00C12361" w:rsidRPr="0040090D" w:rsidRDefault="0040090D" w:rsidP="0040090D">
      <w:pPr>
        <w:spacing w:line="240" w:lineRule="auto"/>
        <w:ind w:left="709" w:right="618"/>
        <w:rPr>
          <w:rFonts w:cs="Arial"/>
          <w:i/>
          <w:szCs w:val="24"/>
        </w:rPr>
      </w:pPr>
      <w:r w:rsidRPr="0040090D">
        <w:rPr>
          <w:rFonts w:cs="Arial"/>
          <w:i/>
          <w:szCs w:val="24"/>
        </w:rPr>
        <w:t>El día sábado como a las diez de la noche cuando terminé de pitar el último partido en las canchas del barrio Vergel y me dirigía hacia mi casa vi que un taxi me pitaba, entonces me detuve y fue cuando se bajó Emerson y me dijo que dos tipos armados se habían llevado a mi hermana de la fogata, que era el sitio donde ella se encontraba, entonces yo entré a la casa y dejó los accesorios y en la casa se encontraba Jhon Freddy, entonces yo le comenté a él y le dije que me acompañara, también le comenté a mi hermana Claudia y nos fuimos con Jhon Freddy, Eduard, Emerson y mi persona para la Policía a informar sobre lo ocurrido.</w:t>
      </w:r>
    </w:p>
    <w:p w:rsidR="00C12361" w:rsidRDefault="00C12361" w:rsidP="0040090D">
      <w:pPr>
        <w:rPr>
          <w:rFonts w:cs="Arial"/>
          <w:sz w:val="26"/>
          <w:szCs w:val="26"/>
        </w:rPr>
      </w:pPr>
    </w:p>
    <w:p w:rsidR="0040090D" w:rsidRPr="00784C72" w:rsidRDefault="0040090D" w:rsidP="0040090D">
      <w:pPr>
        <w:numPr>
          <w:ilvl w:val="1"/>
          <w:numId w:val="28"/>
        </w:numPr>
        <w:ind w:left="0" w:firstLine="0"/>
        <w:rPr>
          <w:sz w:val="26"/>
          <w:szCs w:val="26"/>
        </w:rPr>
      </w:pPr>
      <w:r w:rsidRPr="00784C72">
        <w:rPr>
          <w:sz w:val="26"/>
          <w:szCs w:val="26"/>
        </w:rPr>
        <w:t xml:space="preserve">El señor José Saúl Ríos Molina, esposo de Virginia Bustamante, </w:t>
      </w:r>
      <w:r w:rsidR="00784C72">
        <w:rPr>
          <w:sz w:val="26"/>
          <w:szCs w:val="26"/>
        </w:rPr>
        <w:t>manifest</w:t>
      </w:r>
      <w:r w:rsidRPr="00784C72">
        <w:rPr>
          <w:sz w:val="26"/>
          <w:szCs w:val="26"/>
        </w:rPr>
        <w:t>ó que el cabo Ever Augusto Méndez le había confesado su participación, bajo amenaza</w:t>
      </w:r>
      <w:r w:rsidR="00784C72">
        <w:rPr>
          <w:sz w:val="26"/>
          <w:szCs w:val="26"/>
        </w:rPr>
        <w:t xml:space="preserve"> del cabo Carvajal</w:t>
      </w:r>
      <w:r w:rsidRPr="00784C72">
        <w:rPr>
          <w:sz w:val="26"/>
          <w:szCs w:val="26"/>
        </w:rPr>
        <w:t xml:space="preserve">, en la agresión sexual de la joven Mónica Rodríguez </w:t>
      </w:r>
      <w:r w:rsidRPr="00784C72">
        <w:rPr>
          <w:sz w:val="22"/>
          <w:szCs w:val="22"/>
        </w:rPr>
        <w:t>(f. 54-56, c. 1)</w:t>
      </w:r>
      <w:r w:rsidRPr="00784C72">
        <w:rPr>
          <w:sz w:val="26"/>
          <w:szCs w:val="26"/>
        </w:rPr>
        <w:t>:</w:t>
      </w:r>
    </w:p>
    <w:p w:rsidR="0040090D" w:rsidRPr="00784C72" w:rsidRDefault="0040090D" w:rsidP="0040090D">
      <w:pPr>
        <w:rPr>
          <w:rFonts w:cs="Arial"/>
          <w:sz w:val="26"/>
          <w:szCs w:val="26"/>
        </w:rPr>
      </w:pPr>
    </w:p>
    <w:p w:rsidR="0040090D" w:rsidRPr="0040090D" w:rsidRDefault="0040090D" w:rsidP="0040090D">
      <w:pPr>
        <w:spacing w:line="240" w:lineRule="auto"/>
        <w:ind w:left="709" w:right="618"/>
        <w:rPr>
          <w:rFonts w:cs="Arial"/>
          <w:i/>
          <w:sz w:val="26"/>
          <w:szCs w:val="26"/>
        </w:rPr>
      </w:pPr>
      <w:r w:rsidRPr="0040090D">
        <w:rPr>
          <w:i/>
        </w:rPr>
        <w:t xml:space="preserve">El tipo </w:t>
      </w:r>
      <w:r w:rsidRPr="0040090D">
        <w:t>(...)</w:t>
      </w:r>
      <w:r w:rsidRPr="0040090D">
        <w:rPr>
          <w:i/>
        </w:rPr>
        <w:t xml:space="preserve"> se me presentó como el cabo Méndez y me dijo que si nos podíamos desplazar de ahí a un lugar donde pudiéramos hablar más a solas, estando al pie de la planta de energía del batallón dicho señor me dijo que me iba a contar lo que había sucedido el día sábado con mi hija, este señor me comentó que él había salido del batallón a las dos de la tarde y se había puesto a tomar en la Policía hasta las seis de la tarde, luego se dirigió hasta el lugar llamado La Quirpa y estuvo tomando con los agentes de la Policía y con el otro supuesto agresor de mi hija, me comentó que el otro cabo le había dicho que cogiera una moto a las diez de la noche y fueran a dar una vuelta, resulta que por el camino, según él, iba una niña en cicla, y que el supuesto cabo mono, no el que me estaba contando sino el otro, le había dicho que cogieran la pelada que iba en la cicla, y que él le había respondido que no, que estaba muy sardina, que siguieron de para arriba hasta llegar al pie del parque Los Lanceros y fue cuando encontraron a mi hija, encañonaron a los dos pelados y le dijeron a la muchacha que se subiera a la moto, de ahí me cuenta que llegando al lado de la Villa Olímpica, donde cometieron la fechoría, se cayeron todos tres de la moto, que de ahí fue cuando procedieron a abusar de mi hija y que el cabo mono fue el que supuestamente comenzó a quitarle la ropa y, según el cabo Méndez me dijo, él estaba amenazado del cabo mono que si no abusaba de mi hija lo mataba y también me dijo que el cabo mono haló del pelo a la niña y le dijo esta perra hijueputa (sic) no paga sino meterle un tiro, y que el cabo le metía la cabeza para que no le disparara a la niña </w:t>
      </w:r>
      <w:r w:rsidRPr="0040090D">
        <w:t>(...)</w:t>
      </w:r>
      <w:r w:rsidRPr="0040090D">
        <w:rPr>
          <w:i/>
        </w:rPr>
        <w:t xml:space="preserve"> él me dijo que era que tenía mucha rabia porque el otro cabo lo había obligado, además que él estaba recién casado y que tenía una niña y que él estaba dispuesto a declarar donde fuera.</w:t>
      </w:r>
    </w:p>
    <w:p w:rsidR="0040090D" w:rsidRDefault="0040090D" w:rsidP="0040090D">
      <w:pPr>
        <w:rPr>
          <w:rFonts w:cs="Arial"/>
          <w:sz w:val="26"/>
          <w:szCs w:val="26"/>
        </w:rPr>
      </w:pPr>
    </w:p>
    <w:p w:rsidR="0040090D" w:rsidRDefault="006C6A01" w:rsidP="006C6A01">
      <w:pPr>
        <w:numPr>
          <w:ilvl w:val="0"/>
          <w:numId w:val="28"/>
        </w:numPr>
        <w:ind w:left="0" w:firstLine="0"/>
        <w:rPr>
          <w:rFonts w:cs="Arial"/>
          <w:sz w:val="26"/>
          <w:szCs w:val="26"/>
        </w:rPr>
      </w:pPr>
      <w:r>
        <w:rPr>
          <w:rFonts w:cs="Arial"/>
          <w:sz w:val="26"/>
          <w:szCs w:val="26"/>
        </w:rPr>
        <w:t xml:space="preserve">En segundo lugar, se </w:t>
      </w:r>
      <w:r w:rsidR="005D4544">
        <w:rPr>
          <w:rFonts w:cs="Arial"/>
          <w:sz w:val="26"/>
          <w:szCs w:val="26"/>
        </w:rPr>
        <w:t>tienen</w:t>
      </w:r>
      <w:r>
        <w:rPr>
          <w:rFonts w:cs="Arial"/>
          <w:sz w:val="26"/>
          <w:szCs w:val="26"/>
        </w:rPr>
        <w:t xml:space="preserve"> los informes militares </w:t>
      </w:r>
      <w:r w:rsidR="005D4544">
        <w:rPr>
          <w:rFonts w:cs="Arial"/>
          <w:sz w:val="26"/>
          <w:szCs w:val="26"/>
        </w:rPr>
        <w:t>rendidos por</w:t>
      </w:r>
      <w:r>
        <w:rPr>
          <w:rFonts w:cs="Arial"/>
          <w:sz w:val="26"/>
          <w:szCs w:val="26"/>
        </w:rPr>
        <w:t xml:space="preserve"> los </w:t>
      </w:r>
      <w:r w:rsidR="005D4544">
        <w:rPr>
          <w:rFonts w:cs="Arial"/>
          <w:sz w:val="26"/>
          <w:szCs w:val="26"/>
        </w:rPr>
        <w:t>agentes</w:t>
      </w:r>
      <w:r>
        <w:rPr>
          <w:rFonts w:cs="Arial"/>
          <w:sz w:val="26"/>
          <w:szCs w:val="26"/>
        </w:rPr>
        <w:t xml:space="preserve"> involucrados en </w:t>
      </w:r>
      <w:r w:rsidR="007C01EE">
        <w:rPr>
          <w:rFonts w:cs="Arial"/>
          <w:sz w:val="26"/>
          <w:szCs w:val="26"/>
        </w:rPr>
        <w:t>est</w:t>
      </w:r>
      <w:r>
        <w:rPr>
          <w:rFonts w:cs="Arial"/>
          <w:sz w:val="26"/>
          <w:szCs w:val="26"/>
        </w:rPr>
        <w:t xml:space="preserve">os </w:t>
      </w:r>
      <w:r w:rsidR="005D4544">
        <w:rPr>
          <w:rFonts w:cs="Arial"/>
          <w:sz w:val="26"/>
          <w:szCs w:val="26"/>
        </w:rPr>
        <w:t>hechos y</w:t>
      </w:r>
      <w:r>
        <w:rPr>
          <w:rFonts w:cs="Arial"/>
          <w:sz w:val="26"/>
          <w:szCs w:val="26"/>
        </w:rPr>
        <w:t xml:space="preserve"> sus superiores jerárquicos</w:t>
      </w:r>
      <w:r w:rsidR="007C01EE">
        <w:rPr>
          <w:rFonts w:cs="Arial"/>
          <w:sz w:val="26"/>
          <w:szCs w:val="26"/>
        </w:rPr>
        <w:t>, en los que se describen los antecedentes del hecho, las funciones que les fueron encomendadas a los uniformados y la evasión del servicio.</w:t>
      </w:r>
    </w:p>
    <w:p w:rsidR="0040090D" w:rsidRDefault="0040090D" w:rsidP="0040090D">
      <w:pPr>
        <w:rPr>
          <w:rFonts w:cs="Arial"/>
          <w:sz w:val="26"/>
          <w:szCs w:val="26"/>
        </w:rPr>
      </w:pPr>
    </w:p>
    <w:p w:rsidR="007C01EE" w:rsidRPr="005D2D2E" w:rsidRDefault="007C01EE" w:rsidP="007C01EE">
      <w:pPr>
        <w:numPr>
          <w:ilvl w:val="1"/>
          <w:numId w:val="28"/>
        </w:numPr>
        <w:ind w:left="0" w:firstLine="0"/>
        <w:rPr>
          <w:rFonts w:cs="Arial"/>
          <w:sz w:val="26"/>
          <w:szCs w:val="26"/>
        </w:rPr>
      </w:pPr>
      <w:r w:rsidRPr="005D2D2E">
        <w:rPr>
          <w:rFonts w:eastAsia="Times New Roman" w:cs="Arial"/>
          <w:sz w:val="26"/>
          <w:szCs w:val="26"/>
          <w:lang w:val="es-ES" w:eastAsia="es-ES"/>
        </w:rPr>
        <w:t>El subteniente Fabián Borja Pérez, comandante de</w:t>
      </w:r>
      <w:r w:rsidR="00784C72">
        <w:rPr>
          <w:rFonts w:eastAsia="Times New Roman" w:cs="Arial"/>
          <w:sz w:val="26"/>
          <w:szCs w:val="26"/>
          <w:lang w:val="es-ES" w:eastAsia="es-ES"/>
        </w:rPr>
        <w:t>l grupo de</w:t>
      </w:r>
      <w:r w:rsidR="00FB05AA">
        <w:rPr>
          <w:rFonts w:eastAsia="Times New Roman" w:cs="Arial"/>
          <w:sz w:val="26"/>
          <w:szCs w:val="26"/>
          <w:lang w:val="es-ES" w:eastAsia="es-ES"/>
        </w:rPr>
        <w:t xml:space="preserve"> contraguerrilla del Batallón de I</w:t>
      </w:r>
      <w:r w:rsidRPr="005D2D2E">
        <w:rPr>
          <w:rFonts w:eastAsia="Times New Roman" w:cs="Arial"/>
          <w:sz w:val="26"/>
          <w:szCs w:val="26"/>
          <w:lang w:val="es-ES" w:eastAsia="es-ES"/>
        </w:rPr>
        <w:t xml:space="preserve">ngenieros, en el </w:t>
      </w:r>
      <w:r w:rsidRPr="005D2D2E">
        <w:rPr>
          <w:rFonts w:cs="Arial"/>
          <w:sz w:val="26"/>
          <w:szCs w:val="26"/>
        </w:rPr>
        <w:t>i</w:t>
      </w:r>
      <w:r w:rsidRPr="005D2D2E">
        <w:rPr>
          <w:rFonts w:eastAsia="Times New Roman" w:cs="Arial"/>
          <w:sz w:val="26"/>
          <w:szCs w:val="26"/>
          <w:lang w:val="es-ES" w:eastAsia="es-ES"/>
        </w:rPr>
        <w:t xml:space="preserve">nforme rendido </w:t>
      </w:r>
      <w:r w:rsidR="00784C72">
        <w:rPr>
          <w:rFonts w:eastAsia="Times New Roman" w:cs="Arial"/>
          <w:sz w:val="26"/>
          <w:szCs w:val="26"/>
          <w:lang w:val="es-ES" w:eastAsia="es-ES"/>
        </w:rPr>
        <w:t>ante e</w:t>
      </w:r>
      <w:r w:rsidR="006A7A82">
        <w:rPr>
          <w:rFonts w:eastAsia="Times New Roman" w:cs="Arial"/>
          <w:sz w:val="26"/>
          <w:szCs w:val="26"/>
          <w:lang w:val="es-ES" w:eastAsia="es-ES"/>
        </w:rPr>
        <w:t>l comandante de la B</w:t>
      </w:r>
      <w:r w:rsidRPr="005D2D2E">
        <w:rPr>
          <w:rFonts w:eastAsia="Times New Roman" w:cs="Arial"/>
          <w:sz w:val="26"/>
          <w:szCs w:val="26"/>
          <w:lang w:val="es-ES" w:eastAsia="es-ES"/>
        </w:rPr>
        <w:t>rigada XVIII del Ejército</w:t>
      </w:r>
      <w:r w:rsidR="00F61BD6">
        <w:rPr>
          <w:rFonts w:eastAsia="Times New Roman" w:cs="Arial"/>
          <w:sz w:val="26"/>
          <w:szCs w:val="26"/>
          <w:lang w:val="es-ES" w:eastAsia="es-ES"/>
        </w:rPr>
        <w:t xml:space="preserve"> Nacional</w:t>
      </w:r>
      <w:r w:rsidRPr="005D2D2E">
        <w:rPr>
          <w:rFonts w:eastAsia="Times New Roman" w:cs="Arial"/>
          <w:sz w:val="26"/>
          <w:szCs w:val="26"/>
          <w:lang w:val="es-ES" w:eastAsia="es-ES"/>
        </w:rPr>
        <w:t xml:space="preserve"> señaló que el 4 de septiembre de</w:t>
      </w:r>
      <w:r w:rsidR="00A9583D" w:rsidRPr="005D2D2E">
        <w:rPr>
          <w:rFonts w:eastAsia="Times New Roman" w:cs="Arial"/>
          <w:sz w:val="26"/>
          <w:szCs w:val="26"/>
          <w:lang w:val="es-ES" w:eastAsia="es-ES"/>
        </w:rPr>
        <w:t xml:space="preserve"> 1999, en horas de la mañana,</w:t>
      </w:r>
      <w:r w:rsidRPr="005D2D2E">
        <w:rPr>
          <w:rFonts w:eastAsia="Times New Roman" w:cs="Arial"/>
          <w:sz w:val="26"/>
          <w:szCs w:val="26"/>
          <w:lang w:val="es-ES" w:eastAsia="es-ES"/>
        </w:rPr>
        <w:t xml:space="preserve"> dio la orden al cabo primero Manuel Carvajal, al dragoneant</w:t>
      </w:r>
      <w:r w:rsidR="00A9583D" w:rsidRPr="005D2D2E">
        <w:rPr>
          <w:rFonts w:eastAsia="Times New Roman" w:cs="Arial"/>
          <w:sz w:val="26"/>
          <w:szCs w:val="26"/>
          <w:lang w:val="es-ES" w:eastAsia="es-ES"/>
        </w:rPr>
        <w:t xml:space="preserve">e César Augusto Rodríguez y al soldado Jhonatan Ortiz de recoger un dinero, comprar víveres para la tropa y </w:t>
      </w:r>
      <w:r w:rsidR="007D69EE">
        <w:rPr>
          <w:rFonts w:eastAsia="Times New Roman" w:cs="Arial"/>
          <w:sz w:val="26"/>
          <w:szCs w:val="26"/>
          <w:lang w:val="es-ES" w:eastAsia="es-ES"/>
        </w:rPr>
        <w:t>volver</w:t>
      </w:r>
      <w:r w:rsidR="00A9583D" w:rsidRPr="005D2D2E">
        <w:rPr>
          <w:rFonts w:eastAsia="Times New Roman" w:cs="Arial"/>
          <w:sz w:val="26"/>
          <w:szCs w:val="26"/>
          <w:lang w:val="es-ES" w:eastAsia="es-ES"/>
        </w:rPr>
        <w:t xml:space="preserve"> inmediatamente a la base. Agregó que los </w:t>
      </w:r>
      <w:r w:rsidR="00784C72">
        <w:rPr>
          <w:rFonts w:eastAsia="Times New Roman" w:cs="Arial"/>
          <w:sz w:val="26"/>
          <w:szCs w:val="26"/>
          <w:lang w:val="es-ES" w:eastAsia="es-ES"/>
        </w:rPr>
        <w:t>militares</w:t>
      </w:r>
      <w:r w:rsidR="00A9583D" w:rsidRPr="005D2D2E">
        <w:rPr>
          <w:rFonts w:eastAsia="Times New Roman" w:cs="Arial"/>
          <w:sz w:val="26"/>
          <w:szCs w:val="26"/>
          <w:lang w:val="es-ES" w:eastAsia="es-ES"/>
        </w:rPr>
        <w:t xml:space="preserve"> incumplieron dicha instrucción y, en cambio, estuvieron con personal de la policía de Tame, y que al día siguiente se presentaron en la base con lesiones en el cuerpo </w:t>
      </w:r>
      <w:r w:rsidRPr="00784C72">
        <w:rPr>
          <w:rFonts w:eastAsia="Times New Roman" w:cs="Arial"/>
          <w:sz w:val="22"/>
          <w:szCs w:val="22"/>
          <w:lang w:val="es-ES" w:eastAsia="es-ES"/>
        </w:rPr>
        <w:t>(f. 158-160, c. 1)</w:t>
      </w:r>
      <w:r w:rsidRPr="005D2D2E">
        <w:rPr>
          <w:rFonts w:eastAsia="Times New Roman" w:cs="Arial"/>
          <w:sz w:val="26"/>
          <w:szCs w:val="26"/>
          <w:lang w:val="es-ES" w:eastAsia="es-ES"/>
        </w:rPr>
        <w:t>:</w:t>
      </w:r>
    </w:p>
    <w:p w:rsidR="007C01EE" w:rsidRPr="005D2D2E" w:rsidRDefault="007C01EE" w:rsidP="007C01EE">
      <w:pPr>
        <w:suppressAutoHyphens w:val="0"/>
        <w:overflowPunct/>
        <w:autoSpaceDE/>
        <w:jc w:val="left"/>
        <w:textAlignment w:val="auto"/>
        <w:rPr>
          <w:rFonts w:eastAsia="Times New Roman" w:cs="Arial"/>
          <w:sz w:val="26"/>
          <w:szCs w:val="26"/>
          <w:lang w:val="es-ES" w:eastAsia="es-ES"/>
        </w:rPr>
      </w:pPr>
    </w:p>
    <w:p w:rsidR="007C01EE" w:rsidRPr="007C01EE" w:rsidRDefault="007C01EE" w:rsidP="007C01EE">
      <w:pPr>
        <w:suppressAutoHyphens w:val="0"/>
        <w:overflowPunct/>
        <w:autoSpaceDE/>
        <w:spacing w:line="240" w:lineRule="auto"/>
        <w:ind w:left="709" w:right="618"/>
        <w:textAlignment w:val="auto"/>
        <w:rPr>
          <w:rFonts w:eastAsia="Times New Roman" w:cs="Arial"/>
          <w:i/>
          <w:szCs w:val="26"/>
          <w:lang w:val="es-ES" w:eastAsia="es-ES"/>
        </w:rPr>
      </w:pPr>
      <w:r w:rsidRPr="007C01EE">
        <w:rPr>
          <w:rFonts w:eastAsia="Times New Roman" w:cs="Arial"/>
          <w:i/>
          <w:szCs w:val="26"/>
          <w:lang w:val="es-ES" w:eastAsia="es-ES"/>
        </w:rPr>
        <w:t>Por medio de la presente me permito informar los hechos ocurridos el día 4 de septiembre siendo las 10:00 a.m. El señor cabo primero Carvajal Mendieta Manuel me solicitó permiso para ir al odontólogo para arreglar un problema de ortodoncia. Viendo que la contraguerrilla llevaba dos días sin víveres frescos y combustible, le hice conocer la situación actual de orden público que se vive en la localidad, y cumpliendo con las medidas ordenadas por el comando del batallón, autoricé al cabo primero Carvajal Mendieta Manuel, junto con el DG. Rodríguez Garzón César Augusto y el SL. Ortiz Barrera Jhonatan, para que fueran y reclamaran el dinero al enlace e hicieran su diligencia, y de regreso entraran a la localidad de Tame y compraran los víveres frescos y de inmediato regresaran a la base.</w:t>
      </w:r>
    </w:p>
    <w:p w:rsidR="007C01EE" w:rsidRPr="007C01EE" w:rsidRDefault="007C01EE" w:rsidP="007C01EE">
      <w:pPr>
        <w:suppressAutoHyphens w:val="0"/>
        <w:overflowPunct/>
        <w:autoSpaceDE/>
        <w:spacing w:line="240" w:lineRule="auto"/>
        <w:ind w:left="709" w:right="618"/>
        <w:textAlignment w:val="auto"/>
        <w:rPr>
          <w:rFonts w:eastAsia="Times New Roman" w:cs="Arial"/>
          <w:i/>
          <w:szCs w:val="26"/>
          <w:lang w:val="es-ES" w:eastAsia="es-ES"/>
        </w:rPr>
      </w:pPr>
    </w:p>
    <w:p w:rsidR="007C01EE" w:rsidRPr="007C01EE" w:rsidRDefault="007C01EE" w:rsidP="007C01EE">
      <w:pPr>
        <w:suppressAutoHyphens w:val="0"/>
        <w:overflowPunct/>
        <w:autoSpaceDE/>
        <w:spacing w:line="240" w:lineRule="auto"/>
        <w:ind w:left="709" w:right="618"/>
        <w:textAlignment w:val="auto"/>
        <w:rPr>
          <w:rFonts w:eastAsia="Times New Roman" w:cs="Arial"/>
          <w:i/>
          <w:szCs w:val="26"/>
          <w:lang w:val="es-ES" w:eastAsia="es-ES"/>
        </w:rPr>
      </w:pPr>
      <w:r w:rsidRPr="007C01EE">
        <w:rPr>
          <w:rFonts w:eastAsia="Times New Roman" w:cs="Arial"/>
          <w:i/>
          <w:szCs w:val="26"/>
          <w:lang w:val="es-ES" w:eastAsia="es-ES"/>
        </w:rPr>
        <w:t xml:space="preserve">Salieron de la base con el revólver de la contraguerrilla y vestidos de la siguiente manera: el cabo vestía un pantalón de color gris, camiseta gris y zapatillas azules </w:t>
      </w:r>
      <w:r w:rsidRPr="007C01EE">
        <w:rPr>
          <w:rFonts w:eastAsia="Times New Roman" w:cs="Arial"/>
          <w:szCs w:val="26"/>
          <w:lang w:val="es-ES" w:eastAsia="es-ES"/>
        </w:rPr>
        <w:t>(...)</w:t>
      </w:r>
    </w:p>
    <w:p w:rsidR="007C01EE" w:rsidRPr="007C01EE" w:rsidRDefault="007C01EE" w:rsidP="007C01EE">
      <w:pPr>
        <w:suppressAutoHyphens w:val="0"/>
        <w:overflowPunct/>
        <w:autoSpaceDE/>
        <w:spacing w:line="240" w:lineRule="auto"/>
        <w:ind w:left="709" w:right="618"/>
        <w:textAlignment w:val="auto"/>
        <w:rPr>
          <w:rFonts w:eastAsia="Times New Roman" w:cs="Arial"/>
          <w:i/>
          <w:szCs w:val="26"/>
          <w:lang w:val="es-ES" w:eastAsia="es-ES"/>
        </w:rPr>
      </w:pPr>
    </w:p>
    <w:p w:rsidR="007C01EE" w:rsidRPr="007C01EE" w:rsidRDefault="007C01EE" w:rsidP="007C01EE">
      <w:pPr>
        <w:suppressAutoHyphens w:val="0"/>
        <w:overflowPunct/>
        <w:autoSpaceDE/>
        <w:spacing w:line="240" w:lineRule="auto"/>
        <w:ind w:left="709" w:right="618"/>
        <w:textAlignment w:val="auto"/>
        <w:rPr>
          <w:rFonts w:eastAsia="Times New Roman" w:cs="Arial"/>
          <w:i/>
          <w:szCs w:val="26"/>
          <w:lang w:val="es-ES" w:eastAsia="es-ES"/>
        </w:rPr>
      </w:pPr>
      <w:r w:rsidRPr="007C01EE">
        <w:rPr>
          <w:rFonts w:eastAsia="Times New Roman" w:cs="Arial"/>
          <w:i/>
          <w:szCs w:val="26"/>
          <w:lang w:val="es-ES" w:eastAsia="es-ES"/>
        </w:rPr>
        <w:t>Transcurrió parte del día sin saber noticia de ellos. Siendo las 17:00 horas el cabo primero Ortiz, que se encontraba en la policía, me timbró por el radio solicitándome que dejara libre la línea telefónica que necesitaba hablar conmigo, pasé al teléfono y se trataba del CP. Carvajal Mendieta Manuel, el cual le llamé la atención y le ordené que se viniera de inmediato con los dos soldados y que acá hablábamos y respondiéndome que él iba a hacer una vuelta con el teniente de la policía, volví a repetirle la orden y le colgué, no reporté lo sucedido en el programa por el retardo e irresponsabilidad del cabo, y que yo lo podía solucionar ya que yo era el responsable por haberlo autorizado y sabiendo que los soldados se encontraban bien y de regreso, a las 19:30 p.m., viendo que no regresaban, volví a llamar a la policía y hablé con el cabo Ortiz, le pregunté por el cabo y los dos soldados y el estado en el cual se encontraban, respondiéndome que los dos soldados se encontraban bien y que el cabo Carvajal había salido con el teniente de la policía haciendo caso omiso de la orden que yo le había dado y abandonando los dos soldados que estaban a cargo de él, le ordené al cabo Ortiz que por ningún motivo me dejara salir los soldados de la estación.</w:t>
      </w:r>
    </w:p>
    <w:p w:rsidR="007C01EE" w:rsidRPr="007C01EE" w:rsidRDefault="007C01EE" w:rsidP="007C01EE">
      <w:pPr>
        <w:suppressAutoHyphens w:val="0"/>
        <w:overflowPunct/>
        <w:autoSpaceDE/>
        <w:spacing w:line="240" w:lineRule="auto"/>
        <w:ind w:left="709" w:right="618"/>
        <w:textAlignment w:val="auto"/>
        <w:rPr>
          <w:rFonts w:eastAsia="Times New Roman" w:cs="Arial"/>
          <w:i/>
          <w:szCs w:val="26"/>
          <w:lang w:val="es-ES" w:eastAsia="es-ES"/>
        </w:rPr>
      </w:pPr>
    </w:p>
    <w:p w:rsidR="007C01EE" w:rsidRPr="007C01EE" w:rsidRDefault="007C01EE" w:rsidP="007C01EE">
      <w:pPr>
        <w:suppressAutoHyphens w:val="0"/>
        <w:overflowPunct/>
        <w:autoSpaceDE/>
        <w:spacing w:line="240" w:lineRule="auto"/>
        <w:ind w:left="709" w:right="618"/>
        <w:textAlignment w:val="auto"/>
        <w:rPr>
          <w:rFonts w:eastAsia="Times New Roman" w:cs="Arial"/>
          <w:i/>
          <w:szCs w:val="26"/>
          <w:lang w:val="es-ES" w:eastAsia="es-ES"/>
        </w:rPr>
      </w:pPr>
      <w:r w:rsidRPr="007C01EE">
        <w:rPr>
          <w:rFonts w:eastAsia="Times New Roman" w:cs="Arial"/>
          <w:i/>
          <w:szCs w:val="26"/>
          <w:lang w:val="es-ES" w:eastAsia="es-ES"/>
        </w:rPr>
        <w:t>A las 22:00 horas hablé con el DG. Rodríguez, el cual me informó que el cabo Carvajal no había llegado, al cual le ordené que esperara allí hasta que él regresara y si era necesario pernoctara en la estación hasta el otro día.</w:t>
      </w:r>
    </w:p>
    <w:p w:rsidR="007C01EE" w:rsidRPr="007C01EE" w:rsidRDefault="007C01EE" w:rsidP="007C01EE">
      <w:pPr>
        <w:suppressAutoHyphens w:val="0"/>
        <w:overflowPunct/>
        <w:autoSpaceDE/>
        <w:spacing w:line="240" w:lineRule="auto"/>
        <w:ind w:left="709" w:right="618"/>
        <w:textAlignment w:val="auto"/>
        <w:rPr>
          <w:rFonts w:eastAsia="Times New Roman" w:cs="Arial"/>
          <w:i/>
          <w:szCs w:val="26"/>
          <w:lang w:val="es-ES" w:eastAsia="es-ES"/>
        </w:rPr>
      </w:pPr>
    </w:p>
    <w:p w:rsidR="007C01EE" w:rsidRPr="007C01EE" w:rsidRDefault="007C01EE" w:rsidP="007C01EE">
      <w:pPr>
        <w:spacing w:line="240" w:lineRule="auto"/>
        <w:ind w:left="709" w:right="618"/>
        <w:rPr>
          <w:rFonts w:cs="Arial"/>
          <w:i/>
          <w:sz w:val="26"/>
          <w:szCs w:val="26"/>
        </w:rPr>
      </w:pPr>
      <w:r w:rsidRPr="007C01EE">
        <w:rPr>
          <w:rFonts w:eastAsia="Times New Roman" w:cs="Arial"/>
          <w:i/>
          <w:szCs w:val="26"/>
          <w:lang w:val="es-ES" w:eastAsia="es-ES"/>
        </w:rPr>
        <w:t>A las 7:00 a.m. del 5 de septiembre ingresaron a la base y el cabo se me presentó con raspaduras en el rostro y los ojos irritados, llamándole la atención por incumplir las órdenes que yo le había dado y exponer así la integridad física de los soldados, le pedí un informe detallado de lo sucedido y por qué había incumplido las órdenes que yo le había dado.</w:t>
      </w:r>
    </w:p>
    <w:p w:rsidR="007C01EE" w:rsidRDefault="007C01EE" w:rsidP="0040090D">
      <w:pPr>
        <w:rPr>
          <w:rFonts w:cs="Arial"/>
          <w:sz w:val="26"/>
          <w:szCs w:val="26"/>
        </w:rPr>
      </w:pPr>
    </w:p>
    <w:p w:rsidR="00A9583D" w:rsidRPr="00B860A0" w:rsidRDefault="00224ED2" w:rsidP="00224ED2">
      <w:pPr>
        <w:numPr>
          <w:ilvl w:val="1"/>
          <w:numId w:val="28"/>
        </w:numPr>
        <w:ind w:left="0" w:firstLine="0"/>
        <w:rPr>
          <w:rFonts w:cs="Arial"/>
          <w:sz w:val="26"/>
          <w:szCs w:val="26"/>
        </w:rPr>
      </w:pPr>
      <w:r>
        <w:rPr>
          <w:rFonts w:cs="Arial"/>
          <w:sz w:val="26"/>
          <w:szCs w:val="26"/>
        </w:rPr>
        <w:t>A su vez, e</w:t>
      </w:r>
      <w:r w:rsidRPr="00224ED2">
        <w:rPr>
          <w:rFonts w:cs="Arial"/>
          <w:sz w:val="26"/>
          <w:szCs w:val="26"/>
        </w:rPr>
        <w:t xml:space="preserve">l teniente coronel Juan Pablo Rodríguez Barragán, </w:t>
      </w:r>
      <w:r>
        <w:rPr>
          <w:rFonts w:cs="Arial"/>
          <w:sz w:val="26"/>
          <w:szCs w:val="26"/>
        </w:rPr>
        <w:t xml:space="preserve">en el informe </w:t>
      </w:r>
      <w:r w:rsidRPr="00224ED2">
        <w:rPr>
          <w:rFonts w:cs="Arial"/>
          <w:sz w:val="26"/>
          <w:szCs w:val="26"/>
        </w:rPr>
        <w:t xml:space="preserve">rendido </w:t>
      </w:r>
      <w:r>
        <w:rPr>
          <w:rFonts w:cs="Arial"/>
          <w:sz w:val="26"/>
          <w:szCs w:val="26"/>
        </w:rPr>
        <w:t>ante el</w:t>
      </w:r>
      <w:r w:rsidR="006A7A82">
        <w:rPr>
          <w:rFonts w:cs="Arial"/>
          <w:sz w:val="26"/>
          <w:szCs w:val="26"/>
        </w:rPr>
        <w:t xml:space="preserve"> jefe del Estado Mayor de la B</w:t>
      </w:r>
      <w:r w:rsidRPr="00224ED2">
        <w:rPr>
          <w:rFonts w:cs="Arial"/>
          <w:sz w:val="26"/>
          <w:szCs w:val="26"/>
        </w:rPr>
        <w:t>rigada XVIII del Ejército</w:t>
      </w:r>
      <w:r>
        <w:rPr>
          <w:rFonts w:cs="Arial"/>
          <w:sz w:val="26"/>
          <w:szCs w:val="26"/>
        </w:rPr>
        <w:t xml:space="preserve"> </w:t>
      </w:r>
      <w:r w:rsidR="00681EBD">
        <w:rPr>
          <w:rFonts w:cs="Arial"/>
          <w:sz w:val="26"/>
          <w:szCs w:val="26"/>
        </w:rPr>
        <w:t xml:space="preserve">expresó que los suboficiales Manuel Carvajal y Ever Méndez, en compañía de dos soldados, luego de cumplir las diligencias que les fueron encargadas por el subteniente </w:t>
      </w:r>
      <w:r w:rsidR="00B860A0">
        <w:rPr>
          <w:rFonts w:cs="Arial"/>
          <w:sz w:val="26"/>
          <w:szCs w:val="26"/>
        </w:rPr>
        <w:t xml:space="preserve">Fabián </w:t>
      </w:r>
      <w:r w:rsidR="00681EBD">
        <w:rPr>
          <w:rFonts w:cs="Arial"/>
          <w:sz w:val="26"/>
          <w:szCs w:val="26"/>
        </w:rPr>
        <w:t xml:space="preserve">Borja, se dirigieron </w:t>
      </w:r>
      <w:r w:rsidR="00B860A0">
        <w:rPr>
          <w:rFonts w:cs="Arial"/>
          <w:sz w:val="26"/>
          <w:szCs w:val="26"/>
        </w:rPr>
        <w:t>a</w:t>
      </w:r>
      <w:r w:rsidR="00681EBD">
        <w:rPr>
          <w:rFonts w:cs="Arial"/>
          <w:sz w:val="26"/>
          <w:szCs w:val="26"/>
        </w:rPr>
        <w:t xml:space="preserve"> la estación de policía de Tame, estuvieron</w:t>
      </w:r>
      <w:r w:rsidR="00B860A0">
        <w:rPr>
          <w:rFonts w:cs="Arial"/>
          <w:sz w:val="26"/>
          <w:szCs w:val="26"/>
        </w:rPr>
        <w:t xml:space="preserve"> departiendo con los policías y cerca de las ocho de la noche partieron hacia una taberna, pese a que el superior no había autorizado esa salida. Añadió que los uniformados llegaron al cuartel de policía a la una de la mañana, pasaron allí toda la noche y en las primeras horas de la mañana llegaron a la base militar. Finalmente, recordó que el 5 de septiembre recibió una denuncia por agresión sexual, por lo cual inició una investigación </w:t>
      </w:r>
      <w:r w:rsidRPr="00B860A0">
        <w:rPr>
          <w:rFonts w:cs="Arial"/>
          <w:sz w:val="22"/>
          <w:szCs w:val="22"/>
        </w:rPr>
        <w:t>(f. 195-196, c. 1)</w:t>
      </w:r>
      <w:r w:rsidRPr="00B860A0">
        <w:rPr>
          <w:rFonts w:cs="Arial"/>
          <w:sz w:val="26"/>
          <w:szCs w:val="26"/>
        </w:rPr>
        <w:t>:</w:t>
      </w:r>
    </w:p>
    <w:p w:rsidR="00A9583D" w:rsidRDefault="00A9583D" w:rsidP="0040090D">
      <w:pPr>
        <w:rPr>
          <w:rFonts w:cs="Arial"/>
          <w:sz w:val="26"/>
          <w:szCs w:val="26"/>
        </w:rPr>
      </w:pPr>
    </w:p>
    <w:p w:rsidR="005D2D2E" w:rsidRPr="005D2D2E" w:rsidRDefault="005D2D2E" w:rsidP="005D2D2E">
      <w:pPr>
        <w:spacing w:line="240" w:lineRule="auto"/>
        <w:ind w:left="709" w:right="618"/>
        <w:rPr>
          <w:rFonts w:cs="Arial"/>
          <w:i/>
          <w:szCs w:val="24"/>
        </w:rPr>
      </w:pPr>
      <w:r w:rsidRPr="005D2D2E">
        <w:rPr>
          <w:rFonts w:cs="Arial"/>
          <w:i/>
          <w:szCs w:val="24"/>
        </w:rPr>
        <w:t xml:space="preserve">El día sábado 4 15:00 – Sep. 99, fueron enviados a la localidad de Tame los Suboficiales CP. Méndez Veloza Ever Augusto y CP. Carvajal Mendieta Manuel, orgánicos de la compañía “Bisonte”, en compañía de dos soldados con la plata de los víveres frescos a realizar la compra de algunos elementos necesarios para los abastecimientos de la contraguerrilla “Bisonte” 4, al mando del señor ST. Borja Pérez Fabián y cumplir una cita odontológica en la UMI. </w:t>
      </w:r>
    </w:p>
    <w:p w:rsidR="005D2D2E" w:rsidRPr="005D2D2E" w:rsidRDefault="005D2D2E" w:rsidP="005D2D2E">
      <w:pPr>
        <w:spacing w:line="240" w:lineRule="auto"/>
        <w:ind w:left="709" w:right="618"/>
        <w:rPr>
          <w:rFonts w:cs="Arial"/>
          <w:i/>
          <w:szCs w:val="24"/>
        </w:rPr>
      </w:pPr>
    </w:p>
    <w:p w:rsidR="005D2D2E" w:rsidRPr="005D2D2E" w:rsidRDefault="005D2D2E" w:rsidP="005D2D2E">
      <w:pPr>
        <w:spacing w:line="240" w:lineRule="auto"/>
        <w:ind w:left="709" w:right="618"/>
        <w:rPr>
          <w:rFonts w:cs="Arial"/>
          <w:i/>
          <w:szCs w:val="24"/>
        </w:rPr>
      </w:pPr>
      <w:r w:rsidRPr="005D2D2E">
        <w:rPr>
          <w:rFonts w:cs="Arial"/>
          <w:i/>
          <w:szCs w:val="24"/>
        </w:rPr>
        <w:t xml:space="preserve">Según lo manifestado por los dos cuadros, ellos se dirigieron a la localidad, efectuaron las diligencias pertinentes y posteriormente se desplazaron a la estación de policía, en donde permanecieron hasta las 20:00 horas aproximadamente, departiendo en una reunión que estaba desarrollando la Policía, posteriormente se reportaron por teléfono a la base militar de Naranjitos y le solicitaron al señor ST. Borja Pérez Fabián permiso para hacer una vuelta con el Teniente de la Policía y llegar un poco más tarde, aspecto que no fue autorizado por el Comandante de la Contraguerrilla, ordenándoles que regresaran de inmediato a la base. Paso seguido los Suboficiales no cumplieron la orden y salieron de la estación de policía dirigiéndose a una taberna cerca al cuartel para seguir departiendo en compañía del Comandante de la Policía de Tame, unos Suboficiales y agentes que acompañaban al oficial. De ahí, según su versión, ellos salieron a dar una vuelta y regresaron al cuartel a la 1:00 para pasar la noche en las instalaciones del mismo y regresar a la base en las primeras horas del día (05-OCT-99). </w:t>
      </w:r>
    </w:p>
    <w:p w:rsidR="005D2D2E" w:rsidRPr="005D2D2E" w:rsidRDefault="005D2D2E" w:rsidP="005D2D2E">
      <w:pPr>
        <w:spacing w:line="240" w:lineRule="auto"/>
        <w:ind w:left="709" w:right="618"/>
        <w:rPr>
          <w:rFonts w:cs="Arial"/>
          <w:i/>
          <w:szCs w:val="24"/>
        </w:rPr>
      </w:pPr>
    </w:p>
    <w:p w:rsidR="005D2D2E" w:rsidRPr="005D2D2E" w:rsidRDefault="005D2D2E" w:rsidP="005D2D2E">
      <w:pPr>
        <w:spacing w:line="240" w:lineRule="auto"/>
        <w:ind w:left="709" w:right="618"/>
        <w:rPr>
          <w:rFonts w:cs="Arial"/>
          <w:i/>
          <w:szCs w:val="24"/>
        </w:rPr>
      </w:pPr>
      <w:r w:rsidRPr="005D2D2E">
        <w:rPr>
          <w:rFonts w:cs="Arial"/>
          <w:i/>
          <w:szCs w:val="24"/>
        </w:rPr>
        <w:t xml:space="preserve">De esta novedad el Comando del Batallón no fue informado en ninguno de los programas ya que el señor oficial Comandante de la Contraguerrilla, según lo manifestado por él, manejó la situación, porque consideraba que estaba dentro de sus atribuciones disciplinarias. </w:t>
      </w:r>
    </w:p>
    <w:p w:rsidR="005D2D2E" w:rsidRPr="005D2D2E" w:rsidRDefault="005D2D2E" w:rsidP="005D2D2E">
      <w:pPr>
        <w:spacing w:line="240" w:lineRule="auto"/>
        <w:ind w:left="709" w:right="618"/>
        <w:rPr>
          <w:rFonts w:cs="Arial"/>
          <w:i/>
          <w:szCs w:val="24"/>
        </w:rPr>
      </w:pPr>
    </w:p>
    <w:p w:rsidR="00B860A0" w:rsidRPr="005D2D2E" w:rsidRDefault="005D2D2E" w:rsidP="005D2D2E">
      <w:pPr>
        <w:spacing w:line="240" w:lineRule="auto"/>
        <w:ind w:left="709" w:right="618"/>
        <w:rPr>
          <w:rFonts w:cs="Arial"/>
          <w:i/>
          <w:szCs w:val="24"/>
        </w:rPr>
      </w:pPr>
      <w:r w:rsidRPr="005D2D2E">
        <w:rPr>
          <w:rFonts w:cs="Arial"/>
          <w:i/>
          <w:szCs w:val="24"/>
        </w:rPr>
        <w:t>El día 5 15:00 – oct. 99, se presentaron en las instalaciones del Batallón el cura párroco de la localidad, una señora y un joven manifestando que en la noche anterior, a eso de las 24:00, había sido violada la señorita Mónica Marisol Rodríguez Bustamante, al parecer, según versiones, por dos sujetos armados que se desplazaban en una moto, los cuales tenían corte militar y posiblemente eran miembros del Ejército Nacional, ante esta situación de inmediato procedí a verificar si alguien había salido, porque este Comando en ningún momento había autorizado permiso alguno ni tenía conocimiento de los hechos, detectando la novedad informada anteriormente, motivo por el cual tomé contacto directo con mi General Barbosa, informándole la misma, quien a su vez me ordenó abrir una investigación preliminar para tratar de esclarecer lo sucedido. Posteriormente, y de acuerdo a lo ordenado por el Comando de la Brigada, se inició la investigación correspondiente, nombrando como funcionario de instrucción al señor Mayor Sánchez Montaña Diego Luis, quien de inmediato cumplió todas las diligencias pertinentes, logrando establecer el 7 de septiembre, en diligencia de ampliación libre y espontánea rendida por el Cabo Primero Méndez Velosa Ever al funcionario de instrucción, que efectivamente ellos habían participado en estos hechos y que las versiones que se estaban rumorando eran verdad, pero que él no había participado directamente en los hechos. Por los motivos expuestos anteriormente este Comando abre investigación formal contra los Suboficiales por faltas contra la moral, la obediencia y compañerismo.</w:t>
      </w:r>
    </w:p>
    <w:p w:rsidR="00B860A0" w:rsidRDefault="00B860A0" w:rsidP="0040090D">
      <w:pPr>
        <w:rPr>
          <w:rFonts w:cs="Arial"/>
          <w:sz w:val="26"/>
          <w:szCs w:val="26"/>
        </w:rPr>
      </w:pPr>
    </w:p>
    <w:p w:rsidR="00F61BD6" w:rsidRPr="00F61BD6" w:rsidRDefault="00F61BD6" w:rsidP="00FF78BC">
      <w:pPr>
        <w:numPr>
          <w:ilvl w:val="1"/>
          <w:numId w:val="28"/>
        </w:numPr>
        <w:ind w:left="0" w:firstLine="0"/>
        <w:rPr>
          <w:rFonts w:cs="Arial"/>
          <w:sz w:val="26"/>
          <w:szCs w:val="26"/>
        </w:rPr>
      </w:pPr>
      <w:r>
        <w:rPr>
          <w:rFonts w:cs="Arial"/>
          <w:sz w:val="26"/>
          <w:szCs w:val="26"/>
        </w:rPr>
        <w:t xml:space="preserve">El </w:t>
      </w:r>
      <w:r w:rsidRPr="00F61BD6">
        <w:rPr>
          <w:rFonts w:eastAsia="Times New Roman" w:cs="Arial"/>
          <w:sz w:val="26"/>
          <w:szCs w:val="26"/>
          <w:lang w:val="es-ES" w:eastAsia="es-ES"/>
        </w:rPr>
        <w:t>cabo primero Manuel Carvajal Mendieta</w:t>
      </w:r>
      <w:r>
        <w:rPr>
          <w:rFonts w:eastAsia="Times New Roman" w:cs="Arial"/>
          <w:sz w:val="26"/>
          <w:szCs w:val="26"/>
          <w:lang w:val="es-ES" w:eastAsia="es-ES"/>
        </w:rPr>
        <w:t xml:space="preserve">, involucrado en los hechos objeto de investigación, en su informe ante el </w:t>
      </w:r>
      <w:r w:rsidR="00FB05AA">
        <w:rPr>
          <w:rFonts w:eastAsia="Times New Roman" w:cs="Arial"/>
          <w:sz w:val="26"/>
          <w:szCs w:val="26"/>
          <w:lang w:val="es-ES" w:eastAsia="es-ES"/>
        </w:rPr>
        <w:t>comandante del Batallón de I</w:t>
      </w:r>
      <w:r w:rsidRPr="00F61BD6">
        <w:rPr>
          <w:rFonts w:eastAsia="Times New Roman" w:cs="Arial"/>
          <w:sz w:val="26"/>
          <w:szCs w:val="26"/>
          <w:lang w:val="es-ES" w:eastAsia="es-ES"/>
        </w:rPr>
        <w:t>ngenieros “Rafael Navas Pardo”</w:t>
      </w:r>
      <w:r>
        <w:rPr>
          <w:rFonts w:eastAsia="Times New Roman" w:cs="Arial"/>
          <w:sz w:val="26"/>
          <w:szCs w:val="26"/>
          <w:lang w:val="es-ES" w:eastAsia="es-ES"/>
        </w:rPr>
        <w:t xml:space="preserve"> se limitó a afirmar que </w:t>
      </w:r>
      <w:r w:rsidR="00065524">
        <w:rPr>
          <w:rFonts w:eastAsia="Times New Roman" w:cs="Arial"/>
          <w:sz w:val="26"/>
          <w:szCs w:val="26"/>
          <w:lang w:val="es-ES" w:eastAsia="es-ES"/>
        </w:rPr>
        <w:t xml:space="preserve">el 4 de septiembre de 1999, autorizado por el subteniente Borja, se dirigió a la localidad de Tame para cumplir una cita de ortodoncia, compró unos víveres para la contraguerrilla y se dirigió a la estación de policía, en donde estuvo tomando unos tragos hasta las siete de la noche cuando se trasladó, en compañía de otros uniformados, </w:t>
      </w:r>
      <w:r w:rsidR="00FF78BC">
        <w:rPr>
          <w:rFonts w:eastAsia="Times New Roman" w:cs="Arial"/>
          <w:sz w:val="26"/>
          <w:szCs w:val="26"/>
          <w:lang w:val="es-ES" w:eastAsia="es-ES"/>
        </w:rPr>
        <w:t>a una taberna. El suboficial reconoció haber salido “</w:t>
      </w:r>
      <w:r w:rsidR="00FF78BC" w:rsidRPr="00FF78BC">
        <w:rPr>
          <w:rFonts w:eastAsia="Times New Roman" w:cs="Arial"/>
          <w:i/>
          <w:sz w:val="26"/>
          <w:szCs w:val="26"/>
          <w:lang w:val="es-ES" w:eastAsia="es-ES"/>
        </w:rPr>
        <w:t>a dar una vuelta</w:t>
      </w:r>
      <w:r w:rsidR="00FF78BC">
        <w:rPr>
          <w:rFonts w:eastAsia="Times New Roman" w:cs="Arial"/>
          <w:sz w:val="26"/>
          <w:szCs w:val="26"/>
          <w:lang w:val="es-ES" w:eastAsia="es-ES"/>
        </w:rPr>
        <w:t>” con el cabo primero Méndez en una motocicleta de la Policía y haber sufrido un accidente. Sostuvo que al regresar a la estación de policía “</w:t>
      </w:r>
      <w:r w:rsidR="00FF78BC" w:rsidRPr="00FF78BC">
        <w:rPr>
          <w:rFonts w:eastAsia="Times New Roman" w:cs="Arial"/>
          <w:i/>
          <w:sz w:val="26"/>
          <w:szCs w:val="26"/>
          <w:lang w:val="es-ES" w:eastAsia="es-ES"/>
        </w:rPr>
        <w:t>fue informado</w:t>
      </w:r>
      <w:r w:rsidR="00FF78BC">
        <w:rPr>
          <w:rFonts w:eastAsia="Times New Roman" w:cs="Arial"/>
          <w:sz w:val="26"/>
          <w:szCs w:val="26"/>
          <w:lang w:val="es-ES" w:eastAsia="es-ES"/>
        </w:rPr>
        <w:t xml:space="preserve">” de una violación sexual, por lo cual pasó toda la noche en el cuartel </w:t>
      </w:r>
      <w:r w:rsidRPr="00F61BD6">
        <w:rPr>
          <w:rFonts w:eastAsia="Times New Roman" w:cs="Arial"/>
          <w:sz w:val="22"/>
          <w:szCs w:val="22"/>
          <w:lang w:val="es-ES" w:eastAsia="es-ES"/>
        </w:rPr>
        <w:t>(f. 161, c. 1)</w:t>
      </w:r>
      <w:r w:rsidRPr="00F61BD6">
        <w:rPr>
          <w:rFonts w:eastAsia="Times New Roman" w:cs="Arial"/>
          <w:sz w:val="26"/>
          <w:szCs w:val="26"/>
          <w:lang w:val="es-ES" w:eastAsia="es-ES"/>
        </w:rPr>
        <w:t>:</w:t>
      </w:r>
    </w:p>
    <w:p w:rsidR="00F61BD6" w:rsidRPr="00F61BD6" w:rsidRDefault="00F61BD6" w:rsidP="00F61BD6">
      <w:pPr>
        <w:suppressAutoHyphens w:val="0"/>
        <w:overflowPunct/>
        <w:autoSpaceDE/>
        <w:jc w:val="left"/>
        <w:textAlignment w:val="auto"/>
        <w:rPr>
          <w:rFonts w:eastAsia="Times New Roman" w:cs="Arial"/>
          <w:sz w:val="26"/>
          <w:szCs w:val="26"/>
          <w:lang w:val="es-ES" w:eastAsia="es-ES"/>
        </w:rPr>
      </w:pPr>
    </w:p>
    <w:p w:rsidR="00F61BD6" w:rsidRPr="00FF78BC" w:rsidRDefault="00F61BD6" w:rsidP="00FF78BC">
      <w:pPr>
        <w:spacing w:line="240" w:lineRule="auto"/>
        <w:ind w:left="709" w:right="618"/>
        <w:rPr>
          <w:rFonts w:eastAsia="Times New Roman" w:cs="Arial"/>
          <w:i/>
          <w:szCs w:val="26"/>
          <w:lang w:val="es-ES" w:eastAsia="es-ES"/>
        </w:rPr>
      </w:pPr>
      <w:r w:rsidRPr="00FF78BC">
        <w:rPr>
          <w:rFonts w:eastAsia="Times New Roman" w:cs="Arial"/>
          <w:i/>
          <w:szCs w:val="26"/>
          <w:lang w:val="es-ES" w:eastAsia="es-ES"/>
        </w:rPr>
        <w:t>Por medio del presente me permito informar al señor teniente coronel Comandante del Batallón de Ingenieros No. 18 “General Rafael Navas Pardo”, sobre las actividades realizadas el día 4 de septiembre de 1999. A las 10:15 horas de la mañana le solicité al señor ST. Borja permiso para salir a la localidad de Tame para conseguir una cita con un ortodoncista, me fue autorizado el permiso, salí con un dragoneante y un soldado, me fue dada la orden de ir hasta el Batallón por la plata de los víveres frescos, reclamé la plata más o menos a las 12:00 horas del día, me dirigí al pueblo a coordinar la cita con el ortodoncista, el mencionado doctor no se encontraba atendiendo, me dirigí a la estación de policía donde se encontraba un personal de suboficiales de dicha estación, los cuales me invitaron a unos tragos dentro de la estación, allí permanecí durante toda la tarde, luego llegó el señor Teniente Comandante de la estación de policía, el cual se unió al grupo, más o menos a las 19:00 horas el mencionado Oficial hizo una invitación al grupo para ir a un sitio llamado al parecer La Quirpa, nos dirigimos al mencionado sitio en motos, después de un rato de permanecer en este sitio nos cambiamos a otro sitio que no recuerdo el nombre, permanecimos ahí durante un rato, salí a la calle y en ese momento salió el cabo primero Méndez y me dijo que se iba a dar una vuelta en moto, que si lo acompañaba, le manifesté que no fuéramos pero al ver que se iba a ir solo decidí acompañarlo, salimos en una moto de la Policía, después de andar un rato empezó a llover, le dije que nos fuéramos para la estación de policía y de repente sufrimos una caída y levantamos la moto y continuamos hacia la estación, al llegar al mencionado sitio nos fue informado sobre la presunta violación de una señorita y quedamos a disposición de la Policía, amanecimos en la estación y salimos de la estación alrededor de las 6:30 a 7:00 horas de la mañana, procedí a efectuar unas compras para la contraguerrilla y me dirigí a la base militar de Naranjitos.</w:t>
      </w:r>
    </w:p>
    <w:p w:rsidR="00F61BD6" w:rsidRDefault="00F61BD6" w:rsidP="00FF78BC">
      <w:pPr>
        <w:rPr>
          <w:rFonts w:cs="Arial"/>
          <w:sz w:val="26"/>
          <w:szCs w:val="26"/>
        </w:rPr>
      </w:pPr>
    </w:p>
    <w:p w:rsidR="00FF78BC" w:rsidRPr="00E36F98" w:rsidRDefault="001248B1" w:rsidP="00E36F98">
      <w:pPr>
        <w:numPr>
          <w:ilvl w:val="1"/>
          <w:numId w:val="28"/>
        </w:numPr>
        <w:ind w:left="0" w:firstLine="0"/>
        <w:rPr>
          <w:rFonts w:cs="Arial"/>
          <w:sz w:val="26"/>
          <w:szCs w:val="26"/>
        </w:rPr>
      </w:pPr>
      <w:r>
        <w:rPr>
          <w:rFonts w:cs="Arial"/>
          <w:sz w:val="26"/>
          <w:szCs w:val="26"/>
        </w:rPr>
        <w:t xml:space="preserve">Por su parte, el cabo primero </w:t>
      </w:r>
      <w:r w:rsidRPr="001248B1">
        <w:rPr>
          <w:rFonts w:cs="Arial"/>
          <w:sz w:val="26"/>
          <w:szCs w:val="26"/>
        </w:rPr>
        <w:t>Ever Méndez Velo</w:t>
      </w:r>
      <w:r>
        <w:rPr>
          <w:rFonts w:cs="Arial"/>
          <w:sz w:val="26"/>
          <w:szCs w:val="26"/>
        </w:rPr>
        <w:t>s</w:t>
      </w:r>
      <w:r w:rsidRPr="001248B1">
        <w:rPr>
          <w:rFonts w:cs="Arial"/>
          <w:sz w:val="26"/>
          <w:szCs w:val="26"/>
        </w:rPr>
        <w:t>a</w:t>
      </w:r>
      <w:r>
        <w:rPr>
          <w:rFonts w:cs="Arial"/>
          <w:sz w:val="26"/>
          <w:szCs w:val="26"/>
        </w:rPr>
        <w:t xml:space="preserve">, </w:t>
      </w:r>
      <w:r w:rsidR="00A846A2">
        <w:rPr>
          <w:rFonts w:cs="Arial"/>
          <w:sz w:val="26"/>
          <w:szCs w:val="26"/>
        </w:rPr>
        <w:t xml:space="preserve">igualmente involucrado en los hechos, </w:t>
      </w:r>
      <w:r>
        <w:rPr>
          <w:rFonts w:cs="Arial"/>
          <w:sz w:val="26"/>
          <w:szCs w:val="26"/>
        </w:rPr>
        <w:t>en el informe presentado</w:t>
      </w:r>
      <w:r w:rsidRPr="001248B1">
        <w:rPr>
          <w:rFonts w:cs="Arial"/>
          <w:sz w:val="26"/>
          <w:szCs w:val="26"/>
        </w:rPr>
        <w:t xml:space="preserve"> al comand</w:t>
      </w:r>
      <w:r>
        <w:rPr>
          <w:rFonts w:cs="Arial"/>
          <w:sz w:val="26"/>
          <w:szCs w:val="26"/>
        </w:rPr>
        <w:t>ante del</w:t>
      </w:r>
      <w:r w:rsidR="00FB05AA">
        <w:rPr>
          <w:rFonts w:cs="Arial"/>
          <w:sz w:val="26"/>
          <w:szCs w:val="26"/>
        </w:rPr>
        <w:t xml:space="preserve"> Batallón de I</w:t>
      </w:r>
      <w:r>
        <w:rPr>
          <w:rFonts w:cs="Arial"/>
          <w:sz w:val="26"/>
          <w:szCs w:val="26"/>
        </w:rPr>
        <w:t xml:space="preserve">ngenieros </w:t>
      </w:r>
      <w:r w:rsidR="00E36F98">
        <w:rPr>
          <w:rFonts w:cs="Arial"/>
          <w:sz w:val="26"/>
          <w:szCs w:val="26"/>
        </w:rPr>
        <w:t>señaló que luego de cumplir la orden de adquirir los víveres para la tropa, se dirigió a la estación de policía de Tame, en donde estuvo ingiriendo licor hasta las siete de la noche, y de</w:t>
      </w:r>
      <w:r w:rsidR="00A846A2">
        <w:rPr>
          <w:rFonts w:cs="Arial"/>
          <w:sz w:val="26"/>
          <w:szCs w:val="26"/>
        </w:rPr>
        <w:t>sde</w:t>
      </w:r>
      <w:r w:rsidR="00E36F98">
        <w:rPr>
          <w:rFonts w:cs="Arial"/>
          <w:sz w:val="26"/>
          <w:szCs w:val="26"/>
        </w:rPr>
        <w:t xml:space="preserve"> allí partió, en compañía de unos policías, hacia un establecimiento cerca al cuartel y finalmente a una discoteca de la zona</w:t>
      </w:r>
      <w:r w:rsidR="00A846A2">
        <w:rPr>
          <w:rFonts w:cs="Arial"/>
          <w:sz w:val="26"/>
          <w:szCs w:val="26"/>
        </w:rPr>
        <w:t>, en donde continuaron con la ingesta de alcohol</w:t>
      </w:r>
      <w:r w:rsidR="00E36F98">
        <w:rPr>
          <w:rFonts w:cs="Arial"/>
          <w:sz w:val="26"/>
          <w:szCs w:val="26"/>
        </w:rPr>
        <w:t>. A</w:t>
      </w:r>
      <w:r w:rsidR="00A846A2">
        <w:rPr>
          <w:rFonts w:cs="Arial"/>
          <w:sz w:val="26"/>
          <w:szCs w:val="26"/>
        </w:rPr>
        <w:t>ñadi</w:t>
      </w:r>
      <w:r w:rsidR="00E36F98">
        <w:rPr>
          <w:rFonts w:cs="Arial"/>
          <w:sz w:val="26"/>
          <w:szCs w:val="26"/>
        </w:rPr>
        <w:t>ó que pernoct</w:t>
      </w:r>
      <w:r w:rsidR="00A846A2">
        <w:rPr>
          <w:rFonts w:cs="Arial"/>
          <w:sz w:val="26"/>
          <w:szCs w:val="26"/>
        </w:rPr>
        <w:t>ó</w:t>
      </w:r>
      <w:r w:rsidR="00E36F98">
        <w:rPr>
          <w:rFonts w:cs="Arial"/>
          <w:sz w:val="26"/>
          <w:szCs w:val="26"/>
        </w:rPr>
        <w:t xml:space="preserve"> en la estación de policía y </w:t>
      </w:r>
      <w:r w:rsidR="00A846A2">
        <w:rPr>
          <w:rFonts w:cs="Arial"/>
          <w:sz w:val="26"/>
          <w:szCs w:val="26"/>
        </w:rPr>
        <w:t>a</w:t>
      </w:r>
      <w:r w:rsidR="00E36F98">
        <w:rPr>
          <w:rFonts w:cs="Arial"/>
          <w:sz w:val="26"/>
          <w:szCs w:val="26"/>
        </w:rPr>
        <w:t xml:space="preserve"> la mañana </w:t>
      </w:r>
      <w:r w:rsidR="00A846A2">
        <w:rPr>
          <w:rFonts w:cs="Arial"/>
          <w:sz w:val="26"/>
          <w:szCs w:val="26"/>
        </w:rPr>
        <w:t>siguiente</w:t>
      </w:r>
      <w:r w:rsidR="00E36F98">
        <w:rPr>
          <w:rFonts w:cs="Arial"/>
          <w:sz w:val="26"/>
          <w:szCs w:val="26"/>
        </w:rPr>
        <w:t xml:space="preserve"> regresó al batallón </w:t>
      </w:r>
      <w:r w:rsidRPr="00E36F98">
        <w:rPr>
          <w:rFonts w:cs="Arial"/>
          <w:sz w:val="22"/>
          <w:szCs w:val="22"/>
        </w:rPr>
        <w:t>(f. 162, c. 1)</w:t>
      </w:r>
      <w:r w:rsidRPr="00E36F98">
        <w:rPr>
          <w:rFonts w:cs="Arial"/>
          <w:sz w:val="26"/>
          <w:szCs w:val="26"/>
        </w:rPr>
        <w:t>:</w:t>
      </w:r>
    </w:p>
    <w:p w:rsidR="00FF78BC" w:rsidRDefault="00FF78BC" w:rsidP="00FF78BC">
      <w:pPr>
        <w:rPr>
          <w:rFonts w:cs="Arial"/>
          <w:sz w:val="26"/>
          <w:szCs w:val="26"/>
        </w:rPr>
      </w:pPr>
    </w:p>
    <w:p w:rsidR="00053919" w:rsidRPr="00053919" w:rsidRDefault="00053919" w:rsidP="003C6485">
      <w:pPr>
        <w:suppressAutoHyphens w:val="0"/>
        <w:overflowPunct/>
        <w:autoSpaceDE/>
        <w:spacing w:line="240" w:lineRule="auto"/>
        <w:ind w:left="709" w:right="618"/>
        <w:textAlignment w:val="auto"/>
        <w:rPr>
          <w:rFonts w:eastAsia="Times New Roman" w:cs="Arial"/>
          <w:i/>
          <w:szCs w:val="26"/>
          <w:lang w:val="es-ES" w:eastAsia="es-ES"/>
        </w:rPr>
      </w:pPr>
      <w:r w:rsidRPr="00053919">
        <w:rPr>
          <w:rFonts w:eastAsia="Times New Roman" w:cs="Arial"/>
          <w:i/>
          <w:szCs w:val="26"/>
          <w:lang w:val="es-ES" w:eastAsia="es-ES"/>
        </w:rPr>
        <w:t>Con el presente me permito inf</w:t>
      </w:r>
      <w:r w:rsidR="003C6485">
        <w:rPr>
          <w:rFonts w:eastAsia="Times New Roman" w:cs="Arial"/>
          <w:i/>
          <w:szCs w:val="26"/>
          <w:lang w:val="es-ES" w:eastAsia="es-ES"/>
        </w:rPr>
        <w:t xml:space="preserve">ormar al señor Teniente Coronel </w:t>
      </w:r>
      <w:r w:rsidRPr="00053919">
        <w:rPr>
          <w:rFonts w:eastAsia="Times New Roman" w:cs="Arial"/>
          <w:i/>
          <w:szCs w:val="26"/>
          <w:lang w:val="es-ES" w:eastAsia="es-ES"/>
        </w:rPr>
        <w:t>Comandante BIRAN los hechos ocurridos el día 4 de septiembre de 1999.</w:t>
      </w:r>
    </w:p>
    <w:p w:rsidR="00053919" w:rsidRPr="00053919" w:rsidRDefault="00053919" w:rsidP="00053919">
      <w:pPr>
        <w:suppressAutoHyphens w:val="0"/>
        <w:overflowPunct/>
        <w:autoSpaceDE/>
        <w:spacing w:line="240" w:lineRule="auto"/>
        <w:ind w:left="709" w:right="618"/>
        <w:jc w:val="left"/>
        <w:textAlignment w:val="auto"/>
        <w:rPr>
          <w:rFonts w:eastAsia="Times New Roman" w:cs="Arial"/>
          <w:i/>
          <w:szCs w:val="26"/>
          <w:lang w:val="es-ES" w:eastAsia="es-ES"/>
        </w:rPr>
      </w:pPr>
    </w:p>
    <w:p w:rsidR="00E36F98" w:rsidRPr="00053919" w:rsidRDefault="00053919" w:rsidP="00053919">
      <w:pPr>
        <w:spacing w:line="240" w:lineRule="auto"/>
        <w:ind w:left="709" w:right="618"/>
        <w:rPr>
          <w:rFonts w:cs="Arial"/>
          <w:i/>
          <w:sz w:val="26"/>
          <w:szCs w:val="26"/>
        </w:rPr>
      </w:pPr>
      <w:r w:rsidRPr="00053919">
        <w:rPr>
          <w:rFonts w:eastAsia="Times New Roman" w:cs="Arial"/>
          <w:i/>
          <w:szCs w:val="26"/>
          <w:lang w:val="es-ES" w:eastAsia="es-ES"/>
        </w:rPr>
        <w:t>Como tenía la plata de los víveres y la orden de mi Mayor Sánchez era que el CP. Soledad Espindola debía presentarse en la contraguerrilla, se coordinó con mi Mayor para ir a dejar el Cabo y llevar la plata de los víveres frescos. Después de que se hizo esa actividad me fui para la estación de policía y me puse a tomar allá con el Cabo Lesmes de la Policía y otros agentes más. Después de llevar un rato tomando llegó mi teniente y seguimos tomando, como a las 19:00 horas nos invitó al casino a comer y después salimos a tomar a un establecimiento cercano a la Policía, después salimos todos para una discoteca que había al frente, entramos y seguimos tomando hasta cuando nos fuimos para la estación de la policía, quedándome hasta las 7:00 horas, que regresé al batallón.</w:t>
      </w:r>
    </w:p>
    <w:p w:rsidR="00053919" w:rsidRDefault="00053919" w:rsidP="00FF78BC">
      <w:pPr>
        <w:rPr>
          <w:rFonts w:cs="Arial"/>
          <w:sz w:val="26"/>
          <w:szCs w:val="26"/>
        </w:rPr>
      </w:pPr>
    </w:p>
    <w:p w:rsidR="00EE76F9" w:rsidRPr="00EE76F9" w:rsidRDefault="00EE76F9" w:rsidP="00EE76F9">
      <w:pPr>
        <w:pStyle w:val="Listavistosa-nfasis11"/>
        <w:numPr>
          <w:ilvl w:val="1"/>
          <w:numId w:val="28"/>
        </w:numPr>
        <w:ind w:left="0" w:firstLine="0"/>
        <w:rPr>
          <w:rFonts w:cs="Arial"/>
          <w:sz w:val="26"/>
          <w:szCs w:val="26"/>
        </w:rPr>
      </w:pPr>
      <w:r>
        <w:rPr>
          <w:rFonts w:cs="Arial"/>
          <w:sz w:val="26"/>
          <w:szCs w:val="26"/>
        </w:rPr>
        <w:t xml:space="preserve">Finalmente, el teniente </w:t>
      </w:r>
      <w:r w:rsidRPr="00EE76F9">
        <w:rPr>
          <w:rFonts w:cs="Arial"/>
          <w:sz w:val="26"/>
          <w:szCs w:val="26"/>
        </w:rPr>
        <w:t>Julián Sierra Castrillón, comandante de la estación de policía de Tame</w:t>
      </w:r>
      <w:r>
        <w:rPr>
          <w:rFonts w:cs="Arial"/>
          <w:sz w:val="26"/>
          <w:szCs w:val="26"/>
        </w:rPr>
        <w:t>, confirmó que los mencionados suboficiales estuvieron en la estación de policía “</w:t>
      </w:r>
      <w:r w:rsidRPr="00EE76F9">
        <w:rPr>
          <w:rFonts w:cs="Arial"/>
          <w:i/>
          <w:sz w:val="26"/>
          <w:szCs w:val="26"/>
        </w:rPr>
        <w:t>departiendo</w:t>
      </w:r>
      <w:r>
        <w:rPr>
          <w:rFonts w:cs="Arial"/>
          <w:sz w:val="26"/>
          <w:szCs w:val="26"/>
        </w:rPr>
        <w:t>” con el personal y que luego se digirieron a un local comercial, en donde estuvieron hasta las nueve y media de la noche, aproximadamente</w:t>
      </w:r>
      <w:r w:rsidRPr="00EE76F9">
        <w:rPr>
          <w:rFonts w:cs="Arial"/>
          <w:sz w:val="26"/>
          <w:szCs w:val="26"/>
        </w:rPr>
        <w:t xml:space="preserve"> </w:t>
      </w:r>
      <w:r w:rsidRPr="00EE76F9">
        <w:rPr>
          <w:rFonts w:cs="Arial"/>
          <w:sz w:val="22"/>
          <w:szCs w:val="22"/>
        </w:rPr>
        <w:t>(f. 191, c. 1)</w:t>
      </w:r>
      <w:r w:rsidRPr="00EE76F9">
        <w:rPr>
          <w:rFonts w:cs="Arial"/>
          <w:sz w:val="26"/>
          <w:szCs w:val="26"/>
        </w:rPr>
        <w:t>:</w:t>
      </w:r>
    </w:p>
    <w:p w:rsidR="00EE76F9" w:rsidRDefault="00EE76F9" w:rsidP="00FF78BC">
      <w:pPr>
        <w:rPr>
          <w:rFonts w:cs="Arial"/>
          <w:sz w:val="26"/>
          <w:szCs w:val="26"/>
        </w:rPr>
      </w:pPr>
    </w:p>
    <w:p w:rsidR="00EE76F9" w:rsidRPr="00EE76F9" w:rsidRDefault="00EE76F9" w:rsidP="00EE76F9">
      <w:pPr>
        <w:spacing w:line="240" w:lineRule="auto"/>
        <w:ind w:left="709" w:right="618"/>
        <w:rPr>
          <w:rFonts w:cs="Arial"/>
          <w:i/>
          <w:szCs w:val="24"/>
        </w:rPr>
      </w:pPr>
      <w:r w:rsidRPr="00EE76F9">
        <w:rPr>
          <w:rFonts w:cs="Arial"/>
          <w:i/>
          <w:szCs w:val="24"/>
        </w:rPr>
        <w:t>Preguntado: Diga a este despacho de instrucción si el día sábado 4 de septiembre el Cabo Primero Carvajal Mendieta Manuel y Mendoza Veloza Evert (sic) estuvieron en la estación de policía. En caso afirmativo, qué hicieron, a qué horas llegaron, a qué horas se fueron. Contestó: Sí, no sé a qué horas llegaron exactamente pero sí los vi a partir de las 17:00 horas aproximadamente, se encontraban en las instalaciones en compañía del personal policial departiendo e ingiriendo unas cervezas alrededor de la piscina, posteriormente yo los acompañé y los invité a cenar, aproximadamente a las 19:00 horas en la estación de policía, y de ahí salimos al establecimiento público de razón social La diecinueve, en donde estuvimos en un rato de esparcimiento con unos amigos particulares, estando allí aproximadamente después de las 21:30 horas noté que ya no se encontraban en el establecimiento. Yo volví a saber de los dos suboficiales cuando me encontraba en las instalaciones de la Policía, aproximadamente a las 1:00 horas del domingo 5 de septiembre, con la novedad de que presuntamente estos dos uniformados eran responsables de un caso de violación contra una joven en el perímetro urbano de este municipio, procediendo la policía a efectuar el procedimiento legal con respecto a la afectada.</w:t>
      </w:r>
    </w:p>
    <w:p w:rsidR="00EE76F9" w:rsidRDefault="00EE76F9" w:rsidP="00FF78BC">
      <w:pPr>
        <w:rPr>
          <w:rFonts w:cs="Arial"/>
          <w:sz w:val="26"/>
          <w:szCs w:val="26"/>
        </w:rPr>
      </w:pPr>
    </w:p>
    <w:p w:rsidR="003C6485" w:rsidRDefault="003C6485" w:rsidP="00F935E1">
      <w:pPr>
        <w:numPr>
          <w:ilvl w:val="0"/>
          <w:numId w:val="28"/>
        </w:numPr>
        <w:ind w:left="0" w:firstLine="0"/>
        <w:rPr>
          <w:rFonts w:cs="Arial"/>
          <w:sz w:val="26"/>
          <w:szCs w:val="26"/>
        </w:rPr>
      </w:pPr>
      <w:r>
        <w:rPr>
          <w:rFonts w:cs="Arial"/>
          <w:sz w:val="26"/>
          <w:szCs w:val="26"/>
        </w:rPr>
        <w:t xml:space="preserve">El análisis conjunto de estos medios de prueba permite concluir que el 4 de septiembre de 1999, alrededor de las nueve de la noche, la joven Mónica Marisol Rodríguez Bustamante salía de una reunión de integración de la parroquia de Tame, Arauca cuando, </w:t>
      </w:r>
      <w:r w:rsidR="006A7A82">
        <w:rPr>
          <w:rFonts w:cs="Arial"/>
          <w:sz w:val="26"/>
          <w:szCs w:val="26"/>
        </w:rPr>
        <w:t>encontrándose</w:t>
      </w:r>
      <w:r>
        <w:rPr>
          <w:rFonts w:cs="Arial"/>
          <w:sz w:val="26"/>
          <w:szCs w:val="26"/>
        </w:rPr>
        <w:t xml:space="preserve"> en una acera del parque “Los Lanceros” en compañía de sus amigos Emerson Rodríguez y Eduard Martínez, fue abordada por dos sujetos armados, vestidos de civil, que se movilizaban en una motocicleta y la obligaron a abordar el vehículo, del cual partieron en dirección desconocida. Al llegar al sitio conocido como </w:t>
      </w:r>
      <w:r w:rsidR="00AA19BB">
        <w:rPr>
          <w:rFonts w:cs="Arial"/>
          <w:sz w:val="26"/>
          <w:szCs w:val="26"/>
        </w:rPr>
        <w:t xml:space="preserve">“Villa Olímpica”, los hombres perdieron el </w:t>
      </w:r>
      <w:r w:rsidR="00F935E1">
        <w:rPr>
          <w:rFonts w:cs="Arial"/>
          <w:sz w:val="26"/>
          <w:szCs w:val="26"/>
        </w:rPr>
        <w:t xml:space="preserve">control de la motocicleta y sufrieron un accidente. Luego de levantarse y de retirar la motocicleta de la vía, los desconocidos </w:t>
      </w:r>
      <w:r w:rsidR="00F935E1" w:rsidRPr="00F935E1">
        <w:rPr>
          <w:rFonts w:cs="Arial"/>
          <w:sz w:val="26"/>
          <w:szCs w:val="26"/>
        </w:rPr>
        <w:t xml:space="preserve">arrastraron a la joven fuera </w:t>
      </w:r>
      <w:r w:rsidR="00F935E1">
        <w:rPr>
          <w:rFonts w:cs="Arial"/>
          <w:sz w:val="26"/>
          <w:szCs w:val="26"/>
        </w:rPr>
        <w:t>del camino, la amenazaron con arma de fuego, la obligaron a desnudarse y la sometieron a violación y abuso sexual.</w:t>
      </w:r>
      <w:r w:rsidR="000B28F8">
        <w:rPr>
          <w:rFonts w:cs="Arial"/>
          <w:sz w:val="26"/>
          <w:szCs w:val="26"/>
        </w:rPr>
        <w:t xml:space="preserve"> Al partir, los agresores la amenazaron con matarla si llegara a revelar lo sucedido.</w:t>
      </w:r>
    </w:p>
    <w:p w:rsidR="000B28F8" w:rsidRDefault="000B28F8" w:rsidP="000B28F8">
      <w:pPr>
        <w:rPr>
          <w:rFonts w:cs="Arial"/>
          <w:sz w:val="26"/>
          <w:szCs w:val="26"/>
        </w:rPr>
      </w:pPr>
    </w:p>
    <w:p w:rsidR="00366502" w:rsidRDefault="00204EB0" w:rsidP="00366502">
      <w:pPr>
        <w:numPr>
          <w:ilvl w:val="0"/>
          <w:numId w:val="28"/>
        </w:numPr>
        <w:ind w:left="0" w:firstLine="0"/>
        <w:rPr>
          <w:rFonts w:cs="Arial"/>
          <w:sz w:val="26"/>
          <w:szCs w:val="26"/>
        </w:rPr>
      </w:pPr>
      <w:r>
        <w:rPr>
          <w:rFonts w:cs="Arial"/>
          <w:sz w:val="26"/>
          <w:szCs w:val="26"/>
        </w:rPr>
        <w:t>La víctima debi</w:t>
      </w:r>
      <w:r w:rsidR="009E2CE4">
        <w:rPr>
          <w:rFonts w:cs="Arial"/>
          <w:sz w:val="26"/>
          <w:szCs w:val="26"/>
        </w:rPr>
        <w:t xml:space="preserve">ó </w:t>
      </w:r>
      <w:r w:rsidR="00366502">
        <w:rPr>
          <w:rFonts w:cs="Arial"/>
          <w:sz w:val="26"/>
          <w:szCs w:val="26"/>
        </w:rPr>
        <w:t>emprender el camino</w:t>
      </w:r>
      <w:r w:rsidR="009E2CE4">
        <w:rPr>
          <w:rFonts w:cs="Arial"/>
          <w:sz w:val="26"/>
          <w:szCs w:val="26"/>
        </w:rPr>
        <w:t xml:space="preserve"> por </w:t>
      </w:r>
      <w:r w:rsidR="00366502">
        <w:rPr>
          <w:rFonts w:cs="Arial"/>
          <w:sz w:val="26"/>
          <w:szCs w:val="26"/>
        </w:rPr>
        <w:t>l</w:t>
      </w:r>
      <w:r w:rsidR="009E2CE4">
        <w:rPr>
          <w:rFonts w:cs="Arial"/>
          <w:sz w:val="26"/>
          <w:szCs w:val="26"/>
        </w:rPr>
        <w:t xml:space="preserve">a carretera hasta que </w:t>
      </w:r>
      <w:r w:rsidR="00366502">
        <w:rPr>
          <w:rFonts w:cs="Arial"/>
          <w:sz w:val="26"/>
          <w:szCs w:val="26"/>
        </w:rPr>
        <w:t xml:space="preserve">la </w:t>
      </w:r>
      <w:r w:rsidR="009E2CE4">
        <w:rPr>
          <w:rFonts w:cs="Arial"/>
          <w:sz w:val="26"/>
          <w:szCs w:val="26"/>
        </w:rPr>
        <w:t xml:space="preserve">encontró </w:t>
      </w:r>
      <w:r w:rsidR="00366502">
        <w:rPr>
          <w:rFonts w:cs="Arial"/>
          <w:sz w:val="26"/>
          <w:szCs w:val="26"/>
        </w:rPr>
        <w:t xml:space="preserve">el señor </w:t>
      </w:r>
      <w:r w:rsidR="00366502" w:rsidRPr="00366502">
        <w:rPr>
          <w:rFonts w:cs="Arial"/>
          <w:sz w:val="26"/>
          <w:szCs w:val="26"/>
        </w:rPr>
        <w:t>Jhon Fredy Liberato</w:t>
      </w:r>
      <w:r w:rsidR="00366502">
        <w:rPr>
          <w:rFonts w:cs="Arial"/>
          <w:sz w:val="26"/>
          <w:szCs w:val="26"/>
        </w:rPr>
        <w:t xml:space="preserve">, habitante de la zona, que la auxilió. Al poco tiempo encontraron a Kendy Yecid Rodríguez, hermano de la víctima, quien los recogió en su motocicleta, y se dirigieron a la estación de policía municipal para denunciar los hechos. En el camino, al pasar por </w:t>
      </w:r>
      <w:r w:rsidR="00366502" w:rsidRPr="008169BB">
        <w:rPr>
          <w:rFonts w:cs="Arial"/>
          <w:sz w:val="26"/>
          <w:szCs w:val="26"/>
        </w:rPr>
        <w:t xml:space="preserve">el </w:t>
      </w:r>
      <w:r w:rsidR="00366502">
        <w:rPr>
          <w:rFonts w:cs="Arial"/>
          <w:sz w:val="26"/>
          <w:szCs w:val="26"/>
        </w:rPr>
        <w:t>local</w:t>
      </w:r>
      <w:r w:rsidR="00366502" w:rsidRPr="008169BB">
        <w:rPr>
          <w:rFonts w:cs="Arial"/>
          <w:sz w:val="26"/>
          <w:szCs w:val="26"/>
        </w:rPr>
        <w:t xml:space="preserve"> “La Mejor Esquina”, </w:t>
      </w:r>
      <w:r w:rsidR="006A7A82">
        <w:rPr>
          <w:rFonts w:cs="Arial"/>
          <w:sz w:val="26"/>
          <w:szCs w:val="26"/>
        </w:rPr>
        <w:t>observaron a los agresores</w:t>
      </w:r>
      <w:r w:rsidR="00366502">
        <w:rPr>
          <w:rFonts w:cs="Arial"/>
          <w:sz w:val="26"/>
          <w:szCs w:val="26"/>
        </w:rPr>
        <w:t xml:space="preserve"> que intentaban arreglar la motocicleta. Estos, al advertir a la joven </w:t>
      </w:r>
      <w:r w:rsidR="006A7A82">
        <w:rPr>
          <w:rFonts w:cs="Arial"/>
          <w:sz w:val="26"/>
          <w:szCs w:val="26"/>
        </w:rPr>
        <w:t xml:space="preserve">agredida </w:t>
      </w:r>
      <w:r w:rsidR="00366502">
        <w:rPr>
          <w:rFonts w:cs="Arial"/>
          <w:sz w:val="26"/>
          <w:szCs w:val="26"/>
        </w:rPr>
        <w:t xml:space="preserve">y a los demás tripulantes, </w:t>
      </w:r>
      <w:r w:rsidR="006A7A82">
        <w:rPr>
          <w:rFonts w:cs="Arial"/>
          <w:sz w:val="26"/>
          <w:szCs w:val="26"/>
        </w:rPr>
        <w:t>trataron de r</w:t>
      </w:r>
      <w:r w:rsidR="00366502">
        <w:rPr>
          <w:rFonts w:cs="Arial"/>
          <w:sz w:val="26"/>
          <w:szCs w:val="26"/>
        </w:rPr>
        <w:t>etenerlos. Poco tiempo después de que la víctima y sus acompañantes arribaran a la estación de policía, llegaron también los victimarios. Aquellos intentaron poner en conocimiento de las autoridades</w:t>
      </w:r>
      <w:r w:rsidR="00C2699C">
        <w:rPr>
          <w:rFonts w:cs="Arial"/>
          <w:sz w:val="26"/>
          <w:szCs w:val="26"/>
        </w:rPr>
        <w:t xml:space="preserve"> la agresión sexual e interponer la respectiva denuncia, pero la Policía Nacional se negó a recibirla con el argumento de que los presuntos atacantes eran militares y, además, que podían vulnerar sus derechos fundamentales si los capturaban.</w:t>
      </w:r>
    </w:p>
    <w:p w:rsidR="00366502" w:rsidRDefault="00366502" w:rsidP="00366502">
      <w:pPr>
        <w:pStyle w:val="Listavistosa-nfasis11"/>
        <w:rPr>
          <w:rFonts w:cs="Arial"/>
          <w:sz w:val="26"/>
          <w:szCs w:val="26"/>
        </w:rPr>
      </w:pPr>
    </w:p>
    <w:p w:rsidR="002D36C1" w:rsidRPr="002D36C1" w:rsidRDefault="00F50CBA" w:rsidP="008C190C">
      <w:pPr>
        <w:numPr>
          <w:ilvl w:val="0"/>
          <w:numId w:val="28"/>
        </w:numPr>
        <w:ind w:left="0" w:firstLine="0"/>
        <w:rPr>
          <w:rFonts w:cs="Arial"/>
          <w:sz w:val="26"/>
          <w:szCs w:val="26"/>
        </w:rPr>
      </w:pPr>
      <w:r>
        <w:rPr>
          <w:rFonts w:cs="Arial"/>
          <w:sz w:val="26"/>
          <w:szCs w:val="26"/>
        </w:rPr>
        <w:t xml:space="preserve">En cuanto a la actuación de los </w:t>
      </w:r>
      <w:r w:rsidR="0053658B">
        <w:rPr>
          <w:rFonts w:cs="Arial"/>
          <w:sz w:val="26"/>
          <w:szCs w:val="26"/>
        </w:rPr>
        <w:t xml:space="preserve">uniformados, está acreditado que el 4 de septiembre de 1999, a las diez de la mañana, el cabo primero Manuel de Jesús Carvajal Mendieta solicitó ante el subteniente Fabián Borja Pérez, a cargo del grupo de contraguerrilla del batallón ubicado en Tame, Arauca, un permiso para asistir a una cita odontológica, a lo cual este accedió. El superior, al advertir la falta de víveres, encargó al cabo primero, al </w:t>
      </w:r>
      <w:r w:rsidR="0053658B" w:rsidRPr="005D2D2E">
        <w:rPr>
          <w:rFonts w:eastAsia="Times New Roman" w:cs="Arial"/>
          <w:sz w:val="26"/>
          <w:szCs w:val="26"/>
          <w:lang w:val="es-ES" w:eastAsia="es-ES"/>
        </w:rPr>
        <w:t xml:space="preserve">dragoneante César Augusto Rodríguez y al soldado Jhonatan Ortiz </w:t>
      </w:r>
      <w:r w:rsidR="0053658B">
        <w:rPr>
          <w:rFonts w:eastAsia="Times New Roman" w:cs="Arial"/>
          <w:sz w:val="26"/>
          <w:szCs w:val="26"/>
          <w:lang w:val="es-ES" w:eastAsia="es-ES"/>
        </w:rPr>
        <w:t xml:space="preserve">la misión de comprar alimentos y </w:t>
      </w:r>
      <w:r w:rsidR="0053658B" w:rsidRPr="0053658B">
        <w:rPr>
          <w:rFonts w:eastAsia="Times New Roman" w:cs="Arial"/>
          <w:sz w:val="26"/>
          <w:szCs w:val="26"/>
          <w:lang w:val="es-ES" w:eastAsia="es-ES"/>
        </w:rPr>
        <w:t xml:space="preserve">regresar </w:t>
      </w:r>
      <w:r w:rsidR="0053658B">
        <w:rPr>
          <w:rFonts w:eastAsia="Times New Roman" w:cs="Arial"/>
          <w:sz w:val="26"/>
          <w:szCs w:val="26"/>
          <w:lang w:val="es-ES" w:eastAsia="es-ES"/>
        </w:rPr>
        <w:t>de inmediato</w:t>
      </w:r>
      <w:r w:rsidR="0053658B" w:rsidRPr="0053658B">
        <w:rPr>
          <w:rFonts w:eastAsia="Times New Roman" w:cs="Arial"/>
          <w:sz w:val="26"/>
          <w:szCs w:val="26"/>
          <w:lang w:val="es-ES" w:eastAsia="es-ES"/>
        </w:rPr>
        <w:t xml:space="preserve"> a la base.</w:t>
      </w:r>
      <w:r w:rsidR="0053658B">
        <w:rPr>
          <w:rFonts w:eastAsia="Times New Roman" w:cs="Arial"/>
          <w:sz w:val="26"/>
          <w:szCs w:val="26"/>
          <w:lang w:val="es-ES" w:eastAsia="es-ES"/>
        </w:rPr>
        <w:t xml:space="preserve"> Los uniformados, al parecer, adquirieron los víveres, pero en vez de regresar al batallón se dirigieron a la estación de policía, lugar en el que </w:t>
      </w:r>
      <w:r w:rsidR="008C190C">
        <w:rPr>
          <w:rFonts w:eastAsia="Times New Roman" w:cs="Arial"/>
          <w:sz w:val="26"/>
          <w:szCs w:val="26"/>
          <w:lang w:val="es-ES" w:eastAsia="es-ES"/>
        </w:rPr>
        <w:t xml:space="preserve">se encontraron con el cabo primero </w:t>
      </w:r>
      <w:r w:rsidR="008C190C">
        <w:rPr>
          <w:rFonts w:cs="Arial"/>
          <w:sz w:val="26"/>
          <w:szCs w:val="26"/>
        </w:rPr>
        <w:t>Ever Augusto Méndez Velosa</w:t>
      </w:r>
      <w:r w:rsidR="008C190C">
        <w:rPr>
          <w:rFonts w:eastAsia="Times New Roman" w:cs="Arial"/>
          <w:sz w:val="26"/>
          <w:szCs w:val="26"/>
          <w:lang w:val="es-ES" w:eastAsia="es-ES"/>
        </w:rPr>
        <w:t xml:space="preserve"> y con miembros del cuerpo policial, entre ellos el comandante de la estación, con los cuales </w:t>
      </w:r>
      <w:r w:rsidR="0053658B" w:rsidRPr="008C190C">
        <w:rPr>
          <w:rFonts w:eastAsia="Times New Roman" w:cs="Arial"/>
          <w:sz w:val="26"/>
          <w:szCs w:val="26"/>
          <w:lang w:val="es-ES" w:eastAsia="es-ES"/>
        </w:rPr>
        <w:t>estuvieron ingiriendo licor durante toda la tarde</w:t>
      </w:r>
      <w:r w:rsidR="002D36C1">
        <w:rPr>
          <w:rStyle w:val="Refdenotaalpie"/>
          <w:rFonts w:eastAsia="Times New Roman"/>
          <w:sz w:val="26"/>
          <w:szCs w:val="26"/>
          <w:lang w:val="es-ES" w:eastAsia="es-ES"/>
        </w:rPr>
        <w:footnoteReference w:id="39"/>
      </w:r>
      <w:r w:rsidR="008C190C" w:rsidRPr="008C190C">
        <w:rPr>
          <w:rFonts w:eastAsia="Times New Roman" w:cs="Arial"/>
          <w:sz w:val="26"/>
          <w:szCs w:val="26"/>
          <w:lang w:val="es-ES" w:eastAsia="es-ES"/>
        </w:rPr>
        <w:t xml:space="preserve">. </w:t>
      </w:r>
    </w:p>
    <w:p w:rsidR="0006427C" w:rsidRPr="0006427C" w:rsidRDefault="0006427C" w:rsidP="0006427C">
      <w:pPr>
        <w:rPr>
          <w:rFonts w:cs="Arial"/>
          <w:sz w:val="26"/>
          <w:szCs w:val="26"/>
        </w:rPr>
      </w:pPr>
    </w:p>
    <w:p w:rsidR="0006427C" w:rsidRDefault="0006427C" w:rsidP="0006427C">
      <w:pPr>
        <w:numPr>
          <w:ilvl w:val="0"/>
          <w:numId w:val="28"/>
        </w:numPr>
        <w:ind w:left="0" w:firstLine="0"/>
        <w:rPr>
          <w:rFonts w:cs="Arial"/>
          <w:sz w:val="26"/>
          <w:szCs w:val="26"/>
        </w:rPr>
      </w:pPr>
      <w:r>
        <w:rPr>
          <w:rFonts w:cs="Arial"/>
          <w:sz w:val="26"/>
          <w:szCs w:val="26"/>
        </w:rPr>
        <w:t xml:space="preserve">Los militares salieron de la estación en motocicletas de la Policía Nacional, acompañados de miembros de esa institución, </w:t>
      </w:r>
      <w:r w:rsidRPr="0006427C">
        <w:rPr>
          <w:rFonts w:cs="Arial"/>
          <w:sz w:val="26"/>
          <w:szCs w:val="26"/>
        </w:rPr>
        <w:t>cenaron con el comandante de la estación en el “casino”</w:t>
      </w:r>
      <w:r>
        <w:rPr>
          <w:rFonts w:cs="Arial"/>
          <w:sz w:val="26"/>
          <w:szCs w:val="26"/>
        </w:rPr>
        <w:t>,</w:t>
      </w:r>
      <w:r w:rsidRPr="0006427C">
        <w:rPr>
          <w:rFonts w:cs="Arial"/>
          <w:sz w:val="26"/>
          <w:szCs w:val="26"/>
        </w:rPr>
        <w:t xml:space="preserve"> se dirigieron a un local comercial </w:t>
      </w:r>
      <w:r>
        <w:rPr>
          <w:rFonts w:cs="Arial"/>
          <w:sz w:val="26"/>
          <w:szCs w:val="26"/>
        </w:rPr>
        <w:t>llamado “La Quirpa” para seguir ingiriendo alcohol y después se trasladaron a una discoteca con el mismo propósito.</w:t>
      </w:r>
      <w:r w:rsidR="005A4A21">
        <w:rPr>
          <w:rFonts w:cs="Arial"/>
          <w:sz w:val="26"/>
          <w:szCs w:val="26"/>
        </w:rPr>
        <w:t xml:space="preserve"> Estando allí, los </w:t>
      </w:r>
      <w:r w:rsidR="006A7A82">
        <w:rPr>
          <w:rFonts w:cs="Arial"/>
          <w:sz w:val="26"/>
          <w:szCs w:val="26"/>
        </w:rPr>
        <w:t>militares</w:t>
      </w:r>
      <w:r w:rsidR="005A4A21">
        <w:rPr>
          <w:rFonts w:cs="Arial"/>
          <w:sz w:val="26"/>
          <w:szCs w:val="26"/>
        </w:rPr>
        <w:t xml:space="preserve"> Carvajal Mendieta y Méndez Velosa tomar</w:t>
      </w:r>
      <w:r w:rsidR="006A7A82">
        <w:rPr>
          <w:rFonts w:cs="Arial"/>
          <w:sz w:val="26"/>
          <w:szCs w:val="26"/>
        </w:rPr>
        <w:t>on</w:t>
      </w:r>
      <w:r w:rsidR="005A4A21">
        <w:rPr>
          <w:rFonts w:cs="Arial"/>
          <w:sz w:val="26"/>
          <w:szCs w:val="26"/>
        </w:rPr>
        <w:t xml:space="preserve"> una motocicleta para “</w:t>
      </w:r>
      <w:r w:rsidR="005A4A21" w:rsidRPr="005A4A21">
        <w:rPr>
          <w:rFonts w:cs="Arial"/>
          <w:i/>
          <w:sz w:val="26"/>
          <w:szCs w:val="26"/>
        </w:rPr>
        <w:t>dar una vuelta</w:t>
      </w:r>
      <w:r w:rsidR="005A4A21">
        <w:rPr>
          <w:rFonts w:cs="Arial"/>
          <w:sz w:val="26"/>
          <w:szCs w:val="26"/>
        </w:rPr>
        <w:t>” y regresaron a la estación de policía a la una de la mañana, aproximadamente. Pasaron allí la noche y en la mañana del día siguiente, a primera hora, regresaron al batallón.</w:t>
      </w:r>
    </w:p>
    <w:p w:rsidR="005A4A21" w:rsidRDefault="005A4A21" w:rsidP="005A4A21">
      <w:pPr>
        <w:pStyle w:val="Listavistosa-nfasis11"/>
        <w:rPr>
          <w:rFonts w:cs="Arial"/>
          <w:sz w:val="26"/>
          <w:szCs w:val="26"/>
        </w:rPr>
      </w:pPr>
    </w:p>
    <w:p w:rsidR="005A4A21" w:rsidRPr="00D2744E" w:rsidRDefault="005A4A21" w:rsidP="00D2744E">
      <w:pPr>
        <w:numPr>
          <w:ilvl w:val="0"/>
          <w:numId w:val="28"/>
        </w:numPr>
        <w:ind w:left="0" w:firstLine="0"/>
        <w:rPr>
          <w:rFonts w:cs="Arial"/>
          <w:sz w:val="26"/>
          <w:szCs w:val="26"/>
        </w:rPr>
      </w:pPr>
      <w:r>
        <w:rPr>
          <w:rFonts w:cs="Arial"/>
          <w:sz w:val="26"/>
          <w:szCs w:val="26"/>
        </w:rPr>
        <w:t>El</w:t>
      </w:r>
      <w:r w:rsidR="002057A8">
        <w:rPr>
          <w:rFonts w:cs="Arial"/>
          <w:sz w:val="26"/>
          <w:szCs w:val="26"/>
        </w:rPr>
        <w:t xml:space="preserve"> examen de estas circunstancias, en conjunto con otros medios de convicción, le permitió al </w:t>
      </w:r>
      <w:r w:rsidR="002057A8">
        <w:rPr>
          <w:sz w:val="26"/>
          <w:szCs w:val="26"/>
        </w:rPr>
        <w:t xml:space="preserve">Juzgado Único Promiscuo del Circuito de Saravena concluir que, aproximadamente a las nueve de la noche del 4 de septiembre de 1999, los suboficiales ya mencionados salieron del establecimiento público en una motocicleta de propiedad de la policía, en estado de embriaguez, en busca de una mujer joven para abusar de ella. Luego de desechar </w:t>
      </w:r>
      <w:r w:rsidR="0017052A">
        <w:rPr>
          <w:sz w:val="26"/>
          <w:szCs w:val="26"/>
        </w:rPr>
        <w:t xml:space="preserve">a </w:t>
      </w:r>
      <w:r w:rsidR="002057A8">
        <w:rPr>
          <w:sz w:val="26"/>
          <w:szCs w:val="26"/>
        </w:rPr>
        <w:t xml:space="preserve">una primera víctima, </w:t>
      </w:r>
      <w:r w:rsidR="0014620D">
        <w:rPr>
          <w:sz w:val="26"/>
          <w:szCs w:val="26"/>
        </w:rPr>
        <w:t xml:space="preserve">los militares </w:t>
      </w:r>
      <w:r w:rsidR="002057A8">
        <w:rPr>
          <w:sz w:val="26"/>
          <w:szCs w:val="26"/>
        </w:rPr>
        <w:t>abordaron a Mónica Marisol Rodr</w:t>
      </w:r>
      <w:r w:rsidR="0014620D">
        <w:rPr>
          <w:sz w:val="26"/>
          <w:szCs w:val="26"/>
        </w:rPr>
        <w:t>íguez,</w:t>
      </w:r>
      <w:r w:rsidR="002057A8">
        <w:rPr>
          <w:sz w:val="26"/>
          <w:szCs w:val="26"/>
        </w:rPr>
        <w:t xml:space="preserve"> la obligaron</w:t>
      </w:r>
      <w:r w:rsidR="0014620D">
        <w:rPr>
          <w:sz w:val="26"/>
          <w:szCs w:val="26"/>
        </w:rPr>
        <w:t xml:space="preserve"> a subir al vehículo y partieron con ella p</w:t>
      </w:r>
      <w:r w:rsidR="0017052A">
        <w:rPr>
          <w:sz w:val="26"/>
          <w:szCs w:val="26"/>
        </w:rPr>
        <w:t>or la carretera que conduce al B</w:t>
      </w:r>
      <w:r w:rsidR="0014620D">
        <w:rPr>
          <w:sz w:val="26"/>
          <w:szCs w:val="26"/>
        </w:rPr>
        <w:t xml:space="preserve">atallón del Ejército. Al pasar por el sitio conocido como “Villa Olímpica”, poco después del lugar en que convergen las calles 14 y 15 (“La Ye”), los tripulantes sufrieron un accidente, al parecer por una piedra en el camino. Al incorporarse, los agresores arrastraron a Marisol fuera de la vía, la llevaron a una zona oscura y despoblada, la amenazaron con arma de fuego, la obligaron a desnudarse y, </w:t>
      </w:r>
      <w:r w:rsidR="00D2744E">
        <w:rPr>
          <w:sz w:val="26"/>
          <w:szCs w:val="26"/>
        </w:rPr>
        <w:t>por último</w:t>
      </w:r>
      <w:r w:rsidR="0014620D">
        <w:rPr>
          <w:sz w:val="26"/>
          <w:szCs w:val="26"/>
        </w:rPr>
        <w:t xml:space="preserve">, la violaron </w:t>
      </w:r>
      <w:r w:rsidR="00D2744E">
        <w:rPr>
          <w:sz w:val="26"/>
          <w:szCs w:val="26"/>
        </w:rPr>
        <w:t>sexualmente en varias ocasiones</w:t>
      </w:r>
      <w:r w:rsidR="0014620D">
        <w:rPr>
          <w:sz w:val="26"/>
          <w:szCs w:val="26"/>
        </w:rPr>
        <w:t>.</w:t>
      </w:r>
      <w:r w:rsidR="00D2744E">
        <w:rPr>
          <w:sz w:val="26"/>
          <w:szCs w:val="26"/>
        </w:rPr>
        <w:t xml:space="preserve"> </w:t>
      </w:r>
      <w:r w:rsidR="0017052A">
        <w:rPr>
          <w:rFonts w:cs="Arial"/>
          <w:sz w:val="26"/>
          <w:szCs w:val="26"/>
        </w:rPr>
        <w:t>Por lo anterior</w:t>
      </w:r>
      <w:r w:rsidR="002057A8" w:rsidRPr="00D2744E">
        <w:rPr>
          <w:rFonts w:cs="Arial"/>
          <w:sz w:val="26"/>
          <w:szCs w:val="26"/>
        </w:rPr>
        <w:t>, el</w:t>
      </w:r>
      <w:r w:rsidRPr="00D2744E">
        <w:rPr>
          <w:rFonts w:cs="Arial"/>
          <w:sz w:val="26"/>
          <w:szCs w:val="26"/>
        </w:rPr>
        <w:t xml:space="preserve"> </w:t>
      </w:r>
      <w:r w:rsidR="00B73E89" w:rsidRPr="00D2744E">
        <w:rPr>
          <w:sz w:val="26"/>
          <w:szCs w:val="26"/>
        </w:rPr>
        <w:t xml:space="preserve">juez penal </w:t>
      </w:r>
      <w:r w:rsidR="002057A8" w:rsidRPr="00D2744E">
        <w:rPr>
          <w:sz w:val="26"/>
          <w:szCs w:val="26"/>
        </w:rPr>
        <w:t>dictó</w:t>
      </w:r>
      <w:r w:rsidR="00B73E89" w:rsidRPr="00D2744E">
        <w:rPr>
          <w:sz w:val="26"/>
          <w:szCs w:val="26"/>
        </w:rPr>
        <w:t xml:space="preserve"> sentencia condenatoria en contra de </w:t>
      </w:r>
      <w:r w:rsidR="00B73E89" w:rsidRPr="00D2744E">
        <w:rPr>
          <w:rFonts w:cs="Arial"/>
          <w:sz w:val="26"/>
          <w:szCs w:val="26"/>
        </w:rPr>
        <w:t xml:space="preserve">Ever Augusto Méndez Velosa y Manuel </w:t>
      </w:r>
      <w:r w:rsidR="00D2744E">
        <w:rPr>
          <w:rFonts w:cs="Arial"/>
          <w:sz w:val="26"/>
          <w:szCs w:val="26"/>
        </w:rPr>
        <w:t xml:space="preserve">de Jesús </w:t>
      </w:r>
      <w:r w:rsidR="00B73E89" w:rsidRPr="00D2744E">
        <w:rPr>
          <w:rFonts w:cs="Arial"/>
          <w:sz w:val="26"/>
          <w:szCs w:val="26"/>
        </w:rPr>
        <w:t xml:space="preserve">Carvajal Mendieta al encontrarlos responsables de los delitos de acceso carnal violento agravado y secuestro simple agravado. Este es el fundamento de la </w:t>
      </w:r>
      <w:r w:rsidR="00D2744E">
        <w:rPr>
          <w:rFonts w:cs="Arial"/>
          <w:sz w:val="26"/>
          <w:szCs w:val="26"/>
        </w:rPr>
        <w:t>sentencia penal de condena</w:t>
      </w:r>
      <w:r w:rsidR="00C15B3C" w:rsidRPr="00D2744E">
        <w:rPr>
          <w:rFonts w:cs="Arial"/>
          <w:sz w:val="26"/>
          <w:szCs w:val="26"/>
        </w:rPr>
        <w:t xml:space="preserve"> </w:t>
      </w:r>
      <w:r w:rsidR="00C15B3C" w:rsidRPr="00D2744E">
        <w:rPr>
          <w:rFonts w:cs="Arial"/>
          <w:sz w:val="22"/>
          <w:szCs w:val="22"/>
        </w:rPr>
        <w:t>(f. 622-625, c. 1)</w:t>
      </w:r>
      <w:r w:rsidR="00B73E89" w:rsidRPr="00D2744E">
        <w:rPr>
          <w:rFonts w:cs="Arial"/>
          <w:sz w:val="26"/>
          <w:szCs w:val="26"/>
        </w:rPr>
        <w:t xml:space="preserve">: </w:t>
      </w:r>
    </w:p>
    <w:p w:rsidR="003C6485" w:rsidRDefault="003C6485" w:rsidP="003C6485">
      <w:pPr>
        <w:rPr>
          <w:rFonts w:cs="Arial"/>
          <w:sz w:val="26"/>
          <w:szCs w:val="26"/>
        </w:rPr>
      </w:pPr>
    </w:p>
    <w:p w:rsidR="003C6485" w:rsidRPr="00D409F4" w:rsidRDefault="00427B3F" w:rsidP="00D409F4">
      <w:pPr>
        <w:spacing w:line="240" w:lineRule="auto"/>
        <w:ind w:left="709" w:right="618"/>
        <w:rPr>
          <w:rFonts w:cs="Arial"/>
          <w:i/>
          <w:szCs w:val="24"/>
        </w:rPr>
      </w:pPr>
      <w:r w:rsidRPr="00D409F4">
        <w:rPr>
          <w:rFonts w:cs="Arial"/>
          <w:i/>
          <w:szCs w:val="24"/>
        </w:rPr>
        <w:t>Tame es un municipio pequeño, extendido prácticamente en las calles 14 y 15 como vías principales que van de oriente a occidente y sobre las cuales está ubicada toda su vitalidad comercial y social; así, tenemos que los estaderos La Quirpa y Taberna La 19 están ubicados a pocas cuadras del parque Los Lanceros, fatalmente la fogata que se realizaba por parte del grupo juvenil se desintegra a eso de las 9:30 de la noche; por los alrededores de esta hora los suboficiales Ever Augusto Méndez y Manuel Jesús Carvajal Mendieta abandonan a sus compañeros de farra (miembros de la Policía) y parten motorizados en una de las motos de la policía que habían cogido sin permiso para recorrer las calles del municipio envalentonados por el licor que habían ingerido desde las primeras horas de la tarde de ese sábado 4 de septiembre de 2000 (sic).</w:t>
      </w:r>
    </w:p>
    <w:p w:rsidR="00427B3F" w:rsidRPr="00D409F4" w:rsidRDefault="00427B3F" w:rsidP="00D409F4">
      <w:pPr>
        <w:spacing w:line="240" w:lineRule="auto"/>
        <w:ind w:left="709" w:right="618"/>
        <w:rPr>
          <w:rFonts w:cs="Arial"/>
          <w:i/>
          <w:szCs w:val="24"/>
        </w:rPr>
      </w:pPr>
    </w:p>
    <w:p w:rsidR="00427B3F" w:rsidRPr="00D409F4" w:rsidRDefault="00E718EB" w:rsidP="00D409F4">
      <w:pPr>
        <w:spacing w:line="240" w:lineRule="auto"/>
        <w:ind w:left="709" w:right="618"/>
        <w:rPr>
          <w:rFonts w:cs="Arial"/>
          <w:i/>
          <w:szCs w:val="24"/>
        </w:rPr>
      </w:pPr>
      <w:r w:rsidRPr="00D409F4">
        <w:rPr>
          <w:rFonts w:cs="Arial"/>
          <w:i/>
          <w:szCs w:val="24"/>
        </w:rPr>
        <w:t>En su irresponsable paseo por las calles de Tame, en su estado de beodez, primero encuentran a una pequeña que va en bicicleta a la cual pretenden acceder pero por aquellas cosas del destino prefirieron abandonar su primera idea para luego acometer contra una niña de pronto más alta, acuerpada, apareció Mónica Marisol.</w:t>
      </w:r>
    </w:p>
    <w:p w:rsidR="00E718EB" w:rsidRPr="00D409F4" w:rsidRDefault="00E718EB" w:rsidP="00D409F4">
      <w:pPr>
        <w:spacing w:line="240" w:lineRule="auto"/>
        <w:ind w:left="709" w:right="618"/>
        <w:rPr>
          <w:rFonts w:cs="Arial"/>
          <w:i/>
          <w:szCs w:val="24"/>
        </w:rPr>
      </w:pPr>
    </w:p>
    <w:p w:rsidR="00E718EB" w:rsidRPr="00D409F4" w:rsidRDefault="00E718EB" w:rsidP="00D409F4">
      <w:pPr>
        <w:spacing w:line="240" w:lineRule="auto"/>
        <w:ind w:left="709" w:right="618"/>
        <w:rPr>
          <w:rFonts w:cs="Arial"/>
          <w:i/>
          <w:szCs w:val="24"/>
        </w:rPr>
      </w:pPr>
      <w:r w:rsidRPr="00D409F4">
        <w:rPr>
          <w:rFonts w:cs="Arial"/>
          <w:i/>
          <w:szCs w:val="24"/>
        </w:rPr>
        <w:t xml:space="preserve">Como ya se comentó antes, el parque Los Lanceros </w:t>
      </w:r>
      <w:r w:rsidR="00DD5E69" w:rsidRPr="00D409F4">
        <w:rPr>
          <w:rFonts w:cs="Arial"/>
          <w:i/>
          <w:szCs w:val="24"/>
        </w:rPr>
        <w:t>está en la calle 15, que en dirección hacia el occidente concurre o confluye con la calle 14 para formar una sola vía, que es la autopista o carretera que conduce a Bogotá; del parque Lanceros al punto de convergencia de la calle 15 y 14, sitio comúnmente denominado “La Ye”, solo hay cinco cuadras, y de allí se prosigue por la carretera de Bogotá para luego encontrar la Villa Olímpica, sitio este donde se cometió el aberrante acto de atropello contra la humanidad de Mónica Marisol. Después de la Villa Olímpica, en dirección hacia Bogotá, encontramos el Batallón Navas Pardo.</w:t>
      </w:r>
    </w:p>
    <w:p w:rsidR="00DD5E69" w:rsidRPr="00D409F4" w:rsidRDefault="00DD5E69" w:rsidP="00D409F4">
      <w:pPr>
        <w:spacing w:line="240" w:lineRule="auto"/>
        <w:ind w:left="709" w:right="618"/>
        <w:rPr>
          <w:rFonts w:cs="Arial"/>
          <w:i/>
          <w:szCs w:val="24"/>
        </w:rPr>
      </w:pPr>
    </w:p>
    <w:p w:rsidR="00DD5E69" w:rsidRPr="00D409F4" w:rsidRDefault="00DD5E69" w:rsidP="00D409F4">
      <w:pPr>
        <w:spacing w:line="240" w:lineRule="auto"/>
        <w:ind w:left="709" w:right="618"/>
        <w:rPr>
          <w:rFonts w:cs="Arial"/>
          <w:i/>
          <w:szCs w:val="24"/>
        </w:rPr>
      </w:pPr>
      <w:r w:rsidRPr="00D409F4">
        <w:rPr>
          <w:rFonts w:cs="Arial"/>
          <w:i/>
          <w:szCs w:val="24"/>
        </w:rPr>
        <w:t xml:space="preserve">Después que cometen el atroz atropello contra la dignidad e inocencia de Marisol, los atacantes se devuelven en la moto hacia la policía, es decir, de occidente a oriente por sobre la calle 14, teniendo que pasar </w:t>
      </w:r>
      <w:r w:rsidR="004F5F06" w:rsidRPr="00D409F4">
        <w:rPr>
          <w:rFonts w:cs="Arial"/>
          <w:i/>
          <w:szCs w:val="24"/>
        </w:rPr>
        <w:t>nuevamente por el sitio de “La Ye” y se varan a escasos metros de ese sitio, frente a una tienda, estadero o cantina que se llama La Mejor Esquina, y son alcanzados por Marisol, su hermano y su amigo Jhon Fredy debido a que se les vara la moto de la policía y, por fortuna, para evitar la impunidad de este delito, llegan por segunda vez a la Policía antes que los agresores, circunstancias estas con las que no contaron nunca los dos suboficiales del Ejército pues pensaban llegar de manera tranquila a la policía, guardar la moto y acostarse a dormir después de su canallada.</w:t>
      </w:r>
    </w:p>
    <w:p w:rsidR="004F5F06" w:rsidRPr="00D409F4" w:rsidRDefault="004F5F06" w:rsidP="00D409F4">
      <w:pPr>
        <w:spacing w:line="240" w:lineRule="auto"/>
        <w:ind w:left="709" w:right="618"/>
        <w:rPr>
          <w:rFonts w:cs="Arial"/>
          <w:i/>
          <w:szCs w:val="24"/>
        </w:rPr>
      </w:pPr>
    </w:p>
    <w:p w:rsidR="004F5F06" w:rsidRPr="00D409F4" w:rsidRDefault="00980DB1" w:rsidP="00D409F4">
      <w:pPr>
        <w:spacing w:line="240" w:lineRule="auto"/>
        <w:ind w:left="709" w:right="618"/>
        <w:rPr>
          <w:rFonts w:cs="Arial"/>
          <w:i/>
          <w:szCs w:val="24"/>
        </w:rPr>
      </w:pPr>
      <w:r w:rsidRPr="00D409F4">
        <w:rPr>
          <w:rFonts w:cs="Arial"/>
          <w:i/>
          <w:szCs w:val="24"/>
        </w:rPr>
        <w:t>Para el Despacho no hay la menor duda de que los testimonios de cargo expuestos por Mónica Marisol, Emerson Giovanny, Jhon Fredy Liberato y su hermano Kendy, son coherentes y concluyentes a pesar de las nimias diferencias entre un dicho y otro, pero que en absoluto afectan el núcleo esencial de ella; en dichos testimonios siempre encontramos aspectos constantes como que fueron dos los agresores, utilizaron un arma, se movilizaban en una moto; uno de los agresores era alto, blanco o mono, era el parrillero de la moto; el otro era más bajito, moreno, y era el que conducía la moto; que la motocicleta presentaba fallas y se varaba.</w:t>
      </w:r>
    </w:p>
    <w:p w:rsidR="00980DB1" w:rsidRPr="00D409F4" w:rsidRDefault="00980DB1" w:rsidP="00D409F4">
      <w:pPr>
        <w:spacing w:line="240" w:lineRule="auto"/>
        <w:ind w:left="709" w:right="618"/>
        <w:rPr>
          <w:rFonts w:cs="Arial"/>
          <w:i/>
          <w:szCs w:val="24"/>
        </w:rPr>
      </w:pPr>
    </w:p>
    <w:p w:rsidR="00980DB1" w:rsidRPr="00D409F4" w:rsidRDefault="00EF7494" w:rsidP="00D409F4">
      <w:pPr>
        <w:spacing w:line="240" w:lineRule="auto"/>
        <w:ind w:left="709" w:right="618"/>
        <w:rPr>
          <w:rFonts w:cs="Arial"/>
          <w:i/>
          <w:szCs w:val="24"/>
        </w:rPr>
      </w:pPr>
      <w:r w:rsidRPr="00D409F4">
        <w:rPr>
          <w:rFonts w:cs="Arial"/>
          <w:i/>
          <w:szCs w:val="24"/>
        </w:rPr>
        <w:t>Ahora veamos el modus operandi de los dos condenables: como miembros del Ejército entre los dos siempre se conservó la jerarquía militar así: Ever Augusto Méndez Velosa, que es el de menor rango, el morenito, el más bajito, el que no tiene arma, es quien conduce la moto durante todo el trayecto victimario, y Manuel Carvajal Mendieta, que es el mono, el alto, el blanco, en fin el de piel clara, es quien va de pasajero o parrillero y es quien porta el arma, es este segundo sujeto quien de manera amenazante con arma en mano, amenaza, rapta o secuestra y obliga a Marisol a subir a la moto conducida por su compinche Ever Augusto.</w:t>
      </w:r>
    </w:p>
    <w:p w:rsidR="00EF7494" w:rsidRPr="00D409F4" w:rsidRDefault="00EF7494" w:rsidP="00D409F4">
      <w:pPr>
        <w:spacing w:line="240" w:lineRule="auto"/>
        <w:ind w:left="709" w:right="618"/>
        <w:rPr>
          <w:rFonts w:cs="Arial"/>
          <w:i/>
          <w:szCs w:val="24"/>
        </w:rPr>
      </w:pPr>
    </w:p>
    <w:p w:rsidR="00EF7494" w:rsidRPr="00D409F4" w:rsidRDefault="00EF7494" w:rsidP="00D409F4">
      <w:pPr>
        <w:spacing w:line="240" w:lineRule="auto"/>
        <w:ind w:left="709" w:right="618"/>
        <w:rPr>
          <w:rFonts w:cs="Arial"/>
          <w:i/>
          <w:szCs w:val="24"/>
        </w:rPr>
      </w:pPr>
      <w:r w:rsidRPr="00D409F4">
        <w:rPr>
          <w:rFonts w:cs="Arial"/>
          <w:i/>
          <w:szCs w:val="24"/>
        </w:rPr>
        <w:t>Haciendo uso de su mayor rango es quien más agrede a Marisol en el momento de la violación</w:t>
      </w:r>
      <w:r w:rsidR="00C337A8" w:rsidRPr="00D409F4">
        <w:rPr>
          <w:rFonts w:cs="Arial"/>
          <w:i/>
          <w:szCs w:val="24"/>
        </w:rPr>
        <w:t>, es quien obliga a Ever Augusto Méndez también a cometer el acto abusivo, a pesar de la oposición que quiso ejercer sobre su superior pero que se vio imposibilitado ante las amenazas de muerte que su superior Manuel de Jesús le refería con el arma en la mano.</w:t>
      </w:r>
    </w:p>
    <w:p w:rsidR="00C337A8" w:rsidRPr="00D409F4" w:rsidRDefault="00C337A8" w:rsidP="00D409F4">
      <w:pPr>
        <w:spacing w:line="240" w:lineRule="auto"/>
        <w:ind w:left="709" w:right="618"/>
        <w:rPr>
          <w:rFonts w:cs="Arial"/>
          <w:i/>
          <w:szCs w:val="24"/>
        </w:rPr>
      </w:pPr>
    </w:p>
    <w:p w:rsidR="00C337A8" w:rsidRPr="00D409F4" w:rsidRDefault="00990AA0" w:rsidP="00D409F4">
      <w:pPr>
        <w:spacing w:line="240" w:lineRule="auto"/>
        <w:ind w:left="709" w:right="618"/>
        <w:rPr>
          <w:rFonts w:cs="Arial"/>
          <w:i/>
          <w:szCs w:val="24"/>
        </w:rPr>
      </w:pPr>
      <w:r w:rsidRPr="00D409F4">
        <w:rPr>
          <w:rFonts w:cs="Arial"/>
          <w:i/>
          <w:szCs w:val="24"/>
        </w:rPr>
        <w:t>La anterior descripción de cómo sucedieron los hechos, es el resumen del convencimiento que tiene el juzgador sobre la realidad procesal arrimada al encuadernamiento, donde cabe destacar que el domingo, horas después de sucedidos los hechos, Mónica Marisol rinde su primera declaración ante el funcionario investigador o instructor de la justicia militar, en donde relata algunos pormenores de la fisionomía de los atacantes, el olor a trago, el porte de un arma, los problemas mecánicos que tenía la moto de sus agresores; y aquí no se nos puede decir, como lo ha sostenido la defensa, que los rasgos fisionómicos descritos por Marisol fueron aprendidos o detallados porque los vio anteriormente en el puesto de policía, puesto que como quedó plasmado en las diferentes</w:t>
      </w:r>
      <w:r w:rsidR="008B5491" w:rsidRPr="00D409F4">
        <w:rPr>
          <w:rFonts w:cs="Arial"/>
          <w:i/>
          <w:szCs w:val="24"/>
        </w:rPr>
        <w:t xml:space="preserve"> diligencias, Marisol y sus acompañantes, cuando llegaron a la estación de policía a denunciar lo sucedido, al notar que momentos después llegaban al mismo destino los dos sujetos agresores, tuvieron miedo y solicitaron que se les aislara en la oficina de la Policía Judicial para no tener contacto visual con los victimarios habida cuenta de que con gran sorpresa pudieron deducir rápidamente que los victimarios eran militares cuando uno de los agentes de la guardia de la policía los saludó con “Hola, mi cabo”.</w:t>
      </w:r>
    </w:p>
    <w:p w:rsidR="00C03A89" w:rsidRPr="00D409F4" w:rsidRDefault="00C03A89" w:rsidP="00D409F4">
      <w:pPr>
        <w:spacing w:line="240" w:lineRule="auto"/>
        <w:ind w:left="709" w:right="618"/>
        <w:rPr>
          <w:rFonts w:cs="Arial"/>
          <w:i/>
          <w:szCs w:val="24"/>
        </w:rPr>
      </w:pPr>
    </w:p>
    <w:p w:rsidR="00C03A89" w:rsidRPr="00D409F4" w:rsidRDefault="00C03A89" w:rsidP="00D409F4">
      <w:pPr>
        <w:spacing w:line="240" w:lineRule="auto"/>
        <w:ind w:left="709" w:right="618"/>
        <w:rPr>
          <w:rFonts w:cs="Arial"/>
          <w:i/>
          <w:szCs w:val="24"/>
        </w:rPr>
      </w:pPr>
      <w:r w:rsidRPr="00D409F4">
        <w:rPr>
          <w:rFonts w:cs="Arial"/>
          <w:i/>
          <w:szCs w:val="24"/>
        </w:rPr>
        <w:t>Ese mismo domingo, horas después, los dos incriminados rindieron su primera versión ante la justicia penal militar, donde desde luego no comentan absolutamente nada de lo sucedido con Marisol, y solo se limitan a escribir las circunstancias de la tomata con los miembros de la policía en dicho cuartel en horas de la tarde y luego en los establecimientos La Quirpa y La 19, allí ambos aceptan haber tenido un accidente cuando deambulaban por las calles de Tame en la motocicleta que habían tomado de la policía, accidente este que aceptan se dio por el alicoramiento; Carvajal Mendieta incluso en esta primera versión acepta que después del accidente “en ese momento pasó una moto con unos señores, los cuales les hice el pare para que nos ayudaran, los cuales no pasaron”.</w:t>
      </w:r>
    </w:p>
    <w:p w:rsidR="00C03A89" w:rsidRPr="00D409F4" w:rsidRDefault="00C03A89" w:rsidP="00D409F4">
      <w:pPr>
        <w:spacing w:line="240" w:lineRule="auto"/>
        <w:ind w:left="709" w:right="618"/>
        <w:rPr>
          <w:rFonts w:cs="Arial"/>
          <w:i/>
          <w:szCs w:val="24"/>
        </w:rPr>
      </w:pPr>
    </w:p>
    <w:p w:rsidR="00C03A89" w:rsidRPr="00D409F4" w:rsidRDefault="00C03A89" w:rsidP="00D409F4">
      <w:pPr>
        <w:spacing w:line="240" w:lineRule="auto"/>
        <w:ind w:left="709" w:right="618"/>
        <w:rPr>
          <w:rFonts w:cs="Arial"/>
          <w:i/>
          <w:szCs w:val="24"/>
        </w:rPr>
      </w:pPr>
      <w:r w:rsidRPr="00D409F4">
        <w:rPr>
          <w:rFonts w:cs="Arial"/>
          <w:i/>
          <w:szCs w:val="24"/>
        </w:rPr>
        <w:t>Si bien es cierto que el procedimentalismo garantista le resta mérito a las versiones libres y espontáneas rendidas por los acusados por no haber estado asistidos por un abogado</w:t>
      </w:r>
      <w:r w:rsidR="00D409F4" w:rsidRPr="00D409F4">
        <w:rPr>
          <w:rFonts w:cs="Arial"/>
          <w:i/>
          <w:szCs w:val="24"/>
        </w:rPr>
        <w:t>, también es cierto que dichas versiones, al confrontarlas con las indagatorias rendidas el 11 de septiembre de 1999, ocho días después de los hechos, ante la juez penal militar por los sindicados acompañados ya de su común defensor abogado Rafael Alberto Camacho Jiménez, tienen muchos puntos coincidentes entre sí, tales como que Méndez Velosa, el bajito, el moreno, el de menor rango, era el que conducía la moto; que tuvieron un accidente por una roca, cuando se encontraba en un lugar oscuro, despoblado; que después del accidente, Méndez Velosa quiso dirigirse al batallón, pero que Carvajal Mendieta como superior dijo que no, porque había que llevar la moto a la policía.</w:t>
      </w:r>
    </w:p>
    <w:p w:rsidR="00D409F4" w:rsidRPr="00D409F4" w:rsidRDefault="00D409F4" w:rsidP="00D409F4">
      <w:pPr>
        <w:spacing w:line="240" w:lineRule="auto"/>
        <w:ind w:left="709" w:right="618"/>
        <w:rPr>
          <w:rFonts w:cs="Arial"/>
          <w:i/>
          <w:szCs w:val="24"/>
        </w:rPr>
      </w:pPr>
    </w:p>
    <w:p w:rsidR="00D409F4" w:rsidRPr="00D409F4" w:rsidRDefault="00D409F4" w:rsidP="00D409F4">
      <w:pPr>
        <w:spacing w:line="240" w:lineRule="auto"/>
        <w:ind w:left="709" w:right="618"/>
        <w:rPr>
          <w:rFonts w:cs="Arial"/>
          <w:i/>
          <w:szCs w:val="24"/>
        </w:rPr>
      </w:pPr>
      <w:r w:rsidRPr="00D409F4">
        <w:rPr>
          <w:rFonts w:cs="Arial"/>
          <w:i/>
          <w:szCs w:val="24"/>
        </w:rPr>
        <w:t>Aquí, coincide y encaja exactamente lo denunciado por Mónica Marisol en detalles como que cuando la llevaban secuestrada sus agresores en la moto, al abandonar la carretera pavimentada que del parque Los Lanceros conduce al batallón, tomaron el terreno destapado que hay entre la autopista y la Villa Olímpica, que allí los tres se cayeron de la moto; que dicho paraje donde fue violada era oscuro y despoblado; y también coinciden esas indagatorias rendidas en legal forma ante la autoridad militar, con la versión rendida reiteradamente por Jhon Fredy Liberato cuando yendo a pie por la pavimentada en dirección hacia el batallón, pues sabía que por esa ruta se habían llevado a su amiga Mónica Marisol, en el sentido de que vio pasar en sentido contrario, momentos antes de encontrar a Mónica, a dos hombres en motocicleta que vuelve a ver momentos después de recoger a Mónica con su hermano Kendy, metros más abajo al frente de la tienda La Gran Esquina, porque los motociclistas agresores estaban varados allí.</w:t>
      </w:r>
    </w:p>
    <w:p w:rsidR="00D409F4" w:rsidRPr="00D409F4" w:rsidRDefault="00D409F4" w:rsidP="00D409F4">
      <w:pPr>
        <w:spacing w:line="240" w:lineRule="auto"/>
        <w:ind w:left="709" w:right="618"/>
        <w:rPr>
          <w:rFonts w:cs="Arial"/>
          <w:i/>
          <w:szCs w:val="24"/>
        </w:rPr>
      </w:pPr>
    </w:p>
    <w:p w:rsidR="00D409F4" w:rsidRPr="00D409F4" w:rsidRDefault="00D409F4" w:rsidP="00D409F4">
      <w:pPr>
        <w:spacing w:line="240" w:lineRule="auto"/>
        <w:ind w:left="709" w:right="618"/>
        <w:rPr>
          <w:rFonts w:cs="Arial"/>
          <w:i/>
          <w:szCs w:val="24"/>
        </w:rPr>
      </w:pPr>
      <w:r w:rsidRPr="00D409F4">
        <w:rPr>
          <w:rFonts w:cs="Arial"/>
          <w:i/>
          <w:szCs w:val="24"/>
        </w:rPr>
        <w:t>Aspecto importantísimo incriminatorio constituye lo relatado por Mónica Marisol en su primera declaración, cuando relata que uno de los agresores la amenazó diciendo que la iba a matar, pero que el otro le dijo que no lo hiciera; tal circunstancias también la expone Méndez Velosa en su ampliación, cuando manifiesta “posteriormente me dijo que la iba a matar, y efectivamente le apuntó con el revólver en la cabeza, y fue cuando yo me metí en medio de los dos”.</w:t>
      </w:r>
    </w:p>
    <w:p w:rsidR="00C03A89" w:rsidRPr="00D409F4" w:rsidRDefault="00C03A89" w:rsidP="00D409F4">
      <w:pPr>
        <w:spacing w:line="240" w:lineRule="auto"/>
        <w:ind w:left="709" w:right="618"/>
        <w:rPr>
          <w:rFonts w:cs="Arial"/>
          <w:i/>
          <w:szCs w:val="24"/>
        </w:rPr>
      </w:pPr>
    </w:p>
    <w:p w:rsidR="00C03A89" w:rsidRPr="00D409F4" w:rsidRDefault="00C03A89" w:rsidP="00D409F4">
      <w:pPr>
        <w:spacing w:line="240" w:lineRule="auto"/>
        <w:ind w:left="709" w:right="618"/>
        <w:rPr>
          <w:rFonts w:cs="Arial"/>
          <w:i/>
          <w:szCs w:val="24"/>
        </w:rPr>
      </w:pPr>
      <w:r w:rsidRPr="00D409F4">
        <w:rPr>
          <w:rFonts w:cs="Arial"/>
          <w:i/>
          <w:szCs w:val="24"/>
        </w:rPr>
        <w:t>Pero por eso no es de recibo para este Despacho la retractación que hace Méndez Velosa cuando afirma en su primera indagatoria ante la justicia penal militar que lo dicho por él en su ampliación no es verdad, que lo que pasó fue que se asustó y que creyó que con decir eso podría solucionarle el problema; igual posición toma en la audiencia, queriendo distraer la realidad proces</w:t>
      </w:r>
      <w:r w:rsidR="00D409F4" w:rsidRPr="00D409F4">
        <w:rPr>
          <w:rFonts w:cs="Arial"/>
          <w:i/>
          <w:szCs w:val="24"/>
        </w:rPr>
        <w:t xml:space="preserve">al dando a entender que todo se </w:t>
      </w:r>
      <w:r w:rsidRPr="00D409F4">
        <w:rPr>
          <w:rFonts w:cs="Arial"/>
          <w:i/>
          <w:szCs w:val="24"/>
        </w:rPr>
        <w:t>debía por problemas de Carvajal Mendieta con sus comandantes del batallón.</w:t>
      </w:r>
    </w:p>
    <w:p w:rsidR="008B5491" w:rsidRDefault="008B5491" w:rsidP="003C6485">
      <w:pPr>
        <w:rPr>
          <w:rFonts w:cs="Arial"/>
          <w:sz w:val="26"/>
          <w:szCs w:val="26"/>
        </w:rPr>
      </w:pPr>
    </w:p>
    <w:p w:rsidR="008B5491" w:rsidRDefault="00D2744E" w:rsidP="00D2744E">
      <w:pPr>
        <w:numPr>
          <w:ilvl w:val="0"/>
          <w:numId w:val="28"/>
        </w:numPr>
        <w:ind w:left="0" w:firstLine="0"/>
        <w:rPr>
          <w:rFonts w:cs="Arial"/>
          <w:sz w:val="26"/>
          <w:szCs w:val="26"/>
        </w:rPr>
      </w:pPr>
      <w:r>
        <w:rPr>
          <w:rFonts w:cs="Arial"/>
          <w:sz w:val="26"/>
          <w:szCs w:val="26"/>
        </w:rPr>
        <w:t xml:space="preserve">En síntesis, está probado en el expediente que el daño sufrido por Mónica Marisol Rodríguez Bustamante, esto es, las lesiones físicas y psicológicas que le dejó la violación sexual de que fue víctima, fue causado por </w:t>
      </w:r>
      <w:r w:rsidRPr="00D2744E">
        <w:rPr>
          <w:rFonts w:cs="Arial"/>
          <w:sz w:val="26"/>
          <w:szCs w:val="26"/>
        </w:rPr>
        <w:t>Ever Méndez Velosa y Manuel Carvajal Mendieta</w:t>
      </w:r>
      <w:r>
        <w:rPr>
          <w:rFonts w:cs="Arial"/>
          <w:sz w:val="26"/>
          <w:szCs w:val="26"/>
        </w:rPr>
        <w:t>, ambos condenados por los delitos de acceso carnal violento y secuestro.</w:t>
      </w:r>
    </w:p>
    <w:p w:rsidR="00D2744E" w:rsidRDefault="00D2744E" w:rsidP="00D2744E">
      <w:pPr>
        <w:rPr>
          <w:rFonts w:cs="Arial"/>
          <w:sz w:val="26"/>
          <w:szCs w:val="26"/>
        </w:rPr>
      </w:pPr>
    </w:p>
    <w:p w:rsidR="00D2744E" w:rsidRPr="005770F2" w:rsidRDefault="005770F2" w:rsidP="005770F2">
      <w:pPr>
        <w:numPr>
          <w:ilvl w:val="0"/>
          <w:numId w:val="28"/>
        </w:numPr>
        <w:ind w:left="0" w:firstLine="0"/>
        <w:rPr>
          <w:rFonts w:cs="Arial"/>
          <w:sz w:val="26"/>
          <w:szCs w:val="26"/>
        </w:rPr>
      </w:pPr>
      <w:r>
        <w:rPr>
          <w:rFonts w:cs="Arial"/>
          <w:sz w:val="26"/>
          <w:szCs w:val="26"/>
        </w:rPr>
        <w:t xml:space="preserve">También está acreditado que los victimarios, al momento de los hechos, eran militares en servicio activo con rango de cabos primeros, asignados </w:t>
      </w:r>
      <w:r w:rsidR="00FB05AA">
        <w:rPr>
          <w:sz w:val="26"/>
          <w:szCs w:val="26"/>
        </w:rPr>
        <w:t>al Batallón de I</w:t>
      </w:r>
      <w:r>
        <w:rPr>
          <w:sz w:val="26"/>
          <w:szCs w:val="26"/>
        </w:rPr>
        <w:t>ngenieros “General Rafael Nava</w:t>
      </w:r>
      <w:r w:rsidR="002B7EEF">
        <w:rPr>
          <w:sz w:val="26"/>
          <w:szCs w:val="26"/>
        </w:rPr>
        <w:t>s Pardo” de la B</w:t>
      </w:r>
      <w:r>
        <w:rPr>
          <w:sz w:val="26"/>
          <w:szCs w:val="26"/>
        </w:rPr>
        <w:t xml:space="preserve">rigada XVIII del Ejército Nacional, según se lee en las hojas de vida y de datos personales aportadas por la entidad </w:t>
      </w:r>
      <w:r w:rsidRPr="005770F2">
        <w:rPr>
          <w:sz w:val="22"/>
          <w:szCs w:val="22"/>
        </w:rPr>
        <w:t>(f. 189-190, 367-373, c. 1)</w:t>
      </w:r>
      <w:r w:rsidRPr="005770F2">
        <w:rPr>
          <w:sz w:val="26"/>
          <w:szCs w:val="26"/>
        </w:rPr>
        <w:t>.</w:t>
      </w:r>
    </w:p>
    <w:p w:rsidR="005770F2" w:rsidRDefault="005770F2" w:rsidP="005770F2">
      <w:pPr>
        <w:pStyle w:val="Listavistosa-nfasis11"/>
        <w:rPr>
          <w:rFonts w:cs="Arial"/>
          <w:sz w:val="26"/>
          <w:szCs w:val="26"/>
        </w:rPr>
      </w:pPr>
    </w:p>
    <w:p w:rsidR="00891C23" w:rsidRDefault="00891C23" w:rsidP="00891C23">
      <w:pPr>
        <w:numPr>
          <w:ilvl w:val="0"/>
          <w:numId w:val="28"/>
        </w:numPr>
        <w:ind w:left="0" w:firstLine="0"/>
        <w:rPr>
          <w:rFonts w:cs="Arial"/>
          <w:sz w:val="26"/>
          <w:szCs w:val="26"/>
        </w:rPr>
      </w:pPr>
      <w:r>
        <w:rPr>
          <w:rFonts w:cs="Arial"/>
          <w:sz w:val="26"/>
        </w:rPr>
        <w:t>Es preciso</w:t>
      </w:r>
      <w:r w:rsidRPr="00891C23">
        <w:rPr>
          <w:rFonts w:cs="Arial"/>
          <w:sz w:val="26"/>
        </w:rPr>
        <w:t xml:space="preserve"> </w:t>
      </w:r>
      <w:r>
        <w:rPr>
          <w:rFonts w:cs="Arial"/>
          <w:sz w:val="26"/>
        </w:rPr>
        <w:t xml:space="preserve">determinar, entonces, si la violencia sexual ejercida contra Mónica Marisol Rodríguez por dos militares en servicio activo </w:t>
      </w:r>
      <w:r w:rsidRPr="00891C23">
        <w:rPr>
          <w:rFonts w:cs="Arial"/>
          <w:sz w:val="26"/>
        </w:rPr>
        <w:t xml:space="preserve">compromete la responsabilidad </w:t>
      </w:r>
      <w:r>
        <w:rPr>
          <w:rFonts w:cs="Arial"/>
          <w:sz w:val="26"/>
        </w:rPr>
        <w:t>de</w:t>
      </w:r>
      <w:r w:rsidR="002B7EEF">
        <w:rPr>
          <w:rFonts w:cs="Arial"/>
          <w:sz w:val="26"/>
        </w:rPr>
        <w:t xml:space="preserve"> </w:t>
      </w:r>
      <w:r>
        <w:rPr>
          <w:rFonts w:cs="Arial"/>
          <w:sz w:val="26"/>
        </w:rPr>
        <w:t>l</w:t>
      </w:r>
      <w:r w:rsidR="002B7EEF">
        <w:rPr>
          <w:rFonts w:cs="Arial"/>
          <w:sz w:val="26"/>
        </w:rPr>
        <w:t>a Nación-Ministerio de Defensa-</w:t>
      </w:r>
      <w:r>
        <w:rPr>
          <w:rFonts w:cs="Arial"/>
          <w:sz w:val="26"/>
        </w:rPr>
        <w:t>Ejército Nacional, como</w:t>
      </w:r>
      <w:r w:rsidRPr="00891C23">
        <w:rPr>
          <w:rFonts w:cs="Arial"/>
          <w:sz w:val="26"/>
        </w:rPr>
        <w:t xml:space="preserve"> sostiene la parte </w:t>
      </w:r>
      <w:r w:rsidR="002B7EEF">
        <w:rPr>
          <w:rFonts w:cs="Arial"/>
          <w:sz w:val="26"/>
        </w:rPr>
        <w:t>demandante</w:t>
      </w:r>
      <w:r w:rsidRPr="00891C23">
        <w:rPr>
          <w:rFonts w:cs="Arial"/>
          <w:sz w:val="26"/>
        </w:rPr>
        <w:t>, o si, por el contrario, se trata de un hecho personal de</w:t>
      </w:r>
      <w:r>
        <w:rPr>
          <w:rFonts w:cs="Arial"/>
          <w:sz w:val="26"/>
        </w:rPr>
        <w:t xml:space="preserve"> </w:t>
      </w:r>
      <w:r w:rsidRPr="00891C23">
        <w:rPr>
          <w:rFonts w:cs="Arial"/>
          <w:sz w:val="26"/>
        </w:rPr>
        <w:t>l</w:t>
      </w:r>
      <w:r>
        <w:rPr>
          <w:rFonts w:cs="Arial"/>
          <w:sz w:val="26"/>
        </w:rPr>
        <w:t>os</w:t>
      </w:r>
      <w:r w:rsidRPr="00891C23">
        <w:rPr>
          <w:rFonts w:cs="Arial"/>
          <w:sz w:val="26"/>
        </w:rPr>
        <w:t xml:space="preserve"> </w:t>
      </w:r>
      <w:r>
        <w:rPr>
          <w:rFonts w:cs="Arial"/>
          <w:sz w:val="26"/>
        </w:rPr>
        <w:t>agentes</w:t>
      </w:r>
      <w:r w:rsidRPr="00891C23">
        <w:rPr>
          <w:rFonts w:cs="Arial"/>
          <w:sz w:val="26"/>
        </w:rPr>
        <w:t xml:space="preserve"> que exime de responsabilidad a la entidad, tal como lo </w:t>
      </w:r>
      <w:r>
        <w:rPr>
          <w:rFonts w:cs="Arial"/>
          <w:sz w:val="26"/>
        </w:rPr>
        <w:t xml:space="preserve">alega la institución y lo </w:t>
      </w:r>
      <w:r w:rsidR="002B7EEF">
        <w:rPr>
          <w:rFonts w:cs="Arial"/>
          <w:sz w:val="26"/>
        </w:rPr>
        <w:t>decidió el t</w:t>
      </w:r>
      <w:r w:rsidRPr="00891C23">
        <w:rPr>
          <w:rFonts w:cs="Arial"/>
          <w:sz w:val="26"/>
        </w:rPr>
        <w:t>ribunal de primera instancia.</w:t>
      </w:r>
    </w:p>
    <w:p w:rsidR="00891C23" w:rsidRDefault="00891C23" w:rsidP="00891C23">
      <w:pPr>
        <w:pStyle w:val="Listavistosa-nfasis11"/>
        <w:rPr>
          <w:rFonts w:cs="Arial"/>
          <w:sz w:val="26"/>
        </w:rPr>
      </w:pPr>
    </w:p>
    <w:p w:rsidR="00891C23" w:rsidRPr="00891C23" w:rsidRDefault="00891C23" w:rsidP="00891C23">
      <w:pPr>
        <w:numPr>
          <w:ilvl w:val="0"/>
          <w:numId w:val="28"/>
        </w:numPr>
        <w:ind w:left="0" w:firstLine="0"/>
        <w:rPr>
          <w:rFonts w:cs="Arial"/>
          <w:sz w:val="26"/>
          <w:szCs w:val="26"/>
        </w:rPr>
      </w:pPr>
      <w:r w:rsidRPr="00891C23">
        <w:rPr>
          <w:rFonts w:cs="Arial"/>
          <w:sz w:val="26"/>
        </w:rPr>
        <w:t xml:space="preserve">En casos de similar naturaleza, </w:t>
      </w:r>
      <w:r w:rsidRPr="00891C23">
        <w:rPr>
          <w:rFonts w:cs="Arial"/>
          <w:sz w:val="26"/>
          <w:lang w:val="es-ES"/>
        </w:rPr>
        <w:t xml:space="preserve">la </w:t>
      </w:r>
      <w:r w:rsidRPr="00891C23">
        <w:rPr>
          <w:rFonts w:cs="Arial"/>
          <w:bCs/>
          <w:sz w:val="26"/>
          <w:lang w:val="es-CO"/>
        </w:rPr>
        <w:t>Sección Tercera del Consejo de Estado ha adoptado de manera unívoca el criterio jurídico según el cual la responsabilidad de las entidades públicas está comprometida por los hechos de sus agentes, siempre y cuando estos actúen en actividades conexas con la prestación del servicio público, de tal forma que el hecho absolutamente privado y personal del servidor público no compromete la responsabilidad del organismo estatal al cual está vinculado</w:t>
      </w:r>
      <w:r w:rsidRPr="004D32C8">
        <w:rPr>
          <w:rFonts w:cs="Arial"/>
          <w:bCs/>
          <w:sz w:val="26"/>
          <w:vertAlign w:val="superscript"/>
          <w:lang w:val="es-CO"/>
        </w:rPr>
        <w:footnoteReference w:id="40"/>
      </w:r>
      <w:r w:rsidRPr="00891C23">
        <w:rPr>
          <w:rFonts w:cs="Arial"/>
          <w:bCs/>
          <w:sz w:val="26"/>
          <w:lang w:val="es-CO"/>
        </w:rPr>
        <w:t>. En este sentido, la Corporación ha señalado:</w:t>
      </w:r>
    </w:p>
    <w:p w:rsidR="00891C23" w:rsidRPr="004D32C8" w:rsidRDefault="00891C23" w:rsidP="00891C23">
      <w:pPr>
        <w:ind w:right="646"/>
        <w:rPr>
          <w:rFonts w:cs="Arial"/>
          <w:bCs/>
          <w:sz w:val="26"/>
          <w:lang w:val="es-CO"/>
        </w:rPr>
      </w:pPr>
    </w:p>
    <w:p w:rsidR="00891C23" w:rsidRPr="004D32C8" w:rsidRDefault="00891C23" w:rsidP="00891C23">
      <w:pPr>
        <w:spacing w:line="240" w:lineRule="auto"/>
        <w:ind w:left="720" w:right="646"/>
        <w:rPr>
          <w:rFonts w:cs="Arial"/>
          <w:bCs/>
          <w:szCs w:val="24"/>
          <w:lang w:val="es-CO"/>
        </w:rPr>
      </w:pPr>
      <w:r w:rsidRPr="004D32C8">
        <w:rPr>
          <w:rFonts w:cs="Arial"/>
          <w:bCs/>
          <w:i/>
          <w:szCs w:val="24"/>
          <w:lang w:val="es-CO"/>
        </w:rPr>
        <w:t>De acuerdo con la jurisprudencia de la Sala, que ahora se reitera, las actuaciones de los funcionarios sólo comprometen el patrimonio de las entidades públicas cuando las mismas tienen algún nexo o vínculo con el servicio público</w:t>
      </w:r>
      <w:r w:rsidRPr="004D32C8">
        <w:rPr>
          <w:rFonts w:cs="Arial"/>
          <w:bCs/>
          <w:i/>
          <w:szCs w:val="24"/>
          <w:vertAlign w:val="superscript"/>
          <w:lang w:val="es-CO"/>
        </w:rPr>
        <w:footnoteReference w:id="41"/>
      </w:r>
      <w:r w:rsidRPr="004D32C8">
        <w:rPr>
          <w:rFonts w:cs="Arial"/>
          <w:bCs/>
          <w:i/>
          <w:szCs w:val="24"/>
          <w:lang w:val="es-CO"/>
        </w:rPr>
        <w:t>. La simple calidad de funcionario que ostente el autor del hecho no vincula necesariamente al Estado, pues dicho funcionario puede actuar dentro de su ámbito privado separado por completo de toda actividad pública.</w:t>
      </w:r>
    </w:p>
    <w:p w:rsidR="00891C23" w:rsidRPr="004D32C8" w:rsidRDefault="00891C23" w:rsidP="00891C23">
      <w:pPr>
        <w:spacing w:line="240" w:lineRule="auto"/>
        <w:ind w:left="720" w:right="646"/>
        <w:rPr>
          <w:rFonts w:cs="Arial"/>
          <w:bCs/>
          <w:szCs w:val="24"/>
          <w:lang w:val="es-CO"/>
        </w:rPr>
      </w:pPr>
    </w:p>
    <w:p w:rsidR="00891C23" w:rsidRPr="004D32C8" w:rsidRDefault="00891C23" w:rsidP="00891C23">
      <w:pPr>
        <w:spacing w:line="240" w:lineRule="auto"/>
        <w:ind w:left="720" w:right="646"/>
        <w:rPr>
          <w:rFonts w:cs="Arial"/>
          <w:bCs/>
          <w:szCs w:val="24"/>
          <w:lang w:val="es-CO"/>
        </w:rPr>
      </w:pPr>
      <w:r w:rsidRPr="004D32C8">
        <w:rPr>
          <w:rFonts w:cs="Arial"/>
          <w:bCs/>
          <w:i/>
          <w:szCs w:val="24"/>
          <w:lang w:val="es-CO"/>
        </w:rPr>
        <w:t>En doctrina que la Sala ha acogido en dichas decisiones, se señala que para que la conducta causante del daño, desplegada por un agente estatal, tenga vínculo con el servicio, se requiere que ésta se presente externamente como expresión o consecuencia del funcionamiento del servicio público:</w:t>
      </w:r>
    </w:p>
    <w:p w:rsidR="00891C23" w:rsidRPr="004D32C8" w:rsidRDefault="00891C23" w:rsidP="00891C23">
      <w:pPr>
        <w:spacing w:line="240" w:lineRule="auto"/>
        <w:ind w:left="720" w:right="646"/>
        <w:rPr>
          <w:rFonts w:cs="Arial"/>
          <w:bCs/>
          <w:szCs w:val="24"/>
          <w:lang w:val="es-CO"/>
        </w:rPr>
      </w:pPr>
    </w:p>
    <w:p w:rsidR="00891C23" w:rsidRDefault="00891C23" w:rsidP="00891C23">
      <w:pPr>
        <w:spacing w:line="240" w:lineRule="auto"/>
        <w:ind w:left="720" w:right="646"/>
        <w:rPr>
          <w:rFonts w:cs="Arial"/>
          <w:bCs/>
          <w:szCs w:val="24"/>
          <w:lang w:val="es-CO"/>
        </w:rPr>
      </w:pPr>
      <w:r w:rsidRPr="004D32C8">
        <w:rPr>
          <w:rFonts w:cs="Arial"/>
          <w:bCs/>
          <w:szCs w:val="24"/>
          <w:lang w:val="es-CO"/>
        </w:rPr>
        <w:t>“</w:t>
      </w:r>
      <w:r w:rsidRPr="004D32C8">
        <w:rPr>
          <w:rFonts w:cs="Arial"/>
          <w:bCs/>
          <w:i/>
          <w:szCs w:val="24"/>
          <w:lang w:val="es-CO"/>
        </w:rPr>
        <w:t>… no cualquier actuación dañosa de los funcionarios o agentes administrativos conlleva imputación de responsabilidad a la Administración de quien dependen o en la que están encuadrados. Se requiere en todo caso para que opere el mecanismo de atribución a la Administración del deber de reparar un daño patrimonial, que la actuación lesiva de la persona autora material de éste pueda calificarse como propia del “funcionamiento de los servicios públicos”. Es decir que la conducta del agente de la Administración productora del evento dañoso suponga una manifestación del desempeño o ejercicio del cargo público, presentándose externamente entonces el resultado lesivo como expresión o consecuencia del funcionamiento del servicio público. “Por tanto, la Administración no responde de los daños causados por la actividad estrictamente privada de sus funcionarios y agentes, es decir, la llevada a cabo absolutamente al margen de las funciones del cargo público; en una palabra, la realizada fuera del servicio público. En definitiva, el fenómeno jurídico de la imputación de responsabilidad civil a la administración no se produce en aquellos supuestos de daños resarcibles en los que el funcionario se presenta frente al sujeto dañado en su calidad de persona privada, desprovisto, por tanto, de toda calificación jurídico pública</w:t>
      </w:r>
      <w:r w:rsidRPr="004D32C8">
        <w:rPr>
          <w:rFonts w:cs="Arial"/>
          <w:bCs/>
          <w:szCs w:val="24"/>
          <w:lang w:val="es-CO"/>
        </w:rPr>
        <w:t>.”</w:t>
      </w:r>
      <w:r w:rsidRPr="004D32C8">
        <w:rPr>
          <w:rFonts w:cs="Arial"/>
          <w:bCs/>
          <w:i/>
          <w:szCs w:val="24"/>
          <w:vertAlign w:val="superscript"/>
          <w:lang w:val="es-CO"/>
        </w:rPr>
        <w:footnoteReference w:id="42"/>
      </w:r>
      <w:r>
        <w:rPr>
          <w:rFonts w:cs="Arial"/>
          <w:bCs/>
          <w:szCs w:val="24"/>
          <w:lang w:val="es-CO"/>
        </w:rPr>
        <w:t xml:space="preserve"> (...</w:t>
      </w:r>
      <w:r w:rsidRPr="004D32C8">
        <w:rPr>
          <w:rFonts w:cs="Arial"/>
          <w:bCs/>
          <w:szCs w:val="24"/>
          <w:lang w:val="es-CO"/>
        </w:rPr>
        <w:t>)</w:t>
      </w:r>
    </w:p>
    <w:p w:rsidR="00891C23" w:rsidRPr="004D32C8" w:rsidRDefault="00891C23" w:rsidP="00891C23">
      <w:pPr>
        <w:spacing w:line="240" w:lineRule="auto"/>
        <w:ind w:left="720" w:right="646"/>
        <w:rPr>
          <w:rFonts w:cs="Arial"/>
          <w:bCs/>
          <w:szCs w:val="24"/>
          <w:lang w:val="es-CO"/>
        </w:rPr>
      </w:pPr>
    </w:p>
    <w:p w:rsidR="00891C23" w:rsidRPr="004D32C8" w:rsidRDefault="00891C23" w:rsidP="00891C23">
      <w:pPr>
        <w:spacing w:line="240" w:lineRule="auto"/>
        <w:ind w:left="720" w:right="646"/>
        <w:rPr>
          <w:rFonts w:cs="Arial"/>
          <w:bCs/>
          <w:szCs w:val="24"/>
          <w:lang w:val="es-CO"/>
        </w:rPr>
      </w:pPr>
      <w:r w:rsidRPr="004D32C8">
        <w:rPr>
          <w:rFonts w:cs="Arial"/>
          <w:bCs/>
          <w:i/>
          <w:szCs w:val="24"/>
          <w:lang w:val="es-CO"/>
        </w:rPr>
        <w:t>En síntesis, las pruebas que se recogieron en el expediente y los indicios que se construyen a partir de las mismas permiten concluir que la muerte de Vladimir  Giraldo Castro  fue cometida por los agentes de la Policía que hacían parte de un grupo dedicado a manten</w:t>
      </w:r>
      <w:r w:rsidR="002427B7">
        <w:rPr>
          <w:rFonts w:cs="Arial"/>
          <w:bCs/>
          <w:i/>
          <w:szCs w:val="24"/>
          <w:lang w:val="es-CO"/>
        </w:rPr>
        <w:t>er</w:t>
      </w:r>
      <w:r w:rsidRPr="004D32C8">
        <w:rPr>
          <w:rFonts w:cs="Arial"/>
          <w:bCs/>
          <w:i/>
          <w:szCs w:val="24"/>
          <w:lang w:val="es-CO"/>
        </w:rPr>
        <w:t xml:space="preserve"> el orden mediante la comisión de crímenes selectivos en contra de personas que consideraban indeseables y en esa medida, sus acciones constituyen expresión o consecuencia del funcionamiento del servicio público que les fue encomendado, aunque de manera indebida.</w:t>
      </w:r>
    </w:p>
    <w:p w:rsidR="00891C23" w:rsidRPr="004D32C8" w:rsidRDefault="00891C23" w:rsidP="00891C23">
      <w:pPr>
        <w:spacing w:line="240" w:lineRule="auto"/>
        <w:ind w:left="720" w:right="646"/>
        <w:rPr>
          <w:rFonts w:cs="Arial"/>
          <w:bCs/>
          <w:szCs w:val="24"/>
          <w:lang w:val="es-CO"/>
        </w:rPr>
      </w:pPr>
    </w:p>
    <w:p w:rsidR="00891C23" w:rsidRPr="004D32C8" w:rsidRDefault="00891C23" w:rsidP="00891C23">
      <w:pPr>
        <w:spacing w:line="240" w:lineRule="auto"/>
        <w:ind w:left="720" w:right="646"/>
        <w:rPr>
          <w:rFonts w:cs="Arial"/>
          <w:bCs/>
          <w:szCs w:val="24"/>
          <w:lang w:val="es-CO"/>
        </w:rPr>
      </w:pPr>
      <w:r w:rsidRPr="004D32C8">
        <w:rPr>
          <w:rFonts w:cs="Arial"/>
          <w:bCs/>
          <w:i/>
          <w:szCs w:val="24"/>
          <w:lang w:val="es-CO"/>
        </w:rPr>
        <w:t xml:space="preserve">Se insiste: los servidores estatales conservan siempre su investidura, aunque no se encuentren prestando un servicio determinado, pero sus actos sólo comprometen a las entidades a las cuales se encuentren vinculados cuando </w:t>
      </w:r>
      <w:r>
        <w:rPr>
          <w:rFonts w:cs="Arial"/>
          <w:bCs/>
          <w:i/>
          <w:szCs w:val="24"/>
          <w:lang w:val="es-CO"/>
        </w:rPr>
        <w:t>e</w:t>
      </w:r>
      <w:r w:rsidRPr="004D32C8">
        <w:rPr>
          <w:rFonts w:cs="Arial"/>
          <w:bCs/>
          <w:i/>
          <w:szCs w:val="24"/>
          <w:lang w:val="es-CO"/>
        </w:rPr>
        <w:t>st</w:t>
      </w:r>
      <w:r>
        <w:rPr>
          <w:rFonts w:cs="Arial"/>
          <w:bCs/>
          <w:i/>
          <w:szCs w:val="24"/>
          <w:lang w:val="es-CO"/>
        </w:rPr>
        <w:t>o</w:t>
      </w:r>
      <w:r w:rsidRPr="004D32C8">
        <w:rPr>
          <w:rFonts w:cs="Arial"/>
          <w:bCs/>
          <w:i/>
          <w:szCs w:val="24"/>
          <w:lang w:val="es-CO"/>
        </w:rPr>
        <w:t>s tengan nexo con el servicio que se les ha encomendado, y no cuando actúen dentro de su esfera privada</w:t>
      </w:r>
      <w:r w:rsidRPr="004D32C8">
        <w:rPr>
          <w:rFonts w:cs="Arial"/>
          <w:bCs/>
          <w:szCs w:val="24"/>
          <w:vertAlign w:val="superscript"/>
          <w:lang w:val="es-CO"/>
        </w:rPr>
        <w:footnoteReference w:id="43"/>
      </w:r>
      <w:r w:rsidRPr="004D32C8">
        <w:rPr>
          <w:rFonts w:cs="Arial"/>
          <w:bCs/>
          <w:szCs w:val="24"/>
          <w:lang w:val="es-CO"/>
        </w:rPr>
        <w:t>.</w:t>
      </w:r>
    </w:p>
    <w:p w:rsidR="00E718EB" w:rsidRDefault="00E718EB" w:rsidP="00F271BD">
      <w:pPr>
        <w:rPr>
          <w:rFonts w:cs="Arial"/>
          <w:sz w:val="26"/>
          <w:szCs w:val="26"/>
        </w:rPr>
      </w:pPr>
    </w:p>
    <w:p w:rsidR="002427B7" w:rsidRPr="00C21BC6" w:rsidRDefault="00F271BD" w:rsidP="008D361C">
      <w:pPr>
        <w:numPr>
          <w:ilvl w:val="0"/>
          <w:numId w:val="28"/>
        </w:numPr>
        <w:ind w:left="0" w:firstLine="0"/>
        <w:rPr>
          <w:rFonts w:cs="Arial"/>
          <w:sz w:val="26"/>
          <w:szCs w:val="26"/>
        </w:rPr>
      </w:pPr>
      <w:r w:rsidRPr="00C21BC6">
        <w:rPr>
          <w:rFonts w:cs="Arial"/>
          <w:sz w:val="26"/>
          <w:szCs w:val="26"/>
        </w:rPr>
        <w:t xml:space="preserve">En el caso bajo análisis, el recurso de apelación interpuesto por la parte actora </w:t>
      </w:r>
      <w:r w:rsidR="007F4BF3" w:rsidRPr="00C21BC6">
        <w:rPr>
          <w:rFonts w:cs="Arial"/>
          <w:sz w:val="26"/>
        </w:rPr>
        <w:t xml:space="preserve">ofrece los siguientes argumentos para solicitar que se revoque el fallo del </w:t>
      </w:r>
      <w:r w:rsidR="00EA29D6">
        <w:rPr>
          <w:rFonts w:cs="Arial"/>
          <w:sz w:val="26"/>
        </w:rPr>
        <w:t>t</w:t>
      </w:r>
      <w:r w:rsidR="00AF4A43">
        <w:rPr>
          <w:rFonts w:cs="Arial"/>
          <w:sz w:val="26"/>
        </w:rPr>
        <w:t>ribunal</w:t>
      </w:r>
      <w:r w:rsidR="007F4BF3" w:rsidRPr="00C21BC6">
        <w:rPr>
          <w:rFonts w:cs="Arial"/>
          <w:sz w:val="26"/>
        </w:rPr>
        <w:t xml:space="preserve">: (i) </w:t>
      </w:r>
      <w:r w:rsidR="00F06166" w:rsidRPr="00C21BC6">
        <w:rPr>
          <w:rFonts w:cs="Arial"/>
          <w:sz w:val="26"/>
        </w:rPr>
        <w:t xml:space="preserve">el arma utilizada para cometer el delito era de dotación oficial, dado que estaba asignada a la entidad </w:t>
      </w:r>
      <w:r w:rsidR="00C21BC6" w:rsidRPr="00C21BC6">
        <w:rPr>
          <w:rFonts w:cs="Arial"/>
          <w:sz w:val="26"/>
        </w:rPr>
        <w:t xml:space="preserve">y </w:t>
      </w:r>
      <w:r w:rsidR="00F06166" w:rsidRPr="00C21BC6">
        <w:rPr>
          <w:rFonts w:cs="Arial"/>
          <w:sz w:val="26"/>
        </w:rPr>
        <w:t xml:space="preserve">había sido entregada a los militares para </w:t>
      </w:r>
      <w:r w:rsidR="00AF4A43">
        <w:rPr>
          <w:rFonts w:cs="Arial"/>
          <w:sz w:val="26"/>
        </w:rPr>
        <w:t>desempeñar sus funciones</w:t>
      </w:r>
      <w:r w:rsidR="00F06166" w:rsidRPr="00C21BC6">
        <w:rPr>
          <w:rFonts w:cs="Arial"/>
          <w:sz w:val="26"/>
        </w:rPr>
        <w:t xml:space="preserve">; </w:t>
      </w:r>
      <w:r w:rsidR="00AF4A43" w:rsidRPr="00C21BC6">
        <w:rPr>
          <w:rFonts w:cs="Arial"/>
          <w:sz w:val="26"/>
          <w:szCs w:val="26"/>
          <w:lang w:val="es-ES"/>
        </w:rPr>
        <w:t xml:space="preserve">(ii) </w:t>
      </w:r>
      <w:r w:rsidR="00AF4A43" w:rsidRPr="00C21BC6">
        <w:rPr>
          <w:rFonts w:cs="Arial"/>
          <w:sz w:val="26"/>
        </w:rPr>
        <w:t>el vehículo utilizado como instrumento para el delit</w:t>
      </w:r>
      <w:r w:rsidR="00AF4A43">
        <w:rPr>
          <w:rFonts w:cs="Arial"/>
          <w:sz w:val="26"/>
        </w:rPr>
        <w:t xml:space="preserve">o tiene carácter oficial por </w:t>
      </w:r>
      <w:r w:rsidR="00AF4A43" w:rsidRPr="00C21BC6">
        <w:rPr>
          <w:rFonts w:cs="Arial"/>
          <w:sz w:val="26"/>
        </w:rPr>
        <w:t>destinación y uso, pues se trata</w:t>
      </w:r>
      <w:r w:rsidR="00EA29D6">
        <w:rPr>
          <w:rFonts w:cs="Arial"/>
          <w:sz w:val="26"/>
        </w:rPr>
        <w:t>ba</w:t>
      </w:r>
      <w:r w:rsidR="00AF4A43" w:rsidRPr="00C21BC6">
        <w:rPr>
          <w:rFonts w:cs="Arial"/>
          <w:sz w:val="26"/>
        </w:rPr>
        <w:t xml:space="preserve"> de una motocicleta de propiedad de la Policía Nacional;</w:t>
      </w:r>
      <w:r w:rsidR="00AF4A43">
        <w:rPr>
          <w:rFonts w:cs="Arial"/>
          <w:sz w:val="26"/>
        </w:rPr>
        <w:t xml:space="preserve"> </w:t>
      </w:r>
      <w:r w:rsidR="00AF4A43" w:rsidRPr="00C21BC6">
        <w:rPr>
          <w:rFonts w:cs="Arial"/>
          <w:sz w:val="26"/>
        </w:rPr>
        <w:t xml:space="preserve">(iii) la agresión sexual </w:t>
      </w:r>
      <w:r w:rsidR="00AF4A43" w:rsidRPr="00C21BC6">
        <w:rPr>
          <w:rFonts w:cs="Arial"/>
          <w:sz w:val="26"/>
          <w:szCs w:val="26"/>
          <w:lang w:val="es-ES"/>
        </w:rPr>
        <w:t xml:space="preserve">se </w:t>
      </w:r>
      <w:r w:rsidR="00AF4A43">
        <w:rPr>
          <w:rFonts w:cs="Arial"/>
          <w:sz w:val="26"/>
          <w:szCs w:val="26"/>
          <w:lang w:val="es-ES"/>
        </w:rPr>
        <w:t>perpetró</w:t>
      </w:r>
      <w:r w:rsidR="00AF4A43" w:rsidRPr="00C21BC6">
        <w:rPr>
          <w:rFonts w:cs="Arial"/>
          <w:sz w:val="26"/>
          <w:szCs w:val="26"/>
          <w:lang w:val="es-ES"/>
        </w:rPr>
        <w:t xml:space="preserve"> durante la prestación del servicio, pues los </w:t>
      </w:r>
      <w:r w:rsidR="00AF4A43">
        <w:rPr>
          <w:rFonts w:cs="Arial"/>
          <w:sz w:val="26"/>
          <w:szCs w:val="26"/>
          <w:lang w:val="es-ES"/>
        </w:rPr>
        <w:t>suboficial</w:t>
      </w:r>
      <w:r w:rsidR="00AF4A43" w:rsidRPr="00C21BC6">
        <w:rPr>
          <w:rFonts w:cs="Arial"/>
          <w:sz w:val="26"/>
          <w:szCs w:val="26"/>
          <w:lang w:val="es-ES"/>
        </w:rPr>
        <w:t xml:space="preserve">es habían recibido la orden de </w:t>
      </w:r>
      <w:r w:rsidR="00AF4A43">
        <w:rPr>
          <w:rFonts w:cs="Arial"/>
          <w:sz w:val="26"/>
          <w:szCs w:val="26"/>
          <w:lang w:val="es-ES"/>
        </w:rPr>
        <w:t>comprar l</w:t>
      </w:r>
      <w:r w:rsidR="00AF4A43" w:rsidRPr="00C21BC6">
        <w:rPr>
          <w:rFonts w:cs="Arial"/>
          <w:sz w:val="26"/>
          <w:szCs w:val="26"/>
          <w:lang w:val="es-ES"/>
        </w:rPr>
        <w:t>os víveres para la tropa y desatendieron dicha instrucción</w:t>
      </w:r>
      <w:r w:rsidR="00AF4A43">
        <w:rPr>
          <w:rFonts w:cs="Arial"/>
          <w:sz w:val="26"/>
          <w:szCs w:val="26"/>
          <w:lang w:val="es-ES"/>
        </w:rPr>
        <w:t xml:space="preserve"> para cometer el ilícito</w:t>
      </w:r>
      <w:r w:rsidR="00AF4A43" w:rsidRPr="00C21BC6">
        <w:rPr>
          <w:rFonts w:cs="Arial"/>
          <w:sz w:val="26"/>
          <w:szCs w:val="26"/>
          <w:lang w:val="es-ES"/>
        </w:rPr>
        <w:t xml:space="preserve">; </w:t>
      </w:r>
      <w:r w:rsidR="00F06166" w:rsidRPr="00C21BC6">
        <w:rPr>
          <w:rFonts w:cs="Arial"/>
          <w:sz w:val="26"/>
        </w:rPr>
        <w:t xml:space="preserve">(iv) </w:t>
      </w:r>
      <w:r w:rsidR="00C21BC6" w:rsidRPr="00C21BC6">
        <w:rPr>
          <w:rFonts w:cs="Arial"/>
          <w:sz w:val="26"/>
        </w:rPr>
        <w:t xml:space="preserve">el Ejército </w:t>
      </w:r>
      <w:r w:rsidR="00AF4A43">
        <w:rPr>
          <w:rFonts w:cs="Arial"/>
          <w:sz w:val="26"/>
        </w:rPr>
        <w:t>incumplió</w:t>
      </w:r>
      <w:r w:rsidR="00C21BC6" w:rsidRPr="00C21BC6">
        <w:rPr>
          <w:rFonts w:cs="Arial"/>
          <w:sz w:val="26"/>
        </w:rPr>
        <w:t xml:space="preserve"> </w:t>
      </w:r>
      <w:r w:rsidR="00AF4A43">
        <w:rPr>
          <w:rFonts w:cs="Arial"/>
          <w:sz w:val="26"/>
        </w:rPr>
        <w:t>el</w:t>
      </w:r>
      <w:r w:rsidR="00C21BC6" w:rsidRPr="00C21BC6">
        <w:rPr>
          <w:rFonts w:cs="Arial"/>
          <w:sz w:val="26"/>
        </w:rPr>
        <w:t xml:space="preserve"> deber de control y disciplina </w:t>
      </w:r>
      <w:r w:rsidR="00AF4A43">
        <w:rPr>
          <w:rFonts w:cs="Arial"/>
          <w:sz w:val="26"/>
        </w:rPr>
        <w:t>sobre sus miembros</w:t>
      </w:r>
      <w:r w:rsidR="00C21BC6" w:rsidRPr="00C21BC6">
        <w:rPr>
          <w:rFonts w:cs="Arial"/>
          <w:sz w:val="26"/>
        </w:rPr>
        <w:t xml:space="preserve"> </w:t>
      </w:r>
      <w:r w:rsidR="00C21BC6">
        <w:rPr>
          <w:rFonts w:cs="Arial"/>
          <w:sz w:val="26"/>
        </w:rPr>
        <w:t xml:space="preserve">porque el superior jerárquico, una vez enterado de la evasión </w:t>
      </w:r>
      <w:r w:rsidR="00AF4A43">
        <w:rPr>
          <w:rFonts w:cs="Arial"/>
          <w:sz w:val="26"/>
        </w:rPr>
        <w:t xml:space="preserve">del servicio </w:t>
      </w:r>
      <w:r w:rsidR="00C21BC6">
        <w:rPr>
          <w:rFonts w:cs="Arial"/>
          <w:sz w:val="26"/>
        </w:rPr>
        <w:t>por parte de sus subordinados, no hizo</w:t>
      </w:r>
      <w:r w:rsidR="005E259E">
        <w:rPr>
          <w:rFonts w:cs="Arial"/>
          <w:sz w:val="26"/>
        </w:rPr>
        <w:t xml:space="preserve"> </w:t>
      </w:r>
      <w:r w:rsidR="00AF4A43">
        <w:rPr>
          <w:rFonts w:cs="Arial"/>
          <w:sz w:val="26"/>
        </w:rPr>
        <w:t>ningún</w:t>
      </w:r>
      <w:r w:rsidR="00C21BC6">
        <w:rPr>
          <w:rFonts w:cs="Arial"/>
          <w:sz w:val="26"/>
        </w:rPr>
        <w:t xml:space="preserve"> esfuerzo para asegurar </w:t>
      </w:r>
      <w:r w:rsidR="005E259E">
        <w:rPr>
          <w:rFonts w:cs="Arial"/>
          <w:sz w:val="26"/>
        </w:rPr>
        <w:t>su</w:t>
      </w:r>
      <w:r w:rsidR="00C21BC6">
        <w:rPr>
          <w:rFonts w:cs="Arial"/>
          <w:sz w:val="26"/>
        </w:rPr>
        <w:t xml:space="preserve"> regreso </w:t>
      </w:r>
      <w:r w:rsidR="00AF4A43">
        <w:rPr>
          <w:rFonts w:cs="Arial"/>
          <w:sz w:val="26"/>
        </w:rPr>
        <w:t xml:space="preserve">inmediato </w:t>
      </w:r>
      <w:r w:rsidR="00C21BC6">
        <w:rPr>
          <w:rFonts w:cs="Arial"/>
          <w:sz w:val="26"/>
        </w:rPr>
        <w:t xml:space="preserve">al batallón; (v) </w:t>
      </w:r>
      <w:r w:rsidR="00AF4A43">
        <w:rPr>
          <w:rFonts w:cs="Arial"/>
          <w:sz w:val="26"/>
        </w:rPr>
        <w:t>además</w:t>
      </w:r>
      <w:r w:rsidR="00C21BC6">
        <w:rPr>
          <w:rFonts w:cs="Arial"/>
          <w:sz w:val="26"/>
        </w:rPr>
        <w:t xml:space="preserve">, </w:t>
      </w:r>
      <w:r w:rsidR="00AF4A43">
        <w:rPr>
          <w:rFonts w:cs="Arial"/>
          <w:sz w:val="26"/>
        </w:rPr>
        <w:t>la situación</w:t>
      </w:r>
      <w:r w:rsidR="00C21BC6">
        <w:rPr>
          <w:rFonts w:cs="Arial"/>
          <w:sz w:val="26"/>
        </w:rPr>
        <w:t xml:space="preserve"> de orden público en la zona y las condiciones impuestas a los uniformados hacían previsible la comisión de delitos, de modo que el deber de control </w:t>
      </w:r>
      <w:r w:rsidR="00AF4A43">
        <w:rPr>
          <w:rFonts w:cs="Arial"/>
          <w:sz w:val="26"/>
        </w:rPr>
        <w:t xml:space="preserve">y disciplina </w:t>
      </w:r>
      <w:r w:rsidR="00C21BC6">
        <w:rPr>
          <w:rFonts w:cs="Arial"/>
          <w:sz w:val="26"/>
        </w:rPr>
        <w:t>era aún más exigente.</w:t>
      </w:r>
    </w:p>
    <w:p w:rsidR="00C21BC6" w:rsidRPr="00C21BC6" w:rsidRDefault="00C21BC6" w:rsidP="00C21BC6">
      <w:pPr>
        <w:rPr>
          <w:rFonts w:cs="Arial"/>
          <w:sz w:val="26"/>
          <w:szCs w:val="26"/>
        </w:rPr>
      </w:pPr>
    </w:p>
    <w:p w:rsidR="00636101" w:rsidRPr="00636101" w:rsidRDefault="006B1C03" w:rsidP="00021258">
      <w:pPr>
        <w:numPr>
          <w:ilvl w:val="0"/>
          <w:numId w:val="28"/>
        </w:numPr>
        <w:ind w:left="0" w:firstLine="0"/>
        <w:rPr>
          <w:rFonts w:cs="Arial"/>
          <w:sz w:val="26"/>
          <w:szCs w:val="26"/>
        </w:rPr>
      </w:pPr>
      <w:r>
        <w:rPr>
          <w:rFonts w:cs="Arial"/>
          <w:sz w:val="26"/>
        </w:rPr>
        <w:t xml:space="preserve">En relación con el primer cuestionamiento, la Sala observa que, en efecto, el arma utilizada para cometer el crimen del que fue víctima la joven Mónica Marisol Rodríguez era de dotación oficial. </w:t>
      </w:r>
    </w:p>
    <w:p w:rsidR="00636101" w:rsidRDefault="00636101" w:rsidP="00636101">
      <w:pPr>
        <w:pStyle w:val="Listavistosa-nfasis11"/>
        <w:rPr>
          <w:rFonts w:cs="Arial"/>
          <w:sz w:val="26"/>
        </w:rPr>
      </w:pPr>
    </w:p>
    <w:p w:rsidR="00021258" w:rsidRPr="00636101" w:rsidRDefault="006B1C03" w:rsidP="00636101">
      <w:pPr>
        <w:numPr>
          <w:ilvl w:val="1"/>
          <w:numId w:val="28"/>
        </w:numPr>
        <w:ind w:left="0" w:firstLine="0"/>
        <w:rPr>
          <w:rFonts w:cs="Arial"/>
          <w:sz w:val="26"/>
          <w:szCs w:val="26"/>
        </w:rPr>
      </w:pPr>
      <w:r>
        <w:rPr>
          <w:rFonts w:cs="Arial"/>
          <w:sz w:val="26"/>
        </w:rPr>
        <w:t xml:space="preserve">La víctima </w:t>
      </w:r>
      <w:r w:rsidR="00636101">
        <w:rPr>
          <w:rFonts w:cs="Arial"/>
          <w:sz w:val="26"/>
        </w:rPr>
        <w:t>manifest</w:t>
      </w:r>
      <w:r>
        <w:rPr>
          <w:rFonts w:cs="Arial"/>
          <w:sz w:val="26"/>
        </w:rPr>
        <w:t xml:space="preserve">ó que los atacantes estaban armados y que utilizaron el arma para obligarla a abordar el vehículo y, </w:t>
      </w:r>
      <w:r w:rsidR="00636101">
        <w:rPr>
          <w:rFonts w:cs="Arial"/>
          <w:sz w:val="26"/>
        </w:rPr>
        <w:t>más tarde</w:t>
      </w:r>
      <w:r>
        <w:rPr>
          <w:rFonts w:cs="Arial"/>
          <w:sz w:val="26"/>
        </w:rPr>
        <w:t xml:space="preserve">, a desnudarse </w:t>
      </w:r>
      <w:r w:rsidRPr="006B1C03">
        <w:rPr>
          <w:rFonts w:cs="Arial"/>
          <w:sz w:val="22"/>
        </w:rPr>
        <w:t>(f. 45-46, 81, c. 1)</w:t>
      </w:r>
      <w:r>
        <w:rPr>
          <w:rFonts w:cs="Arial"/>
          <w:sz w:val="26"/>
        </w:rPr>
        <w:t xml:space="preserve">. Este hecho fue corroborado por Emerson Rodríguez, testigo de </w:t>
      </w:r>
      <w:r w:rsidR="00CF7937">
        <w:rPr>
          <w:rFonts w:cs="Arial"/>
          <w:sz w:val="26"/>
        </w:rPr>
        <w:t>la aprehensión</w:t>
      </w:r>
      <w:r>
        <w:rPr>
          <w:rFonts w:cs="Arial"/>
          <w:sz w:val="26"/>
        </w:rPr>
        <w:t xml:space="preserve">, en su declaración </w:t>
      </w:r>
      <w:r w:rsidRPr="006B1C03">
        <w:rPr>
          <w:sz w:val="22"/>
          <w:szCs w:val="22"/>
        </w:rPr>
        <w:t>(f. 48-49, c. 1)</w:t>
      </w:r>
      <w:r>
        <w:t>.</w:t>
      </w:r>
    </w:p>
    <w:p w:rsidR="00636101" w:rsidRPr="00636101" w:rsidRDefault="00636101" w:rsidP="00636101">
      <w:pPr>
        <w:rPr>
          <w:rFonts w:cs="Arial"/>
          <w:sz w:val="26"/>
          <w:szCs w:val="26"/>
        </w:rPr>
      </w:pPr>
    </w:p>
    <w:p w:rsidR="00540972" w:rsidRPr="00636101" w:rsidRDefault="006B1C03" w:rsidP="00636101">
      <w:pPr>
        <w:numPr>
          <w:ilvl w:val="1"/>
          <w:numId w:val="28"/>
        </w:numPr>
        <w:ind w:left="0" w:firstLine="0"/>
        <w:rPr>
          <w:rFonts w:cs="Arial"/>
          <w:sz w:val="26"/>
          <w:szCs w:val="26"/>
        </w:rPr>
      </w:pPr>
      <w:r w:rsidRPr="00636101">
        <w:rPr>
          <w:sz w:val="26"/>
          <w:szCs w:val="26"/>
        </w:rPr>
        <w:t xml:space="preserve">Por su parte, el </w:t>
      </w:r>
      <w:r w:rsidR="00021258" w:rsidRPr="00636101">
        <w:rPr>
          <w:sz w:val="26"/>
          <w:szCs w:val="26"/>
        </w:rPr>
        <w:t xml:space="preserve">subteniente Fabián Borja confirmó que el cabo primero Carvajal </w:t>
      </w:r>
      <w:r w:rsidR="00021258">
        <w:t>“</w:t>
      </w:r>
      <w:r w:rsidR="00021258" w:rsidRPr="00636101">
        <w:rPr>
          <w:i/>
          <w:sz w:val="26"/>
          <w:szCs w:val="26"/>
        </w:rPr>
        <w:t xml:space="preserve">llevaba </w:t>
      </w:r>
      <w:r w:rsidR="00021258" w:rsidRPr="00636101">
        <w:rPr>
          <w:sz w:val="26"/>
          <w:szCs w:val="26"/>
        </w:rPr>
        <w:t>[el arma]</w:t>
      </w:r>
      <w:r w:rsidR="00021258" w:rsidRPr="00636101">
        <w:rPr>
          <w:i/>
          <w:sz w:val="26"/>
          <w:szCs w:val="26"/>
        </w:rPr>
        <w:t xml:space="preserve"> de la contraguerrilla, un revólver 38 Smith &amp; Wesson de la compañía</w:t>
      </w:r>
      <w:r w:rsidR="00021258" w:rsidRPr="00636101">
        <w:rPr>
          <w:sz w:val="26"/>
          <w:szCs w:val="26"/>
        </w:rPr>
        <w:t xml:space="preserve">” </w:t>
      </w:r>
      <w:r w:rsidR="00021258" w:rsidRPr="00636101">
        <w:rPr>
          <w:sz w:val="22"/>
          <w:szCs w:val="22"/>
        </w:rPr>
        <w:t>(f. 194, c. 1)</w:t>
      </w:r>
      <w:r w:rsidR="00021258" w:rsidRPr="00636101">
        <w:rPr>
          <w:sz w:val="26"/>
          <w:szCs w:val="26"/>
        </w:rPr>
        <w:t>. El teniente Julián Sierra Castrillón, comandante de la estación de policía de Tame, manifestó:</w:t>
      </w:r>
      <w:r w:rsidR="00021258" w:rsidRPr="00021258">
        <w:t xml:space="preserve"> </w:t>
      </w:r>
      <w:r w:rsidR="00540972">
        <w:t>“</w:t>
      </w:r>
      <w:r w:rsidR="00021258" w:rsidRPr="00636101">
        <w:rPr>
          <w:i/>
          <w:sz w:val="26"/>
          <w:szCs w:val="26"/>
        </w:rPr>
        <w:t>Uno de ellos me dijo que estaba armado pero yo no me cercioré, por tal motivo no sé qué tipo de arma corta era</w:t>
      </w:r>
      <w:r w:rsidR="00540972" w:rsidRPr="00636101">
        <w:rPr>
          <w:sz w:val="26"/>
          <w:szCs w:val="26"/>
        </w:rPr>
        <w:t xml:space="preserve">” </w:t>
      </w:r>
      <w:r w:rsidR="00021258" w:rsidRPr="00636101">
        <w:rPr>
          <w:sz w:val="22"/>
          <w:szCs w:val="22"/>
        </w:rPr>
        <w:t>(f. 191, c. 1)</w:t>
      </w:r>
      <w:r w:rsidR="00540972" w:rsidRPr="00636101">
        <w:rPr>
          <w:sz w:val="26"/>
          <w:szCs w:val="26"/>
        </w:rPr>
        <w:t>. El dragoneante César Augusto Rodríguez reconoció: “</w:t>
      </w:r>
      <w:r w:rsidR="00540972" w:rsidRPr="00636101">
        <w:rPr>
          <w:i/>
          <w:sz w:val="26"/>
          <w:szCs w:val="26"/>
        </w:rPr>
        <w:t>Sé que mi Cabo Carvajal tenía un revólver que era el de la contraguerrilla</w:t>
      </w:r>
      <w:r w:rsidR="00540972" w:rsidRPr="00636101">
        <w:rPr>
          <w:sz w:val="26"/>
          <w:szCs w:val="26"/>
        </w:rPr>
        <w:t>”</w:t>
      </w:r>
      <w:r w:rsidR="00540972" w:rsidRPr="00636101">
        <w:rPr>
          <w:sz w:val="22"/>
          <w:szCs w:val="22"/>
        </w:rPr>
        <w:t xml:space="preserve"> (f. 181, c. 1)</w:t>
      </w:r>
      <w:r w:rsidR="00540972" w:rsidRPr="00636101">
        <w:rPr>
          <w:sz w:val="26"/>
          <w:szCs w:val="26"/>
        </w:rPr>
        <w:t>. Y, en el mismo sentido, el soldado Jonathan Ortiz afirmó: “</w:t>
      </w:r>
      <w:r w:rsidR="00636101">
        <w:rPr>
          <w:i/>
          <w:sz w:val="26"/>
          <w:szCs w:val="26"/>
        </w:rPr>
        <w:t xml:space="preserve">Sé que mi Cabo Carvajal </w:t>
      </w:r>
      <w:r w:rsidR="00540972" w:rsidRPr="00636101">
        <w:rPr>
          <w:i/>
          <w:sz w:val="26"/>
          <w:szCs w:val="26"/>
        </w:rPr>
        <w:t>tenía un revólver que era el de la contraguerrilla y mi Cabo Méndez no le vi, no sé si llevaba arma</w:t>
      </w:r>
      <w:r w:rsidR="00540972" w:rsidRPr="00636101">
        <w:rPr>
          <w:sz w:val="26"/>
          <w:szCs w:val="26"/>
        </w:rPr>
        <w:t xml:space="preserve">” </w:t>
      </w:r>
      <w:r w:rsidR="00540972" w:rsidRPr="00636101">
        <w:rPr>
          <w:sz w:val="22"/>
          <w:szCs w:val="22"/>
        </w:rPr>
        <w:t>(f. 183, c. 1)</w:t>
      </w:r>
      <w:r w:rsidR="00540972" w:rsidRPr="00636101">
        <w:rPr>
          <w:sz w:val="26"/>
          <w:szCs w:val="26"/>
        </w:rPr>
        <w:t>.</w:t>
      </w:r>
    </w:p>
    <w:p w:rsidR="00636101" w:rsidRDefault="00636101" w:rsidP="00636101">
      <w:pPr>
        <w:pStyle w:val="Listavistosa-nfasis11"/>
        <w:rPr>
          <w:rFonts w:cs="Arial"/>
          <w:sz w:val="26"/>
          <w:szCs w:val="26"/>
        </w:rPr>
      </w:pPr>
    </w:p>
    <w:p w:rsidR="004D2B46" w:rsidRPr="00636101" w:rsidRDefault="004D2B46" w:rsidP="00636101">
      <w:pPr>
        <w:numPr>
          <w:ilvl w:val="1"/>
          <w:numId w:val="28"/>
        </w:numPr>
        <w:ind w:left="0" w:firstLine="0"/>
        <w:rPr>
          <w:rFonts w:cs="Arial"/>
          <w:sz w:val="26"/>
          <w:szCs w:val="26"/>
        </w:rPr>
      </w:pPr>
      <w:r w:rsidRPr="00636101">
        <w:rPr>
          <w:rFonts w:cs="Arial"/>
          <w:sz w:val="26"/>
          <w:szCs w:val="26"/>
        </w:rPr>
        <w:t xml:space="preserve">Así las cosas, es claro que el arma confiada a los mencionados suboficiales para el cumplimiento de sus funciones constitucionales de protección de la vida e integridad de los ciudadanos, fue utilizada con el propósito opuesto, esto es, la amenaza y la agresión </w:t>
      </w:r>
      <w:r w:rsidR="004D312B" w:rsidRPr="00636101">
        <w:rPr>
          <w:rFonts w:cs="Arial"/>
          <w:sz w:val="26"/>
          <w:szCs w:val="26"/>
        </w:rPr>
        <w:t>a</w:t>
      </w:r>
      <w:r w:rsidRPr="00636101">
        <w:rPr>
          <w:rFonts w:cs="Arial"/>
          <w:sz w:val="26"/>
          <w:szCs w:val="26"/>
        </w:rPr>
        <w:t xml:space="preserve"> la población.</w:t>
      </w:r>
    </w:p>
    <w:p w:rsidR="00540972" w:rsidRDefault="00540972" w:rsidP="00540972">
      <w:pPr>
        <w:pStyle w:val="Listavistosa-nfasis11"/>
        <w:rPr>
          <w:rFonts w:cs="Arial"/>
          <w:sz w:val="26"/>
          <w:szCs w:val="26"/>
        </w:rPr>
      </w:pPr>
    </w:p>
    <w:p w:rsidR="00540972" w:rsidRPr="00540972" w:rsidRDefault="004D2B46" w:rsidP="00540972">
      <w:pPr>
        <w:numPr>
          <w:ilvl w:val="0"/>
          <w:numId w:val="28"/>
        </w:numPr>
        <w:ind w:left="0" w:firstLine="0"/>
        <w:rPr>
          <w:rFonts w:cs="Arial"/>
          <w:sz w:val="26"/>
          <w:szCs w:val="26"/>
        </w:rPr>
      </w:pPr>
      <w:r>
        <w:rPr>
          <w:rFonts w:cs="Arial"/>
          <w:sz w:val="26"/>
          <w:szCs w:val="26"/>
        </w:rPr>
        <w:t xml:space="preserve">En cuanto al </w:t>
      </w:r>
      <w:r w:rsidR="004D312B">
        <w:rPr>
          <w:rFonts w:cs="Arial"/>
          <w:sz w:val="26"/>
          <w:szCs w:val="26"/>
        </w:rPr>
        <w:t>segundo argumento, la Sala evidencia que le asiste razón a la parte actora, toda vez que el vehículo utilizado para cometer el delito estaba destinado a la estación de polic</w:t>
      </w:r>
      <w:r w:rsidR="00636101">
        <w:rPr>
          <w:rFonts w:cs="Arial"/>
          <w:sz w:val="26"/>
          <w:szCs w:val="26"/>
        </w:rPr>
        <w:t>ía municipal de Tame.</w:t>
      </w:r>
    </w:p>
    <w:p w:rsidR="00C21BC6" w:rsidRDefault="00C21BC6" w:rsidP="00C21BC6">
      <w:pPr>
        <w:rPr>
          <w:rFonts w:cs="Arial"/>
          <w:sz w:val="26"/>
          <w:szCs w:val="26"/>
        </w:rPr>
      </w:pPr>
    </w:p>
    <w:p w:rsidR="004D312B" w:rsidRDefault="004E1E1C" w:rsidP="004E1E1C">
      <w:pPr>
        <w:numPr>
          <w:ilvl w:val="1"/>
          <w:numId w:val="28"/>
        </w:numPr>
        <w:ind w:left="0" w:firstLine="0"/>
        <w:rPr>
          <w:rFonts w:cs="Arial"/>
          <w:sz w:val="26"/>
          <w:szCs w:val="26"/>
        </w:rPr>
      </w:pPr>
      <w:r>
        <w:rPr>
          <w:rFonts w:cs="Arial"/>
          <w:sz w:val="26"/>
          <w:szCs w:val="26"/>
        </w:rPr>
        <w:t>En la inspección judicial practicada en la estación de policía, no se encontró registro alguno de la entrada y salida de los suboficiales al puesto policial ni constancia de salida de la motocicleta</w:t>
      </w:r>
      <w:r w:rsidR="002D2480">
        <w:rPr>
          <w:rFonts w:cs="Arial"/>
          <w:sz w:val="26"/>
          <w:szCs w:val="26"/>
        </w:rPr>
        <w:t xml:space="preserve"> </w:t>
      </w:r>
      <w:r w:rsidR="002D2480" w:rsidRPr="002D2480">
        <w:rPr>
          <w:rFonts w:cs="Arial"/>
          <w:sz w:val="22"/>
          <w:szCs w:val="22"/>
        </w:rPr>
        <w:t>(f. 302, c. 2)</w:t>
      </w:r>
      <w:r>
        <w:rPr>
          <w:rFonts w:cs="Arial"/>
          <w:sz w:val="26"/>
          <w:szCs w:val="26"/>
        </w:rPr>
        <w:t>:</w:t>
      </w:r>
    </w:p>
    <w:p w:rsidR="004E1E1C" w:rsidRDefault="004E1E1C" w:rsidP="004E1E1C">
      <w:pPr>
        <w:rPr>
          <w:rFonts w:cs="Arial"/>
          <w:sz w:val="26"/>
          <w:szCs w:val="26"/>
        </w:rPr>
      </w:pPr>
    </w:p>
    <w:p w:rsidR="002D2480" w:rsidRPr="002D2480" w:rsidRDefault="002D2480" w:rsidP="002D2480">
      <w:pPr>
        <w:spacing w:line="240" w:lineRule="auto"/>
        <w:ind w:left="709" w:right="618"/>
        <w:rPr>
          <w:rFonts w:cs="Arial"/>
          <w:i/>
          <w:sz w:val="26"/>
          <w:szCs w:val="26"/>
        </w:rPr>
      </w:pPr>
      <w:r w:rsidRPr="002D2480">
        <w:rPr>
          <w:i/>
        </w:rPr>
        <w:t>Detallados cada uno de los registros y anotaciones del día 4 de septiembre del año en mención se puede constatar que no hay anotación alguna de ingreso de militares o salida de los mismos de la estación de policía; tampoco se detalla registro alguno acerca de que Ever Augusto Méndez Velosa y Manuel de Jesús Carvajal Mendieta hayan dejado armamento alguno en las instalaciones de la policía; tampoco aparece que estos hayan sacado moto alguna de las instalaciones. Se constata igualmente que en el libro no se constata anotación alguna del insuceso ocurrido el 4 de septiembre en horas de la noche, es decir, acerca de la violación de que fue víctima la joven Mónica Marisol Rodríguez Bustamante, quien buscó protección en la unidad policiva.</w:t>
      </w:r>
    </w:p>
    <w:p w:rsidR="002D2480" w:rsidRDefault="002D2480" w:rsidP="004E1E1C">
      <w:pPr>
        <w:rPr>
          <w:rFonts w:cs="Arial"/>
          <w:sz w:val="26"/>
          <w:szCs w:val="26"/>
        </w:rPr>
      </w:pPr>
    </w:p>
    <w:p w:rsidR="00D03BC3" w:rsidRPr="00B07A21" w:rsidRDefault="00D03BC3" w:rsidP="00B15F0D">
      <w:pPr>
        <w:numPr>
          <w:ilvl w:val="1"/>
          <w:numId w:val="28"/>
        </w:numPr>
        <w:ind w:left="0" w:firstLine="0"/>
        <w:rPr>
          <w:rFonts w:cs="Arial"/>
          <w:sz w:val="26"/>
          <w:szCs w:val="26"/>
        </w:rPr>
      </w:pPr>
      <w:r>
        <w:rPr>
          <w:rFonts w:cs="Arial"/>
          <w:sz w:val="26"/>
          <w:szCs w:val="26"/>
        </w:rPr>
        <w:t xml:space="preserve">Sin embargo, </w:t>
      </w:r>
      <w:r w:rsidR="00462C1A">
        <w:rPr>
          <w:rFonts w:cs="Arial"/>
          <w:sz w:val="26"/>
          <w:szCs w:val="26"/>
        </w:rPr>
        <w:t>en las declaraciones de los militares y policías se observa que los subofic</w:t>
      </w:r>
      <w:r w:rsidR="00D8549C">
        <w:rPr>
          <w:rFonts w:cs="Arial"/>
          <w:sz w:val="26"/>
          <w:szCs w:val="26"/>
        </w:rPr>
        <w:t>iales salieron de la estación en</w:t>
      </w:r>
      <w:r w:rsidR="00462C1A">
        <w:rPr>
          <w:rFonts w:cs="Arial"/>
          <w:sz w:val="26"/>
          <w:szCs w:val="26"/>
        </w:rPr>
        <w:t xml:space="preserve"> una motocicleta de propiedad de la Policía Nacional:</w:t>
      </w:r>
      <w:r w:rsidR="00B07A21">
        <w:rPr>
          <w:rFonts w:cs="Arial"/>
          <w:sz w:val="26"/>
          <w:szCs w:val="26"/>
        </w:rPr>
        <w:t xml:space="preserve"> el cabo Carvajal Mendieta admitió: “</w:t>
      </w:r>
      <w:r w:rsidR="00B07A21" w:rsidRPr="00B07A21">
        <w:rPr>
          <w:rFonts w:cs="Arial"/>
          <w:i/>
          <w:sz w:val="26"/>
          <w:szCs w:val="26"/>
        </w:rPr>
        <w:t>salimos en una moto de la Policía</w:t>
      </w:r>
      <w:r w:rsidR="00B07A21">
        <w:rPr>
          <w:rFonts w:cs="Arial"/>
          <w:sz w:val="26"/>
          <w:szCs w:val="26"/>
        </w:rPr>
        <w:t>”</w:t>
      </w:r>
      <w:r w:rsidR="00B07A21" w:rsidRPr="00B07A21">
        <w:t xml:space="preserve"> </w:t>
      </w:r>
      <w:r w:rsidR="00B07A21" w:rsidRPr="00B07A21">
        <w:rPr>
          <w:rFonts w:cs="Arial"/>
          <w:sz w:val="22"/>
          <w:szCs w:val="22"/>
        </w:rPr>
        <w:t>(f. 161, c. 1)</w:t>
      </w:r>
      <w:r w:rsidR="00B07A21">
        <w:rPr>
          <w:rFonts w:cs="Arial"/>
          <w:sz w:val="26"/>
          <w:szCs w:val="26"/>
        </w:rPr>
        <w:t xml:space="preserve"> y </w:t>
      </w:r>
      <w:r w:rsidR="00B07A21">
        <w:rPr>
          <w:sz w:val="26"/>
          <w:szCs w:val="26"/>
        </w:rPr>
        <w:t>e</w:t>
      </w:r>
      <w:r w:rsidR="00B07A21" w:rsidRPr="00636101">
        <w:rPr>
          <w:sz w:val="26"/>
          <w:szCs w:val="26"/>
        </w:rPr>
        <w:t>l dragoneante César Augusto Rodríguez</w:t>
      </w:r>
      <w:r w:rsidR="00B07A21">
        <w:rPr>
          <w:sz w:val="26"/>
          <w:szCs w:val="26"/>
        </w:rPr>
        <w:t xml:space="preserve"> recordó que el soldado Ortiz Barrera le había dicho que los citados suboficiales </w:t>
      </w:r>
      <w:r w:rsidR="00B07A21" w:rsidRPr="00B07A21">
        <w:rPr>
          <w:sz w:val="26"/>
          <w:szCs w:val="26"/>
        </w:rPr>
        <w:t>“</w:t>
      </w:r>
      <w:r w:rsidR="00B07A21" w:rsidRPr="00B07A21">
        <w:rPr>
          <w:i/>
          <w:sz w:val="26"/>
          <w:szCs w:val="26"/>
        </w:rPr>
        <w:t>se habían ido en una moto del Teniente de la estación de policía</w:t>
      </w:r>
      <w:r w:rsidR="00B07A21" w:rsidRPr="00B07A21">
        <w:rPr>
          <w:sz w:val="26"/>
          <w:szCs w:val="26"/>
        </w:rPr>
        <w:t>”</w:t>
      </w:r>
      <w:r w:rsidR="00B07A21" w:rsidRPr="00B07A21">
        <w:rPr>
          <w:sz w:val="22"/>
          <w:szCs w:val="22"/>
        </w:rPr>
        <w:t xml:space="preserve"> (f. 181, c. 1)</w:t>
      </w:r>
      <w:r w:rsidR="00B15F0D">
        <w:rPr>
          <w:sz w:val="26"/>
          <w:szCs w:val="26"/>
        </w:rPr>
        <w:t xml:space="preserve">. Y de forma aún más concluyente, el </w:t>
      </w:r>
      <w:r w:rsidR="00B15F0D" w:rsidRPr="00B15F0D">
        <w:rPr>
          <w:sz w:val="26"/>
          <w:szCs w:val="26"/>
        </w:rPr>
        <w:t>teniente Julián Sierra, comandante de la estación</w:t>
      </w:r>
      <w:r w:rsidR="00B15F0D">
        <w:rPr>
          <w:sz w:val="26"/>
          <w:szCs w:val="26"/>
        </w:rPr>
        <w:t xml:space="preserve">, dijo que los militares habían tomado la motocicleta sin permiso y habían mentido </w:t>
      </w:r>
      <w:r w:rsidR="00B15F0D" w:rsidRPr="00B15F0D">
        <w:rPr>
          <w:sz w:val="22"/>
          <w:szCs w:val="22"/>
        </w:rPr>
        <w:t>(f. 191, c. 1)</w:t>
      </w:r>
      <w:r w:rsidR="00B15F0D">
        <w:rPr>
          <w:sz w:val="26"/>
          <w:szCs w:val="26"/>
        </w:rPr>
        <w:t>:</w:t>
      </w:r>
    </w:p>
    <w:p w:rsidR="00D03BC3" w:rsidRDefault="00D03BC3" w:rsidP="004E1E1C">
      <w:pPr>
        <w:rPr>
          <w:rFonts w:cs="Arial"/>
          <w:sz w:val="26"/>
          <w:szCs w:val="26"/>
        </w:rPr>
      </w:pPr>
    </w:p>
    <w:p w:rsidR="00D03BC3" w:rsidRPr="00B15F0D" w:rsidRDefault="00B15F0D" w:rsidP="00B15F0D">
      <w:pPr>
        <w:spacing w:line="240" w:lineRule="auto"/>
        <w:ind w:left="709" w:right="618"/>
        <w:rPr>
          <w:rFonts w:cs="Arial"/>
          <w:i/>
          <w:szCs w:val="24"/>
        </w:rPr>
      </w:pPr>
      <w:r w:rsidRPr="00B15F0D">
        <w:rPr>
          <w:rFonts w:cs="Arial"/>
          <w:i/>
          <w:szCs w:val="24"/>
        </w:rPr>
        <w:t>La motocicleta era de una unidad de la Policía y al momento de salir del establecimiento debieron haberla u</w:t>
      </w:r>
      <w:r>
        <w:rPr>
          <w:rFonts w:cs="Arial"/>
          <w:i/>
          <w:szCs w:val="24"/>
        </w:rPr>
        <w:t>tilizado pero en ningún momento</w:t>
      </w:r>
      <w:r w:rsidRPr="00B15F0D">
        <w:rPr>
          <w:rFonts w:cs="Arial"/>
          <w:i/>
          <w:szCs w:val="24"/>
        </w:rPr>
        <w:t xml:space="preserve"> con mi consentimiento; cuando me di cuenta ya se la habían llevado y el señor Subintendente Caballero, que se encontraba al mando del personal uniformado de seguridad, les solicitó a ellos que para dónde llevaban la moto, argumentándole ellos que era con permiso mío, cosa que no es cierta.</w:t>
      </w:r>
    </w:p>
    <w:p w:rsidR="00B15F0D" w:rsidRDefault="00B15F0D" w:rsidP="004E1E1C">
      <w:pPr>
        <w:rPr>
          <w:rFonts w:cs="Arial"/>
          <w:sz w:val="26"/>
          <w:szCs w:val="26"/>
        </w:rPr>
      </w:pPr>
    </w:p>
    <w:p w:rsidR="00B15F0D" w:rsidRDefault="009E3022" w:rsidP="009E3022">
      <w:pPr>
        <w:numPr>
          <w:ilvl w:val="1"/>
          <w:numId w:val="28"/>
        </w:numPr>
        <w:ind w:left="0" w:firstLine="0"/>
        <w:rPr>
          <w:rFonts w:cs="Arial"/>
          <w:sz w:val="26"/>
          <w:szCs w:val="26"/>
        </w:rPr>
      </w:pPr>
      <w:r>
        <w:rPr>
          <w:rFonts w:cs="Arial"/>
          <w:sz w:val="26"/>
          <w:szCs w:val="26"/>
        </w:rPr>
        <w:t>En conclusión, está probado que la motocicleta que utilizaron los suboficiales para sustraer violentamente a la víctima y facilitar el delito era de propiedad oficial, pues estaba destinada a la estación de policía.</w:t>
      </w:r>
    </w:p>
    <w:p w:rsidR="00B15F0D" w:rsidRPr="00C21BC6" w:rsidRDefault="00B15F0D" w:rsidP="004E1E1C">
      <w:pPr>
        <w:rPr>
          <w:rFonts w:cs="Arial"/>
          <w:sz w:val="26"/>
          <w:szCs w:val="26"/>
        </w:rPr>
      </w:pPr>
    </w:p>
    <w:p w:rsidR="009E3022" w:rsidRPr="00BA4765" w:rsidRDefault="000446DD" w:rsidP="007C01EE">
      <w:pPr>
        <w:numPr>
          <w:ilvl w:val="0"/>
          <w:numId w:val="28"/>
        </w:numPr>
        <w:ind w:left="0" w:firstLine="0"/>
        <w:rPr>
          <w:rFonts w:cs="Arial"/>
          <w:sz w:val="26"/>
          <w:szCs w:val="26"/>
        </w:rPr>
      </w:pPr>
      <w:r>
        <w:rPr>
          <w:rFonts w:cs="Arial"/>
          <w:sz w:val="26"/>
          <w:szCs w:val="26"/>
        </w:rPr>
        <w:t xml:space="preserve">Ahora bien, podría admitirse que, en principio, el carácter oficial del arma y </w:t>
      </w:r>
      <w:r w:rsidR="00BA4765">
        <w:rPr>
          <w:rFonts w:cs="Arial"/>
          <w:sz w:val="26"/>
          <w:szCs w:val="26"/>
        </w:rPr>
        <w:t>d</w:t>
      </w:r>
      <w:r>
        <w:rPr>
          <w:rFonts w:cs="Arial"/>
          <w:sz w:val="26"/>
          <w:szCs w:val="26"/>
        </w:rPr>
        <w:t xml:space="preserve">el vehículo </w:t>
      </w:r>
      <w:r>
        <w:rPr>
          <w:rFonts w:cs="Arial"/>
          <w:sz w:val="26"/>
        </w:rPr>
        <w:t xml:space="preserve">compromete la responsabilidad de la entidad demandada en la medida en que sus </w:t>
      </w:r>
      <w:r w:rsidR="00BA4765">
        <w:rPr>
          <w:rFonts w:cs="Arial"/>
          <w:sz w:val="26"/>
        </w:rPr>
        <w:t>agentes estuvieron</w:t>
      </w:r>
      <w:r>
        <w:rPr>
          <w:rFonts w:cs="Arial"/>
          <w:sz w:val="26"/>
        </w:rPr>
        <w:t xml:space="preserve"> involucrado</w:t>
      </w:r>
      <w:r w:rsidR="00BA4765">
        <w:rPr>
          <w:rFonts w:cs="Arial"/>
          <w:sz w:val="26"/>
        </w:rPr>
        <w:t>s</w:t>
      </w:r>
      <w:r>
        <w:rPr>
          <w:rFonts w:cs="Arial"/>
          <w:sz w:val="26"/>
        </w:rPr>
        <w:t xml:space="preserve"> en el hecho dañino y utiliz</w:t>
      </w:r>
      <w:r w:rsidR="00BA4765">
        <w:rPr>
          <w:rFonts w:cs="Arial"/>
          <w:sz w:val="26"/>
        </w:rPr>
        <w:t>aron para tal efecto</w:t>
      </w:r>
      <w:r>
        <w:rPr>
          <w:rFonts w:cs="Arial"/>
          <w:sz w:val="26"/>
        </w:rPr>
        <w:t xml:space="preserve"> instrumento</w:t>
      </w:r>
      <w:r w:rsidR="00BA4765">
        <w:rPr>
          <w:rFonts w:cs="Arial"/>
          <w:sz w:val="26"/>
        </w:rPr>
        <w:t>s</w:t>
      </w:r>
      <w:r>
        <w:rPr>
          <w:rFonts w:cs="Arial"/>
          <w:sz w:val="26"/>
        </w:rPr>
        <w:t xml:space="preserve"> destinado</w:t>
      </w:r>
      <w:r w:rsidR="00BA4765">
        <w:rPr>
          <w:rFonts w:cs="Arial"/>
          <w:sz w:val="26"/>
        </w:rPr>
        <w:t>s</w:t>
      </w:r>
      <w:r>
        <w:rPr>
          <w:rFonts w:cs="Arial"/>
          <w:sz w:val="26"/>
        </w:rPr>
        <w:t xml:space="preserve"> al cum</w:t>
      </w:r>
      <w:r w:rsidR="00BA4765">
        <w:rPr>
          <w:rFonts w:cs="Arial"/>
          <w:sz w:val="26"/>
        </w:rPr>
        <w:t>plimiento de las funciones propias de la Fuerza Pública.</w:t>
      </w:r>
    </w:p>
    <w:p w:rsidR="00BA4765" w:rsidRPr="00BA4765" w:rsidRDefault="00BA4765" w:rsidP="00BA4765">
      <w:pPr>
        <w:rPr>
          <w:rFonts w:cs="Arial"/>
          <w:sz w:val="26"/>
          <w:szCs w:val="26"/>
        </w:rPr>
      </w:pPr>
    </w:p>
    <w:p w:rsidR="00BA4765" w:rsidRDefault="00B128C0" w:rsidP="007C01EE">
      <w:pPr>
        <w:numPr>
          <w:ilvl w:val="0"/>
          <w:numId w:val="28"/>
        </w:numPr>
        <w:ind w:left="0" w:firstLine="0"/>
        <w:rPr>
          <w:rFonts w:cs="Arial"/>
          <w:sz w:val="26"/>
          <w:szCs w:val="26"/>
        </w:rPr>
      </w:pPr>
      <w:r>
        <w:rPr>
          <w:rFonts w:cs="Arial"/>
          <w:sz w:val="26"/>
        </w:rPr>
        <w:t xml:space="preserve">No obstante, de acuerdo con la jurisprudencia reiterada de esta Corporación, el simple hecho de evidenciarse que el daño fue causado por un servidor público o que se produjo o propició con un instrumento de carácter oficial no es suficiente para que surja la responsabilidad de la entidad a la que pertenece el agente o a la que estaba destinado el instrumento, porque, se reitera, es necesario determinar si la conducta dañina tiene una relación con el servicio encargado a dicha institución. Para este propósito, </w:t>
      </w:r>
      <w:r>
        <w:rPr>
          <w:rFonts w:cs="Arial"/>
          <w:bCs/>
          <w:sz w:val="26"/>
          <w:lang w:val="es-CO"/>
        </w:rPr>
        <w:t>deberá</w:t>
      </w:r>
      <w:r w:rsidRPr="004D32C8">
        <w:rPr>
          <w:rFonts w:cs="Arial"/>
          <w:bCs/>
          <w:sz w:val="26"/>
          <w:lang w:val="es-CO"/>
        </w:rPr>
        <w:t xml:space="preserve"> observarse, en cada caso concreto, si el </w:t>
      </w:r>
      <w:r>
        <w:rPr>
          <w:rFonts w:cs="Arial"/>
          <w:bCs/>
          <w:sz w:val="26"/>
          <w:lang w:val="es-CO"/>
        </w:rPr>
        <w:t>funcionario</w:t>
      </w:r>
      <w:r w:rsidRPr="004D32C8">
        <w:rPr>
          <w:rFonts w:cs="Arial"/>
          <w:bCs/>
          <w:sz w:val="26"/>
          <w:lang w:val="es-CO"/>
        </w:rPr>
        <w:t xml:space="preserve"> actuó prevalido de </w:t>
      </w:r>
      <w:r>
        <w:rPr>
          <w:rFonts w:cs="Arial"/>
          <w:bCs/>
          <w:sz w:val="26"/>
          <w:lang w:val="es-CO"/>
        </w:rPr>
        <w:t>la</w:t>
      </w:r>
      <w:r w:rsidRPr="004D32C8">
        <w:rPr>
          <w:rFonts w:cs="Arial"/>
          <w:bCs/>
          <w:sz w:val="26"/>
          <w:lang w:val="es-CO"/>
        </w:rPr>
        <w:t xml:space="preserve"> función </w:t>
      </w:r>
      <w:r>
        <w:rPr>
          <w:rFonts w:cs="Arial"/>
          <w:bCs/>
          <w:sz w:val="26"/>
          <w:lang w:val="es-CO"/>
        </w:rPr>
        <w:t>pública</w:t>
      </w:r>
      <w:r w:rsidRPr="004D32C8">
        <w:rPr>
          <w:rFonts w:cs="Arial"/>
          <w:bCs/>
          <w:sz w:val="26"/>
          <w:lang w:val="es-CO"/>
        </w:rPr>
        <w:t xml:space="preserve">, lo cual se determina, a su vez, evaluando si el daño ocurrió en horas en que se prestaba </w:t>
      </w:r>
      <w:r>
        <w:rPr>
          <w:rFonts w:cs="Arial"/>
          <w:bCs/>
          <w:sz w:val="26"/>
          <w:lang w:val="es-CO"/>
        </w:rPr>
        <w:t>o debía prestarse el servicio,</w:t>
      </w:r>
      <w:r w:rsidRPr="004D32C8">
        <w:rPr>
          <w:rFonts w:cs="Arial"/>
          <w:bCs/>
          <w:sz w:val="26"/>
          <w:lang w:val="es-CO"/>
        </w:rPr>
        <w:t xml:space="preserve"> si devino con ocasión del mismo, y/o si acaeció en el lugar donde </w:t>
      </w:r>
      <w:r>
        <w:rPr>
          <w:rFonts w:cs="Arial"/>
          <w:bCs/>
          <w:sz w:val="26"/>
          <w:lang w:val="es-CO"/>
        </w:rPr>
        <w:t>e</w:t>
      </w:r>
      <w:r w:rsidRPr="004D32C8">
        <w:rPr>
          <w:rFonts w:cs="Arial"/>
          <w:bCs/>
          <w:sz w:val="26"/>
          <w:lang w:val="es-CO"/>
        </w:rPr>
        <w:t xml:space="preserve">ste se prestaba. Igualmente, </w:t>
      </w:r>
      <w:r>
        <w:rPr>
          <w:rFonts w:cs="Arial"/>
          <w:bCs/>
          <w:sz w:val="26"/>
          <w:lang w:val="es-CO"/>
        </w:rPr>
        <w:t xml:space="preserve">se </w:t>
      </w:r>
      <w:r w:rsidRPr="004D32C8">
        <w:rPr>
          <w:rFonts w:cs="Arial"/>
          <w:bCs/>
          <w:sz w:val="26"/>
          <w:lang w:val="es-CO"/>
        </w:rPr>
        <w:t>debe</w:t>
      </w:r>
      <w:r>
        <w:rPr>
          <w:rFonts w:cs="Arial"/>
          <w:bCs/>
          <w:sz w:val="26"/>
          <w:lang w:val="es-CO"/>
        </w:rPr>
        <w:t xml:space="preserve"> estudiar si el agente involucrado actuó u omitió actuar</w:t>
      </w:r>
      <w:r w:rsidRPr="004D32C8">
        <w:rPr>
          <w:rFonts w:cs="Arial"/>
          <w:bCs/>
          <w:sz w:val="26"/>
          <w:lang w:val="es-CO"/>
        </w:rPr>
        <w:t xml:space="preserve"> i</w:t>
      </w:r>
      <w:r>
        <w:rPr>
          <w:rFonts w:cs="Arial"/>
          <w:bCs/>
          <w:sz w:val="26"/>
          <w:lang w:val="es-CO"/>
        </w:rPr>
        <w:t>mpulsado por el cumplimiento de un</w:t>
      </w:r>
      <w:r w:rsidRPr="004D32C8">
        <w:rPr>
          <w:rFonts w:cs="Arial"/>
          <w:bCs/>
          <w:sz w:val="26"/>
          <w:lang w:val="es-CO"/>
        </w:rPr>
        <w:t xml:space="preserve"> servicio bajo su responsabilidad, y si el particular percibió </w:t>
      </w:r>
      <w:r>
        <w:rPr>
          <w:rFonts w:cs="Arial"/>
          <w:bCs/>
          <w:sz w:val="26"/>
          <w:lang w:val="es-CO"/>
        </w:rPr>
        <w:t xml:space="preserve">o advirtió </w:t>
      </w:r>
      <w:r w:rsidRPr="004D32C8">
        <w:rPr>
          <w:rFonts w:cs="Arial"/>
          <w:bCs/>
          <w:sz w:val="26"/>
          <w:lang w:val="es-CO"/>
        </w:rPr>
        <w:t>la encarnación de</w:t>
      </w:r>
      <w:r>
        <w:rPr>
          <w:rFonts w:cs="Arial"/>
          <w:bCs/>
          <w:sz w:val="26"/>
          <w:lang w:val="es-CO"/>
        </w:rPr>
        <w:t xml:space="preserve"> una</w:t>
      </w:r>
      <w:r w:rsidRPr="004D32C8">
        <w:rPr>
          <w:rFonts w:cs="Arial"/>
          <w:bCs/>
          <w:sz w:val="26"/>
          <w:lang w:val="es-CO"/>
        </w:rPr>
        <w:t xml:space="preserve"> </w:t>
      </w:r>
      <w:r>
        <w:rPr>
          <w:rFonts w:cs="Arial"/>
          <w:bCs/>
          <w:sz w:val="26"/>
          <w:lang w:val="es-CO"/>
        </w:rPr>
        <w:t>función</w:t>
      </w:r>
      <w:r w:rsidRPr="004D32C8">
        <w:rPr>
          <w:rFonts w:cs="Arial"/>
          <w:bCs/>
          <w:sz w:val="26"/>
          <w:lang w:val="es-CO"/>
        </w:rPr>
        <w:t xml:space="preserve"> públic</w:t>
      </w:r>
      <w:r>
        <w:rPr>
          <w:rFonts w:cs="Arial"/>
          <w:bCs/>
          <w:sz w:val="26"/>
          <w:lang w:val="es-CO"/>
        </w:rPr>
        <w:t>a</w:t>
      </w:r>
      <w:r w:rsidRPr="004D32C8">
        <w:rPr>
          <w:rFonts w:cs="Arial"/>
          <w:bCs/>
          <w:sz w:val="26"/>
          <w:lang w:val="es-CO"/>
        </w:rPr>
        <w:t xml:space="preserve"> en el agente generador del daño</w:t>
      </w:r>
      <w:r w:rsidRPr="004D32C8">
        <w:rPr>
          <w:rFonts w:cs="Arial"/>
          <w:bCs/>
          <w:sz w:val="26"/>
          <w:vertAlign w:val="superscript"/>
          <w:lang w:val="es-CO"/>
        </w:rPr>
        <w:footnoteReference w:id="44"/>
      </w:r>
      <w:r>
        <w:rPr>
          <w:rFonts w:cs="Arial"/>
          <w:bCs/>
          <w:sz w:val="26"/>
          <w:lang w:val="es-CO"/>
        </w:rPr>
        <w:t>. Sobre este particula</w:t>
      </w:r>
      <w:r w:rsidR="00A003B6">
        <w:rPr>
          <w:rFonts w:cs="Arial"/>
          <w:bCs/>
          <w:sz w:val="26"/>
          <w:lang w:val="es-CO"/>
        </w:rPr>
        <w:t>r, en</w:t>
      </w:r>
      <w:r>
        <w:rPr>
          <w:rFonts w:cs="Arial"/>
          <w:bCs/>
          <w:sz w:val="26"/>
          <w:lang w:val="es-CO"/>
        </w:rPr>
        <w:t xml:space="preserve"> sentencia de</w:t>
      </w:r>
      <w:r w:rsidRPr="004D32C8">
        <w:rPr>
          <w:rFonts w:cs="Arial"/>
          <w:bCs/>
          <w:sz w:val="26"/>
          <w:lang w:val="es-CO"/>
        </w:rPr>
        <w:t xml:space="preserve"> 10 de junio de 2009 se plasmaron las siguientes consideraciones:</w:t>
      </w:r>
    </w:p>
    <w:p w:rsidR="009E3022" w:rsidRDefault="009E3022" w:rsidP="009E3022">
      <w:pPr>
        <w:rPr>
          <w:rFonts w:cs="Arial"/>
          <w:sz w:val="26"/>
          <w:szCs w:val="26"/>
        </w:rPr>
      </w:pPr>
    </w:p>
    <w:p w:rsidR="00B128C0" w:rsidRPr="005F199F" w:rsidRDefault="00B128C0" w:rsidP="00B128C0">
      <w:pPr>
        <w:spacing w:line="240" w:lineRule="auto"/>
        <w:ind w:left="720" w:right="646"/>
        <w:rPr>
          <w:rFonts w:cs="Arial"/>
          <w:bCs/>
          <w:szCs w:val="24"/>
          <w:lang w:val="es-CO"/>
        </w:rPr>
      </w:pPr>
      <w:r w:rsidRPr="005F199F">
        <w:rPr>
          <w:rFonts w:cs="Arial"/>
          <w:bCs/>
          <w:i/>
          <w:szCs w:val="24"/>
          <w:lang w:val="es-CO"/>
        </w:rPr>
        <w:t>Para establecer cuándo un hecho cometido por un agente estatal tiene vínculo con el servicio, inicialmente, la Sala, en sentencia del 17 de julio de 1990, expediente: 5998, formuló el siguiente test de conexidad, con fundamento en la doctrina extranjera: ¿advino el perjuicio en horas del servicio, en el lugar o con instrumento del mismo?</w:t>
      </w:r>
      <w:r>
        <w:rPr>
          <w:rFonts w:cs="Arial"/>
          <w:bCs/>
          <w:i/>
          <w:szCs w:val="24"/>
          <w:lang w:val="es-CO"/>
        </w:rPr>
        <w:t xml:space="preserve"> </w:t>
      </w:r>
      <w:r w:rsidRPr="005F199F">
        <w:rPr>
          <w:rFonts w:cs="Arial"/>
          <w:bCs/>
          <w:i/>
          <w:szCs w:val="24"/>
          <w:lang w:val="es-CO"/>
        </w:rPr>
        <w:t>¿El agente actuó con el deseo de ejecutar u</w:t>
      </w:r>
      <w:r>
        <w:rPr>
          <w:rFonts w:cs="Arial"/>
          <w:bCs/>
          <w:i/>
          <w:szCs w:val="24"/>
          <w:lang w:val="es-CO"/>
        </w:rPr>
        <w:t>n servicio o bajo su impulsión?</w:t>
      </w:r>
      <w:r w:rsidRPr="005F199F">
        <w:rPr>
          <w:rFonts w:cs="Arial"/>
          <w:bCs/>
          <w:i/>
          <w:szCs w:val="24"/>
          <w:lang w:val="es-CO"/>
        </w:rPr>
        <w:t xml:space="preserve"> En la misma providencia se advirtió que “ello no quiere decir que siempre que el hecho ocurra dentro de cualquiera </w:t>
      </w:r>
      <w:r w:rsidR="00B52DE3">
        <w:rPr>
          <w:rFonts w:cs="Arial"/>
          <w:bCs/>
          <w:i/>
          <w:szCs w:val="24"/>
          <w:lang w:val="es-CO"/>
        </w:rPr>
        <w:t>de aquellas especies o de ambas,</w:t>
      </w:r>
      <w:r w:rsidRPr="005F199F">
        <w:rPr>
          <w:rFonts w:cs="Arial"/>
          <w:bCs/>
          <w:i/>
          <w:szCs w:val="24"/>
          <w:lang w:val="es-CO"/>
        </w:rPr>
        <w:t xml:space="preserve"> necesariamente se vea comprometida la responsabilidad, pero sí resultará que el juez, en primer término, tendrá mejores elementos de juicio para inferir que existió una falla del servicio”.</w:t>
      </w:r>
    </w:p>
    <w:p w:rsidR="00B128C0" w:rsidRPr="005F199F" w:rsidRDefault="00B128C0" w:rsidP="00B128C0">
      <w:pPr>
        <w:spacing w:line="240" w:lineRule="auto"/>
        <w:ind w:left="720" w:right="646"/>
        <w:rPr>
          <w:rFonts w:cs="Arial"/>
          <w:bCs/>
          <w:szCs w:val="24"/>
          <w:lang w:val="es-CO"/>
        </w:rPr>
      </w:pPr>
    </w:p>
    <w:p w:rsidR="00B128C0" w:rsidRPr="005F199F" w:rsidRDefault="00B128C0" w:rsidP="00B128C0">
      <w:pPr>
        <w:spacing w:line="240" w:lineRule="auto"/>
        <w:ind w:left="720" w:right="646"/>
        <w:rPr>
          <w:rFonts w:cs="Arial"/>
          <w:bCs/>
          <w:szCs w:val="24"/>
          <w:lang w:val="es-CO"/>
        </w:rPr>
      </w:pPr>
      <w:r w:rsidRPr="005F199F">
        <w:rPr>
          <w:rFonts w:cs="Arial"/>
          <w:bCs/>
          <w:i/>
          <w:szCs w:val="24"/>
          <w:lang w:val="es-CO"/>
        </w:rPr>
        <w:t>En providencias posteriores se señaló que “en las decisiones que se ha acudido al referido test, éste no conduce inexorablemente a una u otra conclusión, ya que se deberán analizar, en cada caso, las circunstancias especiales que rodearon el hecho para poder determinar si el daño es atribuible o no al demandado, aportando únicamente hechos indicadores en relación con la conducta imputada (no con el nexo de causalidad), a partir de los cuales y en armonía con las demás pruebas se podrá solucionar la controversia”</w:t>
      </w:r>
      <w:r w:rsidRPr="005F199F">
        <w:rPr>
          <w:rFonts w:cs="Arial"/>
          <w:bCs/>
          <w:i/>
          <w:szCs w:val="24"/>
          <w:vertAlign w:val="superscript"/>
          <w:lang w:val="es-CO"/>
        </w:rPr>
        <w:footnoteReference w:id="45"/>
      </w:r>
      <w:r w:rsidRPr="005F199F">
        <w:rPr>
          <w:rFonts w:cs="Arial"/>
          <w:bCs/>
          <w:szCs w:val="24"/>
          <w:lang w:val="es-CO"/>
        </w:rPr>
        <w:t>.</w:t>
      </w:r>
    </w:p>
    <w:p w:rsidR="00B128C0" w:rsidRPr="005F199F" w:rsidRDefault="00B128C0" w:rsidP="00B128C0">
      <w:pPr>
        <w:spacing w:line="240" w:lineRule="auto"/>
        <w:ind w:left="720" w:right="646"/>
        <w:rPr>
          <w:rFonts w:cs="Arial"/>
          <w:bCs/>
          <w:szCs w:val="24"/>
          <w:lang w:val="es-CO"/>
        </w:rPr>
      </w:pPr>
    </w:p>
    <w:p w:rsidR="00B128C0" w:rsidRPr="005F199F" w:rsidRDefault="00B128C0" w:rsidP="00B128C0">
      <w:pPr>
        <w:spacing w:line="240" w:lineRule="auto"/>
        <w:ind w:left="720" w:right="646"/>
        <w:rPr>
          <w:rFonts w:cs="Arial"/>
          <w:bCs/>
          <w:szCs w:val="24"/>
          <w:lang w:val="es-CO"/>
        </w:rPr>
      </w:pPr>
      <w:r w:rsidRPr="005F199F">
        <w:rPr>
          <w:rFonts w:cs="Arial"/>
          <w:bCs/>
          <w:i/>
          <w:szCs w:val="24"/>
          <w:lang w:val="es-CO"/>
        </w:rPr>
        <w:t>Finalmente, la Sala en providencia de 25 de febrero de 2009</w:t>
      </w:r>
      <w:r w:rsidRPr="005F199F">
        <w:rPr>
          <w:rFonts w:cs="Arial"/>
          <w:bCs/>
          <w:i/>
          <w:szCs w:val="24"/>
          <w:vertAlign w:val="superscript"/>
          <w:lang w:val="es-CO"/>
        </w:rPr>
        <w:footnoteReference w:id="46"/>
      </w:r>
      <w:r w:rsidRPr="005F199F">
        <w:rPr>
          <w:rFonts w:cs="Arial"/>
          <w:bCs/>
          <w:i/>
          <w:szCs w:val="24"/>
          <w:lang w:val="es-CO"/>
        </w:rPr>
        <w:t>, reiteró en relación con el nexo instrumental, que la responsabilidad de la Nación, no se ocasiona con la simple comisión del hecho con un instrumento del servicio, sino que dicha responsabilidad se origina, principalmente de las características de la acción u omisión que desarrolló el funcionario respectivo y por la cual causó un daño, la cual debe tener una relación directa con el servicio público prestado. Al respecto señaló:</w:t>
      </w:r>
    </w:p>
    <w:p w:rsidR="00B128C0" w:rsidRPr="005F199F" w:rsidRDefault="00B128C0" w:rsidP="00B128C0">
      <w:pPr>
        <w:spacing w:line="240" w:lineRule="auto"/>
        <w:ind w:left="720" w:right="646"/>
        <w:rPr>
          <w:rFonts w:cs="Arial"/>
          <w:bCs/>
          <w:szCs w:val="24"/>
          <w:lang w:val="es-CO"/>
        </w:rPr>
      </w:pPr>
    </w:p>
    <w:p w:rsidR="00B128C0" w:rsidRPr="005F199F" w:rsidRDefault="00B128C0" w:rsidP="00B128C0">
      <w:pPr>
        <w:spacing w:line="240" w:lineRule="auto"/>
        <w:ind w:left="720" w:right="646"/>
        <w:rPr>
          <w:rFonts w:cs="Arial"/>
          <w:bCs/>
          <w:szCs w:val="24"/>
          <w:lang w:val="es-CO"/>
        </w:rPr>
      </w:pPr>
      <w:r w:rsidRPr="005F199F">
        <w:rPr>
          <w:rFonts w:cs="Arial"/>
          <w:bCs/>
          <w:szCs w:val="24"/>
          <w:lang w:val="es-CO"/>
        </w:rPr>
        <w:t>“</w:t>
      </w:r>
      <w:r w:rsidRPr="005F199F">
        <w:rPr>
          <w:rFonts w:cs="Arial"/>
          <w:bCs/>
          <w:i/>
          <w:szCs w:val="24"/>
          <w:lang w:val="es-CO"/>
        </w:rPr>
        <w:t>Frente a ello, precisa la Sala que el nexo con el servicio que debe presentar una actuación para comprometer la responsabilidad de la administración pública, no se desprende exclusivamente del horario en el que se encontraba el agente estatal, ni de los implementos usados por aquel, ni de las funciones que tenía asignadas en ese momento, sino principalmente de las características de la acción u omisión que desarrolló el funcionario respectivo y por la cual causó el daño, que debe tener una relación directa con el servicio público prestado.</w:t>
      </w:r>
      <w:r w:rsidRPr="005F199F">
        <w:rPr>
          <w:rFonts w:cs="Arial"/>
          <w:bCs/>
          <w:szCs w:val="24"/>
          <w:lang w:val="es-CO"/>
        </w:rPr>
        <w:t>”</w:t>
      </w:r>
    </w:p>
    <w:p w:rsidR="00B128C0" w:rsidRPr="005F199F" w:rsidRDefault="00B128C0" w:rsidP="00B128C0">
      <w:pPr>
        <w:spacing w:line="240" w:lineRule="auto"/>
        <w:ind w:left="720" w:right="646"/>
        <w:rPr>
          <w:rFonts w:cs="Arial"/>
          <w:bCs/>
          <w:szCs w:val="24"/>
          <w:lang w:val="es-CO"/>
        </w:rPr>
      </w:pPr>
    </w:p>
    <w:p w:rsidR="009E3022" w:rsidRDefault="00B128C0" w:rsidP="00B128C0">
      <w:pPr>
        <w:spacing w:line="240" w:lineRule="auto"/>
        <w:ind w:left="709" w:right="618"/>
        <w:rPr>
          <w:rFonts w:cs="Arial"/>
          <w:i/>
          <w:szCs w:val="24"/>
          <w:lang w:val="es-ES"/>
        </w:rPr>
      </w:pPr>
      <w:r w:rsidRPr="005F199F">
        <w:rPr>
          <w:rFonts w:cs="Arial"/>
          <w:bCs/>
          <w:szCs w:val="24"/>
          <w:lang w:val="es-CO"/>
        </w:rPr>
        <w:t>“</w:t>
      </w:r>
      <w:r w:rsidRPr="005F199F">
        <w:rPr>
          <w:rFonts w:cs="Arial"/>
          <w:bCs/>
          <w:i/>
          <w:szCs w:val="24"/>
          <w:lang w:val="es-CO"/>
        </w:rPr>
        <w:t>El horario del servicio, las funciones asignadas y los instrumentos utilizados en la ejecución de las mismas, son circunstancias que pueden llevar al juez al convencimiento de que el hecho generador del daño presentó un nexo con el servicio, porque fueron determinantes en su producción; pero de ninguna forma, implican que por su sola verificación se deba presumir responsabilidad de la administración. Es necesario que con motivo del desarrollo de las funciones públicas, se cause el daño alegado en la demanda, porque de lo contrario, se estaría ante un caso de responsabilidad personal del agente</w:t>
      </w:r>
      <w:r w:rsidRPr="005F199F">
        <w:rPr>
          <w:rFonts w:cs="Arial"/>
          <w:bCs/>
          <w:szCs w:val="24"/>
          <w:lang w:val="es-CO"/>
        </w:rPr>
        <w:t>”</w:t>
      </w:r>
      <w:r w:rsidRPr="005F199F">
        <w:rPr>
          <w:rFonts w:cs="Arial"/>
          <w:bCs/>
          <w:szCs w:val="24"/>
          <w:vertAlign w:val="superscript"/>
          <w:lang w:val="es-ES"/>
        </w:rPr>
        <w:footnoteReference w:id="47"/>
      </w:r>
      <w:r w:rsidRPr="005F199F">
        <w:rPr>
          <w:rFonts w:cs="Arial"/>
          <w:i/>
          <w:szCs w:val="24"/>
          <w:lang w:val="es-ES"/>
        </w:rPr>
        <w:t>.</w:t>
      </w:r>
    </w:p>
    <w:p w:rsidR="00B128C0" w:rsidRPr="00B128C0" w:rsidRDefault="00B128C0" w:rsidP="005814D5">
      <w:pPr>
        <w:rPr>
          <w:rFonts w:cs="Arial"/>
          <w:sz w:val="26"/>
          <w:szCs w:val="26"/>
        </w:rPr>
      </w:pPr>
    </w:p>
    <w:p w:rsidR="00B128C0" w:rsidRPr="00B128C0" w:rsidRDefault="00FF0B48" w:rsidP="00B128C0">
      <w:pPr>
        <w:numPr>
          <w:ilvl w:val="0"/>
          <w:numId w:val="28"/>
        </w:numPr>
        <w:ind w:left="0" w:firstLine="0"/>
        <w:rPr>
          <w:rFonts w:cs="Arial"/>
          <w:sz w:val="26"/>
          <w:szCs w:val="26"/>
        </w:rPr>
      </w:pPr>
      <w:r>
        <w:rPr>
          <w:rFonts w:cs="Arial"/>
          <w:sz w:val="26"/>
          <w:lang w:val="es-ES"/>
        </w:rPr>
        <w:t>E</w:t>
      </w:r>
      <w:r w:rsidR="00B128C0">
        <w:rPr>
          <w:rFonts w:cs="Arial"/>
          <w:sz w:val="26"/>
          <w:lang w:val="es-ES"/>
        </w:rPr>
        <w:t xml:space="preserve">sta regla jurisprudencial </w:t>
      </w:r>
      <w:r>
        <w:rPr>
          <w:rFonts w:cs="Arial"/>
          <w:sz w:val="26"/>
          <w:lang w:val="es-ES"/>
        </w:rPr>
        <w:t>es el estándar idóneo para</w:t>
      </w:r>
      <w:r w:rsidR="00B128C0">
        <w:rPr>
          <w:rFonts w:cs="Arial"/>
          <w:sz w:val="26"/>
          <w:lang w:val="es-ES"/>
        </w:rPr>
        <w:t xml:space="preserve"> analizar el tercer cuestionamiento del recurso de </w:t>
      </w:r>
      <w:r>
        <w:rPr>
          <w:rFonts w:cs="Arial"/>
          <w:sz w:val="26"/>
          <w:lang w:val="es-ES"/>
        </w:rPr>
        <w:t>apelación</w:t>
      </w:r>
      <w:r w:rsidR="00B128C0">
        <w:rPr>
          <w:rFonts w:cs="Arial"/>
          <w:sz w:val="26"/>
          <w:lang w:val="es-ES"/>
        </w:rPr>
        <w:t xml:space="preserve">, esto es, que el daño causado a la joven Mónica Marisol Rodríguez se produjo en el marco de </w:t>
      </w:r>
      <w:r w:rsidR="00B128C0" w:rsidRPr="00B128C0">
        <w:rPr>
          <w:rFonts w:cs="Arial"/>
          <w:sz w:val="26"/>
          <w:lang w:val="es-ES"/>
        </w:rPr>
        <w:t>la prestaci</w:t>
      </w:r>
      <w:r>
        <w:rPr>
          <w:rFonts w:cs="Arial"/>
          <w:sz w:val="26"/>
          <w:lang w:val="es-ES"/>
        </w:rPr>
        <w:t>ón del</w:t>
      </w:r>
      <w:r w:rsidR="00B128C0" w:rsidRPr="00B128C0">
        <w:rPr>
          <w:rFonts w:cs="Arial"/>
          <w:sz w:val="26"/>
          <w:lang w:val="es-ES"/>
        </w:rPr>
        <w:t xml:space="preserve"> servicio </w:t>
      </w:r>
      <w:r w:rsidR="00B128C0">
        <w:rPr>
          <w:rFonts w:cs="Arial"/>
          <w:sz w:val="26"/>
          <w:lang w:val="es-ES"/>
        </w:rPr>
        <w:t>público, pues los militares habían recibido una orden prec</w:t>
      </w:r>
      <w:r w:rsidR="00573370">
        <w:rPr>
          <w:rFonts w:cs="Arial"/>
          <w:sz w:val="26"/>
          <w:lang w:val="es-ES"/>
        </w:rPr>
        <w:t>isa por parte de sus superiores, que incumplieron.</w:t>
      </w:r>
    </w:p>
    <w:p w:rsidR="00B128C0" w:rsidRDefault="00B128C0" w:rsidP="00B128C0">
      <w:pPr>
        <w:rPr>
          <w:rFonts w:cs="Arial"/>
          <w:sz w:val="26"/>
          <w:szCs w:val="26"/>
        </w:rPr>
      </w:pPr>
    </w:p>
    <w:p w:rsidR="00B128C0" w:rsidRDefault="00B52DE3" w:rsidP="00FF0B48">
      <w:pPr>
        <w:numPr>
          <w:ilvl w:val="1"/>
          <w:numId w:val="28"/>
        </w:numPr>
        <w:ind w:left="0" w:firstLine="0"/>
        <w:rPr>
          <w:rFonts w:cs="Arial"/>
          <w:sz w:val="26"/>
          <w:szCs w:val="26"/>
        </w:rPr>
      </w:pPr>
      <w:r>
        <w:rPr>
          <w:rFonts w:cs="Arial"/>
          <w:sz w:val="26"/>
          <w:szCs w:val="26"/>
        </w:rPr>
        <w:t xml:space="preserve">Está </w:t>
      </w:r>
      <w:r w:rsidR="006D343D">
        <w:rPr>
          <w:rFonts w:cs="Arial"/>
          <w:sz w:val="26"/>
          <w:szCs w:val="26"/>
        </w:rPr>
        <w:t>prob</w:t>
      </w:r>
      <w:r>
        <w:rPr>
          <w:rFonts w:cs="Arial"/>
          <w:sz w:val="26"/>
          <w:szCs w:val="26"/>
        </w:rPr>
        <w:t xml:space="preserve">ado en el proceso que el cabo primero </w:t>
      </w:r>
      <w:r w:rsidR="006D343D">
        <w:rPr>
          <w:rFonts w:cs="Arial"/>
          <w:sz w:val="26"/>
          <w:szCs w:val="26"/>
        </w:rPr>
        <w:t xml:space="preserve">Manuel Carvajal Mendieta recibió la orden, de parte del subteniente Fabián Borja Pérez, de recoger </w:t>
      </w:r>
      <w:r w:rsidR="005262C1">
        <w:rPr>
          <w:rFonts w:cs="Arial"/>
          <w:sz w:val="26"/>
          <w:szCs w:val="26"/>
        </w:rPr>
        <w:t>un</w:t>
      </w:r>
      <w:r w:rsidR="006D343D">
        <w:rPr>
          <w:rFonts w:cs="Arial"/>
          <w:sz w:val="26"/>
          <w:szCs w:val="26"/>
        </w:rPr>
        <w:t xml:space="preserve"> dinero de la contraguerrilla, comprar los víveres para la tropa y regresar inmediatamente a la base. Así lo indican los informes militares y los testimonios de los uniformados allegados al expediente.</w:t>
      </w:r>
    </w:p>
    <w:p w:rsidR="006D343D" w:rsidRDefault="006D343D" w:rsidP="006D343D">
      <w:pPr>
        <w:rPr>
          <w:rFonts w:cs="Arial"/>
          <w:sz w:val="26"/>
          <w:szCs w:val="26"/>
        </w:rPr>
      </w:pPr>
    </w:p>
    <w:p w:rsidR="006D343D" w:rsidRDefault="005262C1" w:rsidP="00FF0B48">
      <w:pPr>
        <w:numPr>
          <w:ilvl w:val="1"/>
          <w:numId w:val="28"/>
        </w:numPr>
        <w:ind w:left="0" w:firstLine="0"/>
        <w:rPr>
          <w:rFonts w:cs="Arial"/>
          <w:sz w:val="26"/>
          <w:szCs w:val="26"/>
        </w:rPr>
      </w:pPr>
      <w:r>
        <w:rPr>
          <w:rFonts w:cs="Arial"/>
          <w:sz w:val="26"/>
          <w:szCs w:val="26"/>
        </w:rPr>
        <w:t xml:space="preserve">También está demostrado que el suboficial, aunque al parecer sí reclamó el dinero de los alimentos, incumplió la orden de regresar a la base y, en cambio, se dedicó a </w:t>
      </w:r>
      <w:r w:rsidR="007D22CC">
        <w:rPr>
          <w:rFonts w:cs="Arial"/>
          <w:sz w:val="26"/>
          <w:szCs w:val="26"/>
        </w:rPr>
        <w:t>ingerir licor en compañía de algunos miembros del cuerpo de policía y del cabo Ever</w:t>
      </w:r>
      <w:r w:rsidR="007D22CC" w:rsidRPr="007D22CC">
        <w:rPr>
          <w:rFonts w:cs="Arial"/>
          <w:sz w:val="26"/>
          <w:szCs w:val="26"/>
        </w:rPr>
        <w:t xml:space="preserve"> </w:t>
      </w:r>
      <w:r w:rsidR="007D22CC">
        <w:rPr>
          <w:rFonts w:cs="Arial"/>
          <w:sz w:val="26"/>
          <w:szCs w:val="26"/>
        </w:rPr>
        <w:t>Méndez Velosa, para luego, con la colaboración de este último, secuestrar a la joven Mónica Marisol Rodríguez y violentarla sexualmente. Los militares pernoctaron en la estación de policía, obligados por la denuncia interpuesta en su contra, y solo a las siete de la mañana del día siguiente se pre</w:t>
      </w:r>
      <w:r w:rsidR="00091AD4">
        <w:rPr>
          <w:rFonts w:cs="Arial"/>
          <w:sz w:val="26"/>
          <w:szCs w:val="26"/>
        </w:rPr>
        <w:t>sentaron en la base militar, con huellas visibles de haber sufrido un accidente.</w:t>
      </w:r>
    </w:p>
    <w:p w:rsidR="007D22CC" w:rsidRDefault="007D22CC" w:rsidP="007D22CC">
      <w:pPr>
        <w:pStyle w:val="Listavistosa-nfasis11"/>
        <w:rPr>
          <w:rFonts w:cs="Arial"/>
          <w:sz w:val="26"/>
          <w:szCs w:val="26"/>
        </w:rPr>
      </w:pPr>
    </w:p>
    <w:p w:rsidR="0045347D" w:rsidRDefault="00BE1AB8" w:rsidP="00FF0B48">
      <w:pPr>
        <w:numPr>
          <w:ilvl w:val="1"/>
          <w:numId w:val="28"/>
        </w:numPr>
        <w:ind w:left="0" w:firstLine="0"/>
        <w:rPr>
          <w:rFonts w:cs="Arial"/>
          <w:sz w:val="26"/>
          <w:szCs w:val="26"/>
        </w:rPr>
      </w:pPr>
      <w:r>
        <w:rPr>
          <w:rFonts w:cs="Arial"/>
          <w:sz w:val="26"/>
          <w:szCs w:val="26"/>
        </w:rPr>
        <w:t xml:space="preserve">Así las cosas, es claro que la agresión sexual se produjo </w:t>
      </w:r>
      <w:r w:rsidRPr="00BE1AB8">
        <w:rPr>
          <w:rFonts w:cs="Arial"/>
          <w:i/>
          <w:sz w:val="26"/>
          <w:szCs w:val="26"/>
        </w:rPr>
        <w:t>durante</w:t>
      </w:r>
      <w:r>
        <w:rPr>
          <w:rFonts w:cs="Arial"/>
          <w:sz w:val="26"/>
          <w:szCs w:val="26"/>
        </w:rPr>
        <w:t xml:space="preserve"> el servicio o en las horas en que se presta el mismo, pues mientras los militares no regresaran a la base con las provisiones encomendadas, su misión no había culminado y la orden </w:t>
      </w:r>
      <w:r w:rsidR="0045347D">
        <w:rPr>
          <w:rFonts w:cs="Arial"/>
          <w:sz w:val="26"/>
          <w:szCs w:val="26"/>
        </w:rPr>
        <w:t xml:space="preserve">impartida </w:t>
      </w:r>
      <w:r>
        <w:rPr>
          <w:rFonts w:cs="Arial"/>
          <w:sz w:val="26"/>
          <w:szCs w:val="26"/>
        </w:rPr>
        <w:t xml:space="preserve">seguía vigente. </w:t>
      </w:r>
    </w:p>
    <w:p w:rsidR="0045347D" w:rsidRDefault="0045347D" w:rsidP="0045347D">
      <w:pPr>
        <w:pStyle w:val="Listavistosa-nfasis11"/>
        <w:rPr>
          <w:rFonts w:cs="Arial"/>
          <w:sz w:val="26"/>
          <w:szCs w:val="26"/>
        </w:rPr>
      </w:pPr>
    </w:p>
    <w:p w:rsidR="00EF5FFB" w:rsidRPr="0045347D" w:rsidRDefault="0045347D" w:rsidP="0045347D">
      <w:pPr>
        <w:pStyle w:val="Listavistosa-nfasis11"/>
        <w:numPr>
          <w:ilvl w:val="0"/>
          <w:numId w:val="28"/>
        </w:numPr>
        <w:ind w:left="0" w:firstLine="0"/>
        <w:rPr>
          <w:rFonts w:cs="Arial"/>
          <w:sz w:val="26"/>
          <w:szCs w:val="26"/>
        </w:rPr>
      </w:pPr>
      <w:r w:rsidRPr="0045347D">
        <w:rPr>
          <w:rFonts w:cs="Arial"/>
          <w:sz w:val="26"/>
          <w:szCs w:val="26"/>
        </w:rPr>
        <w:t xml:space="preserve">Además, resulta evidente que el daño se produjo </w:t>
      </w:r>
      <w:r w:rsidR="00BE1AB8" w:rsidRPr="0045347D">
        <w:rPr>
          <w:rFonts w:cs="Arial"/>
          <w:i/>
          <w:sz w:val="26"/>
          <w:szCs w:val="26"/>
        </w:rPr>
        <w:t>con ocasión</w:t>
      </w:r>
      <w:r w:rsidR="00BE1AB8" w:rsidRPr="0045347D">
        <w:rPr>
          <w:rFonts w:cs="Arial"/>
          <w:sz w:val="26"/>
          <w:szCs w:val="26"/>
        </w:rPr>
        <w:t xml:space="preserve"> del servicio, </w:t>
      </w:r>
      <w:r w:rsidR="00C62E7B" w:rsidRPr="0045347D">
        <w:rPr>
          <w:rFonts w:cs="Arial"/>
          <w:sz w:val="26"/>
          <w:szCs w:val="26"/>
        </w:rPr>
        <w:t xml:space="preserve">pues </w:t>
      </w:r>
      <w:r w:rsidRPr="0045347D">
        <w:rPr>
          <w:rFonts w:cs="Arial"/>
          <w:sz w:val="26"/>
          <w:szCs w:val="26"/>
        </w:rPr>
        <w:t>se observa</w:t>
      </w:r>
      <w:r w:rsidR="00C62E7B" w:rsidRPr="0045347D">
        <w:rPr>
          <w:rFonts w:cs="Arial"/>
          <w:sz w:val="26"/>
          <w:szCs w:val="26"/>
        </w:rPr>
        <w:t xml:space="preserve"> una </w:t>
      </w:r>
      <w:r w:rsidRPr="0045347D">
        <w:rPr>
          <w:rFonts w:cs="Arial"/>
          <w:sz w:val="26"/>
          <w:szCs w:val="26"/>
        </w:rPr>
        <w:t>manifestación o, más exactamente, una deformación del poder público en</w:t>
      </w:r>
      <w:r w:rsidR="00C62E7B" w:rsidRPr="0045347D">
        <w:rPr>
          <w:rFonts w:cs="Arial"/>
          <w:sz w:val="26"/>
          <w:szCs w:val="26"/>
        </w:rPr>
        <w:t xml:space="preserve"> la conduct</w:t>
      </w:r>
      <w:r w:rsidRPr="0045347D">
        <w:rPr>
          <w:rFonts w:cs="Arial"/>
          <w:sz w:val="26"/>
          <w:szCs w:val="26"/>
        </w:rPr>
        <w:t xml:space="preserve">a de los suboficiales. Al someter a la </w:t>
      </w:r>
      <w:r w:rsidR="00C64FBD">
        <w:rPr>
          <w:rFonts w:cs="Arial"/>
          <w:sz w:val="26"/>
          <w:szCs w:val="26"/>
        </w:rPr>
        <w:t>joven</w:t>
      </w:r>
      <w:r w:rsidR="000B4A57" w:rsidRPr="0045347D">
        <w:rPr>
          <w:rFonts w:cs="Arial"/>
          <w:sz w:val="26"/>
          <w:szCs w:val="26"/>
        </w:rPr>
        <w:t xml:space="preserve"> los militares actuaron prevalido</w:t>
      </w:r>
      <w:r w:rsidR="00C64FBD">
        <w:rPr>
          <w:rFonts w:cs="Arial"/>
          <w:sz w:val="26"/>
          <w:szCs w:val="26"/>
        </w:rPr>
        <w:t>s de una condición de autoridad</w:t>
      </w:r>
      <w:r w:rsidR="00BF6664">
        <w:rPr>
          <w:rFonts w:cs="Arial"/>
          <w:sz w:val="26"/>
          <w:szCs w:val="26"/>
        </w:rPr>
        <w:t>, y una vez la víctima advirtió la calidad de funcionarios de los atacantes, estos aparentaron ser miembros de la guerrilla.</w:t>
      </w:r>
    </w:p>
    <w:p w:rsidR="000B4A57" w:rsidRDefault="000B4A57" w:rsidP="000B4A57">
      <w:pPr>
        <w:rPr>
          <w:rFonts w:cs="Arial"/>
          <w:sz w:val="26"/>
          <w:szCs w:val="26"/>
        </w:rPr>
      </w:pPr>
    </w:p>
    <w:p w:rsidR="008D361C" w:rsidRPr="008D361C" w:rsidRDefault="008D361C" w:rsidP="008D361C">
      <w:pPr>
        <w:pStyle w:val="Listavistosa-nfasis11"/>
        <w:numPr>
          <w:ilvl w:val="1"/>
          <w:numId w:val="28"/>
        </w:numPr>
        <w:ind w:left="0" w:firstLine="0"/>
        <w:rPr>
          <w:rFonts w:cs="Arial"/>
          <w:sz w:val="26"/>
          <w:szCs w:val="26"/>
        </w:rPr>
      </w:pPr>
      <w:r>
        <w:rPr>
          <w:rFonts w:cs="Arial"/>
          <w:sz w:val="26"/>
          <w:szCs w:val="26"/>
        </w:rPr>
        <w:t xml:space="preserve">Esta situación se advierte claramente en la declaración de la joven Mónica Marisol ante la Fiscalía Seccional de Tame </w:t>
      </w:r>
      <w:r w:rsidRPr="008D361C">
        <w:rPr>
          <w:rFonts w:cs="Arial"/>
          <w:sz w:val="22"/>
          <w:szCs w:val="22"/>
        </w:rPr>
        <w:t>(f. 46, c. 1)</w:t>
      </w:r>
      <w:r>
        <w:rPr>
          <w:rFonts w:cs="Arial"/>
          <w:sz w:val="26"/>
          <w:szCs w:val="26"/>
        </w:rPr>
        <w:t>:</w:t>
      </w:r>
    </w:p>
    <w:p w:rsidR="000B4A57" w:rsidRDefault="000B4A57" w:rsidP="000B4A57">
      <w:pPr>
        <w:rPr>
          <w:rFonts w:cs="Arial"/>
          <w:sz w:val="26"/>
          <w:szCs w:val="26"/>
        </w:rPr>
      </w:pPr>
    </w:p>
    <w:p w:rsidR="000B4A57" w:rsidRPr="008D361C" w:rsidRDefault="008D361C" w:rsidP="008D361C">
      <w:pPr>
        <w:spacing w:line="240" w:lineRule="auto"/>
        <w:ind w:left="709" w:right="618"/>
        <w:rPr>
          <w:rFonts w:cs="Arial"/>
          <w:szCs w:val="24"/>
        </w:rPr>
      </w:pPr>
      <w:r w:rsidRPr="008D361C">
        <w:rPr>
          <w:rFonts w:cs="Arial"/>
          <w:i/>
          <w:szCs w:val="24"/>
        </w:rPr>
        <w:t>Preguntado: Díganos cómo vestían estas personas y qué clase de armas portaban. Contestó: Vestían de civil, pero no detallé los colores de sus ropas, ellos portaban armas y eran revólveres porque con uno de esos me encañonaron. Preguntado: Díganos las características de estas personas. Contestó: El que conducía la moto era moreno, pelo negro semiondulado, no muy alto, contextura norma</w:t>
      </w:r>
      <w:r w:rsidR="00126016">
        <w:rPr>
          <w:rFonts w:cs="Arial"/>
          <w:i/>
          <w:szCs w:val="24"/>
        </w:rPr>
        <w:t>l</w:t>
      </w:r>
      <w:r w:rsidRPr="008D361C">
        <w:rPr>
          <w:rFonts w:cs="Arial"/>
          <w:i/>
          <w:szCs w:val="24"/>
        </w:rPr>
        <w:t xml:space="preserve">, no detallé más de él, y el parrillero, quien fue el que me subió a la moto, era mono, alto, pelo castaño como pintado, cara delgada, alto, bien alto, de contextura normal también, no eran gordos ni flacos, el que iba manejando me parece que cargaba en la cabeza una camisa blanca amarrada, pero no recuerdo los colores de sus ropas. Preguntado: Se enteró cómo se llaman estos sujetos. Contestó: Ever Augusto Méndez Velasco y el otro Manuel Jesús Carvajal, estos nombres los conseguimos en la policía, y </w:t>
      </w:r>
      <w:r w:rsidRPr="008D361C">
        <w:rPr>
          <w:rFonts w:cs="Arial"/>
          <w:i/>
          <w:szCs w:val="24"/>
          <w:u w:val="single"/>
        </w:rPr>
        <w:t>sé que estos tipos eran del Ejército por su corte militar, y el moreno al momento de violarme dijo que el mono era superior, el que mandaba, y que él si era capaz de matarme, y fuera de eso les pregunté que si eran del Ejército y me respondieron serios que eran de la guerrilla</w:t>
      </w:r>
      <w:r w:rsidRPr="008D361C">
        <w:rPr>
          <w:rFonts w:cs="Arial"/>
          <w:i/>
          <w:szCs w:val="24"/>
        </w:rPr>
        <w:t xml:space="preserve">. </w:t>
      </w:r>
      <w:r w:rsidRPr="008D361C">
        <w:rPr>
          <w:rFonts w:cs="Arial"/>
          <w:szCs w:val="24"/>
        </w:rPr>
        <w:t>(</w:t>
      </w:r>
      <w:r w:rsidR="00D86F8E">
        <w:rPr>
          <w:rFonts w:cs="Arial"/>
          <w:szCs w:val="24"/>
        </w:rPr>
        <w:t>…</w:t>
      </w:r>
      <w:r w:rsidRPr="008D361C">
        <w:rPr>
          <w:rFonts w:cs="Arial"/>
          <w:szCs w:val="24"/>
        </w:rPr>
        <w:t>)</w:t>
      </w:r>
      <w:r w:rsidRPr="008D361C">
        <w:rPr>
          <w:rFonts w:cs="Arial"/>
          <w:i/>
          <w:szCs w:val="24"/>
        </w:rPr>
        <w:t xml:space="preserve"> Preguntado: Recuerda usted qué le dijeron cuando la fueron a violar. Contestó: Solo me decían que me dejara, que no me pasaba nada más y que si no cooperaba me mataban.</w:t>
      </w:r>
      <w:r>
        <w:rPr>
          <w:rFonts w:cs="Arial"/>
          <w:i/>
          <w:szCs w:val="24"/>
        </w:rPr>
        <w:t xml:space="preserve"> </w:t>
      </w:r>
      <w:r>
        <w:rPr>
          <w:rFonts w:cs="Arial"/>
          <w:szCs w:val="24"/>
        </w:rPr>
        <w:t>Subraya la Sala.</w:t>
      </w:r>
    </w:p>
    <w:p w:rsidR="008D361C" w:rsidRDefault="008D361C" w:rsidP="000B4A57">
      <w:pPr>
        <w:rPr>
          <w:rFonts w:cs="Arial"/>
          <w:sz w:val="26"/>
          <w:szCs w:val="26"/>
        </w:rPr>
      </w:pPr>
    </w:p>
    <w:p w:rsidR="008D361C" w:rsidRPr="008D361C" w:rsidRDefault="008D361C" w:rsidP="008D361C">
      <w:pPr>
        <w:pStyle w:val="Listavistosa-nfasis11"/>
        <w:numPr>
          <w:ilvl w:val="1"/>
          <w:numId w:val="28"/>
        </w:numPr>
        <w:ind w:left="0" w:firstLine="0"/>
        <w:rPr>
          <w:rFonts w:cs="Arial"/>
          <w:sz w:val="26"/>
          <w:szCs w:val="26"/>
        </w:rPr>
      </w:pPr>
      <w:r>
        <w:rPr>
          <w:rFonts w:cs="Arial"/>
          <w:sz w:val="26"/>
          <w:szCs w:val="26"/>
        </w:rPr>
        <w:t xml:space="preserve">De igual forma, en la ampliación de </w:t>
      </w:r>
      <w:r w:rsidR="00DE6976">
        <w:rPr>
          <w:rFonts w:cs="Arial"/>
          <w:sz w:val="26"/>
          <w:szCs w:val="26"/>
        </w:rPr>
        <w:t xml:space="preserve">su </w:t>
      </w:r>
      <w:r>
        <w:rPr>
          <w:rFonts w:cs="Arial"/>
          <w:sz w:val="26"/>
          <w:szCs w:val="26"/>
        </w:rPr>
        <w:t xml:space="preserve">declaración, la víctima precisó que los agresores negaron ser del Ejército </w:t>
      </w:r>
      <w:r w:rsidR="00DE6976">
        <w:rPr>
          <w:rFonts w:cs="Arial"/>
          <w:sz w:val="26"/>
          <w:szCs w:val="26"/>
        </w:rPr>
        <w:t xml:space="preserve">Nacional </w:t>
      </w:r>
      <w:r>
        <w:rPr>
          <w:rFonts w:cs="Arial"/>
          <w:sz w:val="26"/>
          <w:szCs w:val="26"/>
        </w:rPr>
        <w:t xml:space="preserve">y afirmaron pertenecer a los grupos guerrilleros </w:t>
      </w:r>
      <w:r w:rsidRPr="008D361C">
        <w:rPr>
          <w:rFonts w:cs="Arial"/>
          <w:sz w:val="22"/>
          <w:szCs w:val="22"/>
        </w:rPr>
        <w:t>(f. 81, c. 1)</w:t>
      </w:r>
      <w:r>
        <w:rPr>
          <w:rFonts w:cs="Arial"/>
          <w:sz w:val="26"/>
          <w:szCs w:val="26"/>
        </w:rPr>
        <w:t>:</w:t>
      </w:r>
    </w:p>
    <w:p w:rsidR="008D361C" w:rsidRDefault="008D361C" w:rsidP="000B4A57">
      <w:pPr>
        <w:rPr>
          <w:rFonts w:cs="Arial"/>
          <w:sz w:val="26"/>
          <w:szCs w:val="26"/>
        </w:rPr>
      </w:pPr>
    </w:p>
    <w:p w:rsidR="008D361C" w:rsidRPr="008D361C" w:rsidRDefault="00347796" w:rsidP="008D361C">
      <w:pPr>
        <w:spacing w:line="240" w:lineRule="auto"/>
        <w:ind w:left="709" w:right="618"/>
        <w:rPr>
          <w:rFonts w:cs="Arial"/>
          <w:i/>
          <w:szCs w:val="24"/>
        </w:rPr>
      </w:pPr>
      <w:r>
        <w:rPr>
          <w:rFonts w:cs="Arial"/>
          <w:i/>
          <w:szCs w:val="24"/>
        </w:rPr>
        <w:t>C</w:t>
      </w:r>
      <w:r w:rsidR="008D361C" w:rsidRPr="008D361C">
        <w:rPr>
          <w:rFonts w:cs="Arial"/>
          <w:i/>
          <w:szCs w:val="24"/>
        </w:rPr>
        <w:t xml:space="preserve">uando llegamos, el moreno, ellos me arrinconaron en un poste, le dije el moreno qué había pasado, </w:t>
      </w:r>
      <w:r w:rsidR="008D361C" w:rsidRPr="008D361C">
        <w:rPr>
          <w:rFonts w:cs="Arial"/>
          <w:i/>
          <w:szCs w:val="24"/>
          <w:u w:val="single"/>
        </w:rPr>
        <w:t>yo le pregunté que si eran del Ejército, los dos me contestaron que eran de la guerrilla</w:t>
      </w:r>
      <w:r w:rsidR="008D361C" w:rsidRPr="008D361C">
        <w:rPr>
          <w:rFonts w:cs="Arial"/>
          <w:i/>
          <w:szCs w:val="24"/>
        </w:rPr>
        <w:t xml:space="preserve">. </w:t>
      </w:r>
      <w:r w:rsidR="008D361C" w:rsidRPr="002B7AE9">
        <w:rPr>
          <w:rFonts w:cs="Arial"/>
          <w:i/>
          <w:szCs w:val="24"/>
          <w:u w:val="single"/>
        </w:rPr>
        <w:t>El moreno me dijo que me dejara, que tranquila, que me dejara porque el otro sí era capaz de matarme</w:t>
      </w:r>
      <w:r w:rsidR="008D361C" w:rsidRPr="008D361C">
        <w:rPr>
          <w:rFonts w:cs="Arial"/>
          <w:i/>
          <w:szCs w:val="24"/>
        </w:rPr>
        <w:t>, él me cubrió la cabeza cuando el otro, el mono, me amenazó, me asusté demasiado, porque el otro sí era capaz de matarme, que me dejara. Pues el uno le decía groserías al otro, el moreno le dijo que se esperara un momento, pero el otro me insultaba, me decía groserías, no discutieron entre ellos dos, entre ambos me cogieron y abusaron de mí, varias veces, no una sola vez.</w:t>
      </w:r>
      <w:r>
        <w:rPr>
          <w:rFonts w:cs="Arial"/>
          <w:i/>
          <w:szCs w:val="24"/>
        </w:rPr>
        <w:t xml:space="preserve"> </w:t>
      </w:r>
      <w:r w:rsidRPr="00347796">
        <w:rPr>
          <w:rFonts w:cs="Arial"/>
          <w:szCs w:val="24"/>
        </w:rPr>
        <w:t>Destacado propio.</w:t>
      </w:r>
    </w:p>
    <w:p w:rsidR="008D361C" w:rsidRDefault="008D361C" w:rsidP="002B7AE9">
      <w:pPr>
        <w:rPr>
          <w:rFonts w:cs="Arial"/>
          <w:sz w:val="26"/>
          <w:szCs w:val="26"/>
        </w:rPr>
      </w:pPr>
    </w:p>
    <w:p w:rsidR="002B7AE9" w:rsidRPr="00C64FBD" w:rsidRDefault="00BF6664" w:rsidP="002B7AE9">
      <w:pPr>
        <w:pStyle w:val="Listavistosa-nfasis11"/>
        <w:numPr>
          <w:ilvl w:val="1"/>
          <w:numId w:val="28"/>
        </w:numPr>
        <w:ind w:left="0" w:firstLine="0"/>
        <w:rPr>
          <w:rFonts w:cs="Arial"/>
          <w:sz w:val="26"/>
          <w:szCs w:val="26"/>
        </w:rPr>
      </w:pPr>
      <w:r>
        <w:rPr>
          <w:rFonts w:cs="Arial"/>
          <w:sz w:val="26"/>
          <w:szCs w:val="26"/>
        </w:rPr>
        <w:t>Debe tenerse en cuenta que</w:t>
      </w:r>
      <w:r w:rsidR="002B7AE9" w:rsidRPr="00C64FBD">
        <w:rPr>
          <w:rFonts w:cs="Arial"/>
          <w:sz w:val="26"/>
          <w:szCs w:val="26"/>
        </w:rPr>
        <w:t xml:space="preserve"> los agresores no solo simularon ante la víctima una condición de la que carecían</w:t>
      </w:r>
      <w:r w:rsidR="000C4C6D">
        <w:rPr>
          <w:rFonts w:cs="Arial"/>
          <w:sz w:val="26"/>
          <w:szCs w:val="26"/>
        </w:rPr>
        <w:t>,</w:t>
      </w:r>
      <w:r w:rsidR="002B7AE9" w:rsidRPr="00C64FBD">
        <w:rPr>
          <w:rFonts w:cs="Arial"/>
          <w:sz w:val="26"/>
          <w:szCs w:val="26"/>
        </w:rPr>
        <w:t xml:space="preserve"> sino que se apegaron a la relación de jerarquía y la cadena de mando entre ellos. </w:t>
      </w:r>
      <w:r w:rsidR="007F08FD" w:rsidRPr="00C64FBD">
        <w:rPr>
          <w:rFonts w:cs="Arial"/>
          <w:sz w:val="26"/>
          <w:szCs w:val="26"/>
        </w:rPr>
        <w:t>N</w:t>
      </w:r>
      <w:r w:rsidR="002B7AE9" w:rsidRPr="00C64FBD">
        <w:rPr>
          <w:rFonts w:cs="Arial"/>
          <w:sz w:val="26"/>
          <w:szCs w:val="26"/>
        </w:rPr>
        <w:t xml:space="preserve">o se equivocó el </w:t>
      </w:r>
      <w:r w:rsidR="00C2204C" w:rsidRPr="00C64FBD">
        <w:rPr>
          <w:rFonts w:cs="Arial"/>
          <w:sz w:val="26"/>
          <w:szCs w:val="26"/>
        </w:rPr>
        <w:t>juzgado penal</w:t>
      </w:r>
      <w:r w:rsidR="002B7AE9" w:rsidRPr="00C64FBD">
        <w:rPr>
          <w:rFonts w:cs="Arial"/>
          <w:sz w:val="26"/>
          <w:szCs w:val="26"/>
        </w:rPr>
        <w:t xml:space="preserve"> al advertir que la superioridad jerárquica de uno de los agentes le permitió forzar al otro a cometer el </w:t>
      </w:r>
      <w:r w:rsidR="00C2204C" w:rsidRPr="00C64FBD">
        <w:rPr>
          <w:rFonts w:cs="Arial"/>
          <w:sz w:val="26"/>
          <w:szCs w:val="26"/>
        </w:rPr>
        <w:t>execrable</w:t>
      </w:r>
      <w:r w:rsidR="002B7AE9" w:rsidRPr="00C64FBD">
        <w:rPr>
          <w:rFonts w:cs="Arial"/>
          <w:sz w:val="26"/>
          <w:szCs w:val="26"/>
        </w:rPr>
        <w:t xml:space="preserve"> acto</w:t>
      </w:r>
      <w:r w:rsidR="007F08FD" w:rsidRPr="00C64FBD">
        <w:rPr>
          <w:rFonts w:cs="Arial"/>
          <w:sz w:val="26"/>
          <w:szCs w:val="26"/>
        </w:rPr>
        <w:t xml:space="preserve"> </w:t>
      </w:r>
      <w:r w:rsidR="007F08FD" w:rsidRPr="00C64FBD">
        <w:rPr>
          <w:rFonts w:cs="Arial"/>
          <w:sz w:val="22"/>
          <w:szCs w:val="22"/>
        </w:rPr>
        <w:t>(f. 624, c. 1)</w:t>
      </w:r>
      <w:r w:rsidR="007F08FD" w:rsidRPr="00C64FBD">
        <w:rPr>
          <w:rFonts w:cs="Arial"/>
          <w:sz w:val="26"/>
          <w:szCs w:val="26"/>
        </w:rPr>
        <w:t>:</w:t>
      </w:r>
    </w:p>
    <w:p w:rsidR="008D361C" w:rsidRDefault="008D361C" w:rsidP="000B4A57">
      <w:pPr>
        <w:rPr>
          <w:rFonts w:cs="Arial"/>
          <w:sz w:val="26"/>
          <w:szCs w:val="26"/>
        </w:rPr>
      </w:pPr>
    </w:p>
    <w:p w:rsidR="002B7AE9" w:rsidRPr="00D409F4" w:rsidRDefault="002B7AE9" w:rsidP="002B7AE9">
      <w:pPr>
        <w:spacing w:line="240" w:lineRule="auto"/>
        <w:ind w:left="709" w:right="618"/>
        <w:rPr>
          <w:rFonts w:cs="Arial"/>
          <w:i/>
          <w:szCs w:val="24"/>
        </w:rPr>
      </w:pPr>
      <w:r>
        <w:rPr>
          <w:rFonts w:cs="Arial"/>
          <w:i/>
          <w:szCs w:val="24"/>
        </w:rPr>
        <w:t>C</w:t>
      </w:r>
      <w:r w:rsidRPr="00D409F4">
        <w:rPr>
          <w:rFonts w:cs="Arial"/>
          <w:i/>
          <w:szCs w:val="24"/>
        </w:rPr>
        <w:t>omo miembros del Ejército entre los dos siempre se conservó la jerarquía militar así: Ever Augusto Méndez Velosa, que es el de menor rango, el morenito, el más bajito, el que no tiene arma, es quien conduce la moto durante todo el trayecto victimario, y Manuel Carvajal Mendieta, que es el mono, el alto, el blanco, en fin el de piel clara, es quien va de pasajero o parrillero y es quien porta el arma, es este segundo sujeto quien de manera amenazante con arma en mano, amenaza, rapta o secuestra y obliga a Marisol a subir a la moto conducida por su compinche.</w:t>
      </w:r>
    </w:p>
    <w:p w:rsidR="002B7AE9" w:rsidRPr="00D409F4" w:rsidRDefault="002B7AE9" w:rsidP="002B7AE9">
      <w:pPr>
        <w:spacing w:line="240" w:lineRule="auto"/>
        <w:ind w:left="709" w:right="618"/>
        <w:rPr>
          <w:rFonts w:cs="Arial"/>
          <w:i/>
          <w:szCs w:val="24"/>
        </w:rPr>
      </w:pPr>
    </w:p>
    <w:p w:rsidR="002B7AE9" w:rsidRDefault="002B7AE9" w:rsidP="002B7AE9">
      <w:pPr>
        <w:spacing w:line="240" w:lineRule="auto"/>
        <w:ind w:left="709" w:right="618"/>
        <w:rPr>
          <w:rFonts w:cs="Arial"/>
          <w:i/>
          <w:szCs w:val="24"/>
        </w:rPr>
      </w:pPr>
      <w:r w:rsidRPr="00D409F4">
        <w:rPr>
          <w:rFonts w:cs="Arial"/>
          <w:i/>
          <w:szCs w:val="24"/>
        </w:rPr>
        <w:t>Haciendo uso de su mayor rango es quien más agrede a Marisol en el momento de la violación, es quien obliga a Ever Augusto Méndez también a cometer el acto abusivo, a pesar de la oposición que quiso ejercer sobre su superior pero que se vio imposibilitado ante las amenazas de muerte que su superior Manuel de Jesús le refería con el arma en la mano.</w:t>
      </w:r>
    </w:p>
    <w:p w:rsidR="002B7AE9" w:rsidRDefault="002B7AE9" w:rsidP="002B7AE9">
      <w:pPr>
        <w:rPr>
          <w:rFonts w:cs="Arial"/>
          <w:sz w:val="26"/>
          <w:szCs w:val="26"/>
        </w:rPr>
      </w:pPr>
    </w:p>
    <w:p w:rsidR="002B7AE9" w:rsidRPr="00CB18D3" w:rsidRDefault="00347796" w:rsidP="007F08FD">
      <w:pPr>
        <w:pStyle w:val="Listavistosa-nfasis11"/>
        <w:numPr>
          <w:ilvl w:val="1"/>
          <w:numId w:val="28"/>
        </w:numPr>
        <w:ind w:left="0" w:firstLine="0"/>
        <w:rPr>
          <w:rFonts w:cs="Arial"/>
          <w:sz w:val="26"/>
          <w:szCs w:val="26"/>
        </w:rPr>
      </w:pPr>
      <w:r>
        <w:rPr>
          <w:rFonts w:cs="Arial"/>
          <w:sz w:val="26"/>
          <w:szCs w:val="26"/>
        </w:rPr>
        <w:t xml:space="preserve">En efecto, el suboficial Carvajal Mendieta hizo uso de la autoridad militar sobre el cabo Méndez Velosa para impelerlo a agredir a la joven Mónica Marisol Rodríguez, si bien esta coacción, desde luego, no exime de responsabilidad a este último. Esta circunstancia puede comprobarse también en la declaración del señor </w:t>
      </w:r>
      <w:r w:rsidRPr="00784C72">
        <w:rPr>
          <w:sz w:val="26"/>
          <w:szCs w:val="26"/>
        </w:rPr>
        <w:t>José Saúl Ríos Molina, esposo de Virginia Bustamante,</w:t>
      </w:r>
      <w:r>
        <w:rPr>
          <w:sz w:val="26"/>
          <w:szCs w:val="26"/>
        </w:rPr>
        <w:t xml:space="preserve"> quien relató que, de acuerdo con el cabo Méndez Velosa, este había sido amenazado de muerte por </w:t>
      </w:r>
      <w:r w:rsidR="00C2204C">
        <w:rPr>
          <w:sz w:val="26"/>
          <w:szCs w:val="26"/>
        </w:rPr>
        <w:t xml:space="preserve">su superior para que cometiera el crimen </w:t>
      </w:r>
      <w:r w:rsidR="00C2204C" w:rsidRPr="00C2204C">
        <w:rPr>
          <w:sz w:val="22"/>
          <w:szCs w:val="22"/>
        </w:rPr>
        <w:t>(f. 54, c. 1)</w:t>
      </w:r>
      <w:r w:rsidR="00C2204C">
        <w:rPr>
          <w:sz w:val="26"/>
          <w:szCs w:val="26"/>
        </w:rPr>
        <w:t xml:space="preserve">. Y fue esta situación, además del </w:t>
      </w:r>
      <w:r w:rsidR="00610479">
        <w:rPr>
          <w:sz w:val="26"/>
          <w:szCs w:val="26"/>
        </w:rPr>
        <w:t>esfuerzo</w:t>
      </w:r>
      <w:r w:rsidR="00C2204C">
        <w:rPr>
          <w:sz w:val="26"/>
          <w:szCs w:val="26"/>
        </w:rPr>
        <w:t xml:space="preserve"> del militar de inferior rango para que su superior no le quitara la vida a la joven, la que llevó al Juzgado Único Promiscuo del Circuito de Saravena a </w:t>
      </w:r>
      <w:r w:rsidR="00CB18D3">
        <w:rPr>
          <w:sz w:val="26"/>
          <w:szCs w:val="26"/>
        </w:rPr>
        <w:t>disminuir</w:t>
      </w:r>
      <w:r w:rsidR="00610479">
        <w:rPr>
          <w:sz w:val="26"/>
          <w:szCs w:val="26"/>
        </w:rPr>
        <w:t>le</w:t>
      </w:r>
      <w:r w:rsidR="00CB18D3">
        <w:rPr>
          <w:sz w:val="26"/>
          <w:szCs w:val="26"/>
        </w:rPr>
        <w:t xml:space="preserve"> la pena</w:t>
      </w:r>
      <w:r w:rsidR="00C2204C">
        <w:rPr>
          <w:sz w:val="26"/>
          <w:szCs w:val="26"/>
        </w:rPr>
        <w:t xml:space="preserve"> </w:t>
      </w:r>
      <w:r w:rsidR="00CB18D3">
        <w:rPr>
          <w:sz w:val="26"/>
          <w:szCs w:val="26"/>
        </w:rPr>
        <w:t>a doce años de prisión</w:t>
      </w:r>
      <w:r w:rsidR="00C2204C">
        <w:rPr>
          <w:sz w:val="26"/>
          <w:szCs w:val="26"/>
        </w:rPr>
        <w:t xml:space="preserve"> </w:t>
      </w:r>
      <w:r w:rsidR="00C2204C" w:rsidRPr="00C2204C">
        <w:rPr>
          <w:sz w:val="22"/>
          <w:szCs w:val="22"/>
        </w:rPr>
        <w:t xml:space="preserve">(f. </w:t>
      </w:r>
      <w:r w:rsidR="00C2204C">
        <w:rPr>
          <w:sz w:val="22"/>
          <w:szCs w:val="22"/>
        </w:rPr>
        <w:t>627</w:t>
      </w:r>
      <w:r w:rsidR="00C2204C" w:rsidRPr="00C2204C">
        <w:rPr>
          <w:sz w:val="22"/>
          <w:szCs w:val="22"/>
        </w:rPr>
        <w:t>, c. 1)</w:t>
      </w:r>
      <w:r w:rsidR="00C2204C">
        <w:rPr>
          <w:sz w:val="26"/>
          <w:szCs w:val="26"/>
        </w:rPr>
        <w:t>.</w:t>
      </w:r>
    </w:p>
    <w:p w:rsidR="00CB18D3" w:rsidRPr="00CB18D3" w:rsidRDefault="00CB18D3" w:rsidP="00CB18D3">
      <w:pPr>
        <w:pStyle w:val="Listavistosa-nfasis11"/>
        <w:ind w:left="0"/>
        <w:rPr>
          <w:rFonts w:cs="Arial"/>
          <w:sz w:val="26"/>
          <w:szCs w:val="26"/>
        </w:rPr>
      </w:pPr>
    </w:p>
    <w:p w:rsidR="00CB18D3" w:rsidRPr="000861AE" w:rsidRDefault="000832F2" w:rsidP="000832F2">
      <w:pPr>
        <w:pStyle w:val="Listavistosa-nfasis11"/>
        <w:numPr>
          <w:ilvl w:val="1"/>
          <w:numId w:val="28"/>
        </w:numPr>
        <w:ind w:left="0" w:firstLine="0"/>
        <w:rPr>
          <w:rFonts w:cs="Arial"/>
          <w:sz w:val="26"/>
          <w:szCs w:val="26"/>
        </w:rPr>
      </w:pPr>
      <w:r>
        <w:rPr>
          <w:rFonts w:cs="Arial"/>
          <w:sz w:val="26"/>
          <w:szCs w:val="26"/>
        </w:rPr>
        <w:t xml:space="preserve">Se reitera que, según la jurisprudencia de esta Corporación, para determinar la relación del hecho dañino con el servicio público se debe examinar, entre otras circunstancias, si el funcionario </w:t>
      </w:r>
      <w:r w:rsidRPr="000832F2">
        <w:rPr>
          <w:rFonts w:cs="Arial"/>
          <w:bCs/>
          <w:sz w:val="26"/>
          <w:lang w:val="es-CO"/>
        </w:rPr>
        <w:t>actuó prevalido de la función pública</w:t>
      </w:r>
      <w:r>
        <w:rPr>
          <w:rFonts w:cs="Arial"/>
          <w:bCs/>
          <w:sz w:val="26"/>
          <w:lang w:val="es-CO"/>
        </w:rPr>
        <w:t xml:space="preserve"> o </w:t>
      </w:r>
      <w:r w:rsidRPr="000832F2">
        <w:rPr>
          <w:rFonts w:cs="Arial"/>
          <w:bCs/>
          <w:sz w:val="26"/>
          <w:lang w:val="es-CO"/>
        </w:rPr>
        <w:t>si el particular percibió o advirtió la encarnación de una función pública en el agente generador del daño</w:t>
      </w:r>
      <w:r w:rsidRPr="004D32C8">
        <w:rPr>
          <w:rFonts w:cs="Arial"/>
          <w:bCs/>
          <w:sz w:val="26"/>
          <w:vertAlign w:val="superscript"/>
          <w:lang w:val="es-CO"/>
        </w:rPr>
        <w:footnoteReference w:id="48"/>
      </w:r>
      <w:r w:rsidRPr="000832F2">
        <w:rPr>
          <w:rFonts w:cs="Arial"/>
          <w:bCs/>
          <w:sz w:val="26"/>
          <w:lang w:val="es-CO"/>
        </w:rPr>
        <w:t>.</w:t>
      </w:r>
    </w:p>
    <w:p w:rsidR="000861AE" w:rsidRPr="000861AE" w:rsidRDefault="000861AE" w:rsidP="00610479">
      <w:pPr>
        <w:pStyle w:val="Listavistosa-nfasis11"/>
        <w:ind w:left="0"/>
        <w:rPr>
          <w:rFonts w:cs="Arial"/>
          <w:sz w:val="26"/>
          <w:szCs w:val="26"/>
        </w:rPr>
      </w:pPr>
    </w:p>
    <w:p w:rsidR="000861AE" w:rsidRDefault="000861AE" w:rsidP="007A4C27">
      <w:pPr>
        <w:pStyle w:val="Listavistosa-nfasis11"/>
        <w:numPr>
          <w:ilvl w:val="1"/>
          <w:numId w:val="28"/>
        </w:numPr>
        <w:ind w:left="0" w:firstLine="0"/>
        <w:rPr>
          <w:rFonts w:cs="Arial"/>
          <w:sz w:val="26"/>
          <w:szCs w:val="26"/>
        </w:rPr>
      </w:pPr>
      <w:r>
        <w:rPr>
          <w:rFonts w:cs="Arial"/>
          <w:sz w:val="26"/>
          <w:szCs w:val="26"/>
        </w:rPr>
        <w:t xml:space="preserve">En este caso, aunque se observa que los victimarios vestían de civil y que la motocicleta policial, al parecer, carecía de emblemas o de símbolos que revelaran su carácter oficial, lo cierto es que </w:t>
      </w:r>
      <w:r w:rsidR="00362D77">
        <w:rPr>
          <w:rFonts w:cs="Arial"/>
          <w:sz w:val="26"/>
          <w:szCs w:val="26"/>
        </w:rPr>
        <w:t>la afectada percibió la condición de autoridad de los agresores, al punto que llegó a interrogarles si eran miembros del Ejército</w:t>
      </w:r>
      <w:r w:rsidR="007A4C27">
        <w:rPr>
          <w:rFonts w:cs="Arial"/>
          <w:sz w:val="26"/>
          <w:szCs w:val="26"/>
        </w:rPr>
        <w:t xml:space="preserve"> Nacional</w:t>
      </w:r>
      <w:r w:rsidR="00362D77">
        <w:rPr>
          <w:rFonts w:cs="Arial"/>
          <w:sz w:val="26"/>
          <w:szCs w:val="26"/>
        </w:rPr>
        <w:t>.</w:t>
      </w:r>
      <w:r w:rsidR="007A4C27">
        <w:rPr>
          <w:rFonts w:cs="Arial"/>
          <w:sz w:val="26"/>
          <w:szCs w:val="26"/>
        </w:rPr>
        <w:t xml:space="preserve"> Y los militares, por su parte, crearon una </w:t>
      </w:r>
      <w:r w:rsidRPr="007A4C27">
        <w:rPr>
          <w:rFonts w:cs="Arial"/>
          <w:sz w:val="26"/>
          <w:szCs w:val="26"/>
        </w:rPr>
        <w:t>atmósfera</w:t>
      </w:r>
      <w:r w:rsidR="007A4C27">
        <w:rPr>
          <w:rFonts w:cs="Arial"/>
          <w:sz w:val="26"/>
          <w:szCs w:val="26"/>
        </w:rPr>
        <w:t xml:space="preserve"> de autoridad que facilitó la ejecución del delito, como se observa en la declaración de la joven víctima: “</w:t>
      </w:r>
      <w:r w:rsidR="007A4C27" w:rsidRPr="007A4C27">
        <w:rPr>
          <w:rFonts w:cs="Arial"/>
          <w:i/>
          <w:sz w:val="26"/>
          <w:szCs w:val="26"/>
        </w:rPr>
        <w:t>el moreno al momento de violarme dijo que el mono era superior, el que mandaba, y que él si era capaz de matarme</w:t>
      </w:r>
      <w:r w:rsidR="007A4C27">
        <w:rPr>
          <w:rFonts w:cs="Arial"/>
          <w:sz w:val="26"/>
          <w:szCs w:val="26"/>
        </w:rPr>
        <w:t>”</w:t>
      </w:r>
      <w:r w:rsidR="007A4C27" w:rsidRPr="007A4C27">
        <w:rPr>
          <w:rFonts w:cs="Arial"/>
          <w:sz w:val="22"/>
          <w:szCs w:val="22"/>
        </w:rPr>
        <w:t xml:space="preserve"> </w:t>
      </w:r>
      <w:r w:rsidR="007A4C27" w:rsidRPr="008D361C">
        <w:rPr>
          <w:rFonts w:cs="Arial"/>
          <w:sz w:val="22"/>
          <w:szCs w:val="22"/>
        </w:rPr>
        <w:t>(f. 46, c. 1)</w:t>
      </w:r>
      <w:r w:rsidR="007A4C27">
        <w:rPr>
          <w:rFonts w:cs="Arial"/>
          <w:sz w:val="26"/>
          <w:szCs w:val="26"/>
        </w:rPr>
        <w:t>.</w:t>
      </w:r>
    </w:p>
    <w:p w:rsidR="007A4C27" w:rsidRPr="006E5FAD" w:rsidRDefault="007A4C27" w:rsidP="006E5FAD">
      <w:pPr>
        <w:rPr>
          <w:rFonts w:cs="Arial"/>
          <w:sz w:val="26"/>
          <w:szCs w:val="26"/>
        </w:rPr>
      </w:pPr>
    </w:p>
    <w:p w:rsidR="007A4C27" w:rsidRDefault="00BE097F" w:rsidP="00BE097F">
      <w:pPr>
        <w:pStyle w:val="Listavistosa-nfasis11"/>
        <w:numPr>
          <w:ilvl w:val="0"/>
          <w:numId w:val="28"/>
        </w:numPr>
        <w:ind w:left="0" w:firstLine="0"/>
        <w:rPr>
          <w:rFonts w:cs="Arial"/>
          <w:sz w:val="26"/>
          <w:szCs w:val="26"/>
        </w:rPr>
      </w:pPr>
      <w:r>
        <w:rPr>
          <w:rFonts w:cs="Arial"/>
          <w:sz w:val="26"/>
          <w:szCs w:val="26"/>
        </w:rPr>
        <w:t xml:space="preserve">Debe tenerse en cuenta, además, que la violencia sexual de que fue víctima la joven Mónica </w:t>
      </w:r>
      <w:r w:rsidR="009639D8">
        <w:rPr>
          <w:rFonts w:cs="Arial"/>
          <w:sz w:val="26"/>
          <w:szCs w:val="26"/>
        </w:rPr>
        <w:t xml:space="preserve">Marisol </w:t>
      </w:r>
      <w:r>
        <w:rPr>
          <w:rFonts w:cs="Arial"/>
          <w:sz w:val="26"/>
          <w:szCs w:val="26"/>
        </w:rPr>
        <w:t xml:space="preserve">Rodríguez </w:t>
      </w:r>
      <w:r w:rsidR="009639D8">
        <w:rPr>
          <w:rFonts w:cs="Arial"/>
          <w:sz w:val="26"/>
          <w:szCs w:val="26"/>
        </w:rPr>
        <w:t>fue ejercida</w:t>
      </w:r>
      <w:r>
        <w:rPr>
          <w:rFonts w:cs="Arial"/>
          <w:sz w:val="26"/>
          <w:szCs w:val="26"/>
        </w:rPr>
        <w:t xml:space="preserve"> </w:t>
      </w:r>
      <w:r w:rsidRPr="00BE097F">
        <w:rPr>
          <w:rFonts w:cs="Arial"/>
          <w:i/>
          <w:sz w:val="26"/>
          <w:szCs w:val="26"/>
        </w:rPr>
        <w:t>durante</w:t>
      </w:r>
      <w:r>
        <w:rPr>
          <w:rFonts w:cs="Arial"/>
          <w:sz w:val="26"/>
          <w:szCs w:val="26"/>
        </w:rPr>
        <w:t xml:space="preserve"> el conflicto armado interno y </w:t>
      </w:r>
      <w:r w:rsidRPr="00BE097F">
        <w:rPr>
          <w:rFonts w:cs="Arial"/>
          <w:i/>
          <w:sz w:val="26"/>
          <w:szCs w:val="26"/>
        </w:rPr>
        <w:t>con ocasión</w:t>
      </w:r>
      <w:r>
        <w:rPr>
          <w:rFonts w:cs="Arial"/>
          <w:sz w:val="26"/>
          <w:szCs w:val="26"/>
        </w:rPr>
        <w:t xml:space="preserve"> del mismo.</w:t>
      </w:r>
    </w:p>
    <w:p w:rsidR="00BE097F" w:rsidRDefault="00BE097F" w:rsidP="00BE097F">
      <w:pPr>
        <w:pStyle w:val="Listavistosa-nfasis11"/>
        <w:ind w:left="0"/>
        <w:rPr>
          <w:rFonts w:cs="Arial"/>
          <w:sz w:val="26"/>
          <w:szCs w:val="26"/>
        </w:rPr>
      </w:pPr>
    </w:p>
    <w:p w:rsidR="00BE097F" w:rsidRPr="00F106B6" w:rsidRDefault="009639D8" w:rsidP="00F106B6">
      <w:pPr>
        <w:pStyle w:val="Listavistosa-nfasis11"/>
        <w:numPr>
          <w:ilvl w:val="1"/>
          <w:numId w:val="28"/>
        </w:numPr>
        <w:ind w:left="0" w:firstLine="0"/>
        <w:rPr>
          <w:rFonts w:cs="Arial"/>
          <w:sz w:val="26"/>
          <w:szCs w:val="26"/>
        </w:rPr>
      </w:pPr>
      <w:r>
        <w:rPr>
          <w:rFonts w:cs="Arial"/>
          <w:sz w:val="26"/>
          <w:szCs w:val="26"/>
        </w:rPr>
        <w:t>Al respecto, la jurisprudencia internacional ha proporcionado unos criterios para establecer la relación de determinado hecho ilícito con el desarrollo del conflicto armado</w:t>
      </w:r>
      <w:r w:rsidR="00633573">
        <w:rPr>
          <w:rStyle w:val="Refdenotaalpie"/>
          <w:sz w:val="26"/>
          <w:szCs w:val="26"/>
        </w:rPr>
        <w:footnoteReference w:id="49"/>
      </w:r>
      <w:r>
        <w:rPr>
          <w:rFonts w:cs="Arial"/>
          <w:sz w:val="26"/>
          <w:szCs w:val="26"/>
        </w:rPr>
        <w:t xml:space="preserve">. Por ejemplo, </w:t>
      </w:r>
      <w:r w:rsidRPr="009639D8">
        <w:rPr>
          <w:rFonts w:cs="Arial"/>
          <w:sz w:val="26"/>
          <w:szCs w:val="26"/>
          <w:lang w:val="es-ES"/>
        </w:rPr>
        <w:t xml:space="preserve">ha </w:t>
      </w:r>
      <w:r w:rsidR="00F106B6">
        <w:rPr>
          <w:rFonts w:cs="Arial"/>
          <w:sz w:val="26"/>
          <w:szCs w:val="26"/>
          <w:lang w:val="es-ES"/>
        </w:rPr>
        <w:t>considerado</w:t>
      </w:r>
      <w:r w:rsidRPr="009639D8">
        <w:rPr>
          <w:rFonts w:cs="Arial"/>
          <w:sz w:val="26"/>
          <w:szCs w:val="26"/>
          <w:lang w:val="es-ES"/>
        </w:rPr>
        <w:t xml:space="preserve"> que tal relación </w:t>
      </w:r>
      <w:r w:rsidR="000352C4">
        <w:rPr>
          <w:rFonts w:cs="Arial"/>
          <w:sz w:val="26"/>
          <w:szCs w:val="26"/>
          <w:lang w:val="es-ES"/>
        </w:rPr>
        <w:t>se presenta</w:t>
      </w:r>
      <w:r w:rsidRPr="009639D8">
        <w:rPr>
          <w:rFonts w:cs="Arial"/>
          <w:sz w:val="26"/>
          <w:szCs w:val="26"/>
          <w:lang w:val="es-ES"/>
        </w:rPr>
        <w:t xml:space="preserve"> </w:t>
      </w:r>
      <w:r>
        <w:rPr>
          <w:rFonts w:cs="Arial"/>
          <w:iCs/>
          <w:sz w:val="26"/>
          <w:szCs w:val="26"/>
          <w:lang w:val="es-ES"/>
        </w:rPr>
        <w:t>“</w:t>
      </w:r>
      <w:r w:rsidRPr="009639D8">
        <w:rPr>
          <w:rFonts w:cs="Arial"/>
          <w:i/>
          <w:iCs/>
          <w:sz w:val="26"/>
          <w:szCs w:val="26"/>
          <w:lang w:val="es-ES"/>
        </w:rPr>
        <w:t>en la medida en que el crimen sea moldeado por o dependiente del ambiente en el que se ha cometido –v.g. el conflicto armado–</w:t>
      </w:r>
      <w:r w:rsidRPr="009639D8">
        <w:rPr>
          <w:rFonts w:cs="Arial"/>
          <w:iCs/>
          <w:sz w:val="26"/>
          <w:szCs w:val="26"/>
          <w:lang w:val="es-ES"/>
        </w:rPr>
        <w:t>”</w:t>
      </w:r>
      <w:r>
        <w:rPr>
          <w:rStyle w:val="Refdenotaalpie"/>
          <w:iCs/>
          <w:sz w:val="26"/>
          <w:szCs w:val="26"/>
          <w:lang w:val="es-ES"/>
        </w:rPr>
        <w:footnoteReference w:id="50"/>
      </w:r>
      <w:r w:rsidR="00F106B6">
        <w:rPr>
          <w:rFonts w:cs="Arial"/>
          <w:iCs/>
          <w:sz w:val="26"/>
          <w:szCs w:val="26"/>
          <w:lang w:val="es-ES"/>
        </w:rPr>
        <w:t>; que</w:t>
      </w:r>
      <w:r w:rsidR="00F106B6">
        <w:rPr>
          <w:rFonts w:cs="Arial"/>
          <w:sz w:val="26"/>
          <w:szCs w:val="26"/>
        </w:rPr>
        <w:t xml:space="preserve"> </w:t>
      </w:r>
      <w:r w:rsidRPr="00F106B6">
        <w:rPr>
          <w:rFonts w:cs="Arial"/>
          <w:sz w:val="26"/>
          <w:szCs w:val="26"/>
          <w:lang w:val="es-ES"/>
        </w:rPr>
        <w:t xml:space="preserve">es suficiente establecer que </w:t>
      </w:r>
      <w:r w:rsidR="00134B00" w:rsidRPr="00F106B6">
        <w:rPr>
          <w:rFonts w:cs="Arial"/>
          <w:iCs/>
          <w:sz w:val="26"/>
          <w:szCs w:val="26"/>
          <w:lang w:val="es-ES"/>
        </w:rPr>
        <w:t>“</w:t>
      </w:r>
      <w:r w:rsidRPr="00F106B6">
        <w:rPr>
          <w:rFonts w:cs="Arial"/>
          <w:i/>
          <w:iCs/>
          <w:sz w:val="26"/>
          <w:szCs w:val="26"/>
          <w:lang w:val="es-ES"/>
        </w:rPr>
        <w:t>el perpetrador actuó en desarrollo o bajo la apariencia del conflicto armado</w:t>
      </w:r>
      <w:r w:rsidR="00134B00" w:rsidRPr="00F106B6">
        <w:rPr>
          <w:rFonts w:cs="Arial"/>
          <w:iCs/>
          <w:sz w:val="26"/>
          <w:szCs w:val="26"/>
          <w:lang w:val="es-ES"/>
        </w:rPr>
        <w:t>”</w:t>
      </w:r>
      <w:r w:rsidR="00134B00">
        <w:rPr>
          <w:rStyle w:val="Refdenotaalpie"/>
          <w:iCs/>
          <w:sz w:val="26"/>
          <w:szCs w:val="26"/>
          <w:lang w:val="es-ES"/>
        </w:rPr>
        <w:footnoteReference w:id="51"/>
      </w:r>
      <w:r w:rsidR="000352C4">
        <w:rPr>
          <w:rFonts w:cs="Arial"/>
          <w:iCs/>
          <w:sz w:val="26"/>
          <w:szCs w:val="26"/>
          <w:lang w:val="es-ES"/>
        </w:rPr>
        <w:t>,</w:t>
      </w:r>
      <w:r w:rsidRPr="00F106B6">
        <w:rPr>
          <w:rFonts w:cs="Arial"/>
          <w:sz w:val="26"/>
          <w:szCs w:val="26"/>
          <w:lang w:val="es-ES"/>
        </w:rPr>
        <w:t xml:space="preserve"> y que </w:t>
      </w:r>
      <w:r w:rsidR="00134B00" w:rsidRPr="00F106B6">
        <w:rPr>
          <w:rFonts w:cs="Arial"/>
          <w:i/>
          <w:iCs/>
          <w:sz w:val="26"/>
          <w:szCs w:val="26"/>
          <w:lang w:val="es-ES"/>
        </w:rPr>
        <w:t>“</w:t>
      </w:r>
      <w:r w:rsidRPr="00F106B6">
        <w:rPr>
          <w:rFonts w:cs="Arial"/>
          <w:i/>
          <w:iCs/>
          <w:sz w:val="26"/>
          <w:szCs w:val="26"/>
          <w:lang w:val="es-ES"/>
        </w:rPr>
        <w:t>el conflicto no debe necesariamente haber sido la causa de la comisión del crimen, sino que la existencia del conflicto debe haber jugado, como mínimo, una parte sustancial en la capacidad del perpetrador para cometerlo, en su decisión de cometerlo, en la manera en que fue cometido o en el objetivo para el que se cometió</w:t>
      </w:r>
      <w:r w:rsidR="00134B00" w:rsidRPr="00F106B6">
        <w:rPr>
          <w:rFonts w:cs="Arial"/>
          <w:iCs/>
          <w:sz w:val="26"/>
          <w:szCs w:val="26"/>
          <w:lang w:val="es-ES"/>
        </w:rPr>
        <w:t>”</w:t>
      </w:r>
      <w:r w:rsidR="00134B00" w:rsidRPr="00134B00">
        <w:rPr>
          <w:rStyle w:val="Refdenotaalpie"/>
          <w:iCs/>
          <w:sz w:val="26"/>
          <w:szCs w:val="26"/>
          <w:lang w:val="es-ES"/>
        </w:rPr>
        <w:footnoteReference w:id="52"/>
      </w:r>
      <w:r w:rsidRPr="00F106B6">
        <w:rPr>
          <w:rFonts w:cs="Arial"/>
          <w:sz w:val="26"/>
          <w:szCs w:val="26"/>
          <w:lang w:val="es-ES"/>
        </w:rPr>
        <w:t>.</w:t>
      </w:r>
    </w:p>
    <w:p w:rsidR="00E20F22" w:rsidRPr="00E20F22" w:rsidRDefault="00E20F22" w:rsidP="00E20F22">
      <w:pPr>
        <w:pStyle w:val="Listavistosa-nfasis11"/>
        <w:ind w:left="0"/>
        <w:rPr>
          <w:rFonts w:cs="Arial"/>
          <w:sz w:val="26"/>
          <w:szCs w:val="26"/>
        </w:rPr>
      </w:pPr>
    </w:p>
    <w:p w:rsidR="00C85326" w:rsidRDefault="000352C4" w:rsidP="00270095">
      <w:pPr>
        <w:pStyle w:val="Listavistosa-nfasis11"/>
        <w:numPr>
          <w:ilvl w:val="1"/>
          <w:numId w:val="28"/>
        </w:numPr>
        <w:ind w:left="0" w:firstLine="0"/>
        <w:rPr>
          <w:rFonts w:cs="Arial"/>
          <w:sz w:val="26"/>
          <w:szCs w:val="26"/>
        </w:rPr>
      </w:pPr>
      <w:r>
        <w:rPr>
          <w:rFonts w:cs="Arial"/>
          <w:sz w:val="26"/>
          <w:szCs w:val="26"/>
        </w:rPr>
        <w:t xml:space="preserve">En este caso se observa, en primer lugar, que la presencia del Ejército Nacional y, en particular, del grupo de contraguerrilla del que hacían parte los citados suboficiales en el municipio de Tame, obedece precisamente a la existencia de un conflicto armado en la región, que requiere de la Fuerza Pública para el mantenimiento de las condiciones para el ejercicio de los derechos y la defensa de la integridad territorial. </w:t>
      </w:r>
      <w:r w:rsidR="00270095">
        <w:rPr>
          <w:rFonts w:cs="Arial"/>
          <w:sz w:val="26"/>
          <w:szCs w:val="26"/>
        </w:rPr>
        <w:t>Y</w:t>
      </w:r>
      <w:r w:rsidR="004B421B">
        <w:rPr>
          <w:rFonts w:cs="Arial"/>
          <w:sz w:val="26"/>
          <w:szCs w:val="26"/>
        </w:rPr>
        <w:t>,</w:t>
      </w:r>
      <w:r w:rsidR="00270095">
        <w:rPr>
          <w:rFonts w:cs="Arial"/>
          <w:sz w:val="26"/>
          <w:szCs w:val="26"/>
        </w:rPr>
        <w:t xml:space="preserve"> en</w:t>
      </w:r>
      <w:r>
        <w:rPr>
          <w:rFonts w:cs="Arial"/>
          <w:sz w:val="26"/>
          <w:szCs w:val="26"/>
        </w:rPr>
        <w:t xml:space="preserve"> segundo lugar, se </w:t>
      </w:r>
      <w:r w:rsidR="00270095">
        <w:rPr>
          <w:rFonts w:cs="Arial"/>
          <w:sz w:val="26"/>
          <w:szCs w:val="26"/>
        </w:rPr>
        <w:t>evidencia</w:t>
      </w:r>
      <w:r>
        <w:rPr>
          <w:rFonts w:cs="Arial"/>
          <w:sz w:val="26"/>
          <w:szCs w:val="26"/>
        </w:rPr>
        <w:t xml:space="preserve"> que </w:t>
      </w:r>
      <w:r w:rsidR="00270095">
        <w:rPr>
          <w:rFonts w:cs="Arial"/>
          <w:sz w:val="26"/>
          <w:szCs w:val="26"/>
        </w:rPr>
        <w:t xml:space="preserve">los agresores actuaron bajo la apariencia del conflicto armado, pues fingieron el carácter del enemigo, </w:t>
      </w:r>
      <w:r w:rsidR="00270095" w:rsidRPr="00270095">
        <w:rPr>
          <w:rFonts w:cs="Arial"/>
          <w:sz w:val="26"/>
          <w:szCs w:val="26"/>
        </w:rPr>
        <w:t xml:space="preserve">y, más concretamente, que la existencia del conflicto influyó </w:t>
      </w:r>
      <w:r w:rsidR="00270095">
        <w:rPr>
          <w:rFonts w:cs="Arial"/>
          <w:sz w:val="26"/>
          <w:szCs w:val="26"/>
        </w:rPr>
        <w:t>de manera sustancial</w:t>
      </w:r>
      <w:r w:rsidR="00270095" w:rsidRPr="00270095">
        <w:rPr>
          <w:rFonts w:cs="Arial"/>
          <w:sz w:val="26"/>
          <w:szCs w:val="26"/>
        </w:rPr>
        <w:t xml:space="preserve"> en la manera como fue cometido el delito, </w:t>
      </w:r>
      <w:r w:rsidR="00270095">
        <w:rPr>
          <w:rFonts w:cs="Arial"/>
          <w:sz w:val="26"/>
          <w:szCs w:val="26"/>
        </w:rPr>
        <w:t>dado que sin la situación de conflicto los victimarios no h</w:t>
      </w:r>
      <w:r w:rsidR="004B421B">
        <w:rPr>
          <w:rFonts w:cs="Arial"/>
          <w:sz w:val="26"/>
          <w:szCs w:val="26"/>
        </w:rPr>
        <w:t>abrían tenido un contendiente a</w:t>
      </w:r>
      <w:r w:rsidR="00270095">
        <w:rPr>
          <w:rFonts w:cs="Arial"/>
          <w:sz w:val="26"/>
          <w:szCs w:val="26"/>
        </w:rPr>
        <w:t xml:space="preserve"> </w:t>
      </w:r>
      <w:r w:rsidR="004B421B">
        <w:rPr>
          <w:rFonts w:cs="Arial"/>
          <w:sz w:val="26"/>
          <w:szCs w:val="26"/>
        </w:rPr>
        <w:t>quien culpar de</w:t>
      </w:r>
      <w:r w:rsidR="00270095">
        <w:rPr>
          <w:rFonts w:cs="Arial"/>
          <w:sz w:val="26"/>
          <w:szCs w:val="26"/>
        </w:rPr>
        <w:t xml:space="preserve"> su acción criminal.</w:t>
      </w:r>
      <w:r w:rsidR="00C85326">
        <w:rPr>
          <w:rFonts w:cs="Arial"/>
          <w:sz w:val="26"/>
          <w:szCs w:val="26"/>
        </w:rPr>
        <w:t xml:space="preserve"> </w:t>
      </w:r>
    </w:p>
    <w:p w:rsidR="00C85326" w:rsidRPr="00C85326" w:rsidRDefault="00C85326" w:rsidP="00C85326">
      <w:pPr>
        <w:rPr>
          <w:rFonts w:cs="Arial"/>
          <w:sz w:val="26"/>
          <w:szCs w:val="26"/>
        </w:rPr>
      </w:pPr>
    </w:p>
    <w:p w:rsidR="00E20F22" w:rsidRPr="00C85326" w:rsidRDefault="00C85326" w:rsidP="00C85326">
      <w:pPr>
        <w:pStyle w:val="Listavistosa-nfasis11"/>
        <w:numPr>
          <w:ilvl w:val="1"/>
          <w:numId w:val="28"/>
        </w:numPr>
        <w:ind w:left="0" w:firstLine="0"/>
        <w:rPr>
          <w:rFonts w:cs="Arial"/>
          <w:sz w:val="26"/>
          <w:szCs w:val="26"/>
        </w:rPr>
      </w:pPr>
      <w:r>
        <w:rPr>
          <w:rFonts w:cs="Arial"/>
          <w:sz w:val="26"/>
          <w:szCs w:val="26"/>
        </w:rPr>
        <w:t>En conclusión, el crimen cometido en contra de Mónica Marisol Rodríguez Bustamante tenía un propósito múltiple: no solo pretendía la satisfacción de la lascivia de los agresores, sino que además buscaba el desprestigio del enemigo mediante la imputación falsa de una conducta criminal</w:t>
      </w:r>
      <w:r w:rsidR="000227EC">
        <w:rPr>
          <w:rFonts w:cs="Arial"/>
          <w:sz w:val="26"/>
          <w:szCs w:val="26"/>
        </w:rPr>
        <w:t xml:space="preserve"> específica</w:t>
      </w:r>
      <w:r>
        <w:rPr>
          <w:rFonts w:cs="Arial"/>
          <w:sz w:val="26"/>
          <w:szCs w:val="26"/>
        </w:rPr>
        <w:t xml:space="preserve">, para lograr sobre él una ventaja militar. Este tipo de acciones son típicas de la guerra y, en la medida en que implican la utilización de la población civil para fines estrictamente relacionados con el conflicto, </w:t>
      </w:r>
      <w:r w:rsidRPr="00C85326">
        <w:rPr>
          <w:rFonts w:cs="Arial"/>
          <w:sz w:val="26"/>
          <w:szCs w:val="26"/>
        </w:rPr>
        <w:t>comprometen la responsabilidad del Estado.</w:t>
      </w:r>
    </w:p>
    <w:p w:rsidR="00270095" w:rsidRPr="006E5FAD" w:rsidRDefault="00270095" w:rsidP="006E5FAD">
      <w:pPr>
        <w:rPr>
          <w:rFonts w:cs="Arial"/>
          <w:sz w:val="26"/>
          <w:szCs w:val="26"/>
        </w:rPr>
      </w:pPr>
    </w:p>
    <w:p w:rsidR="00270095" w:rsidRPr="00270095" w:rsidRDefault="0081136E" w:rsidP="0081136E">
      <w:pPr>
        <w:pStyle w:val="Listavistosa-nfasis11"/>
        <w:numPr>
          <w:ilvl w:val="0"/>
          <w:numId w:val="28"/>
        </w:numPr>
        <w:ind w:left="0" w:firstLine="0"/>
        <w:rPr>
          <w:rFonts w:cs="Arial"/>
          <w:sz w:val="26"/>
          <w:szCs w:val="26"/>
        </w:rPr>
      </w:pPr>
      <w:r>
        <w:rPr>
          <w:rFonts w:cs="Arial"/>
          <w:sz w:val="26"/>
          <w:szCs w:val="26"/>
        </w:rPr>
        <w:t xml:space="preserve">Ahora bien, </w:t>
      </w:r>
      <w:r w:rsidR="00A003B6">
        <w:rPr>
          <w:rFonts w:cs="Arial"/>
          <w:sz w:val="26"/>
          <w:szCs w:val="26"/>
        </w:rPr>
        <w:t xml:space="preserve">al analizar el cuarto argumento del recurso de alzada, la Sala comprueba que </w:t>
      </w:r>
      <w:r w:rsidR="000227EC">
        <w:rPr>
          <w:rFonts w:cs="Arial"/>
          <w:sz w:val="26"/>
          <w:szCs w:val="26"/>
        </w:rPr>
        <w:t>la responsabilidad de la entidad surge en este caso no solo por la relación directa del hecho dañino con el servicio público y con el conflicto armado, sino además por el incumplimiento, por parte del Ejército Nacional, del deber general de prevención de las violaciones de derechos humanos y de la obligación particular de control y disciplina de</w:t>
      </w:r>
      <w:r w:rsidR="00902DCB">
        <w:rPr>
          <w:rFonts w:cs="Arial"/>
          <w:sz w:val="26"/>
          <w:szCs w:val="26"/>
        </w:rPr>
        <w:t xml:space="preserve"> </w:t>
      </w:r>
      <w:r w:rsidR="000227EC">
        <w:rPr>
          <w:rFonts w:cs="Arial"/>
          <w:sz w:val="26"/>
          <w:szCs w:val="26"/>
        </w:rPr>
        <w:t>l</w:t>
      </w:r>
      <w:r w:rsidR="00902DCB">
        <w:rPr>
          <w:rFonts w:cs="Arial"/>
          <w:sz w:val="26"/>
          <w:szCs w:val="26"/>
        </w:rPr>
        <w:t>os</w:t>
      </w:r>
      <w:r w:rsidR="000227EC">
        <w:rPr>
          <w:rFonts w:cs="Arial"/>
          <w:sz w:val="26"/>
          <w:szCs w:val="26"/>
        </w:rPr>
        <w:t xml:space="preserve"> </w:t>
      </w:r>
      <w:r w:rsidR="00902DCB">
        <w:rPr>
          <w:rFonts w:cs="Arial"/>
          <w:sz w:val="26"/>
          <w:szCs w:val="26"/>
        </w:rPr>
        <w:t>agentes</w:t>
      </w:r>
      <w:r w:rsidR="00D668C9">
        <w:rPr>
          <w:rFonts w:cs="Arial"/>
          <w:sz w:val="26"/>
          <w:szCs w:val="26"/>
        </w:rPr>
        <w:t xml:space="preserve"> bajo su cargo, como se verá a </w:t>
      </w:r>
      <w:r w:rsidR="00902DCB">
        <w:rPr>
          <w:rFonts w:cs="Arial"/>
          <w:sz w:val="26"/>
          <w:szCs w:val="26"/>
        </w:rPr>
        <w:t>continuación.</w:t>
      </w:r>
    </w:p>
    <w:p w:rsidR="00966D72" w:rsidRDefault="00966D72" w:rsidP="007D5152">
      <w:pPr>
        <w:rPr>
          <w:rFonts w:cs="Arial"/>
          <w:sz w:val="26"/>
          <w:szCs w:val="26"/>
        </w:rPr>
      </w:pPr>
    </w:p>
    <w:p w:rsidR="002A579A" w:rsidRPr="002A579A" w:rsidRDefault="001C2036" w:rsidP="0030285E">
      <w:pPr>
        <w:pStyle w:val="Listavistosa-nfasis11"/>
        <w:numPr>
          <w:ilvl w:val="1"/>
          <w:numId w:val="28"/>
        </w:numPr>
        <w:ind w:left="0" w:firstLine="0"/>
        <w:rPr>
          <w:rFonts w:cs="Arial"/>
          <w:sz w:val="26"/>
          <w:szCs w:val="26"/>
        </w:rPr>
      </w:pPr>
      <w:r>
        <w:rPr>
          <w:rFonts w:cs="Arial"/>
          <w:sz w:val="26"/>
          <w:szCs w:val="26"/>
        </w:rPr>
        <w:t xml:space="preserve">En su declaración, el subteniente Fabián Borja Pérez, superior de los agentes involucrados en los hechos </w:t>
      </w:r>
      <w:r w:rsidR="00DD03DA">
        <w:rPr>
          <w:rFonts w:cs="Arial"/>
          <w:sz w:val="26"/>
          <w:szCs w:val="26"/>
        </w:rPr>
        <w:t>y quien dio</w:t>
      </w:r>
      <w:r>
        <w:rPr>
          <w:rFonts w:cs="Arial"/>
          <w:sz w:val="26"/>
          <w:szCs w:val="26"/>
        </w:rPr>
        <w:t xml:space="preserve"> la orden </w:t>
      </w:r>
      <w:r w:rsidR="00DD03DA">
        <w:rPr>
          <w:rFonts w:cs="Arial"/>
          <w:sz w:val="26"/>
          <w:szCs w:val="26"/>
        </w:rPr>
        <w:t>al cabo Carvajal Mendieta de comprar unos víveres y retornar</w:t>
      </w:r>
      <w:r>
        <w:rPr>
          <w:rFonts w:cs="Arial"/>
          <w:sz w:val="26"/>
          <w:szCs w:val="26"/>
        </w:rPr>
        <w:t xml:space="preserve"> a la base, </w:t>
      </w:r>
      <w:r w:rsidR="0030285E">
        <w:rPr>
          <w:rFonts w:cs="Arial"/>
          <w:sz w:val="26"/>
          <w:szCs w:val="26"/>
        </w:rPr>
        <w:t>afirm</w:t>
      </w:r>
      <w:r w:rsidR="00FE2141">
        <w:rPr>
          <w:rFonts w:cs="Arial"/>
          <w:sz w:val="26"/>
          <w:szCs w:val="26"/>
        </w:rPr>
        <w:t>ó que, al advertir la ausencia de los uniformados, se comunicó por teléfono con la estación de policía en varias ocasiones</w:t>
      </w:r>
      <w:r w:rsidR="0030285E">
        <w:rPr>
          <w:rFonts w:cs="Arial"/>
          <w:sz w:val="26"/>
          <w:szCs w:val="26"/>
        </w:rPr>
        <w:t xml:space="preserve"> </w:t>
      </w:r>
      <w:r w:rsidR="0030285E" w:rsidRPr="0030285E">
        <w:rPr>
          <w:rFonts w:cs="Arial"/>
          <w:sz w:val="22"/>
          <w:szCs w:val="22"/>
        </w:rPr>
        <w:t>(f. 193-194, c. 1)</w:t>
      </w:r>
      <w:r w:rsidR="0030285E">
        <w:rPr>
          <w:rFonts w:cs="Arial"/>
          <w:sz w:val="26"/>
          <w:szCs w:val="26"/>
        </w:rPr>
        <w:t>:</w:t>
      </w:r>
    </w:p>
    <w:p w:rsidR="00B632BE" w:rsidRDefault="00B632BE" w:rsidP="007D5152">
      <w:pPr>
        <w:rPr>
          <w:rFonts w:cs="Arial"/>
          <w:sz w:val="26"/>
          <w:szCs w:val="26"/>
        </w:rPr>
      </w:pPr>
    </w:p>
    <w:p w:rsidR="008369DD" w:rsidRPr="000A2C53" w:rsidRDefault="000A2C53" w:rsidP="000A2C53">
      <w:pPr>
        <w:spacing w:line="240" w:lineRule="auto"/>
        <w:ind w:left="709" w:right="618"/>
        <w:rPr>
          <w:rFonts w:cs="Arial"/>
          <w:i/>
          <w:szCs w:val="24"/>
        </w:rPr>
      </w:pPr>
      <w:r w:rsidRPr="000A2C53">
        <w:rPr>
          <w:rFonts w:cs="Arial"/>
          <w:i/>
          <w:szCs w:val="24"/>
        </w:rPr>
        <w:t>Preguntado: Explique a este despacho de instrucción los motivos por los cuales el Cabo Primero Carvajal Mendieta Manuel salió a la calle el día sábado 4 de septiembre, con quién salió, a qué salió, qué órdenes le dio usted antes de salir, hasta qué horas le autorizó la salida. Contestó: Él tenía que ir a una cita con el odontólogo, motivo por el cual le di permiso y de paso para que reclamara la plata de los víveres frescos, de regreso entrara a la localidad, comprara los víveres frescos, carne, cebolla, tomate y unos plátanos, y regresara de inmediato a la base, los cuales nunca llevó, lo acompañaba el dragoneante Rodríguez y el soldado Ortiz Barrera, en cumplimiento a lo ordenado con la triada, y le recalqué las medidas de seguridad que debía tener en el pueblo y que debía comprar eso lo más rápido posible y salir del pueblo hacia la base. No l</w:t>
      </w:r>
      <w:r w:rsidR="006F63A6">
        <w:rPr>
          <w:rFonts w:cs="Arial"/>
          <w:i/>
          <w:szCs w:val="24"/>
        </w:rPr>
        <w:t>e</w:t>
      </w:r>
      <w:r w:rsidRPr="000A2C53">
        <w:rPr>
          <w:rFonts w:cs="Arial"/>
          <w:i/>
          <w:szCs w:val="24"/>
        </w:rPr>
        <w:t xml:space="preserve"> di una hora exacta ya que la odontología no sabía cuánto iba a demorar. Preguntado: Diga si cuando el Cabo Primero le pidió el permiso él le mostró algún documento en donde decía que tenía cita odontológica y la hora exacta de ella, usted verificó el documento. Contestó: No, no me mostró ningún documento, simplemente me mostró los brakes </w:t>
      </w:r>
      <w:r w:rsidRPr="00F56B0B">
        <w:rPr>
          <w:rFonts w:cs="Arial"/>
          <w:szCs w:val="24"/>
        </w:rPr>
        <w:t>(sic)</w:t>
      </w:r>
      <w:r w:rsidRPr="000A2C53">
        <w:rPr>
          <w:rFonts w:cs="Arial"/>
          <w:i/>
          <w:szCs w:val="24"/>
        </w:rPr>
        <w:t xml:space="preserve"> que tenía sueltos, por tal motivo yo le creí confiando que era cierto lo que me decía. Preguntado: Cuántas veces más había salido a la localidad el Cabo Primero Carvajal durante su estadía en Naranjitos, había tenido algún problema, cuánto tiempo tiene de estar en su contraguerrilla. Contestó: Ya había salido una vez y no tuvo ningún problema, por tal motivo lo autoricé a que fuera, y lleva un mes más o menos en la contraguerrilla, por estar recién trasladado. Preguntado: Al ver que el Cabo Primero y los soldados no regresaban a la base, diga a este despacho qué hizo o qué acción realizó para averiguar qué pasaba. Contestó: </w:t>
      </w:r>
      <w:r w:rsidRPr="006F63A6">
        <w:rPr>
          <w:rFonts w:cs="Arial"/>
          <w:i/>
          <w:szCs w:val="24"/>
          <w:u w:val="single"/>
        </w:rPr>
        <w:t>Al ver que él se comunicó telefónicamente conmigo le di la orden de que regresara con los soldados inmediatamente</w:t>
      </w:r>
      <w:r w:rsidRPr="000A2C53">
        <w:rPr>
          <w:rFonts w:cs="Arial"/>
          <w:i/>
          <w:szCs w:val="24"/>
        </w:rPr>
        <w:t xml:space="preserve">. Preguntado: A quién informó lo ocurrido. Contestó: Al verificar que los soldados se encontraban bien y que yo le había dado la orden de regresar al Cabo, no era conveniente informar al batallón. Preguntado: </w:t>
      </w:r>
      <w:r w:rsidRPr="006F63A6">
        <w:rPr>
          <w:rFonts w:cs="Arial"/>
          <w:i/>
          <w:szCs w:val="24"/>
        </w:rPr>
        <w:t>Al notar que había transcurrido un tiempo prudencial para que el Cabo regresara a la base luego de haberle ordenado que de inmediato lo hiciera, usted qué hizo.</w:t>
      </w:r>
      <w:r w:rsidRPr="000A2C53">
        <w:rPr>
          <w:rFonts w:cs="Arial"/>
          <w:i/>
          <w:szCs w:val="24"/>
        </w:rPr>
        <w:t xml:space="preserve"> Contestó: </w:t>
      </w:r>
      <w:r w:rsidRPr="006F63A6">
        <w:rPr>
          <w:rFonts w:cs="Arial"/>
          <w:i/>
          <w:szCs w:val="24"/>
          <w:u w:val="single"/>
        </w:rPr>
        <w:t>Volví a comunicarme con la estación de policía, donde hablé con el Cabo Segundo Ortiz, encargado de la repetidora corceles del batallón, preguntándole qué había pasado con el Cabo y los soldados, a lo cual me respondió que los soldados se encontraban con él y el Cabo había salido. Entonces le ordené que por ningún motivo me dejara salir los soldados y que apenas regresara el Cabo le dijera que lo esperaba en la base</w:t>
      </w:r>
      <w:r w:rsidRPr="000A2C53">
        <w:rPr>
          <w:rFonts w:cs="Arial"/>
          <w:i/>
          <w:szCs w:val="24"/>
        </w:rPr>
        <w:t xml:space="preserve">. Preguntado: Con qué otra persona habló usted al respecto. Contestó: </w:t>
      </w:r>
      <w:r w:rsidRPr="006F63A6">
        <w:rPr>
          <w:rFonts w:cs="Arial"/>
          <w:i/>
          <w:szCs w:val="24"/>
          <w:u w:val="single"/>
        </w:rPr>
        <w:t>Viendo que no regresaban, volví a comunicarme con la Policía por teléfono y hablé con el dragoneante Rodríguez y le ordené que si no llegaba el Cabo pernoctara en la estación hasta que yo mandara por ellos</w:t>
      </w:r>
      <w:r w:rsidRPr="000A2C53">
        <w:rPr>
          <w:rFonts w:cs="Arial"/>
          <w:i/>
          <w:szCs w:val="24"/>
        </w:rPr>
        <w:t xml:space="preserve">. Preguntado: Luego de sucedidos los hechos, diga a qué horas y cuándo se enteró y por quién, de lo que en la noche anterior había sucedido con el Cabo. Contestó: Me enteré por mi Coronel, ya que él me timbró al mediodía del domingo preguntándome si el Cabo Carvajal pertenecía a esa contraguerrilla, ya que el informe que él me pasó no reporta la realidad de lo sucedido en la noche anterior, ni el porqué de los rasguños que tenía en el rostro, y fue ahí cuando lo llamé y le pregunté qué había hecho la noche anterior, por lo cual me respondió que no había pasado nada y no dio respuesta por las raspaduras, ahí fue cuando le ordené que se alistara que ya venían por él. Preguntado: A qué horas exactamente usted se dio cuenta de que el personal que había salido el día anterior ya había regresado, qué le dijeron los soldados. Contestó: A las 7:00 horas de la mañana, el Cabo y los dos soldados entraron a la base, a los cuales mandé a llamar ya que no se presentaron sino hasta que los mandé a buscar, y los soldados me dijeron que habían permanecido en la Policía hasta que el Cabo llegó. Preguntado: Sabe usted si fuera del Cabo Carvajal se encontraba otro miembro de la institución junto con él, por qué, quién se lo informó. Contestó: </w:t>
      </w:r>
      <w:r w:rsidRPr="006F63A6">
        <w:rPr>
          <w:rFonts w:cs="Arial"/>
          <w:i/>
          <w:szCs w:val="24"/>
          <w:u w:val="single"/>
        </w:rPr>
        <w:t>No, no sabía que estuviera con otro Cabo, sabía que estaba con el Teniente de la Policía pero no más</w:t>
      </w:r>
      <w:r w:rsidRPr="000A2C53">
        <w:rPr>
          <w:rFonts w:cs="Arial"/>
          <w:i/>
          <w:szCs w:val="24"/>
        </w:rPr>
        <w:t>. (</w:t>
      </w:r>
      <w:r w:rsidR="00D86F8E">
        <w:rPr>
          <w:rFonts w:cs="Arial"/>
          <w:i/>
          <w:szCs w:val="24"/>
        </w:rPr>
        <w:t>…</w:t>
      </w:r>
      <w:r w:rsidRPr="000A2C53">
        <w:rPr>
          <w:rFonts w:cs="Arial"/>
          <w:i/>
          <w:szCs w:val="24"/>
        </w:rPr>
        <w:t xml:space="preserve">) </w:t>
      </w:r>
      <w:r w:rsidRPr="006F63A6">
        <w:rPr>
          <w:rFonts w:cs="Arial"/>
          <w:i/>
          <w:szCs w:val="24"/>
          <w:u w:val="single"/>
        </w:rPr>
        <w:t>En ningún momento autoricé al Cabo para que permaneciera en la localidad, y mucho menos para que se quedara en ella y se pusiera a tomar, exponiendo a los soldados que llevaba bajo su mando y la integridad de él mismo</w:t>
      </w:r>
      <w:r w:rsidRPr="000A2C53">
        <w:rPr>
          <w:rFonts w:cs="Arial"/>
          <w:i/>
          <w:szCs w:val="24"/>
        </w:rPr>
        <w:t>. Por tal motivo considero que el Cabo incumplió órdenes directas que le había dado, las cuales eran las de comprar los víveres, ir al odontólogo y regresar inmediatamente a la base, las cuales irresponsablemente incumplió.</w:t>
      </w:r>
      <w:r w:rsidR="006F63A6">
        <w:rPr>
          <w:rFonts w:cs="Arial"/>
          <w:i/>
          <w:szCs w:val="24"/>
        </w:rPr>
        <w:t xml:space="preserve"> </w:t>
      </w:r>
      <w:r w:rsidR="006F63A6" w:rsidRPr="006F63A6">
        <w:rPr>
          <w:rFonts w:cs="Arial"/>
          <w:szCs w:val="24"/>
        </w:rPr>
        <w:t>Destaca la Sala.</w:t>
      </w:r>
    </w:p>
    <w:p w:rsidR="000A2C53" w:rsidRDefault="000A2C53" w:rsidP="006F63A6">
      <w:pPr>
        <w:rPr>
          <w:rFonts w:cs="Arial"/>
          <w:sz w:val="26"/>
          <w:szCs w:val="26"/>
        </w:rPr>
      </w:pPr>
    </w:p>
    <w:p w:rsidR="001B38FD" w:rsidRPr="00E7537A" w:rsidRDefault="001B38FD" w:rsidP="00E7537A">
      <w:pPr>
        <w:pStyle w:val="Listavistosa-nfasis11"/>
        <w:numPr>
          <w:ilvl w:val="1"/>
          <w:numId w:val="28"/>
        </w:numPr>
        <w:ind w:left="0" w:firstLine="0"/>
        <w:rPr>
          <w:rFonts w:cs="Arial"/>
          <w:sz w:val="26"/>
          <w:szCs w:val="26"/>
        </w:rPr>
      </w:pPr>
      <w:r>
        <w:rPr>
          <w:sz w:val="26"/>
          <w:szCs w:val="26"/>
        </w:rPr>
        <w:t>E</w:t>
      </w:r>
      <w:r w:rsidRPr="001B38FD">
        <w:rPr>
          <w:sz w:val="26"/>
          <w:szCs w:val="26"/>
        </w:rPr>
        <w:t>l drag</w:t>
      </w:r>
      <w:r>
        <w:rPr>
          <w:sz w:val="26"/>
          <w:szCs w:val="26"/>
        </w:rPr>
        <w:t xml:space="preserve">oneante César Augusto Rodríguez confirmó haber hablado con el subteniente Fabián Borja alrededor de la diez de la noche y haber recibido la orden de </w:t>
      </w:r>
      <w:r w:rsidR="00E7537A">
        <w:rPr>
          <w:sz w:val="26"/>
          <w:szCs w:val="26"/>
        </w:rPr>
        <w:t xml:space="preserve">regresar al batallón. También puso en duda que el cabo Carvajal hubiera asistido a una cita odontológica </w:t>
      </w:r>
      <w:r w:rsidRPr="00E7537A">
        <w:rPr>
          <w:sz w:val="22"/>
          <w:szCs w:val="22"/>
        </w:rPr>
        <w:t>(f. 180-181, c. 1)</w:t>
      </w:r>
      <w:r w:rsidRPr="00E7537A">
        <w:rPr>
          <w:sz w:val="26"/>
          <w:szCs w:val="26"/>
        </w:rPr>
        <w:t>:</w:t>
      </w:r>
    </w:p>
    <w:p w:rsidR="001B38FD" w:rsidRDefault="001B38FD" w:rsidP="001B38FD">
      <w:pPr>
        <w:ind w:left="357"/>
      </w:pPr>
    </w:p>
    <w:p w:rsidR="001B38FD" w:rsidRPr="001B38FD" w:rsidRDefault="001B38FD" w:rsidP="001B38FD">
      <w:pPr>
        <w:spacing w:line="240" w:lineRule="auto"/>
        <w:ind w:left="709" w:right="618"/>
        <w:rPr>
          <w:i/>
        </w:rPr>
      </w:pPr>
      <w:r w:rsidRPr="001B38FD">
        <w:rPr>
          <w:i/>
        </w:rPr>
        <w:t xml:space="preserve">Mi contraguerrilla se encuentra en la base militar de Naranjitos, el comandante es un Teniente Borja Pérez Fabián, salí de permiso para ir a cambiar unas botas que había comprado en el pueblo y me habían quedado grandes y a comprarle unos elementos que me había encargado mi Primero Gómez, y a llamar a mi casa a Bogotá, y a acompañar a mi Cabo Carvajal a reclamar la plata de los víveres frescos al batallón, la verdad eso sí no lo sé porque se la dieron a mi Cabo mi Teniente Borja, además del Cabo iba con el soldado Ortiz Barrera Jonathan, en un taxi hasta el batallón, de ahí recogimos a mi Cabo Méndez, a mi Cabo Soledad y nos dirigimos de nuevo al pueblo en el mismo carro, y cuando llegué al pueblo mi Cabo Carvajal se bajó con el soldado Ortiz en la Policía y yo seguí con mi Cabo Méndez hasta donde estaba Bisonte 5 y 6 a llevar la plata de los víveres frescos y a dejar a mi Cabo Soledad, él se quedó en la Bisonte 5, de ahí nos devolvimos y nos bajamos en la estación de policía, donde entramos, </w:t>
      </w:r>
      <w:r w:rsidRPr="00E7537A">
        <w:rPr>
          <w:i/>
          <w:u w:val="single"/>
        </w:rPr>
        <w:t>nosotros regresamos al otro día a la base por la orden que mi Teniente Borja me había dado aproximadamente a las 10 de la noche cuando hablamos por radio, ya que y</w:t>
      </w:r>
      <w:r w:rsidRPr="001B38FD">
        <w:rPr>
          <w:i/>
          <w:u w:val="single"/>
        </w:rPr>
        <w:t>o le había comentado que mi Cabo no había llegado a recogernos porque yo estaba con el otro soldado</w:t>
      </w:r>
      <w:r w:rsidRPr="001B38FD">
        <w:rPr>
          <w:i/>
        </w:rPr>
        <w:t xml:space="preserve">, entonces llegamos entre las 7:00 o 7:30 horas del día domingo, regresé con mi Cabo Carvajal y el soldado Ortiz, y entramos por la guardia de la base. Preguntado: Cuando llegó usted de nuevo a la Policía luego de acompañar a su Cabo Méndez de dejar a su Cabo Soledad, dónde se encontraba su Cabo Carvajal, qué estaba haciendo, con quién estaba, qué orden le dio él a usted. Contestó: </w:t>
      </w:r>
      <w:r w:rsidRPr="001B38FD">
        <w:rPr>
          <w:i/>
          <w:u w:val="single"/>
        </w:rPr>
        <w:t>Se encontraba dentro de la estación tomando trago, ron, alrededor de la piscina con cuatro personas, tres uniformados que eran policías, uno de civil, que también era policía, y una mujer, y me ordenó que lo esperara ahí, que él iba a estar tomando, dentro de los uniformados me dijeron que uno de ellos era el Teniente, comandante de la estación</w:t>
      </w:r>
      <w:r w:rsidRPr="001B38FD">
        <w:rPr>
          <w:i/>
        </w:rPr>
        <w:t xml:space="preserve">. </w:t>
      </w:r>
      <w:r w:rsidRPr="001B38FD">
        <w:t>(</w:t>
      </w:r>
      <w:r w:rsidR="00D86F8E">
        <w:t>…</w:t>
      </w:r>
      <w:r w:rsidRPr="001B38FD">
        <w:t>)</w:t>
      </w:r>
      <w:r w:rsidRPr="001B38FD">
        <w:rPr>
          <w:i/>
        </w:rPr>
        <w:t xml:space="preserve"> </w:t>
      </w:r>
      <w:r w:rsidRPr="001B38FD">
        <w:rPr>
          <w:i/>
          <w:u w:val="single"/>
        </w:rPr>
        <w:t>Fuera de estar tomando trago estaban hablando y escuchando música, no supe de que hubiera ido a cumplir alguna cita odontológica pues desde que llegó se sentó a tomar trago</w:t>
      </w:r>
      <w:r w:rsidRPr="001B38FD">
        <w:rPr>
          <w:i/>
        </w:rPr>
        <w:t xml:space="preserve">, mi Cabo Carvajal Mendieta estaba de civil, la camiseta era gris clara, pantalón jean gris claro, tenis azules y gafas oscuras, mi cabo Méndez estaba con un jean color azul oscuro, la camiseta no me acuerdo el color, zapatos negros y una gorra amarilla, y tomaron trago en la estación hasta las 19:00 horas, que fue cuando ellos salieron de ahí, </w:t>
      </w:r>
      <w:r w:rsidRPr="00C437FC">
        <w:rPr>
          <w:i/>
          <w:u w:val="single"/>
        </w:rPr>
        <w:t>no me dijeron nada, simplemente que se iba a hacer una vuelta, que lo esperara ahí y que se llevaba al soldado Ortiz</w:t>
      </w:r>
      <w:r w:rsidRPr="001B38FD">
        <w:rPr>
          <w:i/>
        </w:rPr>
        <w:t xml:space="preserve">. Preguntado: Supo o se dio cuenta a qué horas regresaron sus dos Cabos y el soldado Ortiz, qué hicieron en el pueblo, dónde estuvieron. Contestó: </w:t>
      </w:r>
      <w:r w:rsidRPr="00C437FC">
        <w:rPr>
          <w:i/>
        </w:rPr>
        <w:t>El soldado Ortiz llegó como a las 21:00 horas y yo le pregunté que dónde estaban mis Cabos y él me dijo que ellos lo habían dejado a él en una taberna y se habían ido en una moto del Teniente de la estación de policía, mis dos Cabos llegaron como aproximadamente a las 23:30 horas, tomados y golpeados</w:t>
      </w:r>
      <w:r w:rsidRPr="00E7537A">
        <w:rPr>
          <w:i/>
        </w:rPr>
        <w:t>, porque de acuerdo a lo que me enteré al otro día se habían estrellado en la moto.</w:t>
      </w:r>
      <w:r w:rsidR="00E7537A">
        <w:rPr>
          <w:i/>
        </w:rPr>
        <w:t xml:space="preserve"> </w:t>
      </w:r>
      <w:r w:rsidR="00E7537A" w:rsidRPr="00E7537A">
        <w:t>Subraya la Sala.</w:t>
      </w:r>
    </w:p>
    <w:p w:rsidR="001B38FD" w:rsidRPr="001B38FD" w:rsidRDefault="001B38FD" w:rsidP="001B38FD">
      <w:pPr>
        <w:rPr>
          <w:sz w:val="26"/>
          <w:szCs w:val="26"/>
        </w:rPr>
      </w:pPr>
    </w:p>
    <w:p w:rsidR="001B38FD" w:rsidRPr="00C437FC" w:rsidRDefault="00E93EBC" w:rsidP="00C437FC">
      <w:pPr>
        <w:pStyle w:val="Listavistosa-nfasis11"/>
        <w:numPr>
          <w:ilvl w:val="1"/>
          <w:numId w:val="28"/>
        </w:numPr>
        <w:ind w:left="0" w:firstLine="0"/>
        <w:rPr>
          <w:sz w:val="26"/>
          <w:szCs w:val="26"/>
        </w:rPr>
      </w:pPr>
      <w:r>
        <w:rPr>
          <w:sz w:val="26"/>
          <w:szCs w:val="26"/>
        </w:rPr>
        <w:t>Por su parte, e</w:t>
      </w:r>
      <w:r w:rsidR="001B38FD" w:rsidRPr="001B38FD">
        <w:rPr>
          <w:sz w:val="26"/>
          <w:szCs w:val="26"/>
        </w:rPr>
        <w:t xml:space="preserve">l soldado Jonathan Ortiz Barrera </w:t>
      </w:r>
      <w:r w:rsidR="00C437FC">
        <w:rPr>
          <w:sz w:val="26"/>
          <w:szCs w:val="26"/>
        </w:rPr>
        <w:t>se limitó a afirmar que a</w:t>
      </w:r>
      <w:r w:rsidR="00DD03DA">
        <w:rPr>
          <w:sz w:val="26"/>
          <w:szCs w:val="26"/>
        </w:rPr>
        <w:t>l</w:t>
      </w:r>
      <w:r w:rsidR="00C437FC">
        <w:rPr>
          <w:sz w:val="26"/>
          <w:szCs w:val="26"/>
        </w:rPr>
        <w:t xml:space="preserve"> llegar a la estación de policía recibió del cabo Carvajal la orden de esperarlo mientras tomaba licor con el comandante de policía, que a las siete de la noche acompañó al suboficial y a otros uniformados a una taberna, y que alrededor de las ocho y media perdió de vista a los cabos. Empero, no refiere haber hablado con el subteniente </w:t>
      </w:r>
      <w:r w:rsidR="001B38FD" w:rsidRPr="00C437FC">
        <w:rPr>
          <w:sz w:val="22"/>
          <w:szCs w:val="22"/>
        </w:rPr>
        <w:t>(f. 182-183, c. 1)</w:t>
      </w:r>
      <w:r w:rsidR="001B38FD" w:rsidRPr="00C437FC">
        <w:rPr>
          <w:sz w:val="26"/>
          <w:szCs w:val="26"/>
        </w:rPr>
        <w:t>:</w:t>
      </w:r>
    </w:p>
    <w:p w:rsidR="001B38FD" w:rsidRPr="001B38FD" w:rsidRDefault="001B38FD" w:rsidP="001B38FD">
      <w:pPr>
        <w:rPr>
          <w:sz w:val="26"/>
          <w:szCs w:val="26"/>
        </w:rPr>
      </w:pPr>
    </w:p>
    <w:p w:rsidR="006F63A6" w:rsidRPr="00E93EBC" w:rsidRDefault="001B38FD" w:rsidP="001B38FD">
      <w:pPr>
        <w:spacing w:line="240" w:lineRule="auto"/>
        <w:ind w:left="709" w:right="618"/>
        <w:rPr>
          <w:rFonts w:cs="Arial"/>
          <w:sz w:val="26"/>
          <w:szCs w:val="26"/>
        </w:rPr>
      </w:pPr>
      <w:r w:rsidRPr="001B38FD">
        <w:rPr>
          <w:i/>
        </w:rPr>
        <w:t xml:space="preserve">Mi contraguerrilla se encuentra en la base militar de Naranjitos, el comandante es mi Teniente Borja Pérez Fabián, salí de permiso a acompañar a mi Cabo Carvajal a reclamar la plata de los víveres frescos al batallón y a comprar unos útiles de aseo, la verdad eso sí no lo sé porque se la dieron a mi Cabo mi Teniente Borja, lo que sé era que debíamos comprar eso y devolvernos a la base, además del Cabo iba con el dragoneante Rodríguez en un taxi hasta el batallón, donde nos quedamos como una media hora y esperamos a mi Cabo Méndez, a mi Cabo Soledad, y nos dirigimos para la Policía, adonde entramos, nosotros regresamos al otro día a la base, llegamos entre las 7:00 o 7:30 horas del día domingo, regresé con mi Cabo Carvajal y el dragoneante Rodríguez y entramos por la guardia de la base. Preguntado: Cuando llegó a la Policía, qué orden recibió usted de su Cabo Carvajal, qué estaba haciendo su Cabo, con quién estaba. Contestó: </w:t>
      </w:r>
      <w:r w:rsidRPr="00E93EBC">
        <w:rPr>
          <w:i/>
          <w:u w:val="single"/>
        </w:rPr>
        <w:t>Me dijo entre y me espera, entonces yo me puse a ver televisión, mi Cabo se sentó con un Teniente y se pusieron a tomar ron</w:t>
      </w:r>
      <w:r w:rsidRPr="001B38FD">
        <w:rPr>
          <w:i/>
        </w:rPr>
        <w:t xml:space="preserve">. Preguntado: Supo si su Cabo Carvajal Mendieta fue a cumplir una cita odontológica. Hasta qué horas se dio cuenta usted que tomaron trago y qué más hicieron. Contestó: </w:t>
      </w:r>
      <w:r w:rsidRPr="00E93EBC">
        <w:rPr>
          <w:i/>
          <w:u w:val="single"/>
        </w:rPr>
        <w:t>Sí, él me dijo pero yo no sé si él iría y me di cuenta que tomaron trago hasta las 19:00 horas, después mi Cabo dio la orden a mi dragoneante Rodríguez que se quedara ahí y que yo lo acompañara, entonces nos fuimos para una taberna con mi Cabo Carvajal, mi Cabo Méndez, el Teniente y unos patrulleros en moto, ahí no duramos casi y de ahí nos fuimos para la taberna de enfrente, allí mis cabos se sentaron con el Teniente de la Policía y un patrullero y siguieron tomando, hasta como las 20:00 o 20:30 horas, cuando yo me di cuenta ya no estaban mis dos cabos</w:t>
      </w:r>
      <w:r w:rsidRPr="001B38FD">
        <w:rPr>
          <w:i/>
        </w:rPr>
        <w:t xml:space="preserve">, porque yo salí a comprar un paquete de cigarrillos y cuando llegué ya no estaban, entonces le pregunté a mi Teniente que dónde estaban mis cabos y él me contestó que no me preocupara, que ellos ya venían, que se habían llevado la moto de él pero que no se demoraban, entonces yo al verme solo me devolví para la estación de policía adonde mi dragoneante Rodríguez, y al llegar él me preguntó qué había pasado y yo le conté </w:t>
      </w:r>
      <w:r w:rsidRPr="001B38FD">
        <w:t>(</w:t>
      </w:r>
      <w:r w:rsidR="00D86F8E">
        <w:t>…</w:t>
      </w:r>
      <w:r w:rsidRPr="001B38FD">
        <w:t>)</w:t>
      </w:r>
      <w:r w:rsidRPr="001B38FD">
        <w:rPr>
          <w:i/>
        </w:rPr>
        <w:t xml:space="preserve"> Preguntado: Supo o se dio cuenta a qué horas regresaron sus dos cabos, qué hicieron en el pueblo, dónde estuvieron. Contestó: No, pues mi dragoneante me contó que supuestamente había pasado eso de la violación y no supe dónde estuvieron</w:t>
      </w:r>
      <w:r w:rsidRPr="00E93EBC">
        <w:rPr>
          <w:i/>
        </w:rPr>
        <w:t>.</w:t>
      </w:r>
      <w:r w:rsidR="00E93EBC" w:rsidRPr="00E93EBC">
        <w:rPr>
          <w:i/>
        </w:rPr>
        <w:t xml:space="preserve"> </w:t>
      </w:r>
      <w:r w:rsidR="00E93EBC" w:rsidRPr="00E93EBC">
        <w:t>Destacado propio.</w:t>
      </w:r>
    </w:p>
    <w:p w:rsidR="002D36C1" w:rsidRDefault="002D36C1" w:rsidP="006F63A6">
      <w:pPr>
        <w:rPr>
          <w:rFonts w:cs="Arial"/>
          <w:sz w:val="26"/>
          <w:szCs w:val="26"/>
        </w:rPr>
      </w:pPr>
    </w:p>
    <w:p w:rsidR="002D36C1" w:rsidRDefault="00C437FC" w:rsidP="00C437FC">
      <w:pPr>
        <w:pStyle w:val="Listavistosa-nfasis11"/>
        <w:numPr>
          <w:ilvl w:val="1"/>
          <w:numId w:val="28"/>
        </w:numPr>
        <w:ind w:left="0" w:firstLine="0"/>
        <w:rPr>
          <w:rFonts w:cs="Arial"/>
          <w:sz w:val="26"/>
          <w:szCs w:val="26"/>
        </w:rPr>
      </w:pPr>
      <w:r>
        <w:rPr>
          <w:rFonts w:cs="Arial"/>
          <w:sz w:val="26"/>
          <w:szCs w:val="26"/>
        </w:rPr>
        <w:t xml:space="preserve">Estas declaraciones, vistas en conjunto con los informes militares anexos al expediente, </w:t>
      </w:r>
      <w:r w:rsidR="00113832">
        <w:rPr>
          <w:rFonts w:cs="Arial"/>
          <w:sz w:val="26"/>
          <w:szCs w:val="26"/>
        </w:rPr>
        <w:t>permiten concluir que el cabo Carvajal Mendieta estuvo en la estación de policía ingiriendo licor por lo menos desde el mediodía del 4 de septiembre de 1999, pues salió del batallón cerca de las diez y media de la mañana y, según sus acompañantes, cumplieron rápidamente la misión de comprar los v</w:t>
      </w:r>
      <w:r w:rsidR="004404CB">
        <w:rPr>
          <w:rFonts w:cs="Arial"/>
          <w:sz w:val="26"/>
          <w:szCs w:val="26"/>
        </w:rPr>
        <w:t>íveres para la tropa, sumado a que no existe constancia de que el suboficial haya asistido a la mentada cita odontológica. Y se dedicó a beber alcohol desde las doce del día hasta las siete de la noche en la estación de policía, y luego hasta las nueve o nueve y media de la noche en bares y tabernas.</w:t>
      </w:r>
    </w:p>
    <w:p w:rsidR="00F56B0B" w:rsidRDefault="00F56B0B" w:rsidP="00F56B0B">
      <w:pPr>
        <w:pStyle w:val="Listavistosa-nfasis11"/>
        <w:ind w:left="0"/>
        <w:rPr>
          <w:rFonts w:cs="Arial"/>
          <w:sz w:val="26"/>
          <w:szCs w:val="26"/>
        </w:rPr>
      </w:pPr>
    </w:p>
    <w:p w:rsidR="002D36C1" w:rsidRPr="00F56B0B" w:rsidRDefault="002D36C1" w:rsidP="00F56B0B">
      <w:pPr>
        <w:pStyle w:val="Listavistosa-nfasis11"/>
        <w:numPr>
          <w:ilvl w:val="1"/>
          <w:numId w:val="28"/>
        </w:numPr>
        <w:ind w:left="0" w:firstLine="0"/>
        <w:rPr>
          <w:rFonts w:cs="Arial"/>
          <w:sz w:val="26"/>
          <w:szCs w:val="26"/>
        </w:rPr>
      </w:pPr>
      <w:r w:rsidRPr="00F56B0B">
        <w:rPr>
          <w:rFonts w:eastAsia="Times New Roman" w:cs="Arial"/>
          <w:sz w:val="26"/>
          <w:szCs w:val="26"/>
          <w:lang w:val="es-ES" w:eastAsia="es-ES"/>
        </w:rPr>
        <w:t>Durante este tiempo, el subteniente Borja se comunicó en varias oportunidades con la estación de policía: a las cinco de la tarde habló por teléfono con el cabo Carvajal y le ordenó que regresara a la base, a lo cual este hizo caso omiso; a las siete y media de la noche preguntó al soldado Ortiz por el suboficial, y este le informó que había salido con el comandante de policía y había abandonado a los soldados; y a las diez de la noche volvió a interrogar al soldado por el cabo Carvajal, y este le informó que el suboficial aún no había regresado a la estación.</w:t>
      </w:r>
    </w:p>
    <w:p w:rsidR="00F56B0B" w:rsidRPr="006E5FAD" w:rsidRDefault="00F56B0B" w:rsidP="006E5FAD">
      <w:pPr>
        <w:rPr>
          <w:rFonts w:cs="Arial"/>
          <w:sz w:val="26"/>
          <w:szCs w:val="26"/>
        </w:rPr>
      </w:pPr>
    </w:p>
    <w:p w:rsidR="00F56B0B" w:rsidRDefault="00F56B0B" w:rsidP="0095383B">
      <w:pPr>
        <w:pStyle w:val="Listavistosa-nfasis11"/>
        <w:numPr>
          <w:ilvl w:val="1"/>
          <w:numId w:val="28"/>
        </w:numPr>
        <w:ind w:left="0" w:firstLine="0"/>
        <w:rPr>
          <w:rFonts w:cs="Arial"/>
          <w:sz w:val="26"/>
          <w:szCs w:val="26"/>
        </w:rPr>
      </w:pPr>
      <w:r>
        <w:rPr>
          <w:rFonts w:cs="Arial"/>
          <w:sz w:val="26"/>
          <w:szCs w:val="26"/>
        </w:rPr>
        <w:t>A las once y media de la noche, luego de agredir a su víctima, los cabos Carvajal y Méndez arribaron a la estación de policía en evidente estado de embriaguez y golpeados por el accidente sufrido. Como ya se dijo, pasaron la noche allí y regresaron al batallón al día siguiente, esto es, el 5 de septiembre de 1999 a las siete y media de la mañana.</w:t>
      </w:r>
    </w:p>
    <w:p w:rsidR="006E5FAD" w:rsidRPr="006E5FAD" w:rsidRDefault="006E5FAD" w:rsidP="006E5FAD">
      <w:pPr>
        <w:pStyle w:val="Listavistosa-nfasis11"/>
        <w:ind w:left="0"/>
        <w:rPr>
          <w:rFonts w:cs="Arial"/>
          <w:sz w:val="26"/>
          <w:szCs w:val="26"/>
        </w:rPr>
      </w:pPr>
    </w:p>
    <w:p w:rsidR="003F0524" w:rsidRDefault="00A51249" w:rsidP="00F56B0B">
      <w:pPr>
        <w:pStyle w:val="Listavistosa-nfasis11"/>
        <w:numPr>
          <w:ilvl w:val="1"/>
          <w:numId w:val="28"/>
        </w:numPr>
        <w:ind w:left="0" w:firstLine="0"/>
        <w:rPr>
          <w:rFonts w:cs="Arial"/>
          <w:sz w:val="26"/>
          <w:szCs w:val="26"/>
        </w:rPr>
      </w:pPr>
      <w:r>
        <w:rPr>
          <w:rFonts w:cs="Arial"/>
          <w:sz w:val="26"/>
          <w:szCs w:val="26"/>
        </w:rPr>
        <w:t xml:space="preserve">De lo anterior se concluye que el subteniente Fabián Borja Pérez, comandante de la base militar de Naranjitos y superior inmediato de los cabos </w:t>
      </w:r>
      <w:r w:rsidR="003F0524">
        <w:rPr>
          <w:rFonts w:cs="Arial"/>
          <w:sz w:val="26"/>
          <w:szCs w:val="26"/>
        </w:rPr>
        <w:t xml:space="preserve">Manuel Carvajal y Ever Augusto Méndez, perdió contacto con los suboficiales desde el 4 de septiembre a las diez y media de la mañana hasta el día siguiente a las siete, es decir, por un lapso de veintiún horas. Pese a que la misión encargada era sencilla y rápida, la ausencia de sus subalternos durante horas no fue suficiente para que el oficial intentara averiguar qué había sucedido con ellos. Fue el propio </w:t>
      </w:r>
      <w:r w:rsidR="00253D30">
        <w:rPr>
          <w:rFonts w:cs="Arial"/>
          <w:sz w:val="26"/>
          <w:szCs w:val="26"/>
        </w:rPr>
        <w:t xml:space="preserve">cabo Carvajal </w:t>
      </w:r>
      <w:r w:rsidR="00215211">
        <w:rPr>
          <w:rFonts w:cs="Arial"/>
          <w:sz w:val="26"/>
          <w:szCs w:val="26"/>
        </w:rPr>
        <w:t>quien</w:t>
      </w:r>
      <w:r w:rsidR="00253D30">
        <w:rPr>
          <w:rFonts w:cs="Arial"/>
          <w:sz w:val="26"/>
          <w:szCs w:val="26"/>
        </w:rPr>
        <w:t xml:space="preserve"> se comunicó con el subteniente para informarle que se encontraba en la estación de policía, por lo cual el superior dio la orden de regresar, sin resultado alguno. La desobediencia de la orden tampoco lo impulsó a tomar medidas para garantizar el retorno de los uniformados a la base. El subteniente Borja se limitó a llamar por teléfono a la estación en dos ocasiones más, en donde le notificaron que los militares habían salido, sin que esa nueva respuesta le ameritara </w:t>
      </w:r>
      <w:r w:rsidR="00B61B2F">
        <w:rPr>
          <w:rFonts w:cs="Arial"/>
          <w:sz w:val="26"/>
          <w:szCs w:val="26"/>
        </w:rPr>
        <w:t>diligencia</w:t>
      </w:r>
      <w:r w:rsidR="00253D30">
        <w:rPr>
          <w:rFonts w:cs="Arial"/>
          <w:sz w:val="26"/>
          <w:szCs w:val="26"/>
        </w:rPr>
        <w:t xml:space="preserve"> </w:t>
      </w:r>
      <w:r w:rsidR="00E07A2A">
        <w:rPr>
          <w:rFonts w:cs="Arial"/>
          <w:sz w:val="26"/>
          <w:szCs w:val="26"/>
        </w:rPr>
        <w:t>alguna</w:t>
      </w:r>
      <w:r w:rsidR="00253D30">
        <w:rPr>
          <w:rFonts w:cs="Arial"/>
          <w:sz w:val="26"/>
          <w:szCs w:val="26"/>
        </w:rPr>
        <w:t>.</w:t>
      </w:r>
    </w:p>
    <w:p w:rsidR="003F0524" w:rsidRPr="00B61B2F" w:rsidRDefault="003F0524" w:rsidP="00B61B2F">
      <w:pPr>
        <w:rPr>
          <w:rFonts w:cs="Arial"/>
          <w:sz w:val="26"/>
          <w:szCs w:val="26"/>
        </w:rPr>
      </w:pPr>
    </w:p>
    <w:p w:rsidR="00F56B0B" w:rsidRDefault="003F0524" w:rsidP="00E07A2A">
      <w:pPr>
        <w:pStyle w:val="Listavistosa-nfasis11"/>
        <w:numPr>
          <w:ilvl w:val="1"/>
          <w:numId w:val="28"/>
        </w:numPr>
        <w:ind w:left="0" w:firstLine="0"/>
        <w:rPr>
          <w:rFonts w:cs="Arial"/>
          <w:sz w:val="26"/>
          <w:szCs w:val="26"/>
        </w:rPr>
      </w:pPr>
      <w:r>
        <w:rPr>
          <w:rFonts w:cs="Arial"/>
          <w:sz w:val="26"/>
          <w:szCs w:val="26"/>
        </w:rPr>
        <w:t xml:space="preserve"> </w:t>
      </w:r>
      <w:r w:rsidR="00B61B2F">
        <w:rPr>
          <w:rFonts w:cs="Arial"/>
          <w:sz w:val="26"/>
          <w:szCs w:val="26"/>
        </w:rPr>
        <w:t xml:space="preserve">El comandante de la base militar tenía conocimiento de que </w:t>
      </w:r>
      <w:r w:rsidR="00E07A2A">
        <w:rPr>
          <w:rFonts w:cs="Arial"/>
          <w:sz w:val="26"/>
          <w:szCs w:val="26"/>
        </w:rPr>
        <w:t>el cabo Carvajal Mendieta</w:t>
      </w:r>
      <w:r w:rsidR="00B61B2F">
        <w:rPr>
          <w:rFonts w:cs="Arial"/>
          <w:sz w:val="26"/>
          <w:szCs w:val="26"/>
        </w:rPr>
        <w:t xml:space="preserve"> </w:t>
      </w:r>
      <w:r w:rsidR="00E07A2A">
        <w:rPr>
          <w:rFonts w:cs="Arial"/>
          <w:sz w:val="26"/>
          <w:szCs w:val="26"/>
        </w:rPr>
        <w:t xml:space="preserve">no solo </w:t>
      </w:r>
      <w:r w:rsidR="00B61B2F">
        <w:rPr>
          <w:rFonts w:cs="Arial"/>
          <w:sz w:val="26"/>
          <w:szCs w:val="26"/>
        </w:rPr>
        <w:t>hab</w:t>
      </w:r>
      <w:r w:rsidR="00E07A2A">
        <w:rPr>
          <w:rFonts w:cs="Arial"/>
          <w:sz w:val="26"/>
          <w:szCs w:val="26"/>
        </w:rPr>
        <w:t>ía</w:t>
      </w:r>
      <w:r w:rsidR="00B61B2F">
        <w:rPr>
          <w:rFonts w:cs="Arial"/>
          <w:sz w:val="26"/>
          <w:szCs w:val="26"/>
        </w:rPr>
        <w:t xml:space="preserve"> incumplido la instrucción, </w:t>
      </w:r>
      <w:r w:rsidR="00E07A2A">
        <w:rPr>
          <w:rFonts w:cs="Arial"/>
          <w:sz w:val="26"/>
          <w:szCs w:val="26"/>
        </w:rPr>
        <w:t xml:space="preserve">sino </w:t>
      </w:r>
      <w:r w:rsidR="00B61B2F">
        <w:rPr>
          <w:rFonts w:cs="Arial"/>
          <w:sz w:val="26"/>
          <w:szCs w:val="26"/>
        </w:rPr>
        <w:t xml:space="preserve">que </w:t>
      </w:r>
      <w:r w:rsidR="00E07A2A">
        <w:rPr>
          <w:rFonts w:cs="Arial"/>
          <w:sz w:val="26"/>
          <w:szCs w:val="26"/>
        </w:rPr>
        <w:t>se encontraban armado, consumiendo licor y, como él mismo reconoce, “</w:t>
      </w:r>
      <w:r w:rsidR="00E07A2A" w:rsidRPr="00E07A2A">
        <w:rPr>
          <w:rFonts w:cs="Arial"/>
          <w:i/>
          <w:sz w:val="26"/>
          <w:szCs w:val="26"/>
        </w:rPr>
        <w:t>exponiendo a los soldados que llevaba bajo su mando y la integridad de él mismo</w:t>
      </w:r>
      <w:r w:rsidR="00E07A2A">
        <w:rPr>
          <w:rFonts w:cs="Arial"/>
          <w:sz w:val="26"/>
          <w:szCs w:val="26"/>
        </w:rPr>
        <w:t xml:space="preserve">” </w:t>
      </w:r>
      <w:r w:rsidR="00E07A2A" w:rsidRPr="00E07A2A">
        <w:rPr>
          <w:rFonts w:cs="Arial"/>
          <w:sz w:val="22"/>
          <w:szCs w:val="22"/>
        </w:rPr>
        <w:t>(f. 194, c. 1)</w:t>
      </w:r>
      <w:r w:rsidR="00E07A2A">
        <w:rPr>
          <w:rFonts w:cs="Arial"/>
          <w:sz w:val="26"/>
          <w:szCs w:val="26"/>
        </w:rPr>
        <w:t>. No obstante, pese a lo evidente del riesgo que el uniformado había creado en torno suyo,</w:t>
      </w:r>
      <w:r w:rsidR="006E3C63">
        <w:rPr>
          <w:rFonts w:cs="Arial"/>
          <w:sz w:val="26"/>
          <w:szCs w:val="26"/>
        </w:rPr>
        <w:t xml:space="preserve"> prolongado por varias horas,</w:t>
      </w:r>
      <w:r w:rsidR="00E07A2A">
        <w:rPr>
          <w:rFonts w:cs="Arial"/>
          <w:sz w:val="26"/>
          <w:szCs w:val="26"/>
        </w:rPr>
        <w:t xml:space="preserve"> la </w:t>
      </w:r>
      <w:r w:rsidR="0009317D">
        <w:rPr>
          <w:rFonts w:cs="Arial"/>
          <w:sz w:val="26"/>
          <w:szCs w:val="26"/>
        </w:rPr>
        <w:t>conducta</w:t>
      </w:r>
      <w:r w:rsidR="00E07A2A">
        <w:rPr>
          <w:rFonts w:cs="Arial"/>
          <w:sz w:val="26"/>
          <w:szCs w:val="26"/>
        </w:rPr>
        <w:t xml:space="preserve"> del subteniente se circunscribió a unas llamadas telefónicas y a unas órdenes sin garantía alguna de ejecuci</w:t>
      </w:r>
      <w:r w:rsidR="006E3C63">
        <w:rPr>
          <w:rFonts w:cs="Arial"/>
          <w:sz w:val="26"/>
          <w:szCs w:val="26"/>
        </w:rPr>
        <w:t>ón material.</w:t>
      </w:r>
      <w:r w:rsidR="0009317D">
        <w:rPr>
          <w:rFonts w:cs="Arial"/>
          <w:sz w:val="26"/>
          <w:szCs w:val="26"/>
        </w:rPr>
        <w:t xml:space="preserve"> Así, ante un </w:t>
      </w:r>
      <w:r w:rsidR="001C58EC">
        <w:rPr>
          <w:rFonts w:cs="Arial"/>
          <w:sz w:val="26"/>
          <w:szCs w:val="26"/>
        </w:rPr>
        <w:t>peligro</w:t>
      </w:r>
      <w:r w:rsidR="0009317D">
        <w:rPr>
          <w:rFonts w:cs="Arial"/>
          <w:sz w:val="26"/>
          <w:szCs w:val="26"/>
        </w:rPr>
        <w:t xml:space="preserve"> real e inminente, la entidad ofreció una respuesta insuficiente y precaria, </w:t>
      </w:r>
      <w:r w:rsidR="001C58EC">
        <w:rPr>
          <w:rFonts w:cs="Arial"/>
          <w:sz w:val="26"/>
          <w:szCs w:val="26"/>
        </w:rPr>
        <w:t>muy inferior a lo que se espera de su misión constitucional.</w:t>
      </w:r>
    </w:p>
    <w:p w:rsidR="001C58EC" w:rsidRPr="006E5FAD" w:rsidRDefault="001C58EC" w:rsidP="006E5FAD">
      <w:pPr>
        <w:rPr>
          <w:rFonts w:cs="Arial"/>
          <w:sz w:val="26"/>
          <w:szCs w:val="26"/>
        </w:rPr>
      </w:pPr>
    </w:p>
    <w:p w:rsidR="001C58EC" w:rsidRDefault="0029093C" w:rsidP="00E07A2A">
      <w:pPr>
        <w:pStyle w:val="Listavistosa-nfasis11"/>
        <w:numPr>
          <w:ilvl w:val="1"/>
          <w:numId w:val="28"/>
        </w:numPr>
        <w:ind w:left="0" w:firstLine="0"/>
        <w:rPr>
          <w:rFonts w:cs="Arial"/>
          <w:sz w:val="26"/>
          <w:szCs w:val="26"/>
        </w:rPr>
      </w:pPr>
      <w:r>
        <w:rPr>
          <w:rFonts w:cs="Arial"/>
          <w:sz w:val="26"/>
          <w:szCs w:val="26"/>
        </w:rPr>
        <w:t xml:space="preserve">Nótese que el Juzgado Único Promiscuo del Circuito de Saravena, en el fallo condenatorio, dejó constancia de que Tame es un municipio pequeño y que la distancia entre la estación de policía y la base militar de Naranjitos, por la vía que conduce a Bogotá, es relativamente corta. Esto pone en evidencia que el subteniente Borja Pérez, o alguno de sus superiores, pudo </w:t>
      </w:r>
      <w:r w:rsidR="00215211">
        <w:rPr>
          <w:rFonts w:cs="Arial"/>
          <w:sz w:val="26"/>
          <w:szCs w:val="26"/>
        </w:rPr>
        <w:t>haber realizado</w:t>
      </w:r>
      <w:r>
        <w:rPr>
          <w:rFonts w:cs="Arial"/>
          <w:sz w:val="26"/>
          <w:szCs w:val="26"/>
        </w:rPr>
        <w:t xml:space="preserve"> un mejor esfuerzo para asegurar el retorno de los suboficiales al batallón y, así, garantizar la seguridad de la población y de los propios uniformados. El traslado personal al puesto de policía o a los locales comerciales, cercanos a este, no es una exigencia e</w:t>
      </w:r>
      <w:r w:rsidR="008C6F8B">
        <w:rPr>
          <w:rFonts w:cs="Arial"/>
          <w:sz w:val="26"/>
          <w:szCs w:val="26"/>
        </w:rPr>
        <w:t xml:space="preserve">xcesiva ni desproporcionada, sino un comportamiento perfectamente </w:t>
      </w:r>
      <w:r w:rsidR="00215211">
        <w:rPr>
          <w:rFonts w:cs="Arial"/>
          <w:sz w:val="26"/>
          <w:szCs w:val="26"/>
        </w:rPr>
        <w:t>posible</w:t>
      </w:r>
      <w:r w:rsidR="008C6F8B">
        <w:rPr>
          <w:rFonts w:cs="Arial"/>
          <w:sz w:val="26"/>
          <w:szCs w:val="26"/>
        </w:rPr>
        <w:t>. El paso de las horas sin tener noticia de los militares evadidos hacía aún más imperativa la adopción de medidas efectivas en ese sentido.</w:t>
      </w:r>
    </w:p>
    <w:p w:rsidR="008C6F8B" w:rsidRPr="00A003B6" w:rsidRDefault="008C6F8B" w:rsidP="00A003B6">
      <w:pPr>
        <w:rPr>
          <w:rFonts w:cs="Arial"/>
          <w:sz w:val="26"/>
          <w:szCs w:val="26"/>
        </w:rPr>
      </w:pPr>
    </w:p>
    <w:p w:rsidR="00D668C9" w:rsidRDefault="00DE0E1F" w:rsidP="00DE0E1F">
      <w:pPr>
        <w:pStyle w:val="Listavistosa-nfasis11"/>
        <w:numPr>
          <w:ilvl w:val="0"/>
          <w:numId w:val="28"/>
        </w:numPr>
        <w:tabs>
          <w:tab w:val="left" w:pos="709"/>
        </w:tabs>
        <w:ind w:left="0" w:firstLine="0"/>
        <w:rPr>
          <w:rFonts w:cs="Arial"/>
          <w:sz w:val="26"/>
          <w:szCs w:val="26"/>
        </w:rPr>
      </w:pPr>
      <w:r>
        <w:rPr>
          <w:rFonts w:cs="Arial"/>
          <w:sz w:val="26"/>
          <w:szCs w:val="26"/>
        </w:rPr>
        <w:t>Se reitera</w:t>
      </w:r>
      <w:r w:rsidRPr="00DE0E1F">
        <w:rPr>
          <w:rFonts w:cs="Arial"/>
          <w:sz w:val="26"/>
          <w:szCs w:val="26"/>
        </w:rPr>
        <w:t xml:space="preserve"> que la agresión sexual a la que fue sometida la joven Mónica Marisol Rodríguez hace parte de un contexto </w:t>
      </w:r>
      <w:r>
        <w:rPr>
          <w:rFonts w:cs="Arial"/>
          <w:sz w:val="26"/>
          <w:szCs w:val="26"/>
        </w:rPr>
        <w:t xml:space="preserve">más </w:t>
      </w:r>
      <w:r w:rsidRPr="00DE0E1F">
        <w:rPr>
          <w:rFonts w:cs="Arial"/>
          <w:sz w:val="26"/>
          <w:szCs w:val="26"/>
        </w:rPr>
        <w:t>general de violencia contra la mujer en el marco d</w:t>
      </w:r>
      <w:r>
        <w:rPr>
          <w:rFonts w:cs="Arial"/>
          <w:sz w:val="26"/>
          <w:szCs w:val="26"/>
        </w:rPr>
        <w:t xml:space="preserve">el conflicto armado </w:t>
      </w:r>
      <w:r w:rsidR="00215211">
        <w:rPr>
          <w:rFonts w:cs="Arial"/>
          <w:sz w:val="26"/>
          <w:szCs w:val="26"/>
        </w:rPr>
        <w:t>interno</w:t>
      </w:r>
      <w:r w:rsidR="004078D5">
        <w:rPr>
          <w:rStyle w:val="Refdenotaalpie"/>
          <w:sz w:val="26"/>
          <w:szCs w:val="26"/>
        </w:rPr>
        <w:footnoteReference w:id="53"/>
      </w:r>
      <w:r w:rsidRPr="00DE0E1F">
        <w:rPr>
          <w:rFonts w:cs="Arial"/>
          <w:sz w:val="26"/>
          <w:szCs w:val="26"/>
        </w:rPr>
        <w:t>.</w:t>
      </w:r>
      <w:r w:rsidR="00D668C9">
        <w:rPr>
          <w:rFonts w:cs="Arial"/>
          <w:sz w:val="26"/>
          <w:szCs w:val="26"/>
        </w:rPr>
        <w:t xml:space="preserve"> Como ya se señaló, para la fecha de los hechos, la violencia sexual en medio de la guerra era un fenómeno extendido y sistemático, en el cual participaban, aunque en menor escala, miembros de la Fuerza Pública. En el departamento de Arauca, tan solo en ese año, la violencia sexual había dejado más de treinta víctimas, en su gran mayoría mujeres.</w:t>
      </w:r>
    </w:p>
    <w:p w:rsidR="00DE0E1F" w:rsidRPr="00D668C9" w:rsidRDefault="00DE0E1F" w:rsidP="00D668C9">
      <w:pPr>
        <w:rPr>
          <w:rFonts w:eastAsia="Times New Roman" w:cs="Arial"/>
          <w:sz w:val="26"/>
          <w:szCs w:val="26"/>
        </w:rPr>
      </w:pPr>
    </w:p>
    <w:p w:rsidR="00DE0E1F" w:rsidRPr="00BF7E21" w:rsidRDefault="00DE0E1F" w:rsidP="00DE0E1F">
      <w:pPr>
        <w:pStyle w:val="Listavistosa-nfasis11"/>
        <w:numPr>
          <w:ilvl w:val="1"/>
          <w:numId w:val="28"/>
        </w:numPr>
        <w:tabs>
          <w:tab w:val="left" w:pos="851"/>
        </w:tabs>
        <w:ind w:left="0" w:firstLine="0"/>
        <w:rPr>
          <w:rFonts w:cs="Arial"/>
          <w:sz w:val="26"/>
          <w:szCs w:val="26"/>
        </w:rPr>
      </w:pPr>
      <w:r>
        <w:rPr>
          <w:rFonts w:eastAsia="Times New Roman" w:cs="Arial"/>
          <w:sz w:val="26"/>
          <w:szCs w:val="26"/>
        </w:rPr>
        <w:t>Es claro que</w:t>
      </w:r>
      <w:r w:rsidRPr="00F134F9">
        <w:rPr>
          <w:rFonts w:eastAsia="Times New Roman" w:cs="Arial"/>
          <w:sz w:val="26"/>
          <w:szCs w:val="26"/>
        </w:rPr>
        <w:t xml:space="preserve"> e</w:t>
      </w:r>
      <w:r>
        <w:rPr>
          <w:rFonts w:eastAsia="Times New Roman" w:cs="Arial"/>
          <w:sz w:val="26"/>
          <w:szCs w:val="26"/>
        </w:rPr>
        <w:t>ste</w:t>
      </w:r>
      <w:r w:rsidRPr="00F134F9">
        <w:rPr>
          <w:rFonts w:eastAsia="Times New Roman" w:cs="Arial"/>
          <w:sz w:val="26"/>
          <w:szCs w:val="26"/>
        </w:rPr>
        <w:t xml:space="preserve"> contexto de violencia configura una situación general que incide sobr</w:t>
      </w:r>
      <w:r w:rsidR="00D668C9">
        <w:rPr>
          <w:rFonts w:eastAsia="Times New Roman" w:cs="Arial"/>
          <w:sz w:val="26"/>
          <w:szCs w:val="26"/>
        </w:rPr>
        <w:t>e la situación particular de la víctima</w:t>
      </w:r>
      <w:r w:rsidRPr="00F134F9">
        <w:rPr>
          <w:rFonts w:eastAsia="Times New Roman" w:cs="Arial"/>
          <w:sz w:val="26"/>
          <w:szCs w:val="26"/>
        </w:rPr>
        <w:t xml:space="preserve"> y sobre el tipo de respuestas que debe brindar el Estado</w:t>
      </w:r>
      <w:r w:rsidRPr="00F134F9">
        <w:rPr>
          <w:rFonts w:eastAsia="Times New Roman"/>
          <w:vertAlign w:val="superscript"/>
        </w:rPr>
        <w:footnoteReference w:id="54"/>
      </w:r>
      <w:r w:rsidR="0098384F">
        <w:rPr>
          <w:rFonts w:eastAsia="Times New Roman" w:cs="Arial"/>
          <w:sz w:val="26"/>
          <w:szCs w:val="26"/>
        </w:rPr>
        <w:t>. Como lo</w:t>
      </w:r>
      <w:r w:rsidRPr="00F134F9">
        <w:rPr>
          <w:rFonts w:eastAsia="Times New Roman" w:cs="Arial"/>
          <w:sz w:val="26"/>
          <w:szCs w:val="26"/>
        </w:rPr>
        <w:t xml:space="preserve"> ha señalado </w:t>
      </w:r>
      <w:r>
        <w:rPr>
          <w:rFonts w:eastAsia="Times New Roman" w:cs="Arial"/>
          <w:sz w:val="26"/>
          <w:szCs w:val="26"/>
        </w:rPr>
        <w:t>esta</w:t>
      </w:r>
      <w:r w:rsidRPr="00F134F9">
        <w:rPr>
          <w:rFonts w:eastAsia="Times New Roman" w:cs="Arial"/>
          <w:sz w:val="26"/>
          <w:szCs w:val="26"/>
        </w:rPr>
        <w:t xml:space="preserve"> S</w:t>
      </w:r>
      <w:r>
        <w:rPr>
          <w:rFonts w:eastAsia="Times New Roman" w:cs="Arial"/>
          <w:sz w:val="26"/>
          <w:szCs w:val="26"/>
        </w:rPr>
        <w:t>ubsección</w:t>
      </w:r>
      <w:r w:rsidRPr="00F134F9">
        <w:rPr>
          <w:rFonts w:eastAsia="Times New Roman" w:cs="Arial"/>
          <w:sz w:val="26"/>
          <w:szCs w:val="26"/>
        </w:rPr>
        <w:t xml:space="preserve">, el riesgo general configura una situación de violencia generalizada </w:t>
      </w:r>
      <w:r>
        <w:rPr>
          <w:rFonts w:eastAsia="Times New Roman" w:cs="Arial"/>
          <w:sz w:val="26"/>
          <w:szCs w:val="26"/>
        </w:rPr>
        <w:t xml:space="preserve">que </w:t>
      </w:r>
      <w:r w:rsidRPr="00F134F9">
        <w:rPr>
          <w:rFonts w:eastAsia="Times New Roman" w:cs="Arial"/>
          <w:sz w:val="26"/>
          <w:szCs w:val="26"/>
        </w:rPr>
        <w:t xml:space="preserve">califica la expectativa de respuesta del Estado ante el riesgo particular de la persona o, dicho de otra forma, el riesgo general contribuye </w:t>
      </w:r>
      <w:r>
        <w:rPr>
          <w:rFonts w:eastAsia="Times New Roman" w:cs="Arial"/>
          <w:sz w:val="26"/>
          <w:szCs w:val="26"/>
        </w:rPr>
        <w:t>a definir las características de</w:t>
      </w:r>
      <w:r w:rsidRPr="00F134F9">
        <w:rPr>
          <w:rFonts w:eastAsia="Times New Roman" w:cs="Arial"/>
          <w:sz w:val="26"/>
          <w:szCs w:val="26"/>
        </w:rPr>
        <w:t xml:space="preserve"> previsibilidad y evitabilidad del riesgo particular</w:t>
      </w:r>
      <w:r w:rsidRPr="00407C04">
        <w:rPr>
          <w:vertAlign w:val="superscript"/>
          <w:lang w:val="es-ES"/>
        </w:rPr>
        <w:footnoteReference w:id="55"/>
      </w:r>
      <w:r w:rsidRPr="00F134F9">
        <w:rPr>
          <w:rFonts w:eastAsia="Times New Roman" w:cs="Arial"/>
          <w:sz w:val="26"/>
          <w:szCs w:val="26"/>
        </w:rPr>
        <w:t xml:space="preserve">. Por esa razón, los datos del contexto son relevantes para definir el alcance de las obligaciones estatales de respeto, garantía y protección frente </w:t>
      </w:r>
      <w:r>
        <w:rPr>
          <w:rFonts w:eastAsia="Times New Roman" w:cs="Arial"/>
          <w:sz w:val="26"/>
          <w:szCs w:val="26"/>
        </w:rPr>
        <w:t>a los derechos amenazados en el caso concreto</w:t>
      </w:r>
      <w:r w:rsidRPr="00F134F9">
        <w:rPr>
          <w:rFonts w:eastAsia="Times New Roman" w:cs="Arial"/>
          <w:sz w:val="26"/>
          <w:szCs w:val="26"/>
        </w:rPr>
        <w:t>.</w:t>
      </w:r>
    </w:p>
    <w:p w:rsidR="00DE0E1F" w:rsidRPr="00BF7E21" w:rsidRDefault="00DE0E1F" w:rsidP="00DE0E1F">
      <w:pPr>
        <w:pStyle w:val="Listavistosa-nfasis11"/>
        <w:rPr>
          <w:rFonts w:cs="Arial"/>
          <w:sz w:val="26"/>
          <w:szCs w:val="26"/>
        </w:rPr>
      </w:pPr>
    </w:p>
    <w:p w:rsidR="00DE0E1F" w:rsidRPr="00BF7E21" w:rsidRDefault="00DE0E1F" w:rsidP="00DE0E1F">
      <w:pPr>
        <w:pStyle w:val="Listavistosa-nfasis11"/>
        <w:numPr>
          <w:ilvl w:val="1"/>
          <w:numId w:val="28"/>
        </w:numPr>
        <w:tabs>
          <w:tab w:val="left" w:pos="851"/>
        </w:tabs>
        <w:ind w:left="0" w:firstLine="0"/>
        <w:rPr>
          <w:rFonts w:cs="Arial"/>
          <w:sz w:val="26"/>
          <w:szCs w:val="26"/>
        </w:rPr>
      </w:pPr>
      <w:r>
        <w:rPr>
          <w:rFonts w:cs="Arial"/>
          <w:sz w:val="26"/>
          <w:szCs w:val="26"/>
        </w:rPr>
        <w:t>Estos altos compromisos</w:t>
      </w:r>
      <w:r w:rsidRPr="00BF7E21">
        <w:rPr>
          <w:rFonts w:cs="Arial"/>
          <w:sz w:val="26"/>
          <w:szCs w:val="26"/>
        </w:rPr>
        <w:t xml:space="preserve"> </w:t>
      </w:r>
      <w:r w:rsidRPr="00BF7E21">
        <w:rPr>
          <w:rFonts w:cs="Arial"/>
          <w:sz w:val="26"/>
          <w:szCs w:val="26"/>
          <w:lang w:val="es-ES"/>
        </w:rPr>
        <w:t>impone</w:t>
      </w:r>
      <w:r>
        <w:rPr>
          <w:rFonts w:cs="Arial"/>
          <w:sz w:val="26"/>
          <w:szCs w:val="26"/>
          <w:lang w:val="es-ES"/>
        </w:rPr>
        <w:t>n</w:t>
      </w:r>
      <w:r w:rsidRPr="00BF7E21">
        <w:rPr>
          <w:rFonts w:cs="Arial"/>
          <w:sz w:val="26"/>
          <w:szCs w:val="26"/>
          <w:lang w:val="es-ES"/>
        </w:rPr>
        <w:t xml:space="preserve"> al Estado </w:t>
      </w:r>
      <w:r w:rsidR="007C2D9F">
        <w:rPr>
          <w:rFonts w:cs="Arial"/>
          <w:sz w:val="26"/>
          <w:szCs w:val="26"/>
          <w:lang w:val="es-ES"/>
        </w:rPr>
        <w:t xml:space="preserve">colombiano </w:t>
      </w:r>
      <w:r w:rsidRPr="00BF7E21">
        <w:rPr>
          <w:rFonts w:cs="Arial"/>
          <w:sz w:val="26"/>
          <w:szCs w:val="26"/>
          <w:lang w:val="es-ES"/>
        </w:rPr>
        <w:t>el deber de conocer los riesgos –en razón de</w:t>
      </w:r>
      <w:r w:rsidR="007C2D9F">
        <w:rPr>
          <w:rFonts w:cs="Arial"/>
          <w:sz w:val="26"/>
          <w:szCs w:val="26"/>
          <w:lang w:val="es-ES"/>
        </w:rPr>
        <w:t xml:space="preserve"> su obligación de monitoreo y</w:t>
      </w:r>
      <w:r w:rsidRPr="00BF7E21">
        <w:rPr>
          <w:rFonts w:cs="Arial"/>
          <w:sz w:val="26"/>
          <w:szCs w:val="26"/>
          <w:lang w:val="es-ES"/>
        </w:rPr>
        <w:t xml:space="preserve"> evaluación de la situación de violencia de género</w:t>
      </w:r>
      <w:r w:rsidRPr="00407C04">
        <w:rPr>
          <w:vertAlign w:val="superscript"/>
          <w:lang w:val="es-ES"/>
        </w:rPr>
        <w:footnoteReference w:id="56"/>
      </w:r>
      <w:r w:rsidRPr="00BF7E21">
        <w:rPr>
          <w:rFonts w:cs="Arial"/>
          <w:sz w:val="26"/>
          <w:szCs w:val="26"/>
          <w:lang w:val="es-ES"/>
        </w:rPr>
        <w:t>– y de reaccionar frente a los mismos –en virtud de su deber de adecuar la ley interna, implementar políticas de protección y prever mecanismos efectivos de tutela judicial</w:t>
      </w:r>
      <w:r w:rsidRPr="00407C04">
        <w:rPr>
          <w:vertAlign w:val="superscript"/>
          <w:lang w:val="es-ES"/>
        </w:rPr>
        <w:footnoteReference w:id="57"/>
      </w:r>
      <w:r w:rsidRPr="00BF7E21">
        <w:rPr>
          <w:rFonts w:cs="Arial"/>
          <w:sz w:val="26"/>
          <w:szCs w:val="26"/>
          <w:lang w:val="es-ES"/>
        </w:rPr>
        <w:t>–.</w:t>
      </w:r>
    </w:p>
    <w:p w:rsidR="00DE0E1F" w:rsidRPr="00BF7E21" w:rsidRDefault="00DE0E1F" w:rsidP="00DE0E1F">
      <w:pPr>
        <w:rPr>
          <w:rFonts w:cs="Arial"/>
          <w:sz w:val="26"/>
          <w:szCs w:val="26"/>
        </w:rPr>
      </w:pPr>
    </w:p>
    <w:p w:rsidR="00DE0E1F" w:rsidRPr="00BF7E21" w:rsidRDefault="00DE0E1F" w:rsidP="00DE0E1F">
      <w:pPr>
        <w:pStyle w:val="Listavistosa-nfasis11"/>
        <w:numPr>
          <w:ilvl w:val="1"/>
          <w:numId w:val="28"/>
        </w:numPr>
        <w:ind w:left="0" w:firstLine="0"/>
        <w:rPr>
          <w:rFonts w:cs="Arial"/>
          <w:sz w:val="26"/>
          <w:szCs w:val="26"/>
        </w:rPr>
      </w:pPr>
      <w:r>
        <w:rPr>
          <w:rFonts w:cs="Arial"/>
          <w:sz w:val="26"/>
          <w:szCs w:val="26"/>
        </w:rPr>
        <w:t>De lo anterior se desprende que</w:t>
      </w:r>
      <w:r w:rsidRPr="00BF7E21">
        <w:rPr>
          <w:rFonts w:cs="Arial"/>
          <w:sz w:val="26"/>
          <w:szCs w:val="26"/>
        </w:rPr>
        <w:t xml:space="preserve"> </w:t>
      </w:r>
      <w:r>
        <w:rPr>
          <w:rFonts w:cs="Arial"/>
          <w:sz w:val="26"/>
          <w:szCs w:val="26"/>
        </w:rPr>
        <w:t>la entidad demandada tenía o, en todo caso, debía tener</w:t>
      </w:r>
      <w:r w:rsidRPr="00BF7E21">
        <w:rPr>
          <w:rFonts w:cs="Arial"/>
          <w:sz w:val="26"/>
          <w:szCs w:val="26"/>
        </w:rPr>
        <w:t xml:space="preserve"> conocimiento de la situación de violencia contra las mujeres en el </w:t>
      </w:r>
      <w:r>
        <w:rPr>
          <w:rFonts w:cs="Arial"/>
          <w:sz w:val="26"/>
          <w:szCs w:val="26"/>
        </w:rPr>
        <w:t xml:space="preserve">marco del </w:t>
      </w:r>
      <w:r w:rsidRPr="00BF7E21">
        <w:rPr>
          <w:rFonts w:cs="Arial"/>
          <w:sz w:val="26"/>
          <w:szCs w:val="26"/>
        </w:rPr>
        <w:t xml:space="preserve">conflicto armado, no solo porque le asiste el deber de </w:t>
      </w:r>
      <w:r>
        <w:rPr>
          <w:rFonts w:cs="Arial"/>
          <w:sz w:val="26"/>
          <w:szCs w:val="26"/>
        </w:rPr>
        <w:t xml:space="preserve">vigilar y registrar este tipo de violencia, sino porque agentes suyos </w:t>
      </w:r>
      <w:r w:rsidR="00902DCB">
        <w:rPr>
          <w:rFonts w:cs="Arial"/>
          <w:sz w:val="26"/>
          <w:szCs w:val="26"/>
        </w:rPr>
        <w:t>habían estado</w:t>
      </w:r>
      <w:r>
        <w:rPr>
          <w:rFonts w:cs="Arial"/>
          <w:sz w:val="26"/>
          <w:szCs w:val="26"/>
        </w:rPr>
        <w:t xml:space="preserve"> involucrados en tan lamentable situación.</w:t>
      </w:r>
    </w:p>
    <w:p w:rsidR="00DE0E1F" w:rsidRDefault="00DE0E1F" w:rsidP="00DE0E1F">
      <w:pPr>
        <w:rPr>
          <w:rFonts w:cs="Arial"/>
          <w:sz w:val="26"/>
          <w:szCs w:val="26"/>
        </w:rPr>
      </w:pPr>
    </w:p>
    <w:p w:rsidR="00DE0E1F" w:rsidRPr="00185BE4" w:rsidRDefault="00DE0E1F" w:rsidP="00185BE4">
      <w:pPr>
        <w:pStyle w:val="Listavistosa-nfasis11"/>
        <w:numPr>
          <w:ilvl w:val="1"/>
          <w:numId w:val="28"/>
        </w:numPr>
        <w:ind w:left="0" w:firstLine="0"/>
        <w:rPr>
          <w:rFonts w:cs="Arial"/>
          <w:sz w:val="26"/>
          <w:szCs w:val="26"/>
        </w:rPr>
      </w:pPr>
      <w:r w:rsidRPr="003A580D">
        <w:rPr>
          <w:rFonts w:cs="Arial"/>
          <w:sz w:val="26"/>
          <w:szCs w:val="26"/>
        </w:rPr>
        <w:t xml:space="preserve">Aunque la violencia sexual ejercida por </w:t>
      </w:r>
      <w:r w:rsidR="00185BE4">
        <w:rPr>
          <w:rFonts w:cs="Arial"/>
          <w:sz w:val="26"/>
          <w:szCs w:val="26"/>
        </w:rPr>
        <w:t xml:space="preserve">algunos miembros de </w:t>
      </w:r>
      <w:r w:rsidRPr="003A580D">
        <w:rPr>
          <w:rFonts w:cs="Arial"/>
          <w:sz w:val="26"/>
          <w:szCs w:val="26"/>
        </w:rPr>
        <w:t xml:space="preserve">la Fuerza Pública </w:t>
      </w:r>
      <w:r w:rsidR="00185BE4">
        <w:rPr>
          <w:rFonts w:cs="Arial"/>
          <w:sz w:val="26"/>
          <w:szCs w:val="26"/>
        </w:rPr>
        <w:t>deb</w:t>
      </w:r>
      <w:r w:rsidRPr="003A580D">
        <w:rPr>
          <w:rFonts w:cs="Arial"/>
          <w:sz w:val="26"/>
          <w:szCs w:val="26"/>
        </w:rPr>
        <w:t>e interpretarse, en efecto, como un fenómeno atribuible a agentes individualmente considerados</w:t>
      </w:r>
      <w:r w:rsidR="00185BE4">
        <w:rPr>
          <w:rStyle w:val="Refdenotaalpie"/>
          <w:sz w:val="26"/>
          <w:szCs w:val="26"/>
        </w:rPr>
        <w:footnoteReference w:id="58"/>
      </w:r>
      <w:r w:rsidR="00185BE4">
        <w:rPr>
          <w:rFonts w:cs="Arial"/>
          <w:sz w:val="26"/>
          <w:szCs w:val="26"/>
        </w:rPr>
        <w:t xml:space="preserve"> y no como una práctica general de la institución –lo cual sería insostenible–</w:t>
      </w:r>
      <w:r w:rsidRPr="00185BE4">
        <w:rPr>
          <w:rFonts w:cs="Arial"/>
          <w:sz w:val="26"/>
          <w:szCs w:val="26"/>
        </w:rPr>
        <w:t>, es innegable que los altos índices de participación de miembros de esa institución en tales hechos evidencian una situación que, cuando menos, debía alentar a la entidad a adoptar las medidas de prevención necesarias para evitar su ocurrencia.</w:t>
      </w:r>
    </w:p>
    <w:p w:rsidR="00BD490C" w:rsidRDefault="00BD490C" w:rsidP="00BD490C">
      <w:pPr>
        <w:pStyle w:val="Listavistosa-nfasis11"/>
        <w:ind w:left="0"/>
        <w:rPr>
          <w:rFonts w:cs="Arial"/>
          <w:sz w:val="26"/>
          <w:szCs w:val="26"/>
        </w:rPr>
      </w:pPr>
    </w:p>
    <w:p w:rsidR="00BD490C" w:rsidRDefault="00BD490C" w:rsidP="00BD490C">
      <w:pPr>
        <w:pStyle w:val="Listavistosa-nfasis11"/>
        <w:numPr>
          <w:ilvl w:val="1"/>
          <w:numId w:val="28"/>
        </w:numPr>
        <w:ind w:left="0" w:firstLine="0"/>
        <w:rPr>
          <w:rFonts w:cs="Arial"/>
          <w:sz w:val="26"/>
          <w:szCs w:val="26"/>
        </w:rPr>
      </w:pPr>
      <w:r>
        <w:rPr>
          <w:rFonts w:cs="Arial"/>
          <w:sz w:val="26"/>
          <w:szCs w:val="26"/>
        </w:rPr>
        <w:t>Visto el contexto en que se produjeron los hechos, le asiste razón a la parte actora cuando considera, en el último argumento del recurso de apelación, que “</w:t>
      </w:r>
      <w:r w:rsidRPr="00BD490C">
        <w:rPr>
          <w:rFonts w:cs="Arial"/>
          <w:i/>
          <w:sz w:val="26"/>
          <w:szCs w:val="26"/>
        </w:rPr>
        <w:t>dada la terrible confrontación armada que padece el municipio de Tame, la inseguridad ciudadana, la condición de encierro, la disciplina férrea a que está sometida la tropa y el que los violadores se encontraran armados, permitía suponer la comisión de ilícitos como el que ocurrió, para lo que se hacía necesario, si de evitarlo se trataba, ejercer estricta vigilancia y control del personal</w:t>
      </w:r>
      <w:r>
        <w:rPr>
          <w:rFonts w:cs="Arial"/>
          <w:sz w:val="26"/>
          <w:szCs w:val="26"/>
        </w:rPr>
        <w:t xml:space="preserve">” </w:t>
      </w:r>
      <w:r w:rsidRPr="00BD490C">
        <w:rPr>
          <w:rFonts w:cs="Arial"/>
          <w:sz w:val="22"/>
          <w:szCs w:val="26"/>
        </w:rPr>
        <w:t xml:space="preserve">(f. 733-734, c. </w:t>
      </w:r>
      <w:r>
        <w:rPr>
          <w:rFonts w:cs="Arial"/>
          <w:sz w:val="22"/>
          <w:szCs w:val="26"/>
        </w:rPr>
        <w:t>8</w:t>
      </w:r>
      <w:r w:rsidRPr="00BD490C">
        <w:rPr>
          <w:rFonts w:cs="Arial"/>
          <w:sz w:val="22"/>
          <w:szCs w:val="26"/>
        </w:rPr>
        <w:t>)</w:t>
      </w:r>
      <w:r>
        <w:rPr>
          <w:rFonts w:cs="Arial"/>
          <w:sz w:val="26"/>
          <w:szCs w:val="26"/>
        </w:rPr>
        <w:t>.</w:t>
      </w:r>
    </w:p>
    <w:p w:rsidR="00A003B6" w:rsidRPr="00BD490C" w:rsidRDefault="00A003B6" w:rsidP="00BD490C">
      <w:pPr>
        <w:rPr>
          <w:rFonts w:cs="Arial"/>
          <w:sz w:val="26"/>
          <w:szCs w:val="26"/>
        </w:rPr>
      </w:pPr>
    </w:p>
    <w:p w:rsidR="00902DCB" w:rsidRPr="00902DCB" w:rsidRDefault="00902DCB" w:rsidP="00902DCB">
      <w:pPr>
        <w:pStyle w:val="Listavistosa-nfasis11"/>
        <w:numPr>
          <w:ilvl w:val="1"/>
          <w:numId w:val="28"/>
        </w:numPr>
        <w:ind w:left="0" w:firstLine="0"/>
        <w:rPr>
          <w:rFonts w:cs="Arial"/>
          <w:sz w:val="26"/>
          <w:szCs w:val="26"/>
        </w:rPr>
      </w:pPr>
      <w:r w:rsidRPr="00902DCB">
        <w:rPr>
          <w:rFonts w:cs="Arial"/>
          <w:sz w:val="26"/>
          <w:szCs w:val="26"/>
        </w:rPr>
        <w:t>Recuérdese que la integridad personal de la mujer comprende el derecho a una vida libre de violencia, es decir, el derecho a no sufrir acciones o conductas que, por razones de género, afecten su integridad física, sexual o psicológica</w:t>
      </w:r>
      <w:r>
        <w:rPr>
          <w:rStyle w:val="Refdenotaalpie"/>
          <w:sz w:val="26"/>
          <w:szCs w:val="26"/>
        </w:rPr>
        <w:footnoteReference w:id="59"/>
      </w:r>
      <w:r w:rsidRPr="00902DCB">
        <w:rPr>
          <w:rFonts w:cs="Arial"/>
          <w:sz w:val="26"/>
          <w:szCs w:val="26"/>
        </w:rPr>
        <w:t>.</w:t>
      </w:r>
      <w:r>
        <w:rPr>
          <w:rFonts w:cs="Arial"/>
          <w:sz w:val="26"/>
          <w:szCs w:val="26"/>
        </w:rPr>
        <w:t xml:space="preserve"> </w:t>
      </w:r>
      <w:r w:rsidRPr="00902DCB">
        <w:rPr>
          <w:rFonts w:cs="Arial"/>
          <w:sz w:val="26"/>
          <w:szCs w:val="26"/>
        </w:rPr>
        <w:t xml:space="preserve">Frente a un derecho tan esencial como la integridad personal, el Estado tiene una obligación de doble </w:t>
      </w:r>
      <w:r>
        <w:rPr>
          <w:rFonts w:cs="Arial"/>
          <w:sz w:val="26"/>
          <w:szCs w:val="26"/>
        </w:rPr>
        <w:t>naturaleza</w:t>
      </w:r>
      <w:r w:rsidRPr="00902DCB">
        <w:rPr>
          <w:rFonts w:cs="Arial"/>
          <w:sz w:val="26"/>
          <w:szCs w:val="26"/>
        </w:rPr>
        <w:t xml:space="preserve">: </w:t>
      </w:r>
      <w:r w:rsidRPr="00902DCB">
        <w:rPr>
          <w:sz w:val="26"/>
          <w:szCs w:val="26"/>
          <w:lang w:val="es-ES"/>
        </w:rPr>
        <w:t>por una parte, abstenerse de vulnerarlo por la acción directa de su</w:t>
      </w:r>
      <w:r w:rsidR="002E57E7">
        <w:rPr>
          <w:sz w:val="26"/>
          <w:szCs w:val="26"/>
          <w:lang w:val="es-ES"/>
        </w:rPr>
        <w:t>s agentes (obligación negativa)</w:t>
      </w:r>
      <w:r w:rsidRPr="00902DCB">
        <w:rPr>
          <w:sz w:val="26"/>
          <w:szCs w:val="26"/>
          <w:lang w:val="es-ES"/>
        </w:rPr>
        <w:t xml:space="preserve"> y</w:t>
      </w:r>
      <w:r w:rsidR="002E57E7">
        <w:rPr>
          <w:sz w:val="26"/>
          <w:szCs w:val="26"/>
          <w:lang w:val="es-ES"/>
        </w:rPr>
        <w:t>,</w:t>
      </w:r>
      <w:r w:rsidRPr="00902DCB">
        <w:rPr>
          <w:sz w:val="26"/>
          <w:szCs w:val="26"/>
          <w:lang w:val="es-ES"/>
        </w:rPr>
        <w:t xml:space="preserve"> de otro lado, a la luz de su obligación de garantizar el pleno ejercicio de los derechos, adoptar todas las medidas apropiadas para protegerlo y preservarlo (obligación positiva)</w:t>
      </w:r>
      <w:r w:rsidRPr="00381E41">
        <w:rPr>
          <w:rFonts w:eastAsia="Times New Roman"/>
          <w:vertAlign w:val="superscript"/>
          <w:lang w:val="es-ES" w:eastAsia="es-ES"/>
        </w:rPr>
        <w:footnoteReference w:id="60"/>
      </w:r>
      <w:r w:rsidRPr="00902DCB">
        <w:rPr>
          <w:rFonts w:eastAsia="Times New Roman" w:cs="Arial"/>
          <w:sz w:val="26"/>
          <w:szCs w:val="26"/>
          <w:lang w:val="es-ES" w:eastAsia="es-ES"/>
        </w:rPr>
        <w:t>.</w:t>
      </w:r>
    </w:p>
    <w:p w:rsidR="00902DCB" w:rsidRPr="005C2C36" w:rsidRDefault="00902DCB" w:rsidP="00902DCB">
      <w:pPr>
        <w:rPr>
          <w:rFonts w:cs="Arial"/>
          <w:sz w:val="26"/>
          <w:szCs w:val="26"/>
        </w:rPr>
      </w:pPr>
    </w:p>
    <w:p w:rsidR="00902DCB" w:rsidRPr="004070DC" w:rsidRDefault="00902DCB" w:rsidP="00902DCB">
      <w:pPr>
        <w:pStyle w:val="Listavistosa-nfasis11"/>
        <w:numPr>
          <w:ilvl w:val="1"/>
          <w:numId w:val="28"/>
        </w:numPr>
        <w:ind w:left="0" w:firstLine="0"/>
        <w:rPr>
          <w:rFonts w:cs="Arial"/>
          <w:sz w:val="26"/>
          <w:szCs w:val="26"/>
        </w:rPr>
      </w:pPr>
      <w:r>
        <w:rPr>
          <w:rFonts w:cs="Arial"/>
          <w:sz w:val="26"/>
          <w:szCs w:val="26"/>
          <w:lang w:val="es-ES"/>
        </w:rPr>
        <w:t>Estas</w:t>
      </w:r>
      <w:r w:rsidRPr="005C2C36">
        <w:rPr>
          <w:rFonts w:cs="Arial"/>
          <w:sz w:val="26"/>
          <w:szCs w:val="26"/>
          <w:lang w:val="es-ES"/>
        </w:rPr>
        <w:t xml:space="preserve"> obligaci</w:t>
      </w:r>
      <w:r>
        <w:rPr>
          <w:rFonts w:cs="Arial"/>
          <w:sz w:val="26"/>
          <w:szCs w:val="26"/>
          <w:lang w:val="es-ES"/>
        </w:rPr>
        <w:t>o</w:t>
      </w:r>
      <w:r w:rsidRPr="005C2C36">
        <w:rPr>
          <w:rFonts w:cs="Arial"/>
          <w:sz w:val="26"/>
          <w:szCs w:val="26"/>
          <w:lang w:val="es-ES"/>
        </w:rPr>
        <w:t>n</w:t>
      </w:r>
      <w:r>
        <w:rPr>
          <w:rFonts w:cs="Arial"/>
          <w:sz w:val="26"/>
          <w:szCs w:val="26"/>
          <w:lang w:val="es-ES"/>
        </w:rPr>
        <w:t>es de respeto y garantía</w:t>
      </w:r>
      <w:r w:rsidRPr="005C2C36">
        <w:rPr>
          <w:rFonts w:cs="Arial"/>
          <w:sz w:val="26"/>
          <w:szCs w:val="26"/>
          <w:lang w:val="es-ES"/>
        </w:rPr>
        <w:t xml:space="preserve"> demanda</w:t>
      </w:r>
      <w:r>
        <w:rPr>
          <w:rFonts w:cs="Arial"/>
          <w:sz w:val="26"/>
          <w:szCs w:val="26"/>
          <w:lang w:val="es-ES"/>
        </w:rPr>
        <w:t>n</w:t>
      </w:r>
      <w:r w:rsidRPr="005C2C36">
        <w:rPr>
          <w:rFonts w:cs="Arial"/>
          <w:sz w:val="26"/>
          <w:szCs w:val="26"/>
          <w:lang w:val="es-ES"/>
        </w:rPr>
        <w:t xml:space="preserve"> de</w:t>
      </w:r>
      <w:r>
        <w:rPr>
          <w:rFonts w:cs="Arial"/>
          <w:sz w:val="26"/>
          <w:szCs w:val="26"/>
          <w:lang w:val="es-ES"/>
        </w:rPr>
        <w:t>l Estado</w:t>
      </w:r>
      <w:r w:rsidRPr="005C2C36">
        <w:rPr>
          <w:rFonts w:cs="Arial"/>
          <w:sz w:val="26"/>
          <w:szCs w:val="26"/>
          <w:lang w:val="es-ES"/>
        </w:rPr>
        <w:t xml:space="preserve"> una actividad de prevención y protección de l</w:t>
      </w:r>
      <w:r>
        <w:rPr>
          <w:rFonts w:cs="Arial"/>
          <w:sz w:val="26"/>
          <w:szCs w:val="26"/>
          <w:lang w:val="es-ES"/>
        </w:rPr>
        <w:t>a</w:t>
      </w:r>
      <w:r w:rsidRPr="005C2C36">
        <w:rPr>
          <w:rFonts w:cs="Arial"/>
          <w:sz w:val="26"/>
          <w:szCs w:val="26"/>
          <w:lang w:val="es-ES"/>
        </w:rPr>
        <w:t xml:space="preserve">s </w:t>
      </w:r>
      <w:r>
        <w:rPr>
          <w:rFonts w:cs="Arial"/>
          <w:sz w:val="26"/>
          <w:szCs w:val="26"/>
          <w:lang w:val="es-ES"/>
        </w:rPr>
        <w:t>personas</w:t>
      </w:r>
      <w:r w:rsidRPr="005C2C36">
        <w:rPr>
          <w:rFonts w:cs="Arial"/>
          <w:sz w:val="26"/>
          <w:szCs w:val="26"/>
          <w:lang w:val="es-ES"/>
        </w:rPr>
        <w:t xml:space="preserve"> </w:t>
      </w:r>
      <w:r w:rsidR="002E57E7">
        <w:rPr>
          <w:rFonts w:cs="Arial"/>
          <w:sz w:val="26"/>
          <w:szCs w:val="26"/>
          <w:lang w:val="es-ES"/>
        </w:rPr>
        <w:t>frente a potenciales o reales</w:t>
      </w:r>
      <w:r w:rsidRPr="005C2C36">
        <w:rPr>
          <w:rFonts w:cs="Arial"/>
          <w:sz w:val="26"/>
          <w:szCs w:val="26"/>
          <w:lang w:val="es-ES"/>
        </w:rPr>
        <w:t xml:space="preserve"> actos criminales de </w:t>
      </w:r>
      <w:r>
        <w:rPr>
          <w:rFonts w:cs="Arial"/>
          <w:sz w:val="26"/>
          <w:szCs w:val="26"/>
          <w:lang w:val="es-ES"/>
        </w:rPr>
        <w:t xml:space="preserve">sus propios agentes o de otros individuos, además del deber de </w:t>
      </w:r>
      <w:r w:rsidRPr="00A5491E">
        <w:rPr>
          <w:rFonts w:cs="Arial"/>
          <w:sz w:val="26"/>
          <w:szCs w:val="26"/>
          <w:lang w:val="es-ES"/>
        </w:rPr>
        <w:t>investigar efectivamente estas situaciones</w:t>
      </w:r>
      <w:r>
        <w:rPr>
          <w:rFonts w:cs="Arial"/>
          <w:sz w:val="26"/>
          <w:szCs w:val="26"/>
          <w:lang w:val="es-ES"/>
        </w:rPr>
        <w:t>. Estos</w:t>
      </w:r>
      <w:r w:rsidRPr="00A5491E">
        <w:rPr>
          <w:rFonts w:cs="Arial"/>
          <w:sz w:val="26"/>
          <w:szCs w:val="26"/>
          <w:lang w:val="es-ES"/>
        </w:rPr>
        <w:t xml:space="preserve"> deber</w:t>
      </w:r>
      <w:r>
        <w:rPr>
          <w:rFonts w:cs="Arial"/>
          <w:sz w:val="26"/>
          <w:szCs w:val="26"/>
          <w:lang w:val="es-ES"/>
        </w:rPr>
        <w:t>es se tornan</w:t>
      </w:r>
      <w:r w:rsidR="002E57E7">
        <w:rPr>
          <w:rFonts w:cs="Arial"/>
          <w:sz w:val="26"/>
          <w:szCs w:val="26"/>
          <w:lang w:val="es-ES"/>
        </w:rPr>
        <w:t xml:space="preserve"> en una</w:t>
      </w:r>
      <w:r w:rsidRPr="00A5491E">
        <w:rPr>
          <w:rFonts w:cs="Arial"/>
          <w:sz w:val="26"/>
          <w:szCs w:val="26"/>
          <w:lang w:val="es-ES"/>
        </w:rPr>
        <w:t xml:space="preserve"> “obl</w:t>
      </w:r>
      <w:r>
        <w:rPr>
          <w:rFonts w:cs="Arial"/>
          <w:sz w:val="26"/>
          <w:szCs w:val="26"/>
          <w:lang w:val="es-ES"/>
        </w:rPr>
        <w:t>igación</w:t>
      </w:r>
      <w:r w:rsidRPr="00A5491E">
        <w:rPr>
          <w:rFonts w:cs="Arial"/>
          <w:sz w:val="26"/>
          <w:szCs w:val="26"/>
          <w:lang w:val="es-ES"/>
        </w:rPr>
        <w:t xml:space="preserve"> reforzada” cuando se trata de prevenir y proteger a la mujer contra cualquier forma de violencia o discriminación </w:t>
      </w:r>
      <w:r>
        <w:rPr>
          <w:rFonts w:cs="Arial"/>
          <w:sz w:val="26"/>
          <w:szCs w:val="26"/>
          <w:lang w:val="es-ES"/>
        </w:rPr>
        <w:t>en su contra</w:t>
      </w:r>
      <w:r w:rsidRPr="00A5491E">
        <w:rPr>
          <w:rFonts w:cs="Arial"/>
          <w:sz w:val="26"/>
          <w:szCs w:val="26"/>
          <w:lang w:val="es-ES"/>
        </w:rPr>
        <w:t xml:space="preserve">, </w:t>
      </w:r>
      <w:r>
        <w:rPr>
          <w:rFonts w:cs="Arial"/>
          <w:sz w:val="26"/>
          <w:szCs w:val="26"/>
          <w:lang w:val="es-ES"/>
        </w:rPr>
        <w:t>en atención a</w:t>
      </w:r>
      <w:r w:rsidRPr="00A5491E">
        <w:rPr>
          <w:rFonts w:cs="Arial"/>
          <w:sz w:val="26"/>
          <w:szCs w:val="26"/>
          <w:lang w:val="es-ES"/>
        </w:rPr>
        <w:t>l artículo 7 de la Convención de Belém do Pará</w:t>
      </w:r>
      <w:r w:rsidRPr="005C2C36">
        <w:rPr>
          <w:rFonts w:cs="Arial"/>
          <w:sz w:val="26"/>
          <w:szCs w:val="26"/>
          <w:vertAlign w:val="superscript"/>
          <w:lang w:val="es-ES"/>
        </w:rPr>
        <w:footnoteReference w:id="61"/>
      </w:r>
      <w:r w:rsidRPr="00A5491E">
        <w:rPr>
          <w:rFonts w:cs="Arial"/>
          <w:sz w:val="26"/>
          <w:szCs w:val="26"/>
          <w:lang w:val="es-ES"/>
        </w:rPr>
        <w:t>.</w:t>
      </w:r>
    </w:p>
    <w:p w:rsidR="00902DCB" w:rsidRPr="00D669EB" w:rsidRDefault="00902DCB" w:rsidP="00D669EB">
      <w:pPr>
        <w:rPr>
          <w:rFonts w:cs="Arial"/>
          <w:sz w:val="26"/>
          <w:szCs w:val="26"/>
        </w:rPr>
      </w:pPr>
    </w:p>
    <w:p w:rsidR="00902DCB" w:rsidRPr="00902DCB" w:rsidRDefault="00902DCB" w:rsidP="00902DCB">
      <w:pPr>
        <w:pStyle w:val="Listavistosa-nfasis11"/>
        <w:numPr>
          <w:ilvl w:val="1"/>
          <w:numId w:val="28"/>
        </w:numPr>
        <w:ind w:left="0" w:firstLine="0"/>
        <w:rPr>
          <w:rFonts w:cs="Arial"/>
          <w:sz w:val="26"/>
          <w:szCs w:val="26"/>
        </w:rPr>
      </w:pPr>
      <w:r>
        <w:rPr>
          <w:rFonts w:eastAsia="Times New Roman" w:cs="Arial"/>
          <w:bCs/>
          <w:sz w:val="26"/>
          <w:szCs w:val="26"/>
          <w:lang w:val="es-ES" w:eastAsia="es-ES"/>
        </w:rPr>
        <w:t>El</w:t>
      </w:r>
      <w:r w:rsidRPr="004070DC">
        <w:rPr>
          <w:rFonts w:eastAsia="Times New Roman" w:cs="Arial"/>
          <w:bCs/>
          <w:sz w:val="26"/>
          <w:szCs w:val="26"/>
          <w:lang w:val="es-ES" w:eastAsia="es-ES"/>
        </w:rPr>
        <w:t xml:space="preserve"> deber de prevención</w:t>
      </w:r>
      <w:r>
        <w:rPr>
          <w:rFonts w:eastAsia="Times New Roman" w:cs="Arial"/>
          <w:bCs/>
          <w:sz w:val="26"/>
          <w:szCs w:val="26"/>
          <w:lang w:val="es-ES" w:eastAsia="es-ES"/>
        </w:rPr>
        <w:t>, según la Corte Interamericana,</w:t>
      </w:r>
      <w:r w:rsidRPr="004070DC">
        <w:rPr>
          <w:rFonts w:eastAsia="Times New Roman" w:cs="Arial"/>
          <w:bCs/>
          <w:sz w:val="26"/>
          <w:szCs w:val="26"/>
          <w:lang w:val="es-ES" w:eastAsia="es-ES"/>
        </w:rPr>
        <w:t xml:space="preserve"> </w:t>
      </w:r>
      <w:r>
        <w:rPr>
          <w:rFonts w:eastAsia="Times New Roman" w:cs="Arial"/>
          <w:bCs/>
          <w:sz w:val="26"/>
          <w:szCs w:val="26"/>
          <w:lang w:val="es-ES" w:eastAsia="es-ES"/>
        </w:rPr>
        <w:t>“</w:t>
      </w:r>
      <w:r w:rsidRPr="004070DC">
        <w:rPr>
          <w:rFonts w:eastAsia="Times New Roman" w:cs="Arial"/>
          <w:bCs/>
          <w:i/>
          <w:sz w:val="26"/>
          <w:szCs w:val="26"/>
          <w:lang w:val="es-ES" w:eastAsia="es-ES"/>
        </w:rPr>
        <w:t>abarca todas las medidas de carácter jurídico, político, administrativo y cultural que promuevan la salvaguarda de los derechos y que aseguren que las eventuales violaciones a los mismos sean efectivamente consideradas y tratadas como un hecho ilícito</w:t>
      </w:r>
      <w:r w:rsidRPr="004070DC">
        <w:rPr>
          <w:rFonts w:eastAsia="Times New Roman" w:cs="Arial"/>
          <w:bCs/>
          <w:sz w:val="26"/>
          <w:szCs w:val="26"/>
          <w:lang w:val="es-ES" w:eastAsia="es-ES"/>
        </w:rPr>
        <w:t>”</w:t>
      </w:r>
      <w:r w:rsidRPr="004070DC">
        <w:rPr>
          <w:vertAlign w:val="superscript"/>
          <w:lang w:val="es-ES" w:eastAsia="es-ES"/>
        </w:rPr>
        <w:footnoteReference w:id="62"/>
      </w:r>
      <w:r w:rsidRPr="004070DC">
        <w:rPr>
          <w:rFonts w:eastAsia="Times New Roman" w:cs="Arial"/>
          <w:bCs/>
          <w:sz w:val="26"/>
          <w:szCs w:val="26"/>
          <w:lang w:val="es-ES" w:eastAsia="es-ES"/>
        </w:rPr>
        <w:t>.</w:t>
      </w:r>
    </w:p>
    <w:p w:rsidR="00902DCB" w:rsidRPr="005C652E" w:rsidRDefault="00902DCB" w:rsidP="00D669EB">
      <w:pPr>
        <w:rPr>
          <w:rFonts w:cs="Arial"/>
          <w:sz w:val="26"/>
          <w:szCs w:val="26"/>
        </w:rPr>
      </w:pPr>
    </w:p>
    <w:p w:rsidR="00902DCB" w:rsidRPr="005C652E" w:rsidRDefault="00902DCB" w:rsidP="00720F09">
      <w:pPr>
        <w:pStyle w:val="Listavistosa-nfasis11"/>
        <w:numPr>
          <w:ilvl w:val="1"/>
          <w:numId w:val="28"/>
        </w:numPr>
        <w:ind w:left="0" w:firstLine="0"/>
        <w:rPr>
          <w:rFonts w:cs="Arial"/>
          <w:sz w:val="26"/>
          <w:szCs w:val="26"/>
        </w:rPr>
      </w:pPr>
      <w:r w:rsidRPr="005C652E">
        <w:rPr>
          <w:rFonts w:cs="Arial"/>
          <w:sz w:val="26"/>
          <w:szCs w:val="26"/>
        </w:rPr>
        <w:t xml:space="preserve">En este caso </w:t>
      </w:r>
      <w:r w:rsidR="00157F62">
        <w:rPr>
          <w:rFonts w:cs="Arial"/>
          <w:sz w:val="26"/>
          <w:szCs w:val="26"/>
        </w:rPr>
        <w:t xml:space="preserve">específico </w:t>
      </w:r>
      <w:r w:rsidRPr="005C652E">
        <w:rPr>
          <w:rFonts w:cs="Arial"/>
          <w:sz w:val="26"/>
          <w:szCs w:val="26"/>
        </w:rPr>
        <w:t>se observa que el Ejército Nacional, lejos de honrar su compromiso de prevenir las violaciones de derechos humanos y, en especial, la violencia contra la mujer, no tomó las medidas requeridas para evitar que sus miembros se involucraran en tales conductas. Si bien la institución como tal no creó el riesgo</w:t>
      </w:r>
      <w:r w:rsidR="00720F09" w:rsidRPr="005C652E">
        <w:rPr>
          <w:rFonts w:cs="Arial"/>
          <w:sz w:val="26"/>
          <w:szCs w:val="26"/>
        </w:rPr>
        <w:t>,</w:t>
      </w:r>
      <w:r w:rsidRPr="005C652E">
        <w:rPr>
          <w:rFonts w:cs="Arial"/>
          <w:sz w:val="26"/>
          <w:szCs w:val="26"/>
        </w:rPr>
        <w:t xml:space="preserve"> sí contribuyó a su permanencia</w:t>
      </w:r>
      <w:r w:rsidR="00720F09" w:rsidRPr="005C652E">
        <w:rPr>
          <w:rFonts w:cs="Arial"/>
          <w:sz w:val="26"/>
          <w:szCs w:val="26"/>
        </w:rPr>
        <w:t>, pues no hizo esfuerzo alguno por asegurar el retorno de los suboficiales al batallón. La entidad, estando en capacidad de conjurar este peligro o de evitar que se concretara en un daño, no lo hizo, con lo cual incumplió el deber funcional que le asiste por orden constitucional</w:t>
      </w:r>
      <w:r w:rsidR="00157F62">
        <w:rPr>
          <w:rFonts w:cs="Arial"/>
          <w:sz w:val="26"/>
          <w:szCs w:val="26"/>
        </w:rPr>
        <w:t>, convencional</w:t>
      </w:r>
      <w:r w:rsidR="00720F09" w:rsidRPr="005C652E">
        <w:rPr>
          <w:rFonts w:cs="Arial"/>
          <w:sz w:val="26"/>
          <w:szCs w:val="26"/>
        </w:rPr>
        <w:t xml:space="preserve"> y legal.</w:t>
      </w:r>
    </w:p>
    <w:p w:rsidR="00720F09" w:rsidRPr="005C652E" w:rsidRDefault="00720F09" w:rsidP="00BD490C">
      <w:pPr>
        <w:rPr>
          <w:rFonts w:cs="Arial"/>
          <w:sz w:val="26"/>
          <w:szCs w:val="26"/>
        </w:rPr>
      </w:pPr>
    </w:p>
    <w:p w:rsidR="00720F09" w:rsidRDefault="00A003B6" w:rsidP="00BD490C">
      <w:pPr>
        <w:pStyle w:val="Listavistosa-nfasis11"/>
        <w:numPr>
          <w:ilvl w:val="0"/>
          <w:numId w:val="28"/>
        </w:numPr>
        <w:ind w:left="0" w:firstLine="0"/>
        <w:rPr>
          <w:rFonts w:cs="Arial"/>
          <w:sz w:val="26"/>
          <w:szCs w:val="26"/>
        </w:rPr>
      </w:pPr>
      <w:r>
        <w:rPr>
          <w:rFonts w:cs="Arial"/>
          <w:sz w:val="26"/>
          <w:szCs w:val="26"/>
        </w:rPr>
        <w:t xml:space="preserve">En consecuencia, </w:t>
      </w:r>
      <w:r w:rsidR="00BD490C">
        <w:rPr>
          <w:rFonts w:cs="Arial"/>
          <w:sz w:val="26"/>
          <w:szCs w:val="26"/>
        </w:rPr>
        <w:t xml:space="preserve">la Sala revocará la sentencia de primer grado que denegó las pretensiones de la demanda y, en su lugar, declarará la responsabilidad de la entidad </w:t>
      </w:r>
      <w:r w:rsidRPr="00BD490C">
        <w:rPr>
          <w:rFonts w:cs="Arial"/>
          <w:sz w:val="26"/>
          <w:szCs w:val="26"/>
        </w:rPr>
        <w:t xml:space="preserve">demandada </w:t>
      </w:r>
      <w:r w:rsidR="00BD490C">
        <w:rPr>
          <w:rFonts w:cs="Arial"/>
          <w:sz w:val="26"/>
          <w:szCs w:val="26"/>
        </w:rPr>
        <w:t xml:space="preserve">por </w:t>
      </w:r>
      <w:r w:rsidRPr="00BD490C">
        <w:rPr>
          <w:rFonts w:cs="Arial"/>
          <w:sz w:val="26"/>
          <w:szCs w:val="26"/>
        </w:rPr>
        <w:t xml:space="preserve">el daño inferido a Mónica Marisol Rodríguez Bustamante, </w:t>
      </w:r>
      <w:r w:rsidR="00E307AE">
        <w:rPr>
          <w:rFonts w:cs="Arial"/>
          <w:sz w:val="26"/>
          <w:szCs w:val="26"/>
        </w:rPr>
        <w:t>y su obligación de reparar los perjuicios causados a la víctima y a su familia.</w:t>
      </w:r>
    </w:p>
    <w:p w:rsidR="00D90F55" w:rsidRDefault="00D90F55" w:rsidP="00D90F55">
      <w:pPr>
        <w:pStyle w:val="Listavistosa-nfasis11"/>
        <w:ind w:left="0"/>
        <w:rPr>
          <w:rFonts w:cs="Arial"/>
          <w:sz w:val="26"/>
          <w:szCs w:val="26"/>
        </w:rPr>
      </w:pPr>
    </w:p>
    <w:p w:rsidR="00BF39B7" w:rsidRDefault="00D90F55" w:rsidP="00BD490C">
      <w:pPr>
        <w:pStyle w:val="Listavistosa-nfasis11"/>
        <w:numPr>
          <w:ilvl w:val="0"/>
          <w:numId w:val="28"/>
        </w:numPr>
        <w:ind w:left="0" w:firstLine="0"/>
        <w:rPr>
          <w:rFonts w:cs="Arial"/>
          <w:sz w:val="26"/>
          <w:szCs w:val="26"/>
        </w:rPr>
      </w:pPr>
      <w:r>
        <w:rPr>
          <w:rFonts w:cs="Arial"/>
          <w:sz w:val="26"/>
          <w:szCs w:val="26"/>
        </w:rPr>
        <w:t xml:space="preserve">Finalmente, </w:t>
      </w:r>
      <w:r w:rsidR="00BF39B7">
        <w:rPr>
          <w:rFonts w:cs="Arial"/>
          <w:sz w:val="26"/>
          <w:szCs w:val="26"/>
        </w:rPr>
        <w:t>se advierte</w:t>
      </w:r>
      <w:r>
        <w:rPr>
          <w:rFonts w:cs="Arial"/>
          <w:sz w:val="26"/>
          <w:szCs w:val="26"/>
        </w:rPr>
        <w:t xml:space="preserve"> que e</w:t>
      </w:r>
      <w:r w:rsidR="00BF39B7">
        <w:rPr>
          <w:rFonts w:cs="Arial"/>
          <w:sz w:val="26"/>
          <w:szCs w:val="26"/>
        </w:rPr>
        <w:t>ste</w:t>
      </w:r>
      <w:r>
        <w:rPr>
          <w:rFonts w:cs="Arial"/>
          <w:sz w:val="26"/>
          <w:szCs w:val="26"/>
        </w:rPr>
        <w:t xml:space="preserve"> asunto </w:t>
      </w:r>
      <w:r w:rsidR="00BF39B7">
        <w:rPr>
          <w:rFonts w:cs="Arial"/>
          <w:sz w:val="26"/>
          <w:szCs w:val="26"/>
        </w:rPr>
        <w:t>no es solamente</w:t>
      </w:r>
      <w:r>
        <w:rPr>
          <w:rFonts w:cs="Arial"/>
          <w:sz w:val="26"/>
          <w:szCs w:val="26"/>
        </w:rPr>
        <w:t xml:space="preserve"> un</w:t>
      </w:r>
      <w:r w:rsidR="003311B3">
        <w:rPr>
          <w:rFonts w:cs="Arial"/>
          <w:sz w:val="26"/>
          <w:szCs w:val="26"/>
        </w:rPr>
        <w:t xml:space="preserve"> lamentable</w:t>
      </w:r>
      <w:r>
        <w:rPr>
          <w:rFonts w:cs="Arial"/>
          <w:sz w:val="26"/>
          <w:szCs w:val="26"/>
        </w:rPr>
        <w:t xml:space="preserve"> caso de </w:t>
      </w:r>
      <w:r w:rsidR="00BF39B7">
        <w:rPr>
          <w:rFonts w:cs="Arial"/>
          <w:sz w:val="26"/>
          <w:szCs w:val="26"/>
        </w:rPr>
        <w:t xml:space="preserve">violencia contra la mujer. Las irregularidades en la conducta de los funcionarios que tramitaron la denuncia y que siguieron la investigación penal, evidencian a todas luces una </w:t>
      </w:r>
      <w:r w:rsidR="00AA7425">
        <w:rPr>
          <w:rFonts w:cs="Arial"/>
          <w:sz w:val="26"/>
          <w:szCs w:val="26"/>
        </w:rPr>
        <w:t>situación de</w:t>
      </w:r>
      <w:r w:rsidR="00BF39B7">
        <w:rPr>
          <w:rFonts w:cs="Arial"/>
          <w:sz w:val="26"/>
          <w:szCs w:val="26"/>
        </w:rPr>
        <w:t xml:space="preserve"> discriminación </w:t>
      </w:r>
      <w:r w:rsidR="00AA7425">
        <w:rPr>
          <w:rFonts w:cs="Arial"/>
          <w:sz w:val="26"/>
          <w:szCs w:val="26"/>
        </w:rPr>
        <w:t xml:space="preserve">en razón </w:t>
      </w:r>
      <w:r w:rsidR="00BF39B7">
        <w:rPr>
          <w:rFonts w:cs="Arial"/>
          <w:sz w:val="26"/>
          <w:szCs w:val="26"/>
        </w:rPr>
        <w:t>de</w:t>
      </w:r>
      <w:r w:rsidR="00AA7425">
        <w:rPr>
          <w:rFonts w:cs="Arial"/>
          <w:sz w:val="26"/>
          <w:szCs w:val="26"/>
        </w:rPr>
        <w:t>l</w:t>
      </w:r>
      <w:r w:rsidR="00BF39B7">
        <w:rPr>
          <w:rFonts w:cs="Arial"/>
          <w:sz w:val="26"/>
          <w:szCs w:val="26"/>
        </w:rPr>
        <w:t xml:space="preserve"> género que amerita un pronunciamiento de la Sala. </w:t>
      </w:r>
    </w:p>
    <w:p w:rsidR="00BF39B7" w:rsidRPr="00BF39B7" w:rsidRDefault="00BF39B7" w:rsidP="00BF39B7">
      <w:pPr>
        <w:pStyle w:val="Listavistosa-nfasis11"/>
        <w:rPr>
          <w:rFonts w:cs="Arial"/>
          <w:sz w:val="26"/>
          <w:szCs w:val="26"/>
        </w:rPr>
      </w:pPr>
    </w:p>
    <w:p w:rsidR="004C79F5" w:rsidRDefault="004C79F5" w:rsidP="007D69EE">
      <w:pPr>
        <w:pStyle w:val="Listavistosa-nfasis11"/>
        <w:numPr>
          <w:ilvl w:val="1"/>
          <w:numId w:val="28"/>
        </w:numPr>
        <w:ind w:left="0" w:firstLine="0"/>
        <w:rPr>
          <w:rFonts w:cs="Arial"/>
          <w:sz w:val="26"/>
          <w:szCs w:val="26"/>
        </w:rPr>
      </w:pPr>
      <w:r>
        <w:rPr>
          <w:rFonts w:cs="Arial"/>
          <w:sz w:val="26"/>
          <w:szCs w:val="26"/>
        </w:rPr>
        <w:t xml:space="preserve">Por una parte, la Policía Nacional se negó a recibir la denuncia a los familiares de Mónica Marisol Rodríguez con distintas excusas: que los presuntos culpables eran militares; que la denuncia solo la podía hacer la madre de la víctima, </w:t>
      </w:r>
      <w:r w:rsidR="007602C0">
        <w:rPr>
          <w:rFonts w:cs="Arial"/>
          <w:sz w:val="26"/>
          <w:szCs w:val="26"/>
        </w:rPr>
        <w:t xml:space="preserve">o la afectada, </w:t>
      </w:r>
      <w:r>
        <w:rPr>
          <w:rFonts w:cs="Arial"/>
          <w:sz w:val="26"/>
          <w:szCs w:val="26"/>
        </w:rPr>
        <w:t xml:space="preserve">o que </w:t>
      </w:r>
      <w:r w:rsidR="007602C0">
        <w:rPr>
          <w:rFonts w:cs="Arial"/>
          <w:sz w:val="26"/>
          <w:szCs w:val="26"/>
        </w:rPr>
        <w:t>esta debía practicarse</w:t>
      </w:r>
      <w:r>
        <w:rPr>
          <w:rFonts w:cs="Arial"/>
          <w:sz w:val="26"/>
          <w:szCs w:val="26"/>
        </w:rPr>
        <w:t xml:space="preserve"> un examen médico para probar la agresión sexual.</w:t>
      </w:r>
    </w:p>
    <w:p w:rsidR="004C79F5" w:rsidRDefault="004C79F5" w:rsidP="004C79F5">
      <w:pPr>
        <w:pStyle w:val="Listavistosa-nfasis11"/>
        <w:ind w:left="0"/>
        <w:rPr>
          <w:rFonts w:cs="Arial"/>
          <w:sz w:val="26"/>
          <w:szCs w:val="26"/>
        </w:rPr>
      </w:pPr>
    </w:p>
    <w:p w:rsidR="00F919F0" w:rsidRDefault="004C79F5" w:rsidP="004C79F5">
      <w:pPr>
        <w:pStyle w:val="Listavistosa-nfasis11"/>
        <w:numPr>
          <w:ilvl w:val="1"/>
          <w:numId w:val="28"/>
        </w:numPr>
        <w:ind w:left="0" w:firstLine="0"/>
        <w:rPr>
          <w:rFonts w:cs="Arial"/>
          <w:sz w:val="26"/>
          <w:szCs w:val="26"/>
        </w:rPr>
      </w:pPr>
      <w:r>
        <w:rPr>
          <w:rFonts w:cs="Arial"/>
          <w:sz w:val="26"/>
          <w:szCs w:val="26"/>
        </w:rPr>
        <w:t xml:space="preserve">Al respecto, </w:t>
      </w:r>
      <w:r w:rsidR="00F919F0">
        <w:rPr>
          <w:rFonts w:cs="Arial"/>
          <w:sz w:val="26"/>
          <w:szCs w:val="26"/>
        </w:rPr>
        <w:t xml:space="preserve">la señora Virginia Bustamante </w:t>
      </w:r>
      <w:r w:rsidR="00687301">
        <w:rPr>
          <w:rFonts w:cs="Arial"/>
          <w:sz w:val="26"/>
          <w:szCs w:val="26"/>
        </w:rPr>
        <w:t>declar</w:t>
      </w:r>
      <w:r w:rsidR="00F919F0">
        <w:rPr>
          <w:rFonts w:cs="Arial"/>
          <w:sz w:val="26"/>
          <w:szCs w:val="26"/>
        </w:rPr>
        <w:t>ó que al intentar in</w:t>
      </w:r>
      <w:r w:rsidR="002535DA">
        <w:rPr>
          <w:rFonts w:cs="Arial"/>
          <w:sz w:val="26"/>
          <w:szCs w:val="26"/>
        </w:rPr>
        <w:t>terponer la denuncia</w:t>
      </w:r>
      <w:r w:rsidR="00F919F0">
        <w:rPr>
          <w:rFonts w:cs="Arial"/>
          <w:sz w:val="26"/>
          <w:szCs w:val="26"/>
        </w:rPr>
        <w:t xml:space="preserve"> por los hechos, la Policía se negó a recibirla y se limitó a decirle que regresara al día siguiente </w:t>
      </w:r>
      <w:r w:rsidR="00F919F0" w:rsidRPr="00F919F0">
        <w:rPr>
          <w:rFonts w:cs="Arial"/>
          <w:sz w:val="22"/>
          <w:szCs w:val="22"/>
        </w:rPr>
        <w:t>(f. 178, c. 1)</w:t>
      </w:r>
      <w:r w:rsidR="00F919F0">
        <w:rPr>
          <w:rFonts w:cs="Arial"/>
          <w:sz w:val="26"/>
          <w:szCs w:val="26"/>
        </w:rPr>
        <w:t>:</w:t>
      </w:r>
    </w:p>
    <w:p w:rsidR="00F919F0" w:rsidRDefault="00F919F0" w:rsidP="00F919F0">
      <w:pPr>
        <w:rPr>
          <w:rFonts w:cs="Arial"/>
          <w:sz w:val="26"/>
          <w:szCs w:val="26"/>
        </w:rPr>
      </w:pPr>
    </w:p>
    <w:p w:rsidR="007602C0" w:rsidRPr="002535DA" w:rsidRDefault="007602C0" w:rsidP="002535DA">
      <w:pPr>
        <w:pStyle w:val="Listavistosa-nfasis11"/>
        <w:spacing w:line="240" w:lineRule="auto"/>
        <w:ind w:left="709" w:right="618"/>
        <w:rPr>
          <w:rFonts w:cs="Arial"/>
          <w:i/>
          <w:szCs w:val="24"/>
        </w:rPr>
      </w:pPr>
      <w:r w:rsidRPr="002535DA">
        <w:rPr>
          <w:rFonts w:cs="Arial"/>
          <w:i/>
          <w:szCs w:val="24"/>
        </w:rPr>
        <w:t>Preguntado: Cuando usted fue a la estación de policía a buscar a su hija, con quién más se encontraba ella. Contestó: Con mi hijo Kendy Yecid y Jhon Freddy, un amigo de la casa, y me dijeron que ahí estaban los tipos y que no me dejara ver. Preguntado: Usted qué hizo y por qué motivo no pusieron la denuncia respectiva inmediatamente, además aprovechando que supuestamente los sujetos esta</w:t>
      </w:r>
      <w:r w:rsidR="00396F42">
        <w:rPr>
          <w:rFonts w:cs="Arial"/>
          <w:i/>
          <w:szCs w:val="24"/>
        </w:rPr>
        <w:t>ban allí. Contestó: Porque no la</w:t>
      </w:r>
      <w:r w:rsidRPr="002535DA">
        <w:rPr>
          <w:rFonts w:cs="Arial"/>
          <w:i/>
          <w:szCs w:val="24"/>
        </w:rPr>
        <w:t xml:space="preserve"> quisieron recibir</w:t>
      </w:r>
      <w:r w:rsidR="00396F42">
        <w:rPr>
          <w:rFonts w:cs="Arial"/>
          <w:i/>
          <w:szCs w:val="24"/>
        </w:rPr>
        <w:t>,</w:t>
      </w:r>
      <w:r w:rsidRPr="002535DA">
        <w:rPr>
          <w:rFonts w:cs="Arial"/>
          <w:i/>
          <w:szCs w:val="24"/>
        </w:rPr>
        <w:t xml:space="preserve"> porque no estaba el Capitán y no apareció, me dijeron que madrugara al día siguiente a colocar el denuncio, además que lo debía colocar la niña porque ella ya era mayor de edad, entonces yo pregunté, bueno, entonces no tengo nada más qué hacer, y ellos me respondieron no señora, ya se puede ir, tranquila, mi hijo y el amigo se quedaron ahí esperando a ver qué pasaba con esos tipos y yo me fui para el hospital y de allí me llamó uno de los policías para pedirme el nombre de Mónica, yo le dije que qué pasaba con esos tipos puesto que eran los actores del hecho, que no los fueran a dejar en libertad porque ellos eran los directos responsables, el policía me contestó que no los iban a detener pero que ya tenían los nombres completos y que cuando quisieran podían ir a averiguar por el nombre de ellos, que ahí quedaban registrados</w:t>
      </w:r>
      <w:r w:rsidR="002535DA" w:rsidRPr="002535DA">
        <w:rPr>
          <w:rFonts w:cs="Arial"/>
          <w:i/>
          <w:szCs w:val="24"/>
        </w:rPr>
        <w:t>.</w:t>
      </w:r>
    </w:p>
    <w:p w:rsidR="007602C0" w:rsidRDefault="007602C0" w:rsidP="002535DA">
      <w:pPr>
        <w:pStyle w:val="Listavistosa-nfasis11"/>
        <w:ind w:left="0"/>
        <w:rPr>
          <w:rFonts w:cs="Arial"/>
          <w:sz w:val="26"/>
          <w:szCs w:val="26"/>
        </w:rPr>
      </w:pPr>
    </w:p>
    <w:p w:rsidR="004C79F5" w:rsidRPr="004C79F5" w:rsidRDefault="00F919F0" w:rsidP="004C79F5">
      <w:pPr>
        <w:pStyle w:val="Listavistosa-nfasis11"/>
        <w:numPr>
          <w:ilvl w:val="1"/>
          <w:numId w:val="28"/>
        </w:numPr>
        <w:ind w:left="0" w:firstLine="0"/>
        <w:rPr>
          <w:rFonts w:cs="Arial"/>
          <w:sz w:val="26"/>
          <w:szCs w:val="26"/>
        </w:rPr>
      </w:pPr>
      <w:r>
        <w:rPr>
          <w:rFonts w:cs="Arial"/>
          <w:sz w:val="26"/>
          <w:szCs w:val="26"/>
        </w:rPr>
        <w:t xml:space="preserve">A su vez, </w:t>
      </w:r>
      <w:r w:rsidR="004C79F5">
        <w:rPr>
          <w:rFonts w:cs="Arial"/>
          <w:sz w:val="26"/>
          <w:szCs w:val="26"/>
        </w:rPr>
        <w:t xml:space="preserve">el señor </w:t>
      </w:r>
      <w:r w:rsidR="004C79F5" w:rsidRPr="004C79F5">
        <w:rPr>
          <w:rFonts w:cs="Arial"/>
          <w:sz w:val="26"/>
          <w:szCs w:val="26"/>
        </w:rPr>
        <w:t>Jhon Freddy Liberato Pareja</w:t>
      </w:r>
      <w:r w:rsidR="004C79F5">
        <w:rPr>
          <w:rFonts w:cs="Arial"/>
          <w:sz w:val="26"/>
          <w:szCs w:val="26"/>
        </w:rPr>
        <w:t xml:space="preserve"> manifestó que el policía encargado en la estación le dio la orden a la víctima de que se realizara un examen médico y se negó a tramitar la denuncia hasta tanto no se conocieron los resultados de dicho examen</w:t>
      </w:r>
      <w:r w:rsidR="00CF743B">
        <w:rPr>
          <w:rFonts w:cs="Arial"/>
          <w:sz w:val="26"/>
          <w:szCs w:val="26"/>
        </w:rPr>
        <w:t xml:space="preserve"> </w:t>
      </w:r>
      <w:r w:rsidR="00CF743B" w:rsidRPr="00CF743B">
        <w:rPr>
          <w:rFonts w:cs="Arial"/>
          <w:sz w:val="22"/>
          <w:szCs w:val="22"/>
        </w:rPr>
        <w:t>(f. 51-52, c. 1)</w:t>
      </w:r>
      <w:r w:rsidR="004C79F5" w:rsidRPr="004C79F5">
        <w:rPr>
          <w:rFonts w:cs="Arial"/>
          <w:sz w:val="26"/>
          <w:szCs w:val="26"/>
        </w:rPr>
        <w:t>:</w:t>
      </w:r>
    </w:p>
    <w:p w:rsidR="004C79F5" w:rsidRDefault="004C79F5" w:rsidP="004C79F5">
      <w:pPr>
        <w:rPr>
          <w:rFonts w:cs="Arial"/>
          <w:sz w:val="26"/>
          <w:szCs w:val="26"/>
        </w:rPr>
      </w:pPr>
    </w:p>
    <w:p w:rsidR="004C79F5" w:rsidRPr="007D69EE" w:rsidRDefault="004C79F5" w:rsidP="004C79F5">
      <w:pPr>
        <w:spacing w:line="240" w:lineRule="auto"/>
        <w:ind w:left="709" w:right="618"/>
        <w:rPr>
          <w:rFonts w:cs="Arial"/>
          <w:i/>
          <w:szCs w:val="24"/>
        </w:rPr>
      </w:pPr>
      <w:r w:rsidRPr="007D69EE">
        <w:rPr>
          <w:rFonts w:cs="Arial"/>
          <w:i/>
          <w:szCs w:val="24"/>
        </w:rPr>
        <w:t xml:space="preserve">Al entrar a la Policía Judicial, el policía solamente nos preguntó que qué pasaba y nosotros le contamos que los tipos que estaban sentados en la guardia con el policía habían violado a Marisol, y entonces nos dijo que no nos recibía la denuncia porque no estaba la persona encargada y que hasta que no llegaran los resultados del hospital, que antes no podía recibir la denuncia, y en ese momento llamaron al encargado, no sé a quién, y entonces nos dijeron que él había dicho que comprendiéramos, que era que estaba lloviendo, que fuéramos al otro día a denunciar </w:t>
      </w:r>
      <w:r w:rsidRPr="007D69EE">
        <w:rPr>
          <w:rFonts w:cs="Arial"/>
          <w:szCs w:val="24"/>
        </w:rPr>
        <w:t>(...)</w:t>
      </w:r>
      <w:r w:rsidRPr="007D69EE">
        <w:rPr>
          <w:rFonts w:cs="Arial"/>
          <w:i/>
          <w:szCs w:val="24"/>
        </w:rPr>
        <w:t xml:space="preserve"> y en vista de que ahí en la Policía no le hacían nada a los tipos que estaban en la guardia, le dijimos al mismo policía que nos atendió, el mismo que le dio la orden a Mónica para que fuera al hospital, qué por qué motivos no les tomaba los nombres o detenía a esos tipos, que ambos estaban en la guardia, y él nos dijo que no los podía detener porque eran miembros del Ejército, del batallón, y que si los detenía era ilegal, y al rato fue cuando les tomó los nombres con los números de cédulas.</w:t>
      </w:r>
    </w:p>
    <w:p w:rsidR="004C79F5" w:rsidRDefault="004C79F5" w:rsidP="004C79F5">
      <w:pPr>
        <w:rPr>
          <w:rFonts w:cs="Arial"/>
          <w:sz w:val="26"/>
          <w:szCs w:val="26"/>
        </w:rPr>
      </w:pPr>
    </w:p>
    <w:p w:rsidR="004C79F5" w:rsidRDefault="004C79F5" w:rsidP="004C79F5">
      <w:pPr>
        <w:pStyle w:val="Listavistosa-nfasis11"/>
        <w:numPr>
          <w:ilvl w:val="1"/>
          <w:numId w:val="28"/>
        </w:numPr>
        <w:ind w:left="0" w:firstLine="0"/>
        <w:rPr>
          <w:rFonts w:cs="Arial"/>
          <w:sz w:val="26"/>
          <w:szCs w:val="26"/>
        </w:rPr>
      </w:pPr>
      <w:r>
        <w:rPr>
          <w:rFonts w:cs="Arial"/>
          <w:sz w:val="26"/>
          <w:szCs w:val="26"/>
        </w:rPr>
        <w:t xml:space="preserve">Por su parte, el señor </w:t>
      </w:r>
      <w:r w:rsidRPr="007D69EE">
        <w:rPr>
          <w:rFonts w:cs="Arial"/>
          <w:sz w:val="26"/>
          <w:szCs w:val="26"/>
        </w:rPr>
        <w:t>José Saúl Ríos Molina</w:t>
      </w:r>
      <w:r>
        <w:rPr>
          <w:rFonts w:cs="Arial"/>
          <w:sz w:val="26"/>
          <w:szCs w:val="26"/>
        </w:rPr>
        <w:t xml:space="preserve"> señaló las evasivas que la entidad utilizó para no recibir y tramitar la denuncia</w:t>
      </w:r>
      <w:r w:rsidR="0037760A">
        <w:rPr>
          <w:rFonts w:cs="Arial"/>
          <w:sz w:val="26"/>
          <w:szCs w:val="26"/>
        </w:rPr>
        <w:t xml:space="preserve"> </w:t>
      </w:r>
      <w:r w:rsidR="0037760A" w:rsidRPr="0037760A">
        <w:rPr>
          <w:rFonts w:cs="Arial"/>
          <w:sz w:val="22"/>
          <w:szCs w:val="22"/>
        </w:rPr>
        <w:t>(f. 55, c. 1)</w:t>
      </w:r>
      <w:r>
        <w:rPr>
          <w:rFonts w:cs="Arial"/>
          <w:sz w:val="26"/>
          <w:szCs w:val="26"/>
        </w:rPr>
        <w:t>:</w:t>
      </w:r>
    </w:p>
    <w:p w:rsidR="004C79F5" w:rsidRPr="004C79F5" w:rsidRDefault="004C79F5" w:rsidP="004C79F5">
      <w:pPr>
        <w:rPr>
          <w:rFonts w:cs="Arial"/>
          <w:i/>
          <w:sz w:val="26"/>
          <w:szCs w:val="26"/>
        </w:rPr>
      </w:pPr>
    </w:p>
    <w:p w:rsidR="004C79F5" w:rsidRDefault="004C79F5" w:rsidP="004C79F5">
      <w:pPr>
        <w:spacing w:line="240" w:lineRule="auto"/>
        <w:ind w:left="709" w:right="618"/>
        <w:rPr>
          <w:rFonts w:cs="Arial"/>
          <w:i/>
          <w:szCs w:val="24"/>
        </w:rPr>
      </w:pPr>
      <w:r w:rsidRPr="004C79F5">
        <w:rPr>
          <w:rFonts w:cs="Arial"/>
          <w:i/>
          <w:szCs w:val="24"/>
        </w:rPr>
        <w:t xml:space="preserve">El sábado cuando estuve en la Policía yo le dije a un señor que estaba ahí de civil con un fusil y un poco de munición, que lo llamaban mi cabo, que ya que estaban los tipos ahí por qué no los mandaba a que les hicieran un examen en el hospital y dijo que eso era imposible porque no había denuncio, a lo cual, con mi hijo mayor, le dijimos que nos recibiera el denuncio a nosotros, este señor dijo que no, que él no podía recibir el denuncio sino a la mamá </w:t>
      </w:r>
      <w:r w:rsidRPr="004C79F5">
        <w:rPr>
          <w:rFonts w:cs="Arial"/>
          <w:szCs w:val="24"/>
        </w:rPr>
        <w:t>(...)</w:t>
      </w:r>
      <w:r w:rsidRPr="004C79F5">
        <w:rPr>
          <w:rFonts w:cs="Arial"/>
          <w:i/>
          <w:szCs w:val="24"/>
        </w:rPr>
        <w:t xml:space="preserve"> desde las once de la noche esperando que me recibieran el denuncio y me decían espere que ya viene el teniente, y hasta la una de la mañana que me fui de ahí nunca apareció el famoso teniente a dar cuenta de la situación.</w:t>
      </w:r>
    </w:p>
    <w:p w:rsidR="004C79F5" w:rsidRPr="004C79F5" w:rsidRDefault="004C79F5" w:rsidP="004C79F5">
      <w:pPr>
        <w:rPr>
          <w:rFonts w:cs="Arial"/>
          <w:sz w:val="26"/>
          <w:szCs w:val="26"/>
        </w:rPr>
      </w:pPr>
    </w:p>
    <w:p w:rsidR="006758D3" w:rsidRDefault="006758D3" w:rsidP="007D69EE">
      <w:pPr>
        <w:pStyle w:val="Listavistosa-nfasis11"/>
        <w:numPr>
          <w:ilvl w:val="1"/>
          <w:numId w:val="28"/>
        </w:numPr>
        <w:ind w:left="0" w:firstLine="0"/>
        <w:rPr>
          <w:rFonts w:cs="Arial"/>
          <w:sz w:val="26"/>
          <w:szCs w:val="26"/>
        </w:rPr>
      </w:pPr>
      <w:r>
        <w:rPr>
          <w:rFonts w:cs="Arial"/>
          <w:sz w:val="26"/>
          <w:szCs w:val="26"/>
        </w:rPr>
        <w:t>Así las cosas</w:t>
      </w:r>
      <w:r w:rsidR="000A4A15">
        <w:rPr>
          <w:rFonts w:cs="Arial"/>
          <w:sz w:val="26"/>
          <w:szCs w:val="26"/>
        </w:rPr>
        <w:t>, se advierte que la Polic</w:t>
      </w:r>
      <w:r>
        <w:rPr>
          <w:rFonts w:cs="Arial"/>
          <w:sz w:val="26"/>
          <w:szCs w:val="26"/>
        </w:rPr>
        <w:t>ía Nacional se negó a recibir la denuncia penal de la afectada, con el argumento de que no se había practicado previamente un reconocimiento médico legal, es decir, que no existían pruebas físicas de la agresión sexual.</w:t>
      </w:r>
    </w:p>
    <w:p w:rsidR="006758D3" w:rsidRDefault="006758D3" w:rsidP="006758D3">
      <w:pPr>
        <w:pStyle w:val="Listavistosa-nfasis11"/>
        <w:ind w:left="0"/>
        <w:rPr>
          <w:rFonts w:cs="Arial"/>
          <w:sz w:val="26"/>
          <w:szCs w:val="26"/>
        </w:rPr>
      </w:pPr>
    </w:p>
    <w:p w:rsidR="006758D3" w:rsidRPr="00EF1F3E" w:rsidRDefault="00EF1F3E" w:rsidP="00EF1F3E">
      <w:pPr>
        <w:pStyle w:val="Listavistosa-nfasis11"/>
        <w:numPr>
          <w:ilvl w:val="1"/>
          <w:numId w:val="28"/>
        </w:numPr>
        <w:ind w:left="0" w:firstLine="0"/>
        <w:rPr>
          <w:rFonts w:cs="Arial"/>
          <w:sz w:val="26"/>
          <w:szCs w:val="26"/>
        </w:rPr>
      </w:pPr>
      <w:r>
        <w:rPr>
          <w:rFonts w:cs="Arial"/>
          <w:sz w:val="26"/>
          <w:szCs w:val="26"/>
        </w:rPr>
        <w:t>Sobre este punto, el derecho internacional</w:t>
      </w:r>
      <w:r w:rsidR="006758D3">
        <w:rPr>
          <w:rFonts w:cs="Arial"/>
          <w:sz w:val="26"/>
          <w:szCs w:val="26"/>
        </w:rPr>
        <w:t xml:space="preserve"> ha </w:t>
      </w:r>
      <w:r w:rsidR="00687301">
        <w:rPr>
          <w:rFonts w:cs="Arial"/>
          <w:sz w:val="26"/>
          <w:szCs w:val="26"/>
        </w:rPr>
        <w:t>precisa</w:t>
      </w:r>
      <w:r w:rsidR="006758D3">
        <w:rPr>
          <w:rFonts w:cs="Arial"/>
          <w:sz w:val="26"/>
          <w:szCs w:val="26"/>
        </w:rPr>
        <w:t>do que no es necesario contar con evidencia f</w:t>
      </w:r>
      <w:r>
        <w:rPr>
          <w:rFonts w:cs="Arial"/>
          <w:sz w:val="26"/>
          <w:szCs w:val="26"/>
        </w:rPr>
        <w:t xml:space="preserve">ísica para que se investigue un caso de violencia sexual. </w:t>
      </w:r>
      <w:r w:rsidR="00687301">
        <w:rPr>
          <w:rFonts w:cs="Arial"/>
          <w:sz w:val="26"/>
          <w:szCs w:val="26"/>
        </w:rPr>
        <w:t>En efecto</w:t>
      </w:r>
      <w:r>
        <w:rPr>
          <w:rFonts w:cs="Arial"/>
          <w:sz w:val="26"/>
          <w:szCs w:val="26"/>
        </w:rPr>
        <w:t xml:space="preserve">, la </w:t>
      </w:r>
      <w:r w:rsidR="006758D3" w:rsidRPr="00EF1F3E">
        <w:rPr>
          <w:bCs/>
          <w:sz w:val="26"/>
          <w:szCs w:val="26"/>
        </w:rPr>
        <w:t xml:space="preserve">Comisión Interamericana </w:t>
      </w:r>
      <w:r w:rsidR="00687301">
        <w:rPr>
          <w:bCs/>
          <w:sz w:val="26"/>
          <w:szCs w:val="26"/>
        </w:rPr>
        <w:t xml:space="preserve">de Derechos Humanos </w:t>
      </w:r>
      <w:r w:rsidR="006758D3" w:rsidRPr="00EF1F3E">
        <w:rPr>
          <w:bCs/>
          <w:sz w:val="26"/>
          <w:szCs w:val="26"/>
        </w:rPr>
        <w:t xml:space="preserve">ha </w:t>
      </w:r>
      <w:r w:rsidR="00687301">
        <w:rPr>
          <w:bCs/>
          <w:sz w:val="26"/>
          <w:szCs w:val="26"/>
        </w:rPr>
        <w:t>reiterado</w:t>
      </w:r>
      <w:r w:rsidR="006758D3" w:rsidRPr="00EF1F3E">
        <w:rPr>
          <w:bCs/>
          <w:sz w:val="26"/>
          <w:szCs w:val="26"/>
        </w:rPr>
        <w:t xml:space="preserve"> “</w:t>
      </w:r>
      <w:r w:rsidR="006758D3" w:rsidRPr="00EF1F3E">
        <w:rPr>
          <w:bCs/>
          <w:i/>
          <w:sz w:val="26"/>
          <w:szCs w:val="26"/>
        </w:rPr>
        <w:t>la necesidad de considerar pruebas más allá de la constatación médica de lesiones físicas y la prueba testimonial para poder fundamentar casos de violencia co</w:t>
      </w:r>
      <w:r>
        <w:rPr>
          <w:bCs/>
          <w:i/>
          <w:sz w:val="26"/>
          <w:szCs w:val="26"/>
        </w:rPr>
        <w:t>ntra las mujeres, sobre todo</w:t>
      </w:r>
      <w:r w:rsidR="006758D3" w:rsidRPr="00EF1F3E">
        <w:rPr>
          <w:bCs/>
          <w:i/>
          <w:sz w:val="26"/>
          <w:szCs w:val="26"/>
        </w:rPr>
        <w:t xml:space="preserve"> casos de violencia sexual</w:t>
      </w:r>
      <w:r w:rsidR="006758D3" w:rsidRPr="00EF1F3E">
        <w:rPr>
          <w:bCs/>
          <w:sz w:val="26"/>
          <w:szCs w:val="26"/>
        </w:rPr>
        <w:t>”</w:t>
      </w:r>
      <w:r w:rsidR="006758D3" w:rsidRPr="006758D3">
        <w:rPr>
          <w:vertAlign w:val="superscript"/>
        </w:rPr>
        <w:footnoteReference w:id="63"/>
      </w:r>
      <w:r w:rsidR="006758D3" w:rsidRPr="00EF1F3E">
        <w:rPr>
          <w:bCs/>
          <w:sz w:val="26"/>
          <w:szCs w:val="26"/>
        </w:rPr>
        <w:t>.</w:t>
      </w:r>
    </w:p>
    <w:p w:rsidR="006758D3" w:rsidRPr="006758D3" w:rsidRDefault="006758D3" w:rsidP="006758D3">
      <w:pPr>
        <w:pStyle w:val="Listavistosa-nfasis11"/>
        <w:rPr>
          <w:rFonts w:cs="Arial"/>
          <w:sz w:val="26"/>
          <w:szCs w:val="26"/>
        </w:rPr>
      </w:pPr>
    </w:p>
    <w:p w:rsidR="007D69EE" w:rsidRPr="00EF1F3E" w:rsidRDefault="006758D3" w:rsidP="006758D3">
      <w:pPr>
        <w:pStyle w:val="Listavistosa-nfasis11"/>
        <w:numPr>
          <w:ilvl w:val="1"/>
          <w:numId w:val="28"/>
        </w:numPr>
        <w:ind w:left="0" w:firstLine="0"/>
        <w:rPr>
          <w:rFonts w:cs="Arial"/>
          <w:sz w:val="26"/>
          <w:szCs w:val="26"/>
        </w:rPr>
      </w:pPr>
      <w:r w:rsidRPr="006758D3">
        <w:rPr>
          <w:bCs/>
          <w:sz w:val="26"/>
          <w:szCs w:val="26"/>
        </w:rPr>
        <w:t xml:space="preserve">Por su parte, el Tribunal Europeo de Derechos Humanos ha </w:t>
      </w:r>
      <w:r w:rsidR="00EF1F3E">
        <w:rPr>
          <w:bCs/>
          <w:sz w:val="26"/>
          <w:szCs w:val="26"/>
        </w:rPr>
        <w:t>dicho</w:t>
      </w:r>
      <w:r w:rsidRPr="006758D3">
        <w:rPr>
          <w:bCs/>
          <w:sz w:val="26"/>
          <w:szCs w:val="26"/>
        </w:rPr>
        <w:t xml:space="preserve"> que “</w:t>
      </w:r>
      <w:r w:rsidRPr="006758D3">
        <w:rPr>
          <w:bCs/>
          <w:i/>
          <w:sz w:val="26"/>
          <w:szCs w:val="26"/>
        </w:rPr>
        <w:t>cualquier enfoque limitado que sea utilizado para condenar los delitos sexuales, como requerir pruebas de resistencia física en todos los casos, puede llevar a que ciertos tipos de violación no sean penados y por lo tanto, ponga en peligro la protección eficaz de la autonomía sexual los individuos</w:t>
      </w:r>
      <w:r w:rsidRPr="006758D3">
        <w:rPr>
          <w:bCs/>
          <w:sz w:val="26"/>
          <w:szCs w:val="26"/>
        </w:rPr>
        <w:t>”</w:t>
      </w:r>
      <w:r w:rsidRPr="006758D3">
        <w:rPr>
          <w:vertAlign w:val="superscript"/>
        </w:rPr>
        <w:footnoteReference w:id="64"/>
      </w:r>
      <w:r w:rsidRPr="006758D3">
        <w:rPr>
          <w:bCs/>
          <w:sz w:val="26"/>
          <w:szCs w:val="26"/>
        </w:rPr>
        <w:t xml:space="preserve">. En otro caso </w:t>
      </w:r>
      <w:r w:rsidR="00EF1F3E">
        <w:rPr>
          <w:bCs/>
          <w:sz w:val="26"/>
          <w:szCs w:val="26"/>
        </w:rPr>
        <w:t>sostuvo</w:t>
      </w:r>
      <w:r w:rsidRPr="006758D3">
        <w:rPr>
          <w:bCs/>
          <w:sz w:val="26"/>
          <w:szCs w:val="26"/>
        </w:rPr>
        <w:t xml:space="preserve"> que frente a la violencia sexual, además de las pruebas físicas, es necesario tomar en cuenta “</w:t>
      </w:r>
      <w:r w:rsidRPr="006758D3">
        <w:rPr>
          <w:bCs/>
          <w:i/>
          <w:sz w:val="26"/>
          <w:szCs w:val="26"/>
        </w:rPr>
        <w:t>la evidencia psicológica y de conducta</w:t>
      </w:r>
      <w:r w:rsidRPr="006758D3">
        <w:rPr>
          <w:bCs/>
          <w:sz w:val="26"/>
          <w:szCs w:val="26"/>
        </w:rPr>
        <w:t>”</w:t>
      </w:r>
      <w:r w:rsidRPr="006758D3">
        <w:rPr>
          <w:vertAlign w:val="superscript"/>
        </w:rPr>
        <w:footnoteReference w:id="65"/>
      </w:r>
      <w:r w:rsidRPr="006758D3">
        <w:rPr>
          <w:bCs/>
          <w:sz w:val="26"/>
          <w:szCs w:val="26"/>
        </w:rPr>
        <w:t>.</w:t>
      </w:r>
    </w:p>
    <w:p w:rsidR="00EF1F3E" w:rsidRPr="00EF1F3E" w:rsidRDefault="00EF1F3E" w:rsidP="00EF1F3E">
      <w:pPr>
        <w:pStyle w:val="Listavistosa-nfasis11"/>
        <w:rPr>
          <w:rFonts w:cs="Arial"/>
          <w:sz w:val="26"/>
          <w:szCs w:val="26"/>
        </w:rPr>
      </w:pPr>
    </w:p>
    <w:p w:rsidR="007D69EE" w:rsidRPr="00156D38" w:rsidRDefault="0066546F" w:rsidP="006F63A6">
      <w:pPr>
        <w:pStyle w:val="Listavistosa-nfasis11"/>
        <w:numPr>
          <w:ilvl w:val="1"/>
          <w:numId w:val="28"/>
        </w:numPr>
        <w:ind w:left="0" w:firstLine="0"/>
        <w:rPr>
          <w:rFonts w:cs="Arial"/>
          <w:sz w:val="26"/>
          <w:szCs w:val="26"/>
        </w:rPr>
      </w:pPr>
      <w:r>
        <w:rPr>
          <w:rFonts w:cs="Arial"/>
          <w:sz w:val="26"/>
          <w:szCs w:val="26"/>
        </w:rPr>
        <w:t>En el presente caso</w:t>
      </w:r>
      <w:r w:rsidR="00EF1F3E">
        <w:rPr>
          <w:rFonts w:cs="Arial"/>
          <w:sz w:val="26"/>
          <w:szCs w:val="26"/>
        </w:rPr>
        <w:t xml:space="preserve">, la </w:t>
      </w:r>
      <w:r>
        <w:rPr>
          <w:rFonts w:cs="Arial"/>
          <w:sz w:val="26"/>
          <w:szCs w:val="26"/>
        </w:rPr>
        <w:t>Policía Nacional no debió</w:t>
      </w:r>
      <w:r w:rsidR="00EF1F3E">
        <w:rPr>
          <w:rFonts w:cs="Arial"/>
          <w:sz w:val="26"/>
          <w:szCs w:val="26"/>
        </w:rPr>
        <w:t xml:space="preserve"> esperar a que</w:t>
      </w:r>
      <w:r>
        <w:rPr>
          <w:rFonts w:cs="Arial"/>
          <w:sz w:val="26"/>
          <w:szCs w:val="26"/>
        </w:rPr>
        <w:t xml:space="preserve"> la víctima</w:t>
      </w:r>
      <w:r w:rsidR="00EF1F3E">
        <w:rPr>
          <w:rFonts w:cs="Arial"/>
          <w:sz w:val="26"/>
          <w:szCs w:val="26"/>
        </w:rPr>
        <w:t xml:space="preserve"> se hiciera el reconocimiento médico legal para recibir la denuncia, pues la evidencia psicológica y la conducta de la </w:t>
      </w:r>
      <w:r>
        <w:rPr>
          <w:rFonts w:cs="Arial"/>
          <w:sz w:val="26"/>
          <w:szCs w:val="26"/>
        </w:rPr>
        <w:t>misma</w:t>
      </w:r>
      <w:r w:rsidR="00EF1F3E">
        <w:rPr>
          <w:rFonts w:cs="Arial"/>
          <w:sz w:val="26"/>
          <w:szCs w:val="26"/>
        </w:rPr>
        <w:t xml:space="preserve"> y de su familia, permitían inferir que se había producido un hecho violento que merecía una indagación. </w:t>
      </w:r>
      <w:r w:rsidR="00EF1F3E" w:rsidRPr="00EF1F3E">
        <w:rPr>
          <w:rFonts w:cs="Arial"/>
          <w:sz w:val="26"/>
          <w:szCs w:val="26"/>
        </w:rPr>
        <w:t>A</w:t>
      </w:r>
      <w:r w:rsidR="006758D3" w:rsidRPr="00EF1F3E">
        <w:rPr>
          <w:rFonts w:cs="Arial"/>
          <w:sz w:val="26"/>
          <w:szCs w:val="26"/>
        </w:rPr>
        <w:t xml:space="preserve">l negarse a tramitar la denuncia mientras no se practicara antes un examen médico a la afectada, la Policía incumplió el deber de actuar con la debida diligencia para la investigación y </w:t>
      </w:r>
      <w:r w:rsidR="00EF1F3E">
        <w:rPr>
          <w:rFonts w:cs="Arial"/>
          <w:sz w:val="26"/>
          <w:szCs w:val="26"/>
        </w:rPr>
        <w:t xml:space="preserve">enjuiciamiento </w:t>
      </w:r>
      <w:r w:rsidR="006758D3" w:rsidRPr="00EF1F3E">
        <w:rPr>
          <w:rFonts w:cs="Arial"/>
          <w:sz w:val="26"/>
          <w:szCs w:val="26"/>
        </w:rPr>
        <w:t>de los casos de violencia sexual</w:t>
      </w:r>
      <w:r w:rsidR="006758D3">
        <w:rPr>
          <w:rStyle w:val="Refdenotaalpie"/>
          <w:sz w:val="26"/>
          <w:szCs w:val="26"/>
        </w:rPr>
        <w:footnoteReference w:id="66"/>
      </w:r>
      <w:r w:rsidR="006758D3" w:rsidRPr="00EF1F3E">
        <w:rPr>
          <w:rFonts w:cs="Arial"/>
          <w:sz w:val="26"/>
          <w:szCs w:val="26"/>
        </w:rPr>
        <w:t xml:space="preserve"> y, </w:t>
      </w:r>
      <w:r w:rsidR="00156D38">
        <w:rPr>
          <w:rFonts w:cs="Arial"/>
          <w:sz w:val="26"/>
          <w:szCs w:val="26"/>
        </w:rPr>
        <w:t>de esta forma</w:t>
      </w:r>
      <w:r w:rsidR="006758D3" w:rsidRPr="00EF1F3E">
        <w:rPr>
          <w:rFonts w:cs="Arial"/>
          <w:sz w:val="26"/>
          <w:szCs w:val="26"/>
        </w:rPr>
        <w:t xml:space="preserve">, </w:t>
      </w:r>
      <w:r w:rsidR="00156D38">
        <w:rPr>
          <w:rFonts w:cs="Arial"/>
          <w:sz w:val="26"/>
          <w:szCs w:val="26"/>
        </w:rPr>
        <w:t>puso en entredicho</w:t>
      </w:r>
      <w:r w:rsidR="006758D3" w:rsidRPr="00EF1F3E">
        <w:rPr>
          <w:rFonts w:cs="Arial"/>
          <w:sz w:val="26"/>
          <w:szCs w:val="26"/>
        </w:rPr>
        <w:t xml:space="preserve"> los derechos de la</w:t>
      </w:r>
      <w:r w:rsidR="00EF1F3E">
        <w:rPr>
          <w:rFonts w:cs="Arial"/>
          <w:sz w:val="26"/>
          <w:szCs w:val="26"/>
        </w:rPr>
        <w:t>s</w:t>
      </w:r>
      <w:r w:rsidR="006758D3" w:rsidRPr="00EF1F3E">
        <w:rPr>
          <w:rFonts w:cs="Arial"/>
          <w:sz w:val="26"/>
          <w:szCs w:val="26"/>
        </w:rPr>
        <w:t xml:space="preserve"> víctima</w:t>
      </w:r>
      <w:r w:rsidR="00EF1F3E">
        <w:rPr>
          <w:rFonts w:cs="Arial"/>
          <w:sz w:val="26"/>
          <w:szCs w:val="26"/>
        </w:rPr>
        <w:t>s</w:t>
      </w:r>
      <w:r w:rsidR="006758D3" w:rsidRPr="00EF1F3E">
        <w:rPr>
          <w:rFonts w:cs="Arial"/>
          <w:sz w:val="26"/>
          <w:szCs w:val="26"/>
        </w:rPr>
        <w:t xml:space="preserve"> a la verdad, la justicia, la reparación y la no repetición</w:t>
      </w:r>
      <w:r w:rsidR="006758D3">
        <w:rPr>
          <w:rStyle w:val="Refdenotaalpie"/>
          <w:sz w:val="26"/>
          <w:szCs w:val="26"/>
        </w:rPr>
        <w:footnoteReference w:id="67"/>
      </w:r>
      <w:r w:rsidR="006758D3" w:rsidRPr="00EF1F3E">
        <w:rPr>
          <w:rFonts w:cs="Arial"/>
          <w:sz w:val="26"/>
          <w:szCs w:val="26"/>
        </w:rPr>
        <w:t>.</w:t>
      </w:r>
      <w:r w:rsidR="00156D38">
        <w:rPr>
          <w:rFonts w:cs="Arial"/>
          <w:sz w:val="26"/>
          <w:szCs w:val="26"/>
        </w:rPr>
        <w:t xml:space="preserve"> Recuérdese que </w:t>
      </w:r>
      <w:r w:rsidR="00156D38" w:rsidRPr="00156D38">
        <w:rPr>
          <w:rFonts w:eastAsia="Times New Roman" w:cs="Arial"/>
          <w:sz w:val="26"/>
          <w:szCs w:val="26"/>
          <w:lang w:val="es-ES" w:eastAsia="es-ES"/>
        </w:rPr>
        <w:t xml:space="preserve">la falta de investigación en casos de violencia sexual contribuye </w:t>
      </w:r>
      <w:r>
        <w:rPr>
          <w:rFonts w:eastAsia="Times New Roman" w:cs="Arial"/>
          <w:sz w:val="26"/>
          <w:szCs w:val="26"/>
          <w:lang w:val="es-ES" w:eastAsia="es-ES"/>
        </w:rPr>
        <w:t>a</w:t>
      </w:r>
      <w:r w:rsidR="00156D38" w:rsidRPr="00156D38">
        <w:rPr>
          <w:rFonts w:eastAsia="Times New Roman" w:cs="Arial"/>
          <w:sz w:val="26"/>
          <w:szCs w:val="26"/>
          <w:lang w:val="es-ES" w:eastAsia="es-ES"/>
        </w:rPr>
        <w:t xml:space="preserve"> la impunidad</w:t>
      </w:r>
      <w:r w:rsidR="00156D38" w:rsidRPr="00156D38">
        <w:rPr>
          <w:rFonts w:eastAsia="Times New Roman"/>
          <w:vertAlign w:val="superscript"/>
          <w:lang w:val="es-ES" w:eastAsia="es-ES"/>
        </w:rPr>
        <w:footnoteReference w:id="68"/>
      </w:r>
      <w:r w:rsidR="00156D38">
        <w:rPr>
          <w:rFonts w:eastAsia="Times New Roman" w:cs="Arial"/>
          <w:sz w:val="26"/>
          <w:szCs w:val="26"/>
          <w:lang w:val="es-ES" w:eastAsia="es-ES"/>
        </w:rPr>
        <w:t xml:space="preserve"> y fomenta la repetición de la violencia</w:t>
      </w:r>
      <w:r w:rsidR="00156D38">
        <w:rPr>
          <w:rStyle w:val="Refdenotaalpie"/>
          <w:rFonts w:eastAsia="Times New Roman"/>
          <w:sz w:val="26"/>
          <w:szCs w:val="26"/>
          <w:lang w:val="es-ES" w:eastAsia="es-ES"/>
        </w:rPr>
        <w:footnoteReference w:id="69"/>
      </w:r>
      <w:r w:rsidR="00156D38" w:rsidRPr="00156D38">
        <w:rPr>
          <w:rFonts w:eastAsia="Times New Roman" w:cs="Arial"/>
          <w:sz w:val="26"/>
          <w:szCs w:val="26"/>
          <w:lang w:val="es-ES" w:eastAsia="es-ES"/>
        </w:rPr>
        <w:t>.</w:t>
      </w:r>
    </w:p>
    <w:p w:rsidR="00156D38" w:rsidRDefault="00156D38" w:rsidP="00036B7B">
      <w:pPr>
        <w:rPr>
          <w:rFonts w:cs="Arial"/>
          <w:sz w:val="26"/>
          <w:szCs w:val="26"/>
        </w:rPr>
      </w:pPr>
    </w:p>
    <w:p w:rsidR="00036B7B" w:rsidRPr="00036B7B" w:rsidRDefault="00036B7B" w:rsidP="00036B7B">
      <w:pPr>
        <w:pStyle w:val="Listavistosa-nfasis11"/>
        <w:numPr>
          <w:ilvl w:val="0"/>
          <w:numId w:val="28"/>
        </w:numPr>
        <w:ind w:left="0" w:firstLine="0"/>
        <w:rPr>
          <w:rFonts w:cs="Arial"/>
          <w:sz w:val="26"/>
          <w:szCs w:val="26"/>
        </w:rPr>
      </w:pPr>
      <w:r>
        <w:rPr>
          <w:rFonts w:cs="Arial"/>
          <w:sz w:val="26"/>
          <w:szCs w:val="26"/>
        </w:rPr>
        <w:t xml:space="preserve">La otra situación que llama la atención de la Sala es la </w:t>
      </w:r>
      <w:r w:rsidR="006A4756">
        <w:rPr>
          <w:rFonts w:cs="Arial"/>
          <w:sz w:val="26"/>
          <w:szCs w:val="26"/>
        </w:rPr>
        <w:t>conducta de</w:t>
      </w:r>
      <w:r>
        <w:rPr>
          <w:rFonts w:cs="Arial"/>
          <w:sz w:val="26"/>
          <w:szCs w:val="26"/>
        </w:rPr>
        <w:t xml:space="preserve"> la </w:t>
      </w:r>
      <w:r>
        <w:rPr>
          <w:bCs/>
          <w:sz w:val="26"/>
          <w:szCs w:val="26"/>
          <w:lang w:val="es-ES"/>
        </w:rPr>
        <w:t xml:space="preserve">Fiscalía Única Seccional de Tame </w:t>
      </w:r>
      <w:r w:rsidR="006A4756">
        <w:rPr>
          <w:bCs/>
          <w:sz w:val="26"/>
          <w:szCs w:val="26"/>
          <w:lang w:val="es-ES"/>
        </w:rPr>
        <w:t>durante la investigación penal al</w:t>
      </w:r>
      <w:r>
        <w:rPr>
          <w:bCs/>
          <w:sz w:val="26"/>
          <w:szCs w:val="26"/>
          <w:lang w:val="es-ES"/>
        </w:rPr>
        <w:t xml:space="preserve"> </w:t>
      </w:r>
      <w:r w:rsidR="006A4756">
        <w:rPr>
          <w:bCs/>
          <w:sz w:val="26"/>
          <w:szCs w:val="26"/>
          <w:lang w:val="es-ES"/>
        </w:rPr>
        <w:t>practicar</w:t>
      </w:r>
      <w:r>
        <w:rPr>
          <w:bCs/>
          <w:sz w:val="26"/>
          <w:szCs w:val="26"/>
          <w:lang w:val="es-ES"/>
        </w:rPr>
        <w:t xml:space="preserve"> los interrogatorios a los testigos, pues además de preguntar por las circunstancias en que se produjo el hecho, quiso indagar sobre</w:t>
      </w:r>
      <w:r w:rsidR="006A4756">
        <w:rPr>
          <w:bCs/>
          <w:sz w:val="26"/>
          <w:szCs w:val="26"/>
          <w:lang w:val="es-ES"/>
        </w:rPr>
        <w:t xml:space="preserve"> la vida privada de la víctima, situación ajena al hecho investigado.</w:t>
      </w:r>
    </w:p>
    <w:p w:rsidR="00036B7B" w:rsidRDefault="00036B7B" w:rsidP="00036B7B">
      <w:pPr>
        <w:rPr>
          <w:rFonts w:cs="Arial"/>
          <w:sz w:val="26"/>
          <w:szCs w:val="26"/>
        </w:rPr>
      </w:pPr>
    </w:p>
    <w:p w:rsidR="00036B7B" w:rsidRPr="00D91A37" w:rsidRDefault="00D91A37" w:rsidP="00D91A37">
      <w:pPr>
        <w:pStyle w:val="Listavistosa-nfasis11"/>
        <w:numPr>
          <w:ilvl w:val="1"/>
          <w:numId w:val="28"/>
        </w:numPr>
        <w:ind w:left="0" w:firstLine="0"/>
        <w:rPr>
          <w:rFonts w:cs="Arial"/>
          <w:sz w:val="26"/>
          <w:szCs w:val="26"/>
        </w:rPr>
      </w:pPr>
      <w:r>
        <w:rPr>
          <w:rFonts w:cs="Arial"/>
          <w:sz w:val="26"/>
          <w:szCs w:val="26"/>
        </w:rPr>
        <w:t xml:space="preserve">El joven </w:t>
      </w:r>
      <w:r w:rsidR="00215661" w:rsidRPr="00D91A37">
        <w:rPr>
          <w:rFonts w:cs="Arial"/>
          <w:sz w:val="26"/>
          <w:szCs w:val="26"/>
        </w:rPr>
        <w:t xml:space="preserve">Emerson Geovanny Rodríguez </w:t>
      </w:r>
      <w:r>
        <w:rPr>
          <w:rFonts w:cs="Arial"/>
          <w:sz w:val="26"/>
          <w:szCs w:val="26"/>
        </w:rPr>
        <w:t xml:space="preserve">fue </w:t>
      </w:r>
      <w:r w:rsidR="00B170D5">
        <w:rPr>
          <w:rFonts w:cs="Arial"/>
          <w:sz w:val="26"/>
          <w:szCs w:val="26"/>
        </w:rPr>
        <w:t>interrogado</w:t>
      </w:r>
      <w:r>
        <w:rPr>
          <w:rFonts w:cs="Arial"/>
          <w:sz w:val="26"/>
          <w:szCs w:val="26"/>
        </w:rPr>
        <w:t xml:space="preserve"> sobre las costumbres, comportamiento y relaciones de su </w:t>
      </w:r>
      <w:r w:rsidR="003B633A">
        <w:rPr>
          <w:rFonts w:cs="Arial"/>
          <w:sz w:val="26"/>
          <w:szCs w:val="26"/>
        </w:rPr>
        <w:t>amiga</w:t>
      </w:r>
      <w:r>
        <w:rPr>
          <w:rFonts w:cs="Arial"/>
          <w:sz w:val="26"/>
          <w:szCs w:val="26"/>
        </w:rPr>
        <w:t xml:space="preserve"> </w:t>
      </w:r>
      <w:r>
        <w:rPr>
          <w:rFonts w:cs="Arial"/>
          <w:sz w:val="22"/>
          <w:szCs w:val="22"/>
        </w:rPr>
        <w:t xml:space="preserve">(f. </w:t>
      </w:r>
      <w:r w:rsidR="00215661" w:rsidRPr="00D91A37">
        <w:rPr>
          <w:rFonts w:cs="Arial"/>
          <w:sz w:val="22"/>
          <w:szCs w:val="22"/>
        </w:rPr>
        <w:t>49, c. 1)</w:t>
      </w:r>
      <w:r w:rsidR="00215661" w:rsidRPr="00D91A37">
        <w:rPr>
          <w:rFonts w:cs="Arial"/>
          <w:sz w:val="26"/>
          <w:szCs w:val="26"/>
        </w:rPr>
        <w:t>:</w:t>
      </w:r>
    </w:p>
    <w:p w:rsidR="00036B7B" w:rsidRDefault="00036B7B" w:rsidP="00036B7B">
      <w:pPr>
        <w:rPr>
          <w:rFonts w:cs="Arial"/>
          <w:sz w:val="26"/>
          <w:szCs w:val="26"/>
        </w:rPr>
      </w:pPr>
    </w:p>
    <w:p w:rsidR="00215661" w:rsidRPr="00D91A37" w:rsidRDefault="00215661" w:rsidP="00D91A37">
      <w:pPr>
        <w:spacing w:line="240" w:lineRule="auto"/>
        <w:ind w:left="709" w:right="618"/>
        <w:rPr>
          <w:rFonts w:cs="Arial"/>
          <w:i/>
          <w:szCs w:val="24"/>
        </w:rPr>
      </w:pPr>
      <w:r w:rsidRPr="00D91A37">
        <w:rPr>
          <w:rFonts w:cs="Arial"/>
          <w:i/>
          <w:szCs w:val="24"/>
        </w:rPr>
        <w:t>Preguntado: Díganos si sabe o tiene conocimiento si Marisol tenía amistad con alguno de estos tipos. Contestó: No que yo sepa, para nada</w:t>
      </w:r>
      <w:r w:rsidR="00D91A37">
        <w:rPr>
          <w:rFonts w:cs="Arial"/>
          <w:i/>
          <w:szCs w:val="24"/>
        </w:rPr>
        <w:t>, ni siquiera los conocía.</w:t>
      </w:r>
      <w:r w:rsidRPr="00D91A37">
        <w:rPr>
          <w:rFonts w:cs="Arial"/>
          <w:i/>
          <w:szCs w:val="24"/>
        </w:rPr>
        <w:t xml:space="preserve"> Preguntado: Díganos si sabe si a Marisol le gusta salir a la calle o más bien es casera. Contestó: Esta muchacha le gusta mucho estar en su casa, es muy casera, y fuera de eso su comportamiento es muy serio, no es de las muchachas bochincheras, alocadas, más bien es pacífica, su comportamiento es normal, como toda muchacha de su edad.</w:t>
      </w:r>
    </w:p>
    <w:p w:rsidR="00215661" w:rsidRDefault="00215661" w:rsidP="00036B7B">
      <w:pPr>
        <w:rPr>
          <w:rFonts w:cs="Arial"/>
          <w:sz w:val="26"/>
          <w:szCs w:val="26"/>
        </w:rPr>
      </w:pPr>
    </w:p>
    <w:p w:rsidR="00036B7B" w:rsidRPr="00D91A37" w:rsidRDefault="00D91A37" w:rsidP="00D91A37">
      <w:pPr>
        <w:pStyle w:val="Listavistosa-nfasis11"/>
        <w:numPr>
          <w:ilvl w:val="1"/>
          <w:numId w:val="28"/>
        </w:numPr>
        <w:ind w:left="0" w:firstLine="0"/>
        <w:rPr>
          <w:rFonts w:cs="Arial"/>
          <w:sz w:val="26"/>
          <w:szCs w:val="26"/>
        </w:rPr>
      </w:pPr>
      <w:r>
        <w:rPr>
          <w:rFonts w:cs="Arial"/>
          <w:sz w:val="26"/>
          <w:szCs w:val="26"/>
        </w:rPr>
        <w:t xml:space="preserve">El </w:t>
      </w:r>
      <w:r w:rsidR="003B633A">
        <w:rPr>
          <w:rFonts w:cs="Arial"/>
          <w:sz w:val="26"/>
          <w:szCs w:val="26"/>
        </w:rPr>
        <w:t xml:space="preserve">joven </w:t>
      </w:r>
      <w:r w:rsidR="00215661" w:rsidRPr="00D91A37">
        <w:rPr>
          <w:rFonts w:cs="Arial"/>
          <w:sz w:val="26"/>
          <w:szCs w:val="26"/>
        </w:rPr>
        <w:t>Jhon Freddy Liberato Pareja</w:t>
      </w:r>
      <w:r>
        <w:rPr>
          <w:rFonts w:cs="Arial"/>
          <w:sz w:val="26"/>
          <w:szCs w:val="26"/>
        </w:rPr>
        <w:t xml:space="preserve"> fue interrogado sobre una eventual relación de la víctima con algún militar o policía</w:t>
      </w:r>
      <w:r w:rsidR="00215661" w:rsidRPr="00D91A37">
        <w:rPr>
          <w:rFonts w:cs="Arial"/>
          <w:sz w:val="26"/>
          <w:szCs w:val="26"/>
        </w:rPr>
        <w:t xml:space="preserve"> </w:t>
      </w:r>
      <w:r w:rsidR="00215661" w:rsidRPr="00D91A37">
        <w:rPr>
          <w:rFonts w:cs="Arial"/>
          <w:sz w:val="22"/>
          <w:szCs w:val="22"/>
        </w:rPr>
        <w:t>(f. 5</w:t>
      </w:r>
      <w:r>
        <w:rPr>
          <w:rFonts w:cs="Arial"/>
          <w:sz w:val="22"/>
          <w:szCs w:val="22"/>
        </w:rPr>
        <w:t>2</w:t>
      </w:r>
      <w:r w:rsidR="00215661" w:rsidRPr="00D91A37">
        <w:rPr>
          <w:rFonts w:cs="Arial"/>
          <w:sz w:val="22"/>
          <w:szCs w:val="22"/>
        </w:rPr>
        <w:t>-5</w:t>
      </w:r>
      <w:r>
        <w:rPr>
          <w:rFonts w:cs="Arial"/>
          <w:sz w:val="22"/>
          <w:szCs w:val="22"/>
        </w:rPr>
        <w:t>3</w:t>
      </w:r>
      <w:r w:rsidR="00215661" w:rsidRPr="00D91A37">
        <w:rPr>
          <w:rFonts w:cs="Arial"/>
          <w:sz w:val="22"/>
          <w:szCs w:val="22"/>
        </w:rPr>
        <w:t>, c. 1)</w:t>
      </w:r>
      <w:r w:rsidR="00215661" w:rsidRPr="00D91A37">
        <w:rPr>
          <w:rFonts w:cs="Arial"/>
          <w:sz w:val="26"/>
          <w:szCs w:val="26"/>
        </w:rPr>
        <w:t>:</w:t>
      </w:r>
    </w:p>
    <w:p w:rsidR="00215661" w:rsidRDefault="00215661" w:rsidP="00036B7B">
      <w:pPr>
        <w:rPr>
          <w:rFonts w:cs="Arial"/>
          <w:sz w:val="26"/>
          <w:szCs w:val="26"/>
        </w:rPr>
      </w:pPr>
    </w:p>
    <w:p w:rsidR="00215661" w:rsidRPr="00D91A37" w:rsidRDefault="00D91A37" w:rsidP="00D91A37">
      <w:pPr>
        <w:spacing w:line="240" w:lineRule="auto"/>
        <w:ind w:left="709" w:right="618"/>
        <w:rPr>
          <w:rFonts w:cs="Arial"/>
          <w:i/>
          <w:szCs w:val="24"/>
        </w:rPr>
      </w:pPr>
      <w:r w:rsidRPr="00D91A37">
        <w:rPr>
          <w:rFonts w:cs="Arial"/>
          <w:i/>
          <w:szCs w:val="24"/>
        </w:rPr>
        <w:t>Preguntado: Durante el tiempo que tiene de conocer a Mónica Marisol, sabe o se ha enterado si a esta persona le gusta sostener amistades con personal uniformado, en ese caso si le conoció algún amigo, bien sea de la Policía o el Ejército. Contestó, en el tiempo que tengo de conocerla nunca me he enterado ni he sabido que a esta mujer le guste sostener charlas o amistades con algún personal uniformado, y fuera de eso cuando habla con uno, nunca le menciona ningún militar, ni se lo he conocido.</w:t>
      </w:r>
    </w:p>
    <w:p w:rsidR="00D91A37" w:rsidRDefault="00D91A37" w:rsidP="00036B7B">
      <w:pPr>
        <w:rPr>
          <w:rFonts w:cs="Arial"/>
          <w:sz w:val="26"/>
          <w:szCs w:val="26"/>
        </w:rPr>
      </w:pPr>
    </w:p>
    <w:p w:rsidR="00006BA8" w:rsidRPr="00006BA8" w:rsidRDefault="00F13D67" w:rsidP="00F13D67">
      <w:pPr>
        <w:pStyle w:val="Listavistosa-nfasis11"/>
        <w:numPr>
          <w:ilvl w:val="1"/>
          <w:numId w:val="28"/>
        </w:numPr>
        <w:ind w:left="0" w:firstLine="0"/>
        <w:rPr>
          <w:rFonts w:cs="Arial"/>
          <w:sz w:val="26"/>
          <w:szCs w:val="26"/>
        </w:rPr>
      </w:pPr>
      <w:r>
        <w:rPr>
          <w:rFonts w:cs="Arial"/>
          <w:sz w:val="26"/>
          <w:szCs w:val="26"/>
        </w:rPr>
        <w:t>Al respecto, la Corte Constitucional ha señalado que las víctimas</w:t>
      </w:r>
      <w:r w:rsidRPr="00F13D67">
        <w:t xml:space="preserve"> </w:t>
      </w:r>
      <w:r>
        <w:rPr>
          <w:rFonts w:cs="Arial"/>
          <w:sz w:val="26"/>
          <w:szCs w:val="26"/>
        </w:rPr>
        <w:t>de delitos sexuales</w:t>
      </w:r>
      <w:r w:rsidRPr="00F13D67">
        <w:rPr>
          <w:rFonts w:cs="Arial"/>
          <w:sz w:val="26"/>
          <w:szCs w:val="26"/>
        </w:rPr>
        <w:t xml:space="preserve"> tienen un derecho constitucional a que se proteja su intimidad contra la práctica de pruebas que impliquen una intromisión irrazonable, innecesaria y desproporcionada</w:t>
      </w:r>
      <w:r>
        <w:rPr>
          <w:rFonts w:cs="Arial"/>
          <w:sz w:val="26"/>
          <w:szCs w:val="26"/>
        </w:rPr>
        <w:t xml:space="preserve"> en su vida íntima, como ocurre</w:t>
      </w:r>
      <w:r w:rsidRPr="00F13D67">
        <w:rPr>
          <w:rFonts w:cs="Arial"/>
          <w:sz w:val="26"/>
          <w:szCs w:val="26"/>
        </w:rPr>
        <w:t xml:space="preserve"> cuando se indaga genéricamente sobre el comportamiento sexual o social de la víctima previo o posterior</w:t>
      </w:r>
      <w:r>
        <w:rPr>
          <w:rFonts w:cs="Arial"/>
          <w:sz w:val="26"/>
          <w:szCs w:val="26"/>
        </w:rPr>
        <w:t xml:space="preserve"> a los hechos que se investigan:</w:t>
      </w:r>
    </w:p>
    <w:p w:rsidR="00F13D67" w:rsidRPr="00006BA8" w:rsidRDefault="00F13D67" w:rsidP="00006BA8">
      <w:pPr>
        <w:rPr>
          <w:bCs/>
          <w:sz w:val="26"/>
          <w:szCs w:val="26"/>
        </w:rPr>
      </w:pPr>
    </w:p>
    <w:p w:rsidR="003F0FCE" w:rsidRDefault="00F13D67" w:rsidP="00F13D67">
      <w:pPr>
        <w:spacing w:line="240" w:lineRule="auto"/>
        <w:ind w:left="709" w:right="618"/>
        <w:rPr>
          <w:i/>
          <w:iCs/>
          <w:szCs w:val="24"/>
        </w:rPr>
      </w:pPr>
      <w:r w:rsidRPr="003F0FCE">
        <w:rPr>
          <w:i/>
          <w:iCs/>
          <w:szCs w:val="24"/>
        </w:rPr>
        <w:t>Este tipo de pruebas</w:t>
      </w:r>
      <w:r w:rsidR="00006BA8" w:rsidRPr="003F0FCE">
        <w:rPr>
          <w:i/>
          <w:iCs/>
          <w:szCs w:val="24"/>
        </w:rPr>
        <w:t xml:space="preserve"> no aportan elementos de juicio sobre la forma como ocurrieron los hechos objeto de investigación, sino que están dirigidas a elevar cuestionamientos sobre la idoneidad moral de la víctima por su comportamiento anterior o posterior a los hechos en relaciones diferentes y con personas distintas al acusado. No están orientadas estas pruebas a un fin imperioso de la defensa. Por el contrario, buscan reproducir un prejuicio social según el cual de una mayor predisposición o experiencia sexual se puede inferir el consentimiento de la víctima a un acto totalmente distinto y separado de las relaciones que ella hubiere podido tener con sus ex-novios o amantes. </w:t>
      </w:r>
    </w:p>
    <w:p w:rsidR="003F0FCE" w:rsidRDefault="003F0FCE" w:rsidP="00F13D67">
      <w:pPr>
        <w:spacing w:line="240" w:lineRule="auto"/>
        <w:ind w:left="709" w:right="618"/>
        <w:rPr>
          <w:i/>
          <w:iCs/>
          <w:szCs w:val="24"/>
        </w:rPr>
      </w:pPr>
    </w:p>
    <w:p w:rsidR="00006BA8" w:rsidRPr="00F13D67" w:rsidRDefault="00006BA8" w:rsidP="00F13D67">
      <w:pPr>
        <w:spacing w:line="240" w:lineRule="auto"/>
        <w:ind w:left="709" w:right="618"/>
        <w:rPr>
          <w:iCs/>
          <w:szCs w:val="24"/>
        </w:rPr>
      </w:pPr>
      <w:r w:rsidRPr="003F0FCE">
        <w:rPr>
          <w:i/>
          <w:iCs/>
          <w:szCs w:val="24"/>
        </w:rPr>
        <w:t>Tales pruebas imponen una restricción grave del derecho a la intimidad de la víctima que resulta irrazonable y desproporcionada que distorsiona la finalidad de la investigación penal</w:t>
      </w:r>
      <w:r w:rsidR="003F0FCE" w:rsidRPr="003F0FCE">
        <w:rPr>
          <w:i/>
          <w:iCs/>
          <w:szCs w:val="24"/>
        </w:rPr>
        <w:t xml:space="preserve">. </w:t>
      </w:r>
      <w:r w:rsidR="003F0FCE" w:rsidRPr="003F0FCE">
        <w:rPr>
          <w:iCs/>
          <w:szCs w:val="24"/>
        </w:rPr>
        <w:t>(...)</w:t>
      </w:r>
      <w:r w:rsidR="003F0FCE" w:rsidRPr="003F0FCE">
        <w:rPr>
          <w:i/>
          <w:iCs/>
          <w:szCs w:val="24"/>
        </w:rPr>
        <w:t xml:space="preserve"> El comportamiento o experiencia sexual previ</w:t>
      </w:r>
      <w:r w:rsidR="003F0FCE">
        <w:rPr>
          <w:i/>
          <w:iCs/>
          <w:szCs w:val="24"/>
        </w:rPr>
        <w:t>a</w:t>
      </w:r>
      <w:r w:rsidR="003F0FCE" w:rsidRPr="003F0FCE">
        <w:rPr>
          <w:i/>
          <w:iCs/>
          <w:szCs w:val="24"/>
        </w:rPr>
        <w:t xml:space="preserve"> de la víctima, nada dice sobre su consentimiento para sostener relaciones sexuales con el acusado, ni aporta información sobre lo ocurrido el día de los hechos. Simplemente está encaminado a cuestionar la idoneidad moral de la víctima con base en prejuicios sociales</w:t>
      </w:r>
      <w:r w:rsidRPr="00F13D67">
        <w:rPr>
          <w:rStyle w:val="Refdenotaalpie"/>
          <w:bCs/>
          <w:szCs w:val="24"/>
        </w:rPr>
        <w:footnoteReference w:id="70"/>
      </w:r>
      <w:r w:rsidRPr="00F13D67">
        <w:rPr>
          <w:iCs/>
          <w:szCs w:val="24"/>
        </w:rPr>
        <w:t>.</w:t>
      </w:r>
    </w:p>
    <w:p w:rsidR="00006BA8" w:rsidRPr="00006BA8" w:rsidRDefault="00006BA8" w:rsidP="00006BA8">
      <w:pPr>
        <w:rPr>
          <w:i/>
          <w:iCs/>
          <w:sz w:val="26"/>
          <w:szCs w:val="26"/>
        </w:rPr>
      </w:pPr>
    </w:p>
    <w:p w:rsidR="00F13D67" w:rsidRPr="003F0FCE" w:rsidRDefault="00B972EC" w:rsidP="00B140DD">
      <w:pPr>
        <w:pStyle w:val="Listavistosa-nfasis11"/>
        <w:numPr>
          <w:ilvl w:val="1"/>
          <w:numId w:val="28"/>
        </w:numPr>
        <w:ind w:left="0" w:firstLine="0"/>
        <w:rPr>
          <w:bCs/>
          <w:sz w:val="26"/>
          <w:szCs w:val="26"/>
        </w:rPr>
      </w:pPr>
      <w:r>
        <w:rPr>
          <w:bCs/>
          <w:sz w:val="26"/>
          <w:szCs w:val="26"/>
        </w:rPr>
        <w:t>Es oportuno</w:t>
      </w:r>
      <w:r w:rsidR="003F0FCE">
        <w:rPr>
          <w:bCs/>
          <w:sz w:val="26"/>
          <w:szCs w:val="26"/>
        </w:rPr>
        <w:t xml:space="preserve"> agregar que</w:t>
      </w:r>
      <w:r w:rsidR="00B140DD">
        <w:rPr>
          <w:bCs/>
          <w:sz w:val="26"/>
          <w:szCs w:val="26"/>
        </w:rPr>
        <w:t>,</w:t>
      </w:r>
      <w:r w:rsidR="003F0FCE">
        <w:rPr>
          <w:bCs/>
          <w:sz w:val="26"/>
          <w:szCs w:val="26"/>
        </w:rPr>
        <w:t xml:space="preserve"> en </w:t>
      </w:r>
      <w:r w:rsidR="00F13D67" w:rsidRPr="003F0FCE">
        <w:rPr>
          <w:bCs/>
          <w:sz w:val="26"/>
          <w:szCs w:val="26"/>
        </w:rPr>
        <w:t xml:space="preserve">el derecho penal internacional, </w:t>
      </w:r>
      <w:r w:rsidR="00B140DD" w:rsidRPr="003F0FCE">
        <w:rPr>
          <w:bCs/>
          <w:sz w:val="26"/>
          <w:szCs w:val="26"/>
        </w:rPr>
        <w:t xml:space="preserve">no son admisibles </w:t>
      </w:r>
      <w:r w:rsidR="00B140DD">
        <w:rPr>
          <w:bCs/>
          <w:sz w:val="26"/>
          <w:szCs w:val="26"/>
        </w:rPr>
        <w:t xml:space="preserve">las </w:t>
      </w:r>
      <w:r w:rsidR="00B140DD" w:rsidRPr="003F0FCE">
        <w:rPr>
          <w:bCs/>
          <w:sz w:val="26"/>
          <w:szCs w:val="26"/>
        </w:rPr>
        <w:t xml:space="preserve">pruebas del comportamiento sexual anterior o ulterior de la víctima </w:t>
      </w:r>
      <w:r w:rsidR="00F13D67" w:rsidRPr="003F0FCE">
        <w:rPr>
          <w:bCs/>
          <w:sz w:val="26"/>
          <w:szCs w:val="26"/>
        </w:rPr>
        <w:t>para determinar la existencia de un acceso carnal violento</w:t>
      </w:r>
      <w:r w:rsidR="00F13D67" w:rsidRPr="00006BA8">
        <w:rPr>
          <w:rStyle w:val="Refdenotaalpie"/>
          <w:bCs/>
          <w:sz w:val="26"/>
          <w:szCs w:val="26"/>
        </w:rPr>
        <w:footnoteReference w:id="71"/>
      </w:r>
      <w:r w:rsidR="00F13D67" w:rsidRPr="003F0FCE">
        <w:rPr>
          <w:bCs/>
          <w:sz w:val="26"/>
          <w:szCs w:val="26"/>
        </w:rPr>
        <w:t>.</w:t>
      </w:r>
    </w:p>
    <w:p w:rsidR="00F13D67" w:rsidRDefault="00F13D67" w:rsidP="00006BA8">
      <w:pPr>
        <w:rPr>
          <w:sz w:val="26"/>
          <w:szCs w:val="26"/>
        </w:rPr>
      </w:pPr>
    </w:p>
    <w:p w:rsidR="00B140DD" w:rsidRPr="006436AE" w:rsidRDefault="00B140DD" w:rsidP="00B140DD">
      <w:pPr>
        <w:pStyle w:val="Listavistosa-nfasis11"/>
        <w:numPr>
          <w:ilvl w:val="1"/>
          <w:numId w:val="28"/>
        </w:numPr>
        <w:ind w:left="0" w:firstLine="0"/>
        <w:rPr>
          <w:sz w:val="26"/>
          <w:szCs w:val="26"/>
        </w:rPr>
      </w:pPr>
      <w:r>
        <w:rPr>
          <w:sz w:val="26"/>
          <w:szCs w:val="26"/>
        </w:rPr>
        <w:t xml:space="preserve">En este caso, la Sala </w:t>
      </w:r>
      <w:r w:rsidR="00545457">
        <w:rPr>
          <w:sz w:val="26"/>
          <w:szCs w:val="26"/>
        </w:rPr>
        <w:t>encuentra abiertamente injustificado</w:t>
      </w:r>
      <w:r>
        <w:rPr>
          <w:sz w:val="26"/>
          <w:szCs w:val="26"/>
        </w:rPr>
        <w:t xml:space="preserve"> el propósito de la Fiscalía </w:t>
      </w:r>
      <w:r>
        <w:rPr>
          <w:bCs/>
          <w:sz w:val="26"/>
          <w:szCs w:val="26"/>
          <w:lang w:val="es-ES"/>
        </w:rPr>
        <w:t xml:space="preserve">Única Seccional de Tame al hacer preguntas sobre la vida íntima y social de la joven Mónica Marisol Rodríguez. </w:t>
      </w:r>
      <w:r w:rsidR="00545457">
        <w:rPr>
          <w:bCs/>
          <w:sz w:val="26"/>
          <w:szCs w:val="26"/>
          <w:lang w:val="es-ES"/>
        </w:rPr>
        <w:t>E</w:t>
      </w:r>
      <w:r>
        <w:rPr>
          <w:bCs/>
          <w:sz w:val="26"/>
          <w:szCs w:val="26"/>
          <w:lang w:val="es-ES"/>
        </w:rPr>
        <w:t>s evidente que tales preguntas, antes que aportar elementos de juicio</w:t>
      </w:r>
      <w:r w:rsidR="00545457">
        <w:rPr>
          <w:bCs/>
          <w:sz w:val="26"/>
          <w:szCs w:val="26"/>
          <w:lang w:val="es-ES"/>
        </w:rPr>
        <w:t xml:space="preserve"> serios</w:t>
      </w:r>
      <w:r>
        <w:rPr>
          <w:bCs/>
          <w:sz w:val="26"/>
          <w:szCs w:val="26"/>
          <w:lang w:val="es-ES"/>
        </w:rPr>
        <w:t xml:space="preserve"> para el desarrollo adecuado de la investigación penal, busca</w:t>
      </w:r>
      <w:r w:rsidR="00545457">
        <w:rPr>
          <w:bCs/>
          <w:sz w:val="26"/>
          <w:szCs w:val="26"/>
          <w:lang w:val="es-ES"/>
        </w:rPr>
        <w:t>ba</w:t>
      </w:r>
      <w:r>
        <w:rPr>
          <w:bCs/>
          <w:sz w:val="26"/>
          <w:szCs w:val="26"/>
          <w:lang w:val="es-ES"/>
        </w:rPr>
        <w:t xml:space="preserve">n </w:t>
      </w:r>
      <w:r w:rsidR="00545457">
        <w:rPr>
          <w:bCs/>
          <w:sz w:val="26"/>
          <w:szCs w:val="26"/>
          <w:lang w:val="es-ES"/>
        </w:rPr>
        <w:t>en el fondo escudriñar sobre el comportamiento personal y social de la víctima</w:t>
      </w:r>
      <w:r>
        <w:rPr>
          <w:bCs/>
          <w:sz w:val="26"/>
          <w:szCs w:val="26"/>
          <w:lang w:val="es-ES"/>
        </w:rPr>
        <w:t xml:space="preserve">. Es decir, si los declarantes </w:t>
      </w:r>
      <w:r w:rsidR="006436AE">
        <w:rPr>
          <w:bCs/>
          <w:sz w:val="26"/>
          <w:szCs w:val="26"/>
          <w:lang w:val="es-ES"/>
        </w:rPr>
        <w:t>hubieran manifestado que la joven solía</w:t>
      </w:r>
      <w:r>
        <w:rPr>
          <w:bCs/>
          <w:sz w:val="26"/>
          <w:szCs w:val="26"/>
          <w:lang w:val="es-ES"/>
        </w:rPr>
        <w:t xml:space="preserve"> salir en las noches o que sostenía una relación </w:t>
      </w:r>
      <w:r w:rsidR="006436AE">
        <w:rPr>
          <w:bCs/>
          <w:sz w:val="26"/>
          <w:szCs w:val="26"/>
          <w:lang w:val="es-ES"/>
        </w:rPr>
        <w:t xml:space="preserve">sentimental </w:t>
      </w:r>
      <w:r>
        <w:rPr>
          <w:bCs/>
          <w:sz w:val="26"/>
          <w:szCs w:val="26"/>
          <w:lang w:val="es-ES"/>
        </w:rPr>
        <w:t>con determinada persona, ¿en qué habría variado la investigación?</w:t>
      </w:r>
      <w:r w:rsidR="00545457">
        <w:rPr>
          <w:bCs/>
          <w:sz w:val="26"/>
          <w:szCs w:val="26"/>
          <w:lang w:val="es-ES"/>
        </w:rPr>
        <w:t>, ¿e</w:t>
      </w:r>
      <w:r w:rsidR="006436AE">
        <w:rPr>
          <w:bCs/>
          <w:sz w:val="26"/>
          <w:szCs w:val="26"/>
          <w:lang w:val="es-ES"/>
        </w:rPr>
        <w:t>l comportamiento de la víctima habría llevado a responsabilizarla por lo sucedido?</w:t>
      </w:r>
    </w:p>
    <w:p w:rsidR="006436AE" w:rsidRPr="006436AE" w:rsidRDefault="006436AE" w:rsidP="006436AE">
      <w:pPr>
        <w:pStyle w:val="Listavistosa-nfasis11"/>
        <w:rPr>
          <w:sz w:val="26"/>
          <w:szCs w:val="26"/>
        </w:rPr>
      </w:pPr>
    </w:p>
    <w:p w:rsidR="008B4C19" w:rsidRDefault="00006BA8" w:rsidP="00006BA8">
      <w:pPr>
        <w:pStyle w:val="Listavistosa-nfasis11"/>
        <w:numPr>
          <w:ilvl w:val="1"/>
          <w:numId w:val="28"/>
        </w:numPr>
        <w:ind w:left="0" w:firstLine="0"/>
        <w:rPr>
          <w:sz w:val="26"/>
          <w:szCs w:val="26"/>
        </w:rPr>
      </w:pPr>
      <w:r w:rsidRPr="006436AE">
        <w:rPr>
          <w:sz w:val="26"/>
          <w:szCs w:val="26"/>
        </w:rPr>
        <w:t xml:space="preserve">Esta </w:t>
      </w:r>
      <w:r w:rsidR="006436AE">
        <w:rPr>
          <w:sz w:val="26"/>
          <w:szCs w:val="26"/>
        </w:rPr>
        <w:t>forma</w:t>
      </w:r>
      <w:r w:rsidRPr="006436AE">
        <w:rPr>
          <w:sz w:val="26"/>
          <w:szCs w:val="26"/>
        </w:rPr>
        <w:t xml:space="preserve"> de </w:t>
      </w:r>
      <w:r w:rsidR="006436AE">
        <w:rPr>
          <w:sz w:val="26"/>
          <w:szCs w:val="26"/>
        </w:rPr>
        <w:t xml:space="preserve">investigar y de </w:t>
      </w:r>
      <w:r w:rsidRPr="006436AE">
        <w:rPr>
          <w:sz w:val="26"/>
          <w:szCs w:val="26"/>
        </w:rPr>
        <w:t xml:space="preserve">administrar justicia, lejos de ser una actividad neutral desde el punto de vista de las relaciones de género, consolida y reproduce prejuicios y </w:t>
      </w:r>
      <w:r w:rsidR="006C731F">
        <w:rPr>
          <w:sz w:val="26"/>
          <w:szCs w:val="26"/>
        </w:rPr>
        <w:t>estereotipos</w:t>
      </w:r>
      <w:r w:rsidRPr="006436AE">
        <w:rPr>
          <w:sz w:val="26"/>
          <w:szCs w:val="26"/>
        </w:rPr>
        <w:t xml:space="preserve"> sociales</w:t>
      </w:r>
      <w:r w:rsidR="006F49AE">
        <w:rPr>
          <w:rStyle w:val="Refdenotaalpie"/>
          <w:sz w:val="26"/>
          <w:szCs w:val="26"/>
        </w:rPr>
        <w:footnoteReference w:id="72"/>
      </w:r>
      <w:r w:rsidRPr="006436AE">
        <w:rPr>
          <w:sz w:val="26"/>
          <w:szCs w:val="26"/>
        </w:rPr>
        <w:t xml:space="preserve"> de naturaleza patriarcal, en las que se culpa a la mujer por la violencia sufrida o se sospecha en su conducta, su vestuario o en cualquier otro factor</w:t>
      </w:r>
      <w:r w:rsidR="006436AE">
        <w:rPr>
          <w:sz w:val="26"/>
          <w:szCs w:val="26"/>
        </w:rPr>
        <w:t>,</w:t>
      </w:r>
      <w:r w:rsidRPr="006436AE">
        <w:rPr>
          <w:sz w:val="26"/>
          <w:szCs w:val="26"/>
        </w:rPr>
        <w:t xml:space="preserve"> una justificación o, al menos, una explicación plausible del hecho violento.</w:t>
      </w:r>
    </w:p>
    <w:p w:rsidR="008B4C19" w:rsidRPr="008B4C19" w:rsidRDefault="008B4C19" w:rsidP="008B4C19">
      <w:pPr>
        <w:pStyle w:val="Listavistosa-nfasis11"/>
        <w:rPr>
          <w:sz w:val="26"/>
          <w:szCs w:val="26"/>
        </w:rPr>
      </w:pPr>
    </w:p>
    <w:p w:rsidR="00006BA8" w:rsidRDefault="008B4C19" w:rsidP="00006BA8">
      <w:pPr>
        <w:pStyle w:val="Listavistosa-nfasis11"/>
        <w:numPr>
          <w:ilvl w:val="1"/>
          <w:numId w:val="28"/>
        </w:numPr>
        <w:ind w:left="0" w:firstLine="0"/>
        <w:rPr>
          <w:sz w:val="26"/>
          <w:szCs w:val="26"/>
        </w:rPr>
      </w:pPr>
      <w:r>
        <w:rPr>
          <w:sz w:val="26"/>
          <w:szCs w:val="26"/>
        </w:rPr>
        <w:t xml:space="preserve"> Frente a la discriminación de género en las actuaciones judiciales, se ha reiterado la necesidad de hacer realidad el principio de igualdad que emana de la Constitución y de los tratados de derechos humanos:</w:t>
      </w:r>
    </w:p>
    <w:p w:rsidR="008B4C19" w:rsidRDefault="008B4C19" w:rsidP="008B4C19">
      <w:pPr>
        <w:rPr>
          <w:sz w:val="26"/>
          <w:szCs w:val="26"/>
        </w:rPr>
      </w:pPr>
    </w:p>
    <w:p w:rsidR="008B4C19" w:rsidRPr="008B4C19" w:rsidRDefault="008B4C19" w:rsidP="008B4C19">
      <w:pPr>
        <w:spacing w:line="240" w:lineRule="auto"/>
        <w:ind w:left="709" w:right="618"/>
        <w:rPr>
          <w:i/>
          <w:szCs w:val="24"/>
        </w:rPr>
      </w:pPr>
      <w:r w:rsidRPr="008B4C19">
        <w:rPr>
          <w:i/>
          <w:szCs w:val="24"/>
        </w:rPr>
        <w:t>Los casos de discriminación, por razón de género, bien pueden tener origen en actuaciones judiciales que coloquen en posición desfavorable a la mujer por el hecho de serlo, lo que desconoce el principio de igualdad y, en suma, la axiología que irradia los sistemas internacionales de protección de los derechos humanos y la propia Constitución.</w:t>
      </w:r>
    </w:p>
    <w:p w:rsidR="008B4C19" w:rsidRPr="008B4C19" w:rsidRDefault="008B4C19" w:rsidP="008B4C19">
      <w:pPr>
        <w:spacing w:line="240" w:lineRule="auto"/>
        <w:ind w:left="709" w:right="618"/>
        <w:rPr>
          <w:i/>
          <w:szCs w:val="24"/>
        </w:rPr>
      </w:pPr>
    </w:p>
    <w:p w:rsidR="008B4C19" w:rsidRPr="008B4C19" w:rsidRDefault="008B4C19" w:rsidP="008B4C19">
      <w:pPr>
        <w:spacing w:line="240" w:lineRule="auto"/>
        <w:ind w:left="709" w:right="618"/>
        <w:rPr>
          <w:i/>
          <w:szCs w:val="24"/>
        </w:rPr>
      </w:pPr>
      <w:r w:rsidRPr="008B4C19">
        <w:rPr>
          <w:i/>
          <w:szCs w:val="24"/>
        </w:rPr>
        <w:t xml:space="preserve">Sin duda alguna, se resquebraja el valor de la igualdad real ante la ley cuando, en el escenario de un proceso judicial, se analiza sesgadamente el material probatorio </w:t>
      </w:r>
      <w:r w:rsidRPr="008B4C19">
        <w:rPr>
          <w:szCs w:val="24"/>
        </w:rPr>
        <w:t>(...)</w:t>
      </w:r>
    </w:p>
    <w:p w:rsidR="008B4C19" w:rsidRPr="008B4C19" w:rsidRDefault="008B4C19" w:rsidP="008B4C19">
      <w:pPr>
        <w:spacing w:line="240" w:lineRule="auto"/>
        <w:ind w:left="709" w:right="618"/>
        <w:rPr>
          <w:i/>
          <w:szCs w:val="24"/>
        </w:rPr>
      </w:pPr>
    </w:p>
    <w:p w:rsidR="008B4C19" w:rsidRPr="008B4C19" w:rsidRDefault="008B4C19" w:rsidP="008B4C19">
      <w:pPr>
        <w:spacing w:line="240" w:lineRule="auto"/>
        <w:ind w:left="709" w:right="618"/>
        <w:rPr>
          <w:i/>
          <w:szCs w:val="24"/>
        </w:rPr>
      </w:pPr>
      <w:r w:rsidRPr="008B4C19">
        <w:rPr>
          <w:i/>
          <w:szCs w:val="24"/>
        </w:rPr>
        <w:t>Los jueces, como cultores de la justicia y guardianes del orden jurídico, están llamados a contribuir a la realización de los fines esenciales del Estado y, entre ellos, a combatir la discriminación y el marginamiento. No en vano, la sociedad actual se interesa, cada vez más, en superar las injusticias seculares y promocionar a las personas o sectores de la población que, tradicionalmente, han sufrido las inc</w:t>
      </w:r>
      <w:r>
        <w:rPr>
          <w:i/>
          <w:szCs w:val="24"/>
        </w:rPr>
        <w:t>lemencias de la desigualdad y</w:t>
      </w:r>
      <w:r w:rsidRPr="008B4C19">
        <w:rPr>
          <w:i/>
          <w:szCs w:val="24"/>
        </w:rPr>
        <w:t xml:space="preserve"> discriminación</w:t>
      </w:r>
      <w:r w:rsidRPr="008B4C19">
        <w:rPr>
          <w:rStyle w:val="Refdenotaalpie"/>
          <w:szCs w:val="24"/>
        </w:rPr>
        <w:footnoteReference w:id="73"/>
      </w:r>
      <w:r w:rsidRPr="008B4C19">
        <w:rPr>
          <w:i/>
          <w:szCs w:val="24"/>
        </w:rPr>
        <w:t>.</w:t>
      </w:r>
    </w:p>
    <w:p w:rsidR="008B4C19" w:rsidRPr="008B4C19" w:rsidRDefault="008B4C19" w:rsidP="008B4C19">
      <w:pPr>
        <w:rPr>
          <w:sz w:val="26"/>
          <w:szCs w:val="26"/>
        </w:rPr>
      </w:pPr>
    </w:p>
    <w:p w:rsidR="006436AE" w:rsidRDefault="009B61C4" w:rsidP="00006BA8">
      <w:pPr>
        <w:pStyle w:val="Listavistosa-nfasis11"/>
        <w:numPr>
          <w:ilvl w:val="1"/>
          <w:numId w:val="28"/>
        </w:numPr>
        <w:ind w:left="0" w:firstLine="0"/>
        <w:rPr>
          <w:sz w:val="26"/>
          <w:szCs w:val="26"/>
        </w:rPr>
      </w:pPr>
      <w:r>
        <w:rPr>
          <w:sz w:val="26"/>
          <w:szCs w:val="26"/>
        </w:rPr>
        <w:t xml:space="preserve">En efecto, a los jueces y fiscales de la República corresponde la </w:t>
      </w:r>
      <w:r w:rsidR="00D15187">
        <w:rPr>
          <w:sz w:val="26"/>
          <w:szCs w:val="26"/>
        </w:rPr>
        <w:t>función</w:t>
      </w:r>
      <w:r>
        <w:rPr>
          <w:sz w:val="26"/>
          <w:szCs w:val="26"/>
        </w:rPr>
        <w:t xml:space="preserve"> de erradicar la discriminación de cualquier tipo, incluida la de género, en sus actuaciones, para lo cual deben abstenerse de acudir a prejuicios o estereotipos que, antes que impulsar sus investigaciones, conducen a una nueva victimización de la persona</w:t>
      </w:r>
      <w:r w:rsidR="006C7972">
        <w:rPr>
          <w:rStyle w:val="Refdenotaalpie"/>
          <w:sz w:val="26"/>
          <w:szCs w:val="26"/>
        </w:rPr>
        <w:footnoteReference w:id="74"/>
      </w:r>
      <w:r>
        <w:rPr>
          <w:sz w:val="26"/>
          <w:szCs w:val="26"/>
        </w:rPr>
        <w:t xml:space="preserve"> y a la vulneración de sus derechos a la igualdad y a la intimidad.</w:t>
      </w:r>
    </w:p>
    <w:p w:rsidR="009B61C4" w:rsidRDefault="009B61C4" w:rsidP="009B61C4">
      <w:pPr>
        <w:pStyle w:val="Listavistosa-nfasis11"/>
        <w:ind w:left="0"/>
        <w:rPr>
          <w:sz w:val="26"/>
          <w:szCs w:val="26"/>
        </w:rPr>
      </w:pPr>
    </w:p>
    <w:p w:rsidR="009B61C4" w:rsidRDefault="009B61C4" w:rsidP="00006BA8">
      <w:pPr>
        <w:pStyle w:val="Listavistosa-nfasis11"/>
        <w:numPr>
          <w:ilvl w:val="1"/>
          <w:numId w:val="28"/>
        </w:numPr>
        <w:ind w:left="0" w:firstLine="0"/>
        <w:rPr>
          <w:sz w:val="26"/>
          <w:szCs w:val="26"/>
        </w:rPr>
      </w:pPr>
      <w:r>
        <w:rPr>
          <w:sz w:val="26"/>
          <w:szCs w:val="26"/>
        </w:rPr>
        <w:t xml:space="preserve">La Sala reconoce los importantes </w:t>
      </w:r>
      <w:r w:rsidR="00D251B8">
        <w:rPr>
          <w:sz w:val="26"/>
          <w:szCs w:val="26"/>
        </w:rPr>
        <w:t>logros</w:t>
      </w:r>
      <w:r>
        <w:rPr>
          <w:sz w:val="26"/>
          <w:szCs w:val="26"/>
        </w:rPr>
        <w:t xml:space="preserve"> que ha tenido el Estado colombiano en materia de legislación protectora de los derechos de la mujer</w:t>
      </w:r>
      <w:r w:rsidR="00D251B8">
        <w:rPr>
          <w:rStyle w:val="Refdenotaalpie"/>
          <w:sz w:val="26"/>
          <w:szCs w:val="26"/>
        </w:rPr>
        <w:footnoteReference w:id="75"/>
      </w:r>
      <w:r>
        <w:rPr>
          <w:sz w:val="26"/>
          <w:szCs w:val="26"/>
        </w:rPr>
        <w:t xml:space="preserve">. </w:t>
      </w:r>
      <w:r w:rsidR="00D251B8">
        <w:rPr>
          <w:sz w:val="26"/>
          <w:szCs w:val="26"/>
        </w:rPr>
        <w:t>No obstante</w:t>
      </w:r>
      <w:r>
        <w:rPr>
          <w:sz w:val="26"/>
          <w:szCs w:val="26"/>
        </w:rPr>
        <w:t xml:space="preserve">, es </w:t>
      </w:r>
      <w:r w:rsidR="00D251B8">
        <w:rPr>
          <w:sz w:val="26"/>
          <w:szCs w:val="26"/>
        </w:rPr>
        <w:t>preciso</w:t>
      </w:r>
      <w:r>
        <w:rPr>
          <w:sz w:val="26"/>
          <w:szCs w:val="26"/>
        </w:rPr>
        <w:t xml:space="preserve"> avanzar en la consolidación y </w:t>
      </w:r>
      <w:r w:rsidR="0019558F">
        <w:rPr>
          <w:sz w:val="26"/>
          <w:szCs w:val="26"/>
        </w:rPr>
        <w:t>difusión de</w:t>
      </w:r>
      <w:r w:rsidR="00D251B8">
        <w:rPr>
          <w:sz w:val="26"/>
          <w:szCs w:val="26"/>
        </w:rPr>
        <w:t xml:space="preserve"> manuales y protocolos para la investigación de casos de violencia sexual, que componen hoy una profusa literatura</w:t>
      </w:r>
      <w:r w:rsidR="00D251B8">
        <w:rPr>
          <w:rStyle w:val="Refdenotaalpie"/>
          <w:sz w:val="26"/>
          <w:szCs w:val="26"/>
        </w:rPr>
        <w:footnoteReference w:id="76"/>
      </w:r>
      <w:r w:rsidR="00D251B8">
        <w:rPr>
          <w:sz w:val="26"/>
          <w:szCs w:val="26"/>
        </w:rPr>
        <w:t xml:space="preserve">, y en la capacitación de funcionarios en </w:t>
      </w:r>
      <w:r w:rsidR="008F02D2">
        <w:rPr>
          <w:sz w:val="26"/>
          <w:szCs w:val="26"/>
        </w:rPr>
        <w:t>est</w:t>
      </w:r>
      <w:r w:rsidR="00D251B8">
        <w:rPr>
          <w:sz w:val="26"/>
          <w:szCs w:val="26"/>
        </w:rPr>
        <w:t>a materia, con un enfoque diferencial</w:t>
      </w:r>
      <w:r w:rsidR="00682E3C">
        <w:rPr>
          <w:sz w:val="26"/>
          <w:szCs w:val="26"/>
        </w:rPr>
        <w:t xml:space="preserve"> de género</w:t>
      </w:r>
      <w:r w:rsidR="00D251B8">
        <w:rPr>
          <w:sz w:val="26"/>
          <w:szCs w:val="26"/>
        </w:rPr>
        <w:t>.</w:t>
      </w:r>
      <w:r w:rsidR="00D15187">
        <w:rPr>
          <w:sz w:val="26"/>
          <w:szCs w:val="26"/>
        </w:rPr>
        <w:t xml:space="preserve"> Recuérdese que el Estado colombiano </w:t>
      </w:r>
      <w:r w:rsidR="008F02D2">
        <w:rPr>
          <w:sz w:val="26"/>
          <w:szCs w:val="26"/>
        </w:rPr>
        <w:t>adquirió el siguiente compromiso:</w:t>
      </w:r>
    </w:p>
    <w:p w:rsidR="00D15187" w:rsidRDefault="00D15187" w:rsidP="00D15187">
      <w:pPr>
        <w:pStyle w:val="Listavistosa-nfasis11"/>
        <w:ind w:left="0"/>
        <w:rPr>
          <w:sz w:val="26"/>
          <w:szCs w:val="26"/>
        </w:rPr>
      </w:pPr>
    </w:p>
    <w:p w:rsidR="00D15187" w:rsidRPr="00D15187" w:rsidRDefault="00D15187" w:rsidP="008F02D2">
      <w:pPr>
        <w:spacing w:line="240" w:lineRule="auto"/>
        <w:ind w:left="709" w:right="618"/>
        <w:rPr>
          <w:i/>
          <w:szCs w:val="24"/>
        </w:rPr>
      </w:pPr>
      <w:r w:rsidRPr="00D15187">
        <w:rPr>
          <w:i/>
          <w:szCs w:val="24"/>
        </w:rPr>
        <w:t xml:space="preserve">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w:t>
      </w:r>
      <w:r w:rsidR="008F02D2">
        <w:rPr>
          <w:i/>
          <w:szCs w:val="24"/>
        </w:rPr>
        <w:t>o</w:t>
      </w:r>
      <w:r w:rsidRPr="00D15187">
        <w:rPr>
          <w:i/>
          <w:szCs w:val="24"/>
        </w:rPr>
        <w:t xml:space="preserve"> funciones estereotipadas de hombres y mujeres</w:t>
      </w:r>
      <w:r w:rsidR="008F02D2" w:rsidRPr="008F02D2">
        <w:rPr>
          <w:rStyle w:val="Refdenotaalpie"/>
          <w:szCs w:val="24"/>
        </w:rPr>
        <w:footnoteReference w:id="77"/>
      </w:r>
      <w:r w:rsidRPr="008F02D2">
        <w:rPr>
          <w:szCs w:val="24"/>
        </w:rPr>
        <w:t>.</w:t>
      </w:r>
    </w:p>
    <w:p w:rsidR="00006BA8" w:rsidRPr="00006BA8" w:rsidRDefault="00006BA8" w:rsidP="00036B7B">
      <w:pPr>
        <w:rPr>
          <w:rFonts w:cs="Arial"/>
          <w:sz w:val="26"/>
          <w:szCs w:val="26"/>
        </w:rPr>
      </w:pPr>
    </w:p>
    <w:p w:rsidR="00156D38" w:rsidRPr="00156D38" w:rsidRDefault="00156D38" w:rsidP="00036B7B">
      <w:pPr>
        <w:pStyle w:val="Listavistosa-nfasis11"/>
        <w:numPr>
          <w:ilvl w:val="0"/>
          <w:numId w:val="28"/>
        </w:numPr>
        <w:ind w:left="0" w:firstLine="0"/>
        <w:rPr>
          <w:rFonts w:cs="Arial"/>
          <w:sz w:val="26"/>
          <w:szCs w:val="26"/>
        </w:rPr>
      </w:pPr>
      <w:r>
        <w:rPr>
          <w:rFonts w:cs="Arial"/>
          <w:sz w:val="26"/>
          <w:szCs w:val="26"/>
        </w:rPr>
        <w:t xml:space="preserve">Aunque la Policía Nacional </w:t>
      </w:r>
      <w:r w:rsidR="00036B7B">
        <w:rPr>
          <w:rFonts w:cs="Arial"/>
          <w:sz w:val="26"/>
          <w:szCs w:val="26"/>
        </w:rPr>
        <w:t xml:space="preserve">y la Fiscalía General de la Nación </w:t>
      </w:r>
      <w:r>
        <w:rPr>
          <w:rFonts w:cs="Arial"/>
          <w:sz w:val="26"/>
          <w:szCs w:val="26"/>
        </w:rPr>
        <w:t>no fue</w:t>
      </w:r>
      <w:r w:rsidR="00036B7B">
        <w:rPr>
          <w:rFonts w:cs="Arial"/>
          <w:sz w:val="26"/>
          <w:szCs w:val="26"/>
        </w:rPr>
        <w:t>ron</w:t>
      </w:r>
      <w:r>
        <w:rPr>
          <w:rFonts w:cs="Arial"/>
          <w:sz w:val="26"/>
          <w:szCs w:val="26"/>
        </w:rPr>
        <w:t xml:space="preserve"> </w:t>
      </w:r>
      <w:r w:rsidR="00DD2E87">
        <w:rPr>
          <w:rFonts w:cs="Arial"/>
          <w:sz w:val="26"/>
          <w:szCs w:val="26"/>
        </w:rPr>
        <w:t>vinculadas al proceso</w:t>
      </w:r>
      <w:r>
        <w:rPr>
          <w:rFonts w:cs="Arial"/>
          <w:sz w:val="26"/>
          <w:szCs w:val="26"/>
        </w:rPr>
        <w:t xml:space="preserve">, la Sala, como </w:t>
      </w:r>
      <w:r w:rsidR="00DD2E87">
        <w:rPr>
          <w:rFonts w:cs="Arial"/>
          <w:sz w:val="26"/>
          <w:szCs w:val="26"/>
        </w:rPr>
        <w:t xml:space="preserve">una </w:t>
      </w:r>
      <w:r>
        <w:rPr>
          <w:rFonts w:cs="Arial"/>
          <w:sz w:val="26"/>
          <w:szCs w:val="26"/>
        </w:rPr>
        <w:t>medida de reparación integral</w:t>
      </w:r>
      <w:r w:rsidR="00036B7B">
        <w:rPr>
          <w:rFonts w:cs="Arial"/>
          <w:sz w:val="26"/>
          <w:szCs w:val="26"/>
        </w:rPr>
        <w:t xml:space="preserve"> y garantía de no repetición</w:t>
      </w:r>
      <w:r>
        <w:rPr>
          <w:rFonts w:cs="Arial"/>
          <w:sz w:val="26"/>
          <w:szCs w:val="26"/>
        </w:rPr>
        <w:t>, ordenar</w:t>
      </w:r>
      <w:r w:rsidR="00036B7B">
        <w:rPr>
          <w:rFonts w:cs="Arial"/>
          <w:sz w:val="26"/>
          <w:szCs w:val="26"/>
        </w:rPr>
        <w:t>á</w:t>
      </w:r>
      <w:r>
        <w:rPr>
          <w:rFonts w:cs="Arial"/>
          <w:sz w:val="26"/>
          <w:szCs w:val="26"/>
        </w:rPr>
        <w:t xml:space="preserve"> que se envíe copia de esta sentencia a dicha</w:t>
      </w:r>
      <w:r w:rsidR="00036B7B">
        <w:rPr>
          <w:rFonts w:cs="Arial"/>
          <w:sz w:val="26"/>
          <w:szCs w:val="26"/>
        </w:rPr>
        <w:t>s</w:t>
      </w:r>
      <w:r>
        <w:rPr>
          <w:rFonts w:cs="Arial"/>
          <w:sz w:val="26"/>
          <w:szCs w:val="26"/>
        </w:rPr>
        <w:t xml:space="preserve"> </w:t>
      </w:r>
      <w:r w:rsidR="00036B7B">
        <w:rPr>
          <w:rFonts w:cs="Arial"/>
          <w:sz w:val="26"/>
          <w:szCs w:val="26"/>
        </w:rPr>
        <w:t>institucio</w:t>
      </w:r>
      <w:r>
        <w:rPr>
          <w:rFonts w:cs="Arial"/>
          <w:sz w:val="26"/>
          <w:szCs w:val="26"/>
        </w:rPr>
        <w:t>n</w:t>
      </w:r>
      <w:r w:rsidR="00036B7B">
        <w:rPr>
          <w:rFonts w:cs="Arial"/>
          <w:sz w:val="26"/>
          <w:szCs w:val="26"/>
        </w:rPr>
        <w:t>es</w:t>
      </w:r>
      <w:r>
        <w:rPr>
          <w:rFonts w:cs="Arial"/>
          <w:sz w:val="26"/>
          <w:szCs w:val="26"/>
        </w:rPr>
        <w:t xml:space="preserve"> con el </w:t>
      </w:r>
      <w:r w:rsidR="00036B7B">
        <w:rPr>
          <w:rFonts w:cs="Arial"/>
          <w:sz w:val="26"/>
          <w:szCs w:val="26"/>
        </w:rPr>
        <w:t>objeto</w:t>
      </w:r>
      <w:r>
        <w:rPr>
          <w:rFonts w:cs="Arial"/>
          <w:sz w:val="26"/>
          <w:szCs w:val="26"/>
        </w:rPr>
        <w:t xml:space="preserve"> de </w:t>
      </w:r>
      <w:r w:rsidR="00DD2E87">
        <w:rPr>
          <w:rFonts w:cs="Arial"/>
          <w:sz w:val="26"/>
          <w:szCs w:val="26"/>
        </w:rPr>
        <w:t>exhortar a dichas instituciones para que, en ejercicio de sus competencias,</w:t>
      </w:r>
      <w:r>
        <w:rPr>
          <w:rFonts w:cs="Arial"/>
          <w:sz w:val="26"/>
          <w:szCs w:val="26"/>
        </w:rPr>
        <w:t xml:space="preserve"> adopte</w:t>
      </w:r>
      <w:r w:rsidR="00036B7B">
        <w:rPr>
          <w:rFonts w:cs="Arial"/>
          <w:sz w:val="26"/>
          <w:szCs w:val="26"/>
        </w:rPr>
        <w:t>n</w:t>
      </w:r>
      <w:r w:rsidR="00DD2E87">
        <w:rPr>
          <w:rFonts w:cs="Arial"/>
          <w:sz w:val="26"/>
          <w:szCs w:val="26"/>
        </w:rPr>
        <w:t xml:space="preserve"> los planes y</w:t>
      </w:r>
      <w:r>
        <w:rPr>
          <w:rFonts w:cs="Arial"/>
          <w:sz w:val="26"/>
          <w:szCs w:val="26"/>
        </w:rPr>
        <w:t xml:space="preserve"> programas </w:t>
      </w:r>
      <w:r w:rsidR="00DD2E87">
        <w:rPr>
          <w:rFonts w:cs="Arial"/>
          <w:sz w:val="26"/>
          <w:szCs w:val="26"/>
        </w:rPr>
        <w:t>necesario</w:t>
      </w:r>
      <w:r>
        <w:rPr>
          <w:rFonts w:cs="Arial"/>
          <w:sz w:val="26"/>
          <w:szCs w:val="26"/>
        </w:rPr>
        <w:t xml:space="preserve">s para evitar que </w:t>
      </w:r>
      <w:r w:rsidR="00036B7B">
        <w:rPr>
          <w:rFonts w:cs="Arial"/>
          <w:sz w:val="26"/>
          <w:szCs w:val="26"/>
        </w:rPr>
        <w:t>est</w:t>
      </w:r>
      <w:r>
        <w:rPr>
          <w:rFonts w:cs="Arial"/>
          <w:sz w:val="26"/>
          <w:szCs w:val="26"/>
        </w:rPr>
        <w:t xml:space="preserve">as irregularidades </w:t>
      </w:r>
      <w:r w:rsidR="00036B7B">
        <w:rPr>
          <w:rFonts w:cs="Arial"/>
          <w:sz w:val="26"/>
          <w:szCs w:val="26"/>
        </w:rPr>
        <w:t xml:space="preserve">en la investigación de </w:t>
      </w:r>
      <w:r w:rsidR="00073587">
        <w:rPr>
          <w:rFonts w:cs="Arial"/>
          <w:sz w:val="26"/>
          <w:szCs w:val="26"/>
        </w:rPr>
        <w:t>casos de</w:t>
      </w:r>
      <w:r w:rsidR="00036B7B">
        <w:rPr>
          <w:rFonts w:cs="Arial"/>
          <w:sz w:val="26"/>
          <w:szCs w:val="26"/>
        </w:rPr>
        <w:t xml:space="preserve"> violencia sexual </w:t>
      </w:r>
      <w:r>
        <w:rPr>
          <w:rFonts w:cs="Arial"/>
          <w:sz w:val="26"/>
          <w:szCs w:val="26"/>
        </w:rPr>
        <w:t>se repitan en el futuro.</w:t>
      </w:r>
      <w:r w:rsidR="00073587">
        <w:rPr>
          <w:rFonts w:cs="Arial"/>
          <w:sz w:val="26"/>
          <w:szCs w:val="26"/>
        </w:rPr>
        <w:t xml:space="preserve"> Es oportuno precisar, finalmente, que estas entidades hacen parte de la persona jurídica de la Nación, demandada en el </w:t>
      </w:r>
      <w:r w:rsidR="00073587" w:rsidRPr="00073587">
        <w:rPr>
          <w:rFonts w:cs="Arial"/>
          <w:i/>
          <w:sz w:val="26"/>
          <w:szCs w:val="26"/>
        </w:rPr>
        <w:t>sub lite</w:t>
      </w:r>
      <w:r w:rsidR="00073587">
        <w:rPr>
          <w:rFonts w:cs="Arial"/>
          <w:sz w:val="26"/>
          <w:szCs w:val="26"/>
        </w:rPr>
        <w:t>.</w:t>
      </w:r>
    </w:p>
    <w:p w:rsidR="00156D38" w:rsidRPr="00156D38" w:rsidRDefault="00156D38" w:rsidP="006F63A6">
      <w:pPr>
        <w:rPr>
          <w:rFonts w:cs="Arial"/>
          <w:sz w:val="26"/>
          <w:szCs w:val="26"/>
        </w:rPr>
      </w:pPr>
    </w:p>
    <w:p w:rsidR="008775BA" w:rsidRPr="00EC3981" w:rsidRDefault="008775BA" w:rsidP="008C7554">
      <w:pPr>
        <w:rPr>
          <w:rFonts w:cs="Arial"/>
          <w:b/>
          <w:sz w:val="26"/>
          <w:szCs w:val="26"/>
        </w:rPr>
      </w:pPr>
      <w:r w:rsidRPr="00EC3981">
        <w:rPr>
          <w:rFonts w:cs="Arial"/>
          <w:b/>
          <w:sz w:val="26"/>
          <w:szCs w:val="26"/>
        </w:rPr>
        <w:t>VI. Liquidación de perjuicios</w:t>
      </w:r>
    </w:p>
    <w:p w:rsidR="008775BA" w:rsidRPr="00EC3981" w:rsidRDefault="008775BA" w:rsidP="008C7554">
      <w:pPr>
        <w:rPr>
          <w:rFonts w:cs="Arial"/>
          <w:sz w:val="26"/>
          <w:szCs w:val="26"/>
          <w:lang w:val="es-ES"/>
        </w:rPr>
      </w:pPr>
    </w:p>
    <w:p w:rsidR="00790744" w:rsidRDefault="00790744" w:rsidP="008C7554">
      <w:pPr>
        <w:numPr>
          <w:ilvl w:val="0"/>
          <w:numId w:val="28"/>
        </w:numPr>
        <w:ind w:left="0" w:firstLine="0"/>
        <w:rPr>
          <w:rFonts w:cs="Arial"/>
          <w:sz w:val="26"/>
          <w:szCs w:val="26"/>
        </w:rPr>
      </w:pPr>
      <w:r>
        <w:rPr>
          <w:rFonts w:cs="Arial"/>
          <w:sz w:val="26"/>
          <w:szCs w:val="26"/>
        </w:rPr>
        <w:t>La solicitud de reparación de los perjuicios ocasionados se limita a cuatro puntos: (i) la compensación de los perjuicios morales causados a la víctima directa, su madre y sus hermanos; (ii) la indemnización del “</w:t>
      </w:r>
      <w:r w:rsidRPr="00C76D8A">
        <w:rPr>
          <w:rFonts w:cs="Arial"/>
          <w:i/>
          <w:sz w:val="26"/>
          <w:szCs w:val="26"/>
        </w:rPr>
        <w:t>daño a la vida de relación</w:t>
      </w:r>
      <w:r>
        <w:rPr>
          <w:rFonts w:cs="Arial"/>
          <w:sz w:val="26"/>
          <w:szCs w:val="26"/>
        </w:rPr>
        <w:t>” inferido a los demandantes; (iii) el pago del tratamiento psicoterapéutico de Mónica Marisol Rodríguez</w:t>
      </w:r>
      <w:r w:rsidR="00206453">
        <w:rPr>
          <w:rFonts w:cs="Arial"/>
          <w:sz w:val="26"/>
          <w:szCs w:val="26"/>
        </w:rPr>
        <w:t xml:space="preserve"> Bustamante; y (iv) la reparación de los perjuicios materiales en las modalidades de lucro cesante y daño emergente, a favor de la afectada directa.</w:t>
      </w:r>
    </w:p>
    <w:p w:rsidR="00790744" w:rsidRDefault="00790744" w:rsidP="00790744">
      <w:pPr>
        <w:rPr>
          <w:rFonts w:cs="Arial"/>
          <w:sz w:val="26"/>
          <w:szCs w:val="26"/>
        </w:rPr>
      </w:pPr>
    </w:p>
    <w:p w:rsidR="008775BA" w:rsidRDefault="008775BA" w:rsidP="008C7554">
      <w:pPr>
        <w:numPr>
          <w:ilvl w:val="0"/>
          <w:numId w:val="28"/>
        </w:numPr>
        <w:ind w:left="0" w:firstLine="0"/>
        <w:rPr>
          <w:rFonts w:cs="Arial"/>
          <w:sz w:val="26"/>
          <w:szCs w:val="26"/>
        </w:rPr>
      </w:pPr>
      <w:r>
        <w:rPr>
          <w:rFonts w:cs="Arial"/>
          <w:sz w:val="26"/>
          <w:szCs w:val="26"/>
        </w:rPr>
        <w:t>Para</w:t>
      </w:r>
      <w:r w:rsidRPr="00B7090D">
        <w:rPr>
          <w:rFonts w:cs="Arial"/>
          <w:sz w:val="26"/>
          <w:szCs w:val="26"/>
        </w:rPr>
        <w:t xml:space="preserve"> fijar el valor </w:t>
      </w:r>
      <w:r>
        <w:rPr>
          <w:rFonts w:cs="Arial"/>
          <w:sz w:val="26"/>
          <w:szCs w:val="26"/>
        </w:rPr>
        <w:t>de</w:t>
      </w:r>
      <w:r w:rsidRPr="00B7090D">
        <w:rPr>
          <w:rFonts w:cs="Arial"/>
          <w:sz w:val="26"/>
          <w:szCs w:val="26"/>
        </w:rPr>
        <w:t xml:space="preserve"> </w:t>
      </w:r>
      <w:r>
        <w:rPr>
          <w:rFonts w:cs="Arial"/>
          <w:sz w:val="26"/>
          <w:szCs w:val="26"/>
        </w:rPr>
        <w:t xml:space="preserve">la compensación del </w:t>
      </w:r>
      <w:r w:rsidRPr="00CD4EEC">
        <w:rPr>
          <w:rFonts w:cs="Arial"/>
          <w:b/>
          <w:sz w:val="26"/>
          <w:szCs w:val="26"/>
        </w:rPr>
        <w:t>perjuicio moral</w:t>
      </w:r>
      <w:r>
        <w:rPr>
          <w:rFonts w:cs="Arial"/>
          <w:sz w:val="26"/>
          <w:szCs w:val="26"/>
        </w:rPr>
        <w:t>,</w:t>
      </w:r>
      <w:r w:rsidRPr="00B7090D">
        <w:rPr>
          <w:rFonts w:cs="Arial"/>
          <w:sz w:val="26"/>
          <w:szCs w:val="26"/>
        </w:rPr>
        <w:t xml:space="preserve"> la Sala advierte que </w:t>
      </w:r>
      <w:r>
        <w:rPr>
          <w:rFonts w:cs="Arial"/>
          <w:sz w:val="26"/>
          <w:szCs w:val="26"/>
        </w:rPr>
        <w:t>si bien</w:t>
      </w:r>
      <w:r w:rsidRPr="00B7090D">
        <w:rPr>
          <w:rFonts w:cs="Arial"/>
          <w:sz w:val="26"/>
          <w:szCs w:val="26"/>
        </w:rPr>
        <w:t xml:space="preserve"> las </w:t>
      </w:r>
      <w:r>
        <w:rPr>
          <w:rFonts w:cs="Arial"/>
          <w:sz w:val="26"/>
          <w:szCs w:val="26"/>
        </w:rPr>
        <w:t>súplicas de la demanda se definen</w:t>
      </w:r>
      <w:r w:rsidRPr="00B7090D">
        <w:rPr>
          <w:rFonts w:cs="Arial"/>
          <w:sz w:val="26"/>
          <w:szCs w:val="26"/>
        </w:rPr>
        <w:t xml:space="preserve"> en gramos oro, la condena se proferirá</w:t>
      </w:r>
      <w:r>
        <w:rPr>
          <w:rFonts w:cs="Arial"/>
          <w:sz w:val="26"/>
          <w:szCs w:val="26"/>
        </w:rPr>
        <w:t xml:space="preserve"> </w:t>
      </w:r>
      <w:r w:rsidRPr="00B7090D">
        <w:rPr>
          <w:rFonts w:cs="Arial"/>
          <w:sz w:val="26"/>
          <w:szCs w:val="26"/>
        </w:rPr>
        <w:t>en el valor equivalente a salarios mínimos legales</w:t>
      </w:r>
      <w:r>
        <w:rPr>
          <w:rFonts w:cs="Arial"/>
          <w:sz w:val="26"/>
          <w:szCs w:val="26"/>
        </w:rPr>
        <w:t xml:space="preserve"> mensuales vigentes (smlmv)</w:t>
      </w:r>
      <w:r w:rsidRPr="00B7090D">
        <w:rPr>
          <w:rStyle w:val="Refdenotaalpie"/>
          <w:bCs/>
          <w:sz w:val="26"/>
          <w:szCs w:val="26"/>
        </w:rPr>
        <w:footnoteReference w:id="78"/>
      </w:r>
      <w:r w:rsidRPr="00B7090D">
        <w:rPr>
          <w:rFonts w:cs="Arial"/>
          <w:sz w:val="26"/>
          <w:szCs w:val="26"/>
        </w:rPr>
        <w:t>.</w:t>
      </w:r>
    </w:p>
    <w:p w:rsidR="008775BA" w:rsidRDefault="008775BA" w:rsidP="008C7554">
      <w:pPr>
        <w:rPr>
          <w:rFonts w:cs="Arial"/>
          <w:sz w:val="26"/>
          <w:szCs w:val="26"/>
        </w:rPr>
      </w:pPr>
    </w:p>
    <w:p w:rsidR="00CF58B4" w:rsidRDefault="00CF58B4" w:rsidP="000F47C1">
      <w:pPr>
        <w:numPr>
          <w:ilvl w:val="1"/>
          <w:numId w:val="28"/>
        </w:numPr>
        <w:ind w:left="0" w:firstLine="0"/>
        <w:rPr>
          <w:rFonts w:cs="Arial"/>
          <w:sz w:val="26"/>
          <w:szCs w:val="26"/>
        </w:rPr>
      </w:pPr>
      <w:r>
        <w:rPr>
          <w:rFonts w:cs="Arial"/>
          <w:sz w:val="26"/>
          <w:szCs w:val="26"/>
        </w:rPr>
        <w:t>En reciente sentencia de unificación, la Sala Plena de la Sección Tercera de esta Corporación consolidó los parámetros de reparación de perjuicios morales en casos de lesiones personales</w:t>
      </w:r>
      <w:r>
        <w:rPr>
          <w:rStyle w:val="Refdenotaalpie"/>
          <w:sz w:val="26"/>
          <w:szCs w:val="26"/>
        </w:rPr>
        <w:footnoteReference w:id="79"/>
      </w:r>
      <w:r>
        <w:rPr>
          <w:rFonts w:cs="Arial"/>
          <w:sz w:val="26"/>
          <w:szCs w:val="26"/>
        </w:rPr>
        <w:t>.</w:t>
      </w:r>
      <w:r w:rsidR="000F47C1" w:rsidRPr="000F47C1">
        <w:t xml:space="preserve"> </w:t>
      </w:r>
      <w:r w:rsidR="000F47C1" w:rsidRPr="000F47C1">
        <w:rPr>
          <w:rFonts w:cs="Arial"/>
          <w:sz w:val="26"/>
          <w:szCs w:val="26"/>
        </w:rPr>
        <w:t>Para el efecto</w:t>
      </w:r>
      <w:r w:rsidR="000F47C1">
        <w:rPr>
          <w:rFonts w:cs="Arial"/>
          <w:sz w:val="26"/>
          <w:szCs w:val="26"/>
        </w:rPr>
        <w:t>,</w:t>
      </w:r>
      <w:r w:rsidR="000F47C1" w:rsidRPr="000F47C1">
        <w:rPr>
          <w:rFonts w:cs="Arial"/>
          <w:sz w:val="26"/>
          <w:szCs w:val="26"/>
        </w:rPr>
        <w:t xml:space="preserve"> </w:t>
      </w:r>
      <w:r w:rsidR="000F47C1">
        <w:rPr>
          <w:rFonts w:cs="Arial"/>
          <w:sz w:val="26"/>
          <w:szCs w:val="26"/>
        </w:rPr>
        <w:t>la Sala fijó</w:t>
      </w:r>
      <w:r w:rsidR="000F47C1" w:rsidRPr="000F47C1">
        <w:rPr>
          <w:rFonts w:cs="Arial"/>
          <w:sz w:val="26"/>
          <w:szCs w:val="26"/>
        </w:rPr>
        <w:t xml:space="preserve"> como referente </w:t>
      </w:r>
      <w:r w:rsidR="000F47C1">
        <w:rPr>
          <w:rFonts w:cs="Arial"/>
          <w:sz w:val="26"/>
          <w:szCs w:val="26"/>
        </w:rPr>
        <w:t>para</w:t>
      </w:r>
      <w:r w:rsidR="000F47C1" w:rsidRPr="000F47C1">
        <w:rPr>
          <w:rFonts w:cs="Arial"/>
          <w:sz w:val="26"/>
          <w:szCs w:val="26"/>
        </w:rPr>
        <w:t xml:space="preserve"> la liquidación del perjuicio la valoración de la gravedad o levedad de la </w:t>
      </w:r>
      <w:r w:rsidR="000F47C1">
        <w:rPr>
          <w:rFonts w:cs="Arial"/>
          <w:sz w:val="26"/>
          <w:szCs w:val="26"/>
        </w:rPr>
        <w:t>lesión reportada por la víctima, y el grado de relación de los reclamantes con respecto a esta, en</w:t>
      </w:r>
      <w:r w:rsidR="000F47C1" w:rsidRPr="000F47C1">
        <w:rPr>
          <w:rFonts w:cs="Arial"/>
          <w:sz w:val="26"/>
          <w:szCs w:val="26"/>
        </w:rPr>
        <w:t xml:space="preserve"> </w:t>
      </w:r>
      <w:r w:rsidR="000F47C1">
        <w:rPr>
          <w:rFonts w:cs="Arial"/>
          <w:sz w:val="26"/>
          <w:szCs w:val="26"/>
        </w:rPr>
        <w:t>estos términos</w:t>
      </w:r>
      <w:r w:rsidR="000F47C1" w:rsidRPr="000F47C1">
        <w:rPr>
          <w:rFonts w:cs="Arial"/>
          <w:sz w:val="26"/>
          <w:szCs w:val="26"/>
        </w:rPr>
        <w:t>:</w:t>
      </w:r>
    </w:p>
    <w:p w:rsidR="00CF58B4" w:rsidRDefault="00CF58B4" w:rsidP="00CF58B4">
      <w:pPr>
        <w:rPr>
          <w:rFonts w:cs="Arial"/>
          <w:sz w:val="26"/>
          <w:szCs w:val="26"/>
        </w:rPr>
      </w:pPr>
    </w:p>
    <w:p w:rsidR="000F47C1" w:rsidRDefault="00D12827" w:rsidP="00CF58B4">
      <w:pPr>
        <w:rPr>
          <w:rFonts w:cs="Arial"/>
          <w:sz w:val="26"/>
          <w:szCs w:val="26"/>
        </w:rPr>
      </w:pPr>
      <w:r>
        <w:rPr>
          <w:rFonts w:eastAsia="Times New Roman" w:cs="Arial"/>
          <w:noProof/>
          <w:szCs w:val="24"/>
          <w:lang w:val="es-CO" w:eastAsia="es-CO"/>
        </w:rPr>
        <w:drawing>
          <wp:inline distT="0" distB="0" distL="0" distR="0">
            <wp:extent cx="5257800" cy="2914650"/>
            <wp:effectExtent l="19050" t="19050" r="19050" b="1905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srcRect/>
                    <a:stretch>
                      <a:fillRect/>
                    </a:stretch>
                  </pic:blipFill>
                  <pic:spPr bwMode="auto">
                    <a:xfrm>
                      <a:off x="0" y="0"/>
                      <a:ext cx="5257800" cy="2914650"/>
                    </a:xfrm>
                    <a:prstGeom prst="rect">
                      <a:avLst/>
                    </a:prstGeom>
                    <a:noFill/>
                    <a:ln w="6350" cmpd="sng">
                      <a:solidFill>
                        <a:srgbClr val="000000"/>
                      </a:solidFill>
                      <a:miter lim="800000"/>
                      <a:headEnd/>
                      <a:tailEnd/>
                    </a:ln>
                    <a:effectLst/>
                  </pic:spPr>
                </pic:pic>
              </a:graphicData>
            </a:graphic>
          </wp:inline>
        </w:drawing>
      </w:r>
    </w:p>
    <w:p w:rsidR="000F47C1" w:rsidRDefault="000F47C1" w:rsidP="00CF58B4">
      <w:pPr>
        <w:rPr>
          <w:rFonts w:cs="Arial"/>
          <w:sz w:val="26"/>
          <w:szCs w:val="26"/>
        </w:rPr>
      </w:pPr>
    </w:p>
    <w:p w:rsidR="000F47C1" w:rsidRDefault="000F47C1" w:rsidP="008C7554">
      <w:pPr>
        <w:numPr>
          <w:ilvl w:val="1"/>
          <w:numId w:val="28"/>
        </w:numPr>
        <w:ind w:left="0" w:firstLine="0"/>
        <w:rPr>
          <w:rFonts w:cs="Arial"/>
          <w:sz w:val="26"/>
          <w:szCs w:val="26"/>
        </w:rPr>
      </w:pPr>
      <w:r>
        <w:rPr>
          <w:rFonts w:cs="Arial"/>
          <w:sz w:val="26"/>
          <w:szCs w:val="26"/>
        </w:rPr>
        <w:t>Como se observa, la Sala estableció seis rangos de gravedad o levedad de la lesión, determinados por el porcentaje de la pérdida de la capacidad laboral del lesionado, y cinco niveles de relación afectiva con respecto a la víctima directa, como lineamientos para la compensación del perjuicio moral en estos eventos.</w:t>
      </w:r>
    </w:p>
    <w:p w:rsidR="000F47C1" w:rsidRDefault="000F47C1" w:rsidP="000F47C1">
      <w:pPr>
        <w:rPr>
          <w:rFonts w:cs="Arial"/>
          <w:sz w:val="26"/>
          <w:szCs w:val="26"/>
        </w:rPr>
      </w:pPr>
    </w:p>
    <w:p w:rsidR="00811A18" w:rsidRDefault="000F47C1" w:rsidP="008C7554">
      <w:pPr>
        <w:numPr>
          <w:ilvl w:val="1"/>
          <w:numId w:val="28"/>
        </w:numPr>
        <w:ind w:left="0" w:firstLine="0"/>
        <w:rPr>
          <w:rFonts w:cs="Arial"/>
          <w:sz w:val="26"/>
          <w:szCs w:val="26"/>
        </w:rPr>
      </w:pPr>
      <w:r>
        <w:rPr>
          <w:rFonts w:cs="Arial"/>
          <w:sz w:val="26"/>
          <w:szCs w:val="26"/>
        </w:rPr>
        <w:t xml:space="preserve">Sin embargo, el presente caso desborda los parámetros fijados por la Sala, toda vez que el perjuicio moral causado a Mónica Marisol Rodríguez y a sus familiares con ocasión de la violación sexual de la que fue víctima, no </w:t>
      </w:r>
      <w:r w:rsidR="00811A18">
        <w:rPr>
          <w:rFonts w:cs="Arial"/>
          <w:sz w:val="26"/>
          <w:szCs w:val="26"/>
        </w:rPr>
        <w:t>se funda en</w:t>
      </w:r>
      <w:r>
        <w:rPr>
          <w:rFonts w:cs="Arial"/>
          <w:sz w:val="26"/>
          <w:szCs w:val="26"/>
        </w:rPr>
        <w:t xml:space="preserve"> </w:t>
      </w:r>
      <w:r w:rsidR="00811A18">
        <w:rPr>
          <w:rFonts w:cs="Arial"/>
          <w:sz w:val="26"/>
          <w:szCs w:val="26"/>
        </w:rPr>
        <w:t>l</w:t>
      </w:r>
      <w:r>
        <w:rPr>
          <w:rFonts w:cs="Arial"/>
          <w:sz w:val="26"/>
          <w:szCs w:val="26"/>
        </w:rPr>
        <w:t xml:space="preserve">a pérdida de </w:t>
      </w:r>
      <w:r w:rsidR="00811A18">
        <w:rPr>
          <w:rFonts w:cs="Arial"/>
          <w:sz w:val="26"/>
          <w:szCs w:val="26"/>
        </w:rPr>
        <w:t xml:space="preserve">su </w:t>
      </w:r>
      <w:r>
        <w:rPr>
          <w:rFonts w:cs="Arial"/>
          <w:sz w:val="26"/>
          <w:szCs w:val="26"/>
        </w:rPr>
        <w:t>capacidad laboral</w:t>
      </w:r>
      <w:r w:rsidR="00811A18">
        <w:rPr>
          <w:rFonts w:cs="Arial"/>
          <w:sz w:val="26"/>
          <w:szCs w:val="26"/>
        </w:rPr>
        <w:t xml:space="preserve">, sino en la afectación </w:t>
      </w:r>
      <w:r w:rsidR="003F0986">
        <w:rPr>
          <w:rFonts w:cs="Arial"/>
          <w:sz w:val="26"/>
          <w:szCs w:val="26"/>
        </w:rPr>
        <w:t xml:space="preserve">grave </w:t>
      </w:r>
      <w:r w:rsidR="00811A18">
        <w:rPr>
          <w:rFonts w:cs="Arial"/>
          <w:sz w:val="26"/>
          <w:szCs w:val="26"/>
        </w:rPr>
        <w:t>de otras esferas del ser humano de igual o incluso de mayor importancia: la autonomía personal y el derecho a un desarrollo sexual y afectivo libre de interferencias violentas.</w:t>
      </w:r>
    </w:p>
    <w:p w:rsidR="001C4E3F" w:rsidRPr="001C4E3F" w:rsidRDefault="001C4E3F" w:rsidP="001C4E3F">
      <w:pPr>
        <w:rPr>
          <w:rFonts w:cs="Arial"/>
          <w:sz w:val="26"/>
          <w:szCs w:val="26"/>
        </w:rPr>
      </w:pPr>
    </w:p>
    <w:p w:rsidR="001C4E3F" w:rsidRPr="001C4E3F" w:rsidRDefault="001C4E3F" w:rsidP="000F47C1">
      <w:pPr>
        <w:numPr>
          <w:ilvl w:val="1"/>
          <w:numId w:val="28"/>
        </w:numPr>
        <w:ind w:left="0" w:firstLine="0"/>
        <w:rPr>
          <w:rFonts w:cs="Arial"/>
          <w:sz w:val="26"/>
          <w:szCs w:val="26"/>
        </w:rPr>
      </w:pPr>
      <w:r w:rsidRPr="001C4E3F">
        <w:rPr>
          <w:rFonts w:eastAsia="Times New Roman" w:cs="Arial"/>
          <w:sz w:val="26"/>
          <w:szCs w:val="26"/>
        </w:rPr>
        <w:t>El juez administrativo tiene la potestad de determinar el monto a reconocer cuando se trata de perjuicios morales. Esta discrecionalidad está regida por: (i) la regla de que la indemnización del perjuicio se hace a título de compensación, dado que “</w:t>
      </w:r>
      <w:r w:rsidRPr="001C4E3F">
        <w:rPr>
          <w:rFonts w:eastAsia="Times New Roman" w:cs="Arial"/>
          <w:i/>
          <w:sz w:val="26"/>
          <w:szCs w:val="26"/>
        </w:rPr>
        <w:t>la suma establecida no se ajustará nunca al monto exacto del perjuicio, pero buscará, de alguna manera, restablecer el equilibrio roto con su ocurrencia</w:t>
      </w:r>
      <w:r w:rsidRPr="001C4E3F">
        <w:rPr>
          <w:rFonts w:eastAsia="Times New Roman" w:cs="Arial"/>
          <w:sz w:val="26"/>
          <w:szCs w:val="26"/>
        </w:rPr>
        <w:t>”, mas no a título de restitución; (ii) el principio de equidad previsto en el artículo 16 de la Ley 446 de 1998; (iii) el deber de estar sustentada en los medios probatorios que obran en el proceso respecto del daño y su intensidad; y (iv) el deber de estar fundada, cuando sea el caso, en otras providencias para efectos de garantizar el principio de igualdad</w:t>
      </w:r>
      <w:r w:rsidRPr="001C4E3F">
        <w:rPr>
          <w:rFonts w:eastAsia="Times New Roman" w:cs="Arial"/>
          <w:sz w:val="26"/>
          <w:szCs w:val="26"/>
          <w:vertAlign w:val="superscript"/>
        </w:rPr>
        <w:footnoteReference w:id="80"/>
      </w:r>
      <w:r w:rsidRPr="001C4E3F">
        <w:rPr>
          <w:rFonts w:eastAsia="Times New Roman" w:cs="Arial"/>
          <w:sz w:val="26"/>
          <w:szCs w:val="26"/>
        </w:rPr>
        <w:t>.</w:t>
      </w:r>
    </w:p>
    <w:p w:rsidR="001C4E3F" w:rsidRDefault="001C4E3F" w:rsidP="000F47C1">
      <w:pPr>
        <w:rPr>
          <w:rFonts w:cs="Arial"/>
          <w:sz w:val="26"/>
          <w:szCs w:val="26"/>
        </w:rPr>
      </w:pPr>
    </w:p>
    <w:p w:rsidR="001C4E3F" w:rsidRDefault="001C4E3F" w:rsidP="001C4E3F">
      <w:pPr>
        <w:numPr>
          <w:ilvl w:val="1"/>
          <w:numId w:val="28"/>
        </w:numPr>
        <w:ind w:left="0" w:firstLine="0"/>
        <w:rPr>
          <w:rFonts w:cs="Arial"/>
          <w:sz w:val="26"/>
          <w:szCs w:val="26"/>
        </w:rPr>
      </w:pPr>
      <w:r w:rsidRPr="00AB5487">
        <w:rPr>
          <w:rFonts w:cs="Arial"/>
          <w:sz w:val="26"/>
          <w:szCs w:val="26"/>
        </w:rPr>
        <w:t>Para cuantificar el valor a reconoce</w:t>
      </w:r>
      <w:r>
        <w:rPr>
          <w:rFonts w:cs="Arial"/>
          <w:sz w:val="26"/>
          <w:szCs w:val="26"/>
        </w:rPr>
        <w:t>r por ese concepto</w:t>
      </w:r>
      <w:r w:rsidRPr="00AB5487">
        <w:rPr>
          <w:rFonts w:cs="Arial"/>
          <w:sz w:val="26"/>
          <w:szCs w:val="26"/>
        </w:rPr>
        <w:t xml:space="preserve">, se </w:t>
      </w:r>
      <w:r>
        <w:rPr>
          <w:rFonts w:cs="Arial"/>
          <w:sz w:val="26"/>
          <w:szCs w:val="26"/>
        </w:rPr>
        <w:t>acude</w:t>
      </w:r>
      <w:r w:rsidRPr="00AB5487">
        <w:rPr>
          <w:rFonts w:cs="Arial"/>
          <w:sz w:val="26"/>
          <w:szCs w:val="26"/>
        </w:rPr>
        <w:t xml:space="preserve"> al criterio que </w:t>
      </w:r>
      <w:r>
        <w:rPr>
          <w:rFonts w:cs="Arial"/>
          <w:sz w:val="26"/>
          <w:szCs w:val="26"/>
        </w:rPr>
        <w:t>estableci</w:t>
      </w:r>
      <w:r w:rsidRPr="00AB5487">
        <w:rPr>
          <w:rFonts w:cs="Arial"/>
          <w:sz w:val="26"/>
          <w:szCs w:val="26"/>
        </w:rPr>
        <w:t xml:space="preserve">ó tal </w:t>
      </w:r>
      <w:r>
        <w:rPr>
          <w:rFonts w:cs="Arial"/>
          <w:sz w:val="26"/>
          <w:szCs w:val="26"/>
        </w:rPr>
        <w:t>repar</w:t>
      </w:r>
      <w:r w:rsidRPr="00AB5487">
        <w:rPr>
          <w:rFonts w:cs="Arial"/>
          <w:sz w:val="26"/>
          <w:szCs w:val="26"/>
        </w:rPr>
        <w:t>ación en</w:t>
      </w:r>
      <w:r>
        <w:rPr>
          <w:rFonts w:cs="Arial"/>
          <w:sz w:val="26"/>
          <w:szCs w:val="26"/>
        </w:rPr>
        <w:t xml:space="preserve"> </w:t>
      </w:r>
      <w:r w:rsidRPr="00AB5487">
        <w:rPr>
          <w:rFonts w:cs="Arial"/>
          <w:sz w:val="26"/>
          <w:szCs w:val="26"/>
        </w:rPr>
        <w:t xml:space="preserve">100 smlmv para los eventos de mayor intensidad y que abandonó la aplicación extensiva de las reglas sobre la materia </w:t>
      </w:r>
      <w:r>
        <w:rPr>
          <w:rFonts w:cs="Arial"/>
          <w:sz w:val="26"/>
          <w:szCs w:val="26"/>
        </w:rPr>
        <w:t>fijadas</w:t>
      </w:r>
      <w:r w:rsidRPr="00AB5487">
        <w:rPr>
          <w:rFonts w:cs="Arial"/>
          <w:sz w:val="26"/>
          <w:szCs w:val="26"/>
        </w:rPr>
        <w:t xml:space="preserve"> en el Código Penal, por considerarlas improcedentes, con el propósito de dar cumplimiento a los artículos 16 de la Ley 446 de 1998 y 178 del Código Contencioso Administrativo</w:t>
      </w:r>
      <w:r>
        <w:rPr>
          <w:rFonts w:cs="Arial"/>
          <w:sz w:val="26"/>
          <w:szCs w:val="26"/>
        </w:rPr>
        <w:t>,</w:t>
      </w:r>
      <w:r w:rsidRPr="00AB5487">
        <w:rPr>
          <w:rFonts w:cs="Arial"/>
          <w:sz w:val="26"/>
          <w:szCs w:val="26"/>
        </w:rPr>
        <w:t xml:space="preserve"> que </w:t>
      </w:r>
      <w:r>
        <w:rPr>
          <w:rFonts w:cs="Arial"/>
          <w:sz w:val="26"/>
          <w:szCs w:val="26"/>
        </w:rPr>
        <w:t>consagran</w:t>
      </w:r>
      <w:r w:rsidRPr="00AB5487">
        <w:rPr>
          <w:rFonts w:cs="Arial"/>
          <w:sz w:val="26"/>
          <w:szCs w:val="26"/>
        </w:rPr>
        <w:t xml:space="preserve">, respectivamente, la reparación integral y equitativa del daño y la </w:t>
      </w:r>
      <w:r>
        <w:rPr>
          <w:rFonts w:cs="Arial"/>
          <w:sz w:val="26"/>
          <w:szCs w:val="26"/>
        </w:rPr>
        <w:t xml:space="preserve">debida </w:t>
      </w:r>
      <w:r w:rsidRPr="00AB5487">
        <w:rPr>
          <w:rFonts w:cs="Arial"/>
          <w:sz w:val="26"/>
          <w:szCs w:val="26"/>
        </w:rPr>
        <w:t>tasación de las condenas en moneda legal colombiana</w:t>
      </w:r>
      <w:r w:rsidRPr="00AB5487">
        <w:rPr>
          <w:rStyle w:val="Refdenotaalpie"/>
          <w:rFonts w:cs="Arial"/>
          <w:sz w:val="26"/>
          <w:szCs w:val="26"/>
        </w:rPr>
        <w:footnoteReference w:id="81"/>
      </w:r>
      <w:r w:rsidRPr="00AB5487">
        <w:rPr>
          <w:rFonts w:cs="Arial"/>
          <w:sz w:val="26"/>
          <w:szCs w:val="26"/>
        </w:rPr>
        <w:t>.</w:t>
      </w:r>
    </w:p>
    <w:p w:rsidR="001C4E3F" w:rsidRPr="001C4E3F" w:rsidRDefault="001C4E3F" w:rsidP="001C4E3F">
      <w:pPr>
        <w:rPr>
          <w:rFonts w:cs="Arial"/>
          <w:sz w:val="26"/>
          <w:szCs w:val="26"/>
        </w:rPr>
      </w:pPr>
    </w:p>
    <w:p w:rsidR="001C4E3F" w:rsidRDefault="001C4E3F" w:rsidP="001C4E3F">
      <w:pPr>
        <w:numPr>
          <w:ilvl w:val="1"/>
          <w:numId w:val="28"/>
        </w:numPr>
        <w:ind w:left="0" w:firstLine="0"/>
        <w:rPr>
          <w:rFonts w:cs="Arial"/>
          <w:sz w:val="26"/>
          <w:szCs w:val="26"/>
        </w:rPr>
      </w:pPr>
      <w:r>
        <w:rPr>
          <w:rFonts w:cs="Arial"/>
          <w:sz w:val="26"/>
          <w:szCs w:val="26"/>
        </w:rPr>
        <w:t>En este caso, es claro que la violación</w:t>
      </w:r>
      <w:r w:rsidR="0094239D">
        <w:rPr>
          <w:rFonts w:cs="Arial"/>
          <w:sz w:val="26"/>
          <w:szCs w:val="26"/>
        </w:rPr>
        <w:t xml:space="preserve"> sexual de una joven de 18 años</w:t>
      </w:r>
      <w:r>
        <w:rPr>
          <w:rFonts w:cs="Arial"/>
          <w:sz w:val="26"/>
          <w:szCs w:val="26"/>
        </w:rPr>
        <w:t xml:space="preserve"> </w:t>
      </w:r>
      <w:r w:rsidR="00547C6C">
        <w:rPr>
          <w:rFonts w:cs="Arial"/>
          <w:sz w:val="26"/>
          <w:szCs w:val="26"/>
        </w:rPr>
        <w:t>constituye</w:t>
      </w:r>
      <w:r>
        <w:rPr>
          <w:rFonts w:cs="Arial"/>
          <w:sz w:val="26"/>
          <w:szCs w:val="26"/>
        </w:rPr>
        <w:t xml:space="preserve"> una afrenta a la dignidad humana y una afectación moral especialmente intensa, de modo que se reconocerá</w:t>
      </w:r>
      <w:r w:rsidR="00547C6C">
        <w:rPr>
          <w:rFonts w:cs="Arial"/>
          <w:sz w:val="26"/>
          <w:szCs w:val="26"/>
        </w:rPr>
        <w:t xml:space="preserve"> a</w:t>
      </w:r>
      <w:r>
        <w:rPr>
          <w:rFonts w:cs="Arial"/>
          <w:sz w:val="26"/>
          <w:szCs w:val="26"/>
        </w:rPr>
        <w:t xml:space="preserve"> favor </w:t>
      </w:r>
      <w:r w:rsidR="00547C6C">
        <w:rPr>
          <w:rFonts w:cs="Arial"/>
          <w:sz w:val="26"/>
          <w:szCs w:val="26"/>
        </w:rPr>
        <w:t xml:space="preserve">de Mónica Marisol Rodríguez </w:t>
      </w:r>
      <w:r>
        <w:rPr>
          <w:rFonts w:cs="Arial"/>
          <w:sz w:val="26"/>
          <w:szCs w:val="26"/>
        </w:rPr>
        <w:t xml:space="preserve">el monto máximo reconocido en la jurisprudencia, esto es, </w:t>
      </w:r>
      <w:r w:rsidR="0094239D">
        <w:rPr>
          <w:rFonts w:cs="Arial"/>
          <w:sz w:val="26"/>
          <w:szCs w:val="26"/>
        </w:rPr>
        <w:t xml:space="preserve">el valor equivalente a </w:t>
      </w:r>
      <w:r>
        <w:rPr>
          <w:rFonts w:cs="Arial"/>
          <w:sz w:val="26"/>
          <w:szCs w:val="26"/>
        </w:rPr>
        <w:t>100 smlmv.</w:t>
      </w:r>
    </w:p>
    <w:p w:rsidR="001C4E3F" w:rsidRPr="00547C6C" w:rsidRDefault="001C4E3F" w:rsidP="001C4E3F">
      <w:pPr>
        <w:rPr>
          <w:rFonts w:cs="Arial"/>
          <w:sz w:val="26"/>
          <w:szCs w:val="26"/>
        </w:rPr>
      </w:pPr>
    </w:p>
    <w:p w:rsidR="00547C6C" w:rsidRDefault="00547C6C" w:rsidP="00547C6C">
      <w:pPr>
        <w:numPr>
          <w:ilvl w:val="1"/>
          <w:numId w:val="28"/>
        </w:numPr>
        <w:ind w:left="0" w:firstLine="0"/>
        <w:rPr>
          <w:rFonts w:cs="Arial"/>
          <w:sz w:val="26"/>
          <w:szCs w:val="26"/>
        </w:rPr>
      </w:pPr>
      <w:r w:rsidRPr="00547C6C">
        <w:rPr>
          <w:rFonts w:cs="Arial"/>
          <w:sz w:val="26"/>
          <w:szCs w:val="26"/>
        </w:rPr>
        <w:t>Además</w:t>
      </w:r>
      <w:r w:rsidR="008775BA" w:rsidRPr="00547C6C">
        <w:rPr>
          <w:rFonts w:cs="Arial"/>
          <w:sz w:val="26"/>
          <w:szCs w:val="26"/>
        </w:rPr>
        <w:t xml:space="preserve">, está demostrado que </w:t>
      </w:r>
      <w:r w:rsidR="00674E77" w:rsidRPr="00547C6C">
        <w:rPr>
          <w:bCs/>
          <w:sz w:val="26"/>
          <w:szCs w:val="26"/>
          <w:lang w:val="es-ES"/>
        </w:rPr>
        <w:t xml:space="preserve">Virginia Bustamante Sánchez es la madre de Mónica Marisol Rodríguez </w:t>
      </w:r>
      <w:r w:rsidR="00674E77" w:rsidRPr="008402AA">
        <w:rPr>
          <w:bCs/>
          <w:sz w:val="22"/>
          <w:szCs w:val="22"/>
          <w:lang w:val="es-ES"/>
        </w:rPr>
        <w:t>(f. 25, c. 1)</w:t>
      </w:r>
      <w:r w:rsidR="00674E77" w:rsidRPr="00547C6C">
        <w:rPr>
          <w:bCs/>
          <w:sz w:val="26"/>
          <w:szCs w:val="26"/>
          <w:lang w:val="es-ES"/>
        </w:rPr>
        <w:t>, y</w:t>
      </w:r>
      <w:r w:rsidRPr="00547C6C">
        <w:rPr>
          <w:bCs/>
          <w:sz w:val="26"/>
          <w:szCs w:val="26"/>
          <w:lang w:val="es-ES"/>
        </w:rPr>
        <w:t xml:space="preserve"> que</w:t>
      </w:r>
      <w:r w:rsidR="00674E77" w:rsidRPr="00547C6C">
        <w:rPr>
          <w:bCs/>
          <w:sz w:val="26"/>
          <w:szCs w:val="26"/>
          <w:lang w:val="es-ES"/>
        </w:rPr>
        <w:t xml:space="preserve"> </w:t>
      </w:r>
      <w:r w:rsidRPr="00547C6C">
        <w:rPr>
          <w:bCs/>
          <w:sz w:val="26"/>
          <w:szCs w:val="26"/>
          <w:lang w:val="es-ES"/>
        </w:rPr>
        <w:t>los</w:t>
      </w:r>
      <w:r w:rsidR="00674E77" w:rsidRPr="00547C6C">
        <w:rPr>
          <w:bCs/>
          <w:sz w:val="26"/>
          <w:szCs w:val="26"/>
          <w:lang w:val="es-ES"/>
        </w:rPr>
        <w:t xml:space="preserve"> hermanos </w:t>
      </w:r>
      <w:r w:rsidRPr="00547C6C">
        <w:rPr>
          <w:bCs/>
          <w:sz w:val="26"/>
          <w:szCs w:val="26"/>
          <w:lang w:val="es-ES"/>
        </w:rPr>
        <w:t xml:space="preserve">de la </w:t>
      </w:r>
      <w:r w:rsidR="008402AA">
        <w:rPr>
          <w:bCs/>
          <w:sz w:val="26"/>
          <w:szCs w:val="26"/>
          <w:lang w:val="es-ES"/>
        </w:rPr>
        <w:t>afectada</w:t>
      </w:r>
      <w:r w:rsidRPr="00547C6C">
        <w:rPr>
          <w:bCs/>
          <w:sz w:val="26"/>
          <w:szCs w:val="26"/>
          <w:lang w:val="es-ES"/>
        </w:rPr>
        <w:t xml:space="preserve"> </w:t>
      </w:r>
      <w:r w:rsidR="00674E77" w:rsidRPr="00547C6C">
        <w:rPr>
          <w:bCs/>
          <w:sz w:val="26"/>
          <w:szCs w:val="26"/>
          <w:lang w:val="es-ES"/>
        </w:rPr>
        <w:t xml:space="preserve">son Kendy Yecid, Claudia Rosio y Carmen Lorena Rodríguez Bustamante </w:t>
      </w:r>
      <w:r w:rsidR="00674E77" w:rsidRPr="00547C6C">
        <w:rPr>
          <w:bCs/>
          <w:sz w:val="22"/>
          <w:szCs w:val="22"/>
          <w:lang w:val="es-ES"/>
        </w:rPr>
        <w:t>(f. 27-29, c. 1)</w:t>
      </w:r>
      <w:r w:rsidR="00674E77" w:rsidRPr="00547C6C">
        <w:rPr>
          <w:bCs/>
          <w:sz w:val="26"/>
          <w:szCs w:val="26"/>
          <w:lang w:val="es-ES"/>
        </w:rPr>
        <w:t>.</w:t>
      </w:r>
      <w:r w:rsidRPr="00547C6C">
        <w:rPr>
          <w:rFonts w:cs="Arial"/>
          <w:sz w:val="26"/>
          <w:szCs w:val="26"/>
        </w:rPr>
        <w:t xml:space="preserve"> </w:t>
      </w:r>
      <w:r w:rsidR="008775BA" w:rsidRPr="00547C6C">
        <w:rPr>
          <w:rFonts w:cs="Arial"/>
          <w:sz w:val="26"/>
          <w:szCs w:val="26"/>
        </w:rPr>
        <w:t xml:space="preserve">Esta Sala ha </w:t>
      </w:r>
      <w:r>
        <w:rPr>
          <w:rFonts w:cs="Arial"/>
          <w:sz w:val="26"/>
          <w:szCs w:val="26"/>
        </w:rPr>
        <w:t>considerado</w:t>
      </w:r>
      <w:r w:rsidR="008775BA" w:rsidRPr="00547C6C">
        <w:rPr>
          <w:rFonts w:cs="Arial"/>
          <w:sz w:val="26"/>
          <w:szCs w:val="26"/>
        </w:rPr>
        <w:t xml:space="preserve"> que el parentesco </w:t>
      </w:r>
      <w:r>
        <w:rPr>
          <w:rFonts w:cs="Arial"/>
          <w:sz w:val="26"/>
          <w:szCs w:val="26"/>
        </w:rPr>
        <w:t>constituye un</w:t>
      </w:r>
      <w:r w:rsidR="008775BA" w:rsidRPr="00547C6C">
        <w:rPr>
          <w:rFonts w:cs="Arial"/>
          <w:sz w:val="26"/>
          <w:szCs w:val="26"/>
        </w:rPr>
        <w:t xml:space="preserve"> indicio suficiente de la existencia, entre miembros de una misma familia, de una relación de afecto profunda y del sufrimiento que experimentan unos con la desaparición o el padecimiento de otros</w:t>
      </w:r>
      <w:r w:rsidR="008775BA" w:rsidRPr="00547C6C">
        <w:rPr>
          <w:rFonts w:cs="Arial"/>
          <w:sz w:val="26"/>
          <w:szCs w:val="26"/>
          <w:vertAlign w:val="superscript"/>
        </w:rPr>
        <w:footnoteReference w:id="82"/>
      </w:r>
      <w:r w:rsidR="008775BA" w:rsidRPr="00547C6C">
        <w:rPr>
          <w:rFonts w:cs="Arial"/>
          <w:sz w:val="26"/>
          <w:szCs w:val="26"/>
        </w:rPr>
        <w:t>.</w:t>
      </w:r>
      <w:r>
        <w:rPr>
          <w:rFonts w:cs="Arial"/>
          <w:sz w:val="26"/>
          <w:szCs w:val="26"/>
        </w:rPr>
        <w:t xml:space="preserve"> </w:t>
      </w:r>
    </w:p>
    <w:p w:rsidR="00547C6C" w:rsidRDefault="00547C6C" w:rsidP="00547C6C">
      <w:pPr>
        <w:pStyle w:val="Listavistosa-nfasis11"/>
        <w:rPr>
          <w:rFonts w:cs="Arial"/>
          <w:sz w:val="26"/>
          <w:szCs w:val="26"/>
        </w:rPr>
      </w:pPr>
    </w:p>
    <w:p w:rsidR="008775BA" w:rsidRPr="00547C6C" w:rsidRDefault="00547C6C" w:rsidP="00547C6C">
      <w:pPr>
        <w:numPr>
          <w:ilvl w:val="1"/>
          <w:numId w:val="28"/>
        </w:numPr>
        <w:ind w:left="0" w:firstLine="0"/>
        <w:rPr>
          <w:rFonts w:cs="Arial"/>
          <w:sz w:val="26"/>
          <w:szCs w:val="26"/>
        </w:rPr>
      </w:pPr>
      <w:r>
        <w:rPr>
          <w:rFonts w:cs="Arial"/>
          <w:sz w:val="26"/>
          <w:szCs w:val="26"/>
        </w:rPr>
        <w:t>En virtud de lo anterior y con base en la escala definida por la Sala en la sentencia de unificación, se reconocerá por concepto de reparación del perjuicio moral, a favor de la madre de l</w:t>
      </w:r>
      <w:r w:rsidR="00E036F9">
        <w:rPr>
          <w:rFonts w:cs="Arial"/>
          <w:sz w:val="26"/>
          <w:szCs w:val="26"/>
        </w:rPr>
        <w:t>a víctima, la suma de 100 smlmv,</w:t>
      </w:r>
      <w:r>
        <w:rPr>
          <w:rFonts w:cs="Arial"/>
          <w:sz w:val="26"/>
          <w:szCs w:val="26"/>
        </w:rPr>
        <w:t xml:space="preserve"> y a favor de sus hermanos, el valor de 50 smlmv para cada uno.</w:t>
      </w:r>
    </w:p>
    <w:p w:rsidR="008775BA" w:rsidRDefault="008775BA" w:rsidP="008C7554">
      <w:pPr>
        <w:rPr>
          <w:rFonts w:cs="Arial"/>
          <w:sz w:val="26"/>
          <w:szCs w:val="26"/>
        </w:rPr>
      </w:pPr>
    </w:p>
    <w:p w:rsidR="009C4CBE" w:rsidRDefault="0021603D" w:rsidP="00547C6C">
      <w:pPr>
        <w:numPr>
          <w:ilvl w:val="0"/>
          <w:numId w:val="28"/>
        </w:numPr>
        <w:ind w:left="0" w:firstLine="0"/>
        <w:rPr>
          <w:rFonts w:cs="Arial"/>
          <w:sz w:val="26"/>
          <w:szCs w:val="26"/>
        </w:rPr>
      </w:pPr>
      <w:r>
        <w:rPr>
          <w:rFonts w:cs="Arial"/>
          <w:sz w:val="26"/>
          <w:szCs w:val="26"/>
        </w:rPr>
        <w:t>Sobre la solicitud de reparación del “</w:t>
      </w:r>
      <w:r w:rsidRPr="0021603D">
        <w:rPr>
          <w:rFonts w:cs="Arial"/>
          <w:i/>
          <w:sz w:val="26"/>
          <w:szCs w:val="26"/>
        </w:rPr>
        <w:t>daño a la vida de relación</w:t>
      </w:r>
      <w:r>
        <w:rPr>
          <w:rFonts w:cs="Arial"/>
          <w:sz w:val="26"/>
          <w:szCs w:val="26"/>
        </w:rPr>
        <w:t>” es preciso aclarar, en primer lugar, que</w:t>
      </w:r>
      <w:r w:rsidR="009C4CBE">
        <w:rPr>
          <w:rFonts w:cs="Arial"/>
          <w:sz w:val="26"/>
          <w:szCs w:val="26"/>
        </w:rPr>
        <w:t xml:space="preserve"> de acuerdo con la jurisprudencia </w:t>
      </w:r>
      <w:r w:rsidR="00741E5B">
        <w:rPr>
          <w:rFonts w:cs="Arial"/>
          <w:sz w:val="26"/>
          <w:szCs w:val="26"/>
        </w:rPr>
        <w:t>consolidada</w:t>
      </w:r>
      <w:r w:rsidR="009C4CBE">
        <w:rPr>
          <w:rFonts w:cs="Arial"/>
          <w:sz w:val="26"/>
          <w:szCs w:val="26"/>
        </w:rPr>
        <w:t xml:space="preserve"> del Consejo de Estado,</w:t>
      </w:r>
      <w:r>
        <w:rPr>
          <w:rFonts w:cs="Arial"/>
          <w:sz w:val="26"/>
          <w:szCs w:val="26"/>
        </w:rPr>
        <w:t xml:space="preserve"> </w:t>
      </w:r>
      <w:r w:rsidR="009C4CBE" w:rsidRPr="005001B6">
        <w:rPr>
          <w:rFonts w:cs="Arial"/>
          <w:bCs/>
          <w:sz w:val="26"/>
          <w:szCs w:val="26"/>
        </w:rPr>
        <w:t xml:space="preserve">los daños relacionados con el goce de la vida </w:t>
      </w:r>
      <w:r w:rsidR="009C4CBE">
        <w:rPr>
          <w:rFonts w:cs="Arial"/>
          <w:bCs/>
          <w:sz w:val="26"/>
          <w:szCs w:val="26"/>
        </w:rPr>
        <w:t>que producen</w:t>
      </w:r>
      <w:r w:rsidR="009C4CBE" w:rsidRPr="005001B6">
        <w:rPr>
          <w:rFonts w:cs="Arial"/>
          <w:bCs/>
          <w:sz w:val="26"/>
          <w:szCs w:val="26"/>
        </w:rPr>
        <w:t xml:space="preserve"> </w:t>
      </w:r>
      <w:r w:rsidR="009C4CBE">
        <w:rPr>
          <w:rFonts w:cs="Arial"/>
          <w:bCs/>
          <w:sz w:val="26"/>
          <w:szCs w:val="26"/>
        </w:rPr>
        <w:t xml:space="preserve">una </w:t>
      </w:r>
      <w:r w:rsidR="009C4CBE" w:rsidRPr="005001B6">
        <w:rPr>
          <w:rFonts w:cs="Arial"/>
          <w:bCs/>
          <w:sz w:val="26"/>
          <w:szCs w:val="26"/>
        </w:rPr>
        <w:t>alt</w:t>
      </w:r>
      <w:r w:rsidR="009C4CBE">
        <w:rPr>
          <w:rFonts w:cs="Arial"/>
          <w:bCs/>
          <w:sz w:val="26"/>
          <w:szCs w:val="26"/>
        </w:rPr>
        <w:t xml:space="preserve">eración en la salud de la persona se pueden entender comprendidos </w:t>
      </w:r>
      <w:r w:rsidR="00741E5B">
        <w:rPr>
          <w:rFonts w:cs="Arial"/>
          <w:bCs/>
          <w:sz w:val="26"/>
          <w:szCs w:val="26"/>
        </w:rPr>
        <w:t xml:space="preserve">en </w:t>
      </w:r>
      <w:r w:rsidR="009C4CBE">
        <w:rPr>
          <w:rFonts w:cs="Arial"/>
          <w:bCs/>
          <w:sz w:val="26"/>
          <w:szCs w:val="26"/>
        </w:rPr>
        <w:t xml:space="preserve">el concepto de </w:t>
      </w:r>
      <w:r w:rsidR="009C4CBE" w:rsidRPr="00263838">
        <w:rPr>
          <w:rFonts w:cs="Arial"/>
          <w:b/>
          <w:bCs/>
          <w:sz w:val="26"/>
          <w:szCs w:val="26"/>
        </w:rPr>
        <w:t>daño a la salud</w:t>
      </w:r>
      <w:r w:rsidR="009C4CBE">
        <w:rPr>
          <w:rStyle w:val="Refdenotaalpie"/>
          <w:bCs/>
          <w:sz w:val="26"/>
          <w:szCs w:val="26"/>
        </w:rPr>
        <w:footnoteReference w:id="83"/>
      </w:r>
      <w:r w:rsidR="009C4CBE" w:rsidRPr="005001B6">
        <w:rPr>
          <w:rFonts w:cs="Arial"/>
          <w:bCs/>
          <w:sz w:val="26"/>
          <w:szCs w:val="26"/>
        </w:rPr>
        <w:t>.</w:t>
      </w:r>
    </w:p>
    <w:p w:rsidR="00547C6C" w:rsidRDefault="00547C6C" w:rsidP="00547C6C">
      <w:pPr>
        <w:rPr>
          <w:rFonts w:cs="Arial"/>
          <w:sz w:val="26"/>
          <w:szCs w:val="26"/>
        </w:rPr>
      </w:pPr>
    </w:p>
    <w:p w:rsidR="00741E5B" w:rsidRDefault="00741E5B" w:rsidP="00741E5B">
      <w:pPr>
        <w:pStyle w:val="Listavistosa-nfasis11"/>
        <w:numPr>
          <w:ilvl w:val="1"/>
          <w:numId w:val="28"/>
        </w:numPr>
        <w:ind w:left="0" w:firstLine="0"/>
        <w:rPr>
          <w:rFonts w:cs="Arial"/>
          <w:sz w:val="26"/>
          <w:szCs w:val="26"/>
        </w:rPr>
      </w:pPr>
      <w:r>
        <w:rPr>
          <w:rFonts w:cs="Arial"/>
          <w:sz w:val="26"/>
          <w:szCs w:val="26"/>
        </w:rPr>
        <w:t>En recientes decisiones de unificación, la Sección determinó que el reconocimiento y tasación del daño a la salud no se deben limitar a constatar el porcentaje certificado de la pérdida de capacidad laboral</w:t>
      </w:r>
      <w:r w:rsidR="0029485A">
        <w:rPr>
          <w:rFonts w:cs="Arial"/>
          <w:sz w:val="26"/>
          <w:szCs w:val="26"/>
        </w:rPr>
        <w:t>, sino que</w:t>
      </w:r>
      <w:r w:rsidR="00A95421">
        <w:rPr>
          <w:rFonts w:cs="Arial"/>
          <w:sz w:val="26"/>
          <w:szCs w:val="26"/>
        </w:rPr>
        <w:t xml:space="preserve"> debe</w:t>
      </w:r>
      <w:r w:rsidR="0029485A">
        <w:rPr>
          <w:rFonts w:cs="Arial"/>
          <w:sz w:val="26"/>
          <w:szCs w:val="26"/>
        </w:rPr>
        <w:t>n</w:t>
      </w:r>
      <w:r>
        <w:rPr>
          <w:rFonts w:cs="Arial"/>
          <w:sz w:val="26"/>
          <w:szCs w:val="26"/>
        </w:rPr>
        <w:t xml:space="preserve"> </w:t>
      </w:r>
      <w:r w:rsidR="0029485A">
        <w:rPr>
          <w:rFonts w:cs="Arial"/>
          <w:sz w:val="26"/>
          <w:szCs w:val="26"/>
        </w:rPr>
        <w:t>tener en cuenta</w:t>
      </w:r>
      <w:r>
        <w:rPr>
          <w:rFonts w:cs="Arial"/>
          <w:sz w:val="26"/>
          <w:szCs w:val="26"/>
        </w:rPr>
        <w:t xml:space="preserve"> </w:t>
      </w:r>
      <w:r w:rsidRPr="00741E5B">
        <w:rPr>
          <w:rFonts w:cs="Arial"/>
          <w:sz w:val="26"/>
          <w:szCs w:val="26"/>
        </w:rPr>
        <w:t xml:space="preserve">las </w:t>
      </w:r>
      <w:r>
        <w:rPr>
          <w:rFonts w:cs="Arial"/>
          <w:sz w:val="26"/>
          <w:szCs w:val="26"/>
        </w:rPr>
        <w:t>consecuencias de la enfermedad,</w:t>
      </w:r>
      <w:r w:rsidRPr="00741E5B">
        <w:rPr>
          <w:rFonts w:cs="Arial"/>
          <w:sz w:val="26"/>
          <w:szCs w:val="26"/>
        </w:rPr>
        <w:t xml:space="preserve"> </w:t>
      </w:r>
      <w:r>
        <w:rPr>
          <w:rFonts w:cs="Arial"/>
          <w:sz w:val="26"/>
          <w:szCs w:val="26"/>
        </w:rPr>
        <w:t xml:space="preserve">el </w:t>
      </w:r>
      <w:r w:rsidRPr="00741E5B">
        <w:rPr>
          <w:rFonts w:cs="Arial"/>
          <w:sz w:val="26"/>
          <w:szCs w:val="26"/>
        </w:rPr>
        <w:t xml:space="preserve">accidente </w:t>
      </w:r>
      <w:r>
        <w:rPr>
          <w:rFonts w:cs="Arial"/>
          <w:sz w:val="26"/>
          <w:szCs w:val="26"/>
        </w:rPr>
        <w:t>o</w:t>
      </w:r>
      <w:r w:rsidR="0029485A">
        <w:rPr>
          <w:rFonts w:cs="Arial"/>
          <w:sz w:val="26"/>
          <w:szCs w:val="26"/>
        </w:rPr>
        <w:t>, en general,</w:t>
      </w:r>
      <w:r>
        <w:rPr>
          <w:rFonts w:cs="Arial"/>
          <w:sz w:val="26"/>
          <w:szCs w:val="26"/>
        </w:rPr>
        <w:t xml:space="preserve"> el hecho dañino</w:t>
      </w:r>
      <w:r w:rsidR="0029485A">
        <w:rPr>
          <w:rFonts w:cs="Arial"/>
          <w:sz w:val="26"/>
          <w:szCs w:val="26"/>
        </w:rPr>
        <w:t>,</w:t>
      </w:r>
      <w:r>
        <w:rPr>
          <w:rFonts w:cs="Arial"/>
          <w:sz w:val="26"/>
          <w:szCs w:val="26"/>
        </w:rPr>
        <w:t xml:space="preserve"> </w:t>
      </w:r>
      <w:r w:rsidRPr="00741E5B">
        <w:rPr>
          <w:rFonts w:cs="Arial"/>
          <w:sz w:val="26"/>
          <w:szCs w:val="26"/>
        </w:rPr>
        <w:t xml:space="preserve">que reflejen alteraciones </w:t>
      </w:r>
      <w:r>
        <w:rPr>
          <w:rFonts w:cs="Arial"/>
          <w:sz w:val="26"/>
          <w:szCs w:val="26"/>
        </w:rPr>
        <w:t>en el</w:t>
      </w:r>
      <w:r w:rsidRPr="00741E5B">
        <w:rPr>
          <w:rFonts w:cs="Arial"/>
          <w:sz w:val="26"/>
          <w:szCs w:val="26"/>
        </w:rPr>
        <w:t xml:space="preserve"> comportamiento y desempeño de la persona dentro de su entorno social y cultural que agraven </w:t>
      </w:r>
      <w:r w:rsidR="00CC22B8">
        <w:rPr>
          <w:rFonts w:cs="Arial"/>
          <w:sz w:val="26"/>
          <w:szCs w:val="26"/>
        </w:rPr>
        <w:t>su</w:t>
      </w:r>
      <w:r w:rsidRPr="00741E5B">
        <w:rPr>
          <w:rFonts w:cs="Arial"/>
          <w:sz w:val="26"/>
          <w:szCs w:val="26"/>
        </w:rPr>
        <w:t xml:space="preserve"> </w:t>
      </w:r>
      <w:r w:rsidR="00CC22B8">
        <w:rPr>
          <w:rFonts w:cs="Arial"/>
          <w:sz w:val="26"/>
          <w:szCs w:val="26"/>
        </w:rPr>
        <w:t>situación</w:t>
      </w:r>
      <w:r w:rsidRPr="00741E5B">
        <w:rPr>
          <w:rFonts w:cs="Arial"/>
          <w:sz w:val="26"/>
          <w:szCs w:val="26"/>
        </w:rPr>
        <w:t>, como los casos estéticos o lesiones sexual</w:t>
      </w:r>
      <w:r w:rsidR="00CC22B8">
        <w:rPr>
          <w:rFonts w:cs="Arial"/>
          <w:sz w:val="26"/>
          <w:szCs w:val="26"/>
        </w:rPr>
        <w:t>es</w:t>
      </w:r>
      <w:r w:rsidRPr="00741E5B">
        <w:rPr>
          <w:rFonts w:cs="Arial"/>
          <w:sz w:val="26"/>
          <w:szCs w:val="26"/>
        </w:rPr>
        <w:t>, que difícilmente se consideran constitutivos de incapacidad</w:t>
      </w:r>
      <w:r w:rsidR="0029485A">
        <w:rPr>
          <w:rStyle w:val="Refdenotaalpie"/>
          <w:sz w:val="26"/>
          <w:szCs w:val="26"/>
        </w:rPr>
        <w:footnoteReference w:id="84"/>
      </w:r>
      <w:r w:rsidRPr="00741E5B">
        <w:rPr>
          <w:rFonts w:cs="Arial"/>
          <w:sz w:val="26"/>
          <w:szCs w:val="26"/>
        </w:rPr>
        <w:t>.</w:t>
      </w:r>
    </w:p>
    <w:p w:rsidR="0029485A" w:rsidRDefault="0029485A" w:rsidP="0029485A">
      <w:pPr>
        <w:pStyle w:val="Listavistosa-nfasis11"/>
        <w:ind w:left="0"/>
        <w:rPr>
          <w:rFonts w:cs="Arial"/>
          <w:sz w:val="26"/>
          <w:szCs w:val="26"/>
        </w:rPr>
      </w:pPr>
    </w:p>
    <w:p w:rsidR="00741E5B" w:rsidRPr="0029485A" w:rsidRDefault="0029485A" w:rsidP="00741E5B">
      <w:pPr>
        <w:pStyle w:val="Listavistosa-nfasis11"/>
        <w:numPr>
          <w:ilvl w:val="1"/>
          <w:numId w:val="28"/>
        </w:numPr>
        <w:ind w:left="0" w:firstLine="0"/>
        <w:rPr>
          <w:rFonts w:cs="Arial"/>
          <w:sz w:val="26"/>
          <w:szCs w:val="26"/>
        </w:rPr>
      </w:pPr>
      <w:r>
        <w:rPr>
          <w:rFonts w:cs="Arial"/>
          <w:sz w:val="26"/>
          <w:szCs w:val="26"/>
        </w:rPr>
        <w:t>En estas decisiones se aclaró</w:t>
      </w:r>
      <w:r w:rsidR="00741E5B" w:rsidRPr="0029485A">
        <w:rPr>
          <w:rFonts w:cs="Arial"/>
          <w:sz w:val="26"/>
          <w:szCs w:val="26"/>
        </w:rPr>
        <w:t xml:space="preserve"> que la indemnización está sujeta a lo probado única y exclusivamente para la victima directa, en cuantía </w:t>
      </w:r>
      <w:r w:rsidR="00E036F9">
        <w:rPr>
          <w:rFonts w:cs="Arial"/>
          <w:sz w:val="26"/>
          <w:szCs w:val="26"/>
        </w:rPr>
        <w:t>hasta</w:t>
      </w:r>
      <w:r w:rsidR="00741E5B" w:rsidRPr="0029485A">
        <w:rPr>
          <w:rFonts w:cs="Arial"/>
          <w:sz w:val="26"/>
          <w:szCs w:val="26"/>
        </w:rPr>
        <w:t xml:space="preserve"> de 100 </w:t>
      </w:r>
      <w:r>
        <w:rPr>
          <w:rFonts w:cs="Arial"/>
          <w:sz w:val="26"/>
          <w:szCs w:val="26"/>
        </w:rPr>
        <w:t>smlmv</w:t>
      </w:r>
      <w:r w:rsidR="00741E5B" w:rsidRPr="0029485A">
        <w:rPr>
          <w:rFonts w:cs="Arial"/>
          <w:sz w:val="26"/>
          <w:szCs w:val="26"/>
        </w:rPr>
        <w:t>, de acuerdo con la gravedad de la lesión, debidamente motivada y razonada, conforme a la siguiente tabla:</w:t>
      </w:r>
    </w:p>
    <w:p w:rsidR="00741E5B" w:rsidRDefault="00741E5B" w:rsidP="00547C6C">
      <w:pPr>
        <w:rPr>
          <w:rFonts w:cs="Arial"/>
          <w:sz w:val="26"/>
          <w:szCs w:val="26"/>
        </w:rPr>
      </w:pPr>
    </w:p>
    <w:tbl>
      <w:tblPr>
        <w:tblW w:w="7654" w:type="dxa"/>
        <w:tblInd w:w="279" w:type="dxa"/>
        <w:tblCellMar>
          <w:left w:w="70" w:type="dxa"/>
          <w:right w:w="70" w:type="dxa"/>
        </w:tblCellMar>
        <w:tblLook w:val="04A0" w:firstRow="1" w:lastRow="0" w:firstColumn="1" w:lastColumn="0" w:noHBand="0" w:noVBand="1"/>
      </w:tblPr>
      <w:tblGrid>
        <w:gridCol w:w="4832"/>
        <w:gridCol w:w="2822"/>
      </w:tblGrid>
      <w:tr w:rsidR="0029485A" w:rsidRPr="0029485A" w:rsidTr="005977C9">
        <w:trPr>
          <w:trHeight w:val="424"/>
        </w:trPr>
        <w:tc>
          <w:tcPr>
            <w:tcW w:w="765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29485A" w:rsidRDefault="0029485A" w:rsidP="0029485A">
            <w:pPr>
              <w:spacing w:line="240" w:lineRule="auto"/>
              <w:jc w:val="center"/>
              <w:rPr>
                <w:rFonts w:eastAsia="Times New Roman"/>
                <w:b/>
                <w:bCs/>
                <w:color w:val="000000"/>
                <w:sz w:val="22"/>
                <w:szCs w:val="22"/>
              </w:rPr>
            </w:pPr>
            <w:r>
              <w:rPr>
                <w:rFonts w:eastAsia="Times New Roman"/>
                <w:b/>
                <w:bCs/>
                <w:color w:val="000000"/>
                <w:sz w:val="22"/>
                <w:szCs w:val="22"/>
              </w:rPr>
              <w:t>Reparación del daño a la salud</w:t>
            </w:r>
          </w:p>
          <w:p w:rsidR="0029485A" w:rsidRPr="0029485A" w:rsidRDefault="0029485A" w:rsidP="0029485A">
            <w:pPr>
              <w:spacing w:line="240" w:lineRule="auto"/>
              <w:jc w:val="center"/>
              <w:rPr>
                <w:rFonts w:eastAsia="Times New Roman"/>
                <w:b/>
                <w:bCs/>
                <w:color w:val="000000"/>
                <w:sz w:val="22"/>
                <w:szCs w:val="22"/>
              </w:rPr>
            </w:pPr>
            <w:r>
              <w:rPr>
                <w:rFonts w:eastAsia="Times New Roman"/>
                <w:b/>
                <w:bCs/>
                <w:color w:val="000000"/>
                <w:sz w:val="22"/>
                <w:szCs w:val="22"/>
              </w:rPr>
              <w:t>Regla general</w:t>
            </w:r>
          </w:p>
        </w:tc>
      </w:tr>
      <w:tr w:rsidR="0029485A" w:rsidRPr="0029485A" w:rsidTr="005977C9">
        <w:trPr>
          <w:trHeight w:val="253"/>
        </w:trPr>
        <w:tc>
          <w:tcPr>
            <w:tcW w:w="765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29485A" w:rsidRPr="0029485A" w:rsidRDefault="0029485A" w:rsidP="006F49AE">
            <w:pPr>
              <w:spacing w:line="240" w:lineRule="auto"/>
              <w:rPr>
                <w:rFonts w:eastAsia="Times New Roman"/>
                <w:b/>
                <w:bCs/>
                <w:color w:val="000000"/>
                <w:sz w:val="22"/>
                <w:szCs w:val="22"/>
              </w:rPr>
            </w:pPr>
          </w:p>
        </w:tc>
      </w:tr>
      <w:tr w:rsidR="0029485A" w:rsidRPr="0029485A" w:rsidTr="005977C9">
        <w:trPr>
          <w:trHeight w:val="469"/>
        </w:trPr>
        <w:tc>
          <w:tcPr>
            <w:tcW w:w="4832" w:type="dxa"/>
            <w:tcBorders>
              <w:top w:val="nil"/>
              <w:left w:val="single" w:sz="4" w:space="0" w:color="auto"/>
              <w:bottom w:val="single" w:sz="4" w:space="0" w:color="auto"/>
              <w:right w:val="single" w:sz="4" w:space="0" w:color="auto"/>
            </w:tcBorders>
            <w:shd w:val="clear" w:color="auto" w:fill="auto"/>
            <w:hideMark/>
          </w:tcPr>
          <w:p w:rsidR="0029485A" w:rsidRPr="0029485A" w:rsidRDefault="0029485A" w:rsidP="006F49AE">
            <w:pPr>
              <w:spacing w:line="240" w:lineRule="auto"/>
              <w:jc w:val="center"/>
              <w:rPr>
                <w:rFonts w:eastAsia="Times New Roman" w:cs="Arial"/>
                <w:b/>
                <w:bCs/>
                <w:color w:val="000000"/>
                <w:sz w:val="22"/>
                <w:szCs w:val="22"/>
              </w:rPr>
            </w:pPr>
            <w:r w:rsidRPr="0029485A">
              <w:rPr>
                <w:rFonts w:eastAsia="Times New Roman" w:cs="Arial"/>
                <w:b/>
                <w:bCs/>
                <w:color w:val="000000"/>
                <w:sz w:val="22"/>
                <w:szCs w:val="22"/>
              </w:rPr>
              <w:t xml:space="preserve">Gravedad de la lesión </w:t>
            </w:r>
          </w:p>
        </w:tc>
        <w:tc>
          <w:tcPr>
            <w:tcW w:w="2822" w:type="dxa"/>
            <w:tcBorders>
              <w:top w:val="nil"/>
              <w:left w:val="nil"/>
              <w:bottom w:val="single" w:sz="4" w:space="0" w:color="auto"/>
              <w:right w:val="single" w:sz="4" w:space="0" w:color="auto"/>
            </w:tcBorders>
            <w:shd w:val="clear" w:color="auto" w:fill="auto"/>
            <w:hideMark/>
          </w:tcPr>
          <w:p w:rsidR="0029485A" w:rsidRPr="0029485A" w:rsidRDefault="0029485A" w:rsidP="006F49AE">
            <w:pPr>
              <w:spacing w:line="240" w:lineRule="auto"/>
              <w:jc w:val="center"/>
              <w:rPr>
                <w:rFonts w:eastAsia="Times New Roman" w:cs="Arial"/>
                <w:b/>
                <w:bCs/>
                <w:color w:val="000000"/>
                <w:sz w:val="22"/>
                <w:szCs w:val="22"/>
              </w:rPr>
            </w:pPr>
            <w:r w:rsidRPr="0029485A">
              <w:rPr>
                <w:rFonts w:eastAsia="Times New Roman" w:cs="Arial"/>
                <w:b/>
                <w:bCs/>
                <w:color w:val="000000"/>
                <w:sz w:val="22"/>
                <w:szCs w:val="22"/>
              </w:rPr>
              <w:t xml:space="preserve">Víctima directa </w:t>
            </w:r>
          </w:p>
        </w:tc>
      </w:tr>
      <w:tr w:rsidR="0029485A" w:rsidRPr="0029485A" w:rsidTr="005977C9">
        <w:trPr>
          <w:trHeight w:val="265"/>
        </w:trPr>
        <w:tc>
          <w:tcPr>
            <w:tcW w:w="4832" w:type="dxa"/>
            <w:tcBorders>
              <w:top w:val="nil"/>
              <w:left w:val="single" w:sz="4" w:space="0" w:color="auto"/>
              <w:bottom w:val="single" w:sz="4" w:space="0" w:color="auto"/>
              <w:right w:val="single" w:sz="4" w:space="0" w:color="auto"/>
            </w:tcBorders>
            <w:shd w:val="clear" w:color="auto" w:fill="auto"/>
            <w:vAlign w:val="bottom"/>
            <w:hideMark/>
          </w:tcPr>
          <w:p w:rsidR="0029485A" w:rsidRPr="0029485A" w:rsidRDefault="0029485A" w:rsidP="006F49AE">
            <w:pPr>
              <w:spacing w:line="240" w:lineRule="auto"/>
              <w:jc w:val="center"/>
              <w:rPr>
                <w:rFonts w:eastAsia="Times New Roman"/>
                <w:b/>
                <w:bCs/>
                <w:color w:val="000000"/>
                <w:sz w:val="22"/>
                <w:szCs w:val="22"/>
              </w:rPr>
            </w:pPr>
            <w:r w:rsidRPr="0029485A">
              <w:rPr>
                <w:rFonts w:eastAsia="Times New Roman"/>
                <w:b/>
                <w:bCs/>
                <w:color w:val="000000"/>
                <w:sz w:val="22"/>
                <w:szCs w:val="22"/>
              </w:rPr>
              <w:t> </w:t>
            </w:r>
          </w:p>
        </w:tc>
        <w:tc>
          <w:tcPr>
            <w:tcW w:w="2822" w:type="dxa"/>
            <w:tcBorders>
              <w:top w:val="nil"/>
              <w:left w:val="nil"/>
              <w:bottom w:val="single" w:sz="4" w:space="0" w:color="auto"/>
              <w:right w:val="single" w:sz="4" w:space="0" w:color="auto"/>
            </w:tcBorders>
            <w:shd w:val="clear" w:color="auto" w:fill="auto"/>
            <w:vAlign w:val="bottom"/>
            <w:hideMark/>
          </w:tcPr>
          <w:p w:rsidR="0029485A" w:rsidRPr="0029485A" w:rsidRDefault="0029485A" w:rsidP="006F49AE">
            <w:pPr>
              <w:spacing w:line="240" w:lineRule="auto"/>
              <w:jc w:val="center"/>
              <w:rPr>
                <w:rFonts w:eastAsia="Times New Roman"/>
                <w:b/>
                <w:bCs/>
                <w:color w:val="000000"/>
                <w:sz w:val="22"/>
                <w:szCs w:val="22"/>
              </w:rPr>
            </w:pPr>
            <w:r>
              <w:rPr>
                <w:rFonts w:eastAsia="Times New Roman"/>
                <w:b/>
                <w:bCs/>
                <w:color w:val="000000"/>
                <w:sz w:val="22"/>
                <w:szCs w:val="22"/>
              </w:rPr>
              <w:t>smlmv</w:t>
            </w:r>
          </w:p>
        </w:tc>
      </w:tr>
      <w:tr w:rsidR="0029485A" w:rsidRPr="0029485A" w:rsidTr="005977C9">
        <w:trPr>
          <w:trHeight w:val="265"/>
        </w:trPr>
        <w:tc>
          <w:tcPr>
            <w:tcW w:w="4832" w:type="dxa"/>
            <w:tcBorders>
              <w:top w:val="nil"/>
              <w:left w:val="single" w:sz="4" w:space="0" w:color="auto"/>
              <w:bottom w:val="single" w:sz="4" w:space="0" w:color="auto"/>
              <w:right w:val="single" w:sz="4" w:space="0" w:color="auto"/>
            </w:tcBorders>
            <w:shd w:val="clear" w:color="auto" w:fill="auto"/>
            <w:vAlign w:val="bottom"/>
            <w:hideMark/>
          </w:tcPr>
          <w:p w:rsidR="0029485A" w:rsidRPr="0029485A" w:rsidRDefault="0029485A" w:rsidP="006F49AE">
            <w:pPr>
              <w:spacing w:line="240" w:lineRule="auto"/>
              <w:rPr>
                <w:rFonts w:eastAsia="Times New Roman"/>
                <w:color w:val="000000"/>
                <w:sz w:val="22"/>
                <w:szCs w:val="22"/>
              </w:rPr>
            </w:pPr>
            <w:r w:rsidRPr="0029485A">
              <w:rPr>
                <w:rFonts w:eastAsia="Times New Roman"/>
                <w:color w:val="000000"/>
                <w:sz w:val="22"/>
                <w:szCs w:val="22"/>
              </w:rPr>
              <w:t>Igual o superior al 50%</w:t>
            </w:r>
          </w:p>
        </w:tc>
        <w:tc>
          <w:tcPr>
            <w:tcW w:w="2822" w:type="dxa"/>
            <w:tcBorders>
              <w:top w:val="nil"/>
              <w:left w:val="nil"/>
              <w:bottom w:val="single" w:sz="4" w:space="0" w:color="auto"/>
              <w:right w:val="single" w:sz="4" w:space="0" w:color="auto"/>
            </w:tcBorders>
            <w:shd w:val="clear" w:color="auto" w:fill="auto"/>
            <w:vAlign w:val="bottom"/>
            <w:hideMark/>
          </w:tcPr>
          <w:p w:rsidR="0029485A" w:rsidRPr="0029485A" w:rsidRDefault="0029485A" w:rsidP="006F49AE">
            <w:pPr>
              <w:spacing w:line="240" w:lineRule="auto"/>
              <w:jc w:val="center"/>
              <w:rPr>
                <w:rFonts w:eastAsia="Times New Roman"/>
                <w:color w:val="000000"/>
                <w:sz w:val="22"/>
                <w:szCs w:val="22"/>
              </w:rPr>
            </w:pPr>
            <w:r w:rsidRPr="0029485A">
              <w:rPr>
                <w:rFonts w:eastAsia="Times New Roman"/>
                <w:color w:val="000000"/>
                <w:sz w:val="22"/>
                <w:szCs w:val="22"/>
              </w:rPr>
              <w:t>100</w:t>
            </w:r>
          </w:p>
        </w:tc>
      </w:tr>
      <w:tr w:rsidR="0029485A" w:rsidRPr="0029485A" w:rsidTr="005977C9">
        <w:trPr>
          <w:trHeight w:val="265"/>
        </w:trPr>
        <w:tc>
          <w:tcPr>
            <w:tcW w:w="4832" w:type="dxa"/>
            <w:tcBorders>
              <w:top w:val="nil"/>
              <w:left w:val="single" w:sz="4" w:space="0" w:color="auto"/>
              <w:bottom w:val="single" w:sz="4" w:space="0" w:color="auto"/>
              <w:right w:val="single" w:sz="4" w:space="0" w:color="auto"/>
            </w:tcBorders>
            <w:shd w:val="clear" w:color="auto" w:fill="auto"/>
            <w:vAlign w:val="bottom"/>
            <w:hideMark/>
          </w:tcPr>
          <w:p w:rsidR="0029485A" w:rsidRPr="0029485A" w:rsidRDefault="0029485A" w:rsidP="006F49AE">
            <w:pPr>
              <w:spacing w:line="240" w:lineRule="auto"/>
              <w:rPr>
                <w:rFonts w:eastAsia="Times New Roman"/>
                <w:color w:val="000000"/>
                <w:sz w:val="22"/>
                <w:szCs w:val="22"/>
              </w:rPr>
            </w:pPr>
            <w:r w:rsidRPr="0029485A">
              <w:rPr>
                <w:rFonts w:eastAsia="Times New Roman"/>
                <w:color w:val="000000"/>
                <w:sz w:val="22"/>
                <w:szCs w:val="22"/>
              </w:rPr>
              <w:t>Igual o superior al 40% e inferior al 50%</w:t>
            </w:r>
          </w:p>
        </w:tc>
        <w:tc>
          <w:tcPr>
            <w:tcW w:w="2822" w:type="dxa"/>
            <w:tcBorders>
              <w:top w:val="nil"/>
              <w:left w:val="nil"/>
              <w:bottom w:val="single" w:sz="4" w:space="0" w:color="auto"/>
              <w:right w:val="single" w:sz="4" w:space="0" w:color="auto"/>
            </w:tcBorders>
            <w:shd w:val="clear" w:color="auto" w:fill="auto"/>
            <w:vAlign w:val="bottom"/>
            <w:hideMark/>
          </w:tcPr>
          <w:p w:rsidR="0029485A" w:rsidRPr="0029485A" w:rsidRDefault="0029485A" w:rsidP="006F49AE">
            <w:pPr>
              <w:spacing w:line="240" w:lineRule="auto"/>
              <w:jc w:val="center"/>
              <w:rPr>
                <w:rFonts w:eastAsia="Times New Roman"/>
                <w:color w:val="000000"/>
                <w:sz w:val="22"/>
                <w:szCs w:val="22"/>
              </w:rPr>
            </w:pPr>
            <w:r w:rsidRPr="0029485A">
              <w:rPr>
                <w:rFonts w:eastAsia="Times New Roman"/>
                <w:color w:val="000000"/>
                <w:sz w:val="22"/>
                <w:szCs w:val="22"/>
              </w:rPr>
              <w:t>80</w:t>
            </w:r>
          </w:p>
        </w:tc>
      </w:tr>
      <w:tr w:rsidR="0029485A" w:rsidRPr="0029485A" w:rsidTr="005977C9">
        <w:trPr>
          <w:trHeight w:val="265"/>
        </w:trPr>
        <w:tc>
          <w:tcPr>
            <w:tcW w:w="4832" w:type="dxa"/>
            <w:tcBorders>
              <w:top w:val="nil"/>
              <w:left w:val="single" w:sz="4" w:space="0" w:color="auto"/>
              <w:bottom w:val="single" w:sz="4" w:space="0" w:color="auto"/>
              <w:right w:val="single" w:sz="4" w:space="0" w:color="auto"/>
            </w:tcBorders>
            <w:shd w:val="clear" w:color="auto" w:fill="auto"/>
            <w:vAlign w:val="bottom"/>
            <w:hideMark/>
          </w:tcPr>
          <w:p w:rsidR="0029485A" w:rsidRPr="0029485A" w:rsidRDefault="0029485A" w:rsidP="006F49AE">
            <w:pPr>
              <w:spacing w:line="240" w:lineRule="auto"/>
              <w:rPr>
                <w:rFonts w:eastAsia="Times New Roman"/>
                <w:color w:val="000000"/>
                <w:sz w:val="22"/>
                <w:szCs w:val="22"/>
              </w:rPr>
            </w:pPr>
            <w:r w:rsidRPr="0029485A">
              <w:rPr>
                <w:rFonts w:eastAsia="Times New Roman"/>
                <w:color w:val="000000"/>
                <w:sz w:val="22"/>
                <w:szCs w:val="22"/>
              </w:rPr>
              <w:t>Igual o superior al 30% e inferior al 40%</w:t>
            </w:r>
          </w:p>
        </w:tc>
        <w:tc>
          <w:tcPr>
            <w:tcW w:w="2822" w:type="dxa"/>
            <w:tcBorders>
              <w:top w:val="nil"/>
              <w:left w:val="nil"/>
              <w:bottom w:val="single" w:sz="4" w:space="0" w:color="auto"/>
              <w:right w:val="single" w:sz="4" w:space="0" w:color="auto"/>
            </w:tcBorders>
            <w:shd w:val="clear" w:color="auto" w:fill="auto"/>
            <w:vAlign w:val="bottom"/>
            <w:hideMark/>
          </w:tcPr>
          <w:p w:rsidR="0029485A" w:rsidRPr="0029485A" w:rsidRDefault="0029485A" w:rsidP="006F49AE">
            <w:pPr>
              <w:spacing w:line="240" w:lineRule="auto"/>
              <w:jc w:val="center"/>
              <w:rPr>
                <w:rFonts w:eastAsia="Times New Roman"/>
                <w:color w:val="000000"/>
                <w:sz w:val="22"/>
                <w:szCs w:val="22"/>
              </w:rPr>
            </w:pPr>
            <w:r w:rsidRPr="0029485A">
              <w:rPr>
                <w:rFonts w:eastAsia="Times New Roman"/>
                <w:color w:val="000000"/>
                <w:sz w:val="22"/>
                <w:szCs w:val="22"/>
              </w:rPr>
              <w:t>60</w:t>
            </w:r>
          </w:p>
        </w:tc>
      </w:tr>
      <w:tr w:rsidR="0029485A" w:rsidRPr="0029485A" w:rsidTr="005977C9">
        <w:trPr>
          <w:trHeight w:val="265"/>
        </w:trPr>
        <w:tc>
          <w:tcPr>
            <w:tcW w:w="4832" w:type="dxa"/>
            <w:tcBorders>
              <w:top w:val="nil"/>
              <w:left w:val="single" w:sz="4" w:space="0" w:color="auto"/>
              <w:bottom w:val="single" w:sz="4" w:space="0" w:color="auto"/>
              <w:right w:val="single" w:sz="4" w:space="0" w:color="auto"/>
            </w:tcBorders>
            <w:shd w:val="clear" w:color="auto" w:fill="auto"/>
            <w:vAlign w:val="bottom"/>
            <w:hideMark/>
          </w:tcPr>
          <w:p w:rsidR="0029485A" w:rsidRPr="0029485A" w:rsidRDefault="0029485A" w:rsidP="006F49AE">
            <w:pPr>
              <w:spacing w:line="240" w:lineRule="auto"/>
              <w:rPr>
                <w:rFonts w:eastAsia="Times New Roman"/>
                <w:color w:val="000000"/>
                <w:sz w:val="22"/>
                <w:szCs w:val="22"/>
              </w:rPr>
            </w:pPr>
            <w:r w:rsidRPr="0029485A">
              <w:rPr>
                <w:rFonts w:eastAsia="Times New Roman"/>
                <w:color w:val="000000"/>
                <w:sz w:val="22"/>
                <w:szCs w:val="22"/>
              </w:rPr>
              <w:t>Igual o superior al 20% e inferior al 30%</w:t>
            </w:r>
          </w:p>
        </w:tc>
        <w:tc>
          <w:tcPr>
            <w:tcW w:w="2822" w:type="dxa"/>
            <w:tcBorders>
              <w:top w:val="nil"/>
              <w:left w:val="nil"/>
              <w:bottom w:val="single" w:sz="4" w:space="0" w:color="auto"/>
              <w:right w:val="single" w:sz="4" w:space="0" w:color="auto"/>
            </w:tcBorders>
            <w:shd w:val="clear" w:color="auto" w:fill="auto"/>
            <w:vAlign w:val="bottom"/>
            <w:hideMark/>
          </w:tcPr>
          <w:p w:rsidR="0029485A" w:rsidRPr="0029485A" w:rsidRDefault="0029485A" w:rsidP="006F49AE">
            <w:pPr>
              <w:spacing w:line="240" w:lineRule="auto"/>
              <w:jc w:val="center"/>
              <w:rPr>
                <w:rFonts w:eastAsia="Times New Roman"/>
                <w:color w:val="000000"/>
                <w:sz w:val="22"/>
                <w:szCs w:val="22"/>
              </w:rPr>
            </w:pPr>
            <w:r w:rsidRPr="0029485A">
              <w:rPr>
                <w:rFonts w:eastAsia="Times New Roman"/>
                <w:color w:val="000000"/>
                <w:sz w:val="22"/>
                <w:szCs w:val="22"/>
              </w:rPr>
              <w:t>40</w:t>
            </w:r>
          </w:p>
        </w:tc>
      </w:tr>
      <w:tr w:rsidR="0029485A" w:rsidRPr="0029485A" w:rsidTr="005977C9">
        <w:trPr>
          <w:trHeight w:val="265"/>
        </w:trPr>
        <w:tc>
          <w:tcPr>
            <w:tcW w:w="4832" w:type="dxa"/>
            <w:tcBorders>
              <w:top w:val="nil"/>
              <w:left w:val="single" w:sz="4" w:space="0" w:color="auto"/>
              <w:bottom w:val="single" w:sz="4" w:space="0" w:color="auto"/>
              <w:right w:val="single" w:sz="4" w:space="0" w:color="auto"/>
            </w:tcBorders>
            <w:shd w:val="clear" w:color="auto" w:fill="auto"/>
            <w:vAlign w:val="bottom"/>
            <w:hideMark/>
          </w:tcPr>
          <w:p w:rsidR="0029485A" w:rsidRPr="0029485A" w:rsidRDefault="0029485A" w:rsidP="006F49AE">
            <w:pPr>
              <w:spacing w:line="240" w:lineRule="auto"/>
              <w:rPr>
                <w:rFonts w:eastAsia="Times New Roman"/>
                <w:color w:val="000000"/>
                <w:sz w:val="22"/>
                <w:szCs w:val="22"/>
              </w:rPr>
            </w:pPr>
            <w:r w:rsidRPr="0029485A">
              <w:rPr>
                <w:rFonts w:eastAsia="Times New Roman"/>
                <w:color w:val="000000"/>
                <w:sz w:val="22"/>
                <w:szCs w:val="22"/>
              </w:rPr>
              <w:t>Igual o superior al 10% e inferior al 20%</w:t>
            </w:r>
          </w:p>
        </w:tc>
        <w:tc>
          <w:tcPr>
            <w:tcW w:w="2822" w:type="dxa"/>
            <w:tcBorders>
              <w:top w:val="nil"/>
              <w:left w:val="nil"/>
              <w:bottom w:val="single" w:sz="4" w:space="0" w:color="auto"/>
              <w:right w:val="single" w:sz="4" w:space="0" w:color="auto"/>
            </w:tcBorders>
            <w:shd w:val="clear" w:color="auto" w:fill="auto"/>
            <w:vAlign w:val="bottom"/>
            <w:hideMark/>
          </w:tcPr>
          <w:p w:rsidR="0029485A" w:rsidRPr="0029485A" w:rsidRDefault="0029485A" w:rsidP="006F49AE">
            <w:pPr>
              <w:spacing w:line="240" w:lineRule="auto"/>
              <w:jc w:val="center"/>
              <w:rPr>
                <w:rFonts w:eastAsia="Times New Roman"/>
                <w:color w:val="000000"/>
                <w:sz w:val="22"/>
                <w:szCs w:val="22"/>
              </w:rPr>
            </w:pPr>
            <w:r w:rsidRPr="0029485A">
              <w:rPr>
                <w:rFonts w:eastAsia="Times New Roman"/>
                <w:color w:val="000000"/>
                <w:sz w:val="22"/>
                <w:szCs w:val="22"/>
              </w:rPr>
              <w:t>20</w:t>
            </w:r>
          </w:p>
        </w:tc>
      </w:tr>
      <w:tr w:rsidR="0029485A" w:rsidRPr="0029485A" w:rsidTr="005977C9">
        <w:trPr>
          <w:trHeight w:val="265"/>
        </w:trPr>
        <w:tc>
          <w:tcPr>
            <w:tcW w:w="4832" w:type="dxa"/>
            <w:tcBorders>
              <w:top w:val="nil"/>
              <w:left w:val="single" w:sz="4" w:space="0" w:color="auto"/>
              <w:bottom w:val="single" w:sz="4" w:space="0" w:color="auto"/>
              <w:right w:val="single" w:sz="4" w:space="0" w:color="auto"/>
            </w:tcBorders>
            <w:shd w:val="clear" w:color="auto" w:fill="auto"/>
            <w:vAlign w:val="bottom"/>
            <w:hideMark/>
          </w:tcPr>
          <w:p w:rsidR="0029485A" w:rsidRPr="0029485A" w:rsidRDefault="0029485A" w:rsidP="006F49AE">
            <w:pPr>
              <w:spacing w:line="240" w:lineRule="auto"/>
              <w:rPr>
                <w:rFonts w:eastAsia="Times New Roman"/>
                <w:color w:val="000000"/>
                <w:sz w:val="22"/>
                <w:szCs w:val="22"/>
              </w:rPr>
            </w:pPr>
            <w:r w:rsidRPr="0029485A">
              <w:rPr>
                <w:rFonts w:eastAsia="Times New Roman"/>
                <w:color w:val="000000"/>
                <w:sz w:val="22"/>
                <w:szCs w:val="22"/>
              </w:rPr>
              <w:t>Igual o superior al 1% e inferior al 10%</w:t>
            </w:r>
          </w:p>
        </w:tc>
        <w:tc>
          <w:tcPr>
            <w:tcW w:w="2822" w:type="dxa"/>
            <w:tcBorders>
              <w:top w:val="nil"/>
              <w:left w:val="nil"/>
              <w:bottom w:val="single" w:sz="4" w:space="0" w:color="auto"/>
              <w:right w:val="single" w:sz="4" w:space="0" w:color="auto"/>
            </w:tcBorders>
            <w:shd w:val="clear" w:color="auto" w:fill="auto"/>
            <w:vAlign w:val="bottom"/>
            <w:hideMark/>
          </w:tcPr>
          <w:p w:rsidR="0029485A" w:rsidRPr="0029485A" w:rsidRDefault="0029485A" w:rsidP="006F49AE">
            <w:pPr>
              <w:spacing w:line="240" w:lineRule="auto"/>
              <w:jc w:val="center"/>
              <w:rPr>
                <w:rFonts w:eastAsia="Times New Roman"/>
                <w:color w:val="000000"/>
                <w:sz w:val="22"/>
                <w:szCs w:val="22"/>
              </w:rPr>
            </w:pPr>
            <w:r w:rsidRPr="0029485A">
              <w:rPr>
                <w:rFonts w:eastAsia="Times New Roman"/>
                <w:color w:val="000000"/>
                <w:sz w:val="22"/>
                <w:szCs w:val="22"/>
              </w:rPr>
              <w:t>10</w:t>
            </w:r>
          </w:p>
        </w:tc>
      </w:tr>
    </w:tbl>
    <w:p w:rsidR="0029485A" w:rsidRDefault="0029485A" w:rsidP="000C4923">
      <w:pPr>
        <w:spacing w:line="240" w:lineRule="auto"/>
        <w:rPr>
          <w:rFonts w:cs="Arial"/>
          <w:sz w:val="26"/>
          <w:szCs w:val="26"/>
        </w:rPr>
      </w:pPr>
    </w:p>
    <w:p w:rsidR="000C4923" w:rsidRDefault="000C4923" w:rsidP="000C4923">
      <w:pPr>
        <w:spacing w:line="240" w:lineRule="auto"/>
        <w:rPr>
          <w:rFonts w:cs="Arial"/>
          <w:sz w:val="26"/>
          <w:szCs w:val="26"/>
        </w:rPr>
      </w:pPr>
    </w:p>
    <w:p w:rsidR="00CF1052" w:rsidRDefault="00CF1052" w:rsidP="00CF1052">
      <w:pPr>
        <w:pStyle w:val="Listavistosa-nfasis11"/>
        <w:numPr>
          <w:ilvl w:val="1"/>
          <w:numId w:val="28"/>
        </w:numPr>
        <w:ind w:left="0" w:firstLine="0"/>
        <w:rPr>
          <w:rFonts w:cs="Arial"/>
          <w:sz w:val="26"/>
          <w:szCs w:val="26"/>
        </w:rPr>
      </w:pPr>
      <w:r>
        <w:rPr>
          <w:rFonts w:cs="Arial"/>
          <w:sz w:val="26"/>
          <w:szCs w:val="26"/>
        </w:rPr>
        <w:t>Con</w:t>
      </w:r>
      <w:r w:rsidRPr="00CF1052">
        <w:rPr>
          <w:rFonts w:cs="Arial"/>
          <w:sz w:val="26"/>
          <w:szCs w:val="26"/>
        </w:rPr>
        <w:t xml:space="preserve"> este propósito, el juez debe determinar el porcentaje de la gravedad o levedad de la afectación corporal o psicofísica, debidamente </w:t>
      </w:r>
      <w:r>
        <w:rPr>
          <w:rFonts w:cs="Arial"/>
          <w:sz w:val="26"/>
          <w:szCs w:val="26"/>
        </w:rPr>
        <w:t>acreditada</w:t>
      </w:r>
      <w:r w:rsidRPr="00CF1052">
        <w:rPr>
          <w:rFonts w:cs="Arial"/>
          <w:sz w:val="26"/>
          <w:szCs w:val="26"/>
        </w:rPr>
        <w:t xml:space="preserve"> dentro del proceso, relativa a los aspectos o componentes funcionales, biológicos y psíquicos del ser humano. </w:t>
      </w:r>
      <w:r w:rsidR="00CC22B8">
        <w:rPr>
          <w:rFonts w:cs="Arial"/>
          <w:sz w:val="26"/>
          <w:szCs w:val="26"/>
        </w:rPr>
        <w:t>Así mismo</w:t>
      </w:r>
      <w:r>
        <w:rPr>
          <w:rFonts w:cs="Arial"/>
          <w:sz w:val="26"/>
          <w:szCs w:val="26"/>
        </w:rPr>
        <w:t xml:space="preserve"> deberá </w:t>
      </w:r>
      <w:r w:rsidRPr="00CF1052">
        <w:rPr>
          <w:rFonts w:cs="Arial"/>
          <w:sz w:val="26"/>
          <w:szCs w:val="26"/>
        </w:rPr>
        <w:t>considerar</w:t>
      </w:r>
      <w:r>
        <w:rPr>
          <w:rFonts w:cs="Arial"/>
          <w:sz w:val="26"/>
          <w:szCs w:val="26"/>
        </w:rPr>
        <w:t>, como se dijo,</w:t>
      </w:r>
      <w:r w:rsidRPr="00CF1052">
        <w:rPr>
          <w:rFonts w:cs="Arial"/>
          <w:sz w:val="26"/>
          <w:szCs w:val="26"/>
        </w:rPr>
        <w:t xml:space="preserve"> las consecuencias </w:t>
      </w:r>
      <w:r>
        <w:rPr>
          <w:rFonts w:cs="Arial"/>
          <w:sz w:val="26"/>
          <w:szCs w:val="26"/>
        </w:rPr>
        <w:t xml:space="preserve">del hecho dañino sobre el comportamiento y el desempeño de la persona en su vida social, </w:t>
      </w:r>
      <w:r w:rsidR="000C4923">
        <w:rPr>
          <w:rFonts w:cs="Arial"/>
          <w:sz w:val="26"/>
          <w:szCs w:val="26"/>
        </w:rPr>
        <w:t xml:space="preserve">de acuerdo con variables como la </w:t>
      </w:r>
      <w:r w:rsidRPr="000C4923">
        <w:rPr>
          <w:rFonts w:cs="Arial"/>
          <w:sz w:val="26"/>
          <w:szCs w:val="26"/>
        </w:rPr>
        <w:t>pérdida o anormalidad de la estructura o función psicológica, fisiológica o anatómica (temporal o permanente)</w:t>
      </w:r>
      <w:r w:rsidR="000C4923">
        <w:rPr>
          <w:rFonts w:cs="Arial"/>
          <w:sz w:val="26"/>
          <w:szCs w:val="26"/>
        </w:rPr>
        <w:t>; l</w:t>
      </w:r>
      <w:r w:rsidRPr="000C4923">
        <w:rPr>
          <w:rFonts w:cs="Arial"/>
          <w:sz w:val="26"/>
          <w:szCs w:val="26"/>
        </w:rPr>
        <w:t xml:space="preserve">a anomalía, defecto o pérdida </w:t>
      </w:r>
      <w:r w:rsidR="000C4923">
        <w:rPr>
          <w:rFonts w:cs="Arial"/>
          <w:sz w:val="26"/>
          <w:szCs w:val="26"/>
        </w:rPr>
        <w:t>que se produzca</w:t>
      </w:r>
      <w:r w:rsidRPr="000C4923">
        <w:rPr>
          <w:rFonts w:cs="Arial"/>
          <w:sz w:val="26"/>
          <w:szCs w:val="26"/>
        </w:rPr>
        <w:t xml:space="preserve"> en un miembro, órgano, tejido u otr</w:t>
      </w:r>
      <w:r w:rsidR="000C4923">
        <w:rPr>
          <w:rFonts w:cs="Arial"/>
          <w:sz w:val="26"/>
          <w:szCs w:val="26"/>
        </w:rPr>
        <w:t>a estructura corporal o mental; l</w:t>
      </w:r>
      <w:r w:rsidRPr="000C4923">
        <w:rPr>
          <w:rFonts w:cs="Arial"/>
          <w:sz w:val="26"/>
          <w:szCs w:val="26"/>
        </w:rPr>
        <w:t>a exteriorización de un estado patológico que refleje pertur</w:t>
      </w:r>
      <w:r w:rsidR="000C4923">
        <w:rPr>
          <w:rFonts w:cs="Arial"/>
          <w:sz w:val="26"/>
          <w:szCs w:val="26"/>
        </w:rPr>
        <w:t>baciones al nivel de un órgano determinado; l</w:t>
      </w:r>
      <w:r w:rsidRPr="000C4923">
        <w:rPr>
          <w:rFonts w:cs="Arial"/>
          <w:sz w:val="26"/>
          <w:szCs w:val="26"/>
        </w:rPr>
        <w:t>a reversibilidad o ir</w:t>
      </w:r>
      <w:r w:rsidR="000C4923">
        <w:rPr>
          <w:rFonts w:cs="Arial"/>
          <w:sz w:val="26"/>
          <w:szCs w:val="26"/>
        </w:rPr>
        <w:t>reversibilidad de la patología acusada; l</w:t>
      </w:r>
      <w:r w:rsidRPr="000C4923">
        <w:rPr>
          <w:rFonts w:cs="Arial"/>
          <w:sz w:val="26"/>
          <w:szCs w:val="26"/>
        </w:rPr>
        <w:t>a restricción o ausencia de la capacidad para realizar u</w:t>
      </w:r>
      <w:r w:rsidR="000C4923">
        <w:rPr>
          <w:rFonts w:cs="Arial"/>
          <w:sz w:val="26"/>
          <w:szCs w:val="26"/>
        </w:rPr>
        <w:t xml:space="preserve">na actividad normal o rutinaria; </w:t>
      </w:r>
      <w:r w:rsidRPr="000C4923">
        <w:rPr>
          <w:rFonts w:cs="Arial"/>
          <w:sz w:val="26"/>
          <w:szCs w:val="26"/>
        </w:rPr>
        <w:t xml:space="preserve"> </w:t>
      </w:r>
      <w:r w:rsidR="000C4923">
        <w:rPr>
          <w:rFonts w:cs="Arial"/>
          <w:sz w:val="26"/>
          <w:szCs w:val="26"/>
        </w:rPr>
        <w:t>e</w:t>
      </w:r>
      <w:r w:rsidRPr="000C4923">
        <w:rPr>
          <w:rFonts w:cs="Arial"/>
          <w:sz w:val="26"/>
          <w:szCs w:val="26"/>
        </w:rPr>
        <w:t>xcesos en el desempeño y comportamiento dentro de un</w:t>
      </w:r>
      <w:r w:rsidR="000C4923">
        <w:rPr>
          <w:rFonts w:cs="Arial"/>
          <w:sz w:val="26"/>
          <w:szCs w:val="26"/>
        </w:rPr>
        <w:t>a actividad normal o rutinaria; l</w:t>
      </w:r>
      <w:r w:rsidRPr="000C4923">
        <w:rPr>
          <w:rFonts w:cs="Arial"/>
          <w:sz w:val="26"/>
          <w:szCs w:val="26"/>
        </w:rPr>
        <w:t>as limitaciones o impedimentos para el d</w:t>
      </w:r>
      <w:r w:rsidR="000C4923">
        <w:rPr>
          <w:rFonts w:cs="Arial"/>
          <w:sz w:val="26"/>
          <w:szCs w:val="26"/>
        </w:rPr>
        <w:t>esempeño de un rol determinado; l</w:t>
      </w:r>
      <w:r w:rsidRPr="000C4923">
        <w:rPr>
          <w:rFonts w:cs="Arial"/>
          <w:sz w:val="26"/>
          <w:szCs w:val="26"/>
        </w:rPr>
        <w:t>os factores socia</w:t>
      </w:r>
      <w:r w:rsidR="000C4923">
        <w:rPr>
          <w:rFonts w:cs="Arial"/>
          <w:sz w:val="26"/>
          <w:szCs w:val="26"/>
        </w:rPr>
        <w:t>les, culturales u ocupacionales;</w:t>
      </w:r>
      <w:r w:rsidRPr="000C4923">
        <w:rPr>
          <w:rFonts w:cs="Arial"/>
          <w:sz w:val="26"/>
          <w:szCs w:val="26"/>
        </w:rPr>
        <w:t xml:space="preserve"> </w:t>
      </w:r>
      <w:r w:rsidR="00650453">
        <w:rPr>
          <w:rFonts w:cs="Arial"/>
          <w:sz w:val="26"/>
          <w:szCs w:val="26"/>
        </w:rPr>
        <w:t>la edad, el sexo,</w:t>
      </w:r>
      <w:r w:rsidR="000C4923">
        <w:rPr>
          <w:rFonts w:cs="Arial"/>
          <w:sz w:val="26"/>
          <w:szCs w:val="26"/>
        </w:rPr>
        <w:t xml:space="preserve"> l</w:t>
      </w:r>
      <w:r w:rsidRPr="000C4923">
        <w:rPr>
          <w:rFonts w:cs="Arial"/>
          <w:sz w:val="26"/>
          <w:szCs w:val="26"/>
        </w:rPr>
        <w:t>as que tengan relación con la afectación de bienes placenteros, lúdic</w:t>
      </w:r>
      <w:r w:rsidR="00650453">
        <w:rPr>
          <w:rFonts w:cs="Arial"/>
          <w:sz w:val="26"/>
          <w:szCs w:val="26"/>
        </w:rPr>
        <w:t>os y agradables de la víctima y,</w:t>
      </w:r>
      <w:r w:rsidR="00CC22B8">
        <w:rPr>
          <w:rFonts w:cs="Arial"/>
          <w:sz w:val="26"/>
          <w:szCs w:val="26"/>
        </w:rPr>
        <w:t xml:space="preserve"> en general, las que se encuentren demostradas en el proceso.</w:t>
      </w:r>
    </w:p>
    <w:p w:rsidR="00CC22B8" w:rsidRDefault="00CC22B8" w:rsidP="00CC22B8">
      <w:pPr>
        <w:pStyle w:val="Listavistosa-nfasis11"/>
        <w:ind w:left="0"/>
        <w:rPr>
          <w:rFonts w:cs="Arial"/>
          <w:sz w:val="26"/>
          <w:szCs w:val="26"/>
        </w:rPr>
      </w:pPr>
    </w:p>
    <w:p w:rsidR="00CF1052" w:rsidRDefault="00CC22B8" w:rsidP="00CF1052">
      <w:pPr>
        <w:pStyle w:val="Listavistosa-nfasis11"/>
        <w:numPr>
          <w:ilvl w:val="1"/>
          <w:numId w:val="28"/>
        </w:numPr>
        <w:ind w:left="0" w:firstLine="0"/>
        <w:rPr>
          <w:rFonts w:cs="Arial"/>
          <w:sz w:val="26"/>
          <w:szCs w:val="26"/>
        </w:rPr>
      </w:pPr>
      <w:r>
        <w:rPr>
          <w:rFonts w:cs="Arial"/>
          <w:sz w:val="26"/>
          <w:szCs w:val="26"/>
        </w:rPr>
        <w:t>Empero, se indicó que e</w:t>
      </w:r>
      <w:r w:rsidR="00CF1052" w:rsidRPr="00CC22B8">
        <w:rPr>
          <w:rFonts w:cs="Arial"/>
          <w:sz w:val="26"/>
          <w:szCs w:val="26"/>
        </w:rPr>
        <w:t xml:space="preserve">n casos excepcionales, esto es, cuando existan circunstancias probadas de una mayor intensidad y </w:t>
      </w:r>
      <w:r w:rsidR="00650453">
        <w:rPr>
          <w:rFonts w:cs="Arial"/>
          <w:sz w:val="26"/>
          <w:szCs w:val="26"/>
        </w:rPr>
        <w:t xml:space="preserve">suma </w:t>
      </w:r>
      <w:r w:rsidR="00CF1052" w:rsidRPr="00CC22B8">
        <w:rPr>
          <w:rFonts w:cs="Arial"/>
          <w:sz w:val="26"/>
          <w:szCs w:val="26"/>
        </w:rPr>
        <w:t xml:space="preserve">gravedad del daño a la salud, podrá otorgarse una indemnización mayor a la señalada en la tabla anterior, sin que en tales casos el monto total de la </w:t>
      </w:r>
      <w:r>
        <w:rPr>
          <w:rFonts w:cs="Arial"/>
          <w:sz w:val="26"/>
          <w:szCs w:val="26"/>
        </w:rPr>
        <w:t>misma</w:t>
      </w:r>
      <w:r w:rsidR="00CF1052" w:rsidRPr="00CC22B8">
        <w:rPr>
          <w:rFonts w:cs="Arial"/>
          <w:sz w:val="26"/>
          <w:szCs w:val="26"/>
        </w:rPr>
        <w:t xml:space="preserve"> por este concepto pueda superar la cuantía equivalente a 400 </w:t>
      </w:r>
      <w:r>
        <w:rPr>
          <w:rFonts w:cs="Arial"/>
          <w:sz w:val="26"/>
          <w:szCs w:val="26"/>
        </w:rPr>
        <w:t>smlmv</w:t>
      </w:r>
      <w:r w:rsidR="00CF1052" w:rsidRPr="00CC22B8">
        <w:rPr>
          <w:rFonts w:cs="Arial"/>
          <w:sz w:val="26"/>
          <w:szCs w:val="26"/>
        </w:rPr>
        <w:t xml:space="preserve">. Este </w:t>
      </w:r>
      <w:r w:rsidR="00CF1052" w:rsidRPr="00CC22B8">
        <w:rPr>
          <w:rFonts w:cs="Arial"/>
          <w:i/>
          <w:sz w:val="26"/>
          <w:szCs w:val="26"/>
        </w:rPr>
        <w:t>quantum</w:t>
      </w:r>
      <w:r w:rsidR="00CF1052" w:rsidRPr="00CC22B8">
        <w:rPr>
          <w:rFonts w:cs="Arial"/>
          <w:sz w:val="26"/>
          <w:szCs w:val="26"/>
        </w:rPr>
        <w:t xml:space="preserve"> deberá motivarse por el juez y ser proporcional a la intensidad del daño, con aplicación de las mismas variables referidas.</w:t>
      </w:r>
    </w:p>
    <w:p w:rsidR="00CC22B8" w:rsidRPr="00CC22B8" w:rsidRDefault="00CC22B8" w:rsidP="00CC22B8">
      <w:pPr>
        <w:pStyle w:val="Listavistosa-nfasis11"/>
        <w:rPr>
          <w:rFonts w:cs="Arial"/>
          <w:sz w:val="26"/>
          <w:szCs w:val="26"/>
        </w:rPr>
      </w:pPr>
    </w:p>
    <w:p w:rsidR="00CF1052" w:rsidRPr="00F14C3D" w:rsidRDefault="000E6941" w:rsidP="00547C6C">
      <w:pPr>
        <w:pStyle w:val="Listavistosa-nfasis11"/>
        <w:numPr>
          <w:ilvl w:val="1"/>
          <w:numId w:val="28"/>
        </w:numPr>
        <w:ind w:left="0" w:firstLine="0"/>
        <w:rPr>
          <w:rFonts w:cs="Arial"/>
          <w:sz w:val="26"/>
          <w:szCs w:val="26"/>
        </w:rPr>
      </w:pPr>
      <w:r>
        <w:rPr>
          <w:rFonts w:cs="Arial"/>
          <w:sz w:val="26"/>
          <w:szCs w:val="26"/>
        </w:rPr>
        <w:t>En este caso</w:t>
      </w:r>
      <w:r w:rsidR="00013430">
        <w:rPr>
          <w:rFonts w:cs="Arial"/>
          <w:sz w:val="26"/>
          <w:szCs w:val="26"/>
        </w:rPr>
        <w:t>, está probado que la víctima es una mujer que en el momento de</w:t>
      </w:r>
      <w:r w:rsidR="005977C9">
        <w:rPr>
          <w:rFonts w:cs="Arial"/>
          <w:sz w:val="26"/>
          <w:szCs w:val="26"/>
        </w:rPr>
        <w:t xml:space="preserve"> los hechos contaba con 18 años;</w:t>
      </w:r>
      <w:r w:rsidR="00013430">
        <w:rPr>
          <w:rFonts w:cs="Arial"/>
          <w:sz w:val="26"/>
          <w:szCs w:val="26"/>
        </w:rPr>
        <w:t xml:space="preserve"> que el inicio de su vida sexual quedó </w:t>
      </w:r>
      <w:r w:rsidR="005977C9">
        <w:rPr>
          <w:rFonts w:cs="Arial"/>
          <w:sz w:val="26"/>
          <w:szCs w:val="26"/>
        </w:rPr>
        <w:t>marcado por</w:t>
      </w:r>
      <w:r w:rsidR="00013430">
        <w:rPr>
          <w:rFonts w:cs="Arial"/>
          <w:sz w:val="26"/>
          <w:szCs w:val="26"/>
        </w:rPr>
        <w:t xml:space="preserve"> un evento</w:t>
      </w:r>
      <w:r w:rsidR="005977C9">
        <w:rPr>
          <w:rFonts w:cs="Arial"/>
          <w:sz w:val="26"/>
          <w:szCs w:val="26"/>
        </w:rPr>
        <w:t xml:space="preserve"> sumamente</w:t>
      </w:r>
      <w:r w:rsidR="00013430">
        <w:rPr>
          <w:rFonts w:cs="Arial"/>
          <w:sz w:val="26"/>
          <w:szCs w:val="26"/>
        </w:rPr>
        <w:t xml:space="preserve"> traum</w:t>
      </w:r>
      <w:r w:rsidR="00650453">
        <w:rPr>
          <w:rFonts w:cs="Arial"/>
          <w:sz w:val="26"/>
          <w:szCs w:val="26"/>
        </w:rPr>
        <w:t>ático,</w:t>
      </w:r>
      <w:r w:rsidR="005977C9">
        <w:rPr>
          <w:rFonts w:cs="Arial"/>
          <w:sz w:val="26"/>
          <w:szCs w:val="26"/>
        </w:rPr>
        <w:t xml:space="preserve"> y que este hecho violento tuvo </w:t>
      </w:r>
      <w:r w:rsidR="005977C9" w:rsidRPr="005977C9">
        <w:rPr>
          <w:rFonts w:cs="Arial"/>
          <w:sz w:val="26"/>
          <w:szCs w:val="26"/>
        </w:rPr>
        <w:t xml:space="preserve">repercusiones sobre su </w:t>
      </w:r>
      <w:r w:rsidR="005977C9">
        <w:rPr>
          <w:rFonts w:cs="Arial"/>
          <w:sz w:val="26"/>
          <w:szCs w:val="26"/>
        </w:rPr>
        <w:t>desarrollo</w:t>
      </w:r>
      <w:r w:rsidR="005977C9" w:rsidRPr="005977C9">
        <w:rPr>
          <w:rFonts w:cs="Arial"/>
          <w:sz w:val="26"/>
          <w:szCs w:val="26"/>
        </w:rPr>
        <w:t xml:space="preserve"> afectiv</w:t>
      </w:r>
      <w:r w:rsidR="005977C9">
        <w:rPr>
          <w:rFonts w:cs="Arial"/>
          <w:sz w:val="26"/>
          <w:szCs w:val="26"/>
        </w:rPr>
        <w:t>o</w:t>
      </w:r>
      <w:r w:rsidR="005977C9" w:rsidRPr="005977C9">
        <w:rPr>
          <w:rFonts w:cs="Arial"/>
          <w:sz w:val="26"/>
          <w:szCs w:val="26"/>
        </w:rPr>
        <w:t xml:space="preserve">, </w:t>
      </w:r>
      <w:r w:rsidR="002B04E9">
        <w:rPr>
          <w:rFonts w:cs="Arial"/>
          <w:sz w:val="26"/>
          <w:szCs w:val="26"/>
        </w:rPr>
        <w:t>psíquico y emocional</w:t>
      </w:r>
      <w:r w:rsidR="005977C9">
        <w:rPr>
          <w:rFonts w:cs="Arial"/>
          <w:sz w:val="26"/>
          <w:szCs w:val="26"/>
        </w:rPr>
        <w:t xml:space="preserve"> posterior. E</w:t>
      </w:r>
      <w:r w:rsidR="005977C9" w:rsidRPr="005977C9">
        <w:rPr>
          <w:rFonts w:cs="Arial"/>
          <w:sz w:val="26"/>
          <w:szCs w:val="26"/>
        </w:rPr>
        <w:t xml:space="preserve">n el examen de 15 de abril de 2003, </w:t>
      </w:r>
      <w:r w:rsidR="005977C9">
        <w:rPr>
          <w:rFonts w:cs="Arial"/>
          <w:sz w:val="26"/>
          <w:szCs w:val="26"/>
        </w:rPr>
        <w:t xml:space="preserve">Medicina Legal explicó las consecuencias </w:t>
      </w:r>
      <w:r w:rsidR="00F14C3D">
        <w:rPr>
          <w:rFonts w:cs="Arial"/>
          <w:sz w:val="26"/>
          <w:szCs w:val="26"/>
        </w:rPr>
        <w:t>que</w:t>
      </w:r>
      <w:r w:rsidR="005977C9">
        <w:rPr>
          <w:rFonts w:cs="Arial"/>
          <w:sz w:val="26"/>
          <w:szCs w:val="26"/>
        </w:rPr>
        <w:t xml:space="preserve"> la violencia sexual </w:t>
      </w:r>
      <w:r w:rsidR="00F14C3D">
        <w:rPr>
          <w:rFonts w:cs="Arial"/>
          <w:sz w:val="26"/>
          <w:szCs w:val="26"/>
        </w:rPr>
        <w:t xml:space="preserve">produjo </w:t>
      </w:r>
      <w:r w:rsidR="005977C9">
        <w:rPr>
          <w:rFonts w:cs="Arial"/>
          <w:sz w:val="26"/>
          <w:szCs w:val="26"/>
        </w:rPr>
        <w:t>sobre la vida de Mónica Marisol Rodr</w:t>
      </w:r>
      <w:r w:rsidR="00F14C3D">
        <w:rPr>
          <w:rFonts w:cs="Arial"/>
          <w:sz w:val="26"/>
          <w:szCs w:val="26"/>
        </w:rPr>
        <w:t>íguez, en estos términos</w:t>
      </w:r>
      <w:r w:rsidR="005977C9">
        <w:rPr>
          <w:rFonts w:cs="Arial"/>
          <w:sz w:val="26"/>
          <w:szCs w:val="26"/>
        </w:rPr>
        <w:t xml:space="preserve"> </w:t>
      </w:r>
      <w:r w:rsidR="005977C9" w:rsidRPr="005977C9">
        <w:rPr>
          <w:rFonts w:cs="Arial"/>
          <w:sz w:val="22"/>
          <w:szCs w:val="22"/>
        </w:rPr>
        <w:t>(f. 9</w:t>
      </w:r>
      <w:r w:rsidR="00F14C3D">
        <w:rPr>
          <w:rFonts w:cs="Arial"/>
          <w:sz w:val="22"/>
          <w:szCs w:val="22"/>
        </w:rPr>
        <w:t>2</w:t>
      </w:r>
      <w:r w:rsidR="005977C9" w:rsidRPr="005977C9">
        <w:rPr>
          <w:rFonts w:cs="Arial"/>
          <w:sz w:val="22"/>
          <w:szCs w:val="22"/>
        </w:rPr>
        <w:t>-9</w:t>
      </w:r>
      <w:r w:rsidR="007876B2">
        <w:rPr>
          <w:rFonts w:cs="Arial"/>
          <w:sz w:val="22"/>
          <w:szCs w:val="22"/>
        </w:rPr>
        <w:t>7</w:t>
      </w:r>
      <w:r w:rsidR="005977C9" w:rsidRPr="005977C9">
        <w:rPr>
          <w:rFonts w:cs="Arial"/>
          <w:sz w:val="22"/>
          <w:szCs w:val="22"/>
        </w:rPr>
        <w:t>, c. 2)</w:t>
      </w:r>
      <w:r w:rsidR="00F14C3D">
        <w:rPr>
          <w:rFonts w:cs="Arial"/>
          <w:sz w:val="22"/>
          <w:szCs w:val="22"/>
        </w:rPr>
        <w:t>:</w:t>
      </w:r>
    </w:p>
    <w:p w:rsidR="00F14C3D" w:rsidRPr="00F14C3D" w:rsidRDefault="00F14C3D" w:rsidP="00F14C3D">
      <w:pPr>
        <w:pStyle w:val="Listavistosa-nfasis11"/>
        <w:ind w:left="0"/>
        <w:rPr>
          <w:rFonts w:cs="Arial"/>
          <w:sz w:val="26"/>
          <w:szCs w:val="26"/>
        </w:rPr>
      </w:pPr>
    </w:p>
    <w:p w:rsidR="00F14C3D" w:rsidRDefault="00F14C3D" w:rsidP="00013430">
      <w:pPr>
        <w:suppressAutoHyphens w:val="0"/>
        <w:overflowPunct/>
        <w:autoSpaceDE/>
        <w:spacing w:line="240" w:lineRule="auto"/>
        <w:ind w:left="709" w:right="618"/>
        <w:textAlignment w:val="auto"/>
        <w:rPr>
          <w:rFonts w:eastAsia="Times New Roman" w:cs="Arial"/>
          <w:i/>
          <w:szCs w:val="26"/>
          <w:lang w:val="es-ES" w:eastAsia="es-ES"/>
        </w:rPr>
      </w:pPr>
      <w:r>
        <w:rPr>
          <w:rFonts w:eastAsia="Times New Roman" w:cs="Arial"/>
          <w:i/>
          <w:szCs w:val="26"/>
          <w:lang w:val="es-ES" w:eastAsia="es-ES"/>
        </w:rPr>
        <w:t xml:space="preserve">Se centra la evaluación en obtener información de su estado de salud mental posterior a los hechos, encontrándose que </w:t>
      </w:r>
      <w:r w:rsidRPr="002B04E9">
        <w:rPr>
          <w:rFonts w:eastAsia="Times New Roman" w:cs="Arial"/>
          <w:i/>
          <w:szCs w:val="26"/>
          <w:u w:val="single"/>
          <w:lang w:val="es-ES" w:eastAsia="es-ES"/>
        </w:rPr>
        <w:t xml:space="preserve">la </w:t>
      </w:r>
      <w:r w:rsidR="00F54607" w:rsidRPr="002B04E9">
        <w:rPr>
          <w:rFonts w:eastAsia="Times New Roman" w:cs="Arial"/>
          <w:i/>
          <w:szCs w:val="26"/>
          <w:u w:val="single"/>
          <w:lang w:val="es-ES" w:eastAsia="es-ES"/>
        </w:rPr>
        <w:t>examinada presenta una persistente idea persecutoria que le impide su autonomía, aislamiento social, inseguridad marcada, al punto que suspendió sus estudios, pesadillas con la situación traumática (momento en que era violada), durante el día con frecuencia experimenta recuadros amenazantes que la hacen entrar en pánico, el evento truncó todas sus expectativas de realizar un futuro, el discurso de la examinada es lacónico y acentuadamente depresivo, en ocasiones experimenta ideación de desesperanza y deseos de morirse, situación que pone en riesgo a la examinada si no se da manejo psiquiátrico apropiado</w:t>
      </w:r>
      <w:r w:rsidR="00F54607">
        <w:rPr>
          <w:rFonts w:eastAsia="Times New Roman" w:cs="Arial"/>
          <w:i/>
          <w:szCs w:val="26"/>
          <w:lang w:val="es-ES" w:eastAsia="es-ES"/>
        </w:rPr>
        <w:t>.</w:t>
      </w:r>
    </w:p>
    <w:p w:rsidR="00F54607" w:rsidRDefault="00F54607" w:rsidP="00013430">
      <w:pPr>
        <w:suppressAutoHyphens w:val="0"/>
        <w:overflowPunct/>
        <w:autoSpaceDE/>
        <w:spacing w:line="240" w:lineRule="auto"/>
        <w:ind w:left="709" w:right="618"/>
        <w:textAlignment w:val="auto"/>
        <w:rPr>
          <w:rFonts w:eastAsia="Times New Roman" w:cs="Arial"/>
          <w:i/>
          <w:szCs w:val="26"/>
          <w:lang w:val="es-ES" w:eastAsia="es-ES"/>
        </w:rPr>
      </w:pPr>
    </w:p>
    <w:p w:rsidR="00F54607" w:rsidRDefault="00F54607" w:rsidP="00013430">
      <w:pPr>
        <w:suppressAutoHyphens w:val="0"/>
        <w:overflowPunct/>
        <w:autoSpaceDE/>
        <w:spacing w:line="240" w:lineRule="auto"/>
        <w:ind w:left="709" w:right="618"/>
        <w:textAlignment w:val="auto"/>
        <w:rPr>
          <w:rFonts w:eastAsia="Times New Roman" w:cs="Arial"/>
          <w:i/>
          <w:szCs w:val="26"/>
          <w:lang w:val="es-ES" w:eastAsia="es-ES"/>
        </w:rPr>
      </w:pPr>
      <w:r>
        <w:rPr>
          <w:rFonts w:eastAsia="Times New Roman" w:cs="Arial"/>
          <w:i/>
          <w:szCs w:val="26"/>
          <w:lang w:val="es-ES" w:eastAsia="es-ES"/>
        </w:rPr>
        <w:t>En la actualidad presenta tristeza</w:t>
      </w:r>
      <w:r w:rsidR="00396F42">
        <w:rPr>
          <w:rFonts w:eastAsia="Times New Roman" w:cs="Arial"/>
          <w:i/>
          <w:szCs w:val="26"/>
          <w:lang w:val="es-ES" w:eastAsia="es-ES"/>
        </w:rPr>
        <w:t>, desá</w:t>
      </w:r>
      <w:r>
        <w:rPr>
          <w:rFonts w:eastAsia="Times New Roman" w:cs="Arial"/>
          <w:i/>
          <w:szCs w:val="26"/>
          <w:lang w:val="es-ES" w:eastAsia="es-ES"/>
        </w:rPr>
        <w:t>nimo, desmotivación, pérdida del interés, se niega a colaborar con el examen mental y la entrevista siquiátrica para no revivir los momentos difíciles que hace cuatro años experimentó, la actitud de la examinada es entendible a la luz de la psiquiatría cl</w:t>
      </w:r>
      <w:r w:rsidR="002B04E9">
        <w:rPr>
          <w:rFonts w:eastAsia="Times New Roman" w:cs="Arial"/>
          <w:i/>
          <w:szCs w:val="26"/>
          <w:lang w:val="es-ES" w:eastAsia="es-ES"/>
        </w:rPr>
        <w:t xml:space="preserve">ínica. </w:t>
      </w:r>
      <w:r w:rsidR="002B04E9" w:rsidRPr="002B04E9">
        <w:rPr>
          <w:rFonts w:eastAsia="Times New Roman" w:cs="Arial"/>
          <w:szCs w:val="26"/>
          <w:lang w:val="es-ES" w:eastAsia="es-ES"/>
        </w:rPr>
        <w:t>(...)</w:t>
      </w:r>
    </w:p>
    <w:p w:rsidR="002B04E9" w:rsidRDefault="002B04E9" w:rsidP="00013430">
      <w:pPr>
        <w:suppressAutoHyphens w:val="0"/>
        <w:overflowPunct/>
        <w:autoSpaceDE/>
        <w:spacing w:line="240" w:lineRule="auto"/>
        <w:ind w:left="709" w:right="618"/>
        <w:textAlignment w:val="auto"/>
        <w:rPr>
          <w:rFonts w:eastAsia="Times New Roman" w:cs="Arial"/>
          <w:i/>
          <w:szCs w:val="26"/>
          <w:lang w:val="es-ES" w:eastAsia="es-ES"/>
        </w:rPr>
      </w:pPr>
    </w:p>
    <w:p w:rsidR="00013430" w:rsidRPr="00F17C25" w:rsidRDefault="00013430" w:rsidP="00013430">
      <w:pPr>
        <w:suppressAutoHyphens w:val="0"/>
        <w:overflowPunct/>
        <w:autoSpaceDE/>
        <w:spacing w:line="240" w:lineRule="auto"/>
        <w:ind w:left="709" w:right="618"/>
        <w:textAlignment w:val="auto"/>
        <w:rPr>
          <w:rFonts w:eastAsia="Times New Roman" w:cs="Arial"/>
          <w:i/>
          <w:szCs w:val="26"/>
          <w:lang w:val="es-ES" w:eastAsia="es-ES"/>
        </w:rPr>
      </w:pPr>
      <w:r w:rsidRPr="00F17C25">
        <w:rPr>
          <w:rFonts w:eastAsia="Times New Roman" w:cs="Arial"/>
          <w:i/>
          <w:szCs w:val="26"/>
          <w:lang w:val="es-ES" w:eastAsia="es-ES"/>
        </w:rPr>
        <w:t xml:space="preserve">Las víctimas de agresión sexual dan respuestas diferentes pudiendo ir desde una simple reacción de estrés agudo con remisión en pocas semanas hasta la conformación de un desorden psiquiátrico severo permanente con frecuentes recaídas. </w:t>
      </w:r>
      <w:r w:rsidRPr="00F54607">
        <w:rPr>
          <w:rFonts w:eastAsia="Times New Roman" w:cs="Arial"/>
          <w:i/>
          <w:szCs w:val="26"/>
          <w:lang w:val="es-ES" w:eastAsia="es-ES"/>
        </w:rPr>
        <w:t>En el caso de la examinada Mónica Marisol Rodríguez Bustamante dejó como secuela un trastorno de estrés postraumático con síntomas depresivos severos, que han llevado a una pérdida del funcionamiento general de la examinada</w:t>
      </w:r>
      <w:r w:rsidRPr="00F17C25">
        <w:rPr>
          <w:rFonts w:eastAsia="Times New Roman" w:cs="Arial"/>
          <w:i/>
          <w:szCs w:val="26"/>
          <w:lang w:val="es-ES" w:eastAsia="es-ES"/>
        </w:rPr>
        <w:t>.</w:t>
      </w:r>
    </w:p>
    <w:p w:rsidR="00013430" w:rsidRPr="00F17C25" w:rsidRDefault="00013430" w:rsidP="00013430">
      <w:pPr>
        <w:suppressAutoHyphens w:val="0"/>
        <w:overflowPunct/>
        <w:autoSpaceDE/>
        <w:spacing w:line="240" w:lineRule="auto"/>
        <w:ind w:left="709" w:right="618"/>
        <w:textAlignment w:val="auto"/>
        <w:rPr>
          <w:rFonts w:eastAsia="Times New Roman" w:cs="Arial"/>
          <w:i/>
          <w:szCs w:val="26"/>
          <w:lang w:val="es-ES" w:eastAsia="es-ES"/>
        </w:rPr>
      </w:pPr>
    </w:p>
    <w:p w:rsidR="00013430" w:rsidRPr="00F17C25" w:rsidRDefault="00013430" w:rsidP="00013430">
      <w:pPr>
        <w:suppressAutoHyphens w:val="0"/>
        <w:overflowPunct/>
        <w:autoSpaceDE/>
        <w:spacing w:line="240" w:lineRule="auto"/>
        <w:ind w:left="709" w:right="618"/>
        <w:textAlignment w:val="auto"/>
        <w:rPr>
          <w:rFonts w:eastAsia="Times New Roman" w:cs="Arial"/>
          <w:i/>
          <w:szCs w:val="26"/>
          <w:lang w:val="es-ES" w:eastAsia="es-ES"/>
        </w:rPr>
      </w:pPr>
      <w:r w:rsidRPr="00F54607">
        <w:rPr>
          <w:rFonts w:eastAsia="Times New Roman" w:cs="Arial"/>
          <w:i/>
          <w:szCs w:val="26"/>
          <w:u w:val="single"/>
          <w:lang w:val="es-ES" w:eastAsia="es-ES"/>
        </w:rPr>
        <w:t>Los traumas que ocasiona este tipo de estresor psicosocial catalogado como catastrófico van desde una reacción de estrés agudo con recuperación total hasta un cuadro trastorno de estrés postraumático caracterizado por un embotamiento afectivo, alteraciones en el contenido del pensamiento y conductas de aislamiento, pérdida de la capacidad para hacer una buena introspección y repercusiones en el funcionamiento social, como ocurre en el caso de la examinada Mónica Marisol Rodríguez Bustamante</w:t>
      </w:r>
      <w:r w:rsidRPr="00F17C25">
        <w:rPr>
          <w:rFonts w:eastAsia="Times New Roman" w:cs="Arial"/>
          <w:i/>
          <w:szCs w:val="26"/>
          <w:lang w:val="es-ES" w:eastAsia="es-ES"/>
        </w:rPr>
        <w:t xml:space="preserve">, otras víctimas harán cuadros diferentes, algunos de los cuales son tan severos que pueden desencadenar una regresión psicótica con desorganización del pensamiento, afecto y conducta. No hay una reacción única y específica, cada ser humano víctima de este tipo de estresor psicosocial desarrollará un cuadro clínico dependiendo de las defensas bio-psicosociales con las que cuente y del manejo que se dé desde el mismo momento del evento traumático (apoyo psiquiátrico). </w:t>
      </w:r>
      <w:r w:rsidRPr="00F17C25">
        <w:rPr>
          <w:rFonts w:eastAsia="Times New Roman" w:cs="Arial"/>
          <w:szCs w:val="26"/>
          <w:lang w:val="es-ES" w:eastAsia="es-ES"/>
        </w:rPr>
        <w:t>(...)</w:t>
      </w:r>
    </w:p>
    <w:p w:rsidR="00013430" w:rsidRPr="00F17C25" w:rsidRDefault="00013430" w:rsidP="00013430">
      <w:pPr>
        <w:suppressAutoHyphens w:val="0"/>
        <w:overflowPunct/>
        <w:autoSpaceDE/>
        <w:spacing w:line="240" w:lineRule="auto"/>
        <w:ind w:left="709" w:right="618"/>
        <w:textAlignment w:val="auto"/>
        <w:rPr>
          <w:rFonts w:eastAsia="Times New Roman" w:cs="Arial"/>
          <w:i/>
          <w:szCs w:val="26"/>
          <w:lang w:val="es-ES" w:eastAsia="es-ES"/>
        </w:rPr>
      </w:pPr>
    </w:p>
    <w:p w:rsidR="00013430" w:rsidRDefault="00013430" w:rsidP="00013430">
      <w:pPr>
        <w:spacing w:line="240" w:lineRule="auto"/>
        <w:ind w:left="709" w:right="618"/>
        <w:rPr>
          <w:rFonts w:cs="Arial"/>
          <w:sz w:val="26"/>
          <w:szCs w:val="26"/>
        </w:rPr>
      </w:pPr>
      <w:r w:rsidRPr="00964B29">
        <w:rPr>
          <w:rFonts w:eastAsia="Times New Roman" w:cs="Arial"/>
          <w:i/>
          <w:szCs w:val="26"/>
          <w:u w:val="single"/>
          <w:lang w:val="es-ES" w:eastAsia="es-ES"/>
        </w:rPr>
        <w:t>Este tipo de agresión produce repercusiones en el orden biológico, personal, social, en el caso de la examinada Mónica Marisol Rodríguez Bustamante, en lo personal, le ha dejado como secuela un trastorno de estrés postraumático con síntomas depresivos</w:t>
      </w:r>
      <w:r w:rsidRPr="00964B29">
        <w:rPr>
          <w:rFonts w:eastAsia="Times New Roman" w:cs="Arial"/>
          <w:i/>
          <w:szCs w:val="26"/>
          <w:lang w:val="es-ES" w:eastAsia="es-ES"/>
        </w:rPr>
        <w:t>, en lo personal ha reducido su calidad de vida a un pensamiento cargado de inseguridad, miedos, rabia y en lo social ha desencadenado un ai</w:t>
      </w:r>
      <w:r>
        <w:rPr>
          <w:rFonts w:eastAsia="Times New Roman" w:cs="Arial"/>
          <w:i/>
          <w:szCs w:val="26"/>
          <w:lang w:val="es-ES" w:eastAsia="es-ES"/>
        </w:rPr>
        <w:t xml:space="preserve">slamiento social con conductas </w:t>
      </w:r>
      <w:r w:rsidRPr="00964B29">
        <w:rPr>
          <w:rFonts w:eastAsia="Times New Roman" w:cs="Arial"/>
          <w:i/>
          <w:szCs w:val="26"/>
          <w:lang w:val="es-ES" w:eastAsia="es-ES"/>
        </w:rPr>
        <w:t>seudo</w:t>
      </w:r>
      <w:r>
        <w:rPr>
          <w:rFonts w:eastAsia="Times New Roman" w:cs="Arial"/>
          <w:i/>
          <w:szCs w:val="26"/>
          <w:lang w:val="es-ES" w:eastAsia="es-ES"/>
        </w:rPr>
        <w:t xml:space="preserve"> </w:t>
      </w:r>
      <w:r w:rsidRPr="00964B29">
        <w:rPr>
          <w:rFonts w:eastAsia="Times New Roman" w:cs="Arial"/>
          <w:i/>
          <w:szCs w:val="26"/>
          <w:lang w:val="es-ES" w:eastAsia="es-ES"/>
        </w:rPr>
        <w:t>regresivas, la examinada solo siente seguridad en su entorno familiar y cuidada por su madre (como cuando se es un niño indefenso).</w:t>
      </w:r>
      <w:r>
        <w:rPr>
          <w:rFonts w:eastAsia="Times New Roman" w:cs="Arial"/>
          <w:i/>
          <w:szCs w:val="26"/>
          <w:lang w:val="es-ES" w:eastAsia="es-ES"/>
        </w:rPr>
        <w:t xml:space="preserve"> </w:t>
      </w:r>
      <w:r>
        <w:rPr>
          <w:rFonts w:eastAsia="Times New Roman" w:cs="Arial"/>
          <w:szCs w:val="26"/>
          <w:lang w:val="es-ES" w:eastAsia="es-ES"/>
        </w:rPr>
        <w:t>Subraya la Sala.</w:t>
      </w:r>
    </w:p>
    <w:p w:rsidR="00013430" w:rsidRDefault="00013430" w:rsidP="00547C6C">
      <w:pPr>
        <w:rPr>
          <w:rFonts w:cs="Arial"/>
          <w:sz w:val="26"/>
          <w:szCs w:val="26"/>
        </w:rPr>
      </w:pPr>
    </w:p>
    <w:p w:rsidR="00AC17DC" w:rsidRDefault="00AC17DC" w:rsidP="00AC17DC">
      <w:pPr>
        <w:pStyle w:val="Listavistosa-nfasis11"/>
        <w:numPr>
          <w:ilvl w:val="1"/>
          <w:numId w:val="28"/>
        </w:numPr>
        <w:ind w:left="0" w:firstLine="0"/>
        <w:rPr>
          <w:rFonts w:cs="Arial"/>
          <w:sz w:val="26"/>
          <w:szCs w:val="26"/>
        </w:rPr>
      </w:pPr>
      <w:r>
        <w:rPr>
          <w:rFonts w:cs="Arial"/>
          <w:sz w:val="26"/>
          <w:szCs w:val="26"/>
        </w:rPr>
        <w:t xml:space="preserve">Por lo anterior, le asiste razón a la parte actora cuando alega que la agresión sexual redujo las posibilidades de Mónica Marisol Rodríguez de realizar actividades de vital importancia como gozar de una relación de pareja armoniosa y de una vida familiar y social tranquila </w:t>
      </w:r>
      <w:r w:rsidRPr="00AC17DC">
        <w:rPr>
          <w:rFonts w:cs="Arial"/>
          <w:sz w:val="22"/>
          <w:szCs w:val="22"/>
        </w:rPr>
        <w:t>(f. 6-7, c. 1)</w:t>
      </w:r>
      <w:r>
        <w:rPr>
          <w:rFonts w:cs="Arial"/>
          <w:sz w:val="26"/>
          <w:szCs w:val="26"/>
        </w:rPr>
        <w:t>.</w:t>
      </w:r>
    </w:p>
    <w:p w:rsidR="00AC17DC" w:rsidRDefault="00AC17DC" w:rsidP="00AC17DC">
      <w:pPr>
        <w:pStyle w:val="Listavistosa-nfasis11"/>
        <w:ind w:left="0"/>
        <w:rPr>
          <w:rFonts w:cs="Arial"/>
          <w:sz w:val="26"/>
          <w:szCs w:val="26"/>
        </w:rPr>
      </w:pPr>
    </w:p>
    <w:p w:rsidR="006D3BDC" w:rsidRPr="006D3BDC" w:rsidRDefault="006D3BDC" w:rsidP="006D3BDC">
      <w:pPr>
        <w:pStyle w:val="Listavistosa-nfasis11"/>
        <w:numPr>
          <w:ilvl w:val="1"/>
          <w:numId w:val="28"/>
        </w:numPr>
        <w:ind w:left="0" w:firstLine="0"/>
        <w:rPr>
          <w:rFonts w:cs="Arial"/>
          <w:sz w:val="26"/>
          <w:szCs w:val="26"/>
        </w:rPr>
      </w:pPr>
      <w:r w:rsidRPr="006D3BDC">
        <w:rPr>
          <w:rFonts w:cs="Arial"/>
          <w:sz w:val="26"/>
          <w:szCs w:val="26"/>
        </w:rPr>
        <w:t xml:space="preserve">La </w:t>
      </w:r>
      <w:r w:rsidRPr="006D3BDC">
        <w:rPr>
          <w:rFonts w:cs="Arial"/>
          <w:sz w:val="26"/>
          <w:szCs w:val="26"/>
          <w:lang w:val="es-ES"/>
        </w:rPr>
        <w:t>violación sexual es, desde luego, una experiencia sumamente traumática que tiene severas consecuencias y causa gran daño físico y psicológico, que deja a la víctima humillada física y emocionalmente</w:t>
      </w:r>
      <w:r w:rsidRPr="005250BE">
        <w:rPr>
          <w:vertAlign w:val="superscript"/>
          <w:lang w:val="es-ES"/>
        </w:rPr>
        <w:footnoteReference w:id="85"/>
      </w:r>
      <w:r w:rsidRPr="006D3BDC">
        <w:rPr>
          <w:rFonts w:cs="Arial"/>
          <w:sz w:val="26"/>
          <w:szCs w:val="26"/>
          <w:lang w:val="es-ES"/>
        </w:rPr>
        <w:t>. E</w:t>
      </w:r>
      <w:r w:rsidRPr="006D3BDC">
        <w:rPr>
          <w:rFonts w:cs="Arial"/>
          <w:bCs/>
          <w:sz w:val="26"/>
          <w:szCs w:val="26"/>
          <w:lang w:val="es-ES"/>
        </w:rPr>
        <w:t>l abuso sexual, además de constituir una violación de la integridad física y psicológica del ser humano, supone un ultraje deliberado a su dignidad</w:t>
      </w:r>
      <w:r w:rsidRPr="005250BE">
        <w:rPr>
          <w:bCs/>
          <w:vertAlign w:val="superscript"/>
          <w:lang w:val="es-ES"/>
        </w:rPr>
        <w:footnoteReference w:id="86"/>
      </w:r>
      <w:r w:rsidRPr="006D3BDC">
        <w:rPr>
          <w:rFonts w:cs="Arial"/>
          <w:bCs/>
          <w:sz w:val="26"/>
          <w:szCs w:val="26"/>
          <w:lang w:val="es-ES"/>
        </w:rPr>
        <w:t xml:space="preserve">, </w:t>
      </w:r>
      <w:r w:rsidRPr="006D3BDC">
        <w:rPr>
          <w:rFonts w:cs="Arial"/>
          <w:sz w:val="26"/>
          <w:szCs w:val="26"/>
          <w:lang w:val="es-ES"/>
        </w:rPr>
        <w:t>difícilmente superable por el paso del tiempo</w:t>
      </w:r>
      <w:r w:rsidRPr="005250BE">
        <w:rPr>
          <w:vertAlign w:val="superscript"/>
          <w:lang w:val="es-ES"/>
        </w:rPr>
        <w:footnoteReference w:id="87"/>
      </w:r>
      <w:r w:rsidRPr="006D3BDC">
        <w:rPr>
          <w:rFonts w:cs="Arial"/>
          <w:sz w:val="26"/>
          <w:szCs w:val="26"/>
          <w:lang w:val="es-ES"/>
        </w:rPr>
        <w:t xml:space="preserve">. Al respecto, el Grupo de Memoria Histórica, en su informe general sobre el conflicto armado en Colombia, titulado </w:t>
      </w:r>
      <w:r w:rsidRPr="006D3BDC">
        <w:rPr>
          <w:i/>
          <w:sz w:val="26"/>
          <w:szCs w:val="26"/>
        </w:rPr>
        <w:t>¡Basta ya!</w:t>
      </w:r>
      <w:r w:rsidRPr="006D3BDC">
        <w:rPr>
          <w:rFonts w:cs="Arial"/>
          <w:sz w:val="26"/>
          <w:szCs w:val="26"/>
          <w:lang w:val="es-ES"/>
        </w:rPr>
        <w:t>, manifestó:</w:t>
      </w:r>
    </w:p>
    <w:p w:rsidR="006D3BDC" w:rsidRDefault="006D3BDC" w:rsidP="006D3BDC">
      <w:pPr>
        <w:pStyle w:val="Listavistosa-nfasis11"/>
        <w:ind w:left="0"/>
        <w:rPr>
          <w:rFonts w:cs="Arial"/>
          <w:sz w:val="26"/>
          <w:szCs w:val="26"/>
        </w:rPr>
      </w:pPr>
    </w:p>
    <w:p w:rsidR="006D3BDC" w:rsidRPr="008E60C8" w:rsidRDefault="006D3BDC" w:rsidP="006D3BDC">
      <w:pPr>
        <w:pStyle w:val="Listavistosa-nfasis11"/>
        <w:spacing w:line="240" w:lineRule="auto"/>
        <w:ind w:left="709" w:right="618"/>
        <w:rPr>
          <w:rFonts w:cs="Arial"/>
          <w:i/>
          <w:szCs w:val="24"/>
        </w:rPr>
      </w:pPr>
      <w:r w:rsidRPr="008E60C8">
        <w:rPr>
          <w:rFonts w:cs="Arial"/>
          <w:i/>
          <w:szCs w:val="24"/>
        </w:rPr>
        <w:t xml:space="preserve">La violencia sexual afecta los sentimientos, las emociones y las percepciones de las víctimas, lesiona sus creencias y sistemas básicos de seguridad y confianza, e incide en la transformación de sus conductas, valores, roles y proyectos de vida. </w:t>
      </w:r>
      <w:r w:rsidRPr="00DA493C">
        <w:rPr>
          <w:rFonts w:cs="Arial"/>
          <w:szCs w:val="24"/>
        </w:rPr>
        <w:t>(...)</w:t>
      </w:r>
      <w:r>
        <w:rPr>
          <w:rFonts w:cs="Arial"/>
          <w:i/>
          <w:szCs w:val="24"/>
        </w:rPr>
        <w:t xml:space="preserve"> Estos sentimientos resultan mortificantes y conducen a un aislamiento que deteriora sus sentimientos de valía e interfiere de manera sensible en sus relaciones afectivas, familiares y sociales, y especialmente en las relaciones de pareja</w:t>
      </w:r>
      <w:r w:rsidRPr="00DA493C">
        <w:rPr>
          <w:rStyle w:val="Refdenotaalpie"/>
          <w:szCs w:val="24"/>
        </w:rPr>
        <w:footnoteReference w:id="88"/>
      </w:r>
      <w:r w:rsidRPr="00DA493C">
        <w:rPr>
          <w:rFonts w:cs="Arial"/>
          <w:szCs w:val="24"/>
        </w:rPr>
        <w:t>.</w:t>
      </w:r>
    </w:p>
    <w:p w:rsidR="006D3BDC" w:rsidRDefault="006D3BDC" w:rsidP="00547C6C">
      <w:pPr>
        <w:rPr>
          <w:rFonts w:cs="Arial"/>
          <w:sz w:val="26"/>
          <w:szCs w:val="26"/>
        </w:rPr>
      </w:pPr>
    </w:p>
    <w:p w:rsidR="00013430" w:rsidRPr="002B04E9" w:rsidRDefault="002B04E9" w:rsidP="00547C6C">
      <w:pPr>
        <w:pStyle w:val="Listavistosa-nfasis11"/>
        <w:numPr>
          <w:ilvl w:val="1"/>
          <w:numId w:val="28"/>
        </w:numPr>
        <w:ind w:left="0" w:firstLine="0"/>
        <w:rPr>
          <w:rFonts w:cs="Arial"/>
          <w:sz w:val="26"/>
          <w:szCs w:val="26"/>
        </w:rPr>
      </w:pPr>
      <w:r>
        <w:rPr>
          <w:rFonts w:cs="Arial"/>
          <w:sz w:val="26"/>
          <w:szCs w:val="26"/>
        </w:rPr>
        <w:t>En consecuencia, por las graves repercusiones que la violencia sexual produjo sobre la vida psíquica y emocional de Mónica Marisol Rodríguez, l</w:t>
      </w:r>
      <w:r w:rsidR="00013430" w:rsidRPr="002B04E9">
        <w:rPr>
          <w:rFonts w:cs="Arial"/>
          <w:sz w:val="26"/>
          <w:szCs w:val="26"/>
        </w:rPr>
        <w:t xml:space="preserve">a Sala estima razonable reconocer </w:t>
      </w:r>
      <w:r>
        <w:rPr>
          <w:rFonts w:cs="Arial"/>
          <w:sz w:val="26"/>
          <w:szCs w:val="26"/>
        </w:rPr>
        <w:t xml:space="preserve">a su favor </w:t>
      </w:r>
      <w:r w:rsidR="00013430" w:rsidRPr="002B04E9">
        <w:rPr>
          <w:rFonts w:cs="Arial"/>
          <w:sz w:val="26"/>
          <w:szCs w:val="26"/>
        </w:rPr>
        <w:t xml:space="preserve">la suma de </w:t>
      </w:r>
      <w:r w:rsidR="00CE1DA9">
        <w:rPr>
          <w:rFonts w:cs="Arial"/>
          <w:sz w:val="26"/>
          <w:szCs w:val="26"/>
        </w:rPr>
        <w:t>4</w:t>
      </w:r>
      <w:r w:rsidR="00013430" w:rsidRPr="002B04E9">
        <w:rPr>
          <w:rFonts w:cs="Arial"/>
          <w:sz w:val="26"/>
          <w:szCs w:val="26"/>
        </w:rPr>
        <w:t>00 smlmv por concepto de reparación del daño a la salud</w:t>
      </w:r>
      <w:r>
        <w:rPr>
          <w:rFonts w:cs="Arial"/>
          <w:sz w:val="26"/>
          <w:szCs w:val="26"/>
        </w:rPr>
        <w:t>.</w:t>
      </w:r>
      <w:r w:rsidR="006D3BDC">
        <w:rPr>
          <w:rFonts w:cs="Arial"/>
          <w:sz w:val="26"/>
          <w:szCs w:val="26"/>
        </w:rPr>
        <w:t xml:space="preserve"> Como antes se señaló, </w:t>
      </w:r>
      <w:r w:rsidR="00AC17DC">
        <w:rPr>
          <w:rFonts w:cs="Arial"/>
          <w:sz w:val="26"/>
          <w:szCs w:val="26"/>
        </w:rPr>
        <w:t>est</w:t>
      </w:r>
      <w:r w:rsidR="006D3BDC">
        <w:rPr>
          <w:rFonts w:cs="Arial"/>
          <w:sz w:val="26"/>
          <w:szCs w:val="26"/>
        </w:rPr>
        <w:t xml:space="preserve">a indemnización solo procede a favor de la </w:t>
      </w:r>
      <w:r w:rsidR="00AC17DC">
        <w:rPr>
          <w:rFonts w:cs="Arial"/>
          <w:sz w:val="26"/>
          <w:szCs w:val="26"/>
        </w:rPr>
        <w:t>víctima</w:t>
      </w:r>
      <w:r w:rsidR="006D3BDC">
        <w:rPr>
          <w:rFonts w:cs="Arial"/>
          <w:sz w:val="26"/>
          <w:szCs w:val="26"/>
        </w:rPr>
        <w:t xml:space="preserve"> directa, </w:t>
      </w:r>
      <w:r w:rsidR="00650453">
        <w:rPr>
          <w:rFonts w:cs="Arial"/>
          <w:sz w:val="26"/>
          <w:szCs w:val="26"/>
        </w:rPr>
        <w:t>por lo</w:t>
      </w:r>
      <w:r w:rsidR="006D3BDC">
        <w:rPr>
          <w:rFonts w:cs="Arial"/>
          <w:sz w:val="26"/>
          <w:szCs w:val="26"/>
        </w:rPr>
        <w:t xml:space="preserve"> que se denegará con relación a los demás demandantes.</w:t>
      </w:r>
    </w:p>
    <w:p w:rsidR="00AE29F0" w:rsidRPr="00547C6C" w:rsidRDefault="00AE29F0" w:rsidP="00547C6C">
      <w:pPr>
        <w:rPr>
          <w:rFonts w:cs="Arial"/>
          <w:sz w:val="26"/>
          <w:szCs w:val="26"/>
        </w:rPr>
      </w:pPr>
    </w:p>
    <w:p w:rsidR="006D3BDC" w:rsidRPr="006D3BDC" w:rsidRDefault="00AC17DC" w:rsidP="008C7554">
      <w:pPr>
        <w:numPr>
          <w:ilvl w:val="0"/>
          <w:numId w:val="28"/>
        </w:numPr>
        <w:ind w:left="0" w:firstLine="0"/>
        <w:rPr>
          <w:rFonts w:cs="Arial"/>
          <w:sz w:val="26"/>
          <w:szCs w:val="26"/>
        </w:rPr>
      </w:pPr>
      <w:r>
        <w:rPr>
          <w:rFonts w:cs="Arial"/>
          <w:sz w:val="26"/>
          <w:szCs w:val="26"/>
        </w:rPr>
        <w:t xml:space="preserve">La parte actora solicita igualmente que se condene a la entidad demandada a </w:t>
      </w:r>
      <w:r w:rsidR="008A51D0">
        <w:rPr>
          <w:rFonts w:cs="Arial"/>
          <w:sz w:val="26"/>
          <w:szCs w:val="26"/>
        </w:rPr>
        <w:t>brindar un</w:t>
      </w:r>
      <w:r>
        <w:rPr>
          <w:rFonts w:cs="Arial"/>
          <w:sz w:val="26"/>
          <w:szCs w:val="26"/>
        </w:rPr>
        <w:t xml:space="preserve"> tratamiento psicoterapéutico </w:t>
      </w:r>
      <w:r w:rsidR="008A51D0">
        <w:rPr>
          <w:rFonts w:cs="Arial"/>
          <w:sz w:val="26"/>
          <w:szCs w:val="26"/>
        </w:rPr>
        <w:t>a</w:t>
      </w:r>
      <w:r>
        <w:rPr>
          <w:rFonts w:cs="Arial"/>
          <w:sz w:val="26"/>
          <w:szCs w:val="26"/>
        </w:rPr>
        <w:t xml:space="preserve"> Mónica Marisol Rodríguez Bustamante</w:t>
      </w:r>
      <w:r w:rsidR="008A51D0">
        <w:rPr>
          <w:rFonts w:cs="Arial"/>
          <w:sz w:val="26"/>
          <w:szCs w:val="26"/>
        </w:rPr>
        <w:t xml:space="preserve"> por un lapso de dos años, con una frecuencia mínima de dos terapias mensuales, en un centro médico especializado de Bogotá o Bucaramanga, y a cubrir los gastos de transporte aéreo y terrestre, hospedaje y alimentación que demande dicho tratamiento.</w:t>
      </w:r>
    </w:p>
    <w:p w:rsidR="006D3BDC" w:rsidRPr="006D3BDC" w:rsidRDefault="006D3BDC" w:rsidP="006D3BDC">
      <w:pPr>
        <w:rPr>
          <w:rFonts w:cs="Arial"/>
          <w:sz w:val="26"/>
          <w:szCs w:val="26"/>
        </w:rPr>
      </w:pPr>
    </w:p>
    <w:p w:rsidR="00265687" w:rsidRDefault="00265687" w:rsidP="00265687">
      <w:pPr>
        <w:pStyle w:val="Listavistosa-nfasis11"/>
        <w:numPr>
          <w:ilvl w:val="1"/>
          <w:numId w:val="28"/>
        </w:numPr>
        <w:ind w:left="0" w:firstLine="0"/>
        <w:rPr>
          <w:rFonts w:cs="Arial"/>
          <w:sz w:val="26"/>
          <w:szCs w:val="26"/>
        </w:rPr>
      </w:pPr>
      <w:r>
        <w:rPr>
          <w:rFonts w:cs="Arial"/>
          <w:sz w:val="26"/>
          <w:szCs w:val="26"/>
        </w:rPr>
        <w:t xml:space="preserve">Esta solicitud </w:t>
      </w:r>
      <w:r w:rsidR="00BE0F60">
        <w:rPr>
          <w:rFonts w:cs="Arial"/>
          <w:sz w:val="26"/>
          <w:szCs w:val="26"/>
        </w:rPr>
        <w:t>se entiende</w:t>
      </w:r>
      <w:r>
        <w:rPr>
          <w:rFonts w:cs="Arial"/>
          <w:sz w:val="26"/>
          <w:szCs w:val="26"/>
        </w:rPr>
        <w:t xml:space="preserve"> comprendida en el concepto de reparación no pecuniaria por </w:t>
      </w:r>
      <w:r w:rsidRPr="00265687">
        <w:rPr>
          <w:rFonts w:cs="Arial"/>
          <w:sz w:val="26"/>
          <w:szCs w:val="26"/>
        </w:rPr>
        <w:t xml:space="preserve">la </w:t>
      </w:r>
      <w:r w:rsidRPr="00265687">
        <w:rPr>
          <w:rFonts w:cs="Arial"/>
          <w:b/>
          <w:sz w:val="26"/>
          <w:szCs w:val="26"/>
        </w:rPr>
        <w:t>afectación o vulneración relevante de bienes o derechos convencional y constitucionalmente amparados</w:t>
      </w:r>
      <w:r>
        <w:rPr>
          <w:rFonts w:cs="Arial"/>
          <w:sz w:val="26"/>
          <w:szCs w:val="26"/>
        </w:rPr>
        <w:t>. En recientes decisiones de unificación jurisprudencial, la Sección indicó que este tipo especial de reparación procede, aún de oficio, cuando se encuentre demostrada su concreción y se precise su reconocimiento</w:t>
      </w:r>
      <w:r w:rsidR="00DF1DC8">
        <w:rPr>
          <w:rFonts w:cs="Arial"/>
          <w:sz w:val="26"/>
          <w:szCs w:val="26"/>
        </w:rPr>
        <w:t>;</w:t>
      </w:r>
      <w:r>
        <w:rPr>
          <w:rFonts w:cs="Arial"/>
          <w:sz w:val="26"/>
          <w:szCs w:val="26"/>
        </w:rPr>
        <w:t xml:space="preserve"> que puede concederse a favor de la víctima directa y</w:t>
      </w:r>
      <w:r w:rsidRPr="00265687">
        <w:rPr>
          <w:rFonts w:cs="Arial"/>
          <w:sz w:val="26"/>
          <w:szCs w:val="26"/>
        </w:rPr>
        <w:t xml:space="preserve"> </w:t>
      </w:r>
      <w:r>
        <w:rPr>
          <w:rFonts w:cs="Arial"/>
          <w:sz w:val="26"/>
          <w:szCs w:val="26"/>
        </w:rPr>
        <w:t>su núcleo familiar más cercano</w:t>
      </w:r>
      <w:r w:rsidRPr="00265687">
        <w:rPr>
          <w:rFonts w:cs="Arial"/>
          <w:sz w:val="26"/>
          <w:szCs w:val="26"/>
        </w:rPr>
        <w:t>, en atención a las relaciones de solidaridad y afec</w:t>
      </w:r>
      <w:r w:rsidR="00DF1DC8">
        <w:rPr>
          <w:rFonts w:cs="Arial"/>
          <w:sz w:val="26"/>
          <w:szCs w:val="26"/>
        </w:rPr>
        <w:t xml:space="preserve">to que se presumen entre ellos; que opera </w:t>
      </w:r>
      <w:r w:rsidRPr="00DF1DC8">
        <w:rPr>
          <w:rFonts w:cs="Arial"/>
          <w:sz w:val="26"/>
          <w:szCs w:val="26"/>
        </w:rPr>
        <w:t>teniendo en cuenta la relevancia del c</w:t>
      </w:r>
      <w:r w:rsidR="00DF1DC8">
        <w:rPr>
          <w:rFonts w:cs="Arial"/>
          <w:sz w:val="26"/>
          <w:szCs w:val="26"/>
        </w:rPr>
        <w:t>aso y la gravedad de los hechos,</w:t>
      </w:r>
      <w:r w:rsidRPr="00DF1DC8">
        <w:rPr>
          <w:rFonts w:cs="Arial"/>
          <w:sz w:val="26"/>
          <w:szCs w:val="26"/>
        </w:rPr>
        <w:t xml:space="preserve"> </w:t>
      </w:r>
      <w:r w:rsidR="00DF1DC8">
        <w:rPr>
          <w:rFonts w:cs="Arial"/>
          <w:sz w:val="26"/>
          <w:szCs w:val="26"/>
        </w:rPr>
        <w:t>y que tiene como</w:t>
      </w:r>
      <w:r w:rsidRPr="00DF1DC8">
        <w:rPr>
          <w:rFonts w:cs="Arial"/>
          <w:sz w:val="26"/>
          <w:szCs w:val="26"/>
        </w:rPr>
        <w:t xml:space="preserve"> </w:t>
      </w:r>
      <w:r w:rsidR="00DF1DC8">
        <w:rPr>
          <w:rFonts w:cs="Arial"/>
          <w:sz w:val="26"/>
          <w:szCs w:val="26"/>
        </w:rPr>
        <w:t>fin</w:t>
      </w:r>
      <w:r w:rsidRPr="00DF1DC8">
        <w:rPr>
          <w:rFonts w:cs="Arial"/>
          <w:sz w:val="26"/>
          <w:szCs w:val="26"/>
        </w:rPr>
        <w:t xml:space="preserve"> reconocer la dignidad de las víctimas, reprobar las </w:t>
      </w:r>
      <w:r w:rsidR="00DF1DC8">
        <w:rPr>
          <w:rFonts w:cs="Arial"/>
          <w:sz w:val="26"/>
          <w:szCs w:val="26"/>
        </w:rPr>
        <w:t xml:space="preserve">graves </w:t>
      </w:r>
      <w:r w:rsidRPr="00DF1DC8">
        <w:rPr>
          <w:rFonts w:cs="Arial"/>
          <w:sz w:val="26"/>
          <w:szCs w:val="26"/>
        </w:rPr>
        <w:t>violaciones a los derechos humanos y concretar la</w:t>
      </w:r>
      <w:r w:rsidR="00DF1DC8">
        <w:rPr>
          <w:rFonts w:cs="Arial"/>
          <w:sz w:val="26"/>
          <w:szCs w:val="26"/>
        </w:rPr>
        <w:t>s</w:t>
      </w:r>
      <w:r w:rsidRPr="00DF1DC8">
        <w:rPr>
          <w:rFonts w:cs="Arial"/>
          <w:sz w:val="26"/>
          <w:szCs w:val="26"/>
        </w:rPr>
        <w:t xml:space="preserve"> garantía</w:t>
      </w:r>
      <w:r w:rsidR="00DF1DC8">
        <w:rPr>
          <w:rFonts w:cs="Arial"/>
          <w:sz w:val="26"/>
          <w:szCs w:val="26"/>
        </w:rPr>
        <w:t>s</w:t>
      </w:r>
      <w:r w:rsidRPr="00DF1DC8">
        <w:rPr>
          <w:rFonts w:cs="Arial"/>
          <w:sz w:val="26"/>
          <w:szCs w:val="26"/>
        </w:rPr>
        <w:t xml:space="preserve"> </w:t>
      </w:r>
      <w:r w:rsidR="00DF1DC8">
        <w:rPr>
          <w:rFonts w:cs="Arial"/>
          <w:sz w:val="26"/>
          <w:szCs w:val="26"/>
        </w:rPr>
        <w:t>de verdad, justicia, reparación y</w:t>
      </w:r>
      <w:r w:rsidRPr="00DF1DC8">
        <w:rPr>
          <w:rFonts w:cs="Arial"/>
          <w:sz w:val="26"/>
          <w:szCs w:val="26"/>
        </w:rPr>
        <w:t xml:space="preserve"> no repetición</w:t>
      </w:r>
      <w:r w:rsidR="00DF1DC8">
        <w:rPr>
          <w:rFonts w:cs="Arial"/>
          <w:sz w:val="26"/>
          <w:szCs w:val="26"/>
        </w:rPr>
        <w:t>,</w:t>
      </w:r>
      <w:r w:rsidRPr="00DF1DC8">
        <w:rPr>
          <w:rFonts w:cs="Arial"/>
          <w:sz w:val="26"/>
          <w:szCs w:val="26"/>
        </w:rPr>
        <w:t xml:space="preserve"> y las demás definidas por el derecho internacional</w:t>
      </w:r>
      <w:r w:rsidR="00DF1DC8">
        <w:rPr>
          <w:rStyle w:val="Refdenotaalpie"/>
          <w:sz w:val="26"/>
          <w:szCs w:val="26"/>
        </w:rPr>
        <w:footnoteReference w:id="89"/>
      </w:r>
      <w:r w:rsidRPr="00DF1DC8">
        <w:rPr>
          <w:rFonts w:cs="Arial"/>
          <w:sz w:val="26"/>
          <w:szCs w:val="26"/>
        </w:rPr>
        <w:t>.</w:t>
      </w:r>
    </w:p>
    <w:p w:rsidR="00765D53" w:rsidRDefault="00765D53" w:rsidP="00765D53">
      <w:pPr>
        <w:pStyle w:val="Listavistosa-nfasis11"/>
        <w:ind w:left="0"/>
        <w:rPr>
          <w:rFonts w:cs="Arial"/>
          <w:sz w:val="26"/>
          <w:szCs w:val="26"/>
        </w:rPr>
      </w:pPr>
    </w:p>
    <w:p w:rsidR="00765D53" w:rsidRPr="00FD4265" w:rsidRDefault="00313EA5" w:rsidP="00FD4265">
      <w:pPr>
        <w:pStyle w:val="Listavistosa-nfasis11"/>
        <w:numPr>
          <w:ilvl w:val="1"/>
          <w:numId w:val="28"/>
        </w:numPr>
        <w:ind w:left="0" w:firstLine="0"/>
        <w:rPr>
          <w:rFonts w:cs="Arial"/>
          <w:sz w:val="26"/>
          <w:szCs w:val="26"/>
        </w:rPr>
      </w:pPr>
      <w:r>
        <w:rPr>
          <w:rFonts w:cs="Arial"/>
          <w:sz w:val="26"/>
          <w:szCs w:val="26"/>
        </w:rPr>
        <w:t>Las medidas de reparación no pecuniarias amplían el estándar de protección de los derechos humanos</w:t>
      </w:r>
      <w:r w:rsidR="004D1DEE">
        <w:rPr>
          <w:rFonts w:cs="Arial"/>
          <w:sz w:val="26"/>
          <w:szCs w:val="26"/>
        </w:rPr>
        <w:t xml:space="preserve">, contribuyen a la visibilidad y a la dignificación de las víctimas y son una expresión de la indivisibilidad e integralidad de los derechos. Estas medidas son usuales en el sistema continental de protección, del que hace parte Colombia: por ejemplo, la Corte Interamericana ha ordenado medidas que involucran derechos </w:t>
      </w:r>
      <w:r w:rsidR="005A61A7">
        <w:rPr>
          <w:rFonts w:cs="Arial"/>
          <w:sz w:val="26"/>
          <w:szCs w:val="26"/>
        </w:rPr>
        <w:t>económicos, sociales y culturales, como el derecho a la educaci</w:t>
      </w:r>
      <w:r w:rsidR="00FD4265">
        <w:rPr>
          <w:rFonts w:cs="Arial"/>
          <w:sz w:val="26"/>
          <w:szCs w:val="26"/>
        </w:rPr>
        <w:t>ón</w:t>
      </w:r>
      <w:r w:rsidR="005A61A7">
        <w:rPr>
          <w:rFonts w:cs="Arial"/>
          <w:sz w:val="26"/>
          <w:szCs w:val="26"/>
        </w:rPr>
        <w:t xml:space="preserve"> </w:t>
      </w:r>
      <w:r w:rsidR="00FD4265">
        <w:rPr>
          <w:rFonts w:cs="Arial"/>
          <w:sz w:val="26"/>
          <w:szCs w:val="26"/>
        </w:rPr>
        <w:t>–</w:t>
      </w:r>
      <w:r w:rsidR="005A61A7">
        <w:rPr>
          <w:rFonts w:cs="Arial"/>
          <w:sz w:val="26"/>
          <w:szCs w:val="26"/>
        </w:rPr>
        <w:t>al disponer la creación de programas educativos</w:t>
      </w:r>
      <w:r w:rsidR="005A61A7">
        <w:rPr>
          <w:rStyle w:val="Refdenotaalpie"/>
          <w:sz w:val="26"/>
          <w:szCs w:val="26"/>
        </w:rPr>
        <w:footnoteReference w:id="90"/>
      </w:r>
      <w:r w:rsidR="005A61A7">
        <w:rPr>
          <w:rFonts w:cs="Arial"/>
          <w:sz w:val="26"/>
          <w:szCs w:val="26"/>
        </w:rPr>
        <w:t xml:space="preserve"> o becas de estudio</w:t>
      </w:r>
      <w:r w:rsidR="005A61A7">
        <w:rPr>
          <w:rStyle w:val="Refdenotaalpie"/>
          <w:sz w:val="26"/>
          <w:szCs w:val="26"/>
        </w:rPr>
        <w:footnoteReference w:id="91"/>
      </w:r>
      <w:r w:rsidR="005A61A7">
        <w:rPr>
          <w:rFonts w:cs="Arial"/>
          <w:sz w:val="26"/>
          <w:szCs w:val="26"/>
        </w:rPr>
        <w:t xml:space="preserve"> y la actualización profesional de las víctimas</w:t>
      </w:r>
      <w:r w:rsidR="005A61A7">
        <w:rPr>
          <w:rStyle w:val="Refdenotaalpie"/>
          <w:sz w:val="26"/>
          <w:szCs w:val="26"/>
        </w:rPr>
        <w:footnoteReference w:id="92"/>
      </w:r>
      <w:r w:rsidR="00FD4265">
        <w:rPr>
          <w:rFonts w:cs="Arial"/>
          <w:sz w:val="26"/>
          <w:szCs w:val="26"/>
        </w:rPr>
        <w:t>–,</w:t>
      </w:r>
      <w:r w:rsidR="005A61A7">
        <w:rPr>
          <w:rFonts w:cs="Arial"/>
          <w:sz w:val="26"/>
          <w:szCs w:val="26"/>
        </w:rPr>
        <w:t xml:space="preserve"> el derecho a la salud </w:t>
      </w:r>
      <w:r w:rsidR="00FD4265">
        <w:rPr>
          <w:rFonts w:cs="Arial"/>
          <w:sz w:val="26"/>
          <w:szCs w:val="26"/>
        </w:rPr>
        <w:t>–</w:t>
      </w:r>
      <w:r w:rsidR="005A61A7">
        <w:rPr>
          <w:rFonts w:cs="Arial"/>
          <w:sz w:val="26"/>
          <w:szCs w:val="26"/>
        </w:rPr>
        <w:t xml:space="preserve">al </w:t>
      </w:r>
      <w:r w:rsidR="00CA3ABA">
        <w:rPr>
          <w:rFonts w:cs="Arial"/>
          <w:sz w:val="26"/>
          <w:szCs w:val="26"/>
        </w:rPr>
        <w:t xml:space="preserve">ordenar el tratamiento </w:t>
      </w:r>
      <w:r w:rsidR="00760D93">
        <w:rPr>
          <w:rFonts w:cs="Arial"/>
          <w:sz w:val="26"/>
          <w:szCs w:val="26"/>
        </w:rPr>
        <w:t>médico</w:t>
      </w:r>
      <w:r w:rsidR="00CA3ABA">
        <w:rPr>
          <w:rFonts w:cs="Arial"/>
          <w:sz w:val="26"/>
          <w:szCs w:val="26"/>
        </w:rPr>
        <w:t xml:space="preserve"> y psicológico de las víctimas</w:t>
      </w:r>
      <w:r w:rsidR="00CA3ABA">
        <w:rPr>
          <w:rStyle w:val="Refdenotaalpie"/>
          <w:sz w:val="26"/>
          <w:szCs w:val="26"/>
        </w:rPr>
        <w:footnoteReference w:id="93"/>
      </w:r>
      <w:r w:rsidR="00FD4265">
        <w:rPr>
          <w:rFonts w:cs="Arial"/>
          <w:sz w:val="26"/>
          <w:szCs w:val="26"/>
        </w:rPr>
        <w:t xml:space="preserve"> y de</w:t>
      </w:r>
      <w:r w:rsidR="00CA3ABA">
        <w:rPr>
          <w:rFonts w:cs="Arial"/>
          <w:sz w:val="26"/>
          <w:szCs w:val="26"/>
        </w:rPr>
        <w:t xml:space="preserve"> su</w:t>
      </w:r>
      <w:r w:rsidR="00FD4265">
        <w:rPr>
          <w:rFonts w:cs="Arial"/>
          <w:sz w:val="26"/>
          <w:szCs w:val="26"/>
        </w:rPr>
        <w:t>s</w:t>
      </w:r>
      <w:r w:rsidR="00CA3ABA">
        <w:rPr>
          <w:rFonts w:cs="Arial"/>
          <w:sz w:val="26"/>
          <w:szCs w:val="26"/>
        </w:rPr>
        <w:t xml:space="preserve"> familia</w:t>
      </w:r>
      <w:r w:rsidR="00FD4265">
        <w:rPr>
          <w:rFonts w:cs="Arial"/>
          <w:sz w:val="26"/>
          <w:szCs w:val="26"/>
        </w:rPr>
        <w:t>res</w:t>
      </w:r>
      <w:r w:rsidR="00CA3ABA">
        <w:rPr>
          <w:rStyle w:val="Refdenotaalpie"/>
          <w:sz w:val="26"/>
          <w:szCs w:val="26"/>
        </w:rPr>
        <w:footnoteReference w:id="94"/>
      </w:r>
      <w:r w:rsidR="00FD4265">
        <w:rPr>
          <w:rFonts w:cs="Arial"/>
          <w:sz w:val="26"/>
          <w:szCs w:val="26"/>
        </w:rPr>
        <w:t xml:space="preserve">– e incluso la integridad cultural –al decretar la </w:t>
      </w:r>
      <w:r w:rsidR="00FD4265" w:rsidRPr="00FD4265">
        <w:rPr>
          <w:rFonts w:cs="Arial"/>
          <w:sz w:val="26"/>
          <w:szCs w:val="26"/>
        </w:rPr>
        <w:t>provisión de a</w:t>
      </w:r>
      <w:r w:rsidR="00760D93">
        <w:rPr>
          <w:rFonts w:cs="Arial"/>
          <w:sz w:val="26"/>
          <w:szCs w:val="26"/>
        </w:rPr>
        <w:t>gua potable, servicio sanitario y</w:t>
      </w:r>
      <w:r w:rsidR="00FD4265" w:rsidRPr="00FD4265">
        <w:rPr>
          <w:rFonts w:cs="Arial"/>
          <w:sz w:val="26"/>
          <w:szCs w:val="26"/>
        </w:rPr>
        <w:t xml:space="preserve"> atención médica y educacion</w:t>
      </w:r>
      <w:r w:rsidR="00FD4265">
        <w:rPr>
          <w:rFonts w:cs="Arial"/>
          <w:sz w:val="26"/>
          <w:szCs w:val="26"/>
        </w:rPr>
        <w:t>al a favor de</w:t>
      </w:r>
      <w:r w:rsidR="00FD4265" w:rsidRPr="00FD4265">
        <w:rPr>
          <w:rFonts w:cs="Arial"/>
          <w:sz w:val="26"/>
          <w:szCs w:val="26"/>
        </w:rPr>
        <w:t xml:space="preserve"> miembros de comunidades</w:t>
      </w:r>
      <w:r w:rsidR="00CA3ABA" w:rsidRPr="00FD4265">
        <w:rPr>
          <w:rFonts w:cs="Arial"/>
          <w:sz w:val="26"/>
          <w:szCs w:val="26"/>
        </w:rPr>
        <w:t xml:space="preserve"> indígenas</w:t>
      </w:r>
      <w:r w:rsidR="00FD4265">
        <w:rPr>
          <w:rFonts w:cs="Arial"/>
          <w:sz w:val="26"/>
          <w:szCs w:val="26"/>
        </w:rPr>
        <w:t>, en perspectiva étnica</w:t>
      </w:r>
      <w:r w:rsidR="00760D93">
        <w:rPr>
          <w:rStyle w:val="Refdenotaalpie"/>
          <w:sz w:val="26"/>
          <w:szCs w:val="26"/>
        </w:rPr>
        <w:footnoteReference w:id="95"/>
      </w:r>
      <w:r w:rsidR="00FD4265">
        <w:rPr>
          <w:rFonts w:cs="Arial"/>
          <w:sz w:val="26"/>
          <w:szCs w:val="26"/>
        </w:rPr>
        <w:t>–</w:t>
      </w:r>
      <w:r w:rsidR="00CA3ABA" w:rsidRPr="00FD4265">
        <w:rPr>
          <w:rFonts w:cs="Arial"/>
          <w:sz w:val="26"/>
          <w:szCs w:val="26"/>
        </w:rPr>
        <w:t>.</w:t>
      </w:r>
    </w:p>
    <w:p w:rsidR="00CA3ABA" w:rsidRPr="000B4EF3" w:rsidRDefault="00CA3ABA" w:rsidP="000B4EF3">
      <w:pPr>
        <w:rPr>
          <w:rFonts w:cs="Arial"/>
          <w:sz w:val="26"/>
          <w:szCs w:val="26"/>
        </w:rPr>
      </w:pPr>
    </w:p>
    <w:p w:rsidR="00CA3ABA" w:rsidRPr="00075679" w:rsidRDefault="000B4EF3" w:rsidP="00075679">
      <w:pPr>
        <w:pStyle w:val="Listavistosa-nfasis11"/>
        <w:numPr>
          <w:ilvl w:val="1"/>
          <w:numId w:val="28"/>
        </w:numPr>
        <w:ind w:left="0" w:firstLine="0"/>
        <w:rPr>
          <w:rFonts w:cs="Arial"/>
          <w:sz w:val="26"/>
          <w:szCs w:val="26"/>
        </w:rPr>
      </w:pPr>
      <w:r>
        <w:rPr>
          <w:rFonts w:cs="Arial"/>
          <w:sz w:val="26"/>
          <w:szCs w:val="26"/>
        </w:rPr>
        <w:t xml:space="preserve">En cuanto a la prestación de servicios médicos y psicológicos a favor de </w:t>
      </w:r>
      <w:r w:rsidR="00BE0F60">
        <w:rPr>
          <w:rFonts w:cs="Arial"/>
          <w:sz w:val="26"/>
          <w:szCs w:val="26"/>
        </w:rPr>
        <w:t xml:space="preserve">los </w:t>
      </w:r>
      <w:r>
        <w:rPr>
          <w:rFonts w:cs="Arial"/>
          <w:sz w:val="26"/>
          <w:szCs w:val="26"/>
        </w:rPr>
        <w:t xml:space="preserve">afectados por violaciones de derechos humanos, </w:t>
      </w:r>
      <w:r w:rsidR="008F3CF1">
        <w:rPr>
          <w:rFonts w:cs="Arial"/>
          <w:sz w:val="26"/>
          <w:szCs w:val="26"/>
        </w:rPr>
        <w:t>la Corporación ha reconocido que la rehabilitación de la persona implica para el Estado “</w:t>
      </w:r>
      <w:r w:rsidR="008F3CF1" w:rsidRPr="008F3CF1">
        <w:rPr>
          <w:rFonts w:cs="Arial"/>
          <w:i/>
          <w:sz w:val="26"/>
          <w:szCs w:val="26"/>
        </w:rPr>
        <w:t>la financiación de la atención médica y psicológica o psiquiátrica o de los servicios sociales, jurídicos o de otra índole</w:t>
      </w:r>
      <w:r w:rsidR="008F3CF1">
        <w:rPr>
          <w:rFonts w:cs="Arial"/>
          <w:sz w:val="26"/>
          <w:szCs w:val="26"/>
        </w:rPr>
        <w:t>”</w:t>
      </w:r>
      <w:r w:rsidR="008F3CF1" w:rsidRPr="006E7392">
        <w:rPr>
          <w:rStyle w:val="Refdenotaalpie"/>
          <w:szCs w:val="24"/>
          <w:lang w:val="es-ES"/>
        </w:rPr>
        <w:footnoteReference w:id="96"/>
      </w:r>
      <w:r w:rsidR="006C394D">
        <w:rPr>
          <w:rFonts w:cs="Arial"/>
          <w:sz w:val="26"/>
          <w:szCs w:val="26"/>
        </w:rPr>
        <w:t>. En consecuencia, ha ordenado como medida</w:t>
      </w:r>
      <w:r w:rsidR="00075679">
        <w:rPr>
          <w:rFonts w:cs="Arial"/>
          <w:sz w:val="26"/>
          <w:szCs w:val="26"/>
        </w:rPr>
        <w:t>s</w:t>
      </w:r>
      <w:r w:rsidR="006C394D">
        <w:rPr>
          <w:rFonts w:cs="Arial"/>
          <w:sz w:val="26"/>
          <w:szCs w:val="26"/>
        </w:rPr>
        <w:t xml:space="preserve"> de reparación integra</w:t>
      </w:r>
      <w:r w:rsidR="000B2BA5">
        <w:rPr>
          <w:rFonts w:cs="Arial"/>
          <w:sz w:val="26"/>
          <w:szCs w:val="26"/>
        </w:rPr>
        <w:t>l la atención psicológica de la víctima directa</w:t>
      </w:r>
      <w:r w:rsidR="006C394D">
        <w:rPr>
          <w:rFonts w:cs="Arial"/>
          <w:sz w:val="26"/>
          <w:szCs w:val="26"/>
        </w:rPr>
        <w:t xml:space="preserve">, incluida la provisión de medicamentos, </w:t>
      </w:r>
      <w:r w:rsidR="006C394D" w:rsidRPr="000B2BA5">
        <w:rPr>
          <w:rFonts w:cs="Arial"/>
          <w:sz w:val="26"/>
          <w:szCs w:val="26"/>
        </w:rPr>
        <w:t xml:space="preserve">hasta que la persona </w:t>
      </w:r>
      <w:r w:rsidR="00554148">
        <w:rPr>
          <w:rFonts w:cs="Arial"/>
          <w:sz w:val="26"/>
          <w:szCs w:val="26"/>
        </w:rPr>
        <w:t>alcance un estado mental idóneo</w:t>
      </w:r>
      <w:r>
        <w:rPr>
          <w:rStyle w:val="Refdenotaalpie"/>
          <w:sz w:val="26"/>
          <w:szCs w:val="26"/>
        </w:rPr>
        <w:footnoteReference w:id="97"/>
      </w:r>
      <w:r w:rsidR="000B2BA5" w:rsidRPr="000B2BA5">
        <w:rPr>
          <w:rFonts w:cs="Arial"/>
          <w:sz w:val="26"/>
          <w:szCs w:val="26"/>
        </w:rPr>
        <w:t>, terapias físicas</w:t>
      </w:r>
      <w:r w:rsidR="00554148">
        <w:rPr>
          <w:rFonts w:cs="Arial"/>
          <w:sz w:val="26"/>
          <w:szCs w:val="26"/>
        </w:rPr>
        <w:t>, servicios</w:t>
      </w:r>
      <w:r w:rsidR="000B2BA5" w:rsidRPr="000B2BA5">
        <w:rPr>
          <w:rFonts w:cs="Arial"/>
          <w:sz w:val="26"/>
          <w:szCs w:val="26"/>
        </w:rPr>
        <w:t xml:space="preserve"> de ortopedia </w:t>
      </w:r>
      <w:r w:rsidR="00554148">
        <w:rPr>
          <w:rFonts w:cs="Arial"/>
          <w:sz w:val="26"/>
          <w:szCs w:val="26"/>
        </w:rPr>
        <w:t>o provisión y renovación de prótesis</w:t>
      </w:r>
      <w:r w:rsidR="00554148">
        <w:rPr>
          <w:rStyle w:val="Refdenotaalpie"/>
          <w:sz w:val="26"/>
          <w:szCs w:val="26"/>
        </w:rPr>
        <w:footnoteReference w:id="98"/>
      </w:r>
      <w:r w:rsidR="00554148">
        <w:rPr>
          <w:rFonts w:cs="Arial"/>
          <w:sz w:val="26"/>
          <w:szCs w:val="26"/>
        </w:rPr>
        <w:t xml:space="preserve">, </w:t>
      </w:r>
      <w:r w:rsidR="00075679">
        <w:rPr>
          <w:rFonts w:cs="Arial"/>
          <w:sz w:val="26"/>
          <w:szCs w:val="26"/>
        </w:rPr>
        <w:t xml:space="preserve">o servicios médicos, sanitarios, quirúrgicos y hospitalarios </w:t>
      </w:r>
      <w:r w:rsidR="00E7154F">
        <w:rPr>
          <w:rFonts w:cs="Arial"/>
          <w:sz w:val="26"/>
          <w:szCs w:val="26"/>
        </w:rPr>
        <w:t>con enfoque</w:t>
      </w:r>
      <w:r w:rsidR="00075679">
        <w:rPr>
          <w:rFonts w:cs="Arial"/>
          <w:sz w:val="26"/>
          <w:szCs w:val="26"/>
        </w:rPr>
        <w:t xml:space="preserve"> de género</w:t>
      </w:r>
      <w:r w:rsidR="00075679">
        <w:rPr>
          <w:rStyle w:val="Refdenotaalpie"/>
          <w:sz w:val="26"/>
          <w:szCs w:val="26"/>
        </w:rPr>
        <w:footnoteReference w:id="99"/>
      </w:r>
      <w:r w:rsidR="00075679">
        <w:rPr>
          <w:rFonts w:cs="Arial"/>
          <w:sz w:val="26"/>
          <w:szCs w:val="26"/>
        </w:rPr>
        <w:t xml:space="preserve">, </w:t>
      </w:r>
      <w:r w:rsidR="00554148" w:rsidRPr="00075679">
        <w:rPr>
          <w:rFonts w:cs="Arial"/>
          <w:sz w:val="26"/>
          <w:szCs w:val="26"/>
        </w:rPr>
        <w:t xml:space="preserve">por citar solo algunos </w:t>
      </w:r>
      <w:r w:rsidR="00CD048D" w:rsidRPr="00075679">
        <w:rPr>
          <w:rFonts w:cs="Arial"/>
          <w:sz w:val="26"/>
          <w:szCs w:val="26"/>
        </w:rPr>
        <w:t>precedentes</w:t>
      </w:r>
      <w:r w:rsidR="00E7154F">
        <w:rPr>
          <w:rFonts w:cs="Arial"/>
          <w:sz w:val="26"/>
          <w:szCs w:val="26"/>
        </w:rPr>
        <w:t xml:space="preserve"> recientes.</w:t>
      </w:r>
    </w:p>
    <w:p w:rsidR="007876B2" w:rsidRPr="007876B2" w:rsidRDefault="007876B2" w:rsidP="007876B2">
      <w:pPr>
        <w:pStyle w:val="Listavistosa-nfasis11"/>
        <w:rPr>
          <w:rFonts w:cs="Arial"/>
          <w:sz w:val="26"/>
          <w:szCs w:val="26"/>
        </w:rPr>
      </w:pPr>
    </w:p>
    <w:p w:rsidR="007876B2" w:rsidRPr="006C394D" w:rsidRDefault="007876B2" w:rsidP="006C394D">
      <w:pPr>
        <w:pStyle w:val="Listavistosa-nfasis11"/>
        <w:numPr>
          <w:ilvl w:val="1"/>
          <w:numId w:val="28"/>
        </w:numPr>
        <w:ind w:left="0" w:firstLine="0"/>
        <w:rPr>
          <w:rFonts w:cs="Arial"/>
          <w:sz w:val="26"/>
          <w:szCs w:val="26"/>
        </w:rPr>
      </w:pPr>
      <w:r>
        <w:rPr>
          <w:rFonts w:cs="Arial"/>
          <w:sz w:val="26"/>
          <w:szCs w:val="26"/>
        </w:rPr>
        <w:t xml:space="preserve">En este caso se observa que, de acuerdo con el Instituto Nacional de Medicina Legal y Ciencias Forenses, la víctima </w:t>
      </w:r>
      <w:r w:rsidR="00E7154F">
        <w:rPr>
          <w:rFonts w:cs="Arial"/>
          <w:sz w:val="26"/>
          <w:szCs w:val="26"/>
        </w:rPr>
        <w:t>presenta un trastorno de estrés postraumático con marcada depresión y requiere de un apoyo</w:t>
      </w:r>
      <w:r>
        <w:rPr>
          <w:rFonts w:cs="Arial"/>
          <w:sz w:val="26"/>
          <w:szCs w:val="26"/>
        </w:rPr>
        <w:t xml:space="preserve"> psicoterapéutico que le permita recuperar su estado mental </w:t>
      </w:r>
      <w:r w:rsidRPr="007876B2">
        <w:rPr>
          <w:rFonts w:cs="Arial"/>
          <w:sz w:val="22"/>
          <w:szCs w:val="22"/>
        </w:rPr>
        <w:t>(f. 98, c. 2)</w:t>
      </w:r>
      <w:r>
        <w:rPr>
          <w:rFonts w:cs="Arial"/>
          <w:sz w:val="26"/>
          <w:szCs w:val="26"/>
        </w:rPr>
        <w:t>:</w:t>
      </w:r>
    </w:p>
    <w:p w:rsidR="00265687" w:rsidRDefault="00265687" w:rsidP="00265687">
      <w:pPr>
        <w:rPr>
          <w:rFonts w:cs="Arial"/>
          <w:sz w:val="26"/>
          <w:szCs w:val="26"/>
        </w:rPr>
      </w:pPr>
    </w:p>
    <w:p w:rsidR="007876B2" w:rsidRPr="00222F78" w:rsidRDefault="007876B2" w:rsidP="00222F78">
      <w:pPr>
        <w:spacing w:line="240" w:lineRule="auto"/>
        <w:ind w:left="709" w:right="618"/>
        <w:rPr>
          <w:rFonts w:cs="Arial"/>
          <w:i/>
          <w:szCs w:val="24"/>
        </w:rPr>
      </w:pPr>
      <w:r w:rsidRPr="00222F78">
        <w:rPr>
          <w:rFonts w:cs="Arial"/>
          <w:i/>
          <w:szCs w:val="24"/>
        </w:rPr>
        <w:t xml:space="preserve">Una vez se establece el trastorno psiquiátrico y se ha definido nosológicamente (clase de trastorno: pánico, trastorno de estrés postraumático, psicosis, depresión, etc.), la víctima debe recibir apoyo psicoterapéutico a fin de recuperar el estado mental y </w:t>
      </w:r>
      <w:r w:rsidR="00222F78">
        <w:rPr>
          <w:rFonts w:cs="Arial"/>
          <w:i/>
          <w:szCs w:val="24"/>
        </w:rPr>
        <w:t>muy posiblemente se recurrirá a</w:t>
      </w:r>
      <w:r w:rsidRPr="00222F78">
        <w:rPr>
          <w:rFonts w:cs="Arial"/>
          <w:i/>
          <w:szCs w:val="24"/>
        </w:rPr>
        <w:t xml:space="preserve"> tratamientos farmacológicos que en muchos casos son indefinidos. </w:t>
      </w:r>
      <w:r w:rsidRPr="00222F78">
        <w:rPr>
          <w:rFonts w:cs="Arial"/>
          <w:szCs w:val="24"/>
        </w:rPr>
        <w:t>(...)</w:t>
      </w:r>
    </w:p>
    <w:p w:rsidR="007876B2" w:rsidRPr="00222F78" w:rsidRDefault="007876B2" w:rsidP="00222F78">
      <w:pPr>
        <w:spacing w:line="240" w:lineRule="auto"/>
        <w:ind w:left="709" w:right="618"/>
        <w:rPr>
          <w:rFonts w:cs="Arial"/>
          <w:i/>
          <w:szCs w:val="24"/>
        </w:rPr>
      </w:pPr>
    </w:p>
    <w:p w:rsidR="007876B2" w:rsidRPr="00222F78" w:rsidRDefault="007876B2" w:rsidP="00222F78">
      <w:pPr>
        <w:spacing w:line="240" w:lineRule="auto"/>
        <w:ind w:left="709" w:right="618"/>
        <w:rPr>
          <w:rFonts w:cs="Arial"/>
          <w:i/>
          <w:szCs w:val="24"/>
        </w:rPr>
      </w:pPr>
      <w:r w:rsidRPr="00222F78">
        <w:rPr>
          <w:rFonts w:cs="Arial"/>
          <w:i/>
          <w:szCs w:val="24"/>
        </w:rPr>
        <w:t>El tratamiento debe basarse en la evaluación que haga el terapeuta y la modalidad de tratamiento que plantee, por ejemplo si plantea un tratamiento psicoanalítico normalmente se establecen dos citas a la semana y cada cita tiene un valor de unos doscientos mil pesos, si el psicoanalista necesita medicar remitirá al paciente a un psiquiatra para el tratamiento farmacológico</w:t>
      </w:r>
      <w:r w:rsidR="00222F78" w:rsidRPr="00222F78">
        <w:rPr>
          <w:rFonts w:cs="Arial"/>
          <w:i/>
          <w:szCs w:val="24"/>
        </w:rPr>
        <w:t xml:space="preserve">, en Cúcuta la consulta por psiquiatría oscila entre sesenta mil y noventa mil pesos. Si se plantea un </w:t>
      </w:r>
      <w:r w:rsidR="00222F78" w:rsidRPr="00222F78">
        <w:rPr>
          <w:rFonts w:cs="Arial"/>
          <w:szCs w:val="24"/>
        </w:rPr>
        <w:t>(sic)</w:t>
      </w:r>
      <w:r w:rsidR="00222F78" w:rsidRPr="00222F78">
        <w:rPr>
          <w:rFonts w:cs="Arial"/>
          <w:i/>
          <w:szCs w:val="24"/>
        </w:rPr>
        <w:t xml:space="preserve"> de corte psicodinámico, este podrá ser realizado por un psicólogo clínico con apoyo de un psiquiatra para el manejo de los aspectos farmacológicos o puede ser realizado por un psiquiatra con un costo que en Cúcuta oscila entre setenta y mil y noventa mil pesos, con asistencia de una vez a la semana por un periodo inicial de unas doce a veinticuatro semanas –es lo que se conoce como una psicoterapia leve–.</w:t>
      </w:r>
    </w:p>
    <w:p w:rsidR="007876B2" w:rsidRDefault="007876B2" w:rsidP="00265687">
      <w:pPr>
        <w:rPr>
          <w:rFonts w:cs="Arial"/>
          <w:sz w:val="26"/>
          <w:szCs w:val="26"/>
        </w:rPr>
      </w:pPr>
    </w:p>
    <w:p w:rsidR="00222F78" w:rsidRPr="00D77AD5" w:rsidRDefault="00E7154F" w:rsidP="00D77AD5">
      <w:pPr>
        <w:pStyle w:val="Listavistosa-nfasis11"/>
        <w:numPr>
          <w:ilvl w:val="1"/>
          <w:numId w:val="28"/>
        </w:numPr>
        <w:ind w:left="0" w:firstLine="0"/>
        <w:rPr>
          <w:rFonts w:cs="Arial"/>
          <w:sz w:val="26"/>
          <w:szCs w:val="26"/>
        </w:rPr>
      </w:pPr>
      <w:r>
        <w:rPr>
          <w:rFonts w:cs="Arial"/>
          <w:sz w:val="26"/>
          <w:szCs w:val="26"/>
        </w:rPr>
        <w:t xml:space="preserve">En razón de lo anterior, la entidad demandada deberá brindar a Mónica Marisol Rodríguez, a través de un centro médico especializado, avalado por el Ministerio de Salud y ubicado en el país, </w:t>
      </w:r>
      <w:r w:rsidRPr="00E7154F">
        <w:rPr>
          <w:rFonts w:cs="Arial"/>
          <w:sz w:val="26"/>
          <w:szCs w:val="26"/>
        </w:rPr>
        <w:t>l</w:t>
      </w:r>
      <w:r>
        <w:rPr>
          <w:rFonts w:cs="Arial"/>
          <w:sz w:val="26"/>
          <w:szCs w:val="26"/>
        </w:rPr>
        <w:t>os servicios de</w:t>
      </w:r>
      <w:r w:rsidRPr="00E7154F">
        <w:rPr>
          <w:rFonts w:cs="Arial"/>
          <w:sz w:val="26"/>
          <w:szCs w:val="26"/>
        </w:rPr>
        <w:t xml:space="preserve"> atención psicológica, psiquiátrica y, de ser necesario, farmacológica que requiera para la </w:t>
      </w:r>
      <w:r>
        <w:rPr>
          <w:rFonts w:cs="Arial"/>
          <w:sz w:val="26"/>
          <w:szCs w:val="26"/>
        </w:rPr>
        <w:t>superación del trauma causado por la violencia sexual y la recuperación de un estado de salud óptimo que le permita ejercer con normalidad las actividades propias de las áreas de ajuste</w:t>
      </w:r>
      <w:r w:rsidR="00A564B9">
        <w:rPr>
          <w:rFonts w:cs="Arial"/>
          <w:sz w:val="26"/>
          <w:szCs w:val="26"/>
        </w:rPr>
        <w:t xml:space="preserve"> del ser humano</w:t>
      </w:r>
      <w:r>
        <w:rPr>
          <w:rFonts w:cs="Arial"/>
          <w:sz w:val="26"/>
          <w:szCs w:val="26"/>
        </w:rPr>
        <w:t xml:space="preserve"> </w:t>
      </w:r>
      <w:r w:rsidR="00A564B9">
        <w:rPr>
          <w:rFonts w:cs="Arial"/>
          <w:sz w:val="26"/>
          <w:szCs w:val="26"/>
        </w:rPr>
        <w:t>(</w:t>
      </w:r>
      <w:r>
        <w:rPr>
          <w:rFonts w:cs="Arial"/>
          <w:sz w:val="26"/>
          <w:szCs w:val="26"/>
        </w:rPr>
        <w:t xml:space="preserve">personal, familiar, social, </w:t>
      </w:r>
      <w:r w:rsidR="00A564B9">
        <w:rPr>
          <w:rFonts w:cs="Arial"/>
          <w:sz w:val="26"/>
          <w:szCs w:val="26"/>
        </w:rPr>
        <w:t xml:space="preserve">afectiva, intelectual), por un lapso de dos años, que podrán prorrogarse en caso de ser necesario según un concepto médico debidamente motivado. La atención deberá prestarse en la ciudad de domicilio de la paciente o, en caso de no encontrarse en esta el centro de salud requerido, en una ciudad cercana. </w:t>
      </w:r>
      <w:r w:rsidR="00D77AD5">
        <w:rPr>
          <w:rFonts w:cs="Arial"/>
          <w:sz w:val="26"/>
          <w:szCs w:val="26"/>
        </w:rPr>
        <w:t xml:space="preserve">Las terapias y medicamentos derivados del tratamiento deberán ser asumidos por la entidad, al igual que los gastos adicionales de </w:t>
      </w:r>
      <w:r w:rsidR="00A564B9" w:rsidRPr="00D77AD5">
        <w:rPr>
          <w:rFonts w:cs="Arial"/>
          <w:sz w:val="26"/>
          <w:szCs w:val="26"/>
        </w:rPr>
        <w:t>transporte, alimentación y alojamiento</w:t>
      </w:r>
      <w:r w:rsidR="00D77AD5">
        <w:rPr>
          <w:rFonts w:cs="Arial"/>
          <w:sz w:val="26"/>
          <w:szCs w:val="26"/>
        </w:rPr>
        <w:t xml:space="preserve"> en que incurra la paciente, que deberán ser razonables.</w:t>
      </w:r>
      <w:r w:rsidR="00BE0F60">
        <w:rPr>
          <w:rFonts w:cs="Arial"/>
          <w:sz w:val="26"/>
          <w:szCs w:val="26"/>
        </w:rPr>
        <w:t xml:space="preserve"> De ser necesario, deberán cubrirse los gastos de un acompañante. </w:t>
      </w:r>
    </w:p>
    <w:p w:rsidR="00222F78" w:rsidRPr="00265687" w:rsidRDefault="00222F78" w:rsidP="00265687">
      <w:pPr>
        <w:rPr>
          <w:rFonts w:cs="Arial"/>
          <w:sz w:val="26"/>
          <w:szCs w:val="26"/>
        </w:rPr>
      </w:pPr>
    </w:p>
    <w:p w:rsidR="00083280" w:rsidRPr="00083280" w:rsidRDefault="008775BA" w:rsidP="008C7554">
      <w:pPr>
        <w:numPr>
          <w:ilvl w:val="0"/>
          <w:numId w:val="28"/>
        </w:numPr>
        <w:ind w:left="0" w:firstLine="0"/>
        <w:rPr>
          <w:rFonts w:cs="Arial"/>
          <w:sz w:val="26"/>
          <w:szCs w:val="26"/>
        </w:rPr>
      </w:pPr>
      <w:r>
        <w:rPr>
          <w:bCs/>
          <w:sz w:val="26"/>
          <w:szCs w:val="26"/>
        </w:rPr>
        <w:t xml:space="preserve">Con respecto a los </w:t>
      </w:r>
      <w:r w:rsidRPr="00CD4EEC">
        <w:rPr>
          <w:b/>
          <w:bCs/>
          <w:sz w:val="26"/>
          <w:szCs w:val="26"/>
        </w:rPr>
        <w:t>perjuicios materiales</w:t>
      </w:r>
      <w:r w:rsidRPr="00332B99">
        <w:rPr>
          <w:bCs/>
          <w:sz w:val="26"/>
          <w:szCs w:val="26"/>
        </w:rPr>
        <w:t>,</w:t>
      </w:r>
      <w:r w:rsidR="00083280">
        <w:rPr>
          <w:bCs/>
          <w:sz w:val="26"/>
          <w:szCs w:val="26"/>
        </w:rPr>
        <w:t xml:space="preserve"> en la demanda se dijo que la joven Mónica Marisol Rodríguez sufrió la “</w:t>
      </w:r>
      <w:r w:rsidR="00083280" w:rsidRPr="00083280">
        <w:rPr>
          <w:bCs/>
          <w:i/>
          <w:sz w:val="26"/>
          <w:szCs w:val="26"/>
        </w:rPr>
        <w:t xml:space="preserve">pérdida de la ayuda económica que venía recibiendo de su madre y hermanos </w:t>
      </w:r>
      <w:r w:rsidR="00083280" w:rsidRPr="00083280">
        <w:rPr>
          <w:bCs/>
          <w:sz w:val="26"/>
          <w:szCs w:val="26"/>
        </w:rPr>
        <w:t>(...)</w:t>
      </w:r>
      <w:r w:rsidR="00083280" w:rsidRPr="00083280">
        <w:rPr>
          <w:bCs/>
          <w:i/>
          <w:sz w:val="26"/>
          <w:szCs w:val="26"/>
        </w:rPr>
        <w:t xml:space="preserve"> para que continuara con sus estudios superiores a fin de profesionalizarse en el área de la psicología, que era y es su vocación</w:t>
      </w:r>
      <w:r w:rsidR="00083280">
        <w:rPr>
          <w:bCs/>
          <w:sz w:val="26"/>
          <w:szCs w:val="26"/>
        </w:rPr>
        <w:t xml:space="preserve">” </w:t>
      </w:r>
      <w:r w:rsidR="00083280" w:rsidRPr="00083280">
        <w:rPr>
          <w:bCs/>
          <w:sz w:val="22"/>
          <w:szCs w:val="22"/>
        </w:rPr>
        <w:t>(f. 8-9, c. 1)</w:t>
      </w:r>
      <w:r w:rsidR="00083280">
        <w:rPr>
          <w:bCs/>
          <w:sz w:val="26"/>
          <w:szCs w:val="26"/>
        </w:rPr>
        <w:t>.</w:t>
      </w:r>
    </w:p>
    <w:p w:rsidR="00083280" w:rsidRDefault="00083280" w:rsidP="00083280">
      <w:pPr>
        <w:rPr>
          <w:rFonts w:cs="Arial"/>
          <w:sz w:val="26"/>
          <w:szCs w:val="26"/>
        </w:rPr>
      </w:pPr>
    </w:p>
    <w:p w:rsidR="00083280" w:rsidRPr="00E4719C" w:rsidRDefault="00083280" w:rsidP="00083280">
      <w:pPr>
        <w:pStyle w:val="Listavistosa-nfasis11"/>
        <w:numPr>
          <w:ilvl w:val="1"/>
          <w:numId w:val="28"/>
        </w:numPr>
        <w:ind w:left="0" w:firstLine="0"/>
        <w:rPr>
          <w:rFonts w:cs="Arial"/>
          <w:sz w:val="26"/>
          <w:szCs w:val="26"/>
        </w:rPr>
      </w:pPr>
      <w:r>
        <w:rPr>
          <w:rFonts w:cs="Arial"/>
          <w:sz w:val="26"/>
          <w:szCs w:val="26"/>
        </w:rPr>
        <w:t xml:space="preserve">Sin embargo, este apoyo económico </w:t>
      </w:r>
      <w:r w:rsidR="00E4719C">
        <w:rPr>
          <w:rFonts w:cs="Arial"/>
          <w:sz w:val="26"/>
          <w:szCs w:val="26"/>
        </w:rPr>
        <w:t xml:space="preserve">de la familia </w:t>
      </w:r>
      <w:r>
        <w:rPr>
          <w:rFonts w:cs="Arial"/>
          <w:sz w:val="26"/>
          <w:szCs w:val="26"/>
        </w:rPr>
        <w:t xml:space="preserve">no está </w:t>
      </w:r>
      <w:r w:rsidR="00E4719C">
        <w:rPr>
          <w:rFonts w:cs="Arial"/>
          <w:sz w:val="26"/>
          <w:szCs w:val="26"/>
        </w:rPr>
        <w:t>probado</w:t>
      </w:r>
      <w:r>
        <w:rPr>
          <w:rFonts w:cs="Arial"/>
          <w:sz w:val="26"/>
          <w:szCs w:val="26"/>
        </w:rPr>
        <w:t xml:space="preserve"> en el </w:t>
      </w:r>
      <w:r w:rsidR="00E4719C">
        <w:rPr>
          <w:rFonts w:cs="Arial"/>
          <w:sz w:val="26"/>
          <w:szCs w:val="26"/>
        </w:rPr>
        <w:t>plenario</w:t>
      </w:r>
      <w:r>
        <w:rPr>
          <w:rFonts w:cs="Arial"/>
          <w:sz w:val="26"/>
          <w:szCs w:val="26"/>
        </w:rPr>
        <w:t>.</w:t>
      </w:r>
      <w:r w:rsidR="00E4719C">
        <w:rPr>
          <w:rFonts w:cs="Arial"/>
          <w:sz w:val="26"/>
          <w:szCs w:val="26"/>
        </w:rPr>
        <w:t xml:space="preserve"> La jurisprudencia constitucional, con base en los artículos </w:t>
      </w:r>
      <w:r w:rsidR="00E4719C" w:rsidRPr="00E4719C">
        <w:rPr>
          <w:rFonts w:cs="Arial"/>
          <w:sz w:val="26"/>
          <w:szCs w:val="26"/>
        </w:rPr>
        <w:t>15, 47 y 163 de la Ley 100 de 1993</w:t>
      </w:r>
      <w:r w:rsidR="00E4719C">
        <w:rPr>
          <w:rFonts w:cs="Arial"/>
          <w:sz w:val="26"/>
          <w:szCs w:val="26"/>
        </w:rPr>
        <w:t>, ha reconocido el derecho del mayor de edad a recibir alimentos hasta los 25 años si está adelantando sus estudios</w:t>
      </w:r>
      <w:r w:rsidR="00E4719C" w:rsidRPr="00E4719C">
        <w:rPr>
          <w:vertAlign w:val="superscript"/>
          <w:lang w:val="es-ES"/>
        </w:rPr>
        <w:footnoteReference w:id="100"/>
      </w:r>
      <w:r w:rsidR="00E4719C">
        <w:rPr>
          <w:rFonts w:cs="Arial"/>
          <w:sz w:val="26"/>
          <w:szCs w:val="26"/>
          <w:lang w:val="es-ES"/>
        </w:rPr>
        <w:t xml:space="preserve">. En este caso, por el contrario, </w:t>
      </w:r>
      <w:r w:rsidR="00B405F7">
        <w:rPr>
          <w:rFonts w:cs="Arial"/>
          <w:sz w:val="26"/>
          <w:szCs w:val="26"/>
          <w:lang w:val="es-ES"/>
        </w:rPr>
        <w:t>es</w:t>
      </w:r>
      <w:r w:rsidR="00E4719C">
        <w:rPr>
          <w:rFonts w:cs="Arial"/>
          <w:sz w:val="26"/>
          <w:szCs w:val="26"/>
          <w:lang w:val="es-ES"/>
        </w:rPr>
        <w:t>a calidad de estudiante de Mónica Marisol Rodríguez no fue demostrada en el proceso.</w:t>
      </w:r>
    </w:p>
    <w:p w:rsidR="00E4719C" w:rsidRPr="00E4719C" w:rsidRDefault="00E4719C" w:rsidP="00E4719C">
      <w:pPr>
        <w:pStyle w:val="Listavistosa-nfasis11"/>
        <w:ind w:left="0"/>
        <w:rPr>
          <w:rFonts w:cs="Arial"/>
          <w:sz w:val="26"/>
          <w:szCs w:val="26"/>
        </w:rPr>
      </w:pPr>
    </w:p>
    <w:p w:rsidR="00F817F8" w:rsidRDefault="00B405F7" w:rsidP="00E4719C">
      <w:pPr>
        <w:pStyle w:val="Listavistosa-nfasis11"/>
        <w:numPr>
          <w:ilvl w:val="1"/>
          <w:numId w:val="28"/>
        </w:numPr>
        <w:ind w:left="0" w:firstLine="0"/>
        <w:rPr>
          <w:rFonts w:cs="Arial"/>
          <w:sz w:val="26"/>
          <w:szCs w:val="26"/>
        </w:rPr>
      </w:pPr>
      <w:r>
        <w:rPr>
          <w:rFonts w:cs="Arial"/>
          <w:sz w:val="26"/>
          <w:szCs w:val="26"/>
        </w:rPr>
        <w:t>La reparación por este concepto deberá ceñirse, entonces, a lo dejado de percibir con ocasión de los cinco días de incapacidad médico legal reconocidos por el Hospital San Antonio de Tame</w:t>
      </w:r>
      <w:r w:rsidR="00AE752D">
        <w:rPr>
          <w:rStyle w:val="Refdenotaalpie"/>
          <w:sz w:val="26"/>
          <w:szCs w:val="26"/>
        </w:rPr>
        <w:footnoteReference w:id="101"/>
      </w:r>
      <w:r>
        <w:rPr>
          <w:rFonts w:cs="Arial"/>
          <w:sz w:val="26"/>
          <w:szCs w:val="26"/>
        </w:rPr>
        <w:t xml:space="preserve"> </w:t>
      </w:r>
      <w:r>
        <w:rPr>
          <w:rFonts w:cs="Arial"/>
          <w:sz w:val="22"/>
          <w:szCs w:val="22"/>
        </w:rPr>
        <w:t xml:space="preserve">(f. </w:t>
      </w:r>
      <w:r w:rsidRPr="00F17C25">
        <w:rPr>
          <w:rFonts w:cs="Arial"/>
          <w:sz w:val="22"/>
          <w:szCs w:val="22"/>
        </w:rPr>
        <w:t>94, c. 1)</w:t>
      </w:r>
      <w:r w:rsidRPr="00F817F8">
        <w:rPr>
          <w:rFonts w:cs="Arial"/>
          <w:sz w:val="26"/>
          <w:szCs w:val="26"/>
        </w:rPr>
        <w:t>.</w:t>
      </w:r>
      <w:r w:rsidR="00F817F8" w:rsidRPr="00F817F8">
        <w:rPr>
          <w:rFonts w:cs="Arial"/>
          <w:sz w:val="26"/>
          <w:szCs w:val="26"/>
        </w:rPr>
        <w:t xml:space="preserve"> Para </w:t>
      </w:r>
      <w:r w:rsidR="00F817F8">
        <w:rPr>
          <w:rFonts w:cs="Arial"/>
          <w:sz w:val="26"/>
          <w:szCs w:val="26"/>
        </w:rPr>
        <w:t xml:space="preserve">la fecha de los hechos, la demandante tenía 18 años y, por lo tanto, ya estaba en edad productiva. </w:t>
      </w:r>
      <w:r w:rsidR="00F817F8" w:rsidRPr="00F817F8">
        <w:rPr>
          <w:rFonts w:cs="Arial"/>
          <w:sz w:val="26"/>
          <w:szCs w:val="26"/>
        </w:rPr>
        <w:t xml:space="preserve">Ante </w:t>
      </w:r>
      <w:r w:rsidR="00F817F8" w:rsidRPr="00F817F8">
        <w:rPr>
          <w:bCs/>
          <w:sz w:val="26"/>
          <w:szCs w:val="26"/>
        </w:rPr>
        <w:t xml:space="preserve">la ausencia de un medio de prueba que acredite </w:t>
      </w:r>
      <w:r w:rsidR="00F817F8">
        <w:rPr>
          <w:bCs/>
          <w:sz w:val="26"/>
          <w:szCs w:val="26"/>
        </w:rPr>
        <w:t>sus ingresos</w:t>
      </w:r>
      <w:r w:rsidR="00F817F8" w:rsidRPr="00F817F8">
        <w:rPr>
          <w:bCs/>
          <w:sz w:val="26"/>
          <w:szCs w:val="26"/>
        </w:rPr>
        <w:t xml:space="preserve">, se presume que devengaba </w:t>
      </w:r>
      <w:r w:rsidR="00B8703C">
        <w:rPr>
          <w:bCs/>
          <w:sz w:val="26"/>
          <w:szCs w:val="26"/>
        </w:rPr>
        <w:t>al</w:t>
      </w:r>
      <w:r w:rsidR="00F817F8" w:rsidRPr="00F817F8">
        <w:rPr>
          <w:bCs/>
          <w:sz w:val="26"/>
          <w:szCs w:val="26"/>
        </w:rPr>
        <w:t xml:space="preserve"> menos un salario mínimo mensual, que </w:t>
      </w:r>
      <w:r w:rsidR="00F817F8" w:rsidRPr="00F817F8">
        <w:rPr>
          <w:rFonts w:cs="Arial"/>
          <w:sz w:val="26"/>
          <w:szCs w:val="26"/>
        </w:rPr>
        <w:t xml:space="preserve">en su valor actual corresponde a </w:t>
      </w:r>
      <w:r w:rsidR="00F817F8" w:rsidRPr="00F817F8">
        <w:rPr>
          <w:rFonts w:cs="Arial"/>
          <w:spacing w:val="-20"/>
          <w:sz w:val="26"/>
          <w:szCs w:val="26"/>
        </w:rPr>
        <w:t>$</w:t>
      </w:r>
      <w:r w:rsidR="00B8703C">
        <w:rPr>
          <w:rFonts w:cs="Arial"/>
          <w:sz w:val="26"/>
          <w:szCs w:val="26"/>
        </w:rPr>
        <w:t>616</w:t>
      </w:r>
      <w:r w:rsidR="00F817F8" w:rsidRPr="00B8703C">
        <w:rPr>
          <w:rFonts w:cs="Arial"/>
          <w:sz w:val="26"/>
          <w:szCs w:val="26"/>
        </w:rPr>
        <w:t>.</w:t>
      </w:r>
      <w:r w:rsidR="00B8703C">
        <w:rPr>
          <w:rFonts w:cs="Arial"/>
          <w:sz w:val="26"/>
          <w:szCs w:val="26"/>
        </w:rPr>
        <w:t>0</w:t>
      </w:r>
      <w:r w:rsidR="00F817F8" w:rsidRPr="00B8703C">
        <w:rPr>
          <w:rFonts w:cs="Arial"/>
          <w:sz w:val="26"/>
          <w:szCs w:val="26"/>
        </w:rPr>
        <w:t>00</w:t>
      </w:r>
      <w:r w:rsidR="00F817F8" w:rsidRPr="00F817F8">
        <w:rPr>
          <w:rFonts w:cs="Arial"/>
          <w:sz w:val="26"/>
          <w:szCs w:val="26"/>
        </w:rPr>
        <w:t>.</w:t>
      </w:r>
    </w:p>
    <w:p w:rsidR="00AE752D" w:rsidRPr="00AE752D" w:rsidRDefault="00AE752D" w:rsidP="00AE752D">
      <w:pPr>
        <w:pStyle w:val="Listavistosa-nfasis11"/>
        <w:rPr>
          <w:rFonts w:cs="Arial"/>
          <w:sz w:val="26"/>
          <w:szCs w:val="26"/>
        </w:rPr>
      </w:pPr>
    </w:p>
    <w:p w:rsidR="00AE752D" w:rsidRPr="00F817F8" w:rsidRDefault="00AE752D" w:rsidP="00E4719C">
      <w:pPr>
        <w:pStyle w:val="Listavistosa-nfasis11"/>
        <w:numPr>
          <w:ilvl w:val="1"/>
          <w:numId w:val="28"/>
        </w:numPr>
        <w:ind w:left="0" w:firstLine="0"/>
        <w:rPr>
          <w:rFonts w:cs="Arial"/>
          <w:sz w:val="26"/>
          <w:szCs w:val="26"/>
        </w:rPr>
      </w:pPr>
      <w:r>
        <w:rPr>
          <w:rFonts w:cs="Arial"/>
          <w:bCs/>
          <w:sz w:val="26"/>
          <w:szCs w:val="26"/>
          <w:lang w:val="es-CO"/>
        </w:rPr>
        <w:t>Esta cifra se incrementa en un 25% por concepto de prestaciones sociales, de donde resulta que el ingreso base de liquidación asciende a</w:t>
      </w:r>
      <w:r w:rsidRPr="00B117AA">
        <w:rPr>
          <w:rFonts w:cs="Arial"/>
          <w:bCs/>
          <w:sz w:val="26"/>
          <w:szCs w:val="26"/>
          <w:lang w:val="es-CO"/>
        </w:rPr>
        <w:t xml:space="preserve"> $</w:t>
      </w:r>
      <w:r w:rsidR="00B117AA" w:rsidRPr="00B117AA">
        <w:rPr>
          <w:rFonts w:cs="Arial"/>
          <w:bCs/>
          <w:sz w:val="26"/>
          <w:szCs w:val="26"/>
          <w:lang w:val="es-CO"/>
        </w:rPr>
        <w:t>770.000</w:t>
      </w:r>
      <w:r w:rsidRPr="00F01529">
        <w:rPr>
          <w:rFonts w:cs="Arial"/>
          <w:sz w:val="26"/>
          <w:szCs w:val="26"/>
          <w:lang w:val="es-CO"/>
        </w:rPr>
        <w:t>.</w:t>
      </w:r>
      <w:r>
        <w:rPr>
          <w:rFonts w:cs="Arial"/>
          <w:sz w:val="26"/>
          <w:szCs w:val="26"/>
          <w:lang w:val="es-CO"/>
        </w:rPr>
        <w:t xml:space="preserve"> </w:t>
      </w:r>
      <w:r>
        <w:rPr>
          <w:rFonts w:cs="Arial"/>
          <w:sz w:val="26"/>
          <w:szCs w:val="26"/>
        </w:rPr>
        <w:t>A este valor se le aplica un interés mensual de 0,004867 por</w:t>
      </w:r>
      <w:r w:rsidR="00B117AA">
        <w:rPr>
          <w:rFonts w:cs="Arial"/>
          <w:sz w:val="26"/>
          <w:szCs w:val="26"/>
        </w:rPr>
        <w:t xml:space="preserve"> el tiempo que cesó la actividad productiva (cinco días o 0,166 meses).</w:t>
      </w:r>
    </w:p>
    <w:p w:rsidR="00F817F8" w:rsidRPr="00E4719C" w:rsidRDefault="00F817F8" w:rsidP="00E4719C">
      <w:pPr>
        <w:pStyle w:val="Listavistosa-nfasis11"/>
        <w:ind w:left="0"/>
        <w:rPr>
          <w:rFonts w:cs="Arial"/>
          <w:sz w:val="26"/>
          <w:szCs w:val="26"/>
        </w:rPr>
      </w:pPr>
    </w:p>
    <w:p w:rsidR="00B117AA" w:rsidRPr="00524FEC" w:rsidRDefault="00B117AA" w:rsidP="00B117AA">
      <w:pPr>
        <w:rPr>
          <w:rFonts w:cs="Arial"/>
          <w:sz w:val="26"/>
          <w:szCs w:val="26"/>
        </w:rPr>
      </w:pPr>
      <w:r>
        <w:rPr>
          <w:rFonts w:cs="Arial"/>
          <w:sz w:val="26"/>
          <w:szCs w:val="26"/>
        </w:rPr>
        <w:t>La fórmula se aplicará así:</w:t>
      </w:r>
    </w:p>
    <w:p w:rsidR="00B117AA" w:rsidRDefault="00B117AA" w:rsidP="00B117AA">
      <w:pPr>
        <w:rPr>
          <w:rFonts w:cs="Arial"/>
          <w:bCs/>
          <w:sz w:val="26"/>
          <w:szCs w:val="26"/>
          <w:lang w:val="es-CO"/>
        </w:rPr>
      </w:pPr>
    </w:p>
    <w:p w:rsidR="00B117AA" w:rsidRPr="00C465BC" w:rsidRDefault="00B117AA" w:rsidP="00B117AA">
      <w:pPr>
        <w:widowControl w:val="0"/>
        <w:autoSpaceDN w:val="0"/>
        <w:adjustRightInd w:val="0"/>
        <w:ind w:firstLine="720"/>
        <w:rPr>
          <w:rFonts w:cs="Arial"/>
          <w:bCs/>
          <w:sz w:val="26"/>
          <w:szCs w:val="26"/>
        </w:rPr>
      </w:pPr>
      <w:r w:rsidRPr="00C465BC">
        <w:rPr>
          <w:rFonts w:cs="Arial"/>
          <w:bCs/>
          <w:sz w:val="26"/>
          <w:szCs w:val="26"/>
        </w:rPr>
        <w:t xml:space="preserve">S = </w:t>
      </w:r>
      <w:r w:rsidRPr="00B117AA">
        <w:rPr>
          <w:rFonts w:cs="Arial"/>
          <w:bCs/>
          <w:sz w:val="26"/>
          <w:szCs w:val="26"/>
          <w:lang w:val="es-CO"/>
        </w:rPr>
        <w:t>$770.000</w:t>
      </w:r>
      <w:r w:rsidRPr="00C465BC">
        <w:rPr>
          <w:rFonts w:cs="Arial"/>
          <w:bCs/>
          <w:sz w:val="26"/>
          <w:szCs w:val="26"/>
        </w:rPr>
        <w:t xml:space="preserve">    </w:t>
      </w:r>
      <w:r w:rsidRPr="00C465BC">
        <w:rPr>
          <w:rFonts w:cs="Arial"/>
          <w:bCs/>
          <w:sz w:val="26"/>
          <w:szCs w:val="26"/>
          <w:u w:val="single"/>
        </w:rPr>
        <w:t xml:space="preserve"> (1+ 0.004867)</w:t>
      </w:r>
      <w:r>
        <w:rPr>
          <w:rFonts w:cs="Arial"/>
          <w:bCs/>
          <w:sz w:val="26"/>
          <w:szCs w:val="26"/>
          <w:u w:val="single"/>
          <w:vertAlign w:val="superscript"/>
        </w:rPr>
        <w:t>0,166</w:t>
      </w:r>
      <w:r w:rsidRPr="00C465BC">
        <w:rPr>
          <w:rFonts w:cs="Arial"/>
          <w:bCs/>
          <w:sz w:val="26"/>
          <w:szCs w:val="26"/>
          <w:u w:val="single"/>
        </w:rPr>
        <w:t xml:space="preserve"> - 1</w:t>
      </w:r>
    </w:p>
    <w:p w:rsidR="00B117AA" w:rsidRPr="00C465BC" w:rsidRDefault="00B117AA" w:rsidP="00B117AA">
      <w:pPr>
        <w:widowControl w:val="0"/>
        <w:autoSpaceDN w:val="0"/>
        <w:adjustRightInd w:val="0"/>
        <w:rPr>
          <w:rFonts w:cs="Arial"/>
          <w:bCs/>
          <w:sz w:val="26"/>
          <w:szCs w:val="26"/>
        </w:rPr>
      </w:pPr>
      <w:r w:rsidRPr="00C465BC">
        <w:rPr>
          <w:rFonts w:cs="Arial"/>
          <w:bCs/>
          <w:sz w:val="26"/>
          <w:szCs w:val="26"/>
        </w:rPr>
        <w:t xml:space="preserve">  </w:t>
      </w:r>
      <w:r>
        <w:rPr>
          <w:rFonts w:cs="Arial"/>
          <w:bCs/>
          <w:sz w:val="26"/>
          <w:szCs w:val="26"/>
        </w:rPr>
        <w:t xml:space="preserve">                                           </w:t>
      </w:r>
      <w:r w:rsidRPr="00C465BC">
        <w:rPr>
          <w:rFonts w:cs="Arial"/>
          <w:bCs/>
          <w:sz w:val="26"/>
          <w:szCs w:val="26"/>
        </w:rPr>
        <w:t>0.004867</w:t>
      </w:r>
    </w:p>
    <w:p w:rsidR="00B117AA" w:rsidRDefault="00B117AA" w:rsidP="00B117AA">
      <w:pPr>
        <w:widowControl w:val="0"/>
        <w:autoSpaceDN w:val="0"/>
        <w:adjustRightInd w:val="0"/>
        <w:ind w:firstLine="720"/>
        <w:rPr>
          <w:rFonts w:cs="Arial"/>
          <w:bCs/>
          <w:sz w:val="26"/>
          <w:szCs w:val="26"/>
        </w:rPr>
      </w:pPr>
    </w:p>
    <w:p w:rsidR="00B117AA" w:rsidRPr="00524FEC" w:rsidRDefault="00B117AA" w:rsidP="00B117AA">
      <w:pPr>
        <w:widowControl w:val="0"/>
        <w:autoSpaceDN w:val="0"/>
        <w:adjustRightInd w:val="0"/>
        <w:ind w:firstLine="720"/>
        <w:rPr>
          <w:rFonts w:cs="Arial"/>
          <w:bCs/>
          <w:sz w:val="26"/>
          <w:szCs w:val="26"/>
        </w:rPr>
      </w:pPr>
      <w:r w:rsidRPr="00C465BC">
        <w:rPr>
          <w:rFonts w:cs="Arial"/>
          <w:bCs/>
          <w:sz w:val="26"/>
          <w:szCs w:val="26"/>
        </w:rPr>
        <w:t xml:space="preserve">S = </w:t>
      </w:r>
      <w:r w:rsidRPr="00B117AA">
        <w:rPr>
          <w:rFonts w:cs="Arial"/>
          <w:sz w:val="26"/>
          <w:szCs w:val="26"/>
        </w:rPr>
        <w:t>$</w:t>
      </w:r>
      <w:r>
        <w:rPr>
          <w:rFonts w:cs="Arial"/>
          <w:sz w:val="26"/>
          <w:szCs w:val="26"/>
        </w:rPr>
        <w:t>128.074</w:t>
      </w:r>
      <w:r w:rsidRPr="00B117AA">
        <w:rPr>
          <w:rFonts w:cs="Arial"/>
          <w:sz w:val="26"/>
          <w:szCs w:val="26"/>
        </w:rPr>
        <w:t>.</w:t>
      </w:r>
    </w:p>
    <w:p w:rsidR="008775BA" w:rsidRDefault="008775BA" w:rsidP="008C7554">
      <w:pPr>
        <w:rPr>
          <w:rFonts w:cs="Arial"/>
          <w:sz w:val="26"/>
          <w:szCs w:val="26"/>
        </w:rPr>
      </w:pPr>
    </w:p>
    <w:p w:rsidR="008775BA" w:rsidRDefault="00B117AA" w:rsidP="00B117AA">
      <w:pPr>
        <w:pStyle w:val="Listavistosa-nfasis11"/>
        <w:numPr>
          <w:ilvl w:val="1"/>
          <w:numId w:val="28"/>
        </w:numPr>
        <w:ind w:left="0" w:firstLine="0"/>
        <w:rPr>
          <w:rFonts w:cs="Arial"/>
          <w:sz w:val="26"/>
          <w:szCs w:val="26"/>
          <w:lang w:val="es-ES"/>
        </w:rPr>
      </w:pPr>
      <w:r>
        <w:rPr>
          <w:rFonts w:cs="Arial"/>
          <w:sz w:val="26"/>
          <w:szCs w:val="26"/>
          <w:lang w:val="es-ES"/>
        </w:rPr>
        <w:t>En consecuencia, se reconocer</w:t>
      </w:r>
      <w:r w:rsidR="003E24A4">
        <w:rPr>
          <w:rFonts w:cs="Arial"/>
          <w:sz w:val="26"/>
          <w:szCs w:val="26"/>
          <w:lang w:val="es-ES"/>
        </w:rPr>
        <w:t>á a favor de Mónica Rodríguez la suma de $128.074 por concepto de indemnización del lucro cesante.</w:t>
      </w:r>
    </w:p>
    <w:p w:rsidR="003E24A4" w:rsidRDefault="003E24A4" w:rsidP="003E24A4">
      <w:pPr>
        <w:pStyle w:val="Listavistosa-nfasis11"/>
        <w:ind w:left="0"/>
        <w:rPr>
          <w:rFonts w:cs="Arial"/>
          <w:sz w:val="26"/>
          <w:szCs w:val="26"/>
          <w:lang w:val="es-ES"/>
        </w:rPr>
      </w:pPr>
    </w:p>
    <w:p w:rsidR="003E24A4" w:rsidRDefault="008775BA" w:rsidP="003E24A4">
      <w:pPr>
        <w:pStyle w:val="Listavistosa-nfasis11"/>
        <w:numPr>
          <w:ilvl w:val="1"/>
          <w:numId w:val="28"/>
        </w:numPr>
        <w:ind w:left="0" w:firstLine="0"/>
        <w:rPr>
          <w:rFonts w:cs="Arial"/>
          <w:sz w:val="26"/>
          <w:szCs w:val="26"/>
          <w:lang w:val="es-ES"/>
        </w:rPr>
      </w:pPr>
      <w:r w:rsidRPr="003E24A4">
        <w:rPr>
          <w:rFonts w:cs="Arial"/>
          <w:sz w:val="26"/>
          <w:szCs w:val="26"/>
          <w:lang w:val="es-ES"/>
        </w:rPr>
        <w:t xml:space="preserve">En lo relacionado con el daño emergente, la Sala </w:t>
      </w:r>
      <w:r w:rsidR="003E24A4">
        <w:rPr>
          <w:rFonts w:cs="Arial"/>
          <w:sz w:val="26"/>
          <w:szCs w:val="26"/>
          <w:lang w:val="es-ES"/>
        </w:rPr>
        <w:t xml:space="preserve">no encuentra demostrados los gastos en que debió incurrir la demandante con ocasión del hecho dañino del cual fue víctima. Se aclara que los gastos futuros del tratamiento psicoterapéutico se encuentran ya cubiertos en el acápite de la </w:t>
      </w:r>
      <w:r w:rsidR="000C6840">
        <w:rPr>
          <w:rFonts w:cs="Arial"/>
          <w:sz w:val="26"/>
          <w:szCs w:val="26"/>
          <w:lang w:val="es-ES"/>
        </w:rPr>
        <w:t>repar</w:t>
      </w:r>
      <w:r w:rsidR="003E24A4">
        <w:rPr>
          <w:rFonts w:cs="Arial"/>
          <w:sz w:val="26"/>
          <w:szCs w:val="26"/>
          <w:lang w:val="es-ES"/>
        </w:rPr>
        <w:t>ación ordenada por ese concepto particular.</w:t>
      </w:r>
    </w:p>
    <w:p w:rsidR="003E24A4" w:rsidRPr="003E24A4" w:rsidRDefault="003E24A4" w:rsidP="003E24A4">
      <w:pPr>
        <w:pStyle w:val="Listavistosa-nfasis11"/>
        <w:rPr>
          <w:rFonts w:cs="Arial"/>
          <w:sz w:val="26"/>
          <w:szCs w:val="26"/>
          <w:lang w:val="es-ES"/>
        </w:rPr>
      </w:pPr>
    </w:p>
    <w:p w:rsidR="006E7392" w:rsidRPr="006E7392" w:rsidRDefault="008775BA" w:rsidP="006E7392">
      <w:pPr>
        <w:numPr>
          <w:ilvl w:val="0"/>
          <w:numId w:val="28"/>
        </w:numPr>
        <w:ind w:left="0" w:firstLine="0"/>
        <w:rPr>
          <w:rFonts w:cs="Arial"/>
          <w:sz w:val="26"/>
          <w:szCs w:val="26"/>
          <w:lang w:val="es-ES"/>
        </w:rPr>
      </w:pPr>
      <w:r>
        <w:rPr>
          <w:rFonts w:cs="Arial"/>
          <w:sz w:val="26"/>
          <w:szCs w:val="26"/>
          <w:lang w:val="es-ES"/>
        </w:rPr>
        <w:t xml:space="preserve">Finalmente, con el objeto de alcanzar una </w:t>
      </w:r>
      <w:r w:rsidRPr="00B33702">
        <w:rPr>
          <w:rFonts w:cs="Arial"/>
          <w:b/>
          <w:sz w:val="26"/>
          <w:szCs w:val="26"/>
          <w:lang w:val="es-ES"/>
        </w:rPr>
        <w:t>reparación integral</w:t>
      </w:r>
      <w:r>
        <w:rPr>
          <w:rFonts w:cs="Arial"/>
          <w:b/>
          <w:sz w:val="26"/>
          <w:szCs w:val="26"/>
          <w:lang w:val="es-ES"/>
        </w:rPr>
        <w:t xml:space="preserve"> </w:t>
      </w:r>
      <w:r w:rsidRPr="009156AD">
        <w:rPr>
          <w:rFonts w:cs="Arial"/>
          <w:sz w:val="26"/>
          <w:szCs w:val="26"/>
          <w:lang w:val="es-ES"/>
        </w:rPr>
        <w:t xml:space="preserve">de la parte afectada, </w:t>
      </w:r>
      <w:r w:rsidRPr="009156AD">
        <w:rPr>
          <w:rFonts w:cs="Arial"/>
          <w:bCs/>
          <w:sz w:val="26"/>
          <w:szCs w:val="26"/>
          <w:lang w:val="es-CO"/>
        </w:rPr>
        <w:t xml:space="preserve">la Sala </w:t>
      </w:r>
      <w:r>
        <w:rPr>
          <w:rFonts w:cs="Arial"/>
          <w:bCs/>
          <w:sz w:val="26"/>
          <w:szCs w:val="26"/>
          <w:lang w:val="es-CO"/>
        </w:rPr>
        <w:t>considera</w:t>
      </w:r>
      <w:r w:rsidRPr="009156AD">
        <w:rPr>
          <w:rFonts w:cs="Arial"/>
          <w:bCs/>
          <w:sz w:val="26"/>
          <w:szCs w:val="26"/>
          <w:lang w:val="es-CO"/>
        </w:rPr>
        <w:t xml:space="preserve"> pertinente la adopción de medidas no pecuniarias enca</w:t>
      </w:r>
      <w:r w:rsidR="00265687">
        <w:rPr>
          <w:rFonts w:cs="Arial"/>
          <w:bCs/>
          <w:sz w:val="26"/>
          <w:szCs w:val="26"/>
          <w:lang w:val="es-CO"/>
        </w:rPr>
        <w:t>minadas a la satisfacción y la</w:t>
      </w:r>
      <w:r w:rsidRPr="009156AD">
        <w:rPr>
          <w:rFonts w:cs="Arial"/>
          <w:bCs/>
          <w:sz w:val="26"/>
          <w:szCs w:val="26"/>
          <w:lang w:val="es-CO"/>
        </w:rPr>
        <w:t xml:space="preserve"> no repetición</w:t>
      </w:r>
      <w:r w:rsidRPr="009156AD">
        <w:rPr>
          <w:rFonts w:cs="Arial"/>
          <w:bCs/>
          <w:sz w:val="26"/>
          <w:szCs w:val="26"/>
          <w:vertAlign w:val="superscript"/>
          <w:lang w:val="es-CO"/>
        </w:rPr>
        <w:footnoteReference w:id="102"/>
      </w:r>
      <w:r w:rsidRPr="009156AD">
        <w:rPr>
          <w:rFonts w:cs="Arial"/>
          <w:bCs/>
          <w:sz w:val="26"/>
          <w:szCs w:val="26"/>
          <w:lang w:val="es-CO"/>
        </w:rPr>
        <w:t xml:space="preserve"> de las conductas que fueron materia de pronunciamiento en el presente fallo</w:t>
      </w:r>
      <w:r w:rsidR="006E7392">
        <w:rPr>
          <w:rFonts w:cs="Arial"/>
          <w:bCs/>
          <w:sz w:val="26"/>
          <w:szCs w:val="26"/>
          <w:lang w:val="es-CO"/>
        </w:rPr>
        <w:t>, c</w:t>
      </w:r>
      <w:r w:rsidR="006E7392" w:rsidRPr="006E7392">
        <w:rPr>
          <w:rFonts w:cs="Arial"/>
          <w:bCs/>
          <w:sz w:val="26"/>
          <w:szCs w:val="26"/>
          <w:lang w:val="es-CO"/>
        </w:rPr>
        <w:t>o</w:t>
      </w:r>
      <w:r w:rsidRPr="006E7392">
        <w:rPr>
          <w:rFonts w:cs="Arial"/>
          <w:bCs/>
          <w:sz w:val="26"/>
          <w:szCs w:val="26"/>
          <w:lang w:val="es-CO"/>
        </w:rPr>
        <w:t xml:space="preserve">mo lo ha hecho en otras </w:t>
      </w:r>
      <w:r w:rsidR="006E7392">
        <w:rPr>
          <w:rFonts w:cs="Arial"/>
          <w:bCs/>
          <w:sz w:val="26"/>
          <w:szCs w:val="26"/>
          <w:lang w:val="es-CO"/>
        </w:rPr>
        <w:t>ocasiones</w:t>
      </w:r>
      <w:r>
        <w:rPr>
          <w:rStyle w:val="Refdenotaalpie"/>
          <w:bCs/>
          <w:sz w:val="26"/>
          <w:szCs w:val="26"/>
          <w:lang w:val="es-CO"/>
        </w:rPr>
        <w:footnoteReference w:id="103"/>
      </w:r>
      <w:r w:rsidR="006E7392">
        <w:rPr>
          <w:rFonts w:cs="Arial"/>
          <w:bCs/>
          <w:sz w:val="26"/>
          <w:szCs w:val="26"/>
          <w:lang w:val="es-CO"/>
        </w:rPr>
        <w:t>. Sobre el principio de reparación integral y sus componentes esenciales, la Corporación ha manifestado:</w:t>
      </w:r>
    </w:p>
    <w:p w:rsidR="006E7392" w:rsidRDefault="006E7392" w:rsidP="006E7392">
      <w:pPr>
        <w:rPr>
          <w:rFonts w:cs="Arial"/>
          <w:bCs/>
          <w:sz w:val="26"/>
          <w:szCs w:val="26"/>
          <w:lang w:val="es-CO"/>
        </w:rPr>
      </w:pPr>
    </w:p>
    <w:p w:rsidR="006E7392" w:rsidRPr="006E7392" w:rsidRDefault="006E7392" w:rsidP="006E7392">
      <w:pPr>
        <w:spacing w:line="240" w:lineRule="auto"/>
        <w:ind w:left="709" w:right="618"/>
        <w:rPr>
          <w:rFonts w:cs="Arial"/>
          <w:i/>
          <w:szCs w:val="24"/>
          <w:lang w:val="es-ES"/>
        </w:rPr>
      </w:pPr>
      <w:r w:rsidRPr="006E7392">
        <w:rPr>
          <w:rFonts w:cs="Arial"/>
          <w:i/>
          <w:szCs w:val="24"/>
          <w:lang w:val="es-ES"/>
        </w:rPr>
        <w:t xml:space="preserve">En numerosos pronunciamientos la Sala ha delimitado el contenido del principio de reparación integral, en los siguientes términos: </w:t>
      </w:r>
      <w:r w:rsidRPr="006E7392">
        <w:rPr>
          <w:rFonts w:cs="Arial"/>
          <w:szCs w:val="24"/>
          <w:lang w:val="es-ES"/>
        </w:rPr>
        <w:t>(...)</w:t>
      </w:r>
    </w:p>
    <w:p w:rsidR="006E7392" w:rsidRPr="006E7392" w:rsidRDefault="006E7392" w:rsidP="006E7392">
      <w:pPr>
        <w:spacing w:line="240" w:lineRule="auto"/>
        <w:ind w:left="709" w:right="618"/>
        <w:rPr>
          <w:rFonts w:cs="Arial"/>
          <w:i/>
          <w:szCs w:val="24"/>
          <w:lang w:val="es-ES"/>
        </w:rPr>
      </w:pPr>
    </w:p>
    <w:p w:rsidR="006E7392" w:rsidRDefault="006E7392" w:rsidP="006E7392">
      <w:pPr>
        <w:spacing w:line="240" w:lineRule="auto"/>
        <w:ind w:left="709" w:right="618"/>
        <w:rPr>
          <w:rFonts w:cs="Arial"/>
          <w:i/>
          <w:szCs w:val="24"/>
          <w:lang w:val="es-ES"/>
        </w:rPr>
      </w:pPr>
      <w:r w:rsidRPr="006E7392">
        <w:rPr>
          <w:rFonts w:cs="Arial"/>
          <w:i/>
          <w:szCs w:val="24"/>
          <w:lang w:val="es-ES"/>
        </w:rPr>
        <w:t xml:space="preserve">a. La restitución o </w:t>
      </w:r>
      <w:r w:rsidRPr="006E7392">
        <w:rPr>
          <w:rFonts w:cs="Arial"/>
          <w:szCs w:val="24"/>
          <w:lang w:val="es-ES"/>
        </w:rPr>
        <w:t>restitutio in integrum</w:t>
      </w:r>
      <w:r w:rsidRPr="006E7392">
        <w:rPr>
          <w:rFonts w:cs="Arial"/>
          <w:i/>
          <w:szCs w:val="24"/>
          <w:lang w:val="es-ES"/>
        </w:rPr>
        <w:t>, es el restablecimiento de las cosas a su estado normal o anterior a la violación, producto del ilícito internacional, es la forma perfecta de reparación, y que sólo en la medida en que dicha restitución no resulte accesible procede acordar otras medidas reparatorias.</w:t>
      </w:r>
    </w:p>
    <w:p w:rsidR="006E7392" w:rsidRPr="006E7392" w:rsidRDefault="006E7392" w:rsidP="006E7392">
      <w:pPr>
        <w:spacing w:line="240" w:lineRule="auto"/>
        <w:ind w:left="709" w:right="618"/>
        <w:rPr>
          <w:rFonts w:cs="Arial"/>
          <w:i/>
          <w:szCs w:val="24"/>
          <w:lang w:val="es-ES"/>
        </w:rPr>
      </w:pPr>
    </w:p>
    <w:p w:rsidR="006E7392" w:rsidRDefault="006E7392" w:rsidP="006E7392">
      <w:pPr>
        <w:spacing w:line="240" w:lineRule="auto"/>
        <w:ind w:left="709" w:right="618"/>
        <w:rPr>
          <w:rFonts w:cs="Arial"/>
          <w:i/>
          <w:szCs w:val="24"/>
          <w:lang w:val="es-ES"/>
        </w:rPr>
      </w:pPr>
      <w:r w:rsidRPr="006E7392">
        <w:rPr>
          <w:rFonts w:cs="Arial"/>
          <w:i/>
          <w:szCs w:val="24"/>
          <w:lang w:val="es-ES"/>
        </w:rPr>
        <w:t>b. La indemnización por los perjuicios materiales sufridos por las víctimas de un caso en particular, comprende el daño material (daño emergente, lucro</w:t>
      </w:r>
      <w:r>
        <w:rPr>
          <w:rFonts w:cs="Arial"/>
          <w:i/>
          <w:szCs w:val="24"/>
          <w:lang w:val="es-ES"/>
        </w:rPr>
        <w:t xml:space="preserve"> cesante) y el daño inmaterial.</w:t>
      </w:r>
    </w:p>
    <w:p w:rsidR="006E7392" w:rsidRPr="006E7392" w:rsidRDefault="006E7392" w:rsidP="006E7392">
      <w:pPr>
        <w:spacing w:line="240" w:lineRule="auto"/>
        <w:ind w:left="709" w:right="618"/>
        <w:rPr>
          <w:rFonts w:cs="Arial"/>
          <w:i/>
          <w:szCs w:val="24"/>
          <w:lang w:val="es-ES"/>
        </w:rPr>
      </w:pPr>
    </w:p>
    <w:p w:rsidR="006E7392" w:rsidRDefault="006E7392" w:rsidP="006E7392">
      <w:pPr>
        <w:spacing w:line="240" w:lineRule="auto"/>
        <w:ind w:left="709" w:right="618"/>
        <w:rPr>
          <w:rFonts w:cs="Arial"/>
          <w:i/>
          <w:szCs w:val="24"/>
          <w:lang w:val="es-ES"/>
        </w:rPr>
      </w:pPr>
      <w:r w:rsidRPr="006E7392">
        <w:rPr>
          <w:rFonts w:cs="Arial"/>
          <w:i/>
          <w:szCs w:val="24"/>
          <w:lang w:val="es-ES"/>
        </w:rPr>
        <w:t>c. Rehabilitación, comprende la financiación de la atención médica y psicológica o psiquiátrica o de los servicios sociales, jurídicos o de otra índole.</w:t>
      </w:r>
    </w:p>
    <w:p w:rsidR="006E7392" w:rsidRPr="006E7392" w:rsidRDefault="006E7392" w:rsidP="006E7392">
      <w:pPr>
        <w:spacing w:line="240" w:lineRule="auto"/>
        <w:ind w:left="709" w:right="618"/>
        <w:rPr>
          <w:rFonts w:cs="Arial"/>
          <w:i/>
          <w:szCs w:val="24"/>
          <w:lang w:val="es-ES"/>
        </w:rPr>
      </w:pPr>
    </w:p>
    <w:p w:rsidR="006E7392" w:rsidRDefault="006E7392" w:rsidP="006E7392">
      <w:pPr>
        <w:spacing w:line="240" w:lineRule="auto"/>
        <w:ind w:left="709" w:right="618"/>
        <w:rPr>
          <w:rFonts w:cs="Arial"/>
          <w:i/>
          <w:szCs w:val="24"/>
          <w:lang w:val="es-ES"/>
        </w:rPr>
      </w:pPr>
      <w:r w:rsidRPr="006E7392">
        <w:rPr>
          <w:rFonts w:cs="Arial"/>
          <w:i/>
          <w:szCs w:val="24"/>
          <w:lang w:val="es-ES"/>
        </w:rPr>
        <w:t>d. Satisfacción, son medidas morales de carácter simbólico y colectivo, que comprende los perjuicios no materiales, como por ejemplo, el reconocimiento público del Estado de su responsabilidad, actos conmemorativos, bautizos de vías públicas, monumentos, etc.</w:t>
      </w:r>
    </w:p>
    <w:p w:rsidR="006E7392" w:rsidRPr="006E7392" w:rsidRDefault="006E7392" w:rsidP="006E7392">
      <w:pPr>
        <w:spacing w:line="240" w:lineRule="auto"/>
        <w:ind w:left="709" w:right="618"/>
        <w:rPr>
          <w:rFonts w:cs="Arial"/>
          <w:i/>
          <w:szCs w:val="24"/>
          <w:lang w:val="es-ES"/>
        </w:rPr>
      </w:pPr>
    </w:p>
    <w:p w:rsidR="006E7392" w:rsidRPr="006E7392" w:rsidRDefault="006E7392" w:rsidP="006E7392">
      <w:pPr>
        <w:spacing w:line="240" w:lineRule="auto"/>
        <w:ind w:left="709" w:right="618"/>
        <w:rPr>
          <w:rFonts w:cs="Arial"/>
          <w:i/>
          <w:szCs w:val="24"/>
          <w:lang w:val="es-ES"/>
        </w:rPr>
      </w:pPr>
      <w:r w:rsidRPr="006E7392">
        <w:rPr>
          <w:rFonts w:cs="Arial"/>
          <w:i/>
          <w:szCs w:val="24"/>
          <w:lang w:val="es-ES"/>
        </w:rPr>
        <w:t>e. Garantías de no repetición, son aquellas medidas idóneas, de carácter administrativo legislativo o judicial, tendientes a que las víctimas no vuelvan a ser objeto de violaciones a su dignidad, entre las cuales cabe mencionar aquellas encaminadas a disolver los grupos armados al margen de la ley, y la derogación de leyes, entre otras</w:t>
      </w:r>
      <w:r w:rsidRPr="006E7392">
        <w:rPr>
          <w:rStyle w:val="Refdenotaalpie"/>
          <w:szCs w:val="24"/>
          <w:lang w:val="es-ES"/>
        </w:rPr>
        <w:footnoteReference w:id="104"/>
      </w:r>
      <w:r w:rsidRPr="006E7392">
        <w:rPr>
          <w:rFonts w:cs="Arial"/>
          <w:szCs w:val="24"/>
          <w:lang w:val="es-ES"/>
        </w:rPr>
        <w:t>.</w:t>
      </w:r>
    </w:p>
    <w:p w:rsidR="006E7392" w:rsidRPr="006E7392" w:rsidRDefault="006E7392" w:rsidP="006E7392">
      <w:pPr>
        <w:rPr>
          <w:rFonts w:cs="Arial"/>
          <w:sz w:val="26"/>
          <w:szCs w:val="26"/>
          <w:lang w:val="es-ES"/>
        </w:rPr>
      </w:pPr>
    </w:p>
    <w:p w:rsidR="008775BA" w:rsidRPr="006E7392" w:rsidRDefault="006E7392" w:rsidP="006E7392">
      <w:pPr>
        <w:numPr>
          <w:ilvl w:val="0"/>
          <w:numId w:val="28"/>
        </w:numPr>
        <w:ind w:left="0" w:firstLine="0"/>
        <w:rPr>
          <w:rFonts w:cs="Arial"/>
          <w:sz w:val="26"/>
          <w:szCs w:val="26"/>
          <w:lang w:val="es-ES"/>
        </w:rPr>
      </w:pPr>
      <w:r>
        <w:rPr>
          <w:rFonts w:cs="Arial"/>
          <w:bCs/>
          <w:sz w:val="26"/>
          <w:szCs w:val="26"/>
          <w:lang w:val="es-CO"/>
        </w:rPr>
        <w:t>En atención a lo anterior, la Sala ordenará las siguientes medidas tendientes a la satisfacción y la</w:t>
      </w:r>
      <w:r w:rsidRPr="009156AD">
        <w:rPr>
          <w:rFonts w:cs="Arial"/>
          <w:bCs/>
          <w:sz w:val="26"/>
          <w:szCs w:val="26"/>
          <w:lang w:val="es-CO"/>
        </w:rPr>
        <w:t xml:space="preserve"> no repetición</w:t>
      </w:r>
      <w:r>
        <w:rPr>
          <w:rFonts w:cs="Arial"/>
          <w:bCs/>
          <w:sz w:val="26"/>
          <w:szCs w:val="26"/>
          <w:lang w:val="es-CO"/>
        </w:rPr>
        <w:t xml:space="preserve"> de los hechos</w:t>
      </w:r>
      <w:r w:rsidR="00B04122">
        <w:rPr>
          <w:rFonts w:cs="Arial"/>
          <w:bCs/>
          <w:sz w:val="26"/>
          <w:szCs w:val="26"/>
          <w:lang w:val="es-CO"/>
        </w:rPr>
        <w:t xml:space="preserve"> que en esta oportunidad fueron objeto de juzgamiento</w:t>
      </w:r>
      <w:r>
        <w:rPr>
          <w:rFonts w:cs="Arial"/>
          <w:bCs/>
          <w:sz w:val="26"/>
          <w:szCs w:val="26"/>
          <w:lang w:val="es-CO"/>
        </w:rPr>
        <w:t>:</w:t>
      </w:r>
    </w:p>
    <w:p w:rsidR="008775BA" w:rsidRDefault="008775BA" w:rsidP="008C7554">
      <w:pPr>
        <w:rPr>
          <w:rFonts w:cs="Arial"/>
          <w:sz w:val="26"/>
          <w:szCs w:val="26"/>
          <w:lang w:val="es-ES"/>
        </w:rPr>
      </w:pPr>
    </w:p>
    <w:p w:rsidR="00FD0911" w:rsidRDefault="00FD0911" w:rsidP="008C7554">
      <w:pPr>
        <w:numPr>
          <w:ilvl w:val="1"/>
          <w:numId w:val="28"/>
        </w:numPr>
        <w:tabs>
          <w:tab w:val="left" w:pos="720"/>
        </w:tabs>
        <w:ind w:left="0" w:firstLine="0"/>
        <w:rPr>
          <w:rFonts w:cs="Arial"/>
          <w:sz w:val="26"/>
          <w:szCs w:val="26"/>
          <w:lang w:val="es-ES"/>
        </w:rPr>
      </w:pPr>
      <w:r>
        <w:rPr>
          <w:rFonts w:cs="Arial"/>
          <w:sz w:val="26"/>
          <w:szCs w:val="26"/>
          <w:lang w:val="es-ES"/>
        </w:rPr>
        <w:t xml:space="preserve">Se ordenará al Ministerio de Defensa diseñar e implementar un programa amplio de capacitación de los miembros del Ejército Nacional que cumplen funciones en el departamento de Arauca, orientado a la difusión y socialización de los siguientes tópicos: derechos de la mujer, </w:t>
      </w:r>
      <w:r w:rsidR="001764AC">
        <w:rPr>
          <w:rFonts w:cs="Arial"/>
          <w:sz w:val="26"/>
          <w:szCs w:val="26"/>
          <w:lang w:val="es-ES"/>
        </w:rPr>
        <w:t xml:space="preserve">análisis de circunstancias de </w:t>
      </w:r>
      <w:r>
        <w:rPr>
          <w:rFonts w:cs="Arial"/>
          <w:sz w:val="26"/>
          <w:szCs w:val="26"/>
          <w:lang w:val="es-ES"/>
        </w:rPr>
        <w:t>violencia y di</w:t>
      </w:r>
      <w:r w:rsidR="000C6840">
        <w:rPr>
          <w:rFonts w:cs="Arial"/>
          <w:sz w:val="26"/>
          <w:szCs w:val="26"/>
          <w:lang w:val="es-ES"/>
        </w:rPr>
        <w:t>scriminación contra la mujer,</w:t>
      </w:r>
      <w:r>
        <w:rPr>
          <w:rFonts w:cs="Arial"/>
          <w:sz w:val="26"/>
          <w:szCs w:val="26"/>
          <w:lang w:val="es-ES"/>
        </w:rPr>
        <w:t xml:space="preserve"> </w:t>
      </w:r>
      <w:r w:rsidR="001764AC">
        <w:rPr>
          <w:rFonts w:cs="Arial"/>
          <w:sz w:val="26"/>
          <w:szCs w:val="26"/>
          <w:lang w:val="es-ES"/>
        </w:rPr>
        <w:t xml:space="preserve">situación de </w:t>
      </w:r>
      <w:r>
        <w:rPr>
          <w:rFonts w:cs="Arial"/>
          <w:sz w:val="26"/>
          <w:szCs w:val="26"/>
          <w:lang w:val="es-ES"/>
        </w:rPr>
        <w:t>la mujer en el marco del conflicto armado</w:t>
      </w:r>
      <w:r w:rsidR="000C6840">
        <w:rPr>
          <w:rFonts w:cs="Arial"/>
          <w:sz w:val="26"/>
          <w:szCs w:val="26"/>
          <w:lang w:val="es-ES"/>
        </w:rPr>
        <w:t xml:space="preserve"> interno</w:t>
      </w:r>
      <w:r>
        <w:rPr>
          <w:rFonts w:cs="Arial"/>
          <w:sz w:val="26"/>
          <w:szCs w:val="26"/>
          <w:lang w:val="es-ES"/>
        </w:rPr>
        <w:t>, y lineamientos de prevención, investigación y sanción de la violencia contra la mujer, con enfoque diferencial.</w:t>
      </w:r>
    </w:p>
    <w:p w:rsidR="00FD0911" w:rsidRDefault="00FD0911" w:rsidP="00FD0911">
      <w:pPr>
        <w:tabs>
          <w:tab w:val="left" w:pos="720"/>
        </w:tabs>
        <w:rPr>
          <w:rFonts w:cs="Arial"/>
          <w:sz w:val="26"/>
          <w:szCs w:val="26"/>
          <w:lang w:val="es-ES"/>
        </w:rPr>
      </w:pPr>
    </w:p>
    <w:p w:rsidR="00C03DB4" w:rsidRDefault="00C03DB4" w:rsidP="008C7554">
      <w:pPr>
        <w:numPr>
          <w:ilvl w:val="1"/>
          <w:numId w:val="28"/>
        </w:numPr>
        <w:tabs>
          <w:tab w:val="left" w:pos="720"/>
        </w:tabs>
        <w:ind w:left="0" w:firstLine="0"/>
        <w:rPr>
          <w:rFonts w:cs="Arial"/>
          <w:sz w:val="26"/>
          <w:szCs w:val="26"/>
          <w:lang w:val="es-ES"/>
        </w:rPr>
      </w:pPr>
      <w:r>
        <w:rPr>
          <w:rFonts w:cs="Arial"/>
          <w:sz w:val="26"/>
          <w:szCs w:val="26"/>
          <w:lang w:val="es-ES"/>
        </w:rPr>
        <w:t xml:space="preserve">Se ordenará que dentro de los </w:t>
      </w:r>
      <w:r w:rsidR="000C6840">
        <w:rPr>
          <w:rFonts w:cs="Arial"/>
          <w:sz w:val="26"/>
          <w:szCs w:val="26"/>
          <w:lang w:val="es-ES"/>
        </w:rPr>
        <w:t>quince (</w:t>
      </w:r>
      <w:r>
        <w:rPr>
          <w:rFonts w:cs="Arial"/>
          <w:sz w:val="26"/>
          <w:szCs w:val="26"/>
          <w:lang w:val="es-ES"/>
        </w:rPr>
        <w:t>15</w:t>
      </w:r>
      <w:r w:rsidR="000C6840">
        <w:rPr>
          <w:rFonts w:cs="Arial"/>
          <w:sz w:val="26"/>
          <w:szCs w:val="26"/>
          <w:lang w:val="es-ES"/>
        </w:rPr>
        <w:t>)</w:t>
      </w:r>
      <w:r>
        <w:rPr>
          <w:rFonts w:cs="Arial"/>
          <w:sz w:val="26"/>
          <w:szCs w:val="26"/>
          <w:lang w:val="es-ES"/>
        </w:rPr>
        <w:t xml:space="preserve"> días siguientes a la ejecutoria de esta sentencia, se publique la misma en el portal web del Ministerio de Defensa, que deberá disponer un enlace visible en su p</w:t>
      </w:r>
      <w:r w:rsidR="00CE1DA9">
        <w:rPr>
          <w:rFonts w:cs="Arial"/>
          <w:sz w:val="26"/>
          <w:szCs w:val="26"/>
          <w:lang w:val="es-ES"/>
        </w:rPr>
        <w:t>ágina inicial, de fácil acceso,</w:t>
      </w:r>
      <w:r>
        <w:rPr>
          <w:rFonts w:cs="Arial"/>
          <w:sz w:val="26"/>
          <w:szCs w:val="26"/>
          <w:lang w:val="es-ES"/>
        </w:rPr>
        <w:t xml:space="preserve"> con un título </w:t>
      </w:r>
      <w:r w:rsidR="00CE1DA9">
        <w:rPr>
          <w:rFonts w:cs="Arial"/>
          <w:sz w:val="26"/>
          <w:szCs w:val="26"/>
          <w:lang w:val="es-ES"/>
        </w:rPr>
        <w:t>respetuoso de los derechos de las víctimas y con</w:t>
      </w:r>
      <w:r w:rsidR="00396F42" w:rsidRPr="00CE1DA9">
        <w:rPr>
          <w:rFonts w:cs="Arial"/>
          <w:sz w:val="26"/>
          <w:szCs w:val="26"/>
          <w:lang w:val="es-ES"/>
        </w:rPr>
        <w:t xml:space="preserve"> reserva de identidad</w:t>
      </w:r>
      <w:r w:rsidRPr="00CE1DA9">
        <w:rPr>
          <w:rFonts w:cs="Arial"/>
          <w:sz w:val="26"/>
          <w:szCs w:val="26"/>
          <w:lang w:val="es-ES"/>
        </w:rPr>
        <w:t xml:space="preserve">, </w:t>
      </w:r>
      <w:r>
        <w:rPr>
          <w:rFonts w:cs="Arial"/>
          <w:sz w:val="26"/>
          <w:szCs w:val="26"/>
          <w:lang w:val="es-ES"/>
        </w:rPr>
        <w:t>por un lapso de tres meses.</w:t>
      </w:r>
    </w:p>
    <w:p w:rsidR="00C03DB4" w:rsidRDefault="00C03DB4" w:rsidP="00C03DB4">
      <w:pPr>
        <w:tabs>
          <w:tab w:val="left" w:pos="720"/>
        </w:tabs>
        <w:rPr>
          <w:rFonts w:cs="Arial"/>
          <w:sz w:val="26"/>
          <w:szCs w:val="26"/>
          <w:lang w:val="es-ES"/>
        </w:rPr>
      </w:pPr>
    </w:p>
    <w:p w:rsidR="00D419E8" w:rsidRDefault="00532848" w:rsidP="008C7554">
      <w:pPr>
        <w:numPr>
          <w:ilvl w:val="1"/>
          <w:numId w:val="28"/>
        </w:numPr>
        <w:tabs>
          <w:tab w:val="left" w:pos="720"/>
        </w:tabs>
        <w:ind w:left="0" w:firstLine="0"/>
        <w:rPr>
          <w:rFonts w:cs="Arial"/>
          <w:sz w:val="26"/>
          <w:szCs w:val="26"/>
          <w:lang w:val="es-ES"/>
        </w:rPr>
      </w:pPr>
      <w:r>
        <w:rPr>
          <w:rFonts w:cs="Arial"/>
          <w:sz w:val="26"/>
          <w:szCs w:val="26"/>
          <w:lang w:val="es-ES"/>
        </w:rPr>
        <w:t xml:space="preserve">Se enviará copia de esta sentencia a la Policía Nacional con el fin de </w:t>
      </w:r>
      <w:r w:rsidR="002B30A4">
        <w:rPr>
          <w:rFonts w:cs="Arial"/>
          <w:sz w:val="26"/>
          <w:szCs w:val="26"/>
          <w:lang w:val="es-ES"/>
        </w:rPr>
        <w:t>exhortar a la entidad a la adopción de</w:t>
      </w:r>
      <w:r w:rsidR="00D419E8">
        <w:rPr>
          <w:rFonts w:cs="Arial"/>
          <w:sz w:val="26"/>
          <w:szCs w:val="26"/>
          <w:lang w:val="es-ES"/>
        </w:rPr>
        <w:t xml:space="preserve"> las medidas necesarias para garantizar que los casos de violencia contra la mujer que llegan a su conocimiento sean tramitados e impulsados con la debida diligencia y acatamiento de los protocolos y lineamientos</w:t>
      </w:r>
      <w:r w:rsidR="002B30A4">
        <w:rPr>
          <w:rFonts w:cs="Arial"/>
          <w:sz w:val="26"/>
          <w:szCs w:val="26"/>
          <w:lang w:val="es-ES"/>
        </w:rPr>
        <w:t xml:space="preserve"> jurídicos</w:t>
      </w:r>
      <w:r w:rsidR="00D419E8">
        <w:rPr>
          <w:rFonts w:cs="Arial"/>
          <w:sz w:val="26"/>
          <w:szCs w:val="26"/>
          <w:lang w:val="es-ES"/>
        </w:rPr>
        <w:t xml:space="preserve"> nacionales e internacionales.</w:t>
      </w:r>
    </w:p>
    <w:p w:rsidR="008775BA" w:rsidRDefault="008775BA" w:rsidP="008C7554">
      <w:pPr>
        <w:tabs>
          <w:tab w:val="left" w:pos="720"/>
        </w:tabs>
        <w:rPr>
          <w:rFonts w:cs="Arial"/>
          <w:sz w:val="26"/>
          <w:szCs w:val="26"/>
          <w:lang w:val="es-ES"/>
        </w:rPr>
      </w:pPr>
    </w:p>
    <w:p w:rsidR="00D419E8" w:rsidRDefault="00D419E8" w:rsidP="008C7554">
      <w:pPr>
        <w:numPr>
          <w:ilvl w:val="1"/>
          <w:numId w:val="28"/>
        </w:numPr>
        <w:tabs>
          <w:tab w:val="left" w:pos="720"/>
        </w:tabs>
        <w:ind w:left="0" w:firstLine="0"/>
        <w:rPr>
          <w:rFonts w:cs="Arial"/>
          <w:sz w:val="26"/>
          <w:szCs w:val="26"/>
          <w:lang w:val="es-ES"/>
        </w:rPr>
      </w:pPr>
      <w:r>
        <w:rPr>
          <w:rFonts w:cs="Arial"/>
          <w:sz w:val="26"/>
          <w:szCs w:val="26"/>
          <w:lang w:val="es-ES"/>
        </w:rPr>
        <w:t xml:space="preserve">Se enviará copia de esta sentencia a la Fiscalía General de la Nación con el propósito de </w:t>
      </w:r>
      <w:r w:rsidR="00674F6E">
        <w:rPr>
          <w:rFonts w:cs="Arial"/>
          <w:sz w:val="26"/>
          <w:szCs w:val="26"/>
          <w:lang w:val="es-ES"/>
        </w:rPr>
        <w:t>exhortarla a la adopción de</w:t>
      </w:r>
      <w:r>
        <w:rPr>
          <w:rFonts w:cs="Arial"/>
          <w:sz w:val="26"/>
          <w:szCs w:val="26"/>
          <w:lang w:val="es-ES"/>
        </w:rPr>
        <w:t xml:space="preserve"> los correctivos necesarios para evitar que sus funcionarios incurran en conductas discriminatorias o en prejuicios de género al adelantar investigaciones y, especialmente, al interrogar a víctimas y testigos </w:t>
      </w:r>
      <w:r w:rsidR="00674F6E">
        <w:rPr>
          <w:rFonts w:cs="Arial"/>
          <w:sz w:val="26"/>
          <w:szCs w:val="26"/>
          <w:lang w:val="es-ES"/>
        </w:rPr>
        <w:t>en los</w:t>
      </w:r>
      <w:r>
        <w:rPr>
          <w:rFonts w:cs="Arial"/>
          <w:sz w:val="26"/>
          <w:szCs w:val="26"/>
          <w:lang w:val="es-ES"/>
        </w:rPr>
        <w:t xml:space="preserve"> casos de violencia contra la mujer.</w:t>
      </w:r>
    </w:p>
    <w:p w:rsidR="00D419E8" w:rsidRDefault="00D419E8" w:rsidP="00D419E8">
      <w:pPr>
        <w:pStyle w:val="Listavistosa-nfasis11"/>
        <w:rPr>
          <w:rFonts w:cs="Arial"/>
          <w:sz w:val="26"/>
          <w:szCs w:val="26"/>
          <w:lang w:val="es-ES"/>
        </w:rPr>
      </w:pPr>
    </w:p>
    <w:p w:rsidR="00C83803" w:rsidRDefault="00A537A1" w:rsidP="00C83803">
      <w:pPr>
        <w:numPr>
          <w:ilvl w:val="1"/>
          <w:numId w:val="28"/>
        </w:numPr>
        <w:tabs>
          <w:tab w:val="left" w:pos="720"/>
        </w:tabs>
        <w:ind w:left="0" w:firstLine="0"/>
        <w:rPr>
          <w:rFonts w:cs="Arial"/>
          <w:sz w:val="26"/>
          <w:szCs w:val="26"/>
          <w:lang w:val="es-ES"/>
        </w:rPr>
      </w:pPr>
      <w:r>
        <w:rPr>
          <w:rFonts w:cs="Arial"/>
          <w:sz w:val="26"/>
          <w:szCs w:val="26"/>
          <w:lang w:val="es-ES"/>
        </w:rPr>
        <w:t xml:space="preserve">Se enviará copia de esta sentencia a la </w:t>
      </w:r>
      <w:r w:rsidRPr="00A537A1">
        <w:rPr>
          <w:rFonts w:cs="Arial"/>
          <w:sz w:val="26"/>
          <w:szCs w:val="26"/>
          <w:lang w:val="es-ES"/>
        </w:rPr>
        <w:t>Alta Consejería para la Equidad de la Mujer</w:t>
      </w:r>
      <w:r>
        <w:rPr>
          <w:rFonts w:cs="Arial"/>
          <w:sz w:val="26"/>
          <w:szCs w:val="26"/>
          <w:lang w:val="es-ES"/>
        </w:rPr>
        <w:t xml:space="preserve"> con el fin de </w:t>
      </w:r>
      <w:r w:rsidR="00674F6E">
        <w:rPr>
          <w:rFonts w:cs="Arial"/>
          <w:sz w:val="26"/>
          <w:szCs w:val="26"/>
          <w:lang w:val="es-ES"/>
        </w:rPr>
        <w:t>exhortarla a la promoción de</w:t>
      </w:r>
      <w:r w:rsidR="00C83803" w:rsidRPr="00C83803">
        <w:rPr>
          <w:rFonts w:cs="Arial"/>
          <w:sz w:val="26"/>
          <w:szCs w:val="26"/>
          <w:lang w:val="es-ES"/>
        </w:rPr>
        <w:t xml:space="preserve"> políticas</w:t>
      </w:r>
      <w:r w:rsidR="00674F6E">
        <w:rPr>
          <w:rFonts w:cs="Arial"/>
          <w:sz w:val="26"/>
          <w:szCs w:val="26"/>
          <w:lang w:val="es-ES"/>
        </w:rPr>
        <w:t xml:space="preserve"> públicas</w:t>
      </w:r>
      <w:r w:rsidR="00C83803">
        <w:rPr>
          <w:rFonts w:cs="Arial"/>
          <w:sz w:val="26"/>
          <w:szCs w:val="26"/>
          <w:lang w:val="es-ES"/>
        </w:rPr>
        <w:t xml:space="preserve"> encaminadas a la prevención, investigación y sanción de la violencia contra la mujer en todas las instancias del poder público.</w:t>
      </w:r>
    </w:p>
    <w:p w:rsidR="00FA6607" w:rsidRDefault="00FA6607" w:rsidP="00FA6607">
      <w:pPr>
        <w:pStyle w:val="Listavistosa-nfasis11"/>
        <w:rPr>
          <w:rFonts w:cs="Arial"/>
          <w:sz w:val="26"/>
          <w:szCs w:val="26"/>
          <w:lang w:val="es-ES"/>
        </w:rPr>
      </w:pPr>
    </w:p>
    <w:p w:rsidR="00FA6607" w:rsidRDefault="00FA6607" w:rsidP="00FA6607">
      <w:pPr>
        <w:numPr>
          <w:ilvl w:val="1"/>
          <w:numId w:val="28"/>
        </w:numPr>
        <w:tabs>
          <w:tab w:val="left" w:pos="720"/>
        </w:tabs>
        <w:ind w:left="0" w:firstLine="0"/>
        <w:rPr>
          <w:rFonts w:cs="Arial"/>
          <w:sz w:val="26"/>
          <w:szCs w:val="26"/>
          <w:lang w:val="es-ES"/>
        </w:rPr>
      </w:pPr>
      <w:r>
        <w:rPr>
          <w:rFonts w:cs="Arial"/>
          <w:sz w:val="26"/>
          <w:szCs w:val="26"/>
          <w:lang w:val="es-ES"/>
        </w:rPr>
        <w:t xml:space="preserve">Se enviará copia de esta sentencia a la </w:t>
      </w:r>
      <w:r w:rsidRPr="00FA6607">
        <w:rPr>
          <w:rFonts w:cs="Arial"/>
          <w:sz w:val="26"/>
          <w:szCs w:val="26"/>
          <w:lang w:val="es-ES"/>
        </w:rPr>
        <w:t xml:space="preserve">Sala Administrativa del Consejo Superior de la Judicatura-Comisión Nacional de Género de la </w:t>
      </w:r>
      <w:r>
        <w:rPr>
          <w:rFonts w:cs="Arial"/>
          <w:sz w:val="26"/>
          <w:szCs w:val="26"/>
          <w:lang w:val="es-ES"/>
        </w:rPr>
        <w:t>Rama Judicial</w:t>
      </w:r>
      <w:r w:rsidRPr="00FA6607">
        <w:rPr>
          <w:rFonts w:cs="Arial"/>
          <w:sz w:val="26"/>
          <w:szCs w:val="26"/>
          <w:lang w:val="es-ES"/>
        </w:rPr>
        <w:t xml:space="preserve"> para </w:t>
      </w:r>
      <w:r>
        <w:rPr>
          <w:rFonts w:cs="Arial"/>
          <w:sz w:val="26"/>
          <w:szCs w:val="26"/>
          <w:lang w:val="es-ES"/>
        </w:rPr>
        <w:t>su inclusión</w:t>
      </w:r>
      <w:r w:rsidRPr="00FA6607">
        <w:rPr>
          <w:rFonts w:cs="Arial"/>
          <w:sz w:val="26"/>
          <w:szCs w:val="26"/>
          <w:lang w:val="es-ES"/>
        </w:rPr>
        <w:t xml:space="preserve"> en el observatorio de política de igualdad y no discriminación con enfoque diferencial y de género</w:t>
      </w:r>
      <w:r>
        <w:rPr>
          <w:rFonts w:cs="Arial"/>
          <w:sz w:val="26"/>
          <w:szCs w:val="26"/>
          <w:lang w:val="es-ES"/>
        </w:rPr>
        <w:t>.</w:t>
      </w:r>
    </w:p>
    <w:p w:rsidR="00C83803" w:rsidRDefault="00C83803" w:rsidP="00C83803">
      <w:pPr>
        <w:pStyle w:val="Listavistosa-nfasis11"/>
        <w:rPr>
          <w:rFonts w:cs="Arial"/>
          <w:sz w:val="26"/>
          <w:szCs w:val="26"/>
          <w:lang w:val="es-ES"/>
        </w:rPr>
      </w:pPr>
    </w:p>
    <w:p w:rsidR="008775BA" w:rsidRDefault="008775BA" w:rsidP="008C7554">
      <w:pPr>
        <w:numPr>
          <w:ilvl w:val="1"/>
          <w:numId w:val="28"/>
        </w:numPr>
        <w:tabs>
          <w:tab w:val="left" w:pos="720"/>
        </w:tabs>
        <w:ind w:left="0" w:firstLine="0"/>
        <w:rPr>
          <w:rFonts w:cs="Arial"/>
          <w:sz w:val="26"/>
          <w:szCs w:val="26"/>
          <w:lang w:val="es-ES"/>
        </w:rPr>
      </w:pPr>
      <w:r w:rsidRPr="001B1DC4">
        <w:rPr>
          <w:rFonts w:cs="Arial"/>
          <w:sz w:val="26"/>
          <w:szCs w:val="26"/>
          <w:lang w:val="es-ES"/>
        </w:rPr>
        <w:t xml:space="preserve">Por último, se </w:t>
      </w:r>
      <w:r>
        <w:rPr>
          <w:rFonts w:cs="Arial"/>
          <w:sz w:val="26"/>
          <w:szCs w:val="26"/>
          <w:lang w:val="es-ES"/>
        </w:rPr>
        <w:t>remitirán</w:t>
      </w:r>
      <w:r w:rsidR="006A4FA5">
        <w:rPr>
          <w:rFonts w:cs="Arial"/>
          <w:sz w:val="26"/>
          <w:szCs w:val="26"/>
          <w:lang w:val="es-ES"/>
        </w:rPr>
        <w:t xml:space="preserve"> copia</w:t>
      </w:r>
      <w:r w:rsidRPr="001B1DC4">
        <w:rPr>
          <w:rFonts w:cs="Arial"/>
          <w:sz w:val="26"/>
          <w:szCs w:val="26"/>
          <w:lang w:val="es-ES"/>
        </w:rPr>
        <w:t xml:space="preserve"> de esta sentencia con destino a la Procuraduría General de la Nación para que, en </w:t>
      </w:r>
      <w:r>
        <w:rPr>
          <w:rFonts w:cs="Arial"/>
          <w:sz w:val="26"/>
          <w:szCs w:val="26"/>
          <w:lang w:val="es-ES"/>
        </w:rPr>
        <w:t>atención al</w:t>
      </w:r>
      <w:r w:rsidRPr="001B1DC4">
        <w:rPr>
          <w:rFonts w:cs="Arial"/>
          <w:sz w:val="26"/>
          <w:szCs w:val="26"/>
          <w:lang w:val="es-ES"/>
        </w:rPr>
        <w:t xml:space="preserve"> artículo 24 del Decreto 262 de 2000, vigile el cumplimiento de lo resuelto.</w:t>
      </w:r>
    </w:p>
    <w:p w:rsidR="008775BA" w:rsidRDefault="008775BA" w:rsidP="008C7554">
      <w:pPr>
        <w:rPr>
          <w:rFonts w:cs="Arial"/>
          <w:sz w:val="26"/>
          <w:szCs w:val="26"/>
          <w:lang w:val="es-ES"/>
        </w:rPr>
      </w:pPr>
    </w:p>
    <w:p w:rsidR="008775BA" w:rsidRPr="00EC3981" w:rsidRDefault="008775BA" w:rsidP="008C7554">
      <w:pPr>
        <w:widowControl w:val="0"/>
        <w:autoSpaceDN w:val="0"/>
        <w:adjustRightInd w:val="0"/>
        <w:rPr>
          <w:rFonts w:cs="Arial"/>
          <w:b/>
          <w:sz w:val="26"/>
          <w:szCs w:val="26"/>
        </w:rPr>
      </w:pPr>
      <w:r w:rsidRPr="00EC3981">
        <w:rPr>
          <w:rFonts w:cs="Arial"/>
          <w:b/>
          <w:sz w:val="26"/>
          <w:szCs w:val="26"/>
        </w:rPr>
        <w:t>VI</w:t>
      </w:r>
      <w:r>
        <w:rPr>
          <w:rFonts w:cs="Arial"/>
          <w:b/>
          <w:sz w:val="26"/>
          <w:szCs w:val="26"/>
        </w:rPr>
        <w:t>I.  Costas</w:t>
      </w:r>
    </w:p>
    <w:p w:rsidR="008775BA" w:rsidRPr="00EC3981" w:rsidRDefault="008775BA" w:rsidP="008C7554">
      <w:pPr>
        <w:pStyle w:val="Prrafodelista2"/>
        <w:ind w:left="0"/>
        <w:rPr>
          <w:rFonts w:cs="Arial"/>
          <w:sz w:val="26"/>
          <w:szCs w:val="26"/>
        </w:rPr>
      </w:pPr>
    </w:p>
    <w:p w:rsidR="008775BA" w:rsidRPr="00CC1998" w:rsidRDefault="008775BA" w:rsidP="008C7554">
      <w:pPr>
        <w:pStyle w:val="Prrafodelista2"/>
        <w:numPr>
          <w:ilvl w:val="0"/>
          <w:numId w:val="28"/>
        </w:numPr>
        <w:ind w:left="0" w:firstLine="0"/>
        <w:rPr>
          <w:rFonts w:cs="Arial"/>
          <w:bCs/>
          <w:sz w:val="26"/>
          <w:szCs w:val="26"/>
        </w:rPr>
      </w:pPr>
      <w:r w:rsidRPr="008A7A20">
        <w:rPr>
          <w:rFonts w:cs="Arial"/>
          <w:bCs/>
          <w:sz w:val="26"/>
          <w:szCs w:val="26"/>
        </w:rPr>
        <w:t>El artículo 55 de la Ley 446 de 1998 indica que se condenará en costas a la parte que haya actuado de forma temeraria. En el presente caso,</w:t>
      </w:r>
      <w:r w:rsidR="00790744">
        <w:rPr>
          <w:rFonts w:cs="Arial"/>
          <w:bCs/>
          <w:sz w:val="26"/>
          <w:szCs w:val="26"/>
        </w:rPr>
        <w:t xml:space="preserve"> a pesar de que la parte actora solicitó que se condenara </w:t>
      </w:r>
      <w:r w:rsidR="00231844">
        <w:rPr>
          <w:rFonts w:cs="Arial"/>
          <w:bCs/>
          <w:sz w:val="26"/>
          <w:szCs w:val="26"/>
        </w:rPr>
        <w:t>por este concepto</w:t>
      </w:r>
      <w:r w:rsidR="00790744">
        <w:rPr>
          <w:rFonts w:cs="Arial"/>
          <w:bCs/>
          <w:sz w:val="26"/>
          <w:szCs w:val="26"/>
        </w:rPr>
        <w:t xml:space="preserve"> a la entidad </w:t>
      </w:r>
      <w:r w:rsidR="00231844" w:rsidRPr="00231844">
        <w:rPr>
          <w:rFonts w:cs="Arial"/>
          <w:bCs/>
          <w:sz w:val="22"/>
          <w:szCs w:val="22"/>
        </w:rPr>
        <w:t>(f. 8, c. 1)</w:t>
      </w:r>
      <w:r w:rsidR="00790744">
        <w:rPr>
          <w:rFonts w:cs="Arial"/>
          <w:bCs/>
          <w:sz w:val="26"/>
          <w:szCs w:val="26"/>
        </w:rPr>
        <w:t>,</w:t>
      </w:r>
      <w:r w:rsidRPr="008A7A20">
        <w:rPr>
          <w:rFonts w:cs="Arial"/>
          <w:bCs/>
          <w:sz w:val="26"/>
          <w:szCs w:val="26"/>
        </w:rPr>
        <w:t xml:space="preserve"> no </w:t>
      </w:r>
      <w:r w:rsidR="00231844">
        <w:rPr>
          <w:rFonts w:cs="Arial"/>
          <w:bCs/>
          <w:sz w:val="26"/>
          <w:szCs w:val="26"/>
        </w:rPr>
        <w:t xml:space="preserve">se </w:t>
      </w:r>
      <w:r w:rsidRPr="008A7A20">
        <w:rPr>
          <w:rFonts w:cs="Arial"/>
          <w:bCs/>
          <w:sz w:val="26"/>
          <w:szCs w:val="26"/>
        </w:rPr>
        <w:t xml:space="preserve">observa comportamiento temerario en </w:t>
      </w:r>
      <w:r w:rsidR="00790744">
        <w:rPr>
          <w:rFonts w:cs="Arial"/>
          <w:bCs/>
          <w:sz w:val="26"/>
          <w:szCs w:val="26"/>
        </w:rPr>
        <w:t xml:space="preserve">la actuación de la </w:t>
      </w:r>
      <w:r w:rsidR="00231844">
        <w:rPr>
          <w:rFonts w:cs="Arial"/>
          <w:bCs/>
          <w:sz w:val="26"/>
          <w:szCs w:val="26"/>
        </w:rPr>
        <w:t>demandada</w:t>
      </w:r>
      <w:r w:rsidR="00790744">
        <w:rPr>
          <w:rFonts w:cs="Arial"/>
          <w:bCs/>
          <w:sz w:val="26"/>
          <w:szCs w:val="26"/>
        </w:rPr>
        <w:t xml:space="preserve">, por lo que </w:t>
      </w:r>
      <w:r w:rsidR="00231844">
        <w:rPr>
          <w:rFonts w:cs="Arial"/>
          <w:bCs/>
          <w:sz w:val="26"/>
          <w:szCs w:val="26"/>
        </w:rPr>
        <w:t xml:space="preserve">se </w:t>
      </w:r>
      <w:r w:rsidR="00790744">
        <w:rPr>
          <w:rFonts w:cs="Arial"/>
          <w:bCs/>
          <w:sz w:val="26"/>
          <w:szCs w:val="26"/>
        </w:rPr>
        <w:t>denegará esta solicitud.</w:t>
      </w:r>
    </w:p>
    <w:p w:rsidR="008775BA" w:rsidRPr="00CC1998" w:rsidRDefault="008775BA" w:rsidP="008C7554">
      <w:pPr>
        <w:pStyle w:val="Prrafodelista2"/>
        <w:ind w:left="0"/>
        <w:rPr>
          <w:rFonts w:cs="Arial"/>
          <w:bCs/>
          <w:sz w:val="26"/>
          <w:szCs w:val="26"/>
        </w:rPr>
      </w:pPr>
    </w:p>
    <w:p w:rsidR="008775BA" w:rsidRPr="00CC1998" w:rsidRDefault="008775BA" w:rsidP="008C7554">
      <w:pPr>
        <w:pStyle w:val="Prrafodelista2"/>
        <w:ind w:left="0"/>
        <w:rPr>
          <w:rFonts w:cs="Arial"/>
          <w:bCs/>
          <w:sz w:val="26"/>
          <w:szCs w:val="26"/>
        </w:rPr>
      </w:pPr>
      <w:r w:rsidRPr="00CC1998">
        <w:rPr>
          <w:sz w:val="26"/>
          <w:szCs w:val="26"/>
        </w:rPr>
        <w:t xml:space="preserve">En mérito de lo expuesto, </w:t>
      </w:r>
      <w:r>
        <w:rPr>
          <w:sz w:val="26"/>
          <w:szCs w:val="26"/>
        </w:rPr>
        <w:t>el Consejo de Estado,</w:t>
      </w:r>
      <w:r w:rsidRPr="00CC1998">
        <w:rPr>
          <w:sz w:val="26"/>
          <w:szCs w:val="26"/>
        </w:rPr>
        <w:t xml:space="preserve"> Sala de lo Contencioso Administrativo, Sección Tercera, Subsección B, administrando justicia en nombre de la República de Colombia y por autoridad de la ley,</w:t>
      </w:r>
    </w:p>
    <w:p w:rsidR="008775BA" w:rsidRPr="00EC3981" w:rsidRDefault="008775BA" w:rsidP="008C7554">
      <w:pPr>
        <w:rPr>
          <w:rFonts w:cs="Arial"/>
          <w:sz w:val="26"/>
          <w:szCs w:val="26"/>
          <w:lang w:val="es-ES"/>
        </w:rPr>
      </w:pPr>
    </w:p>
    <w:p w:rsidR="008775BA" w:rsidRPr="00EC3981" w:rsidRDefault="008775BA" w:rsidP="008C7554"/>
    <w:p w:rsidR="008775BA" w:rsidRPr="00EC3981" w:rsidRDefault="008775BA" w:rsidP="008C7554">
      <w:pPr>
        <w:jc w:val="center"/>
        <w:rPr>
          <w:rFonts w:cs="Arial"/>
          <w:b/>
          <w:sz w:val="26"/>
          <w:szCs w:val="26"/>
          <w:lang w:val="es-ES"/>
        </w:rPr>
      </w:pPr>
      <w:r>
        <w:rPr>
          <w:rFonts w:cs="Arial"/>
          <w:b/>
          <w:sz w:val="26"/>
          <w:szCs w:val="26"/>
          <w:lang w:val="es-ES"/>
        </w:rPr>
        <w:t>FALLA</w:t>
      </w:r>
    </w:p>
    <w:p w:rsidR="008775BA" w:rsidRPr="00EC3981" w:rsidRDefault="008775BA" w:rsidP="008C7554">
      <w:pPr>
        <w:rPr>
          <w:rFonts w:cs="Arial"/>
          <w:sz w:val="26"/>
          <w:szCs w:val="26"/>
          <w:lang w:val="es-ES"/>
        </w:rPr>
      </w:pPr>
    </w:p>
    <w:p w:rsidR="008775BA" w:rsidRPr="00EC3981" w:rsidRDefault="00FD0911" w:rsidP="008C7554">
      <w:pPr>
        <w:rPr>
          <w:rFonts w:cs="Arial"/>
          <w:sz w:val="26"/>
          <w:szCs w:val="26"/>
          <w:lang w:val="es-ES"/>
        </w:rPr>
      </w:pPr>
      <w:r>
        <w:rPr>
          <w:rFonts w:cs="Arial"/>
          <w:b/>
          <w:sz w:val="26"/>
          <w:szCs w:val="26"/>
          <w:lang w:val="es-ES"/>
        </w:rPr>
        <w:t>REVOCAR</w:t>
      </w:r>
      <w:r w:rsidR="008775BA" w:rsidRPr="00EC3981">
        <w:rPr>
          <w:rFonts w:cs="Arial"/>
          <w:sz w:val="26"/>
          <w:szCs w:val="26"/>
          <w:lang w:val="es-ES"/>
        </w:rPr>
        <w:t xml:space="preserve"> </w:t>
      </w:r>
      <w:r w:rsidR="008775BA">
        <w:rPr>
          <w:rFonts w:cs="Arial"/>
          <w:sz w:val="26"/>
          <w:szCs w:val="26"/>
          <w:lang w:val="es-ES"/>
        </w:rPr>
        <w:t xml:space="preserve">la </w:t>
      </w:r>
      <w:r w:rsidR="00A9486C">
        <w:rPr>
          <w:rFonts w:cs="Arial"/>
          <w:sz w:val="26"/>
          <w:szCs w:val="26"/>
          <w:lang w:val="es-ES"/>
        </w:rPr>
        <w:t>sentencia</w:t>
      </w:r>
      <w:r w:rsidR="008775BA">
        <w:rPr>
          <w:rFonts w:cs="Arial"/>
          <w:sz w:val="26"/>
          <w:szCs w:val="26"/>
          <w:lang w:val="es-ES"/>
        </w:rPr>
        <w:t xml:space="preserve"> </w:t>
      </w:r>
      <w:r w:rsidR="00A9486C">
        <w:rPr>
          <w:rFonts w:cs="Arial"/>
          <w:sz w:val="26"/>
          <w:szCs w:val="26"/>
          <w:lang w:val="es-ES"/>
        </w:rPr>
        <w:t>de</w:t>
      </w:r>
      <w:r w:rsidR="008775BA">
        <w:rPr>
          <w:sz w:val="26"/>
          <w:szCs w:val="26"/>
          <w:lang w:val="es-ES"/>
        </w:rPr>
        <w:t xml:space="preserve"> </w:t>
      </w:r>
      <w:r w:rsidR="00A9486C" w:rsidRPr="00EC3981">
        <w:rPr>
          <w:sz w:val="26"/>
          <w:szCs w:val="26"/>
          <w:lang w:val="es-ES"/>
        </w:rPr>
        <w:t>2</w:t>
      </w:r>
      <w:r w:rsidR="00A9486C">
        <w:rPr>
          <w:sz w:val="26"/>
          <w:szCs w:val="26"/>
          <w:lang w:val="es-ES"/>
        </w:rPr>
        <w:t>0</w:t>
      </w:r>
      <w:r w:rsidR="00A9486C" w:rsidRPr="00EC3981">
        <w:rPr>
          <w:sz w:val="26"/>
          <w:szCs w:val="26"/>
          <w:lang w:val="es-ES"/>
        </w:rPr>
        <w:t xml:space="preserve"> de </w:t>
      </w:r>
      <w:r w:rsidR="00A9486C">
        <w:rPr>
          <w:sz w:val="26"/>
          <w:szCs w:val="26"/>
          <w:lang w:val="es-ES"/>
        </w:rPr>
        <w:t>agosto de 2004, dictada</w:t>
      </w:r>
      <w:r w:rsidR="008775BA">
        <w:rPr>
          <w:sz w:val="26"/>
          <w:szCs w:val="26"/>
          <w:lang w:val="es-ES"/>
        </w:rPr>
        <w:t xml:space="preserve"> </w:t>
      </w:r>
      <w:r w:rsidR="008775BA" w:rsidRPr="00EC3981">
        <w:rPr>
          <w:rFonts w:cs="Arial"/>
          <w:sz w:val="26"/>
          <w:szCs w:val="26"/>
          <w:lang w:val="es-ES"/>
        </w:rPr>
        <w:t xml:space="preserve">por el Tribunal </w:t>
      </w:r>
      <w:r w:rsidR="008775BA">
        <w:rPr>
          <w:rFonts w:cs="Arial"/>
          <w:sz w:val="26"/>
          <w:szCs w:val="26"/>
          <w:lang w:val="es-ES"/>
        </w:rPr>
        <w:t xml:space="preserve">Contencioso </w:t>
      </w:r>
      <w:r w:rsidR="008775BA" w:rsidRPr="00EC3981">
        <w:rPr>
          <w:rFonts w:cs="Arial"/>
          <w:sz w:val="26"/>
          <w:szCs w:val="26"/>
          <w:lang w:val="es-ES"/>
        </w:rPr>
        <w:t xml:space="preserve">Administrativo de </w:t>
      </w:r>
      <w:r w:rsidR="008775BA">
        <w:rPr>
          <w:rFonts w:cs="Arial"/>
          <w:sz w:val="26"/>
          <w:szCs w:val="26"/>
          <w:lang w:val="es-ES"/>
        </w:rPr>
        <w:t>Arauca</w:t>
      </w:r>
      <w:r w:rsidR="008775BA">
        <w:rPr>
          <w:sz w:val="26"/>
          <w:szCs w:val="26"/>
          <w:lang w:val="es-ES"/>
        </w:rPr>
        <w:t xml:space="preserve">, </w:t>
      </w:r>
      <w:r w:rsidR="00A9486C">
        <w:rPr>
          <w:sz w:val="26"/>
          <w:szCs w:val="26"/>
          <w:lang w:val="es-ES"/>
        </w:rPr>
        <w:t>y en su lugar dispone</w:t>
      </w:r>
      <w:r w:rsidR="008775BA">
        <w:rPr>
          <w:sz w:val="26"/>
          <w:szCs w:val="26"/>
          <w:lang w:val="es-ES"/>
        </w:rPr>
        <w:t>:</w:t>
      </w:r>
    </w:p>
    <w:p w:rsidR="008775BA" w:rsidRPr="00EC3981" w:rsidRDefault="008775BA" w:rsidP="008C7554">
      <w:pPr>
        <w:rPr>
          <w:rFonts w:cs="Arial"/>
          <w:sz w:val="26"/>
          <w:szCs w:val="26"/>
          <w:lang w:val="es-ES"/>
        </w:rPr>
      </w:pPr>
    </w:p>
    <w:p w:rsidR="008775BA" w:rsidRDefault="008775BA" w:rsidP="008C7554">
      <w:pPr>
        <w:rPr>
          <w:b/>
          <w:sz w:val="26"/>
          <w:szCs w:val="26"/>
        </w:rPr>
      </w:pPr>
      <w:r>
        <w:rPr>
          <w:b/>
          <w:sz w:val="26"/>
          <w:szCs w:val="26"/>
        </w:rPr>
        <w:t>PRIMERO</w:t>
      </w:r>
      <w:r w:rsidRPr="00740B84">
        <w:rPr>
          <w:sz w:val="26"/>
          <w:szCs w:val="26"/>
        </w:rPr>
        <w:t>:</w:t>
      </w:r>
      <w:r>
        <w:rPr>
          <w:b/>
          <w:sz w:val="26"/>
          <w:szCs w:val="26"/>
        </w:rPr>
        <w:t xml:space="preserve"> DECLARAR</w:t>
      </w:r>
      <w:r w:rsidRPr="00400FE9">
        <w:rPr>
          <w:b/>
          <w:sz w:val="26"/>
          <w:szCs w:val="26"/>
        </w:rPr>
        <w:t xml:space="preserve"> </w:t>
      </w:r>
      <w:r>
        <w:rPr>
          <w:sz w:val="26"/>
          <w:szCs w:val="26"/>
        </w:rPr>
        <w:t xml:space="preserve">responsable administrativa y patrimonialmente a la </w:t>
      </w:r>
      <w:r w:rsidRPr="003D2220">
        <w:rPr>
          <w:rFonts w:cs="Arial"/>
          <w:sz w:val="26"/>
          <w:szCs w:val="26"/>
        </w:rPr>
        <w:t>Nación-Ministerio</w:t>
      </w:r>
      <w:r>
        <w:rPr>
          <w:rFonts w:cs="Arial"/>
          <w:sz w:val="26"/>
          <w:szCs w:val="26"/>
        </w:rPr>
        <w:t xml:space="preserve"> de Defensa-Ejército Nacional</w:t>
      </w:r>
      <w:r w:rsidR="00CA4494">
        <w:rPr>
          <w:sz w:val="26"/>
          <w:szCs w:val="26"/>
        </w:rPr>
        <w:t xml:space="preserve"> por </w:t>
      </w:r>
      <w:r w:rsidR="00A9486C">
        <w:rPr>
          <w:sz w:val="26"/>
          <w:szCs w:val="26"/>
        </w:rPr>
        <w:t>l</w:t>
      </w:r>
      <w:r w:rsidR="00CA4494">
        <w:rPr>
          <w:sz w:val="26"/>
          <w:szCs w:val="26"/>
        </w:rPr>
        <w:t>os</w:t>
      </w:r>
      <w:r w:rsidR="00A9486C">
        <w:rPr>
          <w:sz w:val="26"/>
          <w:szCs w:val="26"/>
        </w:rPr>
        <w:t xml:space="preserve"> daño</w:t>
      </w:r>
      <w:r w:rsidR="00CA4494">
        <w:rPr>
          <w:sz w:val="26"/>
          <w:szCs w:val="26"/>
        </w:rPr>
        <w:t>s antijurídicos</w:t>
      </w:r>
      <w:r w:rsidR="00A9486C">
        <w:rPr>
          <w:sz w:val="26"/>
          <w:szCs w:val="26"/>
        </w:rPr>
        <w:t xml:space="preserve"> inferido</w:t>
      </w:r>
      <w:r w:rsidR="00CA4494">
        <w:rPr>
          <w:sz w:val="26"/>
          <w:szCs w:val="26"/>
        </w:rPr>
        <w:t>s</w:t>
      </w:r>
      <w:r w:rsidR="00A9486C">
        <w:rPr>
          <w:sz w:val="26"/>
          <w:szCs w:val="26"/>
        </w:rPr>
        <w:t xml:space="preserve"> a Mónica Marisol Rodríguez Bustamante</w:t>
      </w:r>
      <w:r w:rsidR="00CA4494">
        <w:rPr>
          <w:sz w:val="26"/>
          <w:szCs w:val="26"/>
        </w:rPr>
        <w:t xml:space="preserve"> y a su círculo familiar cercano.</w:t>
      </w:r>
    </w:p>
    <w:p w:rsidR="008775BA" w:rsidRDefault="008775BA" w:rsidP="008C7554">
      <w:pPr>
        <w:rPr>
          <w:b/>
          <w:sz w:val="26"/>
          <w:szCs w:val="26"/>
        </w:rPr>
      </w:pPr>
    </w:p>
    <w:p w:rsidR="00A9486C" w:rsidRDefault="008775BA" w:rsidP="008C7554">
      <w:pPr>
        <w:rPr>
          <w:rFonts w:cs="Arial"/>
          <w:sz w:val="26"/>
          <w:szCs w:val="26"/>
        </w:rPr>
      </w:pPr>
      <w:r>
        <w:rPr>
          <w:b/>
          <w:sz w:val="26"/>
          <w:szCs w:val="26"/>
        </w:rPr>
        <w:t>SEGUNDO</w:t>
      </w:r>
      <w:r w:rsidRPr="00740B84">
        <w:rPr>
          <w:sz w:val="26"/>
          <w:szCs w:val="26"/>
        </w:rPr>
        <w:t>:</w:t>
      </w:r>
      <w:r>
        <w:rPr>
          <w:b/>
          <w:sz w:val="26"/>
          <w:szCs w:val="26"/>
        </w:rPr>
        <w:t xml:space="preserve"> CONDENAR</w:t>
      </w:r>
      <w:r w:rsidRPr="00400FE9">
        <w:rPr>
          <w:b/>
          <w:sz w:val="26"/>
          <w:szCs w:val="26"/>
        </w:rPr>
        <w:t xml:space="preserve"> </w:t>
      </w:r>
      <w:r>
        <w:rPr>
          <w:sz w:val="26"/>
          <w:szCs w:val="26"/>
        </w:rPr>
        <w:t xml:space="preserve">a la </w:t>
      </w:r>
      <w:r>
        <w:rPr>
          <w:rFonts w:cs="Arial"/>
          <w:sz w:val="26"/>
          <w:szCs w:val="26"/>
        </w:rPr>
        <w:t>Nación-Ministerio de Defensa-Ejército Nacional</w:t>
      </w:r>
      <w:r>
        <w:rPr>
          <w:sz w:val="26"/>
          <w:szCs w:val="26"/>
        </w:rPr>
        <w:t xml:space="preserve"> a pagar por concepto de perjuicios morales:</w:t>
      </w:r>
      <w:r w:rsidRPr="00AB1FB2">
        <w:rPr>
          <w:rFonts w:cs="Arial"/>
          <w:sz w:val="26"/>
          <w:szCs w:val="26"/>
        </w:rPr>
        <w:t xml:space="preserve"> a favor de </w:t>
      </w:r>
      <w:r w:rsidR="00A9486C">
        <w:rPr>
          <w:sz w:val="26"/>
          <w:szCs w:val="26"/>
        </w:rPr>
        <w:t xml:space="preserve">Mónica Marisol Rodríguez Bustamante y </w:t>
      </w:r>
      <w:r w:rsidR="00A9486C" w:rsidRPr="00A9486C">
        <w:rPr>
          <w:rFonts w:cs="Arial"/>
          <w:sz w:val="26"/>
          <w:szCs w:val="26"/>
        </w:rPr>
        <w:t xml:space="preserve">Virginia Bustamante Sánchez, </w:t>
      </w:r>
      <w:r w:rsidR="00A9486C">
        <w:rPr>
          <w:rFonts w:cs="Arial"/>
          <w:sz w:val="26"/>
          <w:szCs w:val="26"/>
        </w:rPr>
        <w:t xml:space="preserve">la suma de 100 smlmv para cada una; y a favor de </w:t>
      </w:r>
      <w:r w:rsidR="00A9486C" w:rsidRPr="00A9486C">
        <w:rPr>
          <w:rFonts w:cs="Arial"/>
          <w:sz w:val="26"/>
          <w:szCs w:val="26"/>
        </w:rPr>
        <w:t>Kendy Yecid Rodríguez Bustamante, Claudia Rosio Rodríguez Bustamante y Carmen Lorena Rodríguez Bustamante</w:t>
      </w:r>
      <w:r w:rsidR="00A9486C">
        <w:rPr>
          <w:rFonts w:cs="Arial"/>
          <w:sz w:val="26"/>
          <w:szCs w:val="26"/>
        </w:rPr>
        <w:t>, el valor de 50 smlmv para cada uno de ellos.</w:t>
      </w:r>
    </w:p>
    <w:p w:rsidR="008775BA" w:rsidRDefault="008775BA" w:rsidP="008C7554">
      <w:pPr>
        <w:rPr>
          <w:sz w:val="26"/>
          <w:szCs w:val="26"/>
        </w:rPr>
      </w:pPr>
    </w:p>
    <w:p w:rsidR="00A9486C" w:rsidRDefault="008775BA" w:rsidP="008C7554">
      <w:pPr>
        <w:rPr>
          <w:sz w:val="26"/>
          <w:szCs w:val="26"/>
        </w:rPr>
      </w:pPr>
      <w:r>
        <w:rPr>
          <w:b/>
          <w:sz w:val="26"/>
          <w:szCs w:val="26"/>
        </w:rPr>
        <w:t>TERCERO</w:t>
      </w:r>
      <w:r w:rsidRPr="00740B84">
        <w:rPr>
          <w:sz w:val="26"/>
          <w:szCs w:val="26"/>
        </w:rPr>
        <w:t>:</w:t>
      </w:r>
      <w:r>
        <w:rPr>
          <w:b/>
          <w:sz w:val="26"/>
          <w:szCs w:val="26"/>
        </w:rPr>
        <w:t xml:space="preserve"> CONDENAR</w:t>
      </w:r>
      <w:r w:rsidRPr="00400FE9">
        <w:rPr>
          <w:b/>
          <w:sz w:val="26"/>
          <w:szCs w:val="26"/>
        </w:rPr>
        <w:t xml:space="preserve"> </w:t>
      </w:r>
      <w:r>
        <w:rPr>
          <w:sz w:val="26"/>
          <w:szCs w:val="26"/>
        </w:rPr>
        <w:t xml:space="preserve">a la </w:t>
      </w:r>
      <w:r>
        <w:rPr>
          <w:rFonts w:cs="Arial"/>
          <w:sz w:val="26"/>
          <w:szCs w:val="26"/>
        </w:rPr>
        <w:t>Nación-Ministerio de Defensa-Ejército Nacional</w:t>
      </w:r>
      <w:r>
        <w:rPr>
          <w:sz w:val="26"/>
          <w:szCs w:val="26"/>
        </w:rPr>
        <w:t xml:space="preserve"> a pagar por concepto de reparación de</w:t>
      </w:r>
      <w:r w:rsidR="00A9486C">
        <w:rPr>
          <w:sz w:val="26"/>
          <w:szCs w:val="26"/>
        </w:rPr>
        <w:t>l daño a la salud, a favor de</w:t>
      </w:r>
      <w:r>
        <w:rPr>
          <w:sz w:val="26"/>
          <w:szCs w:val="26"/>
        </w:rPr>
        <w:t xml:space="preserve"> </w:t>
      </w:r>
      <w:r w:rsidR="00A9486C">
        <w:rPr>
          <w:sz w:val="26"/>
          <w:szCs w:val="26"/>
        </w:rPr>
        <w:t xml:space="preserve">Mónica Marisol Rodríguez Bustamante, el equivalente a </w:t>
      </w:r>
      <w:r w:rsidR="00CE1DA9">
        <w:rPr>
          <w:sz w:val="26"/>
          <w:szCs w:val="26"/>
        </w:rPr>
        <w:t>4</w:t>
      </w:r>
      <w:r w:rsidR="00A9486C">
        <w:rPr>
          <w:sz w:val="26"/>
          <w:szCs w:val="26"/>
        </w:rPr>
        <w:t>00 smlmv.</w:t>
      </w:r>
    </w:p>
    <w:p w:rsidR="00A9486C" w:rsidRDefault="00A9486C" w:rsidP="008C7554">
      <w:pPr>
        <w:rPr>
          <w:sz w:val="26"/>
          <w:szCs w:val="26"/>
        </w:rPr>
      </w:pPr>
    </w:p>
    <w:p w:rsidR="00A9486C" w:rsidRDefault="00A9486C" w:rsidP="008C7554">
      <w:pPr>
        <w:rPr>
          <w:b/>
          <w:sz w:val="26"/>
          <w:szCs w:val="26"/>
        </w:rPr>
      </w:pPr>
      <w:r w:rsidRPr="00A9486C">
        <w:rPr>
          <w:b/>
          <w:sz w:val="26"/>
          <w:szCs w:val="26"/>
        </w:rPr>
        <w:t xml:space="preserve">CUARTO: </w:t>
      </w:r>
      <w:r w:rsidRPr="00BA7D0E">
        <w:rPr>
          <w:b/>
          <w:sz w:val="26"/>
          <w:szCs w:val="26"/>
          <w:lang w:val="es-ES"/>
        </w:rPr>
        <w:t>ORDENAR</w:t>
      </w:r>
      <w:r w:rsidRPr="00BA7D0E">
        <w:rPr>
          <w:sz w:val="26"/>
          <w:szCs w:val="26"/>
          <w:lang w:val="es-ES"/>
        </w:rPr>
        <w:t xml:space="preserve"> a la </w:t>
      </w:r>
      <w:r>
        <w:rPr>
          <w:sz w:val="26"/>
          <w:szCs w:val="26"/>
        </w:rPr>
        <w:t>Nación-Ministerio de Defensa-Ejército Nacional la prestación del servicio médico, psicológico y psiquiátrico, a favor de Mónica Marisol Rodríguez Bustamante, en los términos fijados en la parte motiva de esta providencia</w:t>
      </w:r>
      <w:r w:rsidR="006A4FA5">
        <w:rPr>
          <w:sz w:val="26"/>
          <w:szCs w:val="26"/>
        </w:rPr>
        <w:t xml:space="preserve"> (párrafo 70.5).</w:t>
      </w:r>
    </w:p>
    <w:p w:rsidR="00A9486C" w:rsidRDefault="00A9486C" w:rsidP="008C7554">
      <w:pPr>
        <w:rPr>
          <w:b/>
          <w:sz w:val="26"/>
          <w:szCs w:val="26"/>
        </w:rPr>
      </w:pPr>
    </w:p>
    <w:p w:rsidR="008775BA" w:rsidRPr="00A9486C" w:rsidRDefault="00A9486C" w:rsidP="008C7554">
      <w:pPr>
        <w:rPr>
          <w:b/>
          <w:sz w:val="26"/>
          <w:szCs w:val="26"/>
        </w:rPr>
      </w:pPr>
      <w:r>
        <w:rPr>
          <w:b/>
          <w:sz w:val="26"/>
          <w:szCs w:val="26"/>
        </w:rPr>
        <w:t xml:space="preserve">QUINTO: </w:t>
      </w:r>
      <w:r w:rsidRPr="00A9486C">
        <w:rPr>
          <w:b/>
          <w:sz w:val="26"/>
          <w:szCs w:val="26"/>
        </w:rPr>
        <w:t xml:space="preserve">CONDENAR </w:t>
      </w:r>
      <w:r>
        <w:rPr>
          <w:sz w:val="26"/>
          <w:szCs w:val="26"/>
        </w:rPr>
        <w:t xml:space="preserve">a la </w:t>
      </w:r>
      <w:r>
        <w:rPr>
          <w:rFonts w:cs="Arial"/>
          <w:sz w:val="26"/>
          <w:szCs w:val="26"/>
        </w:rPr>
        <w:t>Nación-Ministerio de Defensa-Ejército Nacional</w:t>
      </w:r>
      <w:r>
        <w:rPr>
          <w:sz w:val="26"/>
          <w:szCs w:val="26"/>
        </w:rPr>
        <w:t xml:space="preserve"> a pagar por concepto de reparación de </w:t>
      </w:r>
      <w:r w:rsidR="008775BA">
        <w:rPr>
          <w:sz w:val="26"/>
          <w:szCs w:val="26"/>
        </w:rPr>
        <w:t xml:space="preserve">perjuicios materiales en la </w:t>
      </w:r>
      <w:r>
        <w:rPr>
          <w:sz w:val="26"/>
          <w:szCs w:val="26"/>
        </w:rPr>
        <w:t>modalidad de lucro cesante,</w:t>
      </w:r>
      <w:r w:rsidR="008775BA">
        <w:rPr>
          <w:sz w:val="26"/>
          <w:szCs w:val="26"/>
        </w:rPr>
        <w:t xml:space="preserve"> </w:t>
      </w:r>
      <w:r w:rsidR="008775BA" w:rsidRPr="00A41A9F">
        <w:rPr>
          <w:rFonts w:cs="Arial"/>
          <w:bCs/>
          <w:sz w:val="26"/>
          <w:szCs w:val="26"/>
        </w:rPr>
        <w:t>a</w:t>
      </w:r>
      <w:r w:rsidR="008775BA" w:rsidRPr="00A41A9F">
        <w:rPr>
          <w:rFonts w:cs="Arial"/>
          <w:sz w:val="26"/>
          <w:szCs w:val="26"/>
        </w:rPr>
        <w:t xml:space="preserve"> favor de </w:t>
      </w:r>
      <w:r>
        <w:rPr>
          <w:sz w:val="26"/>
          <w:szCs w:val="26"/>
        </w:rPr>
        <w:t>Mónica Marisol Rodríguez Bustamante</w:t>
      </w:r>
      <w:r w:rsidR="008775BA" w:rsidRPr="00A41A9F">
        <w:rPr>
          <w:rFonts w:cs="Arial"/>
          <w:sz w:val="26"/>
          <w:szCs w:val="26"/>
        </w:rPr>
        <w:t xml:space="preserve">, el valor </w:t>
      </w:r>
      <w:r>
        <w:rPr>
          <w:rFonts w:cs="Arial"/>
          <w:sz w:val="26"/>
          <w:szCs w:val="26"/>
        </w:rPr>
        <w:t xml:space="preserve">total </w:t>
      </w:r>
      <w:r w:rsidR="008775BA" w:rsidRPr="00A41A9F">
        <w:rPr>
          <w:rFonts w:cs="Arial"/>
          <w:sz w:val="26"/>
          <w:szCs w:val="26"/>
        </w:rPr>
        <w:t xml:space="preserve">de </w:t>
      </w:r>
      <w:r w:rsidR="001764AC">
        <w:rPr>
          <w:rFonts w:cs="Arial"/>
          <w:sz w:val="26"/>
          <w:szCs w:val="26"/>
        </w:rPr>
        <w:t>ciento veintiocho mil setenta y cuatro pesos (</w:t>
      </w:r>
      <w:r>
        <w:rPr>
          <w:rFonts w:cs="Arial"/>
          <w:sz w:val="26"/>
          <w:szCs w:val="26"/>
          <w:lang w:val="es-ES"/>
        </w:rPr>
        <w:t>$128.074</w:t>
      </w:r>
      <w:r w:rsidR="001764AC">
        <w:rPr>
          <w:rFonts w:cs="Arial"/>
          <w:sz w:val="26"/>
          <w:szCs w:val="26"/>
          <w:lang w:val="es-ES"/>
        </w:rPr>
        <w:t>)</w:t>
      </w:r>
      <w:r w:rsidR="008775BA" w:rsidRPr="00A41A9F">
        <w:rPr>
          <w:rFonts w:cs="Arial"/>
          <w:sz w:val="26"/>
          <w:szCs w:val="26"/>
        </w:rPr>
        <w:t>.</w:t>
      </w:r>
    </w:p>
    <w:p w:rsidR="008775BA" w:rsidRDefault="008775BA" w:rsidP="008C7554">
      <w:pPr>
        <w:rPr>
          <w:rFonts w:cs="Arial"/>
          <w:sz w:val="26"/>
          <w:szCs w:val="26"/>
        </w:rPr>
      </w:pPr>
    </w:p>
    <w:p w:rsidR="006A4FA5" w:rsidRDefault="006A4FA5" w:rsidP="006A4FA5">
      <w:pPr>
        <w:rPr>
          <w:rFonts w:cs="Arial"/>
          <w:sz w:val="26"/>
          <w:szCs w:val="26"/>
          <w:lang w:val="es-ES"/>
        </w:rPr>
      </w:pPr>
      <w:r>
        <w:rPr>
          <w:b/>
          <w:sz w:val="26"/>
          <w:szCs w:val="26"/>
          <w:lang w:val="es-ES"/>
        </w:rPr>
        <w:t>SEX</w:t>
      </w:r>
      <w:r w:rsidR="008775BA" w:rsidRPr="00BA7D0E">
        <w:rPr>
          <w:b/>
          <w:sz w:val="26"/>
          <w:szCs w:val="26"/>
          <w:lang w:val="es-ES"/>
        </w:rPr>
        <w:t>TO: ORDENAR</w:t>
      </w:r>
      <w:r w:rsidR="008775BA" w:rsidRPr="00BA7D0E">
        <w:rPr>
          <w:sz w:val="26"/>
          <w:szCs w:val="26"/>
          <w:lang w:val="es-ES"/>
        </w:rPr>
        <w:t xml:space="preserve"> a la </w:t>
      </w:r>
      <w:r w:rsidR="008775BA">
        <w:rPr>
          <w:sz w:val="26"/>
          <w:szCs w:val="26"/>
        </w:rPr>
        <w:t>Nación-Ministerio de Defensa-Ejército Nacional</w:t>
      </w:r>
      <w:r w:rsidR="008775BA" w:rsidRPr="00BA7D0E">
        <w:rPr>
          <w:sz w:val="26"/>
          <w:szCs w:val="26"/>
          <w:lang w:val="es-ES"/>
        </w:rPr>
        <w:t xml:space="preserve"> </w:t>
      </w:r>
      <w:r>
        <w:rPr>
          <w:sz w:val="26"/>
          <w:szCs w:val="26"/>
          <w:lang w:val="es-ES"/>
        </w:rPr>
        <w:t xml:space="preserve">que, dentro de los tres </w:t>
      </w:r>
      <w:r w:rsidR="001764AC">
        <w:rPr>
          <w:sz w:val="26"/>
          <w:szCs w:val="26"/>
          <w:lang w:val="es-ES"/>
        </w:rPr>
        <w:t xml:space="preserve">(3) </w:t>
      </w:r>
      <w:r>
        <w:rPr>
          <w:sz w:val="26"/>
          <w:szCs w:val="26"/>
          <w:lang w:val="es-ES"/>
        </w:rPr>
        <w:t>meses siguientes a la ejecutoria de esta decisión,</w:t>
      </w:r>
      <w:r>
        <w:rPr>
          <w:rFonts w:cs="Arial"/>
          <w:sz w:val="26"/>
          <w:szCs w:val="26"/>
          <w:lang w:val="es-ES"/>
        </w:rPr>
        <w:t xml:space="preserve"> diseñe e implemente un programa de capacitación de los miembros del Ejército Nacional que cumplen funciones en el departamento de Arauca, orientado a la amplia difusión y socialización de los </w:t>
      </w:r>
      <w:r w:rsidR="001764AC">
        <w:rPr>
          <w:rFonts w:cs="Arial"/>
          <w:sz w:val="26"/>
          <w:szCs w:val="26"/>
          <w:lang w:val="es-ES"/>
        </w:rPr>
        <w:t>derechos de la mujer, análisis de circunstancias de violencia y discriminación contra la mujer, situación de la mujer en el marco del conflicto armado interno, y lineamientos de prevención, investigación y sanción de la violencia contra la mujer, con enfoque diferencial</w:t>
      </w:r>
      <w:r>
        <w:rPr>
          <w:rFonts w:cs="Arial"/>
          <w:sz w:val="26"/>
          <w:szCs w:val="26"/>
          <w:lang w:val="es-ES"/>
        </w:rPr>
        <w:t>.</w:t>
      </w:r>
    </w:p>
    <w:p w:rsidR="006A4FA5" w:rsidRDefault="006A4FA5" w:rsidP="006A4FA5">
      <w:pPr>
        <w:tabs>
          <w:tab w:val="left" w:pos="720"/>
        </w:tabs>
        <w:rPr>
          <w:rFonts w:cs="Arial"/>
          <w:sz w:val="26"/>
          <w:szCs w:val="26"/>
          <w:lang w:val="es-ES"/>
        </w:rPr>
      </w:pPr>
    </w:p>
    <w:p w:rsidR="006A4FA5" w:rsidRDefault="006A4FA5" w:rsidP="006A4FA5">
      <w:pPr>
        <w:tabs>
          <w:tab w:val="left" w:pos="720"/>
        </w:tabs>
        <w:rPr>
          <w:rFonts w:cs="Arial"/>
          <w:sz w:val="26"/>
          <w:szCs w:val="26"/>
          <w:lang w:val="es-ES"/>
        </w:rPr>
      </w:pPr>
      <w:r w:rsidRPr="006A4FA5">
        <w:rPr>
          <w:rFonts w:cs="Arial"/>
          <w:b/>
          <w:sz w:val="26"/>
          <w:szCs w:val="26"/>
          <w:lang w:val="es-ES"/>
        </w:rPr>
        <w:t xml:space="preserve">SÉPTIMO: </w:t>
      </w:r>
      <w:r w:rsidRPr="00BA7D0E">
        <w:rPr>
          <w:b/>
          <w:sz w:val="26"/>
          <w:szCs w:val="26"/>
          <w:lang w:val="es-ES"/>
        </w:rPr>
        <w:t>ORDENAR</w:t>
      </w:r>
      <w:r w:rsidRPr="00BA7D0E">
        <w:rPr>
          <w:sz w:val="26"/>
          <w:szCs w:val="26"/>
          <w:lang w:val="es-ES"/>
        </w:rPr>
        <w:t xml:space="preserve"> a la </w:t>
      </w:r>
      <w:r>
        <w:rPr>
          <w:sz w:val="26"/>
          <w:szCs w:val="26"/>
        </w:rPr>
        <w:t>Nación-Ministerio de Defensa-Ejército Nacional</w:t>
      </w:r>
      <w:r w:rsidRPr="00BA7D0E">
        <w:rPr>
          <w:sz w:val="26"/>
          <w:szCs w:val="26"/>
          <w:lang w:val="es-ES"/>
        </w:rPr>
        <w:t xml:space="preserve"> </w:t>
      </w:r>
      <w:r>
        <w:rPr>
          <w:sz w:val="26"/>
          <w:szCs w:val="26"/>
          <w:lang w:val="es-ES"/>
        </w:rPr>
        <w:t xml:space="preserve">que, dentro de los </w:t>
      </w:r>
      <w:r w:rsidR="001764AC">
        <w:rPr>
          <w:sz w:val="26"/>
          <w:szCs w:val="26"/>
          <w:lang w:val="es-ES"/>
        </w:rPr>
        <w:t>quince (</w:t>
      </w:r>
      <w:r>
        <w:rPr>
          <w:sz w:val="26"/>
          <w:szCs w:val="26"/>
          <w:lang w:val="es-ES"/>
        </w:rPr>
        <w:t>15</w:t>
      </w:r>
      <w:r w:rsidR="001764AC">
        <w:rPr>
          <w:sz w:val="26"/>
          <w:szCs w:val="26"/>
          <w:lang w:val="es-ES"/>
        </w:rPr>
        <w:t>)</w:t>
      </w:r>
      <w:r>
        <w:rPr>
          <w:sz w:val="26"/>
          <w:szCs w:val="26"/>
          <w:lang w:val="es-ES"/>
        </w:rPr>
        <w:t xml:space="preserve"> días siguientes siguientes a la ejecutoria de esta </w:t>
      </w:r>
      <w:r>
        <w:rPr>
          <w:rFonts w:cs="Arial"/>
          <w:sz w:val="26"/>
          <w:szCs w:val="26"/>
          <w:lang w:val="es-ES"/>
        </w:rPr>
        <w:t>sentencia, publique la misma en el portal web del Ministerio de Defensa, que deberá disponer un enlace visible en su p</w:t>
      </w:r>
      <w:r w:rsidR="001764AC">
        <w:rPr>
          <w:rFonts w:cs="Arial"/>
          <w:sz w:val="26"/>
          <w:szCs w:val="26"/>
          <w:lang w:val="es-ES"/>
        </w:rPr>
        <w:t>ágina inicial, de fácil acceso, con un título respetuoso de las víctimas y con reserva de identidad de las mismas</w:t>
      </w:r>
      <w:r>
        <w:rPr>
          <w:rFonts w:cs="Arial"/>
          <w:sz w:val="26"/>
          <w:szCs w:val="26"/>
          <w:lang w:val="es-ES"/>
        </w:rPr>
        <w:t xml:space="preserve">, por un lapso de tres </w:t>
      </w:r>
      <w:r w:rsidR="001764AC">
        <w:rPr>
          <w:rFonts w:cs="Arial"/>
          <w:sz w:val="26"/>
          <w:szCs w:val="26"/>
          <w:lang w:val="es-ES"/>
        </w:rPr>
        <w:t xml:space="preserve">(3) </w:t>
      </w:r>
      <w:r>
        <w:rPr>
          <w:rFonts w:cs="Arial"/>
          <w:sz w:val="26"/>
          <w:szCs w:val="26"/>
          <w:lang w:val="es-ES"/>
        </w:rPr>
        <w:t>meses.</w:t>
      </w:r>
    </w:p>
    <w:p w:rsidR="006A4FA5" w:rsidRDefault="006A4FA5" w:rsidP="006A4FA5">
      <w:pPr>
        <w:tabs>
          <w:tab w:val="left" w:pos="720"/>
        </w:tabs>
        <w:rPr>
          <w:rFonts w:cs="Arial"/>
          <w:sz w:val="26"/>
          <w:szCs w:val="26"/>
          <w:lang w:val="es-ES"/>
        </w:rPr>
      </w:pPr>
    </w:p>
    <w:p w:rsidR="006A4FA5" w:rsidRDefault="006A4FA5" w:rsidP="006A4FA5">
      <w:pPr>
        <w:tabs>
          <w:tab w:val="left" w:pos="720"/>
        </w:tabs>
        <w:rPr>
          <w:rFonts w:cs="Arial"/>
          <w:sz w:val="26"/>
          <w:szCs w:val="26"/>
          <w:lang w:val="es-ES"/>
        </w:rPr>
      </w:pPr>
      <w:r>
        <w:rPr>
          <w:rFonts w:cs="Arial"/>
          <w:b/>
          <w:sz w:val="26"/>
          <w:szCs w:val="26"/>
          <w:lang w:val="es-ES"/>
        </w:rPr>
        <w:t>OCTAVO</w:t>
      </w:r>
      <w:r w:rsidRPr="006A4FA5">
        <w:rPr>
          <w:rFonts w:cs="Arial"/>
          <w:b/>
          <w:sz w:val="26"/>
          <w:szCs w:val="26"/>
          <w:lang w:val="es-ES"/>
        </w:rPr>
        <w:t xml:space="preserve">: </w:t>
      </w:r>
      <w:r>
        <w:rPr>
          <w:b/>
          <w:sz w:val="26"/>
          <w:szCs w:val="26"/>
          <w:lang w:val="es-ES"/>
        </w:rPr>
        <w:t>REMITIR</w:t>
      </w:r>
      <w:r>
        <w:rPr>
          <w:rFonts w:cs="Arial"/>
          <w:sz w:val="26"/>
          <w:szCs w:val="26"/>
          <w:lang w:val="es-ES"/>
        </w:rPr>
        <w:t xml:space="preserve"> copia de esta sentencia a la Policía </w:t>
      </w:r>
      <w:r w:rsidR="001764AC">
        <w:rPr>
          <w:rFonts w:cs="Arial"/>
          <w:sz w:val="26"/>
          <w:szCs w:val="26"/>
          <w:lang w:val="es-ES"/>
        </w:rPr>
        <w:t>Nacional con el propósito de</w:t>
      </w:r>
      <w:r>
        <w:rPr>
          <w:rFonts w:cs="Arial"/>
          <w:sz w:val="26"/>
          <w:szCs w:val="26"/>
          <w:lang w:val="es-ES"/>
        </w:rPr>
        <w:t xml:space="preserve"> </w:t>
      </w:r>
      <w:r w:rsidR="001764AC">
        <w:rPr>
          <w:rFonts w:cs="Arial"/>
          <w:sz w:val="26"/>
          <w:szCs w:val="26"/>
          <w:lang w:val="es-ES"/>
        </w:rPr>
        <w:t xml:space="preserve">exhortarla para que, en ejercicio de sus competencias constitucionales y legales, </w:t>
      </w:r>
      <w:r>
        <w:rPr>
          <w:rFonts w:cs="Arial"/>
          <w:sz w:val="26"/>
          <w:szCs w:val="26"/>
          <w:lang w:val="es-ES"/>
        </w:rPr>
        <w:t xml:space="preserve">adopte las medidas necesarias para garantizar que los casos de violencia contra la mujer que llegan a su conocimiento sean tramitados e impulsados con la debida diligencia y acatamiento de los protocolos y lineamientos </w:t>
      </w:r>
      <w:r w:rsidR="001764AC">
        <w:rPr>
          <w:rFonts w:cs="Arial"/>
          <w:sz w:val="26"/>
          <w:szCs w:val="26"/>
          <w:lang w:val="es-ES"/>
        </w:rPr>
        <w:t xml:space="preserve">jurídicos </w:t>
      </w:r>
      <w:r>
        <w:rPr>
          <w:rFonts w:cs="Arial"/>
          <w:sz w:val="26"/>
          <w:szCs w:val="26"/>
          <w:lang w:val="es-ES"/>
        </w:rPr>
        <w:t>nacionales e internacionales.</w:t>
      </w:r>
    </w:p>
    <w:p w:rsidR="006A4FA5" w:rsidRDefault="006A4FA5" w:rsidP="006A4FA5">
      <w:pPr>
        <w:tabs>
          <w:tab w:val="left" w:pos="720"/>
        </w:tabs>
        <w:rPr>
          <w:rFonts w:cs="Arial"/>
          <w:sz w:val="26"/>
          <w:szCs w:val="26"/>
          <w:lang w:val="es-ES"/>
        </w:rPr>
      </w:pPr>
    </w:p>
    <w:p w:rsidR="006A4FA5" w:rsidRDefault="006A4FA5" w:rsidP="006A4FA5">
      <w:pPr>
        <w:tabs>
          <w:tab w:val="left" w:pos="720"/>
        </w:tabs>
        <w:rPr>
          <w:rFonts w:cs="Arial"/>
          <w:sz w:val="26"/>
          <w:szCs w:val="26"/>
          <w:lang w:val="es-ES"/>
        </w:rPr>
      </w:pPr>
      <w:r>
        <w:rPr>
          <w:rFonts w:cs="Arial"/>
          <w:b/>
          <w:sz w:val="26"/>
          <w:szCs w:val="26"/>
          <w:lang w:val="es-ES"/>
        </w:rPr>
        <w:t>NOVENO</w:t>
      </w:r>
      <w:r w:rsidRPr="006A4FA5">
        <w:rPr>
          <w:rFonts w:cs="Arial"/>
          <w:b/>
          <w:sz w:val="26"/>
          <w:szCs w:val="26"/>
          <w:lang w:val="es-ES"/>
        </w:rPr>
        <w:t xml:space="preserve">: </w:t>
      </w:r>
      <w:r>
        <w:rPr>
          <w:b/>
          <w:sz w:val="26"/>
          <w:szCs w:val="26"/>
          <w:lang w:val="es-ES"/>
        </w:rPr>
        <w:t>REMITIR</w:t>
      </w:r>
      <w:r>
        <w:rPr>
          <w:rFonts w:cs="Arial"/>
          <w:sz w:val="26"/>
          <w:szCs w:val="26"/>
          <w:lang w:val="es-ES"/>
        </w:rPr>
        <w:t xml:space="preserve"> copia de esta sentencia a la Fisca</w:t>
      </w:r>
      <w:r w:rsidR="001764AC">
        <w:rPr>
          <w:rFonts w:cs="Arial"/>
          <w:sz w:val="26"/>
          <w:szCs w:val="26"/>
          <w:lang w:val="es-ES"/>
        </w:rPr>
        <w:t>lía General de la Nación con el propósito de exhortarla para que, en ejercicio de sus competencias constitucionales y legales, adopte</w:t>
      </w:r>
      <w:r>
        <w:rPr>
          <w:rFonts w:cs="Arial"/>
          <w:sz w:val="26"/>
          <w:szCs w:val="26"/>
          <w:lang w:val="es-ES"/>
        </w:rPr>
        <w:t xml:space="preserve"> los correctivos necesarios para evitar que sus funcionarios incurran en conductas discriminatorias o en prejuicios de género al adelantar investigaciones y, especialmente, al interrogar a víctimas y testigos en casos de violencia contra la mujer.</w:t>
      </w:r>
    </w:p>
    <w:p w:rsidR="006A4FA5" w:rsidRDefault="006A4FA5" w:rsidP="006A4FA5">
      <w:pPr>
        <w:pStyle w:val="Listavistosa-nfasis11"/>
        <w:rPr>
          <w:rFonts w:cs="Arial"/>
          <w:sz w:val="26"/>
          <w:szCs w:val="26"/>
          <w:lang w:val="es-ES"/>
        </w:rPr>
      </w:pPr>
    </w:p>
    <w:p w:rsidR="006A4FA5" w:rsidRDefault="006A4FA5" w:rsidP="006A4FA5">
      <w:pPr>
        <w:tabs>
          <w:tab w:val="left" w:pos="720"/>
        </w:tabs>
        <w:rPr>
          <w:rFonts w:cs="Arial"/>
          <w:sz w:val="26"/>
          <w:szCs w:val="26"/>
          <w:lang w:val="es-ES"/>
        </w:rPr>
      </w:pPr>
      <w:r>
        <w:rPr>
          <w:rFonts w:cs="Arial"/>
          <w:b/>
          <w:sz w:val="26"/>
          <w:szCs w:val="26"/>
          <w:lang w:val="es-ES"/>
        </w:rPr>
        <w:t>DÉCIMO</w:t>
      </w:r>
      <w:r w:rsidRPr="006A4FA5">
        <w:rPr>
          <w:rFonts w:cs="Arial"/>
          <w:b/>
          <w:sz w:val="26"/>
          <w:szCs w:val="26"/>
          <w:lang w:val="es-ES"/>
        </w:rPr>
        <w:t xml:space="preserve">: </w:t>
      </w:r>
      <w:r>
        <w:rPr>
          <w:b/>
          <w:sz w:val="26"/>
          <w:szCs w:val="26"/>
          <w:lang w:val="es-ES"/>
        </w:rPr>
        <w:t>REMITIR</w:t>
      </w:r>
      <w:r>
        <w:rPr>
          <w:rFonts w:cs="Arial"/>
          <w:sz w:val="26"/>
          <w:szCs w:val="26"/>
          <w:lang w:val="es-ES"/>
        </w:rPr>
        <w:t xml:space="preserve"> copia de esta sentencia a la </w:t>
      </w:r>
      <w:r w:rsidRPr="00A537A1">
        <w:rPr>
          <w:rFonts w:cs="Arial"/>
          <w:sz w:val="26"/>
          <w:szCs w:val="26"/>
          <w:lang w:val="es-ES"/>
        </w:rPr>
        <w:t>Alta Consejería para la Equidad de la Mujer</w:t>
      </w:r>
      <w:r>
        <w:rPr>
          <w:rFonts w:cs="Arial"/>
          <w:sz w:val="26"/>
          <w:szCs w:val="26"/>
          <w:lang w:val="es-ES"/>
        </w:rPr>
        <w:t xml:space="preserve"> con el fin de </w:t>
      </w:r>
      <w:r w:rsidR="001764AC">
        <w:rPr>
          <w:rFonts w:cs="Arial"/>
          <w:sz w:val="26"/>
          <w:szCs w:val="26"/>
          <w:lang w:val="es-ES"/>
        </w:rPr>
        <w:t xml:space="preserve">exhortarla para que, en ejercicio de sus competencias constitucionales y legales, </w:t>
      </w:r>
      <w:r w:rsidRPr="00C83803">
        <w:rPr>
          <w:rFonts w:cs="Arial"/>
          <w:sz w:val="26"/>
          <w:szCs w:val="26"/>
          <w:lang w:val="es-ES"/>
        </w:rPr>
        <w:t xml:space="preserve">promueva </w:t>
      </w:r>
      <w:r w:rsidR="001764AC">
        <w:rPr>
          <w:rFonts w:cs="Arial"/>
          <w:sz w:val="26"/>
          <w:szCs w:val="26"/>
          <w:lang w:val="es-ES"/>
        </w:rPr>
        <w:t xml:space="preserve">o refuerce las </w:t>
      </w:r>
      <w:r w:rsidRPr="00C83803">
        <w:rPr>
          <w:rFonts w:cs="Arial"/>
          <w:sz w:val="26"/>
          <w:szCs w:val="26"/>
          <w:lang w:val="es-ES"/>
        </w:rPr>
        <w:t>políticas</w:t>
      </w:r>
      <w:r w:rsidR="001764AC">
        <w:rPr>
          <w:rFonts w:cs="Arial"/>
          <w:sz w:val="26"/>
          <w:szCs w:val="26"/>
          <w:lang w:val="es-ES"/>
        </w:rPr>
        <w:t xml:space="preserve"> públicas</w:t>
      </w:r>
      <w:r>
        <w:rPr>
          <w:rFonts w:cs="Arial"/>
          <w:sz w:val="26"/>
          <w:szCs w:val="26"/>
          <w:lang w:val="es-ES"/>
        </w:rPr>
        <w:t xml:space="preserve"> encaminadas a la prevención, investigación y sanción de la violencia contra la mujer en todas las instancias del poder público.</w:t>
      </w:r>
    </w:p>
    <w:p w:rsidR="006A4FA5" w:rsidRDefault="006A4FA5" w:rsidP="006A4FA5">
      <w:pPr>
        <w:pStyle w:val="Listavistosa-nfasis11"/>
        <w:rPr>
          <w:rFonts w:cs="Arial"/>
          <w:sz w:val="26"/>
          <w:szCs w:val="26"/>
          <w:lang w:val="es-ES"/>
        </w:rPr>
      </w:pPr>
    </w:p>
    <w:p w:rsidR="006A4FA5" w:rsidRDefault="006A4FA5" w:rsidP="006A4FA5">
      <w:pPr>
        <w:tabs>
          <w:tab w:val="left" w:pos="720"/>
        </w:tabs>
        <w:rPr>
          <w:rFonts w:cs="Arial"/>
          <w:sz w:val="26"/>
          <w:szCs w:val="26"/>
          <w:lang w:val="es-ES"/>
        </w:rPr>
      </w:pPr>
      <w:r w:rsidRPr="006A4FA5">
        <w:rPr>
          <w:rFonts w:cs="Arial"/>
          <w:b/>
          <w:sz w:val="26"/>
          <w:szCs w:val="26"/>
          <w:lang w:val="es-ES"/>
        </w:rPr>
        <w:t>UNDÉCIMO: REMITIR</w:t>
      </w:r>
      <w:r>
        <w:rPr>
          <w:rFonts w:cs="Arial"/>
          <w:sz w:val="26"/>
          <w:szCs w:val="26"/>
          <w:lang w:val="es-ES"/>
        </w:rPr>
        <w:t xml:space="preserve"> copia de esta sentencia a la </w:t>
      </w:r>
      <w:r w:rsidRPr="00FA6607">
        <w:rPr>
          <w:rFonts w:cs="Arial"/>
          <w:sz w:val="26"/>
          <w:szCs w:val="26"/>
          <w:lang w:val="es-ES"/>
        </w:rPr>
        <w:t xml:space="preserve">Sala Administrativa del Consejo Superior de la Judicatura-Comisión Nacional de Género de la </w:t>
      </w:r>
      <w:r>
        <w:rPr>
          <w:rFonts w:cs="Arial"/>
          <w:sz w:val="26"/>
          <w:szCs w:val="26"/>
          <w:lang w:val="es-ES"/>
        </w:rPr>
        <w:t>Rama Judicial</w:t>
      </w:r>
      <w:r w:rsidRPr="00FA6607">
        <w:rPr>
          <w:rFonts w:cs="Arial"/>
          <w:sz w:val="26"/>
          <w:szCs w:val="26"/>
          <w:lang w:val="es-ES"/>
        </w:rPr>
        <w:t xml:space="preserve"> para </w:t>
      </w:r>
      <w:r>
        <w:rPr>
          <w:rFonts w:cs="Arial"/>
          <w:sz w:val="26"/>
          <w:szCs w:val="26"/>
          <w:lang w:val="es-ES"/>
        </w:rPr>
        <w:t>su inclusión</w:t>
      </w:r>
      <w:r w:rsidRPr="00FA6607">
        <w:rPr>
          <w:rFonts w:cs="Arial"/>
          <w:sz w:val="26"/>
          <w:szCs w:val="26"/>
          <w:lang w:val="es-ES"/>
        </w:rPr>
        <w:t xml:space="preserve"> en el observatorio de política de igualdad y no discriminación con enfoque diferencial y de género</w:t>
      </w:r>
      <w:r>
        <w:rPr>
          <w:rFonts w:cs="Arial"/>
          <w:sz w:val="26"/>
          <w:szCs w:val="26"/>
          <w:lang w:val="es-ES"/>
        </w:rPr>
        <w:t>.</w:t>
      </w:r>
    </w:p>
    <w:p w:rsidR="006A4FA5" w:rsidRDefault="006A4FA5" w:rsidP="006A4FA5">
      <w:pPr>
        <w:pStyle w:val="Listavistosa-nfasis11"/>
        <w:rPr>
          <w:rFonts w:cs="Arial"/>
          <w:sz w:val="26"/>
          <w:szCs w:val="26"/>
          <w:lang w:val="es-ES"/>
        </w:rPr>
      </w:pPr>
    </w:p>
    <w:p w:rsidR="006A4FA5" w:rsidRDefault="00354BE4" w:rsidP="006A4FA5">
      <w:pPr>
        <w:tabs>
          <w:tab w:val="left" w:pos="720"/>
        </w:tabs>
        <w:rPr>
          <w:rFonts w:cs="Arial"/>
          <w:sz w:val="26"/>
          <w:szCs w:val="26"/>
          <w:lang w:val="es-ES"/>
        </w:rPr>
      </w:pPr>
      <w:r>
        <w:rPr>
          <w:rFonts w:cs="Arial"/>
          <w:b/>
          <w:sz w:val="26"/>
          <w:szCs w:val="26"/>
          <w:lang w:val="es-ES"/>
        </w:rPr>
        <w:t>DUODÉCIMO</w:t>
      </w:r>
      <w:r w:rsidR="006A4FA5" w:rsidRPr="006A4FA5">
        <w:rPr>
          <w:rFonts w:cs="Arial"/>
          <w:b/>
          <w:sz w:val="26"/>
          <w:szCs w:val="26"/>
          <w:lang w:val="es-ES"/>
        </w:rPr>
        <w:t xml:space="preserve">: </w:t>
      </w:r>
      <w:r w:rsidR="006A4FA5">
        <w:rPr>
          <w:b/>
          <w:sz w:val="26"/>
          <w:szCs w:val="26"/>
          <w:lang w:val="es-ES"/>
        </w:rPr>
        <w:t>REMITIR</w:t>
      </w:r>
      <w:r w:rsidR="006A4FA5">
        <w:rPr>
          <w:rFonts w:cs="Arial"/>
          <w:sz w:val="26"/>
          <w:szCs w:val="26"/>
          <w:lang w:val="es-ES"/>
        </w:rPr>
        <w:t xml:space="preserve"> copia</w:t>
      </w:r>
      <w:r w:rsidR="006A4FA5" w:rsidRPr="001B1DC4">
        <w:rPr>
          <w:rFonts w:cs="Arial"/>
          <w:sz w:val="26"/>
          <w:szCs w:val="26"/>
          <w:lang w:val="es-ES"/>
        </w:rPr>
        <w:t xml:space="preserve"> de esta sentencia con destino a la Procuraduría General de la Nación para que, en </w:t>
      </w:r>
      <w:r w:rsidR="006A4FA5">
        <w:rPr>
          <w:rFonts w:cs="Arial"/>
          <w:sz w:val="26"/>
          <w:szCs w:val="26"/>
          <w:lang w:val="es-ES"/>
        </w:rPr>
        <w:t>atención al</w:t>
      </w:r>
      <w:r w:rsidR="006A4FA5" w:rsidRPr="001B1DC4">
        <w:rPr>
          <w:rFonts w:cs="Arial"/>
          <w:sz w:val="26"/>
          <w:szCs w:val="26"/>
          <w:lang w:val="es-ES"/>
        </w:rPr>
        <w:t xml:space="preserve"> artículo 24 del Decreto 262 de 2000, vigile el cumplimiento de lo resuelto.</w:t>
      </w:r>
    </w:p>
    <w:p w:rsidR="008775BA" w:rsidRDefault="008775BA" w:rsidP="008C7554">
      <w:pPr>
        <w:rPr>
          <w:b/>
          <w:sz w:val="26"/>
          <w:szCs w:val="26"/>
        </w:rPr>
      </w:pPr>
    </w:p>
    <w:p w:rsidR="008775BA" w:rsidRPr="00C05915" w:rsidRDefault="006A4FA5" w:rsidP="008C7554">
      <w:pPr>
        <w:rPr>
          <w:rFonts w:cs="Arial"/>
          <w:bCs/>
          <w:sz w:val="26"/>
          <w:szCs w:val="26"/>
        </w:rPr>
      </w:pPr>
      <w:r>
        <w:rPr>
          <w:rFonts w:cs="Arial"/>
          <w:b/>
          <w:bCs/>
          <w:sz w:val="26"/>
          <w:szCs w:val="26"/>
        </w:rPr>
        <w:t>DECIMO</w:t>
      </w:r>
      <w:r w:rsidR="00354BE4">
        <w:rPr>
          <w:rFonts w:cs="Arial"/>
          <w:b/>
          <w:bCs/>
          <w:sz w:val="26"/>
          <w:szCs w:val="26"/>
        </w:rPr>
        <w:t>TERCERO</w:t>
      </w:r>
      <w:r w:rsidR="008775BA" w:rsidRPr="007E01AA">
        <w:rPr>
          <w:rFonts w:cs="Arial"/>
          <w:b/>
          <w:bCs/>
          <w:sz w:val="26"/>
          <w:szCs w:val="26"/>
        </w:rPr>
        <w:t>:</w:t>
      </w:r>
      <w:r w:rsidR="008775BA">
        <w:rPr>
          <w:rFonts w:cs="Arial"/>
          <w:b/>
          <w:bCs/>
          <w:sz w:val="26"/>
          <w:szCs w:val="26"/>
        </w:rPr>
        <w:t xml:space="preserve"> </w:t>
      </w:r>
      <w:r w:rsidR="008775BA" w:rsidRPr="005B5859">
        <w:rPr>
          <w:rFonts w:cs="Arial"/>
          <w:b/>
          <w:bCs/>
          <w:sz w:val="26"/>
          <w:szCs w:val="26"/>
        </w:rPr>
        <w:t>DENEGAR</w:t>
      </w:r>
      <w:r w:rsidR="008775BA" w:rsidRPr="00C05915">
        <w:rPr>
          <w:rFonts w:cs="Arial"/>
          <w:bCs/>
          <w:sz w:val="26"/>
          <w:szCs w:val="26"/>
        </w:rPr>
        <w:t xml:space="preserve"> las demás </w:t>
      </w:r>
      <w:r>
        <w:rPr>
          <w:rFonts w:cs="Arial"/>
          <w:bCs/>
          <w:sz w:val="26"/>
          <w:szCs w:val="26"/>
        </w:rPr>
        <w:t>súplicas</w:t>
      </w:r>
      <w:r w:rsidR="008775BA" w:rsidRPr="00C05915">
        <w:rPr>
          <w:rFonts w:cs="Arial"/>
          <w:bCs/>
          <w:sz w:val="26"/>
          <w:szCs w:val="26"/>
        </w:rPr>
        <w:t xml:space="preserve"> de la demanda.</w:t>
      </w:r>
    </w:p>
    <w:p w:rsidR="008775BA" w:rsidRDefault="008775BA" w:rsidP="008C7554">
      <w:pPr>
        <w:rPr>
          <w:rFonts w:cs="Arial"/>
          <w:b/>
          <w:bCs/>
          <w:sz w:val="26"/>
          <w:szCs w:val="26"/>
        </w:rPr>
      </w:pPr>
    </w:p>
    <w:p w:rsidR="008775BA" w:rsidRPr="0023115B" w:rsidRDefault="00354BE4" w:rsidP="008C7554">
      <w:pPr>
        <w:rPr>
          <w:sz w:val="26"/>
          <w:szCs w:val="26"/>
        </w:rPr>
      </w:pPr>
      <w:r>
        <w:rPr>
          <w:rFonts w:cs="Arial"/>
          <w:b/>
          <w:bCs/>
          <w:sz w:val="26"/>
          <w:szCs w:val="26"/>
        </w:rPr>
        <w:t>DECIMOCUARTO</w:t>
      </w:r>
      <w:r w:rsidR="008775BA" w:rsidRPr="00354BE4">
        <w:rPr>
          <w:rFonts w:cs="Arial"/>
          <w:b/>
          <w:bCs/>
          <w:sz w:val="26"/>
          <w:szCs w:val="26"/>
        </w:rPr>
        <w:t>:</w:t>
      </w:r>
      <w:r w:rsidR="008775BA" w:rsidRPr="0023115B">
        <w:rPr>
          <w:rFonts w:cs="Arial"/>
          <w:b/>
          <w:bCs/>
          <w:sz w:val="26"/>
          <w:szCs w:val="26"/>
        </w:rPr>
        <w:t xml:space="preserve"> </w:t>
      </w:r>
      <w:r w:rsidR="008775BA" w:rsidRPr="0023115B">
        <w:rPr>
          <w:sz w:val="26"/>
          <w:szCs w:val="26"/>
        </w:rPr>
        <w:t>Aplicar lo dispuesto en los artículos 177 y 178 del Código Contencioso Administrativo.</w:t>
      </w:r>
    </w:p>
    <w:p w:rsidR="008775BA" w:rsidRPr="0023115B" w:rsidRDefault="008775BA" w:rsidP="008C7554">
      <w:pPr>
        <w:rPr>
          <w:sz w:val="26"/>
          <w:szCs w:val="26"/>
        </w:rPr>
      </w:pPr>
    </w:p>
    <w:p w:rsidR="008775BA" w:rsidRPr="00EC3981" w:rsidRDefault="00354BE4" w:rsidP="008C7554">
      <w:pPr>
        <w:rPr>
          <w:rFonts w:cs="Arial"/>
          <w:sz w:val="26"/>
          <w:szCs w:val="26"/>
          <w:lang w:val="es-ES"/>
        </w:rPr>
      </w:pPr>
      <w:r>
        <w:rPr>
          <w:b/>
          <w:sz w:val="26"/>
          <w:szCs w:val="26"/>
        </w:rPr>
        <w:t>DECIMOQUINTO</w:t>
      </w:r>
      <w:r w:rsidR="008775BA">
        <w:rPr>
          <w:sz w:val="26"/>
          <w:szCs w:val="26"/>
        </w:rPr>
        <w:t xml:space="preserve">: </w:t>
      </w:r>
      <w:r w:rsidR="008775BA" w:rsidRPr="0023115B">
        <w:rPr>
          <w:sz w:val="26"/>
          <w:szCs w:val="26"/>
        </w:rPr>
        <w:t>Expedir</w:t>
      </w:r>
      <w:r w:rsidR="008775BA" w:rsidRPr="0023115B">
        <w:rPr>
          <w:rFonts w:cs="Arial"/>
          <w:b/>
          <w:bCs/>
          <w:i/>
          <w:iCs/>
          <w:sz w:val="26"/>
          <w:szCs w:val="26"/>
        </w:rPr>
        <w:t xml:space="preserve"> </w:t>
      </w:r>
      <w:r>
        <w:rPr>
          <w:rFonts w:cs="Arial"/>
          <w:sz w:val="26"/>
          <w:szCs w:val="26"/>
        </w:rPr>
        <w:t>por Secretaría</w:t>
      </w:r>
      <w:r w:rsidR="008775BA" w:rsidRPr="0023115B">
        <w:rPr>
          <w:rFonts w:cs="Arial"/>
          <w:sz w:val="26"/>
          <w:szCs w:val="26"/>
        </w:rPr>
        <w:t xml:space="preserve"> </w:t>
      </w:r>
      <w:r>
        <w:rPr>
          <w:rFonts w:cs="Arial"/>
          <w:sz w:val="26"/>
          <w:szCs w:val="26"/>
        </w:rPr>
        <w:t>copia con destino a las partes</w:t>
      </w:r>
      <w:r w:rsidR="008775BA" w:rsidRPr="0023115B">
        <w:rPr>
          <w:rFonts w:cs="Arial"/>
          <w:sz w:val="26"/>
          <w:szCs w:val="26"/>
        </w:rPr>
        <w:t xml:space="preserve"> con las precisiones del artículo 115 del Código de Procedimiento Civil, las cuales se entregarán a quien ha </w:t>
      </w:r>
      <w:r w:rsidR="008775BA">
        <w:rPr>
          <w:rFonts w:cs="Arial"/>
          <w:sz w:val="26"/>
          <w:szCs w:val="26"/>
        </w:rPr>
        <w:t>actuad</w:t>
      </w:r>
      <w:r w:rsidR="008775BA" w:rsidRPr="0023115B">
        <w:rPr>
          <w:rFonts w:cs="Arial"/>
          <w:sz w:val="26"/>
          <w:szCs w:val="26"/>
        </w:rPr>
        <w:t>o como apoderado judicial.</w:t>
      </w:r>
    </w:p>
    <w:p w:rsidR="008775BA" w:rsidRDefault="008775BA" w:rsidP="008C7554">
      <w:pPr>
        <w:rPr>
          <w:rFonts w:cs="Arial"/>
          <w:sz w:val="26"/>
          <w:szCs w:val="26"/>
          <w:lang w:val="es-ES"/>
        </w:rPr>
      </w:pPr>
    </w:p>
    <w:p w:rsidR="008775BA" w:rsidRPr="00EC3981" w:rsidRDefault="008775BA" w:rsidP="008C7554">
      <w:pPr>
        <w:rPr>
          <w:rFonts w:cs="Arial"/>
          <w:sz w:val="26"/>
          <w:szCs w:val="26"/>
          <w:lang w:val="es-ES"/>
        </w:rPr>
      </w:pPr>
      <w:r w:rsidRPr="00EC3981">
        <w:rPr>
          <w:rFonts w:cs="Arial"/>
          <w:sz w:val="26"/>
          <w:szCs w:val="26"/>
          <w:lang w:val="es-ES"/>
        </w:rPr>
        <w:t xml:space="preserve">En firme este </w:t>
      </w:r>
      <w:r>
        <w:rPr>
          <w:rFonts w:cs="Arial"/>
          <w:sz w:val="26"/>
          <w:szCs w:val="26"/>
          <w:lang w:val="es-ES"/>
        </w:rPr>
        <w:t>fallo</w:t>
      </w:r>
      <w:r w:rsidRPr="00EC3981">
        <w:rPr>
          <w:rFonts w:cs="Arial"/>
          <w:sz w:val="26"/>
          <w:szCs w:val="26"/>
          <w:lang w:val="es-ES"/>
        </w:rPr>
        <w:t xml:space="preserve">, devuélvase al </w:t>
      </w:r>
      <w:r>
        <w:rPr>
          <w:rFonts w:cs="Arial"/>
          <w:sz w:val="26"/>
          <w:szCs w:val="26"/>
          <w:lang w:val="es-ES"/>
        </w:rPr>
        <w:t>T</w:t>
      </w:r>
      <w:r w:rsidRPr="00EC3981">
        <w:rPr>
          <w:rFonts w:cs="Arial"/>
          <w:sz w:val="26"/>
          <w:szCs w:val="26"/>
          <w:lang w:val="es-ES"/>
        </w:rPr>
        <w:t xml:space="preserve">ribunal de origen para lo de su cargo. </w:t>
      </w:r>
    </w:p>
    <w:p w:rsidR="008775BA" w:rsidRPr="00EC3981" w:rsidRDefault="008775BA" w:rsidP="008C7554">
      <w:pPr>
        <w:rPr>
          <w:rFonts w:cs="Arial"/>
          <w:sz w:val="26"/>
          <w:szCs w:val="26"/>
          <w:lang w:val="es-ES"/>
        </w:rPr>
      </w:pPr>
    </w:p>
    <w:p w:rsidR="008775BA" w:rsidRPr="00E93F92" w:rsidRDefault="008775BA" w:rsidP="008C7554">
      <w:pPr>
        <w:pStyle w:val="Ttulo2"/>
        <w:jc w:val="center"/>
        <w:rPr>
          <w:i w:val="0"/>
          <w:sz w:val="26"/>
          <w:szCs w:val="26"/>
        </w:rPr>
      </w:pPr>
      <w:r>
        <w:rPr>
          <w:i w:val="0"/>
          <w:sz w:val="26"/>
          <w:szCs w:val="26"/>
        </w:rPr>
        <w:t>CÓPIESE, NOTIFÍQUESE,</w:t>
      </w:r>
      <w:r w:rsidRPr="00E93F92">
        <w:rPr>
          <w:i w:val="0"/>
          <w:sz w:val="26"/>
          <w:szCs w:val="26"/>
        </w:rPr>
        <w:t xml:space="preserve"> CÚMPLASE</w:t>
      </w:r>
      <w:r>
        <w:rPr>
          <w:i w:val="0"/>
          <w:sz w:val="26"/>
          <w:szCs w:val="26"/>
        </w:rPr>
        <w:t xml:space="preserve"> </w:t>
      </w:r>
    </w:p>
    <w:p w:rsidR="008775BA" w:rsidRDefault="008775BA" w:rsidP="008C7554">
      <w:pPr>
        <w:widowControl w:val="0"/>
        <w:tabs>
          <w:tab w:val="left" w:pos="0"/>
        </w:tabs>
        <w:ind w:right="20"/>
        <w:rPr>
          <w:rFonts w:cs="Arial"/>
          <w:bCs/>
          <w:sz w:val="26"/>
          <w:szCs w:val="26"/>
        </w:rPr>
      </w:pPr>
    </w:p>
    <w:p w:rsidR="008775BA" w:rsidRDefault="008775BA" w:rsidP="008C7554">
      <w:pPr>
        <w:widowControl w:val="0"/>
        <w:tabs>
          <w:tab w:val="left" w:pos="0"/>
        </w:tabs>
        <w:ind w:right="20"/>
        <w:rPr>
          <w:rFonts w:cs="Arial"/>
          <w:bCs/>
          <w:sz w:val="26"/>
          <w:szCs w:val="26"/>
        </w:rPr>
      </w:pPr>
    </w:p>
    <w:p w:rsidR="008775BA" w:rsidRPr="00E93F92" w:rsidRDefault="008775BA" w:rsidP="008C7554">
      <w:pPr>
        <w:widowControl w:val="0"/>
        <w:tabs>
          <w:tab w:val="left" w:pos="0"/>
        </w:tabs>
        <w:ind w:right="20"/>
        <w:rPr>
          <w:rFonts w:cs="Arial"/>
          <w:b/>
          <w:sz w:val="26"/>
          <w:szCs w:val="26"/>
        </w:rPr>
      </w:pPr>
    </w:p>
    <w:p w:rsidR="008775BA" w:rsidRPr="00E93F92" w:rsidRDefault="00354BE4" w:rsidP="008C7554">
      <w:pPr>
        <w:widowControl w:val="0"/>
        <w:tabs>
          <w:tab w:val="left" w:pos="0"/>
        </w:tabs>
        <w:ind w:right="20"/>
        <w:jc w:val="center"/>
        <w:rPr>
          <w:rFonts w:cs="Arial"/>
          <w:b/>
          <w:sz w:val="26"/>
          <w:szCs w:val="26"/>
        </w:rPr>
      </w:pPr>
      <w:r>
        <w:rPr>
          <w:rFonts w:cs="Arial"/>
          <w:b/>
          <w:sz w:val="26"/>
          <w:szCs w:val="26"/>
        </w:rPr>
        <w:t>RAMIRO PAZOS GUERRERO</w:t>
      </w:r>
    </w:p>
    <w:p w:rsidR="008775BA" w:rsidRPr="00470D97" w:rsidRDefault="008775BA" w:rsidP="008C7554">
      <w:pPr>
        <w:widowControl w:val="0"/>
        <w:tabs>
          <w:tab w:val="left" w:pos="0"/>
        </w:tabs>
        <w:ind w:right="20"/>
        <w:jc w:val="center"/>
        <w:rPr>
          <w:rFonts w:cs="Arial"/>
          <w:bCs/>
          <w:sz w:val="26"/>
          <w:szCs w:val="26"/>
        </w:rPr>
      </w:pPr>
      <w:r w:rsidRPr="00470D97">
        <w:rPr>
          <w:rFonts w:cs="Arial"/>
          <w:sz w:val="26"/>
          <w:szCs w:val="26"/>
        </w:rPr>
        <w:t>Presidente</w:t>
      </w:r>
    </w:p>
    <w:p w:rsidR="008775BA" w:rsidRPr="00E93F92" w:rsidRDefault="008775BA" w:rsidP="008C7554">
      <w:pPr>
        <w:tabs>
          <w:tab w:val="left" w:pos="1418"/>
        </w:tabs>
        <w:jc w:val="center"/>
        <w:rPr>
          <w:rFonts w:cs="Arial"/>
          <w:bCs/>
          <w:sz w:val="26"/>
          <w:szCs w:val="26"/>
        </w:rPr>
      </w:pPr>
    </w:p>
    <w:p w:rsidR="008775BA" w:rsidRPr="00E93F92" w:rsidRDefault="008775BA" w:rsidP="008C7554">
      <w:pPr>
        <w:tabs>
          <w:tab w:val="left" w:pos="1418"/>
        </w:tabs>
        <w:jc w:val="center"/>
        <w:rPr>
          <w:rFonts w:cs="Arial"/>
          <w:bCs/>
          <w:sz w:val="26"/>
          <w:szCs w:val="26"/>
        </w:rPr>
      </w:pPr>
    </w:p>
    <w:p w:rsidR="008775BA" w:rsidRDefault="008775BA" w:rsidP="008C7554">
      <w:pPr>
        <w:tabs>
          <w:tab w:val="left" w:pos="1418"/>
        </w:tabs>
        <w:jc w:val="center"/>
        <w:rPr>
          <w:rFonts w:cs="Arial"/>
          <w:bCs/>
          <w:sz w:val="26"/>
          <w:szCs w:val="26"/>
        </w:rPr>
      </w:pPr>
    </w:p>
    <w:p w:rsidR="008775BA" w:rsidRPr="00E93F92" w:rsidRDefault="008775BA" w:rsidP="008C7554">
      <w:pPr>
        <w:tabs>
          <w:tab w:val="left" w:pos="1418"/>
        </w:tabs>
        <w:jc w:val="center"/>
        <w:rPr>
          <w:rFonts w:cs="Arial"/>
          <w:bCs/>
          <w:sz w:val="26"/>
          <w:szCs w:val="26"/>
        </w:rPr>
      </w:pPr>
    </w:p>
    <w:p w:rsidR="008775BA" w:rsidRDefault="00354BE4" w:rsidP="008C7554">
      <w:pPr>
        <w:widowControl w:val="0"/>
        <w:tabs>
          <w:tab w:val="left" w:pos="0"/>
          <w:tab w:val="left" w:pos="8820"/>
        </w:tabs>
        <w:ind w:right="20"/>
        <w:jc w:val="center"/>
        <w:rPr>
          <w:rFonts w:cs="Arial"/>
          <w:b/>
          <w:sz w:val="26"/>
          <w:szCs w:val="26"/>
        </w:rPr>
      </w:pPr>
      <w:r w:rsidRPr="00E93F92">
        <w:rPr>
          <w:rFonts w:cs="Arial"/>
          <w:b/>
          <w:sz w:val="26"/>
          <w:szCs w:val="26"/>
        </w:rPr>
        <w:t>STELLA CONTO DIAZ DEL CASTILLO</w:t>
      </w:r>
    </w:p>
    <w:p w:rsidR="008775BA" w:rsidRDefault="008775BA" w:rsidP="008C7554">
      <w:pPr>
        <w:widowControl w:val="0"/>
        <w:tabs>
          <w:tab w:val="left" w:pos="0"/>
          <w:tab w:val="left" w:pos="8820"/>
        </w:tabs>
        <w:ind w:right="20"/>
        <w:jc w:val="center"/>
        <w:rPr>
          <w:rFonts w:cs="Arial"/>
          <w:b/>
          <w:sz w:val="26"/>
          <w:szCs w:val="26"/>
        </w:rPr>
      </w:pPr>
    </w:p>
    <w:p w:rsidR="00354BE4" w:rsidRDefault="00354BE4" w:rsidP="008C7554">
      <w:pPr>
        <w:widowControl w:val="0"/>
        <w:tabs>
          <w:tab w:val="left" w:pos="0"/>
          <w:tab w:val="left" w:pos="8820"/>
        </w:tabs>
        <w:ind w:right="20"/>
        <w:jc w:val="center"/>
        <w:rPr>
          <w:rFonts w:cs="Arial"/>
          <w:b/>
          <w:sz w:val="26"/>
          <w:szCs w:val="26"/>
        </w:rPr>
      </w:pPr>
    </w:p>
    <w:p w:rsidR="008775BA" w:rsidRDefault="008775BA" w:rsidP="008C7554">
      <w:pPr>
        <w:widowControl w:val="0"/>
        <w:tabs>
          <w:tab w:val="left" w:pos="0"/>
          <w:tab w:val="left" w:pos="8820"/>
        </w:tabs>
        <w:ind w:right="20"/>
        <w:jc w:val="center"/>
        <w:rPr>
          <w:rFonts w:cs="Arial"/>
          <w:b/>
          <w:sz w:val="26"/>
          <w:szCs w:val="26"/>
        </w:rPr>
      </w:pPr>
    </w:p>
    <w:p w:rsidR="008775BA" w:rsidRPr="007264C4" w:rsidRDefault="008775BA" w:rsidP="008C7554">
      <w:pPr>
        <w:widowControl w:val="0"/>
        <w:tabs>
          <w:tab w:val="left" w:pos="0"/>
          <w:tab w:val="left" w:pos="8820"/>
        </w:tabs>
        <w:ind w:right="20"/>
        <w:jc w:val="center"/>
        <w:rPr>
          <w:rFonts w:cs="Arial"/>
          <w:b/>
          <w:sz w:val="26"/>
          <w:szCs w:val="26"/>
        </w:rPr>
      </w:pPr>
    </w:p>
    <w:p w:rsidR="008775BA" w:rsidRPr="00354BE4" w:rsidRDefault="00354BE4" w:rsidP="00354BE4">
      <w:pPr>
        <w:widowControl w:val="0"/>
        <w:tabs>
          <w:tab w:val="left" w:pos="0"/>
          <w:tab w:val="left" w:pos="8820"/>
        </w:tabs>
        <w:ind w:right="20"/>
        <w:jc w:val="center"/>
        <w:rPr>
          <w:rFonts w:cs="Arial"/>
          <w:b/>
          <w:sz w:val="26"/>
          <w:szCs w:val="26"/>
        </w:rPr>
      </w:pPr>
      <w:r w:rsidRPr="00E93F92">
        <w:rPr>
          <w:rFonts w:cs="Arial"/>
          <w:b/>
          <w:sz w:val="26"/>
          <w:szCs w:val="26"/>
        </w:rPr>
        <w:t xml:space="preserve">DANILO ROJAS BETANCOURTH </w:t>
      </w:r>
    </w:p>
    <w:sectPr w:rsidR="008775BA" w:rsidRPr="00354BE4" w:rsidSect="002943D0">
      <w:headerReference w:type="default" r:id="rId10"/>
      <w:headerReference w:type="first" r:id="rId11"/>
      <w:pgSz w:w="12242" w:h="18722" w:code="14"/>
      <w:pgMar w:top="2268" w:right="1701" w:bottom="1701" w:left="2268" w:header="73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0B6" w:rsidRDefault="00D960B6">
      <w:r>
        <w:separator/>
      </w:r>
    </w:p>
  </w:endnote>
  <w:endnote w:type="continuationSeparator" w:id="0">
    <w:p w:rsidR="00D960B6" w:rsidRDefault="00D9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0B6" w:rsidRDefault="00D960B6">
      <w:r>
        <w:separator/>
      </w:r>
    </w:p>
  </w:footnote>
  <w:footnote w:type="continuationSeparator" w:id="0">
    <w:p w:rsidR="00D960B6" w:rsidRDefault="00D960B6">
      <w:r>
        <w:continuationSeparator/>
      </w:r>
    </w:p>
  </w:footnote>
  <w:footnote w:id="1">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En la demanda presentada el </w:t>
      </w:r>
      <w:r w:rsidRPr="00381E41">
        <w:rPr>
          <w:rFonts w:cs="Arial"/>
          <w:sz w:val="22"/>
          <w:szCs w:val="22"/>
          <w:lang w:val="es-ES_tradnl"/>
        </w:rPr>
        <w:t>17 de agosto de 2001</w:t>
      </w:r>
      <w:r w:rsidRPr="00381E41">
        <w:rPr>
          <w:rFonts w:cs="Arial"/>
          <w:sz w:val="22"/>
          <w:szCs w:val="22"/>
        </w:rPr>
        <w:t>, la pretensión de mayor valor, correspondiente a la solicitud de indemnización del “</w:t>
      </w:r>
      <w:r w:rsidRPr="00381E41">
        <w:rPr>
          <w:rFonts w:cs="Arial"/>
          <w:i/>
          <w:sz w:val="22"/>
          <w:szCs w:val="22"/>
        </w:rPr>
        <w:t>daño a la vida de relación</w:t>
      </w:r>
      <w:r w:rsidRPr="00381E41">
        <w:rPr>
          <w:rFonts w:cs="Arial"/>
          <w:sz w:val="22"/>
          <w:szCs w:val="22"/>
        </w:rPr>
        <w:t>” a favor de Mónica Marisol Rodríguez, fue estimada en 5.000 gramos de oro (f. 16, c. 1), que entonces equivalían a $101.614.000. Por estar vigente en la fecha de interposición del recurso de apelación, se aplica el artículo 2° del Decreto 597 de 1988, que modifica el numeral 10 del artículo 132 del Código Contencioso Administrativo, y que establece que la cuantía para que un proceso de reparación directa iniciado en 200</w:t>
      </w:r>
      <w:r>
        <w:rPr>
          <w:rFonts w:cs="Arial"/>
          <w:sz w:val="22"/>
          <w:szCs w:val="22"/>
        </w:rPr>
        <w:t>1</w:t>
      </w:r>
      <w:r w:rsidRPr="00381E41">
        <w:rPr>
          <w:rFonts w:cs="Arial"/>
          <w:sz w:val="22"/>
          <w:szCs w:val="22"/>
        </w:rPr>
        <w:t xml:space="preserve"> fuera de doble instancia, debía ser superior a $26.390.000.</w:t>
      </w:r>
    </w:p>
  </w:footnote>
  <w:footnote w:id="2">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El artículo 357 del Código de Procedimiento Civil señala al respecto: “</w:t>
      </w:r>
      <w:r w:rsidRPr="00381E41">
        <w:rPr>
          <w:rFonts w:cs="Arial"/>
          <w:i/>
          <w:sz w:val="22"/>
          <w:szCs w:val="22"/>
        </w:rPr>
        <w:t>el superior no podrá enmendar la providencia en la parte que no fue objeto del recurso, salvo que en razón de la reforma fuere indispensable hacer modificaciones sobre puntos íntimamente relacionados con aquella</w:t>
      </w:r>
      <w:r w:rsidRPr="00381E41">
        <w:rPr>
          <w:rFonts w:cs="Arial"/>
          <w:sz w:val="22"/>
          <w:szCs w:val="22"/>
        </w:rPr>
        <w:t>”.</w:t>
      </w:r>
    </w:p>
  </w:footnote>
  <w:footnote w:id="3">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Consejo de Estado, Sección Tercera, Sala Plena, sentencia de 9 de febrero de 2012, exp. 20104, C.P. Ruth Stella Correa Palacio.</w:t>
      </w:r>
    </w:p>
  </w:footnote>
  <w:footnote w:id="4">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Consejo de Estado, Sección Tercera, sentencia de 26 de junio de 2012, exp. 21507, C.P. Danilo Rojas Betancourth.</w:t>
      </w:r>
    </w:p>
  </w:footnote>
  <w:footnote w:id="5">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Está demostrado que Mónica Marisol Rodríguez Bustamante es hija de Virginia Bustamante Sánchez (registro civil de nacimiento –f. 25, c. 1–) y hermana de Kendy Yecid, Claudia Rosio y Carmen Lorena Rodríguez Bustamante (registros civiles de nacimiento –f. 27-29, c. 1–).</w:t>
      </w:r>
    </w:p>
  </w:footnote>
  <w:footnote w:id="6">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Sin perjuicio de la reciente decisión de unificación de la Sala Plena de esta Sección, según la cual los medios de prueba documentales traídos en copia simple al proceso serán valorados sin mayores formalidades, siempre que no se haya cuestionado su autenticidad a través de la tacha de falsedad. Consejo de Estado, Sección Tercera, Sala Plena, sentencia de 28 de agosto de 2013, exp. 25022, C.P. Enrique Gil Botero.</w:t>
      </w:r>
    </w:p>
  </w:footnote>
  <w:footnote w:id="7">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Consejo de Estado, Sección Tercera, sentencia de 9 de febrero de 2011, exp. 16934, C.P. Danilo Rojas Betancourth; sentencia de 20 de febrero de 2014, exp. 30615, C.P. Ramiro Pazos Guerrero, entre otras.</w:t>
      </w:r>
    </w:p>
  </w:footnote>
  <w:footnote w:id="8">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Sobre la valoración del llamado “declarante sospechoso” la jurisprudencia de esta Corporación ha señalado lo siguiente: “</w:t>
      </w:r>
      <w:r w:rsidRPr="00381E41">
        <w:rPr>
          <w:rFonts w:cs="Arial"/>
          <w:i/>
          <w:sz w:val="22"/>
          <w:szCs w:val="22"/>
        </w:rPr>
        <w:t>dentro del sistema que adopta el C.P.C. para la valoración de la prueba, no existe descalificación legal de un testigo que se pueda calificar de "sospechoso", ya que ello sería incompatible con el principio de la sana crítica que gobierna todo el régimen probatorio en nuestro medio, sin embargo, las razones por las cuales un declarante puede tildarse de sospechoso (amistad, enemistad, parentesco, subordinación, etc.), deben ser miradas por el juzgador como aquellas que pueden colocar al testigo en capacidad de engañar a la justicia; pero para ello, el juez debe hacer uso del análisis de la prueba, en su conjunto, a fin de llegar a una convicción aplicando las reglas de la sana crítica de la prueba. Y no resulta procedente desestimar de plano un testimonio, porque el artículo 218 del C.P.C. establece como norma de conducta para el juez apreciar los testimonios sospechosos, de acuerdo con las circunstancias de cada caso, y no desecharlos de plano. El calificar como sospechoso un testigo no implica necesariamente que este haya incurrido en un falso testimonio, pues, en la práctica, respecto de testigos que en principio puedan ser calificados sin tacha de sospecha, no puede presumir el juez que siempre dicen la verdad; su dicho, como todo medio probatorio, debe evaluarse en conexidad con todos los demás medios de prueba aportados dentro de un proceso</w:t>
      </w:r>
      <w:r w:rsidRPr="00381E41">
        <w:rPr>
          <w:rFonts w:cs="Arial"/>
          <w:sz w:val="22"/>
          <w:szCs w:val="22"/>
        </w:rPr>
        <w:t>”</w:t>
      </w:r>
      <w:r w:rsidRPr="00381E41">
        <w:rPr>
          <w:rFonts w:cs="Arial"/>
          <w:i/>
          <w:sz w:val="22"/>
          <w:szCs w:val="22"/>
        </w:rPr>
        <w:t xml:space="preserve">. </w:t>
      </w:r>
      <w:r w:rsidRPr="00381E41">
        <w:rPr>
          <w:rFonts w:cs="Arial"/>
          <w:sz w:val="22"/>
          <w:szCs w:val="22"/>
        </w:rPr>
        <w:t xml:space="preserve">Consejo de Estado, Sección Primera, sentencia de 1 de julio de 2004, exp. 2003-01445, C.P. Olga Inés Navarrete. En el mismo sentido, sentencia de 19 de julio de 2007, exp. PI-02791, C.P. Martha Sofía Sánz Tobón. </w:t>
      </w:r>
    </w:p>
  </w:footnote>
  <w:footnote w:id="9">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Consejo de Estado, Sección Tercera, sentencia de 29 de agosto de 2012, exp. 23686, C.P. Danilo Rojas Betancourth.</w:t>
      </w:r>
    </w:p>
  </w:footnote>
  <w:footnote w:id="10">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Los sindicados insistieron en que debía investigarlos la justicia penal militar, pero la Fiscalía Única Seccional de Tame denegó tales solicitudes (f. 101-105, c. 1).</w:t>
      </w:r>
    </w:p>
  </w:footnote>
  <w:footnote w:id="11">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w:t>
      </w:r>
      <w:r>
        <w:rPr>
          <w:rFonts w:cs="Arial"/>
          <w:sz w:val="22"/>
          <w:szCs w:val="22"/>
        </w:rPr>
        <w:t xml:space="preserve">Cfr. </w:t>
      </w:r>
      <w:r w:rsidRPr="00381E41">
        <w:rPr>
          <w:rFonts w:cs="Arial"/>
          <w:sz w:val="22"/>
          <w:szCs w:val="22"/>
        </w:rPr>
        <w:t xml:space="preserve">EISLER, Riane </w:t>
      </w:r>
      <w:r w:rsidRPr="00381E41">
        <w:rPr>
          <w:rFonts w:cs="Arial"/>
          <w:i/>
          <w:sz w:val="22"/>
          <w:szCs w:val="22"/>
        </w:rPr>
        <w:t>El cáliz y la espada. La mujer como fuerza en la historia</w:t>
      </w:r>
      <w:r w:rsidRPr="00381E41">
        <w:rPr>
          <w:rFonts w:cs="Arial"/>
          <w:sz w:val="22"/>
          <w:szCs w:val="22"/>
        </w:rPr>
        <w:t>,</w:t>
      </w:r>
      <w:r>
        <w:rPr>
          <w:rFonts w:cs="Arial"/>
          <w:sz w:val="22"/>
          <w:szCs w:val="22"/>
        </w:rPr>
        <w:t xml:space="preserve"> trad. R Valenzuela, </w:t>
      </w:r>
      <w:r w:rsidRPr="00381E41">
        <w:rPr>
          <w:rFonts w:cs="Arial"/>
          <w:sz w:val="22"/>
          <w:szCs w:val="22"/>
        </w:rPr>
        <w:t xml:space="preserve">Editorial Pax, </w:t>
      </w:r>
      <w:r>
        <w:rPr>
          <w:rFonts w:cs="Arial"/>
          <w:sz w:val="22"/>
          <w:szCs w:val="22"/>
        </w:rPr>
        <w:t>México</w:t>
      </w:r>
      <w:r w:rsidRPr="00381E41">
        <w:rPr>
          <w:rFonts w:cs="Arial"/>
          <w:sz w:val="22"/>
          <w:szCs w:val="22"/>
        </w:rPr>
        <w:t>,</w:t>
      </w:r>
      <w:r>
        <w:rPr>
          <w:rFonts w:cs="Arial"/>
          <w:sz w:val="22"/>
          <w:szCs w:val="22"/>
        </w:rPr>
        <w:t xml:space="preserve"> D.F.,</w:t>
      </w:r>
      <w:r w:rsidRPr="00381E41">
        <w:rPr>
          <w:rFonts w:cs="Arial"/>
          <w:sz w:val="22"/>
          <w:szCs w:val="22"/>
        </w:rPr>
        <w:t xml:space="preserve"> 1997, pp. 19-32.</w:t>
      </w:r>
      <w:r>
        <w:rPr>
          <w:rFonts w:cs="Arial"/>
          <w:sz w:val="22"/>
          <w:szCs w:val="22"/>
        </w:rPr>
        <w:t xml:space="preserve"> En el nivel institucional, la histórica subordinación de la mujer fue reconocida por la Corte Constitucional en la sentencia </w:t>
      </w:r>
      <w:r w:rsidRPr="00BC1037">
        <w:rPr>
          <w:rFonts w:cs="Arial"/>
          <w:sz w:val="22"/>
          <w:szCs w:val="22"/>
        </w:rPr>
        <w:t>T-098 de 1994, M.P. Eduardo Cifuentes Muñoz.</w:t>
      </w:r>
    </w:p>
  </w:footnote>
  <w:footnote w:id="12">
    <w:p w:rsidR="001764AC" w:rsidRPr="001C160F" w:rsidRDefault="001764AC" w:rsidP="001C160F">
      <w:pPr>
        <w:pStyle w:val="Textonotapie"/>
        <w:spacing w:line="240" w:lineRule="auto"/>
        <w:rPr>
          <w:sz w:val="22"/>
          <w:szCs w:val="22"/>
        </w:rPr>
      </w:pPr>
      <w:r w:rsidRPr="001C160F">
        <w:rPr>
          <w:rStyle w:val="Refdenotaalpie"/>
          <w:sz w:val="22"/>
          <w:szCs w:val="22"/>
        </w:rPr>
        <w:footnoteRef/>
      </w:r>
      <w:r w:rsidRPr="001C160F">
        <w:rPr>
          <w:sz w:val="22"/>
          <w:szCs w:val="22"/>
        </w:rPr>
        <w:t xml:space="preserve"> Comité para la eliminación de la discriminación contra la mujer</w:t>
      </w:r>
      <w:r>
        <w:rPr>
          <w:sz w:val="22"/>
          <w:szCs w:val="22"/>
        </w:rPr>
        <w:t>,</w:t>
      </w:r>
      <w:r w:rsidRPr="001C160F">
        <w:rPr>
          <w:sz w:val="22"/>
          <w:szCs w:val="22"/>
        </w:rPr>
        <w:t xml:space="preserve"> </w:t>
      </w:r>
      <w:r w:rsidRPr="001C160F">
        <w:rPr>
          <w:i/>
          <w:sz w:val="22"/>
          <w:szCs w:val="22"/>
        </w:rPr>
        <w:t>Recomendación general n.° 19. La violencia contra la mujer</w:t>
      </w:r>
      <w:r w:rsidRPr="001C160F">
        <w:rPr>
          <w:sz w:val="22"/>
          <w:szCs w:val="22"/>
        </w:rPr>
        <w:t xml:space="preserve">, aprobada en su 11º período de sesiones, A/47/38, </w:t>
      </w:r>
      <w:r>
        <w:rPr>
          <w:sz w:val="22"/>
          <w:szCs w:val="22"/>
        </w:rPr>
        <w:t xml:space="preserve">29 de enero de </w:t>
      </w:r>
      <w:r w:rsidRPr="001C160F">
        <w:rPr>
          <w:sz w:val="22"/>
          <w:szCs w:val="22"/>
        </w:rPr>
        <w:t>1992.</w:t>
      </w:r>
    </w:p>
  </w:footnote>
  <w:footnote w:id="13">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Ley 1257 de 2008. “Por la cual se dictan normas de sensibilización, prevención y sanción de formas de violencia y discriminación contra las mujeres, se reforman los Códigos Penal, de Procedimiento Penal, la Ley 294 de 1996 y se dictan otras disposiciones”. Artículo 2.</w:t>
      </w:r>
    </w:p>
  </w:footnote>
  <w:footnote w:id="14">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Convención Interamericana para prevenir, sancionar y erradic</w:t>
      </w:r>
      <w:r>
        <w:rPr>
          <w:rFonts w:cs="Arial"/>
          <w:sz w:val="22"/>
          <w:szCs w:val="22"/>
        </w:rPr>
        <w:t>ar la violencia contra la mujer,</w:t>
      </w:r>
      <w:r w:rsidRPr="00381E41">
        <w:rPr>
          <w:rFonts w:cs="Arial"/>
          <w:sz w:val="22"/>
          <w:szCs w:val="22"/>
        </w:rPr>
        <w:t xml:space="preserve"> </w:t>
      </w:r>
      <w:r>
        <w:rPr>
          <w:rFonts w:cs="Arial"/>
          <w:sz w:val="22"/>
          <w:szCs w:val="22"/>
        </w:rPr>
        <w:t>a</w:t>
      </w:r>
      <w:r w:rsidRPr="00381E41">
        <w:rPr>
          <w:rFonts w:cs="Arial"/>
          <w:sz w:val="22"/>
          <w:szCs w:val="22"/>
        </w:rPr>
        <w:t xml:space="preserve">doptada por la Asamblea General de la </w:t>
      </w:r>
      <w:r>
        <w:rPr>
          <w:rFonts w:cs="Arial"/>
          <w:sz w:val="22"/>
          <w:szCs w:val="22"/>
        </w:rPr>
        <w:t>OEA</w:t>
      </w:r>
      <w:r w:rsidRPr="00381E41">
        <w:rPr>
          <w:rFonts w:cs="Arial"/>
          <w:sz w:val="22"/>
          <w:szCs w:val="22"/>
        </w:rPr>
        <w:t xml:space="preserve"> en Belém do Pará</w:t>
      </w:r>
      <w:r>
        <w:rPr>
          <w:rFonts w:cs="Arial"/>
          <w:sz w:val="22"/>
          <w:szCs w:val="22"/>
        </w:rPr>
        <w:t>, Brasil, el 9 de junio de 1994, la cual entró en vigor el 5 de marzo de 1995 y fue ratificada en Colombia por</w:t>
      </w:r>
      <w:r w:rsidRPr="00381E41">
        <w:rPr>
          <w:rFonts w:cs="Arial"/>
          <w:sz w:val="22"/>
          <w:szCs w:val="22"/>
        </w:rPr>
        <w:t xml:space="preserve"> la Ley 248 de 1995. Artículo 2. La Corte Constitucional </w:t>
      </w:r>
      <w:r>
        <w:rPr>
          <w:rFonts w:cs="Arial"/>
          <w:sz w:val="22"/>
          <w:szCs w:val="22"/>
        </w:rPr>
        <w:t>declar</w:t>
      </w:r>
      <w:r w:rsidRPr="00381E41">
        <w:rPr>
          <w:rFonts w:cs="Arial"/>
          <w:sz w:val="22"/>
          <w:szCs w:val="22"/>
        </w:rPr>
        <w:t>ó</w:t>
      </w:r>
      <w:r>
        <w:rPr>
          <w:rFonts w:cs="Arial"/>
          <w:sz w:val="22"/>
          <w:szCs w:val="22"/>
        </w:rPr>
        <w:t xml:space="preserve"> que</w:t>
      </w:r>
      <w:r w:rsidRPr="00381E41">
        <w:rPr>
          <w:rFonts w:cs="Arial"/>
          <w:sz w:val="22"/>
          <w:szCs w:val="22"/>
        </w:rPr>
        <w:t xml:space="preserve"> la Convención y la ley aprobatoria </w:t>
      </w:r>
      <w:r>
        <w:rPr>
          <w:rFonts w:cs="Arial"/>
          <w:sz w:val="22"/>
          <w:szCs w:val="22"/>
        </w:rPr>
        <w:t xml:space="preserve">estaban </w:t>
      </w:r>
      <w:r w:rsidRPr="00381E41">
        <w:rPr>
          <w:rFonts w:cs="Arial"/>
          <w:sz w:val="22"/>
          <w:szCs w:val="22"/>
        </w:rPr>
        <w:t>ajustadas a la Constitución Política en la Sentencia C-408 de 1996, M.P. Alejandro Martínez Caballero.</w:t>
      </w:r>
    </w:p>
  </w:footnote>
  <w:footnote w:id="15">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Convención Interamericana para prevenir, sancionar y erradicar la violencia contra la mujer. Preámbulo.</w:t>
      </w:r>
    </w:p>
  </w:footnote>
  <w:footnote w:id="16">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Ley 1257 de 2008. Artículo 3.</w:t>
      </w:r>
    </w:p>
  </w:footnote>
  <w:footnote w:id="17">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Corte Interamericana de Derechos Humanos, </w:t>
      </w:r>
      <w:r w:rsidRPr="00381E41">
        <w:rPr>
          <w:rFonts w:cs="Arial"/>
          <w:bCs/>
          <w:i/>
          <w:color w:val="000000"/>
          <w:sz w:val="22"/>
          <w:szCs w:val="22"/>
        </w:rPr>
        <w:t>Caso Rosendo Cantú y otra vs. México</w:t>
      </w:r>
      <w:r w:rsidRPr="00381E41">
        <w:rPr>
          <w:rFonts w:cs="Arial"/>
          <w:bCs/>
          <w:color w:val="000000"/>
          <w:sz w:val="22"/>
          <w:szCs w:val="22"/>
        </w:rPr>
        <w:t>,</w:t>
      </w:r>
      <w:r w:rsidRPr="00381E41">
        <w:rPr>
          <w:rFonts w:cs="Arial"/>
          <w:bCs/>
          <w:i/>
          <w:color w:val="000000"/>
          <w:sz w:val="22"/>
          <w:szCs w:val="22"/>
        </w:rPr>
        <w:t xml:space="preserve"> </w:t>
      </w:r>
      <w:r w:rsidRPr="00381E41">
        <w:rPr>
          <w:rFonts w:cs="Arial"/>
          <w:bCs/>
          <w:color w:val="000000"/>
          <w:sz w:val="22"/>
          <w:szCs w:val="22"/>
        </w:rPr>
        <w:t xml:space="preserve">sentencia de 31 de agosto de 2010, serie C n.° 216, párr. 109; Tribunal Penal Internacional para Ruanda, </w:t>
      </w:r>
      <w:r w:rsidRPr="00381E41">
        <w:rPr>
          <w:rFonts w:cs="Arial"/>
          <w:bCs/>
          <w:i/>
          <w:color w:val="000000"/>
          <w:sz w:val="22"/>
          <w:szCs w:val="22"/>
        </w:rPr>
        <w:t>Fiscal vs. Jean Paul Akayesu</w:t>
      </w:r>
      <w:r w:rsidRPr="00381E41">
        <w:rPr>
          <w:rFonts w:cs="Arial"/>
          <w:bCs/>
          <w:color w:val="000000"/>
          <w:sz w:val="22"/>
          <w:szCs w:val="22"/>
        </w:rPr>
        <w:t xml:space="preserve">, caso n.° ICTR-96-4-T, sentencia de 2 de septiembre de 1998, párr. 597; Tribunal Penal Internacional para la Antigua Yugoslavia, </w:t>
      </w:r>
      <w:r w:rsidRPr="00381E41">
        <w:rPr>
          <w:rFonts w:cs="Arial"/>
          <w:bCs/>
          <w:i/>
          <w:color w:val="000000"/>
          <w:sz w:val="22"/>
          <w:szCs w:val="22"/>
        </w:rPr>
        <w:t>Fiscal vs. Anto Furundžija</w:t>
      </w:r>
      <w:r w:rsidRPr="00381E41">
        <w:rPr>
          <w:rFonts w:cs="Arial"/>
          <w:bCs/>
          <w:color w:val="000000"/>
          <w:sz w:val="22"/>
          <w:szCs w:val="22"/>
        </w:rPr>
        <w:t>, caso n.° IT-95-17/1-T, sentencia de 10 de diciembre de 1998, párr. 176-185.</w:t>
      </w:r>
    </w:p>
  </w:footnote>
  <w:footnote w:id="18">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Pr>
          <w:rFonts w:cs="Arial"/>
          <w:sz w:val="22"/>
          <w:szCs w:val="22"/>
        </w:rPr>
        <w:t xml:space="preserve"> Consejo de Seguridad de la ONU,</w:t>
      </w:r>
      <w:r w:rsidRPr="00381E41">
        <w:rPr>
          <w:rFonts w:cs="Arial"/>
          <w:sz w:val="22"/>
          <w:szCs w:val="22"/>
        </w:rPr>
        <w:t xml:space="preserve"> </w:t>
      </w:r>
      <w:r w:rsidRPr="00381E41">
        <w:rPr>
          <w:rFonts w:cs="Arial"/>
          <w:i/>
          <w:sz w:val="22"/>
          <w:szCs w:val="22"/>
        </w:rPr>
        <w:t>Violencia sexual relacionada con los conflictos. Informe del Representante Especial del Secretario General sobre Violencia Sexual en Conflictos</w:t>
      </w:r>
      <w:r w:rsidRPr="00381E41">
        <w:rPr>
          <w:rFonts w:cs="Arial"/>
          <w:sz w:val="22"/>
          <w:szCs w:val="22"/>
        </w:rPr>
        <w:t xml:space="preserve">, 67º periodo de sesiones, A/67/792–S/2013/149, 14 de marzo de 2013, párr. 5; </w:t>
      </w:r>
      <w:r w:rsidRPr="00381E41">
        <w:rPr>
          <w:rFonts w:cs="Arial"/>
          <w:i/>
          <w:sz w:val="22"/>
          <w:szCs w:val="22"/>
        </w:rPr>
        <w:t>Violencia sexual relacionada con los conflictos. Informe del Representante Especial del Secretario General sobre Violencia Sexual en Conflictos</w:t>
      </w:r>
      <w:r w:rsidRPr="00381E41">
        <w:rPr>
          <w:rFonts w:cs="Arial"/>
          <w:sz w:val="22"/>
          <w:szCs w:val="22"/>
        </w:rPr>
        <w:t>, 66º periodo de sesiones, A/66/657–S/2012/33, 13 de enero de 2012, párr. 3.</w:t>
      </w:r>
    </w:p>
  </w:footnote>
  <w:footnote w:id="19">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w:t>
      </w:r>
      <w:r>
        <w:rPr>
          <w:rFonts w:cs="Arial"/>
          <w:sz w:val="22"/>
          <w:szCs w:val="22"/>
        </w:rPr>
        <w:t xml:space="preserve">Cfr. </w:t>
      </w:r>
      <w:r w:rsidRPr="00381E41">
        <w:rPr>
          <w:rFonts w:cs="Arial"/>
          <w:sz w:val="22"/>
          <w:szCs w:val="22"/>
        </w:rPr>
        <w:t>CONTO DÍAZ DEL CASTILLO, Stella</w:t>
      </w:r>
      <w:r>
        <w:rPr>
          <w:rFonts w:cs="Arial"/>
          <w:sz w:val="22"/>
          <w:szCs w:val="22"/>
        </w:rPr>
        <w:t>,</w:t>
      </w:r>
      <w:r w:rsidRPr="00381E41">
        <w:rPr>
          <w:rFonts w:cs="Arial"/>
          <w:sz w:val="22"/>
          <w:szCs w:val="22"/>
        </w:rPr>
        <w:t xml:space="preserve"> “Mujer y tierra: Ecos de una misma historia de dominación”, en </w:t>
      </w:r>
      <w:r w:rsidRPr="00381E41">
        <w:rPr>
          <w:rFonts w:cs="Arial"/>
          <w:i/>
          <w:sz w:val="22"/>
          <w:szCs w:val="22"/>
        </w:rPr>
        <w:t>Violencia, discriminación, desplazamiento, acoso sexual contra las mujeres y normatividad asociada</w:t>
      </w:r>
      <w:r w:rsidRPr="00381E41">
        <w:rPr>
          <w:rFonts w:cs="Arial"/>
          <w:sz w:val="22"/>
          <w:szCs w:val="22"/>
        </w:rPr>
        <w:t>, Comisión Nacional de Género de la Rama Judicial, Bogotá, Imprenta Nacional, diciembre de 2013, pp. 11-17.</w:t>
      </w:r>
    </w:p>
  </w:footnote>
  <w:footnote w:id="20">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w:t>
      </w:r>
      <w:r>
        <w:rPr>
          <w:rFonts w:cs="Arial"/>
          <w:sz w:val="22"/>
          <w:szCs w:val="22"/>
        </w:rPr>
        <w:t xml:space="preserve">Cfr. </w:t>
      </w:r>
      <w:r w:rsidRPr="00381E41">
        <w:rPr>
          <w:rFonts w:cs="Arial"/>
          <w:sz w:val="22"/>
          <w:szCs w:val="22"/>
        </w:rPr>
        <w:t xml:space="preserve">Centro Nacional de Memoria Histórica, </w:t>
      </w:r>
      <w:r w:rsidRPr="00381E41">
        <w:rPr>
          <w:rFonts w:cs="Arial"/>
          <w:i/>
          <w:sz w:val="22"/>
          <w:szCs w:val="22"/>
        </w:rPr>
        <w:t>¡Basta ya! Colombia: memorias de guerra y dignidad. Informe General Grupo de Memoria Histórica</w:t>
      </w:r>
      <w:r w:rsidRPr="00381E41">
        <w:rPr>
          <w:rFonts w:cs="Arial"/>
          <w:sz w:val="22"/>
          <w:szCs w:val="22"/>
        </w:rPr>
        <w:t>, Centro Nacional de Memoria Histórica, Bogotá, 2013, p. 84.</w:t>
      </w:r>
    </w:p>
  </w:footnote>
  <w:footnote w:id="21">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La Corte Interamericana ha reconocido el impacto diferencial de las violaciones de los derechos humanos en el marco de un conflicto armado: “</w:t>
      </w:r>
      <w:r w:rsidRPr="00381E41">
        <w:rPr>
          <w:rFonts w:cs="Arial"/>
          <w:i/>
          <w:sz w:val="22"/>
          <w:szCs w:val="22"/>
        </w:rPr>
        <w:t xml:space="preserve">Las mujeres se vieron afectadas por los actos de violencia de manera diferente a los hombres </w:t>
      </w:r>
      <w:r w:rsidRPr="00381E41">
        <w:rPr>
          <w:rFonts w:cs="Arial"/>
          <w:sz w:val="22"/>
          <w:szCs w:val="22"/>
        </w:rPr>
        <w:t>(...)</w:t>
      </w:r>
      <w:r w:rsidRPr="00381E41">
        <w:rPr>
          <w:rFonts w:cs="Arial"/>
          <w:i/>
          <w:sz w:val="22"/>
          <w:szCs w:val="22"/>
        </w:rPr>
        <w:t xml:space="preserve"> durante los conflictos armados las mujeres enfrentan situaciones específicas de afectación a sus derechos humanos, como lo son los actos de violencia sexual, que en muchas ocasiones es utilizada como un «medio simbólico para afectar a la parte contraria»</w:t>
      </w:r>
      <w:r w:rsidRPr="00381E41">
        <w:rPr>
          <w:rFonts w:cs="Arial"/>
          <w:sz w:val="22"/>
          <w:szCs w:val="22"/>
        </w:rPr>
        <w:t>”.</w:t>
      </w:r>
      <w:r w:rsidRPr="00381E41">
        <w:rPr>
          <w:rFonts w:cs="Arial"/>
          <w:bCs/>
          <w:i/>
          <w:color w:val="000000"/>
          <w:sz w:val="22"/>
          <w:szCs w:val="22"/>
        </w:rPr>
        <w:t xml:space="preserve"> Caso del Penal Miguel Castro Castro vs. Perú</w:t>
      </w:r>
      <w:r w:rsidRPr="00381E41">
        <w:rPr>
          <w:rFonts w:cs="Arial"/>
          <w:bCs/>
          <w:color w:val="000000"/>
          <w:sz w:val="22"/>
          <w:szCs w:val="22"/>
        </w:rPr>
        <w:t>, sentencia de 25 de noviembre de 2006, serie C n.° 160, párr. 223 y ss.</w:t>
      </w:r>
    </w:p>
  </w:footnote>
  <w:footnote w:id="22">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Pr>
          <w:rFonts w:cs="Arial"/>
          <w:sz w:val="22"/>
          <w:szCs w:val="22"/>
        </w:rPr>
        <w:t xml:space="preserve"> Corte Constitucional, a</w:t>
      </w:r>
      <w:r w:rsidRPr="00381E41">
        <w:rPr>
          <w:rFonts w:cs="Arial"/>
          <w:sz w:val="22"/>
          <w:szCs w:val="22"/>
        </w:rPr>
        <w:t xml:space="preserve">uto 092 de 2008, M.P. Manuel José Cepeda Espinosa. </w:t>
      </w:r>
      <w:r>
        <w:rPr>
          <w:rFonts w:cs="Arial"/>
          <w:sz w:val="22"/>
          <w:szCs w:val="22"/>
        </w:rPr>
        <w:t>Se trata de</w:t>
      </w:r>
      <w:r w:rsidRPr="00381E41">
        <w:rPr>
          <w:rFonts w:cs="Arial"/>
          <w:sz w:val="22"/>
          <w:szCs w:val="22"/>
        </w:rPr>
        <w:t xml:space="preserve"> un</w:t>
      </w:r>
      <w:r>
        <w:rPr>
          <w:rFonts w:cs="Arial"/>
          <w:sz w:val="22"/>
          <w:szCs w:val="22"/>
        </w:rPr>
        <w:t>a</w:t>
      </w:r>
      <w:r w:rsidRPr="00381E41">
        <w:rPr>
          <w:rFonts w:cs="Arial"/>
          <w:sz w:val="22"/>
          <w:szCs w:val="22"/>
        </w:rPr>
        <w:t xml:space="preserve"> </w:t>
      </w:r>
      <w:r>
        <w:rPr>
          <w:rFonts w:cs="Arial"/>
          <w:sz w:val="22"/>
          <w:szCs w:val="22"/>
        </w:rPr>
        <w:t>providencia</w:t>
      </w:r>
      <w:r w:rsidRPr="00381E41">
        <w:rPr>
          <w:rFonts w:cs="Arial"/>
          <w:sz w:val="22"/>
          <w:szCs w:val="22"/>
        </w:rPr>
        <w:t xml:space="preserve"> d</w:t>
      </w:r>
      <w:r>
        <w:rPr>
          <w:rFonts w:cs="Arial"/>
          <w:sz w:val="22"/>
          <w:szCs w:val="22"/>
        </w:rPr>
        <w:t>e seguimiento a la s</w:t>
      </w:r>
      <w:r w:rsidRPr="00381E41">
        <w:rPr>
          <w:rFonts w:cs="Arial"/>
          <w:sz w:val="22"/>
          <w:szCs w:val="22"/>
        </w:rPr>
        <w:t>entencia T-025 de 2004</w:t>
      </w:r>
      <w:r>
        <w:rPr>
          <w:rFonts w:cs="Arial"/>
          <w:sz w:val="22"/>
          <w:szCs w:val="22"/>
        </w:rPr>
        <w:t>,</w:t>
      </w:r>
      <w:r w:rsidRPr="00381E41">
        <w:rPr>
          <w:rFonts w:cs="Arial"/>
          <w:sz w:val="22"/>
          <w:szCs w:val="22"/>
        </w:rPr>
        <w:t xml:space="preserve"> que calificó la situación de desplazamiento forzado como “estado de cosas inconstitucional” y dispuso la adopción de unas medidas estructurales para superar dicha situación. En este auto se hizo un análisis de la situación de las mujeres desplazadas en el país y del impacto que el conflicto armado ha producido sobre el ejercicio de sus derechos, y se dictaron importantes órdenes para la reformulación de la</w:t>
      </w:r>
      <w:r>
        <w:rPr>
          <w:rFonts w:cs="Arial"/>
          <w:sz w:val="22"/>
          <w:szCs w:val="22"/>
        </w:rPr>
        <w:t>s</w:t>
      </w:r>
      <w:r w:rsidRPr="00381E41">
        <w:rPr>
          <w:rFonts w:cs="Arial"/>
          <w:sz w:val="22"/>
          <w:szCs w:val="22"/>
        </w:rPr>
        <w:t xml:space="preserve"> política</w:t>
      </w:r>
      <w:r>
        <w:rPr>
          <w:rFonts w:cs="Arial"/>
          <w:sz w:val="22"/>
          <w:szCs w:val="22"/>
        </w:rPr>
        <w:t>s</w:t>
      </w:r>
      <w:r w:rsidRPr="00381E41">
        <w:rPr>
          <w:rFonts w:cs="Arial"/>
          <w:sz w:val="22"/>
          <w:szCs w:val="22"/>
        </w:rPr>
        <w:t xml:space="preserve"> pública</w:t>
      </w:r>
      <w:r>
        <w:rPr>
          <w:rFonts w:cs="Arial"/>
          <w:sz w:val="22"/>
          <w:szCs w:val="22"/>
        </w:rPr>
        <w:t>s</w:t>
      </w:r>
      <w:r w:rsidRPr="00381E41">
        <w:rPr>
          <w:rFonts w:cs="Arial"/>
          <w:sz w:val="22"/>
          <w:szCs w:val="22"/>
        </w:rPr>
        <w:t>.</w:t>
      </w:r>
    </w:p>
  </w:footnote>
  <w:footnote w:id="23">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Pr>
          <w:rFonts w:cs="Arial"/>
          <w:sz w:val="22"/>
          <w:szCs w:val="22"/>
        </w:rPr>
        <w:t xml:space="preserve"> Corte Constitucional, a</w:t>
      </w:r>
      <w:r w:rsidRPr="00381E41">
        <w:rPr>
          <w:rFonts w:cs="Arial"/>
          <w:sz w:val="22"/>
          <w:szCs w:val="22"/>
        </w:rPr>
        <w:t>uto 092 de 2008, M.P.</w:t>
      </w:r>
      <w:r>
        <w:rPr>
          <w:rFonts w:cs="Arial"/>
          <w:sz w:val="22"/>
          <w:szCs w:val="22"/>
        </w:rPr>
        <w:t xml:space="preserve"> Manuel José Cepeda Espinosa. Es preciso advertir</w:t>
      </w:r>
      <w:r w:rsidRPr="00381E41">
        <w:rPr>
          <w:rFonts w:cs="Arial"/>
          <w:sz w:val="22"/>
          <w:szCs w:val="22"/>
        </w:rPr>
        <w:t xml:space="preserve"> </w:t>
      </w:r>
      <w:r>
        <w:rPr>
          <w:rFonts w:cs="Arial"/>
          <w:sz w:val="22"/>
          <w:szCs w:val="22"/>
        </w:rPr>
        <w:t>que</w:t>
      </w:r>
      <w:r w:rsidRPr="00381E41">
        <w:rPr>
          <w:rFonts w:cs="Arial"/>
          <w:sz w:val="22"/>
          <w:szCs w:val="22"/>
        </w:rPr>
        <w:t xml:space="preserve"> las mujeres defensoras de dere</w:t>
      </w:r>
      <w:r>
        <w:rPr>
          <w:rFonts w:cs="Arial"/>
          <w:sz w:val="22"/>
          <w:szCs w:val="22"/>
        </w:rPr>
        <w:t>chos humanos y líderes sociales</w:t>
      </w:r>
      <w:r w:rsidRPr="00381E41">
        <w:rPr>
          <w:rFonts w:cs="Arial"/>
          <w:sz w:val="22"/>
          <w:szCs w:val="22"/>
        </w:rPr>
        <w:t xml:space="preserve"> están expuestas a un nivel mayor de vulnerabilidad e indefensión</w:t>
      </w:r>
      <w:r>
        <w:rPr>
          <w:rFonts w:cs="Arial"/>
          <w:sz w:val="22"/>
          <w:szCs w:val="22"/>
        </w:rPr>
        <w:t>, en razón de sus actividades</w:t>
      </w:r>
      <w:r w:rsidRPr="00381E41">
        <w:rPr>
          <w:rFonts w:cs="Arial"/>
          <w:sz w:val="22"/>
          <w:szCs w:val="22"/>
        </w:rPr>
        <w:t>. Al respecto, ver</w:t>
      </w:r>
      <w:r>
        <w:rPr>
          <w:rFonts w:cs="Arial"/>
          <w:sz w:val="22"/>
          <w:szCs w:val="22"/>
        </w:rPr>
        <w:t>: Corte Constitucional, s</w:t>
      </w:r>
      <w:r w:rsidRPr="00381E41">
        <w:rPr>
          <w:rFonts w:cs="Arial"/>
          <w:sz w:val="22"/>
          <w:szCs w:val="22"/>
        </w:rPr>
        <w:t>entencia T-234 de 2012, M.P. Gabriel Eduardo Mendoza Martelo.</w:t>
      </w:r>
    </w:p>
  </w:footnote>
  <w:footnote w:id="24">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w:t>
      </w:r>
      <w:r>
        <w:rPr>
          <w:rFonts w:cs="Arial"/>
          <w:sz w:val="22"/>
          <w:szCs w:val="22"/>
        </w:rPr>
        <w:t xml:space="preserve">Cfr. </w:t>
      </w:r>
      <w:r w:rsidRPr="00381E41">
        <w:rPr>
          <w:rFonts w:cs="Arial"/>
          <w:sz w:val="22"/>
          <w:szCs w:val="22"/>
        </w:rPr>
        <w:t xml:space="preserve">Centro Nacional de Memoria Histórica, </w:t>
      </w:r>
      <w:r w:rsidRPr="00381E41">
        <w:rPr>
          <w:rFonts w:cs="Arial"/>
          <w:i/>
          <w:sz w:val="22"/>
          <w:szCs w:val="22"/>
        </w:rPr>
        <w:t>¡Basta ya! Colombia: memorias de guerra y dignidad. Informe General Grupo de Memoria Histórica</w:t>
      </w:r>
      <w:r w:rsidRPr="00381E41">
        <w:rPr>
          <w:rFonts w:cs="Arial"/>
          <w:sz w:val="22"/>
          <w:szCs w:val="22"/>
        </w:rPr>
        <w:t xml:space="preserve">, </w:t>
      </w:r>
      <w:r w:rsidRPr="00166186">
        <w:rPr>
          <w:rFonts w:cs="Arial"/>
          <w:i/>
          <w:sz w:val="22"/>
          <w:szCs w:val="22"/>
        </w:rPr>
        <w:t>op. cit.</w:t>
      </w:r>
      <w:r w:rsidRPr="00381E41">
        <w:rPr>
          <w:rFonts w:cs="Arial"/>
          <w:sz w:val="22"/>
          <w:szCs w:val="22"/>
        </w:rPr>
        <w:t>, p. 305.</w:t>
      </w:r>
    </w:p>
  </w:footnote>
  <w:footnote w:id="25">
    <w:p w:rsidR="001764AC" w:rsidRPr="00381E41" w:rsidRDefault="001764AC" w:rsidP="00A62400">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Corte Constitucional, Auto 092 de 2008, M.P. Manuel José Cepeda Espinosa.</w:t>
      </w:r>
    </w:p>
  </w:footnote>
  <w:footnote w:id="26">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Comisión Interamericana de Derechos Humanos, </w:t>
      </w:r>
      <w:r w:rsidRPr="00381E41">
        <w:rPr>
          <w:rFonts w:cs="Arial"/>
          <w:i/>
          <w:sz w:val="22"/>
          <w:szCs w:val="22"/>
        </w:rPr>
        <w:t>Las mujeres frente a la violencia y la discriminación derivadas del conflicto armado en Colombia</w:t>
      </w:r>
      <w:r w:rsidRPr="00381E41">
        <w:rPr>
          <w:rFonts w:cs="Arial"/>
          <w:sz w:val="22"/>
          <w:szCs w:val="22"/>
        </w:rPr>
        <w:t xml:space="preserve">, OEA/Ser.L/V/II. Doc. 67, 18 de octubre de 2006, párr. 17-39; </w:t>
      </w:r>
      <w:r w:rsidRPr="00381E41">
        <w:rPr>
          <w:rFonts w:cs="Arial"/>
          <w:i/>
          <w:sz w:val="22"/>
          <w:szCs w:val="22"/>
        </w:rPr>
        <w:t>Informe de Seguimiento. Las Mujeres Frente a la Violencia y Discriminación Derivadas del Conflicto Armado en Colombia – Capítulo V</w:t>
      </w:r>
      <w:r w:rsidRPr="00381E41">
        <w:rPr>
          <w:rFonts w:cs="Arial"/>
          <w:sz w:val="22"/>
          <w:szCs w:val="22"/>
        </w:rPr>
        <w:t>, OEA/Ser.L/V/II., Doc. 51 corr. 1, 30 de diciembre de 2009, párr. 17-38.</w:t>
      </w:r>
    </w:p>
  </w:footnote>
  <w:footnote w:id="27">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Comisión Interamericana de Derechos Humanos, </w:t>
      </w:r>
      <w:r w:rsidRPr="00381E41">
        <w:rPr>
          <w:rFonts w:cs="Arial"/>
          <w:i/>
          <w:sz w:val="22"/>
          <w:szCs w:val="22"/>
        </w:rPr>
        <w:t>Verdad, justicia y reparación: Cuarto informe sobre la situación de derechos humanos en Colombia</w:t>
      </w:r>
      <w:r w:rsidRPr="00381E41">
        <w:rPr>
          <w:rFonts w:cs="Arial"/>
          <w:sz w:val="22"/>
          <w:szCs w:val="22"/>
        </w:rPr>
        <w:t>, OEA/Ser.L/V/II. Doc. 49/13, 31 de diciembre de 2013, p. 360. Ver también</w:t>
      </w:r>
      <w:r>
        <w:rPr>
          <w:rFonts w:cs="Arial"/>
          <w:sz w:val="22"/>
          <w:szCs w:val="22"/>
        </w:rPr>
        <w:t>:</w:t>
      </w:r>
      <w:r w:rsidRPr="00381E41">
        <w:rPr>
          <w:rFonts w:cs="Arial"/>
          <w:sz w:val="22"/>
          <w:szCs w:val="22"/>
        </w:rPr>
        <w:t xml:space="preserve"> TELLO PEDRAZA, Jorge Enrique</w:t>
      </w:r>
      <w:r>
        <w:rPr>
          <w:rFonts w:cs="Arial"/>
          <w:sz w:val="22"/>
          <w:szCs w:val="22"/>
        </w:rPr>
        <w:t>,</w:t>
      </w:r>
      <w:r w:rsidRPr="00381E41">
        <w:rPr>
          <w:rFonts w:cs="Arial"/>
          <w:sz w:val="22"/>
          <w:szCs w:val="22"/>
        </w:rPr>
        <w:t xml:space="preserve"> “Examen médico legal por presunto delito sexual. Colombia, 2010”, en </w:t>
      </w:r>
      <w:r w:rsidRPr="00381E41">
        <w:rPr>
          <w:rFonts w:cs="Arial"/>
          <w:i/>
          <w:sz w:val="22"/>
          <w:szCs w:val="22"/>
        </w:rPr>
        <w:t>Violencia sexual contra la mujer en los conflictos armados</w:t>
      </w:r>
      <w:r w:rsidRPr="00381E41">
        <w:rPr>
          <w:rFonts w:cs="Arial"/>
          <w:sz w:val="22"/>
          <w:szCs w:val="22"/>
        </w:rPr>
        <w:t xml:space="preserve">, Instituto Nacional de Medicina Legal y Ciencias Forenses, </w:t>
      </w:r>
      <w:r>
        <w:rPr>
          <w:rFonts w:cs="Arial"/>
          <w:sz w:val="22"/>
          <w:szCs w:val="22"/>
        </w:rPr>
        <w:t>Bogotá, 2011, p. 165</w:t>
      </w:r>
      <w:r w:rsidRPr="00381E41">
        <w:rPr>
          <w:rFonts w:cs="Arial"/>
          <w:sz w:val="22"/>
          <w:szCs w:val="22"/>
        </w:rPr>
        <w:t>.</w:t>
      </w:r>
    </w:p>
  </w:footnote>
  <w:footnote w:id="28">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w:t>
      </w:r>
      <w:r>
        <w:rPr>
          <w:rFonts w:cs="Arial"/>
          <w:sz w:val="22"/>
          <w:szCs w:val="22"/>
        </w:rPr>
        <w:t xml:space="preserve">Cfr. </w:t>
      </w:r>
      <w:r w:rsidRPr="00381E41">
        <w:rPr>
          <w:rFonts w:cs="Arial"/>
          <w:sz w:val="22"/>
          <w:szCs w:val="22"/>
        </w:rPr>
        <w:t xml:space="preserve">Centro Nacional de Memoria Histórica, </w:t>
      </w:r>
      <w:r w:rsidRPr="00381E41">
        <w:rPr>
          <w:rFonts w:cs="Arial"/>
          <w:i/>
          <w:sz w:val="22"/>
          <w:szCs w:val="22"/>
        </w:rPr>
        <w:t>Mujeres y guerra. Víctimas y resistentes del Caribe colombiano</w:t>
      </w:r>
      <w:r w:rsidRPr="00381E41">
        <w:rPr>
          <w:rFonts w:cs="Arial"/>
          <w:sz w:val="22"/>
          <w:szCs w:val="22"/>
        </w:rPr>
        <w:t xml:space="preserve">, Centro Nacional de Memoria Histórica, Bogotá, 2011; Sisma Mujer, “El Estado y la violencia sexual contra las mujeres en el marco de la violencia sociopolítica en Colombia”, Bogotá, 16 de mayo de 2012; Corporación Humanas, </w:t>
      </w:r>
      <w:r w:rsidRPr="00381E41">
        <w:rPr>
          <w:rFonts w:cs="Arial"/>
          <w:i/>
          <w:sz w:val="22"/>
          <w:szCs w:val="22"/>
        </w:rPr>
        <w:t>Situación en Colombia de la violencia sexual contra las mujeres</w:t>
      </w:r>
      <w:r w:rsidRPr="00381E41">
        <w:rPr>
          <w:rFonts w:cs="Arial"/>
          <w:sz w:val="22"/>
          <w:szCs w:val="22"/>
        </w:rPr>
        <w:t xml:space="preserve">, Ántropos, Bogotá, enero de 2009; </w:t>
      </w:r>
      <w:r w:rsidRPr="00381E41">
        <w:rPr>
          <w:rFonts w:cs="Arial"/>
          <w:i/>
          <w:sz w:val="22"/>
          <w:szCs w:val="22"/>
        </w:rPr>
        <w:t>La violencia sexual. Una estrategia paramilitar en Colombia</w:t>
      </w:r>
      <w:r w:rsidRPr="00381E41">
        <w:rPr>
          <w:rFonts w:cs="Arial"/>
          <w:sz w:val="22"/>
          <w:szCs w:val="22"/>
        </w:rPr>
        <w:t xml:space="preserve">, Ántropos, Bogotá, 2013; ABColombia et. al, “Colombia: Mujeres, Violencia Sexual en el Conflicto y el Proceso de Paz”, Londres, noviembre de 2013; Mesa de Trabajo Mujer y Conflicto Armado, </w:t>
      </w:r>
      <w:r w:rsidRPr="00381E41">
        <w:rPr>
          <w:rFonts w:cs="Arial"/>
          <w:i/>
          <w:sz w:val="22"/>
          <w:szCs w:val="22"/>
        </w:rPr>
        <w:t>X Informe sobre violencia sociopolítica contra mujeres, jóvenes y niñas en Colombia 2000-2010</w:t>
      </w:r>
      <w:r w:rsidRPr="00381E41">
        <w:rPr>
          <w:rFonts w:cs="Arial"/>
          <w:sz w:val="22"/>
          <w:szCs w:val="22"/>
        </w:rPr>
        <w:t>, Ántropos, Bogotá, enero de 2010; FISCÓ, Sonia</w:t>
      </w:r>
      <w:r>
        <w:rPr>
          <w:rFonts w:cs="Arial"/>
          <w:sz w:val="22"/>
          <w:szCs w:val="22"/>
        </w:rPr>
        <w:t>,</w:t>
      </w:r>
      <w:r w:rsidRPr="00381E41">
        <w:rPr>
          <w:rFonts w:cs="Arial"/>
          <w:sz w:val="22"/>
          <w:szCs w:val="22"/>
        </w:rPr>
        <w:t xml:space="preserve"> “Atroces realidades: la violencia sexual contra la mujer en el conflicto armado colombiano”, </w:t>
      </w:r>
      <w:r w:rsidRPr="00381E41">
        <w:rPr>
          <w:rFonts w:cs="Arial"/>
          <w:i/>
          <w:sz w:val="22"/>
          <w:szCs w:val="22"/>
        </w:rPr>
        <w:t>Papel Político</w:t>
      </w:r>
      <w:r w:rsidRPr="00381E41">
        <w:rPr>
          <w:rFonts w:cs="Arial"/>
          <w:sz w:val="22"/>
          <w:szCs w:val="22"/>
        </w:rPr>
        <w:t xml:space="preserve">, </w:t>
      </w:r>
      <w:r w:rsidRPr="00381E41">
        <w:rPr>
          <w:rStyle w:val="Nmerodepgina"/>
          <w:rFonts w:cs="Arial"/>
          <w:sz w:val="22"/>
          <w:szCs w:val="22"/>
          <w:lang w:val="es-ES"/>
        </w:rPr>
        <w:t>n.°</w:t>
      </w:r>
      <w:r w:rsidRPr="00381E41">
        <w:rPr>
          <w:rFonts w:cs="Arial"/>
          <w:sz w:val="22"/>
          <w:szCs w:val="22"/>
        </w:rPr>
        <w:t xml:space="preserve"> 17, junio de 2005, pp. 119-179; Oxfam Internacional, “Campaña Violaciones y otras Violencias. Saquen mi cuerpo de la guerra. Primera encuesta de prevalencia «Violencia sexual en contra de las mujeres en el contexto del conflicto armado». Colombia 2001-2009”, Bogotá, 2013; Amnistía Internacional, “Hablan las sobrevivientes. Violencia sexual en Colombia”, AI, septiembre de 2011; Médicos Sin Fronteras. “Violencia Sexual en Colombia: Una mirada integral desde los proyectos de ayuda humanitaria en </w:t>
      </w:r>
      <w:r>
        <w:rPr>
          <w:rFonts w:cs="Arial"/>
          <w:sz w:val="22"/>
          <w:szCs w:val="22"/>
        </w:rPr>
        <w:t>salud”,</w:t>
      </w:r>
      <w:r w:rsidRPr="00381E41">
        <w:rPr>
          <w:rFonts w:cs="Arial"/>
          <w:sz w:val="22"/>
          <w:szCs w:val="22"/>
        </w:rPr>
        <w:t xml:space="preserve"> MSF, Bogotá, 2008, entre otros.</w:t>
      </w:r>
    </w:p>
  </w:footnote>
  <w:footnote w:id="29">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Corte Constitucional, Auto 092 de 2008, M.P. Manuel José Cepeda Espinosa.</w:t>
      </w:r>
    </w:p>
  </w:footnote>
  <w:footnote w:id="30">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Consejo de Seguridad de la ONU. </w:t>
      </w:r>
      <w:r w:rsidRPr="00381E41">
        <w:rPr>
          <w:rFonts w:cs="Arial"/>
          <w:i/>
          <w:sz w:val="22"/>
          <w:szCs w:val="22"/>
        </w:rPr>
        <w:t>Violencia sexual relacionada con los conflictos. Informe del Representante Especial del Secretario General sobre Violencia Sexual en Conflictos</w:t>
      </w:r>
      <w:r w:rsidRPr="00381E41">
        <w:rPr>
          <w:rFonts w:cs="Arial"/>
          <w:sz w:val="22"/>
          <w:szCs w:val="22"/>
        </w:rPr>
        <w:t xml:space="preserve">, 66º periodo de sesiones, </w:t>
      </w:r>
      <w:r w:rsidRPr="0016529D">
        <w:rPr>
          <w:rFonts w:cs="Arial"/>
          <w:i/>
          <w:sz w:val="22"/>
          <w:szCs w:val="22"/>
        </w:rPr>
        <w:t>op. cit.</w:t>
      </w:r>
      <w:r w:rsidRPr="00381E41">
        <w:rPr>
          <w:rFonts w:cs="Arial"/>
          <w:sz w:val="22"/>
          <w:szCs w:val="22"/>
        </w:rPr>
        <w:t>, párr. 5.</w:t>
      </w:r>
    </w:p>
  </w:footnote>
  <w:footnote w:id="31">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Comisión Interamericana de Derechos Humanos, </w:t>
      </w:r>
      <w:r w:rsidRPr="00381E41">
        <w:rPr>
          <w:rFonts w:cs="Arial"/>
          <w:i/>
          <w:sz w:val="22"/>
          <w:szCs w:val="22"/>
        </w:rPr>
        <w:t>Tercer informe sobre la situación de los derechos humanos en Colombia</w:t>
      </w:r>
      <w:r w:rsidRPr="00381E41">
        <w:rPr>
          <w:rFonts w:cs="Arial"/>
          <w:sz w:val="22"/>
          <w:szCs w:val="22"/>
        </w:rPr>
        <w:t>, OEA/Ser.L/V/II.102. Doc. 9 rev. 1, 26 de febrero de 1999, capítulo XII “Los derechos de la mujer”.</w:t>
      </w:r>
    </w:p>
  </w:footnote>
  <w:footnote w:id="32">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w:t>
      </w:r>
      <w:r>
        <w:rPr>
          <w:rFonts w:cs="Arial"/>
          <w:sz w:val="22"/>
          <w:szCs w:val="22"/>
        </w:rPr>
        <w:t xml:space="preserve">Cfr. </w:t>
      </w:r>
      <w:r w:rsidRPr="00381E41">
        <w:rPr>
          <w:rFonts w:cs="Arial"/>
          <w:sz w:val="22"/>
          <w:szCs w:val="22"/>
        </w:rPr>
        <w:t xml:space="preserve">Instituto Nacional de Medicina Legal y Ciencias Forenses, “Posibles delitos sexuales”, en </w:t>
      </w:r>
      <w:r w:rsidRPr="00381E41">
        <w:rPr>
          <w:rFonts w:cs="Arial"/>
          <w:i/>
          <w:sz w:val="22"/>
          <w:szCs w:val="22"/>
        </w:rPr>
        <w:t>Forensis. Datos para la vida</w:t>
      </w:r>
      <w:r>
        <w:rPr>
          <w:rFonts w:cs="Arial"/>
          <w:sz w:val="22"/>
          <w:szCs w:val="22"/>
        </w:rPr>
        <w:t>,</w:t>
      </w:r>
      <w:r w:rsidRPr="00381E41">
        <w:rPr>
          <w:rFonts w:cs="Arial"/>
          <w:sz w:val="22"/>
          <w:szCs w:val="22"/>
        </w:rPr>
        <w:t xml:space="preserve"> Bogotá, 1999, pp. 114 y 121.</w:t>
      </w:r>
    </w:p>
  </w:footnote>
  <w:footnote w:id="33">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Se aclara que la inmensa mayoría de los casos carece de una descripción precisa de la circunstancia de hecho en que se produjo la agresión sexual y, sobre todo, de los posibles responsables de la misma.</w:t>
      </w:r>
    </w:p>
  </w:footnote>
  <w:footnote w:id="34">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w:t>
      </w:r>
      <w:r>
        <w:rPr>
          <w:rFonts w:cs="Arial"/>
          <w:sz w:val="22"/>
          <w:szCs w:val="22"/>
        </w:rPr>
        <w:t xml:space="preserve">Cfr. </w:t>
      </w:r>
      <w:r w:rsidRPr="00381E41">
        <w:rPr>
          <w:rFonts w:cs="Arial"/>
          <w:sz w:val="22"/>
          <w:szCs w:val="22"/>
        </w:rPr>
        <w:t xml:space="preserve">Instituto Nacional de Medicina Legal y Ciencias Forenses, </w:t>
      </w:r>
      <w:r w:rsidRPr="00381E41">
        <w:rPr>
          <w:rFonts w:cs="Arial"/>
          <w:i/>
          <w:sz w:val="22"/>
          <w:szCs w:val="22"/>
        </w:rPr>
        <w:t>Mujeres valoradas por violencia sexual física. Colombia 2004-2008</w:t>
      </w:r>
      <w:r>
        <w:rPr>
          <w:rFonts w:cs="Arial"/>
          <w:sz w:val="22"/>
          <w:szCs w:val="22"/>
        </w:rPr>
        <w:t>, Bogotá,</w:t>
      </w:r>
      <w:r w:rsidRPr="00381E41">
        <w:rPr>
          <w:rFonts w:cs="Arial"/>
          <w:sz w:val="22"/>
          <w:szCs w:val="22"/>
        </w:rPr>
        <w:t xml:space="preserve"> 2009, p. 65.</w:t>
      </w:r>
    </w:p>
  </w:footnote>
  <w:footnote w:id="35">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w:t>
      </w:r>
      <w:r>
        <w:rPr>
          <w:rFonts w:cs="Arial"/>
          <w:sz w:val="22"/>
          <w:szCs w:val="22"/>
        </w:rPr>
        <w:t xml:space="preserve">Cfr. </w:t>
      </w:r>
      <w:r w:rsidRPr="00381E41">
        <w:rPr>
          <w:rFonts w:cs="Arial"/>
          <w:sz w:val="22"/>
          <w:szCs w:val="22"/>
        </w:rPr>
        <w:t xml:space="preserve">Instituto Nacional de Medicina Legal y Ciencias Forenses, </w:t>
      </w:r>
      <w:r w:rsidRPr="00381E41">
        <w:rPr>
          <w:rFonts w:cs="Arial"/>
          <w:i/>
          <w:sz w:val="22"/>
          <w:szCs w:val="22"/>
        </w:rPr>
        <w:t>Informes periciales sexológicos, 2009</w:t>
      </w:r>
      <w:r>
        <w:rPr>
          <w:rFonts w:cs="Arial"/>
          <w:sz w:val="22"/>
          <w:szCs w:val="22"/>
        </w:rPr>
        <w:t>, Bogotá</w:t>
      </w:r>
      <w:r w:rsidRPr="00381E41">
        <w:rPr>
          <w:rFonts w:cs="Arial"/>
          <w:sz w:val="22"/>
          <w:szCs w:val="22"/>
        </w:rPr>
        <w:t>, 2010, p. 170.</w:t>
      </w:r>
    </w:p>
  </w:footnote>
  <w:footnote w:id="36">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w:t>
      </w:r>
      <w:r>
        <w:rPr>
          <w:rFonts w:cs="Arial"/>
          <w:sz w:val="22"/>
          <w:szCs w:val="22"/>
        </w:rPr>
        <w:t xml:space="preserve">Cfr. </w:t>
      </w:r>
      <w:r w:rsidRPr="00381E41">
        <w:rPr>
          <w:rFonts w:cs="Arial"/>
          <w:sz w:val="22"/>
          <w:szCs w:val="22"/>
        </w:rPr>
        <w:t xml:space="preserve">Instituto Nacional de Medicina Legal y Ciencias Forenses, </w:t>
      </w:r>
      <w:r w:rsidRPr="00381E41">
        <w:rPr>
          <w:rFonts w:cs="Arial"/>
          <w:i/>
          <w:sz w:val="22"/>
          <w:szCs w:val="22"/>
        </w:rPr>
        <w:t>Violencia sexual contra la mujer en los conflictos armados</w:t>
      </w:r>
      <w:r w:rsidRPr="00381E41">
        <w:rPr>
          <w:rFonts w:cs="Arial"/>
          <w:sz w:val="22"/>
          <w:szCs w:val="22"/>
        </w:rPr>
        <w:t xml:space="preserve">, </w:t>
      </w:r>
      <w:r w:rsidRPr="00EB234F">
        <w:rPr>
          <w:rFonts w:cs="Arial"/>
          <w:i/>
          <w:sz w:val="22"/>
          <w:szCs w:val="22"/>
        </w:rPr>
        <w:t>op. cit.</w:t>
      </w:r>
      <w:r w:rsidRPr="00381E41">
        <w:rPr>
          <w:rFonts w:cs="Arial"/>
          <w:sz w:val="22"/>
          <w:szCs w:val="22"/>
        </w:rPr>
        <w:t>, p. 162.</w:t>
      </w:r>
    </w:p>
  </w:footnote>
  <w:footnote w:id="37">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Estos datos se obtienen al sumar las cifras de exámenes sexológicos practicados en esos años por Medicina Legal, consignadas en los informes antes citados.</w:t>
      </w:r>
    </w:p>
  </w:footnote>
  <w:footnote w:id="38">
    <w:p w:rsidR="001764AC" w:rsidRPr="00637AD0" w:rsidRDefault="001764AC" w:rsidP="00637AD0">
      <w:pPr>
        <w:pStyle w:val="Textonotapie"/>
        <w:spacing w:line="240" w:lineRule="auto"/>
        <w:rPr>
          <w:sz w:val="22"/>
          <w:szCs w:val="22"/>
          <w:lang w:val="es-ES_tradnl"/>
        </w:rPr>
      </w:pPr>
      <w:r w:rsidRPr="00637AD0">
        <w:rPr>
          <w:rStyle w:val="Refdenotaalpie"/>
          <w:sz w:val="22"/>
          <w:szCs w:val="22"/>
        </w:rPr>
        <w:footnoteRef/>
      </w:r>
      <w:r w:rsidRPr="00637AD0">
        <w:rPr>
          <w:sz w:val="22"/>
          <w:szCs w:val="22"/>
        </w:rPr>
        <w:t xml:space="preserve"> </w:t>
      </w:r>
      <w:r>
        <w:rPr>
          <w:sz w:val="22"/>
          <w:szCs w:val="22"/>
        </w:rPr>
        <w:t>Se valoran las declaraciones de la víctima directa del daño, como también de su madre, rendidas bajo la gravedad del juramento ante la Fiscalía Única Seccional de Tame, por cuanto se practicaron ante la autoridad competente en circunstancias de tiempo, modo y lugar diferentes a las del presente proceso, y con un objeto diverso.</w:t>
      </w:r>
    </w:p>
  </w:footnote>
  <w:footnote w:id="39">
    <w:p w:rsidR="001764AC" w:rsidRPr="002D36C1" w:rsidRDefault="001764AC" w:rsidP="002D36C1">
      <w:pPr>
        <w:pStyle w:val="Textonotapie"/>
        <w:spacing w:line="240" w:lineRule="auto"/>
        <w:rPr>
          <w:sz w:val="22"/>
          <w:szCs w:val="22"/>
        </w:rPr>
      </w:pPr>
      <w:r w:rsidRPr="002D36C1">
        <w:rPr>
          <w:rStyle w:val="Refdenotaalpie"/>
          <w:sz w:val="22"/>
          <w:szCs w:val="22"/>
        </w:rPr>
        <w:footnoteRef/>
      </w:r>
      <w:r w:rsidRPr="002D36C1">
        <w:rPr>
          <w:sz w:val="22"/>
          <w:szCs w:val="22"/>
        </w:rPr>
        <w:t xml:space="preserve"> Para la fecha de los hechos, en</w:t>
      </w:r>
      <w:r>
        <w:rPr>
          <w:sz w:val="22"/>
          <w:szCs w:val="22"/>
        </w:rPr>
        <w:t xml:space="preserve"> la estación de policía de Tame</w:t>
      </w:r>
      <w:r w:rsidRPr="002D36C1">
        <w:rPr>
          <w:sz w:val="22"/>
          <w:szCs w:val="22"/>
        </w:rPr>
        <w:t xml:space="preserve"> se encontraban el teniente Julián Sierra Castrillón, el capitán Pedro Leonel Lesmes Parra, los sargentos primeros Carlos Alberto Torres Ciro y Juan Caballero Castro, y los patrulleros Jesús Alarcón Chacón, Wilson Bastidas Gavilanes, Julio César Cárdenas Osorio, José Cárdenas Vaca, Óscar Castellanos Cuchimaque, Carlos Chanaga Serrano, Manolo Uriel Clavijo Pulido, José Darío Díaz Mateus, Fredy Fajardo Ortega, Reinaldo Ferrer Rey, Leonardo Garzón Troncoso, Carlos Augusto Isaza Martínez, Manuel Saúl Jaimes Barrera, Jhon Jader Ordóñez Yáñez, Fabián Prieto Ramírez, Joaquín Hugo Reina, Gustavo Restrepo Pulgarín, Luis Eduardo Serrato Reyes, Fredy Alexander Sierra Cañas, Yimmi Silva Alexander, Paúl Varón Acosta, Reinel Vargas Sáenz y Nelson Emilio Zabala Barón (f. 72-73, 81-84, c. 2).</w:t>
      </w:r>
    </w:p>
  </w:footnote>
  <w:footnote w:id="40">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Consejo de Estado, Sección Tercera, sentencia de 6 de diciembre de 2013, exp. 25420, C.P. Ramiro Pazos Guerrero; sentencia de 29 de febrero de 2012, exp. 23412, C.P. Danilo Rojas Betancourth; sentencia de 9 de mayo de 2011, exp. 19976, C.P. Jaime Orlando Santofimio Gamboa; sentencia de 10 de febrero de 2011, exp. 19123, C.P. Ruth Stella Correa Palacio; sentencia de 10 de junio de 2009, exp. 34348, C.P. Ruth Stella Correa Palacio; sentencia de 22 de julio de 2009, exp. 16911, C.P. Myriam Guerrero de Escobar; sentencia de 26 de abril de 2006, exp. 15427, C.P. Ruth Stella Correa Palacio; sentencia de 15 de febrero de 2006, exp. 15383, C.P. Ramiro Saavedra Becerra; sentencia de 10 de agosto de 2001, exp. 13666, C.P. Alier Eduardo Hernández Enríquez; sentencia de 14 de junio de 2001, exp. 13303, C.P. Ricardo Hoyos Duque, entre otras. También véase Consejo de Estado, Sala Plena de lo Contencioso Administrativo, sentencia de 14 de febrero de 1995, exp. S-123 (recurso extraordinario de súplica), C.P. Consuelo Sarria Olcos.</w:t>
      </w:r>
    </w:p>
  </w:footnote>
  <w:footnote w:id="41">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[1] “</w:t>
      </w:r>
      <w:r w:rsidRPr="00381E41">
        <w:rPr>
          <w:rFonts w:cs="Arial"/>
          <w:i/>
          <w:sz w:val="22"/>
          <w:szCs w:val="22"/>
        </w:rPr>
        <w:t>En sentencia de 26 de septiembre de 2002, exp. 14.036, dijo la Sala:</w:t>
      </w:r>
      <w:r w:rsidRPr="00381E41">
        <w:rPr>
          <w:rFonts w:cs="Arial"/>
          <w:sz w:val="22"/>
          <w:szCs w:val="22"/>
        </w:rPr>
        <w:t xml:space="preserve"> “</w:t>
      </w:r>
      <w:r w:rsidRPr="00381E41">
        <w:rPr>
          <w:rFonts w:cs="Arial"/>
          <w:i/>
          <w:sz w:val="22"/>
          <w:szCs w:val="22"/>
        </w:rPr>
        <w:t>Para determinar cuándo el hecho tiene o no vínculo con el servicio se debe examinar la situación concreta para establecer si el funcionario actuó frente a la víctima prevalido de su condición de autoridad pública, es decir, que lo que importa examinar no es la intencionalidad del sujeto, su motivación interna, sino la exteriorización de su comportamiento. En otros términos lo que importa para atribuir al Estado, por ejemplo, el hecho de un policía que agrede a una persona es establecer “si a los ojos de la víctima aquel comportamiento lesivo de la policía nacional aparecía como derivado de un poder público, si quiera en la vertiente del funcionamiento anormal de un servicio público</w:t>
      </w:r>
      <w:r w:rsidRPr="00381E41">
        <w:rPr>
          <w:rFonts w:cs="Arial"/>
          <w:sz w:val="22"/>
          <w:szCs w:val="22"/>
        </w:rPr>
        <w:t>”.</w:t>
      </w:r>
    </w:p>
  </w:footnote>
  <w:footnote w:id="42">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[2] “</w:t>
      </w:r>
      <w:r w:rsidRPr="00381E41">
        <w:rPr>
          <w:rFonts w:cs="Arial"/>
          <w:i/>
          <w:sz w:val="22"/>
          <w:szCs w:val="22"/>
        </w:rPr>
        <w:t>Andrés E. Navarro Múnera. La ampliación de la responsabilidad patrimonial de la administración a los daños ocasionados por sus funcionarios o agentes actuando actuando al margen del servicio público, en Revista Española de Derecho Administrativo, n.° 60, octubre-diciembre de 1988. Se analiza en el artículo la sentencia del Tribunal Supremo de España del 27 de mayo de 1987, que concedió a los demandantes la indemnización por la muerte de su hijo ocasionada por un agente de la policía con arma de fuego reglamentaria, pero quien disfrutaba de sus vacaciones, en aplicación de la teoría del riesgo como título de imputación)</w:t>
      </w:r>
      <w:r w:rsidRPr="00381E41">
        <w:rPr>
          <w:rFonts w:cs="Arial"/>
          <w:sz w:val="22"/>
          <w:szCs w:val="22"/>
        </w:rPr>
        <w:t>”</w:t>
      </w:r>
      <w:r w:rsidRPr="00381E41">
        <w:rPr>
          <w:rFonts w:cs="Arial"/>
          <w:i/>
          <w:sz w:val="22"/>
          <w:szCs w:val="22"/>
        </w:rPr>
        <w:t>.</w:t>
      </w:r>
    </w:p>
  </w:footnote>
  <w:footnote w:id="43">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Consejo de Estado, Sección Tercera, sentencia de 10 de febrero de 2011, exp. 19123, C.P. Ruth Stella Correa Palacio, reiterada en la sentencia de 26 de junio de 2014, exp. 27580, C.P. Ramiro Pazos Guerrero.</w:t>
      </w:r>
    </w:p>
  </w:footnote>
  <w:footnote w:id="44">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Consejo de Estado, Sección Tercera, sentencia de 22 de noviembre de 2011, exp. 22935, C.P. Danilo Rojas Betancourth; sentencia de 14 de junio de 2001, exp. 13303, C.P. Ricardo Hoyos Duque.</w:t>
      </w:r>
    </w:p>
  </w:footnote>
  <w:footnote w:id="45">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[5] “</w:t>
      </w:r>
      <w:r w:rsidRPr="00381E41">
        <w:rPr>
          <w:rFonts w:cs="Arial"/>
          <w:i/>
          <w:sz w:val="22"/>
          <w:szCs w:val="22"/>
        </w:rPr>
        <w:t>Sentencia de 6 de diciembre de 2004, exp: 504222331000941044-01</w:t>
      </w:r>
      <w:r w:rsidRPr="00381E41">
        <w:rPr>
          <w:rFonts w:cs="Arial"/>
          <w:sz w:val="22"/>
          <w:szCs w:val="22"/>
        </w:rPr>
        <w:t>”</w:t>
      </w:r>
      <w:r w:rsidRPr="00381E41">
        <w:rPr>
          <w:rFonts w:cs="Arial"/>
          <w:i/>
          <w:sz w:val="22"/>
          <w:szCs w:val="22"/>
        </w:rPr>
        <w:t>.</w:t>
      </w:r>
    </w:p>
  </w:footnote>
  <w:footnote w:id="46">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[6]</w:t>
      </w:r>
      <w:r w:rsidRPr="00381E41">
        <w:rPr>
          <w:rFonts w:cs="Arial"/>
          <w:i/>
          <w:sz w:val="22"/>
          <w:szCs w:val="22"/>
        </w:rPr>
        <w:t xml:space="preserve"> </w:t>
      </w:r>
      <w:r w:rsidRPr="00381E41">
        <w:rPr>
          <w:rFonts w:cs="Arial"/>
          <w:sz w:val="22"/>
          <w:szCs w:val="22"/>
        </w:rPr>
        <w:t>“</w:t>
      </w:r>
      <w:r w:rsidRPr="00381E41">
        <w:rPr>
          <w:rFonts w:cs="Arial"/>
          <w:i/>
          <w:sz w:val="22"/>
          <w:szCs w:val="22"/>
        </w:rPr>
        <w:t>Exp. 17.426, actor: Bolívar Arce y otros, M.P. Ramiro Saavedra Becerra</w:t>
      </w:r>
      <w:r w:rsidRPr="00381E41">
        <w:rPr>
          <w:rFonts w:cs="Arial"/>
          <w:sz w:val="22"/>
          <w:szCs w:val="22"/>
        </w:rPr>
        <w:t>”</w:t>
      </w:r>
      <w:r w:rsidRPr="00381E41">
        <w:rPr>
          <w:rFonts w:cs="Arial"/>
          <w:i/>
          <w:sz w:val="22"/>
          <w:szCs w:val="22"/>
        </w:rPr>
        <w:t>.</w:t>
      </w:r>
    </w:p>
  </w:footnote>
  <w:footnote w:id="47">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Consejo de Estado, Sección Tercera, sentencia de 10 de junio de 2009, exp. 34348, C.P. Ruth Stella Correa Palacio, reiterada en la sentencia de 26 de junio de 2014, exp. 27580, C.P. Ramiro Pazos Guerrero.</w:t>
      </w:r>
    </w:p>
  </w:footnote>
  <w:footnote w:id="48">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Consejo de Estado, Sección Tercera, sentencia de 22 de noviembre de 2011, exp. 22935, C.P. Danilo Rojas Betancourth; sentencia de 14 de junio de 2001, exp. 13303, C.P. Ricardo Hoyos Duque.</w:t>
      </w:r>
    </w:p>
  </w:footnote>
  <w:footnote w:id="49">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Estos lineamientos fueron recogidos por</w:t>
      </w:r>
      <w:r>
        <w:rPr>
          <w:rFonts w:cs="Arial"/>
          <w:sz w:val="22"/>
          <w:szCs w:val="22"/>
        </w:rPr>
        <w:t xml:space="preserve"> la Corte Constitucional en la s</w:t>
      </w:r>
      <w:r w:rsidRPr="00381E41">
        <w:rPr>
          <w:rFonts w:cs="Arial"/>
          <w:sz w:val="22"/>
          <w:szCs w:val="22"/>
        </w:rPr>
        <w:t>entencia C-291 de 2007, M.P. Manuel José Cepeda Espinosa.</w:t>
      </w:r>
      <w:r>
        <w:rPr>
          <w:rFonts w:cs="Arial"/>
          <w:sz w:val="22"/>
          <w:szCs w:val="22"/>
        </w:rPr>
        <w:t xml:space="preserve"> La traducción es de la Corte.</w:t>
      </w:r>
    </w:p>
  </w:footnote>
  <w:footnote w:id="50">
    <w:p w:rsidR="001764AC" w:rsidRPr="00381E41" w:rsidRDefault="001764AC" w:rsidP="00381E41">
      <w:pPr>
        <w:pStyle w:val="Textonotapie"/>
        <w:spacing w:line="240" w:lineRule="auto"/>
        <w:rPr>
          <w:rFonts w:cs="Arial"/>
          <w:bCs/>
          <w:color w:val="000000"/>
          <w:sz w:val="22"/>
          <w:szCs w:val="22"/>
        </w:rPr>
      </w:pPr>
      <w:r w:rsidRPr="00381E41">
        <w:rPr>
          <w:rStyle w:val="Refdenotaalpie"/>
          <w:rFonts w:cs="Arial"/>
          <w:sz w:val="22"/>
          <w:szCs w:val="22"/>
        </w:rPr>
        <w:footnoteRef/>
      </w:r>
      <w:r w:rsidRPr="00381E41">
        <w:rPr>
          <w:rFonts w:cs="Arial"/>
          <w:sz w:val="22"/>
          <w:szCs w:val="22"/>
        </w:rPr>
        <w:t xml:space="preserve"> Tribunal Penal Internacional para la Antigua Yugoslavia, </w:t>
      </w:r>
      <w:r w:rsidRPr="00381E41">
        <w:rPr>
          <w:rFonts w:cs="Arial"/>
          <w:i/>
          <w:sz w:val="22"/>
          <w:szCs w:val="22"/>
        </w:rPr>
        <w:t>Fiscal vs. Vidoje Blagojević y Dragan Jokić</w:t>
      </w:r>
      <w:r w:rsidRPr="00381E41">
        <w:rPr>
          <w:rFonts w:cs="Arial"/>
          <w:sz w:val="22"/>
          <w:szCs w:val="22"/>
        </w:rPr>
        <w:t xml:space="preserve">, </w:t>
      </w:r>
      <w:r w:rsidRPr="00381E41">
        <w:rPr>
          <w:rFonts w:cs="Arial"/>
          <w:bCs/>
          <w:color w:val="000000"/>
          <w:sz w:val="22"/>
          <w:szCs w:val="22"/>
        </w:rPr>
        <w:t xml:space="preserve">caso n.° </w:t>
      </w:r>
      <w:r w:rsidRPr="00381E41">
        <w:rPr>
          <w:rFonts w:cs="Arial"/>
          <w:sz w:val="22"/>
          <w:szCs w:val="22"/>
        </w:rPr>
        <w:t>IT-02-60-T, sentencia de 17 de enero de 2005</w:t>
      </w:r>
      <w:r w:rsidRPr="00381E41">
        <w:rPr>
          <w:rFonts w:cs="Arial"/>
          <w:bCs/>
          <w:color w:val="000000"/>
          <w:sz w:val="22"/>
          <w:szCs w:val="22"/>
        </w:rPr>
        <w:t xml:space="preserve">, párr. 536. </w:t>
      </w:r>
    </w:p>
  </w:footnote>
  <w:footnote w:id="51">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Tribunal Penal Internacional para la Antigua Yugoslavia, </w:t>
      </w:r>
      <w:r w:rsidRPr="00381E41">
        <w:rPr>
          <w:rFonts w:cs="Arial"/>
          <w:i/>
          <w:sz w:val="22"/>
          <w:szCs w:val="22"/>
        </w:rPr>
        <w:t xml:space="preserve">Fiscal vs. </w:t>
      </w:r>
      <w:r w:rsidRPr="00381E41">
        <w:rPr>
          <w:rFonts w:cs="Arial"/>
          <w:bCs/>
          <w:i/>
          <w:color w:val="000000"/>
          <w:sz w:val="22"/>
          <w:szCs w:val="22"/>
        </w:rPr>
        <w:t>Dragoljub Kunarac et. al</w:t>
      </w:r>
      <w:r w:rsidRPr="00381E41">
        <w:rPr>
          <w:rFonts w:cs="Arial"/>
          <w:bCs/>
          <w:color w:val="000000"/>
          <w:sz w:val="22"/>
          <w:szCs w:val="22"/>
        </w:rPr>
        <w:t>, caso n.°</w:t>
      </w:r>
      <w:r w:rsidRPr="00381E41">
        <w:rPr>
          <w:rFonts w:cs="Arial"/>
          <w:sz w:val="22"/>
          <w:szCs w:val="22"/>
        </w:rPr>
        <w:t xml:space="preserve"> </w:t>
      </w:r>
      <w:r w:rsidRPr="00381E41">
        <w:rPr>
          <w:rFonts w:cs="Arial"/>
          <w:bCs/>
          <w:color w:val="000000"/>
          <w:sz w:val="22"/>
          <w:szCs w:val="22"/>
        </w:rPr>
        <w:t>IT-96-23 &amp; IT-96-23/1-A, sentencia de 12 de junio de 2002, Sala de Apelaciones, párr. 58.</w:t>
      </w:r>
    </w:p>
  </w:footnote>
  <w:footnote w:id="52">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Tribunal Penal Internacional para la Antigua Yugoslavia, </w:t>
      </w:r>
      <w:r w:rsidRPr="00381E41">
        <w:rPr>
          <w:rFonts w:cs="Arial"/>
          <w:i/>
          <w:sz w:val="22"/>
          <w:szCs w:val="22"/>
        </w:rPr>
        <w:t>Fiscal vs. Enver Hadžihasanović y Amir Kubura</w:t>
      </w:r>
      <w:r w:rsidRPr="00381E41">
        <w:rPr>
          <w:rFonts w:cs="Arial"/>
          <w:sz w:val="22"/>
          <w:szCs w:val="22"/>
        </w:rPr>
        <w:t xml:space="preserve">, </w:t>
      </w:r>
      <w:r w:rsidRPr="00381E41">
        <w:rPr>
          <w:rFonts w:cs="Arial"/>
          <w:bCs/>
          <w:color w:val="000000"/>
          <w:sz w:val="22"/>
          <w:szCs w:val="22"/>
        </w:rPr>
        <w:t>caso n.°</w:t>
      </w:r>
      <w:r w:rsidRPr="00381E41">
        <w:rPr>
          <w:rFonts w:cs="Arial"/>
          <w:sz w:val="22"/>
          <w:szCs w:val="22"/>
        </w:rPr>
        <w:t xml:space="preserve"> IT-01-47-T, sentencia de 15 de marzo de 2006, párr. 16; </w:t>
      </w:r>
      <w:r w:rsidRPr="00381E41">
        <w:rPr>
          <w:rFonts w:cs="Arial"/>
          <w:i/>
          <w:sz w:val="22"/>
          <w:szCs w:val="22"/>
        </w:rPr>
        <w:t>Fiscal vs. Sefer Halilović</w:t>
      </w:r>
      <w:r w:rsidRPr="00381E41">
        <w:rPr>
          <w:rFonts w:cs="Arial"/>
          <w:sz w:val="22"/>
          <w:szCs w:val="22"/>
        </w:rPr>
        <w:t xml:space="preserve">, </w:t>
      </w:r>
      <w:r w:rsidRPr="00381E41">
        <w:rPr>
          <w:rFonts w:cs="Arial"/>
          <w:bCs/>
          <w:color w:val="000000"/>
          <w:sz w:val="22"/>
          <w:szCs w:val="22"/>
        </w:rPr>
        <w:t>caso n.°</w:t>
      </w:r>
      <w:r w:rsidRPr="00381E41">
        <w:rPr>
          <w:rFonts w:cs="Arial"/>
          <w:sz w:val="22"/>
          <w:szCs w:val="22"/>
        </w:rPr>
        <w:t xml:space="preserve"> IT-01-48-T, sentencia de 16 de noviembre de 2005</w:t>
      </w:r>
      <w:r w:rsidRPr="00381E41">
        <w:rPr>
          <w:rFonts w:cs="Arial"/>
          <w:bCs/>
          <w:color w:val="000000"/>
          <w:sz w:val="22"/>
          <w:szCs w:val="22"/>
        </w:rPr>
        <w:t>, párr. 29.</w:t>
      </w:r>
    </w:p>
  </w:footnote>
  <w:footnote w:id="53">
    <w:p w:rsidR="001764AC" w:rsidRPr="004078D5" w:rsidRDefault="001764AC" w:rsidP="004078D5">
      <w:pPr>
        <w:pStyle w:val="Textonotapie"/>
        <w:spacing w:line="240" w:lineRule="auto"/>
        <w:rPr>
          <w:sz w:val="22"/>
          <w:szCs w:val="22"/>
        </w:rPr>
      </w:pPr>
      <w:r w:rsidRPr="004078D5">
        <w:rPr>
          <w:rStyle w:val="Refdenotaalpie"/>
          <w:sz w:val="22"/>
          <w:szCs w:val="22"/>
        </w:rPr>
        <w:footnoteRef/>
      </w:r>
      <w:r w:rsidRPr="004078D5">
        <w:rPr>
          <w:sz w:val="22"/>
          <w:szCs w:val="22"/>
        </w:rPr>
        <w:t xml:space="preserve"> </w:t>
      </w:r>
      <w:r>
        <w:rPr>
          <w:sz w:val="22"/>
          <w:szCs w:val="22"/>
        </w:rPr>
        <w:t>“</w:t>
      </w:r>
      <w:r w:rsidRPr="00A62400">
        <w:rPr>
          <w:i/>
          <w:sz w:val="22"/>
          <w:szCs w:val="22"/>
        </w:rPr>
        <w:t>Conocer el contexto de la violencia puede ayudar a establecer el impacto de la misma y las condiciones que se requerirían para superar sus impactos y avanzar en la eliminación de sus causas. Es decir, constituiría no solamente una forma de verdad con efecto reparador para las víctimas, sino un elemento fundamental en la estructuración de un proyecto político que persiga la superación de las formas de discriminación que permitieron la violencia diferenciada contra las mujeres</w:t>
      </w:r>
      <w:r>
        <w:rPr>
          <w:sz w:val="22"/>
          <w:szCs w:val="22"/>
        </w:rPr>
        <w:t>”. Ver: GUZMÁN, Diana Esther, “</w:t>
      </w:r>
      <w:r w:rsidRPr="00A62400">
        <w:rPr>
          <w:sz w:val="22"/>
          <w:szCs w:val="22"/>
        </w:rPr>
        <w:t>Reparaciones para las mujeres víctimas de la violencia en Colombia</w:t>
      </w:r>
      <w:r>
        <w:rPr>
          <w:sz w:val="22"/>
          <w:szCs w:val="22"/>
        </w:rPr>
        <w:t xml:space="preserve">”, en </w:t>
      </w:r>
      <w:r w:rsidRPr="004078D5">
        <w:rPr>
          <w:i/>
          <w:sz w:val="22"/>
          <w:szCs w:val="22"/>
        </w:rPr>
        <w:t>Reparar en Colombia: los dilemas en contextos de conflicto, pobreza y exclusión</w:t>
      </w:r>
      <w:r>
        <w:rPr>
          <w:sz w:val="22"/>
          <w:szCs w:val="22"/>
        </w:rPr>
        <w:t xml:space="preserve">, </w:t>
      </w:r>
      <w:r w:rsidRPr="00A62400">
        <w:rPr>
          <w:sz w:val="22"/>
          <w:szCs w:val="22"/>
        </w:rPr>
        <w:t xml:space="preserve">Catalina Díaz, Nelson </w:t>
      </w:r>
      <w:r>
        <w:rPr>
          <w:sz w:val="22"/>
          <w:szCs w:val="22"/>
        </w:rPr>
        <w:t>Sánchez y Rodrigo Uprimny (eds.), ICTJ, Unión Europea, DeJusticia, Bogotá, p. 224.</w:t>
      </w:r>
    </w:p>
  </w:footnote>
  <w:footnote w:id="54">
    <w:p w:rsidR="001764AC" w:rsidRDefault="001764AC" w:rsidP="00DE0E1F">
      <w:pPr>
        <w:pStyle w:val="Textonotapie"/>
        <w:spacing w:line="240" w:lineRule="auto"/>
      </w:pPr>
      <w:r w:rsidRPr="001323D0">
        <w:rPr>
          <w:rStyle w:val="Refdenotaalpie"/>
          <w:sz w:val="22"/>
          <w:szCs w:val="22"/>
        </w:rPr>
        <w:footnoteRef/>
      </w:r>
      <w:r w:rsidRPr="001323D0">
        <w:rPr>
          <w:sz w:val="22"/>
          <w:szCs w:val="22"/>
        </w:rPr>
        <w:t xml:space="preserve"> En </w:t>
      </w:r>
      <w:r>
        <w:rPr>
          <w:sz w:val="22"/>
          <w:szCs w:val="22"/>
        </w:rPr>
        <w:t>relación con</w:t>
      </w:r>
      <w:r w:rsidRPr="001323D0">
        <w:rPr>
          <w:sz w:val="22"/>
          <w:szCs w:val="22"/>
        </w:rPr>
        <w:t xml:space="preserve"> Colombia, la Corte Interamericana </w:t>
      </w:r>
      <w:r>
        <w:rPr>
          <w:sz w:val="22"/>
          <w:szCs w:val="22"/>
        </w:rPr>
        <w:t>de Derechos Humanos ha resaltado</w:t>
      </w:r>
      <w:r w:rsidRPr="001323D0">
        <w:rPr>
          <w:sz w:val="22"/>
          <w:szCs w:val="22"/>
        </w:rPr>
        <w:t xml:space="preserve"> la importancia del contexto del conflicto armado </w:t>
      </w:r>
      <w:r>
        <w:rPr>
          <w:sz w:val="22"/>
          <w:szCs w:val="22"/>
        </w:rPr>
        <w:t xml:space="preserve">interno </w:t>
      </w:r>
      <w:r w:rsidRPr="001323D0">
        <w:rPr>
          <w:sz w:val="22"/>
          <w:szCs w:val="22"/>
        </w:rPr>
        <w:t>para determinar el alcance de las obligaciones del Estado en materia de respeto, garantía y protecci</w:t>
      </w:r>
      <w:r>
        <w:rPr>
          <w:sz w:val="22"/>
          <w:szCs w:val="22"/>
        </w:rPr>
        <w:t>ón de los derechos humanos. Ver:</w:t>
      </w:r>
      <w:r w:rsidRPr="001323D0">
        <w:rPr>
          <w:sz w:val="22"/>
          <w:szCs w:val="22"/>
        </w:rPr>
        <w:t xml:space="preserve"> Corte Interamericana de Derechos Humanos, </w:t>
      </w:r>
      <w:r w:rsidRPr="001323D0">
        <w:rPr>
          <w:i/>
          <w:sz w:val="22"/>
          <w:szCs w:val="22"/>
        </w:rPr>
        <w:t>Caso Masacre de Santo Domingo vs. Colombia</w:t>
      </w:r>
      <w:r w:rsidRPr="001323D0">
        <w:rPr>
          <w:sz w:val="22"/>
          <w:szCs w:val="22"/>
        </w:rPr>
        <w:t xml:space="preserve">, sentencia de 30 de noviembre de 2012, serie C n.° 259, párr. 187; </w:t>
      </w:r>
      <w:r w:rsidRPr="001323D0">
        <w:rPr>
          <w:i/>
          <w:sz w:val="22"/>
          <w:szCs w:val="22"/>
        </w:rPr>
        <w:t>Caso de las Masacres de Ituango vs. Colombia</w:t>
      </w:r>
      <w:r w:rsidRPr="001323D0">
        <w:rPr>
          <w:sz w:val="22"/>
          <w:szCs w:val="22"/>
        </w:rPr>
        <w:t xml:space="preserve">, sentencia de 1 de julio de 2006, serie C n.° 148, párr. 179; </w:t>
      </w:r>
      <w:r w:rsidRPr="001323D0">
        <w:rPr>
          <w:i/>
          <w:sz w:val="22"/>
          <w:szCs w:val="22"/>
        </w:rPr>
        <w:t>Caso de la Masacre de Mapiripán vs. Colombia</w:t>
      </w:r>
      <w:r w:rsidRPr="001323D0">
        <w:rPr>
          <w:sz w:val="22"/>
          <w:szCs w:val="22"/>
        </w:rPr>
        <w:t>, sentencia de 15 de septiembre de 2005, serie C n.° 134, párr. 114 y 172.</w:t>
      </w:r>
    </w:p>
  </w:footnote>
  <w:footnote w:id="55">
    <w:p w:rsidR="001764AC" w:rsidRPr="00407C04" w:rsidRDefault="001764AC" w:rsidP="00DE0E1F">
      <w:pPr>
        <w:pStyle w:val="Textonotapie"/>
        <w:spacing w:line="240" w:lineRule="auto"/>
        <w:rPr>
          <w:sz w:val="22"/>
          <w:szCs w:val="22"/>
        </w:rPr>
      </w:pPr>
      <w:r w:rsidRPr="00407C04">
        <w:rPr>
          <w:rStyle w:val="Refdenotaalpie"/>
          <w:sz w:val="22"/>
          <w:szCs w:val="22"/>
        </w:rPr>
        <w:footnoteRef/>
      </w:r>
      <w:r>
        <w:rPr>
          <w:sz w:val="22"/>
          <w:szCs w:val="22"/>
        </w:rPr>
        <w:t xml:space="preserve"> </w:t>
      </w:r>
      <w:r w:rsidRPr="00381E41">
        <w:rPr>
          <w:rFonts w:cs="Arial"/>
          <w:sz w:val="22"/>
          <w:szCs w:val="22"/>
        </w:rPr>
        <w:t xml:space="preserve">Consejo de Estado, Sección Tercera, sentencia de </w:t>
      </w:r>
      <w:r>
        <w:rPr>
          <w:rFonts w:cs="Arial"/>
          <w:sz w:val="22"/>
          <w:szCs w:val="22"/>
        </w:rPr>
        <w:t>29 de julio de 2013</w:t>
      </w:r>
      <w:r w:rsidRPr="00381E41">
        <w:rPr>
          <w:rFonts w:cs="Arial"/>
          <w:sz w:val="22"/>
          <w:szCs w:val="22"/>
        </w:rPr>
        <w:t xml:space="preserve">, exp. </w:t>
      </w:r>
      <w:r>
        <w:rPr>
          <w:rFonts w:cs="Arial"/>
          <w:sz w:val="22"/>
          <w:szCs w:val="22"/>
        </w:rPr>
        <w:t>24496</w:t>
      </w:r>
      <w:r w:rsidRPr="00381E41">
        <w:rPr>
          <w:rFonts w:cs="Arial"/>
          <w:sz w:val="22"/>
          <w:szCs w:val="22"/>
        </w:rPr>
        <w:t xml:space="preserve">, C.P. </w:t>
      </w:r>
      <w:r>
        <w:rPr>
          <w:rFonts w:cs="Arial"/>
          <w:sz w:val="22"/>
          <w:szCs w:val="22"/>
        </w:rPr>
        <w:t>Danilo Rojas Betancourth</w:t>
      </w:r>
      <w:r w:rsidRPr="00381E41">
        <w:rPr>
          <w:rFonts w:cs="Arial"/>
          <w:sz w:val="22"/>
          <w:szCs w:val="22"/>
        </w:rPr>
        <w:t>.</w:t>
      </w:r>
      <w:r>
        <w:rPr>
          <w:rFonts w:cs="Arial"/>
          <w:sz w:val="22"/>
          <w:szCs w:val="22"/>
        </w:rPr>
        <w:t xml:space="preserve"> Sobre la aplicación de este estándar a los casos de violencia de género, ver: </w:t>
      </w:r>
      <w:r w:rsidRPr="00407C04">
        <w:rPr>
          <w:sz w:val="22"/>
          <w:szCs w:val="22"/>
        </w:rPr>
        <w:t>ABRAMOVICH, Víctor</w:t>
      </w:r>
      <w:r>
        <w:rPr>
          <w:sz w:val="22"/>
          <w:szCs w:val="22"/>
        </w:rPr>
        <w:t>,</w:t>
      </w:r>
      <w:r w:rsidRPr="00407C04">
        <w:rPr>
          <w:sz w:val="22"/>
          <w:szCs w:val="22"/>
        </w:rPr>
        <w:t xml:space="preserve"> </w:t>
      </w:r>
      <w:r w:rsidRPr="00F134F9">
        <w:rPr>
          <w:sz w:val="22"/>
          <w:szCs w:val="22"/>
        </w:rPr>
        <w:t>“Responsabilidad estatal por violencia de gén</w:t>
      </w:r>
      <w:r>
        <w:rPr>
          <w:sz w:val="22"/>
          <w:szCs w:val="22"/>
        </w:rPr>
        <w:t>ero: comentarios sobre el caso ‘Campo Algodonero’</w:t>
      </w:r>
      <w:r w:rsidRPr="00F134F9">
        <w:rPr>
          <w:sz w:val="22"/>
          <w:szCs w:val="22"/>
        </w:rPr>
        <w:t xml:space="preserve"> en la Corte Interam</w:t>
      </w:r>
      <w:r>
        <w:rPr>
          <w:sz w:val="22"/>
          <w:szCs w:val="22"/>
        </w:rPr>
        <w:t>ericana de Derechos Humanos”, en</w:t>
      </w:r>
      <w:r w:rsidRPr="00F134F9">
        <w:rPr>
          <w:sz w:val="22"/>
          <w:szCs w:val="22"/>
        </w:rPr>
        <w:t xml:space="preserve"> </w:t>
      </w:r>
      <w:r w:rsidRPr="00F134F9">
        <w:rPr>
          <w:i/>
          <w:sz w:val="22"/>
          <w:szCs w:val="22"/>
        </w:rPr>
        <w:t>Anuario de Derechos Humanos 2010</w:t>
      </w:r>
      <w:r w:rsidRPr="00F134F9">
        <w:rPr>
          <w:sz w:val="22"/>
          <w:szCs w:val="22"/>
        </w:rPr>
        <w:t>, Universidad de Chile, Santiago, 2010</w:t>
      </w:r>
      <w:r w:rsidRPr="00407C04">
        <w:rPr>
          <w:sz w:val="22"/>
          <w:szCs w:val="22"/>
        </w:rPr>
        <w:t>, p. 179.</w:t>
      </w:r>
    </w:p>
  </w:footnote>
  <w:footnote w:id="56">
    <w:p w:rsidR="001764AC" w:rsidRPr="004415FF" w:rsidRDefault="001764AC" w:rsidP="00DE0E1F">
      <w:pPr>
        <w:pStyle w:val="Textonotapie"/>
        <w:spacing w:line="240" w:lineRule="auto"/>
        <w:rPr>
          <w:sz w:val="22"/>
          <w:szCs w:val="22"/>
        </w:rPr>
      </w:pPr>
      <w:r w:rsidRPr="00407C04">
        <w:rPr>
          <w:rStyle w:val="Refdenotaalpie"/>
          <w:sz w:val="22"/>
          <w:szCs w:val="22"/>
        </w:rPr>
        <w:footnoteRef/>
      </w:r>
      <w:r w:rsidRPr="00407C04">
        <w:rPr>
          <w:sz w:val="22"/>
          <w:szCs w:val="22"/>
        </w:rPr>
        <w:t xml:space="preserve"> </w:t>
      </w:r>
      <w:r>
        <w:rPr>
          <w:sz w:val="22"/>
          <w:szCs w:val="22"/>
        </w:rPr>
        <w:t>Cfr. Comisión Interamericana de Derechos Humanos,</w:t>
      </w:r>
      <w:r w:rsidRPr="00407C04">
        <w:rPr>
          <w:sz w:val="22"/>
          <w:szCs w:val="22"/>
        </w:rPr>
        <w:t xml:space="preserve"> </w:t>
      </w:r>
      <w:r w:rsidRPr="00F134F9">
        <w:rPr>
          <w:i/>
          <w:sz w:val="22"/>
          <w:szCs w:val="22"/>
        </w:rPr>
        <w:t xml:space="preserve">Acceso a la justicia para las mujeres víctimas de violencia en </w:t>
      </w:r>
      <w:r>
        <w:rPr>
          <w:i/>
          <w:sz w:val="22"/>
          <w:szCs w:val="22"/>
        </w:rPr>
        <w:t>las Américas</w:t>
      </w:r>
      <w:r w:rsidRPr="004415FF">
        <w:rPr>
          <w:sz w:val="22"/>
          <w:szCs w:val="22"/>
        </w:rPr>
        <w:t>, Washington, OEA/Ser.L/V/II. Doc. 68, 20 de enero de 2007</w:t>
      </w:r>
      <w:r>
        <w:rPr>
          <w:sz w:val="22"/>
          <w:szCs w:val="22"/>
        </w:rPr>
        <w:t>,</w:t>
      </w:r>
      <w:r w:rsidRPr="004415FF">
        <w:rPr>
          <w:sz w:val="22"/>
          <w:szCs w:val="22"/>
        </w:rPr>
        <w:t xml:space="preserve"> párr. 42.</w:t>
      </w:r>
    </w:p>
  </w:footnote>
  <w:footnote w:id="57">
    <w:p w:rsidR="001764AC" w:rsidRPr="00407C04" w:rsidRDefault="001764AC" w:rsidP="00DE0E1F">
      <w:pPr>
        <w:pStyle w:val="Textonotapie"/>
        <w:spacing w:line="240" w:lineRule="auto"/>
        <w:rPr>
          <w:sz w:val="22"/>
          <w:szCs w:val="22"/>
        </w:rPr>
      </w:pPr>
      <w:r w:rsidRPr="00407C04">
        <w:rPr>
          <w:rStyle w:val="Refdenotaalpie"/>
          <w:sz w:val="22"/>
          <w:szCs w:val="22"/>
        </w:rPr>
        <w:footnoteRef/>
      </w:r>
      <w:r w:rsidRPr="00407C04">
        <w:rPr>
          <w:sz w:val="22"/>
          <w:szCs w:val="22"/>
        </w:rPr>
        <w:t xml:space="preserve"> </w:t>
      </w:r>
      <w:r>
        <w:rPr>
          <w:sz w:val="22"/>
          <w:szCs w:val="22"/>
        </w:rPr>
        <w:t>Corte Interamericana de Derechos Humanos,</w:t>
      </w:r>
      <w:r w:rsidRPr="00A5491E">
        <w:rPr>
          <w:sz w:val="22"/>
          <w:szCs w:val="22"/>
        </w:rPr>
        <w:t xml:space="preserve"> </w:t>
      </w:r>
      <w:r w:rsidRPr="00A5491E">
        <w:rPr>
          <w:i/>
          <w:sz w:val="22"/>
          <w:szCs w:val="22"/>
        </w:rPr>
        <w:t>Caso González y otras (“Campo Algodonero”) vs. México</w:t>
      </w:r>
      <w:r w:rsidRPr="00A5491E">
        <w:rPr>
          <w:sz w:val="22"/>
          <w:szCs w:val="22"/>
        </w:rPr>
        <w:t>, cit.,</w:t>
      </w:r>
      <w:r w:rsidRPr="00407C04">
        <w:rPr>
          <w:sz w:val="22"/>
          <w:szCs w:val="22"/>
        </w:rPr>
        <w:t xml:space="preserve"> párr. 283.</w:t>
      </w:r>
    </w:p>
  </w:footnote>
  <w:footnote w:id="58">
    <w:p w:rsidR="001764AC" w:rsidRPr="00185BE4" w:rsidRDefault="001764AC" w:rsidP="00185BE4">
      <w:pPr>
        <w:pStyle w:val="Textonotapie"/>
        <w:spacing w:line="240" w:lineRule="auto"/>
        <w:rPr>
          <w:sz w:val="22"/>
          <w:szCs w:val="22"/>
          <w:lang w:val="es-ES_tradnl"/>
        </w:rPr>
      </w:pPr>
      <w:r w:rsidRPr="00185BE4">
        <w:rPr>
          <w:rStyle w:val="Refdenotaalpie"/>
          <w:sz w:val="22"/>
          <w:szCs w:val="22"/>
        </w:rPr>
        <w:footnoteRef/>
      </w:r>
      <w:r w:rsidRPr="00185BE4">
        <w:rPr>
          <w:sz w:val="22"/>
          <w:szCs w:val="22"/>
        </w:rPr>
        <w:t xml:space="preserve"> </w:t>
      </w:r>
      <w:r>
        <w:rPr>
          <w:sz w:val="22"/>
          <w:szCs w:val="22"/>
        </w:rPr>
        <w:t>Como ya se dijo, así lo interpreta la Corte Constitucional en al auto 092 de 2008, M.P. Manuel José Cepeda Espinosa.</w:t>
      </w:r>
    </w:p>
  </w:footnote>
  <w:footnote w:id="59">
    <w:p w:rsidR="001764AC" w:rsidRPr="00EC14E9" w:rsidRDefault="001764AC" w:rsidP="00902DCB">
      <w:pPr>
        <w:pStyle w:val="Textonotapie"/>
        <w:spacing w:line="240" w:lineRule="auto"/>
        <w:rPr>
          <w:sz w:val="22"/>
          <w:szCs w:val="22"/>
        </w:rPr>
      </w:pPr>
      <w:r w:rsidRPr="00EC14E9">
        <w:rPr>
          <w:rStyle w:val="Refdenotaalpie"/>
          <w:sz w:val="22"/>
          <w:szCs w:val="22"/>
        </w:rPr>
        <w:footnoteRef/>
      </w:r>
      <w:r w:rsidRPr="00EC14E9">
        <w:rPr>
          <w:sz w:val="22"/>
          <w:szCs w:val="22"/>
        </w:rPr>
        <w:t xml:space="preserve"> </w:t>
      </w:r>
      <w:r w:rsidRPr="00381E41">
        <w:rPr>
          <w:rFonts w:cs="Arial"/>
          <w:sz w:val="22"/>
          <w:szCs w:val="22"/>
        </w:rPr>
        <w:t>Convención Interamericana para prevenir, sancionar y erradicar la violencia contra la mujer. Artículo</w:t>
      </w:r>
      <w:r>
        <w:rPr>
          <w:rFonts w:cs="Arial"/>
          <w:sz w:val="22"/>
          <w:szCs w:val="22"/>
        </w:rPr>
        <w:t>s</w:t>
      </w:r>
      <w:r w:rsidRPr="00381E41">
        <w:rPr>
          <w:rFonts w:cs="Arial"/>
          <w:sz w:val="22"/>
          <w:szCs w:val="22"/>
        </w:rPr>
        <w:t xml:space="preserve"> </w:t>
      </w:r>
      <w:r>
        <w:rPr>
          <w:rFonts w:cs="Arial"/>
          <w:sz w:val="22"/>
          <w:szCs w:val="22"/>
        </w:rPr>
        <w:t>1 y 3</w:t>
      </w:r>
      <w:r w:rsidRPr="00381E41">
        <w:rPr>
          <w:rFonts w:cs="Arial"/>
          <w:sz w:val="22"/>
          <w:szCs w:val="22"/>
        </w:rPr>
        <w:t>.</w:t>
      </w:r>
      <w:r>
        <w:rPr>
          <w:rFonts w:cs="Arial"/>
          <w:sz w:val="22"/>
          <w:szCs w:val="22"/>
        </w:rPr>
        <w:t xml:space="preserve"> Ley 1257 de 2008. Artículos 7 y 8.</w:t>
      </w:r>
    </w:p>
  </w:footnote>
  <w:footnote w:id="60">
    <w:p w:rsidR="001764AC" w:rsidRPr="00381E41" w:rsidRDefault="001764AC" w:rsidP="00902DCB">
      <w:pPr>
        <w:pStyle w:val="Textonotapie"/>
        <w:spacing w:line="240" w:lineRule="auto"/>
        <w:rPr>
          <w:rFonts w:cs="Arial"/>
          <w:sz w:val="22"/>
          <w:szCs w:val="22"/>
        </w:rPr>
      </w:pPr>
      <w:r w:rsidRPr="00381E41">
        <w:rPr>
          <w:rStyle w:val="Refdenotaalpie"/>
          <w:rFonts w:cs="Arial"/>
          <w:sz w:val="22"/>
          <w:szCs w:val="22"/>
        </w:rPr>
        <w:footnoteRef/>
      </w:r>
      <w:r>
        <w:rPr>
          <w:rFonts w:cs="Arial"/>
          <w:sz w:val="22"/>
          <w:szCs w:val="22"/>
        </w:rPr>
        <w:t xml:space="preserve"> Cfr. Corte Interamericana de Derechos Humanos</w:t>
      </w:r>
      <w:r w:rsidRPr="00381E41">
        <w:rPr>
          <w:rFonts w:cs="Arial"/>
          <w:sz w:val="22"/>
          <w:szCs w:val="22"/>
        </w:rPr>
        <w:t xml:space="preserve">. </w:t>
      </w:r>
      <w:r w:rsidRPr="00381E41">
        <w:rPr>
          <w:rFonts w:cs="Arial"/>
          <w:i/>
          <w:sz w:val="22"/>
          <w:szCs w:val="22"/>
        </w:rPr>
        <w:t>Caso del Penal Miguel Castro Castro vs. Perú</w:t>
      </w:r>
      <w:r w:rsidRPr="00381E41">
        <w:rPr>
          <w:rFonts w:cs="Arial"/>
          <w:sz w:val="22"/>
          <w:szCs w:val="22"/>
        </w:rPr>
        <w:t xml:space="preserve">, cit., párr. 345; </w:t>
      </w:r>
      <w:r w:rsidRPr="00381E41">
        <w:rPr>
          <w:rFonts w:cs="Arial"/>
          <w:i/>
          <w:sz w:val="22"/>
          <w:szCs w:val="22"/>
        </w:rPr>
        <w:t>Caso González y otras (“Campo Algodonero”) vs. México</w:t>
      </w:r>
      <w:r w:rsidRPr="00381E41">
        <w:rPr>
          <w:rFonts w:cs="Arial"/>
          <w:sz w:val="22"/>
          <w:szCs w:val="22"/>
        </w:rPr>
        <w:t xml:space="preserve">, </w:t>
      </w:r>
      <w:r>
        <w:rPr>
          <w:rFonts w:cs="Arial"/>
          <w:sz w:val="22"/>
          <w:szCs w:val="22"/>
        </w:rPr>
        <w:t>s</w:t>
      </w:r>
      <w:r w:rsidRPr="00381E41">
        <w:rPr>
          <w:rFonts w:cs="Arial"/>
          <w:sz w:val="22"/>
          <w:szCs w:val="22"/>
        </w:rPr>
        <w:t>entencia de 16 de noviembre de 2009</w:t>
      </w:r>
      <w:r>
        <w:rPr>
          <w:rFonts w:cs="Arial"/>
          <w:sz w:val="22"/>
          <w:szCs w:val="22"/>
        </w:rPr>
        <w:t>,</w:t>
      </w:r>
      <w:r w:rsidRPr="00381E41">
        <w:rPr>
          <w:rFonts w:cs="Arial"/>
          <w:bCs/>
          <w:color w:val="000000"/>
          <w:sz w:val="22"/>
          <w:szCs w:val="22"/>
        </w:rPr>
        <w:t xml:space="preserve"> serie C n.°</w:t>
      </w:r>
      <w:r w:rsidRPr="00381E41">
        <w:rPr>
          <w:rFonts w:cs="Arial"/>
          <w:sz w:val="22"/>
          <w:szCs w:val="22"/>
        </w:rPr>
        <w:t xml:space="preserve"> 205., párr. 246; </w:t>
      </w:r>
      <w:r w:rsidRPr="00381E41">
        <w:rPr>
          <w:rFonts w:cs="Arial"/>
          <w:i/>
          <w:sz w:val="22"/>
          <w:szCs w:val="22"/>
        </w:rPr>
        <w:t>Caso Vargas Areco vs. Paraguay</w:t>
      </w:r>
      <w:r w:rsidRPr="00381E41">
        <w:rPr>
          <w:rFonts w:cs="Arial"/>
          <w:sz w:val="22"/>
          <w:szCs w:val="22"/>
        </w:rPr>
        <w:t xml:space="preserve">, </w:t>
      </w:r>
      <w:r>
        <w:rPr>
          <w:rFonts w:cs="Arial"/>
          <w:sz w:val="22"/>
          <w:szCs w:val="22"/>
        </w:rPr>
        <w:t>s</w:t>
      </w:r>
      <w:r w:rsidRPr="00275FE4">
        <w:rPr>
          <w:rFonts w:cs="Arial"/>
          <w:sz w:val="22"/>
          <w:szCs w:val="22"/>
        </w:rPr>
        <w:t xml:space="preserve">entencia de 26 de septiembre de 2006, </w:t>
      </w:r>
      <w:r w:rsidRPr="00381E41">
        <w:rPr>
          <w:rFonts w:cs="Arial"/>
          <w:bCs/>
          <w:color w:val="000000"/>
          <w:sz w:val="22"/>
          <w:szCs w:val="22"/>
        </w:rPr>
        <w:t>serie C n.°</w:t>
      </w:r>
      <w:r>
        <w:rPr>
          <w:rFonts w:cs="Arial"/>
          <w:sz w:val="22"/>
          <w:szCs w:val="22"/>
        </w:rPr>
        <w:t xml:space="preserve"> 155,</w:t>
      </w:r>
      <w:r w:rsidRPr="00381E41">
        <w:rPr>
          <w:rFonts w:cs="Arial"/>
          <w:sz w:val="22"/>
          <w:szCs w:val="22"/>
        </w:rPr>
        <w:t xml:space="preserve"> párr. 79.</w:t>
      </w:r>
    </w:p>
  </w:footnote>
  <w:footnote w:id="61">
    <w:p w:rsidR="001764AC" w:rsidRPr="00A5491E" w:rsidRDefault="001764AC" w:rsidP="00902DCB">
      <w:pPr>
        <w:pStyle w:val="Textonotapie"/>
        <w:spacing w:line="240" w:lineRule="auto"/>
        <w:rPr>
          <w:sz w:val="22"/>
          <w:szCs w:val="22"/>
        </w:rPr>
      </w:pPr>
      <w:r w:rsidRPr="00A5491E">
        <w:rPr>
          <w:rStyle w:val="Refdenotaalpie"/>
          <w:sz w:val="22"/>
          <w:szCs w:val="22"/>
        </w:rPr>
        <w:footnoteRef/>
      </w:r>
      <w:r w:rsidRPr="00A5491E">
        <w:rPr>
          <w:sz w:val="22"/>
          <w:szCs w:val="22"/>
        </w:rPr>
        <w:t xml:space="preserve"> </w:t>
      </w:r>
      <w:r>
        <w:rPr>
          <w:sz w:val="22"/>
          <w:szCs w:val="22"/>
        </w:rPr>
        <w:t>Cfr. Corte Interamericana de Derechos Humanos,</w:t>
      </w:r>
      <w:r w:rsidRPr="00A5491E">
        <w:rPr>
          <w:sz w:val="22"/>
          <w:szCs w:val="22"/>
        </w:rPr>
        <w:t xml:space="preserve"> </w:t>
      </w:r>
      <w:r w:rsidRPr="00A5491E">
        <w:rPr>
          <w:i/>
          <w:sz w:val="22"/>
          <w:szCs w:val="22"/>
        </w:rPr>
        <w:t>Caso González y otras (“Campo Algodonero”) vs. México</w:t>
      </w:r>
      <w:r w:rsidRPr="00A5491E">
        <w:rPr>
          <w:sz w:val="22"/>
          <w:szCs w:val="22"/>
        </w:rPr>
        <w:t>, cit., párr. 258.</w:t>
      </w:r>
    </w:p>
  </w:footnote>
  <w:footnote w:id="62">
    <w:p w:rsidR="001764AC" w:rsidRPr="004070DC" w:rsidRDefault="001764AC" w:rsidP="00902DCB">
      <w:pPr>
        <w:pStyle w:val="Textonotapie"/>
        <w:spacing w:line="240" w:lineRule="auto"/>
        <w:rPr>
          <w:sz w:val="22"/>
          <w:szCs w:val="22"/>
        </w:rPr>
      </w:pPr>
      <w:r w:rsidRPr="004070DC">
        <w:rPr>
          <w:rStyle w:val="Refdenotaalpie"/>
          <w:sz w:val="22"/>
          <w:szCs w:val="22"/>
        </w:rPr>
        <w:footnoteRef/>
      </w:r>
      <w:r w:rsidRPr="004070DC">
        <w:rPr>
          <w:sz w:val="22"/>
          <w:szCs w:val="22"/>
        </w:rPr>
        <w:t xml:space="preserve"> </w:t>
      </w:r>
      <w:r>
        <w:rPr>
          <w:sz w:val="22"/>
          <w:szCs w:val="22"/>
        </w:rPr>
        <w:t>Ibídem</w:t>
      </w:r>
      <w:r w:rsidRPr="004070DC">
        <w:rPr>
          <w:sz w:val="22"/>
          <w:szCs w:val="22"/>
        </w:rPr>
        <w:t>, párr. 252.</w:t>
      </w:r>
    </w:p>
  </w:footnote>
  <w:footnote w:id="63">
    <w:p w:rsidR="001764AC" w:rsidRPr="006758D3" w:rsidRDefault="001764AC" w:rsidP="006758D3">
      <w:pPr>
        <w:pStyle w:val="Textonotapie"/>
        <w:spacing w:line="240" w:lineRule="auto"/>
        <w:rPr>
          <w:sz w:val="22"/>
          <w:szCs w:val="22"/>
        </w:rPr>
      </w:pPr>
      <w:r w:rsidRPr="006758D3">
        <w:rPr>
          <w:rStyle w:val="Refdenotaalpie"/>
          <w:sz w:val="22"/>
          <w:szCs w:val="22"/>
        </w:rPr>
        <w:footnoteRef/>
      </w:r>
      <w:r>
        <w:rPr>
          <w:sz w:val="22"/>
          <w:szCs w:val="22"/>
        </w:rPr>
        <w:t xml:space="preserve"> Cfr. Comisión Interamericana de Derechos Humanos, </w:t>
      </w:r>
      <w:r w:rsidRPr="006758D3">
        <w:rPr>
          <w:i/>
          <w:sz w:val="22"/>
          <w:szCs w:val="22"/>
        </w:rPr>
        <w:t>Acceso a la justicia para las mujeres víctimas de violencia en las Américas</w:t>
      </w:r>
      <w:r w:rsidRPr="006758D3">
        <w:rPr>
          <w:sz w:val="22"/>
          <w:szCs w:val="22"/>
        </w:rPr>
        <w:t xml:space="preserve">, </w:t>
      </w:r>
      <w:r w:rsidRPr="00687301">
        <w:rPr>
          <w:i/>
          <w:sz w:val="22"/>
          <w:szCs w:val="22"/>
        </w:rPr>
        <w:t>op. cit.</w:t>
      </w:r>
      <w:r w:rsidRPr="006758D3">
        <w:rPr>
          <w:sz w:val="22"/>
          <w:szCs w:val="22"/>
        </w:rPr>
        <w:t>, párr. 138.</w:t>
      </w:r>
    </w:p>
  </w:footnote>
  <w:footnote w:id="64">
    <w:p w:rsidR="001764AC" w:rsidRPr="006758D3" w:rsidRDefault="001764AC" w:rsidP="006758D3">
      <w:pPr>
        <w:pStyle w:val="Textonotapie"/>
        <w:spacing w:line="240" w:lineRule="auto"/>
        <w:rPr>
          <w:sz w:val="22"/>
          <w:szCs w:val="22"/>
        </w:rPr>
      </w:pPr>
      <w:r w:rsidRPr="006758D3">
        <w:rPr>
          <w:rStyle w:val="Refdenotaalpie"/>
          <w:sz w:val="22"/>
          <w:szCs w:val="22"/>
        </w:rPr>
        <w:footnoteRef/>
      </w:r>
      <w:r>
        <w:rPr>
          <w:sz w:val="22"/>
          <w:szCs w:val="22"/>
        </w:rPr>
        <w:t xml:space="preserve"> Tribunal Europeo de Derechos Humanos,</w:t>
      </w:r>
      <w:r>
        <w:rPr>
          <w:i/>
          <w:sz w:val="22"/>
          <w:szCs w:val="22"/>
        </w:rPr>
        <w:t xml:space="preserve"> M.</w:t>
      </w:r>
      <w:r w:rsidRPr="006758D3">
        <w:rPr>
          <w:i/>
          <w:sz w:val="22"/>
          <w:szCs w:val="22"/>
        </w:rPr>
        <w:t>C. vs. Bulgaria</w:t>
      </w:r>
      <w:r w:rsidRPr="006758D3">
        <w:rPr>
          <w:sz w:val="22"/>
          <w:szCs w:val="22"/>
        </w:rPr>
        <w:t xml:space="preserve">, </w:t>
      </w:r>
      <w:r>
        <w:rPr>
          <w:sz w:val="22"/>
          <w:szCs w:val="22"/>
        </w:rPr>
        <w:t>d</w:t>
      </w:r>
      <w:r w:rsidRPr="006758D3">
        <w:rPr>
          <w:sz w:val="22"/>
          <w:szCs w:val="22"/>
        </w:rPr>
        <w:t xml:space="preserve">emanda </w:t>
      </w:r>
      <w:r>
        <w:rPr>
          <w:sz w:val="22"/>
          <w:szCs w:val="22"/>
        </w:rPr>
        <w:t>n</w:t>
      </w:r>
      <w:r w:rsidRPr="006758D3">
        <w:rPr>
          <w:sz w:val="22"/>
          <w:szCs w:val="22"/>
        </w:rPr>
        <w:t xml:space="preserve">.° 39272/98, </w:t>
      </w:r>
      <w:r>
        <w:rPr>
          <w:sz w:val="22"/>
          <w:szCs w:val="22"/>
        </w:rPr>
        <w:t>s</w:t>
      </w:r>
      <w:r w:rsidRPr="006758D3">
        <w:rPr>
          <w:sz w:val="22"/>
          <w:szCs w:val="22"/>
        </w:rPr>
        <w:t>entencia de 4 de diciembre de 2003, párr. 159 y 166.</w:t>
      </w:r>
    </w:p>
  </w:footnote>
  <w:footnote w:id="65">
    <w:p w:rsidR="001764AC" w:rsidRPr="006758D3" w:rsidRDefault="001764AC" w:rsidP="006758D3">
      <w:pPr>
        <w:pStyle w:val="Textonotapie"/>
        <w:spacing w:line="240" w:lineRule="auto"/>
        <w:rPr>
          <w:sz w:val="22"/>
          <w:szCs w:val="22"/>
        </w:rPr>
      </w:pPr>
      <w:r w:rsidRPr="006758D3">
        <w:rPr>
          <w:rStyle w:val="Refdenotaalpie"/>
          <w:sz w:val="22"/>
          <w:szCs w:val="22"/>
        </w:rPr>
        <w:footnoteRef/>
      </w:r>
      <w:r w:rsidRPr="006758D3">
        <w:rPr>
          <w:sz w:val="22"/>
          <w:szCs w:val="22"/>
        </w:rPr>
        <w:t xml:space="preserve"> </w:t>
      </w:r>
      <w:r>
        <w:rPr>
          <w:sz w:val="22"/>
          <w:szCs w:val="22"/>
        </w:rPr>
        <w:t>Tribunal Europeo de Derechos Humanos,</w:t>
      </w:r>
      <w:r>
        <w:rPr>
          <w:i/>
          <w:sz w:val="22"/>
          <w:szCs w:val="22"/>
        </w:rPr>
        <w:t xml:space="preserve"> </w:t>
      </w:r>
      <w:r w:rsidRPr="006758D3">
        <w:rPr>
          <w:i/>
          <w:sz w:val="22"/>
          <w:szCs w:val="22"/>
        </w:rPr>
        <w:t>Caso Aydin vs. Turquía</w:t>
      </w:r>
      <w:r w:rsidRPr="006758D3">
        <w:rPr>
          <w:sz w:val="22"/>
          <w:szCs w:val="22"/>
        </w:rPr>
        <w:t xml:space="preserve">, </w:t>
      </w:r>
      <w:r>
        <w:rPr>
          <w:sz w:val="22"/>
          <w:szCs w:val="22"/>
        </w:rPr>
        <w:t>d</w:t>
      </w:r>
      <w:r w:rsidRPr="006758D3">
        <w:rPr>
          <w:sz w:val="22"/>
          <w:szCs w:val="22"/>
        </w:rPr>
        <w:t xml:space="preserve">emanda </w:t>
      </w:r>
      <w:r>
        <w:rPr>
          <w:sz w:val="22"/>
          <w:szCs w:val="22"/>
        </w:rPr>
        <w:t>n</w:t>
      </w:r>
      <w:r w:rsidRPr="006758D3">
        <w:rPr>
          <w:sz w:val="22"/>
          <w:szCs w:val="22"/>
        </w:rPr>
        <w:t xml:space="preserve">.° 23178/94, </w:t>
      </w:r>
      <w:r>
        <w:rPr>
          <w:sz w:val="22"/>
          <w:szCs w:val="22"/>
        </w:rPr>
        <w:t>s</w:t>
      </w:r>
      <w:r w:rsidRPr="006758D3">
        <w:rPr>
          <w:sz w:val="22"/>
          <w:szCs w:val="22"/>
        </w:rPr>
        <w:t>entencia de 25 de septiembre de 1997, párr. 108.</w:t>
      </w:r>
    </w:p>
  </w:footnote>
  <w:footnote w:id="66">
    <w:p w:rsidR="001764AC" w:rsidRPr="005E7482" w:rsidRDefault="001764AC" w:rsidP="006758D3">
      <w:pPr>
        <w:pStyle w:val="Textonotapie"/>
        <w:spacing w:line="240" w:lineRule="auto"/>
        <w:rPr>
          <w:sz w:val="22"/>
          <w:szCs w:val="22"/>
        </w:rPr>
      </w:pPr>
      <w:r w:rsidRPr="005E7482">
        <w:rPr>
          <w:rStyle w:val="Refdenotaalpie"/>
          <w:sz w:val="22"/>
          <w:szCs w:val="22"/>
        </w:rPr>
        <w:footnoteRef/>
      </w:r>
      <w:r w:rsidRPr="005E7482">
        <w:rPr>
          <w:sz w:val="22"/>
          <w:szCs w:val="22"/>
        </w:rPr>
        <w:t xml:space="preserve"> </w:t>
      </w:r>
      <w:r w:rsidRPr="005E7482">
        <w:rPr>
          <w:rFonts w:cs="Arial"/>
          <w:sz w:val="22"/>
          <w:szCs w:val="22"/>
        </w:rPr>
        <w:t xml:space="preserve">Convención Interamericana para prevenir, sancionar y erradicar la violencia contra la mujer. Artículo </w:t>
      </w:r>
      <w:r>
        <w:rPr>
          <w:rFonts w:cs="Arial"/>
          <w:sz w:val="22"/>
          <w:szCs w:val="22"/>
        </w:rPr>
        <w:t>7.b</w:t>
      </w:r>
      <w:r w:rsidRPr="005E7482">
        <w:rPr>
          <w:rFonts w:cs="Arial"/>
          <w:sz w:val="22"/>
          <w:szCs w:val="22"/>
        </w:rPr>
        <w:t>.</w:t>
      </w:r>
      <w:r>
        <w:rPr>
          <w:rFonts w:cs="Arial"/>
          <w:sz w:val="22"/>
          <w:szCs w:val="22"/>
        </w:rPr>
        <w:t xml:space="preserve"> </w:t>
      </w:r>
    </w:p>
  </w:footnote>
  <w:footnote w:id="67">
    <w:p w:rsidR="001764AC" w:rsidRPr="006758D3" w:rsidRDefault="001764AC" w:rsidP="006758D3">
      <w:pPr>
        <w:pStyle w:val="Textonotapie"/>
        <w:spacing w:line="240" w:lineRule="auto"/>
        <w:rPr>
          <w:sz w:val="22"/>
          <w:szCs w:val="22"/>
        </w:rPr>
      </w:pPr>
      <w:r w:rsidRPr="006758D3">
        <w:rPr>
          <w:rStyle w:val="Refdenotaalpie"/>
          <w:sz w:val="22"/>
          <w:szCs w:val="22"/>
        </w:rPr>
        <w:footnoteRef/>
      </w:r>
      <w:r w:rsidRPr="006758D3">
        <w:rPr>
          <w:sz w:val="22"/>
          <w:szCs w:val="22"/>
        </w:rPr>
        <w:t xml:space="preserve"> </w:t>
      </w:r>
      <w:r>
        <w:rPr>
          <w:rFonts w:cs="Arial"/>
          <w:sz w:val="22"/>
          <w:szCs w:val="22"/>
        </w:rPr>
        <w:t>Ley 1257 de 2008. Artículo 8.i.</w:t>
      </w:r>
    </w:p>
  </w:footnote>
  <w:footnote w:id="68">
    <w:p w:rsidR="001764AC" w:rsidRPr="00156D38" w:rsidRDefault="001764AC" w:rsidP="00156D38">
      <w:pPr>
        <w:pStyle w:val="Textonotapie"/>
        <w:spacing w:line="240" w:lineRule="auto"/>
        <w:rPr>
          <w:sz w:val="22"/>
          <w:szCs w:val="22"/>
        </w:rPr>
      </w:pPr>
      <w:r w:rsidRPr="00156D38">
        <w:rPr>
          <w:rStyle w:val="Refdenotaalpie"/>
          <w:sz w:val="22"/>
          <w:szCs w:val="22"/>
        </w:rPr>
        <w:footnoteRef/>
      </w:r>
      <w:r w:rsidRPr="00156D38">
        <w:rPr>
          <w:sz w:val="22"/>
          <w:szCs w:val="22"/>
        </w:rPr>
        <w:t xml:space="preserve"> Corte </w:t>
      </w:r>
      <w:r>
        <w:rPr>
          <w:sz w:val="22"/>
          <w:szCs w:val="22"/>
        </w:rPr>
        <w:t>Interamericana de Derechos Humanos,</w:t>
      </w:r>
      <w:r w:rsidRPr="00156D38">
        <w:rPr>
          <w:sz w:val="22"/>
          <w:szCs w:val="22"/>
        </w:rPr>
        <w:t xml:space="preserve"> </w:t>
      </w:r>
      <w:r w:rsidRPr="00156D38">
        <w:rPr>
          <w:i/>
          <w:sz w:val="22"/>
          <w:szCs w:val="22"/>
        </w:rPr>
        <w:t>Caso Rosendo Cantú y otra vs. México</w:t>
      </w:r>
      <w:r w:rsidRPr="00156D38">
        <w:rPr>
          <w:sz w:val="22"/>
          <w:szCs w:val="22"/>
        </w:rPr>
        <w:t xml:space="preserve">, </w:t>
      </w:r>
      <w:r>
        <w:rPr>
          <w:sz w:val="22"/>
          <w:szCs w:val="22"/>
        </w:rPr>
        <w:t>cit.</w:t>
      </w:r>
      <w:r w:rsidRPr="00156D38">
        <w:rPr>
          <w:sz w:val="22"/>
          <w:szCs w:val="22"/>
        </w:rPr>
        <w:t>, párr. 169.</w:t>
      </w:r>
    </w:p>
  </w:footnote>
  <w:footnote w:id="69">
    <w:p w:rsidR="001764AC" w:rsidRPr="00156D38" w:rsidRDefault="001764AC" w:rsidP="00156D38">
      <w:pPr>
        <w:pStyle w:val="Textonotapie"/>
        <w:spacing w:line="240" w:lineRule="auto"/>
        <w:rPr>
          <w:sz w:val="22"/>
          <w:szCs w:val="22"/>
        </w:rPr>
      </w:pPr>
      <w:r w:rsidRPr="00156D38">
        <w:rPr>
          <w:rStyle w:val="Refdenotaalpie"/>
          <w:sz w:val="22"/>
          <w:szCs w:val="22"/>
        </w:rPr>
        <w:footnoteRef/>
      </w:r>
      <w:r w:rsidRPr="00156D38">
        <w:rPr>
          <w:sz w:val="22"/>
          <w:szCs w:val="22"/>
        </w:rPr>
        <w:t xml:space="preserve"> Corte </w:t>
      </w:r>
      <w:r>
        <w:rPr>
          <w:sz w:val="22"/>
          <w:szCs w:val="22"/>
        </w:rPr>
        <w:t xml:space="preserve">Interamericana de Derechos Humanos, </w:t>
      </w:r>
      <w:r w:rsidRPr="00156D38">
        <w:rPr>
          <w:i/>
          <w:sz w:val="22"/>
          <w:szCs w:val="22"/>
        </w:rPr>
        <w:t>Caso González y otras (“Campo Algodonero”) vs. México</w:t>
      </w:r>
      <w:r>
        <w:rPr>
          <w:sz w:val="22"/>
          <w:szCs w:val="22"/>
        </w:rPr>
        <w:t>, cit., párr. 289.</w:t>
      </w:r>
    </w:p>
  </w:footnote>
  <w:footnote w:id="70">
    <w:p w:rsidR="001764AC" w:rsidRPr="00F13D67" w:rsidRDefault="001764AC" w:rsidP="00F13D67">
      <w:pPr>
        <w:pStyle w:val="Textonotapie"/>
        <w:spacing w:line="240" w:lineRule="auto"/>
        <w:rPr>
          <w:sz w:val="22"/>
          <w:szCs w:val="22"/>
        </w:rPr>
      </w:pPr>
      <w:r w:rsidRPr="00F13D67">
        <w:rPr>
          <w:rStyle w:val="Refdenotaalpie"/>
          <w:sz w:val="22"/>
          <w:szCs w:val="22"/>
        </w:rPr>
        <w:footnoteRef/>
      </w:r>
      <w:r w:rsidRPr="00F13D67">
        <w:rPr>
          <w:sz w:val="22"/>
          <w:szCs w:val="22"/>
        </w:rPr>
        <w:t xml:space="preserve"> Corte Constitucional</w:t>
      </w:r>
      <w:r>
        <w:rPr>
          <w:sz w:val="22"/>
          <w:szCs w:val="22"/>
        </w:rPr>
        <w:t>,</w:t>
      </w:r>
      <w:r w:rsidRPr="00F13D67">
        <w:rPr>
          <w:sz w:val="22"/>
          <w:szCs w:val="22"/>
        </w:rPr>
        <w:t xml:space="preserve"> </w:t>
      </w:r>
      <w:r>
        <w:rPr>
          <w:sz w:val="22"/>
          <w:szCs w:val="22"/>
        </w:rPr>
        <w:t>sentencia T-453 de 2005,</w:t>
      </w:r>
      <w:r w:rsidRPr="00F13D67">
        <w:rPr>
          <w:sz w:val="22"/>
          <w:szCs w:val="22"/>
        </w:rPr>
        <w:t xml:space="preserve"> M.P. Manuel José Cepeda Espinosa.</w:t>
      </w:r>
    </w:p>
  </w:footnote>
  <w:footnote w:id="71">
    <w:p w:rsidR="001764AC" w:rsidRPr="00F13D67" w:rsidRDefault="001764AC" w:rsidP="00F13D67">
      <w:pPr>
        <w:pStyle w:val="Textonotapie"/>
        <w:spacing w:line="240" w:lineRule="auto"/>
        <w:rPr>
          <w:sz w:val="22"/>
          <w:szCs w:val="22"/>
        </w:rPr>
      </w:pPr>
      <w:r w:rsidRPr="00F13D67">
        <w:rPr>
          <w:rStyle w:val="Refdenotaalpie"/>
          <w:sz w:val="22"/>
          <w:szCs w:val="22"/>
        </w:rPr>
        <w:footnoteRef/>
      </w:r>
      <w:r>
        <w:rPr>
          <w:sz w:val="22"/>
          <w:szCs w:val="22"/>
        </w:rPr>
        <w:t xml:space="preserve"> Organización de Naciones Unidas</w:t>
      </w:r>
      <w:r w:rsidRPr="00F13D67">
        <w:rPr>
          <w:sz w:val="22"/>
          <w:szCs w:val="22"/>
        </w:rPr>
        <w:t xml:space="preserve">. </w:t>
      </w:r>
      <w:r w:rsidRPr="00F13D67">
        <w:rPr>
          <w:i/>
          <w:sz w:val="22"/>
          <w:szCs w:val="22"/>
        </w:rPr>
        <w:t>Reglas de procedimiento y prueba para la aplicación del Estatuto de Roma de la Corte Penal Internacional</w:t>
      </w:r>
      <w:r w:rsidRPr="00F13D67">
        <w:rPr>
          <w:sz w:val="22"/>
          <w:szCs w:val="22"/>
        </w:rPr>
        <w:t xml:space="preserve">, informe de la Comisión Preparatoria de la Corte Penal Internacional, suscrito en </w:t>
      </w:r>
      <w:r>
        <w:rPr>
          <w:sz w:val="22"/>
          <w:szCs w:val="22"/>
        </w:rPr>
        <w:t xml:space="preserve">Nueva York </w:t>
      </w:r>
      <w:r w:rsidRPr="00F13D67">
        <w:rPr>
          <w:sz w:val="22"/>
          <w:szCs w:val="22"/>
        </w:rPr>
        <w:t>el 30 de junio de 2000. U.N. Doc. PCNICC/2000/1/Add.1 (2000).</w:t>
      </w:r>
      <w:r>
        <w:rPr>
          <w:sz w:val="22"/>
          <w:szCs w:val="22"/>
        </w:rPr>
        <w:t xml:space="preserve"> R</w:t>
      </w:r>
      <w:r w:rsidRPr="00F13D67">
        <w:rPr>
          <w:sz w:val="22"/>
          <w:szCs w:val="22"/>
        </w:rPr>
        <w:t>egla 71.</w:t>
      </w:r>
      <w:r>
        <w:rPr>
          <w:sz w:val="22"/>
          <w:szCs w:val="22"/>
        </w:rPr>
        <w:t xml:space="preserve"> Estas </w:t>
      </w:r>
      <w:r w:rsidRPr="0067482D">
        <w:rPr>
          <w:i/>
          <w:sz w:val="22"/>
          <w:szCs w:val="22"/>
        </w:rPr>
        <w:t>Reglas</w:t>
      </w:r>
      <w:r>
        <w:rPr>
          <w:sz w:val="22"/>
          <w:szCs w:val="22"/>
        </w:rPr>
        <w:t xml:space="preserve"> fueron aprobadas en Colombia mediante la Ley 1268 de 2008.</w:t>
      </w:r>
    </w:p>
  </w:footnote>
  <w:footnote w:id="72">
    <w:p w:rsidR="001764AC" w:rsidRPr="006C731F" w:rsidRDefault="001764AC" w:rsidP="006F49AE">
      <w:pPr>
        <w:pStyle w:val="Textonotapie"/>
        <w:spacing w:line="240" w:lineRule="auto"/>
        <w:rPr>
          <w:sz w:val="22"/>
          <w:szCs w:val="22"/>
        </w:rPr>
      </w:pPr>
      <w:r w:rsidRPr="006C731F">
        <w:rPr>
          <w:rStyle w:val="Refdenotaalpie"/>
          <w:sz w:val="22"/>
          <w:szCs w:val="22"/>
        </w:rPr>
        <w:footnoteRef/>
      </w:r>
      <w:r w:rsidRPr="006C731F">
        <w:rPr>
          <w:sz w:val="22"/>
          <w:szCs w:val="22"/>
        </w:rPr>
        <w:t xml:space="preserve"> </w:t>
      </w:r>
      <w:r w:rsidRPr="00FB0FA3">
        <w:rPr>
          <w:sz w:val="22"/>
          <w:szCs w:val="22"/>
        </w:rPr>
        <w:t>“</w:t>
      </w:r>
      <w:r w:rsidRPr="00FB0FA3">
        <w:rPr>
          <w:i/>
          <w:sz w:val="22"/>
          <w:szCs w:val="22"/>
        </w:rPr>
        <w:t>Estereotipo de género es un término general que se refiere a “un grupo estructurado de creencias sobre los atributos personales de mujeres y hombres”. Dichas creencias pueden implicar una variedad de componentes incluyendo características de la personalidad, comportamientos y roles, características físicas y apariencia u ocupaciones y presuncio</w:t>
      </w:r>
      <w:r>
        <w:rPr>
          <w:i/>
          <w:sz w:val="22"/>
          <w:szCs w:val="22"/>
        </w:rPr>
        <w:t>nes sobre la orientación sexual</w:t>
      </w:r>
      <w:r w:rsidRPr="00FB0FA3">
        <w:rPr>
          <w:i/>
          <w:sz w:val="22"/>
          <w:szCs w:val="22"/>
        </w:rPr>
        <w:t>.</w:t>
      </w:r>
      <w:r w:rsidRPr="00FB0FA3">
        <w:rPr>
          <w:i/>
        </w:rPr>
        <w:t xml:space="preserve"> </w:t>
      </w:r>
      <w:r w:rsidRPr="00B8705B">
        <w:t>(...)</w:t>
      </w:r>
      <w:r w:rsidRPr="00FB0FA3">
        <w:rPr>
          <w:i/>
        </w:rPr>
        <w:t xml:space="preserve"> </w:t>
      </w:r>
      <w:r w:rsidRPr="00FB0FA3">
        <w:rPr>
          <w:i/>
          <w:sz w:val="22"/>
          <w:szCs w:val="22"/>
        </w:rPr>
        <w:t>La estereotipación de género no es</w:t>
      </w:r>
      <w:r>
        <w:rPr>
          <w:i/>
          <w:sz w:val="22"/>
          <w:szCs w:val="22"/>
        </w:rPr>
        <w:t xml:space="preserve"> </w:t>
      </w:r>
      <w:r w:rsidRPr="00B8705B">
        <w:rPr>
          <w:sz w:val="22"/>
          <w:szCs w:val="22"/>
        </w:rPr>
        <w:t>per se</w:t>
      </w:r>
      <w:r w:rsidRPr="00FB0FA3">
        <w:rPr>
          <w:i/>
          <w:sz w:val="22"/>
          <w:szCs w:val="22"/>
        </w:rPr>
        <w:t xml:space="preserve"> necesariamente problemática, sino cuando opera para ignorar las características, habilidades, necesidades, deseos y circunstancias individuales, de forma tal que se le niegan a las personas sus derechos y libertades fundamentales y se crean jerarquías de género</w:t>
      </w:r>
      <w:r>
        <w:rPr>
          <w:sz w:val="22"/>
          <w:szCs w:val="22"/>
        </w:rPr>
        <w:t>”</w:t>
      </w:r>
      <w:r w:rsidRPr="00FB0FA3">
        <w:rPr>
          <w:sz w:val="22"/>
          <w:szCs w:val="22"/>
        </w:rPr>
        <w:t>.</w:t>
      </w:r>
      <w:r w:rsidRPr="009C023D">
        <w:rPr>
          <w:sz w:val="22"/>
          <w:szCs w:val="22"/>
        </w:rPr>
        <w:t xml:space="preserve"> </w:t>
      </w:r>
      <w:r w:rsidRPr="00FB0FA3">
        <w:rPr>
          <w:sz w:val="22"/>
          <w:szCs w:val="22"/>
        </w:rPr>
        <w:t>COOK</w:t>
      </w:r>
      <w:r>
        <w:rPr>
          <w:sz w:val="22"/>
          <w:szCs w:val="22"/>
        </w:rPr>
        <w:t>,</w:t>
      </w:r>
      <w:r w:rsidRPr="00FB0FA3">
        <w:rPr>
          <w:sz w:val="22"/>
          <w:szCs w:val="22"/>
        </w:rPr>
        <w:t xml:space="preserve"> Rebecca J. &amp; CUSACK, Simone</w:t>
      </w:r>
      <w:r>
        <w:rPr>
          <w:sz w:val="22"/>
          <w:szCs w:val="22"/>
        </w:rPr>
        <w:t>,</w:t>
      </w:r>
      <w:r w:rsidRPr="00FB0FA3">
        <w:rPr>
          <w:sz w:val="22"/>
          <w:szCs w:val="22"/>
        </w:rPr>
        <w:t xml:space="preserve"> </w:t>
      </w:r>
      <w:r w:rsidRPr="00B8705B">
        <w:rPr>
          <w:i/>
          <w:sz w:val="22"/>
          <w:szCs w:val="22"/>
        </w:rPr>
        <w:t>Estereotipos de género, perspectivas legales transnacionales</w:t>
      </w:r>
      <w:r w:rsidRPr="00FB0FA3">
        <w:rPr>
          <w:sz w:val="22"/>
          <w:szCs w:val="22"/>
        </w:rPr>
        <w:t xml:space="preserve">, Profamilia, </w:t>
      </w:r>
      <w:r>
        <w:rPr>
          <w:sz w:val="22"/>
          <w:szCs w:val="22"/>
        </w:rPr>
        <w:t>Bogotá</w:t>
      </w:r>
      <w:r w:rsidRPr="00FB0FA3">
        <w:rPr>
          <w:sz w:val="22"/>
          <w:szCs w:val="22"/>
        </w:rPr>
        <w:t>, 2010, p. 23.</w:t>
      </w:r>
    </w:p>
  </w:footnote>
  <w:footnote w:id="73">
    <w:p w:rsidR="001764AC" w:rsidRPr="008B4C19" w:rsidRDefault="001764AC" w:rsidP="008B4C19">
      <w:pPr>
        <w:pStyle w:val="Textonotapie"/>
        <w:spacing w:line="240" w:lineRule="auto"/>
        <w:rPr>
          <w:sz w:val="22"/>
          <w:szCs w:val="22"/>
        </w:rPr>
      </w:pPr>
      <w:r w:rsidRPr="008B4C19">
        <w:rPr>
          <w:rStyle w:val="Refdenotaalpie"/>
          <w:sz w:val="22"/>
          <w:szCs w:val="22"/>
        </w:rPr>
        <w:footnoteRef/>
      </w:r>
      <w:r w:rsidRPr="008B4C19">
        <w:rPr>
          <w:sz w:val="22"/>
          <w:szCs w:val="22"/>
        </w:rPr>
        <w:t xml:space="preserve"> </w:t>
      </w:r>
      <w:r w:rsidRPr="00381E41">
        <w:rPr>
          <w:rFonts w:cs="Arial"/>
          <w:sz w:val="22"/>
          <w:szCs w:val="22"/>
        </w:rPr>
        <w:t xml:space="preserve">Consejo de Estado, Sección Tercera, sentencia de </w:t>
      </w:r>
      <w:r>
        <w:rPr>
          <w:rFonts w:cs="Arial"/>
          <w:sz w:val="22"/>
          <w:szCs w:val="22"/>
        </w:rPr>
        <w:t>29</w:t>
      </w:r>
      <w:r w:rsidRPr="00381E41">
        <w:rPr>
          <w:rFonts w:cs="Arial"/>
          <w:sz w:val="22"/>
          <w:szCs w:val="22"/>
        </w:rPr>
        <w:t xml:space="preserve"> de </w:t>
      </w:r>
      <w:r>
        <w:rPr>
          <w:rFonts w:cs="Arial"/>
          <w:sz w:val="22"/>
          <w:szCs w:val="22"/>
        </w:rPr>
        <w:t>agosto</w:t>
      </w:r>
      <w:r w:rsidRPr="00381E41">
        <w:rPr>
          <w:rFonts w:cs="Arial"/>
          <w:sz w:val="22"/>
          <w:szCs w:val="22"/>
        </w:rPr>
        <w:t xml:space="preserve"> de 20</w:t>
      </w:r>
      <w:r>
        <w:rPr>
          <w:rFonts w:cs="Arial"/>
          <w:sz w:val="22"/>
          <w:szCs w:val="22"/>
        </w:rPr>
        <w:t>12</w:t>
      </w:r>
      <w:r w:rsidRPr="00381E41">
        <w:rPr>
          <w:rFonts w:cs="Arial"/>
          <w:sz w:val="22"/>
          <w:szCs w:val="22"/>
        </w:rPr>
        <w:t xml:space="preserve">, exp. </w:t>
      </w:r>
      <w:r>
        <w:rPr>
          <w:rFonts w:cs="Arial"/>
          <w:sz w:val="22"/>
          <w:szCs w:val="22"/>
        </w:rPr>
        <w:t>24093</w:t>
      </w:r>
      <w:r w:rsidRPr="00381E41">
        <w:rPr>
          <w:rFonts w:cs="Arial"/>
          <w:sz w:val="22"/>
          <w:szCs w:val="22"/>
        </w:rPr>
        <w:t xml:space="preserve">, C.P. </w:t>
      </w:r>
      <w:r>
        <w:rPr>
          <w:rFonts w:cs="Arial"/>
          <w:sz w:val="22"/>
          <w:szCs w:val="22"/>
        </w:rPr>
        <w:t>Stella Conto Díaz del Castillo, reiterada en la sentencia de 26 de junio de 2014, exp. 35886, C.P. Ramiro Pazos Guerrero.</w:t>
      </w:r>
    </w:p>
  </w:footnote>
  <w:footnote w:id="74">
    <w:p w:rsidR="001764AC" w:rsidRPr="005059AB" w:rsidRDefault="001764AC" w:rsidP="005059AB">
      <w:pPr>
        <w:pStyle w:val="Textonotapie"/>
        <w:spacing w:line="240" w:lineRule="auto"/>
        <w:rPr>
          <w:sz w:val="22"/>
          <w:szCs w:val="22"/>
        </w:rPr>
      </w:pPr>
      <w:r w:rsidRPr="005059AB">
        <w:rPr>
          <w:rStyle w:val="Refdenotaalpie"/>
          <w:sz w:val="22"/>
          <w:szCs w:val="22"/>
        </w:rPr>
        <w:footnoteRef/>
      </w:r>
      <w:r w:rsidRPr="005059AB">
        <w:rPr>
          <w:sz w:val="22"/>
          <w:szCs w:val="22"/>
        </w:rPr>
        <w:t xml:space="preserve"> </w:t>
      </w:r>
      <w:r>
        <w:rPr>
          <w:sz w:val="22"/>
          <w:szCs w:val="22"/>
        </w:rPr>
        <w:t xml:space="preserve">Cfr. </w:t>
      </w:r>
      <w:r w:rsidRPr="00381E41">
        <w:rPr>
          <w:rFonts w:cs="Arial"/>
          <w:sz w:val="22"/>
          <w:szCs w:val="22"/>
        </w:rPr>
        <w:t xml:space="preserve">Corte Interamericana de Derechos Humanos, </w:t>
      </w:r>
      <w:r w:rsidRPr="00381E41">
        <w:rPr>
          <w:rFonts w:cs="Arial"/>
          <w:bCs/>
          <w:i/>
          <w:color w:val="000000"/>
          <w:sz w:val="22"/>
          <w:szCs w:val="22"/>
        </w:rPr>
        <w:t xml:space="preserve">Caso </w:t>
      </w:r>
      <w:r>
        <w:rPr>
          <w:rFonts w:cs="Arial"/>
          <w:bCs/>
          <w:i/>
          <w:color w:val="000000"/>
          <w:sz w:val="22"/>
          <w:szCs w:val="22"/>
        </w:rPr>
        <w:t>Fernández Ortega</w:t>
      </w:r>
      <w:r w:rsidRPr="00381E41">
        <w:rPr>
          <w:rFonts w:cs="Arial"/>
          <w:bCs/>
          <w:i/>
          <w:color w:val="000000"/>
          <w:sz w:val="22"/>
          <w:szCs w:val="22"/>
        </w:rPr>
        <w:t xml:space="preserve"> y otr</w:t>
      </w:r>
      <w:r>
        <w:rPr>
          <w:rFonts w:cs="Arial"/>
          <w:bCs/>
          <w:i/>
          <w:color w:val="000000"/>
          <w:sz w:val="22"/>
          <w:szCs w:val="22"/>
        </w:rPr>
        <w:t>os</w:t>
      </w:r>
      <w:r w:rsidRPr="00381E41">
        <w:rPr>
          <w:rFonts w:cs="Arial"/>
          <w:bCs/>
          <w:i/>
          <w:color w:val="000000"/>
          <w:sz w:val="22"/>
          <w:szCs w:val="22"/>
        </w:rPr>
        <w:t xml:space="preserve"> vs. México</w:t>
      </w:r>
      <w:r w:rsidRPr="00381E41">
        <w:rPr>
          <w:rFonts w:cs="Arial"/>
          <w:bCs/>
          <w:color w:val="000000"/>
          <w:sz w:val="22"/>
          <w:szCs w:val="22"/>
        </w:rPr>
        <w:t>,</w:t>
      </w:r>
      <w:r w:rsidRPr="00381E41">
        <w:rPr>
          <w:rFonts w:cs="Arial"/>
          <w:bCs/>
          <w:i/>
          <w:color w:val="000000"/>
          <w:sz w:val="22"/>
          <w:szCs w:val="22"/>
        </w:rPr>
        <w:t xml:space="preserve"> </w:t>
      </w:r>
      <w:r w:rsidRPr="00381E41">
        <w:rPr>
          <w:rFonts w:cs="Arial"/>
          <w:bCs/>
          <w:color w:val="000000"/>
          <w:sz w:val="22"/>
          <w:szCs w:val="22"/>
        </w:rPr>
        <w:t>sentencia de 3</w:t>
      </w:r>
      <w:r>
        <w:rPr>
          <w:rFonts w:cs="Arial"/>
          <w:bCs/>
          <w:color w:val="000000"/>
          <w:sz w:val="22"/>
          <w:szCs w:val="22"/>
        </w:rPr>
        <w:t>0</w:t>
      </w:r>
      <w:r w:rsidRPr="00381E41">
        <w:rPr>
          <w:rFonts w:cs="Arial"/>
          <w:bCs/>
          <w:color w:val="000000"/>
          <w:sz w:val="22"/>
          <w:szCs w:val="22"/>
        </w:rPr>
        <w:t xml:space="preserve"> de agosto de 2010, serie C n.° 21</w:t>
      </w:r>
      <w:r>
        <w:rPr>
          <w:rFonts w:cs="Arial"/>
          <w:bCs/>
          <w:color w:val="000000"/>
          <w:sz w:val="22"/>
          <w:szCs w:val="22"/>
        </w:rPr>
        <w:t>5</w:t>
      </w:r>
      <w:r w:rsidRPr="00381E41">
        <w:rPr>
          <w:rFonts w:cs="Arial"/>
          <w:bCs/>
          <w:color w:val="000000"/>
          <w:sz w:val="22"/>
          <w:szCs w:val="22"/>
        </w:rPr>
        <w:t>, párr. 1</w:t>
      </w:r>
      <w:r>
        <w:rPr>
          <w:rFonts w:cs="Arial"/>
          <w:bCs/>
          <w:color w:val="000000"/>
          <w:sz w:val="22"/>
          <w:szCs w:val="22"/>
        </w:rPr>
        <w:t>96.</w:t>
      </w:r>
    </w:p>
  </w:footnote>
  <w:footnote w:id="75">
    <w:p w:rsidR="001764AC" w:rsidRPr="00D251B8" w:rsidRDefault="001764AC" w:rsidP="00D251B8">
      <w:pPr>
        <w:pStyle w:val="Textonotapie"/>
        <w:spacing w:line="240" w:lineRule="auto"/>
        <w:rPr>
          <w:sz w:val="22"/>
          <w:szCs w:val="22"/>
        </w:rPr>
      </w:pPr>
      <w:r w:rsidRPr="00D251B8">
        <w:rPr>
          <w:rStyle w:val="Refdenotaalpie"/>
          <w:sz w:val="22"/>
          <w:szCs w:val="22"/>
        </w:rPr>
        <w:footnoteRef/>
      </w:r>
      <w:r w:rsidRPr="00D251B8">
        <w:rPr>
          <w:sz w:val="22"/>
          <w:szCs w:val="22"/>
        </w:rPr>
        <w:t xml:space="preserve"> Entre </w:t>
      </w:r>
      <w:r>
        <w:rPr>
          <w:sz w:val="22"/>
          <w:szCs w:val="22"/>
        </w:rPr>
        <w:t>e</w:t>
      </w:r>
      <w:r w:rsidRPr="00D251B8">
        <w:rPr>
          <w:sz w:val="22"/>
          <w:szCs w:val="22"/>
        </w:rPr>
        <w:t xml:space="preserve">stas, </w:t>
      </w:r>
      <w:r>
        <w:rPr>
          <w:sz w:val="22"/>
          <w:szCs w:val="22"/>
        </w:rPr>
        <w:t xml:space="preserve">la </w:t>
      </w:r>
      <w:r w:rsidRPr="00D251B8">
        <w:rPr>
          <w:sz w:val="22"/>
          <w:szCs w:val="22"/>
        </w:rPr>
        <w:t xml:space="preserve">Ley  82 de 1993 o “Ley de mujer cabeza de  familia”; </w:t>
      </w:r>
      <w:r>
        <w:rPr>
          <w:sz w:val="22"/>
          <w:szCs w:val="22"/>
        </w:rPr>
        <w:t xml:space="preserve">la </w:t>
      </w:r>
      <w:r w:rsidRPr="00D251B8">
        <w:rPr>
          <w:sz w:val="22"/>
          <w:szCs w:val="22"/>
        </w:rPr>
        <w:t xml:space="preserve">Ley 188 de 1995, </w:t>
      </w:r>
      <w:r>
        <w:rPr>
          <w:sz w:val="22"/>
          <w:szCs w:val="22"/>
        </w:rPr>
        <w:t>“</w:t>
      </w:r>
      <w:r w:rsidRPr="00E83A83">
        <w:rPr>
          <w:i/>
          <w:sz w:val="22"/>
          <w:szCs w:val="22"/>
        </w:rPr>
        <w:t>por la cual se crea la Dirección Nacional para la Equidad de las Mujeres</w:t>
      </w:r>
      <w:r>
        <w:rPr>
          <w:sz w:val="22"/>
          <w:szCs w:val="22"/>
        </w:rPr>
        <w:t>”</w:t>
      </w:r>
      <w:r w:rsidRPr="00D251B8">
        <w:rPr>
          <w:sz w:val="22"/>
          <w:szCs w:val="22"/>
        </w:rPr>
        <w:t xml:space="preserve">; </w:t>
      </w:r>
      <w:r>
        <w:rPr>
          <w:sz w:val="22"/>
          <w:szCs w:val="22"/>
        </w:rPr>
        <w:t xml:space="preserve">la </w:t>
      </w:r>
      <w:r w:rsidRPr="00D251B8">
        <w:rPr>
          <w:sz w:val="22"/>
          <w:szCs w:val="22"/>
        </w:rPr>
        <w:t>Ley 248 de 1995</w:t>
      </w:r>
      <w:r>
        <w:rPr>
          <w:sz w:val="22"/>
          <w:szCs w:val="22"/>
        </w:rPr>
        <w:t>,</w:t>
      </w:r>
      <w:r w:rsidRPr="00D251B8">
        <w:rPr>
          <w:sz w:val="22"/>
          <w:szCs w:val="22"/>
        </w:rPr>
        <w:t xml:space="preserve"> “</w:t>
      </w:r>
      <w:r w:rsidRPr="00E83A83">
        <w:rPr>
          <w:i/>
          <w:sz w:val="22"/>
          <w:szCs w:val="22"/>
        </w:rPr>
        <w:t>por la cual se aprueba la Convención Internacional para prevenir, sancionar y erradicar la violencia contra la mujer</w:t>
      </w:r>
      <w:r w:rsidRPr="00D251B8">
        <w:rPr>
          <w:sz w:val="22"/>
          <w:szCs w:val="22"/>
        </w:rPr>
        <w:t xml:space="preserve">”; </w:t>
      </w:r>
      <w:r>
        <w:rPr>
          <w:sz w:val="22"/>
          <w:szCs w:val="22"/>
        </w:rPr>
        <w:t xml:space="preserve">la </w:t>
      </w:r>
      <w:r w:rsidRPr="00D251B8">
        <w:rPr>
          <w:sz w:val="22"/>
          <w:szCs w:val="22"/>
        </w:rPr>
        <w:t>Ley 581 de 2000</w:t>
      </w:r>
      <w:r>
        <w:rPr>
          <w:sz w:val="22"/>
          <w:szCs w:val="22"/>
        </w:rPr>
        <w:t>,</w:t>
      </w:r>
      <w:r w:rsidRPr="00D251B8">
        <w:rPr>
          <w:sz w:val="22"/>
          <w:szCs w:val="22"/>
        </w:rPr>
        <w:t xml:space="preserve"> “</w:t>
      </w:r>
      <w:r w:rsidRPr="00E83A83">
        <w:rPr>
          <w:i/>
          <w:sz w:val="22"/>
          <w:szCs w:val="22"/>
        </w:rPr>
        <w:t>por la cual se reglamenta la adecuada y efectiva participación de la mujer en los niveles decisorios de las diferentes ramas y órganos del poder público</w:t>
      </w:r>
      <w:r w:rsidRPr="00D251B8">
        <w:rPr>
          <w:sz w:val="22"/>
          <w:szCs w:val="22"/>
        </w:rPr>
        <w:t xml:space="preserve">”; </w:t>
      </w:r>
      <w:r>
        <w:rPr>
          <w:sz w:val="22"/>
          <w:szCs w:val="22"/>
        </w:rPr>
        <w:t xml:space="preserve">la </w:t>
      </w:r>
      <w:r w:rsidRPr="00D251B8">
        <w:rPr>
          <w:sz w:val="22"/>
          <w:szCs w:val="22"/>
        </w:rPr>
        <w:t>Ley 812 de 2003</w:t>
      </w:r>
      <w:r>
        <w:rPr>
          <w:sz w:val="22"/>
          <w:szCs w:val="22"/>
        </w:rPr>
        <w:t>,</w:t>
      </w:r>
      <w:r w:rsidRPr="00D251B8">
        <w:rPr>
          <w:sz w:val="22"/>
          <w:szCs w:val="22"/>
        </w:rPr>
        <w:t xml:space="preserve"> “</w:t>
      </w:r>
      <w:r w:rsidRPr="00E83A83">
        <w:rPr>
          <w:i/>
          <w:sz w:val="22"/>
          <w:szCs w:val="22"/>
        </w:rPr>
        <w:t>Plan Nacional de Desarrollo: Construir equidad social y equidad de género</w:t>
      </w:r>
      <w:r w:rsidRPr="00D251B8">
        <w:rPr>
          <w:sz w:val="22"/>
          <w:szCs w:val="22"/>
        </w:rPr>
        <w:t xml:space="preserve">”; </w:t>
      </w:r>
      <w:r>
        <w:rPr>
          <w:sz w:val="22"/>
          <w:szCs w:val="22"/>
        </w:rPr>
        <w:t xml:space="preserve">la </w:t>
      </w:r>
      <w:r w:rsidRPr="00D251B8">
        <w:rPr>
          <w:sz w:val="22"/>
          <w:szCs w:val="22"/>
        </w:rPr>
        <w:t>Ley 823 de 2003</w:t>
      </w:r>
      <w:r>
        <w:rPr>
          <w:sz w:val="22"/>
          <w:szCs w:val="22"/>
        </w:rPr>
        <w:t>,</w:t>
      </w:r>
      <w:r w:rsidRPr="00D251B8">
        <w:rPr>
          <w:sz w:val="22"/>
          <w:szCs w:val="22"/>
        </w:rPr>
        <w:t xml:space="preserve"> “</w:t>
      </w:r>
      <w:r w:rsidRPr="00E83A83">
        <w:rPr>
          <w:i/>
          <w:sz w:val="22"/>
          <w:szCs w:val="22"/>
        </w:rPr>
        <w:t>por la cual se dictan normas sobre igualdad de oportunidades para las mujeres</w:t>
      </w:r>
      <w:r w:rsidRPr="00D251B8">
        <w:rPr>
          <w:sz w:val="22"/>
          <w:szCs w:val="22"/>
        </w:rPr>
        <w:t xml:space="preserve">”; </w:t>
      </w:r>
      <w:r>
        <w:rPr>
          <w:sz w:val="22"/>
          <w:szCs w:val="22"/>
        </w:rPr>
        <w:t xml:space="preserve">la </w:t>
      </w:r>
      <w:r w:rsidRPr="00D251B8">
        <w:rPr>
          <w:sz w:val="22"/>
          <w:szCs w:val="22"/>
        </w:rPr>
        <w:t>Ley 984 de 2005</w:t>
      </w:r>
      <w:r>
        <w:rPr>
          <w:sz w:val="22"/>
          <w:szCs w:val="22"/>
        </w:rPr>
        <w:t>,</w:t>
      </w:r>
      <w:r w:rsidRPr="00D251B8">
        <w:rPr>
          <w:sz w:val="22"/>
          <w:szCs w:val="22"/>
        </w:rPr>
        <w:t xml:space="preserve"> “</w:t>
      </w:r>
      <w:r w:rsidRPr="00E83A83">
        <w:rPr>
          <w:i/>
          <w:sz w:val="22"/>
          <w:szCs w:val="22"/>
        </w:rPr>
        <w:t>por la cual se aprueba el Protocolo Facultativo de la Convención sobre la eliminación de todas las formas de discriminación contra la mujer</w:t>
      </w:r>
      <w:r>
        <w:rPr>
          <w:sz w:val="22"/>
          <w:szCs w:val="22"/>
        </w:rPr>
        <w:t>";</w:t>
      </w:r>
      <w:r w:rsidRPr="00D251B8">
        <w:rPr>
          <w:sz w:val="22"/>
          <w:szCs w:val="22"/>
        </w:rPr>
        <w:t xml:space="preserve"> </w:t>
      </w:r>
      <w:r>
        <w:rPr>
          <w:sz w:val="22"/>
          <w:szCs w:val="22"/>
        </w:rPr>
        <w:t xml:space="preserve">la </w:t>
      </w:r>
      <w:r w:rsidRPr="00D251B8">
        <w:rPr>
          <w:sz w:val="22"/>
          <w:szCs w:val="22"/>
        </w:rPr>
        <w:t>Ley 1009 de 2006</w:t>
      </w:r>
      <w:r>
        <w:rPr>
          <w:sz w:val="22"/>
          <w:szCs w:val="22"/>
        </w:rPr>
        <w:t>,</w:t>
      </w:r>
      <w:r w:rsidRPr="00D251B8">
        <w:rPr>
          <w:sz w:val="22"/>
          <w:szCs w:val="22"/>
        </w:rPr>
        <w:t xml:space="preserve"> “</w:t>
      </w:r>
      <w:r w:rsidRPr="00E83A83">
        <w:rPr>
          <w:i/>
          <w:sz w:val="22"/>
          <w:szCs w:val="22"/>
        </w:rPr>
        <w:t>por la cual se crea con carácter permanente el Observ</w:t>
      </w:r>
      <w:r>
        <w:rPr>
          <w:i/>
          <w:sz w:val="22"/>
          <w:szCs w:val="22"/>
        </w:rPr>
        <w:t>atorio de Asuntos de Género</w:t>
      </w:r>
      <w:r>
        <w:rPr>
          <w:sz w:val="22"/>
          <w:szCs w:val="22"/>
        </w:rPr>
        <w:t>”; y la Ley 1257 de 2008,</w:t>
      </w:r>
      <w:r w:rsidRPr="00E83A83">
        <w:rPr>
          <w:sz w:val="22"/>
          <w:szCs w:val="22"/>
        </w:rPr>
        <w:t xml:space="preserve"> “</w:t>
      </w:r>
      <w:r w:rsidRPr="00E83A83">
        <w:rPr>
          <w:i/>
          <w:sz w:val="22"/>
          <w:szCs w:val="22"/>
        </w:rPr>
        <w:t>por la cual se dictan normas de sensibilización, prevención y sanción de formas de violencia y discriminación contra las mujeres</w:t>
      </w:r>
      <w:r>
        <w:rPr>
          <w:sz w:val="22"/>
          <w:szCs w:val="22"/>
        </w:rPr>
        <w:t>”.</w:t>
      </w:r>
    </w:p>
  </w:footnote>
  <w:footnote w:id="76">
    <w:p w:rsidR="001764AC" w:rsidRPr="0043161E" w:rsidRDefault="001764AC" w:rsidP="000548EB">
      <w:pPr>
        <w:pStyle w:val="Textonotapie"/>
        <w:spacing w:line="240" w:lineRule="auto"/>
        <w:rPr>
          <w:sz w:val="22"/>
          <w:szCs w:val="22"/>
        </w:rPr>
      </w:pPr>
      <w:r w:rsidRPr="001F0A3B">
        <w:rPr>
          <w:rStyle w:val="Refdenotaalpie"/>
          <w:sz w:val="22"/>
          <w:szCs w:val="22"/>
          <w:lang w:val="en-US"/>
        </w:rPr>
        <w:footnoteRef/>
      </w:r>
      <w:r w:rsidRPr="001F0A3B">
        <w:rPr>
          <w:sz w:val="22"/>
          <w:szCs w:val="22"/>
          <w:lang w:val="en-US"/>
        </w:rPr>
        <w:t xml:space="preserve"> </w:t>
      </w:r>
      <w:r>
        <w:rPr>
          <w:sz w:val="22"/>
          <w:szCs w:val="22"/>
          <w:lang w:val="en-US"/>
        </w:rPr>
        <w:t xml:space="preserve">En el ámbito internacional: </w:t>
      </w:r>
      <w:r w:rsidRPr="001F0A3B">
        <w:rPr>
          <w:sz w:val="22"/>
          <w:szCs w:val="22"/>
          <w:lang w:val="en-US"/>
        </w:rPr>
        <w:t>United Nations</w:t>
      </w:r>
      <w:r>
        <w:rPr>
          <w:sz w:val="22"/>
          <w:szCs w:val="22"/>
          <w:lang w:val="en-US"/>
        </w:rPr>
        <w:t>,</w:t>
      </w:r>
      <w:r w:rsidRPr="001F0A3B">
        <w:rPr>
          <w:sz w:val="22"/>
          <w:szCs w:val="22"/>
          <w:lang w:val="en-US"/>
        </w:rPr>
        <w:t xml:space="preserve"> </w:t>
      </w:r>
      <w:r w:rsidRPr="001F0A3B">
        <w:rPr>
          <w:i/>
          <w:sz w:val="22"/>
          <w:szCs w:val="22"/>
          <w:lang w:val="en-US"/>
        </w:rPr>
        <w:t>Report of the expert group meeting on good practices in legislation on violence against women</w:t>
      </w:r>
      <w:r w:rsidRPr="001F0A3B">
        <w:rPr>
          <w:sz w:val="22"/>
          <w:szCs w:val="22"/>
          <w:lang w:val="en-US"/>
        </w:rPr>
        <w:t>, Vienna, United Nations Division for the Advancement of Women, United Nations Office</w:t>
      </w:r>
      <w:r>
        <w:rPr>
          <w:sz w:val="22"/>
          <w:szCs w:val="22"/>
          <w:lang w:val="en-US"/>
        </w:rPr>
        <w:t xml:space="preserve"> on Drugs and Crime, May 2008, </w:t>
      </w:r>
      <w:r w:rsidRPr="001F0A3B">
        <w:rPr>
          <w:sz w:val="22"/>
          <w:szCs w:val="22"/>
          <w:lang w:val="en-US"/>
        </w:rPr>
        <w:t>p. 48-49</w:t>
      </w:r>
      <w:r>
        <w:rPr>
          <w:sz w:val="22"/>
          <w:szCs w:val="22"/>
          <w:lang w:val="en-US"/>
        </w:rPr>
        <w:t>;</w:t>
      </w:r>
      <w:r w:rsidRPr="0095383B">
        <w:rPr>
          <w:lang w:val="en-US"/>
        </w:rPr>
        <w:t xml:space="preserve"> </w:t>
      </w:r>
      <w:r w:rsidRPr="0095383B">
        <w:rPr>
          <w:sz w:val="22"/>
          <w:szCs w:val="22"/>
          <w:lang w:val="en-US"/>
        </w:rPr>
        <w:t xml:space="preserve">Alta Comisionada de las Naciones Unidas para los Derechos Humanos, </w:t>
      </w:r>
      <w:r w:rsidRPr="0095383B">
        <w:rPr>
          <w:i/>
          <w:sz w:val="22"/>
          <w:szCs w:val="22"/>
          <w:lang w:val="en-US"/>
        </w:rPr>
        <w:t xml:space="preserve">Protocolo de Estambul. </w:t>
      </w:r>
      <w:r w:rsidRPr="0043161E">
        <w:rPr>
          <w:i/>
          <w:sz w:val="22"/>
          <w:szCs w:val="22"/>
        </w:rPr>
        <w:t>Manual para la investigación y documentación eficaces de la tortura y otros tratos o penas crueles, inhumanos o degradantes</w:t>
      </w:r>
      <w:r w:rsidRPr="0043161E">
        <w:rPr>
          <w:sz w:val="22"/>
          <w:szCs w:val="22"/>
        </w:rPr>
        <w:t xml:space="preserve">, </w:t>
      </w:r>
      <w:r>
        <w:rPr>
          <w:sz w:val="22"/>
          <w:szCs w:val="22"/>
        </w:rPr>
        <w:t xml:space="preserve">ONU, Nueva York y Ginebra, 2001; </w:t>
      </w:r>
      <w:r w:rsidRPr="000548EB">
        <w:rPr>
          <w:i/>
          <w:sz w:val="22"/>
          <w:szCs w:val="22"/>
        </w:rPr>
        <w:t>Protocolo de Minnesota. Manual sobre la prevención e investigación eficaces de las ejecuciones extralegales, arbitrarias o sumarias</w:t>
      </w:r>
      <w:r>
        <w:rPr>
          <w:sz w:val="22"/>
          <w:szCs w:val="22"/>
        </w:rPr>
        <w:t xml:space="preserve">, ONU, Nueva York, 1991. En el nivel interno: Ministerio de Defensa Nacional, </w:t>
      </w:r>
      <w:r w:rsidRPr="000548EB">
        <w:rPr>
          <w:i/>
          <w:sz w:val="22"/>
          <w:szCs w:val="22"/>
        </w:rPr>
        <w:t>Protocolo para la Fuerza Pública en el manejo de la violencia sexual con énfasis en la violencia sexual con ocasión del conflicto armado. Cartilla operativa para el manejo de casos</w:t>
      </w:r>
      <w:r>
        <w:rPr>
          <w:sz w:val="22"/>
          <w:szCs w:val="22"/>
        </w:rPr>
        <w:t xml:space="preserve">, Ministerio de Defensa y otros, Bogotá, 2012; Ministerio de la Protección Social, </w:t>
      </w:r>
      <w:r w:rsidRPr="00EA5DCE">
        <w:rPr>
          <w:i/>
          <w:sz w:val="22"/>
          <w:szCs w:val="22"/>
        </w:rPr>
        <w:t>Modelo de Atención Integral para Víctimas de Violencia Sexual</w:t>
      </w:r>
      <w:r>
        <w:rPr>
          <w:sz w:val="22"/>
          <w:szCs w:val="22"/>
        </w:rPr>
        <w:t>, UNFPA, Bogotá, enero de 2011; Procuraduría General de la Nación, “</w:t>
      </w:r>
      <w:r w:rsidRPr="0067482D">
        <w:rPr>
          <w:sz w:val="22"/>
          <w:szCs w:val="22"/>
        </w:rPr>
        <w:t>Directiva 006 del 2011, sobre lucha contra la impunidad derivada de la violencia sexual</w:t>
      </w:r>
      <w:r>
        <w:rPr>
          <w:sz w:val="22"/>
          <w:szCs w:val="22"/>
        </w:rPr>
        <w:t>”, PGN, Bogotá, 2011, entre otros.</w:t>
      </w:r>
    </w:p>
  </w:footnote>
  <w:footnote w:id="77">
    <w:p w:rsidR="001764AC" w:rsidRPr="008F02D2" w:rsidRDefault="001764AC" w:rsidP="008F02D2">
      <w:pPr>
        <w:pStyle w:val="Textonotapie"/>
        <w:spacing w:line="240" w:lineRule="auto"/>
        <w:rPr>
          <w:sz w:val="22"/>
          <w:szCs w:val="22"/>
        </w:rPr>
      </w:pPr>
      <w:r w:rsidRPr="008F02D2">
        <w:rPr>
          <w:rStyle w:val="Refdenotaalpie"/>
          <w:sz w:val="22"/>
          <w:szCs w:val="22"/>
        </w:rPr>
        <w:footnoteRef/>
      </w:r>
      <w:r w:rsidRPr="008F02D2">
        <w:rPr>
          <w:sz w:val="22"/>
          <w:szCs w:val="22"/>
        </w:rPr>
        <w:t xml:space="preserve"> </w:t>
      </w:r>
      <w:r>
        <w:rPr>
          <w:sz w:val="22"/>
          <w:szCs w:val="22"/>
        </w:rPr>
        <w:t>Convención sobre la eliminación de todas las formas de discriminación contra la mujer. Adoptada por la Asamblea General de la ONU el 18 de diciembre de 1979, entrada en vigor el 3 de septiembre de 1981 y aprobada en Colombia mediante la Ley 51 de 1981. Artículo 5.a.</w:t>
      </w:r>
    </w:p>
  </w:footnote>
  <w:footnote w:id="78">
    <w:p w:rsidR="001764AC" w:rsidRPr="00381E41" w:rsidRDefault="001764AC" w:rsidP="00381E41">
      <w:pPr>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Consejo de Estado, Sección Tercera, sentencia de 6 de septiembre de 2001, exp. 66001-23-31-000-1996-3160-01(13232-15646), C.P. Alier Hernández Enríquez.</w:t>
      </w:r>
    </w:p>
  </w:footnote>
  <w:footnote w:id="79">
    <w:p w:rsidR="001764AC" w:rsidRPr="00CF58B4" w:rsidRDefault="001764AC" w:rsidP="00CF58B4">
      <w:pPr>
        <w:pStyle w:val="Textonotapie"/>
        <w:spacing w:line="240" w:lineRule="auto"/>
        <w:rPr>
          <w:sz w:val="22"/>
          <w:szCs w:val="22"/>
        </w:rPr>
      </w:pPr>
      <w:r w:rsidRPr="00CF58B4">
        <w:rPr>
          <w:rStyle w:val="Refdenotaalpie"/>
          <w:sz w:val="22"/>
          <w:szCs w:val="22"/>
        </w:rPr>
        <w:footnoteRef/>
      </w:r>
      <w:r w:rsidRPr="00CF58B4">
        <w:rPr>
          <w:sz w:val="22"/>
          <w:szCs w:val="22"/>
        </w:rPr>
        <w:t xml:space="preserve"> </w:t>
      </w:r>
      <w:r>
        <w:rPr>
          <w:sz w:val="22"/>
          <w:szCs w:val="22"/>
        </w:rPr>
        <w:t>Consejo de Estado, Sección Tercera, Sala Plena, sentencia de 28 de agosto de 2014, exp. 31172, C.P. Olga Mélida Valle de De La Hoz.</w:t>
      </w:r>
    </w:p>
  </w:footnote>
  <w:footnote w:id="80">
    <w:p w:rsidR="001764AC" w:rsidRDefault="001764AC" w:rsidP="001C4E3F">
      <w:pPr>
        <w:pStyle w:val="Textonotapie"/>
        <w:spacing w:line="240" w:lineRule="auto"/>
      </w:pPr>
      <w:r w:rsidRPr="001323D0">
        <w:rPr>
          <w:rStyle w:val="Refdenotaalpie"/>
          <w:sz w:val="22"/>
          <w:szCs w:val="22"/>
        </w:rPr>
        <w:footnoteRef/>
      </w:r>
      <w:r w:rsidRPr="001323D0">
        <w:rPr>
          <w:sz w:val="22"/>
          <w:szCs w:val="22"/>
        </w:rPr>
        <w:t xml:space="preserve"> Consejo de Estado, Sección Tercera, sentencia de 8 de marzo de 2007, exp. 15459, C.P. Mauricio Fajardo Gómez</w:t>
      </w:r>
      <w:r>
        <w:rPr>
          <w:sz w:val="22"/>
          <w:szCs w:val="22"/>
        </w:rPr>
        <w:t>; sentencia de 29 de julio de 2013, exp. 24494. C.P. Danilo Rojas Betancourth, entre otras.</w:t>
      </w:r>
    </w:p>
  </w:footnote>
  <w:footnote w:id="81">
    <w:p w:rsidR="001764AC" w:rsidRPr="00381E41" w:rsidRDefault="001764AC" w:rsidP="001C4E3F">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Consejo de Estado, Sección Tercera, sentencia de 6 de septiembre de 2001, exp. 13232-15646, C.P. Alier Hernández Enríquez.</w:t>
      </w:r>
    </w:p>
  </w:footnote>
  <w:footnote w:id="82">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Consejo de Estado, Sección Tercera, sentencia de 10 de marzo de 2005, exp. 14808, C.P. Germán Rodríguez.</w:t>
      </w:r>
    </w:p>
  </w:footnote>
  <w:footnote w:id="83">
    <w:p w:rsidR="001764AC" w:rsidRDefault="001764AC" w:rsidP="009C4CBE">
      <w:pPr>
        <w:pStyle w:val="Textonotapie"/>
        <w:spacing w:line="240" w:lineRule="auto"/>
      </w:pPr>
      <w:r w:rsidRPr="00750B54">
        <w:rPr>
          <w:rStyle w:val="Refdenotaalpie"/>
          <w:sz w:val="22"/>
          <w:szCs w:val="22"/>
        </w:rPr>
        <w:footnoteRef/>
      </w:r>
      <w:r w:rsidRPr="00750B54">
        <w:rPr>
          <w:sz w:val="22"/>
          <w:szCs w:val="22"/>
        </w:rPr>
        <w:t xml:space="preserve"> </w:t>
      </w:r>
      <w:r>
        <w:rPr>
          <w:sz w:val="22"/>
          <w:szCs w:val="22"/>
        </w:rPr>
        <w:t>Consejo de Estado,</w:t>
      </w:r>
      <w:r w:rsidRPr="00750B54">
        <w:rPr>
          <w:sz w:val="22"/>
          <w:szCs w:val="22"/>
        </w:rPr>
        <w:t xml:space="preserve"> Sección Tercera</w:t>
      </w:r>
      <w:r>
        <w:rPr>
          <w:sz w:val="22"/>
          <w:szCs w:val="22"/>
        </w:rPr>
        <w:t>, Sala Plena, sentencia</w:t>
      </w:r>
      <w:r w:rsidRPr="00750B54">
        <w:rPr>
          <w:sz w:val="22"/>
          <w:szCs w:val="22"/>
        </w:rPr>
        <w:t xml:space="preserve"> de 14 de septiembre de 2011, </w:t>
      </w:r>
      <w:r w:rsidRPr="006C2CA1">
        <w:rPr>
          <w:rFonts w:cs="Arial"/>
          <w:sz w:val="22"/>
          <w:szCs w:val="22"/>
        </w:rPr>
        <w:t>exp</w:t>
      </w:r>
      <w:r>
        <w:rPr>
          <w:rFonts w:cs="Arial"/>
          <w:sz w:val="22"/>
          <w:szCs w:val="22"/>
        </w:rPr>
        <w:t>.</w:t>
      </w:r>
      <w:r w:rsidRPr="006C2CA1">
        <w:rPr>
          <w:rFonts w:cs="Arial"/>
          <w:sz w:val="22"/>
          <w:szCs w:val="22"/>
        </w:rPr>
        <w:t xml:space="preserve"> </w:t>
      </w:r>
      <w:r w:rsidRPr="00750B54">
        <w:rPr>
          <w:sz w:val="22"/>
          <w:szCs w:val="22"/>
        </w:rPr>
        <w:t>38222, C.P.</w:t>
      </w:r>
      <w:r>
        <w:rPr>
          <w:sz w:val="22"/>
          <w:szCs w:val="22"/>
        </w:rPr>
        <w:t xml:space="preserve">: Enrique Gil Botero; </w:t>
      </w:r>
      <w:r w:rsidRPr="00741E5B">
        <w:rPr>
          <w:sz w:val="22"/>
          <w:szCs w:val="22"/>
        </w:rPr>
        <w:t xml:space="preserve">sentencia de 14 de septiembre de 2011, exp. </w:t>
      </w:r>
      <w:r>
        <w:rPr>
          <w:sz w:val="22"/>
          <w:szCs w:val="22"/>
        </w:rPr>
        <w:t>19031</w:t>
      </w:r>
      <w:r w:rsidRPr="00741E5B">
        <w:rPr>
          <w:sz w:val="22"/>
          <w:szCs w:val="22"/>
        </w:rPr>
        <w:t>, C.P.: Enrique Gil Botero.</w:t>
      </w:r>
    </w:p>
  </w:footnote>
  <w:footnote w:id="84">
    <w:p w:rsidR="001764AC" w:rsidRPr="0029485A" w:rsidRDefault="001764AC" w:rsidP="0029485A">
      <w:pPr>
        <w:pStyle w:val="Textonotapie"/>
        <w:spacing w:line="240" w:lineRule="auto"/>
        <w:rPr>
          <w:sz w:val="22"/>
          <w:szCs w:val="22"/>
        </w:rPr>
      </w:pPr>
      <w:r w:rsidRPr="0029485A">
        <w:rPr>
          <w:rStyle w:val="Refdenotaalpie"/>
          <w:sz w:val="22"/>
          <w:szCs w:val="22"/>
        </w:rPr>
        <w:footnoteRef/>
      </w:r>
      <w:r w:rsidRPr="0029485A">
        <w:rPr>
          <w:sz w:val="22"/>
          <w:szCs w:val="22"/>
        </w:rPr>
        <w:t xml:space="preserve"> Consejo de Estado, Sección Tercera, Sala Plena, sentencia de </w:t>
      </w:r>
      <w:r>
        <w:rPr>
          <w:sz w:val="22"/>
          <w:szCs w:val="22"/>
        </w:rPr>
        <w:t>28</w:t>
      </w:r>
      <w:r w:rsidRPr="0029485A">
        <w:rPr>
          <w:sz w:val="22"/>
          <w:szCs w:val="22"/>
        </w:rPr>
        <w:t xml:space="preserve"> de </w:t>
      </w:r>
      <w:r>
        <w:rPr>
          <w:sz w:val="22"/>
          <w:szCs w:val="22"/>
        </w:rPr>
        <w:t>agosto</w:t>
      </w:r>
      <w:r w:rsidRPr="0029485A">
        <w:rPr>
          <w:sz w:val="22"/>
          <w:szCs w:val="22"/>
        </w:rPr>
        <w:t xml:space="preserve"> de 201</w:t>
      </w:r>
      <w:r>
        <w:rPr>
          <w:sz w:val="22"/>
          <w:szCs w:val="22"/>
        </w:rPr>
        <w:t>4</w:t>
      </w:r>
      <w:r w:rsidRPr="0029485A">
        <w:rPr>
          <w:sz w:val="22"/>
          <w:szCs w:val="22"/>
        </w:rPr>
        <w:t xml:space="preserve">, </w:t>
      </w:r>
      <w:r w:rsidRPr="0029485A">
        <w:rPr>
          <w:rFonts w:cs="Arial"/>
          <w:sz w:val="22"/>
          <w:szCs w:val="22"/>
        </w:rPr>
        <w:t xml:space="preserve">exp. </w:t>
      </w:r>
      <w:r>
        <w:rPr>
          <w:sz w:val="22"/>
          <w:szCs w:val="22"/>
        </w:rPr>
        <w:t>31170</w:t>
      </w:r>
      <w:r w:rsidRPr="0029485A">
        <w:rPr>
          <w:sz w:val="22"/>
          <w:szCs w:val="22"/>
        </w:rPr>
        <w:t xml:space="preserve">, C.P.: Enrique Gil Botero; sentencia de </w:t>
      </w:r>
      <w:r>
        <w:rPr>
          <w:sz w:val="22"/>
          <w:szCs w:val="22"/>
        </w:rPr>
        <w:t>28</w:t>
      </w:r>
      <w:r w:rsidRPr="0029485A">
        <w:rPr>
          <w:sz w:val="22"/>
          <w:szCs w:val="22"/>
        </w:rPr>
        <w:t xml:space="preserve"> de </w:t>
      </w:r>
      <w:r>
        <w:rPr>
          <w:sz w:val="22"/>
          <w:szCs w:val="22"/>
        </w:rPr>
        <w:t>agosto</w:t>
      </w:r>
      <w:r w:rsidRPr="0029485A">
        <w:rPr>
          <w:sz w:val="22"/>
          <w:szCs w:val="22"/>
        </w:rPr>
        <w:t xml:space="preserve"> de 201</w:t>
      </w:r>
      <w:r>
        <w:rPr>
          <w:sz w:val="22"/>
          <w:szCs w:val="22"/>
        </w:rPr>
        <w:t>4</w:t>
      </w:r>
      <w:r w:rsidRPr="0029485A">
        <w:rPr>
          <w:sz w:val="22"/>
          <w:szCs w:val="22"/>
        </w:rPr>
        <w:t xml:space="preserve">, exp. </w:t>
      </w:r>
      <w:r>
        <w:rPr>
          <w:sz w:val="22"/>
          <w:szCs w:val="22"/>
        </w:rPr>
        <w:t>28832</w:t>
      </w:r>
      <w:r w:rsidRPr="0029485A">
        <w:rPr>
          <w:sz w:val="22"/>
          <w:szCs w:val="22"/>
        </w:rPr>
        <w:t xml:space="preserve">, C.P.: </w:t>
      </w:r>
      <w:r>
        <w:rPr>
          <w:sz w:val="22"/>
          <w:szCs w:val="22"/>
        </w:rPr>
        <w:t>Danilo Rojas Betancourth</w:t>
      </w:r>
      <w:r w:rsidRPr="0029485A">
        <w:rPr>
          <w:sz w:val="22"/>
          <w:szCs w:val="22"/>
        </w:rPr>
        <w:t>.</w:t>
      </w:r>
    </w:p>
  </w:footnote>
  <w:footnote w:id="85">
    <w:p w:rsidR="001764AC" w:rsidRPr="00381E41" w:rsidRDefault="001764AC" w:rsidP="006D3BDC">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w:t>
      </w:r>
      <w:r>
        <w:rPr>
          <w:rFonts w:cs="Arial"/>
          <w:sz w:val="22"/>
          <w:szCs w:val="22"/>
        </w:rPr>
        <w:t xml:space="preserve">Cfr. </w:t>
      </w:r>
      <w:r>
        <w:rPr>
          <w:rFonts w:cs="Arial"/>
          <w:bCs/>
          <w:color w:val="000000"/>
          <w:sz w:val="22"/>
          <w:szCs w:val="22"/>
        </w:rPr>
        <w:t xml:space="preserve">ECHEBURÚA, Enrique, </w:t>
      </w:r>
      <w:r w:rsidRPr="00907F61">
        <w:rPr>
          <w:rFonts w:cs="Arial"/>
          <w:bCs/>
          <w:i/>
          <w:color w:val="000000"/>
          <w:sz w:val="22"/>
          <w:szCs w:val="22"/>
        </w:rPr>
        <w:t>Superar un trauma: el tratamiento de las víctimas de sucesos violentos</w:t>
      </w:r>
      <w:r>
        <w:rPr>
          <w:rFonts w:cs="Arial"/>
          <w:bCs/>
          <w:color w:val="000000"/>
          <w:sz w:val="22"/>
          <w:szCs w:val="22"/>
        </w:rPr>
        <w:t>, Editorial Pirámide, Madrid, 2004.</w:t>
      </w:r>
    </w:p>
  </w:footnote>
  <w:footnote w:id="86">
    <w:p w:rsidR="001764AC" w:rsidRPr="00381E41" w:rsidRDefault="001764AC" w:rsidP="006D3BDC">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w:t>
      </w:r>
      <w:r>
        <w:rPr>
          <w:rFonts w:cs="Arial"/>
          <w:sz w:val="22"/>
          <w:szCs w:val="22"/>
        </w:rPr>
        <w:t xml:space="preserve">Cfr. </w:t>
      </w:r>
      <w:r w:rsidRPr="00381E41">
        <w:rPr>
          <w:rFonts w:cs="Arial"/>
          <w:sz w:val="22"/>
          <w:szCs w:val="22"/>
        </w:rPr>
        <w:t xml:space="preserve">Comisión Interamericana de Derechos Humanos, </w:t>
      </w:r>
      <w:r w:rsidRPr="00381E41">
        <w:rPr>
          <w:rFonts w:cs="Arial"/>
          <w:i/>
          <w:sz w:val="22"/>
          <w:szCs w:val="22"/>
        </w:rPr>
        <w:t>Raquel Martín de Mejía vs. Perú</w:t>
      </w:r>
      <w:r w:rsidRPr="00381E41">
        <w:rPr>
          <w:rFonts w:cs="Arial"/>
          <w:sz w:val="22"/>
          <w:szCs w:val="22"/>
        </w:rPr>
        <w:t>, caso 10.970, informe n.° 5/96 (Fondo), 1 de marzo de 1996, párr. 201.</w:t>
      </w:r>
    </w:p>
  </w:footnote>
  <w:footnote w:id="87">
    <w:p w:rsidR="001764AC" w:rsidRPr="00381E41" w:rsidRDefault="001764AC" w:rsidP="006D3BDC">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w:t>
      </w:r>
      <w:r>
        <w:rPr>
          <w:rFonts w:cs="Arial"/>
          <w:sz w:val="22"/>
          <w:szCs w:val="22"/>
        </w:rPr>
        <w:t xml:space="preserve">Cfr. </w:t>
      </w:r>
      <w:r w:rsidRPr="00381E41">
        <w:rPr>
          <w:rFonts w:cs="Arial"/>
          <w:sz w:val="22"/>
          <w:szCs w:val="22"/>
        </w:rPr>
        <w:t xml:space="preserve">Tribunal Europeo de Derechos Humanos, </w:t>
      </w:r>
      <w:r w:rsidRPr="00381E41">
        <w:rPr>
          <w:rFonts w:cs="Arial"/>
          <w:i/>
          <w:sz w:val="22"/>
          <w:szCs w:val="22"/>
        </w:rPr>
        <w:t>Caso Aydin vs. Turquía</w:t>
      </w:r>
      <w:r w:rsidRPr="00381E41">
        <w:rPr>
          <w:rFonts w:cs="Arial"/>
          <w:sz w:val="22"/>
          <w:szCs w:val="22"/>
        </w:rPr>
        <w:t xml:space="preserve">, demanda </w:t>
      </w:r>
      <w:r w:rsidRPr="00381E41">
        <w:rPr>
          <w:rFonts w:cs="Arial"/>
          <w:bCs/>
          <w:color w:val="000000"/>
          <w:sz w:val="22"/>
          <w:szCs w:val="22"/>
        </w:rPr>
        <w:t>n.°</w:t>
      </w:r>
      <w:r w:rsidRPr="00381E41">
        <w:rPr>
          <w:rFonts w:cs="Arial"/>
          <w:sz w:val="22"/>
          <w:szCs w:val="22"/>
        </w:rPr>
        <w:t xml:space="preserve"> 23178/94, sentencia de 25 de septiembre de 1997, párr. 83.</w:t>
      </w:r>
    </w:p>
  </w:footnote>
  <w:footnote w:id="88">
    <w:p w:rsidR="001764AC" w:rsidRPr="00381E41" w:rsidRDefault="001764AC" w:rsidP="006D3BDC">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Centro Nacional de Memoria Histórica, </w:t>
      </w:r>
      <w:r w:rsidRPr="00381E41">
        <w:rPr>
          <w:rFonts w:cs="Arial"/>
          <w:i/>
          <w:sz w:val="22"/>
          <w:szCs w:val="22"/>
        </w:rPr>
        <w:t>¡Basta ya! Colombia: memorias de guerra y dignidad. Informe General Grupo de Memoria Histórica</w:t>
      </w:r>
      <w:r w:rsidRPr="00381E41">
        <w:rPr>
          <w:rFonts w:cs="Arial"/>
          <w:sz w:val="22"/>
          <w:szCs w:val="22"/>
        </w:rPr>
        <w:t xml:space="preserve">, </w:t>
      </w:r>
      <w:r>
        <w:rPr>
          <w:rFonts w:cs="Arial"/>
          <w:sz w:val="22"/>
          <w:szCs w:val="22"/>
        </w:rPr>
        <w:t>cit.</w:t>
      </w:r>
      <w:r w:rsidRPr="00381E41">
        <w:rPr>
          <w:rFonts w:cs="Arial"/>
          <w:sz w:val="22"/>
          <w:szCs w:val="22"/>
        </w:rPr>
        <w:t>, p. 309.</w:t>
      </w:r>
    </w:p>
  </w:footnote>
  <w:footnote w:id="89">
    <w:p w:rsidR="001764AC" w:rsidRPr="00DF1DC8" w:rsidRDefault="001764AC" w:rsidP="00DF1DC8">
      <w:pPr>
        <w:pStyle w:val="Textonotapie"/>
        <w:spacing w:line="240" w:lineRule="auto"/>
        <w:rPr>
          <w:sz w:val="22"/>
          <w:szCs w:val="22"/>
        </w:rPr>
      </w:pPr>
      <w:r w:rsidRPr="00DF1DC8">
        <w:rPr>
          <w:rStyle w:val="Refdenotaalpie"/>
          <w:sz w:val="22"/>
          <w:szCs w:val="22"/>
        </w:rPr>
        <w:footnoteRef/>
      </w:r>
      <w:r w:rsidRPr="00DF1DC8">
        <w:rPr>
          <w:sz w:val="22"/>
          <w:szCs w:val="22"/>
        </w:rPr>
        <w:t xml:space="preserve"> </w:t>
      </w:r>
      <w:r>
        <w:rPr>
          <w:sz w:val="22"/>
          <w:szCs w:val="22"/>
        </w:rPr>
        <w:t>Consejo de Estado, Sección Tercera, Sala Plena, sentencia de 28 de agosto de 2014, exp. 28804, C.P. Stella Conto Díaz del Castillo;</w:t>
      </w:r>
      <w:r w:rsidRPr="00DF1DC8">
        <w:rPr>
          <w:sz w:val="22"/>
          <w:szCs w:val="22"/>
        </w:rPr>
        <w:t xml:space="preserve"> </w:t>
      </w:r>
      <w:r>
        <w:rPr>
          <w:sz w:val="22"/>
          <w:szCs w:val="22"/>
        </w:rPr>
        <w:t>sentencia de 28 de agosto de 2014, exp. 32988, C.P. Ramiro Pazos Guerrero;</w:t>
      </w:r>
      <w:r w:rsidRPr="00765D53">
        <w:rPr>
          <w:sz w:val="22"/>
          <w:szCs w:val="22"/>
        </w:rPr>
        <w:t xml:space="preserve"> </w:t>
      </w:r>
      <w:r>
        <w:rPr>
          <w:sz w:val="22"/>
          <w:szCs w:val="22"/>
        </w:rPr>
        <w:t>sentencia de 28 de agosto de 2014, exp. 26251, C.P. Jaime Orlando Santofimio Gamboa.</w:t>
      </w:r>
    </w:p>
  </w:footnote>
  <w:footnote w:id="90">
    <w:p w:rsidR="001764AC" w:rsidRPr="00CA3ABA" w:rsidRDefault="001764AC" w:rsidP="00CA3ABA">
      <w:pPr>
        <w:pStyle w:val="Textonotapie"/>
        <w:spacing w:line="240" w:lineRule="auto"/>
        <w:rPr>
          <w:sz w:val="22"/>
          <w:szCs w:val="22"/>
        </w:rPr>
      </w:pPr>
      <w:r w:rsidRPr="00CA3ABA">
        <w:rPr>
          <w:rStyle w:val="Refdenotaalpie"/>
          <w:sz w:val="22"/>
          <w:szCs w:val="22"/>
        </w:rPr>
        <w:footnoteRef/>
      </w:r>
      <w:r w:rsidRPr="00CA3ABA">
        <w:rPr>
          <w:sz w:val="22"/>
          <w:szCs w:val="22"/>
        </w:rPr>
        <w:t xml:space="preserve"> </w:t>
      </w:r>
      <w:r>
        <w:rPr>
          <w:sz w:val="22"/>
          <w:szCs w:val="22"/>
        </w:rPr>
        <w:t xml:space="preserve">Corte Interamericana de Derechos Humanos, </w:t>
      </w:r>
      <w:r w:rsidRPr="00CA3ABA">
        <w:rPr>
          <w:i/>
          <w:sz w:val="22"/>
          <w:szCs w:val="22"/>
        </w:rPr>
        <w:t>Caso Gómez Palomino vs. Perú</w:t>
      </w:r>
      <w:r>
        <w:rPr>
          <w:sz w:val="22"/>
          <w:szCs w:val="22"/>
        </w:rPr>
        <w:t xml:space="preserve">, sentencia de 22 de noviembre de 2005, </w:t>
      </w:r>
      <w:r w:rsidRPr="00381E41">
        <w:rPr>
          <w:rFonts w:cs="Arial"/>
          <w:bCs/>
          <w:color w:val="000000"/>
          <w:sz w:val="22"/>
          <w:szCs w:val="22"/>
        </w:rPr>
        <w:t>serie C n.°</w:t>
      </w:r>
      <w:r>
        <w:rPr>
          <w:rFonts w:cs="Arial"/>
          <w:bCs/>
          <w:color w:val="000000"/>
          <w:sz w:val="22"/>
          <w:szCs w:val="22"/>
        </w:rPr>
        <w:t xml:space="preserve"> 136, párr. 145-146.</w:t>
      </w:r>
    </w:p>
  </w:footnote>
  <w:footnote w:id="91">
    <w:p w:rsidR="001764AC" w:rsidRPr="00CA3ABA" w:rsidRDefault="001764AC" w:rsidP="00CA3ABA">
      <w:pPr>
        <w:pStyle w:val="Textonotapie"/>
        <w:spacing w:line="240" w:lineRule="auto"/>
        <w:rPr>
          <w:sz w:val="22"/>
          <w:szCs w:val="22"/>
        </w:rPr>
      </w:pPr>
      <w:r w:rsidRPr="00CA3ABA">
        <w:rPr>
          <w:rStyle w:val="Refdenotaalpie"/>
          <w:sz w:val="22"/>
          <w:szCs w:val="22"/>
        </w:rPr>
        <w:footnoteRef/>
      </w:r>
      <w:r w:rsidRPr="00CA3ABA">
        <w:rPr>
          <w:sz w:val="22"/>
          <w:szCs w:val="22"/>
        </w:rPr>
        <w:t xml:space="preserve"> </w:t>
      </w:r>
      <w:r>
        <w:rPr>
          <w:sz w:val="22"/>
          <w:szCs w:val="22"/>
        </w:rPr>
        <w:t>Corte Interamericana de Derechos Humanos,</w:t>
      </w:r>
      <w:r w:rsidRPr="00C20688">
        <w:rPr>
          <w:i/>
          <w:sz w:val="22"/>
          <w:szCs w:val="22"/>
        </w:rPr>
        <w:t xml:space="preserve"> </w:t>
      </w:r>
      <w:r w:rsidRPr="00CA3ABA">
        <w:rPr>
          <w:i/>
          <w:sz w:val="22"/>
          <w:szCs w:val="22"/>
        </w:rPr>
        <w:t xml:space="preserve">Caso </w:t>
      </w:r>
      <w:r>
        <w:rPr>
          <w:i/>
          <w:sz w:val="22"/>
          <w:szCs w:val="22"/>
        </w:rPr>
        <w:t>de los Hermanos Gómez Paquiyauri</w:t>
      </w:r>
      <w:r w:rsidRPr="00CA3ABA">
        <w:rPr>
          <w:i/>
          <w:sz w:val="22"/>
          <w:szCs w:val="22"/>
        </w:rPr>
        <w:t xml:space="preserve"> vs. Perú</w:t>
      </w:r>
      <w:r>
        <w:rPr>
          <w:sz w:val="22"/>
          <w:szCs w:val="22"/>
        </w:rPr>
        <w:t xml:space="preserve">, sentencia de 8 de julio de 2004, </w:t>
      </w:r>
      <w:r w:rsidRPr="00381E41">
        <w:rPr>
          <w:rFonts w:cs="Arial"/>
          <w:bCs/>
          <w:color w:val="000000"/>
          <w:sz w:val="22"/>
          <w:szCs w:val="22"/>
        </w:rPr>
        <w:t>serie C n.°</w:t>
      </w:r>
      <w:r>
        <w:rPr>
          <w:rFonts w:cs="Arial"/>
          <w:bCs/>
          <w:color w:val="000000"/>
          <w:sz w:val="22"/>
          <w:szCs w:val="22"/>
        </w:rPr>
        <w:t xml:space="preserve"> 110, párr. 237.</w:t>
      </w:r>
    </w:p>
  </w:footnote>
  <w:footnote w:id="92">
    <w:p w:rsidR="001764AC" w:rsidRPr="00CA3ABA" w:rsidRDefault="001764AC" w:rsidP="00CA3ABA">
      <w:pPr>
        <w:pStyle w:val="Textonotapie"/>
        <w:spacing w:line="240" w:lineRule="auto"/>
        <w:rPr>
          <w:sz w:val="22"/>
          <w:szCs w:val="22"/>
        </w:rPr>
      </w:pPr>
      <w:r w:rsidRPr="00CA3ABA">
        <w:rPr>
          <w:rStyle w:val="Refdenotaalpie"/>
          <w:sz w:val="22"/>
          <w:szCs w:val="22"/>
        </w:rPr>
        <w:footnoteRef/>
      </w:r>
      <w:r w:rsidRPr="00CA3ABA">
        <w:rPr>
          <w:sz w:val="22"/>
          <w:szCs w:val="22"/>
        </w:rPr>
        <w:t xml:space="preserve"> </w:t>
      </w:r>
      <w:r>
        <w:rPr>
          <w:sz w:val="22"/>
          <w:szCs w:val="22"/>
        </w:rPr>
        <w:t>Corte Interamericana de Derechos Humanos,</w:t>
      </w:r>
      <w:r w:rsidRPr="00C20688">
        <w:rPr>
          <w:i/>
          <w:sz w:val="22"/>
          <w:szCs w:val="22"/>
        </w:rPr>
        <w:t xml:space="preserve"> </w:t>
      </w:r>
      <w:r w:rsidRPr="00CA3ABA">
        <w:rPr>
          <w:i/>
          <w:sz w:val="22"/>
          <w:szCs w:val="22"/>
        </w:rPr>
        <w:t xml:space="preserve">Caso </w:t>
      </w:r>
      <w:r>
        <w:rPr>
          <w:i/>
          <w:sz w:val="22"/>
          <w:szCs w:val="22"/>
        </w:rPr>
        <w:t>García Asto y Ramírez Rojas</w:t>
      </w:r>
      <w:r w:rsidRPr="00CA3ABA">
        <w:rPr>
          <w:i/>
          <w:sz w:val="22"/>
          <w:szCs w:val="22"/>
        </w:rPr>
        <w:t xml:space="preserve"> vs. Perú</w:t>
      </w:r>
      <w:r>
        <w:rPr>
          <w:sz w:val="22"/>
          <w:szCs w:val="22"/>
        </w:rPr>
        <w:t xml:space="preserve">, sentencia de 25 de noviembre de 2005, </w:t>
      </w:r>
      <w:r w:rsidRPr="00381E41">
        <w:rPr>
          <w:rFonts w:cs="Arial"/>
          <w:bCs/>
          <w:color w:val="000000"/>
          <w:sz w:val="22"/>
          <w:szCs w:val="22"/>
        </w:rPr>
        <w:t>serie C n.°</w:t>
      </w:r>
      <w:r>
        <w:rPr>
          <w:rFonts w:cs="Arial"/>
          <w:bCs/>
          <w:color w:val="000000"/>
          <w:sz w:val="22"/>
          <w:szCs w:val="22"/>
        </w:rPr>
        <w:t xml:space="preserve"> 137, párr. 281; </w:t>
      </w:r>
      <w:r w:rsidRPr="00C20688">
        <w:rPr>
          <w:rFonts w:cs="Arial"/>
          <w:bCs/>
          <w:i/>
          <w:color w:val="000000"/>
          <w:sz w:val="22"/>
          <w:szCs w:val="22"/>
        </w:rPr>
        <w:t>Caso De La Cruz Flores vs. Perú</w:t>
      </w:r>
      <w:r>
        <w:rPr>
          <w:rFonts w:cs="Arial"/>
          <w:bCs/>
          <w:color w:val="000000"/>
          <w:sz w:val="22"/>
          <w:szCs w:val="22"/>
        </w:rPr>
        <w:t xml:space="preserve">, </w:t>
      </w:r>
      <w:r>
        <w:rPr>
          <w:sz w:val="22"/>
          <w:szCs w:val="22"/>
        </w:rPr>
        <w:t xml:space="preserve">sentencia de 18 de noviembre de 2004, </w:t>
      </w:r>
      <w:r w:rsidRPr="00381E41">
        <w:rPr>
          <w:rFonts w:cs="Arial"/>
          <w:bCs/>
          <w:color w:val="000000"/>
          <w:sz w:val="22"/>
          <w:szCs w:val="22"/>
        </w:rPr>
        <w:t>serie C n.°</w:t>
      </w:r>
      <w:r>
        <w:rPr>
          <w:rFonts w:cs="Arial"/>
          <w:bCs/>
          <w:color w:val="000000"/>
          <w:sz w:val="22"/>
          <w:szCs w:val="22"/>
        </w:rPr>
        <w:t xml:space="preserve"> 115, párr. 170.</w:t>
      </w:r>
    </w:p>
  </w:footnote>
  <w:footnote w:id="93">
    <w:p w:rsidR="001764AC" w:rsidRPr="00C45B5B" w:rsidRDefault="001764AC" w:rsidP="00CA3ABA">
      <w:pPr>
        <w:pStyle w:val="Textonotapie"/>
        <w:spacing w:line="240" w:lineRule="auto"/>
        <w:rPr>
          <w:i/>
          <w:sz w:val="22"/>
          <w:szCs w:val="22"/>
        </w:rPr>
      </w:pPr>
      <w:r w:rsidRPr="00CA3ABA">
        <w:rPr>
          <w:rStyle w:val="Refdenotaalpie"/>
          <w:sz w:val="22"/>
          <w:szCs w:val="22"/>
        </w:rPr>
        <w:footnoteRef/>
      </w:r>
      <w:r w:rsidRPr="00CA3ABA">
        <w:rPr>
          <w:sz w:val="22"/>
          <w:szCs w:val="22"/>
        </w:rPr>
        <w:t xml:space="preserve"> </w:t>
      </w:r>
      <w:r>
        <w:rPr>
          <w:sz w:val="22"/>
          <w:szCs w:val="22"/>
        </w:rPr>
        <w:t>Corte Interamericana de Derechos Humanos,</w:t>
      </w:r>
      <w:r w:rsidRPr="00997D05">
        <w:rPr>
          <w:i/>
          <w:sz w:val="22"/>
          <w:szCs w:val="22"/>
        </w:rPr>
        <w:t xml:space="preserve"> </w:t>
      </w:r>
      <w:r>
        <w:rPr>
          <w:i/>
          <w:sz w:val="22"/>
          <w:szCs w:val="22"/>
        </w:rPr>
        <w:t>Caso Lori Berenson</w:t>
      </w:r>
      <w:r>
        <w:rPr>
          <w:sz w:val="22"/>
          <w:szCs w:val="22"/>
        </w:rPr>
        <w:t xml:space="preserve"> </w:t>
      </w:r>
      <w:r w:rsidRPr="00C45B5B">
        <w:rPr>
          <w:i/>
          <w:sz w:val="22"/>
          <w:szCs w:val="22"/>
        </w:rPr>
        <w:t>Mejía vs. Perú</w:t>
      </w:r>
      <w:r>
        <w:rPr>
          <w:sz w:val="22"/>
          <w:szCs w:val="22"/>
        </w:rPr>
        <w:t>, s</w:t>
      </w:r>
      <w:r w:rsidRPr="00C45B5B">
        <w:rPr>
          <w:sz w:val="22"/>
          <w:szCs w:val="22"/>
        </w:rPr>
        <w:t>entencia de 25 de noviembre de 2004</w:t>
      </w:r>
      <w:r>
        <w:rPr>
          <w:sz w:val="22"/>
          <w:szCs w:val="22"/>
        </w:rPr>
        <w:t xml:space="preserve">, </w:t>
      </w:r>
      <w:r w:rsidRPr="00381E41">
        <w:rPr>
          <w:rFonts w:cs="Arial"/>
          <w:bCs/>
          <w:color w:val="000000"/>
          <w:sz w:val="22"/>
          <w:szCs w:val="22"/>
        </w:rPr>
        <w:t>serie C n.°</w:t>
      </w:r>
      <w:r>
        <w:rPr>
          <w:rFonts w:cs="Arial"/>
          <w:bCs/>
          <w:color w:val="000000"/>
          <w:sz w:val="22"/>
          <w:szCs w:val="22"/>
        </w:rPr>
        <w:t xml:space="preserve"> 137, párr. 238;</w:t>
      </w:r>
      <w:r>
        <w:rPr>
          <w:i/>
          <w:sz w:val="22"/>
          <w:szCs w:val="22"/>
        </w:rPr>
        <w:t xml:space="preserve"> </w:t>
      </w:r>
      <w:r w:rsidRPr="00C45B5B">
        <w:rPr>
          <w:i/>
          <w:sz w:val="22"/>
          <w:szCs w:val="22"/>
        </w:rPr>
        <w:t xml:space="preserve">Caso Tibi </w:t>
      </w:r>
      <w:r>
        <w:rPr>
          <w:i/>
          <w:sz w:val="22"/>
          <w:szCs w:val="22"/>
        </w:rPr>
        <w:t>v</w:t>
      </w:r>
      <w:r w:rsidRPr="00C45B5B">
        <w:rPr>
          <w:i/>
          <w:sz w:val="22"/>
          <w:szCs w:val="22"/>
        </w:rPr>
        <w:t>s. Ecuador</w:t>
      </w:r>
      <w:r w:rsidRPr="00C45B5B">
        <w:rPr>
          <w:sz w:val="22"/>
          <w:szCs w:val="22"/>
        </w:rPr>
        <w:t xml:space="preserve">, </w:t>
      </w:r>
      <w:r>
        <w:rPr>
          <w:sz w:val="22"/>
          <w:szCs w:val="22"/>
        </w:rPr>
        <w:t>s</w:t>
      </w:r>
      <w:r w:rsidRPr="00C45B5B">
        <w:rPr>
          <w:sz w:val="22"/>
          <w:szCs w:val="22"/>
        </w:rPr>
        <w:t xml:space="preserve">entencia de </w:t>
      </w:r>
      <w:r>
        <w:rPr>
          <w:sz w:val="22"/>
          <w:szCs w:val="22"/>
        </w:rPr>
        <w:t>7</w:t>
      </w:r>
      <w:r w:rsidRPr="00C45B5B">
        <w:rPr>
          <w:sz w:val="22"/>
          <w:szCs w:val="22"/>
        </w:rPr>
        <w:t xml:space="preserve"> de </w:t>
      </w:r>
      <w:r>
        <w:rPr>
          <w:sz w:val="22"/>
          <w:szCs w:val="22"/>
        </w:rPr>
        <w:t>sept</w:t>
      </w:r>
      <w:r w:rsidRPr="00C45B5B">
        <w:rPr>
          <w:sz w:val="22"/>
          <w:szCs w:val="22"/>
        </w:rPr>
        <w:t>iembre de 2004</w:t>
      </w:r>
      <w:r>
        <w:rPr>
          <w:sz w:val="22"/>
          <w:szCs w:val="22"/>
        </w:rPr>
        <w:t xml:space="preserve">, </w:t>
      </w:r>
      <w:r w:rsidRPr="00381E41">
        <w:rPr>
          <w:rFonts w:cs="Arial"/>
          <w:bCs/>
          <w:color w:val="000000"/>
          <w:sz w:val="22"/>
          <w:szCs w:val="22"/>
        </w:rPr>
        <w:t>serie C n.°</w:t>
      </w:r>
      <w:r>
        <w:rPr>
          <w:rFonts w:cs="Arial"/>
          <w:bCs/>
          <w:color w:val="000000"/>
          <w:sz w:val="22"/>
          <w:szCs w:val="22"/>
        </w:rPr>
        <w:t xml:space="preserve"> 114, párr. 249; </w:t>
      </w:r>
      <w:r w:rsidRPr="00CA3ABA">
        <w:rPr>
          <w:i/>
          <w:sz w:val="22"/>
          <w:szCs w:val="22"/>
        </w:rPr>
        <w:t xml:space="preserve">Caso </w:t>
      </w:r>
      <w:r>
        <w:rPr>
          <w:i/>
          <w:sz w:val="22"/>
          <w:szCs w:val="22"/>
        </w:rPr>
        <w:t>García Asto y Ramírez Rojas</w:t>
      </w:r>
      <w:r w:rsidRPr="00CA3ABA">
        <w:rPr>
          <w:i/>
          <w:sz w:val="22"/>
          <w:szCs w:val="22"/>
        </w:rPr>
        <w:t xml:space="preserve"> vs. Perú</w:t>
      </w:r>
      <w:r>
        <w:rPr>
          <w:sz w:val="22"/>
          <w:szCs w:val="22"/>
        </w:rPr>
        <w:t>, cit.</w:t>
      </w:r>
      <w:r>
        <w:rPr>
          <w:rFonts w:cs="Arial"/>
          <w:bCs/>
          <w:color w:val="000000"/>
          <w:sz w:val="22"/>
          <w:szCs w:val="22"/>
        </w:rPr>
        <w:t xml:space="preserve">, párr. 280; </w:t>
      </w:r>
      <w:r w:rsidRPr="00C20688">
        <w:rPr>
          <w:rFonts w:cs="Arial"/>
          <w:bCs/>
          <w:i/>
          <w:color w:val="000000"/>
          <w:sz w:val="22"/>
          <w:szCs w:val="22"/>
        </w:rPr>
        <w:t>Caso De La Cruz Flores vs. Perú</w:t>
      </w:r>
      <w:r>
        <w:rPr>
          <w:rFonts w:cs="Arial"/>
          <w:bCs/>
          <w:color w:val="000000"/>
          <w:sz w:val="22"/>
          <w:szCs w:val="22"/>
        </w:rPr>
        <w:t xml:space="preserve">, </w:t>
      </w:r>
      <w:r>
        <w:rPr>
          <w:sz w:val="22"/>
          <w:szCs w:val="22"/>
        </w:rPr>
        <w:t>cit.</w:t>
      </w:r>
      <w:r>
        <w:rPr>
          <w:rFonts w:cs="Arial"/>
          <w:bCs/>
          <w:color w:val="000000"/>
          <w:sz w:val="22"/>
          <w:szCs w:val="22"/>
        </w:rPr>
        <w:t>, párr. 168.</w:t>
      </w:r>
    </w:p>
  </w:footnote>
  <w:footnote w:id="94">
    <w:p w:rsidR="001764AC" w:rsidRPr="00CA3ABA" w:rsidRDefault="001764AC" w:rsidP="00CA3ABA">
      <w:pPr>
        <w:pStyle w:val="Textonotapie"/>
        <w:spacing w:line="240" w:lineRule="auto"/>
        <w:rPr>
          <w:sz w:val="22"/>
          <w:szCs w:val="22"/>
        </w:rPr>
      </w:pPr>
      <w:r w:rsidRPr="00CA3ABA">
        <w:rPr>
          <w:rStyle w:val="Refdenotaalpie"/>
          <w:sz w:val="22"/>
          <w:szCs w:val="22"/>
        </w:rPr>
        <w:footnoteRef/>
      </w:r>
      <w:r w:rsidRPr="00CA3ABA">
        <w:rPr>
          <w:sz w:val="22"/>
          <w:szCs w:val="22"/>
        </w:rPr>
        <w:t xml:space="preserve"> </w:t>
      </w:r>
      <w:r>
        <w:rPr>
          <w:sz w:val="22"/>
          <w:szCs w:val="22"/>
        </w:rPr>
        <w:t xml:space="preserve">Corte Interamericana de Derechos Humanos, </w:t>
      </w:r>
      <w:r w:rsidRPr="00997D05">
        <w:rPr>
          <w:i/>
          <w:sz w:val="22"/>
          <w:szCs w:val="22"/>
        </w:rPr>
        <w:t>Caso Gutiérrez Soler vs. Colombia</w:t>
      </w:r>
      <w:r>
        <w:rPr>
          <w:sz w:val="22"/>
          <w:szCs w:val="22"/>
        </w:rPr>
        <w:t xml:space="preserve">, sentencia de 12 de septiembre de 2005, </w:t>
      </w:r>
      <w:r w:rsidRPr="00381E41">
        <w:rPr>
          <w:rFonts w:cs="Arial"/>
          <w:bCs/>
          <w:color w:val="000000"/>
          <w:sz w:val="22"/>
          <w:szCs w:val="22"/>
        </w:rPr>
        <w:t>serie C n.°</w:t>
      </w:r>
      <w:r>
        <w:rPr>
          <w:rFonts w:cs="Arial"/>
          <w:bCs/>
          <w:color w:val="000000"/>
          <w:sz w:val="22"/>
          <w:szCs w:val="22"/>
        </w:rPr>
        <w:t xml:space="preserve"> 132, párr. 102-103; </w:t>
      </w:r>
      <w:r w:rsidRPr="00997D05">
        <w:rPr>
          <w:rFonts w:cs="Arial"/>
          <w:bCs/>
          <w:i/>
          <w:color w:val="000000"/>
          <w:sz w:val="22"/>
          <w:szCs w:val="22"/>
        </w:rPr>
        <w:t>Caso de la Masacre de Mapiripán vs. Colombia</w:t>
      </w:r>
      <w:r>
        <w:rPr>
          <w:rFonts w:cs="Arial"/>
          <w:bCs/>
          <w:color w:val="000000"/>
          <w:sz w:val="22"/>
          <w:szCs w:val="22"/>
        </w:rPr>
        <w:t xml:space="preserve">, </w:t>
      </w:r>
      <w:r>
        <w:rPr>
          <w:sz w:val="22"/>
          <w:szCs w:val="22"/>
        </w:rPr>
        <w:t xml:space="preserve">sentencia de 15 de septiembre de 2005, </w:t>
      </w:r>
      <w:r w:rsidRPr="00381E41">
        <w:rPr>
          <w:rFonts w:cs="Arial"/>
          <w:bCs/>
          <w:color w:val="000000"/>
          <w:sz w:val="22"/>
          <w:szCs w:val="22"/>
        </w:rPr>
        <w:t>serie C n.°</w:t>
      </w:r>
      <w:r>
        <w:rPr>
          <w:rFonts w:cs="Arial"/>
          <w:bCs/>
          <w:color w:val="000000"/>
          <w:sz w:val="22"/>
          <w:szCs w:val="22"/>
        </w:rPr>
        <w:t xml:space="preserve"> 134, párr. 312; </w:t>
      </w:r>
      <w:r w:rsidRPr="00F30562">
        <w:rPr>
          <w:rFonts w:cs="Arial"/>
          <w:bCs/>
          <w:i/>
          <w:color w:val="000000"/>
          <w:sz w:val="22"/>
          <w:szCs w:val="22"/>
        </w:rPr>
        <w:t>Caso Molina Theissen vs. Guatemala</w:t>
      </w:r>
      <w:r>
        <w:rPr>
          <w:rFonts w:cs="Arial"/>
          <w:bCs/>
          <w:color w:val="000000"/>
          <w:sz w:val="22"/>
          <w:szCs w:val="22"/>
        </w:rPr>
        <w:t xml:space="preserve">, </w:t>
      </w:r>
      <w:r w:rsidRPr="00D7019B">
        <w:rPr>
          <w:sz w:val="22"/>
          <w:szCs w:val="22"/>
        </w:rPr>
        <w:t xml:space="preserve">sentencia de </w:t>
      </w:r>
      <w:r>
        <w:rPr>
          <w:sz w:val="22"/>
          <w:szCs w:val="22"/>
        </w:rPr>
        <w:t>3</w:t>
      </w:r>
      <w:r w:rsidRPr="00D7019B">
        <w:rPr>
          <w:sz w:val="22"/>
          <w:szCs w:val="22"/>
        </w:rPr>
        <w:t xml:space="preserve"> de </w:t>
      </w:r>
      <w:r>
        <w:rPr>
          <w:sz w:val="22"/>
          <w:szCs w:val="22"/>
        </w:rPr>
        <w:t>juli</w:t>
      </w:r>
      <w:r w:rsidRPr="00D7019B">
        <w:rPr>
          <w:sz w:val="22"/>
          <w:szCs w:val="22"/>
        </w:rPr>
        <w:t>o de 20</w:t>
      </w:r>
      <w:r>
        <w:rPr>
          <w:sz w:val="22"/>
          <w:szCs w:val="22"/>
        </w:rPr>
        <w:t>04,</w:t>
      </w:r>
      <w:r w:rsidRPr="00D7019B">
        <w:rPr>
          <w:sz w:val="22"/>
          <w:szCs w:val="22"/>
        </w:rPr>
        <w:t xml:space="preserve"> </w:t>
      </w:r>
      <w:r w:rsidRPr="00D7019B">
        <w:rPr>
          <w:rFonts w:cs="Arial"/>
          <w:bCs/>
          <w:color w:val="000000"/>
          <w:sz w:val="22"/>
          <w:szCs w:val="22"/>
        </w:rPr>
        <w:t xml:space="preserve">serie C n.° </w:t>
      </w:r>
      <w:r>
        <w:rPr>
          <w:rFonts w:cs="Arial"/>
          <w:bCs/>
          <w:color w:val="000000"/>
          <w:sz w:val="22"/>
          <w:szCs w:val="22"/>
        </w:rPr>
        <w:t>108</w:t>
      </w:r>
      <w:r w:rsidRPr="00D7019B">
        <w:rPr>
          <w:rFonts w:cs="Arial"/>
          <w:bCs/>
          <w:color w:val="000000"/>
          <w:sz w:val="22"/>
          <w:szCs w:val="22"/>
        </w:rPr>
        <w:t xml:space="preserve">, párr. </w:t>
      </w:r>
      <w:r>
        <w:rPr>
          <w:rFonts w:cs="Arial"/>
          <w:bCs/>
          <w:color w:val="000000"/>
          <w:sz w:val="22"/>
          <w:szCs w:val="22"/>
        </w:rPr>
        <w:t xml:space="preserve">71; </w:t>
      </w:r>
      <w:r w:rsidRPr="00F30562">
        <w:rPr>
          <w:rFonts w:cs="Arial"/>
          <w:bCs/>
          <w:i/>
          <w:color w:val="000000"/>
          <w:sz w:val="22"/>
          <w:szCs w:val="22"/>
        </w:rPr>
        <w:t>Caso Bulacio vs. Argentina</w:t>
      </w:r>
      <w:r>
        <w:rPr>
          <w:rFonts w:cs="Arial"/>
          <w:bCs/>
          <w:color w:val="000000"/>
          <w:sz w:val="22"/>
          <w:szCs w:val="22"/>
        </w:rPr>
        <w:t>, s</w:t>
      </w:r>
      <w:r w:rsidRPr="00F30562">
        <w:rPr>
          <w:rFonts w:cs="Arial"/>
          <w:bCs/>
          <w:color w:val="000000"/>
          <w:sz w:val="22"/>
          <w:szCs w:val="22"/>
        </w:rPr>
        <w:t>entencia de 18 de septiembre de 2003</w:t>
      </w:r>
      <w:r>
        <w:rPr>
          <w:rFonts w:cs="Arial"/>
          <w:bCs/>
          <w:color w:val="000000"/>
          <w:sz w:val="22"/>
          <w:szCs w:val="22"/>
        </w:rPr>
        <w:t xml:space="preserve">, </w:t>
      </w:r>
      <w:r w:rsidRPr="00D7019B">
        <w:rPr>
          <w:rFonts w:cs="Arial"/>
          <w:bCs/>
          <w:color w:val="000000"/>
          <w:sz w:val="22"/>
          <w:szCs w:val="22"/>
        </w:rPr>
        <w:t xml:space="preserve">serie C n.° </w:t>
      </w:r>
      <w:r>
        <w:rPr>
          <w:rFonts w:cs="Arial"/>
          <w:bCs/>
          <w:color w:val="000000"/>
          <w:sz w:val="22"/>
          <w:szCs w:val="22"/>
        </w:rPr>
        <w:t>100</w:t>
      </w:r>
      <w:r w:rsidRPr="00D7019B">
        <w:rPr>
          <w:rFonts w:cs="Arial"/>
          <w:bCs/>
          <w:color w:val="000000"/>
          <w:sz w:val="22"/>
          <w:szCs w:val="22"/>
        </w:rPr>
        <w:t xml:space="preserve">, párr. </w:t>
      </w:r>
      <w:r>
        <w:rPr>
          <w:rFonts w:cs="Arial"/>
          <w:bCs/>
          <w:color w:val="000000"/>
          <w:sz w:val="22"/>
          <w:szCs w:val="22"/>
        </w:rPr>
        <w:t>100.</w:t>
      </w:r>
    </w:p>
  </w:footnote>
  <w:footnote w:id="95">
    <w:p w:rsidR="001764AC" w:rsidRPr="00D7019B" w:rsidRDefault="001764AC" w:rsidP="00760D93">
      <w:pPr>
        <w:pStyle w:val="Textonotapie"/>
        <w:spacing w:line="240" w:lineRule="auto"/>
        <w:rPr>
          <w:sz w:val="22"/>
          <w:szCs w:val="22"/>
        </w:rPr>
      </w:pPr>
      <w:r w:rsidRPr="00D7019B">
        <w:rPr>
          <w:rStyle w:val="Refdenotaalpie"/>
          <w:sz w:val="22"/>
          <w:szCs w:val="22"/>
        </w:rPr>
        <w:footnoteRef/>
      </w:r>
      <w:r w:rsidRPr="00D7019B">
        <w:rPr>
          <w:sz w:val="22"/>
          <w:szCs w:val="22"/>
        </w:rPr>
        <w:t xml:space="preserve"> Corte Interamericana de Derechos Humanos, </w:t>
      </w:r>
      <w:r w:rsidRPr="00C41238">
        <w:rPr>
          <w:i/>
          <w:sz w:val="22"/>
          <w:szCs w:val="22"/>
        </w:rPr>
        <w:t>Caso Comunidad Indígena Xákmok Kásek</w:t>
      </w:r>
      <w:r>
        <w:rPr>
          <w:i/>
          <w:sz w:val="22"/>
          <w:szCs w:val="22"/>
        </w:rPr>
        <w:t xml:space="preserve"> vs. Paraguay</w:t>
      </w:r>
      <w:r w:rsidRPr="00D7019B">
        <w:rPr>
          <w:sz w:val="22"/>
          <w:szCs w:val="22"/>
        </w:rPr>
        <w:t>, sentencia de 2</w:t>
      </w:r>
      <w:r>
        <w:rPr>
          <w:sz w:val="22"/>
          <w:szCs w:val="22"/>
        </w:rPr>
        <w:t>4</w:t>
      </w:r>
      <w:r w:rsidRPr="00D7019B">
        <w:rPr>
          <w:sz w:val="22"/>
          <w:szCs w:val="22"/>
        </w:rPr>
        <w:t xml:space="preserve"> de </w:t>
      </w:r>
      <w:r>
        <w:rPr>
          <w:sz w:val="22"/>
          <w:szCs w:val="22"/>
        </w:rPr>
        <w:t>agost</w:t>
      </w:r>
      <w:r w:rsidRPr="00D7019B">
        <w:rPr>
          <w:sz w:val="22"/>
          <w:szCs w:val="22"/>
        </w:rPr>
        <w:t>o de 20</w:t>
      </w:r>
      <w:r>
        <w:rPr>
          <w:sz w:val="22"/>
          <w:szCs w:val="22"/>
        </w:rPr>
        <w:t>10,</w:t>
      </w:r>
      <w:r w:rsidRPr="00D7019B">
        <w:rPr>
          <w:sz w:val="22"/>
          <w:szCs w:val="22"/>
        </w:rPr>
        <w:t xml:space="preserve"> </w:t>
      </w:r>
      <w:r w:rsidRPr="00D7019B">
        <w:rPr>
          <w:rFonts w:cs="Arial"/>
          <w:bCs/>
          <w:color w:val="000000"/>
          <w:sz w:val="22"/>
          <w:szCs w:val="22"/>
        </w:rPr>
        <w:t xml:space="preserve">serie C n.° </w:t>
      </w:r>
      <w:r>
        <w:rPr>
          <w:rFonts w:cs="Arial"/>
          <w:bCs/>
          <w:color w:val="000000"/>
          <w:sz w:val="22"/>
          <w:szCs w:val="22"/>
        </w:rPr>
        <w:t>214</w:t>
      </w:r>
      <w:r w:rsidRPr="00D7019B">
        <w:rPr>
          <w:rFonts w:cs="Arial"/>
          <w:bCs/>
          <w:color w:val="000000"/>
          <w:sz w:val="22"/>
          <w:szCs w:val="22"/>
        </w:rPr>
        <w:t xml:space="preserve">, párr. </w:t>
      </w:r>
      <w:r>
        <w:rPr>
          <w:rFonts w:cs="Arial"/>
          <w:bCs/>
          <w:color w:val="000000"/>
          <w:sz w:val="22"/>
          <w:szCs w:val="22"/>
        </w:rPr>
        <w:t xml:space="preserve">300-306; </w:t>
      </w:r>
      <w:r w:rsidRPr="00D7019B">
        <w:rPr>
          <w:i/>
          <w:sz w:val="22"/>
          <w:szCs w:val="22"/>
        </w:rPr>
        <w:t>Caso Comunidad Indígena Sawhoyamaxa</w:t>
      </w:r>
      <w:r>
        <w:rPr>
          <w:i/>
          <w:sz w:val="22"/>
          <w:szCs w:val="22"/>
        </w:rPr>
        <w:t xml:space="preserve"> vs. Paraguay</w:t>
      </w:r>
      <w:r w:rsidRPr="00D7019B">
        <w:rPr>
          <w:sz w:val="22"/>
          <w:szCs w:val="22"/>
        </w:rPr>
        <w:t xml:space="preserve">, sentencia de 29 de marzo de 2006 </w:t>
      </w:r>
      <w:r w:rsidRPr="00D7019B">
        <w:rPr>
          <w:rFonts w:cs="Arial"/>
          <w:bCs/>
          <w:color w:val="000000"/>
          <w:sz w:val="22"/>
          <w:szCs w:val="22"/>
        </w:rPr>
        <w:t>serie C n.° 146, párr. 229-230.</w:t>
      </w:r>
    </w:p>
  </w:footnote>
  <w:footnote w:id="96">
    <w:p w:rsidR="001764AC" w:rsidRPr="006E7392" w:rsidRDefault="001764AC" w:rsidP="008F3CF1">
      <w:pPr>
        <w:pStyle w:val="Textonotapie"/>
        <w:spacing w:line="240" w:lineRule="auto"/>
        <w:rPr>
          <w:sz w:val="22"/>
          <w:szCs w:val="22"/>
        </w:rPr>
      </w:pPr>
      <w:r w:rsidRPr="006E7392">
        <w:rPr>
          <w:rStyle w:val="Refdenotaalpie"/>
          <w:sz w:val="22"/>
          <w:szCs w:val="22"/>
        </w:rPr>
        <w:footnoteRef/>
      </w:r>
      <w:r w:rsidRPr="006E7392">
        <w:rPr>
          <w:sz w:val="22"/>
          <w:szCs w:val="22"/>
        </w:rPr>
        <w:t xml:space="preserve"> </w:t>
      </w:r>
      <w:r w:rsidRPr="00381E41">
        <w:rPr>
          <w:rFonts w:cs="Arial"/>
          <w:sz w:val="22"/>
          <w:szCs w:val="22"/>
        </w:rPr>
        <w:t>Consejo de Estado, Sección Tercera, sentencia de 1</w:t>
      </w:r>
      <w:r>
        <w:rPr>
          <w:rFonts w:cs="Arial"/>
          <w:sz w:val="22"/>
          <w:szCs w:val="22"/>
        </w:rPr>
        <w:t>9</w:t>
      </w:r>
      <w:r w:rsidRPr="00381E41">
        <w:rPr>
          <w:rFonts w:cs="Arial"/>
          <w:sz w:val="22"/>
          <w:szCs w:val="22"/>
        </w:rPr>
        <w:t xml:space="preserve"> de </w:t>
      </w:r>
      <w:r>
        <w:rPr>
          <w:rFonts w:cs="Arial"/>
          <w:sz w:val="22"/>
          <w:szCs w:val="22"/>
        </w:rPr>
        <w:t>octubre</w:t>
      </w:r>
      <w:r w:rsidRPr="00381E41">
        <w:rPr>
          <w:rFonts w:cs="Arial"/>
          <w:sz w:val="22"/>
          <w:szCs w:val="22"/>
        </w:rPr>
        <w:t xml:space="preserve"> de 20</w:t>
      </w:r>
      <w:r>
        <w:rPr>
          <w:rFonts w:cs="Arial"/>
          <w:sz w:val="22"/>
          <w:szCs w:val="22"/>
        </w:rPr>
        <w:t>07</w:t>
      </w:r>
      <w:r w:rsidRPr="00381E41">
        <w:rPr>
          <w:rFonts w:cs="Arial"/>
          <w:sz w:val="22"/>
          <w:szCs w:val="22"/>
        </w:rPr>
        <w:t>, exp. 2</w:t>
      </w:r>
      <w:r>
        <w:rPr>
          <w:rFonts w:cs="Arial"/>
          <w:sz w:val="22"/>
          <w:szCs w:val="22"/>
        </w:rPr>
        <w:t>9273</w:t>
      </w:r>
      <w:r w:rsidRPr="00381E41">
        <w:rPr>
          <w:rFonts w:cs="Arial"/>
          <w:sz w:val="22"/>
          <w:szCs w:val="22"/>
        </w:rPr>
        <w:t xml:space="preserve">, C.P. </w:t>
      </w:r>
      <w:r>
        <w:rPr>
          <w:rFonts w:cs="Arial"/>
          <w:sz w:val="22"/>
          <w:szCs w:val="22"/>
        </w:rPr>
        <w:t xml:space="preserve">Enrique Gil Botero, reiterada en la </w:t>
      </w:r>
      <w:r>
        <w:rPr>
          <w:sz w:val="22"/>
          <w:szCs w:val="22"/>
        </w:rPr>
        <w:t>sentencia de 28 de agosto de 2014, exp. 32988, C.P. Ramiro Pazos Guerrero.</w:t>
      </w:r>
    </w:p>
  </w:footnote>
  <w:footnote w:id="97">
    <w:p w:rsidR="001764AC" w:rsidRPr="000B4EF3" w:rsidRDefault="001764AC" w:rsidP="000B4EF3">
      <w:pPr>
        <w:pStyle w:val="Textonotapie"/>
        <w:spacing w:line="240" w:lineRule="auto"/>
        <w:rPr>
          <w:sz w:val="22"/>
          <w:szCs w:val="22"/>
        </w:rPr>
      </w:pPr>
      <w:r w:rsidRPr="000B4EF3">
        <w:rPr>
          <w:rStyle w:val="Refdenotaalpie"/>
          <w:sz w:val="22"/>
          <w:szCs w:val="22"/>
        </w:rPr>
        <w:footnoteRef/>
      </w:r>
      <w:r w:rsidRPr="000B4EF3">
        <w:rPr>
          <w:sz w:val="22"/>
          <w:szCs w:val="22"/>
        </w:rPr>
        <w:t xml:space="preserve"> </w:t>
      </w:r>
      <w:r>
        <w:rPr>
          <w:sz w:val="22"/>
          <w:szCs w:val="22"/>
        </w:rPr>
        <w:t>Consejo de Estado, Sección Tercera, sentencia de 16 de marzo de 2012, exp. 19807, C.P. Stella Conto Díaz del Castillo.</w:t>
      </w:r>
    </w:p>
  </w:footnote>
  <w:footnote w:id="98">
    <w:p w:rsidR="001764AC" w:rsidRPr="00554148" w:rsidRDefault="001764AC" w:rsidP="00554148">
      <w:pPr>
        <w:pStyle w:val="Textonotapie"/>
        <w:spacing w:line="240" w:lineRule="auto"/>
        <w:rPr>
          <w:sz w:val="22"/>
          <w:szCs w:val="22"/>
        </w:rPr>
      </w:pPr>
      <w:r w:rsidRPr="00554148">
        <w:rPr>
          <w:rStyle w:val="Refdenotaalpie"/>
          <w:sz w:val="22"/>
          <w:szCs w:val="22"/>
        </w:rPr>
        <w:footnoteRef/>
      </w:r>
      <w:r w:rsidRPr="00554148">
        <w:rPr>
          <w:sz w:val="22"/>
          <w:szCs w:val="22"/>
        </w:rPr>
        <w:t xml:space="preserve"> </w:t>
      </w:r>
      <w:r w:rsidRPr="00381E41">
        <w:rPr>
          <w:rFonts w:cs="Arial"/>
          <w:sz w:val="22"/>
          <w:szCs w:val="22"/>
        </w:rPr>
        <w:t>Consejo de Estado, Sección Tercera, sentencia de 1</w:t>
      </w:r>
      <w:r>
        <w:rPr>
          <w:rFonts w:cs="Arial"/>
          <w:sz w:val="22"/>
          <w:szCs w:val="22"/>
        </w:rPr>
        <w:t>4</w:t>
      </w:r>
      <w:r w:rsidRPr="00381E41">
        <w:rPr>
          <w:rFonts w:cs="Arial"/>
          <w:sz w:val="22"/>
          <w:szCs w:val="22"/>
        </w:rPr>
        <w:t xml:space="preserve"> de </w:t>
      </w:r>
      <w:r>
        <w:rPr>
          <w:rFonts w:cs="Arial"/>
          <w:sz w:val="22"/>
          <w:szCs w:val="22"/>
        </w:rPr>
        <w:t>septiembre</w:t>
      </w:r>
      <w:r w:rsidRPr="00381E41">
        <w:rPr>
          <w:rFonts w:cs="Arial"/>
          <w:sz w:val="22"/>
          <w:szCs w:val="22"/>
        </w:rPr>
        <w:t xml:space="preserve"> de 20</w:t>
      </w:r>
      <w:r>
        <w:rPr>
          <w:rFonts w:cs="Arial"/>
          <w:sz w:val="22"/>
          <w:szCs w:val="22"/>
        </w:rPr>
        <w:t>11</w:t>
      </w:r>
      <w:r w:rsidRPr="00381E41">
        <w:rPr>
          <w:rFonts w:cs="Arial"/>
          <w:sz w:val="22"/>
          <w:szCs w:val="22"/>
        </w:rPr>
        <w:t xml:space="preserve">, exp. </w:t>
      </w:r>
      <w:r>
        <w:rPr>
          <w:rFonts w:cs="Arial"/>
          <w:sz w:val="22"/>
          <w:szCs w:val="22"/>
        </w:rPr>
        <w:t>19031</w:t>
      </w:r>
      <w:r w:rsidRPr="00381E41">
        <w:rPr>
          <w:rFonts w:cs="Arial"/>
          <w:sz w:val="22"/>
          <w:szCs w:val="22"/>
        </w:rPr>
        <w:t xml:space="preserve">, C.P. </w:t>
      </w:r>
      <w:r>
        <w:rPr>
          <w:rFonts w:cs="Arial"/>
          <w:sz w:val="22"/>
          <w:szCs w:val="22"/>
        </w:rPr>
        <w:t>Enrique Gil Botero.</w:t>
      </w:r>
    </w:p>
  </w:footnote>
  <w:footnote w:id="99">
    <w:p w:rsidR="001764AC" w:rsidRPr="00075679" w:rsidRDefault="001764AC" w:rsidP="00075679">
      <w:pPr>
        <w:pStyle w:val="Textonotapie"/>
        <w:spacing w:line="240" w:lineRule="auto"/>
        <w:rPr>
          <w:sz w:val="22"/>
          <w:szCs w:val="22"/>
        </w:rPr>
      </w:pPr>
      <w:r w:rsidRPr="00075679">
        <w:rPr>
          <w:rStyle w:val="Refdenotaalpie"/>
          <w:sz w:val="22"/>
          <w:szCs w:val="22"/>
        </w:rPr>
        <w:footnoteRef/>
      </w:r>
      <w:r w:rsidRPr="00075679">
        <w:rPr>
          <w:sz w:val="22"/>
          <w:szCs w:val="22"/>
        </w:rPr>
        <w:t xml:space="preserve"> </w:t>
      </w:r>
      <w:r w:rsidRPr="00381E41">
        <w:rPr>
          <w:rFonts w:cs="Arial"/>
          <w:sz w:val="22"/>
          <w:szCs w:val="22"/>
        </w:rPr>
        <w:t xml:space="preserve">Consejo de Estado, Sección Tercera, sentencia de </w:t>
      </w:r>
      <w:r>
        <w:rPr>
          <w:rFonts w:cs="Arial"/>
          <w:sz w:val="22"/>
          <w:szCs w:val="22"/>
        </w:rPr>
        <w:t>25</w:t>
      </w:r>
      <w:r w:rsidRPr="00381E41">
        <w:rPr>
          <w:rFonts w:cs="Arial"/>
          <w:sz w:val="22"/>
          <w:szCs w:val="22"/>
        </w:rPr>
        <w:t xml:space="preserve"> de </w:t>
      </w:r>
      <w:r>
        <w:rPr>
          <w:rFonts w:cs="Arial"/>
          <w:sz w:val="22"/>
          <w:szCs w:val="22"/>
        </w:rPr>
        <w:t>abril</w:t>
      </w:r>
      <w:r w:rsidRPr="00381E41">
        <w:rPr>
          <w:rFonts w:cs="Arial"/>
          <w:sz w:val="22"/>
          <w:szCs w:val="22"/>
        </w:rPr>
        <w:t xml:space="preserve"> de 20</w:t>
      </w:r>
      <w:r>
        <w:rPr>
          <w:rFonts w:cs="Arial"/>
          <w:sz w:val="22"/>
          <w:szCs w:val="22"/>
        </w:rPr>
        <w:t>12</w:t>
      </w:r>
      <w:r w:rsidRPr="00381E41">
        <w:rPr>
          <w:rFonts w:cs="Arial"/>
          <w:sz w:val="22"/>
          <w:szCs w:val="22"/>
        </w:rPr>
        <w:t xml:space="preserve">, exp. </w:t>
      </w:r>
      <w:r>
        <w:rPr>
          <w:rFonts w:cs="Arial"/>
          <w:sz w:val="22"/>
          <w:szCs w:val="22"/>
        </w:rPr>
        <w:t>21861</w:t>
      </w:r>
      <w:r w:rsidRPr="00381E41">
        <w:rPr>
          <w:rFonts w:cs="Arial"/>
          <w:sz w:val="22"/>
          <w:szCs w:val="22"/>
        </w:rPr>
        <w:t xml:space="preserve">, C.P. </w:t>
      </w:r>
      <w:r>
        <w:rPr>
          <w:rFonts w:cs="Arial"/>
          <w:sz w:val="22"/>
          <w:szCs w:val="22"/>
        </w:rPr>
        <w:t>Enrique Gil Botero.</w:t>
      </w:r>
    </w:p>
  </w:footnote>
  <w:footnote w:id="100">
    <w:p w:rsidR="001764AC" w:rsidRPr="00E4719C" w:rsidRDefault="001764AC" w:rsidP="00E4719C">
      <w:pPr>
        <w:pStyle w:val="Textonotapie"/>
        <w:spacing w:line="240" w:lineRule="auto"/>
        <w:rPr>
          <w:rFonts w:cs="Arial"/>
          <w:sz w:val="22"/>
          <w:szCs w:val="22"/>
          <w:lang w:val="es-ES_tradnl"/>
        </w:rPr>
      </w:pPr>
      <w:r w:rsidRPr="00E4719C">
        <w:rPr>
          <w:rStyle w:val="Refdenotaalpie"/>
          <w:rFonts w:cs="Arial"/>
          <w:smallCaps/>
          <w:sz w:val="22"/>
          <w:szCs w:val="22"/>
        </w:rPr>
        <w:footnoteRef/>
      </w:r>
      <w:r w:rsidRPr="00E4719C">
        <w:rPr>
          <w:rFonts w:cs="Arial"/>
          <w:smallCaps/>
          <w:sz w:val="22"/>
          <w:szCs w:val="22"/>
        </w:rPr>
        <w:t xml:space="preserve"> </w:t>
      </w:r>
      <w:r w:rsidRPr="00E4719C">
        <w:rPr>
          <w:rFonts w:cs="Arial"/>
          <w:sz w:val="22"/>
          <w:szCs w:val="22"/>
        </w:rPr>
        <w:t>Corte Constitucional</w:t>
      </w:r>
      <w:r>
        <w:rPr>
          <w:rFonts w:cs="Arial"/>
          <w:smallCaps/>
          <w:sz w:val="22"/>
          <w:szCs w:val="22"/>
        </w:rPr>
        <w:t xml:space="preserve">, </w:t>
      </w:r>
      <w:r>
        <w:rPr>
          <w:rFonts w:cs="Arial"/>
          <w:sz w:val="22"/>
          <w:szCs w:val="22"/>
        </w:rPr>
        <w:t>Sentencia T-285 de 2010. M.P.</w:t>
      </w:r>
      <w:r w:rsidRPr="00E4719C">
        <w:rPr>
          <w:rFonts w:cs="Arial"/>
          <w:sz w:val="22"/>
          <w:szCs w:val="22"/>
        </w:rPr>
        <w:t xml:space="preserve"> Gabriel Eduardo Mendoza Martelo; Sentencia </w:t>
      </w:r>
      <w:r>
        <w:rPr>
          <w:rFonts w:cs="Arial"/>
          <w:sz w:val="22"/>
          <w:szCs w:val="22"/>
        </w:rPr>
        <w:t>T-192 de 2008. M.P.</w:t>
      </w:r>
      <w:r w:rsidRPr="00E4719C">
        <w:rPr>
          <w:rFonts w:cs="Arial"/>
          <w:sz w:val="22"/>
          <w:szCs w:val="22"/>
        </w:rPr>
        <w:t xml:space="preserve"> Mauricio González Cuervo; Sentencia C-451 de 2005. M.</w:t>
      </w:r>
      <w:r>
        <w:rPr>
          <w:rFonts w:cs="Arial"/>
          <w:sz w:val="22"/>
          <w:szCs w:val="22"/>
        </w:rPr>
        <w:t>P.</w:t>
      </w:r>
      <w:r w:rsidRPr="00E4719C">
        <w:rPr>
          <w:rFonts w:cs="Arial"/>
          <w:sz w:val="22"/>
          <w:szCs w:val="22"/>
        </w:rPr>
        <w:t xml:space="preserve"> Clara Inés Vargas Hernández; entre otras.</w:t>
      </w:r>
    </w:p>
  </w:footnote>
  <w:footnote w:id="101">
    <w:p w:rsidR="001764AC" w:rsidRPr="00AE752D" w:rsidRDefault="001764AC" w:rsidP="00AE752D">
      <w:pPr>
        <w:pStyle w:val="Textonotapie"/>
        <w:spacing w:line="240" w:lineRule="auto"/>
        <w:rPr>
          <w:sz w:val="22"/>
          <w:szCs w:val="22"/>
        </w:rPr>
      </w:pPr>
      <w:r w:rsidRPr="00AE752D">
        <w:rPr>
          <w:rStyle w:val="Refdenotaalpie"/>
          <w:sz w:val="22"/>
          <w:szCs w:val="22"/>
        </w:rPr>
        <w:footnoteRef/>
      </w:r>
      <w:r w:rsidRPr="00AE752D">
        <w:rPr>
          <w:sz w:val="22"/>
          <w:szCs w:val="22"/>
        </w:rPr>
        <w:t xml:space="preserve"> </w:t>
      </w:r>
      <w:r>
        <w:rPr>
          <w:sz w:val="22"/>
          <w:szCs w:val="22"/>
        </w:rPr>
        <w:t>La indemnización del lucro cesante con ocasión de incapacidad médico legal se reconoció, por ejemplo, en Consejo de Estado, Sección Tercera, sentencia de 28 de octubre de 2013, exp. 27742, C.P. Danilo Rojas Betancourth.</w:t>
      </w:r>
    </w:p>
  </w:footnote>
  <w:footnote w:id="102">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La Comisión de Derechos Humanos de la ONU, mediante Resolución 2005/35 del 19 de abril de 2005, adoptó los “</w:t>
      </w:r>
      <w:r w:rsidRPr="00381E41">
        <w:rPr>
          <w:rFonts w:cs="Arial"/>
          <w:i/>
          <w:sz w:val="22"/>
          <w:szCs w:val="22"/>
        </w:rPr>
        <w:t>Principios y directrices básicos sobre el derechos de las víctimas de violaciones manifiestas de las normas internacionales de derechos humanos y de violaciones graves al derecho internacional humanitario a interponer recursos y obtener reparaciones</w:t>
      </w:r>
      <w:r w:rsidRPr="00381E41">
        <w:rPr>
          <w:rFonts w:cs="Arial"/>
          <w:sz w:val="22"/>
          <w:szCs w:val="22"/>
        </w:rPr>
        <w:t xml:space="preserve">”, y en el capítulo IX de dicha resolución –“Reparación de los </w:t>
      </w:r>
      <w:r>
        <w:rPr>
          <w:rFonts w:cs="Arial"/>
          <w:sz w:val="22"/>
          <w:szCs w:val="22"/>
        </w:rPr>
        <w:t>d</w:t>
      </w:r>
      <w:r w:rsidRPr="00381E41">
        <w:rPr>
          <w:rFonts w:cs="Arial"/>
          <w:sz w:val="22"/>
          <w:szCs w:val="22"/>
        </w:rPr>
        <w:t xml:space="preserve">años sufridos” – </w:t>
      </w:r>
      <w:r>
        <w:rPr>
          <w:rFonts w:cs="Arial"/>
          <w:sz w:val="22"/>
          <w:szCs w:val="22"/>
        </w:rPr>
        <w:t>consagró</w:t>
      </w:r>
      <w:r w:rsidRPr="00381E41">
        <w:rPr>
          <w:rFonts w:cs="Arial"/>
          <w:sz w:val="22"/>
          <w:szCs w:val="22"/>
        </w:rPr>
        <w:t xml:space="preserve"> medidas encaminadas a la satisfacción –numeral 22– y a las garantías de no repetición –numeral 23–. Las primeras están relacionadas con la cesación de violaciones continuadas y la consecución de la verdad sobre los hechos para su divulgación. Las segundas tienen que ver con las medidas que deben adoptar los Estados para evitar la impunidad de las faltas cometidas por sus agentes.</w:t>
      </w:r>
    </w:p>
  </w:footnote>
  <w:footnote w:id="103">
    <w:p w:rsidR="001764AC" w:rsidRPr="00381E41" w:rsidRDefault="001764AC" w:rsidP="00381E41">
      <w:pPr>
        <w:pStyle w:val="Textonotapie"/>
        <w:spacing w:line="240" w:lineRule="auto"/>
        <w:rPr>
          <w:rFonts w:cs="Arial"/>
          <w:sz w:val="22"/>
          <w:szCs w:val="22"/>
        </w:rPr>
      </w:pPr>
      <w:r w:rsidRPr="00381E41">
        <w:rPr>
          <w:rStyle w:val="Refdenotaalpie"/>
          <w:rFonts w:cs="Arial"/>
          <w:sz w:val="22"/>
          <w:szCs w:val="22"/>
        </w:rPr>
        <w:footnoteRef/>
      </w:r>
      <w:r w:rsidRPr="00381E41">
        <w:rPr>
          <w:rFonts w:cs="Arial"/>
          <w:sz w:val="22"/>
          <w:szCs w:val="22"/>
        </w:rPr>
        <w:t xml:space="preserve"> Consejo de Estado, Sección Tercera, sentencia de 14 de abril de 2011, exp. 20145, C.P. Stella Conto Díaz del Castillo; sentencia de 29 de marzo de 2012, exp. 21380, C.P. Danilo Rojas Betancourth; sentencia de </w:t>
      </w:r>
      <w:r>
        <w:rPr>
          <w:rFonts w:cs="Arial"/>
          <w:sz w:val="22"/>
          <w:szCs w:val="22"/>
        </w:rPr>
        <w:t>6</w:t>
      </w:r>
      <w:r w:rsidRPr="00381E41">
        <w:rPr>
          <w:rFonts w:cs="Arial"/>
          <w:sz w:val="22"/>
          <w:szCs w:val="22"/>
        </w:rPr>
        <w:t xml:space="preserve"> de </w:t>
      </w:r>
      <w:r>
        <w:rPr>
          <w:rFonts w:cs="Arial"/>
          <w:sz w:val="22"/>
          <w:szCs w:val="22"/>
        </w:rPr>
        <w:t>diciem</w:t>
      </w:r>
      <w:r w:rsidRPr="00381E41">
        <w:rPr>
          <w:rFonts w:cs="Arial"/>
          <w:sz w:val="22"/>
          <w:szCs w:val="22"/>
        </w:rPr>
        <w:t>bre de 201</w:t>
      </w:r>
      <w:r>
        <w:rPr>
          <w:rFonts w:cs="Arial"/>
          <w:sz w:val="22"/>
          <w:szCs w:val="22"/>
        </w:rPr>
        <w:t>3</w:t>
      </w:r>
      <w:r w:rsidRPr="00381E41">
        <w:rPr>
          <w:rFonts w:cs="Arial"/>
          <w:sz w:val="22"/>
          <w:szCs w:val="22"/>
        </w:rPr>
        <w:t xml:space="preserve">, exp. </w:t>
      </w:r>
      <w:r>
        <w:rPr>
          <w:rFonts w:cs="Arial"/>
          <w:sz w:val="22"/>
          <w:szCs w:val="22"/>
        </w:rPr>
        <w:t>26607</w:t>
      </w:r>
      <w:r w:rsidRPr="00381E41">
        <w:rPr>
          <w:rFonts w:cs="Arial"/>
          <w:sz w:val="22"/>
          <w:szCs w:val="22"/>
        </w:rPr>
        <w:t xml:space="preserve">, C.P. </w:t>
      </w:r>
      <w:r>
        <w:rPr>
          <w:rFonts w:cs="Arial"/>
          <w:sz w:val="22"/>
          <w:szCs w:val="22"/>
        </w:rPr>
        <w:t>Ramiro Pazos Guerrero</w:t>
      </w:r>
      <w:r w:rsidRPr="00381E41">
        <w:rPr>
          <w:rFonts w:cs="Arial"/>
          <w:sz w:val="22"/>
          <w:szCs w:val="22"/>
        </w:rPr>
        <w:t>.</w:t>
      </w:r>
    </w:p>
  </w:footnote>
  <w:footnote w:id="104">
    <w:p w:rsidR="001764AC" w:rsidRPr="006E7392" w:rsidRDefault="001764AC" w:rsidP="006E7392">
      <w:pPr>
        <w:pStyle w:val="Textonotapie"/>
        <w:spacing w:line="240" w:lineRule="auto"/>
        <w:rPr>
          <w:sz w:val="22"/>
          <w:szCs w:val="22"/>
        </w:rPr>
      </w:pPr>
      <w:r w:rsidRPr="006E7392">
        <w:rPr>
          <w:rStyle w:val="Refdenotaalpie"/>
          <w:sz w:val="22"/>
          <w:szCs w:val="22"/>
        </w:rPr>
        <w:footnoteRef/>
      </w:r>
      <w:r w:rsidRPr="006E7392">
        <w:rPr>
          <w:sz w:val="22"/>
          <w:szCs w:val="22"/>
        </w:rPr>
        <w:t xml:space="preserve"> </w:t>
      </w:r>
      <w:r w:rsidRPr="00381E41">
        <w:rPr>
          <w:rFonts w:cs="Arial"/>
          <w:sz w:val="22"/>
          <w:szCs w:val="22"/>
        </w:rPr>
        <w:t>Consejo de Estado, Sección Tercera, sentencia de 1</w:t>
      </w:r>
      <w:r>
        <w:rPr>
          <w:rFonts w:cs="Arial"/>
          <w:sz w:val="22"/>
          <w:szCs w:val="22"/>
        </w:rPr>
        <w:t>9</w:t>
      </w:r>
      <w:r w:rsidRPr="00381E41">
        <w:rPr>
          <w:rFonts w:cs="Arial"/>
          <w:sz w:val="22"/>
          <w:szCs w:val="22"/>
        </w:rPr>
        <w:t xml:space="preserve"> de </w:t>
      </w:r>
      <w:r>
        <w:rPr>
          <w:rFonts w:cs="Arial"/>
          <w:sz w:val="22"/>
          <w:szCs w:val="22"/>
        </w:rPr>
        <w:t>octubre</w:t>
      </w:r>
      <w:r w:rsidRPr="00381E41">
        <w:rPr>
          <w:rFonts w:cs="Arial"/>
          <w:sz w:val="22"/>
          <w:szCs w:val="22"/>
        </w:rPr>
        <w:t xml:space="preserve"> de 20</w:t>
      </w:r>
      <w:r>
        <w:rPr>
          <w:rFonts w:cs="Arial"/>
          <w:sz w:val="22"/>
          <w:szCs w:val="22"/>
        </w:rPr>
        <w:t>07</w:t>
      </w:r>
      <w:r w:rsidRPr="00381E41">
        <w:rPr>
          <w:rFonts w:cs="Arial"/>
          <w:sz w:val="22"/>
          <w:szCs w:val="22"/>
        </w:rPr>
        <w:t>, exp. 2</w:t>
      </w:r>
      <w:r>
        <w:rPr>
          <w:rFonts w:cs="Arial"/>
          <w:sz w:val="22"/>
          <w:szCs w:val="22"/>
        </w:rPr>
        <w:t>9273</w:t>
      </w:r>
      <w:r w:rsidRPr="00381E41">
        <w:rPr>
          <w:rFonts w:cs="Arial"/>
          <w:sz w:val="22"/>
          <w:szCs w:val="22"/>
        </w:rPr>
        <w:t xml:space="preserve">, C.P. </w:t>
      </w:r>
      <w:r>
        <w:rPr>
          <w:rFonts w:cs="Arial"/>
          <w:sz w:val="22"/>
          <w:szCs w:val="22"/>
        </w:rPr>
        <w:t>Enrique Gil Botero</w:t>
      </w:r>
      <w:r>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4AC" w:rsidRPr="00B33FF2" w:rsidRDefault="008C35AF" w:rsidP="004E4DF5">
    <w:pPr>
      <w:pStyle w:val="Encabezado"/>
      <w:spacing w:line="240" w:lineRule="auto"/>
      <w:jc w:val="center"/>
      <w:rPr>
        <w:rStyle w:val="Nmerodepgina"/>
      </w:rPr>
    </w:pPr>
    <w:r>
      <w:rPr>
        <w:noProof/>
        <w:lang w:val="es-CO" w:eastAsia="es-CO"/>
      </w:rPr>
      <mc:AlternateContent>
        <mc:Choice Requires="wps">
          <w:drawing>
            <wp:anchor distT="0" distB="0" distL="0" distR="0" simplePos="0" relativeHeight="251657216" behindDoc="0" locked="0" layoutInCell="1" allowOverlap="1">
              <wp:simplePos x="0" y="0"/>
              <wp:positionH relativeFrom="page">
                <wp:posOffset>6795135</wp:posOffset>
              </wp:positionH>
              <wp:positionV relativeFrom="paragraph">
                <wp:posOffset>635</wp:posOffset>
              </wp:positionV>
              <wp:extent cx="251460" cy="26479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64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4AC" w:rsidRDefault="001764AC">
                          <w:pPr>
                            <w:pStyle w:val="Encabezado"/>
                          </w:pPr>
                          <w:r>
                            <w:rPr>
                              <w:rStyle w:val="Nmerodepgina"/>
                            </w:rPr>
                            <w:fldChar w:fldCharType="begin"/>
                          </w:r>
                          <w:r>
                            <w:rPr>
                              <w:rStyle w:val="Nmerodepgina"/>
                            </w:rPr>
                            <w:instrText xml:space="preserve"> </w:instrText>
                          </w:r>
                          <w:r w:rsidR="004031CE">
                            <w:rPr>
                              <w:rStyle w:val="Nmerodepgina"/>
                            </w:rPr>
                            <w:instrText>PAGE</w:instrText>
                          </w:r>
                          <w:r>
                            <w:rPr>
                              <w:rStyle w:val="Nmerodepgina"/>
                            </w:rPr>
                            <w:instrText xml:space="preserve"> </w:instrText>
                          </w:r>
                          <w:r>
                            <w:rPr>
                              <w:rStyle w:val="Nmerodepgina"/>
                            </w:rPr>
                            <w:fldChar w:fldCharType="separate"/>
                          </w:r>
                          <w:r w:rsidR="008C35AF">
                            <w:rPr>
                              <w:rStyle w:val="Nmerodepgina"/>
                              <w:noProof/>
                            </w:rPr>
                            <w:t>2</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5.05pt;margin-top:.05pt;width:19.8pt;height:20.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" stroked="f">
              <v:fill opacity="0"/>
              <v:textbox inset="0,0,0,0">
                <w:txbxContent>
                  <w:p w:rsidR="001764AC" w:rsidRDefault="001764AC">
                    <w:pPr>
                      <w:pStyle w:val="Encabezado"/>
                    </w:pPr>
                    <w:r>
                      <w:rPr>
                        <w:rStyle w:val="Nmerodepgina"/>
                      </w:rPr>
                      <w:fldChar w:fldCharType="begin"/>
                    </w:r>
                    <w:r>
                      <w:rPr>
                        <w:rStyle w:val="Nmerodepgina"/>
                      </w:rPr>
                      <w:instrText xml:space="preserve"> </w:instrText>
                    </w:r>
                    <w:r w:rsidR="004031CE">
                      <w:rPr>
                        <w:rStyle w:val="Nmerodepgina"/>
                      </w:rPr>
                      <w:instrText>PAGE</w:instrText>
                    </w:r>
                    <w:r>
                      <w:rPr>
                        <w:rStyle w:val="Nmerodepgina"/>
                      </w:rPr>
                      <w:instrText xml:space="preserve"> </w:instrText>
                    </w:r>
                    <w:r>
                      <w:rPr>
                        <w:rStyle w:val="Nmerodepgina"/>
                      </w:rPr>
                      <w:fldChar w:fldCharType="separate"/>
                    </w:r>
                    <w:r w:rsidR="008C35AF">
                      <w:rPr>
                        <w:rStyle w:val="Nmerodepgina"/>
                        <w:noProof/>
                      </w:rPr>
                      <w:t>2</w:t>
                    </w:r>
                    <w:r>
                      <w:rPr>
                        <w:rStyle w:val="Nmerodepgina"/>
                      </w:rPr>
                      <w:fldChar w:fldCharType="end"/>
                    </w:r>
                  </w:p>
                </w:txbxContent>
              </v:textbox>
              <w10:wrap type="square" side="largest" anchorx="page"/>
            </v:shape>
          </w:pict>
        </mc:Fallback>
      </mc:AlternateContent>
    </w:r>
  </w:p>
  <w:p w:rsidR="001764AC" w:rsidRPr="00B33FF2" w:rsidRDefault="001764AC" w:rsidP="000C1602">
    <w:pPr>
      <w:pStyle w:val="Encabezado"/>
      <w:spacing w:line="240" w:lineRule="auto"/>
      <w:jc w:val="center"/>
      <w:rPr>
        <w:rStyle w:val="Nmerodepgina"/>
        <w:sz w:val="22"/>
        <w:lang w:val="es-ES"/>
      </w:rPr>
    </w:pPr>
    <w:r>
      <w:rPr>
        <w:rStyle w:val="Nmerodepgina"/>
        <w:sz w:val="22"/>
        <w:lang w:val="es-ES"/>
      </w:rPr>
      <w:t>Expediente</w:t>
    </w:r>
    <w:r w:rsidRPr="00B33FF2">
      <w:rPr>
        <w:rStyle w:val="Nmerodepgina"/>
        <w:sz w:val="22"/>
        <w:lang w:val="es-ES"/>
      </w:rPr>
      <w:t xml:space="preserve"> </w:t>
    </w:r>
    <w:r>
      <w:rPr>
        <w:rStyle w:val="Nmerodepgina"/>
        <w:sz w:val="22"/>
        <w:lang w:val="es-ES"/>
      </w:rPr>
      <w:t>29033</w:t>
    </w:r>
  </w:p>
  <w:p w:rsidR="001764AC" w:rsidRPr="008C7554" w:rsidRDefault="001764AC" w:rsidP="000C1602">
    <w:pPr>
      <w:pStyle w:val="Encabezado"/>
      <w:spacing w:line="240" w:lineRule="auto"/>
      <w:jc w:val="center"/>
      <w:rPr>
        <w:sz w:val="22"/>
        <w:lang w:val="es-ES"/>
      </w:rPr>
    </w:pPr>
    <w:r w:rsidRPr="00B33FF2">
      <w:rPr>
        <w:rStyle w:val="Nmerodepgina"/>
        <w:sz w:val="22"/>
        <w:lang w:val="es-ES"/>
      </w:rPr>
      <w:t xml:space="preserve">Actores: </w:t>
    </w:r>
    <w:r w:rsidRPr="008C7554">
      <w:rPr>
        <w:sz w:val="22"/>
        <w:lang w:val="es-ES"/>
      </w:rPr>
      <w:t>Mónica Marisol Rodríguez Bustamante y otros</w:t>
    </w:r>
  </w:p>
  <w:p w:rsidR="001764AC" w:rsidRPr="00B33FF2" w:rsidRDefault="001764AC" w:rsidP="000C1602">
    <w:pPr>
      <w:pStyle w:val="Encabezado"/>
      <w:spacing w:line="240" w:lineRule="auto"/>
      <w:jc w:val="center"/>
      <w:rPr>
        <w:sz w:val="22"/>
        <w:lang w:val="es-ES_tradnl"/>
      </w:rPr>
    </w:pPr>
    <w:r>
      <w:rPr>
        <w:sz w:val="22"/>
        <w:lang w:val="es-ES"/>
      </w:rPr>
      <w:t>Decisión que revoca la sentencia de primera instancia y accede parcialmente a las pretensiones de la demanda</w:t>
    </w:r>
  </w:p>
  <w:p w:rsidR="001764AC" w:rsidRPr="00B33FF2" w:rsidRDefault="001764AC">
    <w:pPr>
      <w:pStyle w:val="Encabezado"/>
      <w:spacing w:line="240" w:lineRule="auto"/>
      <w:ind w:left="568"/>
      <w:jc w:val="center"/>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4AC" w:rsidRDefault="001764AC">
    <w:pPr>
      <w:jc w:val="center"/>
      <w:rPr>
        <w:rFonts w:cs="Arial"/>
        <w:b/>
        <w:szCs w:val="24"/>
      </w:rPr>
    </w:pPr>
  </w:p>
  <w:p w:rsidR="001764AC" w:rsidRDefault="00D12827">
    <w:pPr>
      <w:jc w:val="center"/>
      <w:rPr>
        <w:rFonts w:cs="Arial"/>
        <w:b/>
        <w:szCs w:val="24"/>
      </w:rPr>
    </w:pPr>
    <w:r>
      <w:rPr>
        <w:noProof/>
        <w:lang w:val="es-CO" w:eastAsia="es-CO"/>
      </w:rPr>
      <w:drawing>
        <wp:anchor distT="0" distB="0" distL="114935" distR="114935" simplePos="0" relativeHeight="251658240" behindDoc="0" locked="0" layoutInCell="1" allowOverlap="1">
          <wp:simplePos x="0" y="0"/>
          <wp:positionH relativeFrom="page">
            <wp:posOffset>737235</wp:posOffset>
          </wp:positionH>
          <wp:positionV relativeFrom="paragraph">
            <wp:posOffset>107315</wp:posOffset>
          </wp:positionV>
          <wp:extent cx="1099820" cy="1062355"/>
          <wp:effectExtent l="19050" t="0" r="5080" b="0"/>
          <wp:wrapSquare wrapText="largest"/>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1099820" cy="1062355"/>
                  </a:xfrm>
                  <a:prstGeom prst="rect">
                    <a:avLst/>
                  </a:prstGeom>
                  <a:solidFill>
                    <a:srgbClr val="FFFFFF"/>
                  </a:solidFill>
                  <a:ln w="9525">
                    <a:noFill/>
                    <a:miter lim="800000"/>
                    <a:headEnd/>
                    <a:tailEnd/>
                  </a:ln>
                </pic:spPr>
              </pic:pic>
            </a:graphicData>
          </a:graphic>
        </wp:anchor>
      </w:drawing>
    </w:r>
  </w:p>
  <w:p w:rsidR="001764AC" w:rsidRDefault="001764AC">
    <w:pPr>
      <w:jc w:val="center"/>
      <w:rPr>
        <w:rFonts w:cs="Arial"/>
        <w:b/>
        <w:szCs w:val="24"/>
      </w:rPr>
    </w:pPr>
  </w:p>
  <w:p w:rsidR="001764AC" w:rsidRDefault="001764AC">
    <w:pPr>
      <w:jc w:val="center"/>
      <w:rPr>
        <w:rFonts w:cs="Arial"/>
        <w:b/>
        <w:szCs w:val="24"/>
      </w:rPr>
    </w:pPr>
    <w:r>
      <w:rPr>
        <w:rFonts w:cs="Arial"/>
        <w:b/>
        <w:szCs w:val="24"/>
      </w:rPr>
      <w:t>CONSEJO DE ESTADO</w:t>
    </w:r>
  </w:p>
  <w:p w:rsidR="001764AC" w:rsidRDefault="001764AC">
    <w:pPr>
      <w:jc w:val="center"/>
      <w:rPr>
        <w:rFonts w:cs="Arial"/>
        <w:b/>
        <w:szCs w:val="24"/>
      </w:rPr>
    </w:pPr>
    <w:r>
      <w:rPr>
        <w:rFonts w:cs="Arial"/>
        <w:b/>
        <w:szCs w:val="24"/>
      </w:rPr>
      <w:t>SALA DE LO CONTENCIOSO ADMINISTRATIVO</w:t>
    </w:r>
  </w:p>
  <w:p w:rsidR="001764AC" w:rsidRDefault="001764AC">
    <w:pPr>
      <w:jc w:val="center"/>
      <w:rPr>
        <w:rFonts w:cs="Arial"/>
        <w:b/>
        <w:szCs w:val="24"/>
      </w:rPr>
    </w:pPr>
    <w:r>
      <w:rPr>
        <w:rFonts w:cs="Arial"/>
        <w:b/>
        <w:szCs w:val="24"/>
      </w:rPr>
      <w:t>SECCIÓN TERCERA – SUBSECCIÓN B</w:t>
    </w:r>
  </w:p>
  <w:p w:rsidR="001764AC" w:rsidRDefault="001764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1661D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CE7729"/>
    <w:multiLevelType w:val="hybridMultilevel"/>
    <w:tmpl w:val="40C07A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0F17D1E"/>
    <w:multiLevelType w:val="multilevel"/>
    <w:tmpl w:val="E20C8AEE"/>
    <w:lvl w:ilvl="0">
      <w:start w:val="1"/>
      <w:numFmt w:val="decimal"/>
      <w:lvlText w:val="%1."/>
      <w:lvlJc w:val="left"/>
      <w:pPr>
        <w:ind w:left="360" w:hanging="360"/>
      </w:pPr>
      <w:rPr>
        <w:rFonts w:cs="Times New Roman" w:hint="default"/>
        <w:b w:val="0"/>
        <w:sz w:val="26"/>
        <w:szCs w:val="26"/>
      </w:rPr>
    </w:lvl>
    <w:lvl w:ilvl="1">
      <w:start w:val="1"/>
      <w:numFmt w:val="decimal"/>
      <w:isLgl/>
      <w:lvlText w:val="%1.%2."/>
      <w:lvlJc w:val="left"/>
      <w:pPr>
        <w:tabs>
          <w:tab w:val="num" w:pos="720"/>
        </w:tabs>
        <w:ind w:left="720" w:hanging="720"/>
      </w:pPr>
      <w:rPr>
        <w:rFonts w:cs="Times New Roman" w:hint="default"/>
        <w:sz w:val="26"/>
        <w:szCs w:val="26"/>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nsid w:val="22EF6E3E"/>
    <w:multiLevelType w:val="multilevel"/>
    <w:tmpl w:val="1FF2D58A"/>
    <w:lvl w:ilvl="0">
      <w:start w:val="26"/>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48523799"/>
    <w:multiLevelType w:val="multilevel"/>
    <w:tmpl w:val="D26ACFE0"/>
    <w:lvl w:ilvl="0">
      <w:start w:val="1"/>
      <w:numFmt w:val="decimal"/>
      <w:lvlText w:val="%1."/>
      <w:lvlJc w:val="left"/>
      <w:pPr>
        <w:ind w:left="720" w:hanging="360"/>
      </w:pPr>
      <w:rPr>
        <w:rFonts w:cs="Times New Roman" w:hint="default"/>
        <w:i w:val="0"/>
        <w:sz w:val="26"/>
        <w:szCs w:val="26"/>
      </w:rPr>
    </w:lvl>
    <w:lvl w:ilvl="1">
      <w:start w:val="1"/>
      <w:numFmt w:val="decimal"/>
      <w:isLgl/>
      <w:lvlText w:val="%1.%2."/>
      <w:lvlJc w:val="left"/>
      <w:pPr>
        <w:ind w:left="1288" w:hanging="720"/>
      </w:pPr>
      <w:rPr>
        <w:rFonts w:cs="Times New Roman" w:hint="default"/>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4CB864EF"/>
    <w:multiLevelType w:val="multilevel"/>
    <w:tmpl w:val="E03E6D5C"/>
    <w:lvl w:ilvl="0">
      <w:start w:val="1"/>
      <w:numFmt w:val="decimal"/>
      <w:lvlText w:val="%1."/>
      <w:lvlJc w:val="left"/>
      <w:pPr>
        <w:tabs>
          <w:tab w:val="num" w:pos="720"/>
        </w:tabs>
        <w:ind w:left="720" w:hanging="360"/>
      </w:pPr>
      <w:rPr>
        <w:rFonts w:cs="Times New Roman" w:hint="default"/>
        <w:i w:val="0"/>
        <w:sz w:val="26"/>
        <w:szCs w:val="26"/>
      </w:rPr>
    </w:lvl>
    <w:lvl w:ilvl="1">
      <w:start w:val="1"/>
      <w:numFmt w:val="decimal"/>
      <w:isLgl/>
      <w:lvlText w:val="%1.%2."/>
      <w:lvlJc w:val="left"/>
      <w:pPr>
        <w:tabs>
          <w:tab w:val="num" w:pos="1080"/>
        </w:tabs>
        <w:ind w:left="1080" w:hanging="720"/>
      </w:pPr>
      <w:rPr>
        <w:rFonts w:cs="Times New Roman" w:hint="default"/>
        <w:i w:val="0"/>
        <w:sz w:val="26"/>
        <w:szCs w:val="26"/>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nsid w:val="51D76375"/>
    <w:multiLevelType w:val="hybridMultilevel"/>
    <w:tmpl w:val="CD8895A6"/>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7">
    <w:nsid w:val="54673663"/>
    <w:multiLevelType w:val="hybridMultilevel"/>
    <w:tmpl w:val="54801DA4"/>
    <w:lvl w:ilvl="0" w:tplc="0C0A0017">
      <w:start w:val="1"/>
      <w:numFmt w:val="lowerLetter"/>
      <w:lvlText w:val="%1)"/>
      <w:lvlJc w:val="left"/>
      <w:pPr>
        <w:ind w:left="1800" w:hanging="360"/>
      </w:pPr>
      <w:rPr>
        <w:rFonts w:cs="Times New Roman"/>
      </w:rPr>
    </w:lvl>
    <w:lvl w:ilvl="1" w:tplc="0C0A0019" w:tentative="1">
      <w:start w:val="1"/>
      <w:numFmt w:val="lowerLetter"/>
      <w:lvlText w:val="%2."/>
      <w:lvlJc w:val="left"/>
      <w:pPr>
        <w:ind w:left="2520" w:hanging="360"/>
      </w:pPr>
      <w:rPr>
        <w:rFonts w:cs="Times New Roman"/>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8">
    <w:nsid w:val="60920538"/>
    <w:multiLevelType w:val="multilevel"/>
    <w:tmpl w:val="7C4CF482"/>
    <w:lvl w:ilvl="0">
      <w:start w:val="1"/>
      <w:numFmt w:val="decimal"/>
      <w:lvlText w:val="%1."/>
      <w:lvlJc w:val="left"/>
      <w:pPr>
        <w:ind w:left="735" w:hanging="375"/>
      </w:pPr>
      <w:rPr>
        <w:rFonts w:cs="Times New Roman" w:hint="default"/>
        <w:sz w:val="26"/>
        <w:szCs w:val="26"/>
      </w:rPr>
    </w:lvl>
    <w:lvl w:ilvl="1">
      <w:start w:val="1"/>
      <w:numFmt w:val="decimal"/>
      <w:isLgl/>
      <w:lvlText w:val="%1.%2."/>
      <w:lvlJc w:val="left"/>
      <w:pPr>
        <w:ind w:left="1080" w:hanging="720"/>
      </w:pPr>
      <w:rPr>
        <w:rFonts w:cs="Times New Roman" w:hint="default"/>
        <w:b w:val="0"/>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6EE93B49"/>
    <w:multiLevelType w:val="multilevel"/>
    <w:tmpl w:val="18B8CA9C"/>
    <w:lvl w:ilvl="0">
      <w:start w:val="17"/>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743B5A1A"/>
    <w:multiLevelType w:val="hybridMultilevel"/>
    <w:tmpl w:val="32601422"/>
    <w:lvl w:ilvl="0" w:tplc="4C802500">
      <w:start w:val="1"/>
      <w:numFmt w:val="upperRoman"/>
      <w:lvlText w:val="%1."/>
      <w:lvlJc w:val="left"/>
      <w:pPr>
        <w:ind w:left="709" w:hanging="720"/>
      </w:pPr>
      <w:rPr>
        <w:rFonts w:cs="Times New Roman" w:hint="default"/>
        <w:b/>
      </w:rPr>
    </w:lvl>
    <w:lvl w:ilvl="1" w:tplc="3DF67C06">
      <w:start w:val="11"/>
      <w:numFmt w:val="decimal"/>
      <w:lvlText w:val="%2."/>
      <w:lvlJc w:val="left"/>
      <w:pPr>
        <w:tabs>
          <w:tab w:val="num" w:pos="360"/>
        </w:tabs>
        <w:ind w:left="360" w:hanging="360"/>
      </w:pPr>
      <w:rPr>
        <w:rFonts w:cs="Times New Roman" w:hint="default"/>
        <w:b w:val="0"/>
      </w:rPr>
    </w:lvl>
    <w:lvl w:ilvl="2" w:tplc="E1C4C0B6">
      <w:start w:val="1"/>
      <w:numFmt w:val="lowerLetter"/>
      <w:lvlText w:val="%3)"/>
      <w:lvlJc w:val="left"/>
      <w:pPr>
        <w:tabs>
          <w:tab w:val="num" w:pos="1969"/>
        </w:tabs>
        <w:ind w:left="1969" w:hanging="360"/>
      </w:pPr>
      <w:rPr>
        <w:rFonts w:cs="Times New Roman" w:hint="default"/>
      </w:rPr>
    </w:lvl>
    <w:lvl w:ilvl="3" w:tplc="240A000F" w:tentative="1">
      <w:start w:val="1"/>
      <w:numFmt w:val="decimal"/>
      <w:lvlText w:val="%4."/>
      <w:lvlJc w:val="left"/>
      <w:pPr>
        <w:ind w:left="2509" w:hanging="360"/>
      </w:pPr>
      <w:rPr>
        <w:rFonts w:cs="Times New Roman"/>
      </w:rPr>
    </w:lvl>
    <w:lvl w:ilvl="4" w:tplc="240A0019" w:tentative="1">
      <w:start w:val="1"/>
      <w:numFmt w:val="lowerLetter"/>
      <w:lvlText w:val="%5."/>
      <w:lvlJc w:val="left"/>
      <w:pPr>
        <w:ind w:left="3229" w:hanging="360"/>
      </w:pPr>
      <w:rPr>
        <w:rFonts w:cs="Times New Roman"/>
      </w:rPr>
    </w:lvl>
    <w:lvl w:ilvl="5" w:tplc="240A001B" w:tentative="1">
      <w:start w:val="1"/>
      <w:numFmt w:val="lowerRoman"/>
      <w:lvlText w:val="%6."/>
      <w:lvlJc w:val="right"/>
      <w:pPr>
        <w:ind w:left="3949" w:hanging="180"/>
      </w:pPr>
      <w:rPr>
        <w:rFonts w:cs="Times New Roman"/>
      </w:rPr>
    </w:lvl>
    <w:lvl w:ilvl="6" w:tplc="240A000F" w:tentative="1">
      <w:start w:val="1"/>
      <w:numFmt w:val="decimal"/>
      <w:lvlText w:val="%7."/>
      <w:lvlJc w:val="left"/>
      <w:pPr>
        <w:ind w:left="4669" w:hanging="360"/>
      </w:pPr>
      <w:rPr>
        <w:rFonts w:cs="Times New Roman"/>
      </w:rPr>
    </w:lvl>
    <w:lvl w:ilvl="7" w:tplc="240A0019" w:tentative="1">
      <w:start w:val="1"/>
      <w:numFmt w:val="lowerLetter"/>
      <w:lvlText w:val="%8."/>
      <w:lvlJc w:val="left"/>
      <w:pPr>
        <w:ind w:left="5389" w:hanging="360"/>
      </w:pPr>
      <w:rPr>
        <w:rFonts w:cs="Times New Roman"/>
      </w:rPr>
    </w:lvl>
    <w:lvl w:ilvl="8" w:tplc="240A001B" w:tentative="1">
      <w:start w:val="1"/>
      <w:numFmt w:val="lowerRoman"/>
      <w:lvlText w:val="%9."/>
      <w:lvlJc w:val="right"/>
      <w:pPr>
        <w:ind w:left="6109" w:hanging="180"/>
      </w:pPr>
      <w:rPr>
        <w:rFonts w:cs="Times New Roman"/>
      </w:rPr>
    </w:lvl>
  </w:abstractNum>
  <w:abstractNum w:abstractNumId="11">
    <w:nsid w:val="775E1166"/>
    <w:multiLevelType w:val="hybridMultilevel"/>
    <w:tmpl w:val="E954D3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8"/>
  </w:num>
  <w:num w:numId="29">
    <w:abstractNumId w:val="7"/>
  </w:num>
  <w:num w:numId="30">
    <w:abstractNumId w:val="6"/>
  </w:num>
  <w:num w:numId="31">
    <w:abstractNumId w:val="11"/>
  </w:num>
  <w:num w:numId="32">
    <w:abstractNumId w:val="1"/>
  </w:num>
  <w:num w:numId="33">
    <w:abstractNumId w:val="4"/>
  </w:num>
  <w:num w:numId="34">
    <w:abstractNumId w:val="9"/>
  </w:num>
  <w:num w:numId="35">
    <w:abstractNumId w:val="3"/>
  </w:num>
  <w:num w:numId="36">
    <w:abstractNumId w:val="10"/>
  </w:num>
  <w:num w:numId="37">
    <w:abstractNumId w:val="2"/>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554"/>
    <w:rsid w:val="0000236E"/>
    <w:rsid w:val="00006BA8"/>
    <w:rsid w:val="00011841"/>
    <w:rsid w:val="00012C5F"/>
    <w:rsid w:val="000130B5"/>
    <w:rsid w:val="00013430"/>
    <w:rsid w:val="00015890"/>
    <w:rsid w:val="00016455"/>
    <w:rsid w:val="00021258"/>
    <w:rsid w:val="000227EC"/>
    <w:rsid w:val="00034CC4"/>
    <w:rsid w:val="000352C4"/>
    <w:rsid w:val="00036B7B"/>
    <w:rsid w:val="00037237"/>
    <w:rsid w:val="00040130"/>
    <w:rsid w:val="00040E92"/>
    <w:rsid w:val="0004277A"/>
    <w:rsid w:val="000446DD"/>
    <w:rsid w:val="0004559C"/>
    <w:rsid w:val="00045B35"/>
    <w:rsid w:val="000468DF"/>
    <w:rsid w:val="00053919"/>
    <w:rsid w:val="000548EB"/>
    <w:rsid w:val="00060135"/>
    <w:rsid w:val="00060CEB"/>
    <w:rsid w:val="000638EB"/>
    <w:rsid w:val="0006427C"/>
    <w:rsid w:val="00065524"/>
    <w:rsid w:val="000666FA"/>
    <w:rsid w:val="0006758D"/>
    <w:rsid w:val="00067A2A"/>
    <w:rsid w:val="00073587"/>
    <w:rsid w:val="00075679"/>
    <w:rsid w:val="00080E0A"/>
    <w:rsid w:val="00083280"/>
    <w:rsid w:val="000832F2"/>
    <w:rsid w:val="00086007"/>
    <w:rsid w:val="000861AE"/>
    <w:rsid w:val="00091AD4"/>
    <w:rsid w:val="0009317D"/>
    <w:rsid w:val="00097A5A"/>
    <w:rsid w:val="000A2C53"/>
    <w:rsid w:val="000A4A15"/>
    <w:rsid w:val="000A70E6"/>
    <w:rsid w:val="000B0194"/>
    <w:rsid w:val="000B28F8"/>
    <w:rsid w:val="000B2BA5"/>
    <w:rsid w:val="000B2CD4"/>
    <w:rsid w:val="000B4A57"/>
    <w:rsid w:val="000B4EF3"/>
    <w:rsid w:val="000B596C"/>
    <w:rsid w:val="000B7701"/>
    <w:rsid w:val="000C08C1"/>
    <w:rsid w:val="000C1602"/>
    <w:rsid w:val="000C43D1"/>
    <w:rsid w:val="000C48AE"/>
    <w:rsid w:val="000C4923"/>
    <w:rsid w:val="000C4C6D"/>
    <w:rsid w:val="000C6840"/>
    <w:rsid w:val="000D0F13"/>
    <w:rsid w:val="000D1C80"/>
    <w:rsid w:val="000D358F"/>
    <w:rsid w:val="000D386C"/>
    <w:rsid w:val="000D5DE0"/>
    <w:rsid w:val="000D7A24"/>
    <w:rsid w:val="000E0590"/>
    <w:rsid w:val="000E2772"/>
    <w:rsid w:val="000E3F7D"/>
    <w:rsid w:val="000E6941"/>
    <w:rsid w:val="000F47C1"/>
    <w:rsid w:val="000F746A"/>
    <w:rsid w:val="00111142"/>
    <w:rsid w:val="00113832"/>
    <w:rsid w:val="00120A7A"/>
    <w:rsid w:val="00123C23"/>
    <w:rsid w:val="001248B1"/>
    <w:rsid w:val="00125889"/>
    <w:rsid w:val="00126016"/>
    <w:rsid w:val="00134B00"/>
    <w:rsid w:val="0013727B"/>
    <w:rsid w:val="00143E84"/>
    <w:rsid w:val="00144000"/>
    <w:rsid w:val="0014620D"/>
    <w:rsid w:val="00155E57"/>
    <w:rsid w:val="00156D38"/>
    <w:rsid w:val="00157F62"/>
    <w:rsid w:val="00161E8E"/>
    <w:rsid w:val="0016529D"/>
    <w:rsid w:val="00166186"/>
    <w:rsid w:val="00166E6D"/>
    <w:rsid w:val="00167CDC"/>
    <w:rsid w:val="0017052A"/>
    <w:rsid w:val="00170A4B"/>
    <w:rsid w:val="001723AC"/>
    <w:rsid w:val="0017639B"/>
    <w:rsid w:val="001764AC"/>
    <w:rsid w:val="00177022"/>
    <w:rsid w:val="00182C9C"/>
    <w:rsid w:val="00185BE4"/>
    <w:rsid w:val="00191E8B"/>
    <w:rsid w:val="0019558F"/>
    <w:rsid w:val="00195A7F"/>
    <w:rsid w:val="001A07D4"/>
    <w:rsid w:val="001A27C7"/>
    <w:rsid w:val="001B1DC4"/>
    <w:rsid w:val="001B3611"/>
    <w:rsid w:val="001B38FD"/>
    <w:rsid w:val="001B3D0A"/>
    <w:rsid w:val="001C0476"/>
    <w:rsid w:val="001C0B56"/>
    <w:rsid w:val="001C160F"/>
    <w:rsid w:val="001C1766"/>
    <w:rsid w:val="001C2036"/>
    <w:rsid w:val="001C4E3F"/>
    <w:rsid w:val="001C4F64"/>
    <w:rsid w:val="001C58EC"/>
    <w:rsid w:val="001D4DF2"/>
    <w:rsid w:val="001D67E6"/>
    <w:rsid w:val="001D7ACC"/>
    <w:rsid w:val="001E5A21"/>
    <w:rsid w:val="001F0A3B"/>
    <w:rsid w:val="001F3AAA"/>
    <w:rsid w:val="001F5443"/>
    <w:rsid w:val="001F6D9A"/>
    <w:rsid w:val="00202B18"/>
    <w:rsid w:val="00204EB0"/>
    <w:rsid w:val="002057A8"/>
    <w:rsid w:val="00206453"/>
    <w:rsid w:val="00206522"/>
    <w:rsid w:val="00214934"/>
    <w:rsid w:val="00215211"/>
    <w:rsid w:val="00215661"/>
    <w:rsid w:val="0021603D"/>
    <w:rsid w:val="00222F78"/>
    <w:rsid w:val="00224CA5"/>
    <w:rsid w:val="00224ED2"/>
    <w:rsid w:val="00226E37"/>
    <w:rsid w:val="00227DF3"/>
    <w:rsid w:val="0023115B"/>
    <w:rsid w:val="00231844"/>
    <w:rsid w:val="00233348"/>
    <w:rsid w:val="00234EBF"/>
    <w:rsid w:val="002427B7"/>
    <w:rsid w:val="002456D1"/>
    <w:rsid w:val="002474F6"/>
    <w:rsid w:val="002535DA"/>
    <w:rsid w:val="00253D30"/>
    <w:rsid w:val="002561C4"/>
    <w:rsid w:val="00263282"/>
    <w:rsid w:val="00263FE0"/>
    <w:rsid w:val="00265687"/>
    <w:rsid w:val="00270095"/>
    <w:rsid w:val="002736B4"/>
    <w:rsid w:val="00275C52"/>
    <w:rsid w:val="00275FE4"/>
    <w:rsid w:val="002807BA"/>
    <w:rsid w:val="00286454"/>
    <w:rsid w:val="00290176"/>
    <w:rsid w:val="0029093C"/>
    <w:rsid w:val="002924D4"/>
    <w:rsid w:val="002943D0"/>
    <w:rsid w:val="0029485A"/>
    <w:rsid w:val="00296663"/>
    <w:rsid w:val="00296DA1"/>
    <w:rsid w:val="00297D58"/>
    <w:rsid w:val="002A20E3"/>
    <w:rsid w:val="002A2765"/>
    <w:rsid w:val="002A44C5"/>
    <w:rsid w:val="002A5185"/>
    <w:rsid w:val="002A579A"/>
    <w:rsid w:val="002B04E9"/>
    <w:rsid w:val="002B30A4"/>
    <w:rsid w:val="002B7AE9"/>
    <w:rsid w:val="002B7EEF"/>
    <w:rsid w:val="002C312B"/>
    <w:rsid w:val="002C4D74"/>
    <w:rsid w:val="002C554B"/>
    <w:rsid w:val="002C5DBE"/>
    <w:rsid w:val="002C74DF"/>
    <w:rsid w:val="002D2480"/>
    <w:rsid w:val="002D36C1"/>
    <w:rsid w:val="002D3823"/>
    <w:rsid w:val="002D3A7C"/>
    <w:rsid w:val="002D405A"/>
    <w:rsid w:val="002E57E7"/>
    <w:rsid w:val="002E5CB8"/>
    <w:rsid w:val="002E6907"/>
    <w:rsid w:val="002F7505"/>
    <w:rsid w:val="0030285E"/>
    <w:rsid w:val="0030479C"/>
    <w:rsid w:val="003052A5"/>
    <w:rsid w:val="00313370"/>
    <w:rsid w:val="0031374F"/>
    <w:rsid w:val="00313EA5"/>
    <w:rsid w:val="003311B3"/>
    <w:rsid w:val="00332B99"/>
    <w:rsid w:val="00342356"/>
    <w:rsid w:val="00344F49"/>
    <w:rsid w:val="00345D63"/>
    <w:rsid w:val="00347796"/>
    <w:rsid w:val="00351F86"/>
    <w:rsid w:val="00354BE4"/>
    <w:rsid w:val="00361A12"/>
    <w:rsid w:val="003626C5"/>
    <w:rsid w:val="00362D77"/>
    <w:rsid w:val="00362FD8"/>
    <w:rsid w:val="00366502"/>
    <w:rsid w:val="00374526"/>
    <w:rsid w:val="003755D8"/>
    <w:rsid w:val="0037760A"/>
    <w:rsid w:val="00381E41"/>
    <w:rsid w:val="0038299D"/>
    <w:rsid w:val="00383B30"/>
    <w:rsid w:val="003872A4"/>
    <w:rsid w:val="003936DB"/>
    <w:rsid w:val="00396F42"/>
    <w:rsid w:val="00397DC5"/>
    <w:rsid w:val="003A20D6"/>
    <w:rsid w:val="003A580D"/>
    <w:rsid w:val="003A5E6A"/>
    <w:rsid w:val="003B52BA"/>
    <w:rsid w:val="003B5D1B"/>
    <w:rsid w:val="003B6114"/>
    <w:rsid w:val="003B633A"/>
    <w:rsid w:val="003C204C"/>
    <w:rsid w:val="003C2F65"/>
    <w:rsid w:val="003C6485"/>
    <w:rsid w:val="003C7CE0"/>
    <w:rsid w:val="003D2220"/>
    <w:rsid w:val="003D2D7D"/>
    <w:rsid w:val="003D4D16"/>
    <w:rsid w:val="003D7F9D"/>
    <w:rsid w:val="003E0C23"/>
    <w:rsid w:val="003E1A87"/>
    <w:rsid w:val="003E24A4"/>
    <w:rsid w:val="003E4FF8"/>
    <w:rsid w:val="003F047F"/>
    <w:rsid w:val="003F0524"/>
    <w:rsid w:val="003F0986"/>
    <w:rsid w:val="003F0FCE"/>
    <w:rsid w:val="003F297C"/>
    <w:rsid w:val="003F576D"/>
    <w:rsid w:val="003F6880"/>
    <w:rsid w:val="0040090D"/>
    <w:rsid w:val="00400EB7"/>
    <w:rsid w:val="00400FE9"/>
    <w:rsid w:val="004031CE"/>
    <w:rsid w:val="004070DC"/>
    <w:rsid w:val="004078D5"/>
    <w:rsid w:val="00407C04"/>
    <w:rsid w:val="00410CB7"/>
    <w:rsid w:val="00412DA2"/>
    <w:rsid w:val="0041590F"/>
    <w:rsid w:val="00421602"/>
    <w:rsid w:val="00421D80"/>
    <w:rsid w:val="00427B3F"/>
    <w:rsid w:val="0043161E"/>
    <w:rsid w:val="00434D0D"/>
    <w:rsid w:val="00434EB3"/>
    <w:rsid w:val="00435F46"/>
    <w:rsid w:val="004374FF"/>
    <w:rsid w:val="004404CB"/>
    <w:rsid w:val="004415FF"/>
    <w:rsid w:val="00443FA9"/>
    <w:rsid w:val="004445D1"/>
    <w:rsid w:val="004455F5"/>
    <w:rsid w:val="00452E5C"/>
    <w:rsid w:val="0045347D"/>
    <w:rsid w:val="00456B86"/>
    <w:rsid w:val="00456E02"/>
    <w:rsid w:val="00460B72"/>
    <w:rsid w:val="00462C1A"/>
    <w:rsid w:val="00470D97"/>
    <w:rsid w:val="00472743"/>
    <w:rsid w:val="00480F16"/>
    <w:rsid w:val="004835AF"/>
    <w:rsid w:val="004862C2"/>
    <w:rsid w:val="00495B91"/>
    <w:rsid w:val="0049666C"/>
    <w:rsid w:val="0049798A"/>
    <w:rsid w:val="004A0392"/>
    <w:rsid w:val="004A0783"/>
    <w:rsid w:val="004A1724"/>
    <w:rsid w:val="004A49C1"/>
    <w:rsid w:val="004A6C1C"/>
    <w:rsid w:val="004B1FBA"/>
    <w:rsid w:val="004B34E2"/>
    <w:rsid w:val="004B421B"/>
    <w:rsid w:val="004B4381"/>
    <w:rsid w:val="004B680F"/>
    <w:rsid w:val="004C3912"/>
    <w:rsid w:val="004C48AE"/>
    <w:rsid w:val="004C4B00"/>
    <w:rsid w:val="004C61E0"/>
    <w:rsid w:val="004C7539"/>
    <w:rsid w:val="004C79F5"/>
    <w:rsid w:val="004D10E6"/>
    <w:rsid w:val="004D170B"/>
    <w:rsid w:val="004D1DEE"/>
    <w:rsid w:val="004D2B46"/>
    <w:rsid w:val="004D312B"/>
    <w:rsid w:val="004E1E1C"/>
    <w:rsid w:val="004E3284"/>
    <w:rsid w:val="004E39D2"/>
    <w:rsid w:val="004E4DF5"/>
    <w:rsid w:val="004F5F06"/>
    <w:rsid w:val="004F5FD4"/>
    <w:rsid w:val="00502035"/>
    <w:rsid w:val="00504972"/>
    <w:rsid w:val="005059AB"/>
    <w:rsid w:val="00515D74"/>
    <w:rsid w:val="00520A0B"/>
    <w:rsid w:val="005250BE"/>
    <w:rsid w:val="00525F50"/>
    <w:rsid w:val="005262C1"/>
    <w:rsid w:val="00532848"/>
    <w:rsid w:val="005357C2"/>
    <w:rsid w:val="0053658B"/>
    <w:rsid w:val="00540939"/>
    <w:rsid w:val="00540972"/>
    <w:rsid w:val="005420D2"/>
    <w:rsid w:val="00545362"/>
    <w:rsid w:val="00545457"/>
    <w:rsid w:val="00546220"/>
    <w:rsid w:val="00547C6C"/>
    <w:rsid w:val="005508C9"/>
    <w:rsid w:val="00554148"/>
    <w:rsid w:val="00554A5D"/>
    <w:rsid w:val="005566B5"/>
    <w:rsid w:val="005608FE"/>
    <w:rsid w:val="00562ADD"/>
    <w:rsid w:val="00562C23"/>
    <w:rsid w:val="00566EBE"/>
    <w:rsid w:val="005673AC"/>
    <w:rsid w:val="00570EA2"/>
    <w:rsid w:val="00573370"/>
    <w:rsid w:val="005770F2"/>
    <w:rsid w:val="005814D5"/>
    <w:rsid w:val="00583FC2"/>
    <w:rsid w:val="00590A84"/>
    <w:rsid w:val="00590FA8"/>
    <w:rsid w:val="00591E1B"/>
    <w:rsid w:val="0059256C"/>
    <w:rsid w:val="005977C9"/>
    <w:rsid w:val="005A20E6"/>
    <w:rsid w:val="005A2F51"/>
    <w:rsid w:val="005A3587"/>
    <w:rsid w:val="005A4A21"/>
    <w:rsid w:val="005A58FF"/>
    <w:rsid w:val="005A61A7"/>
    <w:rsid w:val="005B3027"/>
    <w:rsid w:val="005B5859"/>
    <w:rsid w:val="005B5CA9"/>
    <w:rsid w:val="005B5D04"/>
    <w:rsid w:val="005B63C8"/>
    <w:rsid w:val="005C2C36"/>
    <w:rsid w:val="005C652E"/>
    <w:rsid w:val="005D2D2E"/>
    <w:rsid w:val="005D4544"/>
    <w:rsid w:val="005D47A0"/>
    <w:rsid w:val="005D7D6D"/>
    <w:rsid w:val="005E259E"/>
    <w:rsid w:val="005E4B92"/>
    <w:rsid w:val="005E4C11"/>
    <w:rsid w:val="005E7053"/>
    <w:rsid w:val="005E7482"/>
    <w:rsid w:val="005F29FF"/>
    <w:rsid w:val="005F6A58"/>
    <w:rsid w:val="00610479"/>
    <w:rsid w:val="006224AB"/>
    <w:rsid w:val="00625515"/>
    <w:rsid w:val="00630956"/>
    <w:rsid w:val="00633573"/>
    <w:rsid w:val="006340AA"/>
    <w:rsid w:val="00636101"/>
    <w:rsid w:val="00637AD0"/>
    <w:rsid w:val="006436AE"/>
    <w:rsid w:val="006448EB"/>
    <w:rsid w:val="00644D93"/>
    <w:rsid w:val="00650453"/>
    <w:rsid w:val="0065275D"/>
    <w:rsid w:val="00653508"/>
    <w:rsid w:val="00654599"/>
    <w:rsid w:val="0066390D"/>
    <w:rsid w:val="0066546F"/>
    <w:rsid w:val="00667594"/>
    <w:rsid w:val="00674705"/>
    <w:rsid w:val="0067482D"/>
    <w:rsid w:val="00674E77"/>
    <w:rsid w:val="00674F6E"/>
    <w:rsid w:val="006758D3"/>
    <w:rsid w:val="006772E4"/>
    <w:rsid w:val="00681EBD"/>
    <w:rsid w:val="00682E3C"/>
    <w:rsid w:val="00684BBB"/>
    <w:rsid w:val="00684DE2"/>
    <w:rsid w:val="00687301"/>
    <w:rsid w:val="00692BB8"/>
    <w:rsid w:val="00695367"/>
    <w:rsid w:val="00697188"/>
    <w:rsid w:val="006A3406"/>
    <w:rsid w:val="006A4756"/>
    <w:rsid w:val="006A4F6E"/>
    <w:rsid w:val="006A4FA5"/>
    <w:rsid w:val="006A6BCA"/>
    <w:rsid w:val="006A7A82"/>
    <w:rsid w:val="006B0787"/>
    <w:rsid w:val="006B0D8E"/>
    <w:rsid w:val="006B1C03"/>
    <w:rsid w:val="006B7C26"/>
    <w:rsid w:val="006C0909"/>
    <w:rsid w:val="006C394D"/>
    <w:rsid w:val="006C6A01"/>
    <w:rsid w:val="006C6D10"/>
    <w:rsid w:val="006C731F"/>
    <w:rsid w:val="006C7972"/>
    <w:rsid w:val="006C7B83"/>
    <w:rsid w:val="006D343D"/>
    <w:rsid w:val="006D3BDC"/>
    <w:rsid w:val="006D57EA"/>
    <w:rsid w:val="006E3C63"/>
    <w:rsid w:val="006E5FAD"/>
    <w:rsid w:val="006E712F"/>
    <w:rsid w:val="006E7392"/>
    <w:rsid w:val="006F3C3C"/>
    <w:rsid w:val="006F49AE"/>
    <w:rsid w:val="006F63A6"/>
    <w:rsid w:val="00702CFB"/>
    <w:rsid w:val="007179F9"/>
    <w:rsid w:val="00720F09"/>
    <w:rsid w:val="007237B8"/>
    <w:rsid w:val="007264C4"/>
    <w:rsid w:val="00740B84"/>
    <w:rsid w:val="00741E5B"/>
    <w:rsid w:val="00757C60"/>
    <w:rsid w:val="0076014F"/>
    <w:rsid w:val="007602C0"/>
    <w:rsid w:val="007604A9"/>
    <w:rsid w:val="00760D93"/>
    <w:rsid w:val="00765D53"/>
    <w:rsid w:val="0077470D"/>
    <w:rsid w:val="00776827"/>
    <w:rsid w:val="00780650"/>
    <w:rsid w:val="00783791"/>
    <w:rsid w:val="00784C72"/>
    <w:rsid w:val="007876B2"/>
    <w:rsid w:val="00787891"/>
    <w:rsid w:val="00790744"/>
    <w:rsid w:val="007933FC"/>
    <w:rsid w:val="007A1C94"/>
    <w:rsid w:val="007A3AA2"/>
    <w:rsid w:val="007A4C27"/>
    <w:rsid w:val="007A51E3"/>
    <w:rsid w:val="007A62F4"/>
    <w:rsid w:val="007B4BD5"/>
    <w:rsid w:val="007B4BD7"/>
    <w:rsid w:val="007C01EE"/>
    <w:rsid w:val="007C1FF8"/>
    <w:rsid w:val="007C2D9F"/>
    <w:rsid w:val="007C5824"/>
    <w:rsid w:val="007D22CC"/>
    <w:rsid w:val="007D4B44"/>
    <w:rsid w:val="007D5152"/>
    <w:rsid w:val="007D6723"/>
    <w:rsid w:val="007D675A"/>
    <w:rsid w:val="007D69EE"/>
    <w:rsid w:val="007E01AA"/>
    <w:rsid w:val="007E0F6A"/>
    <w:rsid w:val="007E4A68"/>
    <w:rsid w:val="007F08FD"/>
    <w:rsid w:val="007F2A54"/>
    <w:rsid w:val="007F3C95"/>
    <w:rsid w:val="007F43EC"/>
    <w:rsid w:val="007F4BF3"/>
    <w:rsid w:val="007F4E5F"/>
    <w:rsid w:val="00800938"/>
    <w:rsid w:val="00802589"/>
    <w:rsid w:val="008029B0"/>
    <w:rsid w:val="00807E79"/>
    <w:rsid w:val="0081136E"/>
    <w:rsid w:val="00811A18"/>
    <w:rsid w:val="00811FF6"/>
    <w:rsid w:val="008169BB"/>
    <w:rsid w:val="00820071"/>
    <w:rsid w:val="008244FD"/>
    <w:rsid w:val="00830250"/>
    <w:rsid w:val="00830D6F"/>
    <w:rsid w:val="00835971"/>
    <w:rsid w:val="008369DD"/>
    <w:rsid w:val="008402AA"/>
    <w:rsid w:val="00841328"/>
    <w:rsid w:val="00847FFB"/>
    <w:rsid w:val="00852D1A"/>
    <w:rsid w:val="00864B88"/>
    <w:rsid w:val="008775BA"/>
    <w:rsid w:val="00877E43"/>
    <w:rsid w:val="00881D7B"/>
    <w:rsid w:val="00885113"/>
    <w:rsid w:val="00887893"/>
    <w:rsid w:val="008902F5"/>
    <w:rsid w:val="008914EA"/>
    <w:rsid w:val="00891C23"/>
    <w:rsid w:val="00894756"/>
    <w:rsid w:val="008A51D0"/>
    <w:rsid w:val="008A6F9F"/>
    <w:rsid w:val="008A7A20"/>
    <w:rsid w:val="008B0AFD"/>
    <w:rsid w:val="008B4C19"/>
    <w:rsid w:val="008B5491"/>
    <w:rsid w:val="008B6C04"/>
    <w:rsid w:val="008B6F98"/>
    <w:rsid w:val="008C14D2"/>
    <w:rsid w:val="008C190C"/>
    <w:rsid w:val="008C35AF"/>
    <w:rsid w:val="008C5938"/>
    <w:rsid w:val="008C6F8B"/>
    <w:rsid w:val="008C7554"/>
    <w:rsid w:val="008C7D25"/>
    <w:rsid w:val="008D032C"/>
    <w:rsid w:val="008D361C"/>
    <w:rsid w:val="008E02B1"/>
    <w:rsid w:val="008E1EA3"/>
    <w:rsid w:val="008E6024"/>
    <w:rsid w:val="008E60C8"/>
    <w:rsid w:val="008E7640"/>
    <w:rsid w:val="008F02D2"/>
    <w:rsid w:val="008F3CF1"/>
    <w:rsid w:val="008F43B3"/>
    <w:rsid w:val="008F5418"/>
    <w:rsid w:val="008F6C9A"/>
    <w:rsid w:val="008F78E0"/>
    <w:rsid w:val="0090024A"/>
    <w:rsid w:val="0090028B"/>
    <w:rsid w:val="00902DCB"/>
    <w:rsid w:val="00907F61"/>
    <w:rsid w:val="00910595"/>
    <w:rsid w:val="00910B20"/>
    <w:rsid w:val="0091236F"/>
    <w:rsid w:val="009156AD"/>
    <w:rsid w:val="00921A01"/>
    <w:rsid w:val="00925247"/>
    <w:rsid w:val="00933796"/>
    <w:rsid w:val="009421D1"/>
    <w:rsid w:val="0094239D"/>
    <w:rsid w:val="009470DB"/>
    <w:rsid w:val="009471F4"/>
    <w:rsid w:val="0095383B"/>
    <w:rsid w:val="009639D8"/>
    <w:rsid w:val="0096452E"/>
    <w:rsid w:val="00964B29"/>
    <w:rsid w:val="00966D72"/>
    <w:rsid w:val="00980DB1"/>
    <w:rsid w:val="0098384F"/>
    <w:rsid w:val="00986EB0"/>
    <w:rsid w:val="00990AA0"/>
    <w:rsid w:val="00997D05"/>
    <w:rsid w:val="009A03C0"/>
    <w:rsid w:val="009A36FE"/>
    <w:rsid w:val="009A44AB"/>
    <w:rsid w:val="009B028B"/>
    <w:rsid w:val="009B61C4"/>
    <w:rsid w:val="009B7E62"/>
    <w:rsid w:val="009C023D"/>
    <w:rsid w:val="009C0C07"/>
    <w:rsid w:val="009C290B"/>
    <w:rsid w:val="009C4CBE"/>
    <w:rsid w:val="009D31A9"/>
    <w:rsid w:val="009E01FE"/>
    <w:rsid w:val="009E296F"/>
    <w:rsid w:val="009E2CE4"/>
    <w:rsid w:val="009E3022"/>
    <w:rsid w:val="009E4B17"/>
    <w:rsid w:val="009E5F5D"/>
    <w:rsid w:val="009E61EC"/>
    <w:rsid w:val="009E630D"/>
    <w:rsid w:val="009F06E4"/>
    <w:rsid w:val="009F19FF"/>
    <w:rsid w:val="009F33A6"/>
    <w:rsid w:val="009F3F07"/>
    <w:rsid w:val="00A0027C"/>
    <w:rsid w:val="00A003B6"/>
    <w:rsid w:val="00A02A81"/>
    <w:rsid w:val="00A12963"/>
    <w:rsid w:val="00A26F5D"/>
    <w:rsid w:val="00A26F82"/>
    <w:rsid w:val="00A33545"/>
    <w:rsid w:val="00A348DF"/>
    <w:rsid w:val="00A3539D"/>
    <w:rsid w:val="00A37327"/>
    <w:rsid w:val="00A41A9F"/>
    <w:rsid w:val="00A42235"/>
    <w:rsid w:val="00A42F8E"/>
    <w:rsid w:val="00A51249"/>
    <w:rsid w:val="00A53018"/>
    <w:rsid w:val="00A53732"/>
    <w:rsid w:val="00A537A1"/>
    <w:rsid w:val="00A5491E"/>
    <w:rsid w:val="00A55539"/>
    <w:rsid w:val="00A564B9"/>
    <w:rsid w:val="00A62400"/>
    <w:rsid w:val="00A62643"/>
    <w:rsid w:val="00A70E74"/>
    <w:rsid w:val="00A72288"/>
    <w:rsid w:val="00A72551"/>
    <w:rsid w:val="00A75E80"/>
    <w:rsid w:val="00A76370"/>
    <w:rsid w:val="00A82E4C"/>
    <w:rsid w:val="00A846A2"/>
    <w:rsid w:val="00A8715C"/>
    <w:rsid w:val="00A879A2"/>
    <w:rsid w:val="00A9486C"/>
    <w:rsid w:val="00A950FE"/>
    <w:rsid w:val="00A95421"/>
    <w:rsid w:val="00A9583D"/>
    <w:rsid w:val="00AA00DE"/>
    <w:rsid w:val="00AA0D88"/>
    <w:rsid w:val="00AA19BB"/>
    <w:rsid w:val="00AA2CAC"/>
    <w:rsid w:val="00AA7425"/>
    <w:rsid w:val="00AA7714"/>
    <w:rsid w:val="00AB1FB2"/>
    <w:rsid w:val="00AB2053"/>
    <w:rsid w:val="00AB3ACC"/>
    <w:rsid w:val="00AB5487"/>
    <w:rsid w:val="00AC17DC"/>
    <w:rsid w:val="00AC323D"/>
    <w:rsid w:val="00AD6025"/>
    <w:rsid w:val="00AD69A7"/>
    <w:rsid w:val="00AE20BC"/>
    <w:rsid w:val="00AE29F0"/>
    <w:rsid w:val="00AE4B62"/>
    <w:rsid w:val="00AE752D"/>
    <w:rsid w:val="00AF0727"/>
    <w:rsid w:val="00AF481E"/>
    <w:rsid w:val="00AF4A43"/>
    <w:rsid w:val="00B00F5C"/>
    <w:rsid w:val="00B00FE2"/>
    <w:rsid w:val="00B04122"/>
    <w:rsid w:val="00B04A4E"/>
    <w:rsid w:val="00B06BF4"/>
    <w:rsid w:val="00B06DEB"/>
    <w:rsid w:val="00B06E34"/>
    <w:rsid w:val="00B07A21"/>
    <w:rsid w:val="00B117AA"/>
    <w:rsid w:val="00B12487"/>
    <w:rsid w:val="00B128C0"/>
    <w:rsid w:val="00B140DD"/>
    <w:rsid w:val="00B15F0D"/>
    <w:rsid w:val="00B170D5"/>
    <w:rsid w:val="00B17425"/>
    <w:rsid w:val="00B236A3"/>
    <w:rsid w:val="00B25D05"/>
    <w:rsid w:val="00B261C1"/>
    <w:rsid w:val="00B27BAD"/>
    <w:rsid w:val="00B30BAF"/>
    <w:rsid w:val="00B3270B"/>
    <w:rsid w:val="00B33702"/>
    <w:rsid w:val="00B33BA0"/>
    <w:rsid w:val="00B33FF2"/>
    <w:rsid w:val="00B37CCE"/>
    <w:rsid w:val="00B405F7"/>
    <w:rsid w:val="00B42E89"/>
    <w:rsid w:val="00B45CE2"/>
    <w:rsid w:val="00B46CC8"/>
    <w:rsid w:val="00B5103C"/>
    <w:rsid w:val="00B5162D"/>
    <w:rsid w:val="00B51A50"/>
    <w:rsid w:val="00B52DE3"/>
    <w:rsid w:val="00B55F2E"/>
    <w:rsid w:val="00B57449"/>
    <w:rsid w:val="00B61B2F"/>
    <w:rsid w:val="00B632BE"/>
    <w:rsid w:val="00B670EF"/>
    <w:rsid w:val="00B7090D"/>
    <w:rsid w:val="00B712A9"/>
    <w:rsid w:val="00B73E89"/>
    <w:rsid w:val="00B75B4A"/>
    <w:rsid w:val="00B77DBA"/>
    <w:rsid w:val="00B80FB1"/>
    <w:rsid w:val="00B833A8"/>
    <w:rsid w:val="00B860A0"/>
    <w:rsid w:val="00B8703C"/>
    <w:rsid w:val="00B8705B"/>
    <w:rsid w:val="00B90CE8"/>
    <w:rsid w:val="00B91D8F"/>
    <w:rsid w:val="00B91DF0"/>
    <w:rsid w:val="00B9215B"/>
    <w:rsid w:val="00B9625B"/>
    <w:rsid w:val="00B972A4"/>
    <w:rsid w:val="00B972EC"/>
    <w:rsid w:val="00BA43A5"/>
    <w:rsid w:val="00BA4765"/>
    <w:rsid w:val="00BA7D0E"/>
    <w:rsid w:val="00BB467F"/>
    <w:rsid w:val="00BC1037"/>
    <w:rsid w:val="00BD3EDF"/>
    <w:rsid w:val="00BD490C"/>
    <w:rsid w:val="00BD70D5"/>
    <w:rsid w:val="00BE097F"/>
    <w:rsid w:val="00BE0F60"/>
    <w:rsid w:val="00BE1798"/>
    <w:rsid w:val="00BE1AB8"/>
    <w:rsid w:val="00BE7781"/>
    <w:rsid w:val="00BF205F"/>
    <w:rsid w:val="00BF35A5"/>
    <w:rsid w:val="00BF39B7"/>
    <w:rsid w:val="00BF6664"/>
    <w:rsid w:val="00BF6FC0"/>
    <w:rsid w:val="00BF7E21"/>
    <w:rsid w:val="00C024CC"/>
    <w:rsid w:val="00C02C68"/>
    <w:rsid w:val="00C03A89"/>
    <w:rsid w:val="00C03DB4"/>
    <w:rsid w:val="00C05915"/>
    <w:rsid w:val="00C10B33"/>
    <w:rsid w:val="00C12361"/>
    <w:rsid w:val="00C13EC9"/>
    <w:rsid w:val="00C15B3C"/>
    <w:rsid w:val="00C171C6"/>
    <w:rsid w:val="00C20688"/>
    <w:rsid w:val="00C210CC"/>
    <w:rsid w:val="00C21BC6"/>
    <w:rsid w:val="00C2204C"/>
    <w:rsid w:val="00C22A3E"/>
    <w:rsid w:val="00C2699C"/>
    <w:rsid w:val="00C308B2"/>
    <w:rsid w:val="00C334C1"/>
    <w:rsid w:val="00C33678"/>
    <w:rsid w:val="00C337A8"/>
    <w:rsid w:val="00C41238"/>
    <w:rsid w:val="00C437FC"/>
    <w:rsid w:val="00C44770"/>
    <w:rsid w:val="00C4501A"/>
    <w:rsid w:val="00C45B5B"/>
    <w:rsid w:val="00C465BC"/>
    <w:rsid w:val="00C4683F"/>
    <w:rsid w:val="00C603D0"/>
    <w:rsid w:val="00C62E7B"/>
    <w:rsid w:val="00C64FBD"/>
    <w:rsid w:val="00C7168E"/>
    <w:rsid w:val="00C75EE6"/>
    <w:rsid w:val="00C76D8A"/>
    <w:rsid w:val="00C83803"/>
    <w:rsid w:val="00C85326"/>
    <w:rsid w:val="00C901B0"/>
    <w:rsid w:val="00C95B46"/>
    <w:rsid w:val="00CA1538"/>
    <w:rsid w:val="00CA3ABA"/>
    <w:rsid w:val="00CA3D1C"/>
    <w:rsid w:val="00CA4494"/>
    <w:rsid w:val="00CA535D"/>
    <w:rsid w:val="00CA6DFE"/>
    <w:rsid w:val="00CB18D3"/>
    <w:rsid w:val="00CB360E"/>
    <w:rsid w:val="00CB434F"/>
    <w:rsid w:val="00CB5950"/>
    <w:rsid w:val="00CB73B2"/>
    <w:rsid w:val="00CC06FB"/>
    <w:rsid w:val="00CC1998"/>
    <w:rsid w:val="00CC22B8"/>
    <w:rsid w:val="00CC4E95"/>
    <w:rsid w:val="00CC5AFC"/>
    <w:rsid w:val="00CC75BC"/>
    <w:rsid w:val="00CD048D"/>
    <w:rsid w:val="00CD0A81"/>
    <w:rsid w:val="00CD27A9"/>
    <w:rsid w:val="00CD4C2F"/>
    <w:rsid w:val="00CD4EEC"/>
    <w:rsid w:val="00CE1DA9"/>
    <w:rsid w:val="00CE593B"/>
    <w:rsid w:val="00CE5E13"/>
    <w:rsid w:val="00CE62E8"/>
    <w:rsid w:val="00CE646E"/>
    <w:rsid w:val="00CF06E8"/>
    <w:rsid w:val="00CF1052"/>
    <w:rsid w:val="00CF1CDA"/>
    <w:rsid w:val="00CF58B4"/>
    <w:rsid w:val="00CF743B"/>
    <w:rsid w:val="00CF7937"/>
    <w:rsid w:val="00D0388D"/>
    <w:rsid w:val="00D03BC3"/>
    <w:rsid w:val="00D11C83"/>
    <w:rsid w:val="00D12827"/>
    <w:rsid w:val="00D12C48"/>
    <w:rsid w:val="00D13227"/>
    <w:rsid w:val="00D14150"/>
    <w:rsid w:val="00D15187"/>
    <w:rsid w:val="00D251B8"/>
    <w:rsid w:val="00D25B59"/>
    <w:rsid w:val="00D2744E"/>
    <w:rsid w:val="00D300F8"/>
    <w:rsid w:val="00D314F0"/>
    <w:rsid w:val="00D329AB"/>
    <w:rsid w:val="00D407A7"/>
    <w:rsid w:val="00D409F4"/>
    <w:rsid w:val="00D419E8"/>
    <w:rsid w:val="00D4227E"/>
    <w:rsid w:val="00D545E5"/>
    <w:rsid w:val="00D55664"/>
    <w:rsid w:val="00D561BD"/>
    <w:rsid w:val="00D618FA"/>
    <w:rsid w:val="00D6267E"/>
    <w:rsid w:val="00D652CD"/>
    <w:rsid w:val="00D668C9"/>
    <w:rsid w:val="00D669EB"/>
    <w:rsid w:val="00D7019B"/>
    <w:rsid w:val="00D71260"/>
    <w:rsid w:val="00D730C9"/>
    <w:rsid w:val="00D746CB"/>
    <w:rsid w:val="00D77AD5"/>
    <w:rsid w:val="00D82F60"/>
    <w:rsid w:val="00D8549C"/>
    <w:rsid w:val="00D86F8E"/>
    <w:rsid w:val="00D90F55"/>
    <w:rsid w:val="00D91A37"/>
    <w:rsid w:val="00D92A13"/>
    <w:rsid w:val="00D960B6"/>
    <w:rsid w:val="00D96CC1"/>
    <w:rsid w:val="00D97EE8"/>
    <w:rsid w:val="00DA2FFA"/>
    <w:rsid w:val="00DA4842"/>
    <w:rsid w:val="00DA493C"/>
    <w:rsid w:val="00DC367C"/>
    <w:rsid w:val="00DD03DA"/>
    <w:rsid w:val="00DD1E3C"/>
    <w:rsid w:val="00DD2E87"/>
    <w:rsid w:val="00DD5E69"/>
    <w:rsid w:val="00DD6CCD"/>
    <w:rsid w:val="00DE0D13"/>
    <w:rsid w:val="00DE0E1F"/>
    <w:rsid w:val="00DE6976"/>
    <w:rsid w:val="00DF1DC8"/>
    <w:rsid w:val="00DF2FBC"/>
    <w:rsid w:val="00DF55D0"/>
    <w:rsid w:val="00DF6781"/>
    <w:rsid w:val="00DF67BA"/>
    <w:rsid w:val="00E036F9"/>
    <w:rsid w:val="00E03DFC"/>
    <w:rsid w:val="00E07A2A"/>
    <w:rsid w:val="00E20F22"/>
    <w:rsid w:val="00E307AE"/>
    <w:rsid w:val="00E339B0"/>
    <w:rsid w:val="00E33A42"/>
    <w:rsid w:val="00E34189"/>
    <w:rsid w:val="00E3563D"/>
    <w:rsid w:val="00E36AA9"/>
    <w:rsid w:val="00E36F98"/>
    <w:rsid w:val="00E43D02"/>
    <w:rsid w:val="00E444DE"/>
    <w:rsid w:val="00E45A71"/>
    <w:rsid w:val="00E45C9C"/>
    <w:rsid w:val="00E4719C"/>
    <w:rsid w:val="00E47476"/>
    <w:rsid w:val="00E50B0D"/>
    <w:rsid w:val="00E51643"/>
    <w:rsid w:val="00E53B90"/>
    <w:rsid w:val="00E61EF6"/>
    <w:rsid w:val="00E620C1"/>
    <w:rsid w:val="00E62BDA"/>
    <w:rsid w:val="00E63019"/>
    <w:rsid w:val="00E70ADD"/>
    <w:rsid w:val="00E7154F"/>
    <w:rsid w:val="00E71628"/>
    <w:rsid w:val="00E718EB"/>
    <w:rsid w:val="00E734F0"/>
    <w:rsid w:val="00E7537A"/>
    <w:rsid w:val="00E83A83"/>
    <w:rsid w:val="00E84255"/>
    <w:rsid w:val="00E9364B"/>
    <w:rsid w:val="00E93EBC"/>
    <w:rsid w:val="00E93F92"/>
    <w:rsid w:val="00EA1573"/>
    <w:rsid w:val="00EA29D6"/>
    <w:rsid w:val="00EA5C11"/>
    <w:rsid w:val="00EA5CFE"/>
    <w:rsid w:val="00EA5DCE"/>
    <w:rsid w:val="00EB1A97"/>
    <w:rsid w:val="00EB234F"/>
    <w:rsid w:val="00EC14E9"/>
    <w:rsid w:val="00EC2624"/>
    <w:rsid w:val="00EC3981"/>
    <w:rsid w:val="00EC7141"/>
    <w:rsid w:val="00ED020D"/>
    <w:rsid w:val="00ED125C"/>
    <w:rsid w:val="00ED2293"/>
    <w:rsid w:val="00EE76F9"/>
    <w:rsid w:val="00EF0751"/>
    <w:rsid w:val="00EF1F3E"/>
    <w:rsid w:val="00EF5FFB"/>
    <w:rsid w:val="00EF7494"/>
    <w:rsid w:val="00EF7ECD"/>
    <w:rsid w:val="00F06166"/>
    <w:rsid w:val="00F106B6"/>
    <w:rsid w:val="00F134F9"/>
    <w:rsid w:val="00F13D67"/>
    <w:rsid w:val="00F145B2"/>
    <w:rsid w:val="00F14C3D"/>
    <w:rsid w:val="00F14E9D"/>
    <w:rsid w:val="00F17C25"/>
    <w:rsid w:val="00F201C5"/>
    <w:rsid w:val="00F21B66"/>
    <w:rsid w:val="00F245D5"/>
    <w:rsid w:val="00F271BD"/>
    <w:rsid w:val="00F30562"/>
    <w:rsid w:val="00F34F88"/>
    <w:rsid w:val="00F36183"/>
    <w:rsid w:val="00F43533"/>
    <w:rsid w:val="00F508D2"/>
    <w:rsid w:val="00F50CBA"/>
    <w:rsid w:val="00F51C74"/>
    <w:rsid w:val="00F54607"/>
    <w:rsid w:val="00F55D61"/>
    <w:rsid w:val="00F56B0B"/>
    <w:rsid w:val="00F57ADA"/>
    <w:rsid w:val="00F6161B"/>
    <w:rsid w:val="00F61BD6"/>
    <w:rsid w:val="00F63267"/>
    <w:rsid w:val="00F72095"/>
    <w:rsid w:val="00F748DF"/>
    <w:rsid w:val="00F766DB"/>
    <w:rsid w:val="00F817F8"/>
    <w:rsid w:val="00F81F41"/>
    <w:rsid w:val="00F8364E"/>
    <w:rsid w:val="00F843E6"/>
    <w:rsid w:val="00F90A51"/>
    <w:rsid w:val="00F919F0"/>
    <w:rsid w:val="00F9302B"/>
    <w:rsid w:val="00F935E1"/>
    <w:rsid w:val="00F97770"/>
    <w:rsid w:val="00FA5760"/>
    <w:rsid w:val="00FA6607"/>
    <w:rsid w:val="00FB000D"/>
    <w:rsid w:val="00FB05AA"/>
    <w:rsid w:val="00FB0FA3"/>
    <w:rsid w:val="00FC4E34"/>
    <w:rsid w:val="00FD0911"/>
    <w:rsid w:val="00FD2DFB"/>
    <w:rsid w:val="00FD4265"/>
    <w:rsid w:val="00FE2141"/>
    <w:rsid w:val="00FE3CE0"/>
    <w:rsid w:val="00FF0B48"/>
    <w:rsid w:val="00FF2916"/>
    <w:rsid w:val="00FF2AC4"/>
    <w:rsid w:val="00FF3480"/>
    <w:rsid w:val="00FF78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C7554"/>
    <w:pPr>
      <w:suppressAutoHyphens/>
      <w:overflowPunct w:val="0"/>
      <w:autoSpaceDE w:val="0"/>
      <w:spacing w:line="360" w:lineRule="auto"/>
      <w:jc w:val="both"/>
      <w:textAlignment w:val="baseline"/>
    </w:pPr>
    <w:rPr>
      <w:rFonts w:ascii="Arial" w:eastAsia="MS Mincho" w:hAnsi="Arial"/>
      <w:sz w:val="24"/>
      <w:lang w:val="es-ES_tradnl" w:eastAsia="ar-SA"/>
    </w:rPr>
  </w:style>
  <w:style w:type="paragraph" w:styleId="Ttulo2">
    <w:name w:val="heading 2"/>
    <w:basedOn w:val="Normal"/>
    <w:next w:val="Normal"/>
    <w:link w:val="Ttulo2Car"/>
    <w:uiPriority w:val="99"/>
    <w:qFormat/>
    <w:rsid w:val="008C7554"/>
    <w:pPr>
      <w:keepNext/>
      <w:spacing w:before="240" w:after="60"/>
      <w:outlineLvl w:val="1"/>
    </w:pPr>
    <w:rPr>
      <w:b/>
      <w:i/>
      <w:sz w:val="28"/>
    </w:rPr>
  </w:style>
  <w:style w:type="paragraph" w:styleId="Ttulo3">
    <w:name w:val="heading 3"/>
    <w:basedOn w:val="Normal"/>
    <w:next w:val="Normal"/>
    <w:link w:val="Ttulo3Car"/>
    <w:uiPriority w:val="99"/>
    <w:qFormat/>
    <w:rsid w:val="008C7554"/>
    <w:pPr>
      <w:keepNext/>
      <w:spacing w:before="240" w:after="60"/>
      <w:outlineLvl w:val="2"/>
    </w:pPr>
    <w:rPr>
      <w:rFonts w:eastAsia="Times New Roman"/>
      <w:b/>
      <w:sz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2Char">
    <w:name w:val="Heading 2 Char"/>
    <w:uiPriority w:val="99"/>
    <w:semiHidden/>
    <w:locked/>
    <w:rsid w:val="00B57449"/>
    <w:rPr>
      <w:rFonts w:ascii="Cambria" w:hAnsi="Cambria" w:cs="Times New Roman"/>
      <w:b/>
      <w:bCs/>
      <w:i/>
      <w:iCs/>
      <w:sz w:val="28"/>
      <w:szCs w:val="28"/>
      <w:lang w:val="es-ES_tradnl" w:eastAsia="ar-SA" w:bidi="ar-SA"/>
    </w:rPr>
  </w:style>
  <w:style w:type="character" w:customStyle="1" w:styleId="Heading3Char">
    <w:name w:val="Heading 3 Char"/>
    <w:uiPriority w:val="99"/>
    <w:semiHidden/>
    <w:locked/>
    <w:rsid w:val="008C7554"/>
    <w:rPr>
      <w:rFonts w:ascii="Cambria" w:hAnsi="Cambria" w:cs="Times New Roman"/>
      <w:b/>
      <w:sz w:val="26"/>
      <w:lang w:val="es-ES_tradnl" w:eastAsia="ar-SA" w:bidi="ar-SA"/>
    </w:rPr>
  </w:style>
  <w:style w:type="character" w:customStyle="1" w:styleId="Ttulo2Car">
    <w:name w:val="Título 2 Car"/>
    <w:link w:val="Ttulo2"/>
    <w:uiPriority w:val="99"/>
    <w:semiHidden/>
    <w:locked/>
    <w:rsid w:val="008C7554"/>
    <w:rPr>
      <w:rFonts w:ascii="Arial" w:eastAsia="MS Mincho" w:hAnsi="Arial"/>
      <w:b/>
      <w:i/>
      <w:sz w:val="28"/>
      <w:lang w:val="es-ES_tradnl" w:eastAsia="ar-SA" w:bidi="ar-SA"/>
    </w:rPr>
  </w:style>
  <w:style w:type="character" w:styleId="Nmerodepgina">
    <w:name w:val="page number"/>
    <w:rsid w:val="008C7554"/>
    <w:rPr>
      <w:rFonts w:cs="Times New Roman"/>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uiPriority w:val="99"/>
    <w:rsid w:val="008C7554"/>
    <w:rPr>
      <w:rFonts w:cs="Times New Roman"/>
      <w:vertAlign w:val="superscript"/>
    </w:rPr>
  </w:style>
  <w:style w:type="paragraph" w:styleId="Textoindependiente">
    <w:name w:val="Body Text"/>
    <w:basedOn w:val="Normal"/>
    <w:link w:val="TextoindependienteCar"/>
    <w:uiPriority w:val="99"/>
    <w:rsid w:val="008C7554"/>
    <w:rPr>
      <w:sz w:val="20"/>
      <w:lang w:val="en-US"/>
    </w:rPr>
  </w:style>
  <w:style w:type="character" w:customStyle="1" w:styleId="BodyTextChar">
    <w:name w:val="Body Text Char"/>
    <w:uiPriority w:val="99"/>
    <w:semiHidden/>
    <w:locked/>
    <w:rsid w:val="008C7554"/>
    <w:rPr>
      <w:rFonts w:ascii="Arial" w:eastAsia="MS Mincho" w:hAnsi="Arial" w:cs="Times New Roman"/>
      <w:sz w:val="20"/>
      <w:lang w:val="es-ES_tradnl" w:eastAsia="ar-SA" w:bidi="ar-SA"/>
    </w:rPr>
  </w:style>
  <w:style w:type="character" w:customStyle="1" w:styleId="TextoindependienteCar">
    <w:name w:val="Texto independiente Car"/>
    <w:link w:val="Textoindependiente"/>
    <w:uiPriority w:val="99"/>
    <w:locked/>
    <w:rsid w:val="008C7554"/>
    <w:rPr>
      <w:rFonts w:ascii="Arial" w:eastAsia="MS Mincho" w:hAnsi="Arial"/>
      <w:lang w:val="en-US" w:eastAsia="ar-SA" w:bidi="ar-SA"/>
    </w:rPr>
  </w:style>
  <w:style w:type="paragraph" w:styleId="Encabezado">
    <w:name w:val="header"/>
    <w:basedOn w:val="Normal"/>
    <w:link w:val="EncabezadoCar"/>
    <w:uiPriority w:val="99"/>
    <w:rsid w:val="008C7554"/>
    <w:pPr>
      <w:tabs>
        <w:tab w:val="center" w:pos="4252"/>
        <w:tab w:val="right" w:pos="8504"/>
      </w:tabs>
    </w:pPr>
    <w:rPr>
      <w:sz w:val="20"/>
      <w:lang w:val="en-US"/>
    </w:rPr>
  </w:style>
  <w:style w:type="character" w:customStyle="1" w:styleId="HeaderChar">
    <w:name w:val="Header Char"/>
    <w:uiPriority w:val="99"/>
    <w:semiHidden/>
    <w:locked/>
    <w:rsid w:val="008C7554"/>
    <w:rPr>
      <w:rFonts w:ascii="Arial" w:eastAsia="MS Mincho" w:hAnsi="Arial" w:cs="Times New Roman"/>
      <w:sz w:val="20"/>
      <w:lang w:val="es-ES_tradnl" w:eastAsia="ar-SA" w:bidi="ar-SA"/>
    </w:rPr>
  </w:style>
  <w:style w:type="character" w:customStyle="1" w:styleId="EncabezadoCar">
    <w:name w:val="Encabezado Car"/>
    <w:link w:val="Encabezado"/>
    <w:uiPriority w:val="99"/>
    <w:locked/>
    <w:rsid w:val="008C7554"/>
    <w:rPr>
      <w:rFonts w:ascii="Arial" w:eastAsia="MS Mincho" w:hAnsi="Arial"/>
      <w:lang w:val="en-US" w:eastAsia="ar-SA" w:bidi="ar-SA"/>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Texto nota pie Car"/>
    <w:basedOn w:val="Normal"/>
    <w:link w:val="TextonotapieCar2"/>
    <w:uiPriority w:val="99"/>
    <w:semiHidden/>
    <w:rsid w:val="008C7554"/>
    <w:rPr>
      <w:sz w:val="20"/>
      <w:lang w:val="es-CO"/>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
    <w:uiPriority w:val="99"/>
    <w:semiHidden/>
    <w:locked/>
    <w:rsid w:val="008C7554"/>
    <w:rPr>
      <w:rFonts w:ascii="Arial" w:eastAsia="MS Mincho" w:hAnsi="Arial" w:cs="Times New Roman"/>
      <w:sz w:val="20"/>
      <w:lang w:val="es-ES_tradnl" w:eastAsia="ar-SA" w:bidi="ar-SA"/>
    </w:rPr>
  </w:style>
  <w:style w:type="character" w:customStyle="1" w:styleId="TextonotapieCar2">
    <w:name w:val="Texto nota pie Car2"/>
    <w:aliases w:val="Footnote Text Char Char Char Char Char Car2,Footnote Text Char Char Char Char Car2,Footnote reference Car2,FA Fu Car2,Footnote Text Cha Car2,Footnote Text Char Char Char Car2,FA Fußnotentext Car2,FA Fuﬂnotentext Car2"/>
    <w:link w:val="Textonotapie"/>
    <w:uiPriority w:val="99"/>
    <w:semiHidden/>
    <w:locked/>
    <w:rsid w:val="008C7554"/>
    <w:rPr>
      <w:rFonts w:ascii="Arial" w:eastAsia="MS Mincho" w:hAnsi="Arial"/>
      <w:lang w:val="es-CO" w:eastAsia="ar-SA" w:bidi="ar-SA"/>
    </w:rPr>
  </w:style>
  <w:style w:type="paragraph" w:customStyle="1" w:styleId="Prrafodelista1">
    <w:name w:val="Párrafo de lista1"/>
    <w:basedOn w:val="Normal"/>
    <w:uiPriority w:val="99"/>
    <w:rsid w:val="008C7554"/>
    <w:pPr>
      <w:ind w:left="708"/>
    </w:pPr>
  </w:style>
  <w:style w:type="paragraph" w:styleId="Textoindependiente3">
    <w:name w:val="Body Text 3"/>
    <w:basedOn w:val="Normal"/>
    <w:link w:val="Textoindependiente3Car"/>
    <w:uiPriority w:val="99"/>
    <w:rsid w:val="008C7554"/>
    <w:pPr>
      <w:spacing w:after="120"/>
    </w:pPr>
    <w:rPr>
      <w:sz w:val="16"/>
    </w:rPr>
  </w:style>
  <w:style w:type="character" w:customStyle="1" w:styleId="BodyText3Char">
    <w:name w:val="Body Text 3 Char"/>
    <w:uiPriority w:val="99"/>
    <w:semiHidden/>
    <w:locked/>
    <w:rsid w:val="008C7554"/>
    <w:rPr>
      <w:rFonts w:ascii="Arial" w:eastAsia="MS Mincho" w:hAnsi="Arial" w:cs="Times New Roman"/>
      <w:sz w:val="16"/>
      <w:lang w:val="es-ES_tradnl" w:eastAsia="ar-SA" w:bidi="ar-SA"/>
    </w:rPr>
  </w:style>
  <w:style w:type="character" w:customStyle="1" w:styleId="Textoindependiente3Car">
    <w:name w:val="Texto independiente 3 Car"/>
    <w:link w:val="Textoindependiente3"/>
    <w:uiPriority w:val="99"/>
    <w:semiHidden/>
    <w:locked/>
    <w:rsid w:val="008C7554"/>
    <w:rPr>
      <w:rFonts w:ascii="Arial" w:eastAsia="MS Mincho" w:hAnsi="Arial"/>
      <w:sz w:val="16"/>
      <w:lang w:val="es-ES_tradnl" w:eastAsia="ar-SA" w:bidi="ar-SA"/>
    </w:rPr>
  </w:style>
  <w:style w:type="paragraph" w:customStyle="1" w:styleId="Textoindependiente21">
    <w:name w:val="Texto independiente 21"/>
    <w:basedOn w:val="Normal"/>
    <w:uiPriority w:val="99"/>
    <w:rsid w:val="008C7554"/>
    <w:pPr>
      <w:suppressAutoHyphens w:val="0"/>
      <w:autoSpaceDN w:val="0"/>
      <w:adjustRightInd w:val="0"/>
      <w:spacing w:line="480" w:lineRule="auto"/>
    </w:pPr>
    <w:rPr>
      <w:rFonts w:eastAsia="Times New Roman"/>
      <w:lang w:val="es-ES" w:eastAsia="es-ES"/>
    </w:rPr>
  </w:style>
  <w:style w:type="paragraph" w:styleId="Piedepgina">
    <w:name w:val="footer"/>
    <w:basedOn w:val="Normal"/>
    <w:link w:val="PiedepginaCar"/>
    <w:uiPriority w:val="99"/>
    <w:rsid w:val="008C7554"/>
    <w:pPr>
      <w:tabs>
        <w:tab w:val="center" w:pos="4252"/>
        <w:tab w:val="right" w:pos="8504"/>
      </w:tabs>
    </w:pPr>
    <w:rPr>
      <w:sz w:val="20"/>
    </w:rPr>
  </w:style>
  <w:style w:type="character" w:customStyle="1" w:styleId="FooterChar">
    <w:name w:val="Footer Char"/>
    <w:uiPriority w:val="99"/>
    <w:semiHidden/>
    <w:locked/>
    <w:rsid w:val="008C7554"/>
    <w:rPr>
      <w:rFonts w:ascii="Arial" w:eastAsia="MS Mincho" w:hAnsi="Arial" w:cs="Times New Roman"/>
      <w:sz w:val="20"/>
      <w:lang w:val="es-ES_tradnl" w:eastAsia="ar-SA" w:bidi="ar-SA"/>
    </w:rPr>
  </w:style>
  <w:style w:type="character" w:customStyle="1" w:styleId="PiedepginaCar">
    <w:name w:val="Pie de página Car"/>
    <w:link w:val="Piedepgina"/>
    <w:uiPriority w:val="99"/>
    <w:locked/>
    <w:rsid w:val="008C7554"/>
    <w:rPr>
      <w:rFonts w:ascii="Arial" w:eastAsia="MS Mincho" w:hAnsi="Arial"/>
      <w:lang w:val="es-ES_tradnl" w:eastAsia="ar-SA" w:bidi="ar-SA"/>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FA Fu Car3"/>
    <w:semiHidden/>
    <w:locked/>
    <w:rsid w:val="008C7554"/>
    <w:rPr>
      <w:rFonts w:ascii="Arial" w:hAnsi="Arial"/>
      <w:sz w:val="20"/>
      <w:lang w:val="es-CO" w:eastAsia="ar-SA" w:bidi="ar-SA"/>
    </w:rPr>
  </w:style>
  <w:style w:type="character" w:customStyle="1" w:styleId="Ttulo3Car">
    <w:name w:val="Título 3 Car"/>
    <w:link w:val="Ttulo3"/>
    <w:uiPriority w:val="99"/>
    <w:locked/>
    <w:rsid w:val="008C7554"/>
    <w:rPr>
      <w:rFonts w:ascii="Arial" w:hAnsi="Arial"/>
      <w:b/>
      <w:sz w:val="26"/>
      <w:lang w:val="en-US" w:eastAsia="ar-SA" w:bidi="ar-SA"/>
    </w:rPr>
  </w:style>
  <w:style w:type="paragraph" w:customStyle="1" w:styleId="Sinespaciado1">
    <w:name w:val="Sin espaciado1"/>
    <w:uiPriority w:val="99"/>
    <w:rsid w:val="008C7554"/>
    <w:pPr>
      <w:suppressAutoHyphens/>
      <w:overflowPunct w:val="0"/>
      <w:autoSpaceDE w:val="0"/>
      <w:jc w:val="both"/>
      <w:textAlignment w:val="baseline"/>
    </w:pPr>
    <w:rPr>
      <w:rFonts w:ascii="Arial" w:hAnsi="Arial"/>
      <w:sz w:val="24"/>
      <w:lang w:val="es-ES_tradnl" w:eastAsia="ar-SA"/>
    </w:rPr>
  </w:style>
  <w:style w:type="paragraph" w:styleId="NormalWeb">
    <w:name w:val="Normal (Web)"/>
    <w:basedOn w:val="Normal"/>
    <w:uiPriority w:val="99"/>
    <w:rsid w:val="008C7554"/>
    <w:rPr>
      <w:rFonts w:ascii="Times New Roman" w:eastAsia="Times New Roman" w:hAnsi="Times New Roman"/>
      <w:szCs w:val="24"/>
    </w:rPr>
  </w:style>
  <w:style w:type="paragraph" w:customStyle="1" w:styleId="Prrafodelista2">
    <w:name w:val="Párrafo de lista2"/>
    <w:basedOn w:val="Normal"/>
    <w:uiPriority w:val="99"/>
    <w:rsid w:val="008C7554"/>
    <w:pPr>
      <w:ind w:left="708"/>
    </w:pPr>
  </w:style>
  <w:style w:type="paragraph" w:styleId="Textodeglobo">
    <w:name w:val="Balloon Text"/>
    <w:basedOn w:val="Normal"/>
    <w:link w:val="TextodegloboCar"/>
    <w:uiPriority w:val="99"/>
    <w:semiHidden/>
    <w:rsid w:val="008C7554"/>
    <w:pPr>
      <w:spacing w:line="240" w:lineRule="auto"/>
    </w:pPr>
    <w:rPr>
      <w:rFonts w:ascii="Tahoma" w:hAnsi="Tahoma"/>
      <w:sz w:val="16"/>
    </w:rPr>
  </w:style>
  <w:style w:type="character" w:customStyle="1" w:styleId="BalloonTextChar">
    <w:name w:val="Balloon Text Char"/>
    <w:uiPriority w:val="99"/>
    <w:semiHidden/>
    <w:locked/>
    <w:rsid w:val="008C7554"/>
    <w:rPr>
      <w:rFonts w:eastAsia="MS Mincho" w:cs="Times New Roman"/>
      <w:sz w:val="2"/>
      <w:lang w:val="es-ES_tradnl" w:eastAsia="ar-SA" w:bidi="ar-SA"/>
    </w:rPr>
  </w:style>
  <w:style w:type="character" w:customStyle="1" w:styleId="TextodegloboCar">
    <w:name w:val="Texto de globo Car"/>
    <w:link w:val="Textodeglobo"/>
    <w:uiPriority w:val="99"/>
    <w:semiHidden/>
    <w:locked/>
    <w:rsid w:val="008C7554"/>
    <w:rPr>
      <w:rFonts w:ascii="Tahoma" w:eastAsia="MS Mincho" w:hAnsi="Tahoma"/>
      <w:sz w:val="16"/>
      <w:lang w:val="es-ES_tradnl" w:eastAsia="ar-SA" w:bidi="ar-SA"/>
    </w:rPr>
  </w:style>
  <w:style w:type="character" w:customStyle="1" w:styleId="FootnoteTextChar2">
    <w:name w:val="Footnote Text Char2"/>
    <w:aliases w:val="Footnote Text Char Char Char Char Char Char2,Footnote Text Char Char Char Char Char3,Footnote reference Char2,FA Fu Char2,Footnote Text Cha Char2,Footnote Text Char Char Char Char3,FA Fußnotentext Char2,FA Fuﬂnotentext Char2"/>
    <w:uiPriority w:val="99"/>
    <w:semiHidden/>
    <w:locked/>
    <w:rsid w:val="008C7554"/>
    <w:rPr>
      <w:rFonts w:ascii="Arial" w:hAnsi="Arial"/>
      <w:sz w:val="20"/>
      <w:lang w:val="es-CO" w:eastAsia="ar-SA" w:bidi="ar-SA"/>
    </w:rPr>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Footnote Text Char Char Car"/>
    <w:uiPriority w:val="99"/>
    <w:rsid w:val="008C7554"/>
    <w:rPr>
      <w:rFonts w:ascii="Arial" w:hAnsi="Arial"/>
      <w:sz w:val="20"/>
      <w:lang w:val="es-CO" w:eastAsia="ar-SA" w:bidi="ar-SA"/>
    </w:rPr>
  </w:style>
  <w:style w:type="paragraph" w:styleId="Listaconvietas">
    <w:name w:val="List Bullet"/>
    <w:basedOn w:val="Normal"/>
    <w:uiPriority w:val="99"/>
    <w:rsid w:val="008C7554"/>
    <w:pPr>
      <w:numPr>
        <w:numId w:val="4"/>
      </w:numPr>
      <w:tabs>
        <w:tab w:val="clear" w:pos="360"/>
      </w:tabs>
      <w:suppressAutoHyphens w:val="0"/>
      <w:overflowPunct/>
      <w:autoSpaceDE/>
      <w:spacing w:line="240" w:lineRule="auto"/>
      <w:ind w:left="787"/>
      <w:jc w:val="left"/>
      <w:textAlignment w:val="auto"/>
    </w:pPr>
    <w:rPr>
      <w:rFonts w:ascii="Times New Roman" w:eastAsia="Times New Roman" w:hAnsi="Times New Roman"/>
      <w:szCs w:val="24"/>
      <w:lang w:val="es-ES" w:eastAsia="es-ES"/>
    </w:rPr>
  </w:style>
  <w:style w:type="character" w:customStyle="1" w:styleId="FootnoteTextChar4">
    <w:name w:val="Footnote Text Char4"/>
    <w:aliases w:val="Footnote Text Char Char Char Char Char Char4,Footnote Text Char Char Char Char Char5,Footnote reference Char4,FA Fu Char4,Footnote Text Cha Char4,Footnote Text Char Char Char Char5,FA Fußnotentext Char4,FA Fuﬂnotentext Char4"/>
    <w:uiPriority w:val="99"/>
    <w:semiHidden/>
    <w:locked/>
    <w:rsid w:val="008C7554"/>
    <w:rPr>
      <w:rFonts w:ascii="Arial" w:eastAsia="MS Mincho" w:hAnsi="Arial"/>
      <w:lang w:val="es-CO" w:eastAsia="ar-SA" w:bidi="ar-SA"/>
    </w:rPr>
  </w:style>
  <w:style w:type="character" w:customStyle="1" w:styleId="FootnoteTextChar3">
    <w:name w:val="Footnote Text Char3"/>
    <w:aliases w:val="Footnote Text Char Char Char Char Char Char3,Footnote Text Char Char Char Char Char4,Footnote reference Char3,FA Fu Char3,Footnote Text Cha Char3,Footnote Text Char Char Char Char4,FA Fußnotentext Char3,FA Fuﬂnotentext Char3"/>
    <w:uiPriority w:val="99"/>
    <w:semiHidden/>
    <w:locked/>
    <w:rsid w:val="008C7554"/>
    <w:rPr>
      <w:rFonts w:ascii="Arial" w:eastAsia="MS Mincho" w:hAnsi="Arial"/>
      <w:lang w:val="es-CO" w:eastAsia="ar-SA" w:bidi="ar-SA"/>
    </w:rPr>
  </w:style>
  <w:style w:type="paragraph" w:customStyle="1" w:styleId="Listavistosa-nfasis11">
    <w:name w:val="Lista vistosa - Énfasis 11"/>
    <w:basedOn w:val="Normal"/>
    <w:uiPriority w:val="34"/>
    <w:qFormat/>
    <w:rsid w:val="003C7CE0"/>
    <w:pPr>
      <w:ind w:left="708"/>
    </w:pPr>
  </w:style>
  <w:style w:type="paragraph" w:styleId="Textonotaalfinal">
    <w:name w:val="endnote text"/>
    <w:basedOn w:val="Normal"/>
    <w:link w:val="TextonotaalfinalCar"/>
    <w:uiPriority w:val="99"/>
    <w:semiHidden/>
    <w:unhideWhenUsed/>
    <w:rsid w:val="00EA5CFE"/>
    <w:rPr>
      <w:sz w:val="20"/>
    </w:rPr>
  </w:style>
  <w:style w:type="character" w:customStyle="1" w:styleId="TextonotaalfinalCar">
    <w:name w:val="Texto nota al final Car"/>
    <w:link w:val="Textonotaalfinal"/>
    <w:uiPriority w:val="99"/>
    <w:semiHidden/>
    <w:rsid w:val="00EA5CFE"/>
    <w:rPr>
      <w:rFonts w:ascii="Arial" w:eastAsia="MS Mincho" w:hAnsi="Arial"/>
      <w:lang w:val="es-ES_tradnl" w:eastAsia="ar-SA"/>
    </w:rPr>
  </w:style>
  <w:style w:type="character" w:styleId="Refdenotaalfinal">
    <w:name w:val="endnote reference"/>
    <w:uiPriority w:val="99"/>
    <w:semiHidden/>
    <w:unhideWhenUsed/>
    <w:rsid w:val="00EA5C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C7554"/>
    <w:pPr>
      <w:suppressAutoHyphens/>
      <w:overflowPunct w:val="0"/>
      <w:autoSpaceDE w:val="0"/>
      <w:spacing w:line="360" w:lineRule="auto"/>
      <w:jc w:val="both"/>
      <w:textAlignment w:val="baseline"/>
    </w:pPr>
    <w:rPr>
      <w:rFonts w:ascii="Arial" w:eastAsia="MS Mincho" w:hAnsi="Arial"/>
      <w:sz w:val="24"/>
      <w:lang w:val="es-ES_tradnl" w:eastAsia="ar-SA"/>
    </w:rPr>
  </w:style>
  <w:style w:type="paragraph" w:styleId="Ttulo2">
    <w:name w:val="heading 2"/>
    <w:basedOn w:val="Normal"/>
    <w:next w:val="Normal"/>
    <w:link w:val="Ttulo2Car"/>
    <w:uiPriority w:val="99"/>
    <w:qFormat/>
    <w:rsid w:val="008C7554"/>
    <w:pPr>
      <w:keepNext/>
      <w:spacing w:before="240" w:after="60"/>
      <w:outlineLvl w:val="1"/>
    </w:pPr>
    <w:rPr>
      <w:b/>
      <w:i/>
      <w:sz w:val="28"/>
    </w:rPr>
  </w:style>
  <w:style w:type="paragraph" w:styleId="Ttulo3">
    <w:name w:val="heading 3"/>
    <w:basedOn w:val="Normal"/>
    <w:next w:val="Normal"/>
    <w:link w:val="Ttulo3Car"/>
    <w:uiPriority w:val="99"/>
    <w:qFormat/>
    <w:rsid w:val="008C7554"/>
    <w:pPr>
      <w:keepNext/>
      <w:spacing w:before="240" w:after="60"/>
      <w:outlineLvl w:val="2"/>
    </w:pPr>
    <w:rPr>
      <w:rFonts w:eastAsia="Times New Roman"/>
      <w:b/>
      <w:sz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2Char">
    <w:name w:val="Heading 2 Char"/>
    <w:uiPriority w:val="99"/>
    <w:semiHidden/>
    <w:locked/>
    <w:rsid w:val="00B57449"/>
    <w:rPr>
      <w:rFonts w:ascii="Cambria" w:hAnsi="Cambria" w:cs="Times New Roman"/>
      <w:b/>
      <w:bCs/>
      <w:i/>
      <w:iCs/>
      <w:sz w:val="28"/>
      <w:szCs w:val="28"/>
      <w:lang w:val="es-ES_tradnl" w:eastAsia="ar-SA" w:bidi="ar-SA"/>
    </w:rPr>
  </w:style>
  <w:style w:type="character" w:customStyle="1" w:styleId="Heading3Char">
    <w:name w:val="Heading 3 Char"/>
    <w:uiPriority w:val="99"/>
    <w:semiHidden/>
    <w:locked/>
    <w:rsid w:val="008C7554"/>
    <w:rPr>
      <w:rFonts w:ascii="Cambria" w:hAnsi="Cambria" w:cs="Times New Roman"/>
      <w:b/>
      <w:sz w:val="26"/>
      <w:lang w:val="es-ES_tradnl" w:eastAsia="ar-SA" w:bidi="ar-SA"/>
    </w:rPr>
  </w:style>
  <w:style w:type="character" w:customStyle="1" w:styleId="Ttulo2Car">
    <w:name w:val="Título 2 Car"/>
    <w:link w:val="Ttulo2"/>
    <w:uiPriority w:val="99"/>
    <w:semiHidden/>
    <w:locked/>
    <w:rsid w:val="008C7554"/>
    <w:rPr>
      <w:rFonts w:ascii="Arial" w:eastAsia="MS Mincho" w:hAnsi="Arial"/>
      <w:b/>
      <w:i/>
      <w:sz w:val="28"/>
      <w:lang w:val="es-ES_tradnl" w:eastAsia="ar-SA" w:bidi="ar-SA"/>
    </w:rPr>
  </w:style>
  <w:style w:type="character" w:styleId="Nmerodepgina">
    <w:name w:val="page number"/>
    <w:rsid w:val="008C7554"/>
    <w:rPr>
      <w:rFonts w:cs="Times New Roman"/>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uiPriority w:val="99"/>
    <w:rsid w:val="008C7554"/>
    <w:rPr>
      <w:rFonts w:cs="Times New Roman"/>
      <w:vertAlign w:val="superscript"/>
    </w:rPr>
  </w:style>
  <w:style w:type="paragraph" w:styleId="Textoindependiente">
    <w:name w:val="Body Text"/>
    <w:basedOn w:val="Normal"/>
    <w:link w:val="TextoindependienteCar"/>
    <w:uiPriority w:val="99"/>
    <w:rsid w:val="008C7554"/>
    <w:rPr>
      <w:sz w:val="20"/>
      <w:lang w:val="en-US"/>
    </w:rPr>
  </w:style>
  <w:style w:type="character" w:customStyle="1" w:styleId="BodyTextChar">
    <w:name w:val="Body Text Char"/>
    <w:uiPriority w:val="99"/>
    <w:semiHidden/>
    <w:locked/>
    <w:rsid w:val="008C7554"/>
    <w:rPr>
      <w:rFonts w:ascii="Arial" w:eastAsia="MS Mincho" w:hAnsi="Arial" w:cs="Times New Roman"/>
      <w:sz w:val="20"/>
      <w:lang w:val="es-ES_tradnl" w:eastAsia="ar-SA" w:bidi="ar-SA"/>
    </w:rPr>
  </w:style>
  <w:style w:type="character" w:customStyle="1" w:styleId="TextoindependienteCar">
    <w:name w:val="Texto independiente Car"/>
    <w:link w:val="Textoindependiente"/>
    <w:uiPriority w:val="99"/>
    <w:locked/>
    <w:rsid w:val="008C7554"/>
    <w:rPr>
      <w:rFonts w:ascii="Arial" w:eastAsia="MS Mincho" w:hAnsi="Arial"/>
      <w:lang w:val="en-US" w:eastAsia="ar-SA" w:bidi="ar-SA"/>
    </w:rPr>
  </w:style>
  <w:style w:type="paragraph" w:styleId="Encabezado">
    <w:name w:val="header"/>
    <w:basedOn w:val="Normal"/>
    <w:link w:val="EncabezadoCar"/>
    <w:uiPriority w:val="99"/>
    <w:rsid w:val="008C7554"/>
    <w:pPr>
      <w:tabs>
        <w:tab w:val="center" w:pos="4252"/>
        <w:tab w:val="right" w:pos="8504"/>
      </w:tabs>
    </w:pPr>
    <w:rPr>
      <w:sz w:val="20"/>
      <w:lang w:val="en-US"/>
    </w:rPr>
  </w:style>
  <w:style w:type="character" w:customStyle="1" w:styleId="HeaderChar">
    <w:name w:val="Header Char"/>
    <w:uiPriority w:val="99"/>
    <w:semiHidden/>
    <w:locked/>
    <w:rsid w:val="008C7554"/>
    <w:rPr>
      <w:rFonts w:ascii="Arial" w:eastAsia="MS Mincho" w:hAnsi="Arial" w:cs="Times New Roman"/>
      <w:sz w:val="20"/>
      <w:lang w:val="es-ES_tradnl" w:eastAsia="ar-SA" w:bidi="ar-SA"/>
    </w:rPr>
  </w:style>
  <w:style w:type="character" w:customStyle="1" w:styleId="EncabezadoCar">
    <w:name w:val="Encabezado Car"/>
    <w:link w:val="Encabezado"/>
    <w:uiPriority w:val="99"/>
    <w:locked/>
    <w:rsid w:val="008C7554"/>
    <w:rPr>
      <w:rFonts w:ascii="Arial" w:eastAsia="MS Mincho" w:hAnsi="Arial"/>
      <w:lang w:val="en-US" w:eastAsia="ar-SA" w:bidi="ar-SA"/>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Texto nota pie Car"/>
    <w:basedOn w:val="Normal"/>
    <w:link w:val="TextonotapieCar2"/>
    <w:uiPriority w:val="99"/>
    <w:semiHidden/>
    <w:rsid w:val="008C7554"/>
    <w:rPr>
      <w:sz w:val="20"/>
      <w:lang w:val="es-CO"/>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
    <w:uiPriority w:val="99"/>
    <w:semiHidden/>
    <w:locked/>
    <w:rsid w:val="008C7554"/>
    <w:rPr>
      <w:rFonts w:ascii="Arial" w:eastAsia="MS Mincho" w:hAnsi="Arial" w:cs="Times New Roman"/>
      <w:sz w:val="20"/>
      <w:lang w:val="es-ES_tradnl" w:eastAsia="ar-SA" w:bidi="ar-SA"/>
    </w:rPr>
  </w:style>
  <w:style w:type="character" w:customStyle="1" w:styleId="TextonotapieCar2">
    <w:name w:val="Texto nota pie Car2"/>
    <w:aliases w:val="Footnote Text Char Char Char Char Char Car2,Footnote Text Char Char Char Char Car2,Footnote reference Car2,FA Fu Car2,Footnote Text Cha Car2,Footnote Text Char Char Char Car2,FA Fußnotentext Car2,FA Fuﬂnotentext Car2"/>
    <w:link w:val="Textonotapie"/>
    <w:uiPriority w:val="99"/>
    <w:semiHidden/>
    <w:locked/>
    <w:rsid w:val="008C7554"/>
    <w:rPr>
      <w:rFonts w:ascii="Arial" w:eastAsia="MS Mincho" w:hAnsi="Arial"/>
      <w:lang w:val="es-CO" w:eastAsia="ar-SA" w:bidi="ar-SA"/>
    </w:rPr>
  </w:style>
  <w:style w:type="paragraph" w:customStyle="1" w:styleId="Prrafodelista1">
    <w:name w:val="Párrafo de lista1"/>
    <w:basedOn w:val="Normal"/>
    <w:uiPriority w:val="99"/>
    <w:rsid w:val="008C7554"/>
    <w:pPr>
      <w:ind w:left="708"/>
    </w:pPr>
  </w:style>
  <w:style w:type="paragraph" w:styleId="Textoindependiente3">
    <w:name w:val="Body Text 3"/>
    <w:basedOn w:val="Normal"/>
    <w:link w:val="Textoindependiente3Car"/>
    <w:uiPriority w:val="99"/>
    <w:rsid w:val="008C7554"/>
    <w:pPr>
      <w:spacing w:after="120"/>
    </w:pPr>
    <w:rPr>
      <w:sz w:val="16"/>
    </w:rPr>
  </w:style>
  <w:style w:type="character" w:customStyle="1" w:styleId="BodyText3Char">
    <w:name w:val="Body Text 3 Char"/>
    <w:uiPriority w:val="99"/>
    <w:semiHidden/>
    <w:locked/>
    <w:rsid w:val="008C7554"/>
    <w:rPr>
      <w:rFonts w:ascii="Arial" w:eastAsia="MS Mincho" w:hAnsi="Arial" w:cs="Times New Roman"/>
      <w:sz w:val="16"/>
      <w:lang w:val="es-ES_tradnl" w:eastAsia="ar-SA" w:bidi="ar-SA"/>
    </w:rPr>
  </w:style>
  <w:style w:type="character" w:customStyle="1" w:styleId="Textoindependiente3Car">
    <w:name w:val="Texto independiente 3 Car"/>
    <w:link w:val="Textoindependiente3"/>
    <w:uiPriority w:val="99"/>
    <w:semiHidden/>
    <w:locked/>
    <w:rsid w:val="008C7554"/>
    <w:rPr>
      <w:rFonts w:ascii="Arial" w:eastAsia="MS Mincho" w:hAnsi="Arial"/>
      <w:sz w:val="16"/>
      <w:lang w:val="es-ES_tradnl" w:eastAsia="ar-SA" w:bidi="ar-SA"/>
    </w:rPr>
  </w:style>
  <w:style w:type="paragraph" w:customStyle="1" w:styleId="Textoindependiente21">
    <w:name w:val="Texto independiente 21"/>
    <w:basedOn w:val="Normal"/>
    <w:uiPriority w:val="99"/>
    <w:rsid w:val="008C7554"/>
    <w:pPr>
      <w:suppressAutoHyphens w:val="0"/>
      <w:autoSpaceDN w:val="0"/>
      <w:adjustRightInd w:val="0"/>
      <w:spacing w:line="480" w:lineRule="auto"/>
    </w:pPr>
    <w:rPr>
      <w:rFonts w:eastAsia="Times New Roman"/>
      <w:lang w:val="es-ES" w:eastAsia="es-ES"/>
    </w:rPr>
  </w:style>
  <w:style w:type="paragraph" w:styleId="Piedepgina">
    <w:name w:val="footer"/>
    <w:basedOn w:val="Normal"/>
    <w:link w:val="PiedepginaCar"/>
    <w:uiPriority w:val="99"/>
    <w:rsid w:val="008C7554"/>
    <w:pPr>
      <w:tabs>
        <w:tab w:val="center" w:pos="4252"/>
        <w:tab w:val="right" w:pos="8504"/>
      </w:tabs>
    </w:pPr>
    <w:rPr>
      <w:sz w:val="20"/>
    </w:rPr>
  </w:style>
  <w:style w:type="character" w:customStyle="1" w:styleId="FooterChar">
    <w:name w:val="Footer Char"/>
    <w:uiPriority w:val="99"/>
    <w:semiHidden/>
    <w:locked/>
    <w:rsid w:val="008C7554"/>
    <w:rPr>
      <w:rFonts w:ascii="Arial" w:eastAsia="MS Mincho" w:hAnsi="Arial" w:cs="Times New Roman"/>
      <w:sz w:val="20"/>
      <w:lang w:val="es-ES_tradnl" w:eastAsia="ar-SA" w:bidi="ar-SA"/>
    </w:rPr>
  </w:style>
  <w:style w:type="character" w:customStyle="1" w:styleId="PiedepginaCar">
    <w:name w:val="Pie de página Car"/>
    <w:link w:val="Piedepgina"/>
    <w:uiPriority w:val="99"/>
    <w:locked/>
    <w:rsid w:val="008C7554"/>
    <w:rPr>
      <w:rFonts w:ascii="Arial" w:eastAsia="MS Mincho" w:hAnsi="Arial"/>
      <w:lang w:val="es-ES_tradnl" w:eastAsia="ar-SA" w:bidi="ar-SA"/>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FA Fu Car3"/>
    <w:semiHidden/>
    <w:locked/>
    <w:rsid w:val="008C7554"/>
    <w:rPr>
      <w:rFonts w:ascii="Arial" w:hAnsi="Arial"/>
      <w:sz w:val="20"/>
      <w:lang w:val="es-CO" w:eastAsia="ar-SA" w:bidi="ar-SA"/>
    </w:rPr>
  </w:style>
  <w:style w:type="character" w:customStyle="1" w:styleId="Ttulo3Car">
    <w:name w:val="Título 3 Car"/>
    <w:link w:val="Ttulo3"/>
    <w:uiPriority w:val="99"/>
    <w:locked/>
    <w:rsid w:val="008C7554"/>
    <w:rPr>
      <w:rFonts w:ascii="Arial" w:hAnsi="Arial"/>
      <w:b/>
      <w:sz w:val="26"/>
      <w:lang w:val="en-US" w:eastAsia="ar-SA" w:bidi="ar-SA"/>
    </w:rPr>
  </w:style>
  <w:style w:type="paragraph" w:customStyle="1" w:styleId="Sinespaciado1">
    <w:name w:val="Sin espaciado1"/>
    <w:uiPriority w:val="99"/>
    <w:rsid w:val="008C7554"/>
    <w:pPr>
      <w:suppressAutoHyphens/>
      <w:overflowPunct w:val="0"/>
      <w:autoSpaceDE w:val="0"/>
      <w:jc w:val="both"/>
      <w:textAlignment w:val="baseline"/>
    </w:pPr>
    <w:rPr>
      <w:rFonts w:ascii="Arial" w:hAnsi="Arial"/>
      <w:sz w:val="24"/>
      <w:lang w:val="es-ES_tradnl" w:eastAsia="ar-SA"/>
    </w:rPr>
  </w:style>
  <w:style w:type="paragraph" w:styleId="NormalWeb">
    <w:name w:val="Normal (Web)"/>
    <w:basedOn w:val="Normal"/>
    <w:uiPriority w:val="99"/>
    <w:rsid w:val="008C7554"/>
    <w:rPr>
      <w:rFonts w:ascii="Times New Roman" w:eastAsia="Times New Roman" w:hAnsi="Times New Roman"/>
      <w:szCs w:val="24"/>
    </w:rPr>
  </w:style>
  <w:style w:type="paragraph" w:customStyle="1" w:styleId="Prrafodelista2">
    <w:name w:val="Párrafo de lista2"/>
    <w:basedOn w:val="Normal"/>
    <w:uiPriority w:val="99"/>
    <w:rsid w:val="008C7554"/>
    <w:pPr>
      <w:ind w:left="708"/>
    </w:pPr>
  </w:style>
  <w:style w:type="paragraph" w:styleId="Textodeglobo">
    <w:name w:val="Balloon Text"/>
    <w:basedOn w:val="Normal"/>
    <w:link w:val="TextodegloboCar"/>
    <w:uiPriority w:val="99"/>
    <w:semiHidden/>
    <w:rsid w:val="008C7554"/>
    <w:pPr>
      <w:spacing w:line="240" w:lineRule="auto"/>
    </w:pPr>
    <w:rPr>
      <w:rFonts w:ascii="Tahoma" w:hAnsi="Tahoma"/>
      <w:sz w:val="16"/>
    </w:rPr>
  </w:style>
  <w:style w:type="character" w:customStyle="1" w:styleId="BalloonTextChar">
    <w:name w:val="Balloon Text Char"/>
    <w:uiPriority w:val="99"/>
    <w:semiHidden/>
    <w:locked/>
    <w:rsid w:val="008C7554"/>
    <w:rPr>
      <w:rFonts w:eastAsia="MS Mincho" w:cs="Times New Roman"/>
      <w:sz w:val="2"/>
      <w:lang w:val="es-ES_tradnl" w:eastAsia="ar-SA" w:bidi="ar-SA"/>
    </w:rPr>
  </w:style>
  <w:style w:type="character" w:customStyle="1" w:styleId="TextodegloboCar">
    <w:name w:val="Texto de globo Car"/>
    <w:link w:val="Textodeglobo"/>
    <w:uiPriority w:val="99"/>
    <w:semiHidden/>
    <w:locked/>
    <w:rsid w:val="008C7554"/>
    <w:rPr>
      <w:rFonts w:ascii="Tahoma" w:eastAsia="MS Mincho" w:hAnsi="Tahoma"/>
      <w:sz w:val="16"/>
      <w:lang w:val="es-ES_tradnl" w:eastAsia="ar-SA" w:bidi="ar-SA"/>
    </w:rPr>
  </w:style>
  <w:style w:type="character" w:customStyle="1" w:styleId="FootnoteTextChar2">
    <w:name w:val="Footnote Text Char2"/>
    <w:aliases w:val="Footnote Text Char Char Char Char Char Char2,Footnote Text Char Char Char Char Char3,Footnote reference Char2,FA Fu Char2,Footnote Text Cha Char2,Footnote Text Char Char Char Char3,FA Fußnotentext Char2,FA Fuﬂnotentext Char2"/>
    <w:uiPriority w:val="99"/>
    <w:semiHidden/>
    <w:locked/>
    <w:rsid w:val="008C7554"/>
    <w:rPr>
      <w:rFonts w:ascii="Arial" w:hAnsi="Arial"/>
      <w:sz w:val="20"/>
      <w:lang w:val="es-CO" w:eastAsia="ar-SA" w:bidi="ar-SA"/>
    </w:rPr>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Footnote Text Char Char Car"/>
    <w:uiPriority w:val="99"/>
    <w:rsid w:val="008C7554"/>
    <w:rPr>
      <w:rFonts w:ascii="Arial" w:hAnsi="Arial"/>
      <w:sz w:val="20"/>
      <w:lang w:val="es-CO" w:eastAsia="ar-SA" w:bidi="ar-SA"/>
    </w:rPr>
  </w:style>
  <w:style w:type="paragraph" w:styleId="Listaconvietas">
    <w:name w:val="List Bullet"/>
    <w:basedOn w:val="Normal"/>
    <w:uiPriority w:val="99"/>
    <w:rsid w:val="008C7554"/>
    <w:pPr>
      <w:numPr>
        <w:numId w:val="4"/>
      </w:numPr>
      <w:tabs>
        <w:tab w:val="clear" w:pos="360"/>
      </w:tabs>
      <w:suppressAutoHyphens w:val="0"/>
      <w:overflowPunct/>
      <w:autoSpaceDE/>
      <w:spacing w:line="240" w:lineRule="auto"/>
      <w:ind w:left="787"/>
      <w:jc w:val="left"/>
      <w:textAlignment w:val="auto"/>
    </w:pPr>
    <w:rPr>
      <w:rFonts w:ascii="Times New Roman" w:eastAsia="Times New Roman" w:hAnsi="Times New Roman"/>
      <w:szCs w:val="24"/>
      <w:lang w:val="es-ES" w:eastAsia="es-ES"/>
    </w:rPr>
  </w:style>
  <w:style w:type="character" w:customStyle="1" w:styleId="FootnoteTextChar4">
    <w:name w:val="Footnote Text Char4"/>
    <w:aliases w:val="Footnote Text Char Char Char Char Char Char4,Footnote Text Char Char Char Char Char5,Footnote reference Char4,FA Fu Char4,Footnote Text Cha Char4,Footnote Text Char Char Char Char5,FA Fußnotentext Char4,FA Fuﬂnotentext Char4"/>
    <w:uiPriority w:val="99"/>
    <w:semiHidden/>
    <w:locked/>
    <w:rsid w:val="008C7554"/>
    <w:rPr>
      <w:rFonts w:ascii="Arial" w:eastAsia="MS Mincho" w:hAnsi="Arial"/>
      <w:lang w:val="es-CO" w:eastAsia="ar-SA" w:bidi="ar-SA"/>
    </w:rPr>
  </w:style>
  <w:style w:type="character" w:customStyle="1" w:styleId="FootnoteTextChar3">
    <w:name w:val="Footnote Text Char3"/>
    <w:aliases w:val="Footnote Text Char Char Char Char Char Char3,Footnote Text Char Char Char Char Char4,Footnote reference Char3,FA Fu Char3,Footnote Text Cha Char3,Footnote Text Char Char Char Char4,FA Fußnotentext Char3,FA Fuﬂnotentext Char3"/>
    <w:uiPriority w:val="99"/>
    <w:semiHidden/>
    <w:locked/>
    <w:rsid w:val="008C7554"/>
    <w:rPr>
      <w:rFonts w:ascii="Arial" w:eastAsia="MS Mincho" w:hAnsi="Arial"/>
      <w:lang w:val="es-CO" w:eastAsia="ar-SA" w:bidi="ar-SA"/>
    </w:rPr>
  </w:style>
  <w:style w:type="paragraph" w:customStyle="1" w:styleId="Listavistosa-nfasis11">
    <w:name w:val="Lista vistosa - Énfasis 11"/>
    <w:basedOn w:val="Normal"/>
    <w:uiPriority w:val="34"/>
    <w:qFormat/>
    <w:rsid w:val="003C7CE0"/>
    <w:pPr>
      <w:ind w:left="708"/>
    </w:pPr>
  </w:style>
  <w:style w:type="paragraph" w:styleId="Textonotaalfinal">
    <w:name w:val="endnote text"/>
    <w:basedOn w:val="Normal"/>
    <w:link w:val="TextonotaalfinalCar"/>
    <w:uiPriority w:val="99"/>
    <w:semiHidden/>
    <w:unhideWhenUsed/>
    <w:rsid w:val="00EA5CFE"/>
    <w:rPr>
      <w:sz w:val="20"/>
    </w:rPr>
  </w:style>
  <w:style w:type="character" w:customStyle="1" w:styleId="TextonotaalfinalCar">
    <w:name w:val="Texto nota al final Car"/>
    <w:link w:val="Textonotaalfinal"/>
    <w:uiPriority w:val="99"/>
    <w:semiHidden/>
    <w:rsid w:val="00EA5CFE"/>
    <w:rPr>
      <w:rFonts w:ascii="Arial" w:eastAsia="MS Mincho" w:hAnsi="Arial"/>
      <w:lang w:val="es-ES_tradnl" w:eastAsia="ar-SA"/>
    </w:rPr>
  </w:style>
  <w:style w:type="character" w:styleId="Refdenotaalfinal">
    <w:name w:val="endnote reference"/>
    <w:uiPriority w:val="99"/>
    <w:semiHidden/>
    <w:unhideWhenUsed/>
    <w:rsid w:val="00EA5C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F7089-6DA1-43A9-B7DF-D615B969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28731</Words>
  <Characters>158021</Characters>
  <Application>Microsoft Office Word</Application>
  <DocSecurity>0</DocSecurity>
  <Lines>1316</Lines>
  <Paragraphs>372</Paragraphs>
  <ScaleCrop>false</ScaleCrop>
  <HeadingPairs>
    <vt:vector size="2" baseType="variant">
      <vt:variant>
        <vt:lpstr>Título</vt:lpstr>
      </vt:variant>
      <vt:variant>
        <vt:i4>1</vt:i4>
      </vt:variant>
    </vt:vector>
  </HeadingPairs>
  <TitlesOfParts>
    <vt:vector size="1" baseType="lpstr">
      <vt:lpstr>  </vt:lpstr>
    </vt:vector>
  </TitlesOfParts>
  <Company>Rama Judicial</Company>
  <LinksUpToDate>false</LinksUpToDate>
  <CharactersWithSpaces>186380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jalvarezr</dc:creator>
  <cp:lastModifiedBy>Martha Helena Quintero Quintero</cp:lastModifiedBy>
  <cp:revision>2</cp:revision>
  <dcterms:created xsi:type="dcterms:W3CDTF">2015-09-21T18:48:00Z</dcterms:created>
  <dcterms:modified xsi:type="dcterms:W3CDTF">2015-09-21T18:48:00Z</dcterms:modified>
</cp:coreProperties>
</file>